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9AB1B" w14:textId="7153D6DB" w:rsidR="00DE6FB3" w:rsidRPr="00E83BEF" w:rsidRDefault="00DE6FB3" w:rsidP="00784C9B">
      <w:pPr>
        <w:pStyle w:val="DocumentInformation"/>
      </w:pPr>
      <w:r w:rsidRPr="00E83BEF">
        <w:rPr>
          <w:rFonts w:eastAsiaTheme="majorEastAsia"/>
          <w:noProof/>
          <w:color w:val="2E74B5" w:themeColor="accent1" w:themeShade="BF"/>
        </w:rPr>
        <mc:AlternateContent>
          <mc:Choice Requires="wps">
            <w:drawing>
              <wp:anchor distT="0" distB="0" distL="114300" distR="114300" simplePos="0" relativeHeight="251658240" behindDoc="0" locked="0" layoutInCell="1" allowOverlap="1" wp14:anchorId="47B12152" wp14:editId="58AD263F">
                <wp:simplePos x="0" y="0"/>
                <wp:positionH relativeFrom="page">
                  <wp:align>right</wp:align>
                </wp:positionH>
                <wp:positionV relativeFrom="paragraph">
                  <wp:posOffset>3651250</wp:posOffset>
                </wp:positionV>
                <wp:extent cx="7772400" cy="2565779"/>
                <wp:effectExtent l="0" t="0" r="0" b="6350"/>
                <wp:wrapNone/>
                <wp:docPr id="4" name="Rectangle 4">
                  <a:extLst xmlns:a="http://schemas.openxmlformats.org/drawingml/2006/main">
                    <a:ext uri="{FF2B5EF4-FFF2-40B4-BE49-F238E27FC236}">
                      <a16:creationId xmlns:a16="http://schemas.microsoft.com/office/drawing/2014/main" id="{309991C4-EF84-4D82-8442-D4F95B09B499}"/>
                    </a:ext>
                  </a:extLst>
                </wp:docPr>
                <wp:cNvGraphicFramePr/>
                <a:graphic xmlns:a="http://schemas.openxmlformats.org/drawingml/2006/main">
                  <a:graphicData uri="http://schemas.microsoft.com/office/word/2010/wordprocessingShape">
                    <wps:wsp>
                      <wps:cNvSpPr/>
                      <wps:spPr>
                        <a:xfrm>
                          <a:off x="0" y="0"/>
                          <a:ext cx="7772400" cy="2565779"/>
                        </a:xfrm>
                        <a:prstGeom prst="rect">
                          <a:avLst/>
                        </a:prstGeom>
                        <a:solidFill>
                          <a:srgbClr val="2F5597"/>
                        </a:solidFill>
                        <a:ln>
                          <a:noFill/>
                        </a:ln>
                      </wps:spPr>
                      <wps:style>
                        <a:lnRef idx="2">
                          <a:schemeClr val="accent1">
                            <a:shade val="50000"/>
                          </a:schemeClr>
                        </a:lnRef>
                        <a:fillRef idx="1">
                          <a:schemeClr val="accent1"/>
                        </a:fillRef>
                        <a:effectRef idx="0">
                          <a:scrgbClr r="0" g="0" b="0"/>
                        </a:effectRef>
                        <a:fontRef idx="minor">
                          <a:schemeClr val="lt1"/>
                        </a:fontRef>
                      </wps:style>
                      <wps:txbx>
                        <w:txbxContent>
                          <w:p w14:paraId="6CE333F0" w14:textId="77777777" w:rsidR="001818E8" w:rsidRPr="0063384B" w:rsidRDefault="001818E8" w:rsidP="001818E8">
                            <w:pPr>
                              <w:spacing w:line="276" w:lineRule="auto"/>
                              <w:jc w:val="center"/>
                              <w:rPr>
                                <w:rFonts w:ascii="Calibri" w:eastAsia="Calibri" w:hAnsi="Calibri" w:cs="Calibri"/>
                                <w:color w:val="FFFFFF" w:themeColor="light1"/>
                                <w:sz w:val="52"/>
                                <w:szCs w:val="52"/>
                              </w:rPr>
                            </w:pPr>
                            <w:r w:rsidRPr="0063384B">
                              <w:rPr>
                                <w:rFonts w:ascii="Calibri" w:eastAsia="Calibri" w:hAnsi="Calibri" w:cs="Calibri"/>
                                <w:color w:val="FFFFFF" w:themeColor="light1"/>
                                <w:sz w:val="52"/>
                                <w:szCs w:val="52"/>
                              </w:rPr>
                              <w:t xml:space="preserve">Value Chain Optimization </w:t>
                            </w:r>
                          </w:p>
                          <w:p w14:paraId="352260DB" w14:textId="2A31AC63" w:rsidR="0055463D" w:rsidRDefault="00730615" w:rsidP="001818E8">
                            <w:pPr>
                              <w:spacing w:line="276" w:lineRule="auto"/>
                              <w:jc w:val="center"/>
                              <w:rPr>
                                <w:rFonts w:ascii="Calibri" w:eastAsia="Calibri" w:hAnsi="Calibri" w:cs="Calibri"/>
                                <w:color w:val="FFFFFF" w:themeColor="light1"/>
                                <w:sz w:val="52"/>
                                <w:szCs w:val="52"/>
                              </w:rPr>
                            </w:pPr>
                            <w:r>
                              <w:rPr>
                                <w:rFonts w:ascii="Calibri" w:eastAsia="Calibri" w:hAnsi="Calibri" w:cs="Calibri"/>
                                <w:color w:val="FFFFFF" w:themeColor="light1"/>
                                <w:sz w:val="52"/>
                                <w:szCs w:val="52"/>
                              </w:rPr>
                              <w:t>Blending Visibility and KPIs Dashboards</w:t>
                            </w:r>
                          </w:p>
                          <w:p w14:paraId="447983D7" w14:textId="04B420E1" w:rsidR="00F9624E" w:rsidRPr="00B97837" w:rsidRDefault="001818E8" w:rsidP="001818E8">
                            <w:pPr>
                              <w:spacing w:line="276" w:lineRule="auto"/>
                              <w:jc w:val="center"/>
                              <w:rPr>
                                <w:rFonts w:ascii="Calibri" w:eastAsia="Calibri" w:hAnsi="Calibri" w:cs="Calibri"/>
                                <w:color w:val="FFFFFF" w:themeColor="light1"/>
                                <w:sz w:val="52"/>
                                <w:szCs w:val="52"/>
                              </w:rPr>
                            </w:pPr>
                            <w:r w:rsidRPr="00B97837">
                              <w:rPr>
                                <w:rFonts w:ascii="Calibri" w:eastAsia="Calibri" w:hAnsi="Calibri" w:cs="Calibri"/>
                                <w:color w:val="FFFFFF" w:themeColor="light1"/>
                                <w:sz w:val="52"/>
                                <w:szCs w:val="52"/>
                              </w:rPr>
                              <w:t>Technical Design Document</w:t>
                            </w:r>
                          </w:p>
                        </w:txbxContent>
                      </wps:txbx>
                      <wps:bodyPr spcFirstLastPara="0" wrap="square" lIns="121920" tIns="60960" rIns="121920" bIns="60960" anchor="ctr">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6="http://schemas.microsoft.com/office/drawing/2014/main" xmlns:pic="http://schemas.openxmlformats.org/drawingml/2006/picture" xmlns:a14="http://schemas.microsoft.com/office/drawing/2010/main" xmlns:arto="http://schemas.microsoft.com/office/word/2006/arto">
            <w:pict w14:anchorId="316781B2">
              <v:rect id="Rectangle 4" style="position:absolute;left:0;text-align:left;margin-left:560.8pt;margin-top:287.5pt;width:612pt;height:202.05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spid="_x0000_s1026" fillcolor="#2f5597" stroked="f" strokeweight="1pt" w14:anchorId="47B12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">
                <v:textbox inset="9.6pt,4.8pt,9.6pt,4.8pt">
                  <w:txbxContent>
                    <w:p w:rsidRPr="0063384B" w:rsidR="001818E8" w:rsidP="001818E8" w:rsidRDefault="001818E8" w14:paraId="47D72439" w14:textId="77777777">
                      <w:pPr>
                        <w:spacing w:line="276" w:lineRule="auto"/>
                        <w:jc w:val="center"/>
                        <w:rPr>
                          <w:rFonts w:ascii="Calibri" w:hAnsi="Calibri" w:eastAsia="Calibri" w:cs="Calibri"/>
                          <w:color w:val="FFFFFF" w:themeColor="light1"/>
                          <w:sz w:val="52"/>
                          <w:szCs w:val="52"/>
                        </w:rPr>
                      </w:pPr>
                      <w:r w:rsidRPr="0063384B">
                        <w:rPr>
                          <w:rFonts w:ascii="Calibri" w:hAnsi="Calibri" w:eastAsia="Calibri" w:cs="Calibri"/>
                          <w:color w:val="FFFFFF" w:themeColor="light1"/>
                          <w:sz w:val="52"/>
                          <w:szCs w:val="52"/>
                        </w:rPr>
                        <w:t xml:space="preserve">Value Chain Optimization </w:t>
                      </w:r>
                    </w:p>
                    <w:p w:rsidR="0055463D" w:rsidP="001818E8" w:rsidRDefault="00730615" w14:paraId="553A7A9D" w14:textId="2A31AC63">
                      <w:pPr>
                        <w:spacing w:line="276" w:lineRule="auto"/>
                        <w:jc w:val="center"/>
                        <w:rPr>
                          <w:rFonts w:ascii="Calibri" w:hAnsi="Calibri" w:eastAsia="Calibri" w:cs="Calibri"/>
                          <w:color w:val="FFFFFF" w:themeColor="light1"/>
                          <w:sz w:val="52"/>
                          <w:szCs w:val="52"/>
                        </w:rPr>
                      </w:pPr>
                      <w:r>
                        <w:rPr>
                          <w:rFonts w:ascii="Calibri" w:hAnsi="Calibri" w:eastAsia="Calibri" w:cs="Calibri"/>
                          <w:color w:val="FFFFFF" w:themeColor="light1"/>
                          <w:sz w:val="52"/>
                          <w:szCs w:val="52"/>
                        </w:rPr>
                        <w:t>Blending Visibility and KPIs Dashboards</w:t>
                      </w:r>
                    </w:p>
                    <w:p w:rsidRPr="00B97837" w:rsidR="00F9624E" w:rsidP="001818E8" w:rsidRDefault="001818E8" w14:paraId="4C1771F5" w14:textId="04B420E1">
                      <w:pPr>
                        <w:spacing w:line="276" w:lineRule="auto"/>
                        <w:jc w:val="center"/>
                        <w:rPr>
                          <w:rFonts w:ascii="Calibri" w:hAnsi="Calibri" w:eastAsia="Calibri" w:cs="Calibri"/>
                          <w:color w:val="FFFFFF" w:themeColor="light1"/>
                          <w:sz w:val="52"/>
                          <w:szCs w:val="52"/>
                        </w:rPr>
                      </w:pPr>
                      <w:r w:rsidRPr="00B97837">
                        <w:rPr>
                          <w:rFonts w:ascii="Calibri" w:hAnsi="Calibri" w:eastAsia="Calibri" w:cs="Calibri"/>
                          <w:color w:val="FFFFFF" w:themeColor="light1"/>
                          <w:sz w:val="52"/>
                          <w:szCs w:val="52"/>
                        </w:rPr>
                        <w:t>Technical Design Document</w:t>
                      </w:r>
                    </w:p>
                  </w:txbxContent>
                </v:textbox>
                <w10:wrap anchorx="page"/>
              </v:rect>
            </w:pict>
          </mc:Fallback>
        </mc:AlternateContent>
      </w:r>
      <w:r w:rsidRPr="00E83BEF">
        <w:rPr>
          <w:rFonts w:eastAsiaTheme="majorEastAsia"/>
          <w:noProof/>
          <w:color w:val="2E74B5" w:themeColor="accent1" w:themeShade="BF"/>
        </w:rPr>
        <mc:AlternateContent>
          <mc:Choice Requires="wpg">
            <w:drawing>
              <wp:anchor distT="0" distB="0" distL="114300" distR="114300" simplePos="0" relativeHeight="251658241" behindDoc="0" locked="0" layoutInCell="1" allowOverlap="1" wp14:anchorId="5F24986C" wp14:editId="19F8589B">
                <wp:simplePos x="0" y="0"/>
                <wp:positionH relativeFrom="margin">
                  <wp:posOffset>464185</wp:posOffset>
                </wp:positionH>
                <wp:positionV relativeFrom="margin">
                  <wp:posOffset>2417233</wp:posOffset>
                </wp:positionV>
                <wp:extent cx="4802629" cy="863007"/>
                <wp:effectExtent l="0" t="0" r="0" b="0"/>
                <wp:wrapNone/>
                <wp:docPr id="3" name="Group 3"/>
                <wp:cNvGraphicFramePr/>
                <a:graphic xmlns:a="http://schemas.openxmlformats.org/drawingml/2006/main">
                  <a:graphicData uri="http://schemas.microsoft.com/office/word/2010/wordprocessingGroup">
                    <wpg:wgp>
                      <wpg:cNvGrpSpPr/>
                      <wpg:grpSpPr bwMode="auto">
                        <a:xfrm>
                          <a:off x="0" y="0"/>
                          <a:ext cx="4802629" cy="863007"/>
                          <a:chOff x="0" y="0"/>
                          <a:chExt cx="7067593" cy="1270000"/>
                        </a:xfrm>
                      </wpg:grpSpPr>
                      <pic:pic xmlns:pic="http://schemas.openxmlformats.org/drawingml/2006/picture">
                        <pic:nvPicPr>
                          <pic:cNvPr id="5" name="Picture 5"/>
                          <pic:cNvPicPr>
                            <a:picLocks noChangeAspect="1" noChangeArrowheads="1"/>
                          </pic:cNvPicPr>
                        </pic:nvPicPr>
                        <pic:blipFill>
                          <a:blip r:embed="rId11" cstate="print"/>
                          <a:srcRect/>
                          <a:stretch>
                            <a:fillRect/>
                          </a:stretch>
                        </pic:blipFill>
                        <pic:spPr bwMode="auto">
                          <a:xfrm>
                            <a:off x="0" y="0"/>
                            <a:ext cx="1735620" cy="1270000"/>
                          </a:xfrm>
                          <a:prstGeom prst="rect">
                            <a:avLst/>
                          </a:prstGeom>
                          <a:noFill/>
                          <a:ln w="9525">
                            <a:noFill/>
                            <a:miter lim="800000"/>
                            <a:headEnd/>
                            <a:tailEnd/>
                          </a:ln>
                        </pic:spPr>
                      </pic:pic>
                      <pic:pic xmlns:pic="http://schemas.openxmlformats.org/drawingml/2006/picture">
                        <pic:nvPicPr>
                          <pic:cNvPr id="6" name="Picture 6"/>
                          <pic:cNvPicPr>
                            <a:picLocks noChangeAspect="1"/>
                          </pic:cNvPicPr>
                        </pic:nvPicPr>
                        <pic:blipFill>
                          <a:blip r:embed="rId12" cstate="print"/>
                          <a:srcRect/>
                          <a:stretch>
                            <a:fillRect/>
                          </a:stretch>
                        </pic:blipFill>
                        <pic:spPr bwMode="auto">
                          <a:xfrm>
                            <a:off x="1858642" y="214947"/>
                            <a:ext cx="5208951" cy="908214"/>
                          </a:xfrm>
                          <a:prstGeom prst="rect">
                            <a:avLst/>
                          </a:prstGeom>
                          <a:noFill/>
                          <a:ln w="9525">
                            <a:noFill/>
                            <a:miter lim="800000"/>
                            <a:headEnd/>
                            <a:tailEnd/>
                          </a:ln>
                        </pic:spPr>
                      </pic:pic>
                    </wpg:wgp>
                  </a:graphicData>
                </a:graphic>
              </wp:anchor>
            </w:drawing>
          </mc:Choice>
          <mc:Fallback xmlns:w16cei="http://schemas.microsoft.com/office/word/2026/wordml/cei" xmlns:arto="http://schemas.microsoft.com/office/word/2006/arto" xmlns:a14="http://schemas.microsoft.com/office/drawing/2010/main" xmlns:pic="http://schemas.openxmlformats.org/drawingml/2006/picture" xmlns:a16="http://schemas.microsoft.com/office/drawing/2014/main" xmlns:a="http://schemas.openxmlformats.org/drawingml/2006/main">
            <w:pict w14:anchorId="595531F6">
              <v:group id="Group 3" style="position:absolute;margin-left:36.55pt;margin-top:190.35pt;width:378.15pt;height:67.95pt;z-index:251658241;mso-position-horizontal-relative:margin;mso-position-vertical-relative:margin" coordsize="70675,12700" o:spid="_x0000_s1026" w14:anchorId="214BF393" o:gfxdata="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5" style="position:absolute;width:17356;height:12700;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">
                  <v:imagedata o:title="" r:id="rId13"/>
                </v:shape>
                <v:shape id="Picture 6" style="position:absolute;left:18586;top:2149;width:52089;height:908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">
                  <v:imagedata o:title="" r:id="rId14"/>
                </v:shape>
                <w10:wrap anchorx="margin" anchory="margin"/>
              </v:group>
            </w:pict>
          </mc:Fallback>
        </mc:AlternateContent>
      </w:r>
      <w:r w:rsidRPr="00E83BEF">
        <w:br w:type="page"/>
        <w:t>Document Control</w:t>
      </w:r>
    </w:p>
    <w:tbl>
      <w:tblPr>
        <w:tblW w:w="9388" w:type="dxa"/>
        <w:tblInd w:w="-5" w:type="dxa"/>
        <w:tblBorders>
          <w:top w:val="single" w:sz="4" w:space="0" w:color="002776"/>
          <w:left w:val="single" w:sz="4" w:space="0" w:color="002776"/>
          <w:bottom w:val="single" w:sz="4" w:space="0" w:color="002776"/>
          <w:right w:val="single" w:sz="4" w:space="0" w:color="002776"/>
          <w:insideH w:val="single" w:sz="4" w:space="0" w:color="002776"/>
          <w:insideV w:val="single" w:sz="4" w:space="0" w:color="002776"/>
        </w:tblBorders>
        <w:tblLayout w:type="fixed"/>
        <w:tblCellMar>
          <w:top w:w="14" w:type="dxa"/>
          <w:left w:w="115" w:type="dxa"/>
          <w:bottom w:w="14" w:type="dxa"/>
          <w:right w:w="115" w:type="dxa"/>
        </w:tblCellMar>
        <w:tblLook w:val="0000" w:firstRow="0" w:lastRow="0" w:firstColumn="0" w:lastColumn="0" w:noHBand="0" w:noVBand="0"/>
      </w:tblPr>
      <w:tblGrid>
        <w:gridCol w:w="3263"/>
        <w:gridCol w:w="6125"/>
      </w:tblGrid>
      <w:tr w:rsidR="008569E0" w:rsidRPr="00E83BEF" w14:paraId="6957F348" w14:textId="77777777" w:rsidTr="46608E87">
        <w:trPr>
          <w:trHeight w:val="288"/>
        </w:trPr>
        <w:tc>
          <w:tcPr>
            <w:tcW w:w="3263" w:type="dxa"/>
            <w:vAlign w:val="center"/>
          </w:tcPr>
          <w:p w14:paraId="2275F9A3" w14:textId="17E6204D" w:rsidR="008569E0" w:rsidRPr="00E83BEF" w:rsidRDefault="008569E0" w:rsidP="00476D2B">
            <w:pPr>
              <w:pStyle w:val="Bodycopybold"/>
              <w:keepNext/>
              <w:rPr>
                <w:rFonts w:asciiTheme="minorHAnsi" w:hAnsiTheme="minorHAnsi" w:cstheme="minorHAnsi"/>
                <w:sz w:val="20"/>
                <w:szCs w:val="20"/>
              </w:rPr>
            </w:pPr>
            <w:r w:rsidRPr="00E83BEF" w:rsidDel="002C6A7A">
              <w:rPr>
                <w:rFonts w:asciiTheme="minorHAnsi" w:hAnsiTheme="minorHAnsi" w:cstheme="minorHAnsi"/>
                <w:sz w:val="20"/>
                <w:szCs w:val="20"/>
              </w:rPr>
              <w:t>Project Name</w:t>
            </w:r>
          </w:p>
        </w:tc>
        <w:tc>
          <w:tcPr>
            <w:tcW w:w="6125" w:type="dxa"/>
            <w:vAlign w:val="center"/>
          </w:tcPr>
          <w:p w14:paraId="22F698FD" w14:textId="2DE06477" w:rsidR="008569E0" w:rsidRPr="00E83BEF" w:rsidRDefault="17504520" w:rsidP="00476D2B">
            <w:pPr>
              <w:pStyle w:val="Bodycopybold"/>
              <w:keepNext/>
            </w:pPr>
            <w:r w:rsidRPr="56AC26E0">
              <w:rPr>
                <w:rFonts w:asciiTheme="minorHAnsi" w:hAnsiTheme="minorHAnsi" w:cstheme="minorBidi"/>
                <w:sz w:val="20"/>
                <w:szCs w:val="20"/>
              </w:rPr>
              <w:t>Value Chain Blending (VCB) - Blending Visibility and KPIs Dashboards</w:t>
            </w:r>
          </w:p>
        </w:tc>
      </w:tr>
      <w:tr w:rsidR="008569E0" w:rsidRPr="00E83BEF" w14:paraId="2C23BF70" w14:textId="77777777" w:rsidTr="46608E87">
        <w:trPr>
          <w:trHeight w:val="288"/>
        </w:trPr>
        <w:tc>
          <w:tcPr>
            <w:tcW w:w="3263" w:type="dxa"/>
            <w:vAlign w:val="center"/>
          </w:tcPr>
          <w:p w14:paraId="6E1CF508" w14:textId="34EE4C95" w:rsidR="008569E0" w:rsidRPr="00E83BEF" w:rsidRDefault="008569E0" w:rsidP="00476D2B">
            <w:pPr>
              <w:pStyle w:val="Bodycopybold"/>
              <w:keepNext/>
              <w:rPr>
                <w:rFonts w:asciiTheme="minorHAnsi" w:hAnsiTheme="minorHAnsi" w:cstheme="minorHAnsi"/>
                <w:sz w:val="20"/>
                <w:szCs w:val="20"/>
              </w:rPr>
            </w:pPr>
            <w:r w:rsidRPr="00E83BEF" w:rsidDel="002C6A7A">
              <w:rPr>
                <w:rFonts w:asciiTheme="minorHAnsi" w:hAnsiTheme="minorHAnsi" w:cstheme="minorHAnsi"/>
                <w:sz w:val="20"/>
                <w:szCs w:val="20"/>
              </w:rPr>
              <w:t>Project Process Team</w:t>
            </w:r>
          </w:p>
        </w:tc>
        <w:tc>
          <w:tcPr>
            <w:tcW w:w="6125" w:type="dxa"/>
            <w:vAlign w:val="center"/>
          </w:tcPr>
          <w:p w14:paraId="67F138FA" w14:textId="55678A96" w:rsidR="008569E0" w:rsidRPr="00E83BEF" w:rsidRDefault="008569E0" w:rsidP="00476D2B">
            <w:pPr>
              <w:pStyle w:val="Bodycopybold"/>
              <w:keepNext/>
              <w:rPr>
                <w:rFonts w:asciiTheme="minorHAnsi" w:hAnsiTheme="minorHAnsi" w:cstheme="minorHAnsi"/>
                <w:sz w:val="20"/>
                <w:szCs w:val="20"/>
              </w:rPr>
            </w:pPr>
            <w:r w:rsidRPr="00E83BEF">
              <w:rPr>
                <w:rFonts w:asciiTheme="minorHAnsi" w:hAnsiTheme="minorHAnsi" w:cstheme="minorHAnsi"/>
                <w:sz w:val="20"/>
                <w:szCs w:val="20"/>
              </w:rPr>
              <w:t xml:space="preserve">Integration </w:t>
            </w:r>
            <w:r w:rsidRPr="00E83BEF" w:rsidDel="002C6A7A">
              <w:rPr>
                <w:rFonts w:asciiTheme="minorHAnsi" w:hAnsiTheme="minorHAnsi" w:cstheme="minorHAnsi"/>
                <w:sz w:val="20"/>
                <w:szCs w:val="20"/>
              </w:rPr>
              <w:t>Team</w:t>
            </w:r>
          </w:p>
        </w:tc>
      </w:tr>
      <w:tr w:rsidR="00423F57" w:rsidRPr="00E83BEF" w14:paraId="688DCC9D" w14:textId="77777777" w:rsidTr="46608E87">
        <w:trPr>
          <w:trHeight w:val="288"/>
        </w:trPr>
        <w:tc>
          <w:tcPr>
            <w:tcW w:w="3263" w:type="dxa"/>
            <w:vAlign w:val="center"/>
          </w:tcPr>
          <w:p w14:paraId="727405C0" w14:textId="37F064CE" w:rsidR="00423F57" w:rsidRPr="00E83BEF" w:rsidRDefault="00423F57" w:rsidP="00476D2B">
            <w:pPr>
              <w:pStyle w:val="Bodycopybold"/>
              <w:keepNext/>
              <w:rPr>
                <w:rFonts w:asciiTheme="minorHAnsi" w:hAnsiTheme="minorHAnsi" w:cstheme="minorHAnsi"/>
                <w:sz w:val="20"/>
                <w:szCs w:val="20"/>
                <w:lang w:val="en-IN"/>
              </w:rPr>
            </w:pPr>
            <w:r w:rsidRPr="00E83BEF">
              <w:rPr>
                <w:rStyle w:val="normaltextrun"/>
                <w:rFonts w:asciiTheme="minorHAnsi" w:hAnsiTheme="minorHAnsi" w:cstheme="minorHAnsi"/>
                <w:sz w:val="20"/>
                <w:szCs w:val="20"/>
              </w:rPr>
              <w:t>Product Owner</w:t>
            </w:r>
            <w:r w:rsidRPr="00E83BEF">
              <w:rPr>
                <w:rStyle w:val="eop"/>
                <w:rFonts w:asciiTheme="minorHAnsi" w:hAnsiTheme="minorHAnsi" w:cstheme="minorHAnsi"/>
                <w:sz w:val="20"/>
                <w:szCs w:val="20"/>
              </w:rPr>
              <w:t> </w:t>
            </w:r>
          </w:p>
        </w:tc>
        <w:tc>
          <w:tcPr>
            <w:tcW w:w="6125" w:type="dxa"/>
            <w:vAlign w:val="center"/>
          </w:tcPr>
          <w:p w14:paraId="680D7D53" w14:textId="76B1F41F" w:rsidR="00423F57" w:rsidRPr="00E83BEF" w:rsidRDefault="00423F57" w:rsidP="00476D2B">
            <w:pPr>
              <w:pStyle w:val="Bodycopybold"/>
              <w:keepNext/>
              <w:rPr>
                <w:rFonts w:asciiTheme="minorHAnsi" w:hAnsiTheme="minorHAnsi" w:cstheme="minorHAnsi"/>
                <w:sz w:val="20"/>
                <w:szCs w:val="20"/>
              </w:rPr>
            </w:pPr>
            <w:r w:rsidRPr="00E83BEF">
              <w:rPr>
                <w:rStyle w:val="normaltextrun"/>
                <w:rFonts w:asciiTheme="minorHAnsi" w:hAnsiTheme="minorHAnsi" w:cstheme="minorHAnsi"/>
                <w:sz w:val="20"/>
                <w:szCs w:val="20"/>
              </w:rPr>
              <w:t>Kinjlak Kalia</w:t>
            </w:r>
            <w:r w:rsidRPr="00E83BEF">
              <w:rPr>
                <w:rStyle w:val="eop"/>
                <w:rFonts w:asciiTheme="minorHAnsi" w:hAnsiTheme="minorHAnsi" w:cstheme="minorHAnsi"/>
                <w:sz w:val="20"/>
                <w:szCs w:val="20"/>
              </w:rPr>
              <w:t> </w:t>
            </w:r>
          </w:p>
        </w:tc>
      </w:tr>
      <w:tr w:rsidR="00423F57" w:rsidRPr="00E83BEF" w14:paraId="6C154FE8" w14:textId="77777777" w:rsidTr="46608E87">
        <w:trPr>
          <w:trHeight w:val="288"/>
        </w:trPr>
        <w:tc>
          <w:tcPr>
            <w:tcW w:w="3263" w:type="dxa"/>
            <w:vAlign w:val="center"/>
          </w:tcPr>
          <w:p w14:paraId="22EF9FB8" w14:textId="2F5D9AE8" w:rsidR="00423F57" w:rsidRPr="00E83BEF" w:rsidRDefault="00423F57" w:rsidP="00476D2B">
            <w:pPr>
              <w:pStyle w:val="Bodycopybold"/>
              <w:keepNext/>
              <w:rPr>
                <w:rFonts w:asciiTheme="minorHAnsi" w:hAnsiTheme="minorHAnsi" w:cstheme="minorHAnsi"/>
                <w:sz w:val="20"/>
                <w:szCs w:val="20"/>
                <w:lang w:val="en-IN"/>
              </w:rPr>
            </w:pPr>
            <w:r w:rsidRPr="00E83BEF">
              <w:rPr>
                <w:rStyle w:val="normaltextrun"/>
                <w:rFonts w:asciiTheme="minorHAnsi" w:hAnsiTheme="minorHAnsi" w:cstheme="minorHAnsi"/>
                <w:sz w:val="20"/>
                <w:szCs w:val="20"/>
              </w:rPr>
              <w:t>IT Owner</w:t>
            </w:r>
            <w:r w:rsidRPr="00E83BEF">
              <w:rPr>
                <w:rStyle w:val="eop"/>
                <w:rFonts w:asciiTheme="minorHAnsi" w:hAnsiTheme="minorHAnsi" w:cstheme="minorHAnsi"/>
                <w:sz w:val="20"/>
                <w:szCs w:val="20"/>
              </w:rPr>
              <w:t> </w:t>
            </w:r>
          </w:p>
        </w:tc>
        <w:tc>
          <w:tcPr>
            <w:tcW w:w="6125" w:type="dxa"/>
            <w:vAlign w:val="center"/>
          </w:tcPr>
          <w:p w14:paraId="5DCF12E9" w14:textId="3DF36795" w:rsidR="00423F57" w:rsidRPr="00E83BEF" w:rsidRDefault="00423F57" w:rsidP="00476D2B">
            <w:pPr>
              <w:pStyle w:val="Bodycopybold"/>
              <w:keepNext/>
              <w:rPr>
                <w:rFonts w:asciiTheme="minorHAnsi" w:hAnsiTheme="minorHAnsi" w:cstheme="minorHAnsi"/>
                <w:sz w:val="20"/>
                <w:szCs w:val="20"/>
              </w:rPr>
            </w:pPr>
            <w:r w:rsidRPr="00E83BEF">
              <w:rPr>
                <w:rStyle w:val="normaltextrun"/>
                <w:rFonts w:asciiTheme="minorHAnsi" w:hAnsiTheme="minorHAnsi" w:cstheme="minorHAnsi"/>
                <w:sz w:val="20"/>
                <w:szCs w:val="20"/>
              </w:rPr>
              <w:t>Shailendra Tangirala</w:t>
            </w:r>
            <w:r w:rsidRPr="00E83BEF">
              <w:rPr>
                <w:rStyle w:val="eop"/>
                <w:rFonts w:asciiTheme="minorHAnsi" w:hAnsiTheme="minorHAnsi" w:cstheme="minorHAnsi"/>
                <w:sz w:val="20"/>
                <w:szCs w:val="20"/>
              </w:rPr>
              <w:t> </w:t>
            </w:r>
          </w:p>
        </w:tc>
      </w:tr>
      <w:tr w:rsidR="008569E0" w:rsidRPr="00E83BEF" w14:paraId="56C977BF" w14:textId="77777777" w:rsidTr="46608E87">
        <w:trPr>
          <w:trHeight w:val="288"/>
        </w:trPr>
        <w:tc>
          <w:tcPr>
            <w:tcW w:w="3263" w:type="dxa"/>
            <w:vAlign w:val="center"/>
          </w:tcPr>
          <w:p w14:paraId="08A75A44" w14:textId="341AF096" w:rsidR="008569E0" w:rsidRPr="00E83BEF" w:rsidRDefault="008569E0" w:rsidP="00476D2B">
            <w:pPr>
              <w:pStyle w:val="Bodycopybold"/>
              <w:keepNext/>
              <w:rPr>
                <w:rFonts w:asciiTheme="minorHAnsi" w:hAnsiTheme="minorHAnsi" w:cstheme="minorHAnsi"/>
                <w:sz w:val="20"/>
                <w:szCs w:val="20"/>
              </w:rPr>
            </w:pPr>
            <w:r w:rsidRPr="00E83BEF" w:rsidDel="002C6A7A">
              <w:rPr>
                <w:rFonts w:asciiTheme="minorHAnsi" w:hAnsiTheme="minorHAnsi" w:cstheme="minorHAnsi"/>
                <w:sz w:val="20"/>
                <w:szCs w:val="20"/>
              </w:rPr>
              <w:t>Document Author(s)</w:t>
            </w:r>
          </w:p>
        </w:tc>
        <w:tc>
          <w:tcPr>
            <w:tcW w:w="6125" w:type="dxa"/>
            <w:vAlign w:val="center"/>
          </w:tcPr>
          <w:p w14:paraId="173E943C" w14:textId="0AA3E4FD" w:rsidR="008569E0" w:rsidRPr="00E83BEF" w:rsidRDefault="00AE024A" w:rsidP="46608E87">
            <w:pPr>
              <w:pStyle w:val="Bodycopybold"/>
              <w:keepNext/>
              <w:rPr>
                <w:rFonts w:asciiTheme="minorHAnsi" w:hAnsiTheme="minorHAnsi" w:cstheme="minorBidi"/>
                <w:sz w:val="20"/>
                <w:szCs w:val="20"/>
              </w:rPr>
            </w:pPr>
            <w:commentRangeStart w:id="0"/>
            <w:r w:rsidRPr="46608E87">
              <w:rPr>
                <w:rFonts w:asciiTheme="minorHAnsi" w:hAnsiTheme="minorHAnsi" w:cstheme="minorBidi"/>
                <w:sz w:val="20"/>
                <w:szCs w:val="20"/>
              </w:rPr>
              <w:t>Arvind Kumar,  Jayesh Prajapati</w:t>
            </w:r>
            <w:r w:rsidR="4E3C359E" w:rsidRPr="46608E87">
              <w:rPr>
                <w:rFonts w:asciiTheme="minorHAnsi" w:hAnsiTheme="minorHAnsi" w:cstheme="minorBidi"/>
                <w:sz w:val="20"/>
                <w:szCs w:val="20"/>
              </w:rPr>
              <w:t>,</w:t>
            </w:r>
            <w:commentRangeEnd w:id="0"/>
            <w:r w:rsidRPr="00E83BEF">
              <w:rPr>
                <w:rStyle w:val="CommentReference"/>
                <w:rFonts w:asciiTheme="minorHAnsi" w:hAnsiTheme="minorHAnsi" w:cstheme="minorBidi"/>
                <w:sz w:val="20"/>
                <w:szCs w:val="20"/>
              </w:rPr>
              <w:commentReference w:id="0"/>
            </w:r>
          </w:p>
        </w:tc>
      </w:tr>
      <w:tr w:rsidR="008569E0" w:rsidRPr="00E83BEF" w14:paraId="49438CA9" w14:textId="77777777" w:rsidTr="46608E87">
        <w:trPr>
          <w:trHeight w:val="288"/>
        </w:trPr>
        <w:tc>
          <w:tcPr>
            <w:tcW w:w="3263" w:type="dxa"/>
            <w:vAlign w:val="center"/>
          </w:tcPr>
          <w:p w14:paraId="0A03ABD6" w14:textId="3E905FA0" w:rsidR="008569E0" w:rsidRPr="00E83BEF" w:rsidRDefault="008569E0" w:rsidP="00294523">
            <w:pPr>
              <w:pStyle w:val="Bodycopybold"/>
              <w:rPr>
                <w:rFonts w:asciiTheme="minorHAnsi" w:hAnsiTheme="minorHAnsi" w:cstheme="minorHAnsi"/>
                <w:sz w:val="20"/>
                <w:szCs w:val="20"/>
              </w:rPr>
            </w:pPr>
            <w:r w:rsidRPr="00E83BEF" w:rsidDel="002C6A7A">
              <w:rPr>
                <w:rFonts w:asciiTheme="minorHAnsi" w:hAnsiTheme="minorHAnsi" w:cstheme="minorHAnsi"/>
                <w:sz w:val="20"/>
                <w:szCs w:val="20"/>
              </w:rPr>
              <w:t>Document Version</w:t>
            </w:r>
          </w:p>
        </w:tc>
        <w:tc>
          <w:tcPr>
            <w:tcW w:w="6125" w:type="dxa"/>
            <w:vAlign w:val="center"/>
          </w:tcPr>
          <w:p w14:paraId="49E3F53A" w14:textId="3D0B713D" w:rsidR="008569E0" w:rsidRPr="00E83BEF" w:rsidRDefault="6D4B8834" w:rsidP="56AC26E0">
            <w:pPr>
              <w:pStyle w:val="Bodycopybold"/>
            </w:pPr>
            <w:r w:rsidRPr="56AC26E0">
              <w:rPr>
                <w:rFonts w:asciiTheme="minorHAnsi" w:hAnsiTheme="minorHAnsi" w:cstheme="minorBidi"/>
                <w:sz w:val="20"/>
                <w:szCs w:val="20"/>
              </w:rPr>
              <w:t>V1.0</w:t>
            </w:r>
          </w:p>
        </w:tc>
      </w:tr>
    </w:tbl>
    <w:p w14:paraId="3F77FA06" w14:textId="77777777" w:rsidR="00DE6FB3" w:rsidRPr="00E83BEF" w:rsidRDefault="00DE6FB3" w:rsidP="00784C9B">
      <w:pPr>
        <w:pStyle w:val="DocumentInformation"/>
      </w:pPr>
      <w:r w:rsidRPr="00E83BEF">
        <w:t>Document Revision History</w:t>
      </w:r>
    </w:p>
    <w:tbl>
      <w:tblPr>
        <w:tblW w:w="9351" w:type="dxa"/>
        <w:tblBorders>
          <w:top w:val="single" w:sz="4" w:space="0" w:color="002776"/>
          <w:left w:val="single" w:sz="4" w:space="0" w:color="002776"/>
          <w:bottom w:val="single" w:sz="4" w:space="0" w:color="002776"/>
          <w:right w:val="single" w:sz="4" w:space="0" w:color="002776"/>
          <w:insideH w:val="single" w:sz="4" w:space="0" w:color="002776"/>
          <w:insideV w:val="single" w:sz="4" w:space="0" w:color="002776"/>
        </w:tblBorders>
        <w:tblLayout w:type="fixed"/>
        <w:tblLook w:val="0000" w:firstRow="0" w:lastRow="0" w:firstColumn="0" w:lastColumn="0" w:noHBand="0" w:noVBand="0"/>
      </w:tblPr>
      <w:tblGrid>
        <w:gridCol w:w="1100"/>
        <w:gridCol w:w="1325"/>
        <w:gridCol w:w="6926"/>
      </w:tblGrid>
      <w:tr w:rsidR="00DE6FB3" w:rsidRPr="00E83BEF" w14:paraId="5486D071" w14:textId="77777777" w:rsidTr="56AC26E0">
        <w:trPr>
          <w:trHeight w:val="56"/>
        </w:trPr>
        <w:tc>
          <w:tcPr>
            <w:tcW w:w="1100" w:type="dxa"/>
            <w:tcBorders>
              <w:top w:val="single" w:sz="4" w:space="0" w:color="FFFFFF" w:themeColor="background1"/>
            </w:tcBorders>
            <w:shd w:val="clear" w:color="auto" w:fill="2F5496" w:themeFill="accent5" w:themeFillShade="BF"/>
          </w:tcPr>
          <w:p w14:paraId="35BB49D2"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Version</w:t>
            </w:r>
          </w:p>
        </w:tc>
        <w:tc>
          <w:tcPr>
            <w:tcW w:w="1325" w:type="dxa"/>
            <w:tcBorders>
              <w:top w:val="single" w:sz="4" w:space="0" w:color="FFFFFF" w:themeColor="background1"/>
            </w:tcBorders>
            <w:shd w:val="clear" w:color="auto" w:fill="2F5496" w:themeFill="accent5" w:themeFillShade="BF"/>
          </w:tcPr>
          <w:p w14:paraId="6D0BDB79"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Date</w:t>
            </w:r>
          </w:p>
        </w:tc>
        <w:tc>
          <w:tcPr>
            <w:tcW w:w="6926" w:type="dxa"/>
            <w:tcBorders>
              <w:top w:val="single" w:sz="4" w:space="0" w:color="FFFFFF" w:themeColor="background1"/>
            </w:tcBorders>
            <w:shd w:val="clear" w:color="auto" w:fill="2F5496" w:themeFill="accent5" w:themeFillShade="BF"/>
          </w:tcPr>
          <w:p w14:paraId="7AEF9728"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Revision Notes</w:t>
            </w:r>
          </w:p>
        </w:tc>
      </w:tr>
      <w:tr w:rsidR="00DE6FB3" w:rsidRPr="00E83BEF" w14:paraId="66EAB3B4" w14:textId="77777777" w:rsidTr="56AC26E0">
        <w:trPr>
          <w:trHeight w:val="256"/>
        </w:trPr>
        <w:tc>
          <w:tcPr>
            <w:tcW w:w="1100" w:type="dxa"/>
            <w:tcBorders>
              <w:top w:val="single" w:sz="4" w:space="0" w:color="FFFFFF" w:themeColor="background1"/>
            </w:tcBorders>
            <w:vAlign w:val="center"/>
          </w:tcPr>
          <w:p w14:paraId="52F76314" w14:textId="7F4811B9" w:rsidR="00DE6FB3" w:rsidRPr="00E83BEF" w:rsidRDefault="005B6A5E" w:rsidP="008938A0">
            <w:pPr>
              <w:pStyle w:val="Bodycopybold"/>
              <w:jc w:val="both"/>
              <w:rPr>
                <w:rFonts w:asciiTheme="minorHAnsi" w:hAnsiTheme="minorHAnsi" w:cstheme="minorHAnsi"/>
                <w:sz w:val="20"/>
                <w:szCs w:val="20"/>
              </w:rPr>
            </w:pPr>
            <w:r w:rsidRPr="00E83BEF">
              <w:rPr>
                <w:rFonts w:asciiTheme="minorHAnsi" w:hAnsiTheme="minorHAnsi" w:cstheme="minorHAnsi"/>
                <w:sz w:val="20"/>
                <w:szCs w:val="20"/>
              </w:rPr>
              <w:t>1</w:t>
            </w:r>
            <w:r w:rsidR="001818E8" w:rsidRPr="00E83BEF">
              <w:rPr>
                <w:rFonts w:asciiTheme="minorHAnsi" w:hAnsiTheme="minorHAnsi" w:cstheme="minorHAnsi"/>
                <w:sz w:val="20"/>
                <w:szCs w:val="20"/>
              </w:rPr>
              <w:t>.0</w:t>
            </w:r>
          </w:p>
        </w:tc>
        <w:tc>
          <w:tcPr>
            <w:tcW w:w="1325" w:type="dxa"/>
            <w:tcBorders>
              <w:top w:val="single" w:sz="4" w:space="0" w:color="FFFFFF" w:themeColor="background1"/>
            </w:tcBorders>
            <w:vAlign w:val="center"/>
          </w:tcPr>
          <w:p w14:paraId="77A0E2E9" w14:textId="0C99AD40" w:rsidR="00DE6FB3" w:rsidRPr="00E83BEF" w:rsidRDefault="531B8D39" w:rsidP="56AC26E0">
            <w:pPr>
              <w:pStyle w:val="Bodycopybold"/>
              <w:jc w:val="both"/>
            </w:pPr>
            <w:commentRangeStart w:id="1"/>
            <w:r w:rsidRPr="56AC26E0">
              <w:rPr>
                <w:rFonts w:asciiTheme="minorHAnsi" w:hAnsiTheme="minorHAnsi" w:cstheme="minorBidi"/>
                <w:sz w:val="20"/>
                <w:szCs w:val="20"/>
              </w:rPr>
              <w:t>2026/09/14</w:t>
            </w:r>
            <w:commentRangeEnd w:id="1"/>
            <w:r w:rsidR="001844CC" w:rsidRPr="00E83BEF">
              <w:rPr>
                <w:rStyle w:val="CommentReference"/>
                <w:sz w:val="18"/>
                <w:szCs w:val="18"/>
              </w:rPr>
              <w:commentReference w:id="1"/>
            </w:r>
          </w:p>
        </w:tc>
        <w:tc>
          <w:tcPr>
            <w:tcW w:w="6926" w:type="dxa"/>
            <w:tcBorders>
              <w:top w:val="single" w:sz="4" w:space="0" w:color="FFFFFF" w:themeColor="background1"/>
            </w:tcBorders>
            <w:vAlign w:val="center"/>
          </w:tcPr>
          <w:p w14:paraId="722DED04" w14:textId="1FD0FFAE" w:rsidR="00DE6FB3" w:rsidRPr="00E83BEF" w:rsidRDefault="005B6A5E" w:rsidP="008938A0">
            <w:pPr>
              <w:pStyle w:val="Bodycopybold"/>
              <w:jc w:val="both"/>
              <w:rPr>
                <w:rFonts w:asciiTheme="minorHAnsi" w:hAnsiTheme="minorHAnsi" w:cstheme="minorHAnsi"/>
                <w:sz w:val="20"/>
                <w:szCs w:val="20"/>
              </w:rPr>
            </w:pPr>
            <w:r w:rsidRPr="00E83BEF">
              <w:rPr>
                <w:rFonts w:asciiTheme="minorHAnsi" w:hAnsiTheme="minorHAnsi" w:cstheme="minorHAnsi"/>
                <w:sz w:val="20"/>
                <w:szCs w:val="20"/>
              </w:rPr>
              <w:t>Initial version</w:t>
            </w:r>
          </w:p>
        </w:tc>
      </w:tr>
    </w:tbl>
    <w:p w14:paraId="5BE36CB4" w14:textId="0E748A68" w:rsidR="56AC26E0" w:rsidRDefault="56AC26E0"/>
    <w:p w14:paraId="748B38D5" w14:textId="67BA2EDB" w:rsidR="00DE6FB3" w:rsidRPr="00E83BEF" w:rsidRDefault="00DE6FB3" w:rsidP="00784C9B">
      <w:pPr>
        <w:pStyle w:val="DocumentInformation"/>
      </w:pPr>
      <w:r w:rsidRPr="00E83BEF">
        <w:t>Document Approvals</w:t>
      </w:r>
      <w:bookmarkStart w:id="2" w:name="_Toc415885907"/>
      <w:bookmarkStart w:id="3" w:name="_Toc445520353"/>
      <w:bookmarkStart w:id="4" w:name="_Toc523032770"/>
      <w:bookmarkStart w:id="5" w:name="_Toc226456967"/>
      <w:bookmarkStart w:id="6" w:name="_Ref226997660"/>
    </w:p>
    <w:tbl>
      <w:tblPr>
        <w:tblW w:w="9356" w:type="dxa"/>
        <w:tblInd w:w="-5" w:type="dxa"/>
        <w:tblBorders>
          <w:top w:val="single" w:sz="4" w:space="0" w:color="002776"/>
          <w:left w:val="single" w:sz="4" w:space="0" w:color="002776"/>
          <w:bottom w:val="single" w:sz="4" w:space="0" w:color="002776"/>
          <w:right w:val="single" w:sz="4" w:space="0" w:color="002776"/>
          <w:insideH w:val="single" w:sz="4" w:space="0" w:color="002776"/>
          <w:insideV w:val="single" w:sz="4" w:space="0" w:color="002776"/>
        </w:tblBorders>
        <w:tblLayout w:type="fixed"/>
        <w:tblLook w:val="0000" w:firstRow="0" w:lastRow="0" w:firstColumn="0" w:lastColumn="0" w:noHBand="0" w:noVBand="0"/>
      </w:tblPr>
      <w:tblGrid>
        <w:gridCol w:w="1810"/>
        <w:gridCol w:w="13"/>
        <w:gridCol w:w="2137"/>
        <w:gridCol w:w="23"/>
        <w:gridCol w:w="1957"/>
        <w:gridCol w:w="23"/>
        <w:gridCol w:w="1237"/>
        <w:gridCol w:w="23"/>
        <w:gridCol w:w="2133"/>
      </w:tblGrid>
      <w:tr w:rsidR="00AC34B4" w:rsidRPr="00E83BEF" w14:paraId="66864739" w14:textId="77777777" w:rsidTr="3F0C403B">
        <w:trPr>
          <w:trHeight w:val="562"/>
          <w:tblHeader/>
        </w:trPr>
        <w:tc>
          <w:tcPr>
            <w:tcW w:w="1823" w:type="dxa"/>
            <w:gridSpan w:val="2"/>
            <w:tcBorders>
              <w:top w:val="single" w:sz="4" w:space="0" w:color="auto"/>
              <w:left w:val="single" w:sz="4" w:space="0" w:color="auto"/>
              <w:bottom w:val="single" w:sz="4" w:space="0" w:color="auto"/>
              <w:right w:val="single" w:sz="4" w:space="0" w:color="FFFFFF" w:themeColor="background1"/>
            </w:tcBorders>
            <w:shd w:val="clear" w:color="auto" w:fill="2F5597"/>
            <w:vAlign w:val="center"/>
          </w:tcPr>
          <w:p w14:paraId="1C102F21"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Approver Role</w:t>
            </w:r>
          </w:p>
        </w:tc>
        <w:tc>
          <w:tcPr>
            <w:tcW w:w="2160" w:type="dxa"/>
            <w:gridSpan w:val="2"/>
            <w:tcBorders>
              <w:top w:val="single" w:sz="4" w:space="0" w:color="auto"/>
              <w:left w:val="single" w:sz="4" w:space="0" w:color="FFFFFF" w:themeColor="background1"/>
              <w:bottom w:val="single" w:sz="4" w:space="0" w:color="auto"/>
              <w:right w:val="single" w:sz="4" w:space="0" w:color="FFFFFF" w:themeColor="background1"/>
            </w:tcBorders>
            <w:shd w:val="clear" w:color="auto" w:fill="2F5597"/>
            <w:vAlign w:val="center"/>
          </w:tcPr>
          <w:p w14:paraId="33ECC042"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Approver Name</w:t>
            </w:r>
          </w:p>
        </w:tc>
        <w:tc>
          <w:tcPr>
            <w:tcW w:w="1980" w:type="dxa"/>
            <w:gridSpan w:val="2"/>
            <w:tcBorders>
              <w:top w:val="single" w:sz="4" w:space="0" w:color="auto"/>
              <w:left w:val="single" w:sz="4" w:space="0" w:color="FFFFFF" w:themeColor="background1"/>
              <w:bottom w:val="single" w:sz="4" w:space="0" w:color="auto"/>
              <w:right w:val="single" w:sz="4" w:space="0" w:color="FFFFFF" w:themeColor="background1"/>
            </w:tcBorders>
            <w:shd w:val="clear" w:color="auto" w:fill="2F5597"/>
            <w:vAlign w:val="center"/>
          </w:tcPr>
          <w:p w14:paraId="1C987174"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Approver Title</w:t>
            </w:r>
          </w:p>
        </w:tc>
        <w:tc>
          <w:tcPr>
            <w:tcW w:w="1260" w:type="dxa"/>
            <w:gridSpan w:val="2"/>
            <w:tcBorders>
              <w:top w:val="single" w:sz="4" w:space="0" w:color="auto"/>
              <w:left w:val="single" w:sz="4" w:space="0" w:color="FFFFFF" w:themeColor="background1"/>
              <w:bottom w:val="single" w:sz="4" w:space="0" w:color="auto"/>
              <w:right w:val="single" w:sz="4" w:space="0" w:color="auto"/>
            </w:tcBorders>
            <w:shd w:val="clear" w:color="auto" w:fill="2F5597"/>
            <w:vAlign w:val="center"/>
          </w:tcPr>
          <w:p w14:paraId="1F4541F0"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Date Approved</w:t>
            </w:r>
          </w:p>
        </w:tc>
        <w:tc>
          <w:tcPr>
            <w:tcW w:w="2133" w:type="dxa"/>
            <w:tcBorders>
              <w:top w:val="single" w:sz="4" w:space="0" w:color="auto"/>
              <w:left w:val="single" w:sz="4" w:space="0" w:color="FFFFFF" w:themeColor="background1"/>
              <w:bottom w:val="single" w:sz="4" w:space="0" w:color="auto"/>
              <w:right w:val="single" w:sz="4" w:space="0" w:color="auto"/>
            </w:tcBorders>
            <w:shd w:val="clear" w:color="auto" w:fill="2F5597"/>
          </w:tcPr>
          <w:p w14:paraId="3EFF6303"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Comments</w:t>
            </w:r>
          </w:p>
        </w:tc>
      </w:tr>
      <w:tr w:rsidR="00E16CF6" w:rsidRPr="00E83BEF" w14:paraId="605AF127" w14:textId="77777777" w:rsidTr="3F0C403B">
        <w:trPr>
          <w:trHeight w:val="319"/>
        </w:trPr>
        <w:tc>
          <w:tcPr>
            <w:tcW w:w="1810" w:type="dxa"/>
            <w:tcBorders>
              <w:top w:val="single" w:sz="4" w:space="0" w:color="FFFFFF" w:themeColor="background1"/>
            </w:tcBorders>
          </w:tcPr>
          <w:p w14:paraId="48674D71" w14:textId="443E1AFF" w:rsidR="00E16CF6" w:rsidRPr="00E83BEF" w:rsidRDefault="00146057" w:rsidP="00476D2B">
            <w:pPr>
              <w:pStyle w:val="Tabletext"/>
              <w:keepNext/>
              <w:rPr>
                <w:rFonts w:asciiTheme="minorHAnsi" w:hAnsiTheme="minorHAnsi" w:cstheme="minorHAnsi"/>
                <w:sz w:val="20"/>
                <w:lang w:val="en-IN"/>
              </w:rPr>
            </w:pPr>
            <w:r w:rsidRPr="00E83BEF">
              <w:rPr>
                <w:rFonts w:asciiTheme="minorHAnsi" w:hAnsiTheme="minorHAnsi" w:cstheme="minorHAnsi"/>
                <w:sz w:val="20"/>
                <w:lang w:val="en-IN"/>
              </w:rPr>
              <w:t>Business Owner</w:t>
            </w:r>
          </w:p>
        </w:tc>
        <w:tc>
          <w:tcPr>
            <w:tcW w:w="2150" w:type="dxa"/>
            <w:gridSpan w:val="2"/>
            <w:tcBorders>
              <w:top w:val="single" w:sz="4" w:space="0" w:color="FFFFFF" w:themeColor="background1"/>
            </w:tcBorders>
          </w:tcPr>
          <w:p w14:paraId="3E12CBEE" w14:textId="1BAC1678" w:rsidR="00E16CF6" w:rsidRPr="00E83BEF" w:rsidRDefault="342BEFAF" w:rsidP="3F0C403B">
            <w:pPr>
              <w:pStyle w:val="Tabletext"/>
              <w:keepNext/>
              <w:rPr>
                <w:rFonts w:asciiTheme="minorHAnsi" w:hAnsiTheme="minorHAnsi" w:cstheme="minorBidi"/>
                <w:sz w:val="20"/>
              </w:rPr>
            </w:pPr>
            <w:r w:rsidRPr="3F0C403B">
              <w:rPr>
                <w:rFonts w:asciiTheme="minorHAnsi" w:hAnsiTheme="minorHAnsi" w:cstheme="minorBidi"/>
                <w:sz w:val="20"/>
              </w:rPr>
              <w:t>Jig Patel</w:t>
            </w:r>
            <w:r w:rsidR="75B1EF47" w:rsidRPr="3F0C403B">
              <w:rPr>
                <w:rFonts w:asciiTheme="minorHAnsi" w:hAnsiTheme="minorHAnsi" w:cstheme="minorBidi"/>
                <w:sz w:val="20"/>
              </w:rPr>
              <w:t xml:space="preserve"> </w:t>
            </w:r>
          </w:p>
        </w:tc>
        <w:tc>
          <w:tcPr>
            <w:tcW w:w="1980" w:type="dxa"/>
            <w:gridSpan w:val="2"/>
            <w:tcBorders>
              <w:top w:val="single" w:sz="4" w:space="0" w:color="FFFFFF" w:themeColor="background1"/>
            </w:tcBorders>
          </w:tcPr>
          <w:p w14:paraId="7226482B" w14:textId="77777777" w:rsidR="00E16CF6" w:rsidRPr="00E83BEF" w:rsidRDefault="00E16CF6" w:rsidP="00476D2B">
            <w:pPr>
              <w:pStyle w:val="Tabletext"/>
              <w:keepNext/>
              <w:rPr>
                <w:rFonts w:asciiTheme="minorHAnsi" w:hAnsiTheme="minorHAnsi" w:cstheme="minorHAnsi"/>
                <w:sz w:val="20"/>
              </w:rPr>
            </w:pPr>
          </w:p>
        </w:tc>
        <w:tc>
          <w:tcPr>
            <w:tcW w:w="1260" w:type="dxa"/>
            <w:gridSpan w:val="2"/>
            <w:tcBorders>
              <w:top w:val="single" w:sz="4" w:space="0" w:color="FFFFFF" w:themeColor="background1"/>
            </w:tcBorders>
          </w:tcPr>
          <w:p w14:paraId="41AB8A3D" w14:textId="77777777" w:rsidR="00E16CF6" w:rsidRPr="00E83BEF" w:rsidRDefault="00E16CF6" w:rsidP="00476D2B">
            <w:pPr>
              <w:pStyle w:val="Tabletext"/>
              <w:keepNext/>
              <w:rPr>
                <w:rFonts w:asciiTheme="minorHAnsi" w:hAnsiTheme="minorHAnsi" w:cstheme="minorHAnsi"/>
                <w:sz w:val="20"/>
              </w:rPr>
            </w:pPr>
          </w:p>
        </w:tc>
        <w:tc>
          <w:tcPr>
            <w:tcW w:w="2156" w:type="dxa"/>
            <w:gridSpan w:val="2"/>
            <w:tcBorders>
              <w:top w:val="single" w:sz="4" w:space="0" w:color="FFFFFF" w:themeColor="background1"/>
            </w:tcBorders>
          </w:tcPr>
          <w:p w14:paraId="6CE3204C" w14:textId="77777777" w:rsidR="00E16CF6" w:rsidRPr="00E83BEF" w:rsidRDefault="00E16CF6" w:rsidP="00476D2B">
            <w:pPr>
              <w:pStyle w:val="Tabletext"/>
              <w:keepNext/>
              <w:rPr>
                <w:rFonts w:asciiTheme="minorHAnsi" w:hAnsiTheme="minorHAnsi" w:cstheme="minorHAnsi"/>
                <w:sz w:val="20"/>
              </w:rPr>
            </w:pPr>
          </w:p>
        </w:tc>
      </w:tr>
      <w:tr w:rsidR="00E16CF6" w:rsidRPr="00E83BEF" w14:paraId="1C7D06EA" w14:textId="77777777" w:rsidTr="3F0C403B">
        <w:trPr>
          <w:trHeight w:val="319"/>
        </w:trPr>
        <w:tc>
          <w:tcPr>
            <w:tcW w:w="1810" w:type="dxa"/>
            <w:tcBorders>
              <w:top w:val="single" w:sz="4" w:space="0" w:color="auto"/>
              <w:left w:val="single" w:sz="4" w:space="0" w:color="auto"/>
              <w:bottom w:val="single" w:sz="4" w:space="0" w:color="auto"/>
              <w:right w:val="single" w:sz="4" w:space="0" w:color="auto"/>
            </w:tcBorders>
          </w:tcPr>
          <w:p w14:paraId="1BE25497" w14:textId="5570FCE7" w:rsidR="00E16CF6" w:rsidRPr="00E83BEF" w:rsidRDefault="00146057" w:rsidP="00476D2B">
            <w:pPr>
              <w:pStyle w:val="Tabletext"/>
              <w:keepNext/>
              <w:rPr>
                <w:rFonts w:asciiTheme="minorHAnsi" w:hAnsiTheme="minorHAnsi" w:cstheme="minorHAnsi"/>
                <w:sz w:val="20"/>
                <w:lang w:val="en-IN"/>
              </w:rPr>
            </w:pPr>
            <w:r w:rsidRPr="00E83BEF">
              <w:rPr>
                <w:rFonts w:asciiTheme="minorHAnsi" w:hAnsiTheme="minorHAnsi" w:cstheme="minorHAnsi"/>
                <w:sz w:val="20"/>
                <w:lang w:val="en-IN"/>
              </w:rPr>
              <w:t>IT</w:t>
            </w:r>
            <w:r w:rsidR="00306455" w:rsidRPr="00E83BEF">
              <w:rPr>
                <w:rFonts w:asciiTheme="minorHAnsi" w:hAnsiTheme="minorHAnsi" w:cstheme="minorHAnsi"/>
                <w:sz w:val="20"/>
                <w:lang w:val="en-IN"/>
              </w:rPr>
              <w:t xml:space="preserve"> Owner</w:t>
            </w:r>
          </w:p>
        </w:tc>
        <w:tc>
          <w:tcPr>
            <w:tcW w:w="2150" w:type="dxa"/>
            <w:gridSpan w:val="2"/>
            <w:tcBorders>
              <w:top w:val="single" w:sz="4" w:space="0" w:color="auto"/>
              <w:left w:val="single" w:sz="4" w:space="0" w:color="auto"/>
              <w:bottom w:val="single" w:sz="4" w:space="0" w:color="auto"/>
              <w:right w:val="single" w:sz="4" w:space="0" w:color="auto"/>
            </w:tcBorders>
            <w:vAlign w:val="center"/>
          </w:tcPr>
          <w:p w14:paraId="54D3DC27" w14:textId="2F8AB7D5" w:rsidR="00E16CF6" w:rsidRPr="00E83BEF" w:rsidRDefault="00E16CF6" w:rsidP="00476D2B">
            <w:pPr>
              <w:pStyle w:val="Tabletext"/>
              <w:keepNext/>
              <w:rPr>
                <w:rFonts w:asciiTheme="minorHAnsi" w:hAnsiTheme="minorHAnsi" w:cstheme="minorHAnsi"/>
                <w:sz w:val="20"/>
              </w:rPr>
            </w:pPr>
            <w:r w:rsidRPr="00E83BEF">
              <w:rPr>
                <w:rFonts w:asciiTheme="minorHAnsi" w:hAnsiTheme="minorHAnsi" w:cstheme="minorHAnsi"/>
                <w:sz w:val="20"/>
              </w:rPr>
              <w:t>Shailendra Tangirala</w:t>
            </w:r>
          </w:p>
        </w:tc>
        <w:tc>
          <w:tcPr>
            <w:tcW w:w="1980" w:type="dxa"/>
            <w:gridSpan w:val="2"/>
            <w:tcBorders>
              <w:top w:val="single" w:sz="4" w:space="0" w:color="auto"/>
              <w:left w:val="single" w:sz="4" w:space="0" w:color="auto"/>
              <w:bottom w:val="single" w:sz="4" w:space="0" w:color="auto"/>
              <w:right w:val="single" w:sz="4" w:space="0" w:color="auto"/>
            </w:tcBorders>
          </w:tcPr>
          <w:p w14:paraId="5EB19FF4" w14:textId="77777777" w:rsidR="00E16CF6" w:rsidRPr="00E83BEF" w:rsidRDefault="00E16CF6" w:rsidP="00476D2B">
            <w:pPr>
              <w:pStyle w:val="Tabletext"/>
              <w:keepNext/>
              <w:rPr>
                <w:rFonts w:asciiTheme="minorHAnsi" w:hAnsiTheme="minorHAnsi" w:cstheme="minorHAnsi"/>
                <w:sz w:val="20"/>
              </w:rPr>
            </w:pPr>
          </w:p>
        </w:tc>
        <w:tc>
          <w:tcPr>
            <w:tcW w:w="1260" w:type="dxa"/>
            <w:gridSpan w:val="2"/>
            <w:tcBorders>
              <w:top w:val="single" w:sz="4" w:space="0" w:color="auto"/>
              <w:left w:val="single" w:sz="4" w:space="0" w:color="auto"/>
              <w:bottom w:val="single" w:sz="4" w:space="0" w:color="auto"/>
              <w:right w:val="single" w:sz="4" w:space="0" w:color="auto"/>
            </w:tcBorders>
          </w:tcPr>
          <w:p w14:paraId="5F524109" w14:textId="77777777" w:rsidR="00E16CF6" w:rsidRPr="00E83BEF" w:rsidRDefault="00E16CF6" w:rsidP="00476D2B">
            <w:pPr>
              <w:pStyle w:val="Tabletext"/>
              <w:keepNext/>
              <w:rPr>
                <w:rFonts w:asciiTheme="minorHAnsi" w:hAnsiTheme="minorHAnsi" w:cstheme="minorHAnsi"/>
                <w:sz w:val="20"/>
              </w:rPr>
            </w:pPr>
          </w:p>
        </w:tc>
        <w:tc>
          <w:tcPr>
            <w:tcW w:w="2156" w:type="dxa"/>
            <w:gridSpan w:val="2"/>
            <w:tcBorders>
              <w:top w:val="single" w:sz="4" w:space="0" w:color="auto"/>
              <w:left w:val="single" w:sz="4" w:space="0" w:color="auto"/>
              <w:bottom w:val="single" w:sz="4" w:space="0" w:color="auto"/>
              <w:right w:val="single" w:sz="4" w:space="0" w:color="auto"/>
            </w:tcBorders>
          </w:tcPr>
          <w:p w14:paraId="7195D799" w14:textId="77777777" w:rsidR="00E16CF6" w:rsidRPr="00E83BEF" w:rsidRDefault="00E16CF6" w:rsidP="00476D2B">
            <w:pPr>
              <w:pStyle w:val="Tabletext"/>
              <w:keepNext/>
              <w:rPr>
                <w:rFonts w:asciiTheme="minorHAnsi" w:hAnsiTheme="minorHAnsi" w:cstheme="minorHAnsi"/>
                <w:sz w:val="20"/>
              </w:rPr>
            </w:pPr>
          </w:p>
        </w:tc>
      </w:tr>
      <w:tr w:rsidR="00E16CF6" w:rsidRPr="00E83BEF" w14:paraId="535EF5D3" w14:textId="77777777" w:rsidTr="3F0C403B">
        <w:trPr>
          <w:trHeight w:val="319"/>
        </w:trPr>
        <w:tc>
          <w:tcPr>
            <w:tcW w:w="1810" w:type="dxa"/>
            <w:tcBorders>
              <w:top w:val="single" w:sz="4" w:space="0" w:color="auto"/>
              <w:left w:val="single" w:sz="4" w:space="0" w:color="auto"/>
              <w:bottom w:val="single" w:sz="4" w:space="0" w:color="auto"/>
              <w:right w:val="single" w:sz="4" w:space="0" w:color="auto"/>
            </w:tcBorders>
          </w:tcPr>
          <w:p w14:paraId="037EFC14" w14:textId="56F009DA" w:rsidR="00E16CF6" w:rsidRPr="00E83BEF" w:rsidRDefault="00331194" w:rsidP="00E16CF6">
            <w:pPr>
              <w:pStyle w:val="Tabletext"/>
              <w:rPr>
                <w:rFonts w:asciiTheme="minorHAnsi" w:hAnsiTheme="minorHAnsi" w:cstheme="minorHAnsi"/>
                <w:sz w:val="20"/>
                <w:lang w:val="en-IN"/>
              </w:rPr>
            </w:pPr>
            <w:r>
              <w:rPr>
                <w:rFonts w:asciiTheme="minorHAnsi" w:hAnsiTheme="minorHAnsi" w:cstheme="minorHAnsi"/>
                <w:sz w:val="20"/>
                <w:lang w:val="en-IN"/>
              </w:rPr>
              <w:t>Product Owner</w:t>
            </w:r>
          </w:p>
        </w:tc>
        <w:tc>
          <w:tcPr>
            <w:tcW w:w="2150" w:type="dxa"/>
            <w:gridSpan w:val="2"/>
            <w:tcBorders>
              <w:top w:val="single" w:sz="4" w:space="0" w:color="auto"/>
              <w:left w:val="single" w:sz="4" w:space="0" w:color="auto"/>
              <w:bottom w:val="single" w:sz="4" w:space="0" w:color="auto"/>
              <w:right w:val="single" w:sz="4" w:space="0" w:color="auto"/>
            </w:tcBorders>
          </w:tcPr>
          <w:p w14:paraId="3999402A" w14:textId="758D8EC5" w:rsidR="00E16CF6" w:rsidRPr="00E83BEF" w:rsidRDefault="00E16CF6" w:rsidP="00E16CF6">
            <w:pPr>
              <w:pStyle w:val="Tabletext"/>
              <w:rPr>
                <w:rFonts w:asciiTheme="minorHAnsi" w:hAnsiTheme="minorHAnsi" w:cstheme="minorHAnsi"/>
                <w:sz w:val="20"/>
              </w:rPr>
            </w:pPr>
            <w:r w:rsidRPr="00E83BEF">
              <w:rPr>
                <w:rFonts w:asciiTheme="minorHAnsi" w:hAnsiTheme="minorHAnsi" w:cstheme="minorHAnsi"/>
                <w:sz w:val="20"/>
              </w:rPr>
              <w:t>Kinjlak Kalia</w:t>
            </w:r>
          </w:p>
        </w:tc>
        <w:tc>
          <w:tcPr>
            <w:tcW w:w="1980" w:type="dxa"/>
            <w:gridSpan w:val="2"/>
            <w:tcBorders>
              <w:top w:val="single" w:sz="4" w:space="0" w:color="auto"/>
              <w:left w:val="single" w:sz="4" w:space="0" w:color="auto"/>
              <w:bottom w:val="single" w:sz="4" w:space="0" w:color="auto"/>
              <w:right w:val="single" w:sz="4" w:space="0" w:color="auto"/>
            </w:tcBorders>
          </w:tcPr>
          <w:p w14:paraId="473F6E3D" w14:textId="77777777" w:rsidR="00E16CF6" w:rsidRPr="00E83BEF" w:rsidRDefault="00E16CF6" w:rsidP="00E16CF6">
            <w:pPr>
              <w:pStyle w:val="Tabletext"/>
              <w:rPr>
                <w:rFonts w:asciiTheme="minorHAnsi" w:hAnsiTheme="minorHAnsi" w:cstheme="minorHAnsi"/>
                <w:sz w:val="20"/>
              </w:rPr>
            </w:pPr>
          </w:p>
        </w:tc>
        <w:tc>
          <w:tcPr>
            <w:tcW w:w="1260" w:type="dxa"/>
            <w:gridSpan w:val="2"/>
            <w:tcBorders>
              <w:top w:val="single" w:sz="4" w:space="0" w:color="auto"/>
              <w:left w:val="single" w:sz="4" w:space="0" w:color="auto"/>
              <w:bottom w:val="single" w:sz="4" w:space="0" w:color="auto"/>
              <w:right w:val="single" w:sz="4" w:space="0" w:color="auto"/>
            </w:tcBorders>
          </w:tcPr>
          <w:p w14:paraId="6774F1F9" w14:textId="77777777" w:rsidR="00E16CF6" w:rsidRPr="00E83BEF" w:rsidRDefault="00E16CF6" w:rsidP="00E16CF6">
            <w:pPr>
              <w:pStyle w:val="Tabletext"/>
              <w:rPr>
                <w:rFonts w:asciiTheme="minorHAnsi" w:hAnsiTheme="minorHAnsi" w:cstheme="minorHAnsi"/>
                <w:sz w:val="20"/>
              </w:rPr>
            </w:pPr>
          </w:p>
        </w:tc>
        <w:tc>
          <w:tcPr>
            <w:tcW w:w="2156" w:type="dxa"/>
            <w:gridSpan w:val="2"/>
            <w:tcBorders>
              <w:top w:val="single" w:sz="4" w:space="0" w:color="auto"/>
              <w:left w:val="single" w:sz="4" w:space="0" w:color="auto"/>
              <w:bottom w:val="single" w:sz="4" w:space="0" w:color="auto"/>
              <w:right w:val="single" w:sz="4" w:space="0" w:color="auto"/>
            </w:tcBorders>
          </w:tcPr>
          <w:p w14:paraId="0C73D92B" w14:textId="77777777" w:rsidR="00E16CF6" w:rsidRPr="00E83BEF" w:rsidRDefault="00E16CF6" w:rsidP="00E16CF6">
            <w:pPr>
              <w:pStyle w:val="Tabletext"/>
              <w:rPr>
                <w:rFonts w:asciiTheme="minorHAnsi" w:hAnsiTheme="minorHAnsi" w:cstheme="minorHAnsi"/>
                <w:sz w:val="20"/>
              </w:rPr>
            </w:pPr>
          </w:p>
        </w:tc>
      </w:tr>
    </w:tbl>
    <w:p w14:paraId="4CD8D459" w14:textId="77777777" w:rsidR="00A35AA7" w:rsidRDefault="00A35AA7">
      <w:pPr>
        <w:rPr>
          <w:rFonts w:eastAsia="Times New Roman" w:cstheme="minorHAnsi"/>
          <w:b/>
          <w:color w:val="002060"/>
          <w:sz w:val="20"/>
          <w:szCs w:val="20"/>
        </w:rPr>
      </w:pPr>
      <w:r>
        <w:rPr>
          <w:sz w:val="20"/>
          <w:szCs w:val="20"/>
        </w:rPr>
        <w:br w:type="page"/>
      </w:r>
    </w:p>
    <w:p w14:paraId="3771F982" w14:textId="57E691E5" w:rsidR="006E45E7" w:rsidRDefault="00415D54" w:rsidP="00784C9B">
      <w:pPr>
        <w:pStyle w:val="DocumentInformation"/>
      </w:pPr>
      <w:r w:rsidRPr="00DC5DDC">
        <w:t>Table of C</w:t>
      </w:r>
      <w:r w:rsidR="00DC5DDC" w:rsidRPr="00DC5DDC">
        <w:t>o</w:t>
      </w:r>
      <w:r w:rsidRPr="00DC5DDC">
        <w:t>ntents</w:t>
      </w:r>
    </w:p>
    <w:p w14:paraId="1AB122AC" w14:textId="7867E88F" w:rsidR="00FC42E7" w:rsidRDefault="00AA30D8">
      <w:pPr>
        <w:pStyle w:val="TOC1"/>
        <w:rPr>
          <w:rFonts w:eastAsiaTheme="minorEastAsia" w:cstheme="minorBidi"/>
          <w:b w:val="0"/>
          <w:bCs w:val="0"/>
          <w:kern w:val="2"/>
          <w:sz w:val="24"/>
          <w:szCs w:val="24"/>
          <w:lang w:val="en-IN" w:eastAsia="en-IN"/>
          <w14:ligatures w14:val="standardContextual"/>
        </w:rPr>
      </w:pPr>
      <w:r>
        <w:fldChar w:fldCharType="begin"/>
      </w:r>
      <w:r>
        <w:instrText xml:space="preserve"> TOC \o "1-3" \h \z \u </w:instrText>
      </w:r>
      <w:r>
        <w:fldChar w:fldCharType="separate"/>
      </w:r>
      <w:hyperlink w:anchor="_Toc242553909" w:history="1">
        <w:r w:rsidR="00FC42E7" w:rsidRPr="000C6FC3">
          <w:rPr>
            <w:rStyle w:val="Hyperlink"/>
          </w:rPr>
          <w:t>1</w:t>
        </w:r>
        <w:r w:rsidR="00FC42E7">
          <w:rPr>
            <w:rFonts w:eastAsiaTheme="minorEastAsia" w:cstheme="minorBidi"/>
            <w:b w:val="0"/>
            <w:bCs w:val="0"/>
            <w:kern w:val="2"/>
            <w:sz w:val="24"/>
            <w:szCs w:val="24"/>
            <w:lang w:val="en-IN" w:eastAsia="en-IN"/>
            <w14:ligatures w14:val="standardContextual"/>
          </w:rPr>
          <w:tab/>
        </w:r>
        <w:r w:rsidR="00FC42E7" w:rsidRPr="000C6FC3">
          <w:rPr>
            <w:rStyle w:val="Hyperlink"/>
          </w:rPr>
          <w:t>Technical Overview</w:t>
        </w:r>
        <w:r w:rsidR="00FC42E7">
          <w:rPr>
            <w:webHidden/>
          </w:rPr>
          <w:tab/>
        </w:r>
        <w:r w:rsidR="00FC42E7">
          <w:rPr>
            <w:webHidden/>
          </w:rPr>
          <w:fldChar w:fldCharType="begin"/>
        </w:r>
        <w:r w:rsidR="00FC42E7">
          <w:rPr>
            <w:webHidden/>
          </w:rPr>
          <w:instrText xml:space="preserve"> PAGEREF _Toc242553909 \h </w:instrText>
        </w:r>
        <w:r w:rsidR="00FC42E7">
          <w:rPr>
            <w:webHidden/>
          </w:rPr>
        </w:r>
        <w:r w:rsidR="00FC42E7">
          <w:rPr>
            <w:webHidden/>
          </w:rPr>
          <w:fldChar w:fldCharType="separate"/>
        </w:r>
        <w:r w:rsidR="00313050">
          <w:rPr>
            <w:webHidden/>
          </w:rPr>
          <w:t>11</w:t>
        </w:r>
        <w:r w:rsidR="00FC42E7">
          <w:rPr>
            <w:webHidden/>
          </w:rPr>
          <w:fldChar w:fldCharType="end"/>
        </w:r>
      </w:hyperlink>
    </w:p>
    <w:p w14:paraId="188BDD54" w14:textId="57E103B3"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10" w:history="1">
        <w:r w:rsidRPr="000C6FC3">
          <w:rPr>
            <w:rStyle w:val="Hyperlink"/>
          </w:rPr>
          <w:t>1.1</w:t>
        </w:r>
        <w:r>
          <w:rPr>
            <w:rFonts w:eastAsiaTheme="minorEastAsia" w:cstheme="minorBidi"/>
            <w:bCs w:val="0"/>
            <w:color w:val="auto"/>
            <w:kern w:val="2"/>
            <w:sz w:val="24"/>
            <w:szCs w:val="24"/>
            <w:lang w:val="en-IN" w:eastAsia="en-IN"/>
            <w14:ligatures w14:val="standardContextual"/>
          </w:rPr>
          <w:tab/>
        </w:r>
        <w:r w:rsidRPr="000C6FC3">
          <w:rPr>
            <w:rStyle w:val="Hyperlink"/>
          </w:rPr>
          <w:t>Introduction</w:t>
        </w:r>
        <w:r>
          <w:rPr>
            <w:webHidden/>
          </w:rPr>
          <w:tab/>
        </w:r>
        <w:r>
          <w:rPr>
            <w:webHidden/>
          </w:rPr>
          <w:fldChar w:fldCharType="begin"/>
        </w:r>
        <w:r>
          <w:rPr>
            <w:webHidden/>
          </w:rPr>
          <w:instrText xml:space="preserve"> PAGEREF _Toc242553910 \h </w:instrText>
        </w:r>
        <w:r>
          <w:rPr>
            <w:webHidden/>
          </w:rPr>
        </w:r>
        <w:r>
          <w:rPr>
            <w:webHidden/>
          </w:rPr>
          <w:fldChar w:fldCharType="separate"/>
        </w:r>
        <w:r w:rsidR="00313050">
          <w:rPr>
            <w:webHidden/>
          </w:rPr>
          <w:t>11</w:t>
        </w:r>
        <w:r>
          <w:rPr>
            <w:webHidden/>
          </w:rPr>
          <w:fldChar w:fldCharType="end"/>
        </w:r>
      </w:hyperlink>
    </w:p>
    <w:p w14:paraId="48B6A5E0" w14:textId="6A32AF02"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11" w:history="1">
        <w:r w:rsidRPr="000C6FC3">
          <w:rPr>
            <w:rStyle w:val="Hyperlink"/>
          </w:rPr>
          <w:t>1.2</w:t>
        </w:r>
        <w:r>
          <w:rPr>
            <w:rFonts w:eastAsiaTheme="minorEastAsia" w:cstheme="minorBidi"/>
            <w:bCs w:val="0"/>
            <w:color w:val="auto"/>
            <w:kern w:val="2"/>
            <w:sz w:val="24"/>
            <w:szCs w:val="24"/>
            <w:lang w:val="en-IN" w:eastAsia="en-IN"/>
            <w14:ligatures w14:val="standardContextual"/>
          </w:rPr>
          <w:tab/>
        </w:r>
        <w:r w:rsidRPr="000C6FC3">
          <w:rPr>
            <w:rStyle w:val="Hyperlink"/>
          </w:rPr>
          <w:t>Objectives</w:t>
        </w:r>
        <w:r>
          <w:rPr>
            <w:webHidden/>
          </w:rPr>
          <w:tab/>
        </w:r>
        <w:r>
          <w:rPr>
            <w:webHidden/>
          </w:rPr>
          <w:fldChar w:fldCharType="begin"/>
        </w:r>
        <w:r>
          <w:rPr>
            <w:webHidden/>
          </w:rPr>
          <w:instrText xml:space="preserve"> PAGEREF _Toc242553911 \h </w:instrText>
        </w:r>
        <w:r>
          <w:rPr>
            <w:webHidden/>
          </w:rPr>
        </w:r>
        <w:r>
          <w:rPr>
            <w:webHidden/>
          </w:rPr>
          <w:fldChar w:fldCharType="separate"/>
        </w:r>
        <w:r w:rsidR="00313050">
          <w:rPr>
            <w:webHidden/>
          </w:rPr>
          <w:t>11</w:t>
        </w:r>
        <w:r>
          <w:rPr>
            <w:webHidden/>
          </w:rPr>
          <w:fldChar w:fldCharType="end"/>
        </w:r>
      </w:hyperlink>
    </w:p>
    <w:p w14:paraId="22064B5B" w14:textId="0D0AB073"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12" w:history="1">
        <w:r w:rsidRPr="000C6FC3">
          <w:rPr>
            <w:rStyle w:val="Hyperlink"/>
          </w:rPr>
          <w:t>1.3</w:t>
        </w:r>
        <w:r>
          <w:rPr>
            <w:rFonts w:eastAsiaTheme="minorEastAsia" w:cstheme="minorBidi"/>
            <w:bCs w:val="0"/>
            <w:color w:val="auto"/>
            <w:kern w:val="2"/>
            <w:sz w:val="24"/>
            <w:szCs w:val="24"/>
            <w:lang w:val="en-IN" w:eastAsia="en-IN"/>
            <w14:ligatures w14:val="standardContextual"/>
          </w:rPr>
          <w:tab/>
        </w:r>
        <w:r w:rsidRPr="000C6FC3">
          <w:rPr>
            <w:rStyle w:val="Hyperlink"/>
          </w:rPr>
          <w:t>Business Context</w:t>
        </w:r>
        <w:r>
          <w:rPr>
            <w:webHidden/>
          </w:rPr>
          <w:tab/>
        </w:r>
        <w:r>
          <w:rPr>
            <w:webHidden/>
          </w:rPr>
          <w:fldChar w:fldCharType="begin"/>
        </w:r>
        <w:r>
          <w:rPr>
            <w:webHidden/>
          </w:rPr>
          <w:instrText xml:space="preserve"> PAGEREF _Toc242553912 \h </w:instrText>
        </w:r>
        <w:r>
          <w:rPr>
            <w:webHidden/>
          </w:rPr>
        </w:r>
        <w:r>
          <w:rPr>
            <w:webHidden/>
          </w:rPr>
          <w:fldChar w:fldCharType="separate"/>
        </w:r>
        <w:r w:rsidR="00313050">
          <w:rPr>
            <w:webHidden/>
          </w:rPr>
          <w:t>12</w:t>
        </w:r>
        <w:r>
          <w:rPr>
            <w:webHidden/>
          </w:rPr>
          <w:fldChar w:fldCharType="end"/>
        </w:r>
      </w:hyperlink>
    </w:p>
    <w:p w14:paraId="6685B8C0" w14:textId="25297A61"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13" w:history="1">
        <w:r w:rsidRPr="000C6FC3">
          <w:rPr>
            <w:rStyle w:val="Hyperlink"/>
          </w:rPr>
          <w:t>1.4</w:t>
        </w:r>
        <w:r>
          <w:rPr>
            <w:rFonts w:eastAsiaTheme="minorEastAsia" w:cstheme="minorBidi"/>
            <w:bCs w:val="0"/>
            <w:color w:val="auto"/>
            <w:kern w:val="2"/>
            <w:sz w:val="24"/>
            <w:szCs w:val="24"/>
            <w:lang w:val="en-IN" w:eastAsia="en-IN"/>
            <w14:ligatures w14:val="standardContextual"/>
          </w:rPr>
          <w:tab/>
        </w:r>
        <w:r w:rsidRPr="000C6FC3">
          <w:rPr>
            <w:rStyle w:val="Hyperlink"/>
          </w:rPr>
          <w:t>Reference Documents</w:t>
        </w:r>
        <w:r>
          <w:rPr>
            <w:webHidden/>
          </w:rPr>
          <w:tab/>
        </w:r>
        <w:r>
          <w:rPr>
            <w:webHidden/>
          </w:rPr>
          <w:fldChar w:fldCharType="begin"/>
        </w:r>
        <w:r>
          <w:rPr>
            <w:webHidden/>
          </w:rPr>
          <w:instrText xml:space="preserve"> PAGEREF _Toc242553913 \h </w:instrText>
        </w:r>
        <w:r>
          <w:rPr>
            <w:webHidden/>
          </w:rPr>
        </w:r>
        <w:r>
          <w:rPr>
            <w:webHidden/>
          </w:rPr>
          <w:fldChar w:fldCharType="separate"/>
        </w:r>
        <w:r w:rsidR="00313050">
          <w:rPr>
            <w:webHidden/>
          </w:rPr>
          <w:t>12</w:t>
        </w:r>
        <w:r>
          <w:rPr>
            <w:webHidden/>
          </w:rPr>
          <w:fldChar w:fldCharType="end"/>
        </w:r>
      </w:hyperlink>
    </w:p>
    <w:p w14:paraId="330D7DA9" w14:textId="06D43C67" w:rsidR="00FC42E7" w:rsidRDefault="00FC42E7">
      <w:pPr>
        <w:pStyle w:val="TOC1"/>
        <w:rPr>
          <w:rFonts w:eastAsiaTheme="minorEastAsia" w:cstheme="minorBidi"/>
          <w:b w:val="0"/>
          <w:bCs w:val="0"/>
          <w:kern w:val="2"/>
          <w:sz w:val="24"/>
          <w:szCs w:val="24"/>
          <w:lang w:val="en-IN" w:eastAsia="en-IN"/>
          <w14:ligatures w14:val="standardContextual"/>
        </w:rPr>
      </w:pPr>
      <w:hyperlink w:anchor="_Toc242553914" w:history="1">
        <w:r w:rsidRPr="000C6FC3">
          <w:rPr>
            <w:rStyle w:val="Hyperlink"/>
          </w:rPr>
          <w:t>2</w:t>
        </w:r>
        <w:r>
          <w:rPr>
            <w:rFonts w:eastAsiaTheme="minorEastAsia" w:cstheme="minorBidi"/>
            <w:b w:val="0"/>
            <w:bCs w:val="0"/>
            <w:kern w:val="2"/>
            <w:sz w:val="24"/>
            <w:szCs w:val="24"/>
            <w:lang w:val="en-IN" w:eastAsia="en-IN"/>
            <w14:ligatures w14:val="standardContextual"/>
          </w:rPr>
          <w:tab/>
        </w:r>
        <w:r w:rsidRPr="000C6FC3">
          <w:rPr>
            <w:rStyle w:val="Hyperlink"/>
          </w:rPr>
          <w:t>Process Integration</w:t>
        </w:r>
        <w:r>
          <w:rPr>
            <w:webHidden/>
          </w:rPr>
          <w:tab/>
        </w:r>
        <w:r>
          <w:rPr>
            <w:webHidden/>
          </w:rPr>
          <w:fldChar w:fldCharType="begin"/>
        </w:r>
        <w:r>
          <w:rPr>
            <w:webHidden/>
          </w:rPr>
          <w:instrText xml:space="preserve"> PAGEREF _Toc242553914 \h </w:instrText>
        </w:r>
        <w:r>
          <w:rPr>
            <w:webHidden/>
          </w:rPr>
        </w:r>
        <w:r>
          <w:rPr>
            <w:webHidden/>
          </w:rPr>
          <w:fldChar w:fldCharType="separate"/>
        </w:r>
        <w:r w:rsidR="00313050">
          <w:rPr>
            <w:webHidden/>
          </w:rPr>
          <w:t>13</w:t>
        </w:r>
        <w:r>
          <w:rPr>
            <w:webHidden/>
          </w:rPr>
          <w:fldChar w:fldCharType="end"/>
        </w:r>
      </w:hyperlink>
    </w:p>
    <w:p w14:paraId="279A830E" w14:textId="14DC61A7" w:rsidR="00FC42E7" w:rsidRPr="00313050" w:rsidRDefault="00FC42E7">
      <w:pPr>
        <w:pStyle w:val="TOC2"/>
        <w:rPr>
          <w:lang w:val="en-IN" w:eastAsia="en-IN"/>
        </w:rPr>
      </w:pPr>
      <w:hyperlink w:anchor="_Toc242553915" w:history="1">
        <w:r w:rsidRPr="00313050">
          <w:rPr>
            <w:rStyle w:val="Hyperlink"/>
          </w:rPr>
          <w:t>2.1</w:t>
        </w:r>
        <w:r w:rsidRPr="00313050">
          <w:rPr>
            <w:rStyle w:val="Hyperlink"/>
            <w:lang w:val="en-IN" w:eastAsia="en-IN"/>
          </w:rPr>
          <w:tab/>
        </w:r>
        <w:r w:rsidRPr="00313050">
          <w:rPr>
            <w:rStyle w:val="Hyperlink"/>
          </w:rPr>
          <w:t>Scope</w:t>
        </w:r>
        <w:r w:rsidRPr="00313050">
          <w:rPr>
            <w:webHidden/>
          </w:rPr>
          <w:tab/>
        </w:r>
        <w:r w:rsidRPr="00313050">
          <w:rPr>
            <w:webHidden/>
          </w:rPr>
          <w:fldChar w:fldCharType="begin"/>
        </w:r>
        <w:r w:rsidRPr="00313050">
          <w:rPr>
            <w:webHidden/>
          </w:rPr>
          <w:instrText xml:space="preserve"> PAGEREF _Toc242553915 \h </w:instrText>
        </w:r>
        <w:r w:rsidRPr="00313050">
          <w:rPr>
            <w:webHidden/>
          </w:rPr>
        </w:r>
        <w:r w:rsidRPr="00313050">
          <w:rPr>
            <w:webHidden/>
          </w:rPr>
          <w:fldChar w:fldCharType="separate"/>
        </w:r>
        <w:r w:rsidR="00313050" w:rsidRPr="00313050">
          <w:rPr>
            <w:webHidden/>
          </w:rPr>
          <w:t>13</w:t>
        </w:r>
        <w:r w:rsidRPr="00313050">
          <w:rPr>
            <w:webHidden/>
          </w:rPr>
          <w:fldChar w:fldCharType="end"/>
        </w:r>
      </w:hyperlink>
    </w:p>
    <w:p w14:paraId="6DA26E93" w14:textId="1BCBDB08" w:rsidR="00FC42E7" w:rsidRPr="00313050" w:rsidRDefault="00FC42E7">
      <w:pPr>
        <w:pStyle w:val="TOC3"/>
        <w:rPr>
          <w:lang w:val="en-IN" w:eastAsia="en-IN"/>
        </w:rPr>
      </w:pPr>
      <w:hyperlink w:anchor="_Toc242553916" w:history="1">
        <w:r w:rsidRPr="00313050">
          <w:rPr>
            <w:rStyle w:val="Hyperlink"/>
          </w:rPr>
          <w:t>2.1.1</w:t>
        </w:r>
        <w:r w:rsidRPr="00313050">
          <w:rPr>
            <w:rStyle w:val="Hyperlink"/>
            <w:lang w:val="en-IN" w:eastAsia="en-IN"/>
          </w:rPr>
          <w:tab/>
        </w:r>
        <w:r w:rsidRPr="00313050">
          <w:rPr>
            <w:rStyle w:val="Hyperlink"/>
          </w:rPr>
          <w:t>IQDM Scope</w:t>
        </w:r>
        <w:r w:rsidRPr="00313050">
          <w:rPr>
            <w:webHidden/>
          </w:rPr>
          <w:tab/>
        </w:r>
        <w:r w:rsidRPr="00313050">
          <w:rPr>
            <w:webHidden/>
          </w:rPr>
          <w:fldChar w:fldCharType="begin"/>
        </w:r>
        <w:r w:rsidRPr="00313050">
          <w:rPr>
            <w:webHidden/>
          </w:rPr>
          <w:instrText xml:space="preserve"> PAGEREF _Toc242553916 \h </w:instrText>
        </w:r>
        <w:r w:rsidRPr="00313050">
          <w:rPr>
            <w:webHidden/>
          </w:rPr>
        </w:r>
        <w:r w:rsidRPr="00313050">
          <w:rPr>
            <w:webHidden/>
          </w:rPr>
          <w:fldChar w:fldCharType="separate"/>
        </w:r>
        <w:r w:rsidR="00313050" w:rsidRPr="00313050">
          <w:rPr>
            <w:webHidden/>
          </w:rPr>
          <w:t>13</w:t>
        </w:r>
        <w:r w:rsidRPr="00313050">
          <w:rPr>
            <w:webHidden/>
          </w:rPr>
          <w:fldChar w:fldCharType="end"/>
        </w:r>
      </w:hyperlink>
    </w:p>
    <w:p w14:paraId="0B78E9FA" w14:textId="495A2DC7" w:rsidR="00FC42E7" w:rsidRPr="00313050" w:rsidRDefault="00FC42E7">
      <w:pPr>
        <w:pStyle w:val="TOC3"/>
        <w:rPr>
          <w:lang w:val="en-IN" w:eastAsia="en-IN"/>
        </w:rPr>
      </w:pPr>
      <w:hyperlink w:anchor="_Toc242553917" w:history="1">
        <w:r w:rsidRPr="00313050">
          <w:rPr>
            <w:rStyle w:val="Hyperlink"/>
          </w:rPr>
          <w:t>2.1.2</w:t>
        </w:r>
        <w:r w:rsidRPr="00313050">
          <w:rPr>
            <w:rStyle w:val="Hyperlink"/>
            <w:lang w:val="en-IN" w:eastAsia="en-IN"/>
          </w:rPr>
          <w:tab/>
        </w:r>
        <w:r w:rsidRPr="00313050">
          <w:rPr>
            <w:rStyle w:val="Hyperlink"/>
          </w:rPr>
          <w:t>VCB Scope</w:t>
        </w:r>
        <w:r w:rsidRPr="00313050">
          <w:rPr>
            <w:webHidden/>
          </w:rPr>
          <w:tab/>
        </w:r>
        <w:r w:rsidRPr="00313050">
          <w:rPr>
            <w:webHidden/>
          </w:rPr>
          <w:fldChar w:fldCharType="begin"/>
        </w:r>
        <w:r w:rsidRPr="00313050">
          <w:rPr>
            <w:webHidden/>
          </w:rPr>
          <w:instrText xml:space="preserve"> PAGEREF _Toc242553917 \h </w:instrText>
        </w:r>
        <w:r w:rsidRPr="00313050">
          <w:rPr>
            <w:webHidden/>
          </w:rPr>
        </w:r>
        <w:r w:rsidRPr="00313050">
          <w:rPr>
            <w:webHidden/>
          </w:rPr>
          <w:fldChar w:fldCharType="separate"/>
        </w:r>
        <w:r w:rsidR="00313050" w:rsidRPr="00313050">
          <w:rPr>
            <w:webHidden/>
          </w:rPr>
          <w:t>13</w:t>
        </w:r>
        <w:r w:rsidRPr="00313050">
          <w:rPr>
            <w:webHidden/>
          </w:rPr>
          <w:fldChar w:fldCharType="end"/>
        </w:r>
      </w:hyperlink>
    </w:p>
    <w:p w14:paraId="38B4D6F1" w14:textId="78A88DBD" w:rsidR="00FC42E7" w:rsidRPr="00313050" w:rsidRDefault="00FC42E7">
      <w:pPr>
        <w:pStyle w:val="TOC2"/>
        <w:rPr>
          <w:lang w:val="en-IN" w:eastAsia="en-IN"/>
        </w:rPr>
      </w:pPr>
      <w:hyperlink w:anchor="_Toc242553918" w:history="1">
        <w:r w:rsidRPr="00313050">
          <w:rPr>
            <w:rStyle w:val="Hyperlink"/>
          </w:rPr>
          <w:t>2.2</w:t>
        </w:r>
        <w:r w:rsidRPr="00313050">
          <w:rPr>
            <w:rStyle w:val="Hyperlink"/>
            <w:lang w:val="en-IN" w:eastAsia="en-IN"/>
          </w:rPr>
          <w:tab/>
        </w:r>
        <w:r w:rsidRPr="00313050">
          <w:rPr>
            <w:rStyle w:val="Hyperlink"/>
          </w:rPr>
          <w:t>Assumptions</w:t>
        </w:r>
        <w:r w:rsidRPr="00313050">
          <w:rPr>
            <w:webHidden/>
          </w:rPr>
          <w:tab/>
        </w:r>
        <w:r w:rsidRPr="00313050">
          <w:rPr>
            <w:webHidden/>
          </w:rPr>
          <w:fldChar w:fldCharType="begin"/>
        </w:r>
        <w:r w:rsidRPr="00313050">
          <w:rPr>
            <w:webHidden/>
          </w:rPr>
          <w:instrText xml:space="preserve"> PAGEREF _Toc242553918 \h </w:instrText>
        </w:r>
        <w:r w:rsidRPr="00313050">
          <w:rPr>
            <w:webHidden/>
          </w:rPr>
        </w:r>
        <w:r w:rsidRPr="00313050">
          <w:rPr>
            <w:webHidden/>
          </w:rPr>
          <w:fldChar w:fldCharType="separate"/>
        </w:r>
        <w:r w:rsidR="00313050" w:rsidRPr="00313050">
          <w:rPr>
            <w:webHidden/>
          </w:rPr>
          <w:t>15</w:t>
        </w:r>
        <w:r w:rsidRPr="00313050">
          <w:rPr>
            <w:webHidden/>
          </w:rPr>
          <w:fldChar w:fldCharType="end"/>
        </w:r>
      </w:hyperlink>
    </w:p>
    <w:p w14:paraId="0CA69B18" w14:textId="0A6C05F4" w:rsidR="00FC42E7" w:rsidRPr="00313050" w:rsidRDefault="00FC42E7">
      <w:pPr>
        <w:pStyle w:val="TOC3"/>
        <w:rPr>
          <w:lang w:val="en-IN" w:eastAsia="en-IN"/>
        </w:rPr>
      </w:pPr>
      <w:hyperlink w:anchor="_Toc242553919" w:history="1">
        <w:r w:rsidRPr="00313050">
          <w:rPr>
            <w:rStyle w:val="Hyperlink"/>
          </w:rPr>
          <w:t>2.2.1</w:t>
        </w:r>
        <w:r w:rsidRPr="00313050">
          <w:rPr>
            <w:rStyle w:val="Hyperlink"/>
            <w:lang w:val="en-IN" w:eastAsia="en-IN"/>
          </w:rPr>
          <w:tab/>
        </w:r>
        <w:r w:rsidRPr="00313050">
          <w:rPr>
            <w:rStyle w:val="Hyperlink"/>
          </w:rPr>
          <w:t>Data Cross-Referencing &amp; Master Data</w:t>
        </w:r>
        <w:r w:rsidRPr="00313050">
          <w:rPr>
            <w:webHidden/>
          </w:rPr>
          <w:tab/>
        </w:r>
        <w:r w:rsidRPr="00313050">
          <w:rPr>
            <w:webHidden/>
          </w:rPr>
          <w:fldChar w:fldCharType="begin"/>
        </w:r>
        <w:r w:rsidRPr="00313050">
          <w:rPr>
            <w:webHidden/>
          </w:rPr>
          <w:instrText xml:space="preserve"> PAGEREF _Toc242553919 \h </w:instrText>
        </w:r>
        <w:r w:rsidRPr="00313050">
          <w:rPr>
            <w:webHidden/>
          </w:rPr>
        </w:r>
        <w:r w:rsidRPr="00313050">
          <w:rPr>
            <w:webHidden/>
          </w:rPr>
          <w:fldChar w:fldCharType="separate"/>
        </w:r>
        <w:r w:rsidR="00313050" w:rsidRPr="00313050">
          <w:rPr>
            <w:webHidden/>
          </w:rPr>
          <w:t>15</w:t>
        </w:r>
        <w:r w:rsidRPr="00313050">
          <w:rPr>
            <w:webHidden/>
          </w:rPr>
          <w:fldChar w:fldCharType="end"/>
        </w:r>
      </w:hyperlink>
    </w:p>
    <w:p w14:paraId="6E989C64" w14:textId="494ED8D6" w:rsidR="00FC42E7" w:rsidRPr="00313050" w:rsidRDefault="00FC42E7">
      <w:pPr>
        <w:pStyle w:val="TOC3"/>
        <w:rPr>
          <w:lang w:val="en-IN" w:eastAsia="en-IN"/>
        </w:rPr>
      </w:pPr>
      <w:hyperlink w:anchor="_Toc242553920" w:history="1">
        <w:r w:rsidRPr="00313050">
          <w:rPr>
            <w:rStyle w:val="Hyperlink"/>
          </w:rPr>
          <w:t>2.2.2</w:t>
        </w:r>
        <w:r w:rsidRPr="00313050">
          <w:rPr>
            <w:rStyle w:val="Hyperlink"/>
            <w:lang w:val="en-IN" w:eastAsia="en-IN"/>
          </w:rPr>
          <w:tab/>
        </w:r>
        <w:r w:rsidRPr="00313050">
          <w:rPr>
            <w:rStyle w:val="Hyperlink"/>
          </w:rPr>
          <w:t>Application Design and Architecture Consideration</w:t>
        </w:r>
        <w:r w:rsidRPr="00313050">
          <w:rPr>
            <w:webHidden/>
          </w:rPr>
          <w:tab/>
        </w:r>
        <w:r w:rsidRPr="00313050">
          <w:rPr>
            <w:webHidden/>
          </w:rPr>
          <w:fldChar w:fldCharType="begin"/>
        </w:r>
        <w:r w:rsidRPr="00313050">
          <w:rPr>
            <w:webHidden/>
          </w:rPr>
          <w:instrText xml:space="preserve"> PAGEREF _Toc242553920 \h </w:instrText>
        </w:r>
        <w:r w:rsidRPr="00313050">
          <w:rPr>
            <w:webHidden/>
          </w:rPr>
        </w:r>
        <w:r w:rsidRPr="00313050">
          <w:rPr>
            <w:webHidden/>
          </w:rPr>
          <w:fldChar w:fldCharType="separate"/>
        </w:r>
        <w:r w:rsidR="00313050" w:rsidRPr="00313050">
          <w:rPr>
            <w:webHidden/>
          </w:rPr>
          <w:t>15</w:t>
        </w:r>
        <w:r w:rsidRPr="00313050">
          <w:rPr>
            <w:webHidden/>
          </w:rPr>
          <w:fldChar w:fldCharType="end"/>
        </w:r>
      </w:hyperlink>
    </w:p>
    <w:p w14:paraId="6FB49CC4" w14:textId="28CE6468" w:rsidR="00FC42E7" w:rsidRPr="00313050" w:rsidRDefault="00FC42E7">
      <w:pPr>
        <w:pStyle w:val="TOC3"/>
        <w:rPr>
          <w:lang w:val="en-IN" w:eastAsia="en-IN"/>
        </w:rPr>
      </w:pPr>
      <w:hyperlink w:anchor="_Toc242553921" w:history="1">
        <w:r w:rsidRPr="00313050">
          <w:rPr>
            <w:rStyle w:val="Hyperlink"/>
          </w:rPr>
          <w:t>2.2.3</w:t>
        </w:r>
        <w:r w:rsidRPr="00313050">
          <w:rPr>
            <w:rStyle w:val="Hyperlink"/>
            <w:lang w:val="en-IN" w:eastAsia="en-IN"/>
          </w:rPr>
          <w:tab/>
        </w:r>
        <w:r w:rsidRPr="00313050">
          <w:rPr>
            <w:rStyle w:val="Hyperlink"/>
          </w:rPr>
          <w:t>Acceptance Criteria</w:t>
        </w:r>
        <w:r w:rsidRPr="00313050">
          <w:rPr>
            <w:webHidden/>
          </w:rPr>
          <w:tab/>
        </w:r>
        <w:r w:rsidRPr="00313050">
          <w:rPr>
            <w:webHidden/>
          </w:rPr>
          <w:fldChar w:fldCharType="begin"/>
        </w:r>
        <w:r w:rsidRPr="00313050">
          <w:rPr>
            <w:webHidden/>
          </w:rPr>
          <w:instrText xml:space="preserve"> PAGEREF _Toc242553921 \h </w:instrText>
        </w:r>
        <w:r w:rsidRPr="00313050">
          <w:rPr>
            <w:webHidden/>
          </w:rPr>
        </w:r>
        <w:r w:rsidRPr="00313050">
          <w:rPr>
            <w:webHidden/>
          </w:rPr>
          <w:fldChar w:fldCharType="separate"/>
        </w:r>
        <w:r w:rsidR="00313050" w:rsidRPr="00313050">
          <w:rPr>
            <w:webHidden/>
          </w:rPr>
          <w:t>16</w:t>
        </w:r>
        <w:r w:rsidRPr="00313050">
          <w:rPr>
            <w:webHidden/>
          </w:rPr>
          <w:fldChar w:fldCharType="end"/>
        </w:r>
      </w:hyperlink>
    </w:p>
    <w:p w14:paraId="7EEEEF87" w14:textId="7D05902C" w:rsidR="00FC42E7" w:rsidRPr="00313050" w:rsidRDefault="00FC42E7">
      <w:pPr>
        <w:pStyle w:val="TOC3"/>
        <w:rPr>
          <w:lang w:val="en-IN" w:eastAsia="en-IN"/>
        </w:rPr>
      </w:pPr>
      <w:hyperlink w:anchor="_Toc242553922" w:history="1">
        <w:r w:rsidRPr="00313050">
          <w:rPr>
            <w:rStyle w:val="Hyperlink"/>
          </w:rPr>
          <w:t>2.2.4</w:t>
        </w:r>
        <w:r w:rsidRPr="00313050">
          <w:rPr>
            <w:rStyle w:val="Hyperlink"/>
            <w:lang w:val="en-IN" w:eastAsia="en-IN"/>
          </w:rPr>
          <w:tab/>
        </w:r>
        <w:r w:rsidRPr="00313050">
          <w:rPr>
            <w:rStyle w:val="Hyperlink"/>
          </w:rPr>
          <w:t>Dependencies and Prerequisites</w:t>
        </w:r>
        <w:r w:rsidRPr="00313050">
          <w:rPr>
            <w:webHidden/>
          </w:rPr>
          <w:tab/>
        </w:r>
        <w:r w:rsidRPr="00313050">
          <w:rPr>
            <w:webHidden/>
          </w:rPr>
          <w:fldChar w:fldCharType="begin"/>
        </w:r>
        <w:r w:rsidRPr="00313050">
          <w:rPr>
            <w:webHidden/>
          </w:rPr>
          <w:instrText xml:space="preserve"> PAGEREF _Toc242553922 \h </w:instrText>
        </w:r>
        <w:r w:rsidRPr="00313050">
          <w:rPr>
            <w:webHidden/>
          </w:rPr>
        </w:r>
        <w:r w:rsidRPr="00313050">
          <w:rPr>
            <w:webHidden/>
          </w:rPr>
          <w:fldChar w:fldCharType="separate"/>
        </w:r>
        <w:r w:rsidR="00313050" w:rsidRPr="00313050">
          <w:rPr>
            <w:webHidden/>
          </w:rPr>
          <w:t>16</w:t>
        </w:r>
        <w:r w:rsidRPr="00313050">
          <w:rPr>
            <w:webHidden/>
          </w:rPr>
          <w:fldChar w:fldCharType="end"/>
        </w:r>
      </w:hyperlink>
    </w:p>
    <w:p w14:paraId="2F6816A3" w14:textId="388060A4" w:rsidR="00FC42E7" w:rsidRPr="00313050" w:rsidRDefault="00FC42E7">
      <w:pPr>
        <w:pStyle w:val="TOC2"/>
        <w:rPr>
          <w:lang w:val="en-IN" w:eastAsia="en-IN"/>
        </w:rPr>
      </w:pPr>
      <w:hyperlink w:anchor="_Toc242553923" w:history="1">
        <w:r w:rsidRPr="00313050">
          <w:rPr>
            <w:rStyle w:val="Hyperlink"/>
          </w:rPr>
          <w:t>2.3</w:t>
        </w:r>
        <w:r w:rsidRPr="00313050">
          <w:rPr>
            <w:rStyle w:val="Hyperlink"/>
            <w:lang w:val="en-IN" w:eastAsia="en-IN"/>
          </w:rPr>
          <w:tab/>
        </w:r>
        <w:r w:rsidRPr="00313050">
          <w:rPr>
            <w:rStyle w:val="Hyperlink"/>
          </w:rPr>
          <w:t>Solution Approach</w:t>
        </w:r>
        <w:r w:rsidRPr="00313050">
          <w:rPr>
            <w:webHidden/>
          </w:rPr>
          <w:tab/>
        </w:r>
        <w:r w:rsidRPr="00313050">
          <w:rPr>
            <w:webHidden/>
          </w:rPr>
          <w:fldChar w:fldCharType="begin"/>
        </w:r>
        <w:r w:rsidRPr="00313050">
          <w:rPr>
            <w:webHidden/>
          </w:rPr>
          <w:instrText xml:space="preserve"> PAGEREF _Toc242553923 \h </w:instrText>
        </w:r>
        <w:r w:rsidRPr="00313050">
          <w:rPr>
            <w:webHidden/>
          </w:rPr>
        </w:r>
        <w:r w:rsidRPr="00313050">
          <w:rPr>
            <w:webHidden/>
          </w:rPr>
          <w:fldChar w:fldCharType="separate"/>
        </w:r>
        <w:r w:rsidR="00313050" w:rsidRPr="00313050">
          <w:rPr>
            <w:webHidden/>
          </w:rPr>
          <w:t>18</w:t>
        </w:r>
        <w:r w:rsidRPr="00313050">
          <w:rPr>
            <w:webHidden/>
          </w:rPr>
          <w:fldChar w:fldCharType="end"/>
        </w:r>
      </w:hyperlink>
    </w:p>
    <w:p w14:paraId="47394A26" w14:textId="536CDABA" w:rsidR="00FC42E7" w:rsidRPr="00313050" w:rsidRDefault="00FC42E7">
      <w:pPr>
        <w:pStyle w:val="TOC3"/>
        <w:rPr>
          <w:lang w:val="en-IN" w:eastAsia="en-IN"/>
        </w:rPr>
      </w:pPr>
      <w:hyperlink w:anchor="_Toc242553924" w:history="1">
        <w:r w:rsidRPr="00313050">
          <w:rPr>
            <w:rStyle w:val="Hyperlink"/>
          </w:rPr>
          <w:t>2.3.1</w:t>
        </w:r>
        <w:r w:rsidRPr="00313050">
          <w:rPr>
            <w:rStyle w:val="Hyperlink"/>
            <w:lang w:val="en-IN" w:eastAsia="en-IN"/>
          </w:rPr>
          <w:tab/>
        </w:r>
        <w:r w:rsidRPr="00313050">
          <w:rPr>
            <w:rStyle w:val="Hyperlink"/>
          </w:rPr>
          <w:t>VCB Integrations - Common Integration Pattern</w:t>
        </w:r>
        <w:r w:rsidRPr="00313050">
          <w:rPr>
            <w:webHidden/>
          </w:rPr>
          <w:tab/>
        </w:r>
        <w:r w:rsidRPr="00313050">
          <w:rPr>
            <w:webHidden/>
          </w:rPr>
          <w:fldChar w:fldCharType="begin"/>
        </w:r>
        <w:r w:rsidRPr="00313050">
          <w:rPr>
            <w:webHidden/>
          </w:rPr>
          <w:instrText xml:space="preserve"> PAGEREF _Toc242553924 \h </w:instrText>
        </w:r>
        <w:r w:rsidRPr="00313050">
          <w:rPr>
            <w:webHidden/>
          </w:rPr>
        </w:r>
        <w:r w:rsidRPr="00313050">
          <w:rPr>
            <w:webHidden/>
          </w:rPr>
          <w:fldChar w:fldCharType="separate"/>
        </w:r>
        <w:r w:rsidR="00313050" w:rsidRPr="00313050">
          <w:rPr>
            <w:webHidden/>
          </w:rPr>
          <w:t>20</w:t>
        </w:r>
        <w:r w:rsidRPr="00313050">
          <w:rPr>
            <w:webHidden/>
          </w:rPr>
          <w:fldChar w:fldCharType="end"/>
        </w:r>
      </w:hyperlink>
    </w:p>
    <w:p w14:paraId="7BDE72F6" w14:textId="6665B1B8" w:rsidR="00FC42E7" w:rsidRPr="00313050" w:rsidRDefault="00FC42E7">
      <w:pPr>
        <w:pStyle w:val="TOC3"/>
        <w:rPr>
          <w:lang w:val="en-IN" w:eastAsia="en-IN"/>
        </w:rPr>
      </w:pPr>
      <w:hyperlink w:anchor="_Toc242553925" w:history="1">
        <w:r w:rsidRPr="00313050">
          <w:rPr>
            <w:rStyle w:val="Hyperlink"/>
          </w:rPr>
          <w:t>2.3.2</w:t>
        </w:r>
        <w:r w:rsidRPr="00313050">
          <w:rPr>
            <w:rStyle w:val="Hyperlink"/>
            <w:lang w:val="en-IN" w:eastAsia="en-IN"/>
          </w:rPr>
          <w:tab/>
        </w:r>
        <w:r w:rsidRPr="00313050">
          <w:rPr>
            <w:rStyle w:val="Hyperlink"/>
          </w:rPr>
          <w:t>Technical Design of IQDM Scope</w:t>
        </w:r>
        <w:r w:rsidRPr="00313050">
          <w:rPr>
            <w:webHidden/>
          </w:rPr>
          <w:tab/>
        </w:r>
        <w:r w:rsidRPr="00313050">
          <w:rPr>
            <w:webHidden/>
          </w:rPr>
          <w:fldChar w:fldCharType="begin"/>
        </w:r>
        <w:r w:rsidRPr="00313050">
          <w:rPr>
            <w:webHidden/>
          </w:rPr>
          <w:instrText xml:space="preserve"> PAGEREF _Toc242553925 \h </w:instrText>
        </w:r>
        <w:r w:rsidRPr="00313050">
          <w:rPr>
            <w:webHidden/>
          </w:rPr>
        </w:r>
        <w:r w:rsidRPr="00313050">
          <w:rPr>
            <w:webHidden/>
          </w:rPr>
          <w:fldChar w:fldCharType="separate"/>
        </w:r>
        <w:r w:rsidR="00313050" w:rsidRPr="00313050">
          <w:rPr>
            <w:webHidden/>
          </w:rPr>
          <w:t>28</w:t>
        </w:r>
        <w:r w:rsidRPr="00313050">
          <w:rPr>
            <w:webHidden/>
          </w:rPr>
          <w:fldChar w:fldCharType="end"/>
        </w:r>
      </w:hyperlink>
    </w:p>
    <w:p w14:paraId="1FED3B6F" w14:textId="18EBC71A" w:rsidR="00FC42E7" w:rsidRPr="00313050" w:rsidRDefault="00FC42E7">
      <w:pPr>
        <w:pStyle w:val="TOC3"/>
        <w:rPr>
          <w:lang w:val="en-IN" w:eastAsia="en-IN"/>
        </w:rPr>
      </w:pPr>
      <w:hyperlink w:anchor="_Toc242553926" w:history="1">
        <w:r w:rsidRPr="00313050">
          <w:rPr>
            <w:rStyle w:val="Hyperlink"/>
          </w:rPr>
          <w:t>2.3.3</w:t>
        </w:r>
        <w:r w:rsidRPr="00313050">
          <w:rPr>
            <w:rStyle w:val="Hyperlink"/>
            <w:lang w:val="en-IN" w:eastAsia="en-IN"/>
          </w:rPr>
          <w:tab/>
        </w:r>
        <w:r w:rsidRPr="00313050">
          <w:rPr>
            <w:rStyle w:val="Hyperlink"/>
          </w:rPr>
          <w:t>Technical Design of VCB Scope</w:t>
        </w:r>
        <w:r w:rsidRPr="00313050">
          <w:rPr>
            <w:webHidden/>
          </w:rPr>
          <w:tab/>
        </w:r>
        <w:r w:rsidRPr="00313050">
          <w:rPr>
            <w:webHidden/>
          </w:rPr>
          <w:fldChar w:fldCharType="begin"/>
        </w:r>
        <w:r w:rsidRPr="00313050">
          <w:rPr>
            <w:webHidden/>
          </w:rPr>
          <w:instrText xml:space="preserve"> PAGEREF _Toc242553926 \h </w:instrText>
        </w:r>
        <w:r w:rsidRPr="00313050">
          <w:rPr>
            <w:webHidden/>
          </w:rPr>
        </w:r>
        <w:r w:rsidRPr="00313050">
          <w:rPr>
            <w:webHidden/>
          </w:rPr>
          <w:fldChar w:fldCharType="separate"/>
        </w:r>
        <w:r w:rsidR="00313050" w:rsidRPr="00313050">
          <w:rPr>
            <w:webHidden/>
          </w:rPr>
          <w:t>31</w:t>
        </w:r>
        <w:r w:rsidRPr="00313050">
          <w:rPr>
            <w:webHidden/>
          </w:rPr>
          <w:fldChar w:fldCharType="end"/>
        </w:r>
      </w:hyperlink>
    </w:p>
    <w:p w14:paraId="6B0DD2BC" w14:textId="56B373B5" w:rsidR="00FC42E7" w:rsidRPr="00313050" w:rsidRDefault="00FC42E7">
      <w:pPr>
        <w:pStyle w:val="TOC2"/>
        <w:rPr>
          <w:lang w:val="en-IN" w:eastAsia="en-IN"/>
        </w:rPr>
      </w:pPr>
      <w:hyperlink w:anchor="_Toc242553927" w:history="1">
        <w:r w:rsidRPr="00313050">
          <w:rPr>
            <w:rStyle w:val="Hyperlink"/>
          </w:rPr>
          <w:t>2.4</w:t>
        </w:r>
        <w:r w:rsidRPr="00313050">
          <w:rPr>
            <w:rStyle w:val="Hyperlink"/>
            <w:lang w:val="en-IN" w:eastAsia="en-IN"/>
          </w:rPr>
          <w:tab/>
        </w:r>
        <w:r w:rsidRPr="00313050">
          <w:rPr>
            <w:rStyle w:val="Hyperlink"/>
            <w:lang w:val="en-IN"/>
          </w:rPr>
          <w:t>Monitoring &amp; Error Handling</w:t>
        </w:r>
        <w:r w:rsidRPr="00313050">
          <w:rPr>
            <w:webHidden/>
          </w:rPr>
          <w:tab/>
        </w:r>
        <w:r w:rsidRPr="00313050">
          <w:rPr>
            <w:webHidden/>
          </w:rPr>
          <w:fldChar w:fldCharType="begin"/>
        </w:r>
        <w:r w:rsidRPr="00313050">
          <w:rPr>
            <w:webHidden/>
          </w:rPr>
          <w:instrText xml:space="preserve"> PAGEREF _Toc242553927 \h </w:instrText>
        </w:r>
        <w:r w:rsidRPr="00313050">
          <w:rPr>
            <w:webHidden/>
          </w:rPr>
        </w:r>
        <w:r w:rsidRPr="00313050">
          <w:rPr>
            <w:webHidden/>
          </w:rPr>
          <w:fldChar w:fldCharType="separate"/>
        </w:r>
        <w:r w:rsidR="00313050" w:rsidRPr="00313050">
          <w:rPr>
            <w:webHidden/>
          </w:rPr>
          <w:t>94</w:t>
        </w:r>
        <w:r w:rsidRPr="00313050">
          <w:rPr>
            <w:webHidden/>
          </w:rPr>
          <w:fldChar w:fldCharType="end"/>
        </w:r>
      </w:hyperlink>
    </w:p>
    <w:p w14:paraId="0C5A6618" w14:textId="05B349ED" w:rsidR="00FC42E7" w:rsidRPr="00313050" w:rsidRDefault="00FC42E7">
      <w:pPr>
        <w:pStyle w:val="TOC2"/>
        <w:rPr>
          <w:lang w:val="en-IN" w:eastAsia="en-IN"/>
        </w:rPr>
      </w:pPr>
      <w:hyperlink w:anchor="_Toc242553928" w:history="1">
        <w:r w:rsidRPr="00313050">
          <w:rPr>
            <w:rStyle w:val="Hyperlink"/>
            <w:lang w:val="en-IN"/>
          </w:rPr>
          <w:t>2.5</w:t>
        </w:r>
        <w:r w:rsidRPr="00313050">
          <w:rPr>
            <w:rStyle w:val="Hyperlink"/>
            <w:lang w:val="en-IN" w:eastAsia="en-IN"/>
          </w:rPr>
          <w:tab/>
        </w:r>
        <w:r w:rsidRPr="00313050">
          <w:rPr>
            <w:rStyle w:val="Hyperlink"/>
            <w:lang w:val="en-IN"/>
          </w:rPr>
          <w:t>Retry Mechanism</w:t>
        </w:r>
        <w:r w:rsidRPr="00313050">
          <w:rPr>
            <w:webHidden/>
          </w:rPr>
          <w:tab/>
        </w:r>
        <w:r w:rsidRPr="00313050">
          <w:rPr>
            <w:webHidden/>
          </w:rPr>
          <w:fldChar w:fldCharType="begin"/>
        </w:r>
        <w:r w:rsidRPr="00313050">
          <w:rPr>
            <w:webHidden/>
          </w:rPr>
          <w:instrText xml:space="preserve"> PAGEREF _Toc242553928 \h </w:instrText>
        </w:r>
        <w:r w:rsidRPr="00313050">
          <w:rPr>
            <w:webHidden/>
          </w:rPr>
        </w:r>
        <w:r w:rsidRPr="00313050">
          <w:rPr>
            <w:webHidden/>
          </w:rPr>
          <w:fldChar w:fldCharType="separate"/>
        </w:r>
        <w:r w:rsidR="00313050" w:rsidRPr="00313050">
          <w:rPr>
            <w:webHidden/>
          </w:rPr>
          <w:t>95</w:t>
        </w:r>
        <w:r w:rsidRPr="00313050">
          <w:rPr>
            <w:webHidden/>
          </w:rPr>
          <w:fldChar w:fldCharType="end"/>
        </w:r>
      </w:hyperlink>
    </w:p>
    <w:p w14:paraId="030B5A80" w14:textId="648EB5A4" w:rsidR="00FC42E7" w:rsidRPr="00313050" w:rsidRDefault="00FC42E7">
      <w:pPr>
        <w:pStyle w:val="TOC2"/>
        <w:rPr>
          <w:lang w:val="en-IN" w:eastAsia="en-IN"/>
        </w:rPr>
      </w:pPr>
      <w:hyperlink w:anchor="_Toc242553929" w:history="1">
        <w:r w:rsidRPr="00313050">
          <w:rPr>
            <w:rStyle w:val="Hyperlink"/>
            <w:lang w:val="en-IN"/>
          </w:rPr>
          <w:t>2.6</w:t>
        </w:r>
        <w:r w:rsidRPr="00313050">
          <w:rPr>
            <w:rStyle w:val="Hyperlink"/>
            <w:lang w:val="en-IN" w:eastAsia="en-IN"/>
          </w:rPr>
          <w:tab/>
        </w:r>
        <w:r w:rsidRPr="00313050">
          <w:rPr>
            <w:rStyle w:val="Hyperlink"/>
            <w:lang w:val="en-IN"/>
          </w:rPr>
          <w:t>Software and Hardware Details</w:t>
        </w:r>
        <w:r w:rsidRPr="00313050">
          <w:rPr>
            <w:webHidden/>
          </w:rPr>
          <w:tab/>
        </w:r>
        <w:r w:rsidRPr="00313050">
          <w:rPr>
            <w:webHidden/>
          </w:rPr>
          <w:fldChar w:fldCharType="begin"/>
        </w:r>
        <w:r w:rsidRPr="00313050">
          <w:rPr>
            <w:webHidden/>
          </w:rPr>
          <w:instrText xml:space="preserve"> PAGEREF _Toc242553929 \h </w:instrText>
        </w:r>
        <w:r w:rsidRPr="00313050">
          <w:rPr>
            <w:webHidden/>
          </w:rPr>
        </w:r>
        <w:r w:rsidRPr="00313050">
          <w:rPr>
            <w:webHidden/>
          </w:rPr>
          <w:fldChar w:fldCharType="separate"/>
        </w:r>
        <w:r w:rsidR="00313050" w:rsidRPr="00313050">
          <w:rPr>
            <w:webHidden/>
          </w:rPr>
          <w:t>96</w:t>
        </w:r>
        <w:r w:rsidRPr="00313050">
          <w:rPr>
            <w:webHidden/>
          </w:rPr>
          <w:fldChar w:fldCharType="end"/>
        </w:r>
      </w:hyperlink>
    </w:p>
    <w:p w14:paraId="659B8151" w14:textId="2F640EE4" w:rsidR="00FC42E7" w:rsidRPr="00313050" w:rsidRDefault="00FC42E7">
      <w:pPr>
        <w:pStyle w:val="TOC2"/>
        <w:rPr>
          <w:lang w:val="en-IN" w:eastAsia="en-IN"/>
        </w:rPr>
      </w:pPr>
      <w:hyperlink w:anchor="_Toc242553930" w:history="1">
        <w:r w:rsidRPr="00313050">
          <w:rPr>
            <w:rStyle w:val="Hyperlink"/>
            <w:lang w:val="en-IN"/>
          </w:rPr>
          <w:t>2.7</w:t>
        </w:r>
        <w:r w:rsidRPr="00313050">
          <w:rPr>
            <w:rStyle w:val="Hyperlink"/>
            <w:lang w:val="en-IN" w:eastAsia="en-IN"/>
          </w:rPr>
          <w:tab/>
        </w:r>
        <w:r w:rsidRPr="00313050">
          <w:rPr>
            <w:rStyle w:val="Hyperlink"/>
            <w:lang w:val="en-IN"/>
          </w:rPr>
          <w:t>Azure Resources</w:t>
        </w:r>
        <w:r w:rsidRPr="00313050">
          <w:rPr>
            <w:webHidden/>
          </w:rPr>
          <w:tab/>
        </w:r>
        <w:r w:rsidRPr="00313050">
          <w:rPr>
            <w:webHidden/>
          </w:rPr>
          <w:fldChar w:fldCharType="begin"/>
        </w:r>
        <w:r w:rsidRPr="00313050">
          <w:rPr>
            <w:webHidden/>
          </w:rPr>
          <w:instrText xml:space="preserve"> PAGEREF _Toc242553930 \h </w:instrText>
        </w:r>
        <w:r w:rsidRPr="00313050">
          <w:rPr>
            <w:webHidden/>
          </w:rPr>
        </w:r>
        <w:r w:rsidRPr="00313050">
          <w:rPr>
            <w:webHidden/>
          </w:rPr>
          <w:fldChar w:fldCharType="separate"/>
        </w:r>
        <w:r w:rsidR="00313050" w:rsidRPr="00313050">
          <w:rPr>
            <w:webHidden/>
          </w:rPr>
          <w:t>97</w:t>
        </w:r>
        <w:r w:rsidRPr="00313050">
          <w:rPr>
            <w:webHidden/>
          </w:rPr>
          <w:fldChar w:fldCharType="end"/>
        </w:r>
      </w:hyperlink>
    </w:p>
    <w:p w14:paraId="19BCEFB3" w14:textId="7AFF2ED6" w:rsidR="00FC42E7" w:rsidRPr="00313050" w:rsidRDefault="00FC42E7">
      <w:pPr>
        <w:pStyle w:val="TOC2"/>
        <w:rPr>
          <w:lang w:val="en-IN" w:eastAsia="en-IN"/>
        </w:rPr>
      </w:pPr>
      <w:hyperlink w:anchor="_Toc242553931" w:history="1">
        <w:r w:rsidRPr="00313050">
          <w:rPr>
            <w:rStyle w:val="Hyperlink"/>
            <w:lang w:val="en-IN"/>
          </w:rPr>
          <w:t>2.8</w:t>
        </w:r>
        <w:r w:rsidRPr="00313050">
          <w:rPr>
            <w:rStyle w:val="Hyperlink"/>
            <w:lang w:val="en-IN" w:eastAsia="en-IN"/>
          </w:rPr>
          <w:tab/>
        </w:r>
        <w:r w:rsidRPr="00313050">
          <w:rPr>
            <w:rStyle w:val="Hyperlink"/>
            <w:lang w:val="en-IN"/>
          </w:rPr>
          <w:t>External Services</w:t>
        </w:r>
        <w:r w:rsidRPr="00313050">
          <w:rPr>
            <w:webHidden/>
          </w:rPr>
          <w:tab/>
        </w:r>
        <w:r w:rsidRPr="00313050">
          <w:rPr>
            <w:webHidden/>
          </w:rPr>
          <w:fldChar w:fldCharType="begin"/>
        </w:r>
        <w:r w:rsidRPr="00313050">
          <w:rPr>
            <w:webHidden/>
          </w:rPr>
          <w:instrText xml:space="preserve"> PAGEREF _Toc242553931 \h </w:instrText>
        </w:r>
        <w:r w:rsidRPr="00313050">
          <w:rPr>
            <w:webHidden/>
          </w:rPr>
        </w:r>
        <w:r w:rsidRPr="00313050">
          <w:rPr>
            <w:webHidden/>
          </w:rPr>
          <w:fldChar w:fldCharType="separate"/>
        </w:r>
        <w:r w:rsidR="00313050" w:rsidRPr="00313050">
          <w:rPr>
            <w:webHidden/>
          </w:rPr>
          <w:t>98</w:t>
        </w:r>
        <w:r w:rsidRPr="00313050">
          <w:rPr>
            <w:webHidden/>
          </w:rPr>
          <w:fldChar w:fldCharType="end"/>
        </w:r>
      </w:hyperlink>
    </w:p>
    <w:p w14:paraId="00446665" w14:textId="715D79F2" w:rsidR="00FC42E7" w:rsidRPr="00313050" w:rsidRDefault="00FC42E7">
      <w:pPr>
        <w:pStyle w:val="TOC2"/>
        <w:rPr>
          <w:lang w:val="en-IN" w:eastAsia="en-IN"/>
        </w:rPr>
      </w:pPr>
      <w:hyperlink w:anchor="_Toc242553932" w:history="1">
        <w:r w:rsidRPr="00313050">
          <w:rPr>
            <w:rStyle w:val="Hyperlink"/>
            <w:lang w:val="en-IN"/>
          </w:rPr>
          <w:t>2.9</w:t>
        </w:r>
        <w:r w:rsidRPr="00313050">
          <w:rPr>
            <w:rStyle w:val="Hyperlink"/>
            <w:lang w:val="en-IN" w:eastAsia="en-IN"/>
          </w:rPr>
          <w:tab/>
        </w:r>
        <w:r w:rsidRPr="00313050">
          <w:rPr>
            <w:rStyle w:val="Hyperlink"/>
            <w:lang w:val="en-IN"/>
          </w:rPr>
          <w:t>Deployment</w:t>
        </w:r>
        <w:r w:rsidRPr="00313050">
          <w:rPr>
            <w:webHidden/>
          </w:rPr>
          <w:tab/>
        </w:r>
        <w:r w:rsidRPr="00313050">
          <w:rPr>
            <w:webHidden/>
          </w:rPr>
          <w:fldChar w:fldCharType="begin"/>
        </w:r>
        <w:r w:rsidRPr="00313050">
          <w:rPr>
            <w:webHidden/>
          </w:rPr>
          <w:instrText xml:space="preserve"> PAGEREF _Toc242553932 \h </w:instrText>
        </w:r>
        <w:r w:rsidRPr="00313050">
          <w:rPr>
            <w:webHidden/>
          </w:rPr>
        </w:r>
        <w:r w:rsidRPr="00313050">
          <w:rPr>
            <w:webHidden/>
          </w:rPr>
          <w:fldChar w:fldCharType="separate"/>
        </w:r>
        <w:r w:rsidR="00313050" w:rsidRPr="00313050">
          <w:rPr>
            <w:webHidden/>
          </w:rPr>
          <w:t>99</w:t>
        </w:r>
        <w:r w:rsidRPr="00313050">
          <w:rPr>
            <w:webHidden/>
          </w:rPr>
          <w:fldChar w:fldCharType="end"/>
        </w:r>
      </w:hyperlink>
    </w:p>
    <w:p w14:paraId="5B18E54A" w14:textId="166BEBB5" w:rsidR="00FC42E7" w:rsidRDefault="00FC42E7">
      <w:pPr>
        <w:pStyle w:val="TOC1"/>
        <w:rPr>
          <w:rFonts w:eastAsiaTheme="minorEastAsia" w:cstheme="minorBidi"/>
          <w:b w:val="0"/>
          <w:bCs w:val="0"/>
          <w:kern w:val="2"/>
          <w:sz w:val="24"/>
          <w:szCs w:val="24"/>
          <w:lang w:val="en-IN" w:eastAsia="en-IN"/>
          <w14:ligatures w14:val="standardContextual"/>
        </w:rPr>
      </w:pPr>
      <w:hyperlink w:anchor="_Toc242553933" w:history="1">
        <w:r w:rsidRPr="000C6FC3">
          <w:rPr>
            <w:rStyle w:val="Hyperlink"/>
          </w:rPr>
          <w:t>3</w:t>
        </w:r>
        <w:r>
          <w:rPr>
            <w:rFonts w:eastAsiaTheme="minorEastAsia" w:cstheme="minorBidi"/>
            <w:b w:val="0"/>
            <w:bCs w:val="0"/>
            <w:kern w:val="2"/>
            <w:sz w:val="24"/>
            <w:szCs w:val="24"/>
            <w:lang w:val="en-IN" w:eastAsia="en-IN"/>
            <w14:ligatures w14:val="standardContextual"/>
          </w:rPr>
          <w:tab/>
        </w:r>
        <w:r w:rsidRPr="000C6FC3">
          <w:rPr>
            <w:rStyle w:val="Hyperlink"/>
          </w:rPr>
          <w:t>Data Platform</w:t>
        </w:r>
        <w:r>
          <w:rPr>
            <w:webHidden/>
          </w:rPr>
          <w:tab/>
        </w:r>
        <w:r>
          <w:rPr>
            <w:webHidden/>
          </w:rPr>
          <w:fldChar w:fldCharType="begin"/>
        </w:r>
        <w:r>
          <w:rPr>
            <w:webHidden/>
          </w:rPr>
          <w:instrText xml:space="preserve"> PAGEREF _Toc242553933 \h </w:instrText>
        </w:r>
        <w:r>
          <w:rPr>
            <w:webHidden/>
          </w:rPr>
        </w:r>
        <w:r>
          <w:rPr>
            <w:webHidden/>
          </w:rPr>
          <w:fldChar w:fldCharType="separate"/>
        </w:r>
        <w:r w:rsidR="00313050">
          <w:rPr>
            <w:webHidden/>
          </w:rPr>
          <w:t>100</w:t>
        </w:r>
        <w:r>
          <w:rPr>
            <w:webHidden/>
          </w:rPr>
          <w:fldChar w:fldCharType="end"/>
        </w:r>
      </w:hyperlink>
    </w:p>
    <w:p w14:paraId="6521355A" w14:textId="26681A3E"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34" w:history="1">
        <w:r w:rsidRPr="000C6FC3">
          <w:rPr>
            <w:rStyle w:val="Hyperlink"/>
          </w:rPr>
          <w:t>3.1</w:t>
        </w:r>
        <w:r>
          <w:rPr>
            <w:rFonts w:eastAsiaTheme="minorEastAsia" w:cstheme="minorBidi"/>
            <w:bCs w:val="0"/>
            <w:color w:val="auto"/>
            <w:kern w:val="2"/>
            <w:sz w:val="24"/>
            <w:szCs w:val="24"/>
            <w:lang w:val="en-IN" w:eastAsia="en-IN"/>
            <w14:ligatures w14:val="standardContextual"/>
          </w:rPr>
          <w:tab/>
        </w:r>
        <w:r w:rsidRPr="000C6FC3">
          <w:rPr>
            <w:rStyle w:val="Hyperlink"/>
          </w:rPr>
          <w:t>Scope</w:t>
        </w:r>
        <w:r>
          <w:rPr>
            <w:webHidden/>
          </w:rPr>
          <w:tab/>
        </w:r>
        <w:r>
          <w:rPr>
            <w:webHidden/>
          </w:rPr>
          <w:fldChar w:fldCharType="begin"/>
        </w:r>
        <w:r>
          <w:rPr>
            <w:webHidden/>
          </w:rPr>
          <w:instrText xml:space="preserve"> PAGEREF _Toc242553934 \h </w:instrText>
        </w:r>
        <w:r>
          <w:rPr>
            <w:webHidden/>
          </w:rPr>
        </w:r>
        <w:r>
          <w:rPr>
            <w:webHidden/>
          </w:rPr>
          <w:fldChar w:fldCharType="separate"/>
        </w:r>
        <w:r w:rsidR="00313050">
          <w:rPr>
            <w:webHidden/>
          </w:rPr>
          <w:t>100</w:t>
        </w:r>
        <w:r>
          <w:rPr>
            <w:webHidden/>
          </w:rPr>
          <w:fldChar w:fldCharType="end"/>
        </w:r>
      </w:hyperlink>
    </w:p>
    <w:p w14:paraId="4608B462" w14:textId="18E3BDC2"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35" w:history="1">
        <w:r w:rsidRPr="000C6FC3">
          <w:rPr>
            <w:rStyle w:val="Hyperlink"/>
          </w:rPr>
          <w:t>3.2</w:t>
        </w:r>
        <w:r>
          <w:rPr>
            <w:rFonts w:eastAsiaTheme="minorEastAsia" w:cstheme="minorBidi"/>
            <w:bCs w:val="0"/>
            <w:color w:val="auto"/>
            <w:kern w:val="2"/>
            <w:sz w:val="24"/>
            <w:szCs w:val="24"/>
            <w:lang w:val="en-IN" w:eastAsia="en-IN"/>
            <w14:ligatures w14:val="standardContextual"/>
          </w:rPr>
          <w:tab/>
        </w:r>
        <w:r w:rsidRPr="000C6FC3">
          <w:rPr>
            <w:rStyle w:val="Hyperlink"/>
          </w:rPr>
          <w:t>Assumptions</w:t>
        </w:r>
        <w:r>
          <w:rPr>
            <w:webHidden/>
          </w:rPr>
          <w:tab/>
        </w:r>
        <w:r>
          <w:rPr>
            <w:webHidden/>
          </w:rPr>
          <w:fldChar w:fldCharType="begin"/>
        </w:r>
        <w:r>
          <w:rPr>
            <w:webHidden/>
          </w:rPr>
          <w:instrText xml:space="preserve"> PAGEREF _Toc242553935 \h </w:instrText>
        </w:r>
        <w:r>
          <w:rPr>
            <w:webHidden/>
          </w:rPr>
        </w:r>
        <w:r>
          <w:rPr>
            <w:webHidden/>
          </w:rPr>
          <w:fldChar w:fldCharType="separate"/>
        </w:r>
        <w:r w:rsidR="00313050">
          <w:rPr>
            <w:webHidden/>
          </w:rPr>
          <w:t>100</w:t>
        </w:r>
        <w:r>
          <w:rPr>
            <w:webHidden/>
          </w:rPr>
          <w:fldChar w:fldCharType="end"/>
        </w:r>
      </w:hyperlink>
    </w:p>
    <w:p w14:paraId="56FCE2A6" w14:textId="76C8CA75"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36" w:history="1">
        <w:r w:rsidRPr="000C6FC3">
          <w:rPr>
            <w:rStyle w:val="Hyperlink"/>
          </w:rPr>
          <w:t>3.3</w:t>
        </w:r>
        <w:r>
          <w:rPr>
            <w:rFonts w:eastAsiaTheme="minorEastAsia" w:cstheme="minorBidi"/>
            <w:bCs w:val="0"/>
            <w:color w:val="auto"/>
            <w:kern w:val="2"/>
            <w:sz w:val="24"/>
            <w:szCs w:val="24"/>
            <w:lang w:val="en-IN" w:eastAsia="en-IN"/>
            <w14:ligatures w14:val="standardContextual"/>
          </w:rPr>
          <w:tab/>
        </w:r>
        <w:r w:rsidRPr="000C6FC3">
          <w:rPr>
            <w:rStyle w:val="Hyperlink"/>
          </w:rPr>
          <w:t>Solution Approach</w:t>
        </w:r>
        <w:r>
          <w:rPr>
            <w:webHidden/>
          </w:rPr>
          <w:tab/>
        </w:r>
        <w:r>
          <w:rPr>
            <w:webHidden/>
          </w:rPr>
          <w:fldChar w:fldCharType="begin"/>
        </w:r>
        <w:r>
          <w:rPr>
            <w:webHidden/>
          </w:rPr>
          <w:instrText xml:space="preserve"> PAGEREF _Toc242553936 \h </w:instrText>
        </w:r>
        <w:r>
          <w:rPr>
            <w:webHidden/>
          </w:rPr>
        </w:r>
        <w:r>
          <w:rPr>
            <w:webHidden/>
          </w:rPr>
          <w:fldChar w:fldCharType="separate"/>
        </w:r>
        <w:r w:rsidR="00313050">
          <w:rPr>
            <w:webHidden/>
          </w:rPr>
          <w:t>101</w:t>
        </w:r>
        <w:r>
          <w:rPr>
            <w:webHidden/>
          </w:rPr>
          <w:fldChar w:fldCharType="end"/>
        </w:r>
      </w:hyperlink>
    </w:p>
    <w:p w14:paraId="3E8FEC59" w14:textId="295239A0"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37" w:history="1">
        <w:r w:rsidRPr="000C6FC3">
          <w:rPr>
            <w:rStyle w:val="Hyperlink"/>
            <w:noProof/>
          </w:rPr>
          <w:t>3.3.1</w:t>
        </w:r>
        <w:r>
          <w:rPr>
            <w:rFonts w:asciiTheme="minorHAnsi" w:hAnsiTheme="minorHAnsi" w:cstheme="minorBidi"/>
            <w:noProof/>
            <w:kern w:val="2"/>
            <w:sz w:val="24"/>
            <w:szCs w:val="24"/>
            <w:lang w:val="en-IN" w:eastAsia="en-IN"/>
            <w14:ligatures w14:val="standardContextual"/>
          </w:rPr>
          <w:tab/>
        </w:r>
        <w:r w:rsidRPr="000C6FC3">
          <w:rPr>
            <w:rStyle w:val="Hyperlink"/>
            <w:noProof/>
          </w:rPr>
          <w:t>Data Platform Architecture and Layers</w:t>
        </w:r>
        <w:r>
          <w:rPr>
            <w:noProof/>
            <w:webHidden/>
          </w:rPr>
          <w:tab/>
        </w:r>
        <w:r>
          <w:rPr>
            <w:noProof/>
            <w:webHidden/>
          </w:rPr>
          <w:fldChar w:fldCharType="begin"/>
        </w:r>
        <w:r>
          <w:rPr>
            <w:noProof/>
            <w:webHidden/>
          </w:rPr>
          <w:instrText xml:space="preserve"> PAGEREF _Toc242553937 \h </w:instrText>
        </w:r>
        <w:r>
          <w:rPr>
            <w:noProof/>
            <w:webHidden/>
          </w:rPr>
        </w:r>
        <w:r>
          <w:rPr>
            <w:noProof/>
            <w:webHidden/>
          </w:rPr>
          <w:fldChar w:fldCharType="separate"/>
        </w:r>
        <w:r w:rsidR="00313050">
          <w:rPr>
            <w:noProof/>
            <w:webHidden/>
          </w:rPr>
          <w:t>101</w:t>
        </w:r>
        <w:r>
          <w:rPr>
            <w:noProof/>
            <w:webHidden/>
          </w:rPr>
          <w:fldChar w:fldCharType="end"/>
        </w:r>
      </w:hyperlink>
    </w:p>
    <w:p w14:paraId="326AD758" w14:textId="0A0ED373"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38" w:history="1">
        <w:r w:rsidRPr="000C6FC3">
          <w:rPr>
            <w:rStyle w:val="Hyperlink"/>
            <w:noProof/>
          </w:rPr>
          <w:t>3.3.2</w:t>
        </w:r>
        <w:r>
          <w:rPr>
            <w:rFonts w:asciiTheme="minorHAnsi" w:hAnsiTheme="minorHAnsi" w:cstheme="minorBidi"/>
            <w:noProof/>
            <w:kern w:val="2"/>
            <w:sz w:val="24"/>
            <w:szCs w:val="24"/>
            <w:lang w:val="en-IN" w:eastAsia="en-IN"/>
            <w14:ligatures w14:val="standardContextual"/>
          </w:rPr>
          <w:tab/>
        </w:r>
        <w:r w:rsidRPr="000C6FC3">
          <w:rPr>
            <w:rStyle w:val="Hyperlink"/>
            <w:noProof/>
          </w:rPr>
          <w:t>Data Sources and Source-to-Target Data Flow</w:t>
        </w:r>
        <w:r>
          <w:rPr>
            <w:noProof/>
            <w:webHidden/>
          </w:rPr>
          <w:tab/>
        </w:r>
        <w:r>
          <w:rPr>
            <w:noProof/>
            <w:webHidden/>
          </w:rPr>
          <w:fldChar w:fldCharType="begin"/>
        </w:r>
        <w:r>
          <w:rPr>
            <w:noProof/>
            <w:webHidden/>
          </w:rPr>
          <w:instrText xml:space="preserve"> PAGEREF _Toc242553938 \h </w:instrText>
        </w:r>
        <w:r>
          <w:rPr>
            <w:noProof/>
            <w:webHidden/>
          </w:rPr>
        </w:r>
        <w:r>
          <w:rPr>
            <w:noProof/>
            <w:webHidden/>
          </w:rPr>
          <w:fldChar w:fldCharType="separate"/>
        </w:r>
        <w:r w:rsidR="00313050">
          <w:rPr>
            <w:noProof/>
            <w:webHidden/>
          </w:rPr>
          <w:t>102</w:t>
        </w:r>
        <w:r>
          <w:rPr>
            <w:noProof/>
            <w:webHidden/>
          </w:rPr>
          <w:fldChar w:fldCharType="end"/>
        </w:r>
      </w:hyperlink>
    </w:p>
    <w:p w14:paraId="47D4099C" w14:textId="65C72754"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39" w:history="1">
        <w:r w:rsidRPr="000C6FC3">
          <w:rPr>
            <w:rStyle w:val="Hyperlink"/>
            <w:noProof/>
          </w:rPr>
          <w:t>3.3.3</w:t>
        </w:r>
        <w:r>
          <w:rPr>
            <w:rFonts w:asciiTheme="minorHAnsi" w:hAnsiTheme="minorHAnsi" w:cstheme="minorBidi"/>
            <w:noProof/>
            <w:kern w:val="2"/>
            <w:sz w:val="24"/>
            <w:szCs w:val="24"/>
            <w:lang w:val="en-IN" w:eastAsia="en-IN"/>
            <w14:ligatures w14:val="standardContextual"/>
          </w:rPr>
          <w:tab/>
        </w:r>
        <w:r w:rsidRPr="000C6FC3">
          <w:rPr>
            <w:rStyle w:val="Hyperlink"/>
            <w:noProof/>
          </w:rPr>
          <w:t>Data Ingestion and Load Approach</w:t>
        </w:r>
        <w:r>
          <w:rPr>
            <w:noProof/>
            <w:webHidden/>
          </w:rPr>
          <w:tab/>
        </w:r>
        <w:r>
          <w:rPr>
            <w:noProof/>
            <w:webHidden/>
          </w:rPr>
          <w:fldChar w:fldCharType="begin"/>
        </w:r>
        <w:r>
          <w:rPr>
            <w:noProof/>
            <w:webHidden/>
          </w:rPr>
          <w:instrText xml:space="preserve"> PAGEREF _Toc242553939 \h </w:instrText>
        </w:r>
        <w:r>
          <w:rPr>
            <w:noProof/>
            <w:webHidden/>
          </w:rPr>
        </w:r>
        <w:r>
          <w:rPr>
            <w:noProof/>
            <w:webHidden/>
          </w:rPr>
          <w:fldChar w:fldCharType="separate"/>
        </w:r>
        <w:r w:rsidR="00313050">
          <w:rPr>
            <w:noProof/>
            <w:webHidden/>
          </w:rPr>
          <w:t>103</w:t>
        </w:r>
        <w:r>
          <w:rPr>
            <w:noProof/>
            <w:webHidden/>
          </w:rPr>
          <w:fldChar w:fldCharType="end"/>
        </w:r>
      </w:hyperlink>
    </w:p>
    <w:p w14:paraId="2C8179D1" w14:textId="56CCB58E"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0" w:history="1">
        <w:r w:rsidRPr="000C6FC3">
          <w:rPr>
            <w:rStyle w:val="Hyperlink"/>
            <w:noProof/>
          </w:rPr>
          <w:t>3.3.4</w:t>
        </w:r>
        <w:r>
          <w:rPr>
            <w:rFonts w:asciiTheme="minorHAnsi" w:hAnsiTheme="minorHAnsi" w:cstheme="minorBidi"/>
            <w:noProof/>
            <w:kern w:val="2"/>
            <w:sz w:val="24"/>
            <w:szCs w:val="24"/>
            <w:lang w:val="en-IN" w:eastAsia="en-IN"/>
            <w14:ligatures w14:val="standardContextual"/>
          </w:rPr>
          <w:tab/>
        </w:r>
        <w:r w:rsidRPr="000C6FC3">
          <w:rPr>
            <w:rStyle w:val="Hyperlink"/>
            <w:noProof/>
          </w:rPr>
          <w:t>Reporting View Framework</w:t>
        </w:r>
        <w:r>
          <w:rPr>
            <w:noProof/>
            <w:webHidden/>
          </w:rPr>
          <w:tab/>
        </w:r>
        <w:r>
          <w:rPr>
            <w:noProof/>
            <w:webHidden/>
          </w:rPr>
          <w:fldChar w:fldCharType="begin"/>
        </w:r>
        <w:r>
          <w:rPr>
            <w:noProof/>
            <w:webHidden/>
          </w:rPr>
          <w:instrText xml:space="preserve"> PAGEREF _Toc242553940 \h </w:instrText>
        </w:r>
        <w:r>
          <w:rPr>
            <w:noProof/>
            <w:webHidden/>
          </w:rPr>
        </w:r>
        <w:r>
          <w:rPr>
            <w:noProof/>
            <w:webHidden/>
          </w:rPr>
          <w:fldChar w:fldCharType="separate"/>
        </w:r>
        <w:r w:rsidR="00313050">
          <w:rPr>
            <w:noProof/>
            <w:webHidden/>
          </w:rPr>
          <w:t>104</w:t>
        </w:r>
        <w:r>
          <w:rPr>
            <w:noProof/>
            <w:webHidden/>
          </w:rPr>
          <w:fldChar w:fldCharType="end"/>
        </w:r>
      </w:hyperlink>
    </w:p>
    <w:p w14:paraId="7E2B2016" w14:textId="769E7D2F"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1" w:history="1">
        <w:r w:rsidRPr="000C6FC3">
          <w:rPr>
            <w:rStyle w:val="Hyperlink"/>
            <w:noProof/>
          </w:rPr>
          <w:t>3.3.5</w:t>
        </w:r>
        <w:r>
          <w:rPr>
            <w:rFonts w:asciiTheme="minorHAnsi" w:hAnsiTheme="minorHAnsi" w:cstheme="minorBidi"/>
            <w:noProof/>
            <w:kern w:val="2"/>
            <w:sz w:val="24"/>
            <w:szCs w:val="24"/>
            <w:lang w:val="en-IN" w:eastAsia="en-IN"/>
            <w14:ligatures w14:val="standardContextual"/>
          </w:rPr>
          <w:tab/>
        </w:r>
        <w:r w:rsidRPr="000C6FC3">
          <w:rPr>
            <w:rStyle w:val="Hyperlink"/>
            <w:noProof/>
          </w:rPr>
          <w:t>Data Refresh and Frequency</w:t>
        </w:r>
        <w:r>
          <w:rPr>
            <w:noProof/>
            <w:webHidden/>
          </w:rPr>
          <w:tab/>
        </w:r>
        <w:r>
          <w:rPr>
            <w:noProof/>
            <w:webHidden/>
          </w:rPr>
          <w:fldChar w:fldCharType="begin"/>
        </w:r>
        <w:r>
          <w:rPr>
            <w:noProof/>
            <w:webHidden/>
          </w:rPr>
          <w:instrText xml:space="preserve"> PAGEREF _Toc242553941 \h </w:instrText>
        </w:r>
        <w:r>
          <w:rPr>
            <w:noProof/>
            <w:webHidden/>
          </w:rPr>
        </w:r>
        <w:r>
          <w:rPr>
            <w:noProof/>
            <w:webHidden/>
          </w:rPr>
          <w:fldChar w:fldCharType="separate"/>
        </w:r>
        <w:r w:rsidR="00313050">
          <w:rPr>
            <w:noProof/>
            <w:webHidden/>
          </w:rPr>
          <w:t>105</w:t>
        </w:r>
        <w:r>
          <w:rPr>
            <w:noProof/>
            <w:webHidden/>
          </w:rPr>
          <w:fldChar w:fldCharType="end"/>
        </w:r>
      </w:hyperlink>
    </w:p>
    <w:p w14:paraId="577AF20A" w14:textId="73ADD5DC"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2" w:history="1">
        <w:r w:rsidRPr="000C6FC3">
          <w:rPr>
            <w:rStyle w:val="Hyperlink"/>
            <w:noProof/>
          </w:rPr>
          <w:t>3.3.6</w:t>
        </w:r>
        <w:r>
          <w:rPr>
            <w:rFonts w:asciiTheme="minorHAnsi" w:hAnsiTheme="minorHAnsi" w:cstheme="minorBidi"/>
            <w:noProof/>
            <w:kern w:val="2"/>
            <w:sz w:val="24"/>
            <w:szCs w:val="24"/>
            <w:lang w:val="en-IN" w:eastAsia="en-IN"/>
            <w14:ligatures w14:val="standardContextual"/>
          </w:rPr>
          <w:tab/>
        </w:r>
        <w:r w:rsidRPr="000C6FC3">
          <w:rPr>
            <w:rStyle w:val="Hyperlink"/>
            <w:noProof/>
          </w:rPr>
          <w:t>Historical Data Requirements</w:t>
        </w:r>
        <w:r>
          <w:rPr>
            <w:noProof/>
            <w:webHidden/>
          </w:rPr>
          <w:tab/>
        </w:r>
        <w:r>
          <w:rPr>
            <w:noProof/>
            <w:webHidden/>
          </w:rPr>
          <w:fldChar w:fldCharType="begin"/>
        </w:r>
        <w:r>
          <w:rPr>
            <w:noProof/>
            <w:webHidden/>
          </w:rPr>
          <w:instrText xml:space="preserve"> PAGEREF _Toc242553942 \h </w:instrText>
        </w:r>
        <w:r>
          <w:rPr>
            <w:noProof/>
            <w:webHidden/>
          </w:rPr>
        </w:r>
        <w:r>
          <w:rPr>
            <w:noProof/>
            <w:webHidden/>
          </w:rPr>
          <w:fldChar w:fldCharType="separate"/>
        </w:r>
        <w:r w:rsidR="00313050">
          <w:rPr>
            <w:noProof/>
            <w:webHidden/>
          </w:rPr>
          <w:t>106</w:t>
        </w:r>
        <w:r>
          <w:rPr>
            <w:noProof/>
            <w:webHidden/>
          </w:rPr>
          <w:fldChar w:fldCharType="end"/>
        </w:r>
      </w:hyperlink>
    </w:p>
    <w:p w14:paraId="22A441D3" w14:textId="4CC11F1B"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3" w:history="1">
        <w:r w:rsidRPr="000C6FC3">
          <w:rPr>
            <w:rStyle w:val="Hyperlink"/>
            <w:noProof/>
          </w:rPr>
          <w:t>3.3.7</w:t>
        </w:r>
        <w:r>
          <w:rPr>
            <w:rFonts w:asciiTheme="minorHAnsi" w:hAnsiTheme="minorHAnsi" w:cstheme="minorBidi"/>
            <w:noProof/>
            <w:kern w:val="2"/>
            <w:sz w:val="24"/>
            <w:szCs w:val="24"/>
            <w:lang w:val="en-IN" w:eastAsia="en-IN"/>
            <w14:ligatures w14:val="standardContextual"/>
          </w:rPr>
          <w:tab/>
        </w:r>
        <w:r w:rsidRPr="000C6FC3">
          <w:rPr>
            <w:rStyle w:val="Hyperlink"/>
            <w:noProof/>
          </w:rPr>
          <w:t>Data Retention &amp; Archival Framework</w:t>
        </w:r>
        <w:r>
          <w:rPr>
            <w:noProof/>
            <w:webHidden/>
          </w:rPr>
          <w:tab/>
        </w:r>
        <w:r>
          <w:rPr>
            <w:noProof/>
            <w:webHidden/>
          </w:rPr>
          <w:fldChar w:fldCharType="begin"/>
        </w:r>
        <w:r>
          <w:rPr>
            <w:noProof/>
            <w:webHidden/>
          </w:rPr>
          <w:instrText xml:space="preserve"> PAGEREF _Toc242553943 \h </w:instrText>
        </w:r>
        <w:r>
          <w:rPr>
            <w:noProof/>
            <w:webHidden/>
          </w:rPr>
        </w:r>
        <w:r>
          <w:rPr>
            <w:noProof/>
            <w:webHidden/>
          </w:rPr>
          <w:fldChar w:fldCharType="separate"/>
        </w:r>
        <w:r w:rsidR="00313050">
          <w:rPr>
            <w:noProof/>
            <w:webHidden/>
          </w:rPr>
          <w:t>106</w:t>
        </w:r>
        <w:r>
          <w:rPr>
            <w:noProof/>
            <w:webHidden/>
          </w:rPr>
          <w:fldChar w:fldCharType="end"/>
        </w:r>
      </w:hyperlink>
    </w:p>
    <w:p w14:paraId="127E0D7A" w14:textId="658E8E79"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4" w:history="1">
        <w:r w:rsidRPr="000C6FC3">
          <w:rPr>
            <w:rStyle w:val="Hyperlink"/>
            <w:noProof/>
          </w:rPr>
          <w:t>3.3.8</w:t>
        </w:r>
        <w:r>
          <w:rPr>
            <w:rFonts w:asciiTheme="minorHAnsi" w:hAnsiTheme="minorHAnsi" w:cstheme="minorBidi"/>
            <w:noProof/>
            <w:kern w:val="2"/>
            <w:sz w:val="24"/>
            <w:szCs w:val="24"/>
            <w:lang w:val="en-IN" w:eastAsia="en-IN"/>
            <w14:ligatures w14:val="standardContextual"/>
          </w:rPr>
          <w:tab/>
        </w:r>
        <w:r w:rsidRPr="000C6FC3">
          <w:rPr>
            <w:rStyle w:val="Hyperlink"/>
            <w:noProof/>
          </w:rPr>
          <w:t>Housekeeping Framework</w:t>
        </w:r>
        <w:r>
          <w:rPr>
            <w:noProof/>
            <w:webHidden/>
          </w:rPr>
          <w:tab/>
        </w:r>
        <w:r>
          <w:rPr>
            <w:noProof/>
            <w:webHidden/>
          </w:rPr>
          <w:fldChar w:fldCharType="begin"/>
        </w:r>
        <w:r>
          <w:rPr>
            <w:noProof/>
            <w:webHidden/>
          </w:rPr>
          <w:instrText xml:space="preserve"> PAGEREF _Toc242553944 \h </w:instrText>
        </w:r>
        <w:r>
          <w:rPr>
            <w:noProof/>
            <w:webHidden/>
          </w:rPr>
        </w:r>
        <w:r>
          <w:rPr>
            <w:noProof/>
            <w:webHidden/>
          </w:rPr>
          <w:fldChar w:fldCharType="separate"/>
        </w:r>
        <w:r w:rsidR="00313050">
          <w:rPr>
            <w:noProof/>
            <w:webHidden/>
          </w:rPr>
          <w:t>107</w:t>
        </w:r>
        <w:r>
          <w:rPr>
            <w:noProof/>
            <w:webHidden/>
          </w:rPr>
          <w:fldChar w:fldCharType="end"/>
        </w:r>
      </w:hyperlink>
    </w:p>
    <w:p w14:paraId="08D7C249" w14:textId="0E35A954"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5" w:history="1">
        <w:r w:rsidRPr="000C6FC3">
          <w:rPr>
            <w:rStyle w:val="Hyperlink"/>
            <w:noProof/>
          </w:rPr>
          <w:t>3.3.9</w:t>
        </w:r>
        <w:r>
          <w:rPr>
            <w:rFonts w:asciiTheme="minorHAnsi" w:hAnsiTheme="minorHAnsi" w:cstheme="minorBidi"/>
            <w:noProof/>
            <w:kern w:val="2"/>
            <w:sz w:val="24"/>
            <w:szCs w:val="24"/>
            <w:lang w:val="en-IN" w:eastAsia="en-IN"/>
            <w14:ligatures w14:val="standardContextual"/>
          </w:rPr>
          <w:tab/>
        </w:r>
        <w:r w:rsidRPr="000C6FC3">
          <w:rPr>
            <w:rStyle w:val="Hyperlink"/>
            <w:noProof/>
          </w:rPr>
          <w:t>Data Validation and Data Quality</w:t>
        </w:r>
        <w:r>
          <w:rPr>
            <w:noProof/>
            <w:webHidden/>
          </w:rPr>
          <w:tab/>
        </w:r>
        <w:r>
          <w:rPr>
            <w:noProof/>
            <w:webHidden/>
          </w:rPr>
          <w:fldChar w:fldCharType="begin"/>
        </w:r>
        <w:r>
          <w:rPr>
            <w:noProof/>
            <w:webHidden/>
          </w:rPr>
          <w:instrText xml:space="preserve"> PAGEREF _Toc242553945 \h </w:instrText>
        </w:r>
        <w:r>
          <w:rPr>
            <w:noProof/>
            <w:webHidden/>
          </w:rPr>
        </w:r>
        <w:r>
          <w:rPr>
            <w:noProof/>
            <w:webHidden/>
          </w:rPr>
          <w:fldChar w:fldCharType="separate"/>
        </w:r>
        <w:r w:rsidR="00313050">
          <w:rPr>
            <w:noProof/>
            <w:webHidden/>
          </w:rPr>
          <w:t>107</w:t>
        </w:r>
        <w:r>
          <w:rPr>
            <w:noProof/>
            <w:webHidden/>
          </w:rPr>
          <w:fldChar w:fldCharType="end"/>
        </w:r>
      </w:hyperlink>
    </w:p>
    <w:p w14:paraId="58453080" w14:textId="18A43B02"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6" w:history="1">
        <w:r w:rsidRPr="000C6FC3">
          <w:rPr>
            <w:rStyle w:val="Hyperlink"/>
            <w:noProof/>
          </w:rPr>
          <w:t>3.3.10</w:t>
        </w:r>
        <w:r>
          <w:rPr>
            <w:rFonts w:asciiTheme="minorHAnsi" w:hAnsiTheme="minorHAnsi" w:cstheme="minorBidi"/>
            <w:noProof/>
            <w:kern w:val="2"/>
            <w:sz w:val="24"/>
            <w:szCs w:val="24"/>
            <w:lang w:val="en-IN" w:eastAsia="en-IN"/>
            <w14:ligatures w14:val="standardContextual"/>
          </w:rPr>
          <w:tab/>
        </w:r>
        <w:r w:rsidRPr="000C6FC3">
          <w:rPr>
            <w:rStyle w:val="Hyperlink"/>
            <w:noProof/>
          </w:rPr>
          <w:t>Environment Configuration</w:t>
        </w:r>
        <w:r>
          <w:rPr>
            <w:noProof/>
            <w:webHidden/>
          </w:rPr>
          <w:tab/>
        </w:r>
        <w:r>
          <w:rPr>
            <w:noProof/>
            <w:webHidden/>
          </w:rPr>
          <w:fldChar w:fldCharType="begin"/>
        </w:r>
        <w:r>
          <w:rPr>
            <w:noProof/>
            <w:webHidden/>
          </w:rPr>
          <w:instrText xml:space="preserve"> PAGEREF _Toc242553946 \h </w:instrText>
        </w:r>
        <w:r>
          <w:rPr>
            <w:noProof/>
            <w:webHidden/>
          </w:rPr>
        </w:r>
        <w:r>
          <w:rPr>
            <w:noProof/>
            <w:webHidden/>
          </w:rPr>
          <w:fldChar w:fldCharType="separate"/>
        </w:r>
        <w:r w:rsidR="00313050">
          <w:rPr>
            <w:noProof/>
            <w:webHidden/>
          </w:rPr>
          <w:t>108</w:t>
        </w:r>
        <w:r>
          <w:rPr>
            <w:noProof/>
            <w:webHidden/>
          </w:rPr>
          <w:fldChar w:fldCharType="end"/>
        </w:r>
      </w:hyperlink>
    </w:p>
    <w:p w14:paraId="7162915D" w14:textId="4EB54992"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47" w:history="1">
        <w:r w:rsidRPr="000C6FC3">
          <w:rPr>
            <w:rStyle w:val="Hyperlink"/>
          </w:rPr>
          <w:t>3.4</w:t>
        </w:r>
        <w:r>
          <w:rPr>
            <w:rFonts w:eastAsiaTheme="minorEastAsia" w:cstheme="minorBidi"/>
            <w:bCs w:val="0"/>
            <w:color w:val="auto"/>
            <w:kern w:val="2"/>
            <w:sz w:val="24"/>
            <w:szCs w:val="24"/>
            <w:lang w:val="en-IN" w:eastAsia="en-IN"/>
            <w14:ligatures w14:val="standardContextual"/>
          </w:rPr>
          <w:tab/>
        </w:r>
        <w:r w:rsidRPr="000C6FC3">
          <w:rPr>
            <w:rStyle w:val="Hyperlink"/>
          </w:rPr>
          <w:t>Release 1 - Data Entity Design (VCB tables in the IQDM database)</w:t>
        </w:r>
        <w:r>
          <w:rPr>
            <w:webHidden/>
          </w:rPr>
          <w:tab/>
        </w:r>
        <w:r>
          <w:rPr>
            <w:webHidden/>
          </w:rPr>
          <w:fldChar w:fldCharType="begin"/>
        </w:r>
        <w:r>
          <w:rPr>
            <w:webHidden/>
          </w:rPr>
          <w:instrText xml:space="preserve"> PAGEREF _Toc242553947 \h </w:instrText>
        </w:r>
        <w:r>
          <w:rPr>
            <w:webHidden/>
          </w:rPr>
        </w:r>
        <w:r>
          <w:rPr>
            <w:webHidden/>
          </w:rPr>
          <w:fldChar w:fldCharType="separate"/>
        </w:r>
        <w:r w:rsidR="00313050">
          <w:rPr>
            <w:webHidden/>
          </w:rPr>
          <w:t>108</w:t>
        </w:r>
        <w:r>
          <w:rPr>
            <w:webHidden/>
          </w:rPr>
          <w:fldChar w:fldCharType="end"/>
        </w:r>
      </w:hyperlink>
    </w:p>
    <w:p w14:paraId="6D6F8814" w14:textId="2AEFD741"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8" w:history="1">
        <w:r w:rsidRPr="000C6FC3">
          <w:rPr>
            <w:rStyle w:val="Hyperlink"/>
            <w:noProof/>
          </w:rPr>
          <w:t>3.4.1</w:t>
        </w:r>
        <w:r>
          <w:rPr>
            <w:rFonts w:asciiTheme="minorHAnsi" w:hAnsiTheme="minorHAnsi" w:cstheme="minorBidi"/>
            <w:noProof/>
            <w:kern w:val="2"/>
            <w:sz w:val="24"/>
            <w:szCs w:val="24"/>
            <w:lang w:val="en-IN" w:eastAsia="en-IN"/>
            <w14:ligatures w14:val="standardContextual"/>
          </w:rPr>
          <w:tab/>
        </w:r>
        <w:r w:rsidRPr="000C6FC3">
          <w:rPr>
            <w:rStyle w:val="Hyperlink"/>
            <w:noProof/>
          </w:rPr>
          <w:t>IQDM Tables Used by VCB</w:t>
        </w:r>
        <w:r>
          <w:rPr>
            <w:noProof/>
            <w:webHidden/>
          </w:rPr>
          <w:tab/>
        </w:r>
        <w:r>
          <w:rPr>
            <w:noProof/>
            <w:webHidden/>
          </w:rPr>
          <w:fldChar w:fldCharType="begin"/>
        </w:r>
        <w:r>
          <w:rPr>
            <w:noProof/>
            <w:webHidden/>
          </w:rPr>
          <w:instrText xml:space="preserve"> PAGEREF _Toc242553948 \h </w:instrText>
        </w:r>
        <w:r>
          <w:rPr>
            <w:noProof/>
            <w:webHidden/>
          </w:rPr>
        </w:r>
        <w:r>
          <w:rPr>
            <w:noProof/>
            <w:webHidden/>
          </w:rPr>
          <w:fldChar w:fldCharType="separate"/>
        </w:r>
        <w:r w:rsidR="00313050">
          <w:rPr>
            <w:noProof/>
            <w:webHidden/>
          </w:rPr>
          <w:t>109</w:t>
        </w:r>
        <w:r>
          <w:rPr>
            <w:noProof/>
            <w:webHidden/>
          </w:rPr>
          <w:fldChar w:fldCharType="end"/>
        </w:r>
      </w:hyperlink>
    </w:p>
    <w:p w14:paraId="6AC46BA9" w14:textId="47255987"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49" w:history="1">
        <w:r w:rsidRPr="000C6FC3">
          <w:rPr>
            <w:rStyle w:val="Hyperlink"/>
            <w:noProof/>
          </w:rPr>
          <w:t>3.4.2</w:t>
        </w:r>
        <w:r>
          <w:rPr>
            <w:rFonts w:asciiTheme="minorHAnsi" w:hAnsiTheme="minorHAnsi" w:cstheme="minorBidi"/>
            <w:noProof/>
            <w:kern w:val="2"/>
            <w:sz w:val="24"/>
            <w:szCs w:val="24"/>
            <w:lang w:val="en-IN" w:eastAsia="en-IN"/>
            <w14:ligatures w14:val="standardContextual"/>
          </w:rPr>
          <w:tab/>
        </w:r>
        <w:r w:rsidRPr="000C6FC3">
          <w:rPr>
            <w:rStyle w:val="Hyperlink"/>
            <w:noProof/>
          </w:rPr>
          <w:t>Product Specification Table</w:t>
        </w:r>
        <w:r>
          <w:rPr>
            <w:noProof/>
            <w:webHidden/>
          </w:rPr>
          <w:tab/>
        </w:r>
        <w:r>
          <w:rPr>
            <w:noProof/>
            <w:webHidden/>
          </w:rPr>
          <w:fldChar w:fldCharType="begin"/>
        </w:r>
        <w:r>
          <w:rPr>
            <w:noProof/>
            <w:webHidden/>
          </w:rPr>
          <w:instrText xml:space="preserve"> PAGEREF _Toc242553949 \h </w:instrText>
        </w:r>
        <w:r>
          <w:rPr>
            <w:noProof/>
            <w:webHidden/>
          </w:rPr>
        </w:r>
        <w:r>
          <w:rPr>
            <w:noProof/>
            <w:webHidden/>
          </w:rPr>
          <w:fldChar w:fldCharType="separate"/>
        </w:r>
        <w:r w:rsidR="00313050">
          <w:rPr>
            <w:noProof/>
            <w:webHidden/>
          </w:rPr>
          <w:t>110</w:t>
        </w:r>
        <w:r>
          <w:rPr>
            <w:noProof/>
            <w:webHidden/>
          </w:rPr>
          <w:fldChar w:fldCharType="end"/>
        </w:r>
      </w:hyperlink>
    </w:p>
    <w:p w14:paraId="0C63311A" w14:textId="023A01B3"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50" w:history="1">
        <w:r w:rsidRPr="000C6FC3">
          <w:rPr>
            <w:rStyle w:val="Hyperlink"/>
            <w:noProof/>
          </w:rPr>
          <w:t>3.4.3</w:t>
        </w:r>
        <w:r>
          <w:rPr>
            <w:rFonts w:asciiTheme="minorHAnsi" w:hAnsiTheme="minorHAnsi" w:cstheme="minorBidi"/>
            <w:noProof/>
            <w:kern w:val="2"/>
            <w:sz w:val="24"/>
            <w:szCs w:val="24"/>
            <w:lang w:val="en-IN" w:eastAsia="en-IN"/>
            <w14:ligatures w14:val="standardContextual"/>
          </w:rPr>
          <w:tab/>
        </w:r>
        <w:r w:rsidRPr="000C6FC3">
          <w:rPr>
            <w:rStyle w:val="Hyperlink"/>
            <w:noProof/>
          </w:rPr>
          <w:t>Calculation Inputs Not Held in IQDM</w:t>
        </w:r>
        <w:r>
          <w:rPr>
            <w:noProof/>
            <w:webHidden/>
          </w:rPr>
          <w:tab/>
        </w:r>
        <w:r>
          <w:rPr>
            <w:noProof/>
            <w:webHidden/>
          </w:rPr>
          <w:fldChar w:fldCharType="begin"/>
        </w:r>
        <w:r>
          <w:rPr>
            <w:noProof/>
            <w:webHidden/>
          </w:rPr>
          <w:instrText xml:space="preserve"> PAGEREF _Toc242553950 \h </w:instrText>
        </w:r>
        <w:r>
          <w:rPr>
            <w:noProof/>
            <w:webHidden/>
          </w:rPr>
        </w:r>
        <w:r>
          <w:rPr>
            <w:noProof/>
            <w:webHidden/>
          </w:rPr>
          <w:fldChar w:fldCharType="separate"/>
        </w:r>
        <w:r w:rsidR="00313050">
          <w:rPr>
            <w:noProof/>
            <w:webHidden/>
          </w:rPr>
          <w:t>111</w:t>
        </w:r>
        <w:r>
          <w:rPr>
            <w:noProof/>
            <w:webHidden/>
          </w:rPr>
          <w:fldChar w:fldCharType="end"/>
        </w:r>
      </w:hyperlink>
    </w:p>
    <w:p w14:paraId="545F6BEA" w14:textId="767B198D"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51" w:history="1">
        <w:r w:rsidRPr="000C6FC3">
          <w:rPr>
            <w:rStyle w:val="Hyperlink"/>
            <w:noProof/>
          </w:rPr>
          <w:t>3.4.4</w:t>
        </w:r>
        <w:r>
          <w:rPr>
            <w:rFonts w:asciiTheme="minorHAnsi" w:hAnsiTheme="minorHAnsi" w:cstheme="minorBidi"/>
            <w:noProof/>
            <w:kern w:val="2"/>
            <w:sz w:val="24"/>
            <w:szCs w:val="24"/>
            <w:lang w:val="en-IN" w:eastAsia="en-IN"/>
            <w14:ligatures w14:val="standardContextual"/>
          </w:rPr>
          <w:tab/>
        </w:r>
        <w:r w:rsidRPr="000C6FC3">
          <w:rPr>
            <w:rStyle w:val="Hyperlink"/>
            <w:noProof/>
          </w:rPr>
          <w:t>Reporting View Definitions</w:t>
        </w:r>
        <w:r>
          <w:rPr>
            <w:noProof/>
            <w:webHidden/>
          </w:rPr>
          <w:tab/>
        </w:r>
        <w:r>
          <w:rPr>
            <w:noProof/>
            <w:webHidden/>
          </w:rPr>
          <w:fldChar w:fldCharType="begin"/>
        </w:r>
        <w:r>
          <w:rPr>
            <w:noProof/>
            <w:webHidden/>
          </w:rPr>
          <w:instrText xml:space="preserve"> PAGEREF _Toc242553951 \h </w:instrText>
        </w:r>
        <w:r>
          <w:rPr>
            <w:noProof/>
            <w:webHidden/>
          </w:rPr>
        </w:r>
        <w:r>
          <w:rPr>
            <w:noProof/>
            <w:webHidden/>
          </w:rPr>
          <w:fldChar w:fldCharType="separate"/>
        </w:r>
        <w:r w:rsidR="00313050">
          <w:rPr>
            <w:noProof/>
            <w:webHidden/>
          </w:rPr>
          <w:t>112</w:t>
        </w:r>
        <w:r>
          <w:rPr>
            <w:noProof/>
            <w:webHidden/>
          </w:rPr>
          <w:fldChar w:fldCharType="end"/>
        </w:r>
      </w:hyperlink>
    </w:p>
    <w:p w14:paraId="6BBBD60F" w14:textId="4ACBB874"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52" w:history="1">
        <w:r w:rsidRPr="000C6FC3">
          <w:rPr>
            <w:rStyle w:val="Hyperlink"/>
            <w:noProof/>
          </w:rPr>
          <w:t>3.4.5</w:t>
        </w:r>
        <w:r>
          <w:rPr>
            <w:rFonts w:asciiTheme="minorHAnsi" w:hAnsiTheme="minorHAnsi" w:cstheme="minorBidi"/>
            <w:noProof/>
            <w:kern w:val="2"/>
            <w:sz w:val="24"/>
            <w:szCs w:val="24"/>
            <w:lang w:val="en-IN" w:eastAsia="en-IN"/>
            <w14:ligatures w14:val="standardContextual"/>
          </w:rPr>
          <w:tab/>
        </w:r>
        <w:r w:rsidRPr="000C6FC3">
          <w:rPr>
            <w:rStyle w:val="Hyperlink"/>
            <w:noProof/>
          </w:rPr>
          <w:t>Relationships Summary</w:t>
        </w:r>
        <w:r>
          <w:rPr>
            <w:noProof/>
            <w:webHidden/>
          </w:rPr>
          <w:tab/>
        </w:r>
        <w:r>
          <w:rPr>
            <w:noProof/>
            <w:webHidden/>
          </w:rPr>
          <w:fldChar w:fldCharType="begin"/>
        </w:r>
        <w:r>
          <w:rPr>
            <w:noProof/>
            <w:webHidden/>
          </w:rPr>
          <w:instrText xml:space="preserve"> PAGEREF _Toc242553952 \h </w:instrText>
        </w:r>
        <w:r>
          <w:rPr>
            <w:noProof/>
            <w:webHidden/>
          </w:rPr>
        </w:r>
        <w:r>
          <w:rPr>
            <w:noProof/>
            <w:webHidden/>
          </w:rPr>
          <w:fldChar w:fldCharType="separate"/>
        </w:r>
        <w:r w:rsidR="00313050">
          <w:rPr>
            <w:noProof/>
            <w:webHidden/>
          </w:rPr>
          <w:t>125</w:t>
        </w:r>
        <w:r>
          <w:rPr>
            <w:noProof/>
            <w:webHidden/>
          </w:rPr>
          <w:fldChar w:fldCharType="end"/>
        </w:r>
      </w:hyperlink>
    </w:p>
    <w:p w14:paraId="200FE66D" w14:textId="537DA8F1"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53" w:history="1">
        <w:r w:rsidRPr="000C6FC3">
          <w:rPr>
            <w:rStyle w:val="Hyperlink"/>
          </w:rPr>
          <w:t>3.5</w:t>
        </w:r>
        <w:r>
          <w:rPr>
            <w:rFonts w:eastAsiaTheme="minorEastAsia" w:cstheme="minorBidi"/>
            <w:bCs w:val="0"/>
            <w:color w:val="auto"/>
            <w:kern w:val="2"/>
            <w:sz w:val="24"/>
            <w:szCs w:val="24"/>
            <w:lang w:val="en-IN" w:eastAsia="en-IN"/>
            <w14:ligatures w14:val="standardContextual"/>
          </w:rPr>
          <w:tab/>
        </w:r>
        <w:r w:rsidRPr="000C6FC3">
          <w:rPr>
            <w:rStyle w:val="Hyperlink"/>
          </w:rPr>
          <w:t>Release 2 - Data Entity Design (VCB tables in the IQDM database)</w:t>
        </w:r>
        <w:r>
          <w:rPr>
            <w:webHidden/>
          </w:rPr>
          <w:tab/>
        </w:r>
        <w:r>
          <w:rPr>
            <w:webHidden/>
          </w:rPr>
          <w:fldChar w:fldCharType="begin"/>
        </w:r>
        <w:r>
          <w:rPr>
            <w:webHidden/>
          </w:rPr>
          <w:instrText xml:space="preserve"> PAGEREF _Toc242553953 \h </w:instrText>
        </w:r>
        <w:r>
          <w:rPr>
            <w:webHidden/>
          </w:rPr>
        </w:r>
        <w:r>
          <w:rPr>
            <w:webHidden/>
          </w:rPr>
          <w:fldChar w:fldCharType="separate"/>
        </w:r>
        <w:r w:rsidR="00313050">
          <w:rPr>
            <w:webHidden/>
          </w:rPr>
          <w:t>125</w:t>
        </w:r>
        <w:r>
          <w:rPr>
            <w:webHidden/>
          </w:rPr>
          <w:fldChar w:fldCharType="end"/>
        </w:r>
      </w:hyperlink>
    </w:p>
    <w:p w14:paraId="1D07A982" w14:textId="3BA8FDCA"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54" w:history="1">
        <w:r w:rsidRPr="000C6FC3">
          <w:rPr>
            <w:rStyle w:val="Hyperlink"/>
            <w:noProof/>
          </w:rPr>
          <w:t>3.5.1</w:t>
        </w:r>
        <w:r>
          <w:rPr>
            <w:rFonts w:asciiTheme="minorHAnsi" w:hAnsiTheme="minorHAnsi" w:cstheme="minorBidi"/>
            <w:noProof/>
            <w:kern w:val="2"/>
            <w:sz w:val="24"/>
            <w:szCs w:val="24"/>
            <w:lang w:val="en-IN" w:eastAsia="en-IN"/>
            <w14:ligatures w14:val="standardContextual"/>
          </w:rPr>
          <w:tab/>
        </w:r>
        <w:r w:rsidRPr="000C6FC3">
          <w:rPr>
            <w:rStyle w:val="Hyperlink"/>
            <w:noProof/>
          </w:rPr>
          <w:t>Blend Component Detail Table</w:t>
        </w:r>
        <w:r>
          <w:rPr>
            <w:noProof/>
            <w:webHidden/>
          </w:rPr>
          <w:tab/>
        </w:r>
        <w:r>
          <w:rPr>
            <w:noProof/>
            <w:webHidden/>
          </w:rPr>
          <w:fldChar w:fldCharType="begin"/>
        </w:r>
        <w:r>
          <w:rPr>
            <w:noProof/>
            <w:webHidden/>
          </w:rPr>
          <w:instrText xml:space="preserve"> PAGEREF _Toc242553954 \h </w:instrText>
        </w:r>
        <w:r>
          <w:rPr>
            <w:noProof/>
            <w:webHidden/>
          </w:rPr>
        </w:r>
        <w:r>
          <w:rPr>
            <w:noProof/>
            <w:webHidden/>
          </w:rPr>
          <w:fldChar w:fldCharType="separate"/>
        </w:r>
        <w:r w:rsidR="00313050">
          <w:rPr>
            <w:noProof/>
            <w:webHidden/>
          </w:rPr>
          <w:t>125</w:t>
        </w:r>
        <w:r>
          <w:rPr>
            <w:noProof/>
            <w:webHidden/>
          </w:rPr>
          <w:fldChar w:fldCharType="end"/>
        </w:r>
      </w:hyperlink>
    </w:p>
    <w:p w14:paraId="49FEA5C2" w14:textId="22FDD2C3"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55" w:history="1">
        <w:r w:rsidRPr="000C6FC3">
          <w:rPr>
            <w:rStyle w:val="Hyperlink"/>
          </w:rPr>
          <w:t>3.6</w:t>
        </w:r>
        <w:r>
          <w:rPr>
            <w:rFonts w:eastAsiaTheme="minorEastAsia" w:cstheme="minorBidi"/>
            <w:bCs w:val="0"/>
            <w:color w:val="auto"/>
            <w:kern w:val="2"/>
            <w:sz w:val="24"/>
            <w:szCs w:val="24"/>
            <w:lang w:val="en-IN" w:eastAsia="en-IN"/>
            <w14:ligatures w14:val="standardContextual"/>
          </w:rPr>
          <w:tab/>
        </w:r>
        <w:r w:rsidRPr="000C6FC3">
          <w:rPr>
            <w:rStyle w:val="Hyperlink"/>
          </w:rPr>
          <w:t>Release 3 - Data Entity Design (VCB tables in the IQDM database)</w:t>
        </w:r>
        <w:r>
          <w:rPr>
            <w:webHidden/>
          </w:rPr>
          <w:tab/>
        </w:r>
        <w:r>
          <w:rPr>
            <w:webHidden/>
          </w:rPr>
          <w:fldChar w:fldCharType="begin"/>
        </w:r>
        <w:r>
          <w:rPr>
            <w:webHidden/>
          </w:rPr>
          <w:instrText xml:space="preserve"> PAGEREF _Toc242553955 \h </w:instrText>
        </w:r>
        <w:r>
          <w:rPr>
            <w:webHidden/>
          </w:rPr>
        </w:r>
        <w:r>
          <w:rPr>
            <w:webHidden/>
          </w:rPr>
          <w:fldChar w:fldCharType="separate"/>
        </w:r>
        <w:r w:rsidR="00313050">
          <w:rPr>
            <w:webHidden/>
          </w:rPr>
          <w:t>127</w:t>
        </w:r>
        <w:r>
          <w:rPr>
            <w:webHidden/>
          </w:rPr>
          <w:fldChar w:fldCharType="end"/>
        </w:r>
      </w:hyperlink>
    </w:p>
    <w:p w14:paraId="4929F2E5" w14:textId="288ABAAB"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56" w:history="1">
        <w:r w:rsidRPr="000C6FC3">
          <w:rPr>
            <w:rStyle w:val="Hyperlink"/>
            <w:noProof/>
          </w:rPr>
          <w:t>3.6.1</w:t>
        </w:r>
        <w:r>
          <w:rPr>
            <w:rFonts w:asciiTheme="minorHAnsi" w:hAnsiTheme="minorHAnsi" w:cstheme="minorBidi"/>
            <w:noProof/>
            <w:kern w:val="2"/>
            <w:sz w:val="24"/>
            <w:szCs w:val="24"/>
            <w:lang w:val="en-IN" w:eastAsia="en-IN"/>
            <w14:ligatures w14:val="standardContextual"/>
          </w:rPr>
          <w:tab/>
        </w:r>
        <w:r w:rsidRPr="000C6FC3">
          <w:rPr>
            <w:rStyle w:val="Hyperlink"/>
            <w:noProof/>
          </w:rPr>
          <w:t>Blend Component Movement Table</w:t>
        </w:r>
        <w:r>
          <w:rPr>
            <w:noProof/>
            <w:webHidden/>
          </w:rPr>
          <w:tab/>
        </w:r>
        <w:r>
          <w:rPr>
            <w:noProof/>
            <w:webHidden/>
          </w:rPr>
          <w:fldChar w:fldCharType="begin"/>
        </w:r>
        <w:r>
          <w:rPr>
            <w:noProof/>
            <w:webHidden/>
          </w:rPr>
          <w:instrText xml:space="preserve"> PAGEREF _Toc242553956 \h </w:instrText>
        </w:r>
        <w:r>
          <w:rPr>
            <w:noProof/>
            <w:webHidden/>
          </w:rPr>
        </w:r>
        <w:r>
          <w:rPr>
            <w:noProof/>
            <w:webHidden/>
          </w:rPr>
          <w:fldChar w:fldCharType="separate"/>
        </w:r>
        <w:r w:rsidR="00313050">
          <w:rPr>
            <w:noProof/>
            <w:webHidden/>
          </w:rPr>
          <w:t>127</w:t>
        </w:r>
        <w:r>
          <w:rPr>
            <w:noProof/>
            <w:webHidden/>
          </w:rPr>
          <w:fldChar w:fldCharType="end"/>
        </w:r>
      </w:hyperlink>
    </w:p>
    <w:p w14:paraId="695818D9" w14:textId="7AA579F1"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57" w:history="1">
        <w:r w:rsidRPr="000C6FC3">
          <w:rPr>
            <w:rStyle w:val="Hyperlink"/>
          </w:rPr>
          <w:t>3.7</w:t>
        </w:r>
        <w:r>
          <w:rPr>
            <w:rFonts w:eastAsiaTheme="minorEastAsia" w:cstheme="minorBidi"/>
            <w:bCs w:val="0"/>
            <w:color w:val="auto"/>
            <w:kern w:val="2"/>
            <w:sz w:val="24"/>
            <w:szCs w:val="24"/>
            <w:lang w:val="en-IN" w:eastAsia="en-IN"/>
            <w14:ligatures w14:val="standardContextual"/>
          </w:rPr>
          <w:tab/>
        </w:r>
        <w:r w:rsidRPr="000C6FC3">
          <w:rPr>
            <w:rStyle w:val="Hyperlink"/>
          </w:rPr>
          <w:t>Data Platform Gaps Requiring Confirmation</w:t>
        </w:r>
        <w:r>
          <w:rPr>
            <w:webHidden/>
          </w:rPr>
          <w:tab/>
        </w:r>
        <w:r>
          <w:rPr>
            <w:webHidden/>
          </w:rPr>
          <w:fldChar w:fldCharType="begin"/>
        </w:r>
        <w:r>
          <w:rPr>
            <w:webHidden/>
          </w:rPr>
          <w:instrText xml:space="preserve"> PAGEREF _Toc242553957 \h </w:instrText>
        </w:r>
        <w:r>
          <w:rPr>
            <w:webHidden/>
          </w:rPr>
        </w:r>
        <w:r>
          <w:rPr>
            <w:webHidden/>
          </w:rPr>
          <w:fldChar w:fldCharType="separate"/>
        </w:r>
        <w:r w:rsidR="00313050">
          <w:rPr>
            <w:webHidden/>
          </w:rPr>
          <w:t>128</w:t>
        </w:r>
        <w:r>
          <w:rPr>
            <w:webHidden/>
          </w:rPr>
          <w:fldChar w:fldCharType="end"/>
        </w:r>
      </w:hyperlink>
    </w:p>
    <w:p w14:paraId="73BE3EFB" w14:textId="36543E40" w:rsidR="00FC42E7" w:rsidRDefault="00FC42E7">
      <w:pPr>
        <w:pStyle w:val="TOC1"/>
        <w:rPr>
          <w:rFonts w:eastAsiaTheme="minorEastAsia" w:cstheme="minorBidi"/>
          <w:b w:val="0"/>
          <w:bCs w:val="0"/>
          <w:kern w:val="2"/>
          <w:sz w:val="24"/>
          <w:szCs w:val="24"/>
          <w:lang w:val="en-IN" w:eastAsia="en-IN"/>
          <w14:ligatures w14:val="standardContextual"/>
        </w:rPr>
      </w:pPr>
      <w:hyperlink w:anchor="_Toc242553958" w:history="1">
        <w:r w:rsidRPr="000C6FC3">
          <w:rPr>
            <w:rStyle w:val="Hyperlink"/>
          </w:rPr>
          <w:t>4</w:t>
        </w:r>
        <w:r>
          <w:rPr>
            <w:rFonts w:eastAsiaTheme="minorEastAsia" w:cstheme="minorBidi"/>
            <w:b w:val="0"/>
            <w:bCs w:val="0"/>
            <w:kern w:val="2"/>
            <w:sz w:val="24"/>
            <w:szCs w:val="24"/>
            <w:lang w:val="en-IN" w:eastAsia="en-IN"/>
            <w14:ligatures w14:val="standardContextual"/>
          </w:rPr>
          <w:tab/>
        </w:r>
        <w:r w:rsidRPr="000C6FC3">
          <w:rPr>
            <w:rStyle w:val="Hyperlink"/>
          </w:rPr>
          <w:t>Reports and dashboards</w:t>
        </w:r>
        <w:r>
          <w:rPr>
            <w:webHidden/>
          </w:rPr>
          <w:tab/>
        </w:r>
        <w:r>
          <w:rPr>
            <w:webHidden/>
          </w:rPr>
          <w:fldChar w:fldCharType="begin"/>
        </w:r>
        <w:r>
          <w:rPr>
            <w:webHidden/>
          </w:rPr>
          <w:instrText xml:space="preserve"> PAGEREF _Toc242553958 \h </w:instrText>
        </w:r>
        <w:r>
          <w:rPr>
            <w:webHidden/>
          </w:rPr>
        </w:r>
        <w:r>
          <w:rPr>
            <w:webHidden/>
          </w:rPr>
          <w:fldChar w:fldCharType="separate"/>
        </w:r>
        <w:r w:rsidR="00313050">
          <w:rPr>
            <w:webHidden/>
          </w:rPr>
          <w:t>130</w:t>
        </w:r>
        <w:r>
          <w:rPr>
            <w:webHidden/>
          </w:rPr>
          <w:fldChar w:fldCharType="end"/>
        </w:r>
      </w:hyperlink>
    </w:p>
    <w:p w14:paraId="64831094" w14:textId="3E6AF3A5"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59" w:history="1">
        <w:r w:rsidRPr="000C6FC3">
          <w:rPr>
            <w:rStyle w:val="Hyperlink"/>
          </w:rPr>
          <w:t>4.1</w:t>
        </w:r>
        <w:r>
          <w:rPr>
            <w:rFonts w:eastAsiaTheme="minorEastAsia" w:cstheme="minorBidi"/>
            <w:bCs w:val="0"/>
            <w:color w:val="auto"/>
            <w:kern w:val="2"/>
            <w:sz w:val="24"/>
            <w:szCs w:val="24"/>
            <w:lang w:val="en-IN" w:eastAsia="en-IN"/>
            <w14:ligatures w14:val="standardContextual"/>
          </w:rPr>
          <w:tab/>
        </w:r>
        <w:r w:rsidRPr="000C6FC3">
          <w:rPr>
            <w:rStyle w:val="Hyperlink"/>
          </w:rPr>
          <w:t>Scope</w:t>
        </w:r>
        <w:r>
          <w:rPr>
            <w:webHidden/>
          </w:rPr>
          <w:tab/>
        </w:r>
        <w:r>
          <w:rPr>
            <w:webHidden/>
          </w:rPr>
          <w:fldChar w:fldCharType="begin"/>
        </w:r>
        <w:r>
          <w:rPr>
            <w:webHidden/>
          </w:rPr>
          <w:instrText xml:space="preserve"> PAGEREF _Toc242553959 \h </w:instrText>
        </w:r>
        <w:r>
          <w:rPr>
            <w:webHidden/>
          </w:rPr>
        </w:r>
        <w:r>
          <w:rPr>
            <w:webHidden/>
          </w:rPr>
          <w:fldChar w:fldCharType="separate"/>
        </w:r>
        <w:r w:rsidR="00313050">
          <w:rPr>
            <w:webHidden/>
          </w:rPr>
          <w:t>130</w:t>
        </w:r>
        <w:r>
          <w:rPr>
            <w:webHidden/>
          </w:rPr>
          <w:fldChar w:fldCharType="end"/>
        </w:r>
      </w:hyperlink>
    </w:p>
    <w:p w14:paraId="131FDF1A" w14:textId="2626F070"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60" w:history="1">
        <w:r w:rsidRPr="000C6FC3">
          <w:rPr>
            <w:rStyle w:val="Hyperlink"/>
            <w:noProof/>
          </w:rPr>
          <w:t>4.1.1</w:t>
        </w:r>
        <w:r>
          <w:rPr>
            <w:rFonts w:asciiTheme="minorHAnsi" w:hAnsiTheme="minorHAnsi" w:cstheme="minorBidi"/>
            <w:noProof/>
            <w:kern w:val="2"/>
            <w:sz w:val="24"/>
            <w:szCs w:val="24"/>
            <w:lang w:val="en-IN" w:eastAsia="en-IN"/>
            <w14:ligatures w14:val="standardContextual"/>
          </w:rPr>
          <w:tab/>
        </w:r>
        <w:r w:rsidRPr="000C6FC3">
          <w:rPr>
            <w:rStyle w:val="Hyperlink"/>
            <w:noProof/>
          </w:rPr>
          <w:t>In Scope</w:t>
        </w:r>
        <w:r>
          <w:rPr>
            <w:noProof/>
            <w:webHidden/>
          </w:rPr>
          <w:tab/>
        </w:r>
        <w:r>
          <w:rPr>
            <w:noProof/>
            <w:webHidden/>
          </w:rPr>
          <w:fldChar w:fldCharType="begin"/>
        </w:r>
        <w:r>
          <w:rPr>
            <w:noProof/>
            <w:webHidden/>
          </w:rPr>
          <w:instrText xml:space="preserve"> PAGEREF _Toc242553960 \h </w:instrText>
        </w:r>
        <w:r>
          <w:rPr>
            <w:noProof/>
            <w:webHidden/>
          </w:rPr>
        </w:r>
        <w:r>
          <w:rPr>
            <w:noProof/>
            <w:webHidden/>
          </w:rPr>
          <w:fldChar w:fldCharType="separate"/>
        </w:r>
        <w:r w:rsidR="00313050">
          <w:rPr>
            <w:noProof/>
            <w:webHidden/>
          </w:rPr>
          <w:t>130</w:t>
        </w:r>
        <w:r>
          <w:rPr>
            <w:noProof/>
            <w:webHidden/>
          </w:rPr>
          <w:fldChar w:fldCharType="end"/>
        </w:r>
      </w:hyperlink>
    </w:p>
    <w:p w14:paraId="48BE9A0C" w14:textId="1D19606C"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61" w:history="1">
        <w:r w:rsidRPr="000C6FC3">
          <w:rPr>
            <w:rStyle w:val="Hyperlink"/>
            <w:noProof/>
          </w:rPr>
          <w:t>4.1.2</w:t>
        </w:r>
        <w:r>
          <w:rPr>
            <w:rFonts w:asciiTheme="minorHAnsi" w:hAnsiTheme="minorHAnsi" w:cstheme="minorBidi"/>
            <w:noProof/>
            <w:kern w:val="2"/>
            <w:sz w:val="24"/>
            <w:szCs w:val="24"/>
            <w:lang w:val="en-IN" w:eastAsia="en-IN"/>
            <w14:ligatures w14:val="standardContextual"/>
          </w:rPr>
          <w:tab/>
        </w:r>
        <w:r w:rsidRPr="000C6FC3">
          <w:rPr>
            <w:rStyle w:val="Hyperlink"/>
            <w:noProof/>
          </w:rPr>
          <w:t>Out of Scope</w:t>
        </w:r>
        <w:r>
          <w:rPr>
            <w:noProof/>
            <w:webHidden/>
          </w:rPr>
          <w:tab/>
        </w:r>
        <w:r>
          <w:rPr>
            <w:noProof/>
            <w:webHidden/>
          </w:rPr>
          <w:fldChar w:fldCharType="begin"/>
        </w:r>
        <w:r>
          <w:rPr>
            <w:noProof/>
            <w:webHidden/>
          </w:rPr>
          <w:instrText xml:space="preserve"> PAGEREF _Toc242553961 \h </w:instrText>
        </w:r>
        <w:r>
          <w:rPr>
            <w:noProof/>
            <w:webHidden/>
          </w:rPr>
        </w:r>
        <w:r>
          <w:rPr>
            <w:noProof/>
            <w:webHidden/>
          </w:rPr>
          <w:fldChar w:fldCharType="separate"/>
        </w:r>
        <w:r w:rsidR="00313050">
          <w:rPr>
            <w:noProof/>
            <w:webHidden/>
          </w:rPr>
          <w:t>130</w:t>
        </w:r>
        <w:r>
          <w:rPr>
            <w:noProof/>
            <w:webHidden/>
          </w:rPr>
          <w:fldChar w:fldCharType="end"/>
        </w:r>
      </w:hyperlink>
    </w:p>
    <w:p w14:paraId="5328A1A3" w14:textId="053C6B8F"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62" w:history="1">
        <w:r w:rsidRPr="000C6FC3">
          <w:rPr>
            <w:rStyle w:val="Hyperlink"/>
          </w:rPr>
          <w:t>4.2</w:t>
        </w:r>
        <w:r>
          <w:rPr>
            <w:rFonts w:eastAsiaTheme="minorEastAsia" w:cstheme="minorBidi"/>
            <w:bCs w:val="0"/>
            <w:color w:val="auto"/>
            <w:kern w:val="2"/>
            <w:sz w:val="24"/>
            <w:szCs w:val="24"/>
            <w:lang w:val="en-IN" w:eastAsia="en-IN"/>
            <w14:ligatures w14:val="standardContextual"/>
          </w:rPr>
          <w:tab/>
        </w:r>
        <w:r w:rsidRPr="000C6FC3">
          <w:rPr>
            <w:rStyle w:val="Hyperlink"/>
          </w:rPr>
          <w:t>Assumptions</w:t>
        </w:r>
        <w:r>
          <w:rPr>
            <w:webHidden/>
          </w:rPr>
          <w:tab/>
        </w:r>
        <w:r>
          <w:rPr>
            <w:webHidden/>
          </w:rPr>
          <w:fldChar w:fldCharType="begin"/>
        </w:r>
        <w:r>
          <w:rPr>
            <w:webHidden/>
          </w:rPr>
          <w:instrText xml:space="preserve"> PAGEREF _Toc242553962 \h </w:instrText>
        </w:r>
        <w:r>
          <w:rPr>
            <w:webHidden/>
          </w:rPr>
        </w:r>
        <w:r>
          <w:rPr>
            <w:webHidden/>
          </w:rPr>
          <w:fldChar w:fldCharType="separate"/>
        </w:r>
        <w:r w:rsidR="00313050">
          <w:rPr>
            <w:webHidden/>
          </w:rPr>
          <w:t>130</w:t>
        </w:r>
        <w:r>
          <w:rPr>
            <w:webHidden/>
          </w:rPr>
          <w:fldChar w:fldCharType="end"/>
        </w:r>
      </w:hyperlink>
    </w:p>
    <w:p w14:paraId="58CDDDE7" w14:textId="25BA465B"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63" w:history="1">
        <w:r w:rsidRPr="000C6FC3">
          <w:rPr>
            <w:rStyle w:val="Hyperlink"/>
          </w:rPr>
          <w:t>4.3</w:t>
        </w:r>
        <w:r>
          <w:rPr>
            <w:rFonts w:eastAsiaTheme="minorEastAsia" w:cstheme="minorBidi"/>
            <w:bCs w:val="0"/>
            <w:color w:val="auto"/>
            <w:kern w:val="2"/>
            <w:sz w:val="24"/>
            <w:szCs w:val="24"/>
            <w:lang w:val="en-IN" w:eastAsia="en-IN"/>
            <w14:ligatures w14:val="standardContextual"/>
          </w:rPr>
          <w:tab/>
        </w:r>
        <w:r w:rsidRPr="000C6FC3">
          <w:rPr>
            <w:rStyle w:val="Hyperlink"/>
          </w:rPr>
          <w:t>Objective</w:t>
        </w:r>
        <w:r>
          <w:rPr>
            <w:webHidden/>
          </w:rPr>
          <w:tab/>
        </w:r>
        <w:r>
          <w:rPr>
            <w:webHidden/>
          </w:rPr>
          <w:fldChar w:fldCharType="begin"/>
        </w:r>
        <w:r>
          <w:rPr>
            <w:webHidden/>
          </w:rPr>
          <w:instrText xml:space="preserve"> PAGEREF _Toc242553963 \h </w:instrText>
        </w:r>
        <w:r>
          <w:rPr>
            <w:webHidden/>
          </w:rPr>
        </w:r>
        <w:r>
          <w:rPr>
            <w:webHidden/>
          </w:rPr>
          <w:fldChar w:fldCharType="separate"/>
        </w:r>
        <w:r w:rsidR="00313050">
          <w:rPr>
            <w:webHidden/>
          </w:rPr>
          <w:t>130</w:t>
        </w:r>
        <w:r>
          <w:rPr>
            <w:webHidden/>
          </w:rPr>
          <w:fldChar w:fldCharType="end"/>
        </w:r>
      </w:hyperlink>
    </w:p>
    <w:p w14:paraId="6CC6D223" w14:textId="36FC78EA"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64" w:history="1">
        <w:r w:rsidRPr="000C6FC3">
          <w:rPr>
            <w:rStyle w:val="Hyperlink"/>
          </w:rPr>
          <w:t>4.4</w:t>
        </w:r>
        <w:r>
          <w:rPr>
            <w:rFonts w:eastAsiaTheme="minorEastAsia" w:cstheme="minorBidi"/>
            <w:bCs w:val="0"/>
            <w:color w:val="auto"/>
            <w:kern w:val="2"/>
            <w:sz w:val="24"/>
            <w:szCs w:val="24"/>
            <w:lang w:val="en-IN" w:eastAsia="en-IN"/>
            <w14:ligatures w14:val="standardContextual"/>
          </w:rPr>
          <w:tab/>
        </w:r>
        <w:r w:rsidRPr="000C6FC3">
          <w:rPr>
            <w:rStyle w:val="Hyperlink"/>
          </w:rPr>
          <w:t>Solution Approach</w:t>
        </w:r>
        <w:r>
          <w:rPr>
            <w:webHidden/>
          </w:rPr>
          <w:tab/>
        </w:r>
        <w:r>
          <w:rPr>
            <w:webHidden/>
          </w:rPr>
          <w:fldChar w:fldCharType="begin"/>
        </w:r>
        <w:r>
          <w:rPr>
            <w:webHidden/>
          </w:rPr>
          <w:instrText xml:space="preserve"> PAGEREF _Toc242553964 \h </w:instrText>
        </w:r>
        <w:r>
          <w:rPr>
            <w:webHidden/>
          </w:rPr>
        </w:r>
        <w:r>
          <w:rPr>
            <w:webHidden/>
          </w:rPr>
          <w:fldChar w:fldCharType="separate"/>
        </w:r>
        <w:r w:rsidR="00313050">
          <w:rPr>
            <w:webHidden/>
          </w:rPr>
          <w:t>131</w:t>
        </w:r>
        <w:r>
          <w:rPr>
            <w:webHidden/>
          </w:rPr>
          <w:fldChar w:fldCharType="end"/>
        </w:r>
      </w:hyperlink>
    </w:p>
    <w:p w14:paraId="22788626" w14:textId="6DF83978"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65" w:history="1">
        <w:r w:rsidRPr="000C6FC3">
          <w:rPr>
            <w:rStyle w:val="Hyperlink"/>
            <w:noProof/>
          </w:rPr>
          <w:t>4.4.1</w:t>
        </w:r>
        <w:r>
          <w:rPr>
            <w:rFonts w:asciiTheme="minorHAnsi" w:hAnsiTheme="minorHAnsi" w:cstheme="minorBidi"/>
            <w:noProof/>
            <w:kern w:val="2"/>
            <w:sz w:val="24"/>
            <w:szCs w:val="24"/>
            <w:lang w:val="en-IN" w:eastAsia="en-IN"/>
            <w14:ligatures w14:val="standardContextual"/>
          </w:rPr>
          <w:tab/>
        </w:r>
        <w:r w:rsidRPr="000C6FC3">
          <w:rPr>
            <w:rStyle w:val="Hyperlink"/>
            <w:noProof/>
          </w:rPr>
          <w:t>High-Level Architecture Diagram</w:t>
        </w:r>
        <w:r>
          <w:rPr>
            <w:noProof/>
            <w:webHidden/>
          </w:rPr>
          <w:tab/>
        </w:r>
        <w:r>
          <w:rPr>
            <w:noProof/>
            <w:webHidden/>
          </w:rPr>
          <w:fldChar w:fldCharType="begin"/>
        </w:r>
        <w:r>
          <w:rPr>
            <w:noProof/>
            <w:webHidden/>
          </w:rPr>
          <w:instrText xml:space="preserve"> PAGEREF _Toc242553965 \h </w:instrText>
        </w:r>
        <w:r>
          <w:rPr>
            <w:noProof/>
            <w:webHidden/>
          </w:rPr>
        </w:r>
        <w:r>
          <w:rPr>
            <w:noProof/>
            <w:webHidden/>
          </w:rPr>
          <w:fldChar w:fldCharType="separate"/>
        </w:r>
        <w:r w:rsidR="00313050">
          <w:rPr>
            <w:noProof/>
            <w:webHidden/>
          </w:rPr>
          <w:t>131</w:t>
        </w:r>
        <w:r>
          <w:rPr>
            <w:noProof/>
            <w:webHidden/>
          </w:rPr>
          <w:fldChar w:fldCharType="end"/>
        </w:r>
      </w:hyperlink>
    </w:p>
    <w:p w14:paraId="04BF15FB" w14:textId="4FB821E1"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66" w:history="1">
        <w:r w:rsidRPr="000C6FC3">
          <w:rPr>
            <w:rStyle w:val="Hyperlink"/>
            <w:noProof/>
          </w:rPr>
          <w:t>4.4.2</w:t>
        </w:r>
        <w:r>
          <w:rPr>
            <w:rFonts w:asciiTheme="minorHAnsi" w:hAnsiTheme="minorHAnsi" w:cstheme="minorBidi"/>
            <w:noProof/>
            <w:kern w:val="2"/>
            <w:sz w:val="24"/>
            <w:szCs w:val="24"/>
            <w:lang w:val="en-IN" w:eastAsia="en-IN"/>
            <w14:ligatures w14:val="standardContextual"/>
          </w:rPr>
          <w:tab/>
        </w:r>
        <w:r w:rsidRPr="000C6FC3">
          <w:rPr>
            <w:rStyle w:val="Hyperlink"/>
            <w:noProof/>
          </w:rPr>
          <w:t>Technology Stack</w:t>
        </w:r>
        <w:r>
          <w:rPr>
            <w:noProof/>
            <w:webHidden/>
          </w:rPr>
          <w:tab/>
        </w:r>
        <w:r>
          <w:rPr>
            <w:noProof/>
            <w:webHidden/>
          </w:rPr>
          <w:fldChar w:fldCharType="begin"/>
        </w:r>
        <w:r>
          <w:rPr>
            <w:noProof/>
            <w:webHidden/>
          </w:rPr>
          <w:instrText xml:space="preserve"> PAGEREF _Toc242553966 \h </w:instrText>
        </w:r>
        <w:r>
          <w:rPr>
            <w:noProof/>
            <w:webHidden/>
          </w:rPr>
        </w:r>
        <w:r>
          <w:rPr>
            <w:noProof/>
            <w:webHidden/>
          </w:rPr>
          <w:fldChar w:fldCharType="separate"/>
        </w:r>
        <w:r w:rsidR="00313050">
          <w:rPr>
            <w:noProof/>
            <w:webHidden/>
          </w:rPr>
          <w:t>131</w:t>
        </w:r>
        <w:r>
          <w:rPr>
            <w:noProof/>
            <w:webHidden/>
          </w:rPr>
          <w:fldChar w:fldCharType="end"/>
        </w:r>
      </w:hyperlink>
    </w:p>
    <w:p w14:paraId="31BAFE2C" w14:textId="70039383"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67" w:history="1">
        <w:r w:rsidRPr="000C6FC3">
          <w:rPr>
            <w:rStyle w:val="Hyperlink"/>
            <w:noProof/>
          </w:rPr>
          <w:t>4.4.3</w:t>
        </w:r>
        <w:r>
          <w:rPr>
            <w:rFonts w:asciiTheme="minorHAnsi" w:hAnsiTheme="minorHAnsi" w:cstheme="minorBidi"/>
            <w:noProof/>
            <w:kern w:val="2"/>
            <w:sz w:val="24"/>
            <w:szCs w:val="24"/>
            <w:lang w:val="en-IN" w:eastAsia="en-IN"/>
            <w14:ligatures w14:val="standardContextual"/>
          </w:rPr>
          <w:tab/>
        </w:r>
        <w:r w:rsidRPr="000C6FC3">
          <w:rPr>
            <w:rStyle w:val="Hyperlink"/>
            <w:noProof/>
          </w:rPr>
          <w:t>Data Sources</w:t>
        </w:r>
        <w:r>
          <w:rPr>
            <w:noProof/>
            <w:webHidden/>
          </w:rPr>
          <w:tab/>
        </w:r>
        <w:r>
          <w:rPr>
            <w:noProof/>
            <w:webHidden/>
          </w:rPr>
          <w:fldChar w:fldCharType="begin"/>
        </w:r>
        <w:r>
          <w:rPr>
            <w:noProof/>
            <w:webHidden/>
          </w:rPr>
          <w:instrText xml:space="preserve"> PAGEREF _Toc242553967 \h </w:instrText>
        </w:r>
        <w:r>
          <w:rPr>
            <w:noProof/>
            <w:webHidden/>
          </w:rPr>
        </w:r>
        <w:r>
          <w:rPr>
            <w:noProof/>
            <w:webHidden/>
          </w:rPr>
          <w:fldChar w:fldCharType="separate"/>
        </w:r>
        <w:r w:rsidR="00313050">
          <w:rPr>
            <w:noProof/>
            <w:webHidden/>
          </w:rPr>
          <w:t>132</w:t>
        </w:r>
        <w:r>
          <w:rPr>
            <w:noProof/>
            <w:webHidden/>
          </w:rPr>
          <w:fldChar w:fldCharType="end"/>
        </w:r>
      </w:hyperlink>
    </w:p>
    <w:p w14:paraId="6DB5BC77" w14:textId="45B1E4C8"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68" w:history="1">
        <w:r w:rsidRPr="000C6FC3">
          <w:rPr>
            <w:rStyle w:val="Hyperlink"/>
            <w:noProof/>
          </w:rPr>
          <w:t>4.4.4</w:t>
        </w:r>
        <w:r>
          <w:rPr>
            <w:rFonts w:asciiTheme="minorHAnsi" w:hAnsiTheme="minorHAnsi" w:cstheme="minorBidi"/>
            <w:noProof/>
            <w:kern w:val="2"/>
            <w:sz w:val="24"/>
            <w:szCs w:val="24"/>
            <w:lang w:val="en-IN" w:eastAsia="en-IN"/>
            <w14:ligatures w14:val="standardContextual"/>
          </w:rPr>
          <w:tab/>
        </w:r>
        <w:r w:rsidRPr="000C6FC3">
          <w:rPr>
            <w:rStyle w:val="Hyperlink"/>
            <w:noProof/>
          </w:rPr>
          <w:t>Connection Details</w:t>
        </w:r>
        <w:r>
          <w:rPr>
            <w:noProof/>
            <w:webHidden/>
          </w:rPr>
          <w:tab/>
        </w:r>
        <w:r>
          <w:rPr>
            <w:noProof/>
            <w:webHidden/>
          </w:rPr>
          <w:fldChar w:fldCharType="begin"/>
        </w:r>
        <w:r>
          <w:rPr>
            <w:noProof/>
            <w:webHidden/>
          </w:rPr>
          <w:instrText xml:space="preserve"> PAGEREF _Toc242553968 \h </w:instrText>
        </w:r>
        <w:r>
          <w:rPr>
            <w:noProof/>
            <w:webHidden/>
          </w:rPr>
        </w:r>
        <w:r>
          <w:rPr>
            <w:noProof/>
            <w:webHidden/>
          </w:rPr>
          <w:fldChar w:fldCharType="separate"/>
        </w:r>
        <w:r w:rsidR="00313050">
          <w:rPr>
            <w:noProof/>
            <w:webHidden/>
          </w:rPr>
          <w:t>132</w:t>
        </w:r>
        <w:r>
          <w:rPr>
            <w:noProof/>
            <w:webHidden/>
          </w:rPr>
          <w:fldChar w:fldCharType="end"/>
        </w:r>
      </w:hyperlink>
    </w:p>
    <w:p w14:paraId="700C234E" w14:textId="4167046F"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69" w:history="1">
        <w:r w:rsidRPr="000C6FC3">
          <w:rPr>
            <w:rStyle w:val="Hyperlink"/>
            <w:noProof/>
          </w:rPr>
          <w:t>4.4.5</w:t>
        </w:r>
        <w:r>
          <w:rPr>
            <w:rFonts w:asciiTheme="minorHAnsi" w:hAnsiTheme="minorHAnsi" w:cstheme="minorBidi"/>
            <w:noProof/>
            <w:kern w:val="2"/>
            <w:sz w:val="24"/>
            <w:szCs w:val="24"/>
            <w:lang w:val="en-IN" w:eastAsia="en-IN"/>
            <w14:ligatures w14:val="standardContextual"/>
          </w:rPr>
          <w:tab/>
        </w:r>
        <w:r w:rsidRPr="000C6FC3">
          <w:rPr>
            <w:rStyle w:val="Hyperlink"/>
            <w:noProof/>
          </w:rPr>
          <w:t>Semantic Model Design</w:t>
        </w:r>
        <w:r>
          <w:rPr>
            <w:noProof/>
            <w:webHidden/>
          </w:rPr>
          <w:tab/>
        </w:r>
        <w:r>
          <w:rPr>
            <w:noProof/>
            <w:webHidden/>
          </w:rPr>
          <w:fldChar w:fldCharType="begin"/>
        </w:r>
        <w:r>
          <w:rPr>
            <w:noProof/>
            <w:webHidden/>
          </w:rPr>
          <w:instrText xml:space="preserve"> PAGEREF _Toc242553969 \h </w:instrText>
        </w:r>
        <w:r>
          <w:rPr>
            <w:noProof/>
            <w:webHidden/>
          </w:rPr>
        </w:r>
        <w:r>
          <w:rPr>
            <w:noProof/>
            <w:webHidden/>
          </w:rPr>
          <w:fldChar w:fldCharType="separate"/>
        </w:r>
        <w:r w:rsidR="00313050">
          <w:rPr>
            <w:noProof/>
            <w:webHidden/>
          </w:rPr>
          <w:t>132</w:t>
        </w:r>
        <w:r>
          <w:rPr>
            <w:noProof/>
            <w:webHidden/>
          </w:rPr>
          <w:fldChar w:fldCharType="end"/>
        </w:r>
      </w:hyperlink>
    </w:p>
    <w:p w14:paraId="1CB34DC4" w14:textId="538FABC1"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0" w:history="1">
        <w:r w:rsidRPr="000C6FC3">
          <w:rPr>
            <w:rStyle w:val="Hyperlink"/>
            <w:noProof/>
          </w:rPr>
          <w:t>4.4.6</w:t>
        </w:r>
        <w:r>
          <w:rPr>
            <w:rFonts w:asciiTheme="minorHAnsi" w:hAnsiTheme="minorHAnsi" w:cstheme="minorBidi"/>
            <w:noProof/>
            <w:kern w:val="2"/>
            <w:sz w:val="24"/>
            <w:szCs w:val="24"/>
            <w:lang w:val="en-IN" w:eastAsia="en-IN"/>
            <w14:ligatures w14:val="standardContextual"/>
          </w:rPr>
          <w:tab/>
        </w:r>
        <w:r w:rsidRPr="000C6FC3">
          <w:rPr>
            <w:rStyle w:val="Hyperlink"/>
            <w:noProof/>
          </w:rPr>
          <w:t>Common Measures and DAX Calculations</w:t>
        </w:r>
        <w:r>
          <w:rPr>
            <w:noProof/>
            <w:webHidden/>
          </w:rPr>
          <w:tab/>
        </w:r>
        <w:r>
          <w:rPr>
            <w:noProof/>
            <w:webHidden/>
          </w:rPr>
          <w:fldChar w:fldCharType="begin"/>
        </w:r>
        <w:r>
          <w:rPr>
            <w:noProof/>
            <w:webHidden/>
          </w:rPr>
          <w:instrText xml:space="preserve"> PAGEREF _Toc242553970 \h </w:instrText>
        </w:r>
        <w:r>
          <w:rPr>
            <w:noProof/>
            <w:webHidden/>
          </w:rPr>
        </w:r>
        <w:r>
          <w:rPr>
            <w:noProof/>
            <w:webHidden/>
          </w:rPr>
          <w:fldChar w:fldCharType="separate"/>
        </w:r>
        <w:r w:rsidR="00313050">
          <w:rPr>
            <w:noProof/>
            <w:webHidden/>
          </w:rPr>
          <w:t>135</w:t>
        </w:r>
        <w:r>
          <w:rPr>
            <w:noProof/>
            <w:webHidden/>
          </w:rPr>
          <w:fldChar w:fldCharType="end"/>
        </w:r>
      </w:hyperlink>
    </w:p>
    <w:p w14:paraId="25BB175F" w14:textId="1E3C9554"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1" w:history="1">
        <w:r w:rsidRPr="000C6FC3">
          <w:rPr>
            <w:rStyle w:val="Hyperlink"/>
            <w:noProof/>
          </w:rPr>
          <w:t>4.4.7</w:t>
        </w:r>
        <w:r>
          <w:rPr>
            <w:rFonts w:asciiTheme="minorHAnsi" w:hAnsiTheme="minorHAnsi" w:cstheme="minorBidi"/>
            <w:noProof/>
            <w:kern w:val="2"/>
            <w:sz w:val="24"/>
            <w:szCs w:val="24"/>
            <w:lang w:val="en-IN" w:eastAsia="en-IN"/>
            <w14:ligatures w14:val="standardContextual"/>
          </w:rPr>
          <w:tab/>
        </w:r>
        <w:r w:rsidRPr="000C6FC3">
          <w:rPr>
            <w:rStyle w:val="Hyperlink"/>
            <w:noProof/>
          </w:rPr>
          <w:t>Navigation and Common Report Features</w:t>
        </w:r>
        <w:r>
          <w:rPr>
            <w:noProof/>
            <w:webHidden/>
          </w:rPr>
          <w:tab/>
        </w:r>
        <w:r>
          <w:rPr>
            <w:noProof/>
            <w:webHidden/>
          </w:rPr>
          <w:fldChar w:fldCharType="begin"/>
        </w:r>
        <w:r>
          <w:rPr>
            <w:noProof/>
            <w:webHidden/>
          </w:rPr>
          <w:instrText xml:space="preserve"> PAGEREF _Toc242553971 \h </w:instrText>
        </w:r>
        <w:r>
          <w:rPr>
            <w:noProof/>
            <w:webHidden/>
          </w:rPr>
        </w:r>
        <w:r>
          <w:rPr>
            <w:noProof/>
            <w:webHidden/>
          </w:rPr>
          <w:fldChar w:fldCharType="separate"/>
        </w:r>
        <w:r w:rsidR="00313050">
          <w:rPr>
            <w:noProof/>
            <w:webHidden/>
          </w:rPr>
          <w:t>135</w:t>
        </w:r>
        <w:r>
          <w:rPr>
            <w:noProof/>
            <w:webHidden/>
          </w:rPr>
          <w:fldChar w:fldCharType="end"/>
        </w:r>
      </w:hyperlink>
    </w:p>
    <w:p w14:paraId="157C4FB6" w14:textId="194F4030"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72" w:history="1">
        <w:r w:rsidRPr="000C6FC3">
          <w:rPr>
            <w:rStyle w:val="Hyperlink"/>
          </w:rPr>
          <w:t>4.5</w:t>
        </w:r>
        <w:r>
          <w:rPr>
            <w:rFonts w:eastAsiaTheme="minorEastAsia" w:cstheme="minorBidi"/>
            <w:bCs w:val="0"/>
            <w:color w:val="auto"/>
            <w:kern w:val="2"/>
            <w:sz w:val="24"/>
            <w:szCs w:val="24"/>
            <w:lang w:val="en-IN" w:eastAsia="en-IN"/>
            <w14:ligatures w14:val="standardContextual"/>
          </w:rPr>
          <w:tab/>
        </w:r>
        <w:r w:rsidRPr="000C6FC3">
          <w:rPr>
            <w:rStyle w:val="Hyperlink"/>
          </w:rPr>
          <w:t>Release 1 - VCB Dashboards</w:t>
        </w:r>
        <w:r>
          <w:rPr>
            <w:webHidden/>
          </w:rPr>
          <w:tab/>
        </w:r>
        <w:r>
          <w:rPr>
            <w:webHidden/>
          </w:rPr>
          <w:fldChar w:fldCharType="begin"/>
        </w:r>
        <w:r>
          <w:rPr>
            <w:webHidden/>
          </w:rPr>
          <w:instrText xml:space="preserve"> PAGEREF _Toc242553972 \h </w:instrText>
        </w:r>
        <w:r>
          <w:rPr>
            <w:webHidden/>
          </w:rPr>
        </w:r>
        <w:r>
          <w:rPr>
            <w:webHidden/>
          </w:rPr>
          <w:fldChar w:fldCharType="separate"/>
        </w:r>
        <w:r w:rsidR="00313050">
          <w:rPr>
            <w:webHidden/>
          </w:rPr>
          <w:t>135</w:t>
        </w:r>
        <w:r>
          <w:rPr>
            <w:webHidden/>
          </w:rPr>
          <w:fldChar w:fldCharType="end"/>
        </w:r>
      </w:hyperlink>
    </w:p>
    <w:p w14:paraId="5D0AB56F" w14:textId="757151F0"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3" w:history="1">
        <w:r w:rsidRPr="000C6FC3">
          <w:rPr>
            <w:rStyle w:val="Hyperlink"/>
            <w:noProof/>
          </w:rPr>
          <w:t>4.5.1</w:t>
        </w:r>
        <w:r>
          <w:rPr>
            <w:rFonts w:asciiTheme="minorHAnsi" w:hAnsiTheme="minorHAnsi" w:cstheme="minorBidi"/>
            <w:noProof/>
            <w:kern w:val="2"/>
            <w:sz w:val="24"/>
            <w:szCs w:val="24"/>
            <w:lang w:val="en-IN" w:eastAsia="en-IN"/>
            <w14:ligatures w14:val="standardContextual"/>
          </w:rPr>
          <w:tab/>
        </w:r>
        <w:r w:rsidRPr="000C6FC3">
          <w:rPr>
            <w:rStyle w:val="Hyperlink"/>
            <w:noProof/>
          </w:rPr>
          <w:t>Refinery-Wide Dashboard (Gasoline &amp; Distillate)</w:t>
        </w:r>
        <w:r>
          <w:rPr>
            <w:noProof/>
            <w:webHidden/>
          </w:rPr>
          <w:tab/>
        </w:r>
        <w:r>
          <w:rPr>
            <w:noProof/>
            <w:webHidden/>
          </w:rPr>
          <w:fldChar w:fldCharType="begin"/>
        </w:r>
        <w:r>
          <w:rPr>
            <w:noProof/>
            <w:webHidden/>
          </w:rPr>
          <w:instrText xml:space="preserve"> PAGEREF _Toc242553973 \h </w:instrText>
        </w:r>
        <w:r>
          <w:rPr>
            <w:noProof/>
            <w:webHidden/>
          </w:rPr>
        </w:r>
        <w:r>
          <w:rPr>
            <w:noProof/>
            <w:webHidden/>
          </w:rPr>
          <w:fldChar w:fldCharType="separate"/>
        </w:r>
        <w:r w:rsidR="00313050">
          <w:rPr>
            <w:noProof/>
            <w:webHidden/>
          </w:rPr>
          <w:t>136</w:t>
        </w:r>
        <w:r>
          <w:rPr>
            <w:noProof/>
            <w:webHidden/>
          </w:rPr>
          <w:fldChar w:fldCharType="end"/>
        </w:r>
      </w:hyperlink>
    </w:p>
    <w:p w14:paraId="7EDF45A0" w14:textId="7460FC72"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4" w:history="1">
        <w:r w:rsidRPr="000C6FC3">
          <w:rPr>
            <w:rStyle w:val="Hyperlink"/>
            <w:noProof/>
          </w:rPr>
          <w:t>4.5.2</w:t>
        </w:r>
        <w:r>
          <w:rPr>
            <w:rFonts w:asciiTheme="minorHAnsi" w:hAnsiTheme="minorHAnsi" w:cstheme="minorBidi"/>
            <w:noProof/>
            <w:kern w:val="2"/>
            <w:sz w:val="24"/>
            <w:szCs w:val="24"/>
            <w:lang w:val="en-IN" w:eastAsia="en-IN"/>
            <w14:ligatures w14:val="standardContextual"/>
          </w:rPr>
          <w:tab/>
        </w:r>
        <w:r w:rsidRPr="000C6FC3">
          <w:rPr>
            <w:rStyle w:val="Hyperlink"/>
            <w:noProof/>
          </w:rPr>
          <w:t>Blending Potential Dashboard</w:t>
        </w:r>
        <w:r>
          <w:rPr>
            <w:noProof/>
            <w:webHidden/>
          </w:rPr>
          <w:tab/>
        </w:r>
        <w:r>
          <w:rPr>
            <w:noProof/>
            <w:webHidden/>
          </w:rPr>
          <w:fldChar w:fldCharType="begin"/>
        </w:r>
        <w:r>
          <w:rPr>
            <w:noProof/>
            <w:webHidden/>
          </w:rPr>
          <w:instrText xml:space="preserve"> PAGEREF _Toc242553974 \h </w:instrText>
        </w:r>
        <w:r>
          <w:rPr>
            <w:noProof/>
            <w:webHidden/>
          </w:rPr>
        </w:r>
        <w:r>
          <w:rPr>
            <w:noProof/>
            <w:webHidden/>
          </w:rPr>
          <w:fldChar w:fldCharType="separate"/>
        </w:r>
        <w:r w:rsidR="00313050">
          <w:rPr>
            <w:noProof/>
            <w:webHidden/>
          </w:rPr>
          <w:t>140</w:t>
        </w:r>
        <w:r>
          <w:rPr>
            <w:noProof/>
            <w:webHidden/>
          </w:rPr>
          <w:fldChar w:fldCharType="end"/>
        </w:r>
      </w:hyperlink>
    </w:p>
    <w:p w14:paraId="567F1751" w14:textId="60B3A8AE"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5" w:history="1">
        <w:r w:rsidRPr="000C6FC3">
          <w:rPr>
            <w:rStyle w:val="Hyperlink"/>
            <w:noProof/>
          </w:rPr>
          <w:t>4.5.3</w:t>
        </w:r>
        <w:r>
          <w:rPr>
            <w:rFonts w:asciiTheme="minorHAnsi" w:hAnsiTheme="minorHAnsi" w:cstheme="minorBidi"/>
            <w:noProof/>
            <w:kern w:val="2"/>
            <w:sz w:val="24"/>
            <w:szCs w:val="24"/>
            <w:lang w:val="en-IN" w:eastAsia="en-IN"/>
            <w14:ligatures w14:val="standardContextual"/>
          </w:rPr>
          <w:tab/>
        </w:r>
        <w:r w:rsidRPr="000C6FC3">
          <w:rPr>
            <w:rStyle w:val="Hyperlink"/>
            <w:noProof/>
          </w:rPr>
          <w:t>Distillate Dashboard</w:t>
        </w:r>
        <w:r>
          <w:rPr>
            <w:noProof/>
            <w:webHidden/>
          </w:rPr>
          <w:tab/>
        </w:r>
        <w:r>
          <w:rPr>
            <w:noProof/>
            <w:webHidden/>
          </w:rPr>
          <w:fldChar w:fldCharType="begin"/>
        </w:r>
        <w:r>
          <w:rPr>
            <w:noProof/>
            <w:webHidden/>
          </w:rPr>
          <w:instrText xml:space="preserve"> PAGEREF _Toc242553975 \h </w:instrText>
        </w:r>
        <w:r>
          <w:rPr>
            <w:noProof/>
            <w:webHidden/>
          </w:rPr>
        </w:r>
        <w:r>
          <w:rPr>
            <w:noProof/>
            <w:webHidden/>
          </w:rPr>
          <w:fldChar w:fldCharType="separate"/>
        </w:r>
        <w:r w:rsidR="00313050">
          <w:rPr>
            <w:noProof/>
            <w:webHidden/>
          </w:rPr>
          <w:t>145</w:t>
        </w:r>
        <w:r>
          <w:rPr>
            <w:noProof/>
            <w:webHidden/>
          </w:rPr>
          <w:fldChar w:fldCharType="end"/>
        </w:r>
      </w:hyperlink>
    </w:p>
    <w:p w14:paraId="64AE5291" w14:textId="4B2CF0F2"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6" w:history="1">
        <w:r w:rsidRPr="000C6FC3">
          <w:rPr>
            <w:rStyle w:val="Hyperlink"/>
            <w:noProof/>
          </w:rPr>
          <w:t>4.5.4</w:t>
        </w:r>
        <w:r>
          <w:rPr>
            <w:rFonts w:asciiTheme="minorHAnsi" w:hAnsiTheme="minorHAnsi" w:cstheme="minorBidi"/>
            <w:noProof/>
            <w:kern w:val="2"/>
            <w:sz w:val="24"/>
            <w:szCs w:val="24"/>
            <w:lang w:val="en-IN" w:eastAsia="en-IN"/>
            <w14:ligatures w14:val="standardContextual"/>
          </w:rPr>
          <w:tab/>
        </w:r>
        <w:r w:rsidRPr="000C6FC3">
          <w:rPr>
            <w:rStyle w:val="Hyperlink"/>
            <w:noProof/>
          </w:rPr>
          <w:t>Supply Dashboard</w:t>
        </w:r>
        <w:r>
          <w:rPr>
            <w:noProof/>
            <w:webHidden/>
          </w:rPr>
          <w:tab/>
        </w:r>
        <w:r>
          <w:rPr>
            <w:noProof/>
            <w:webHidden/>
          </w:rPr>
          <w:fldChar w:fldCharType="begin"/>
        </w:r>
        <w:r>
          <w:rPr>
            <w:noProof/>
            <w:webHidden/>
          </w:rPr>
          <w:instrText xml:space="preserve"> PAGEREF _Toc242553976 \h </w:instrText>
        </w:r>
        <w:r>
          <w:rPr>
            <w:noProof/>
            <w:webHidden/>
          </w:rPr>
        </w:r>
        <w:r>
          <w:rPr>
            <w:noProof/>
            <w:webHidden/>
          </w:rPr>
          <w:fldChar w:fldCharType="separate"/>
        </w:r>
        <w:r w:rsidR="00313050">
          <w:rPr>
            <w:noProof/>
            <w:webHidden/>
          </w:rPr>
          <w:t>149</w:t>
        </w:r>
        <w:r>
          <w:rPr>
            <w:noProof/>
            <w:webHidden/>
          </w:rPr>
          <w:fldChar w:fldCharType="end"/>
        </w:r>
      </w:hyperlink>
    </w:p>
    <w:p w14:paraId="0EA28435" w14:textId="326B86C9"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7" w:history="1">
        <w:r w:rsidRPr="000C6FC3">
          <w:rPr>
            <w:rStyle w:val="Hyperlink"/>
            <w:noProof/>
          </w:rPr>
          <w:t>4.5.5</w:t>
        </w:r>
        <w:r>
          <w:rPr>
            <w:rFonts w:asciiTheme="minorHAnsi" w:hAnsiTheme="minorHAnsi" w:cstheme="minorBidi"/>
            <w:noProof/>
            <w:kern w:val="2"/>
            <w:sz w:val="24"/>
            <w:szCs w:val="24"/>
            <w:lang w:val="en-IN" w:eastAsia="en-IN"/>
            <w14:ligatures w14:val="standardContextual"/>
          </w:rPr>
          <w:tab/>
        </w:r>
        <w:r w:rsidRPr="000C6FC3">
          <w:rPr>
            <w:rStyle w:val="Hyperlink"/>
            <w:noProof/>
          </w:rPr>
          <w:t>Gasoline KPI Dashboard</w:t>
        </w:r>
        <w:r>
          <w:rPr>
            <w:noProof/>
            <w:webHidden/>
          </w:rPr>
          <w:tab/>
        </w:r>
        <w:r>
          <w:rPr>
            <w:noProof/>
            <w:webHidden/>
          </w:rPr>
          <w:fldChar w:fldCharType="begin"/>
        </w:r>
        <w:r>
          <w:rPr>
            <w:noProof/>
            <w:webHidden/>
          </w:rPr>
          <w:instrText xml:space="preserve"> PAGEREF _Toc242553977 \h </w:instrText>
        </w:r>
        <w:r>
          <w:rPr>
            <w:noProof/>
            <w:webHidden/>
          </w:rPr>
        </w:r>
        <w:r>
          <w:rPr>
            <w:noProof/>
            <w:webHidden/>
          </w:rPr>
          <w:fldChar w:fldCharType="separate"/>
        </w:r>
        <w:r w:rsidR="00313050">
          <w:rPr>
            <w:noProof/>
            <w:webHidden/>
          </w:rPr>
          <w:t>153</w:t>
        </w:r>
        <w:r>
          <w:rPr>
            <w:noProof/>
            <w:webHidden/>
          </w:rPr>
          <w:fldChar w:fldCharType="end"/>
        </w:r>
      </w:hyperlink>
    </w:p>
    <w:p w14:paraId="0BB69E94" w14:textId="2A31101C"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8" w:history="1">
        <w:r w:rsidRPr="000C6FC3">
          <w:rPr>
            <w:rStyle w:val="Hyperlink"/>
            <w:noProof/>
          </w:rPr>
          <w:t>4.5.6</w:t>
        </w:r>
        <w:r>
          <w:rPr>
            <w:rFonts w:asciiTheme="minorHAnsi" w:hAnsiTheme="minorHAnsi" w:cstheme="minorBidi"/>
            <w:noProof/>
            <w:kern w:val="2"/>
            <w:sz w:val="24"/>
            <w:szCs w:val="24"/>
            <w:lang w:val="en-IN" w:eastAsia="en-IN"/>
            <w14:ligatures w14:val="standardContextual"/>
          </w:rPr>
          <w:tab/>
        </w:r>
        <w:r w:rsidRPr="000C6FC3">
          <w:rPr>
            <w:rStyle w:val="Hyperlink"/>
            <w:noProof/>
          </w:rPr>
          <w:t>Distillate KPI Dashboard</w:t>
        </w:r>
        <w:r>
          <w:rPr>
            <w:noProof/>
            <w:webHidden/>
          </w:rPr>
          <w:tab/>
        </w:r>
        <w:r>
          <w:rPr>
            <w:noProof/>
            <w:webHidden/>
          </w:rPr>
          <w:fldChar w:fldCharType="begin"/>
        </w:r>
        <w:r>
          <w:rPr>
            <w:noProof/>
            <w:webHidden/>
          </w:rPr>
          <w:instrText xml:space="preserve"> PAGEREF _Toc242553978 \h </w:instrText>
        </w:r>
        <w:r>
          <w:rPr>
            <w:noProof/>
            <w:webHidden/>
          </w:rPr>
        </w:r>
        <w:r>
          <w:rPr>
            <w:noProof/>
            <w:webHidden/>
          </w:rPr>
          <w:fldChar w:fldCharType="separate"/>
        </w:r>
        <w:r w:rsidR="00313050">
          <w:rPr>
            <w:noProof/>
            <w:webHidden/>
          </w:rPr>
          <w:t>157</w:t>
        </w:r>
        <w:r>
          <w:rPr>
            <w:noProof/>
            <w:webHidden/>
          </w:rPr>
          <w:fldChar w:fldCharType="end"/>
        </w:r>
      </w:hyperlink>
    </w:p>
    <w:p w14:paraId="77EE4584" w14:textId="34FEE0F7"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79" w:history="1">
        <w:r w:rsidRPr="000C6FC3">
          <w:rPr>
            <w:rStyle w:val="Hyperlink"/>
            <w:noProof/>
          </w:rPr>
          <w:t>4.5.7</w:t>
        </w:r>
        <w:r>
          <w:rPr>
            <w:rFonts w:asciiTheme="minorHAnsi" w:hAnsiTheme="minorHAnsi" w:cstheme="minorBidi"/>
            <w:noProof/>
            <w:kern w:val="2"/>
            <w:sz w:val="24"/>
            <w:szCs w:val="24"/>
            <w:lang w:val="en-IN" w:eastAsia="en-IN"/>
            <w14:ligatures w14:val="standardContextual"/>
          </w:rPr>
          <w:tab/>
        </w:r>
        <w:r w:rsidRPr="000C6FC3">
          <w:rPr>
            <w:rStyle w:val="Hyperlink"/>
            <w:noProof/>
          </w:rPr>
          <w:t>Placeholder Dashboard (Reserved)</w:t>
        </w:r>
        <w:r>
          <w:rPr>
            <w:noProof/>
            <w:webHidden/>
          </w:rPr>
          <w:tab/>
        </w:r>
        <w:r>
          <w:rPr>
            <w:noProof/>
            <w:webHidden/>
          </w:rPr>
          <w:fldChar w:fldCharType="begin"/>
        </w:r>
        <w:r>
          <w:rPr>
            <w:noProof/>
            <w:webHidden/>
          </w:rPr>
          <w:instrText xml:space="preserve"> PAGEREF _Toc242553979 \h </w:instrText>
        </w:r>
        <w:r>
          <w:rPr>
            <w:noProof/>
            <w:webHidden/>
          </w:rPr>
        </w:r>
        <w:r>
          <w:rPr>
            <w:noProof/>
            <w:webHidden/>
          </w:rPr>
          <w:fldChar w:fldCharType="separate"/>
        </w:r>
        <w:r w:rsidR="00313050">
          <w:rPr>
            <w:noProof/>
            <w:webHidden/>
          </w:rPr>
          <w:t>161</w:t>
        </w:r>
        <w:r>
          <w:rPr>
            <w:noProof/>
            <w:webHidden/>
          </w:rPr>
          <w:fldChar w:fldCharType="end"/>
        </w:r>
      </w:hyperlink>
    </w:p>
    <w:p w14:paraId="0AEDCA2C" w14:textId="38055208"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80" w:history="1">
        <w:r w:rsidRPr="000C6FC3">
          <w:rPr>
            <w:rStyle w:val="Hyperlink"/>
            <w:noProof/>
          </w:rPr>
          <w:t>4.5.8</w:t>
        </w:r>
        <w:r>
          <w:rPr>
            <w:rFonts w:asciiTheme="minorHAnsi" w:hAnsiTheme="minorHAnsi" w:cstheme="minorBidi"/>
            <w:noProof/>
            <w:kern w:val="2"/>
            <w:sz w:val="24"/>
            <w:szCs w:val="24"/>
            <w:lang w:val="en-IN" w:eastAsia="en-IN"/>
            <w14:ligatures w14:val="standardContextual"/>
          </w:rPr>
          <w:tab/>
        </w:r>
        <w:r w:rsidRPr="000C6FC3">
          <w:rPr>
            <w:rStyle w:val="Hyperlink"/>
            <w:noProof/>
          </w:rPr>
          <w:t>Specification Resolution &amp; Waiver Handling</w:t>
        </w:r>
        <w:r>
          <w:rPr>
            <w:noProof/>
            <w:webHidden/>
          </w:rPr>
          <w:tab/>
        </w:r>
        <w:r>
          <w:rPr>
            <w:noProof/>
            <w:webHidden/>
          </w:rPr>
          <w:fldChar w:fldCharType="begin"/>
        </w:r>
        <w:r>
          <w:rPr>
            <w:noProof/>
            <w:webHidden/>
          </w:rPr>
          <w:instrText xml:space="preserve"> PAGEREF _Toc242553980 \h </w:instrText>
        </w:r>
        <w:r>
          <w:rPr>
            <w:noProof/>
            <w:webHidden/>
          </w:rPr>
        </w:r>
        <w:r>
          <w:rPr>
            <w:noProof/>
            <w:webHidden/>
          </w:rPr>
          <w:fldChar w:fldCharType="separate"/>
        </w:r>
        <w:r w:rsidR="00313050">
          <w:rPr>
            <w:noProof/>
            <w:webHidden/>
          </w:rPr>
          <w:t>161</w:t>
        </w:r>
        <w:r>
          <w:rPr>
            <w:noProof/>
            <w:webHidden/>
          </w:rPr>
          <w:fldChar w:fldCharType="end"/>
        </w:r>
      </w:hyperlink>
    </w:p>
    <w:p w14:paraId="5F71BF24" w14:textId="36FAF99C"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81" w:history="1">
        <w:r w:rsidRPr="000C6FC3">
          <w:rPr>
            <w:rStyle w:val="Hyperlink"/>
          </w:rPr>
          <w:t>4.6</w:t>
        </w:r>
        <w:r>
          <w:rPr>
            <w:rFonts w:eastAsiaTheme="minorEastAsia" w:cstheme="minorBidi"/>
            <w:bCs w:val="0"/>
            <w:color w:val="auto"/>
            <w:kern w:val="2"/>
            <w:sz w:val="24"/>
            <w:szCs w:val="24"/>
            <w:lang w:val="en-IN" w:eastAsia="en-IN"/>
            <w14:ligatures w14:val="standardContextual"/>
          </w:rPr>
          <w:tab/>
        </w:r>
        <w:r w:rsidRPr="000C6FC3">
          <w:rPr>
            <w:rStyle w:val="Hyperlink"/>
          </w:rPr>
          <w:t>Release 2 - VCB Dashboards</w:t>
        </w:r>
        <w:r>
          <w:rPr>
            <w:webHidden/>
          </w:rPr>
          <w:tab/>
        </w:r>
        <w:r>
          <w:rPr>
            <w:webHidden/>
          </w:rPr>
          <w:fldChar w:fldCharType="begin"/>
        </w:r>
        <w:r>
          <w:rPr>
            <w:webHidden/>
          </w:rPr>
          <w:instrText xml:space="preserve"> PAGEREF _Toc242553981 \h </w:instrText>
        </w:r>
        <w:r>
          <w:rPr>
            <w:webHidden/>
          </w:rPr>
        </w:r>
        <w:r>
          <w:rPr>
            <w:webHidden/>
          </w:rPr>
          <w:fldChar w:fldCharType="separate"/>
        </w:r>
        <w:r w:rsidR="00313050">
          <w:rPr>
            <w:webHidden/>
          </w:rPr>
          <w:t>162</w:t>
        </w:r>
        <w:r>
          <w:rPr>
            <w:webHidden/>
          </w:rPr>
          <w:fldChar w:fldCharType="end"/>
        </w:r>
      </w:hyperlink>
    </w:p>
    <w:p w14:paraId="29BEBB05" w14:textId="6B2E4862"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82" w:history="1">
        <w:r w:rsidRPr="000C6FC3">
          <w:rPr>
            <w:rStyle w:val="Hyperlink"/>
          </w:rPr>
          <w:t>4.7</w:t>
        </w:r>
        <w:r>
          <w:rPr>
            <w:rFonts w:eastAsiaTheme="minorEastAsia" w:cstheme="minorBidi"/>
            <w:bCs w:val="0"/>
            <w:color w:val="auto"/>
            <w:kern w:val="2"/>
            <w:sz w:val="24"/>
            <w:szCs w:val="24"/>
            <w:lang w:val="en-IN" w:eastAsia="en-IN"/>
            <w14:ligatures w14:val="standardContextual"/>
          </w:rPr>
          <w:tab/>
        </w:r>
        <w:r w:rsidRPr="000C6FC3">
          <w:rPr>
            <w:rStyle w:val="Hyperlink"/>
          </w:rPr>
          <w:t>Security Design</w:t>
        </w:r>
        <w:r>
          <w:rPr>
            <w:webHidden/>
          </w:rPr>
          <w:tab/>
        </w:r>
        <w:r>
          <w:rPr>
            <w:webHidden/>
          </w:rPr>
          <w:fldChar w:fldCharType="begin"/>
        </w:r>
        <w:r>
          <w:rPr>
            <w:webHidden/>
          </w:rPr>
          <w:instrText xml:space="preserve"> PAGEREF _Toc242553982 \h </w:instrText>
        </w:r>
        <w:r>
          <w:rPr>
            <w:webHidden/>
          </w:rPr>
        </w:r>
        <w:r>
          <w:rPr>
            <w:webHidden/>
          </w:rPr>
          <w:fldChar w:fldCharType="separate"/>
        </w:r>
        <w:r w:rsidR="00313050">
          <w:rPr>
            <w:webHidden/>
          </w:rPr>
          <w:t>162</w:t>
        </w:r>
        <w:r>
          <w:rPr>
            <w:webHidden/>
          </w:rPr>
          <w:fldChar w:fldCharType="end"/>
        </w:r>
      </w:hyperlink>
    </w:p>
    <w:p w14:paraId="15197AB9" w14:textId="3A874793"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83" w:history="1">
        <w:r w:rsidRPr="000C6FC3">
          <w:rPr>
            <w:rStyle w:val="Hyperlink"/>
            <w:noProof/>
          </w:rPr>
          <w:t>4.7.1</w:t>
        </w:r>
        <w:r>
          <w:rPr>
            <w:rFonts w:asciiTheme="minorHAnsi" w:hAnsiTheme="minorHAnsi" w:cstheme="minorBidi"/>
            <w:noProof/>
            <w:kern w:val="2"/>
            <w:sz w:val="24"/>
            <w:szCs w:val="24"/>
            <w:lang w:val="en-IN" w:eastAsia="en-IN"/>
            <w14:ligatures w14:val="standardContextual"/>
          </w:rPr>
          <w:tab/>
        </w:r>
        <w:r w:rsidRPr="000C6FC3">
          <w:rPr>
            <w:rStyle w:val="Hyperlink"/>
            <w:noProof/>
          </w:rPr>
          <w:t>Workspace Access</w:t>
        </w:r>
        <w:r>
          <w:rPr>
            <w:noProof/>
            <w:webHidden/>
          </w:rPr>
          <w:tab/>
        </w:r>
        <w:r>
          <w:rPr>
            <w:noProof/>
            <w:webHidden/>
          </w:rPr>
          <w:fldChar w:fldCharType="begin"/>
        </w:r>
        <w:r>
          <w:rPr>
            <w:noProof/>
            <w:webHidden/>
          </w:rPr>
          <w:instrText xml:space="preserve"> PAGEREF _Toc242553983 \h </w:instrText>
        </w:r>
        <w:r>
          <w:rPr>
            <w:noProof/>
            <w:webHidden/>
          </w:rPr>
        </w:r>
        <w:r>
          <w:rPr>
            <w:noProof/>
            <w:webHidden/>
          </w:rPr>
          <w:fldChar w:fldCharType="separate"/>
        </w:r>
        <w:r w:rsidR="00313050">
          <w:rPr>
            <w:noProof/>
            <w:webHidden/>
          </w:rPr>
          <w:t>162</w:t>
        </w:r>
        <w:r>
          <w:rPr>
            <w:noProof/>
            <w:webHidden/>
          </w:rPr>
          <w:fldChar w:fldCharType="end"/>
        </w:r>
      </w:hyperlink>
    </w:p>
    <w:p w14:paraId="0D85BEC3" w14:textId="4A97698D"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84" w:history="1">
        <w:r w:rsidRPr="000C6FC3">
          <w:rPr>
            <w:rStyle w:val="Hyperlink"/>
            <w:noProof/>
          </w:rPr>
          <w:t>4.7.2</w:t>
        </w:r>
        <w:r>
          <w:rPr>
            <w:rFonts w:asciiTheme="minorHAnsi" w:hAnsiTheme="minorHAnsi" w:cstheme="minorBidi"/>
            <w:noProof/>
            <w:kern w:val="2"/>
            <w:sz w:val="24"/>
            <w:szCs w:val="24"/>
            <w:lang w:val="en-IN" w:eastAsia="en-IN"/>
            <w14:ligatures w14:val="standardContextual"/>
          </w:rPr>
          <w:tab/>
        </w:r>
        <w:r w:rsidRPr="000C6FC3">
          <w:rPr>
            <w:rStyle w:val="Hyperlink"/>
            <w:noProof/>
          </w:rPr>
          <w:t>Dashboard Level Security</w:t>
        </w:r>
        <w:r>
          <w:rPr>
            <w:noProof/>
            <w:webHidden/>
          </w:rPr>
          <w:tab/>
        </w:r>
        <w:r>
          <w:rPr>
            <w:noProof/>
            <w:webHidden/>
          </w:rPr>
          <w:fldChar w:fldCharType="begin"/>
        </w:r>
        <w:r>
          <w:rPr>
            <w:noProof/>
            <w:webHidden/>
          </w:rPr>
          <w:instrText xml:space="preserve"> PAGEREF _Toc242553984 \h </w:instrText>
        </w:r>
        <w:r>
          <w:rPr>
            <w:noProof/>
            <w:webHidden/>
          </w:rPr>
        </w:r>
        <w:r>
          <w:rPr>
            <w:noProof/>
            <w:webHidden/>
          </w:rPr>
          <w:fldChar w:fldCharType="separate"/>
        </w:r>
        <w:r w:rsidR="00313050">
          <w:rPr>
            <w:noProof/>
            <w:webHidden/>
          </w:rPr>
          <w:t>162</w:t>
        </w:r>
        <w:r>
          <w:rPr>
            <w:noProof/>
            <w:webHidden/>
          </w:rPr>
          <w:fldChar w:fldCharType="end"/>
        </w:r>
      </w:hyperlink>
    </w:p>
    <w:p w14:paraId="5EF3F11D" w14:textId="57B9E189"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85" w:history="1">
        <w:r w:rsidRPr="000C6FC3">
          <w:rPr>
            <w:rStyle w:val="Hyperlink"/>
            <w:noProof/>
          </w:rPr>
          <w:t>4.7.3</w:t>
        </w:r>
        <w:r>
          <w:rPr>
            <w:rFonts w:asciiTheme="minorHAnsi" w:hAnsiTheme="minorHAnsi" w:cstheme="minorBidi"/>
            <w:noProof/>
            <w:kern w:val="2"/>
            <w:sz w:val="24"/>
            <w:szCs w:val="24"/>
            <w:lang w:val="en-IN" w:eastAsia="en-IN"/>
            <w14:ligatures w14:val="standardContextual"/>
          </w:rPr>
          <w:tab/>
        </w:r>
        <w:r w:rsidRPr="000C6FC3">
          <w:rPr>
            <w:rStyle w:val="Hyperlink"/>
            <w:noProof/>
          </w:rPr>
          <w:t>Row-Level Security</w:t>
        </w:r>
        <w:r>
          <w:rPr>
            <w:noProof/>
            <w:webHidden/>
          </w:rPr>
          <w:tab/>
        </w:r>
        <w:r>
          <w:rPr>
            <w:noProof/>
            <w:webHidden/>
          </w:rPr>
          <w:fldChar w:fldCharType="begin"/>
        </w:r>
        <w:r>
          <w:rPr>
            <w:noProof/>
            <w:webHidden/>
          </w:rPr>
          <w:instrText xml:space="preserve"> PAGEREF _Toc242553985 \h </w:instrText>
        </w:r>
        <w:r>
          <w:rPr>
            <w:noProof/>
            <w:webHidden/>
          </w:rPr>
        </w:r>
        <w:r>
          <w:rPr>
            <w:noProof/>
            <w:webHidden/>
          </w:rPr>
          <w:fldChar w:fldCharType="separate"/>
        </w:r>
        <w:r w:rsidR="00313050">
          <w:rPr>
            <w:noProof/>
            <w:webHidden/>
          </w:rPr>
          <w:t>163</w:t>
        </w:r>
        <w:r>
          <w:rPr>
            <w:noProof/>
            <w:webHidden/>
          </w:rPr>
          <w:fldChar w:fldCharType="end"/>
        </w:r>
      </w:hyperlink>
    </w:p>
    <w:p w14:paraId="4F75E12B" w14:textId="0B3891CB"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86" w:history="1">
        <w:r w:rsidRPr="000C6FC3">
          <w:rPr>
            <w:rStyle w:val="Hyperlink"/>
          </w:rPr>
          <w:t>4.8</w:t>
        </w:r>
        <w:r>
          <w:rPr>
            <w:rFonts w:eastAsiaTheme="minorEastAsia" w:cstheme="minorBidi"/>
            <w:bCs w:val="0"/>
            <w:color w:val="auto"/>
            <w:kern w:val="2"/>
            <w:sz w:val="24"/>
            <w:szCs w:val="24"/>
            <w:lang w:val="en-IN" w:eastAsia="en-IN"/>
            <w14:ligatures w14:val="standardContextual"/>
          </w:rPr>
          <w:tab/>
        </w:r>
        <w:r w:rsidRPr="000C6FC3">
          <w:rPr>
            <w:rStyle w:val="Hyperlink"/>
          </w:rPr>
          <w:t>Performance Optimization</w:t>
        </w:r>
        <w:r>
          <w:rPr>
            <w:webHidden/>
          </w:rPr>
          <w:tab/>
        </w:r>
        <w:r>
          <w:rPr>
            <w:webHidden/>
          </w:rPr>
          <w:fldChar w:fldCharType="begin"/>
        </w:r>
        <w:r>
          <w:rPr>
            <w:webHidden/>
          </w:rPr>
          <w:instrText xml:space="preserve"> PAGEREF _Toc242553986 \h </w:instrText>
        </w:r>
        <w:r>
          <w:rPr>
            <w:webHidden/>
          </w:rPr>
        </w:r>
        <w:r>
          <w:rPr>
            <w:webHidden/>
          </w:rPr>
          <w:fldChar w:fldCharType="separate"/>
        </w:r>
        <w:r w:rsidR="00313050">
          <w:rPr>
            <w:webHidden/>
          </w:rPr>
          <w:t>163</w:t>
        </w:r>
        <w:r>
          <w:rPr>
            <w:webHidden/>
          </w:rPr>
          <w:fldChar w:fldCharType="end"/>
        </w:r>
      </w:hyperlink>
    </w:p>
    <w:p w14:paraId="784BFD38" w14:textId="2425528F"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87" w:history="1">
        <w:r w:rsidRPr="000C6FC3">
          <w:rPr>
            <w:rStyle w:val="Hyperlink"/>
          </w:rPr>
          <w:t>4.9</w:t>
        </w:r>
        <w:r>
          <w:rPr>
            <w:rFonts w:eastAsiaTheme="minorEastAsia" w:cstheme="minorBidi"/>
            <w:bCs w:val="0"/>
            <w:color w:val="auto"/>
            <w:kern w:val="2"/>
            <w:sz w:val="24"/>
            <w:szCs w:val="24"/>
            <w:lang w:val="en-IN" w:eastAsia="en-IN"/>
            <w14:ligatures w14:val="standardContextual"/>
          </w:rPr>
          <w:tab/>
        </w:r>
        <w:r w:rsidRPr="000C6FC3">
          <w:rPr>
            <w:rStyle w:val="Hyperlink"/>
          </w:rPr>
          <w:t>Report Refresh Strategy</w:t>
        </w:r>
        <w:r>
          <w:rPr>
            <w:webHidden/>
          </w:rPr>
          <w:tab/>
        </w:r>
        <w:r>
          <w:rPr>
            <w:webHidden/>
          </w:rPr>
          <w:fldChar w:fldCharType="begin"/>
        </w:r>
        <w:r>
          <w:rPr>
            <w:webHidden/>
          </w:rPr>
          <w:instrText xml:space="preserve"> PAGEREF _Toc242553987 \h </w:instrText>
        </w:r>
        <w:r>
          <w:rPr>
            <w:webHidden/>
          </w:rPr>
        </w:r>
        <w:r>
          <w:rPr>
            <w:webHidden/>
          </w:rPr>
          <w:fldChar w:fldCharType="separate"/>
        </w:r>
        <w:r w:rsidR="00313050">
          <w:rPr>
            <w:webHidden/>
          </w:rPr>
          <w:t>163</w:t>
        </w:r>
        <w:r>
          <w:rPr>
            <w:webHidden/>
          </w:rPr>
          <w:fldChar w:fldCharType="end"/>
        </w:r>
      </w:hyperlink>
    </w:p>
    <w:p w14:paraId="163E3BF1" w14:textId="1FEAF651"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88" w:history="1">
        <w:r w:rsidRPr="000C6FC3">
          <w:rPr>
            <w:rStyle w:val="Hyperlink"/>
          </w:rPr>
          <w:t>4.10</w:t>
        </w:r>
        <w:r>
          <w:rPr>
            <w:rFonts w:eastAsiaTheme="minorEastAsia" w:cstheme="minorBidi"/>
            <w:bCs w:val="0"/>
            <w:color w:val="auto"/>
            <w:kern w:val="2"/>
            <w:sz w:val="24"/>
            <w:szCs w:val="24"/>
            <w:lang w:val="en-IN" w:eastAsia="en-IN"/>
            <w14:ligatures w14:val="standardContextual"/>
          </w:rPr>
          <w:tab/>
        </w:r>
        <w:r w:rsidRPr="000C6FC3">
          <w:rPr>
            <w:rStyle w:val="Hyperlink"/>
          </w:rPr>
          <w:t>Deployment &amp; Release Management</w:t>
        </w:r>
        <w:r>
          <w:rPr>
            <w:webHidden/>
          </w:rPr>
          <w:tab/>
        </w:r>
        <w:r>
          <w:rPr>
            <w:webHidden/>
          </w:rPr>
          <w:fldChar w:fldCharType="begin"/>
        </w:r>
        <w:r>
          <w:rPr>
            <w:webHidden/>
          </w:rPr>
          <w:instrText xml:space="preserve"> PAGEREF _Toc242553988 \h </w:instrText>
        </w:r>
        <w:r>
          <w:rPr>
            <w:webHidden/>
          </w:rPr>
        </w:r>
        <w:r>
          <w:rPr>
            <w:webHidden/>
          </w:rPr>
          <w:fldChar w:fldCharType="separate"/>
        </w:r>
        <w:r w:rsidR="00313050">
          <w:rPr>
            <w:webHidden/>
          </w:rPr>
          <w:t>163</w:t>
        </w:r>
        <w:r>
          <w:rPr>
            <w:webHidden/>
          </w:rPr>
          <w:fldChar w:fldCharType="end"/>
        </w:r>
      </w:hyperlink>
    </w:p>
    <w:p w14:paraId="6C8E43EC" w14:textId="4799F682"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89" w:history="1">
        <w:r w:rsidRPr="000C6FC3">
          <w:rPr>
            <w:rStyle w:val="Hyperlink"/>
            <w:noProof/>
          </w:rPr>
          <w:t>4.10.1</w:t>
        </w:r>
        <w:r>
          <w:rPr>
            <w:rFonts w:asciiTheme="minorHAnsi" w:hAnsiTheme="minorHAnsi" w:cstheme="minorBidi"/>
            <w:noProof/>
            <w:kern w:val="2"/>
            <w:sz w:val="24"/>
            <w:szCs w:val="24"/>
            <w:lang w:val="en-IN" w:eastAsia="en-IN"/>
            <w14:ligatures w14:val="standardContextual"/>
          </w:rPr>
          <w:tab/>
        </w:r>
        <w:r w:rsidRPr="000C6FC3">
          <w:rPr>
            <w:rStyle w:val="Hyperlink"/>
            <w:noProof/>
          </w:rPr>
          <w:t>Environments</w:t>
        </w:r>
        <w:r>
          <w:rPr>
            <w:noProof/>
            <w:webHidden/>
          </w:rPr>
          <w:tab/>
        </w:r>
        <w:r>
          <w:rPr>
            <w:noProof/>
            <w:webHidden/>
          </w:rPr>
          <w:fldChar w:fldCharType="begin"/>
        </w:r>
        <w:r>
          <w:rPr>
            <w:noProof/>
            <w:webHidden/>
          </w:rPr>
          <w:instrText xml:space="preserve"> PAGEREF _Toc242553989 \h </w:instrText>
        </w:r>
        <w:r>
          <w:rPr>
            <w:noProof/>
            <w:webHidden/>
          </w:rPr>
        </w:r>
        <w:r>
          <w:rPr>
            <w:noProof/>
            <w:webHidden/>
          </w:rPr>
          <w:fldChar w:fldCharType="separate"/>
        </w:r>
        <w:r w:rsidR="00313050">
          <w:rPr>
            <w:noProof/>
            <w:webHidden/>
          </w:rPr>
          <w:t>163</w:t>
        </w:r>
        <w:r>
          <w:rPr>
            <w:noProof/>
            <w:webHidden/>
          </w:rPr>
          <w:fldChar w:fldCharType="end"/>
        </w:r>
      </w:hyperlink>
    </w:p>
    <w:p w14:paraId="28D0977E" w14:textId="79C816F2" w:rsidR="00FC42E7" w:rsidRDefault="00FC42E7">
      <w:pPr>
        <w:pStyle w:val="TOC3"/>
        <w:rPr>
          <w:rFonts w:asciiTheme="minorHAnsi" w:hAnsiTheme="minorHAnsi" w:cstheme="minorBidi"/>
          <w:noProof/>
          <w:kern w:val="2"/>
          <w:sz w:val="24"/>
          <w:szCs w:val="24"/>
          <w:lang w:val="en-IN" w:eastAsia="en-IN"/>
          <w14:ligatures w14:val="standardContextual"/>
        </w:rPr>
      </w:pPr>
      <w:hyperlink w:anchor="_Toc242553990" w:history="1">
        <w:r w:rsidRPr="000C6FC3">
          <w:rPr>
            <w:rStyle w:val="Hyperlink"/>
            <w:noProof/>
          </w:rPr>
          <w:t>4.10.2</w:t>
        </w:r>
        <w:r>
          <w:rPr>
            <w:rFonts w:asciiTheme="minorHAnsi" w:hAnsiTheme="minorHAnsi" w:cstheme="minorBidi"/>
            <w:noProof/>
            <w:kern w:val="2"/>
            <w:sz w:val="24"/>
            <w:szCs w:val="24"/>
            <w:lang w:val="en-IN" w:eastAsia="en-IN"/>
            <w14:ligatures w14:val="standardContextual"/>
          </w:rPr>
          <w:tab/>
        </w:r>
        <w:r w:rsidRPr="000C6FC3">
          <w:rPr>
            <w:rStyle w:val="Hyperlink"/>
            <w:noProof/>
          </w:rPr>
          <w:t>Deployment Method</w:t>
        </w:r>
        <w:r>
          <w:rPr>
            <w:noProof/>
            <w:webHidden/>
          </w:rPr>
          <w:tab/>
        </w:r>
        <w:r>
          <w:rPr>
            <w:noProof/>
            <w:webHidden/>
          </w:rPr>
          <w:fldChar w:fldCharType="begin"/>
        </w:r>
        <w:r>
          <w:rPr>
            <w:noProof/>
            <w:webHidden/>
          </w:rPr>
          <w:instrText xml:space="preserve"> PAGEREF _Toc242553990 \h </w:instrText>
        </w:r>
        <w:r>
          <w:rPr>
            <w:noProof/>
            <w:webHidden/>
          </w:rPr>
        </w:r>
        <w:r>
          <w:rPr>
            <w:noProof/>
            <w:webHidden/>
          </w:rPr>
          <w:fldChar w:fldCharType="separate"/>
        </w:r>
        <w:r w:rsidR="00313050">
          <w:rPr>
            <w:noProof/>
            <w:webHidden/>
          </w:rPr>
          <w:t>163</w:t>
        </w:r>
        <w:r>
          <w:rPr>
            <w:noProof/>
            <w:webHidden/>
          </w:rPr>
          <w:fldChar w:fldCharType="end"/>
        </w:r>
      </w:hyperlink>
    </w:p>
    <w:p w14:paraId="65507FD5" w14:textId="15ED98D1"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91" w:history="1">
        <w:r w:rsidRPr="000C6FC3">
          <w:rPr>
            <w:rStyle w:val="Hyperlink"/>
          </w:rPr>
          <w:t>4.11</w:t>
        </w:r>
        <w:r>
          <w:rPr>
            <w:rFonts w:eastAsiaTheme="minorEastAsia" w:cstheme="minorBidi"/>
            <w:bCs w:val="0"/>
            <w:color w:val="auto"/>
            <w:kern w:val="2"/>
            <w:sz w:val="24"/>
            <w:szCs w:val="24"/>
            <w:lang w:val="en-IN" w:eastAsia="en-IN"/>
            <w14:ligatures w14:val="standardContextual"/>
          </w:rPr>
          <w:tab/>
        </w:r>
        <w:r w:rsidRPr="000C6FC3">
          <w:rPr>
            <w:rStyle w:val="Hyperlink"/>
          </w:rPr>
          <w:t>Testing &amp; Validation</w:t>
        </w:r>
        <w:r>
          <w:rPr>
            <w:webHidden/>
          </w:rPr>
          <w:tab/>
        </w:r>
        <w:r>
          <w:rPr>
            <w:webHidden/>
          </w:rPr>
          <w:fldChar w:fldCharType="begin"/>
        </w:r>
        <w:r>
          <w:rPr>
            <w:webHidden/>
          </w:rPr>
          <w:instrText xml:space="preserve"> PAGEREF _Toc242553991 \h </w:instrText>
        </w:r>
        <w:r>
          <w:rPr>
            <w:webHidden/>
          </w:rPr>
        </w:r>
        <w:r>
          <w:rPr>
            <w:webHidden/>
          </w:rPr>
          <w:fldChar w:fldCharType="separate"/>
        </w:r>
        <w:r w:rsidR="00313050">
          <w:rPr>
            <w:webHidden/>
          </w:rPr>
          <w:t>163</w:t>
        </w:r>
        <w:r>
          <w:rPr>
            <w:webHidden/>
          </w:rPr>
          <w:fldChar w:fldCharType="end"/>
        </w:r>
      </w:hyperlink>
    </w:p>
    <w:p w14:paraId="5C44FE05" w14:textId="75F304A3"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92" w:history="1">
        <w:r w:rsidRPr="000C6FC3">
          <w:rPr>
            <w:rStyle w:val="Hyperlink"/>
          </w:rPr>
          <w:t>4.12</w:t>
        </w:r>
        <w:r>
          <w:rPr>
            <w:rFonts w:eastAsiaTheme="minorEastAsia" w:cstheme="minorBidi"/>
            <w:bCs w:val="0"/>
            <w:color w:val="auto"/>
            <w:kern w:val="2"/>
            <w:sz w:val="24"/>
            <w:szCs w:val="24"/>
            <w:lang w:val="en-IN" w:eastAsia="en-IN"/>
            <w14:ligatures w14:val="standardContextual"/>
          </w:rPr>
          <w:tab/>
        </w:r>
        <w:r w:rsidRPr="000C6FC3">
          <w:rPr>
            <w:rStyle w:val="Hyperlink"/>
          </w:rPr>
          <w:t>Reports and Dashboards Gaps Requiring Confirmation</w:t>
        </w:r>
        <w:r>
          <w:rPr>
            <w:webHidden/>
          </w:rPr>
          <w:tab/>
        </w:r>
        <w:r>
          <w:rPr>
            <w:webHidden/>
          </w:rPr>
          <w:fldChar w:fldCharType="begin"/>
        </w:r>
        <w:r>
          <w:rPr>
            <w:webHidden/>
          </w:rPr>
          <w:instrText xml:space="preserve"> PAGEREF _Toc242553992 \h </w:instrText>
        </w:r>
        <w:r>
          <w:rPr>
            <w:webHidden/>
          </w:rPr>
        </w:r>
        <w:r>
          <w:rPr>
            <w:webHidden/>
          </w:rPr>
          <w:fldChar w:fldCharType="separate"/>
        </w:r>
        <w:r w:rsidR="00313050">
          <w:rPr>
            <w:webHidden/>
          </w:rPr>
          <w:t>164</w:t>
        </w:r>
        <w:r>
          <w:rPr>
            <w:webHidden/>
          </w:rPr>
          <w:fldChar w:fldCharType="end"/>
        </w:r>
      </w:hyperlink>
    </w:p>
    <w:p w14:paraId="5DD1F861" w14:textId="62D7292E" w:rsidR="00FC42E7" w:rsidRDefault="00FC42E7">
      <w:pPr>
        <w:pStyle w:val="TOC1"/>
        <w:rPr>
          <w:rFonts w:eastAsiaTheme="minorEastAsia" w:cstheme="minorBidi"/>
          <w:b w:val="0"/>
          <w:bCs w:val="0"/>
          <w:kern w:val="2"/>
          <w:sz w:val="24"/>
          <w:szCs w:val="24"/>
          <w:lang w:val="en-IN" w:eastAsia="en-IN"/>
          <w14:ligatures w14:val="standardContextual"/>
        </w:rPr>
      </w:pPr>
      <w:hyperlink w:anchor="_Toc242553993" w:history="1">
        <w:r w:rsidRPr="000C6FC3">
          <w:rPr>
            <w:rStyle w:val="Hyperlink"/>
            <w:lang w:val="en-IN"/>
          </w:rPr>
          <w:t>5</w:t>
        </w:r>
        <w:r>
          <w:rPr>
            <w:rFonts w:eastAsiaTheme="minorEastAsia" w:cstheme="minorBidi"/>
            <w:b w:val="0"/>
            <w:bCs w:val="0"/>
            <w:kern w:val="2"/>
            <w:sz w:val="24"/>
            <w:szCs w:val="24"/>
            <w:lang w:val="en-IN" w:eastAsia="en-IN"/>
            <w14:ligatures w14:val="standardContextual"/>
          </w:rPr>
          <w:tab/>
        </w:r>
        <w:r w:rsidRPr="000C6FC3">
          <w:rPr>
            <w:rStyle w:val="Hyperlink"/>
          </w:rPr>
          <w:t>Appendix</w:t>
        </w:r>
        <w:r>
          <w:rPr>
            <w:webHidden/>
          </w:rPr>
          <w:tab/>
        </w:r>
        <w:r>
          <w:rPr>
            <w:webHidden/>
          </w:rPr>
          <w:fldChar w:fldCharType="begin"/>
        </w:r>
        <w:r>
          <w:rPr>
            <w:webHidden/>
          </w:rPr>
          <w:instrText xml:space="preserve"> PAGEREF _Toc242553993 \h </w:instrText>
        </w:r>
        <w:r>
          <w:rPr>
            <w:webHidden/>
          </w:rPr>
        </w:r>
        <w:r>
          <w:rPr>
            <w:webHidden/>
          </w:rPr>
          <w:fldChar w:fldCharType="separate"/>
        </w:r>
        <w:r w:rsidR="00313050">
          <w:rPr>
            <w:webHidden/>
          </w:rPr>
          <w:t>166</w:t>
        </w:r>
        <w:r>
          <w:rPr>
            <w:webHidden/>
          </w:rPr>
          <w:fldChar w:fldCharType="end"/>
        </w:r>
      </w:hyperlink>
    </w:p>
    <w:p w14:paraId="5B329706" w14:textId="433A2383"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94" w:history="1">
        <w:r w:rsidRPr="000C6FC3">
          <w:rPr>
            <w:rStyle w:val="Hyperlink"/>
          </w:rPr>
          <w:t>5.1</w:t>
        </w:r>
        <w:r>
          <w:rPr>
            <w:rFonts w:eastAsiaTheme="minorEastAsia" w:cstheme="minorBidi"/>
            <w:bCs w:val="0"/>
            <w:color w:val="auto"/>
            <w:kern w:val="2"/>
            <w:sz w:val="24"/>
            <w:szCs w:val="24"/>
            <w:lang w:val="en-IN" w:eastAsia="en-IN"/>
            <w14:ligatures w14:val="standardContextual"/>
          </w:rPr>
          <w:tab/>
        </w:r>
        <w:r w:rsidRPr="000C6FC3">
          <w:rPr>
            <w:rStyle w:val="Hyperlink"/>
          </w:rPr>
          <w:t>Glossary of Terms</w:t>
        </w:r>
        <w:r>
          <w:rPr>
            <w:webHidden/>
          </w:rPr>
          <w:tab/>
        </w:r>
        <w:r>
          <w:rPr>
            <w:webHidden/>
          </w:rPr>
          <w:fldChar w:fldCharType="begin"/>
        </w:r>
        <w:r>
          <w:rPr>
            <w:webHidden/>
          </w:rPr>
          <w:instrText xml:space="preserve"> PAGEREF _Toc242553994 \h </w:instrText>
        </w:r>
        <w:r>
          <w:rPr>
            <w:webHidden/>
          </w:rPr>
        </w:r>
        <w:r>
          <w:rPr>
            <w:webHidden/>
          </w:rPr>
          <w:fldChar w:fldCharType="separate"/>
        </w:r>
        <w:r w:rsidR="00313050">
          <w:rPr>
            <w:webHidden/>
          </w:rPr>
          <w:t>166</w:t>
        </w:r>
        <w:r>
          <w:rPr>
            <w:webHidden/>
          </w:rPr>
          <w:fldChar w:fldCharType="end"/>
        </w:r>
      </w:hyperlink>
    </w:p>
    <w:p w14:paraId="3ED8AFB3" w14:textId="79EBDAC9"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95" w:history="1">
        <w:r w:rsidRPr="000C6FC3">
          <w:rPr>
            <w:rStyle w:val="Hyperlink"/>
          </w:rPr>
          <w:t>5.2</w:t>
        </w:r>
        <w:r>
          <w:rPr>
            <w:rFonts w:eastAsiaTheme="minorEastAsia" w:cstheme="minorBidi"/>
            <w:bCs w:val="0"/>
            <w:color w:val="auto"/>
            <w:kern w:val="2"/>
            <w:sz w:val="24"/>
            <w:szCs w:val="24"/>
            <w:lang w:val="en-IN" w:eastAsia="en-IN"/>
            <w14:ligatures w14:val="standardContextual"/>
          </w:rPr>
          <w:tab/>
        </w:r>
        <w:r w:rsidRPr="000C6FC3">
          <w:rPr>
            <w:rStyle w:val="Hyperlink"/>
          </w:rPr>
          <w:t>Acronyms &amp; Abbreviations</w:t>
        </w:r>
        <w:r>
          <w:rPr>
            <w:webHidden/>
          </w:rPr>
          <w:tab/>
        </w:r>
        <w:r>
          <w:rPr>
            <w:webHidden/>
          </w:rPr>
          <w:fldChar w:fldCharType="begin"/>
        </w:r>
        <w:r>
          <w:rPr>
            <w:webHidden/>
          </w:rPr>
          <w:instrText xml:space="preserve"> PAGEREF _Toc242553995 \h </w:instrText>
        </w:r>
        <w:r>
          <w:rPr>
            <w:webHidden/>
          </w:rPr>
        </w:r>
        <w:r>
          <w:rPr>
            <w:webHidden/>
          </w:rPr>
          <w:fldChar w:fldCharType="separate"/>
        </w:r>
        <w:r w:rsidR="00313050">
          <w:rPr>
            <w:webHidden/>
          </w:rPr>
          <w:t>167</w:t>
        </w:r>
        <w:r>
          <w:rPr>
            <w:webHidden/>
          </w:rPr>
          <w:fldChar w:fldCharType="end"/>
        </w:r>
      </w:hyperlink>
    </w:p>
    <w:p w14:paraId="19D93CCC" w14:textId="3141380F"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96" w:history="1">
        <w:r w:rsidRPr="000C6FC3">
          <w:rPr>
            <w:rStyle w:val="Hyperlink"/>
          </w:rPr>
          <w:t>5.3</w:t>
        </w:r>
        <w:r>
          <w:rPr>
            <w:rFonts w:eastAsiaTheme="minorEastAsia" w:cstheme="minorBidi"/>
            <w:bCs w:val="0"/>
            <w:color w:val="auto"/>
            <w:kern w:val="2"/>
            <w:sz w:val="24"/>
            <w:szCs w:val="24"/>
            <w:lang w:val="en-IN" w:eastAsia="en-IN"/>
            <w14:ligatures w14:val="standardContextual"/>
          </w:rPr>
          <w:tab/>
        </w:r>
        <w:r w:rsidRPr="000C6FC3">
          <w:rPr>
            <w:rStyle w:val="Hyperlink"/>
          </w:rPr>
          <w:t>Data Sizing</w:t>
        </w:r>
        <w:r>
          <w:rPr>
            <w:webHidden/>
          </w:rPr>
          <w:tab/>
        </w:r>
        <w:r>
          <w:rPr>
            <w:webHidden/>
          </w:rPr>
          <w:fldChar w:fldCharType="begin"/>
        </w:r>
        <w:r>
          <w:rPr>
            <w:webHidden/>
          </w:rPr>
          <w:instrText xml:space="preserve"> PAGEREF _Toc242553996 \h </w:instrText>
        </w:r>
        <w:r>
          <w:rPr>
            <w:webHidden/>
          </w:rPr>
        </w:r>
        <w:r>
          <w:rPr>
            <w:webHidden/>
          </w:rPr>
          <w:fldChar w:fldCharType="separate"/>
        </w:r>
        <w:r w:rsidR="00313050">
          <w:rPr>
            <w:webHidden/>
          </w:rPr>
          <w:t>169</w:t>
        </w:r>
        <w:r>
          <w:rPr>
            <w:webHidden/>
          </w:rPr>
          <w:fldChar w:fldCharType="end"/>
        </w:r>
      </w:hyperlink>
    </w:p>
    <w:p w14:paraId="3DFE1EA0" w14:textId="770F6B50"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97" w:history="1">
        <w:r w:rsidRPr="000C6FC3">
          <w:rPr>
            <w:rStyle w:val="Hyperlink"/>
          </w:rPr>
          <w:t>5.4</w:t>
        </w:r>
        <w:r>
          <w:rPr>
            <w:rFonts w:eastAsiaTheme="minorEastAsia" w:cstheme="minorBidi"/>
            <w:bCs w:val="0"/>
            <w:color w:val="auto"/>
            <w:kern w:val="2"/>
            <w:sz w:val="24"/>
            <w:szCs w:val="24"/>
            <w:lang w:val="en-IN" w:eastAsia="en-IN"/>
            <w14:ligatures w14:val="standardContextual"/>
          </w:rPr>
          <w:tab/>
        </w:r>
        <w:r w:rsidRPr="000C6FC3">
          <w:rPr>
            <w:rStyle w:val="Hyperlink"/>
          </w:rPr>
          <w:t>Reference Configuration Data</w:t>
        </w:r>
        <w:r>
          <w:rPr>
            <w:webHidden/>
          </w:rPr>
          <w:tab/>
        </w:r>
        <w:r>
          <w:rPr>
            <w:webHidden/>
          </w:rPr>
          <w:fldChar w:fldCharType="begin"/>
        </w:r>
        <w:r>
          <w:rPr>
            <w:webHidden/>
          </w:rPr>
          <w:instrText xml:space="preserve"> PAGEREF _Toc242553997 \h </w:instrText>
        </w:r>
        <w:r>
          <w:rPr>
            <w:webHidden/>
          </w:rPr>
        </w:r>
        <w:r>
          <w:rPr>
            <w:webHidden/>
          </w:rPr>
          <w:fldChar w:fldCharType="separate"/>
        </w:r>
        <w:r w:rsidR="00313050">
          <w:rPr>
            <w:webHidden/>
          </w:rPr>
          <w:t>169</w:t>
        </w:r>
        <w:r>
          <w:rPr>
            <w:webHidden/>
          </w:rPr>
          <w:fldChar w:fldCharType="end"/>
        </w:r>
      </w:hyperlink>
    </w:p>
    <w:p w14:paraId="58E9A2A9" w14:textId="328D4A2A" w:rsidR="00FC42E7" w:rsidRDefault="00FC42E7">
      <w:pPr>
        <w:pStyle w:val="TOC2"/>
        <w:rPr>
          <w:rFonts w:eastAsiaTheme="minorEastAsia" w:cstheme="minorBidi"/>
          <w:bCs w:val="0"/>
          <w:color w:val="auto"/>
          <w:kern w:val="2"/>
          <w:sz w:val="24"/>
          <w:szCs w:val="24"/>
          <w:lang w:val="en-IN" w:eastAsia="en-IN"/>
          <w14:ligatures w14:val="standardContextual"/>
        </w:rPr>
      </w:pPr>
      <w:hyperlink w:anchor="_Toc242553998" w:history="1">
        <w:r w:rsidRPr="000C6FC3">
          <w:rPr>
            <w:rStyle w:val="Hyperlink"/>
          </w:rPr>
          <w:t>5.5</w:t>
        </w:r>
        <w:r>
          <w:rPr>
            <w:rFonts w:eastAsiaTheme="minorEastAsia" w:cstheme="minorBidi"/>
            <w:bCs w:val="0"/>
            <w:color w:val="auto"/>
            <w:kern w:val="2"/>
            <w:sz w:val="24"/>
            <w:szCs w:val="24"/>
            <w:lang w:val="en-IN" w:eastAsia="en-IN"/>
            <w14:ligatures w14:val="standardContextual"/>
          </w:rPr>
          <w:tab/>
        </w:r>
        <w:r w:rsidRPr="000C6FC3">
          <w:rPr>
            <w:rStyle w:val="Hyperlink"/>
          </w:rPr>
          <w:t>Open Queries</w:t>
        </w:r>
        <w:r>
          <w:rPr>
            <w:webHidden/>
          </w:rPr>
          <w:tab/>
        </w:r>
        <w:r>
          <w:rPr>
            <w:webHidden/>
          </w:rPr>
          <w:fldChar w:fldCharType="begin"/>
        </w:r>
        <w:r>
          <w:rPr>
            <w:webHidden/>
          </w:rPr>
          <w:instrText xml:space="preserve"> PAGEREF _Toc242553998 \h </w:instrText>
        </w:r>
        <w:r>
          <w:rPr>
            <w:webHidden/>
          </w:rPr>
        </w:r>
        <w:r>
          <w:rPr>
            <w:webHidden/>
          </w:rPr>
          <w:fldChar w:fldCharType="separate"/>
        </w:r>
        <w:r w:rsidR="00313050">
          <w:rPr>
            <w:webHidden/>
          </w:rPr>
          <w:t>169</w:t>
        </w:r>
        <w:r>
          <w:rPr>
            <w:webHidden/>
          </w:rPr>
          <w:fldChar w:fldCharType="end"/>
        </w:r>
      </w:hyperlink>
    </w:p>
    <w:p w14:paraId="78DA8935" w14:textId="161212A0" w:rsidR="00DC5878" w:rsidRPr="00E83BEF" w:rsidRDefault="00AA30D8" w:rsidP="00784C9B">
      <w:pPr>
        <w:pStyle w:val="DocumentInformation"/>
        <w:sectPr w:rsidR="00DC5878" w:rsidRPr="00E83BEF" w:rsidSect="008C1AB9">
          <w:headerReference w:type="even" r:id="rId19"/>
          <w:headerReference w:type="default" r:id="rId20"/>
          <w:footerReference w:type="even" r:id="rId21"/>
          <w:footerReference w:type="default" r:id="rId22"/>
          <w:footerReference w:type="first" r:id="rId23"/>
          <w:pgSz w:w="12240" w:h="15840"/>
          <w:pgMar w:top="940" w:right="1340" w:bottom="1744" w:left="1340" w:header="740" w:footer="882" w:gutter="0"/>
          <w:pgNumType w:start="1"/>
          <w:cols w:space="720"/>
          <w:titlePg/>
          <w:docGrid w:linePitch="299"/>
        </w:sectPr>
      </w:pPr>
      <w:r>
        <w:fldChar w:fldCharType="end"/>
      </w:r>
    </w:p>
    <w:p w14:paraId="33715B94" w14:textId="64C0D0AD" w:rsidR="00AA30D8" w:rsidRPr="00784C9B" w:rsidRDefault="00AA30D8" w:rsidP="00AA30D8">
      <w:pPr>
        <w:pStyle w:val="DocumentInformation"/>
      </w:pPr>
      <w:r w:rsidRPr="00784C9B">
        <w:t>Table of Ta</w:t>
      </w:r>
      <w:r>
        <w:t>bles</w:t>
      </w:r>
    </w:p>
    <w:p w14:paraId="7A4052E7" w14:textId="19FCE839" w:rsidR="00FC42E7" w:rsidRPr="00313050" w:rsidRDefault="00AA30D8">
      <w:pPr>
        <w:pStyle w:val="TableofFigures"/>
        <w:tabs>
          <w:tab w:val="right" w:leader="dot" w:pos="9350"/>
        </w:tabs>
        <w:rPr>
          <w:rStyle w:val="Hyperlink"/>
          <w:lang w:val="en-IN" w:eastAsia="en-IN"/>
        </w:rPr>
      </w:pPr>
      <w:r>
        <w:rPr>
          <w:rStyle w:val="Hyperlink"/>
        </w:rPr>
        <w:fldChar w:fldCharType="begin"/>
      </w:r>
      <w:r w:rsidRPr="00313050">
        <w:rPr>
          <w:rStyle w:val="Hyperlink"/>
        </w:rPr>
        <w:instrText xml:space="preserve"> TOC \h \z \c "Table" </w:instrText>
      </w:r>
      <w:r>
        <w:rPr>
          <w:rStyle w:val="Hyperlink"/>
        </w:rPr>
        <w:fldChar w:fldCharType="separate"/>
      </w:r>
      <w:hyperlink w:anchor="_Toc242553999" w:history="1">
        <w:r w:rsidR="00FC42E7" w:rsidRPr="00313050">
          <w:rPr>
            <w:rStyle w:val="Hyperlink"/>
          </w:rPr>
          <w:t>Table 2-1: Scope - Data Entities Common with IQDM</w:t>
        </w:r>
        <w:r w:rsidR="00FC42E7" w:rsidRPr="00313050">
          <w:rPr>
            <w:rStyle w:val="Hyperlink"/>
            <w:webHidden/>
          </w:rPr>
          <w:tab/>
        </w:r>
        <w:r w:rsidR="00FC42E7" w:rsidRPr="00313050">
          <w:rPr>
            <w:rStyle w:val="Hyperlink"/>
            <w:webHidden/>
          </w:rPr>
          <w:fldChar w:fldCharType="begin"/>
        </w:r>
        <w:r w:rsidR="00FC42E7" w:rsidRPr="00313050">
          <w:rPr>
            <w:rStyle w:val="Hyperlink"/>
            <w:webHidden/>
          </w:rPr>
          <w:instrText xml:space="preserve"> PAGEREF _Toc242553999 \h </w:instrText>
        </w:r>
        <w:r w:rsidR="00FC42E7" w:rsidRPr="00313050">
          <w:rPr>
            <w:rStyle w:val="Hyperlink"/>
            <w:webHidden/>
          </w:rPr>
        </w:r>
        <w:r w:rsidR="00FC42E7" w:rsidRPr="00313050">
          <w:rPr>
            <w:rStyle w:val="Hyperlink"/>
            <w:webHidden/>
          </w:rPr>
          <w:fldChar w:fldCharType="separate"/>
        </w:r>
        <w:r w:rsidR="00313050" w:rsidRPr="00313050">
          <w:rPr>
            <w:rStyle w:val="Hyperlink"/>
            <w:webHidden/>
          </w:rPr>
          <w:t>13</w:t>
        </w:r>
        <w:r w:rsidR="00FC42E7" w:rsidRPr="00313050">
          <w:rPr>
            <w:rStyle w:val="Hyperlink"/>
            <w:webHidden/>
          </w:rPr>
          <w:fldChar w:fldCharType="end"/>
        </w:r>
      </w:hyperlink>
    </w:p>
    <w:p w14:paraId="10B95910" w14:textId="191FCDAC" w:rsidR="00FC42E7" w:rsidRPr="00313050" w:rsidRDefault="00FC42E7">
      <w:pPr>
        <w:pStyle w:val="TableofFigures"/>
        <w:tabs>
          <w:tab w:val="right" w:leader="dot" w:pos="9350"/>
        </w:tabs>
        <w:rPr>
          <w:rStyle w:val="Hyperlink"/>
          <w:lang w:val="en-IN" w:eastAsia="en-IN"/>
        </w:rPr>
      </w:pPr>
      <w:hyperlink w:anchor="_Toc242554000" w:history="1">
        <w:r w:rsidRPr="00313050">
          <w:rPr>
            <w:rStyle w:val="Hyperlink"/>
          </w:rPr>
          <w:t>Table 2-2: Scope - Data Entities from New Sources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_Toc242554000 \h </w:instrText>
        </w:r>
        <w:r w:rsidRPr="00313050">
          <w:rPr>
            <w:rStyle w:val="Hyperlink"/>
            <w:webHidden/>
          </w:rPr>
        </w:r>
        <w:r w:rsidRPr="00313050">
          <w:rPr>
            <w:rStyle w:val="Hyperlink"/>
            <w:webHidden/>
          </w:rPr>
          <w:fldChar w:fldCharType="separate"/>
        </w:r>
        <w:r w:rsidR="00313050" w:rsidRPr="00313050">
          <w:rPr>
            <w:rStyle w:val="Hyperlink"/>
            <w:webHidden/>
          </w:rPr>
          <w:t>14</w:t>
        </w:r>
        <w:r w:rsidRPr="00313050">
          <w:rPr>
            <w:rStyle w:val="Hyperlink"/>
            <w:webHidden/>
          </w:rPr>
          <w:fldChar w:fldCharType="end"/>
        </w:r>
      </w:hyperlink>
    </w:p>
    <w:p w14:paraId="319A7914" w14:textId="438DB6E7" w:rsidR="00FC42E7" w:rsidRPr="00313050" w:rsidRDefault="00FC42E7">
      <w:pPr>
        <w:pStyle w:val="TableofFigures"/>
        <w:tabs>
          <w:tab w:val="right" w:leader="dot" w:pos="9350"/>
        </w:tabs>
        <w:rPr>
          <w:rStyle w:val="Hyperlink"/>
          <w:lang w:val="en-IN" w:eastAsia="en-IN"/>
        </w:rPr>
      </w:pPr>
      <w:hyperlink w:anchor="_Toc242554001" w:history="1">
        <w:r w:rsidRPr="00313050">
          <w:rPr>
            <w:rStyle w:val="Hyperlink"/>
          </w:rPr>
          <w:t>Table 2-3: Scope - User Interface Components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_Toc242554001 \h </w:instrText>
        </w:r>
        <w:r w:rsidRPr="00313050">
          <w:rPr>
            <w:rStyle w:val="Hyperlink"/>
            <w:webHidden/>
          </w:rPr>
        </w:r>
        <w:r w:rsidRPr="00313050">
          <w:rPr>
            <w:rStyle w:val="Hyperlink"/>
            <w:webHidden/>
          </w:rPr>
          <w:fldChar w:fldCharType="separate"/>
        </w:r>
        <w:r w:rsidR="00313050" w:rsidRPr="00313050">
          <w:rPr>
            <w:rStyle w:val="Hyperlink"/>
            <w:webHidden/>
          </w:rPr>
          <w:t>14</w:t>
        </w:r>
        <w:r w:rsidRPr="00313050">
          <w:rPr>
            <w:rStyle w:val="Hyperlink"/>
            <w:webHidden/>
          </w:rPr>
          <w:fldChar w:fldCharType="end"/>
        </w:r>
      </w:hyperlink>
    </w:p>
    <w:p w14:paraId="0E23CBEF" w14:textId="2F684093" w:rsidR="00FC42E7" w:rsidRPr="00313050" w:rsidRDefault="00FC42E7">
      <w:pPr>
        <w:pStyle w:val="TableofFigures"/>
        <w:tabs>
          <w:tab w:val="right" w:leader="dot" w:pos="9350"/>
        </w:tabs>
        <w:rPr>
          <w:rStyle w:val="Hyperlink"/>
          <w:lang w:val="en-IN" w:eastAsia="en-IN"/>
        </w:rPr>
      </w:pPr>
      <w:hyperlink w:anchor="_Toc242554002" w:history="1">
        <w:r w:rsidRPr="00313050">
          <w:rPr>
            <w:rStyle w:val="Hyperlink"/>
          </w:rPr>
          <w:t>Table 2-4: VCB Integration (common pattern) - Start and Frequency</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_Toc242554002 \h </w:instrText>
        </w:r>
        <w:r w:rsidRPr="00313050">
          <w:rPr>
            <w:rStyle w:val="Hyperlink"/>
            <w:webHidden/>
          </w:rPr>
        </w:r>
        <w:r w:rsidRPr="00313050">
          <w:rPr>
            <w:rStyle w:val="Hyperlink"/>
            <w:webHidden/>
          </w:rPr>
          <w:fldChar w:fldCharType="separate"/>
        </w:r>
        <w:r w:rsidR="00313050" w:rsidRPr="00313050">
          <w:rPr>
            <w:rStyle w:val="Hyperlink"/>
            <w:webHidden/>
          </w:rPr>
          <w:t>22</w:t>
        </w:r>
        <w:r w:rsidRPr="00313050">
          <w:rPr>
            <w:rStyle w:val="Hyperlink"/>
            <w:webHidden/>
          </w:rPr>
          <w:fldChar w:fldCharType="end"/>
        </w:r>
      </w:hyperlink>
    </w:p>
    <w:p w14:paraId="0E53573C" w14:textId="428D309D" w:rsidR="00FC42E7" w:rsidRPr="00313050" w:rsidRDefault="00FC42E7">
      <w:pPr>
        <w:pStyle w:val="TableofFigures"/>
        <w:tabs>
          <w:tab w:val="right" w:leader="dot" w:pos="9350"/>
        </w:tabs>
        <w:rPr>
          <w:rStyle w:val="Hyperlink"/>
          <w:lang w:val="en-IN" w:eastAsia="en-IN"/>
        </w:rPr>
      </w:pPr>
      <w:hyperlink w:anchor="_Toc242554003" w:history="1">
        <w:r w:rsidRPr="00313050">
          <w:rPr>
            <w:rStyle w:val="Hyperlink"/>
          </w:rPr>
          <w:t>Table 2-5: VCB Integration (common pattern) - Request Header Parameters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_Toc242554003 \h </w:instrText>
        </w:r>
        <w:r w:rsidRPr="00313050">
          <w:rPr>
            <w:rStyle w:val="Hyperlink"/>
            <w:webHidden/>
          </w:rPr>
        </w:r>
        <w:r w:rsidRPr="00313050">
          <w:rPr>
            <w:rStyle w:val="Hyperlink"/>
            <w:webHidden/>
          </w:rPr>
          <w:fldChar w:fldCharType="separate"/>
        </w:r>
        <w:r w:rsidR="00313050" w:rsidRPr="00313050">
          <w:rPr>
            <w:rStyle w:val="Hyperlink"/>
            <w:webHidden/>
          </w:rPr>
          <w:t>22</w:t>
        </w:r>
        <w:r w:rsidRPr="00313050">
          <w:rPr>
            <w:rStyle w:val="Hyperlink"/>
            <w:webHidden/>
          </w:rPr>
          <w:fldChar w:fldCharType="end"/>
        </w:r>
      </w:hyperlink>
    </w:p>
    <w:p w14:paraId="2E46503F" w14:textId="525758E1" w:rsidR="00FC42E7" w:rsidRPr="00313050" w:rsidRDefault="00FC42E7">
      <w:pPr>
        <w:pStyle w:val="TableofFigures"/>
        <w:tabs>
          <w:tab w:val="right" w:leader="dot" w:pos="9350"/>
        </w:tabs>
        <w:rPr>
          <w:rStyle w:val="Hyperlink"/>
          <w:lang w:val="en-IN" w:eastAsia="en-IN"/>
        </w:rPr>
      </w:pPr>
      <w:hyperlink w:anchor="_Toc242554004" w:history="1">
        <w:r w:rsidRPr="00313050">
          <w:rPr>
            <w:rStyle w:val="Hyperlink"/>
          </w:rPr>
          <w:t>Table 2-6: VCB Integration (common pattern) - Request Body Parameters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_Toc242554004 \h </w:instrText>
        </w:r>
        <w:r w:rsidRPr="00313050">
          <w:rPr>
            <w:rStyle w:val="Hyperlink"/>
            <w:webHidden/>
          </w:rPr>
        </w:r>
        <w:r w:rsidRPr="00313050">
          <w:rPr>
            <w:rStyle w:val="Hyperlink"/>
            <w:webHidden/>
          </w:rPr>
          <w:fldChar w:fldCharType="separate"/>
        </w:r>
        <w:r w:rsidR="00313050" w:rsidRPr="00313050">
          <w:rPr>
            <w:rStyle w:val="Hyperlink"/>
            <w:webHidden/>
          </w:rPr>
          <w:t>23</w:t>
        </w:r>
        <w:r w:rsidRPr="00313050">
          <w:rPr>
            <w:rStyle w:val="Hyperlink"/>
            <w:webHidden/>
          </w:rPr>
          <w:fldChar w:fldCharType="end"/>
        </w:r>
      </w:hyperlink>
    </w:p>
    <w:p w14:paraId="5A81443F" w14:textId="05FAAB59" w:rsidR="00FC42E7" w:rsidRPr="00313050" w:rsidRDefault="00FC42E7">
      <w:pPr>
        <w:pStyle w:val="TableofFigures"/>
        <w:tabs>
          <w:tab w:val="right" w:leader="dot" w:pos="9350"/>
        </w:tabs>
        <w:rPr>
          <w:rStyle w:val="Hyperlink"/>
          <w:lang w:val="en-IN" w:eastAsia="en-IN"/>
        </w:rPr>
      </w:pPr>
      <w:hyperlink w:anchor="_Toc242554005" w:history="1">
        <w:r w:rsidRPr="00313050">
          <w:rPr>
            <w:rStyle w:val="Hyperlink"/>
          </w:rPr>
          <w:t>Table 2-7: VCB Integration (common pattern) - Azure Service Bus Request Queues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_Toc242554005 \h </w:instrText>
        </w:r>
        <w:r w:rsidRPr="00313050">
          <w:rPr>
            <w:rStyle w:val="Hyperlink"/>
            <w:webHidden/>
          </w:rPr>
        </w:r>
        <w:r w:rsidRPr="00313050">
          <w:rPr>
            <w:rStyle w:val="Hyperlink"/>
            <w:webHidden/>
          </w:rPr>
          <w:fldChar w:fldCharType="separate"/>
        </w:r>
        <w:r w:rsidR="00313050" w:rsidRPr="00313050">
          <w:rPr>
            <w:rStyle w:val="Hyperlink"/>
            <w:webHidden/>
          </w:rPr>
          <w:t>24</w:t>
        </w:r>
        <w:r w:rsidRPr="00313050">
          <w:rPr>
            <w:rStyle w:val="Hyperlink"/>
            <w:webHidden/>
          </w:rPr>
          <w:fldChar w:fldCharType="end"/>
        </w:r>
      </w:hyperlink>
    </w:p>
    <w:p w14:paraId="2C240A0B" w14:textId="236D0888" w:rsidR="00FC42E7" w:rsidRPr="00313050" w:rsidRDefault="00FC42E7">
      <w:pPr>
        <w:pStyle w:val="TableofFigures"/>
        <w:tabs>
          <w:tab w:val="right" w:leader="dot" w:pos="9350"/>
        </w:tabs>
        <w:rPr>
          <w:rStyle w:val="Hyperlink"/>
          <w:lang w:val="en-IN" w:eastAsia="en-IN"/>
        </w:rPr>
      </w:pPr>
      <w:hyperlink w:anchor="_Toc242554006" w:history="1">
        <w:r w:rsidRPr="00313050">
          <w:rPr>
            <w:rStyle w:val="Hyperlink"/>
          </w:rPr>
          <w:t>Table 2-8: VCB Integration (common pattern) - Azure Service Bus Response Queue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_Toc242554006 \h </w:instrText>
        </w:r>
        <w:r w:rsidRPr="00313050">
          <w:rPr>
            <w:rStyle w:val="Hyperlink"/>
            <w:webHidden/>
          </w:rPr>
        </w:r>
        <w:r w:rsidRPr="00313050">
          <w:rPr>
            <w:rStyle w:val="Hyperlink"/>
            <w:webHidden/>
          </w:rPr>
          <w:fldChar w:fldCharType="separate"/>
        </w:r>
        <w:r w:rsidR="00313050" w:rsidRPr="00313050">
          <w:rPr>
            <w:rStyle w:val="Hyperlink"/>
            <w:webHidden/>
          </w:rPr>
          <w:t>26</w:t>
        </w:r>
        <w:r w:rsidRPr="00313050">
          <w:rPr>
            <w:rStyle w:val="Hyperlink"/>
            <w:webHidden/>
          </w:rPr>
          <w:fldChar w:fldCharType="end"/>
        </w:r>
      </w:hyperlink>
    </w:p>
    <w:p w14:paraId="7DA203B6" w14:textId="7A25068E" w:rsidR="00FC42E7" w:rsidRPr="00313050" w:rsidRDefault="00FC42E7">
      <w:pPr>
        <w:pStyle w:val="TableofFigures"/>
        <w:tabs>
          <w:tab w:val="right" w:leader="dot" w:pos="9350"/>
        </w:tabs>
        <w:rPr>
          <w:rStyle w:val="Hyperlink"/>
          <w:lang w:val="en-IN" w:eastAsia="en-IN"/>
        </w:rPr>
      </w:pPr>
      <w:hyperlink w:anchor="_Toc242554007" w:history="1">
        <w:r w:rsidRPr="00313050">
          <w:rPr>
            <w:rStyle w:val="Hyperlink"/>
          </w:rPr>
          <w:t>Table 2-9: VCB Integration (common pattern) - Master Data Entities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_Toc242554007 \h </w:instrText>
        </w:r>
        <w:r w:rsidRPr="00313050">
          <w:rPr>
            <w:rStyle w:val="Hyperlink"/>
            <w:webHidden/>
          </w:rPr>
        </w:r>
        <w:r w:rsidRPr="00313050">
          <w:rPr>
            <w:rStyle w:val="Hyperlink"/>
            <w:webHidden/>
          </w:rPr>
          <w:fldChar w:fldCharType="separate"/>
        </w:r>
        <w:r w:rsidR="00313050" w:rsidRPr="00313050">
          <w:rPr>
            <w:rStyle w:val="Hyperlink"/>
            <w:webHidden/>
          </w:rPr>
          <w:t>26</w:t>
        </w:r>
        <w:r w:rsidRPr="00313050">
          <w:rPr>
            <w:rStyle w:val="Hyperlink"/>
            <w:webHidden/>
          </w:rPr>
          <w:fldChar w:fldCharType="end"/>
        </w:r>
      </w:hyperlink>
    </w:p>
    <w:p w14:paraId="4B755467" w14:textId="27E313B6" w:rsidR="00FC42E7" w:rsidRPr="00313050" w:rsidRDefault="00FC42E7">
      <w:pPr>
        <w:pStyle w:val="TableofFigures"/>
        <w:tabs>
          <w:tab w:val="right" w:leader="dot" w:pos="9350"/>
        </w:tabs>
        <w:rPr>
          <w:rStyle w:val="Hyperlink"/>
          <w:lang w:val="en-IN" w:eastAsia="en-IN"/>
        </w:rPr>
      </w:pPr>
      <w:hyperlink w:anchor="_Toc242554008" w:history="1">
        <w:r w:rsidRPr="00313050">
          <w:rPr>
            <w:rStyle w:val="Hyperlink"/>
          </w:rPr>
          <w:t>Table 2-10: Blend Component Integration (PIAF) - Integration Specifics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_Toc242554008 \h </w:instrText>
        </w:r>
        <w:r w:rsidRPr="00313050">
          <w:rPr>
            <w:rStyle w:val="Hyperlink"/>
            <w:webHidden/>
          </w:rPr>
        </w:r>
        <w:r w:rsidRPr="00313050">
          <w:rPr>
            <w:rStyle w:val="Hyperlink"/>
            <w:webHidden/>
          </w:rPr>
          <w:fldChar w:fldCharType="separate"/>
        </w:r>
        <w:r w:rsidR="00313050" w:rsidRPr="00313050">
          <w:rPr>
            <w:rStyle w:val="Hyperlink"/>
            <w:webHidden/>
          </w:rPr>
          <w:t>36</w:t>
        </w:r>
        <w:r w:rsidRPr="00313050">
          <w:rPr>
            <w:rStyle w:val="Hyperlink"/>
            <w:webHidden/>
          </w:rPr>
          <w:fldChar w:fldCharType="end"/>
        </w:r>
      </w:hyperlink>
    </w:p>
    <w:p w14:paraId="6F33D3D9" w14:textId="32528D93" w:rsidR="00FC42E7" w:rsidRPr="00313050" w:rsidRDefault="00FC42E7">
      <w:pPr>
        <w:pStyle w:val="TableofFigures"/>
        <w:tabs>
          <w:tab w:val="right" w:leader="dot" w:pos="9350"/>
        </w:tabs>
        <w:rPr>
          <w:rStyle w:val="Hyperlink"/>
          <w:lang w:val="en-IN" w:eastAsia="en-IN"/>
        </w:rPr>
      </w:pPr>
      <w:hyperlink w:anchor="_Toc242554009" w:history="1">
        <w:r w:rsidRPr="00313050">
          <w:rPr>
            <w:rStyle w:val="Hyperlink"/>
          </w:rPr>
          <w:t>Table 2-11: Blend Component Integration (PIAF) - Analyzer Properties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_Toc242554009 \h </w:instrText>
        </w:r>
        <w:r w:rsidRPr="00313050">
          <w:rPr>
            <w:rStyle w:val="Hyperlink"/>
            <w:webHidden/>
          </w:rPr>
        </w:r>
        <w:r w:rsidRPr="00313050">
          <w:rPr>
            <w:rStyle w:val="Hyperlink"/>
            <w:webHidden/>
          </w:rPr>
          <w:fldChar w:fldCharType="separate"/>
        </w:r>
        <w:r w:rsidR="00313050" w:rsidRPr="00313050">
          <w:rPr>
            <w:rStyle w:val="Hyperlink"/>
            <w:webHidden/>
          </w:rPr>
          <w:t>37</w:t>
        </w:r>
        <w:r w:rsidRPr="00313050">
          <w:rPr>
            <w:rStyle w:val="Hyperlink"/>
            <w:webHidden/>
          </w:rPr>
          <w:fldChar w:fldCharType="end"/>
        </w:r>
      </w:hyperlink>
    </w:p>
    <w:p w14:paraId="32532345" w14:textId="099C7E30" w:rsidR="00FC42E7" w:rsidRPr="00313050" w:rsidRDefault="00FC42E7">
      <w:pPr>
        <w:pStyle w:val="TableofFigures"/>
        <w:tabs>
          <w:tab w:val="right" w:leader="dot" w:pos="9350"/>
        </w:tabs>
        <w:rPr>
          <w:rStyle w:val="Hyperlink"/>
          <w:lang w:val="en-IN" w:eastAsia="en-IN"/>
        </w:rPr>
      </w:pPr>
      <w:hyperlink w:anchor="_Toc242554010" w:history="1">
        <w:r w:rsidRPr="00313050">
          <w:rPr>
            <w:rStyle w:val="Hyperlink"/>
          </w:rPr>
          <w:t>Table 2-12: Blend Component Integration (PIAF) - API Endpoint - Request Parameters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_Toc242554010 \h </w:instrText>
        </w:r>
        <w:r w:rsidRPr="00313050">
          <w:rPr>
            <w:rStyle w:val="Hyperlink"/>
            <w:webHidden/>
          </w:rPr>
        </w:r>
        <w:r w:rsidRPr="00313050">
          <w:rPr>
            <w:rStyle w:val="Hyperlink"/>
            <w:webHidden/>
          </w:rPr>
          <w:fldChar w:fldCharType="separate"/>
        </w:r>
        <w:r w:rsidR="00313050" w:rsidRPr="00313050">
          <w:rPr>
            <w:rStyle w:val="Hyperlink"/>
            <w:webHidden/>
          </w:rPr>
          <w:t>37</w:t>
        </w:r>
        <w:r w:rsidRPr="00313050">
          <w:rPr>
            <w:rStyle w:val="Hyperlink"/>
            <w:webHidden/>
          </w:rPr>
          <w:fldChar w:fldCharType="end"/>
        </w:r>
      </w:hyperlink>
    </w:p>
    <w:p w14:paraId="62331F79" w14:textId="2B2C12E0" w:rsidR="00FC42E7" w:rsidRPr="00313050" w:rsidRDefault="00FC42E7">
      <w:pPr>
        <w:pStyle w:val="TableofFigures"/>
        <w:tabs>
          <w:tab w:val="right" w:leader="dot" w:pos="9350"/>
        </w:tabs>
        <w:rPr>
          <w:rStyle w:val="Hyperlink"/>
          <w:lang w:val="en-IN" w:eastAsia="en-IN"/>
        </w:rPr>
      </w:pPr>
      <w:hyperlink w:anchor="_Toc242554011" w:history="1">
        <w:r w:rsidRPr="00313050">
          <w:rPr>
            <w:rStyle w:val="Hyperlink"/>
          </w:rPr>
          <w:t>Table 2-13: Blend Component Integration (PIAF) - API Endpoint - Response Model</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_Toc242554011 \h </w:instrText>
        </w:r>
        <w:r w:rsidRPr="00313050">
          <w:rPr>
            <w:rStyle w:val="Hyperlink"/>
            <w:webHidden/>
          </w:rPr>
        </w:r>
        <w:r w:rsidRPr="00313050">
          <w:rPr>
            <w:rStyle w:val="Hyperlink"/>
            <w:webHidden/>
          </w:rPr>
          <w:fldChar w:fldCharType="separate"/>
        </w:r>
        <w:r w:rsidR="00313050" w:rsidRPr="00313050">
          <w:rPr>
            <w:rStyle w:val="Hyperlink"/>
            <w:webHidden/>
          </w:rPr>
          <w:t>39</w:t>
        </w:r>
        <w:r w:rsidRPr="00313050">
          <w:rPr>
            <w:rStyle w:val="Hyperlink"/>
            <w:webHidden/>
          </w:rPr>
          <w:fldChar w:fldCharType="end"/>
        </w:r>
      </w:hyperlink>
    </w:p>
    <w:p w14:paraId="5E4B4BD5" w14:textId="1A97A3AB" w:rsidR="00FC42E7" w:rsidRPr="00313050" w:rsidRDefault="00FC42E7">
      <w:pPr>
        <w:pStyle w:val="TableofFigures"/>
        <w:tabs>
          <w:tab w:val="right" w:leader="dot" w:pos="9350"/>
        </w:tabs>
        <w:rPr>
          <w:rStyle w:val="Hyperlink"/>
          <w:lang w:val="en-IN" w:eastAsia="en-IN"/>
        </w:rPr>
      </w:pPr>
      <w:hyperlink w:anchor="_Toc242554012" w:history="1">
        <w:r w:rsidRPr="00313050">
          <w:rPr>
            <w:rStyle w:val="Hyperlink"/>
          </w:rPr>
          <w:t>Table 2-14: Source (PIAF) Data Entity: Terminal Blend Component Data</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_Toc242554012 \h </w:instrText>
        </w:r>
        <w:r w:rsidRPr="00313050">
          <w:rPr>
            <w:rStyle w:val="Hyperlink"/>
            <w:webHidden/>
          </w:rPr>
        </w:r>
        <w:r w:rsidRPr="00313050">
          <w:rPr>
            <w:rStyle w:val="Hyperlink"/>
            <w:webHidden/>
          </w:rPr>
          <w:fldChar w:fldCharType="separate"/>
        </w:r>
        <w:r w:rsidR="00313050" w:rsidRPr="00313050">
          <w:rPr>
            <w:rStyle w:val="Hyperlink"/>
            <w:webHidden/>
          </w:rPr>
          <w:t>40</w:t>
        </w:r>
        <w:r w:rsidRPr="00313050">
          <w:rPr>
            <w:rStyle w:val="Hyperlink"/>
            <w:webHidden/>
          </w:rPr>
          <w:fldChar w:fldCharType="end"/>
        </w:r>
      </w:hyperlink>
    </w:p>
    <w:p w14:paraId="09A91348" w14:textId="64E2B6FC" w:rsidR="00FC42E7" w:rsidRPr="00313050" w:rsidRDefault="00FC42E7">
      <w:pPr>
        <w:pStyle w:val="TableofFigures"/>
        <w:tabs>
          <w:tab w:val="right" w:leader="dot" w:pos="9350"/>
        </w:tabs>
        <w:rPr>
          <w:rStyle w:val="Hyperlink"/>
          <w:lang w:val="en-IN" w:eastAsia="en-IN"/>
        </w:rPr>
      </w:pPr>
      <w:hyperlink w:anchor="_Toc242554013" w:history="1">
        <w:r w:rsidRPr="00313050">
          <w:rPr>
            <w:rStyle w:val="Hyperlink"/>
          </w:rPr>
          <w:t>Table 2-15: PIAF (Terminal Blend Component Data) to Response Model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_Toc242554013 \h </w:instrText>
        </w:r>
        <w:r w:rsidRPr="00313050">
          <w:rPr>
            <w:rStyle w:val="Hyperlink"/>
            <w:webHidden/>
          </w:rPr>
        </w:r>
        <w:r w:rsidRPr="00313050">
          <w:rPr>
            <w:rStyle w:val="Hyperlink"/>
            <w:webHidden/>
          </w:rPr>
          <w:fldChar w:fldCharType="separate"/>
        </w:r>
        <w:r w:rsidR="00313050" w:rsidRPr="00313050">
          <w:rPr>
            <w:rStyle w:val="Hyperlink"/>
            <w:webHidden/>
          </w:rPr>
          <w:t>42</w:t>
        </w:r>
        <w:r w:rsidRPr="00313050">
          <w:rPr>
            <w:rStyle w:val="Hyperlink"/>
            <w:webHidden/>
          </w:rPr>
          <w:fldChar w:fldCharType="end"/>
        </w:r>
      </w:hyperlink>
    </w:p>
    <w:p w14:paraId="36557006" w14:textId="5C9FB87F" w:rsidR="00FC42E7" w:rsidRPr="00313050" w:rsidRDefault="00FC42E7">
      <w:pPr>
        <w:pStyle w:val="TableofFigures"/>
        <w:tabs>
          <w:tab w:val="right" w:leader="dot" w:pos="9350"/>
        </w:tabs>
        <w:rPr>
          <w:rStyle w:val="Hyperlink"/>
          <w:lang w:val="en-IN" w:eastAsia="en-IN"/>
        </w:rPr>
      </w:pPr>
      <w:hyperlink w:anchor="_Toc242554014" w:history="1">
        <w:r w:rsidRPr="00313050">
          <w:rPr>
            <w:rStyle w:val="Hyperlink"/>
          </w:rPr>
          <w:t>Table 2-16: Master Data Entity - Blend Component Integration (PIAF)</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_Toc242554014 \h </w:instrText>
        </w:r>
        <w:r w:rsidRPr="00313050">
          <w:rPr>
            <w:rStyle w:val="Hyperlink"/>
            <w:webHidden/>
          </w:rPr>
        </w:r>
        <w:r w:rsidRPr="00313050">
          <w:rPr>
            <w:rStyle w:val="Hyperlink"/>
            <w:webHidden/>
          </w:rPr>
          <w:fldChar w:fldCharType="separate"/>
        </w:r>
        <w:r w:rsidR="00313050" w:rsidRPr="00313050">
          <w:rPr>
            <w:rStyle w:val="Hyperlink"/>
            <w:webHidden/>
          </w:rPr>
          <w:t>42</w:t>
        </w:r>
        <w:r w:rsidRPr="00313050">
          <w:rPr>
            <w:rStyle w:val="Hyperlink"/>
            <w:webHidden/>
          </w:rPr>
          <w:fldChar w:fldCharType="end"/>
        </w:r>
      </w:hyperlink>
    </w:p>
    <w:p w14:paraId="06B758DF" w14:textId="123C03F0" w:rsidR="00FC42E7" w:rsidRPr="00313050" w:rsidRDefault="00FC42E7">
      <w:pPr>
        <w:pStyle w:val="TableofFigures"/>
        <w:tabs>
          <w:tab w:val="right" w:leader="dot" w:pos="9350"/>
        </w:tabs>
        <w:rPr>
          <w:rStyle w:val="Hyperlink"/>
          <w:lang w:val="en-IN" w:eastAsia="en-IN"/>
        </w:rPr>
      </w:pPr>
      <w:hyperlink w:anchor="_Toc242554015" w:history="1">
        <w:r w:rsidRPr="00313050">
          <w:rPr>
            <w:rStyle w:val="Hyperlink"/>
          </w:rPr>
          <w:t>Table 2-17: Blend Component Integration (PIAF) - Integration Configuration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_Toc242554015 \h </w:instrText>
        </w:r>
        <w:r w:rsidRPr="00313050">
          <w:rPr>
            <w:rStyle w:val="Hyperlink"/>
            <w:webHidden/>
          </w:rPr>
        </w:r>
        <w:r w:rsidRPr="00313050">
          <w:rPr>
            <w:rStyle w:val="Hyperlink"/>
            <w:webHidden/>
          </w:rPr>
          <w:fldChar w:fldCharType="separate"/>
        </w:r>
        <w:r w:rsidR="00313050" w:rsidRPr="00313050">
          <w:rPr>
            <w:rStyle w:val="Hyperlink"/>
            <w:webHidden/>
          </w:rPr>
          <w:t>44</w:t>
        </w:r>
        <w:r w:rsidRPr="00313050">
          <w:rPr>
            <w:rStyle w:val="Hyperlink"/>
            <w:webHidden/>
          </w:rPr>
          <w:fldChar w:fldCharType="end"/>
        </w:r>
      </w:hyperlink>
    </w:p>
    <w:p w14:paraId="1B4C6196" w14:textId="54A4C21D" w:rsidR="00FC42E7" w:rsidRPr="00313050" w:rsidRDefault="00FC42E7">
      <w:pPr>
        <w:pStyle w:val="TableofFigures"/>
        <w:tabs>
          <w:tab w:val="right" w:leader="dot" w:pos="9350"/>
        </w:tabs>
        <w:rPr>
          <w:rStyle w:val="Hyperlink"/>
          <w:lang w:val="en-IN" w:eastAsia="en-IN"/>
        </w:rPr>
      </w:pPr>
      <w:hyperlink w:anchor="_Toc242554016" w:history="1">
        <w:r w:rsidRPr="00313050">
          <w:rPr>
            <w:rStyle w:val="Hyperlink"/>
          </w:rPr>
          <w:t>Table 2-18: Blend component Flows/Movement for terminal - Integration Specifics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_Toc242554016 \h </w:instrText>
        </w:r>
        <w:r w:rsidRPr="00313050">
          <w:rPr>
            <w:rStyle w:val="Hyperlink"/>
            <w:webHidden/>
          </w:rPr>
        </w:r>
        <w:r w:rsidRPr="00313050">
          <w:rPr>
            <w:rStyle w:val="Hyperlink"/>
            <w:webHidden/>
          </w:rPr>
          <w:fldChar w:fldCharType="separate"/>
        </w:r>
        <w:r w:rsidR="00313050" w:rsidRPr="00313050">
          <w:rPr>
            <w:rStyle w:val="Hyperlink"/>
            <w:webHidden/>
          </w:rPr>
          <w:t>47</w:t>
        </w:r>
        <w:r w:rsidRPr="00313050">
          <w:rPr>
            <w:rStyle w:val="Hyperlink"/>
            <w:webHidden/>
          </w:rPr>
          <w:fldChar w:fldCharType="end"/>
        </w:r>
      </w:hyperlink>
    </w:p>
    <w:p w14:paraId="5C48850B" w14:textId="5427CEF8" w:rsidR="00FC42E7" w:rsidRPr="00313050" w:rsidRDefault="00FC42E7">
      <w:pPr>
        <w:pStyle w:val="TableofFigures"/>
        <w:tabs>
          <w:tab w:val="right" w:leader="dot" w:pos="9350"/>
        </w:tabs>
        <w:rPr>
          <w:rStyle w:val="Hyperlink"/>
          <w:lang w:val="en-IN" w:eastAsia="en-IN"/>
        </w:rPr>
      </w:pPr>
      <w:hyperlink w:anchor="_Toc242554017" w:history="1">
        <w:r w:rsidRPr="00313050">
          <w:rPr>
            <w:rStyle w:val="Hyperlink"/>
          </w:rPr>
          <w:t>Table 2-19: Actual Pricing data of products and blend components - Integration Specifics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_Toc242554017 \h </w:instrText>
        </w:r>
        <w:r w:rsidRPr="00313050">
          <w:rPr>
            <w:rStyle w:val="Hyperlink"/>
            <w:webHidden/>
          </w:rPr>
        </w:r>
        <w:r w:rsidRPr="00313050">
          <w:rPr>
            <w:rStyle w:val="Hyperlink"/>
            <w:webHidden/>
          </w:rPr>
          <w:fldChar w:fldCharType="separate"/>
        </w:r>
        <w:r w:rsidR="00313050" w:rsidRPr="00313050">
          <w:rPr>
            <w:rStyle w:val="Hyperlink"/>
            <w:webHidden/>
          </w:rPr>
          <w:t>52</w:t>
        </w:r>
        <w:r w:rsidRPr="00313050">
          <w:rPr>
            <w:rStyle w:val="Hyperlink"/>
            <w:webHidden/>
          </w:rPr>
          <w:fldChar w:fldCharType="end"/>
        </w:r>
      </w:hyperlink>
    </w:p>
    <w:p w14:paraId="6524D0C2" w14:textId="36B08B21" w:rsidR="00FC42E7" w:rsidRPr="00313050" w:rsidRDefault="00FC42E7">
      <w:pPr>
        <w:pStyle w:val="TableofFigures"/>
        <w:tabs>
          <w:tab w:val="right" w:leader="dot" w:pos="9350"/>
        </w:tabs>
        <w:rPr>
          <w:rStyle w:val="Hyperlink"/>
          <w:lang w:val="en-IN" w:eastAsia="en-IN"/>
        </w:rPr>
      </w:pPr>
      <w:hyperlink w:anchor="_Toc242554018" w:history="1">
        <w:r w:rsidRPr="00313050">
          <w:rPr>
            <w:rStyle w:val="Hyperlink"/>
          </w:rPr>
          <w:t>Table 2-20: Actual Pricing data of products and blend components - API Endpoint - Request Parameters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_Toc242554018 \h </w:instrText>
        </w:r>
        <w:r w:rsidRPr="00313050">
          <w:rPr>
            <w:rStyle w:val="Hyperlink"/>
            <w:webHidden/>
          </w:rPr>
        </w:r>
        <w:r w:rsidRPr="00313050">
          <w:rPr>
            <w:rStyle w:val="Hyperlink"/>
            <w:webHidden/>
          </w:rPr>
          <w:fldChar w:fldCharType="separate"/>
        </w:r>
        <w:r w:rsidR="00313050" w:rsidRPr="00313050">
          <w:rPr>
            <w:rStyle w:val="Hyperlink"/>
            <w:webHidden/>
          </w:rPr>
          <w:t>53</w:t>
        </w:r>
        <w:r w:rsidRPr="00313050">
          <w:rPr>
            <w:rStyle w:val="Hyperlink"/>
            <w:webHidden/>
          </w:rPr>
          <w:fldChar w:fldCharType="end"/>
        </w:r>
      </w:hyperlink>
    </w:p>
    <w:p w14:paraId="5069938B" w14:textId="3A8A08DB" w:rsidR="00FC42E7" w:rsidRPr="00313050" w:rsidRDefault="00FC42E7">
      <w:pPr>
        <w:pStyle w:val="TableofFigures"/>
        <w:tabs>
          <w:tab w:val="right" w:leader="dot" w:pos="9350"/>
        </w:tabs>
        <w:rPr>
          <w:rStyle w:val="Hyperlink"/>
          <w:lang w:val="en-IN" w:eastAsia="en-IN"/>
        </w:rPr>
      </w:pPr>
      <w:hyperlink w:anchor="_Toc242554019" w:history="1">
        <w:r w:rsidRPr="00313050">
          <w:rPr>
            <w:rStyle w:val="Hyperlink"/>
          </w:rPr>
          <w:t>Table 2-21: Actual Pricing data of products and blend components - API Endpoint - Response Model</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_Toc242554019 \h </w:instrText>
        </w:r>
        <w:r w:rsidRPr="00313050">
          <w:rPr>
            <w:rStyle w:val="Hyperlink"/>
            <w:webHidden/>
          </w:rPr>
        </w:r>
        <w:r w:rsidRPr="00313050">
          <w:rPr>
            <w:rStyle w:val="Hyperlink"/>
            <w:webHidden/>
          </w:rPr>
          <w:fldChar w:fldCharType="separate"/>
        </w:r>
        <w:r w:rsidR="00313050" w:rsidRPr="00313050">
          <w:rPr>
            <w:rStyle w:val="Hyperlink"/>
            <w:webHidden/>
          </w:rPr>
          <w:t>54</w:t>
        </w:r>
        <w:r w:rsidRPr="00313050">
          <w:rPr>
            <w:rStyle w:val="Hyperlink"/>
            <w:webHidden/>
          </w:rPr>
          <w:fldChar w:fldCharType="end"/>
        </w:r>
      </w:hyperlink>
    </w:p>
    <w:p w14:paraId="7D4E1901" w14:textId="0896BE09" w:rsidR="00FC42E7" w:rsidRPr="00313050" w:rsidRDefault="00FC42E7">
      <w:pPr>
        <w:pStyle w:val="TableofFigures"/>
        <w:tabs>
          <w:tab w:val="right" w:leader="dot" w:pos="9350"/>
        </w:tabs>
        <w:rPr>
          <w:rStyle w:val="Hyperlink"/>
          <w:lang w:val="en-IN" w:eastAsia="en-IN"/>
        </w:rPr>
      </w:pPr>
      <w:hyperlink w:anchor="_Toc242554020" w:history="1">
        <w:r w:rsidRPr="00313050">
          <w:rPr>
            <w:rStyle w:val="Hyperlink"/>
          </w:rPr>
          <w:t>Table 2-22: Source (MPR) Data Entity: Pricing Data</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_Toc242554020 \h </w:instrText>
        </w:r>
        <w:r w:rsidRPr="00313050">
          <w:rPr>
            <w:rStyle w:val="Hyperlink"/>
            <w:webHidden/>
          </w:rPr>
        </w:r>
        <w:r w:rsidRPr="00313050">
          <w:rPr>
            <w:rStyle w:val="Hyperlink"/>
            <w:webHidden/>
          </w:rPr>
          <w:fldChar w:fldCharType="separate"/>
        </w:r>
        <w:r w:rsidR="00313050" w:rsidRPr="00313050">
          <w:rPr>
            <w:rStyle w:val="Hyperlink"/>
            <w:webHidden/>
          </w:rPr>
          <w:t>55</w:t>
        </w:r>
        <w:r w:rsidRPr="00313050">
          <w:rPr>
            <w:rStyle w:val="Hyperlink"/>
            <w:webHidden/>
          </w:rPr>
          <w:fldChar w:fldCharType="end"/>
        </w:r>
      </w:hyperlink>
    </w:p>
    <w:p w14:paraId="38222F94" w14:textId="7C66D628" w:rsidR="00FC42E7" w:rsidRPr="00313050" w:rsidRDefault="00FC42E7">
      <w:pPr>
        <w:pStyle w:val="TableofFigures"/>
        <w:tabs>
          <w:tab w:val="right" w:leader="dot" w:pos="9350"/>
        </w:tabs>
        <w:rPr>
          <w:rStyle w:val="Hyperlink"/>
          <w:lang w:val="en-IN" w:eastAsia="en-IN"/>
        </w:rPr>
      </w:pPr>
      <w:hyperlink w:anchor="_Toc242554021" w:history="1">
        <w:r w:rsidRPr="00313050">
          <w:rPr>
            <w:rStyle w:val="Hyperlink"/>
          </w:rPr>
          <w:t>Table 2-23: MPR (Pricing Data) to Response Model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_Toc242554021 \h </w:instrText>
        </w:r>
        <w:r w:rsidRPr="00313050">
          <w:rPr>
            <w:rStyle w:val="Hyperlink"/>
            <w:webHidden/>
          </w:rPr>
        </w:r>
        <w:r w:rsidRPr="00313050">
          <w:rPr>
            <w:rStyle w:val="Hyperlink"/>
            <w:webHidden/>
          </w:rPr>
          <w:fldChar w:fldCharType="separate"/>
        </w:r>
        <w:r w:rsidR="00313050" w:rsidRPr="00313050">
          <w:rPr>
            <w:rStyle w:val="Hyperlink"/>
            <w:webHidden/>
          </w:rPr>
          <w:t>56</w:t>
        </w:r>
        <w:r w:rsidRPr="00313050">
          <w:rPr>
            <w:rStyle w:val="Hyperlink"/>
            <w:webHidden/>
          </w:rPr>
          <w:fldChar w:fldCharType="end"/>
        </w:r>
      </w:hyperlink>
    </w:p>
    <w:p w14:paraId="1288101E" w14:textId="7E11416D" w:rsidR="00FC42E7" w:rsidRPr="00313050" w:rsidRDefault="00FC42E7">
      <w:pPr>
        <w:pStyle w:val="TableofFigures"/>
        <w:tabs>
          <w:tab w:val="right" w:leader="dot" w:pos="9350"/>
        </w:tabs>
        <w:rPr>
          <w:rStyle w:val="Hyperlink"/>
          <w:lang w:val="en-IN" w:eastAsia="en-IN"/>
        </w:rPr>
      </w:pPr>
      <w:hyperlink w:anchor="_Toc242554022" w:history="1">
        <w:r w:rsidRPr="00313050">
          <w:rPr>
            <w:rStyle w:val="Hyperlink"/>
          </w:rPr>
          <w:t>Table 2-24: Actual Pricing data of products and blend components - Worked Example of the Average Price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_Toc242554022 \h </w:instrText>
        </w:r>
        <w:r w:rsidRPr="00313050">
          <w:rPr>
            <w:rStyle w:val="Hyperlink"/>
            <w:webHidden/>
          </w:rPr>
        </w:r>
        <w:r w:rsidRPr="00313050">
          <w:rPr>
            <w:rStyle w:val="Hyperlink"/>
            <w:webHidden/>
          </w:rPr>
          <w:fldChar w:fldCharType="separate"/>
        </w:r>
        <w:r w:rsidR="00313050" w:rsidRPr="00313050">
          <w:rPr>
            <w:rStyle w:val="Hyperlink"/>
            <w:webHidden/>
          </w:rPr>
          <w:t>57</w:t>
        </w:r>
        <w:r w:rsidRPr="00313050">
          <w:rPr>
            <w:rStyle w:val="Hyperlink"/>
            <w:webHidden/>
          </w:rPr>
          <w:fldChar w:fldCharType="end"/>
        </w:r>
      </w:hyperlink>
    </w:p>
    <w:p w14:paraId="08DF1017" w14:textId="5DD5ED41" w:rsidR="00FC42E7" w:rsidRPr="00313050" w:rsidRDefault="00FC42E7">
      <w:pPr>
        <w:pStyle w:val="TableofFigures"/>
        <w:tabs>
          <w:tab w:val="right" w:leader="dot" w:pos="9350"/>
        </w:tabs>
        <w:rPr>
          <w:rStyle w:val="Hyperlink"/>
          <w:lang w:val="en-IN" w:eastAsia="en-IN"/>
        </w:rPr>
      </w:pPr>
      <w:hyperlink w:anchor="_Toc242554023" w:history="1">
        <w:r w:rsidRPr="00313050">
          <w:rPr>
            <w:rStyle w:val="Hyperlink"/>
          </w:rPr>
          <w:t>Table 2-25: Master Data Entity - Actual Pricing data of products and blend components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_Toc242554023 \h </w:instrText>
        </w:r>
        <w:r w:rsidRPr="00313050">
          <w:rPr>
            <w:rStyle w:val="Hyperlink"/>
            <w:webHidden/>
          </w:rPr>
        </w:r>
        <w:r w:rsidRPr="00313050">
          <w:rPr>
            <w:rStyle w:val="Hyperlink"/>
            <w:webHidden/>
          </w:rPr>
          <w:fldChar w:fldCharType="separate"/>
        </w:r>
        <w:r w:rsidR="00313050" w:rsidRPr="00313050">
          <w:rPr>
            <w:rStyle w:val="Hyperlink"/>
            <w:webHidden/>
          </w:rPr>
          <w:t>57</w:t>
        </w:r>
        <w:r w:rsidRPr="00313050">
          <w:rPr>
            <w:rStyle w:val="Hyperlink"/>
            <w:webHidden/>
          </w:rPr>
          <w:fldChar w:fldCharType="end"/>
        </w:r>
      </w:hyperlink>
    </w:p>
    <w:p w14:paraId="7078F6E1" w14:textId="40CE2898" w:rsidR="00FC42E7" w:rsidRPr="00313050" w:rsidRDefault="00FC42E7">
      <w:pPr>
        <w:pStyle w:val="TableofFigures"/>
        <w:tabs>
          <w:tab w:val="right" w:leader="dot" w:pos="9350"/>
        </w:tabs>
        <w:rPr>
          <w:rStyle w:val="Hyperlink"/>
          <w:lang w:val="en-IN" w:eastAsia="en-IN"/>
        </w:rPr>
      </w:pPr>
      <w:hyperlink w:anchor="_Toc242554024" w:history="1">
        <w:r w:rsidRPr="00313050">
          <w:rPr>
            <w:rStyle w:val="Hyperlink"/>
          </w:rPr>
          <w:t>Table 2-26: Actual Pricing data of products and blend components - Integration Configuration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_Toc242554024 \h </w:instrText>
        </w:r>
        <w:r w:rsidRPr="00313050">
          <w:rPr>
            <w:rStyle w:val="Hyperlink"/>
            <w:webHidden/>
          </w:rPr>
        </w:r>
        <w:r w:rsidRPr="00313050">
          <w:rPr>
            <w:rStyle w:val="Hyperlink"/>
            <w:webHidden/>
          </w:rPr>
          <w:fldChar w:fldCharType="separate"/>
        </w:r>
        <w:r w:rsidR="00313050" w:rsidRPr="00313050">
          <w:rPr>
            <w:rStyle w:val="Hyperlink"/>
            <w:webHidden/>
          </w:rPr>
          <w:t>58</w:t>
        </w:r>
        <w:r w:rsidRPr="00313050">
          <w:rPr>
            <w:rStyle w:val="Hyperlink"/>
            <w:webHidden/>
          </w:rPr>
          <w:fldChar w:fldCharType="end"/>
        </w:r>
      </w:hyperlink>
    </w:p>
    <w:p w14:paraId="6BA3FC3D" w14:textId="2271E2EC" w:rsidR="00FC42E7" w:rsidRPr="00313050" w:rsidRDefault="00FC42E7">
      <w:pPr>
        <w:pStyle w:val="TableofFigures"/>
        <w:tabs>
          <w:tab w:val="right" w:leader="dot" w:pos="9350"/>
        </w:tabs>
        <w:rPr>
          <w:rStyle w:val="Hyperlink"/>
          <w:lang w:val="en-IN" w:eastAsia="en-IN"/>
        </w:rPr>
      </w:pPr>
      <w:hyperlink w:anchor="_Toc242554025" w:history="1">
        <w:r w:rsidRPr="00313050">
          <w:rPr>
            <w:rStyle w:val="Hyperlink"/>
          </w:rPr>
          <w:t>Table 2-27: Blend component Movements at Terminals (Kittyhawk transaction upload) - Integration Specifics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_Toc242554025 \h </w:instrText>
        </w:r>
        <w:r w:rsidRPr="00313050">
          <w:rPr>
            <w:rStyle w:val="Hyperlink"/>
            <w:webHidden/>
          </w:rPr>
        </w:r>
        <w:r w:rsidRPr="00313050">
          <w:rPr>
            <w:rStyle w:val="Hyperlink"/>
            <w:webHidden/>
          </w:rPr>
          <w:fldChar w:fldCharType="separate"/>
        </w:r>
        <w:r w:rsidR="00313050" w:rsidRPr="00313050">
          <w:rPr>
            <w:rStyle w:val="Hyperlink"/>
            <w:webHidden/>
          </w:rPr>
          <w:t>62</w:t>
        </w:r>
        <w:r w:rsidRPr="00313050">
          <w:rPr>
            <w:rStyle w:val="Hyperlink"/>
            <w:webHidden/>
          </w:rPr>
          <w:fldChar w:fldCharType="end"/>
        </w:r>
      </w:hyperlink>
    </w:p>
    <w:p w14:paraId="0D109C96" w14:textId="4984EA4D" w:rsidR="00FC42E7" w:rsidRPr="00313050" w:rsidRDefault="00FC42E7">
      <w:pPr>
        <w:pStyle w:val="TableofFigures"/>
        <w:tabs>
          <w:tab w:val="right" w:leader="dot" w:pos="9350"/>
        </w:tabs>
        <w:rPr>
          <w:rStyle w:val="Hyperlink"/>
          <w:lang w:val="en-IN" w:eastAsia="en-IN"/>
        </w:rPr>
      </w:pPr>
      <w:hyperlink w:anchor="_Toc242554026" w:history="1">
        <w:r w:rsidRPr="00313050">
          <w:rPr>
            <w:rStyle w:val="Hyperlink"/>
          </w:rPr>
          <w:t>Table 2-28: Blend component Movements at Terminals (Kittyhawk transaction upload) - API Endpoint - Request Parameters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_Toc242554026 \h </w:instrText>
        </w:r>
        <w:r w:rsidRPr="00313050">
          <w:rPr>
            <w:rStyle w:val="Hyperlink"/>
            <w:webHidden/>
          </w:rPr>
        </w:r>
        <w:r w:rsidRPr="00313050">
          <w:rPr>
            <w:rStyle w:val="Hyperlink"/>
            <w:webHidden/>
          </w:rPr>
          <w:fldChar w:fldCharType="separate"/>
        </w:r>
        <w:r w:rsidR="00313050" w:rsidRPr="00313050">
          <w:rPr>
            <w:rStyle w:val="Hyperlink"/>
            <w:webHidden/>
          </w:rPr>
          <w:t>62</w:t>
        </w:r>
        <w:r w:rsidRPr="00313050">
          <w:rPr>
            <w:rStyle w:val="Hyperlink"/>
            <w:webHidden/>
          </w:rPr>
          <w:fldChar w:fldCharType="end"/>
        </w:r>
      </w:hyperlink>
    </w:p>
    <w:p w14:paraId="5153D3AC" w14:textId="67CC0C1C" w:rsidR="00FC42E7" w:rsidRPr="00313050" w:rsidRDefault="00FC42E7">
      <w:pPr>
        <w:pStyle w:val="TableofFigures"/>
        <w:tabs>
          <w:tab w:val="right" w:leader="dot" w:pos="9350"/>
        </w:tabs>
        <w:rPr>
          <w:rStyle w:val="Hyperlink"/>
          <w:lang w:val="en-IN" w:eastAsia="en-IN"/>
        </w:rPr>
      </w:pPr>
      <w:hyperlink w:anchor="_Toc242554027" w:history="1">
        <w:r w:rsidRPr="00313050">
          <w:rPr>
            <w:rStyle w:val="Hyperlink"/>
          </w:rPr>
          <w:t>Table 2-29: Blend component Movements at Terminals (Kittyhawk transaction upload) - API Endpoint - Response Model</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_Toc242554027 \h </w:instrText>
        </w:r>
        <w:r w:rsidRPr="00313050">
          <w:rPr>
            <w:rStyle w:val="Hyperlink"/>
            <w:webHidden/>
          </w:rPr>
        </w:r>
        <w:r w:rsidRPr="00313050">
          <w:rPr>
            <w:rStyle w:val="Hyperlink"/>
            <w:webHidden/>
          </w:rPr>
          <w:fldChar w:fldCharType="separate"/>
        </w:r>
        <w:r w:rsidR="00313050" w:rsidRPr="00313050">
          <w:rPr>
            <w:rStyle w:val="Hyperlink"/>
            <w:webHidden/>
          </w:rPr>
          <w:t>65</w:t>
        </w:r>
        <w:r w:rsidRPr="00313050">
          <w:rPr>
            <w:rStyle w:val="Hyperlink"/>
            <w:webHidden/>
          </w:rPr>
          <w:fldChar w:fldCharType="end"/>
        </w:r>
      </w:hyperlink>
    </w:p>
    <w:p w14:paraId="17EC5BA2" w14:textId="7E536168" w:rsidR="00FC42E7" w:rsidRPr="00313050" w:rsidRDefault="00FC42E7">
      <w:pPr>
        <w:pStyle w:val="TableofFigures"/>
        <w:tabs>
          <w:tab w:val="right" w:leader="dot" w:pos="9350"/>
        </w:tabs>
        <w:rPr>
          <w:rStyle w:val="Hyperlink"/>
          <w:lang w:val="en-IN" w:eastAsia="en-IN"/>
        </w:rPr>
      </w:pPr>
      <w:hyperlink w:anchor="_Toc242554028" w:history="1">
        <w:r w:rsidRPr="00313050">
          <w:rPr>
            <w:rStyle w:val="Hyperlink"/>
          </w:rPr>
          <w:t>Table 2-30: Source (Kittyhawk) Data Entity: Transaction Upload</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_Toc242554028 \h </w:instrText>
        </w:r>
        <w:r w:rsidRPr="00313050">
          <w:rPr>
            <w:rStyle w:val="Hyperlink"/>
            <w:webHidden/>
          </w:rPr>
        </w:r>
        <w:r w:rsidRPr="00313050">
          <w:rPr>
            <w:rStyle w:val="Hyperlink"/>
            <w:webHidden/>
          </w:rPr>
          <w:fldChar w:fldCharType="separate"/>
        </w:r>
        <w:r w:rsidR="00313050" w:rsidRPr="00313050">
          <w:rPr>
            <w:rStyle w:val="Hyperlink"/>
            <w:webHidden/>
          </w:rPr>
          <w:t>67</w:t>
        </w:r>
        <w:r w:rsidRPr="00313050">
          <w:rPr>
            <w:rStyle w:val="Hyperlink"/>
            <w:webHidden/>
          </w:rPr>
          <w:fldChar w:fldCharType="end"/>
        </w:r>
      </w:hyperlink>
    </w:p>
    <w:p w14:paraId="618409C6" w14:textId="3A556A17" w:rsidR="00FC42E7" w:rsidRPr="00313050" w:rsidRDefault="00FC42E7">
      <w:pPr>
        <w:pStyle w:val="TableofFigures"/>
        <w:tabs>
          <w:tab w:val="right" w:leader="dot" w:pos="9350"/>
        </w:tabs>
        <w:rPr>
          <w:rStyle w:val="Hyperlink"/>
          <w:lang w:val="en-IN" w:eastAsia="en-IN"/>
        </w:rPr>
      </w:pPr>
      <w:hyperlink w:anchor="_Toc242554029" w:history="1">
        <w:r w:rsidRPr="00313050">
          <w:rPr>
            <w:rStyle w:val="Hyperlink"/>
          </w:rPr>
          <w:t>Table 2-31: Kittyhawk (Transaction Upload) to Response Model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_Toc242554029 \h </w:instrText>
        </w:r>
        <w:r w:rsidRPr="00313050">
          <w:rPr>
            <w:rStyle w:val="Hyperlink"/>
            <w:webHidden/>
          </w:rPr>
        </w:r>
        <w:r w:rsidRPr="00313050">
          <w:rPr>
            <w:rStyle w:val="Hyperlink"/>
            <w:webHidden/>
          </w:rPr>
          <w:fldChar w:fldCharType="separate"/>
        </w:r>
        <w:r w:rsidR="00313050" w:rsidRPr="00313050">
          <w:rPr>
            <w:rStyle w:val="Hyperlink"/>
            <w:webHidden/>
          </w:rPr>
          <w:t>68</w:t>
        </w:r>
        <w:r w:rsidRPr="00313050">
          <w:rPr>
            <w:rStyle w:val="Hyperlink"/>
            <w:webHidden/>
          </w:rPr>
          <w:fldChar w:fldCharType="end"/>
        </w:r>
      </w:hyperlink>
    </w:p>
    <w:p w14:paraId="2177EC6A" w14:textId="75A7C9F2" w:rsidR="00FC42E7" w:rsidRPr="00313050" w:rsidRDefault="00FC42E7">
      <w:pPr>
        <w:pStyle w:val="TableofFigures"/>
        <w:tabs>
          <w:tab w:val="right" w:leader="dot" w:pos="9350"/>
        </w:tabs>
        <w:rPr>
          <w:rStyle w:val="Hyperlink"/>
          <w:lang w:val="en-IN" w:eastAsia="en-IN"/>
        </w:rPr>
      </w:pPr>
      <w:hyperlink w:anchor="_Toc242554030" w:history="1">
        <w:r w:rsidRPr="00313050">
          <w:rPr>
            <w:rStyle w:val="Hyperlink"/>
          </w:rPr>
          <w:t>Table 2-32: Master Data Entity - Blend component Movements at Terminals (Kittyhawk transaction upload)</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_Toc242554030 \h </w:instrText>
        </w:r>
        <w:r w:rsidRPr="00313050">
          <w:rPr>
            <w:rStyle w:val="Hyperlink"/>
            <w:webHidden/>
          </w:rPr>
        </w:r>
        <w:r w:rsidRPr="00313050">
          <w:rPr>
            <w:rStyle w:val="Hyperlink"/>
            <w:webHidden/>
          </w:rPr>
          <w:fldChar w:fldCharType="separate"/>
        </w:r>
        <w:r w:rsidR="00313050" w:rsidRPr="00313050">
          <w:rPr>
            <w:rStyle w:val="Hyperlink"/>
            <w:webHidden/>
          </w:rPr>
          <w:t>69</w:t>
        </w:r>
        <w:r w:rsidRPr="00313050">
          <w:rPr>
            <w:rStyle w:val="Hyperlink"/>
            <w:webHidden/>
          </w:rPr>
          <w:fldChar w:fldCharType="end"/>
        </w:r>
      </w:hyperlink>
    </w:p>
    <w:p w14:paraId="10B55F2D" w14:textId="5FE23075" w:rsidR="00FC42E7" w:rsidRPr="00313050" w:rsidRDefault="00FC42E7">
      <w:pPr>
        <w:pStyle w:val="TableofFigures"/>
        <w:tabs>
          <w:tab w:val="right" w:leader="dot" w:pos="9350"/>
        </w:tabs>
        <w:rPr>
          <w:rStyle w:val="Hyperlink"/>
          <w:lang w:val="en-IN" w:eastAsia="en-IN"/>
        </w:rPr>
      </w:pPr>
      <w:hyperlink w:anchor="_Toc242554031" w:history="1">
        <w:r w:rsidRPr="00313050">
          <w:rPr>
            <w:rStyle w:val="Hyperlink"/>
          </w:rPr>
          <w:t>Table 2-33: Blend component Movements at Terminals (Kittyhawk transaction upload) - Integration Configuration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_Toc242554031 \h </w:instrText>
        </w:r>
        <w:r w:rsidRPr="00313050">
          <w:rPr>
            <w:rStyle w:val="Hyperlink"/>
            <w:webHidden/>
          </w:rPr>
        </w:r>
        <w:r w:rsidRPr="00313050">
          <w:rPr>
            <w:rStyle w:val="Hyperlink"/>
            <w:webHidden/>
          </w:rPr>
          <w:fldChar w:fldCharType="separate"/>
        </w:r>
        <w:r w:rsidR="00313050" w:rsidRPr="00313050">
          <w:rPr>
            <w:rStyle w:val="Hyperlink"/>
            <w:webHidden/>
          </w:rPr>
          <w:t>71</w:t>
        </w:r>
        <w:r w:rsidRPr="00313050">
          <w:rPr>
            <w:rStyle w:val="Hyperlink"/>
            <w:webHidden/>
          </w:rPr>
          <w:fldChar w:fldCharType="end"/>
        </w:r>
      </w:hyperlink>
    </w:p>
    <w:p w14:paraId="1910EB76" w14:textId="6F891425" w:rsidR="00FC42E7" w:rsidRPr="00313050" w:rsidRDefault="00FC42E7">
      <w:pPr>
        <w:pStyle w:val="TableofFigures"/>
        <w:tabs>
          <w:tab w:val="right" w:leader="dot" w:pos="9350"/>
        </w:tabs>
        <w:rPr>
          <w:rStyle w:val="Hyperlink"/>
          <w:lang w:val="en-IN" w:eastAsia="en-IN"/>
        </w:rPr>
      </w:pPr>
      <w:hyperlink w:anchor="_Toc242554032" w:history="1">
        <w:r w:rsidRPr="00313050">
          <w:rPr>
            <w:rStyle w:val="Hyperlink"/>
          </w:rPr>
          <w:t>Table 2-34: Waiver Selection - Specifics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_Toc242554032 \h </w:instrText>
        </w:r>
        <w:r w:rsidRPr="00313050">
          <w:rPr>
            <w:rStyle w:val="Hyperlink"/>
            <w:webHidden/>
          </w:rPr>
        </w:r>
        <w:r w:rsidRPr="00313050">
          <w:rPr>
            <w:rStyle w:val="Hyperlink"/>
            <w:webHidden/>
          </w:rPr>
          <w:fldChar w:fldCharType="separate"/>
        </w:r>
        <w:r w:rsidR="00313050" w:rsidRPr="00313050">
          <w:rPr>
            <w:rStyle w:val="Hyperlink"/>
            <w:webHidden/>
          </w:rPr>
          <w:t>75</w:t>
        </w:r>
        <w:r w:rsidRPr="00313050">
          <w:rPr>
            <w:rStyle w:val="Hyperlink"/>
            <w:webHidden/>
          </w:rPr>
          <w:fldChar w:fldCharType="end"/>
        </w:r>
      </w:hyperlink>
    </w:p>
    <w:p w14:paraId="3925C47E" w14:textId="722F8550" w:rsidR="00FC42E7" w:rsidRPr="00313050" w:rsidRDefault="00FC42E7">
      <w:pPr>
        <w:pStyle w:val="TableofFigures"/>
        <w:tabs>
          <w:tab w:val="right" w:leader="dot" w:pos="9350"/>
        </w:tabs>
        <w:rPr>
          <w:rStyle w:val="Hyperlink"/>
          <w:lang w:val="en-IN" w:eastAsia="en-IN"/>
        </w:rPr>
      </w:pPr>
      <w:hyperlink w:anchor="_Toc242554033" w:history="1">
        <w:r w:rsidRPr="00313050">
          <w:rPr>
            <w:rStyle w:val="Hyperlink"/>
          </w:rPr>
          <w:t>Table 2-35: Waiver Selection - API Endpoint - Request Parameters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_Toc242554033 \h </w:instrText>
        </w:r>
        <w:r w:rsidRPr="00313050">
          <w:rPr>
            <w:rStyle w:val="Hyperlink"/>
            <w:webHidden/>
          </w:rPr>
        </w:r>
        <w:r w:rsidRPr="00313050">
          <w:rPr>
            <w:rStyle w:val="Hyperlink"/>
            <w:webHidden/>
          </w:rPr>
          <w:fldChar w:fldCharType="separate"/>
        </w:r>
        <w:r w:rsidR="00313050" w:rsidRPr="00313050">
          <w:rPr>
            <w:rStyle w:val="Hyperlink"/>
            <w:webHidden/>
          </w:rPr>
          <w:t>76</w:t>
        </w:r>
        <w:r w:rsidRPr="00313050">
          <w:rPr>
            <w:rStyle w:val="Hyperlink"/>
            <w:webHidden/>
          </w:rPr>
          <w:fldChar w:fldCharType="end"/>
        </w:r>
      </w:hyperlink>
    </w:p>
    <w:p w14:paraId="78EFD935" w14:textId="11D4FA34" w:rsidR="00FC42E7" w:rsidRPr="00313050" w:rsidRDefault="00FC42E7">
      <w:pPr>
        <w:pStyle w:val="TableofFigures"/>
        <w:tabs>
          <w:tab w:val="right" w:leader="dot" w:pos="9350"/>
        </w:tabs>
        <w:rPr>
          <w:rStyle w:val="Hyperlink"/>
          <w:lang w:val="en-IN" w:eastAsia="en-IN"/>
        </w:rPr>
      </w:pPr>
      <w:hyperlink w:anchor="_Toc242554034" w:history="1">
        <w:r w:rsidRPr="00313050">
          <w:rPr>
            <w:rStyle w:val="Hyperlink"/>
          </w:rPr>
          <w:t>Table 2-36: Waiver Selection - API Endpoint - Response Model</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_Toc242554034 \h </w:instrText>
        </w:r>
        <w:r w:rsidRPr="00313050">
          <w:rPr>
            <w:rStyle w:val="Hyperlink"/>
            <w:webHidden/>
          </w:rPr>
        </w:r>
        <w:r w:rsidRPr="00313050">
          <w:rPr>
            <w:rStyle w:val="Hyperlink"/>
            <w:webHidden/>
          </w:rPr>
          <w:fldChar w:fldCharType="separate"/>
        </w:r>
        <w:r w:rsidR="00313050" w:rsidRPr="00313050">
          <w:rPr>
            <w:rStyle w:val="Hyperlink"/>
            <w:webHidden/>
          </w:rPr>
          <w:t>77</w:t>
        </w:r>
        <w:r w:rsidRPr="00313050">
          <w:rPr>
            <w:rStyle w:val="Hyperlink"/>
            <w:webHidden/>
          </w:rPr>
          <w:fldChar w:fldCharType="end"/>
        </w:r>
      </w:hyperlink>
    </w:p>
    <w:p w14:paraId="246CB261" w14:textId="495EEA10" w:rsidR="00FC42E7" w:rsidRPr="00313050" w:rsidRDefault="00FC42E7">
      <w:pPr>
        <w:pStyle w:val="TableofFigures"/>
        <w:tabs>
          <w:tab w:val="right" w:leader="dot" w:pos="9350"/>
        </w:tabs>
        <w:rPr>
          <w:rStyle w:val="Hyperlink"/>
          <w:lang w:val="en-IN" w:eastAsia="en-IN"/>
        </w:rPr>
      </w:pPr>
      <w:hyperlink w:anchor="_Toc242554035" w:history="1">
        <w:r w:rsidRPr="00313050">
          <w:rPr>
            <w:rStyle w:val="Hyperlink"/>
          </w:rPr>
          <w:t>Table 2-37: Source (IQDM) Data Entity: product_specification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_Toc242554035 \h </w:instrText>
        </w:r>
        <w:r w:rsidRPr="00313050">
          <w:rPr>
            <w:rStyle w:val="Hyperlink"/>
            <w:webHidden/>
          </w:rPr>
        </w:r>
        <w:r w:rsidRPr="00313050">
          <w:rPr>
            <w:rStyle w:val="Hyperlink"/>
            <w:webHidden/>
          </w:rPr>
          <w:fldChar w:fldCharType="separate"/>
        </w:r>
        <w:r w:rsidR="00313050" w:rsidRPr="00313050">
          <w:rPr>
            <w:rStyle w:val="Hyperlink"/>
            <w:webHidden/>
          </w:rPr>
          <w:t>79</w:t>
        </w:r>
        <w:r w:rsidRPr="00313050">
          <w:rPr>
            <w:rStyle w:val="Hyperlink"/>
            <w:webHidden/>
          </w:rPr>
          <w:fldChar w:fldCharType="end"/>
        </w:r>
      </w:hyperlink>
    </w:p>
    <w:p w14:paraId="7903EAE8" w14:textId="251A0F68" w:rsidR="00FC42E7" w:rsidRPr="00313050" w:rsidRDefault="00FC42E7">
      <w:pPr>
        <w:pStyle w:val="TableofFigures"/>
        <w:tabs>
          <w:tab w:val="right" w:leader="dot" w:pos="9350"/>
        </w:tabs>
        <w:rPr>
          <w:rStyle w:val="Hyperlink"/>
          <w:lang w:val="en-IN" w:eastAsia="en-IN"/>
        </w:rPr>
      </w:pPr>
      <w:hyperlink w:anchor="_Toc242554036" w:history="1">
        <w:r w:rsidRPr="00313050">
          <w:rPr>
            <w:rStyle w:val="Hyperlink"/>
          </w:rPr>
          <w:t>Table 2-38: Destination (IQDM) Data Entity: Quality Waivers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_Toc242554036 \h </w:instrText>
        </w:r>
        <w:r w:rsidRPr="00313050">
          <w:rPr>
            <w:rStyle w:val="Hyperlink"/>
            <w:webHidden/>
          </w:rPr>
        </w:r>
        <w:r w:rsidRPr="00313050">
          <w:rPr>
            <w:rStyle w:val="Hyperlink"/>
            <w:webHidden/>
          </w:rPr>
          <w:fldChar w:fldCharType="separate"/>
        </w:r>
        <w:r w:rsidR="00313050" w:rsidRPr="00313050">
          <w:rPr>
            <w:rStyle w:val="Hyperlink"/>
            <w:webHidden/>
          </w:rPr>
          <w:t>79</w:t>
        </w:r>
        <w:r w:rsidRPr="00313050">
          <w:rPr>
            <w:rStyle w:val="Hyperlink"/>
            <w:webHidden/>
          </w:rPr>
          <w:fldChar w:fldCharType="end"/>
        </w:r>
      </w:hyperlink>
    </w:p>
    <w:p w14:paraId="2657C4E9" w14:textId="19FAA8F7" w:rsidR="00FC42E7" w:rsidRPr="00313050" w:rsidRDefault="00FC42E7">
      <w:pPr>
        <w:pStyle w:val="TableofFigures"/>
        <w:tabs>
          <w:tab w:val="right" w:leader="dot" w:pos="9350"/>
        </w:tabs>
        <w:rPr>
          <w:rStyle w:val="Hyperlink"/>
          <w:lang w:val="en-IN" w:eastAsia="en-IN"/>
        </w:rPr>
      </w:pPr>
      <w:hyperlink w:anchor="_Toc242554037" w:history="1">
        <w:r w:rsidRPr="00313050">
          <w:rPr>
            <w:rStyle w:val="Hyperlink"/>
          </w:rPr>
          <w:t>Table 2-39: IQDM (product_specification) to Response Model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_Toc242554037 \h </w:instrText>
        </w:r>
        <w:r w:rsidRPr="00313050">
          <w:rPr>
            <w:rStyle w:val="Hyperlink"/>
            <w:webHidden/>
          </w:rPr>
        </w:r>
        <w:r w:rsidRPr="00313050">
          <w:rPr>
            <w:rStyle w:val="Hyperlink"/>
            <w:webHidden/>
          </w:rPr>
          <w:fldChar w:fldCharType="separate"/>
        </w:r>
        <w:r w:rsidR="00313050" w:rsidRPr="00313050">
          <w:rPr>
            <w:rStyle w:val="Hyperlink"/>
            <w:webHidden/>
          </w:rPr>
          <w:t>80</w:t>
        </w:r>
        <w:r w:rsidRPr="00313050">
          <w:rPr>
            <w:rStyle w:val="Hyperlink"/>
            <w:webHidden/>
          </w:rPr>
          <w:fldChar w:fldCharType="end"/>
        </w:r>
      </w:hyperlink>
    </w:p>
    <w:p w14:paraId="1029F796" w14:textId="1D5EECA7" w:rsidR="00FC42E7" w:rsidRPr="00313050" w:rsidRDefault="00FC42E7">
      <w:pPr>
        <w:pStyle w:val="TableofFigures"/>
        <w:tabs>
          <w:tab w:val="right" w:leader="dot" w:pos="9350"/>
        </w:tabs>
        <w:rPr>
          <w:rStyle w:val="Hyperlink"/>
          <w:lang w:val="en-IN" w:eastAsia="en-IN"/>
        </w:rPr>
      </w:pPr>
      <w:hyperlink w:anchor="_Toc242554038" w:history="1">
        <w:r w:rsidRPr="00313050">
          <w:rPr>
            <w:rStyle w:val="Hyperlink"/>
          </w:rPr>
          <w:t>Table 2-40: Master Data Entity - Waiver Selection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_Toc242554038 \h </w:instrText>
        </w:r>
        <w:r w:rsidRPr="00313050">
          <w:rPr>
            <w:rStyle w:val="Hyperlink"/>
            <w:webHidden/>
          </w:rPr>
        </w:r>
        <w:r w:rsidRPr="00313050">
          <w:rPr>
            <w:rStyle w:val="Hyperlink"/>
            <w:webHidden/>
          </w:rPr>
          <w:fldChar w:fldCharType="separate"/>
        </w:r>
        <w:r w:rsidR="00313050" w:rsidRPr="00313050">
          <w:rPr>
            <w:rStyle w:val="Hyperlink"/>
            <w:webHidden/>
          </w:rPr>
          <w:t>80</w:t>
        </w:r>
        <w:r w:rsidRPr="00313050">
          <w:rPr>
            <w:rStyle w:val="Hyperlink"/>
            <w:webHidden/>
          </w:rPr>
          <w:fldChar w:fldCharType="end"/>
        </w:r>
      </w:hyperlink>
    </w:p>
    <w:p w14:paraId="350C0046" w14:textId="58092CAE" w:rsidR="00FC42E7" w:rsidRPr="00313050" w:rsidRDefault="00FC42E7">
      <w:pPr>
        <w:pStyle w:val="TableofFigures"/>
        <w:tabs>
          <w:tab w:val="right" w:leader="dot" w:pos="9350"/>
        </w:tabs>
        <w:rPr>
          <w:rStyle w:val="Hyperlink"/>
          <w:lang w:val="en-IN" w:eastAsia="en-IN"/>
        </w:rPr>
      </w:pPr>
      <w:hyperlink w:anchor="_Toc242554039" w:history="1">
        <w:r w:rsidRPr="00313050">
          <w:rPr>
            <w:rStyle w:val="Hyperlink"/>
          </w:rPr>
          <w:t>Table 2-41: Waiver Selection - Configuration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_Toc242554039 \h </w:instrText>
        </w:r>
        <w:r w:rsidRPr="00313050">
          <w:rPr>
            <w:rStyle w:val="Hyperlink"/>
            <w:webHidden/>
          </w:rPr>
        </w:r>
        <w:r w:rsidRPr="00313050">
          <w:rPr>
            <w:rStyle w:val="Hyperlink"/>
            <w:webHidden/>
          </w:rPr>
          <w:fldChar w:fldCharType="separate"/>
        </w:r>
        <w:r w:rsidR="00313050" w:rsidRPr="00313050">
          <w:rPr>
            <w:rStyle w:val="Hyperlink"/>
            <w:webHidden/>
          </w:rPr>
          <w:t>81</w:t>
        </w:r>
        <w:r w:rsidRPr="00313050">
          <w:rPr>
            <w:rStyle w:val="Hyperlink"/>
            <w:webHidden/>
          </w:rPr>
          <w:fldChar w:fldCharType="end"/>
        </w:r>
      </w:hyperlink>
    </w:p>
    <w:p w14:paraId="28733B8C" w14:textId="71C21984" w:rsidR="00FC42E7" w:rsidRPr="00313050" w:rsidRDefault="00FC42E7">
      <w:pPr>
        <w:pStyle w:val="TableofFigures"/>
        <w:tabs>
          <w:tab w:val="right" w:leader="dot" w:pos="9350"/>
        </w:tabs>
        <w:rPr>
          <w:rStyle w:val="Hyperlink"/>
          <w:lang w:val="en-IN" w:eastAsia="en-IN"/>
        </w:rPr>
      </w:pPr>
      <w:hyperlink w:anchor="_Toc242554040" w:history="1">
        <w:r w:rsidRPr="00313050">
          <w:rPr>
            <w:rStyle w:val="Hyperlink"/>
          </w:rPr>
          <w:t>Table 2-42: Profisee Data Mapping - Specifics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_Toc242554040 \h </w:instrText>
        </w:r>
        <w:r w:rsidRPr="00313050">
          <w:rPr>
            <w:rStyle w:val="Hyperlink"/>
            <w:webHidden/>
          </w:rPr>
        </w:r>
        <w:r w:rsidRPr="00313050">
          <w:rPr>
            <w:rStyle w:val="Hyperlink"/>
            <w:webHidden/>
          </w:rPr>
          <w:fldChar w:fldCharType="separate"/>
        </w:r>
        <w:r w:rsidR="00313050" w:rsidRPr="00313050">
          <w:rPr>
            <w:rStyle w:val="Hyperlink"/>
            <w:webHidden/>
          </w:rPr>
          <w:t>84</w:t>
        </w:r>
        <w:r w:rsidRPr="00313050">
          <w:rPr>
            <w:rStyle w:val="Hyperlink"/>
            <w:webHidden/>
          </w:rPr>
          <w:fldChar w:fldCharType="end"/>
        </w:r>
      </w:hyperlink>
    </w:p>
    <w:p w14:paraId="67C03396" w14:textId="74C6CC17" w:rsidR="00FC42E7" w:rsidRPr="00313050" w:rsidRDefault="00FC42E7">
      <w:pPr>
        <w:pStyle w:val="TableofFigures"/>
        <w:tabs>
          <w:tab w:val="right" w:leader="dot" w:pos="9350"/>
        </w:tabs>
        <w:rPr>
          <w:rStyle w:val="Hyperlink"/>
          <w:lang w:val="en-IN" w:eastAsia="en-IN"/>
        </w:rPr>
      </w:pPr>
      <w:hyperlink w:anchor="_Toc242554041" w:history="1">
        <w:r w:rsidRPr="00313050">
          <w:rPr>
            <w:rStyle w:val="Hyperlink"/>
          </w:rPr>
          <w:t>Table 2-43: Profisee Data Mapping - API Endpoint - Request Parameters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_Toc242554041 \h </w:instrText>
        </w:r>
        <w:r w:rsidRPr="00313050">
          <w:rPr>
            <w:rStyle w:val="Hyperlink"/>
            <w:webHidden/>
          </w:rPr>
        </w:r>
        <w:r w:rsidRPr="00313050">
          <w:rPr>
            <w:rStyle w:val="Hyperlink"/>
            <w:webHidden/>
          </w:rPr>
          <w:fldChar w:fldCharType="separate"/>
        </w:r>
        <w:r w:rsidR="00313050" w:rsidRPr="00313050">
          <w:rPr>
            <w:rStyle w:val="Hyperlink"/>
            <w:webHidden/>
          </w:rPr>
          <w:t>85</w:t>
        </w:r>
        <w:r w:rsidRPr="00313050">
          <w:rPr>
            <w:rStyle w:val="Hyperlink"/>
            <w:webHidden/>
          </w:rPr>
          <w:fldChar w:fldCharType="end"/>
        </w:r>
      </w:hyperlink>
    </w:p>
    <w:p w14:paraId="5387F781" w14:textId="503046EB" w:rsidR="00FC42E7" w:rsidRPr="00313050" w:rsidRDefault="00FC42E7">
      <w:pPr>
        <w:pStyle w:val="TableofFigures"/>
        <w:tabs>
          <w:tab w:val="right" w:leader="dot" w:pos="9350"/>
        </w:tabs>
        <w:rPr>
          <w:rStyle w:val="Hyperlink"/>
          <w:lang w:val="en-IN" w:eastAsia="en-IN"/>
        </w:rPr>
      </w:pPr>
      <w:hyperlink w:anchor="_Toc242554042" w:history="1">
        <w:r w:rsidRPr="00313050">
          <w:rPr>
            <w:rStyle w:val="Hyperlink"/>
          </w:rPr>
          <w:t>Table 2-44: Profisee Data Mapping - API Endpoint - Response Model</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_Toc242554042 \h </w:instrText>
        </w:r>
        <w:r w:rsidRPr="00313050">
          <w:rPr>
            <w:rStyle w:val="Hyperlink"/>
            <w:webHidden/>
          </w:rPr>
        </w:r>
        <w:r w:rsidRPr="00313050">
          <w:rPr>
            <w:rStyle w:val="Hyperlink"/>
            <w:webHidden/>
          </w:rPr>
          <w:fldChar w:fldCharType="separate"/>
        </w:r>
        <w:r w:rsidR="00313050" w:rsidRPr="00313050">
          <w:rPr>
            <w:rStyle w:val="Hyperlink"/>
            <w:webHidden/>
          </w:rPr>
          <w:t>85</w:t>
        </w:r>
        <w:r w:rsidRPr="00313050">
          <w:rPr>
            <w:rStyle w:val="Hyperlink"/>
            <w:webHidden/>
          </w:rPr>
          <w:fldChar w:fldCharType="end"/>
        </w:r>
      </w:hyperlink>
    </w:p>
    <w:p w14:paraId="222EECED" w14:textId="02A2C35E" w:rsidR="00FC42E7" w:rsidRPr="00313050" w:rsidRDefault="00FC42E7">
      <w:pPr>
        <w:pStyle w:val="TableofFigures"/>
        <w:tabs>
          <w:tab w:val="right" w:leader="dot" w:pos="9350"/>
        </w:tabs>
        <w:rPr>
          <w:rStyle w:val="Hyperlink"/>
          <w:lang w:val="en-IN" w:eastAsia="en-IN"/>
        </w:rPr>
      </w:pPr>
      <w:hyperlink w:anchor="_Toc242554043" w:history="1">
        <w:r w:rsidRPr="00313050">
          <w:rPr>
            <w:rStyle w:val="Hyperlink"/>
          </w:rPr>
          <w:t>Table 2-45: Source (Profisee) Data Entity: Terminals Specsheet Master Data</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_Toc242554043 \h </w:instrText>
        </w:r>
        <w:r w:rsidRPr="00313050">
          <w:rPr>
            <w:rStyle w:val="Hyperlink"/>
            <w:webHidden/>
          </w:rPr>
        </w:r>
        <w:r w:rsidRPr="00313050">
          <w:rPr>
            <w:rStyle w:val="Hyperlink"/>
            <w:webHidden/>
          </w:rPr>
          <w:fldChar w:fldCharType="separate"/>
        </w:r>
        <w:r w:rsidR="00313050" w:rsidRPr="00313050">
          <w:rPr>
            <w:rStyle w:val="Hyperlink"/>
            <w:webHidden/>
          </w:rPr>
          <w:t>87</w:t>
        </w:r>
        <w:r w:rsidRPr="00313050">
          <w:rPr>
            <w:rStyle w:val="Hyperlink"/>
            <w:webHidden/>
          </w:rPr>
          <w:fldChar w:fldCharType="end"/>
        </w:r>
      </w:hyperlink>
    </w:p>
    <w:p w14:paraId="7D440A7F" w14:textId="71CEEE7C" w:rsidR="00FC42E7" w:rsidRPr="00313050" w:rsidRDefault="00FC42E7">
      <w:pPr>
        <w:pStyle w:val="TableofFigures"/>
        <w:tabs>
          <w:tab w:val="right" w:leader="dot" w:pos="9350"/>
        </w:tabs>
        <w:rPr>
          <w:rStyle w:val="Hyperlink"/>
          <w:lang w:val="en-IN" w:eastAsia="en-IN"/>
        </w:rPr>
      </w:pPr>
      <w:hyperlink w:anchor="_Toc242554044" w:history="1">
        <w:r w:rsidRPr="00313050">
          <w:rPr>
            <w:rStyle w:val="Hyperlink"/>
          </w:rPr>
          <w:t>Table 2-46: Destination (IQDM) Data Entity: vcb_terminal_specsheet_master</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_Toc242554044 \h </w:instrText>
        </w:r>
        <w:r w:rsidRPr="00313050">
          <w:rPr>
            <w:rStyle w:val="Hyperlink"/>
            <w:webHidden/>
          </w:rPr>
        </w:r>
        <w:r w:rsidRPr="00313050">
          <w:rPr>
            <w:rStyle w:val="Hyperlink"/>
            <w:webHidden/>
          </w:rPr>
          <w:fldChar w:fldCharType="separate"/>
        </w:r>
        <w:r w:rsidR="00313050" w:rsidRPr="00313050">
          <w:rPr>
            <w:rStyle w:val="Hyperlink"/>
            <w:webHidden/>
          </w:rPr>
          <w:t>87</w:t>
        </w:r>
        <w:r w:rsidRPr="00313050">
          <w:rPr>
            <w:rStyle w:val="Hyperlink"/>
            <w:webHidden/>
          </w:rPr>
          <w:fldChar w:fldCharType="end"/>
        </w:r>
      </w:hyperlink>
    </w:p>
    <w:p w14:paraId="3653B880" w14:textId="55BFA501" w:rsidR="00FC42E7" w:rsidRPr="00313050" w:rsidRDefault="00FC42E7">
      <w:pPr>
        <w:pStyle w:val="TableofFigures"/>
        <w:tabs>
          <w:tab w:val="right" w:leader="dot" w:pos="9350"/>
        </w:tabs>
        <w:rPr>
          <w:rStyle w:val="Hyperlink"/>
          <w:lang w:val="en-IN" w:eastAsia="en-IN"/>
        </w:rPr>
      </w:pPr>
      <w:hyperlink w:anchor="_Toc242554045" w:history="1">
        <w:r w:rsidRPr="00313050">
          <w:rPr>
            <w:rStyle w:val="Hyperlink"/>
          </w:rPr>
          <w:t>Table 2-47: Profisee (Terminals Specsheet Master Data) to Response Model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_Toc242554045 \h </w:instrText>
        </w:r>
        <w:r w:rsidRPr="00313050">
          <w:rPr>
            <w:rStyle w:val="Hyperlink"/>
            <w:webHidden/>
          </w:rPr>
        </w:r>
        <w:r w:rsidRPr="00313050">
          <w:rPr>
            <w:rStyle w:val="Hyperlink"/>
            <w:webHidden/>
          </w:rPr>
          <w:fldChar w:fldCharType="separate"/>
        </w:r>
        <w:r w:rsidR="00313050" w:rsidRPr="00313050">
          <w:rPr>
            <w:rStyle w:val="Hyperlink"/>
            <w:webHidden/>
          </w:rPr>
          <w:t>88</w:t>
        </w:r>
        <w:r w:rsidRPr="00313050">
          <w:rPr>
            <w:rStyle w:val="Hyperlink"/>
            <w:webHidden/>
          </w:rPr>
          <w:fldChar w:fldCharType="end"/>
        </w:r>
      </w:hyperlink>
    </w:p>
    <w:p w14:paraId="44D9E4D6" w14:textId="52263131" w:rsidR="00FC42E7" w:rsidRPr="00313050" w:rsidRDefault="00FC42E7">
      <w:pPr>
        <w:pStyle w:val="TableofFigures"/>
        <w:tabs>
          <w:tab w:val="right" w:leader="dot" w:pos="9350"/>
        </w:tabs>
        <w:rPr>
          <w:rStyle w:val="Hyperlink"/>
          <w:lang w:val="en-IN" w:eastAsia="en-IN"/>
        </w:rPr>
      </w:pPr>
      <w:hyperlink w:anchor="_Toc242554046" w:history="1">
        <w:r w:rsidRPr="00313050">
          <w:rPr>
            <w:rStyle w:val="Hyperlink"/>
          </w:rPr>
          <w:t>Table 2-48: Master Data Entity - Profisee Data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_Toc242554046 \h </w:instrText>
        </w:r>
        <w:r w:rsidRPr="00313050">
          <w:rPr>
            <w:rStyle w:val="Hyperlink"/>
            <w:webHidden/>
          </w:rPr>
        </w:r>
        <w:r w:rsidRPr="00313050">
          <w:rPr>
            <w:rStyle w:val="Hyperlink"/>
            <w:webHidden/>
          </w:rPr>
          <w:fldChar w:fldCharType="separate"/>
        </w:r>
        <w:r w:rsidR="00313050" w:rsidRPr="00313050">
          <w:rPr>
            <w:rStyle w:val="Hyperlink"/>
            <w:webHidden/>
          </w:rPr>
          <w:t>88</w:t>
        </w:r>
        <w:r w:rsidRPr="00313050">
          <w:rPr>
            <w:rStyle w:val="Hyperlink"/>
            <w:webHidden/>
          </w:rPr>
          <w:fldChar w:fldCharType="end"/>
        </w:r>
      </w:hyperlink>
    </w:p>
    <w:p w14:paraId="762CB384" w14:textId="40DA4BE6" w:rsidR="00FC42E7" w:rsidRPr="00313050" w:rsidRDefault="00FC42E7">
      <w:pPr>
        <w:pStyle w:val="TableofFigures"/>
        <w:tabs>
          <w:tab w:val="right" w:leader="dot" w:pos="9350"/>
        </w:tabs>
        <w:rPr>
          <w:rStyle w:val="Hyperlink"/>
          <w:lang w:val="en-IN" w:eastAsia="en-IN"/>
        </w:rPr>
      </w:pPr>
      <w:hyperlink w:anchor="_Toc242554047" w:history="1">
        <w:r w:rsidRPr="00313050">
          <w:rPr>
            <w:rStyle w:val="Hyperlink"/>
          </w:rPr>
          <w:t>Table 2-49: Profisee Data Mapping - Configuration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_Toc242554047 \h </w:instrText>
        </w:r>
        <w:r w:rsidRPr="00313050">
          <w:rPr>
            <w:rStyle w:val="Hyperlink"/>
            <w:webHidden/>
          </w:rPr>
        </w:r>
        <w:r w:rsidRPr="00313050">
          <w:rPr>
            <w:rStyle w:val="Hyperlink"/>
            <w:webHidden/>
          </w:rPr>
          <w:fldChar w:fldCharType="separate"/>
        </w:r>
        <w:r w:rsidR="00313050" w:rsidRPr="00313050">
          <w:rPr>
            <w:rStyle w:val="Hyperlink"/>
            <w:webHidden/>
          </w:rPr>
          <w:t>89</w:t>
        </w:r>
        <w:r w:rsidRPr="00313050">
          <w:rPr>
            <w:rStyle w:val="Hyperlink"/>
            <w:webHidden/>
          </w:rPr>
          <w:fldChar w:fldCharType="end"/>
        </w:r>
      </w:hyperlink>
    </w:p>
    <w:p w14:paraId="2BEFBDA0" w14:textId="136B512C" w:rsidR="00FC42E7" w:rsidRPr="00313050" w:rsidRDefault="00FC42E7">
      <w:pPr>
        <w:pStyle w:val="TableofFigures"/>
        <w:tabs>
          <w:tab w:val="right" w:leader="dot" w:pos="9350"/>
        </w:tabs>
        <w:rPr>
          <w:rStyle w:val="Hyperlink"/>
          <w:lang w:val="en-IN" w:eastAsia="en-IN"/>
        </w:rPr>
      </w:pPr>
      <w:hyperlink w:anchor="_Toc242554048" w:history="1">
        <w:r w:rsidRPr="00313050">
          <w:rPr>
            <w:rStyle w:val="Hyperlink"/>
          </w:rPr>
          <w:t>Table 2-50: VCB Integrations - Platform Changes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_Toc242554048 \h </w:instrText>
        </w:r>
        <w:r w:rsidRPr="00313050">
          <w:rPr>
            <w:rStyle w:val="Hyperlink"/>
            <w:webHidden/>
          </w:rPr>
        </w:r>
        <w:r w:rsidRPr="00313050">
          <w:rPr>
            <w:rStyle w:val="Hyperlink"/>
            <w:webHidden/>
          </w:rPr>
          <w:fldChar w:fldCharType="separate"/>
        </w:r>
        <w:r w:rsidR="00313050" w:rsidRPr="00313050">
          <w:rPr>
            <w:rStyle w:val="Hyperlink"/>
            <w:webHidden/>
          </w:rPr>
          <w:t>93</w:t>
        </w:r>
        <w:r w:rsidRPr="00313050">
          <w:rPr>
            <w:rStyle w:val="Hyperlink"/>
            <w:webHidden/>
          </w:rPr>
          <w:fldChar w:fldCharType="end"/>
        </w:r>
      </w:hyperlink>
    </w:p>
    <w:p w14:paraId="274A618B" w14:textId="242B6B29" w:rsidR="00FC42E7" w:rsidRPr="00313050" w:rsidRDefault="00FC42E7">
      <w:pPr>
        <w:pStyle w:val="TableofFigures"/>
        <w:tabs>
          <w:tab w:val="right" w:leader="dot" w:pos="9350"/>
        </w:tabs>
        <w:rPr>
          <w:rStyle w:val="Hyperlink"/>
          <w:lang w:val="en-IN" w:eastAsia="en-IN"/>
        </w:rPr>
      </w:pPr>
      <w:hyperlink w:anchor="_Toc242554049" w:history="1">
        <w:r w:rsidRPr="00313050">
          <w:rPr>
            <w:rStyle w:val="Hyperlink"/>
          </w:rPr>
          <w:t>Table 2-51: Monitoring &amp; Error Handling - Notifications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_Toc242554049 \h </w:instrText>
        </w:r>
        <w:r w:rsidRPr="00313050">
          <w:rPr>
            <w:rStyle w:val="Hyperlink"/>
            <w:webHidden/>
          </w:rPr>
        </w:r>
        <w:r w:rsidRPr="00313050">
          <w:rPr>
            <w:rStyle w:val="Hyperlink"/>
            <w:webHidden/>
          </w:rPr>
          <w:fldChar w:fldCharType="separate"/>
        </w:r>
        <w:r w:rsidR="00313050" w:rsidRPr="00313050">
          <w:rPr>
            <w:rStyle w:val="Hyperlink"/>
            <w:webHidden/>
          </w:rPr>
          <w:t>94</w:t>
        </w:r>
        <w:r w:rsidRPr="00313050">
          <w:rPr>
            <w:rStyle w:val="Hyperlink"/>
            <w:webHidden/>
          </w:rPr>
          <w:fldChar w:fldCharType="end"/>
        </w:r>
      </w:hyperlink>
    </w:p>
    <w:p w14:paraId="6B8CD0BC" w14:textId="0965EC2A" w:rsidR="00FC42E7" w:rsidRPr="00313050" w:rsidRDefault="00FC42E7">
      <w:pPr>
        <w:pStyle w:val="TableofFigures"/>
        <w:tabs>
          <w:tab w:val="right" w:leader="dot" w:pos="9350"/>
        </w:tabs>
        <w:rPr>
          <w:rStyle w:val="Hyperlink"/>
          <w:lang w:val="en-IN" w:eastAsia="en-IN"/>
        </w:rPr>
      </w:pPr>
      <w:hyperlink w:anchor="_Toc242554050" w:history="1">
        <w:r w:rsidRPr="00313050">
          <w:rPr>
            <w:rStyle w:val="Hyperlink"/>
          </w:rPr>
          <w:t>Table 2-52: Software and Hardware Details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_Toc242554050 \h </w:instrText>
        </w:r>
        <w:r w:rsidRPr="00313050">
          <w:rPr>
            <w:rStyle w:val="Hyperlink"/>
            <w:webHidden/>
          </w:rPr>
        </w:r>
        <w:r w:rsidRPr="00313050">
          <w:rPr>
            <w:rStyle w:val="Hyperlink"/>
            <w:webHidden/>
          </w:rPr>
          <w:fldChar w:fldCharType="separate"/>
        </w:r>
        <w:r w:rsidR="00313050" w:rsidRPr="00313050">
          <w:rPr>
            <w:rStyle w:val="Hyperlink"/>
            <w:webHidden/>
          </w:rPr>
          <w:t>96</w:t>
        </w:r>
        <w:r w:rsidRPr="00313050">
          <w:rPr>
            <w:rStyle w:val="Hyperlink"/>
            <w:webHidden/>
          </w:rPr>
          <w:fldChar w:fldCharType="end"/>
        </w:r>
      </w:hyperlink>
    </w:p>
    <w:p w14:paraId="1430A1D4" w14:textId="264118DF" w:rsidR="00FC42E7" w:rsidRPr="00313050" w:rsidRDefault="00FC42E7">
      <w:pPr>
        <w:pStyle w:val="TableofFigures"/>
        <w:tabs>
          <w:tab w:val="right" w:leader="dot" w:pos="9350"/>
        </w:tabs>
        <w:rPr>
          <w:rStyle w:val="Hyperlink"/>
          <w:lang w:val="en-IN" w:eastAsia="en-IN"/>
        </w:rPr>
      </w:pPr>
      <w:hyperlink w:anchor="_Toc242554051" w:history="1">
        <w:r w:rsidRPr="00313050">
          <w:rPr>
            <w:rStyle w:val="Hyperlink"/>
          </w:rPr>
          <w:t>Table 2-53: Azure Resources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_Toc242554051 \h </w:instrText>
        </w:r>
        <w:r w:rsidRPr="00313050">
          <w:rPr>
            <w:rStyle w:val="Hyperlink"/>
            <w:webHidden/>
          </w:rPr>
        </w:r>
        <w:r w:rsidRPr="00313050">
          <w:rPr>
            <w:rStyle w:val="Hyperlink"/>
            <w:webHidden/>
          </w:rPr>
          <w:fldChar w:fldCharType="separate"/>
        </w:r>
        <w:r w:rsidR="00313050" w:rsidRPr="00313050">
          <w:rPr>
            <w:rStyle w:val="Hyperlink"/>
            <w:webHidden/>
          </w:rPr>
          <w:t>97</w:t>
        </w:r>
        <w:r w:rsidRPr="00313050">
          <w:rPr>
            <w:rStyle w:val="Hyperlink"/>
            <w:webHidden/>
          </w:rPr>
          <w:fldChar w:fldCharType="end"/>
        </w:r>
      </w:hyperlink>
    </w:p>
    <w:p w14:paraId="28BCFA4A" w14:textId="670FB546" w:rsidR="00FC42E7" w:rsidRPr="00313050" w:rsidRDefault="00FC42E7">
      <w:pPr>
        <w:pStyle w:val="TableofFigures"/>
        <w:tabs>
          <w:tab w:val="right" w:leader="dot" w:pos="9350"/>
        </w:tabs>
        <w:rPr>
          <w:rStyle w:val="Hyperlink"/>
          <w:lang w:val="en-IN" w:eastAsia="en-IN"/>
        </w:rPr>
      </w:pPr>
      <w:hyperlink w:anchor="_Toc242554052" w:history="1">
        <w:r w:rsidRPr="00313050">
          <w:rPr>
            <w:rStyle w:val="Hyperlink"/>
          </w:rPr>
          <w:t>Table 2-54: External Services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_Toc242554052 \h </w:instrText>
        </w:r>
        <w:r w:rsidRPr="00313050">
          <w:rPr>
            <w:rStyle w:val="Hyperlink"/>
            <w:webHidden/>
          </w:rPr>
        </w:r>
        <w:r w:rsidRPr="00313050">
          <w:rPr>
            <w:rStyle w:val="Hyperlink"/>
            <w:webHidden/>
          </w:rPr>
          <w:fldChar w:fldCharType="separate"/>
        </w:r>
        <w:r w:rsidR="00313050" w:rsidRPr="00313050">
          <w:rPr>
            <w:rStyle w:val="Hyperlink"/>
            <w:webHidden/>
          </w:rPr>
          <w:t>98</w:t>
        </w:r>
        <w:r w:rsidRPr="00313050">
          <w:rPr>
            <w:rStyle w:val="Hyperlink"/>
            <w:webHidden/>
          </w:rPr>
          <w:fldChar w:fldCharType="end"/>
        </w:r>
      </w:hyperlink>
    </w:p>
    <w:p w14:paraId="74DAAC2A" w14:textId="5305C346" w:rsidR="00FC42E7" w:rsidRPr="00313050" w:rsidRDefault="00FC42E7">
      <w:pPr>
        <w:pStyle w:val="TableofFigures"/>
        <w:tabs>
          <w:tab w:val="right" w:leader="dot" w:pos="9350"/>
        </w:tabs>
        <w:rPr>
          <w:rStyle w:val="Hyperlink"/>
          <w:lang w:val="en-IN" w:eastAsia="en-IN"/>
        </w:rPr>
      </w:pPr>
      <w:hyperlink w:anchor="_Toc242554053" w:history="1">
        <w:r w:rsidRPr="00313050">
          <w:rPr>
            <w:rStyle w:val="Hyperlink"/>
          </w:rPr>
          <w:t>Table 2-55: Deployment Details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_Toc242554053 \h </w:instrText>
        </w:r>
        <w:r w:rsidRPr="00313050">
          <w:rPr>
            <w:rStyle w:val="Hyperlink"/>
            <w:webHidden/>
          </w:rPr>
        </w:r>
        <w:r w:rsidRPr="00313050">
          <w:rPr>
            <w:rStyle w:val="Hyperlink"/>
            <w:webHidden/>
          </w:rPr>
          <w:fldChar w:fldCharType="separate"/>
        </w:r>
        <w:r w:rsidR="00313050" w:rsidRPr="00313050">
          <w:rPr>
            <w:rStyle w:val="Hyperlink"/>
            <w:webHidden/>
          </w:rPr>
          <w:t>99</w:t>
        </w:r>
        <w:r w:rsidRPr="00313050">
          <w:rPr>
            <w:rStyle w:val="Hyperlink"/>
            <w:webHidden/>
          </w:rPr>
          <w:fldChar w:fldCharType="end"/>
        </w:r>
      </w:hyperlink>
    </w:p>
    <w:p w14:paraId="040BCBCF" w14:textId="1F293920" w:rsidR="00FC42E7" w:rsidRPr="00313050" w:rsidRDefault="00FC42E7">
      <w:pPr>
        <w:pStyle w:val="TableofFigures"/>
        <w:tabs>
          <w:tab w:val="right" w:leader="dot" w:pos="9350"/>
        </w:tabs>
        <w:rPr>
          <w:rStyle w:val="Hyperlink"/>
          <w:lang w:val="en-IN" w:eastAsia="en-IN"/>
        </w:rPr>
      </w:pPr>
      <w:hyperlink w:anchor="_Toc242554054" w:history="1">
        <w:r w:rsidRPr="00313050">
          <w:rPr>
            <w:rStyle w:val="Hyperlink"/>
          </w:rPr>
          <w:t>Table 3-1: VCB Data Platform Layers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_Toc242554054 \h </w:instrText>
        </w:r>
        <w:r w:rsidRPr="00313050">
          <w:rPr>
            <w:rStyle w:val="Hyperlink"/>
            <w:webHidden/>
          </w:rPr>
        </w:r>
        <w:r w:rsidRPr="00313050">
          <w:rPr>
            <w:rStyle w:val="Hyperlink"/>
            <w:webHidden/>
          </w:rPr>
          <w:fldChar w:fldCharType="separate"/>
        </w:r>
        <w:r w:rsidR="00313050" w:rsidRPr="00313050">
          <w:rPr>
            <w:rStyle w:val="Hyperlink"/>
            <w:webHidden/>
          </w:rPr>
          <w:t>102</w:t>
        </w:r>
        <w:r w:rsidRPr="00313050">
          <w:rPr>
            <w:rStyle w:val="Hyperlink"/>
            <w:webHidden/>
          </w:rPr>
          <w:fldChar w:fldCharType="end"/>
        </w:r>
      </w:hyperlink>
    </w:p>
    <w:p w14:paraId="5396841D" w14:textId="30E32FC2" w:rsidR="00FC42E7" w:rsidRPr="00313050" w:rsidRDefault="00FC42E7">
      <w:pPr>
        <w:pStyle w:val="TableofFigures"/>
        <w:tabs>
          <w:tab w:val="right" w:leader="dot" w:pos="9350"/>
        </w:tabs>
        <w:rPr>
          <w:rStyle w:val="Hyperlink"/>
          <w:lang w:val="en-IN" w:eastAsia="en-IN"/>
        </w:rPr>
      </w:pPr>
      <w:hyperlink w:anchor="_Toc242554055" w:history="1">
        <w:r w:rsidRPr="00313050">
          <w:rPr>
            <w:rStyle w:val="Hyperlink"/>
          </w:rPr>
          <w:t>Table 3-2: Source-to-Target Data Flow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_Toc242554055 \h </w:instrText>
        </w:r>
        <w:r w:rsidRPr="00313050">
          <w:rPr>
            <w:rStyle w:val="Hyperlink"/>
            <w:webHidden/>
          </w:rPr>
        </w:r>
        <w:r w:rsidRPr="00313050">
          <w:rPr>
            <w:rStyle w:val="Hyperlink"/>
            <w:webHidden/>
          </w:rPr>
          <w:fldChar w:fldCharType="separate"/>
        </w:r>
        <w:r w:rsidR="00313050" w:rsidRPr="00313050">
          <w:rPr>
            <w:rStyle w:val="Hyperlink"/>
            <w:webHidden/>
          </w:rPr>
          <w:t>103</w:t>
        </w:r>
        <w:r w:rsidRPr="00313050">
          <w:rPr>
            <w:rStyle w:val="Hyperlink"/>
            <w:webHidden/>
          </w:rPr>
          <w:fldChar w:fldCharType="end"/>
        </w:r>
      </w:hyperlink>
    </w:p>
    <w:p w14:paraId="5057240D" w14:textId="49013678" w:rsidR="00FC42E7" w:rsidRPr="00313050" w:rsidRDefault="00FC42E7">
      <w:pPr>
        <w:pStyle w:val="TableofFigures"/>
        <w:tabs>
          <w:tab w:val="right" w:leader="dot" w:pos="9350"/>
        </w:tabs>
        <w:rPr>
          <w:rStyle w:val="Hyperlink"/>
          <w:lang w:val="en-IN" w:eastAsia="en-IN"/>
        </w:rPr>
      </w:pPr>
      <w:hyperlink w:anchor="_Toc242554056" w:history="1">
        <w:r w:rsidRPr="00313050">
          <w:rPr>
            <w:rStyle w:val="Hyperlink"/>
          </w:rPr>
          <w:t>Table 3-3: VCB Reporting Views in the IQDM Database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_Toc242554056 \h </w:instrText>
        </w:r>
        <w:r w:rsidRPr="00313050">
          <w:rPr>
            <w:rStyle w:val="Hyperlink"/>
            <w:webHidden/>
          </w:rPr>
        </w:r>
        <w:r w:rsidRPr="00313050">
          <w:rPr>
            <w:rStyle w:val="Hyperlink"/>
            <w:webHidden/>
          </w:rPr>
          <w:fldChar w:fldCharType="separate"/>
        </w:r>
        <w:r w:rsidR="00313050" w:rsidRPr="00313050">
          <w:rPr>
            <w:rStyle w:val="Hyperlink"/>
            <w:webHidden/>
          </w:rPr>
          <w:t>105</w:t>
        </w:r>
        <w:r w:rsidRPr="00313050">
          <w:rPr>
            <w:rStyle w:val="Hyperlink"/>
            <w:webHidden/>
          </w:rPr>
          <w:fldChar w:fldCharType="end"/>
        </w:r>
      </w:hyperlink>
    </w:p>
    <w:p w14:paraId="3A0EE68E" w14:textId="023C0EAC" w:rsidR="00FC42E7" w:rsidRPr="00313050" w:rsidRDefault="00FC42E7">
      <w:pPr>
        <w:pStyle w:val="TableofFigures"/>
        <w:tabs>
          <w:tab w:val="right" w:leader="dot" w:pos="9350"/>
        </w:tabs>
        <w:rPr>
          <w:rStyle w:val="Hyperlink"/>
          <w:lang w:val="en-IN" w:eastAsia="en-IN"/>
        </w:rPr>
      </w:pPr>
      <w:hyperlink w:anchor="_Toc242554057" w:history="1">
        <w:r w:rsidRPr="00313050">
          <w:rPr>
            <w:rStyle w:val="Hyperlink"/>
          </w:rPr>
          <w:t>Table 3-4: Data Refresh Dependencies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_Toc242554057 \h </w:instrText>
        </w:r>
        <w:r w:rsidRPr="00313050">
          <w:rPr>
            <w:rStyle w:val="Hyperlink"/>
            <w:webHidden/>
          </w:rPr>
        </w:r>
        <w:r w:rsidRPr="00313050">
          <w:rPr>
            <w:rStyle w:val="Hyperlink"/>
            <w:webHidden/>
          </w:rPr>
          <w:fldChar w:fldCharType="separate"/>
        </w:r>
        <w:r w:rsidR="00313050" w:rsidRPr="00313050">
          <w:rPr>
            <w:rStyle w:val="Hyperlink"/>
            <w:webHidden/>
          </w:rPr>
          <w:t>106</w:t>
        </w:r>
        <w:r w:rsidRPr="00313050">
          <w:rPr>
            <w:rStyle w:val="Hyperlink"/>
            <w:webHidden/>
          </w:rPr>
          <w:fldChar w:fldCharType="end"/>
        </w:r>
      </w:hyperlink>
    </w:p>
    <w:p w14:paraId="68AFBBA3" w14:textId="58EDBE30" w:rsidR="00FC42E7" w:rsidRPr="00313050" w:rsidRDefault="00FC42E7">
      <w:pPr>
        <w:pStyle w:val="TableofFigures"/>
        <w:tabs>
          <w:tab w:val="right" w:leader="dot" w:pos="9350"/>
        </w:tabs>
        <w:rPr>
          <w:rStyle w:val="Hyperlink"/>
          <w:lang w:val="en-IN" w:eastAsia="en-IN"/>
        </w:rPr>
      </w:pPr>
      <w:hyperlink w:anchor="_Toc242554058" w:history="1">
        <w:r w:rsidRPr="00313050">
          <w:rPr>
            <w:rStyle w:val="Hyperlink"/>
          </w:rPr>
          <w:t>Table 3-5: Data Retention and Archival Framework</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_Toc242554058 \h </w:instrText>
        </w:r>
        <w:r w:rsidRPr="00313050">
          <w:rPr>
            <w:rStyle w:val="Hyperlink"/>
            <w:webHidden/>
          </w:rPr>
        </w:r>
        <w:r w:rsidRPr="00313050">
          <w:rPr>
            <w:rStyle w:val="Hyperlink"/>
            <w:webHidden/>
          </w:rPr>
          <w:fldChar w:fldCharType="separate"/>
        </w:r>
        <w:r w:rsidR="00313050" w:rsidRPr="00313050">
          <w:rPr>
            <w:rStyle w:val="Hyperlink"/>
            <w:webHidden/>
          </w:rPr>
          <w:t>107</w:t>
        </w:r>
        <w:r w:rsidRPr="00313050">
          <w:rPr>
            <w:rStyle w:val="Hyperlink"/>
            <w:webHidden/>
          </w:rPr>
          <w:fldChar w:fldCharType="end"/>
        </w:r>
      </w:hyperlink>
    </w:p>
    <w:p w14:paraId="38BE4531" w14:textId="5A9E2C16" w:rsidR="00FC42E7" w:rsidRPr="00313050" w:rsidRDefault="00FC42E7">
      <w:pPr>
        <w:pStyle w:val="TableofFigures"/>
        <w:tabs>
          <w:tab w:val="right" w:leader="dot" w:pos="9350"/>
        </w:tabs>
        <w:rPr>
          <w:rStyle w:val="Hyperlink"/>
          <w:lang w:val="en-IN" w:eastAsia="en-IN"/>
        </w:rPr>
      </w:pPr>
      <w:hyperlink w:anchor="_Toc242554059" w:history="1">
        <w:r w:rsidRPr="00313050">
          <w:rPr>
            <w:rStyle w:val="Hyperlink"/>
          </w:rPr>
          <w:t>Table 3-6: Data Validation and Quality Rules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_Toc242554059 \h </w:instrText>
        </w:r>
        <w:r w:rsidRPr="00313050">
          <w:rPr>
            <w:rStyle w:val="Hyperlink"/>
            <w:webHidden/>
          </w:rPr>
        </w:r>
        <w:r w:rsidRPr="00313050">
          <w:rPr>
            <w:rStyle w:val="Hyperlink"/>
            <w:webHidden/>
          </w:rPr>
          <w:fldChar w:fldCharType="separate"/>
        </w:r>
        <w:r w:rsidR="00313050" w:rsidRPr="00313050">
          <w:rPr>
            <w:rStyle w:val="Hyperlink"/>
            <w:webHidden/>
          </w:rPr>
          <w:t>108</w:t>
        </w:r>
        <w:r w:rsidRPr="00313050">
          <w:rPr>
            <w:rStyle w:val="Hyperlink"/>
            <w:webHidden/>
          </w:rPr>
          <w:fldChar w:fldCharType="end"/>
        </w:r>
      </w:hyperlink>
    </w:p>
    <w:p w14:paraId="76712EA2" w14:textId="6E5AC1A9" w:rsidR="00FC42E7" w:rsidRPr="00313050" w:rsidRDefault="00FC42E7">
      <w:pPr>
        <w:pStyle w:val="TableofFigures"/>
        <w:tabs>
          <w:tab w:val="right" w:leader="dot" w:pos="9350"/>
        </w:tabs>
        <w:rPr>
          <w:rStyle w:val="Hyperlink"/>
          <w:lang w:val="en-IN" w:eastAsia="en-IN"/>
        </w:rPr>
      </w:pPr>
      <w:hyperlink w:anchor="_Toc242554060" w:history="1">
        <w:r w:rsidRPr="00313050">
          <w:rPr>
            <w:rStyle w:val="Hyperlink"/>
          </w:rPr>
          <w:t>Table 3-7: Environment Configuration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_Toc242554060 \h </w:instrText>
        </w:r>
        <w:r w:rsidRPr="00313050">
          <w:rPr>
            <w:rStyle w:val="Hyperlink"/>
            <w:webHidden/>
          </w:rPr>
        </w:r>
        <w:r w:rsidRPr="00313050">
          <w:rPr>
            <w:rStyle w:val="Hyperlink"/>
            <w:webHidden/>
          </w:rPr>
          <w:fldChar w:fldCharType="separate"/>
        </w:r>
        <w:r w:rsidR="00313050" w:rsidRPr="00313050">
          <w:rPr>
            <w:rStyle w:val="Hyperlink"/>
            <w:webHidden/>
          </w:rPr>
          <w:t>108</w:t>
        </w:r>
        <w:r w:rsidRPr="00313050">
          <w:rPr>
            <w:rStyle w:val="Hyperlink"/>
            <w:webHidden/>
          </w:rPr>
          <w:fldChar w:fldCharType="end"/>
        </w:r>
      </w:hyperlink>
    </w:p>
    <w:p w14:paraId="6F16E1C7" w14:textId="2191EA2D" w:rsidR="00FC42E7" w:rsidRPr="00313050" w:rsidRDefault="00FC42E7">
      <w:pPr>
        <w:pStyle w:val="TableofFigures"/>
        <w:tabs>
          <w:tab w:val="right" w:leader="dot" w:pos="9350"/>
        </w:tabs>
        <w:rPr>
          <w:rStyle w:val="Hyperlink"/>
          <w:lang w:val="en-IN" w:eastAsia="en-IN"/>
        </w:rPr>
      </w:pPr>
      <w:hyperlink w:anchor="_Toc242554061" w:history="1">
        <w:r w:rsidRPr="00313050">
          <w:rPr>
            <w:rStyle w:val="Hyperlink"/>
          </w:rPr>
          <w:t>Table 3-8: IQDM Tables and Columns Used by VCB</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_Toc242554061 \h </w:instrText>
        </w:r>
        <w:r w:rsidRPr="00313050">
          <w:rPr>
            <w:rStyle w:val="Hyperlink"/>
            <w:webHidden/>
          </w:rPr>
        </w:r>
        <w:r w:rsidRPr="00313050">
          <w:rPr>
            <w:rStyle w:val="Hyperlink"/>
            <w:webHidden/>
          </w:rPr>
          <w:fldChar w:fldCharType="separate"/>
        </w:r>
        <w:r w:rsidR="00313050" w:rsidRPr="00313050">
          <w:rPr>
            <w:rStyle w:val="Hyperlink"/>
            <w:webHidden/>
          </w:rPr>
          <w:t>110</w:t>
        </w:r>
        <w:r w:rsidRPr="00313050">
          <w:rPr>
            <w:rStyle w:val="Hyperlink"/>
            <w:webHidden/>
          </w:rPr>
          <w:fldChar w:fldCharType="end"/>
        </w:r>
      </w:hyperlink>
    </w:p>
    <w:p w14:paraId="5BE082E8" w14:textId="02A7F372" w:rsidR="00FC42E7" w:rsidRPr="00313050" w:rsidRDefault="00FC42E7">
      <w:pPr>
        <w:pStyle w:val="TableofFigures"/>
        <w:tabs>
          <w:tab w:val="right" w:leader="dot" w:pos="9350"/>
        </w:tabs>
        <w:rPr>
          <w:rStyle w:val="Hyperlink"/>
          <w:lang w:val="en-IN" w:eastAsia="en-IN"/>
        </w:rPr>
      </w:pPr>
      <w:hyperlink w:anchor="_Toc242554062" w:history="1">
        <w:r w:rsidRPr="00313050">
          <w:rPr>
            <w:rStyle w:val="Hyperlink"/>
          </w:rPr>
          <w:t>Table 3-9: product_specification Table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_Toc242554062 \h </w:instrText>
        </w:r>
        <w:r w:rsidRPr="00313050">
          <w:rPr>
            <w:rStyle w:val="Hyperlink"/>
            <w:webHidden/>
          </w:rPr>
        </w:r>
        <w:r w:rsidRPr="00313050">
          <w:rPr>
            <w:rStyle w:val="Hyperlink"/>
            <w:webHidden/>
          </w:rPr>
          <w:fldChar w:fldCharType="separate"/>
        </w:r>
        <w:r w:rsidR="00313050" w:rsidRPr="00313050">
          <w:rPr>
            <w:rStyle w:val="Hyperlink"/>
            <w:webHidden/>
          </w:rPr>
          <w:t>111</w:t>
        </w:r>
        <w:r w:rsidRPr="00313050">
          <w:rPr>
            <w:rStyle w:val="Hyperlink"/>
            <w:webHidden/>
          </w:rPr>
          <w:fldChar w:fldCharType="end"/>
        </w:r>
      </w:hyperlink>
    </w:p>
    <w:p w14:paraId="4F0AE29C" w14:textId="476A5127" w:rsidR="00FC42E7" w:rsidRPr="00313050" w:rsidRDefault="00FC42E7">
      <w:pPr>
        <w:pStyle w:val="TableofFigures"/>
        <w:tabs>
          <w:tab w:val="right" w:leader="dot" w:pos="9350"/>
        </w:tabs>
        <w:rPr>
          <w:rStyle w:val="Hyperlink"/>
          <w:lang w:val="en-IN" w:eastAsia="en-IN"/>
        </w:rPr>
      </w:pPr>
      <w:hyperlink w:anchor="_Toc242554063" w:history="1">
        <w:r w:rsidRPr="00313050">
          <w:rPr>
            <w:rStyle w:val="Hyperlink"/>
          </w:rPr>
          <w:t>Table 3-10: Calculation Inputs Not Held in IQDM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_Toc242554063 \h </w:instrText>
        </w:r>
        <w:r w:rsidRPr="00313050">
          <w:rPr>
            <w:rStyle w:val="Hyperlink"/>
            <w:webHidden/>
          </w:rPr>
        </w:r>
        <w:r w:rsidRPr="00313050">
          <w:rPr>
            <w:rStyle w:val="Hyperlink"/>
            <w:webHidden/>
          </w:rPr>
          <w:fldChar w:fldCharType="separate"/>
        </w:r>
        <w:r w:rsidR="00313050" w:rsidRPr="00313050">
          <w:rPr>
            <w:rStyle w:val="Hyperlink"/>
            <w:webHidden/>
          </w:rPr>
          <w:t>112</w:t>
        </w:r>
        <w:r w:rsidRPr="00313050">
          <w:rPr>
            <w:rStyle w:val="Hyperlink"/>
            <w:webHidden/>
          </w:rPr>
          <w:fldChar w:fldCharType="end"/>
        </w:r>
      </w:hyperlink>
    </w:p>
    <w:p w14:paraId="6FA45CD3" w14:textId="2850E9D9" w:rsidR="00FC42E7" w:rsidRPr="00313050" w:rsidRDefault="00FC42E7">
      <w:pPr>
        <w:pStyle w:val="TableofFigures"/>
        <w:tabs>
          <w:tab w:val="right" w:leader="dot" w:pos="9350"/>
        </w:tabs>
        <w:rPr>
          <w:rStyle w:val="Hyperlink"/>
          <w:lang w:val="en-IN" w:eastAsia="en-IN"/>
        </w:rPr>
      </w:pPr>
      <w:hyperlink w:anchor="_Toc242554064" w:history="1">
        <w:r w:rsidRPr="00313050">
          <w:rPr>
            <w:rStyle w:val="Hyperlink"/>
          </w:rPr>
          <w:t>Table 3-11: vwRefineryBatchMovementQuality 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_Toc242554064 \h </w:instrText>
        </w:r>
        <w:r w:rsidRPr="00313050">
          <w:rPr>
            <w:rStyle w:val="Hyperlink"/>
            <w:webHidden/>
          </w:rPr>
        </w:r>
        <w:r w:rsidRPr="00313050">
          <w:rPr>
            <w:rStyle w:val="Hyperlink"/>
            <w:webHidden/>
          </w:rPr>
          <w:fldChar w:fldCharType="separate"/>
        </w:r>
        <w:r w:rsidR="00313050" w:rsidRPr="00313050">
          <w:rPr>
            <w:rStyle w:val="Hyperlink"/>
            <w:webHidden/>
          </w:rPr>
          <w:t>115</w:t>
        </w:r>
        <w:r w:rsidRPr="00313050">
          <w:rPr>
            <w:rStyle w:val="Hyperlink"/>
            <w:webHidden/>
          </w:rPr>
          <w:fldChar w:fldCharType="end"/>
        </w:r>
      </w:hyperlink>
    </w:p>
    <w:p w14:paraId="0F8A08E9" w14:textId="4EEA6B90" w:rsidR="00FC42E7" w:rsidRPr="00313050" w:rsidRDefault="00FC42E7">
      <w:pPr>
        <w:pStyle w:val="TableofFigures"/>
        <w:tabs>
          <w:tab w:val="right" w:leader="dot" w:pos="9350"/>
        </w:tabs>
        <w:rPr>
          <w:rStyle w:val="Hyperlink"/>
          <w:lang w:val="en-IN" w:eastAsia="en-IN"/>
        </w:rPr>
      </w:pPr>
      <w:hyperlink w:anchor="_Toc242554065" w:history="1">
        <w:r w:rsidRPr="00313050">
          <w:rPr>
            <w:rStyle w:val="Hyperlink"/>
          </w:rPr>
          <w:t>Table 3-12: vwDistillateBlendPotentialQuality 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_Toc242554065 \h </w:instrText>
        </w:r>
        <w:r w:rsidRPr="00313050">
          <w:rPr>
            <w:rStyle w:val="Hyperlink"/>
            <w:webHidden/>
          </w:rPr>
        </w:r>
        <w:r w:rsidRPr="00313050">
          <w:rPr>
            <w:rStyle w:val="Hyperlink"/>
            <w:webHidden/>
          </w:rPr>
          <w:fldChar w:fldCharType="separate"/>
        </w:r>
        <w:r w:rsidR="00313050" w:rsidRPr="00313050">
          <w:rPr>
            <w:rStyle w:val="Hyperlink"/>
            <w:webHidden/>
          </w:rPr>
          <w:t>119</w:t>
        </w:r>
        <w:r w:rsidRPr="00313050">
          <w:rPr>
            <w:rStyle w:val="Hyperlink"/>
            <w:webHidden/>
          </w:rPr>
          <w:fldChar w:fldCharType="end"/>
        </w:r>
      </w:hyperlink>
    </w:p>
    <w:p w14:paraId="3D8488AB" w14:textId="48DEE13C" w:rsidR="00FC42E7" w:rsidRPr="00313050" w:rsidRDefault="00FC42E7">
      <w:pPr>
        <w:pStyle w:val="TableofFigures"/>
        <w:tabs>
          <w:tab w:val="right" w:leader="dot" w:pos="9350"/>
        </w:tabs>
        <w:rPr>
          <w:rStyle w:val="Hyperlink"/>
          <w:lang w:val="en-IN" w:eastAsia="en-IN"/>
        </w:rPr>
      </w:pPr>
      <w:hyperlink w:anchor="_Toc242554066" w:history="1">
        <w:r w:rsidRPr="00313050">
          <w:rPr>
            <w:rStyle w:val="Hyperlink"/>
          </w:rPr>
          <w:t>Table 3-13: vwDistillateBatchQuality 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_Toc242554066 \h </w:instrText>
        </w:r>
        <w:r w:rsidRPr="00313050">
          <w:rPr>
            <w:rStyle w:val="Hyperlink"/>
            <w:webHidden/>
          </w:rPr>
        </w:r>
        <w:r w:rsidRPr="00313050">
          <w:rPr>
            <w:rStyle w:val="Hyperlink"/>
            <w:webHidden/>
          </w:rPr>
          <w:fldChar w:fldCharType="separate"/>
        </w:r>
        <w:r w:rsidR="00313050" w:rsidRPr="00313050">
          <w:rPr>
            <w:rStyle w:val="Hyperlink"/>
            <w:webHidden/>
          </w:rPr>
          <w:t>121</w:t>
        </w:r>
        <w:r w:rsidRPr="00313050">
          <w:rPr>
            <w:rStyle w:val="Hyperlink"/>
            <w:webHidden/>
          </w:rPr>
          <w:fldChar w:fldCharType="end"/>
        </w:r>
      </w:hyperlink>
    </w:p>
    <w:p w14:paraId="207BE08A" w14:textId="041D9992" w:rsidR="00FC42E7" w:rsidRPr="00313050" w:rsidRDefault="00FC42E7">
      <w:pPr>
        <w:pStyle w:val="TableofFigures"/>
        <w:tabs>
          <w:tab w:val="right" w:leader="dot" w:pos="9350"/>
        </w:tabs>
        <w:rPr>
          <w:rStyle w:val="Hyperlink"/>
          <w:lang w:val="en-IN" w:eastAsia="en-IN"/>
        </w:rPr>
      </w:pPr>
      <w:hyperlink w:anchor="_Toc242554067" w:history="1">
        <w:r w:rsidRPr="00313050">
          <w:rPr>
            <w:rStyle w:val="Hyperlink"/>
          </w:rPr>
          <w:t>Table 3-14: vwBlendComponentSupplyDemand 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_Toc242554067 \h </w:instrText>
        </w:r>
        <w:r w:rsidRPr="00313050">
          <w:rPr>
            <w:rStyle w:val="Hyperlink"/>
            <w:webHidden/>
          </w:rPr>
        </w:r>
        <w:r w:rsidRPr="00313050">
          <w:rPr>
            <w:rStyle w:val="Hyperlink"/>
            <w:webHidden/>
          </w:rPr>
          <w:fldChar w:fldCharType="separate"/>
        </w:r>
        <w:r w:rsidR="00313050" w:rsidRPr="00313050">
          <w:rPr>
            <w:rStyle w:val="Hyperlink"/>
            <w:webHidden/>
          </w:rPr>
          <w:t>122</w:t>
        </w:r>
        <w:r w:rsidRPr="00313050">
          <w:rPr>
            <w:rStyle w:val="Hyperlink"/>
            <w:webHidden/>
          </w:rPr>
          <w:fldChar w:fldCharType="end"/>
        </w:r>
      </w:hyperlink>
    </w:p>
    <w:p w14:paraId="4B61CE7F" w14:textId="156B9E3E" w:rsidR="00FC42E7" w:rsidRPr="00313050" w:rsidRDefault="00FC42E7">
      <w:pPr>
        <w:pStyle w:val="TableofFigures"/>
        <w:tabs>
          <w:tab w:val="right" w:leader="dot" w:pos="9350"/>
        </w:tabs>
        <w:rPr>
          <w:rStyle w:val="Hyperlink"/>
          <w:lang w:val="en-IN" w:eastAsia="en-IN"/>
        </w:rPr>
      </w:pPr>
      <w:hyperlink w:anchor="_Toc242554068" w:history="1">
        <w:r w:rsidRPr="00313050">
          <w:rPr>
            <w:rStyle w:val="Hyperlink"/>
          </w:rPr>
          <w:t>Table 3-15: vwGasolineBlendingKPI 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_Toc242554068 \h </w:instrText>
        </w:r>
        <w:r w:rsidRPr="00313050">
          <w:rPr>
            <w:rStyle w:val="Hyperlink"/>
            <w:webHidden/>
          </w:rPr>
        </w:r>
        <w:r w:rsidRPr="00313050">
          <w:rPr>
            <w:rStyle w:val="Hyperlink"/>
            <w:webHidden/>
          </w:rPr>
          <w:fldChar w:fldCharType="separate"/>
        </w:r>
        <w:r w:rsidR="00313050" w:rsidRPr="00313050">
          <w:rPr>
            <w:rStyle w:val="Hyperlink"/>
            <w:webHidden/>
          </w:rPr>
          <w:t>123</w:t>
        </w:r>
        <w:r w:rsidRPr="00313050">
          <w:rPr>
            <w:rStyle w:val="Hyperlink"/>
            <w:webHidden/>
          </w:rPr>
          <w:fldChar w:fldCharType="end"/>
        </w:r>
      </w:hyperlink>
    </w:p>
    <w:p w14:paraId="023BB91B" w14:textId="7611D001" w:rsidR="00FC42E7" w:rsidRPr="00313050" w:rsidRDefault="00FC42E7">
      <w:pPr>
        <w:pStyle w:val="TableofFigures"/>
        <w:tabs>
          <w:tab w:val="right" w:leader="dot" w:pos="9350"/>
        </w:tabs>
        <w:rPr>
          <w:rStyle w:val="Hyperlink"/>
          <w:lang w:val="en-IN" w:eastAsia="en-IN"/>
        </w:rPr>
      </w:pPr>
      <w:hyperlink w:anchor="_Toc242554069" w:history="1">
        <w:r w:rsidRPr="00313050">
          <w:rPr>
            <w:rStyle w:val="Hyperlink"/>
          </w:rPr>
          <w:t>Table 3-16: vwDistillateBlendingKPI 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_Toc242554069 \h </w:instrText>
        </w:r>
        <w:r w:rsidRPr="00313050">
          <w:rPr>
            <w:rStyle w:val="Hyperlink"/>
            <w:webHidden/>
          </w:rPr>
        </w:r>
        <w:r w:rsidRPr="00313050">
          <w:rPr>
            <w:rStyle w:val="Hyperlink"/>
            <w:webHidden/>
          </w:rPr>
          <w:fldChar w:fldCharType="separate"/>
        </w:r>
        <w:r w:rsidR="00313050" w:rsidRPr="00313050">
          <w:rPr>
            <w:rStyle w:val="Hyperlink"/>
            <w:webHidden/>
          </w:rPr>
          <w:t>125</w:t>
        </w:r>
        <w:r w:rsidRPr="00313050">
          <w:rPr>
            <w:rStyle w:val="Hyperlink"/>
            <w:webHidden/>
          </w:rPr>
          <w:fldChar w:fldCharType="end"/>
        </w:r>
      </w:hyperlink>
    </w:p>
    <w:p w14:paraId="4838E18D" w14:textId="1B1CC58D" w:rsidR="00FC42E7" w:rsidRPr="00313050" w:rsidRDefault="00FC42E7">
      <w:pPr>
        <w:pStyle w:val="TableofFigures"/>
        <w:tabs>
          <w:tab w:val="right" w:leader="dot" w:pos="9350"/>
        </w:tabs>
        <w:rPr>
          <w:rStyle w:val="Hyperlink"/>
          <w:lang w:val="en-IN" w:eastAsia="en-IN"/>
        </w:rPr>
      </w:pPr>
      <w:hyperlink w:anchor="_Toc242554070" w:history="1">
        <w:r w:rsidRPr="00313050">
          <w:rPr>
            <w:rStyle w:val="Hyperlink"/>
          </w:rPr>
          <w:t>Table 3-17: VCB Table Relationships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_Toc242554070 \h </w:instrText>
        </w:r>
        <w:r w:rsidRPr="00313050">
          <w:rPr>
            <w:rStyle w:val="Hyperlink"/>
            <w:webHidden/>
          </w:rPr>
        </w:r>
        <w:r w:rsidRPr="00313050">
          <w:rPr>
            <w:rStyle w:val="Hyperlink"/>
            <w:webHidden/>
          </w:rPr>
          <w:fldChar w:fldCharType="separate"/>
        </w:r>
        <w:r w:rsidR="00313050" w:rsidRPr="00313050">
          <w:rPr>
            <w:rStyle w:val="Hyperlink"/>
            <w:webHidden/>
          </w:rPr>
          <w:t>125</w:t>
        </w:r>
        <w:r w:rsidRPr="00313050">
          <w:rPr>
            <w:rStyle w:val="Hyperlink"/>
            <w:webHidden/>
          </w:rPr>
          <w:fldChar w:fldCharType="end"/>
        </w:r>
      </w:hyperlink>
    </w:p>
    <w:p w14:paraId="4931C686" w14:textId="205AD444" w:rsidR="00FC42E7" w:rsidRPr="00313050" w:rsidRDefault="00FC42E7">
      <w:pPr>
        <w:pStyle w:val="TableofFigures"/>
        <w:tabs>
          <w:tab w:val="right" w:leader="dot" w:pos="9350"/>
        </w:tabs>
        <w:rPr>
          <w:rStyle w:val="Hyperlink"/>
          <w:lang w:val="en-IN" w:eastAsia="en-IN"/>
        </w:rPr>
      </w:pPr>
      <w:hyperlink w:anchor="_Toc242554071" w:history="1">
        <w:r w:rsidRPr="00313050">
          <w:rPr>
            <w:rStyle w:val="Hyperlink"/>
          </w:rPr>
          <w:t>Table 3-18: VCB_blend_component_detail Table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_Toc242554071 \h </w:instrText>
        </w:r>
        <w:r w:rsidRPr="00313050">
          <w:rPr>
            <w:rStyle w:val="Hyperlink"/>
            <w:webHidden/>
          </w:rPr>
        </w:r>
        <w:r w:rsidRPr="00313050">
          <w:rPr>
            <w:rStyle w:val="Hyperlink"/>
            <w:webHidden/>
          </w:rPr>
          <w:fldChar w:fldCharType="separate"/>
        </w:r>
        <w:r w:rsidR="00313050" w:rsidRPr="00313050">
          <w:rPr>
            <w:rStyle w:val="Hyperlink"/>
            <w:webHidden/>
          </w:rPr>
          <w:t>126</w:t>
        </w:r>
        <w:r w:rsidRPr="00313050">
          <w:rPr>
            <w:rStyle w:val="Hyperlink"/>
            <w:webHidden/>
          </w:rPr>
          <w:fldChar w:fldCharType="end"/>
        </w:r>
      </w:hyperlink>
    </w:p>
    <w:p w14:paraId="1599ED88" w14:textId="10B0D5C6" w:rsidR="00FC42E7" w:rsidRPr="00313050" w:rsidRDefault="00FC42E7">
      <w:pPr>
        <w:pStyle w:val="TableofFigures"/>
        <w:tabs>
          <w:tab w:val="right" w:leader="dot" w:pos="9350"/>
        </w:tabs>
        <w:rPr>
          <w:rStyle w:val="Hyperlink"/>
          <w:lang w:val="en-IN" w:eastAsia="en-IN"/>
        </w:rPr>
      </w:pPr>
      <w:hyperlink w:anchor="_Toc242554072" w:history="1">
        <w:r w:rsidRPr="00313050">
          <w:rPr>
            <w:rStyle w:val="Hyperlink"/>
          </w:rPr>
          <w:t>Table 3-19: VCB_blend_component_movement Table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_Toc242554072 \h </w:instrText>
        </w:r>
        <w:r w:rsidRPr="00313050">
          <w:rPr>
            <w:rStyle w:val="Hyperlink"/>
            <w:webHidden/>
          </w:rPr>
        </w:r>
        <w:r w:rsidRPr="00313050">
          <w:rPr>
            <w:rStyle w:val="Hyperlink"/>
            <w:webHidden/>
          </w:rPr>
          <w:fldChar w:fldCharType="separate"/>
        </w:r>
        <w:r w:rsidR="00313050" w:rsidRPr="00313050">
          <w:rPr>
            <w:rStyle w:val="Hyperlink"/>
            <w:webHidden/>
          </w:rPr>
          <w:t>128</w:t>
        </w:r>
        <w:r w:rsidRPr="00313050">
          <w:rPr>
            <w:rStyle w:val="Hyperlink"/>
            <w:webHidden/>
          </w:rPr>
          <w:fldChar w:fldCharType="end"/>
        </w:r>
      </w:hyperlink>
    </w:p>
    <w:p w14:paraId="4D3A2EA1" w14:textId="081E6F5E" w:rsidR="00FC42E7" w:rsidRPr="00313050" w:rsidRDefault="00FC42E7">
      <w:pPr>
        <w:pStyle w:val="TableofFigures"/>
        <w:tabs>
          <w:tab w:val="right" w:leader="dot" w:pos="9350"/>
        </w:tabs>
        <w:rPr>
          <w:rStyle w:val="Hyperlink"/>
          <w:lang w:val="en-IN" w:eastAsia="en-IN"/>
        </w:rPr>
      </w:pPr>
      <w:hyperlink w:anchor="_Toc242554073" w:history="1">
        <w:r w:rsidRPr="00313050">
          <w:rPr>
            <w:rStyle w:val="Hyperlink"/>
          </w:rPr>
          <w:t>Table 3-20: Data Platform Gaps Requiring Confirmation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_Toc242554073 \h </w:instrText>
        </w:r>
        <w:r w:rsidRPr="00313050">
          <w:rPr>
            <w:rStyle w:val="Hyperlink"/>
            <w:webHidden/>
          </w:rPr>
        </w:r>
        <w:r w:rsidRPr="00313050">
          <w:rPr>
            <w:rStyle w:val="Hyperlink"/>
            <w:webHidden/>
          </w:rPr>
          <w:fldChar w:fldCharType="separate"/>
        </w:r>
        <w:r w:rsidR="00313050" w:rsidRPr="00313050">
          <w:rPr>
            <w:rStyle w:val="Hyperlink"/>
            <w:webHidden/>
          </w:rPr>
          <w:t>129</w:t>
        </w:r>
        <w:r w:rsidRPr="00313050">
          <w:rPr>
            <w:rStyle w:val="Hyperlink"/>
            <w:webHidden/>
          </w:rPr>
          <w:fldChar w:fldCharType="end"/>
        </w:r>
      </w:hyperlink>
    </w:p>
    <w:p w14:paraId="4C1BC77B" w14:textId="03691F01" w:rsidR="00FC42E7" w:rsidRPr="00313050" w:rsidRDefault="00FC42E7">
      <w:pPr>
        <w:pStyle w:val="TableofFigures"/>
        <w:tabs>
          <w:tab w:val="right" w:leader="dot" w:pos="9350"/>
        </w:tabs>
        <w:rPr>
          <w:rStyle w:val="Hyperlink"/>
          <w:lang w:val="en-IN" w:eastAsia="en-IN"/>
        </w:rPr>
      </w:pPr>
      <w:hyperlink w:anchor="_Toc242554074" w:history="1">
        <w:r w:rsidRPr="00313050">
          <w:rPr>
            <w:rStyle w:val="Hyperlink"/>
          </w:rPr>
          <w:t>Table 4-1: Dashboard Objectives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_Toc242554074 \h </w:instrText>
        </w:r>
        <w:r w:rsidRPr="00313050">
          <w:rPr>
            <w:rStyle w:val="Hyperlink"/>
            <w:webHidden/>
          </w:rPr>
        </w:r>
        <w:r w:rsidRPr="00313050">
          <w:rPr>
            <w:rStyle w:val="Hyperlink"/>
            <w:webHidden/>
          </w:rPr>
          <w:fldChar w:fldCharType="separate"/>
        </w:r>
        <w:r w:rsidR="00313050" w:rsidRPr="00313050">
          <w:rPr>
            <w:rStyle w:val="Hyperlink"/>
            <w:webHidden/>
          </w:rPr>
          <w:t>131</w:t>
        </w:r>
        <w:r w:rsidRPr="00313050">
          <w:rPr>
            <w:rStyle w:val="Hyperlink"/>
            <w:webHidden/>
          </w:rPr>
          <w:fldChar w:fldCharType="end"/>
        </w:r>
      </w:hyperlink>
    </w:p>
    <w:p w14:paraId="60C09039" w14:textId="794C3294" w:rsidR="00FC42E7" w:rsidRPr="00313050" w:rsidRDefault="00FC42E7">
      <w:pPr>
        <w:pStyle w:val="TableofFigures"/>
        <w:tabs>
          <w:tab w:val="right" w:leader="dot" w:pos="9350"/>
        </w:tabs>
        <w:rPr>
          <w:rStyle w:val="Hyperlink"/>
          <w:lang w:val="en-IN" w:eastAsia="en-IN"/>
        </w:rPr>
      </w:pPr>
      <w:hyperlink w:anchor="_Toc242554075" w:history="1">
        <w:r w:rsidRPr="00313050">
          <w:rPr>
            <w:rStyle w:val="Hyperlink"/>
          </w:rPr>
          <w:t>Table 4-2: Technology Stack for Reporting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_Toc242554075 \h </w:instrText>
        </w:r>
        <w:r w:rsidRPr="00313050">
          <w:rPr>
            <w:rStyle w:val="Hyperlink"/>
            <w:webHidden/>
          </w:rPr>
        </w:r>
        <w:r w:rsidRPr="00313050">
          <w:rPr>
            <w:rStyle w:val="Hyperlink"/>
            <w:webHidden/>
          </w:rPr>
          <w:fldChar w:fldCharType="separate"/>
        </w:r>
        <w:r w:rsidR="00313050" w:rsidRPr="00313050">
          <w:rPr>
            <w:rStyle w:val="Hyperlink"/>
            <w:webHidden/>
          </w:rPr>
          <w:t>132</w:t>
        </w:r>
        <w:r w:rsidRPr="00313050">
          <w:rPr>
            <w:rStyle w:val="Hyperlink"/>
            <w:webHidden/>
          </w:rPr>
          <w:fldChar w:fldCharType="end"/>
        </w:r>
      </w:hyperlink>
    </w:p>
    <w:p w14:paraId="5669D30A" w14:textId="0DDF0A43" w:rsidR="00FC42E7" w:rsidRPr="00313050" w:rsidRDefault="00FC42E7">
      <w:pPr>
        <w:pStyle w:val="TableofFigures"/>
        <w:tabs>
          <w:tab w:val="right" w:leader="dot" w:pos="9350"/>
        </w:tabs>
        <w:rPr>
          <w:rStyle w:val="Hyperlink"/>
          <w:lang w:val="en-IN" w:eastAsia="en-IN"/>
        </w:rPr>
      </w:pPr>
      <w:hyperlink w:anchor="_Toc242554076" w:history="1">
        <w:r w:rsidRPr="00313050">
          <w:rPr>
            <w:rStyle w:val="Hyperlink"/>
          </w:rPr>
          <w:t>Table 4-3: Data Sources for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_Toc242554076 \h </w:instrText>
        </w:r>
        <w:r w:rsidRPr="00313050">
          <w:rPr>
            <w:rStyle w:val="Hyperlink"/>
            <w:webHidden/>
          </w:rPr>
        </w:r>
        <w:r w:rsidRPr="00313050">
          <w:rPr>
            <w:rStyle w:val="Hyperlink"/>
            <w:webHidden/>
          </w:rPr>
          <w:fldChar w:fldCharType="separate"/>
        </w:r>
        <w:r w:rsidR="00313050" w:rsidRPr="00313050">
          <w:rPr>
            <w:rStyle w:val="Hyperlink"/>
            <w:webHidden/>
          </w:rPr>
          <w:t>132</w:t>
        </w:r>
        <w:r w:rsidRPr="00313050">
          <w:rPr>
            <w:rStyle w:val="Hyperlink"/>
            <w:webHidden/>
          </w:rPr>
          <w:fldChar w:fldCharType="end"/>
        </w:r>
      </w:hyperlink>
    </w:p>
    <w:p w14:paraId="34D21BE6" w14:textId="29715276" w:rsidR="00FC42E7" w:rsidRPr="00313050" w:rsidRDefault="00FC42E7">
      <w:pPr>
        <w:pStyle w:val="TableofFigures"/>
        <w:tabs>
          <w:tab w:val="right" w:leader="dot" w:pos="9350"/>
        </w:tabs>
        <w:rPr>
          <w:rStyle w:val="Hyperlink"/>
          <w:lang w:val="en-IN" w:eastAsia="en-IN"/>
        </w:rPr>
      </w:pPr>
      <w:hyperlink w:anchor="_Toc242554077" w:history="1">
        <w:r w:rsidRPr="00313050">
          <w:rPr>
            <w:rStyle w:val="Hyperlink"/>
          </w:rPr>
          <w:t>Table 4-4: Tables / Views Loaded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_Toc242554077 \h </w:instrText>
        </w:r>
        <w:r w:rsidRPr="00313050">
          <w:rPr>
            <w:rStyle w:val="Hyperlink"/>
            <w:webHidden/>
          </w:rPr>
        </w:r>
        <w:r w:rsidRPr="00313050">
          <w:rPr>
            <w:rStyle w:val="Hyperlink"/>
            <w:webHidden/>
          </w:rPr>
          <w:fldChar w:fldCharType="separate"/>
        </w:r>
        <w:r w:rsidR="00313050" w:rsidRPr="00313050">
          <w:rPr>
            <w:rStyle w:val="Hyperlink"/>
            <w:webHidden/>
          </w:rPr>
          <w:t>134</w:t>
        </w:r>
        <w:r w:rsidRPr="00313050">
          <w:rPr>
            <w:rStyle w:val="Hyperlink"/>
            <w:webHidden/>
          </w:rPr>
          <w:fldChar w:fldCharType="end"/>
        </w:r>
      </w:hyperlink>
    </w:p>
    <w:p w14:paraId="7B85044B" w14:textId="67B63E71" w:rsidR="00FC42E7" w:rsidRPr="00313050" w:rsidRDefault="00FC42E7">
      <w:pPr>
        <w:pStyle w:val="TableofFigures"/>
        <w:tabs>
          <w:tab w:val="right" w:leader="dot" w:pos="9350"/>
        </w:tabs>
        <w:rPr>
          <w:rStyle w:val="Hyperlink"/>
          <w:lang w:val="en-IN" w:eastAsia="en-IN"/>
        </w:rPr>
      </w:pPr>
      <w:hyperlink w:anchor="_Toc242554078" w:history="1">
        <w:r w:rsidRPr="00313050">
          <w:rPr>
            <w:rStyle w:val="Hyperlink"/>
          </w:rPr>
          <w:t>Table 4-5: Relationships between Tables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_Toc242554078 \h </w:instrText>
        </w:r>
        <w:r w:rsidRPr="00313050">
          <w:rPr>
            <w:rStyle w:val="Hyperlink"/>
            <w:webHidden/>
          </w:rPr>
        </w:r>
        <w:r w:rsidRPr="00313050">
          <w:rPr>
            <w:rStyle w:val="Hyperlink"/>
            <w:webHidden/>
          </w:rPr>
          <w:fldChar w:fldCharType="separate"/>
        </w:r>
        <w:r w:rsidR="00313050" w:rsidRPr="00313050">
          <w:rPr>
            <w:rStyle w:val="Hyperlink"/>
            <w:webHidden/>
          </w:rPr>
          <w:t>134</w:t>
        </w:r>
        <w:r w:rsidRPr="00313050">
          <w:rPr>
            <w:rStyle w:val="Hyperlink"/>
            <w:webHidden/>
          </w:rPr>
          <w:fldChar w:fldCharType="end"/>
        </w:r>
      </w:hyperlink>
    </w:p>
    <w:p w14:paraId="3902A4DC" w14:textId="193EDC66" w:rsidR="00FC42E7" w:rsidRPr="00313050" w:rsidRDefault="00FC42E7">
      <w:pPr>
        <w:pStyle w:val="TableofFigures"/>
        <w:tabs>
          <w:tab w:val="right" w:leader="dot" w:pos="9350"/>
        </w:tabs>
        <w:rPr>
          <w:rStyle w:val="Hyperlink"/>
          <w:lang w:val="en-IN" w:eastAsia="en-IN"/>
        </w:rPr>
      </w:pPr>
      <w:hyperlink w:anchor="_Toc242554079" w:history="1">
        <w:r w:rsidRPr="00313050">
          <w:rPr>
            <w:rStyle w:val="Hyperlink"/>
          </w:rPr>
          <w:t>Table 4-6: Key Power Query Transformations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_Toc242554079 \h </w:instrText>
        </w:r>
        <w:r w:rsidRPr="00313050">
          <w:rPr>
            <w:rStyle w:val="Hyperlink"/>
            <w:webHidden/>
          </w:rPr>
        </w:r>
        <w:r w:rsidRPr="00313050">
          <w:rPr>
            <w:rStyle w:val="Hyperlink"/>
            <w:webHidden/>
          </w:rPr>
          <w:fldChar w:fldCharType="separate"/>
        </w:r>
        <w:r w:rsidR="00313050" w:rsidRPr="00313050">
          <w:rPr>
            <w:rStyle w:val="Hyperlink"/>
            <w:webHidden/>
          </w:rPr>
          <w:t>135</w:t>
        </w:r>
        <w:r w:rsidRPr="00313050">
          <w:rPr>
            <w:rStyle w:val="Hyperlink"/>
            <w:webHidden/>
          </w:rPr>
          <w:fldChar w:fldCharType="end"/>
        </w:r>
      </w:hyperlink>
    </w:p>
    <w:p w14:paraId="357B7040" w14:textId="5AB60993" w:rsidR="00FC42E7" w:rsidRPr="00313050" w:rsidRDefault="00FC42E7">
      <w:pPr>
        <w:pStyle w:val="TableofFigures"/>
        <w:tabs>
          <w:tab w:val="right" w:leader="dot" w:pos="9350"/>
        </w:tabs>
        <w:rPr>
          <w:rStyle w:val="Hyperlink"/>
          <w:lang w:val="en-IN" w:eastAsia="en-IN"/>
        </w:rPr>
      </w:pPr>
      <w:hyperlink w:anchor="_Toc242554080" w:history="1">
        <w:r w:rsidRPr="00313050">
          <w:rPr>
            <w:rStyle w:val="Hyperlink"/>
          </w:rPr>
          <w:t>Table 4-7: Common DAX Measures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_Toc242554080 \h </w:instrText>
        </w:r>
        <w:r w:rsidRPr="00313050">
          <w:rPr>
            <w:rStyle w:val="Hyperlink"/>
            <w:webHidden/>
          </w:rPr>
        </w:r>
        <w:r w:rsidRPr="00313050">
          <w:rPr>
            <w:rStyle w:val="Hyperlink"/>
            <w:webHidden/>
          </w:rPr>
          <w:fldChar w:fldCharType="separate"/>
        </w:r>
        <w:r w:rsidR="00313050" w:rsidRPr="00313050">
          <w:rPr>
            <w:rStyle w:val="Hyperlink"/>
            <w:webHidden/>
          </w:rPr>
          <w:t>135</w:t>
        </w:r>
        <w:r w:rsidRPr="00313050">
          <w:rPr>
            <w:rStyle w:val="Hyperlink"/>
            <w:webHidden/>
          </w:rPr>
          <w:fldChar w:fldCharType="end"/>
        </w:r>
      </w:hyperlink>
    </w:p>
    <w:p w14:paraId="5B8E2968" w14:textId="5FEDDED9" w:rsidR="00FC42E7" w:rsidRPr="00313050" w:rsidRDefault="00FC42E7">
      <w:pPr>
        <w:pStyle w:val="TableofFigures"/>
        <w:tabs>
          <w:tab w:val="right" w:leader="dot" w:pos="9350"/>
        </w:tabs>
        <w:rPr>
          <w:rStyle w:val="Hyperlink"/>
          <w:lang w:val="en-IN" w:eastAsia="en-IN"/>
        </w:rPr>
      </w:pPr>
      <w:hyperlink w:anchor="_Toc242554081" w:history="1">
        <w:r w:rsidRPr="00313050">
          <w:rPr>
            <w:rStyle w:val="Hyperlink"/>
          </w:rPr>
          <w:t>Table 4-8: Refinery-Wide Dashboard Report Pages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_Toc242554081 \h </w:instrText>
        </w:r>
        <w:r w:rsidRPr="00313050">
          <w:rPr>
            <w:rStyle w:val="Hyperlink"/>
            <w:webHidden/>
          </w:rPr>
        </w:r>
        <w:r w:rsidRPr="00313050">
          <w:rPr>
            <w:rStyle w:val="Hyperlink"/>
            <w:webHidden/>
          </w:rPr>
          <w:fldChar w:fldCharType="separate"/>
        </w:r>
        <w:r w:rsidR="00313050" w:rsidRPr="00313050">
          <w:rPr>
            <w:rStyle w:val="Hyperlink"/>
            <w:webHidden/>
          </w:rPr>
          <w:t>136</w:t>
        </w:r>
        <w:r w:rsidRPr="00313050">
          <w:rPr>
            <w:rStyle w:val="Hyperlink"/>
            <w:webHidden/>
          </w:rPr>
          <w:fldChar w:fldCharType="end"/>
        </w:r>
      </w:hyperlink>
    </w:p>
    <w:p w14:paraId="77D752AB" w14:textId="1C7AB09F" w:rsidR="00FC42E7" w:rsidRPr="00313050" w:rsidRDefault="00FC42E7">
      <w:pPr>
        <w:pStyle w:val="TableofFigures"/>
        <w:tabs>
          <w:tab w:val="right" w:leader="dot" w:pos="9350"/>
        </w:tabs>
        <w:rPr>
          <w:rStyle w:val="Hyperlink"/>
          <w:lang w:val="en-IN" w:eastAsia="en-IN"/>
        </w:rPr>
      </w:pPr>
      <w:hyperlink w:anchor="_Toc242554082" w:history="1">
        <w:r w:rsidRPr="00313050">
          <w:rPr>
            <w:rStyle w:val="Hyperlink"/>
          </w:rPr>
          <w:t>Table 4-9: Refinery-Wide Dashboard Data Source Overview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_Toc242554082 \h </w:instrText>
        </w:r>
        <w:r w:rsidRPr="00313050">
          <w:rPr>
            <w:rStyle w:val="Hyperlink"/>
            <w:webHidden/>
          </w:rPr>
        </w:r>
        <w:r w:rsidRPr="00313050">
          <w:rPr>
            <w:rStyle w:val="Hyperlink"/>
            <w:webHidden/>
          </w:rPr>
          <w:fldChar w:fldCharType="separate"/>
        </w:r>
        <w:r w:rsidR="00313050" w:rsidRPr="00313050">
          <w:rPr>
            <w:rStyle w:val="Hyperlink"/>
            <w:webHidden/>
          </w:rPr>
          <w:t>137</w:t>
        </w:r>
        <w:r w:rsidRPr="00313050">
          <w:rPr>
            <w:rStyle w:val="Hyperlink"/>
            <w:webHidden/>
          </w:rPr>
          <w:fldChar w:fldCharType="end"/>
        </w:r>
      </w:hyperlink>
    </w:p>
    <w:p w14:paraId="1A8B6CCC" w14:textId="793C5910" w:rsidR="00FC42E7" w:rsidRPr="00313050" w:rsidRDefault="00FC42E7">
      <w:pPr>
        <w:pStyle w:val="TableofFigures"/>
        <w:tabs>
          <w:tab w:val="right" w:leader="dot" w:pos="9350"/>
        </w:tabs>
        <w:rPr>
          <w:rStyle w:val="Hyperlink"/>
          <w:lang w:val="en-IN" w:eastAsia="en-IN"/>
        </w:rPr>
      </w:pPr>
      <w:hyperlink w:anchor="_Toc242554083" w:history="1">
        <w:r w:rsidRPr="00313050">
          <w:rPr>
            <w:rStyle w:val="Hyperlink"/>
          </w:rPr>
          <w:t>Table 4-10: Refinery-Wide Dashboard Event Type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_Toc242554083 \h </w:instrText>
        </w:r>
        <w:r w:rsidRPr="00313050">
          <w:rPr>
            <w:rStyle w:val="Hyperlink"/>
            <w:webHidden/>
          </w:rPr>
        </w:r>
        <w:r w:rsidRPr="00313050">
          <w:rPr>
            <w:rStyle w:val="Hyperlink"/>
            <w:webHidden/>
          </w:rPr>
          <w:fldChar w:fldCharType="separate"/>
        </w:r>
        <w:r w:rsidR="00313050" w:rsidRPr="00313050">
          <w:rPr>
            <w:rStyle w:val="Hyperlink"/>
            <w:webHidden/>
          </w:rPr>
          <w:t>137</w:t>
        </w:r>
        <w:r w:rsidRPr="00313050">
          <w:rPr>
            <w:rStyle w:val="Hyperlink"/>
            <w:webHidden/>
          </w:rPr>
          <w:fldChar w:fldCharType="end"/>
        </w:r>
      </w:hyperlink>
    </w:p>
    <w:p w14:paraId="71D99F8E" w14:textId="7741C081" w:rsidR="00FC42E7" w:rsidRPr="00313050" w:rsidRDefault="00FC42E7">
      <w:pPr>
        <w:pStyle w:val="TableofFigures"/>
        <w:tabs>
          <w:tab w:val="right" w:leader="dot" w:pos="9350"/>
        </w:tabs>
        <w:rPr>
          <w:rStyle w:val="Hyperlink"/>
          <w:lang w:val="en-IN" w:eastAsia="en-IN"/>
        </w:rPr>
      </w:pPr>
      <w:hyperlink w:anchor="_Toc242554084" w:history="1">
        <w:r w:rsidRPr="00313050">
          <w:rPr>
            <w:rStyle w:val="Hyperlink"/>
          </w:rPr>
          <w:t>Table 4-11: Refinery-Wide Dashboard Backend Field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_Toc242554084 \h </w:instrText>
        </w:r>
        <w:r w:rsidRPr="00313050">
          <w:rPr>
            <w:rStyle w:val="Hyperlink"/>
            <w:webHidden/>
          </w:rPr>
        </w:r>
        <w:r w:rsidRPr="00313050">
          <w:rPr>
            <w:rStyle w:val="Hyperlink"/>
            <w:webHidden/>
          </w:rPr>
          <w:fldChar w:fldCharType="separate"/>
        </w:r>
        <w:r w:rsidR="00313050" w:rsidRPr="00313050">
          <w:rPr>
            <w:rStyle w:val="Hyperlink"/>
            <w:webHidden/>
          </w:rPr>
          <w:t>138</w:t>
        </w:r>
        <w:r w:rsidRPr="00313050">
          <w:rPr>
            <w:rStyle w:val="Hyperlink"/>
            <w:webHidden/>
          </w:rPr>
          <w:fldChar w:fldCharType="end"/>
        </w:r>
      </w:hyperlink>
    </w:p>
    <w:p w14:paraId="39367E10" w14:textId="61C43692" w:rsidR="00FC42E7" w:rsidRPr="00313050" w:rsidRDefault="00FC42E7">
      <w:pPr>
        <w:pStyle w:val="TableofFigures"/>
        <w:tabs>
          <w:tab w:val="right" w:leader="dot" w:pos="9350"/>
        </w:tabs>
        <w:rPr>
          <w:rStyle w:val="Hyperlink"/>
          <w:lang w:val="en-IN" w:eastAsia="en-IN"/>
        </w:rPr>
      </w:pPr>
      <w:hyperlink w:anchor="_Toc242554085" w:history="1">
        <w:r w:rsidRPr="00313050">
          <w:rPr>
            <w:rStyle w:val="Hyperlink"/>
          </w:rPr>
          <w:t>Table 4-12: Refinery-Wide Dashboard Power Query Transformations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_Toc242554085 \h </w:instrText>
        </w:r>
        <w:r w:rsidRPr="00313050">
          <w:rPr>
            <w:rStyle w:val="Hyperlink"/>
            <w:webHidden/>
          </w:rPr>
        </w:r>
        <w:r w:rsidRPr="00313050">
          <w:rPr>
            <w:rStyle w:val="Hyperlink"/>
            <w:webHidden/>
          </w:rPr>
          <w:fldChar w:fldCharType="separate"/>
        </w:r>
        <w:r w:rsidR="00313050" w:rsidRPr="00313050">
          <w:rPr>
            <w:rStyle w:val="Hyperlink"/>
            <w:webHidden/>
          </w:rPr>
          <w:t>138</w:t>
        </w:r>
        <w:r w:rsidRPr="00313050">
          <w:rPr>
            <w:rStyle w:val="Hyperlink"/>
            <w:webHidden/>
          </w:rPr>
          <w:fldChar w:fldCharType="end"/>
        </w:r>
      </w:hyperlink>
    </w:p>
    <w:p w14:paraId="7A8F0460" w14:textId="4B71C27C" w:rsidR="00FC42E7" w:rsidRPr="00313050" w:rsidRDefault="00FC42E7">
      <w:pPr>
        <w:pStyle w:val="TableofFigures"/>
        <w:tabs>
          <w:tab w:val="right" w:leader="dot" w:pos="9350"/>
        </w:tabs>
        <w:rPr>
          <w:rStyle w:val="Hyperlink"/>
          <w:lang w:val="en-IN" w:eastAsia="en-IN"/>
        </w:rPr>
      </w:pPr>
      <w:hyperlink w:anchor="_Toc242554086" w:history="1">
        <w:r w:rsidRPr="00313050">
          <w:rPr>
            <w:rStyle w:val="Hyperlink"/>
          </w:rPr>
          <w:t>Table 4-13: Refinery-Wide Dashboard Tables / Views Loaded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_Toc242554086 \h </w:instrText>
        </w:r>
        <w:r w:rsidRPr="00313050">
          <w:rPr>
            <w:rStyle w:val="Hyperlink"/>
            <w:webHidden/>
          </w:rPr>
        </w:r>
        <w:r w:rsidRPr="00313050">
          <w:rPr>
            <w:rStyle w:val="Hyperlink"/>
            <w:webHidden/>
          </w:rPr>
          <w:fldChar w:fldCharType="separate"/>
        </w:r>
        <w:r w:rsidR="00313050" w:rsidRPr="00313050">
          <w:rPr>
            <w:rStyle w:val="Hyperlink"/>
            <w:webHidden/>
          </w:rPr>
          <w:t>139</w:t>
        </w:r>
        <w:r w:rsidRPr="00313050">
          <w:rPr>
            <w:rStyle w:val="Hyperlink"/>
            <w:webHidden/>
          </w:rPr>
          <w:fldChar w:fldCharType="end"/>
        </w:r>
      </w:hyperlink>
    </w:p>
    <w:p w14:paraId="5BA7CB89" w14:textId="172A18B8" w:rsidR="00FC42E7" w:rsidRPr="00313050" w:rsidRDefault="00FC42E7">
      <w:pPr>
        <w:pStyle w:val="TableofFigures"/>
        <w:tabs>
          <w:tab w:val="right" w:leader="dot" w:pos="9350"/>
        </w:tabs>
        <w:rPr>
          <w:rStyle w:val="Hyperlink"/>
          <w:lang w:val="en-IN" w:eastAsia="en-IN"/>
        </w:rPr>
      </w:pPr>
      <w:hyperlink w:anchor="_Toc242554087" w:history="1">
        <w:r w:rsidRPr="00313050">
          <w:rPr>
            <w:rStyle w:val="Hyperlink"/>
          </w:rPr>
          <w:t>Table 4-14: Refinery-Wide Dashboard Relationships between Tables / Views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_Toc242554087 \h </w:instrText>
        </w:r>
        <w:r w:rsidRPr="00313050">
          <w:rPr>
            <w:rStyle w:val="Hyperlink"/>
            <w:webHidden/>
          </w:rPr>
        </w:r>
        <w:r w:rsidRPr="00313050">
          <w:rPr>
            <w:rStyle w:val="Hyperlink"/>
            <w:webHidden/>
          </w:rPr>
          <w:fldChar w:fldCharType="separate"/>
        </w:r>
        <w:r w:rsidR="00313050" w:rsidRPr="00313050">
          <w:rPr>
            <w:rStyle w:val="Hyperlink"/>
            <w:webHidden/>
          </w:rPr>
          <w:t>139</w:t>
        </w:r>
        <w:r w:rsidRPr="00313050">
          <w:rPr>
            <w:rStyle w:val="Hyperlink"/>
            <w:webHidden/>
          </w:rPr>
          <w:fldChar w:fldCharType="end"/>
        </w:r>
      </w:hyperlink>
    </w:p>
    <w:p w14:paraId="4F383FEE" w14:textId="3B6CA6DF" w:rsidR="00FC42E7" w:rsidRPr="00313050" w:rsidRDefault="00FC42E7">
      <w:pPr>
        <w:pStyle w:val="TableofFigures"/>
        <w:tabs>
          <w:tab w:val="right" w:leader="dot" w:pos="9350"/>
        </w:tabs>
        <w:rPr>
          <w:rStyle w:val="Hyperlink"/>
          <w:lang w:val="en-IN" w:eastAsia="en-IN"/>
        </w:rPr>
      </w:pPr>
      <w:hyperlink w:anchor="_Toc242554088" w:history="1">
        <w:r w:rsidRPr="00313050">
          <w:rPr>
            <w:rStyle w:val="Hyperlink"/>
          </w:rPr>
          <w:t>Table 4-15: Refinery-Wide Dashboard DAX Measures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_Toc242554088 \h </w:instrText>
        </w:r>
        <w:r w:rsidRPr="00313050">
          <w:rPr>
            <w:rStyle w:val="Hyperlink"/>
            <w:webHidden/>
          </w:rPr>
        </w:r>
        <w:r w:rsidRPr="00313050">
          <w:rPr>
            <w:rStyle w:val="Hyperlink"/>
            <w:webHidden/>
          </w:rPr>
          <w:fldChar w:fldCharType="separate"/>
        </w:r>
        <w:r w:rsidR="00313050" w:rsidRPr="00313050">
          <w:rPr>
            <w:rStyle w:val="Hyperlink"/>
            <w:webHidden/>
          </w:rPr>
          <w:t>139</w:t>
        </w:r>
        <w:r w:rsidRPr="00313050">
          <w:rPr>
            <w:rStyle w:val="Hyperlink"/>
            <w:webHidden/>
          </w:rPr>
          <w:fldChar w:fldCharType="end"/>
        </w:r>
      </w:hyperlink>
    </w:p>
    <w:p w14:paraId="3BF95C49" w14:textId="2B9ADDAD" w:rsidR="00FC42E7" w:rsidRPr="00313050" w:rsidRDefault="00FC42E7">
      <w:pPr>
        <w:pStyle w:val="TableofFigures"/>
        <w:tabs>
          <w:tab w:val="right" w:leader="dot" w:pos="9350"/>
        </w:tabs>
        <w:rPr>
          <w:rStyle w:val="Hyperlink"/>
          <w:lang w:val="en-IN" w:eastAsia="en-IN"/>
        </w:rPr>
      </w:pPr>
      <w:hyperlink w:anchor="_Toc242554089" w:history="1">
        <w:r w:rsidRPr="00313050">
          <w:rPr>
            <w:rStyle w:val="Hyperlink"/>
          </w:rPr>
          <w:t>Table 4-16: Refinery-Wide Dashboard Power BI Attributes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_Toc242554089 \h </w:instrText>
        </w:r>
        <w:r w:rsidRPr="00313050">
          <w:rPr>
            <w:rStyle w:val="Hyperlink"/>
            <w:webHidden/>
          </w:rPr>
        </w:r>
        <w:r w:rsidRPr="00313050">
          <w:rPr>
            <w:rStyle w:val="Hyperlink"/>
            <w:webHidden/>
          </w:rPr>
          <w:fldChar w:fldCharType="separate"/>
        </w:r>
        <w:r w:rsidR="00313050" w:rsidRPr="00313050">
          <w:rPr>
            <w:rStyle w:val="Hyperlink"/>
            <w:webHidden/>
          </w:rPr>
          <w:t>140</w:t>
        </w:r>
        <w:r w:rsidRPr="00313050">
          <w:rPr>
            <w:rStyle w:val="Hyperlink"/>
            <w:webHidden/>
          </w:rPr>
          <w:fldChar w:fldCharType="end"/>
        </w:r>
      </w:hyperlink>
    </w:p>
    <w:p w14:paraId="4EEEB367" w14:textId="3628EB2E" w:rsidR="00FC42E7" w:rsidRPr="00313050" w:rsidRDefault="00FC42E7">
      <w:pPr>
        <w:pStyle w:val="TableofFigures"/>
        <w:tabs>
          <w:tab w:val="right" w:leader="dot" w:pos="9350"/>
        </w:tabs>
        <w:rPr>
          <w:rStyle w:val="Hyperlink"/>
          <w:lang w:val="en-IN" w:eastAsia="en-IN"/>
        </w:rPr>
      </w:pPr>
      <w:hyperlink w:anchor="_Toc242554090" w:history="1">
        <w:r w:rsidRPr="00313050">
          <w:rPr>
            <w:rStyle w:val="Hyperlink"/>
          </w:rPr>
          <w:t>Table 4-17: Blending Potential Dashboard Report Pages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_Toc242554090 \h </w:instrText>
        </w:r>
        <w:r w:rsidRPr="00313050">
          <w:rPr>
            <w:rStyle w:val="Hyperlink"/>
            <w:webHidden/>
          </w:rPr>
        </w:r>
        <w:r w:rsidRPr="00313050">
          <w:rPr>
            <w:rStyle w:val="Hyperlink"/>
            <w:webHidden/>
          </w:rPr>
          <w:fldChar w:fldCharType="separate"/>
        </w:r>
        <w:r w:rsidR="00313050" w:rsidRPr="00313050">
          <w:rPr>
            <w:rStyle w:val="Hyperlink"/>
            <w:webHidden/>
          </w:rPr>
          <w:t>141</w:t>
        </w:r>
        <w:r w:rsidRPr="00313050">
          <w:rPr>
            <w:rStyle w:val="Hyperlink"/>
            <w:webHidden/>
          </w:rPr>
          <w:fldChar w:fldCharType="end"/>
        </w:r>
      </w:hyperlink>
    </w:p>
    <w:p w14:paraId="36655A4C" w14:textId="1A5060C2" w:rsidR="00FC42E7" w:rsidRPr="00313050" w:rsidRDefault="00FC42E7">
      <w:pPr>
        <w:pStyle w:val="TableofFigures"/>
        <w:tabs>
          <w:tab w:val="right" w:leader="dot" w:pos="9350"/>
        </w:tabs>
        <w:rPr>
          <w:rStyle w:val="Hyperlink"/>
          <w:lang w:val="en-IN" w:eastAsia="en-IN"/>
        </w:rPr>
      </w:pPr>
      <w:hyperlink w:anchor="_Toc242554091" w:history="1">
        <w:r w:rsidRPr="00313050">
          <w:rPr>
            <w:rStyle w:val="Hyperlink"/>
          </w:rPr>
          <w:t>Table 4-18: Blending Potential Dashboard Data Source Overview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_Toc242554091 \h </w:instrText>
        </w:r>
        <w:r w:rsidRPr="00313050">
          <w:rPr>
            <w:rStyle w:val="Hyperlink"/>
            <w:webHidden/>
          </w:rPr>
        </w:r>
        <w:r w:rsidRPr="00313050">
          <w:rPr>
            <w:rStyle w:val="Hyperlink"/>
            <w:webHidden/>
          </w:rPr>
          <w:fldChar w:fldCharType="separate"/>
        </w:r>
        <w:r w:rsidR="00313050" w:rsidRPr="00313050">
          <w:rPr>
            <w:rStyle w:val="Hyperlink"/>
            <w:webHidden/>
          </w:rPr>
          <w:t>142</w:t>
        </w:r>
        <w:r w:rsidRPr="00313050">
          <w:rPr>
            <w:rStyle w:val="Hyperlink"/>
            <w:webHidden/>
          </w:rPr>
          <w:fldChar w:fldCharType="end"/>
        </w:r>
      </w:hyperlink>
    </w:p>
    <w:p w14:paraId="6945F451" w14:textId="525206CE" w:rsidR="00FC42E7" w:rsidRPr="00313050" w:rsidRDefault="00FC42E7">
      <w:pPr>
        <w:pStyle w:val="TableofFigures"/>
        <w:tabs>
          <w:tab w:val="right" w:leader="dot" w:pos="9350"/>
        </w:tabs>
        <w:rPr>
          <w:rStyle w:val="Hyperlink"/>
          <w:lang w:val="en-IN" w:eastAsia="en-IN"/>
        </w:rPr>
      </w:pPr>
      <w:hyperlink w:anchor="_Toc242554092" w:history="1">
        <w:r w:rsidRPr="00313050">
          <w:rPr>
            <w:rStyle w:val="Hyperlink"/>
          </w:rPr>
          <w:t>Table 4-19: Blending Potential Dashboard Backend Field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_Toc242554092 \h </w:instrText>
        </w:r>
        <w:r w:rsidRPr="00313050">
          <w:rPr>
            <w:rStyle w:val="Hyperlink"/>
            <w:webHidden/>
          </w:rPr>
        </w:r>
        <w:r w:rsidRPr="00313050">
          <w:rPr>
            <w:rStyle w:val="Hyperlink"/>
            <w:webHidden/>
          </w:rPr>
          <w:fldChar w:fldCharType="separate"/>
        </w:r>
        <w:r w:rsidR="00313050" w:rsidRPr="00313050">
          <w:rPr>
            <w:rStyle w:val="Hyperlink"/>
            <w:webHidden/>
          </w:rPr>
          <w:t>142</w:t>
        </w:r>
        <w:r w:rsidRPr="00313050">
          <w:rPr>
            <w:rStyle w:val="Hyperlink"/>
            <w:webHidden/>
          </w:rPr>
          <w:fldChar w:fldCharType="end"/>
        </w:r>
      </w:hyperlink>
    </w:p>
    <w:p w14:paraId="3BBAB80B" w14:textId="1B8DC220" w:rsidR="00FC42E7" w:rsidRPr="00313050" w:rsidRDefault="00FC42E7">
      <w:pPr>
        <w:pStyle w:val="TableofFigures"/>
        <w:tabs>
          <w:tab w:val="right" w:leader="dot" w:pos="9350"/>
        </w:tabs>
        <w:rPr>
          <w:rStyle w:val="Hyperlink"/>
          <w:lang w:val="en-IN" w:eastAsia="en-IN"/>
        </w:rPr>
      </w:pPr>
      <w:hyperlink w:anchor="_Toc242554093" w:history="1">
        <w:r w:rsidRPr="00313050">
          <w:rPr>
            <w:rStyle w:val="Hyperlink"/>
          </w:rPr>
          <w:t>Table 4-20: Blending Potential Dashboard DAX Measures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_Toc242554093 \h </w:instrText>
        </w:r>
        <w:r w:rsidRPr="00313050">
          <w:rPr>
            <w:rStyle w:val="Hyperlink"/>
            <w:webHidden/>
          </w:rPr>
        </w:r>
        <w:r w:rsidRPr="00313050">
          <w:rPr>
            <w:rStyle w:val="Hyperlink"/>
            <w:webHidden/>
          </w:rPr>
          <w:fldChar w:fldCharType="separate"/>
        </w:r>
        <w:r w:rsidR="00313050" w:rsidRPr="00313050">
          <w:rPr>
            <w:rStyle w:val="Hyperlink"/>
            <w:webHidden/>
          </w:rPr>
          <w:t>143</w:t>
        </w:r>
        <w:r w:rsidRPr="00313050">
          <w:rPr>
            <w:rStyle w:val="Hyperlink"/>
            <w:webHidden/>
          </w:rPr>
          <w:fldChar w:fldCharType="end"/>
        </w:r>
      </w:hyperlink>
    </w:p>
    <w:p w14:paraId="05335810" w14:textId="69F7AABF" w:rsidR="00FC42E7" w:rsidRPr="00313050" w:rsidRDefault="00FC42E7">
      <w:pPr>
        <w:pStyle w:val="TableofFigures"/>
        <w:tabs>
          <w:tab w:val="right" w:leader="dot" w:pos="9350"/>
        </w:tabs>
        <w:rPr>
          <w:rStyle w:val="Hyperlink"/>
          <w:lang w:val="en-IN" w:eastAsia="en-IN"/>
        </w:rPr>
      </w:pPr>
      <w:hyperlink w:anchor="_Toc242554094" w:history="1">
        <w:r w:rsidRPr="00313050">
          <w:rPr>
            <w:rStyle w:val="Hyperlink"/>
          </w:rPr>
          <w:t>Table 4-21: Blending Potential Dashboard Power Query Transformations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_Toc242554094 \h </w:instrText>
        </w:r>
        <w:r w:rsidRPr="00313050">
          <w:rPr>
            <w:rStyle w:val="Hyperlink"/>
            <w:webHidden/>
          </w:rPr>
        </w:r>
        <w:r w:rsidRPr="00313050">
          <w:rPr>
            <w:rStyle w:val="Hyperlink"/>
            <w:webHidden/>
          </w:rPr>
          <w:fldChar w:fldCharType="separate"/>
        </w:r>
        <w:r w:rsidR="00313050" w:rsidRPr="00313050">
          <w:rPr>
            <w:rStyle w:val="Hyperlink"/>
            <w:webHidden/>
          </w:rPr>
          <w:t>143</w:t>
        </w:r>
        <w:r w:rsidRPr="00313050">
          <w:rPr>
            <w:rStyle w:val="Hyperlink"/>
            <w:webHidden/>
          </w:rPr>
          <w:fldChar w:fldCharType="end"/>
        </w:r>
      </w:hyperlink>
    </w:p>
    <w:p w14:paraId="547ABF91" w14:textId="7BD8B01E" w:rsidR="00FC42E7" w:rsidRPr="00313050" w:rsidRDefault="00FC42E7">
      <w:pPr>
        <w:pStyle w:val="TableofFigures"/>
        <w:tabs>
          <w:tab w:val="right" w:leader="dot" w:pos="9350"/>
        </w:tabs>
        <w:rPr>
          <w:rStyle w:val="Hyperlink"/>
          <w:lang w:val="en-IN" w:eastAsia="en-IN"/>
        </w:rPr>
      </w:pPr>
      <w:hyperlink w:anchor="_Toc242554095" w:history="1">
        <w:r w:rsidRPr="00313050">
          <w:rPr>
            <w:rStyle w:val="Hyperlink"/>
          </w:rPr>
          <w:t>Table 4-22: Blending Potential Dashboard Tables / Views Loaded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_Toc242554095 \h </w:instrText>
        </w:r>
        <w:r w:rsidRPr="00313050">
          <w:rPr>
            <w:rStyle w:val="Hyperlink"/>
            <w:webHidden/>
          </w:rPr>
        </w:r>
        <w:r w:rsidRPr="00313050">
          <w:rPr>
            <w:rStyle w:val="Hyperlink"/>
            <w:webHidden/>
          </w:rPr>
          <w:fldChar w:fldCharType="separate"/>
        </w:r>
        <w:r w:rsidR="00313050" w:rsidRPr="00313050">
          <w:rPr>
            <w:rStyle w:val="Hyperlink"/>
            <w:webHidden/>
          </w:rPr>
          <w:t>144</w:t>
        </w:r>
        <w:r w:rsidRPr="00313050">
          <w:rPr>
            <w:rStyle w:val="Hyperlink"/>
            <w:webHidden/>
          </w:rPr>
          <w:fldChar w:fldCharType="end"/>
        </w:r>
      </w:hyperlink>
    </w:p>
    <w:p w14:paraId="04141364" w14:textId="08E3C63D" w:rsidR="00FC42E7" w:rsidRPr="00313050" w:rsidRDefault="00FC42E7">
      <w:pPr>
        <w:pStyle w:val="TableofFigures"/>
        <w:tabs>
          <w:tab w:val="right" w:leader="dot" w:pos="9350"/>
        </w:tabs>
        <w:rPr>
          <w:rStyle w:val="Hyperlink"/>
          <w:lang w:val="en-IN" w:eastAsia="en-IN"/>
        </w:rPr>
      </w:pPr>
      <w:hyperlink w:anchor="_Toc242554096" w:history="1">
        <w:r w:rsidRPr="00313050">
          <w:rPr>
            <w:rStyle w:val="Hyperlink"/>
          </w:rPr>
          <w:t>Table 4-23: Blending Potential Dashboard Relationships between Tables / Views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_Toc242554096 \h </w:instrText>
        </w:r>
        <w:r w:rsidRPr="00313050">
          <w:rPr>
            <w:rStyle w:val="Hyperlink"/>
            <w:webHidden/>
          </w:rPr>
        </w:r>
        <w:r w:rsidRPr="00313050">
          <w:rPr>
            <w:rStyle w:val="Hyperlink"/>
            <w:webHidden/>
          </w:rPr>
          <w:fldChar w:fldCharType="separate"/>
        </w:r>
        <w:r w:rsidR="00313050" w:rsidRPr="00313050">
          <w:rPr>
            <w:rStyle w:val="Hyperlink"/>
            <w:webHidden/>
          </w:rPr>
          <w:t>144</w:t>
        </w:r>
        <w:r w:rsidRPr="00313050">
          <w:rPr>
            <w:rStyle w:val="Hyperlink"/>
            <w:webHidden/>
          </w:rPr>
          <w:fldChar w:fldCharType="end"/>
        </w:r>
      </w:hyperlink>
    </w:p>
    <w:p w14:paraId="1138A485" w14:textId="5E5EE6D8" w:rsidR="00FC42E7" w:rsidRPr="00313050" w:rsidRDefault="00FC42E7">
      <w:pPr>
        <w:pStyle w:val="TableofFigures"/>
        <w:tabs>
          <w:tab w:val="right" w:leader="dot" w:pos="9350"/>
        </w:tabs>
        <w:rPr>
          <w:rStyle w:val="Hyperlink"/>
          <w:lang w:val="en-IN" w:eastAsia="en-IN"/>
        </w:rPr>
      </w:pPr>
      <w:hyperlink w:anchor="_Toc242554097" w:history="1">
        <w:r w:rsidRPr="00313050">
          <w:rPr>
            <w:rStyle w:val="Hyperlink"/>
          </w:rPr>
          <w:t>Table 4-24: Blending Potential Dashboard Power BI Attributes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_Toc242554097 \h </w:instrText>
        </w:r>
        <w:r w:rsidRPr="00313050">
          <w:rPr>
            <w:rStyle w:val="Hyperlink"/>
            <w:webHidden/>
          </w:rPr>
        </w:r>
        <w:r w:rsidRPr="00313050">
          <w:rPr>
            <w:rStyle w:val="Hyperlink"/>
            <w:webHidden/>
          </w:rPr>
          <w:fldChar w:fldCharType="separate"/>
        </w:r>
        <w:r w:rsidR="00313050" w:rsidRPr="00313050">
          <w:rPr>
            <w:rStyle w:val="Hyperlink"/>
            <w:webHidden/>
          </w:rPr>
          <w:t>145</w:t>
        </w:r>
        <w:r w:rsidRPr="00313050">
          <w:rPr>
            <w:rStyle w:val="Hyperlink"/>
            <w:webHidden/>
          </w:rPr>
          <w:fldChar w:fldCharType="end"/>
        </w:r>
      </w:hyperlink>
    </w:p>
    <w:p w14:paraId="450C36D7" w14:textId="48907B2E" w:rsidR="00FC42E7" w:rsidRPr="00313050" w:rsidRDefault="00FC42E7">
      <w:pPr>
        <w:pStyle w:val="TableofFigures"/>
        <w:tabs>
          <w:tab w:val="right" w:leader="dot" w:pos="9350"/>
        </w:tabs>
        <w:rPr>
          <w:rStyle w:val="Hyperlink"/>
          <w:lang w:val="en-IN" w:eastAsia="en-IN"/>
        </w:rPr>
      </w:pPr>
      <w:hyperlink w:anchor="_Toc242554098" w:history="1">
        <w:r w:rsidRPr="00313050">
          <w:rPr>
            <w:rStyle w:val="Hyperlink"/>
          </w:rPr>
          <w:t>Table 4-25: Distillate Dashboard Report Pages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_Toc242554098 \h </w:instrText>
        </w:r>
        <w:r w:rsidRPr="00313050">
          <w:rPr>
            <w:rStyle w:val="Hyperlink"/>
            <w:webHidden/>
          </w:rPr>
        </w:r>
        <w:r w:rsidRPr="00313050">
          <w:rPr>
            <w:rStyle w:val="Hyperlink"/>
            <w:webHidden/>
          </w:rPr>
          <w:fldChar w:fldCharType="separate"/>
        </w:r>
        <w:r w:rsidR="00313050" w:rsidRPr="00313050">
          <w:rPr>
            <w:rStyle w:val="Hyperlink"/>
            <w:webHidden/>
          </w:rPr>
          <w:t>146</w:t>
        </w:r>
        <w:r w:rsidRPr="00313050">
          <w:rPr>
            <w:rStyle w:val="Hyperlink"/>
            <w:webHidden/>
          </w:rPr>
          <w:fldChar w:fldCharType="end"/>
        </w:r>
      </w:hyperlink>
    </w:p>
    <w:p w14:paraId="00A0BC9D" w14:textId="18E8952A" w:rsidR="00FC42E7" w:rsidRPr="00313050" w:rsidRDefault="00FC42E7">
      <w:pPr>
        <w:pStyle w:val="TableofFigures"/>
        <w:tabs>
          <w:tab w:val="right" w:leader="dot" w:pos="9350"/>
        </w:tabs>
        <w:rPr>
          <w:rStyle w:val="Hyperlink"/>
          <w:lang w:val="en-IN" w:eastAsia="en-IN"/>
        </w:rPr>
      </w:pPr>
      <w:hyperlink w:anchor="_Toc242554099" w:history="1">
        <w:r w:rsidRPr="00313050">
          <w:rPr>
            <w:rStyle w:val="Hyperlink"/>
          </w:rPr>
          <w:t>Table 4-26: Distillate Dashboard Data Source Overview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_Toc242554099 \h </w:instrText>
        </w:r>
        <w:r w:rsidRPr="00313050">
          <w:rPr>
            <w:rStyle w:val="Hyperlink"/>
            <w:webHidden/>
          </w:rPr>
        </w:r>
        <w:r w:rsidRPr="00313050">
          <w:rPr>
            <w:rStyle w:val="Hyperlink"/>
            <w:webHidden/>
          </w:rPr>
          <w:fldChar w:fldCharType="separate"/>
        </w:r>
        <w:r w:rsidR="00313050" w:rsidRPr="00313050">
          <w:rPr>
            <w:rStyle w:val="Hyperlink"/>
            <w:webHidden/>
          </w:rPr>
          <w:t>146</w:t>
        </w:r>
        <w:r w:rsidRPr="00313050">
          <w:rPr>
            <w:rStyle w:val="Hyperlink"/>
            <w:webHidden/>
          </w:rPr>
          <w:fldChar w:fldCharType="end"/>
        </w:r>
      </w:hyperlink>
    </w:p>
    <w:p w14:paraId="41EE4368" w14:textId="6D81F8AA" w:rsidR="00FC42E7" w:rsidRPr="00313050" w:rsidRDefault="00FC42E7">
      <w:pPr>
        <w:pStyle w:val="TableofFigures"/>
        <w:tabs>
          <w:tab w:val="right" w:leader="dot" w:pos="9350"/>
        </w:tabs>
        <w:rPr>
          <w:rStyle w:val="Hyperlink"/>
          <w:lang w:val="en-IN" w:eastAsia="en-IN"/>
        </w:rPr>
      </w:pPr>
      <w:hyperlink w:anchor="_Toc242554100" w:history="1">
        <w:r w:rsidRPr="00313050">
          <w:rPr>
            <w:rStyle w:val="Hyperlink"/>
          </w:rPr>
          <w:t>Table 4-27: Distillate Dashboard Backend Field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_Toc242554100 \h </w:instrText>
        </w:r>
        <w:r w:rsidRPr="00313050">
          <w:rPr>
            <w:rStyle w:val="Hyperlink"/>
            <w:webHidden/>
          </w:rPr>
        </w:r>
        <w:r w:rsidRPr="00313050">
          <w:rPr>
            <w:rStyle w:val="Hyperlink"/>
            <w:webHidden/>
          </w:rPr>
          <w:fldChar w:fldCharType="separate"/>
        </w:r>
        <w:r w:rsidR="00313050" w:rsidRPr="00313050">
          <w:rPr>
            <w:rStyle w:val="Hyperlink"/>
            <w:webHidden/>
          </w:rPr>
          <w:t>147</w:t>
        </w:r>
        <w:r w:rsidRPr="00313050">
          <w:rPr>
            <w:rStyle w:val="Hyperlink"/>
            <w:webHidden/>
          </w:rPr>
          <w:fldChar w:fldCharType="end"/>
        </w:r>
      </w:hyperlink>
    </w:p>
    <w:p w14:paraId="6C9CB918" w14:textId="61047B76" w:rsidR="00FC42E7" w:rsidRPr="00313050" w:rsidRDefault="00FC42E7">
      <w:pPr>
        <w:pStyle w:val="TableofFigures"/>
        <w:tabs>
          <w:tab w:val="right" w:leader="dot" w:pos="9350"/>
        </w:tabs>
        <w:rPr>
          <w:rStyle w:val="Hyperlink"/>
          <w:lang w:val="en-IN" w:eastAsia="en-IN"/>
        </w:rPr>
      </w:pPr>
      <w:hyperlink w:anchor="_Toc242554101" w:history="1">
        <w:r w:rsidRPr="00313050">
          <w:rPr>
            <w:rStyle w:val="Hyperlink"/>
          </w:rPr>
          <w:t>Table 4-28: Distillate Dashboard Power Query Transformations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_Toc242554101 \h </w:instrText>
        </w:r>
        <w:r w:rsidRPr="00313050">
          <w:rPr>
            <w:rStyle w:val="Hyperlink"/>
            <w:webHidden/>
          </w:rPr>
        </w:r>
        <w:r w:rsidRPr="00313050">
          <w:rPr>
            <w:rStyle w:val="Hyperlink"/>
            <w:webHidden/>
          </w:rPr>
          <w:fldChar w:fldCharType="separate"/>
        </w:r>
        <w:r w:rsidR="00313050" w:rsidRPr="00313050">
          <w:rPr>
            <w:rStyle w:val="Hyperlink"/>
            <w:webHidden/>
          </w:rPr>
          <w:t>147</w:t>
        </w:r>
        <w:r w:rsidRPr="00313050">
          <w:rPr>
            <w:rStyle w:val="Hyperlink"/>
            <w:webHidden/>
          </w:rPr>
          <w:fldChar w:fldCharType="end"/>
        </w:r>
      </w:hyperlink>
    </w:p>
    <w:p w14:paraId="5375BAD0" w14:textId="27795821" w:rsidR="00FC42E7" w:rsidRPr="00313050" w:rsidRDefault="00FC42E7">
      <w:pPr>
        <w:pStyle w:val="TableofFigures"/>
        <w:tabs>
          <w:tab w:val="right" w:leader="dot" w:pos="9350"/>
        </w:tabs>
        <w:rPr>
          <w:rStyle w:val="Hyperlink"/>
          <w:lang w:val="en-IN" w:eastAsia="en-IN"/>
        </w:rPr>
      </w:pPr>
      <w:hyperlink w:anchor="_Toc242554102" w:history="1">
        <w:r w:rsidRPr="00313050">
          <w:rPr>
            <w:rStyle w:val="Hyperlink"/>
          </w:rPr>
          <w:t>Table 4-29: Distillate Dashboard Tables / Views Loaded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_Toc242554102 \h </w:instrText>
        </w:r>
        <w:r w:rsidRPr="00313050">
          <w:rPr>
            <w:rStyle w:val="Hyperlink"/>
            <w:webHidden/>
          </w:rPr>
        </w:r>
        <w:r w:rsidRPr="00313050">
          <w:rPr>
            <w:rStyle w:val="Hyperlink"/>
            <w:webHidden/>
          </w:rPr>
          <w:fldChar w:fldCharType="separate"/>
        </w:r>
        <w:r w:rsidR="00313050" w:rsidRPr="00313050">
          <w:rPr>
            <w:rStyle w:val="Hyperlink"/>
            <w:webHidden/>
          </w:rPr>
          <w:t>147</w:t>
        </w:r>
        <w:r w:rsidRPr="00313050">
          <w:rPr>
            <w:rStyle w:val="Hyperlink"/>
            <w:webHidden/>
          </w:rPr>
          <w:fldChar w:fldCharType="end"/>
        </w:r>
      </w:hyperlink>
    </w:p>
    <w:p w14:paraId="668CA962" w14:textId="20F715D2" w:rsidR="00FC42E7" w:rsidRPr="00313050" w:rsidRDefault="00FC42E7">
      <w:pPr>
        <w:pStyle w:val="TableofFigures"/>
        <w:tabs>
          <w:tab w:val="right" w:leader="dot" w:pos="9350"/>
        </w:tabs>
        <w:rPr>
          <w:rStyle w:val="Hyperlink"/>
          <w:lang w:val="en-IN" w:eastAsia="en-IN"/>
        </w:rPr>
      </w:pPr>
      <w:hyperlink w:anchor="_Toc242554103" w:history="1">
        <w:r w:rsidRPr="00313050">
          <w:rPr>
            <w:rStyle w:val="Hyperlink"/>
          </w:rPr>
          <w:t>Table 4-30: Distillate Dashboard Relationships between Tables / Views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_Toc242554103 \h </w:instrText>
        </w:r>
        <w:r w:rsidRPr="00313050">
          <w:rPr>
            <w:rStyle w:val="Hyperlink"/>
            <w:webHidden/>
          </w:rPr>
        </w:r>
        <w:r w:rsidRPr="00313050">
          <w:rPr>
            <w:rStyle w:val="Hyperlink"/>
            <w:webHidden/>
          </w:rPr>
          <w:fldChar w:fldCharType="separate"/>
        </w:r>
        <w:r w:rsidR="00313050" w:rsidRPr="00313050">
          <w:rPr>
            <w:rStyle w:val="Hyperlink"/>
            <w:webHidden/>
          </w:rPr>
          <w:t>148</w:t>
        </w:r>
        <w:r w:rsidRPr="00313050">
          <w:rPr>
            <w:rStyle w:val="Hyperlink"/>
            <w:webHidden/>
          </w:rPr>
          <w:fldChar w:fldCharType="end"/>
        </w:r>
      </w:hyperlink>
    </w:p>
    <w:p w14:paraId="3D4AFD0D" w14:textId="41476D50" w:rsidR="00FC42E7" w:rsidRPr="00313050" w:rsidRDefault="00FC42E7">
      <w:pPr>
        <w:pStyle w:val="TableofFigures"/>
        <w:tabs>
          <w:tab w:val="right" w:leader="dot" w:pos="9350"/>
        </w:tabs>
        <w:rPr>
          <w:rStyle w:val="Hyperlink"/>
          <w:lang w:val="en-IN" w:eastAsia="en-IN"/>
        </w:rPr>
      </w:pPr>
      <w:hyperlink w:anchor="_Toc242554104" w:history="1">
        <w:r w:rsidRPr="00313050">
          <w:rPr>
            <w:rStyle w:val="Hyperlink"/>
          </w:rPr>
          <w:t>Table 4-31: Distillate Dashboard DAX Measures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_Toc242554104 \h </w:instrText>
        </w:r>
        <w:r w:rsidRPr="00313050">
          <w:rPr>
            <w:rStyle w:val="Hyperlink"/>
            <w:webHidden/>
          </w:rPr>
        </w:r>
        <w:r w:rsidRPr="00313050">
          <w:rPr>
            <w:rStyle w:val="Hyperlink"/>
            <w:webHidden/>
          </w:rPr>
          <w:fldChar w:fldCharType="separate"/>
        </w:r>
        <w:r w:rsidR="00313050" w:rsidRPr="00313050">
          <w:rPr>
            <w:rStyle w:val="Hyperlink"/>
            <w:webHidden/>
          </w:rPr>
          <w:t>148</w:t>
        </w:r>
        <w:r w:rsidRPr="00313050">
          <w:rPr>
            <w:rStyle w:val="Hyperlink"/>
            <w:webHidden/>
          </w:rPr>
          <w:fldChar w:fldCharType="end"/>
        </w:r>
      </w:hyperlink>
    </w:p>
    <w:p w14:paraId="62A4D946" w14:textId="13C4AEC4" w:rsidR="00FC42E7" w:rsidRPr="00313050" w:rsidRDefault="00FC42E7">
      <w:pPr>
        <w:pStyle w:val="TableofFigures"/>
        <w:tabs>
          <w:tab w:val="right" w:leader="dot" w:pos="9350"/>
        </w:tabs>
        <w:rPr>
          <w:rStyle w:val="Hyperlink"/>
          <w:lang w:val="en-IN" w:eastAsia="en-IN"/>
        </w:rPr>
      </w:pPr>
      <w:hyperlink w:anchor="_Toc242554105" w:history="1">
        <w:r w:rsidRPr="00313050">
          <w:rPr>
            <w:rStyle w:val="Hyperlink"/>
          </w:rPr>
          <w:t>Table 4-32: Distillate Dashboard Power BI Attributes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_Toc242554105 \h </w:instrText>
        </w:r>
        <w:r w:rsidRPr="00313050">
          <w:rPr>
            <w:rStyle w:val="Hyperlink"/>
            <w:webHidden/>
          </w:rPr>
        </w:r>
        <w:r w:rsidRPr="00313050">
          <w:rPr>
            <w:rStyle w:val="Hyperlink"/>
            <w:webHidden/>
          </w:rPr>
          <w:fldChar w:fldCharType="separate"/>
        </w:r>
        <w:r w:rsidR="00313050" w:rsidRPr="00313050">
          <w:rPr>
            <w:rStyle w:val="Hyperlink"/>
            <w:webHidden/>
          </w:rPr>
          <w:t>149</w:t>
        </w:r>
        <w:r w:rsidRPr="00313050">
          <w:rPr>
            <w:rStyle w:val="Hyperlink"/>
            <w:webHidden/>
          </w:rPr>
          <w:fldChar w:fldCharType="end"/>
        </w:r>
      </w:hyperlink>
    </w:p>
    <w:p w14:paraId="69304358" w14:textId="39C2B544" w:rsidR="00FC42E7" w:rsidRPr="00313050" w:rsidRDefault="00FC42E7">
      <w:pPr>
        <w:pStyle w:val="TableofFigures"/>
        <w:tabs>
          <w:tab w:val="right" w:leader="dot" w:pos="9350"/>
        </w:tabs>
        <w:rPr>
          <w:rStyle w:val="Hyperlink"/>
          <w:lang w:val="en-IN" w:eastAsia="en-IN"/>
        </w:rPr>
      </w:pPr>
      <w:hyperlink w:anchor="_Toc242554106" w:history="1">
        <w:r w:rsidRPr="00313050">
          <w:rPr>
            <w:rStyle w:val="Hyperlink"/>
          </w:rPr>
          <w:t>Table 4-33: Supply Dashboard Report Pages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_Toc242554106 \h </w:instrText>
        </w:r>
        <w:r w:rsidRPr="00313050">
          <w:rPr>
            <w:rStyle w:val="Hyperlink"/>
            <w:webHidden/>
          </w:rPr>
        </w:r>
        <w:r w:rsidRPr="00313050">
          <w:rPr>
            <w:rStyle w:val="Hyperlink"/>
            <w:webHidden/>
          </w:rPr>
          <w:fldChar w:fldCharType="separate"/>
        </w:r>
        <w:r w:rsidR="00313050" w:rsidRPr="00313050">
          <w:rPr>
            <w:rStyle w:val="Hyperlink"/>
            <w:webHidden/>
          </w:rPr>
          <w:t>149</w:t>
        </w:r>
        <w:r w:rsidRPr="00313050">
          <w:rPr>
            <w:rStyle w:val="Hyperlink"/>
            <w:webHidden/>
          </w:rPr>
          <w:fldChar w:fldCharType="end"/>
        </w:r>
      </w:hyperlink>
    </w:p>
    <w:p w14:paraId="7B94885E" w14:textId="3E6DCDDF" w:rsidR="00FC42E7" w:rsidRPr="00313050" w:rsidRDefault="00FC42E7">
      <w:pPr>
        <w:pStyle w:val="TableofFigures"/>
        <w:tabs>
          <w:tab w:val="right" w:leader="dot" w:pos="9350"/>
        </w:tabs>
        <w:rPr>
          <w:rStyle w:val="Hyperlink"/>
          <w:lang w:val="en-IN" w:eastAsia="en-IN"/>
        </w:rPr>
      </w:pPr>
      <w:hyperlink w:anchor="_Toc242554107" w:history="1">
        <w:r w:rsidRPr="00313050">
          <w:rPr>
            <w:rStyle w:val="Hyperlink"/>
          </w:rPr>
          <w:t>Table 4-34: Supply Dashboard Data Source Overview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_Toc242554107 \h </w:instrText>
        </w:r>
        <w:r w:rsidRPr="00313050">
          <w:rPr>
            <w:rStyle w:val="Hyperlink"/>
            <w:webHidden/>
          </w:rPr>
        </w:r>
        <w:r w:rsidRPr="00313050">
          <w:rPr>
            <w:rStyle w:val="Hyperlink"/>
            <w:webHidden/>
          </w:rPr>
          <w:fldChar w:fldCharType="separate"/>
        </w:r>
        <w:r w:rsidR="00313050" w:rsidRPr="00313050">
          <w:rPr>
            <w:rStyle w:val="Hyperlink"/>
            <w:webHidden/>
          </w:rPr>
          <w:t>150</w:t>
        </w:r>
        <w:r w:rsidRPr="00313050">
          <w:rPr>
            <w:rStyle w:val="Hyperlink"/>
            <w:webHidden/>
          </w:rPr>
          <w:fldChar w:fldCharType="end"/>
        </w:r>
      </w:hyperlink>
    </w:p>
    <w:p w14:paraId="0C407297" w14:textId="72502C8F" w:rsidR="00FC42E7" w:rsidRPr="00313050" w:rsidRDefault="00FC42E7">
      <w:pPr>
        <w:pStyle w:val="TableofFigures"/>
        <w:tabs>
          <w:tab w:val="right" w:leader="dot" w:pos="9350"/>
        </w:tabs>
        <w:rPr>
          <w:rStyle w:val="Hyperlink"/>
          <w:lang w:val="en-IN" w:eastAsia="en-IN"/>
        </w:rPr>
      </w:pPr>
      <w:hyperlink w:anchor="_Toc242554108" w:history="1">
        <w:r w:rsidRPr="00313050">
          <w:rPr>
            <w:rStyle w:val="Hyperlink"/>
          </w:rPr>
          <w:t>Table 4-35: Supply Dashboard Backend Field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_Toc242554108 \h </w:instrText>
        </w:r>
        <w:r w:rsidRPr="00313050">
          <w:rPr>
            <w:rStyle w:val="Hyperlink"/>
            <w:webHidden/>
          </w:rPr>
        </w:r>
        <w:r w:rsidRPr="00313050">
          <w:rPr>
            <w:rStyle w:val="Hyperlink"/>
            <w:webHidden/>
          </w:rPr>
          <w:fldChar w:fldCharType="separate"/>
        </w:r>
        <w:r w:rsidR="00313050" w:rsidRPr="00313050">
          <w:rPr>
            <w:rStyle w:val="Hyperlink"/>
            <w:webHidden/>
          </w:rPr>
          <w:t>150</w:t>
        </w:r>
        <w:r w:rsidRPr="00313050">
          <w:rPr>
            <w:rStyle w:val="Hyperlink"/>
            <w:webHidden/>
          </w:rPr>
          <w:fldChar w:fldCharType="end"/>
        </w:r>
      </w:hyperlink>
    </w:p>
    <w:p w14:paraId="1F78C8D3" w14:textId="640B1D0D" w:rsidR="00FC42E7" w:rsidRPr="00313050" w:rsidRDefault="00FC42E7">
      <w:pPr>
        <w:pStyle w:val="TableofFigures"/>
        <w:tabs>
          <w:tab w:val="right" w:leader="dot" w:pos="9350"/>
        </w:tabs>
        <w:rPr>
          <w:rStyle w:val="Hyperlink"/>
          <w:lang w:val="en-IN" w:eastAsia="en-IN"/>
        </w:rPr>
      </w:pPr>
      <w:hyperlink w:anchor="_Toc242554109" w:history="1">
        <w:r w:rsidRPr="00313050">
          <w:rPr>
            <w:rStyle w:val="Hyperlink"/>
          </w:rPr>
          <w:t>Table 4-36: Supply Dashboard DAX Measures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_Toc242554109 \h </w:instrText>
        </w:r>
        <w:r w:rsidRPr="00313050">
          <w:rPr>
            <w:rStyle w:val="Hyperlink"/>
            <w:webHidden/>
          </w:rPr>
        </w:r>
        <w:r w:rsidRPr="00313050">
          <w:rPr>
            <w:rStyle w:val="Hyperlink"/>
            <w:webHidden/>
          </w:rPr>
          <w:fldChar w:fldCharType="separate"/>
        </w:r>
        <w:r w:rsidR="00313050" w:rsidRPr="00313050">
          <w:rPr>
            <w:rStyle w:val="Hyperlink"/>
            <w:webHidden/>
          </w:rPr>
          <w:t>151</w:t>
        </w:r>
        <w:r w:rsidRPr="00313050">
          <w:rPr>
            <w:rStyle w:val="Hyperlink"/>
            <w:webHidden/>
          </w:rPr>
          <w:fldChar w:fldCharType="end"/>
        </w:r>
      </w:hyperlink>
    </w:p>
    <w:p w14:paraId="2913A74F" w14:textId="08D23612" w:rsidR="00FC42E7" w:rsidRPr="00313050" w:rsidRDefault="00FC42E7">
      <w:pPr>
        <w:pStyle w:val="TableofFigures"/>
        <w:tabs>
          <w:tab w:val="right" w:leader="dot" w:pos="9350"/>
        </w:tabs>
        <w:rPr>
          <w:rStyle w:val="Hyperlink"/>
          <w:lang w:val="en-IN" w:eastAsia="en-IN"/>
        </w:rPr>
      </w:pPr>
      <w:hyperlink w:anchor="_Toc242554110" w:history="1">
        <w:r w:rsidRPr="00313050">
          <w:rPr>
            <w:rStyle w:val="Hyperlink"/>
          </w:rPr>
          <w:t>Table 4-37: Supply Dashboard Power Query Transformations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_Toc242554110 \h </w:instrText>
        </w:r>
        <w:r w:rsidRPr="00313050">
          <w:rPr>
            <w:rStyle w:val="Hyperlink"/>
            <w:webHidden/>
          </w:rPr>
        </w:r>
        <w:r w:rsidRPr="00313050">
          <w:rPr>
            <w:rStyle w:val="Hyperlink"/>
            <w:webHidden/>
          </w:rPr>
          <w:fldChar w:fldCharType="separate"/>
        </w:r>
        <w:r w:rsidR="00313050" w:rsidRPr="00313050">
          <w:rPr>
            <w:rStyle w:val="Hyperlink"/>
            <w:webHidden/>
          </w:rPr>
          <w:t>151</w:t>
        </w:r>
        <w:r w:rsidRPr="00313050">
          <w:rPr>
            <w:rStyle w:val="Hyperlink"/>
            <w:webHidden/>
          </w:rPr>
          <w:fldChar w:fldCharType="end"/>
        </w:r>
      </w:hyperlink>
    </w:p>
    <w:p w14:paraId="720637B8" w14:textId="75A85B74" w:rsidR="00FC42E7" w:rsidRPr="00313050" w:rsidRDefault="00FC42E7">
      <w:pPr>
        <w:pStyle w:val="TableofFigures"/>
        <w:tabs>
          <w:tab w:val="right" w:leader="dot" w:pos="9350"/>
        </w:tabs>
        <w:rPr>
          <w:rStyle w:val="Hyperlink"/>
          <w:lang w:val="en-IN" w:eastAsia="en-IN"/>
        </w:rPr>
      </w:pPr>
      <w:hyperlink w:anchor="_Toc242554111" w:history="1">
        <w:r w:rsidRPr="00313050">
          <w:rPr>
            <w:rStyle w:val="Hyperlink"/>
          </w:rPr>
          <w:t>Table 4-38: Supply Dashboard Tables / Views Loaded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_Toc242554111 \h </w:instrText>
        </w:r>
        <w:r w:rsidRPr="00313050">
          <w:rPr>
            <w:rStyle w:val="Hyperlink"/>
            <w:webHidden/>
          </w:rPr>
        </w:r>
        <w:r w:rsidRPr="00313050">
          <w:rPr>
            <w:rStyle w:val="Hyperlink"/>
            <w:webHidden/>
          </w:rPr>
          <w:fldChar w:fldCharType="separate"/>
        </w:r>
        <w:r w:rsidR="00313050" w:rsidRPr="00313050">
          <w:rPr>
            <w:rStyle w:val="Hyperlink"/>
            <w:webHidden/>
          </w:rPr>
          <w:t>151</w:t>
        </w:r>
        <w:r w:rsidRPr="00313050">
          <w:rPr>
            <w:rStyle w:val="Hyperlink"/>
            <w:webHidden/>
          </w:rPr>
          <w:fldChar w:fldCharType="end"/>
        </w:r>
      </w:hyperlink>
    </w:p>
    <w:p w14:paraId="73948C9F" w14:textId="53D64833" w:rsidR="00FC42E7" w:rsidRPr="00313050" w:rsidRDefault="00FC42E7">
      <w:pPr>
        <w:pStyle w:val="TableofFigures"/>
        <w:tabs>
          <w:tab w:val="right" w:leader="dot" w:pos="9350"/>
        </w:tabs>
        <w:rPr>
          <w:rStyle w:val="Hyperlink"/>
          <w:lang w:val="en-IN" w:eastAsia="en-IN"/>
        </w:rPr>
      </w:pPr>
      <w:hyperlink w:anchor="_Toc242554112" w:history="1">
        <w:r w:rsidRPr="00313050">
          <w:rPr>
            <w:rStyle w:val="Hyperlink"/>
          </w:rPr>
          <w:t>Table 4-39: Supply Dashboard Relationships between Tables / Views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_Toc242554112 \h </w:instrText>
        </w:r>
        <w:r w:rsidRPr="00313050">
          <w:rPr>
            <w:rStyle w:val="Hyperlink"/>
            <w:webHidden/>
          </w:rPr>
        </w:r>
        <w:r w:rsidRPr="00313050">
          <w:rPr>
            <w:rStyle w:val="Hyperlink"/>
            <w:webHidden/>
          </w:rPr>
          <w:fldChar w:fldCharType="separate"/>
        </w:r>
        <w:r w:rsidR="00313050" w:rsidRPr="00313050">
          <w:rPr>
            <w:rStyle w:val="Hyperlink"/>
            <w:webHidden/>
          </w:rPr>
          <w:t>152</w:t>
        </w:r>
        <w:r w:rsidRPr="00313050">
          <w:rPr>
            <w:rStyle w:val="Hyperlink"/>
            <w:webHidden/>
          </w:rPr>
          <w:fldChar w:fldCharType="end"/>
        </w:r>
      </w:hyperlink>
    </w:p>
    <w:p w14:paraId="24E3967E" w14:textId="6A838898" w:rsidR="00FC42E7" w:rsidRPr="00313050" w:rsidRDefault="00FC42E7">
      <w:pPr>
        <w:pStyle w:val="TableofFigures"/>
        <w:tabs>
          <w:tab w:val="right" w:leader="dot" w:pos="9350"/>
        </w:tabs>
        <w:rPr>
          <w:rStyle w:val="Hyperlink"/>
          <w:lang w:val="en-IN" w:eastAsia="en-IN"/>
        </w:rPr>
      </w:pPr>
      <w:hyperlink w:anchor="_Toc242554113" w:history="1">
        <w:r w:rsidRPr="00313050">
          <w:rPr>
            <w:rStyle w:val="Hyperlink"/>
          </w:rPr>
          <w:t>Table 4-40: Supply Dashboard Power BI Attributes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_Toc242554113 \h </w:instrText>
        </w:r>
        <w:r w:rsidRPr="00313050">
          <w:rPr>
            <w:rStyle w:val="Hyperlink"/>
            <w:webHidden/>
          </w:rPr>
        </w:r>
        <w:r w:rsidRPr="00313050">
          <w:rPr>
            <w:rStyle w:val="Hyperlink"/>
            <w:webHidden/>
          </w:rPr>
          <w:fldChar w:fldCharType="separate"/>
        </w:r>
        <w:r w:rsidR="00313050" w:rsidRPr="00313050">
          <w:rPr>
            <w:rStyle w:val="Hyperlink"/>
            <w:webHidden/>
          </w:rPr>
          <w:t>153</w:t>
        </w:r>
        <w:r w:rsidRPr="00313050">
          <w:rPr>
            <w:rStyle w:val="Hyperlink"/>
            <w:webHidden/>
          </w:rPr>
          <w:fldChar w:fldCharType="end"/>
        </w:r>
      </w:hyperlink>
    </w:p>
    <w:p w14:paraId="4A111473" w14:textId="16456045" w:rsidR="00FC42E7" w:rsidRPr="00313050" w:rsidRDefault="00FC42E7">
      <w:pPr>
        <w:pStyle w:val="TableofFigures"/>
        <w:tabs>
          <w:tab w:val="right" w:leader="dot" w:pos="9350"/>
        </w:tabs>
        <w:rPr>
          <w:rStyle w:val="Hyperlink"/>
          <w:lang w:val="en-IN" w:eastAsia="en-IN"/>
        </w:rPr>
      </w:pPr>
      <w:hyperlink w:anchor="_Toc242554114" w:history="1">
        <w:r w:rsidRPr="00313050">
          <w:rPr>
            <w:rStyle w:val="Hyperlink"/>
          </w:rPr>
          <w:t>Table 4-41: Gasoline KPI Dashboard Report Pages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_Toc242554114 \h </w:instrText>
        </w:r>
        <w:r w:rsidRPr="00313050">
          <w:rPr>
            <w:rStyle w:val="Hyperlink"/>
            <w:webHidden/>
          </w:rPr>
        </w:r>
        <w:r w:rsidRPr="00313050">
          <w:rPr>
            <w:rStyle w:val="Hyperlink"/>
            <w:webHidden/>
          </w:rPr>
          <w:fldChar w:fldCharType="separate"/>
        </w:r>
        <w:r w:rsidR="00313050" w:rsidRPr="00313050">
          <w:rPr>
            <w:rStyle w:val="Hyperlink"/>
            <w:webHidden/>
          </w:rPr>
          <w:t>153</w:t>
        </w:r>
        <w:r w:rsidRPr="00313050">
          <w:rPr>
            <w:rStyle w:val="Hyperlink"/>
            <w:webHidden/>
          </w:rPr>
          <w:fldChar w:fldCharType="end"/>
        </w:r>
      </w:hyperlink>
    </w:p>
    <w:p w14:paraId="0C4A4DDB" w14:textId="15F3BDBD" w:rsidR="00FC42E7" w:rsidRPr="00313050" w:rsidRDefault="00FC42E7">
      <w:pPr>
        <w:pStyle w:val="TableofFigures"/>
        <w:tabs>
          <w:tab w:val="right" w:leader="dot" w:pos="9350"/>
        </w:tabs>
        <w:rPr>
          <w:rStyle w:val="Hyperlink"/>
          <w:lang w:val="en-IN" w:eastAsia="en-IN"/>
        </w:rPr>
      </w:pPr>
      <w:hyperlink w:anchor="_Toc242554115" w:history="1">
        <w:r w:rsidRPr="00313050">
          <w:rPr>
            <w:rStyle w:val="Hyperlink"/>
          </w:rPr>
          <w:t>Table 4-42: Gasoline KPI Dashboard Data Source Overview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_Toc242554115 \h </w:instrText>
        </w:r>
        <w:r w:rsidRPr="00313050">
          <w:rPr>
            <w:rStyle w:val="Hyperlink"/>
            <w:webHidden/>
          </w:rPr>
        </w:r>
        <w:r w:rsidRPr="00313050">
          <w:rPr>
            <w:rStyle w:val="Hyperlink"/>
            <w:webHidden/>
          </w:rPr>
          <w:fldChar w:fldCharType="separate"/>
        </w:r>
        <w:r w:rsidR="00313050" w:rsidRPr="00313050">
          <w:rPr>
            <w:rStyle w:val="Hyperlink"/>
            <w:webHidden/>
          </w:rPr>
          <w:t>154</w:t>
        </w:r>
        <w:r w:rsidRPr="00313050">
          <w:rPr>
            <w:rStyle w:val="Hyperlink"/>
            <w:webHidden/>
          </w:rPr>
          <w:fldChar w:fldCharType="end"/>
        </w:r>
      </w:hyperlink>
    </w:p>
    <w:p w14:paraId="19998861" w14:textId="7C9D4356" w:rsidR="00FC42E7" w:rsidRPr="00313050" w:rsidRDefault="00FC42E7">
      <w:pPr>
        <w:pStyle w:val="TableofFigures"/>
        <w:tabs>
          <w:tab w:val="right" w:leader="dot" w:pos="9350"/>
        </w:tabs>
        <w:rPr>
          <w:rStyle w:val="Hyperlink"/>
          <w:lang w:val="en-IN" w:eastAsia="en-IN"/>
        </w:rPr>
      </w:pPr>
      <w:hyperlink w:anchor="_Toc242554116" w:history="1">
        <w:r w:rsidRPr="00313050">
          <w:rPr>
            <w:rStyle w:val="Hyperlink"/>
          </w:rPr>
          <w:t>Table 4-43: Gasoline KPI Dashboard Backend Field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_Toc242554116 \h </w:instrText>
        </w:r>
        <w:r w:rsidRPr="00313050">
          <w:rPr>
            <w:rStyle w:val="Hyperlink"/>
            <w:webHidden/>
          </w:rPr>
        </w:r>
        <w:r w:rsidRPr="00313050">
          <w:rPr>
            <w:rStyle w:val="Hyperlink"/>
            <w:webHidden/>
          </w:rPr>
          <w:fldChar w:fldCharType="separate"/>
        </w:r>
        <w:r w:rsidR="00313050" w:rsidRPr="00313050">
          <w:rPr>
            <w:rStyle w:val="Hyperlink"/>
            <w:webHidden/>
          </w:rPr>
          <w:t>154</w:t>
        </w:r>
        <w:r w:rsidRPr="00313050">
          <w:rPr>
            <w:rStyle w:val="Hyperlink"/>
            <w:webHidden/>
          </w:rPr>
          <w:fldChar w:fldCharType="end"/>
        </w:r>
      </w:hyperlink>
    </w:p>
    <w:p w14:paraId="32119F18" w14:textId="5FF444A1" w:rsidR="00FC42E7" w:rsidRPr="00313050" w:rsidRDefault="00FC42E7">
      <w:pPr>
        <w:pStyle w:val="TableofFigures"/>
        <w:tabs>
          <w:tab w:val="right" w:leader="dot" w:pos="9350"/>
        </w:tabs>
        <w:rPr>
          <w:rStyle w:val="Hyperlink"/>
          <w:lang w:val="en-IN" w:eastAsia="en-IN"/>
        </w:rPr>
      </w:pPr>
      <w:hyperlink w:anchor="_Toc242554117" w:history="1">
        <w:r w:rsidRPr="00313050">
          <w:rPr>
            <w:rStyle w:val="Hyperlink"/>
          </w:rPr>
          <w:t>Table 4-44: Gasoline KPI Dashboard DAX Measures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_Toc242554117 \h </w:instrText>
        </w:r>
        <w:r w:rsidRPr="00313050">
          <w:rPr>
            <w:rStyle w:val="Hyperlink"/>
            <w:webHidden/>
          </w:rPr>
        </w:r>
        <w:r w:rsidRPr="00313050">
          <w:rPr>
            <w:rStyle w:val="Hyperlink"/>
            <w:webHidden/>
          </w:rPr>
          <w:fldChar w:fldCharType="separate"/>
        </w:r>
        <w:r w:rsidR="00313050" w:rsidRPr="00313050">
          <w:rPr>
            <w:rStyle w:val="Hyperlink"/>
            <w:webHidden/>
          </w:rPr>
          <w:t>155</w:t>
        </w:r>
        <w:r w:rsidRPr="00313050">
          <w:rPr>
            <w:rStyle w:val="Hyperlink"/>
            <w:webHidden/>
          </w:rPr>
          <w:fldChar w:fldCharType="end"/>
        </w:r>
      </w:hyperlink>
    </w:p>
    <w:p w14:paraId="69113BD9" w14:textId="6265A6E8" w:rsidR="00FC42E7" w:rsidRPr="00313050" w:rsidRDefault="00FC42E7">
      <w:pPr>
        <w:pStyle w:val="TableofFigures"/>
        <w:tabs>
          <w:tab w:val="right" w:leader="dot" w:pos="9350"/>
        </w:tabs>
        <w:rPr>
          <w:rStyle w:val="Hyperlink"/>
          <w:lang w:val="en-IN" w:eastAsia="en-IN"/>
        </w:rPr>
      </w:pPr>
      <w:hyperlink w:anchor="_Toc242554118" w:history="1">
        <w:r w:rsidRPr="00313050">
          <w:rPr>
            <w:rStyle w:val="Hyperlink"/>
          </w:rPr>
          <w:t>Table 4-45: Gasoline KPI Dashboard Power Query Transformations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_Toc242554118 \h </w:instrText>
        </w:r>
        <w:r w:rsidRPr="00313050">
          <w:rPr>
            <w:rStyle w:val="Hyperlink"/>
            <w:webHidden/>
          </w:rPr>
        </w:r>
        <w:r w:rsidRPr="00313050">
          <w:rPr>
            <w:rStyle w:val="Hyperlink"/>
            <w:webHidden/>
          </w:rPr>
          <w:fldChar w:fldCharType="separate"/>
        </w:r>
        <w:r w:rsidR="00313050" w:rsidRPr="00313050">
          <w:rPr>
            <w:rStyle w:val="Hyperlink"/>
            <w:webHidden/>
          </w:rPr>
          <w:t>155</w:t>
        </w:r>
        <w:r w:rsidRPr="00313050">
          <w:rPr>
            <w:rStyle w:val="Hyperlink"/>
            <w:webHidden/>
          </w:rPr>
          <w:fldChar w:fldCharType="end"/>
        </w:r>
      </w:hyperlink>
    </w:p>
    <w:p w14:paraId="5531F5C2" w14:textId="222ACBB6" w:rsidR="00FC42E7" w:rsidRPr="00313050" w:rsidRDefault="00FC42E7">
      <w:pPr>
        <w:pStyle w:val="TableofFigures"/>
        <w:tabs>
          <w:tab w:val="right" w:leader="dot" w:pos="9350"/>
        </w:tabs>
        <w:rPr>
          <w:rStyle w:val="Hyperlink"/>
          <w:lang w:val="en-IN" w:eastAsia="en-IN"/>
        </w:rPr>
      </w:pPr>
      <w:hyperlink w:anchor="_Toc242554119" w:history="1">
        <w:r w:rsidRPr="00313050">
          <w:rPr>
            <w:rStyle w:val="Hyperlink"/>
          </w:rPr>
          <w:t>Table 4-46: Gasoline KPI Dashboard Tables / Views Loaded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_Toc242554119 \h </w:instrText>
        </w:r>
        <w:r w:rsidRPr="00313050">
          <w:rPr>
            <w:rStyle w:val="Hyperlink"/>
            <w:webHidden/>
          </w:rPr>
        </w:r>
        <w:r w:rsidRPr="00313050">
          <w:rPr>
            <w:rStyle w:val="Hyperlink"/>
            <w:webHidden/>
          </w:rPr>
          <w:fldChar w:fldCharType="separate"/>
        </w:r>
        <w:r w:rsidR="00313050" w:rsidRPr="00313050">
          <w:rPr>
            <w:rStyle w:val="Hyperlink"/>
            <w:webHidden/>
          </w:rPr>
          <w:t>156</w:t>
        </w:r>
        <w:r w:rsidRPr="00313050">
          <w:rPr>
            <w:rStyle w:val="Hyperlink"/>
            <w:webHidden/>
          </w:rPr>
          <w:fldChar w:fldCharType="end"/>
        </w:r>
      </w:hyperlink>
    </w:p>
    <w:p w14:paraId="78ADEBF7" w14:textId="4F5E542C" w:rsidR="00FC42E7" w:rsidRPr="00313050" w:rsidRDefault="00FC42E7">
      <w:pPr>
        <w:pStyle w:val="TableofFigures"/>
        <w:tabs>
          <w:tab w:val="right" w:leader="dot" w:pos="9350"/>
        </w:tabs>
        <w:rPr>
          <w:rStyle w:val="Hyperlink"/>
          <w:lang w:val="en-IN" w:eastAsia="en-IN"/>
        </w:rPr>
      </w:pPr>
      <w:hyperlink w:anchor="_Toc242554120" w:history="1">
        <w:r w:rsidRPr="00313050">
          <w:rPr>
            <w:rStyle w:val="Hyperlink"/>
          </w:rPr>
          <w:t>Table 4-47: Gasoline KPI Dashboard Relationships between Tables / Views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_Toc242554120 \h </w:instrText>
        </w:r>
        <w:r w:rsidRPr="00313050">
          <w:rPr>
            <w:rStyle w:val="Hyperlink"/>
            <w:webHidden/>
          </w:rPr>
        </w:r>
        <w:r w:rsidRPr="00313050">
          <w:rPr>
            <w:rStyle w:val="Hyperlink"/>
            <w:webHidden/>
          </w:rPr>
          <w:fldChar w:fldCharType="separate"/>
        </w:r>
        <w:r w:rsidR="00313050" w:rsidRPr="00313050">
          <w:rPr>
            <w:rStyle w:val="Hyperlink"/>
            <w:webHidden/>
          </w:rPr>
          <w:t>156</w:t>
        </w:r>
        <w:r w:rsidRPr="00313050">
          <w:rPr>
            <w:rStyle w:val="Hyperlink"/>
            <w:webHidden/>
          </w:rPr>
          <w:fldChar w:fldCharType="end"/>
        </w:r>
      </w:hyperlink>
    </w:p>
    <w:p w14:paraId="4342506D" w14:textId="085FD8BA" w:rsidR="00FC42E7" w:rsidRPr="00313050" w:rsidRDefault="00FC42E7">
      <w:pPr>
        <w:pStyle w:val="TableofFigures"/>
        <w:tabs>
          <w:tab w:val="right" w:leader="dot" w:pos="9350"/>
        </w:tabs>
        <w:rPr>
          <w:rStyle w:val="Hyperlink"/>
          <w:lang w:val="en-IN" w:eastAsia="en-IN"/>
        </w:rPr>
      </w:pPr>
      <w:hyperlink w:anchor="_Toc242554121" w:history="1">
        <w:r w:rsidRPr="00313050">
          <w:rPr>
            <w:rStyle w:val="Hyperlink"/>
          </w:rPr>
          <w:t>Table 4-48: Gasoline KPI Dashboard Power BI Attributes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_Toc242554121 \h </w:instrText>
        </w:r>
        <w:r w:rsidRPr="00313050">
          <w:rPr>
            <w:rStyle w:val="Hyperlink"/>
            <w:webHidden/>
          </w:rPr>
        </w:r>
        <w:r w:rsidRPr="00313050">
          <w:rPr>
            <w:rStyle w:val="Hyperlink"/>
            <w:webHidden/>
          </w:rPr>
          <w:fldChar w:fldCharType="separate"/>
        </w:r>
        <w:r w:rsidR="00313050" w:rsidRPr="00313050">
          <w:rPr>
            <w:rStyle w:val="Hyperlink"/>
            <w:webHidden/>
          </w:rPr>
          <w:t>157</w:t>
        </w:r>
        <w:r w:rsidRPr="00313050">
          <w:rPr>
            <w:rStyle w:val="Hyperlink"/>
            <w:webHidden/>
          </w:rPr>
          <w:fldChar w:fldCharType="end"/>
        </w:r>
      </w:hyperlink>
    </w:p>
    <w:p w14:paraId="62143C70" w14:textId="1C360103" w:rsidR="00FC42E7" w:rsidRPr="00313050" w:rsidRDefault="00FC42E7">
      <w:pPr>
        <w:pStyle w:val="TableofFigures"/>
        <w:tabs>
          <w:tab w:val="right" w:leader="dot" w:pos="9350"/>
        </w:tabs>
        <w:rPr>
          <w:rStyle w:val="Hyperlink"/>
          <w:lang w:val="en-IN" w:eastAsia="en-IN"/>
        </w:rPr>
      </w:pPr>
      <w:hyperlink w:anchor="_Toc242554122" w:history="1">
        <w:r w:rsidRPr="00313050">
          <w:rPr>
            <w:rStyle w:val="Hyperlink"/>
          </w:rPr>
          <w:t>Table 4-49: Distillate KPI Dashboard Report Pages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_Toc242554122 \h </w:instrText>
        </w:r>
        <w:r w:rsidRPr="00313050">
          <w:rPr>
            <w:rStyle w:val="Hyperlink"/>
            <w:webHidden/>
          </w:rPr>
        </w:r>
        <w:r w:rsidRPr="00313050">
          <w:rPr>
            <w:rStyle w:val="Hyperlink"/>
            <w:webHidden/>
          </w:rPr>
          <w:fldChar w:fldCharType="separate"/>
        </w:r>
        <w:r w:rsidR="00313050" w:rsidRPr="00313050">
          <w:rPr>
            <w:rStyle w:val="Hyperlink"/>
            <w:webHidden/>
          </w:rPr>
          <w:t>157</w:t>
        </w:r>
        <w:r w:rsidRPr="00313050">
          <w:rPr>
            <w:rStyle w:val="Hyperlink"/>
            <w:webHidden/>
          </w:rPr>
          <w:fldChar w:fldCharType="end"/>
        </w:r>
      </w:hyperlink>
    </w:p>
    <w:p w14:paraId="3D5F8288" w14:textId="229EB516" w:rsidR="00FC42E7" w:rsidRPr="00313050" w:rsidRDefault="00FC42E7">
      <w:pPr>
        <w:pStyle w:val="TableofFigures"/>
        <w:tabs>
          <w:tab w:val="right" w:leader="dot" w:pos="9350"/>
        </w:tabs>
        <w:rPr>
          <w:rStyle w:val="Hyperlink"/>
          <w:lang w:val="en-IN" w:eastAsia="en-IN"/>
        </w:rPr>
      </w:pPr>
      <w:hyperlink w:anchor="_Toc242554123" w:history="1">
        <w:r w:rsidRPr="00313050">
          <w:rPr>
            <w:rStyle w:val="Hyperlink"/>
          </w:rPr>
          <w:t>Table 4-50: Distillate KPI Dashboard Data Source Overview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_Toc242554123 \h </w:instrText>
        </w:r>
        <w:r w:rsidRPr="00313050">
          <w:rPr>
            <w:rStyle w:val="Hyperlink"/>
            <w:webHidden/>
          </w:rPr>
        </w:r>
        <w:r w:rsidRPr="00313050">
          <w:rPr>
            <w:rStyle w:val="Hyperlink"/>
            <w:webHidden/>
          </w:rPr>
          <w:fldChar w:fldCharType="separate"/>
        </w:r>
        <w:r w:rsidR="00313050" w:rsidRPr="00313050">
          <w:rPr>
            <w:rStyle w:val="Hyperlink"/>
            <w:webHidden/>
          </w:rPr>
          <w:t>158</w:t>
        </w:r>
        <w:r w:rsidRPr="00313050">
          <w:rPr>
            <w:rStyle w:val="Hyperlink"/>
            <w:webHidden/>
          </w:rPr>
          <w:fldChar w:fldCharType="end"/>
        </w:r>
      </w:hyperlink>
    </w:p>
    <w:p w14:paraId="141F8030" w14:textId="319D743B" w:rsidR="00FC42E7" w:rsidRPr="00313050" w:rsidRDefault="00FC42E7">
      <w:pPr>
        <w:pStyle w:val="TableofFigures"/>
        <w:tabs>
          <w:tab w:val="right" w:leader="dot" w:pos="9350"/>
        </w:tabs>
        <w:rPr>
          <w:rStyle w:val="Hyperlink"/>
          <w:lang w:val="en-IN" w:eastAsia="en-IN"/>
        </w:rPr>
      </w:pPr>
      <w:hyperlink w:anchor="_Toc242554124" w:history="1">
        <w:r w:rsidRPr="00313050">
          <w:rPr>
            <w:rStyle w:val="Hyperlink"/>
          </w:rPr>
          <w:t>Table 4-51: Distillate KPI Dashboard Backend Field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_Toc242554124 \h </w:instrText>
        </w:r>
        <w:r w:rsidRPr="00313050">
          <w:rPr>
            <w:rStyle w:val="Hyperlink"/>
            <w:webHidden/>
          </w:rPr>
        </w:r>
        <w:r w:rsidRPr="00313050">
          <w:rPr>
            <w:rStyle w:val="Hyperlink"/>
            <w:webHidden/>
          </w:rPr>
          <w:fldChar w:fldCharType="separate"/>
        </w:r>
        <w:r w:rsidR="00313050" w:rsidRPr="00313050">
          <w:rPr>
            <w:rStyle w:val="Hyperlink"/>
            <w:webHidden/>
          </w:rPr>
          <w:t>158</w:t>
        </w:r>
        <w:r w:rsidRPr="00313050">
          <w:rPr>
            <w:rStyle w:val="Hyperlink"/>
            <w:webHidden/>
          </w:rPr>
          <w:fldChar w:fldCharType="end"/>
        </w:r>
      </w:hyperlink>
    </w:p>
    <w:p w14:paraId="178570AE" w14:textId="2883FB55" w:rsidR="00FC42E7" w:rsidRPr="00313050" w:rsidRDefault="00FC42E7">
      <w:pPr>
        <w:pStyle w:val="TableofFigures"/>
        <w:tabs>
          <w:tab w:val="right" w:leader="dot" w:pos="9350"/>
        </w:tabs>
        <w:rPr>
          <w:rStyle w:val="Hyperlink"/>
          <w:lang w:val="en-IN" w:eastAsia="en-IN"/>
        </w:rPr>
      </w:pPr>
      <w:hyperlink w:anchor="_Toc242554125" w:history="1">
        <w:r w:rsidRPr="00313050">
          <w:rPr>
            <w:rStyle w:val="Hyperlink"/>
          </w:rPr>
          <w:t>Table 4-52: Distillate KPI Dashboard DAX Measures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_Toc242554125 \h </w:instrText>
        </w:r>
        <w:r w:rsidRPr="00313050">
          <w:rPr>
            <w:rStyle w:val="Hyperlink"/>
            <w:webHidden/>
          </w:rPr>
        </w:r>
        <w:r w:rsidRPr="00313050">
          <w:rPr>
            <w:rStyle w:val="Hyperlink"/>
            <w:webHidden/>
          </w:rPr>
          <w:fldChar w:fldCharType="separate"/>
        </w:r>
        <w:r w:rsidR="00313050" w:rsidRPr="00313050">
          <w:rPr>
            <w:rStyle w:val="Hyperlink"/>
            <w:webHidden/>
          </w:rPr>
          <w:t>159</w:t>
        </w:r>
        <w:r w:rsidRPr="00313050">
          <w:rPr>
            <w:rStyle w:val="Hyperlink"/>
            <w:webHidden/>
          </w:rPr>
          <w:fldChar w:fldCharType="end"/>
        </w:r>
      </w:hyperlink>
    </w:p>
    <w:p w14:paraId="7540825F" w14:textId="7FC65CFC" w:rsidR="00FC42E7" w:rsidRPr="00313050" w:rsidRDefault="00FC42E7">
      <w:pPr>
        <w:pStyle w:val="TableofFigures"/>
        <w:tabs>
          <w:tab w:val="right" w:leader="dot" w:pos="9350"/>
        </w:tabs>
        <w:rPr>
          <w:rStyle w:val="Hyperlink"/>
          <w:lang w:val="en-IN" w:eastAsia="en-IN"/>
        </w:rPr>
      </w:pPr>
      <w:hyperlink w:anchor="_Toc242554126" w:history="1">
        <w:r w:rsidRPr="00313050">
          <w:rPr>
            <w:rStyle w:val="Hyperlink"/>
          </w:rPr>
          <w:t>Table 4-53: Distillate KPI Dashboard Power Query Transformations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_Toc242554126 \h </w:instrText>
        </w:r>
        <w:r w:rsidRPr="00313050">
          <w:rPr>
            <w:rStyle w:val="Hyperlink"/>
            <w:webHidden/>
          </w:rPr>
        </w:r>
        <w:r w:rsidRPr="00313050">
          <w:rPr>
            <w:rStyle w:val="Hyperlink"/>
            <w:webHidden/>
          </w:rPr>
          <w:fldChar w:fldCharType="separate"/>
        </w:r>
        <w:r w:rsidR="00313050" w:rsidRPr="00313050">
          <w:rPr>
            <w:rStyle w:val="Hyperlink"/>
            <w:webHidden/>
          </w:rPr>
          <w:t>159</w:t>
        </w:r>
        <w:r w:rsidRPr="00313050">
          <w:rPr>
            <w:rStyle w:val="Hyperlink"/>
            <w:webHidden/>
          </w:rPr>
          <w:fldChar w:fldCharType="end"/>
        </w:r>
      </w:hyperlink>
    </w:p>
    <w:p w14:paraId="46D67B6F" w14:textId="36BD39CA" w:rsidR="00FC42E7" w:rsidRPr="00313050" w:rsidRDefault="00FC42E7">
      <w:pPr>
        <w:pStyle w:val="TableofFigures"/>
        <w:tabs>
          <w:tab w:val="right" w:leader="dot" w:pos="9350"/>
        </w:tabs>
        <w:rPr>
          <w:rStyle w:val="Hyperlink"/>
          <w:lang w:val="en-IN" w:eastAsia="en-IN"/>
        </w:rPr>
      </w:pPr>
      <w:hyperlink w:anchor="_Toc242554127" w:history="1">
        <w:r w:rsidRPr="00313050">
          <w:rPr>
            <w:rStyle w:val="Hyperlink"/>
          </w:rPr>
          <w:t>Table 4-54: Distillate KPI Dashboard Tables / Views Loaded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_Toc242554127 \h </w:instrText>
        </w:r>
        <w:r w:rsidRPr="00313050">
          <w:rPr>
            <w:rStyle w:val="Hyperlink"/>
            <w:webHidden/>
          </w:rPr>
        </w:r>
        <w:r w:rsidRPr="00313050">
          <w:rPr>
            <w:rStyle w:val="Hyperlink"/>
            <w:webHidden/>
          </w:rPr>
          <w:fldChar w:fldCharType="separate"/>
        </w:r>
        <w:r w:rsidR="00313050" w:rsidRPr="00313050">
          <w:rPr>
            <w:rStyle w:val="Hyperlink"/>
            <w:webHidden/>
          </w:rPr>
          <w:t>160</w:t>
        </w:r>
        <w:r w:rsidRPr="00313050">
          <w:rPr>
            <w:rStyle w:val="Hyperlink"/>
            <w:webHidden/>
          </w:rPr>
          <w:fldChar w:fldCharType="end"/>
        </w:r>
      </w:hyperlink>
    </w:p>
    <w:p w14:paraId="2D4A3428" w14:textId="6D5BA8BB" w:rsidR="00FC42E7" w:rsidRPr="00313050" w:rsidRDefault="00FC42E7">
      <w:pPr>
        <w:pStyle w:val="TableofFigures"/>
        <w:tabs>
          <w:tab w:val="right" w:leader="dot" w:pos="9350"/>
        </w:tabs>
        <w:rPr>
          <w:rStyle w:val="Hyperlink"/>
          <w:lang w:val="en-IN" w:eastAsia="en-IN"/>
        </w:rPr>
      </w:pPr>
      <w:hyperlink w:anchor="_Toc242554128" w:history="1">
        <w:r w:rsidRPr="00313050">
          <w:rPr>
            <w:rStyle w:val="Hyperlink"/>
          </w:rPr>
          <w:t>Table 4-55: Distillate KPI Dashboard Relationships between Tables / Views in Power BI</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_Toc242554128 \h </w:instrText>
        </w:r>
        <w:r w:rsidRPr="00313050">
          <w:rPr>
            <w:rStyle w:val="Hyperlink"/>
            <w:webHidden/>
          </w:rPr>
        </w:r>
        <w:r w:rsidRPr="00313050">
          <w:rPr>
            <w:rStyle w:val="Hyperlink"/>
            <w:webHidden/>
          </w:rPr>
          <w:fldChar w:fldCharType="separate"/>
        </w:r>
        <w:r w:rsidR="00313050" w:rsidRPr="00313050">
          <w:rPr>
            <w:rStyle w:val="Hyperlink"/>
            <w:webHidden/>
          </w:rPr>
          <w:t>160</w:t>
        </w:r>
        <w:r w:rsidRPr="00313050">
          <w:rPr>
            <w:rStyle w:val="Hyperlink"/>
            <w:webHidden/>
          </w:rPr>
          <w:fldChar w:fldCharType="end"/>
        </w:r>
      </w:hyperlink>
    </w:p>
    <w:p w14:paraId="12BFAC6A" w14:textId="0D1B3DBD" w:rsidR="00FC42E7" w:rsidRPr="00313050" w:rsidRDefault="00FC42E7">
      <w:pPr>
        <w:pStyle w:val="TableofFigures"/>
        <w:tabs>
          <w:tab w:val="right" w:leader="dot" w:pos="9350"/>
        </w:tabs>
        <w:rPr>
          <w:rStyle w:val="Hyperlink"/>
          <w:lang w:val="en-IN" w:eastAsia="en-IN"/>
        </w:rPr>
      </w:pPr>
      <w:hyperlink w:anchor="_Toc242554129" w:history="1">
        <w:r w:rsidRPr="00313050">
          <w:rPr>
            <w:rStyle w:val="Hyperlink"/>
          </w:rPr>
          <w:t>Table 4-56: Distillate KPI Dashboard Power BI Attributes Mapping</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_Toc242554129 \h </w:instrText>
        </w:r>
        <w:r w:rsidRPr="00313050">
          <w:rPr>
            <w:rStyle w:val="Hyperlink"/>
            <w:webHidden/>
          </w:rPr>
        </w:r>
        <w:r w:rsidRPr="00313050">
          <w:rPr>
            <w:rStyle w:val="Hyperlink"/>
            <w:webHidden/>
          </w:rPr>
          <w:fldChar w:fldCharType="separate"/>
        </w:r>
        <w:r w:rsidR="00313050" w:rsidRPr="00313050">
          <w:rPr>
            <w:rStyle w:val="Hyperlink"/>
            <w:webHidden/>
          </w:rPr>
          <w:t>161</w:t>
        </w:r>
        <w:r w:rsidRPr="00313050">
          <w:rPr>
            <w:rStyle w:val="Hyperlink"/>
            <w:webHidden/>
          </w:rPr>
          <w:fldChar w:fldCharType="end"/>
        </w:r>
      </w:hyperlink>
    </w:p>
    <w:p w14:paraId="5E4615BA" w14:textId="40DE9D3D" w:rsidR="00FC42E7" w:rsidRPr="00313050" w:rsidRDefault="00FC42E7">
      <w:pPr>
        <w:pStyle w:val="TableofFigures"/>
        <w:tabs>
          <w:tab w:val="right" w:leader="dot" w:pos="9350"/>
        </w:tabs>
        <w:rPr>
          <w:rStyle w:val="Hyperlink"/>
          <w:lang w:val="en-IN" w:eastAsia="en-IN"/>
        </w:rPr>
      </w:pPr>
      <w:hyperlink w:anchor="_Toc242554130" w:history="1">
        <w:r w:rsidRPr="00313050">
          <w:rPr>
            <w:rStyle w:val="Hyperlink"/>
          </w:rPr>
          <w:t>Table 4-57: Workspace Access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_Toc242554130 \h </w:instrText>
        </w:r>
        <w:r w:rsidRPr="00313050">
          <w:rPr>
            <w:rStyle w:val="Hyperlink"/>
            <w:webHidden/>
          </w:rPr>
        </w:r>
        <w:r w:rsidRPr="00313050">
          <w:rPr>
            <w:rStyle w:val="Hyperlink"/>
            <w:webHidden/>
          </w:rPr>
          <w:fldChar w:fldCharType="separate"/>
        </w:r>
        <w:r w:rsidR="00313050" w:rsidRPr="00313050">
          <w:rPr>
            <w:rStyle w:val="Hyperlink"/>
            <w:webHidden/>
          </w:rPr>
          <w:t>162</w:t>
        </w:r>
        <w:r w:rsidRPr="00313050">
          <w:rPr>
            <w:rStyle w:val="Hyperlink"/>
            <w:webHidden/>
          </w:rPr>
          <w:fldChar w:fldCharType="end"/>
        </w:r>
      </w:hyperlink>
    </w:p>
    <w:p w14:paraId="41BC7BC1" w14:textId="3FD8BA1F" w:rsidR="00FC42E7" w:rsidRPr="00313050" w:rsidRDefault="00FC42E7">
      <w:pPr>
        <w:pStyle w:val="TableofFigures"/>
        <w:tabs>
          <w:tab w:val="right" w:leader="dot" w:pos="9350"/>
        </w:tabs>
        <w:rPr>
          <w:rStyle w:val="Hyperlink"/>
          <w:lang w:val="en-IN" w:eastAsia="en-IN"/>
        </w:rPr>
      </w:pPr>
      <w:hyperlink w:anchor="_Toc242554131" w:history="1">
        <w:r w:rsidRPr="00313050">
          <w:rPr>
            <w:rStyle w:val="Hyperlink"/>
          </w:rPr>
          <w:t>Table 4-58: Dashboard Level Access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_Toc242554131 \h </w:instrText>
        </w:r>
        <w:r w:rsidRPr="00313050">
          <w:rPr>
            <w:rStyle w:val="Hyperlink"/>
            <w:webHidden/>
          </w:rPr>
        </w:r>
        <w:r w:rsidRPr="00313050">
          <w:rPr>
            <w:rStyle w:val="Hyperlink"/>
            <w:webHidden/>
          </w:rPr>
          <w:fldChar w:fldCharType="separate"/>
        </w:r>
        <w:r w:rsidR="00313050" w:rsidRPr="00313050">
          <w:rPr>
            <w:rStyle w:val="Hyperlink"/>
            <w:webHidden/>
          </w:rPr>
          <w:t>162</w:t>
        </w:r>
        <w:r w:rsidRPr="00313050">
          <w:rPr>
            <w:rStyle w:val="Hyperlink"/>
            <w:webHidden/>
          </w:rPr>
          <w:fldChar w:fldCharType="end"/>
        </w:r>
      </w:hyperlink>
    </w:p>
    <w:p w14:paraId="76E46643" w14:textId="77BB9730" w:rsidR="00FC42E7" w:rsidRPr="00313050" w:rsidRDefault="00FC42E7">
      <w:pPr>
        <w:pStyle w:val="TableofFigures"/>
        <w:tabs>
          <w:tab w:val="right" w:leader="dot" w:pos="9350"/>
        </w:tabs>
        <w:rPr>
          <w:rStyle w:val="Hyperlink"/>
          <w:lang w:val="en-IN" w:eastAsia="en-IN"/>
        </w:rPr>
      </w:pPr>
      <w:hyperlink w:anchor="_Toc242554132" w:history="1">
        <w:r w:rsidRPr="00313050">
          <w:rPr>
            <w:rStyle w:val="Hyperlink"/>
          </w:rPr>
          <w:t>Table 4-59: Report Refresh Strategy</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_Toc242554132 \h </w:instrText>
        </w:r>
        <w:r w:rsidRPr="00313050">
          <w:rPr>
            <w:rStyle w:val="Hyperlink"/>
            <w:webHidden/>
          </w:rPr>
        </w:r>
        <w:r w:rsidRPr="00313050">
          <w:rPr>
            <w:rStyle w:val="Hyperlink"/>
            <w:webHidden/>
          </w:rPr>
          <w:fldChar w:fldCharType="separate"/>
        </w:r>
        <w:r w:rsidR="00313050" w:rsidRPr="00313050">
          <w:rPr>
            <w:rStyle w:val="Hyperlink"/>
            <w:webHidden/>
          </w:rPr>
          <w:t>163</w:t>
        </w:r>
        <w:r w:rsidRPr="00313050">
          <w:rPr>
            <w:rStyle w:val="Hyperlink"/>
            <w:webHidden/>
          </w:rPr>
          <w:fldChar w:fldCharType="end"/>
        </w:r>
      </w:hyperlink>
    </w:p>
    <w:p w14:paraId="33341FA9" w14:textId="3EE23F10" w:rsidR="00FC42E7" w:rsidRPr="00313050" w:rsidRDefault="00FC42E7">
      <w:pPr>
        <w:pStyle w:val="TableofFigures"/>
        <w:tabs>
          <w:tab w:val="right" w:leader="dot" w:pos="9350"/>
        </w:tabs>
        <w:rPr>
          <w:rStyle w:val="Hyperlink"/>
          <w:lang w:val="en-IN" w:eastAsia="en-IN"/>
        </w:rPr>
      </w:pPr>
      <w:hyperlink w:anchor="_Toc242554133" w:history="1">
        <w:r w:rsidRPr="00313050">
          <w:rPr>
            <w:rStyle w:val="Hyperlink"/>
          </w:rPr>
          <w:t>Table 4-60: Testing and Validation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_Toc242554133 \h </w:instrText>
        </w:r>
        <w:r w:rsidRPr="00313050">
          <w:rPr>
            <w:rStyle w:val="Hyperlink"/>
            <w:webHidden/>
          </w:rPr>
        </w:r>
        <w:r w:rsidRPr="00313050">
          <w:rPr>
            <w:rStyle w:val="Hyperlink"/>
            <w:webHidden/>
          </w:rPr>
          <w:fldChar w:fldCharType="separate"/>
        </w:r>
        <w:r w:rsidR="00313050" w:rsidRPr="00313050">
          <w:rPr>
            <w:rStyle w:val="Hyperlink"/>
            <w:webHidden/>
          </w:rPr>
          <w:t>164</w:t>
        </w:r>
        <w:r w:rsidRPr="00313050">
          <w:rPr>
            <w:rStyle w:val="Hyperlink"/>
            <w:webHidden/>
          </w:rPr>
          <w:fldChar w:fldCharType="end"/>
        </w:r>
      </w:hyperlink>
    </w:p>
    <w:p w14:paraId="71AF7207" w14:textId="170A9CD9" w:rsidR="00FC42E7" w:rsidRPr="00313050" w:rsidRDefault="00FC42E7">
      <w:pPr>
        <w:pStyle w:val="TableofFigures"/>
        <w:tabs>
          <w:tab w:val="right" w:leader="dot" w:pos="9350"/>
        </w:tabs>
        <w:rPr>
          <w:rStyle w:val="Hyperlink"/>
          <w:lang w:val="en-IN" w:eastAsia="en-IN"/>
        </w:rPr>
      </w:pPr>
      <w:hyperlink w:anchor="_Toc242554134" w:history="1">
        <w:r w:rsidRPr="00313050">
          <w:rPr>
            <w:rStyle w:val="Hyperlink"/>
          </w:rPr>
          <w:t>Table 4-61: Reports and Dashboards Gaps Requiring Confirmation</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_Toc242554134 \h </w:instrText>
        </w:r>
        <w:r w:rsidRPr="00313050">
          <w:rPr>
            <w:rStyle w:val="Hyperlink"/>
            <w:webHidden/>
          </w:rPr>
        </w:r>
        <w:r w:rsidRPr="00313050">
          <w:rPr>
            <w:rStyle w:val="Hyperlink"/>
            <w:webHidden/>
          </w:rPr>
          <w:fldChar w:fldCharType="separate"/>
        </w:r>
        <w:r w:rsidR="00313050" w:rsidRPr="00313050">
          <w:rPr>
            <w:rStyle w:val="Hyperlink"/>
            <w:webHidden/>
          </w:rPr>
          <w:t>165</w:t>
        </w:r>
        <w:r w:rsidRPr="00313050">
          <w:rPr>
            <w:rStyle w:val="Hyperlink"/>
            <w:webHidden/>
          </w:rPr>
          <w:fldChar w:fldCharType="end"/>
        </w:r>
      </w:hyperlink>
    </w:p>
    <w:p w14:paraId="72B67C5D" w14:textId="2ED265E7" w:rsidR="00FC42E7" w:rsidRPr="00313050" w:rsidRDefault="00FC42E7">
      <w:pPr>
        <w:pStyle w:val="TableofFigures"/>
        <w:tabs>
          <w:tab w:val="right" w:leader="dot" w:pos="9350"/>
        </w:tabs>
        <w:rPr>
          <w:rStyle w:val="Hyperlink"/>
          <w:lang w:val="en-IN" w:eastAsia="en-IN"/>
        </w:rPr>
      </w:pPr>
      <w:hyperlink w:anchor="_Toc242554135" w:history="1">
        <w:r w:rsidRPr="00313050">
          <w:rPr>
            <w:rStyle w:val="Hyperlink"/>
          </w:rPr>
          <w:t>Table 5-1: Glossary of Terms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_Toc242554135 \h </w:instrText>
        </w:r>
        <w:r w:rsidRPr="00313050">
          <w:rPr>
            <w:rStyle w:val="Hyperlink"/>
            <w:webHidden/>
          </w:rPr>
        </w:r>
        <w:r w:rsidRPr="00313050">
          <w:rPr>
            <w:rStyle w:val="Hyperlink"/>
            <w:webHidden/>
          </w:rPr>
          <w:fldChar w:fldCharType="separate"/>
        </w:r>
        <w:r w:rsidR="00313050" w:rsidRPr="00313050">
          <w:rPr>
            <w:rStyle w:val="Hyperlink"/>
            <w:webHidden/>
          </w:rPr>
          <w:t>167</w:t>
        </w:r>
        <w:r w:rsidRPr="00313050">
          <w:rPr>
            <w:rStyle w:val="Hyperlink"/>
            <w:webHidden/>
          </w:rPr>
          <w:fldChar w:fldCharType="end"/>
        </w:r>
      </w:hyperlink>
    </w:p>
    <w:p w14:paraId="5DCDE582" w14:textId="0E182176" w:rsidR="00FC42E7" w:rsidRPr="00313050" w:rsidRDefault="00FC42E7">
      <w:pPr>
        <w:pStyle w:val="TableofFigures"/>
        <w:tabs>
          <w:tab w:val="right" w:leader="dot" w:pos="9350"/>
        </w:tabs>
        <w:rPr>
          <w:rStyle w:val="Hyperlink"/>
          <w:lang w:val="en-IN" w:eastAsia="en-IN"/>
        </w:rPr>
      </w:pPr>
      <w:hyperlink w:anchor="_Toc242554136" w:history="1">
        <w:r w:rsidRPr="00313050">
          <w:rPr>
            <w:rStyle w:val="Hyperlink"/>
          </w:rPr>
          <w:t>Table 5-2: Acronyms &amp; Abbreviations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_Toc242554136 \h </w:instrText>
        </w:r>
        <w:r w:rsidRPr="00313050">
          <w:rPr>
            <w:rStyle w:val="Hyperlink"/>
            <w:webHidden/>
          </w:rPr>
        </w:r>
        <w:r w:rsidRPr="00313050">
          <w:rPr>
            <w:rStyle w:val="Hyperlink"/>
            <w:webHidden/>
          </w:rPr>
          <w:fldChar w:fldCharType="separate"/>
        </w:r>
        <w:r w:rsidR="00313050" w:rsidRPr="00313050">
          <w:rPr>
            <w:rStyle w:val="Hyperlink"/>
            <w:webHidden/>
          </w:rPr>
          <w:t>168</w:t>
        </w:r>
        <w:r w:rsidRPr="00313050">
          <w:rPr>
            <w:rStyle w:val="Hyperlink"/>
            <w:webHidden/>
          </w:rPr>
          <w:fldChar w:fldCharType="end"/>
        </w:r>
      </w:hyperlink>
    </w:p>
    <w:p w14:paraId="485F7AC2" w14:textId="3EEA9174" w:rsidR="00AA30D8" w:rsidRDefault="00AA30D8" w:rsidP="00AA30D8">
      <w:r>
        <w:fldChar w:fldCharType="end"/>
      </w:r>
    </w:p>
    <w:p w14:paraId="0B279B49" w14:textId="77777777" w:rsidR="00AA30D8" w:rsidRDefault="00AA30D8" w:rsidP="00FC42E7">
      <w:pPr>
        <w:pStyle w:val="DocumentInformation"/>
        <w:keepNext/>
        <w:pageBreakBefore/>
        <w:rPr>
          <w:rFonts w:eastAsiaTheme="majorEastAsia"/>
        </w:rPr>
      </w:pPr>
      <w:r>
        <w:rPr>
          <w:rFonts w:eastAsiaTheme="majorEastAsia"/>
        </w:rPr>
        <w:t>Table of Figures</w:t>
      </w:r>
    </w:p>
    <w:p w14:paraId="0B186A63" w14:textId="76A2CD2C" w:rsidR="00FC42E7" w:rsidRPr="00313050" w:rsidRDefault="00AA30D8">
      <w:pPr>
        <w:pStyle w:val="TableofFigures"/>
        <w:tabs>
          <w:tab w:val="right" w:leader="dot" w:pos="9350"/>
        </w:tabs>
        <w:rPr>
          <w:rStyle w:val="Hyperlink"/>
          <w:lang w:val="en-IN" w:eastAsia="en-IN"/>
        </w:rPr>
      </w:pPr>
      <w:r>
        <w:rPr>
          <w:rStyle w:val="Hyperlink"/>
        </w:rPr>
        <w:fldChar w:fldCharType="begin"/>
      </w:r>
      <w:r w:rsidRPr="00313050">
        <w:rPr>
          <w:rStyle w:val="Hyperlink"/>
        </w:rPr>
        <w:instrText xml:space="preserve"> TOC \h \z \c "Figure" </w:instrText>
      </w:r>
      <w:r>
        <w:rPr>
          <w:rStyle w:val="Hyperlink"/>
        </w:rPr>
        <w:fldChar w:fldCharType="separate"/>
      </w:r>
      <w:hyperlink w:anchor="_Toc242554137" w:history="1">
        <w:r w:rsidR="00FC42E7" w:rsidRPr="00313050">
          <w:rPr>
            <w:rStyle w:val="Hyperlink"/>
          </w:rPr>
          <w:t>Figure 2-1: VCB Integration (common pattern) High Level Technical Design Diagram (CIP Approach)</w:t>
        </w:r>
        <w:r w:rsidR="00FC42E7" w:rsidRPr="00313050">
          <w:rPr>
            <w:rStyle w:val="Hyperlink"/>
            <w:webHidden/>
          </w:rPr>
          <w:tab/>
        </w:r>
        <w:r w:rsidR="00FC42E7" w:rsidRPr="00313050">
          <w:rPr>
            <w:rStyle w:val="Hyperlink"/>
            <w:webHidden/>
          </w:rPr>
          <w:fldChar w:fldCharType="begin"/>
        </w:r>
        <w:r w:rsidR="00FC42E7" w:rsidRPr="00313050">
          <w:rPr>
            <w:rStyle w:val="Hyperlink"/>
            <w:webHidden/>
          </w:rPr>
          <w:instrText xml:space="preserve"> PAGEREF _Toc242554137 \h </w:instrText>
        </w:r>
        <w:r w:rsidR="00FC42E7" w:rsidRPr="00313050">
          <w:rPr>
            <w:rStyle w:val="Hyperlink"/>
            <w:webHidden/>
          </w:rPr>
        </w:r>
        <w:r w:rsidR="00FC42E7" w:rsidRPr="00313050">
          <w:rPr>
            <w:rStyle w:val="Hyperlink"/>
            <w:webHidden/>
          </w:rPr>
          <w:fldChar w:fldCharType="separate"/>
        </w:r>
        <w:r w:rsidR="00313050" w:rsidRPr="00313050">
          <w:rPr>
            <w:rStyle w:val="Hyperlink"/>
            <w:webHidden/>
          </w:rPr>
          <w:t>20</w:t>
        </w:r>
        <w:r w:rsidR="00FC42E7" w:rsidRPr="00313050">
          <w:rPr>
            <w:rStyle w:val="Hyperlink"/>
            <w:webHidden/>
          </w:rPr>
          <w:fldChar w:fldCharType="end"/>
        </w:r>
      </w:hyperlink>
    </w:p>
    <w:p w14:paraId="42B604CF" w14:textId="712B5B40" w:rsidR="00FC42E7" w:rsidRPr="00313050" w:rsidRDefault="00FC42E7">
      <w:pPr>
        <w:pStyle w:val="TableofFigures"/>
        <w:tabs>
          <w:tab w:val="right" w:leader="dot" w:pos="9350"/>
        </w:tabs>
        <w:rPr>
          <w:rStyle w:val="Hyperlink"/>
          <w:lang w:val="en-IN" w:eastAsia="en-IN"/>
        </w:rPr>
      </w:pPr>
      <w:hyperlink w:anchor="_Toc242554138" w:history="1">
        <w:r w:rsidRPr="00313050">
          <w:rPr>
            <w:rStyle w:val="Hyperlink"/>
          </w:rPr>
          <w:t>Figure 2-2: VCB Integration (common pattern) Detailed Technical Design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_Toc242554138 \h </w:instrText>
        </w:r>
        <w:r w:rsidRPr="00313050">
          <w:rPr>
            <w:rStyle w:val="Hyperlink"/>
            <w:webHidden/>
          </w:rPr>
        </w:r>
        <w:r w:rsidRPr="00313050">
          <w:rPr>
            <w:rStyle w:val="Hyperlink"/>
            <w:webHidden/>
          </w:rPr>
          <w:fldChar w:fldCharType="separate"/>
        </w:r>
        <w:r w:rsidR="00313050" w:rsidRPr="00313050">
          <w:rPr>
            <w:rStyle w:val="Hyperlink"/>
            <w:webHidden/>
          </w:rPr>
          <w:t>21</w:t>
        </w:r>
        <w:r w:rsidRPr="00313050">
          <w:rPr>
            <w:rStyle w:val="Hyperlink"/>
            <w:webHidden/>
          </w:rPr>
          <w:fldChar w:fldCharType="end"/>
        </w:r>
      </w:hyperlink>
    </w:p>
    <w:p w14:paraId="5BE35B2B" w14:textId="0DF775BB" w:rsidR="00FC42E7" w:rsidRPr="00313050" w:rsidRDefault="00FC42E7">
      <w:pPr>
        <w:pStyle w:val="TableofFigures"/>
        <w:tabs>
          <w:tab w:val="right" w:leader="dot" w:pos="9350"/>
        </w:tabs>
        <w:rPr>
          <w:rStyle w:val="Hyperlink"/>
          <w:lang w:val="en-IN" w:eastAsia="en-IN"/>
        </w:rPr>
      </w:pPr>
      <w:hyperlink w:anchor="_Toc242554139" w:history="1">
        <w:r w:rsidRPr="00313050">
          <w:rPr>
            <w:rStyle w:val="Hyperlink"/>
          </w:rPr>
          <w:t>Figure 2-3: VCB Integration (common pattern) Integration Sequence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_Toc242554139 \h </w:instrText>
        </w:r>
        <w:r w:rsidRPr="00313050">
          <w:rPr>
            <w:rStyle w:val="Hyperlink"/>
            <w:webHidden/>
          </w:rPr>
        </w:r>
        <w:r w:rsidRPr="00313050">
          <w:rPr>
            <w:rStyle w:val="Hyperlink"/>
            <w:webHidden/>
          </w:rPr>
          <w:fldChar w:fldCharType="separate"/>
        </w:r>
        <w:r w:rsidR="00313050" w:rsidRPr="00313050">
          <w:rPr>
            <w:rStyle w:val="Hyperlink"/>
            <w:webHidden/>
          </w:rPr>
          <w:t>27</w:t>
        </w:r>
        <w:r w:rsidRPr="00313050">
          <w:rPr>
            <w:rStyle w:val="Hyperlink"/>
            <w:webHidden/>
          </w:rPr>
          <w:fldChar w:fldCharType="end"/>
        </w:r>
      </w:hyperlink>
    </w:p>
    <w:p w14:paraId="3C2D5A3C" w14:textId="743A469A" w:rsidR="00FC42E7" w:rsidRPr="00313050" w:rsidRDefault="00FC42E7">
      <w:pPr>
        <w:pStyle w:val="TableofFigures"/>
        <w:tabs>
          <w:tab w:val="right" w:leader="dot" w:pos="9350"/>
        </w:tabs>
        <w:rPr>
          <w:rStyle w:val="Hyperlink"/>
          <w:lang w:val="en-IN" w:eastAsia="en-IN"/>
        </w:rPr>
      </w:pPr>
      <w:hyperlink w:anchor="_Toc242554140" w:history="1">
        <w:r w:rsidRPr="00313050">
          <w:rPr>
            <w:rStyle w:val="Hyperlink"/>
          </w:rPr>
          <w:t>Figure 2-4: Blend Component Integration (Analyzer Qualities) High Level Technical Design Diagram (CIP Approach)</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_Toc242554140 \h </w:instrText>
        </w:r>
        <w:r w:rsidRPr="00313050">
          <w:rPr>
            <w:rStyle w:val="Hyperlink"/>
            <w:webHidden/>
          </w:rPr>
        </w:r>
        <w:r w:rsidRPr="00313050">
          <w:rPr>
            <w:rStyle w:val="Hyperlink"/>
            <w:webHidden/>
          </w:rPr>
          <w:fldChar w:fldCharType="separate"/>
        </w:r>
        <w:r w:rsidR="00313050" w:rsidRPr="00313050">
          <w:rPr>
            <w:rStyle w:val="Hyperlink"/>
            <w:webHidden/>
          </w:rPr>
          <w:t>32</w:t>
        </w:r>
        <w:r w:rsidRPr="00313050">
          <w:rPr>
            <w:rStyle w:val="Hyperlink"/>
            <w:webHidden/>
          </w:rPr>
          <w:fldChar w:fldCharType="end"/>
        </w:r>
      </w:hyperlink>
    </w:p>
    <w:p w14:paraId="32EB92EE" w14:textId="3CA110CC" w:rsidR="00FC42E7" w:rsidRPr="00313050" w:rsidRDefault="00FC42E7">
      <w:pPr>
        <w:pStyle w:val="TableofFigures"/>
        <w:tabs>
          <w:tab w:val="right" w:leader="dot" w:pos="9350"/>
        </w:tabs>
        <w:rPr>
          <w:rStyle w:val="Hyperlink"/>
          <w:lang w:val="en-IN" w:eastAsia="en-IN"/>
        </w:rPr>
      </w:pPr>
      <w:hyperlink w:anchor="_Toc242554141" w:history="1">
        <w:r w:rsidRPr="00313050">
          <w:rPr>
            <w:rStyle w:val="Hyperlink"/>
          </w:rPr>
          <w:t>Figure 2-5: Blend Component Integration (Analyzer Qualities) Detailed Technical Design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_Toc242554141 \h </w:instrText>
        </w:r>
        <w:r w:rsidRPr="00313050">
          <w:rPr>
            <w:rStyle w:val="Hyperlink"/>
            <w:webHidden/>
          </w:rPr>
        </w:r>
        <w:r w:rsidRPr="00313050">
          <w:rPr>
            <w:rStyle w:val="Hyperlink"/>
            <w:webHidden/>
          </w:rPr>
          <w:fldChar w:fldCharType="separate"/>
        </w:r>
        <w:r w:rsidR="00313050" w:rsidRPr="00313050">
          <w:rPr>
            <w:rStyle w:val="Hyperlink"/>
            <w:webHidden/>
          </w:rPr>
          <w:t>33</w:t>
        </w:r>
        <w:r w:rsidRPr="00313050">
          <w:rPr>
            <w:rStyle w:val="Hyperlink"/>
            <w:webHidden/>
          </w:rPr>
          <w:fldChar w:fldCharType="end"/>
        </w:r>
      </w:hyperlink>
    </w:p>
    <w:p w14:paraId="127073DA" w14:textId="5E487E7F" w:rsidR="00FC42E7" w:rsidRPr="00313050" w:rsidRDefault="00FC42E7">
      <w:pPr>
        <w:pStyle w:val="TableofFigures"/>
        <w:tabs>
          <w:tab w:val="right" w:leader="dot" w:pos="9350"/>
        </w:tabs>
        <w:rPr>
          <w:rStyle w:val="Hyperlink"/>
          <w:lang w:val="en-IN" w:eastAsia="en-IN"/>
        </w:rPr>
      </w:pPr>
      <w:hyperlink w:anchor="_Toc242554142" w:history="1">
        <w:r w:rsidRPr="00313050">
          <w:rPr>
            <w:rStyle w:val="Hyperlink"/>
          </w:rPr>
          <w:t>Figure 2-6: Blend Component Integration (Analyzer Qualities) Sequence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_Toc242554142 \h </w:instrText>
        </w:r>
        <w:r w:rsidRPr="00313050">
          <w:rPr>
            <w:rStyle w:val="Hyperlink"/>
            <w:webHidden/>
          </w:rPr>
        </w:r>
        <w:r w:rsidRPr="00313050">
          <w:rPr>
            <w:rStyle w:val="Hyperlink"/>
            <w:webHidden/>
          </w:rPr>
          <w:fldChar w:fldCharType="separate"/>
        </w:r>
        <w:r w:rsidR="00313050" w:rsidRPr="00313050">
          <w:rPr>
            <w:rStyle w:val="Hyperlink"/>
            <w:webHidden/>
          </w:rPr>
          <w:t>39</w:t>
        </w:r>
        <w:r w:rsidRPr="00313050">
          <w:rPr>
            <w:rStyle w:val="Hyperlink"/>
            <w:webHidden/>
          </w:rPr>
          <w:fldChar w:fldCharType="end"/>
        </w:r>
      </w:hyperlink>
    </w:p>
    <w:p w14:paraId="7F193F4B" w14:textId="7CC84833" w:rsidR="00FC42E7" w:rsidRPr="00313050" w:rsidRDefault="00FC42E7">
      <w:pPr>
        <w:pStyle w:val="TableofFigures"/>
        <w:tabs>
          <w:tab w:val="right" w:leader="dot" w:pos="9350"/>
        </w:tabs>
        <w:rPr>
          <w:rStyle w:val="Hyperlink"/>
          <w:lang w:val="en-IN" w:eastAsia="en-IN"/>
        </w:rPr>
      </w:pPr>
      <w:hyperlink w:anchor="_Toc242554143" w:history="1">
        <w:r w:rsidRPr="00313050">
          <w:rPr>
            <w:rStyle w:val="Hyperlink"/>
          </w:rPr>
          <w:t>Figure 2-7: Blend Component Integration (Flows) High Level Technical Design Diagram (CIP Approach)</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_Toc242554143 \h </w:instrText>
        </w:r>
        <w:r w:rsidRPr="00313050">
          <w:rPr>
            <w:rStyle w:val="Hyperlink"/>
            <w:webHidden/>
          </w:rPr>
        </w:r>
        <w:r w:rsidRPr="00313050">
          <w:rPr>
            <w:rStyle w:val="Hyperlink"/>
            <w:webHidden/>
          </w:rPr>
          <w:fldChar w:fldCharType="separate"/>
        </w:r>
        <w:r w:rsidR="00313050" w:rsidRPr="00313050">
          <w:rPr>
            <w:rStyle w:val="Hyperlink"/>
            <w:webHidden/>
          </w:rPr>
          <w:t>45</w:t>
        </w:r>
        <w:r w:rsidRPr="00313050">
          <w:rPr>
            <w:rStyle w:val="Hyperlink"/>
            <w:webHidden/>
          </w:rPr>
          <w:fldChar w:fldCharType="end"/>
        </w:r>
      </w:hyperlink>
    </w:p>
    <w:p w14:paraId="069E1CEE" w14:textId="5F6324CF" w:rsidR="00FC42E7" w:rsidRPr="00313050" w:rsidRDefault="00FC42E7">
      <w:pPr>
        <w:pStyle w:val="TableofFigures"/>
        <w:tabs>
          <w:tab w:val="right" w:leader="dot" w:pos="9350"/>
        </w:tabs>
        <w:rPr>
          <w:rStyle w:val="Hyperlink"/>
          <w:lang w:val="en-IN" w:eastAsia="en-IN"/>
        </w:rPr>
      </w:pPr>
      <w:hyperlink w:anchor="_Toc242554144" w:history="1">
        <w:r w:rsidRPr="00313050">
          <w:rPr>
            <w:rStyle w:val="Hyperlink"/>
          </w:rPr>
          <w:t>Figure 2-8: Blend Component Integration (Flows) Detailed Technical Design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_Toc242554144 \h </w:instrText>
        </w:r>
        <w:r w:rsidRPr="00313050">
          <w:rPr>
            <w:rStyle w:val="Hyperlink"/>
            <w:webHidden/>
          </w:rPr>
        </w:r>
        <w:r w:rsidRPr="00313050">
          <w:rPr>
            <w:rStyle w:val="Hyperlink"/>
            <w:webHidden/>
          </w:rPr>
          <w:fldChar w:fldCharType="separate"/>
        </w:r>
        <w:r w:rsidR="00313050" w:rsidRPr="00313050">
          <w:rPr>
            <w:rStyle w:val="Hyperlink"/>
            <w:webHidden/>
          </w:rPr>
          <w:t>46</w:t>
        </w:r>
        <w:r w:rsidRPr="00313050">
          <w:rPr>
            <w:rStyle w:val="Hyperlink"/>
            <w:webHidden/>
          </w:rPr>
          <w:fldChar w:fldCharType="end"/>
        </w:r>
      </w:hyperlink>
    </w:p>
    <w:p w14:paraId="7AC89386" w14:textId="0FB4AF69" w:rsidR="00FC42E7" w:rsidRPr="00313050" w:rsidRDefault="00FC42E7">
      <w:pPr>
        <w:pStyle w:val="TableofFigures"/>
        <w:tabs>
          <w:tab w:val="right" w:leader="dot" w:pos="9350"/>
        </w:tabs>
        <w:rPr>
          <w:rStyle w:val="Hyperlink"/>
          <w:lang w:val="en-IN" w:eastAsia="en-IN"/>
        </w:rPr>
      </w:pPr>
      <w:hyperlink w:anchor="_Toc242554145" w:history="1">
        <w:r w:rsidRPr="00313050">
          <w:rPr>
            <w:rStyle w:val="Hyperlink"/>
          </w:rPr>
          <w:t>Figure 2-9: Blend Component Integration (Flows) Sequence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_Toc242554145 \h </w:instrText>
        </w:r>
        <w:r w:rsidRPr="00313050">
          <w:rPr>
            <w:rStyle w:val="Hyperlink"/>
            <w:webHidden/>
          </w:rPr>
        </w:r>
        <w:r w:rsidRPr="00313050">
          <w:rPr>
            <w:rStyle w:val="Hyperlink"/>
            <w:webHidden/>
          </w:rPr>
          <w:fldChar w:fldCharType="separate"/>
        </w:r>
        <w:r w:rsidR="00313050" w:rsidRPr="00313050">
          <w:rPr>
            <w:rStyle w:val="Hyperlink"/>
            <w:webHidden/>
          </w:rPr>
          <w:t>48</w:t>
        </w:r>
        <w:r w:rsidRPr="00313050">
          <w:rPr>
            <w:rStyle w:val="Hyperlink"/>
            <w:webHidden/>
          </w:rPr>
          <w:fldChar w:fldCharType="end"/>
        </w:r>
      </w:hyperlink>
    </w:p>
    <w:p w14:paraId="7BD07D4D" w14:textId="066A5A9C" w:rsidR="00FC42E7" w:rsidRPr="00313050" w:rsidRDefault="00FC42E7">
      <w:pPr>
        <w:pStyle w:val="TableofFigures"/>
        <w:tabs>
          <w:tab w:val="right" w:leader="dot" w:pos="9350"/>
        </w:tabs>
        <w:rPr>
          <w:rStyle w:val="Hyperlink"/>
          <w:lang w:val="en-IN" w:eastAsia="en-IN"/>
        </w:rPr>
      </w:pPr>
      <w:hyperlink w:anchor="_Toc242554146" w:history="1">
        <w:r w:rsidRPr="00313050">
          <w:rPr>
            <w:rStyle w:val="Hyperlink"/>
          </w:rPr>
          <w:t>Figure 2-10: PriceCost Integration High Level Technical Design Diagram (CIP Approach)</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_Toc242554146 \h </w:instrText>
        </w:r>
        <w:r w:rsidRPr="00313050">
          <w:rPr>
            <w:rStyle w:val="Hyperlink"/>
            <w:webHidden/>
          </w:rPr>
        </w:r>
        <w:r w:rsidRPr="00313050">
          <w:rPr>
            <w:rStyle w:val="Hyperlink"/>
            <w:webHidden/>
          </w:rPr>
          <w:fldChar w:fldCharType="separate"/>
        </w:r>
        <w:r w:rsidR="00313050" w:rsidRPr="00313050">
          <w:rPr>
            <w:rStyle w:val="Hyperlink"/>
            <w:webHidden/>
          </w:rPr>
          <w:t>49</w:t>
        </w:r>
        <w:r w:rsidRPr="00313050">
          <w:rPr>
            <w:rStyle w:val="Hyperlink"/>
            <w:webHidden/>
          </w:rPr>
          <w:fldChar w:fldCharType="end"/>
        </w:r>
      </w:hyperlink>
    </w:p>
    <w:p w14:paraId="0863FC78" w14:textId="55D4D4D4" w:rsidR="00FC42E7" w:rsidRPr="00313050" w:rsidRDefault="00FC42E7">
      <w:pPr>
        <w:pStyle w:val="TableofFigures"/>
        <w:tabs>
          <w:tab w:val="right" w:leader="dot" w:pos="9350"/>
        </w:tabs>
        <w:rPr>
          <w:rStyle w:val="Hyperlink"/>
          <w:lang w:val="en-IN" w:eastAsia="en-IN"/>
        </w:rPr>
      </w:pPr>
      <w:hyperlink w:anchor="_Toc242554147" w:history="1">
        <w:r w:rsidRPr="00313050">
          <w:rPr>
            <w:rStyle w:val="Hyperlink"/>
          </w:rPr>
          <w:t>Figure 2-11: PriceCost Integration Detailed Technical Design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_Toc242554147 \h </w:instrText>
        </w:r>
        <w:r w:rsidRPr="00313050">
          <w:rPr>
            <w:rStyle w:val="Hyperlink"/>
            <w:webHidden/>
          </w:rPr>
        </w:r>
        <w:r w:rsidRPr="00313050">
          <w:rPr>
            <w:rStyle w:val="Hyperlink"/>
            <w:webHidden/>
          </w:rPr>
          <w:fldChar w:fldCharType="separate"/>
        </w:r>
        <w:r w:rsidR="00313050" w:rsidRPr="00313050">
          <w:rPr>
            <w:rStyle w:val="Hyperlink"/>
            <w:webHidden/>
          </w:rPr>
          <w:t>50</w:t>
        </w:r>
        <w:r w:rsidRPr="00313050">
          <w:rPr>
            <w:rStyle w:val="Hyperlink"/>
            <w:webHidden/>
          </w:rPr>
          <w:fldChar w:fldCharType="end"/>
        </w:r>
      </w:hyperlink>
    </w:p>
    <w:p w14:paraId="7ED9470E" w14:textId="2F9C31C0" w:rsidR="00FC42E7" w:rsidRPr="00313050" w:rsidRDefault="00FC42E7">
      <w:pPr>
        <w:pStyle w:val="TableofFigures"/>
        <w:tabs>
          <w:tab w:val="right" w:leader="dot" w:pos="9350"/>
        </w:tabs>
        <w:rPr>
          <w:rStyle w:val="Hyperlink"/>
          <w:lang w:val="en-IN" w:eastAsia="en-IN"/>
        </w:rPr>
      </w:pPr>
      <w:hyperlink w:anchor="_Toc242554148" w:history="1">
        <w:r w:rsidRPr="00313050">
          <w:rPr>
            <w:rStyle w:val="Hyperlink"/>
          </w:rPr>
          <w:t>Figure 2-12: PriceCost Integration Sequence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_Toc242554148 \h </w:instrText>
        </w:r>
        <w:r w:rsidRPr="00313050">
          <w:rPr>
            <w:rStyle w:val="Hyperlink"/>
            <w:webHidden/>
          </w:rPr>
        </w:r>
        <w:r w:rsidRPr="00313050">
          <w:rPr>
            <w:rStyle w:val="Hyperlink"/>
            <w:webHidden/>
          </w:rPr>
          <w:fldChar w:fldCharType="separate"/>
        </w:r>
        <w:r w:rsidR="00313050" w:rsidRPr="00313050">
          <w:rPr>
            <w:rStyle w:val="Hyperlink"/>
            <w:webHidden/>
          </w:rPr>
          <w:t>54</w:t>
        </w:r>
        <w:r w:rsidRPr="00313050">
          <w:rPr>
            <w:rStyle w:val="Hyperlink"/>
            <w:webHidden/>
          </w:rPr>
          <w:fldChar w:fldCharType="end"/>
        </w:r>
      </w:hyperlink>
    </w:p>
    <w:p w14:paraId="7087DE84" w14:textId="7821E525" w:rsidR="00FC42E7" w:rsidRPr="00313050" w:rsidRDefault="00FC42E7">
      <w:pPr>
        <w:pStyle w:val="TableofFigures"/>
        <w:tabs>
          <w:tab w:val="right" w:leader="dot" w:pos="9350"/>
        </w:tabs>
        <w:rPr>
          <w:rStyle w:val="Hyperlink"/>
          <w:lang w:val="en-IN" w:eastAsia="en-IN"/>
        </w:rPr>
      </w:pPr>
      <w:hyperlink w:anchor="_Toc242554149" w:history="1">
        <w:r w:rsidRPr="00313050">
          <w:rPr>
            <w:rStyle w:val="Hyperlink"/>
          </w:rPr>
          <w:t>Figure 2-13: Blend Component Movement Integration High Level Technical Design Diagram (CIP Approach)</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_Toc242554149 \h </w:instrText>
        </w:r>
        <w:r w:rsidRPr="00313050">
          <w:rPr>
            <w:rStyle w:val="Hyperlink"/>
            <w:webHidden/>
          </w:rPr>
        </w:r>
        <w:r w:rsidRPr="00313050">
          <w:rPr>
            <w:rStyle w:val="Hyperlink"/>
            <w:webHidden/>
          </w:rPr>
          <w:fldChar w:fldCharType="separate"/>
        </w:r>
        <w:r w:rsidR="00313050" w:rsidRPr="00313050">
          <w:rPr>
            <w:rStyle w:val="Hyperlink"/>
            <w:webHidden/>
          </w:rPr>
          <w:t>59</w:t>
        </w:r>
        <w:r w:rsidRPr="00313050">
          <w:rPr>
            <w:rStyle w:val="Hyperlink"/>
            <w:webHidden/>
          </w:rPr>
          <w:fldChar w:fldCharType="end"/>
        </w:r>
      </w:hyperlink>
    </w:p>
    <w:p w14:paraId="277066AA" w14:textId="035890BA" w:rsidR="00FC42E7" w:rsidRPr="00313050" w:rsidRDefault="00FC42E7">
      <w:pPr>
        <w:pStyle w:val="TableofFigures"/>
        <w:tabs>
          <w:tab w:val="right" w:leader="dot" w:pos="9350"/>
        </w:tabs>
        <w:rPr>
          <w:rStyle w:val="Hyperlink"/>
          <w:lang w:val="en-IN" w:eastAsia="en-IN"/>
        </w:rPr>
      </w:pPr>
      <w:hyperlink w:anchor="_Toc242554150" w:history="1">
        <w:r w:rsidRPr="00313050">
          <w:rPr>
            <w:rStyle w:val="Hyperlink"/>
          </w:rPr>
          <w:t>Figure 2-14: Blend Component Movement Integration Detailed Technical Design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_Toc242554150 \h </w:instrText>
        </w:r>
        <w:r w:rsidRPr="00313050">
          <w:rPr>
            <w:rStyle w:val="Hyperlink"/>
            <w:webHidden/>
          </w:rPr>
        </w:r>
        <w:r w:rsidRPr="00313050">
          <w:rPr>
            <w:rStyle w:val="Hyperlink"/>
            <w:webHidden/>
          </w:rPr>
          <w:fldChar w:fldCharType="separate"/>
        </w:r>
        <w:r w:rsidR="00313050" w:rsidRPr="00313050">
          <w:rPr>
            <w:rStyle w:val="Hyperlink"/>
            <w:webHidden/>
          </w:rPr>
          <w:t>60</w:t>
        </w:r>
        <w:r w:rsidRPr="00313050">
          <w:rPr>
            <w:rStyle w:val="Hyperlink"/>
            <w:webHidden/>
          </w:rPr>
          <w:fldChar w:fldCharType="end"/>
        </w:r>
      </w:hyperlink>
    </w:p>
    <w:p w14:paraId="1E1F5337" w14:textId="43FC5B6D" w:rsidR="00FC42E7" w:rsidRPr="00313050" w:rsidRDefault="00FC42E7">
      <w:pPr>
        <w:pStyle w:val="TableofFigures"/>
        <w:tabs>
          <w:tab w:val="right" w:leader="dot" w:pos="9350"/>
        </w:tabs>
        <w:rPr>
          <w:rStyle w:val="Hyperlink"/>
          <w:lang w:val="en-IN" w:eastAsia="en-IN"/>
        </w:rPr>
      </w:pPr>
      <w:hyperlink w:anchor="_Toc242554151" w:history="1">
        <w:r w:rsidRPr="00313050">
          <w:rPr>
            <w:rStyle w:val="Hyperlink"/>
          </w:rPr>
          <w:t>Figure 2-15: Blend Component Movement Integration Sequence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_Toc242554151 \h </w:instrText>
        </w:r>
        <w:r w:rsidRPr="00313050">
          <w:rPr>
            <w:rStyle w:val="Hyperlink"/>
            <w:webHidden/>
          </w:rPr>
        </w:r>
        <w:r w:rsidRPr="00313050">
          <w:rPr>
            <w:rStyle w:val="Hyperlink"/>
            <w:webHidden/>
          </w:rPr>
          <w:fldChar w:fldCharType="separate"/>
        </w:r>
        <w:r w:rsidR="00313050" w:rsidRPr="00313050">
          <w:rPr>
            <w:rStyle w:val="Hyperlink"/>
            <w:webHidden/>
          </w:rPr>
          <w:t>65</w:t>
        </w:r>
        <w:r w:rsidRPr="00313050">
          <w:rPr>
            <w:rStyle w:val="Hyperlink"/>
            <w:webHidden/>
          </w:rPr>
          <w:fldChar w:fldCharType="end"/>
        </w:r>
      </w:hyperlink>
    </w:p>
    <w:p w14:paraId="32C81516" w14:textId="73BA5C48" w:rsidR="00FC42E7" w:rsidRPr="00313050" w:rsidRDefault="00FC42E7">
      <w:pPr>
        <w:pStyle w:val="TableofFigures"/>
        <w:tabs>
          <w:tab w:val="right" w:leader="dot" w:pos="9350"/>
        </w:tabs>
        <w:rPr>
          <w:rStyle w:val="Hyperlink"/>
          <w:lang w:val="en-IN" w:eastAsia="en-IN"/>
        </w:rPr>
      </w:pPr>
      <w:hyperlink w:anchor="_Toc242554152" w:history="1">
        <w:r w:rsidRPr="00313050">
          <w:rPr>
            <w:rStyle w:val="Hyperlink"/>
          </w:rPr>
          <w:t>Figure 2-16: Waiver Selection High Level Technical Design Diagram (CIP Approach)</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_Toc242554152 \h </w:instrText>
        </w:r>
        <w:r w:rsidRPr="00313050">
          <w:rPr>
            <w:rStyle w:val="Hyperlink"/>
            <w:webHidden/>
          </w:rPr>
        </w:r>
        <w:r w:rsidRPr="00313050">
          <w:rPr>
            <w:rStyle w:val="Hyperlink"/>
            <w:webHidden/>
          </w:rPr>
          <w:fldChar w:fldCharType="separate"/>
        </w:r>
        <w:r w:rsidR="00313050" w:rsidRPr="00313050">
          <w:rPr>
            <w:rStyle w:val="Hyperlink"/>
            <w:webHidden/>
          </w:rPr>
          <w:t>72</w:t>
        </w:r>
        <w:r w:rsidRPr="00313050">
          <w:rPr>
            <w:rStyle w:val="Hyperlink"/>
            <w:webHidden/>
          </w:rPr>
          <w:fldChar w:fldCharType="end"/>
        </w:r>
      </w:hyperlink>
    </w:p>
    <w:p w14:paraId="40DDB7FF" w14:textId="11BEB239" w:rsidR="00FC42E7" w:rsidRPr="00313050" w:rsidRDefault="00FC42E7">
      <w:pPr>
        <w:pStyle w:val="TableofFigures"/>
        <w:tabs>
          <w:tab w:val="right" w:leader="dot" w:pos="9350"/>
        </w:tabs>
        <w:rPr>
          <w:rStyle w:val="Hyperlink"/>
          <w:lang w:val="en-IN" w:eastAsia="en-IN"/>
        </w:rPr>
      </w:pPr>
      <w:hyperlink w:anchor="_Toc242554153" w:history="1">
        <w:r w:rsidRPr="00313050">
          <w:rPr>
            <w:rStyle w:val="Hyperlink"/>
          </w:rPr>
          <w:t>Figure 2-17: Waiver Selection Detailed Technical Design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_Toc242554153 \h </w:instrText>
        </w:r>
        <w:r w:rsidRPr="00313050">
          <w:rPr>
            <w:rStyle w:val="Hyperlink"/>
            <w:webHidden/>
          </w:rPr>
        </w:r>
        <w:r w:rsidRPr="00313050">
          <w:rPr>
            <w:rStyle w:val="Hyperlink"/>
            <w:webHidden/>
          </w:rPr>
          <w:fldChar w:fldCharType="separate"/>
        </w:r>
        <w:r w:rsidR="00313050" w:rsidRPr="00313050">
          <w:rPr>
            <w:rStyle w:val="Hyperlink"/>
            <w:webHidden/>
          </w:rPr>
          <w:t>73</w:t>
        </w:r>
        <w:r w:rsidRPr="00313050">
          <w:rPr>
            <w:rStyle w:val="Hyperlink"/>
            <w:webHidden/>
          </w:rPr>
          <w:fldChar w:fldCharType="end"/>
        </w:r>
      </w:hyperlink>
    </w:p>
    <w:p w14:paraId="14E884A9" w14:textId="323EA91C" w:rsidR="00FC42E7" w:rsidRPr="00313050" w:rsidRDefault="00FC42E7">
      <w:pPr>
        <w:pStyle w:val="TableofFigures"/>
        <w:tabs>
          <w:tab w:val="right" w:leader="dot" w:pos="9350"/>
        </w:tabs>
        <w:rPr>
          <w:rStyle w:val="Hyperlink"/>
          <w:lang w:val="en-IN" w:eastAsia="en-IN"/>
        </w:rPr>
      </w:pPr>
      <w:hyperlink w:anchor="_Toc242554154" w:history="1">
        <w:r w:rsidRPr="00313050">
          <w:rPr>
            <w:rStyle w:val="Hyperlink"/>
          </w:rPr>
          <w:t>Figure 2-18: Waiver Selection Sequence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_Toc242554154 \h </w:instrText>
        </w:r>
        <w:r w:rsidRPr="00313050">
          <w:rPr>
            <w:rStyle w:val="Hyperlink"/>
            <w:webHidden/>
          </w:rPr>
        </w:r>
        <w:r w:rsidRPr="00313050">
          <w:rPr>
            <w:rStyle w:val="Hyperlink"/>
            <w:webHidden/>
          </w:rPr>
          <w:fldChar w:fldCharType="separate"/>
        </w:r>
        <w:r w:rsidR="00313050" w:rsidRPr="00313050">
          <w:rPr>
            <w:rStyle w:val="Hyperlink"/>
            <w:webHidden/>
          </w:rPr>
          <w:t>78</w:t>
        </w:r>
        <w:r w:rsidRPr="00313050">
          <w:rPr>
            <w:rStyle w:val="Hyperlink"/>
            <w:webHidden/>
          </w:rPr>
          <w:fldChar w:fldCharType="end"/>
        </w:r>
      </w:hyperlink>
    </w:p>
    <w:p w14:paraId="373604C3" w14:textId="081EF86C" w:rsidR="00FC42E7" w:rsidRPr="00313050" w:rsidRDefault="00FC42E7">
      <w:pPr>
        <w:pStyle w:val="TableofFigures"/>
        <w:tabs>
          <w:tab w:val="right" w:leader="dot" w:pos="9350"/>
        </w:tabs>
        <w:rPr>
          <w:rStyle w:val="Hyperlink"/>
          <w:lang w:val="en-IN" w:eastAsia="en-IN"/>
        </w:rPr>
      </w:pPr>
      <w:hyperlink w:anchor="_Toc242554155" w:history="1">
        <w:r w:rsidRPr="00313050">
          <w:rPr>
            <w:rStyle w:val="Hyperlink"/>
          </w:rPr>
          <w:t>Figure 2-19: Profisee Data Mapping High Level Technical Design Diagram (CIP Approach)</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_Toc242554155 \h </w:instrText>
        </w:r>
        <w:r w:rsidRPr="00313050">
          <w:rPr>
            <w:rStyle w:val="Hyperlink"/>
            <w:webHidden/>
          </w:rPr>
        </w:r>
        <w:r w:rsidRPr="00313050">
          <w:rPr>
            <w:rStyle w:val="Hyperlink"/>
            <w:webHidden/>
          </w:rPr>
          <w:fldChar w:fldCharType="separate"/>
        </w:r>
        <w:r w:rsidR="00313050" w:rsidRPr="00313050">
          <w:rPr>
            <w:rStyle w:val="Hyperlink"/>
            <w:webHidden/>
          </w:rPr>
          <w:t>82</w:t>
        </w:r>
        <w:r w:rsidRPr="00313050">
          <w:rPr>
            <w:rStyle w:val="Hyperlink"/>
            <w:webHidden/>
          </w:rPr>
          <w:fldChar w:fldCharType="end"/>
        </w:r>
      </w:hyperlink>
    </w:p>
    <w:p w14:paraId="2E617D9D" w14:textId="6F1B4914" w:rsidR="00FC42E7" w:rsidRPr="00313050" w:rsidRDefault="00FC42E7">
      <w:pPr>
        <w:pStyle w:val="TableofFigures"/>
        <w:tabs>
          <w:tab w:val="right" w:leader="dot" w:pos="9350"/>
        </w:tabs>
        <w:rPr>
          <w:rStyle w:val="Hyperlink"/>
          <w:lang w:val="en-IN" w:eastAsia="en-IN"/>
        </w:rPr>
      </w:pPr>
      <w:hyperlink w:anchor="_Toc242554156" w:history="1">
        <w:r w:rsidRPr="00313050">
          <w:rPr>
            <w:rStyle w:val="Hyperlink"/>
          </w:rPr>
          <w:t>Figure 2-20: Profisee Data Mapping Detailed Technical Design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_Toc242554156 \h </w:instrText>
        </w:r>
        <w:r w:rsidRPr="00313050">
          <w:rPr>
            <w:rStyle w:val="Hyperlink"/>
            <w:webHidden/>
          </w:rPr>
        </w:r>
        <w:r w:rsidRPr="00313050">
          <w:rPr>
            <w:rStyle w:val="Hyperlink"/>
            <w:webHidden/>
          </w:rPr>
          <w:fldChar w:fldCharType="separate"/>
        </w:r>
        <w:r w:rsidR="00313050" w:rsidRPr="00313050">
          <w:rPr>
            <w:rStyle w:val="Hyperlink"/>
            <w:webHidden/>
          </w:rPr>
          <w:t>83</w:t>
        </w:r>
        <w:r w:rsidRPr="00313050">
          <w:rPr>
            <w:rStyle w:val="Hyperlink"/>
            <w:webHidden/>
          </w:rPr>
          <w:fldChar w:fldCharType="end"/>
        </w:r>
      </w:hyperlink>
    </w:p>
    <w:p w14:paraId="6D1CC287" w14:textId="7A7F0726" w:rsidR="00FC42E7" w:rsidRPr="00313050" w:rsidRDefault="00FC42E7">
      <w:pPr>
        <w:pStyle w:val="TableofFigures"/>
        <w:tabs>
          <w:tab w:val="right" w:leader="dot" w:pos="9350"/>
        </w:tabs>
        <w:rPr>
          <w:rStyle w:val="Hyperlink"/>
          <w:lang w:val="en-IN" w:eastAsia="en-IN"/>
        </w:rPr>
      </w:pPr>
      <w:hyperlink w:anchor="_Toc242554157" w:history="1">
        <w:r w:rsidRPr="00313050">
          <w:rPr>
            <w:rStyle w:val="Hyperlink"/>
          </w:rPr>
          <w:t>Figure 2-21: Profisee Data Mapping Sequence Diagram</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_Toc242554157 \h </w:instrText>
        </w:r>
        <w:r w:rsidRPr="00313050">
          <w:rPr>
            <w:rStyle w:val="Hyperlink"/>
            <w:webHidden/>
          </w:rPr>
        </w:r>
        <w:r w:rsidRPr="00313050">
          <w:rPr>
            <w:rStyle w:val="Hyperlink"/>
            <w:webHidden/>
          </w:rPr>
          <w:fldChar w:fldCharType="separate"/>
        </w:r>
        <w:r w:rsidR="00313050" w:rsidRPr="00313050">
          <w:rPr>
            <w:rStyle w:val="Hyperlink"/>
            <w:webHidden/>
          </w:rPr>
          <w:t>86</w:t>
        </w:r>
        <w:r w:rsidRPr="00313050">
          <w:rPr>
            <w:rStyle w:val="Hyperlink"/>
            <w:webHidden/>
          </w:rPr>
          <w:fldChar w:fldCharType="end"/>
        </w:r>
      </w:hyperlink>
    </w:p>
    <w:p w14:paraId="035FB4BA" w14:textId="2C3CA0E7" w:rsidR="00FC42E7" w:rsidRPr="00313050" w:rsidRDefault="00FC42E7">
      <w:pPr>
        <w:pStyle w:val="TableofFigures"/>
        <w:tabs>
          <w:tab w:val="right" w:leader="dot" w:pos="9350"/>
        </w:tabs>
        <w:rPr>
          <w:rStyle w:val="Hyperlink"/>
          <w:lang w:val="en-IN" w:eastAsia="en-IN"/>
        </w:rPr>
      </w:pPr>
      <w:hyperlink w:anchor="_Toc242554158" w:history="1">
        <w:r w:rsidRPr="00313050">
          <w:rPr>
            <w:rStyle w:val="Hyperlink"/>
          </w:rPr>
          <w:t>Figure 3-1: VCB Data Platform - Layered Architecture and Data Flow</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_Toc242554158 \h </w:instrText>
        </w:r>
        <w:r w:rsidRPr="00313050">
          <w:rPr>
            <w:rStyle w:val="Hyperlink"/>
            <w:webHidden/>
          </w:rPr>
        </w:r>
        <w:r w:rsidRPr="00313050">
          <w:rPr>
            <w:rStyle w:val="Hyperlink"/>
            <w:webHidden/>
          </w:rPr>
          <w:fldChar w:fldCharType="separate"/>
        </w:r>
        <w:r w:rsidR="00313050" w:rsidRPr="00313050">
          <w:rPr>
            <w:rStyle w:val="Hyperlink"/>
            <w:webHidden/>
          </w:rPr>
          <w:t>101</w:t>
        </w:r>
        <w:r w:rsidRPr="00313050">
          <w:rPr>
            <w:rStyle w:val="Hyperlink"/>
            <w:webHidden/>
          </w:rPr>
          <w:fldChar w:fldCharType="end"/>
        </w:r>
      </w:hyperlink>
    </w:p>
    <w:p w14:paraId="09A4E478" w14:textId="778A36F5" w:rsidR="00FC42E7" w:rsidRPr="00313050" w:rsidRDefault="00FC42E7">
      <w:pPr>
        <w:pStyle w:val="TableofFigures"/>
        <w:tabs>
          <w:tab w:val="right" w:leader="dot" w:pos="9350"/>
        </w:tabs>
        <w:rPr>
          <w:rStyle w:val="Hyperlink"/>
          <w:lang w:val="en-IN" w:eastAsia="en-IN"/>
        </w:rPr>
      </w:pPr>
      <w:hyperlink w:anchor="_Toc242554159" w:history="1">
        <w:r w:rsidRPr="00313050">
          <w:rPr>
            <w:rStyle w:val="Hyperlink"/>
          </w:rPr>
          <w:t>Figure 3-2: VCB Logical Data Model (IQDM Tables and VCB Integration Target Tables)</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_Toc242554159 \h </w:instrText>
        </w:r>
        <w:r w:rsidRPr="00313050">
          <w:rPr>
            <w:rStyle w:val="Hyperlink"/>
            <w:webHidden/>
          </w:rPr>
        </w:r>
        <w:r w:rsidRPr="00313050">
          <w:rPr>
            <w:rStyle w:val="Hyperlink"/>
            <w:webHidden/>
          </w:rPr>
          <w:fldChar w:fldCharType="separate"/>
        </w:r>
        <w:r w:rsidR="00313050" w:rsidRPr="00313050">
          <w:rPr>
            <w:rStyle w:val="Hyperlink"/>
            <w:webHidden/>
          </w:rPr>
          <w:t>109</w:t>
        </w:r>
        <w:r w:rsidRPr="00313050">
          <w:rPr>
            <w:rStyle w:val="Hyperlink"/>
            <w:webHidden/>
          </w:rPr>
          <w:fldChar w:fldCharType="end"/>
        </w:r>
      </w:hyperlink>
    </w:p>
    <w:p w14:paraId="15DD791B" w14:textId="2269A0D1" w:rsidR="00FC42E7" w:rsidRPr="00313050" w:rsidRDefault="00FC42E7">
      <w:pPr>
        <w:pStyle w:val="TableofFigures"/>
        <w:tabs>
          <w:tab w:val="right" w:leader="dot" w:pos="9350"/>
        </w:tabs>
        <w:rPr>
          <w:rStyle w:val="Hyperlink"/>
          <w:lang w:val="en-IN" w:eastAsia="en-IN"/>
        </w:rPr>
      </w:pPr>
      <w:hyperlink w:anchor="_Toc242554160" w:history="1">
        <w:r w:rsidRPr="00313050">
          <w:rPr>
            <w:rStyle w:val="Hyperlink"/>
          </w:rPr>
          <w:t>Figure 4-1: Power BI Architecture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_Toc242554160 \h </w:instrText>
        </w:r>
        <w:r w:rsidRPr="00313050">
          <w:rPr>
            <w:rStyle w:val="Hyperlink"/>
            <w:webHidden/>
          </w:rPr>
        </w:r>
        <w:r w:rsidRPr="00313050">
          <w:rPr>
            <w:rStyle w:val="Hyperlink"/>
            <w:webHidden/>
          </w:rPr>
          <w:fldChar w:fldCharType="separate"/>
        </w:r>
        <w:r w:rsidR="00313050" w:rsidRPr="00313050">
          <w:rPr>
            <w:rStyle w:val="Hyperlink"/>
            <w:webHidden/>
          </w:rPr>
          <w:t>131</w:t>
        </w:r>
        <w:r w:rsidRPr="00313050">
          <w:rPr>
            <w:rStyle w:val="Hyperlink"/>
            <w:webHidden/>
          </w:rPr>
          <w:fldChar w:fldCharType="end"/>
        </w:r>
      </w:hyperlink>
    </w:p>
    <w:p w14:paraId="6C7BCC69" w14:textId="39C29E85" w:rsidR="00FC42E7" w:rsidRPr="00313050" w:rsidRDefault="00FC42E7">
      <w:pPr>
        <w:pStyle w:val="TableofFigures"/>
        <w:tabs>
          <w:tab w:val="right" w:leader="dot" w:pos="9350"/>
        </w:tabs>
        <w:rPr>
          <w:rStyle w:val="Hyperlink"/>
          <w:lang w:val="en-IN" w:eastAsia="en-IN"/>
        </w:rPr>
      </w:pPr>
      <w:hyperlink w:anchor="_Toc242554161" w:history="1">
        <w:r w:rsidRPr="00313050">
          <w:rPr>
            <w:rStyle w:val="Hyperlink"/>
          </w:rPr>
          <w:t>Figure 4-2: VCB Semantic Model (Star Schema)</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_Toc242554161 \h </w:instrText>
        </w:r>
        <w:r w:rsidRPr="00313050">
          <w:rPr>
            <w:rStyle w:val="Hyperlink"/>
            <w:webHidden/>
          </w:rPr>
        </w:r>
        <w:r w:rsidRPr="00313050">
          <w:rPr>
            <w:rStyle w:val="Hyperlink"/>
            <w:webHidden/>
          </w:rPr>
          <w:fldChar w:fldCharType="separate"/>
        </w:r>
        <w:r w:rsidR="00313050" w:rsidRPr="00313050">
          <w:rPr>
            <w:rStyle w:val="Hyperlink"/>
            <w:webHidden/>
          </w:rPr>
          <w:t>133</w:t>
        </w:r>
        <w:r w:rsidRPr="00313050">
          <w:rPr>
            <w:rStyle w:val="Hyperlink"/>
            <w:webHidden/>
          </w:rPr>
          <w:fldChar w:fldCharType="end"/>
        </w:r>
      </w:hyperlink>
    </w:p>
    <w:p w14:paraId="645DBC8C" w14:textId="701E685A" w:rsidR="00FC42E7" w:rsidRPr="00313050" w:rsidRDefault="00FC42E7">
      <w:pPr>
        <w:pStyle w:val="TableofFigures"/>
        <w:tabs>
          <w:tab w:val="right" w:leader="dot" w:pos="9350"/>
        </w:tabs>
        <w:rPr>
          <w:rStyle w:val="Hyperlink"/>
          <w:lang w:val="en-IN" w:eastAsia="en-IN"/>
        </w:rPr>
      </w:pPr>
      <w:hyperlink w:anchor="_Toc242554162" w:history="1">
        <w:r w:rsidRPr="00313050">
          <w:rPr>
            <w:rStyle w:val="Hyperlink"/>
          </w:rPr>
          <w:t>Figure 4-3: Refinery-Wide Dashboard Wireframe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_Toc242554162 \h </w:instrText>
        </w:r>
        <w:r w:rsidRPr="00313050">
          <w:rPr>
            <w:rStyle w:val="Hyperlink"/>
            <w:webHidden/>
          </w:rPr>
        </w:r>
        <w:r w:rsidRPr="00313050">
          <w:rPr>
            <w:rStyle w:val="Hyperlink"/>
            <w:webHidden/>
          </w:rPr>
          <w:fldChar w:fldCharType="separate"/>
        </w:r>
        <w:r w:rsidR="00313050" w:rsidRPr="00313050">
          <w:rPr>
            <w:rStyle w:val="Hyperlink"/>
            <w:webHidden/>
          </w:rPr>
          <w:t>136</w:t>
        </w:r>
        <w:r w:rsidRPr="00313050">
          <w:rPr>
            <w:rStyle w:val="Hyperlink"/>
            <w:webHidden/>
          </w:rPr>
          <w:fldChar w:fldCharType="end"/>
        </w:r>
      </w:hyperlink>
    </w:p>
    <w:p w14:paraId="7B172FFB" w14:textId="50739C1A" w:rsidR="00FC42E7" w:rsidRPr="00313050" w:rsidRDefault="00FC42E7">
      <w:pPr>
        <w:pStyle w:val="TableofFigures"/>
        <w:tabs>
          <w:tab w:val="right" w:leader="dot" w:pos="9350"/>
        </w:tabs>
        <w:rPr>
          <w:rStyle w:val="Hyperlink"/>
          <w:lang w:val="en-IN" w:eastAsia="en-IN"/>
        </w:rPr>
      </w:pPr>
      <w:hyperlink w:anchor="_Toc242554163" w:history="1">
        <w:r w:rsidRPr="00313050">
          <w:rPr>
            <w:rStyle w:val="Hyperlink"/>
          </w:rPr>
          <w:t>Figure 4-4: Blending Potential Dashboard Wireframe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_Toc242554163 \h </w:instrText>
        </w:r>
        <w:r w:rsidRPr="00313050">
          <w:rPr>
            <w:rStyle w:val="Hyperlink"/>
            <w:webHidden/>
          </w:rPr>
        </w:r>
        <w:r w:rsidRPr="00313050">
          <w:rPr>
            <w:rStyle w:val="Hyperlink"/>
            <w:webHidden/>
          </w:rPr>
          <w:fldChar w:fldCharType="separate"/>
        </w:r>
        <w:r w:rsidR="00313050" w:rsidRPr="00313050">
          <w:rPr>
            <w:rStyle w:val="Hyperlink"/>
            <w:webHidden/>
          </w:rPr>
          <w:t>141</w:t>
        </w:r>
        <w:r w:rsidRPr="00313050">
          <w:rPr>
            <w:rStyle w:val="Hyperlink"/>
            <w:webHidden/>
          </w:rPr>
          <w:fldChar w:fldCharType="end"/>
        </w:r>
      </w:hyperlink>
    </w:p>
    <w:p w14:paraId="4398AA51" w14:textId="358E4337" w:rsidR="00FC42E7" w:rsidRPr="00313050" w:rsidRDefault="00FC42E7">
      <w:pPr>
        <w:pStyle w:val="TableofFigures"/>
        <w:tabs>
          <w:tab w:val="right" w:leader="dot" w:pos="9350"/>
        </w:tabs>
        <w:rPr>
          <w:rStyle w:val="Hyperlink"/>
          <w:lang w:val="en-IN" w:eastAsia="en-IN"/>
        </w:rPr>
      </w:pPr>
      <w:hyperlink w:anchor="_Toc242554164" w:history="1">
        <w:r w:rsidRPr="00313050">
          <w:rPr>
            <w:rStyle w:val="Hyperlink"/>
          </w:rPr>
          <w:t>Figure 4-5: Distillate Dashboard Wireframe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_Toc242554164 \h </w:instrText>
        </w:r>
        <w:r w:rsidRPr="00313050">
          <w:rPr>
            <w:rStyle w:val="Hyperlink"/>
            <w:webHidden/>
          </w:rPr>
        </w:r>
        <w:r w:rsidRPr="00313050">
          <w:rPr>
            <w:rStyle w:val="Hyperlink"/>
            <w:webHidden/>
          </w:rPr>
          <w:fldChar w:fldCharType="separate"/>
        </w:r>
        <w:r w:rsidR="00313050" w:rsidRPr="00313050">
          <w:rPr>
            <w:rStyle w:val="Hyperlink"/>
            <w:webHidden/>
          </w:rPr>
          <w:t>146</w:t>
        </w:r>
        <w:r w:rsidRPr="00313050">
          <w:rPr>
            <w:rStyle w:val="Hyperlink"/>
            <w:webHidden/>
          </w:rPr>
          <w:fldChar w:fldCharType="end"/>
        </w:r>
      </w:hyperlink>
    </w:p>
    <w:p w14:paraId="52CAC243" w14:textId="739D7274" w:rsidR="00FC42E7" w:rsidRPr="00313050" w:rsidRDefault="00FC42E7">
      <w:pPr>
        <w:pStyle w:val="TableofFigures"/>
        <w:tabs>
          <w:tab w:val="right" w:leader="dot" w:pos="9350"/>
        </w:tabs>
        <w:rPr>
          <w:rStyle w:val="Hyperlink"/>
          <w:lang w:val="en-IN" w:eastAsia="en-IN"/>
        </w:rPr>
      </w:pPr>
      <w:hyperlink w:anchor="_Toc242554165" w:history="1">
        <w:r w:rsidRPr="00313050">
          <w:rPr>
            <w:rStyle w:val="Hyperlink"/>
          </w:rPr>
          <w:t>Figure 4-6: Supply Dashboard Wireframe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_Toc242554165 \h </w:instrText>
        </w:r>
        <w:r w:rsidRPr="00313050">
          <w:rPr>
            <w:rStyle w:val="Hyperlink"/>
            <w:webHidden/>
          </w:rPr>
        </w:r>
        <w:r w:rsidRPr="00313050">
          <w:rPr>
            <w:rStyle w:val="Hyperlink"/>
            <w:webHidden/>
          </w:rPr>
          <w:fldChar w:fldCharType="separate"/>
        </w:r>
        <w:r w:rsidR="00313050" w:rsidRPr="00313050">
          <w:rPr>
            <w:rStyle w:val="Hyperlink"/>
            <w:webHidden/>
          </w:rPr>
          <w:t>149</w:t>
        </w:r>
        <w:r w:rsidRPr="00313050">
          <w:rPr>
            <w:rStyle w:val="Hyperlink"/>
            <w:webHidden/>
          </w:rPr>
          <w:fldChar w:fldCharType="end"/>
        </w:r>
      </w:hyperlink>
    </w:p>
    <w:p w14:paraId="478B6034" w14:textId="5F538D9F" w:rsidR="00FC42E7" w:rsidRPr="00313050" w:rsidRDefault="00FC42E7">
      <w:pPr>
        <w:pStyle w:val="TableofFigures"/>
        <w:tabs>
          <w:tab w:val="right" w:leader="dot" w:pos="9350"/>
        </w:tabs>
        <w:rPr>
          <w:rStyle w:val="Hyperlink"/>
          <w:lang w:val="en-IN" w:eastAsia="en-IN"/>
        </w:rPr>
      </w:pPr>
      <w:hyperlink w:anchor="_Toc242554166" w:history="1">
        <w:r w:rsidRPr="00313050">
          <w:rPr>
            <w:rStyle w:val="Hyperlink"/>
          </w:rPr>
          <w:t>Figure 4-7: Gasoline KPI Dashboard Wireframe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_Toc242554166 \h </w:instrText>
        </w:r>
        <w:r w:rsidRPr="00313050">
          <w:rPr>
            <w:rStyle w:val="Hyperlink"/>
            <w:webHidden/>
          </w:rPr>
        </w:r>
        <w:r w:rsidRPr="00313050">
          <w:rPr>
            <w:rStyle w:val="Hyperlink"/>
            <w:webHidden/>
          </w:rPr>
          <w:fldChar w:fldCharType="separate"/>
        </w:r>
        <w:r w:rsidR="00313050" w:rsidRPr="00313050">
          <w:rPr>
            <w:rStyle w:val="Hyperlink"/>
            <w:webHidden/>
          </w:rPr>
          <w:t>153</w:t>
        </w:r>
        <w:r w:rsidRPr="00313050">
          <w:rPr>
            <w:rStyle w:val="Hyperlink"/>
            <w:webHidden/>
          </w:rPr>
          <w:fldChar w:fldCharType="end"/>
        </w:r>
      </w:hyperlink>
    </w:p>
    <w:p w14:paraId="48F678E4" w14:textId="6AA63BAF" w:rsidR="00FC42E7" w:rsidRPr="00313050" w:rsidRDefault="00FC42E7">
      <w:pPr>
        <w:pStyle w:val="TableofFigures"/>
        <w:tabs>
          <w:tab w:val="right" w:leader="dot" w:pos="9350"/>
        </w:tabs>
        <w:rPr>
          <w:rStyle w:val="Hyperlink"/>
          <w:lang w:val="en-IN" w:eastAsia="en-IN"/>
        </w:rPr>
      </w:pPr>
      <w:hyperlink w:anchor="_Toc242554167" w:history="1">
        <w:r w:rsidRPr="00313050">
          <w:rPr>
            <w:rStyle w:val="Hyperlink"/>
          </w:rPr>
          <w:t>Figure 4-8: Distillate KPI Dashboard Wireframe</w:t>
        </w:r>
        <w:r w:rsidRPr="00313050">
          <w:rPr>
            <w:rStyle w:val="Hyperlink"/>
            <w:webHidden/>
          </w:rPr>
          <w:tab/>
        </w:r>
        <w:r w:rsidRPr="00313050">
          <w:rPr>
            <w:rStyle w:val="Hyperlink"/>
            <w:webHidden/>
          </w:rPr>
          <w:fldChar w:fldCharType="begin"/>
        </w:r>
        <w:r w:rsidRPr="00313050">
          <w:rPr>
            <w:rStyle w:val="Hyperlink"/>
            <w:webHidden/>
          </w:rPr>
          <w:instrText xml:space="preserve"> PAGEREF _Toc242554167 \h </w:instrText>
        </w:r>
        <w:r w:rsidRPr="00313050">
          <w:rPr>
            <w:rStyle w:val="Hyperlink"/>
            <w:webHidden/>
          </w:rPr>
        </w:r>
        <w:r w:rsidRPr="00313050">
          <w:rPr>
            <w:rStyle w:val="Hyperlink"/>
            <w:webHidden/>
          </w:rPr>
          <w:fldChar w:fldCharType="separate"/>
        </w:r>
        <w:r w:rsidR="00313050" w:rsidRPr="00313050">
          <w:rPr>
            <w:rStyle w:val="Hyperlink"/>
            <w:webHidden/>
          </w:rPr>
          <w:t>157</w:t>
        </w:r>
        <w:r w:rsidRPr="00313050">
          <w:rPr>
            <w:rStyle w:val="Hyperlink"/>
            <w:webHidden/>
          </w:rPr>
          <w:fldChar w:fldCharType="end"/>
        </w:r>
      </w:hyperlink>
    </w:p>
    <w:p w14:paraId="1CBECD11" w14:textId="3288A00A" w:rsidR="00AA30D8" w:rsidRDefault="00AA30D8" w:rsidP="00AA30D8">
      <w:r>
        <w:fldChar w:fldCharType="end"/>
      </w:r>
    </w:p>
    <w:p w14:paraId="00C9DE41" w14:textId="4780C0A9" w:rsidR="002450AC" w:rsidRPr="00E83BEF" w:rsidRDefault="00AA30D8">
      <w:pPr>
        <w:rPr>
          <w:rFonts w:eastAsiaTheme="majorEastAsia" w:cstheme="minorHAnsi"/>
          <w:b/>
          <w:bCs/>
          <w:caps/>
          <w:spacing w:val="4"/>
          <w:sz w:val="20"/>
          <w:szCs w:val="20"/>
        </w:rPr>
      </w:pPr>
      <w:r>
        <w:rPr>
          <w:rFonts w:eastAsiaTheme="majorEastAsia" w:cstheme="minorHAnsi"/>
          <w:b/>
          <w:bCs/>
          <w:caps/>
          <w:spacing w:val="4"/>
          <w:sz w:val="20"/>
          <w:szCs w:val="20"/>
        </w:rPr>
        <w:br w:type="page"/>
      </w:r>
    </w:p>
    <w:p w14:paraId="6A880D0A" w14:textId="79C1A11B" w:rsidR="002A27C0" w:rsidRPr="00E83BEF" w:rsidRDefault="067CA458" w:rsidP="13E8FFE8">
      <w:pPr>
        <w:pStyle w:val="Heading1"/>
        <w:rPr>
          <w:rFonts w:asciiTheme="minorHAnsi" w:hAnsiTheme="minorHAnsi" w:cstheme="minorBidi"/>
          <w:sz w:val="20"/>
          <w:szCs w:val="20"/>
        </w:rPr>
      </w:pPr>
      <w:bookmarkStart w:id="7" w:name="_Toc947954972"/>
      <w:bookmarkStart w:id="8" w:name="_Toc1609633949"/>
      <w:bookmarkStart w:id="9" w:name="_Toc241574279"/>
      <w:bookmarkStart w:id="10" w:name="_Toc242553909"/>
      <w:r w:rsidRPr="7F6E7DEF">
        <w:rPr>
          <w:rFonts w:asciiTheme="minorHAnsi" w:hAnsiTheme="minorHAnsi" w:cstheme="minorBidi"/>
          <w:sz w:val="20"/>
          <w:szCs w:val="20"/>
        </w:rPr>
        <w:t>Technical Overview</w:t>
      </w:r>
      <w:bookmarkEnd w:id="7"/>
      <w:bookmarkEnd w:id="8"/>
      <w:bookmarkEnd w:id="9"/>
      <w:bookmarkEnd w:id="10"/>
    </w:p>
    <w:p w14:paraId="69B3CD8A" w14:textId="77777777" w:rsidR="003F6508" w:rsidRPr="00E83BEF" w:rsidRDefault="003F6508" w:rsidP="00DA74C7">
      <w:pPr>
        <w:pStyle w:val="Heading2"/>
        <w:rPr>
          <w:rFonts w:asciiTheme="minorHAnsi" w:hAnsiTheme="minorHAnsi" w:cstheme="minorBidi"/>
          <w:sz w:val="20"/>
          <w:szCs w:val="20"/>
        </w:rPr>
      </w:pPr>
      <w:bookmarkStart w:id="11" w:name="_Toc1359960884"/>
      <w:bookmarkStart w:id="12" w:name="_Toc241574280"/>
      <w:bookmarkStart w:id="13" w:name="_Toc242553910"/>
      <w:bookmarkStart w:id="14" w:name="_Toc1652580564"/>
      <w:bookmarkStart w:id="15" w:name="_Toc663581109"/>
      <w:bookmarkStart w:id="16" w:name="_Toc178085558"/>
      <w:r w:rsidRPr="7F6E7DEF">
        <w:rPr>
          <w:rFonts w:asciiTheme="minorHAnsi" w:hAnsiTheme="minorHAnsi" w:cstheme="minorBidi"/>
          <w:sz w:val="20"/>
          <w:szCs w:val="20"/>
        </w:rPr>
        <w:t>Introduction</w:t>
      </w:r>
      <w:bookmarkEnd w:id="11"/>
      <w:bookmarkEnd w:id="12"/>
      <w:bookmarkEnd w:id="13"/>
    </w:p>
    <w:p w14:paraId="31E12996" w14:textId="77777777" w:rsidR="003F6508" w:rsidRPr="00E83BEF" w:rsidRDefault="003F6508" w:rsidP="00FA0685">
      <w:pPr>
        <w:pStyle w:val="NormalWeb"/>
        <w:spacing w:line="276" w:lineRule="auto"/>
        <w:jc w:val="left"/>
        <w:rPr>
          <w:rFonts w:asciiTheme="minorHAnsi" w:hAnsiTheme="minorHAnsi" w:cstheme="minorHAnsi"/>
          <w:sz w:val="20"/>
          <w:szCs w:val="20"/>
        </w:rPr>
      </w:pPr>
      <w:r w:rsidRPr="00E83BEF">
        <w:rPr>
          <w:rFonts w:asciiTheme="minorHAnsi" w:hAnsiTheme="minorHAnsi" w:cstheme="minorHAnsi"/>
          <w:sz w:val="20"/>
          <w:szCs w:val="20"/>
        </w:rPr>
        <w:t xml:space="preserve">Marathon Petroleum Corporation (MPC) is a major integrated downstream energy company headquartered in Findlay, Ohio with 130 years in the energy industry. With 13 refineries spanning 12 states, MPC has two main operating segments: Refining &amp; Marketing and Midstream. </w:t>
      </w:r>
    </w:p>
    <w:p w14:paraId="26051C09" w14:textId="77777777" w:rsidR="003F6508" w:rsidRPr="00E83BEF" w:rsidRDefault="003F6508" w:rsidP="00FA0685">
      <w:pPr>
        <w:pStyle w:val="NormalWeb"/>
        <w:spacing w:line="276" w:lineRule="auto"/>
        <w:jc w:val="left"/>
        <w:rPr>
          <w:rFonts w:asciiTheme="minorHAnsi" w:hAnsiTheme="minorHAnsi" w:cstheme="minorHAnsi"/>
          <w:sz w:val="20"/>
          <w:szCs w:val="20"/>
        </w:rPr>
      </w:pPr>
    </w:p>
    <w:p w14:paraId="2D11561E" w14:textId="77777777" w:rsidR="003F6508" w:rsidRPr="00E83BEF" w:rsidRDefault="003F6508" w:rsidP="00FA0685">
      <w:pPr>
        <w:pStyle w:val="NormalWeb"/>
        <w:spacing w:line="276" w:lineRule="auto"/>
        <w:jc w:val="left"/>
        <w:rPr>
          <w:rFonts w:asciiTheme="minorHAnsi" w:hAnsiTheme="minorHAnsi" w:cstheme="minorHAnsi"/>
          <w:sz w:val="20"/>
          <w:szCs w:val="20"/>
        </w:rPr>
      </w:pPr>
      <w:r w:rsidRPr="00E83BEF">
        <w:rPr>
          <w:rFonts w:asciiTheme="minorHAnsi" w:hAnsiTheme="minorHAnsi" w:cstheme="minorHAnsi"/>
          <w:sz w:val="20"/>
          <w:szCs w:val="20"/>
        </w:rPr>
        <w:t xml:space="preserve">MPC transports, stores, distributes, and markets crude oil, refined products, and renewables via refining logistics assets, pipelines, terminals, towboats, and barges. Additionally, MPC gathers, transports, fractionates, stores and markets Natural Gas Liquids (NGLs). As the owner of the second largest renewable diesel facility in the United States, MPC further aims to grow their renewable fuels portfolio. MPC also owns MPLX LP, a midstream company that owns and operates gathering, processing, and fractionation assets, as well as crude oil and light product transportation and logistics infrastructure. With a crude oil refining capacity of approximately 2.9 million barrels per calendar day, MPC seeks to optimize operations, produce higher margin products, and efficiently utilize their processing capacity.  </w:t>
      </w:r>
    </w:p>
    <w:p w14:paraId="0D21965E" w14:textId="77777777" w:rsidR="003F6508" w:rsidRPr="00E83BEF" w:rsidRDefault="003F6508" w:rsidP="00FA0685">
      <w:pPr>
        <w:pStyle w:val="NormalWeb"/>
        <w:spacing w:line="276" w:lineRule="auto"/>
        <w:jc w:val="left"/>
        <w:rPr>
          <w:rFonts w:asciiTheme="minorHAnsi" w:hAnsiTheme="minorHAnsi" w:cstheme="minorHAnsi"/>
          <w:sz w:val="20"/>
          <w:szCs w:val="20"/>
        </w:rPr>
      </w:pPr>
    </w:p>
    <w:p w14:paraId="5C9242FA" w14:textId="77777777" w:rsidR="003F6508" w:rsidRPr="00E83BEF" w:rsidRDefault="003F6508" w:rsidP="00FA0685">
      <w:pPr>
        <w:pStyle w:val="NormalWeb"/>
        <w:spacing w:line="276" w:lineRule="auto"/>
        <w:jc w:val="left"/>
        <w:rPr>
          <w:rFonts w:asciiTheme="minorHAnsi" w:hAnsiTheme="minorHAnsi" w:cstheme="minorHAnsi"/>
          <w:sz w:val="20"/>
          <w:szCs w:val="20"/>
        </w:rPr>
      </w:pPr>
      <w:r w:rsidRPr="00E83BEF">
        <w:rPr>
          <w:rFonts w:asciiTheme="minorHAnsi" w:hAnsiTheme="minorHAnsi" w:cstheme="minorHAnsi"/>
          <w:sz w:val="20"/>
          <w:szCs w:val="20"/>
        </w:rPr>
        <w:t xml:space="preserve">MPC is transitioning to a unified Value Chain Optimization (VCO) model, moving from fragmented improvements to an integrated, process-driven approach. VCO enables end-to-end planning, execution, and monitoring, supported by advanced analytics and digital technologies for faster decisions and greater visibility. </w:t>
      </w:r>
    </w:p>
    <w:p w14:paraId="5D296FCD" w14:textId="18EB7D63" w:rsidR="000F74C8" w:rsidRPr="00E83BEF" w:rsidRDefault="45947F93" w:rsidP="56AC26E0">
      <w:pPr>
        <w:pStyle w:val="Heading2"/>
        <w:rPr>
          <w:rFonts w:asciiTheme="minorHAnsi" w:hAnsiTheme="minorHAnsi" w:cstheme="minorBidi"/>
          <w:sz w:val="20"/>
          <w:szCs w:val="20"/>
        </w:rPr>
      </w:pPr>
      <w:bookmarkStart w:id="17" w:name="_Toc241574281"/>
      <w:bookmarkStart w:id="18" w:name="_Toc242553911"/>
      <w:r w:rsidRPr="56AC26E0">
        <w:rPr>
          <w:rFonts w:asciiTheme="minorHAnsi" w:hAnsiTheme="minorHAnsi" w:cstheme="minorBidi"/>
          <w:sz w:val="20"/>
          <w:szCs w:val="20"/>
        </w:rPr>
        <w:t>Objectives</w:t>
      </w:r>
      <w:bookmarkEnd w:id="14"/>
      <w:bookmarkEnd w:id="15"/>
      <w:bookmarkEnd w:id="17"/>
      <w:bookmarkEnd w:id="18"/>
    </w:p>
    <w:p w14:paraId="58F801E9" w14:textId="3C3B3A3C" w:rsidR="34C41B66" w:rsidRDefault="34C41B66" w:rsidP="56AC26E0">
      <w:pPr>
        <w:spacing w:before="200" w:after="200"/>
      </w:pPr>
      <w:r w:rsidRPr="11768099">
        <w:rPr>
          <w:rFonts w:ascii="Calibri" w:eastAsia="Calibri" w:hAnsi="Calibri" w:cs="Calibri"/>
          <w:color w:val="000000" w:themeColor="text1"/>
          <w:sz w:val="19"/>
          <w:szCs w:val="19"/>
        </w:rPr>
        <w:t xml:space="preserve">Value Chain Blending (VCB) brings the data needed for near-term blending decisions into one place and turns it into dashboards for planners, schedulers and refinery and terminal operations: how much butane, transmix and ethanol a batch can still take before it goes off specification, the quality of the gasoline and distillate arriving at terminals, where each batch is, and the value lost when less was blended than the specification allowed. This supports MPC's shift to a data-driven, planning-based </w:t>
      </w:r>
      <w:r w:rsidR="5F17420D" w:rsidRPr="11768099">
        <w:rPr>
          <w:rFonts w:ascii="Calibri" w:eastAsia="Calibri" w:hAnsi="Calibri" w:cs="Calibri"/>
          <w:color w:val="000000" w:themeColor="text1"/>
          <w:sz w:val="19"/>
          <w:szCs w:val="19"/>
        </w:rPr>
        <w:t>organization</w:t>
      </w:r>
      <w:r w:rsidRPr="11768099">
        <w:rPr>
          <w:rFonts w:ascii="Calibri" w:eastAsia="Calibri" w:hAnsi="Calibri" w:cs="Calibri"/>
          <w:color w:val="000000" w:themeColor="text1"/>
          <w:sz w:val="19"/>
          <w:szCs w:val="19"/>
        </w:rPr>
        <w:t xml:space="preserve"> under the Value Chain Optimization (VCO) </w:t>
      </w:r>
      <w:r w:rsidR="00553ABE">
        <w:rPr>
          <w:rFonts w:ascii="Calibri" w:eastAsia="Calibri" w:hAnsi="Calibri" w:cs="Calibri"/>
          <w:color w:val="000000" w:themeColor="text1"/>
          <w:sz w:val="19"/>
          <w:szCs w:val="19"/>
        </w:rPr>
        <w:t>program</w:t>
      </w:r>
      <w:r w:rsidRPr="11768099">
        <w:rPr>
          <w:rFonts w:ascii="Calibri" w:eastAsia="Calibri" w:hAnsi="Calibri" w:cs="Calibri"/>
          <w:color w:val="000000" w:themeColor="text1"/>
          <w:sz w:val="19"/>
          <w:szCs w:val="19"/>
        </w:rPr>
        <w:t>.</w:t>
      </w:r>
    </w:p>
    <w:p w14:paraId="18A8A155" w14:textId="55080F9A" w:rsidR="34C41B66" w:rsidRDefault="34C41B66" w:rsidP="56AC26E0">
      <w:pPr>
        <w:spacing w:before="200" w:after="200"/>
      </w:pPr>
      <w:r w:rsidRPr="56AC26E0">
        <w:rPr>
          <w:rFonts w:ascii="Calibri" w:eastAsia="Calibri" w:hAnsi="Calibri" w:cs="Calibri"/>
          <w:color w:val="000000" w:themeColor="text1"/>
          <w:sz w:val="19"/>
          <w:szCs w:val="19"/>
        </w:rPr>
        <w:t xml:space="preserve">This document is the technical design for the VCB solution. Its process-integration chapter defines the design basis, the key assumptions and the integration requirements </w:t>
      </w:r>
      <w:r w:rsidR="004A1011">
        <w:rPr>
          <w:rFonts w:ascii="Calibri" w:eastAsia="Calibri" w:hAnsi="Calibri" w:cs="Calibri"/>
          <w:color w:val="000000" w:themeColor="text1"/>
          <w:sz w:val="19"/>
          <w:szCs w:val="19"/>
        </w:rPr>
        <w:t>for bringing the data VCB needs into the database of IQDM (Inventory and Quality Data Management) through the Commercial Integration Platform, CIP (Azure App Services</w:t>
      </w:r>
      <w:r w:rsidRPr="56AC26E0">
        <w:rPr>
          <w:rFonts w:ascii="Calibri" w:eastAsia="Calibri" w:hAnsi="Calibri" w:cs="Calibri"/>
          <w:color w:val="000000" w:themeColor="text1"/>
          <w:sz w:val="19"/>
          <w:szCs w:val="19"/>
        </w:rPr>
        <w:t xml:space="preserve">, Azure Functions and Azure Service Bus), </w:t>
      </w:r>
      <w:r w:rsidR="006E7DE9">
        <w:rPr>
          <w:rFonts w:ascii="Calibri" w:eastAsia="Calibri" w:hAnsi="Calibri" w:cs="Calibri"/>
          <w:color w:val="000000" w:themeColor="text1"/>
          <w:sz w:val="19"/>
          <w:szCs w:val="19"/>
        </w:rPr>
        <w:t>and for the one live call to MPR (Marathon Pricing Repository) pricing.</w:t>
      </w:r>
      <w:r w:rsidRPr="56AC26E0">
        <w:rPr>
          <w:rFonts w:ascii="Calibri" w:eastAsia="Calibri" w:hAnsi="Calibri" w:cs="Calibri"/>
          <w:color w:val="000000" w:themeColor="text1"/>
          <w:sz w:val="19"/>
          <w:szCs w:val="19"/>
        </w:rPr>
        <w:t xml:space="preserve"> It specifies the data fields, the business and transformation logic and the mappings needed for integration, as a blueprint for the Build phase.</w:t>
      </w:r>
    </w:p>
    <w:p w14:paraId="49DC35DB" w14:textId="2BABE192" w:rsidR="34C41B66" w:rsidRDefault="0045635D" w:rsidP="56AC26E0">
      <w:pPr>
        <w:spacing w:before="200" w:after="200"/>
      </w:pPr>
      <w:r>
        <w:rPr>
          <w:rFonts w:ascii="Calibri" w:eastAsia="Calibri" w:hAnsi="Calibri" w:cs="Calibri"/>
          <w:color w:val="000000" w:themeColor="text1"/>
          <w:sz w:val="19"/>
          <w:szCs w:val="19"/>
        </w:rPr>
        <w:t xml:space="preserve">Requirement details: the data entities the functional design needs fall into two groups. The entities IQDM already integrates (from APS, the refinery scheduling system; Towworks, the barge movement system; Kittyhawk, the terminal inventory and movement system; LIMS, the refinery laboratory system; and PQCore, the terminal quality system) are read from the IQDM database; their integration is designed in the IQDM Technical Design Document and is referenced here. The product specifications from PQ Spec Shop are loaded into the IQDM database by the database team until IQDM integrates PQ Spec Shop in its Release </w:t>
      </w:r>
      <w:r w:rsidR="00DB748B">
        <w:rPr>
          <w:rFonts w:ascii="Calibri" w:eastAsia="Calibri" w:hAnsi="Calibri" w:cs="Calibri"/>
          <w:color w:val="000000" w:themeColor="text1"/>
          <w:sz w:val="19"/>
          <w:szCs w:val="19"/>
        </w:rPr>
        <w:t>5 and</w:t>
      </w:r>
      <w:r>
        <w:rPr>
          <w:rFonts w:ascii="Calibri" w:eastAsia="Calibri" w:hAnsi="Calibri" w:cs="Calibri"/>
          <w:color w:val="000000" w:themeColor="text1"/>
          <w:sz w:val="19"/>
          <w:szCs w:val="19"/>
        </w:rPr>
        <w:t xml:space="preserve"> are read there too. The entities new for VCB, namely terminal blend component data from the PI Asset Framework (PIAF), blend component movements from the Kittyhawk transaction upload </w:t>
      </w:r>
      <w:r w:rsidR="00CE45AF">
        <w:rPr>
          <w:rFonts w:ascii="Calibri" w:eastAsia="Calibri" w:hAnsi="Calibri" w:cs="Calibri"/>
          <w:color w:val="000000" w:themeColor="text1"/>
          <w:sz w:val="19"/>
          <w:szCs w:val="19"/>
        </w:rPr>
        <w:t>and pricing from MPR through the Cost API,</w:t>
      </w:r>
      <w:r>
        <w:rPr>
          <w:rFonts w:ascii="Calibri" w:eastAsia="Calibri" w:hAnsi="Calibri" w:cs="Calibri"/>
          <w:color w:val="000000" w:themeColor="text1"/>
          <w:sz w:val="19"/>
          <w:szCs w:val="19"/>
        </w:rPr>
        <w:t xml:space="preserve"> are designed in this document </w:t>
      </w:r>
      <w:r w:rsidR="00AA30D8">
        <w:rPr>
          <w:rFonts w:ascii="Calibri" w:eastAsia="Calibri" w:hAnsi="Calibri" w:cs="Calibri"/>
          <w:color w:val="000000" w:themeColor="text1"/>
          <w:sz w:val="19"/>
          <w:szCs w:val="19"/>
        </w:rPr>
        <w:t>in the same way IQDM designs its integrations</w:t>
      </w:r>
      <w:r>
        <w:rPr>
          <w:rFonts w:ascii="Calibri" w:eastAsia="Calibri" w:hAnsi="Calibri" w:cs="Calibri"/>
          <w:color w:val="000000" w:themeColor="text1"/>
          <w:sz w:val="19"/>
          <w:szCs w:val="19"/>
        </w:rPr>
        <w:t>, in the same Commercial Integration Platform project.</w:t>
      </w:r>
    </w:p>
    <w:p w14:paraId="70BF4382" w14:textId="6600526F" w:rsidR="34C41B66" w:rsidRDefault="34C41B66" w:rsidP="56AC26E0">
      <w:pPr>
        <w:spacing w:before="200" w:after="200"/>
      </w:pPr>
      <w:r w:rsidRPr="56AC26E0">
        <w:rPr>
          <w:rFonts w:ascii="Calibri" w:eastAsia="Calibri" w:hAnsi="Calibri" w:cs="Calibri"/>
          <w:color w:val="000000" w:themeColor="text1"/>
          <w:sz w:val="19"/>
          <w:szCs w:val="19"/>
        </w:rPr>
        <w:t>The design is developed from the current understanding of the applications, data flows and dashboards described in the functional design, and follows the technology, requirements and architectural principles defined by MPC. The values that drive this design are:</w:t>
      </w:r>
    </w:p>
    <w:p w14:paraId="69B7E205" w14:textId="0A26B5BE" w:rsidR="34C41B66" w:rsidRDefault="007364BC" w:rsidP="00957267">
      <w:pPr>
        <w:pStyle w:val="ListParagraph"/>
        <w:numPr>
          <w:ilvl w:val="0"/>
          <w:numId w:val="2"/>
        </w:numPr>
        <w:spacing w:after="0"/>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Single source of truth: </w:t>
      </w:r>
      <w:r w:rsidR="00CE45AF">
        <w:rPr>
          <w:rFonts w:ascii="Calibri" w:eastAsia="Calibri" w:hAnsi="Calibri" w:cs="Calibri"/>
          <w:color w:val="000000" w:themeColor="text1"/>
          <w:sz w:val="20"/>
          <w:szCs w:val="20"/>
        </w:rPr>
        <w:t>IQDM is the sole database the dashboards read;</w:t>
      </w:r>
      <w:r>
        <w:rPr>
          <w:rFonts w:ascii="Calibri" w:eastAsia="Calibri" w:hAnsi="Calibri" w:cs="Calibri"/>
          <w:color w:val="000000" w:themeColor="text1"/>
          <w:sz w:val="20"/>
          <w:szCs w:val="20"/>
        </w:rPr>
        <w:t xml:space="preserve"> the only value read elsewhere is the MPR price, fetched live and never stored</w:t>
      </w:r>
      <w:r w:rsidR="34C41B66" w:rsidRPr="56AC26E0">
        <w:rPr>
          <w:rFonts w:ascii="Calibri" w:eastAsia="Calibri" w:hAnsi="Calibri" w:cs="Calibri"/>
          <w:color w:val="000000" w:themeColor="text1"/>
          <w:sz w:val="20"/>
          <w:szCs w:val="20"/>
        </w:rPr>
        <w:t xml:space="preserve">; </w:t>
      </w:r>
      <w:commentRangeStart w:id="19"/>
      <w:r w:rsidR="00CE45AF">
        <w:rPr>
          <w:rFonts w:ascii="Calibri" w:eastAsia="Calibri" w:hAnsi="Calibri" w:cs="Calibri"/>
          <w:color w:val="000000" w:themeColor="text1"/>
          <w:sz w:val="20"/>
          <w:szCs w:val="20"/>
        </w:rPr>
        <w:t>no VCB integration reads data that IQDM already loads</w:t>
      </w:r>
      <w:commentRangeEnd w:id="19"/>
      <w:r w:rsidR="00FD4A0A">
        <w:rPr>
          <w:rStyle w:val="CommentReference"/>
          <w:rFonts w:ascii="Calibri" w:eastAsia="Calibri" w:hAnsi="Calibri" w:cs="Calibri"/>
          <w:color w:val="000000" w:themeColor="text1"/>
          <w:sz w:val="20"/>
          <w:szCs w:val="20"/>
        </w:rPr>
        <w:commentReference w:id="19"/>
      </w:r>
      <w:r w:rsidR="00CE45AF">
        <w:rPr>
          <w:rFonts w:ascii="Calibri" w:eastAsia="Calibri" w:hAnsi="Calibri" w:cs="Calibri"/>
          <w:color w:val="000000" w:themeColor="text1"/>
          <w:sz w:val="20"/>
          <w:szCs w:val="20"/>
        </w:rPr>
        <w:t>, and VCB creates no database of its own.</w:t>
      </w:r>
    </w:p>
    <w:p w14:paraId="5ACB430A" w14:textId="77E969D7" w:rsidR="34C41B66" w:rsidRDefault="34C41B66" w:rsidP="00957267">
      <w:pPr>
        <w:pStyle w:val="ListParagraph"/>
        <w:numPr>
          <w:ilvl w:val="0"/>
          <w:numId w:val="2"/>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 xml:space="preserve">Same database in, same database out: </w:t>
      </w:r>
      <w:commentRangeStart w:id="20"/>
      <w:r w:rsidRPr="56AC26E0">
        <w:rPr>
          <w:rFonts w:ascii="Calibri" w:eastAsia="Calibri" w:hAnsi="Calibri" w:cs="Calibri"/>
          <w:color w:val="000000" w:themeColor="text1"/>
          <w:sz w:val="20"/>
          <w:szCs w:val="20"/>
        </w:rPr>
        <w:t xml:space="preserve">the data VCB adds lives in VCB_ </w:t>
      </w:r>
      <w:commentRangeEnd w:id="20"/>
      <w:r w:rsidR="00ED3C9E" w:rsidRPr="56AC26E0">
        <w:rPr>
          <w:rStyle w:val="CommentReference"/>
          <w:rFonts w:ascii="Calibri" w:eastAsia="Calibri" w:hAnsi="Calibri" w:cs="Calibri"/>
          <w:color w:val="000000" w:themeColor="text1"/>
          <w:sz w:val="20"/>
          <w:szCs w:val="20"/>
        </w:rPr>
        <w:commentReference w:id="20"/>
      </w:r>
      <w:r w:rsidRPr="56AC26E0">
        <w:rPr>
          <w:rFonts w:ascii="Calibri" w:eastAsia="Calibri" w:hAnsi="Calibri" w:cs="Calibri"/>
          <w:color w:val="000000" w:themeColor="text1"/>
          <w:sz w:val="20"/>
          <w:szCs w:val="20"/>
        </w:rPr>
        <w:t>tables and views inside the IQDM database, so there is one place to maintain, secure and retain.</w:t>
      </w:r>
    </w:p>
    <w:p w14:paraId="28F8A206" w14:textId="63D62C42" w:rsidR="34C41B66" w:rsidRDefault="34C41B66" w:rsidP="00957267">
      <w:pPr>
        <w:pStyle w:val="ListParagraph"/>
        <w:numPr>
          <w:ilvl w:val="0"/>
          <w:numId w:val="2"/>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 xml:space="preserve">Sensitive data is not stored: MPR prices are fetched when needed and never </w:t>
      </w:r>
      <w:r w:rsidR="00ED3C9E" w:rsidRPr="56AC26E0">
        <w:rPr>
          <w:rFonts w:ascii="Calibri" w:eastAsia="Calibri" w:hAnsi="Calibri" w:cs="Calibri"/>
          <w:color w:val="000000" w:themeColor="text1"/>
          <w:sz w:val="20"/>
          <w:szCs w:val="20"/>
        </w:rPr>
        <w:t>persist</w:t>
      </w:r>
      <w:r w:rsidRPr="56AC26E0">
        <w:rPr>
          <w:rFonts w:ascii="Calibri" w:eastAsia="Calibri" w:hAnsi="Calibri" w:cs="Calibri"/>
          <w:color w:val="000000" w:themeColor="text1"/>
          <w:sz w:val="20"/>
          <w:szCs w:val="20"/>
        </w:rPr>
        <w:t>.</w:t>
      </w:r>
    </w:p>
    <w:p w14:paraId="337C0C32" w14:textId="06D860F6" w:rsidR="34C41B66" w:rsidRDefault="34C41B66" w:rsidP="00957267">
      <w:pPr>
        <w:pStyle w:val="ListParagraph"/>
        <w:numPr>
          <w:ilvl w:val="0"/>
          <w:numId w:val="2"/>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 xml:space="preserve">Same pattern as IQDM: </w:t>
      </w:r>
      <w:r w:rsidR="00CE45AF">
        <w:rPr>
          <w:rFonts w:ascii="Calibri" w:eastAsia="Calibri" w:hAnsi="Calibri" w:cs="Calibri"/>
          <w:color w:val="000000" w:themeColor="text1"/>
          <w:sz w:val="20"/>
          <w:szCs w:val="20"/>
        </w:rPr>
        <w:t>the PIAF and Kittyhawk integrations shall follow the IQDM request and response pattern; every VCB integration shall resolve codes through the Semantic Service and Profisee.</w:t>
      </w:r>
    </w:p>
    <w:p w14:paraId="139D0359" w14:textId="3DEBC424" w:rsidR="34C41B66" w:rsidRDefault="00AA30D8" w:rsidP="00957267">
      <w:pPr>
        <w:pStyle w:val="ListParagraph"/>
        <w:numPr>
          <w:ilvl w:val="0"/>
          <w:numId w:val="2"/>
        </w:numPr>
        <w:spacing w:after="0"/>
        <w:rPr>
          <w:rFonts w:ascii="Calibri" w:eastAsia="Calibri" w:hAnsi="Calibri" w:cs="Calibri"/>
          <w:color w:val="000000" w:themeColor="text1"/>
          <w:sz w:val="20"/>
          <w:szCs w:val="20"/>
        </w:rPr>
      </w:pPr>
      <w:r>
        <w:rPr>
          <w:rFonts w:ascii="Calibri" w:eastAsia="Calibri" w:hAnsi="Calibri" w:cs="Calibri"/>
          <w:color w:val="000000" w:themeColor="text1"/>
          <w:sz w:val="20"/>
          <w:szCs w:val="20"/>
        </w:rPr>
        <w:t>High flexibility across integrations</w:t>
      </w:r>
      <w:r w:rsidR="34C41B66" w:rsidRPr="56AC26E0">
        <w:rPr>
          <w:rFonts w:ascii="Calibri" w:eastAsia="Calibri" w:hAnsi="Calibri" w:cs="Calibri"/>
          <w:color w:val="000000" w:themeColor="text1"/>
          <w:sz w:val="20"/>
          <w:szCs w:val="20"/>
        </w:rPr>
        <w:t xml:space="preserve"> (loose coupling), a service-oriented architecture that is reusable, extensible and scalable, and functional coverage of the current systems.</w:t>
      </w:r>
    </w:p>
    <w:p w14:paraId="5E49D561" w14:textId="3622283C" w:rsidR="56AC26E0" w:rsidRDefault="56AC26E0" w:rsidP="56AC26E0"/>
    <w:p w14:paraId="0DFC8272" w14:textId="50FFD972" w:rsidR="00803A6F" w:rsidRPr="00E83BEF" w:rsidRDefault="142A9F65" w:rsidP="00803A6F">
      <w:pPr>
        <w:pStyle w:val="Heading2"/>
        <w:rPr>
          <w:rFonts w:asciiTheme="minorHAnsi" w:hAnsiTheme="minorHAnsi" w:cstheme="minorBidi"/>
          <w:sz w:val="20"/>
          <w:szCs w:val="20"/>
        </w:rPr>
      </w:pPr>
      <w:bookmarkStart w:id="21" w:name="_Toc1351558424"/>
      <w:bookmarkStart w:id="22" w:name="_Toc2087253668"/>
      <w:bookmarkStart w:id="23" w:name="_Toc241574282"/>
      <w:bookmarkStart w:id="24" w:name="_Toc242553912"/>
      <w:r w:rsidRPr="56AC26E0">
        <w:rPr>
          <w:rFonts w:asciiTheme="minorHAnsi" w:hAnsiTheme="minorHAnsi" w:cstheme="minorBidi"/>
          <w:sz w:val="20"/>
          <w:szCs w:val="20"/>
        </w:rPr>
        <w:t>Business Context</w:t>
      </w:r>
      <w:bookmarkEnd w:id="21"/>
      <w:bookmarkEnd w:id="22"/>
      <w:bookmarkEnd w:id="23"/>
      <w:bookmarkEnd w:id="24"/>
    </w:p>
    <w:p w14:paraId="66CB69B7" w14:textId="6D89BA29" w:rsidR="59B6F741" w:rsidRDefault="59B6F741" w:rsidP="56AC26E0">
      <w:pPr>
        <w:spacing w:before="200" w:after="200"/>
      </w:pPr>
      <w:r w:rsidRPr="56AC26E0">
        <w:rPr>
          <w:rFonts w:ascii="Calibri" w:eastAsia="Calibri" w:hAnsi="Calibri" w:cs="Calibri"/>
          <w:color w:val="000000" w:themeColor="text1"/>
          <w:sz w:val="19"/>
          <w:szCs w:val="19"/>
        </w:rPr>
        <w:t>Blending happens twice in the value chain: at the refinery, where products are blended to grade, and again at the terminal, where butane, transmix and ethanol are injected into gasoline before delivery. Most mid-</w:t>
      </w:r>
      <w:r w:rsidR="00EB6800">
        <w:rPr>
          <w:rFonts w:ascii="Calibri" w:eastAsia="Calibri" w:hAnsi="Calibri" w:cs="Calibri"/>
          <w:color w:val="000000" w:themeColor="text1"/>
          <w:sz w:val="19"/>
          <w:szCs w:val="19"/>
        </w:rPr>
        <w:t>term</w:t>
      </w:r>
      <w:r w:rsidRPr="56AC26E0">
        <w:rPr>
          <w:rFonts w:ascii="Calibri" w:eastAsia="Calibri" w:hAnsi="Calibri" w:cs="Calibri"/>
          <w:color w:val="000000" w:themeColor="text1"/>
          <w:sz w:val="19"/>
          <w:szCs w:val="19"/>
        </w:rPr>
        <w:t xml:space="preserve"> and short-term blending needs are already </w:t>
      </w:r>
      <w:r w:rsidR="00DE09BC">
        <w:rPr>
          <w:rFonts w:ascii="Calibri" w:eastAsia="Calibri" w:hAnsi="Calibri" w:cs="Calibri"/>
          <w:color w:val="000000" w:themeColor="text1"/>
          <w:sz w:val="19"/>
          <w:szCs w:val="19"/>
        </w:rPr>
        <w:t>supported by the Value Chain Blending models in PIMS (the refinery planning tool)</w:t>
      </w:r>
      <w:r w:rsidRPr="56AC26E0">
        <w:rPr>
          <w:rFonts w:ascii="Calibri" w:eastAsia="Calibri" w:hAnsi="Calibri" w:cs="Calibri"/>
          <w:color w:val="000000" w:themeColor="text1"/>
          <w:sz w:val="19"/>
          <w:szCs w:val="19"/>
        </w:rPr>
        <w:t>, but PIMS works on calendar-day granularity without tank- or batch-level detail, so it cannot support the day-to-day operational decisions.</w:t>
      </w:r>
    </w:p>
    <w:p w14:paraId="7FCCA93E" w14:textId="6AEC1A2C" w:rsidR="59B6F741" w:rsidRDefault="59B6F741" w:rsidP="56AC26E0">
      <w:pPr>
        <w:spacing w:before="200" w:after="200"/>
      </w:pPr>
      <w:r w:rsidRPr="56AC26E0">
        <w:rPr>
          <w:rFonts w:ascii="Calibri" w:eastAsia="Calibri" w:hAnsi="Calibri" w:cs="Calibri"/>
          <w:color w:val="000000" w:themeColor="text1"/>
          <w:sz w:val="19"/>
          <w:szCs w:val="19"/>
        </w:rPr>
        <w:t>Discovery across the Robinson, Catlettsburg and Crude value chains, with more than fifty interviews across business units, found the same gap everywhere: there is no integrated, near-real-time view to support operational blending and logistics decisions. Teams collate the data by hand from Kittyhawk, LIMS, PI Historian, PQCore and MPR before they can decide anything. The decision was to design a set of dashboards, in collaboration with the IQDM project, to support near-term blending operations. The key activities they support are:</w:t>
      </w:r>
    </w:p>
    <w:p w14:paraId="528F0F84" w14:textId="60AD0F59" w:rsidR="59B6F741" w:rsidRDefault="59B6F741" w:rsidP="00957267">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Evaluating gasoline blending potential (butane, transmix and ethanol injection).</w:t>
      </w:r>
    </w:p>
    <w:p w14:paraId="111CA914" w14:textId="51BC5458" w:rsidR="59B6F741" w:rsidRDefault="59B6F741" w:rsidP="00957267">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Monitoring distillate quality at batch level.</w:t>
      </w:r>
    </w:p>
    <w:p w14:paraId="3C0EC780" w14:textId="3E0DB8FB" w:rsidR="59B6F741" w:rsidRDefault="59B6F741" w:rsidP="00957267">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Planning component supply against blending opportunities.</w:t>
      </w:r>
    </w:p>
    <w:p w14:paraId="6684CCA1" w14:textId="728F35F0" w:rsidR="59B6F741" w:rsidRDefault="59B6F741" w:rsidP="00957267">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Tracking batch movement and quality across the value chain.</w:t>
      </w:r>
    </w:p>
    <w:p w14:paraId="3F92C09A" w14:textId="7716ADC5" w:rsidR="59B6F741" w:rsidRDefault="59B6F741" w:rsidP="00957267">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Quantifying quality giveaway and value loss for continuous improvement.</w:t>
      </w:r>
    </w:p>
    <w:p w14:paraId="1CCB548D" w14:textId="5D871556" w:rsidR="59B6F741" w:rsidRDefault="59B6F741" w:rsidP="56AC26E0">
      <w:pPr>
        <w:spacing w:before="200" w:after="200"/>
      </w:pPr>
      <w:r w:rsidRPr="56AC26E0">
        <w:rPr>
          <w:rFonts w:ascii="Calibri" w:eastAsia="Calibri" w:hAnsi="Calibri" w:cs="Calibri"/>
          <w:color w:val="000000" w:themeColor="text1"/>
          <w:sz w:val="19"/>
          <w:szCs w:val="19"/>
        </w:rPr>
        <w:t xml:space="preserve">The Inventory and Quality Data Management solution (IQDM) is the VCO initiative that consolidates inventory and quality data from the source systems, and the IQDM functional design names Value Chain Blending as one of its consumers. VCB is therefore a downstream consumer of IQDM: the VCB dashboards read the IQDM database, the data new for VCB is landed in VCB_ tables of that same database </w:t>
      </w:r>
      <w:r w:rsidR="00AA30D8">
        <w:rPr>
          <w:rFonts w:ascii="Calibri" w:eastAsia="Calibri" w:hAnsi="Calibri" w:cs="Calibri"/>
          <w:color w:val="000000" w:themeColor="text1"/>
          <w:sz w:val="19"/>
          <w:szCs w:val="19"/>
        </w:rPr>
        <w:t>by the integrations designed in this document</w:t>
      </w:r>
      <w:r w:rsidRPr="56AC26E0">
        <w:rPr>
          <w:rFonts w:ascii="Calibri" w:eastAsia="Calibri" w:hAnsi="Calibri" w:cs="Calibri"/>
          <w:color w:val="000000" w:themeColor="text1"/>
          <w:sz w:val="19"/>
          <w:szCs w:val="19"/>
        </w:rPr>
        <w:t>, and MPR pricing is fetched live and never stored.</w:t>
      </w:r>
    </w:p>
    <w:p w14:paraId="0C006D1E" w14:textId="34FE6BB3" w:rsidR="2A35D9DD" w:rsidRPr="00EF207D" w:rsidRDefault="45947F93" w:rsidP="00EF207D">
      <w:pPr>
        <w:pStyle w:val="Heading2"/>
        <w:rPr>
          <w:rFonts w:asciiTheme="minorHAnsi" w:hAnsiTheme="minorHAnsi" w:cstheme="minorBidi"/>
          <w:sz w:val="20"/>
          <w:szCs w:val="20"/>
        </w:rPr>
      </w:pPr>
      <w:bookmarkStart w:id="25" w:name="_Reference_Documents"/>
      <w:bookmarkStart w:id="26" w:name="_Toc24442079"/>
      <w:bookmarkStart w:id="27" w:name="_Toc433451927"/>
      <w:bookmarkStart w:id="28" w:name="_Toc241574283"/>
      <w:bookmarkStart w:id="29" w:name="_Toc242553913"/>
      <w:bookmarkEnd w:id="25"/>
      <w:r w:rsidRPr="56AC26E0">
        <w:rPr>
          <w:rFonts w:asciiTheme="minorHAnsi" w:hAnsiTheme="minorHAnsi" w:cstheme="minorBidi"/>
          <w:sz w:val="20"/>
          <w:szCs w:val="20"/>
        </w:rPr>
        <w:t>Reference Documents</w:t>
      </w:r>
      <w:bookmarkEnd w:id="26"/>
      <w:bookmarkEnd w:id="27"/>
      <w:bookmarkEnd w:id="28"/>
      <w:bookmarkEnd w:id="29"/>
    </w:p>
    <w:tbl>
      <w:tblPr>
        <w:tblW w:w="9344"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6A0" w:firstRow="1" w:lastRow="0" w:firstColumn="1" w:lastColumn="0" w:noHBand="1" w:noVBand="1"/>
      </w:tblPr>
      <w:tblGrid>
        <w:gridCol w:w="4120"/>
        <w:gridCol w:w="1220"/>
        <w:gridCol w:w="4004"/>
      </w:tblGrid>
      <w:tr w:rsidR="56AC26E0" w:rsidRPr="00237A45" w14:paraId="03642DB1" w14:textId="77777777" w:rsidTr="00237A45">
        <w:trPr>
          <w:trHeight w:val="300"/>
          <w:tblHeader/>
        </w:trPr>
        <w:tc>
          <w:tcPr>
            <w:tcW w:w="4120" w:type="dxa"/>
            <w:shd w:val="clear" w:color="auto" w:fill="2F5597"/>
            <w:tcMar>
              <w:top w:w="30" w:type="dxa"/>
              <w:left w:w="60" w:type="dxa"/>
              <w:bottom w:w="30" w:type="dxa"/>
              <w:right w:w="60" w:type="dxa"/>
            </w:tcMar>
          </w:tcPr>
          <w:p w14:paraId="102FE92C" w14:textId="72F3CCC7" w:rsidR="56AC26E0" w:rsidRPr="00237A45" w:rsidRDefault="56AC26E0" w:rsidP="00476D2B">
            <w:pPr>
              <w:keepNext/>
              <w:spacing w:after="0"/>
              <w:jc w:val="left"/>
              <w:rPr>
                <w:b/>
                <w:color w:val="FFFFFF"/>
                <w:sz w:val="20"/>
              </w:rPr>
            </w:pPr>
            <w:r w:rsidRPr="00237A45">
              <w:rPr>
                <w:rFonts w:ascii="Calibri" w:eastAsia="Calibri" w:hAnsi="Calibri" w:cs="Calibri"/>
                <w:b/>
                <w:bCs/>
                <w:color w:val="FFFFFF"/>
                <w:sz w:val="20"/>
                <w:szCs w:val="20"/>
              </w:rPr>
              <w:t>Document Name</w:t>
            </w:r>
          </w:p>
        </w:tc>
        <w:tc>
          <w:tcPr>
            <w:tcW w:w="1220" w:type="dxa"/>
            <w:shd w:val="clear" w:color="auto" w:fill="2F5597"/>
            <w:tcMar>
              <w:top w:w="30" w:type="dxa"/>
              <w:left w:w="60" w:type="dxa"/>
              <w:bottom w:w="30" w:type="dxa"/>
              <w:right w:w="60" w:type="dxa"/>
            </w:tcMar>
          </w:tcPr>
          <w:p w14:paraId="666B63B1" w14:textId="663B8BFF" w:rsidR="56AC26E0" w:rsidRPr="00237A45" w:rsidRDefault="56AC26E0" w:rsidP="00476D2B">
            <w:pPr>
              <w:keepNext/>
              <w:spacing w:after="0"/>
              <w:jc w:val="left"/>
              <w:rPr>
                <w:b/>
                <w:color w:val="FFFFFF"/>
                <w:sz w:val="20"/>
              </w:rPr>
            </w:pPr>
            <w:r w:rsidRPr="00237A45">
              <w:rPr>
                <w:rFonts w:ascii="Calibri" w:eastAsia="Calibri" w:hAnsi="Calibri" w:cs="Calibri"/>
                <w:b/>
                <w:bCs/>
                <w:color w:val="FFFFFF"/>
                <w:sz w:val="20"/>
                <w:szCs w:val="20"/>
              </w:rPr>
              <w:t>Version</w:t>
            </w:r>
          </w:p>
        </w:tc>
        <w:tc>
          <w:tcPr>
            <w:tcW w:w="4004" w:type="dxa"/>
            <w:shd w:val="clear" w:color="auto" w:fill="2F5597"/>
            <w:tcMar>
              <w:top w:w="30" w:type="dxa"/>
              <w:left w:w="60" w:type="dxa"/>
              <w:bottom w:w="30" w:type="dxa"/>
              <w:right w:w="60" w:type="dxa"/>
            </w:tcMar>
          </w:tcPr>
          <w:p w14:paraId="39C23C9D" w14:textId="0AFCF1CC" w:rsidR="56AC26E0" w:rsidRPr="00237A45" w:rsidRDefault="56AC26E0" w:rsidP="00476D2B">
            <w:pPr>
              <w:keepNext/>
              <w:spacing w:after="0"/>
              <w:jc w:val="left"/>
              <w:rPr>
                <w:b/>
                <w:color w:val="FFFFFF"/>
                <w:sz w:val="20"/>
              </w:rPr>
            </w:pPr>
            <w:r w:rsidRPr="00237A45">
              <w:rPr>
                <w:rFonts w:ascii="Calibri" w:eastAsia="Calibri" w:hAnsi="Calibri" w:cs="Calibri"/>
                <w:b/>
                <w:bCs/>
                <w:color w:val="FFFFFF"/>
                <w:sz w:val="20"/>
                <w:szCs w:val="20"/>
              </w:rPr>
              <w:t>Description</w:t>
            </w:r>
          </w:p>
        </w:tc>
      </w:tr>
      <w:tr w:rsidR="56AC26E0" w:rsidRPr="00237A45" w14:paraId="5A7CB384" w14:textId="77777777" w:rsidTr="00237A45">
        <w:trPr>
          <w:trHeight w:val="300"/>
        </w:trPr>
        <w:tc>
          <w:tcPr>
            <w:tcW w:w="4120" w:type="dxa"/>
            <w:tcMar>
              <w:top w:w="30" w:type="dxa"/>
              <w:left w:w="60" w:type="dxa"/>
              <w:bottom w:w="30" w:type="dxa"/>
              <w:right w:w="60" w:type="dxa"/>
            </w:tcMar>
          </w:tcPr>
          <w:p w14:paraId="4FB3CF15" w14:textId="4B02E0C8" w:rsidR="56AC26E0" w:rsidRPr="00237A45" w:rsidRDefault="56AC26E0" w:rsidP="00476D2B">
            <w:pPr>
              <w:keepNext/>
              <w:spacing w:after="0"/>
              <w:jc w:val="left"/>
              <w:rPr>
                <w:sz w:val="20"/>
              </w:rPr>
            </w:pPr>
            <w:r w:rsidRPr="00237A45">
              <w:rPr>
                <w:rFonts w:ascii="Calibri" w:eastAsia="Calibri" w:hAnsi="Calibri" w:cs="Calibri"/>
                <w:sz w:val="20"/>
                <w:szCs w:val="20"/>
              </w:rPr>
              <w:t>VCB Blending potential and KPI Dashboards Functional Design Document</w:t>
            </w:r>
          </w:p>
        </w:tc>
        <w:tc>
          <w:tcPr>
            <w:tcW w:w="1220" w:type="dxa"/>
            <w:tcMar>
              <w:top w:w="30" w:type="dxa"/>
              <w:left w:w="60" w:type="dxa"/>
              <w:bottom w:w="30" w:type="dxa"/>
              <w:right w:w="60" w:type="dxa"/>
            </w:tcMar>
          </w:tcPr>
          <w:p w14:paraId="3E41C80F" w14:textId="5E7364ED" w:rsidR="56AC26E0" w:rsidRPr="00237A45" w:rsidRDefault="56AC26E0" w:rsidP="00476D2B">
            <w:pPr>
              <w:keepNext/>
              <w:spacing w:after="0"/>
              <w:jc w:val="left"/>
              <w:rPr>
                <w:sz w:val="20"/>
              </w:rPr>
            </w:pPr>
            <w:r w:rsidRPr="00237A45">
              <w:rPr>
                <w:rFonts w:ascii="Calibri" w:eastAsia="Calibri" w:hAnsi="Calibri" w:cs="Calibri"/>
                <w:sz w:val="20"/>
                <w:szCs w:val="20"/>
              </w:rPr>
              <w:t>V2.0</w:t>
            </w:r>
          </w:p>
        </w:tc>
        <w:tc>
          <w:tcPr>
            <w:tcW w:w="4004" w:type="dxa"/>
            <w:tcMar>
              <w:top w:w="30" w:type="dxa"/>
              <w:left w:w="60" w:type="dxa"/>
              <w:bottom w:w="30" w:type="dxa"/>
              <w:right w:w="60" w:type="dxa"/>
            </w:tcMar>
          </w:tcPr>
          <w:p w14:paraId="28567DA7" w14:textId="768CEF96" w:rsidR="56AC26E0" w:rsidRPr="00237A45" w:rsidRDefault="56AC26E0" w:rsidP="00476D2B">
            <w:pPr>
              <w:keepNext/>
              <w:spacing w:after="0"/>
              <w:jc w:val="left"/>
              <w:rPr>
                <w:sz w:val="20"/>
              </w:rPr>
            </w:pPr>
            <w:r w:rsidRPr="00237A45">
              <w:rPr>
                <w:rFonts w:ascii="Calibri" w:eastAsia="Calibri" w:hAnsi="Calibri" w:cs="Calibri"/>
                <w:sz w:val="20"/>
                <w:szCs w:val="20"/>
              </w:rPr>
              <w:t>Functional design for the VCB dashboards; the controlling requirement document.</w:t>
            </w:r>
          </w:p>
        </w:tc>
      </w:tr>
      <w:tr w:rsidR="56AC26E0" w:rsidRPr="00237A45" w14:paraId="0F2D5325" w14:textId="77777777" w:rsidTr="00237A45">
        <w:trPr>
          <w:trHeight w:val="300"/>
        </w:trPr>
        <w:tc>
          <w:tcPr>
            <w:tcW w:w="4120" w:type="dxa"/>
            <w:tcMar>
              <w:top w:w="30" w:type="dxa"/>
              <w:left w:w="60" w:type="dxa"/>
              <w:bottom w:w="30" w:type="dxa"/>
              <w:right w:w="60" w:type="dxa"/>
            </w:tcMar>
          </w:tcPr>
          <w:p w14:paraId="18B08A97" w14:textId="05191E25" w:rsidR="56AC26E0" w:rsidRPr="00237A45" w:rsidRDefault="56AC26E0" w:rsidP="00476D2B">
            <w:pPr>
              <w:keepNext/>
              <w:spacing w:after="0"/>
              <w:jc w:val="left"/>
              <w:rPr>
                <w:sz w:val="20"/>
              </w:rPr>
            </w:pPr>
            <w:commentRangeStart w:id="30"/>
            <w:r w:rsidRPr="00237A45">
              <w:rPr>
                <w:rFonts w:ascii="Calibri" w:eastAsia="Calibri" w:hAnsi="Calibri" w:cs="Calibri"/>
                <w:sz w:val="20"/>
                <w:szCs w:val="20"/>
              </w:rPr>
              <w:t>MPC VCO IQDM Technical Design Document</w:t>
            </w:r>
            <w:commentRangeEnd w:id="30"/>
            <w:r w:rsidR="00723F56" w:rsidRPr="00237A45">
              <w:rPr>
                <w:rStyle w:val="CommentReference"/>
                <w:sz w:val="20"/>
                <w:szCs w:val="22"/>
              </w:rPr>
              <w:commentReference w:id="30"/>
            </w:r>
          </w:p>
        </w:tc>
        <w:tc>
          <w:tcPr>
            <w:tcW w:w="1220" w:type="dxa"/>
            <w:tcMar>
              <w:top w:w="30" w:type="dxa"/>
              <w:left w:w="60" w:type="dxa"/>
              <w:bottom w:w="30" w:type="dxa"/>
              <w:right w:w="60" w:type="dxa"/>
            </w:tcMar>
          </w:tcPr>
          <w:p w14:paraId="11EEBA53" w14:textId="203D4DA5" w:rsidR="56AC26E0" w:rsidRPr="00237A45" w:rsidRDefault="56AC26E0" w:rsidP="00476D2B">
            <w:pPr>
              <w:keepNext/>
              <w:spacing w:after="0"/>
              <w:jc w:val="left"/>
              <w:rPr>
                <w:sz w:val="20"/>
              </w:rPr>
            </w:pPr>
            <w:r w:rsidRPr="00237A45">
              <w:rPr>
                <w:rFonts w:ascii="Calibri" w:eastAsia="Calibri" w:hAnsi="Calibri" w:cs="Calibri"/>
                <w:sz w:val="20"/>
                <w:szCs w:val="20"/>
              </w:rPr>
              <w:t>V3.0</w:t>
            </w:r>
          </w:p>
        </w:tc>
        <w:tc>
          <w:tcPr>
            <w:tcW w:w="4004" w:type="dxa"/>
            <w:tcMar>
              <w:top w:w="30" w:type="dxa"/>
              <w:left w:w="60" w:type="dxa"/>
              <w:bottom w:w="30" w:type="dxa"/>
              <w:right w:w="60" w:type="dxa"/>
            </w:tcMar>
          </w:tcPr>
          <w:p w14:paraId="47C10A73" w14:textId="3190003B" w:rsidR="56AC26E0" w:rsidRPr="00237A45" w:rsidRDefault="56AC26E0" w:rsidP="00476D2B">
            <w:pPr>
              <w:keepNext/>
              <w:spacing w:after="0"/>
              <w:jc w:val="left"/>
              <w:rPr>
                <w:sz w:val="20"/>
              </w:rPr>
            </w:pPr>
            <w:r w:rsidRPr="00237A45">
              <w:rPr>
                <w:rFonts w:ascii="Calibri" w:eastAsia="Calibri" w:hAnsi="Calibri" w:cs="Calibri"/>
                <w:sz w:val="20"/>
                <w:szCs w:val="20"/>
              </w:rPr>
              <w:t xml:space="preserve">Technical design for IQDM; source of the integration pattern, the master-data approach and </w:t>
            </w:r>
            <w:r w:rsidR="00AA30D8">
              <w:rPr>
                <w:rFonts w:ascii="Calibri" w:eastAsia="Calibri" w:hAnsi="Calibri" w:cs="Calibri"/>
                <w:sz w:val="20"/>
                <w:szCs w:val="20"/>
              </w:rPr>
              <w:t>the integrations this document refers to</w:t>
            </w:r>
            <w:r w:rsidRPr="00237A45">
              <w:rPr>
                <w:rFonts w:ascii="Calibri" w:eastAsia="Calibri" w:hAnsi="Calibri" w:cs="Calibri"/>
                <w:sz w:val="20"/>
                <w:szCs w:val="20"/>
              </w:rPr>
              <w:t>.</w:t>
            </w:r>
          </w:p>
        </w:tc>
      </w:tr>
      <w:tr w:rsidR="56AC26E0" w:rsidRPr="00237A45" w14:paraId="72A956B0" w14:textId="77777777" w:rsidTr="00237A45">
        <w:trPr>
          <w:trHeight w:val="300"/>
        </w:trPr>
        <w:tc>
          <w:tcPr>
            <w:tcW w:w="4120" w:type="dxa"/>
            <w:tcMar>
              <w:top w:w="30" w:type="dxa"/>
              <w:left w:w="60" w:type="dxa"/>
              <w:bottom w:w="30" w:type="dxa"/>
              <w:right w:w="60" w:type="dxa"/>
            </w:tcMar>
          </w:tcPr>
          <w:p w14:paraId="0C5CC4D8" w14:textId="67798D42" w:rsidR="56AC26E0" w:rsidRPr="00237A45" w:rsidRDefault="56AC26E0" w:rsidP="00476D2B">
            <w:pPr>
              <w:keepNext/>
              <w:spacing w:after="0"/>
              <w:jc w:val="left"/>
              <w:rPr>
                <w:sz w:val="20"/>
              </w:rPr>
            </w:pPr>
            <w:r w:rsidRPr="00237A45">
              <w:rPr>
                <w:rFonts w:ascii="Calibri" w:eastAsia="Calibri" w:hAnsi="Calibri" w:cs="Calibri"/>
                <w:sz w:val="20"/>
                <w:szCs w:val="20"/>
              </w:rPr>
              <w:t>MPC VCO IQDM Functional Design Document</w:t>
            </w:r>
          </w:p>
        </w:tc>
        <w:tc>
          <w:tcPr>
            <w:tcW w:w="1220" w:type="dxa"/>
            <w:tcMar>
              <w:top w:w="30" w:type="dxa"/>
              <w:left w:w="60" w:type="dxa"/>
              <w:bottom w:w="30" w:type="dxa"/>
              <w:right w:w="60" w:type="dxa"/>
            </w:tcMar>
          </w:tcPr>
          <w:p w14:paraId="4A4B8278" w14:textId="0C3D7A56" w:rsidR="56AC26E0" w:rsidRPr="00237A45" w:rsidRDefault="56AC26E0" w:rsidP="00476D2B">
            <w:pPr>
              <w:keepNext/>
              <w:spacing w:after="0"/>
              <w:jc w:val="left"/>
              <w:rPr>
                <w:sz w:val="20"/>
              </w:rPr>
            </w:pPr>
            <w:r w:rsidRPr="00237A45">
              <w:rPr>
                <w:rFonts w:ascii="Calibri" w:eastAsia="Calibri" w:hAnsi="Calibri" w:cs="Calibri"/>
                <w:sz w:val="20"/>
                <w:szCs w:val="20"/>
              </w:rPr>
              <w:t>V2.0</w:t>
            </w:r>
          </w:p>
        </w:tc>
        <w:tc>
          <w:tcPr>
            <w:tcW w:w="4004" w:type="dxa"/>
            <w:tcMar>
              <w:top w:w="30" w:type="dxa"/>
              <w:left w:w="60" w:type="dxa"/>
              <w:bottom w:w="30" w:type="dxa"/>
              <w:right w:w="60" w:type="dxa"/>
            </w:tcMar>
          </w:tcPr>
          <w:p w14:paraId="39BA10FC" w14:textId="733599D4" w:rsidR="56AC26E0" w:rsidRPr="00237A45" w:rsidRDefault="56AC26E0" w:rsidP="00476D2B">
            <w:pPr>
              <w:keepNext/>
              <w:spacing w:after="0"/>
              <w:jc w:val="left"/>
              <w:rPr>
                <w:sz w:val="20"/>
              </w:rPr>
            </w:pPr>
            <w:r w:rsidRPr="00237A45">
              <w:rPr>
                <w:rFonts w:ascii="Calibri" w:eastAsia="Calibri" w:hAnsi="Calibri" w:cs="Calibri"/>
                <w:sz w:val="20"/>
                <w:szCs w:val="20"/>
              </w:rPr>
              <w:t>Functional design for IQDM; source of IQDM's release plan for the entities it integrates.</w:t>
            </w:r>
          </w:p>
        </w:tc>
      </w:tr>
      <w:tr w:rsidR="56AC26E0" w:rsidRPr="00237A45" w14:paraId="5743FB20" w14:textId="77777777" w:rsidTr="00237A45">
        <w:trPr>
          <w:trHeight w:val="300"/>
        </w:trPr>
        <w:tc>
          <w:tcPr>
            <w:tcW w:w="4120" w:type="dxa"/>
            <w:tcMar>
              <w:top w:w="30" w:type="dxa"/>
              <w:left w:w="60" w:type="dxa"/>
              <w:bottom w:w="30" w:type="dxa"/>
              <w:right w:w="60" w:type="dxa"/>
            </w:tcMar>
          </w:tcPr>
          <w:p w14:paraId="46AC80B2" w14:textId="04EC7EC3" w:rsidR="56AC26E0" w:rsidRPr="00237A45" w:rsidRDefault="0082036C" w:rsidP="002930A6">
            <w:pPr>
              <w:spacing w:after="0"/>
              <w:jc w:val="left"/>
              <w:rPr>
                <w:sz w:val="20"/>
              </w:rPr>
            </w:pPr>
            <w:r w:rsidRPr="00237A45">
              <w:rPr>
                <w:rFonts w:ascii="Calibri" w:eastAsia="Calibri" w:hAnsi="Calibri" w:cs="Calibri"/>
                <w:sz w:val="20"/>
                <w:szCs w:val="20"/>
              </w:rPr>
              <w:t>VCO_Blending Visibility and KPIs Dashboards_Technical_Design_Diagrams_V1.0</w:t>
            </w:r>
          </w:p>
        </w:tc>
        <w:tc>
          <w:tcPr>
            <w:tcW w:w="1220" w:type="dxa"/>
            <w:tcMar>
              <w:top w:w="30" w:type="dxa"/>
              <w:left w:w="60" w:type="dxa"/>
              <w:bottom w:w="30" w:type="dxa"/>
              <w:right w:w="60" w:type="dxa"/>
            </w:tcMar>
          </w:tcPr>
          <w:p w14:paraId="1C7A7192" w14:textId="0FBB57DA" w:rsidR="56AC26E0" w:rsidRPr="00237A45" w:rsidRDefault="0082036C" w:rsidP="002930A6">
            <w:pPr>
              <w:spacing w:after="0"/>
              <w:jc w:val="left"/>
              <w:rPr>
                <w:sz w:val="20"/>
              </w:rPr>
            </w:pPr>
            <w:r w:rsidRPr="00237A45">
              <w:rPr>
                <w:rFonts w:ascii="Calibri" w:eastAsia="Calibri" w:hAnsi="Calibri" w:cs="Calibri"/>
                <w:sz w:val="20"/>
                <w:szCs w:val="20"/>
              </w:rPr>
              <w:t>V1.0</w:t>
            </w:r>
          </w:p>
        </w:tc>
        <w:tc>
          <w:tcPr>
            <w:tcW w:w="4004" w:type="dxa"/>
            <w:tcMar>
              <w:top w:w="30" w:type="dxa"/>
              <w:left w:w="60" w:type="dxa"/>
              <w:bottom w:w="30" w:type="dxa"/>
              <w:right w:w="60" w:type="dxa"/>
            </w:tcMar>
          </w:tcPr>
          <w:p w14:paraId="1A9859DD" w14:textId="5ACEF60F" w:rsidR="56AC26E0" w:rsidRPr="00237A45" w:rsidRDefault="0045635D" w:rsidP="002930A6">
            <w:pPr>
              <w:spacing w:after="0"/>
              <w:jc w:val="left"/>
              <w:rPr>
                <w:sz w:val="20"/>
              </w:rPr>
            </w:pPr>
            <w:r w:rsidRPr="00237A45">
              <w:rPr>
                <w:rFonts w:ascii="Calibri" w:eastAsia="Calibri" w:hAnsi="Calibri" w:cs="Calibri"/>
                <w:sz w:val="20"/>
                <w:szCs w:val="20"/>
              </w:rPr>
              <w:t xml:space="preserve">Visio workbook of the IQDM drawings kept in this document; the VCB drawings are embedded in chapter </w:t>
            </w:r>
            <w:r w:rsidR="00FC42E7">
              <w:rPr>
                <w:rFonts w:ascii="Calibri" w:eastAsia="Calibri" w:hAnsi="Calibri" w:cs="Calibri"/>
                <w:sz w:val="20"/>
                <w:szCs w:val="20"/>
              </w:rPr>
              <w:fldChar w:fldCharType="begin"/>
            </w:r>
            <w:r w:rsidR="00FC42E7">
              <w:rPr>
                <w:rFonts w:ascii="Calibri" w:eastAsia="Calibri" w:hAnsi="Calibri" w:cs="Calibri"/>
                <w:sz w:val="20"/>
                <w:szCs w:val="20"/>
              </w:rPr>
              <w:instrText xml:space="preserve"> REF _Ref917260901 \w \h \* MERGEFORMAT </w:instrText>
            </w:r>
            <w:r w:rsidR="00FC42E7">
              <w:rPr>
                <w:rFonts w:ascii="Calibri" w:eastAsia="Calibri" w:hAnsi="Calibri" w:cs="Calibri"/>
                <w:sz w:val="20"/>
                <w:szCs w:val="20"/>
              </w:rPr>
            </w:r>
            <w:r w:rsidR="00FC42E7">
              <w:rPr>
                <w:rFonts w:ascii="Calibri" w:eastAsia="Calibri" w:hAnsi="Calibri" w:cs="Calibri"/>
                <w:sz w:val="20"/>
                <w:szCs w:val="20"/>
              </w:rPr>
              <w:fldChar w:fldCharType="separate"/>
            </w:r>
            <w:r w:rsidR="00FC42E7" w:rsidRPr="00FC42E7">
              <w:rPr>
                <w:rFonts w:ascii="Calibri" w:eastAsia="Calibri" w:hAnsi="Calibri" w:cs="Calibri"/>
                <w:color w:val="0563C1"/>
                <w:sz w:val="20"/>
                <w:szCs w:val="20"/>
                <w:u w:val="single"/>
              </w:rPr>
              <w:t>2</w:t>
            </w:r>
            <w:r w:rsidR="00FC42E7">
              <w:rPr>
                <w:rFonts w:ascii="Calibri" w:eastAsia="Calibri" w:hAnsi="Calibri" w:cs="Calibri"/>
                <w:sz w:val="20"/>
                <w:szCs w:val="20"/>
              </w:rPr>
              <w:fldChar w:fldCharType="end"/>
            </w:r>
            <w:r w:rsidRPr="00237A45">
              <w:rPr>
                <w:rFonts w:ascii="Calibri" w:eastAsia="Calibri" w:hAnsi="Calibri" w:cs="Calibri"/>
                <w:sz w:val="20"/>
                <w:szCs w:val="20"/>
              </w:rPr>
              <w:t>.</w:t>
            </w:r>
          </w:p>
        </w:tc>
      </w:tr>
    </w:tbl>
    <w:p w14:paraId="502D66DA" w14:textId="07EEDB79" w:rsidR="56AC26E0" w:rsidRDefault="56AC26E0" w:rsidP="002930A6"/>
    <w:p w14:paraId="75861184" w14:textId="77777777" w:rsidR="0081216E" w:rsidRDefault="052D9DA2" w:rsidP="00C1647A">
      <w:pPr>
        <w:pStyle w:val="Heading1"/>
        <w:pageBreakBefore/>
        <w:rPr>
          <w:rFonts w:asciiTheme="minorHAnsi" w:hAnsiTheme="minorHAnsi" w:cstheme="minorBidi"/>
          <w:sz w:val="20"/>
          <w:szCs w:val="20"/>
        </w:rPr>
      </w:pPr>
      <w:bookmarkStart w:id="31" w:name="_Toc417658965"/>
      <w:bookmarkStart w:id="32" w:name="_Toc918534234"/>
      <w:bookmarkStart w:id="33" w:name="_Toc241574284"/>
      <w:bookmarkStart w:id="34" w:name="_Ref917260901"/>
      <w:bookmarkStart w:id="35" w:name="_Toc242553914"/>
      <w:r w:rsidRPr="7F6E7DEF">
        <w:rPr>
          <w:rFonts w:asciiTheme="minorHAnsi" w:hAnsiTheme="minorHAnsi" w:cstheme="minorBidi"/>
          <w:sz w:val="20"/>
          <w:szCs w:val="20"/>
        </w:rPr>
        <w:t>Process Integration</w:t>
      </w:r>
      <w:bookmarkEnd w:id="31"/>
      <w:bookmarkEnd w:id="32"/>
      <w:bookmarkEnd w:id="33"/>
      <w:bookmarkEnd w:id="34"/>
      <w:bookmarkEnd w:id="35"/>
    </w:p>
    <w:p w14:paraId="7D1EDAED" w14:textId="14FE276F" w:rsidR="008458A4" w:rsidRPr="0081216E" w:rsidRDefault="00CE45AF" w:rsidP="00FC42E7">
      <w:pPr>
        <w:jc w:val="left"/>
        <w:rPr>
          <w:rFonts w:ascii="Calibri" w:hAnsi="Calibri" w:cs="Calibri"/>
        </w:rPr>
      </w:pPr>
      <w:r>
        <w:rPr>
          <w:rFonts w:ascii="Calibri" w:hAnsi="Calibri" w:cs="Calibri"/>
        </w:rPr>
        <w:t xml:space="preserve">This chapter describes how the data of each entity reaches the VCB dashboards: </w:t>
      </w:r>
      <w:r w:rsidR="008F2422">
        <w:rPr>
          <w:rFonts w:ascii="Calibri" w:hAnsi="Calibri" w:cs="Calibri"/>
        </w:rPr>
        <w:t>the scope, the assumptions</w:t>
      </w:r>
      <w:r>
        <w:rPr>
          <w:rFonts w:ascii="Calibri" w:hAnsi="Calibri" w:cs="Calibri"/>
        </w:rPr>
        <w:t xml:space="preserve"> that apply to every integration and the solution approach.</w:t>
      </w:r>
    </w:p>
    <w:p w14:paraId="79C7E90A" w14:textId="5AFE235E" w:rsidR="000F74C8" w:rsidRPr="00947205" w:rsidRDefault="008F2422" w:rsidP="000F74C8">
      <w:pPr>
        <w:pStyle w:val="Heading2"/>
        <w:rPr>
          <w:rFonts w:ascii="Calibri" w:hAnsi="Calibri" w:cs="Calibri"/>
          <w:sz w:val="20"/>
        </w:rPr>
      </w:pPr>
      <w:bookmarkStart w:id="36" w:name="_Integration_Scope"/>
      <w:bookmarkStart w:id="37" w:name="_Ref917260907"/>
      <w:bookmarkStart w:id="38" w:name="_Toc242553915"/>
      <w:bookmarkEnd w:id="36"/>
      <w:r>
        <w:rPr>
          <w:rFonts w:ascii="Calibri" w:hAnsi="Calibri" w:cs="Calibri"/>
          <w:sz w:val="20"/>
        </w:rPr>
        <w:t>Scope</w:t>
      </w:r>
      <w:bookmarkEnd w:id="37"/>
      <w:bookmarkEnd w:id="38"/>
    </w:p>
    <w:p w14:paraId="47466A22" w14:textId="3468E430" w:rsidR="00C63A98" w:rsidRDefault="00873A53" w:rsidP="00FC42E7">
      <w:pPr>
        <w:pStyle w:val="ListParagraph"/>
        <w:numPr>
          <w:ilvl w:val="0"/>
          <w:numId w:val="4"/>
        </w:numPr>
        <w:jc w:val="left"/>
      </w:pPr>
      <w:r>
        <w:t>The solution shall cover the refineries and terminals of the North Region of MPC: the Robinson, Catlettsburg, Detroit and Canton refineries and the North Region terminals listed in the functional design.</w:t>
      </w:r>
    </w:p>
    <w:p w14:paraId="36CCC41E" w14:textId="52C628C8" w:rsidR="00C63A98" w:rsidRDefault="00FC42E7" w:rsidP="00FC42E7">
      <w:pPr>
        <w:pStyle w:val="ListParagraph"/>
        <w:numPr>
          <w:ilvl w:val="0"/>
          <w:numId w:val="4"/>
        </w:numPr>
        <w:jc w:val="left"/>
      </w:pPr>
      <w:r>
        <w:t>The solution shall bring together the inventory, quality, batch movement, blend component and pricing data that the VCB dashboards need.</w:t>
      </w:r>
    </w:p>
    <w:p w14:paraId="5C5DD927" w14:textId="4E2508C7" w:rsidR="00FC42E7" w:rsidRPr="00EC3682" w:rsidRDefault="00FC42E7" w:rsidP="00FC42E7">
      <w:pPr>
        <w:pStyle w:val="ListParagraph"/>
        <w:numPr>
          <w:ilvl w:val="0"/>
          <w:numId w:val="4"/>
        </w:numPr>
        <w:jc w:val="left"/>
        <w:rPr>
          <w:rFonts w:ascii="Calibri" w:hAnsi="Calibri" w:cs="Calibri"/>
        </w:rPr>
      </w:pPr>
      <w:r>
        <w:t xml:space="preserve">The data entities shall fall into two groups, described in sections </w:t>
      </w:r>
      <w:r>
        <w:fldChar w:fldCharType="begin"/>
      </w:r>
      <w:r>
        <w:instrText xml:space="preserve"> REF _Ref917260902 \w \h \* MERGEFORMAT </w:instrText>
      </w:r>
      <w:r>
        <w:fldChar w:fldCharType="separate"/>
      </w:r>
      <w:r w:rsidRPr="00FC42E7">
        <w:rPr>
          <w:color w:val="0563C1"/>
          <w:u w:val="single"/>
        </w:rPr>
        <w:t>2.1.1</w:t>
      </w:r>
      <w:r>
        <w:fldChar w:fldCharType="end"/>
      </w:r>
      <w:r>
        <w:t xml:space="preserve"> and </w:t>
      </w:r>
      <w:r>
        <w:fldChar w:fldCharType="begin"/>
      </w:r>
      <w:r>
        <w:instrText xml:space="preserve"> REF _Ref917260903 \w \h \* MERGEFORMAT </w:instrText>
      </w:r>
      <w:r>
        <w:fldChar w:fldCharType="separate"/>
      </w:r>
      <w:r w:rsidRPr="00FC42E7">
        <w:rPr>
          <w:color w:val="0563C1"/>
          <w:u w:val="single"/>
        </w:rPr>
        <w:t>2.1.2</w:t>
      </w:r>
      <w:r>
        <w:fldChar w:fldCharType="end"/>
      </w:r>
      <w:r>
        <w:t>.</w:t>
      </w:r>
    </w:p>
    <w:p w14:paraId="2F10816D" w14:textId="209AB29F" w:rsidR="00C63A98" w:rsidRDefault="00FC42E7" w:rsidP="00FC42E7">
      <w:pPr>
        <w:pStyle w:val="ListParagraph"/>
        <w:numPr>
          <w:ilvl w:val="0"/>
          <w:numId w:val="4"/>
        </w:numPr>
        <w:jc w:val="left"/>
      </w:pPr>
      <w:r>
        <w:t xml:space="preserve">Tables </w:t>
      </w:r>
      <w:r>
        <w:fldChar w:fldCharType="begin"/>
      </w:r>
      <w:r>
        <w:instrText xml:space="preserve"> REF _Ref917260904 \h \* MERGEFORMAT </w:instrText>
      </w:r>
      <w:r>
        <w:fldChar w:fldCharType="separate"/>
      </w:r>
      <w:r w:rsidRPr="00FC42E7">
        <w:rPr>
          <w:noProof/>
          <w:color w:val="0563C1"/>
          <w:u w:val="single"/>
        </w:rPr>
        <w:t>2-1</w:t>
      </w:r>
      <w:r>
        <w:fldChar w:fldCharType="end"/>
      </w:r>
      <w:r>
        <w:t xml:space="preserve"> and </w:t>
      </w:r>
      <w:r>
        <w:fldChar w:fldCharType="begin"/>
      </w:r>
      <w:r>
        <w:instrText xml:space="preserve"> REF _Ref917260905 \h \* MERGEFORMAT </w:instrText>
      </w:r>
      <w:r>
        <w:fldChar w:fldCharType="separate"/>
      </w:r>
      <w:r w:rsidRPr="00FC42E7">
        <w:rPr>
          <w:noProof/>
          <w:color w:val="0563C1"/>
          <w:u w:val="single"/>
        </w:rPr>
        <w:t>2-2</w:t>
      </w:r>
      <w:r>
        <w:fldChar w:fldCharType="end"/>
      </w:r>
      <w:r>
        <w:t xml:space="preserve"> give the data entities of each group, and Table </w:t>
      </w:r>
      <w:r>
        <w:fldChar w:fldCharType="begin"/>
      </w:r>
      <w:r>
        <w:instrText xml:space="preserve"> REF _Ref917260906 \h \* MERGEFORMAT </w:instrText>
      </w:r>
      <w:r>
        <w:fldChar w:fldCharType="separate"/>
      </w:r>
      <w:r w:rsidRPr="00FC42E7">
        <w:rPr>
          <w:noProof/>
          <w:color w:val="0563C1"/>
          <w:u w:val="single"/>
        </w:rPr>
        <w:t>2-3</w:t>
      </w:r>
      <w:r>
        <w:fldChar w:fldCharType="end"/>
      </w:r>
      <w:r>
        <w:t xml:space="preserve"> gives the user interface components.</w:t>
      </w:r>
    </w:p>
    <w:p w14:paraId="796F0062" w14:textId="58CC40EA" w:rsidR="00AA30D8" w:rsidRPr="00AA30D8" w:rsidRDefault="008F2422" w:rsidP="00C63A98">
      <w:pPr>
        <w:pStyle w:val="Heading3"/>
        <w:rPr>
          <w:rFonts w:ascii="Calibri" w:hAnsi="Calibri" w:cs="Calibri"/>
          <w:b/>
          <w:sz w:val="20"/>
        </w:rPr>
      </w:pPr>
      <w:bookmarkStart w:id="39" w:name="_Ref917260902"/>
      <w:bookmarkStart w:id="40" w:name="_Toc242553916"/>
      <w:r>
        <w:rPr>
          <w:rFonts w:ascii="Calibri" w:hAnsi="Calibri" w:cs="Calibri"/>
          <w:b/>
          <w:sz w:val="20"/>
        </w:rPr>
        <w:t>IQDM Scope</w:t>
      </w:r>
      <w:bookmarkEnd w:id="39"/>
      <w:bookmarkEnd w:id="40"/>
    </w:p>
    <w:p w14:paraId="64CB9355" w14:textId="61B28CDA" w:rsidR="00FC42E7" w:rsidRPr="00EC3682" w:rsidRDefault="00FC42E7" w:rsidP="00FC42E7">
      <w:pPr>
        <w:pStyle w:val="ListParagraph"/>
        <w:numPr>
          <w:ilvl w:val="0"/>
          <w:numId w:val="4"/>
        </w:numPr>
        <w:jc w:val="left"/>
        <w:rPr>
          <w:rFonts w:ascii="Calibri" w:hAnsi="Calibri" w:cs="Calibri"/>
        </w:rPr>
      </w:pPr>
      <w:r>
        <w:t>The first group shall comprise the data entities received from sources that are already integrated with IQDM.</w:t>
      </w:r>
    </w:p>
    <w:p w14:paraId="387F5552" w14:textId="747045F9" w:rsidR="00FC42E7" w:rsidRPr="00EC3682" w:rsidRDefault="00FC42E7" w:rsidP="00FC42E7">
      <w:pPr>
        <w:pStyle w:val="ListParagraph"/>
        <w:numPr>
          <w:ilvl w:val="0"/>
          <w:numId w:val="4"/>
        </w:numPr>
        <w:jc w:val="left"/>
        <w:rPr>
          <w:rFonts w:ascii="Calibri" w:hAnsi="Calibri" w:cs="Calibri"/>
        </w:rPr>
      </w:pPr>
      <w:r>
        <w:t>The existing IQDM integrations shall load the data entities of the first group into the IQDM database, and the VCB dashboards shall read the data from the IQDM database.</w:t>
      </w:r>
    </w:p>
    <w:p w14:paraId="649170AA" w14:textId="041C0484" w:rsidR="00C63A98" w:rsidRPr="00FC42E7" w:rsidRDefault="00FC42E7" w:rsidP="00FC42E7">
      <w:pPr>
        <w:pStyle w:val="ListParagraph"/>
        <w:numPr>
          <w:ilvl w:val="0"/>
          <w:numId w:val="4"/>
        </w:numPr>
        <w:jc w:val="left"/>
      </w:pPr>
      <w:r w:rsidRPr="00FC42E7">
        <w:t>The product specifications shall be the exception: the database team shall load them until IQDM Release 5 (</w:t>
      </w:r>
      <w:commentRangeStart w:id="41"/>
      <w:r w:rsidRPr="00FC42E7">
        <w:t xml:space="preserve">chapter </w:t>
      </w:r>
      <w:commentRangeEnd w:id="41"/>
      <w:r w:rsidR="00C60DB8">
        <w:rPr>
          <w:rStyle w:val="CommentReference"/>
          <w:sz w:val="22"/>
          <w:szCs w:val="22"/>
        </w:rPr>
        <w:commentReference w:id="41"/>
      </w:r>
      <w:r>
        <w:fldChar w:fldCharType="begin"/>
      </w:r>
      <w:r>
        <w:instrText xml:space="preserve"> REF _Toc1072462938 \w \h \* MERGEFORMAT </w:instrText>
      </w:r>
      <w:r>
        <w:fldChar w:fldCharType="separate"/>
      </w:r>
      <w:r w:rsidRPr="00FC42E7">
        <w:rPr>
          <w:color w:val="0563C1"/>
          <w:u w:val="single"/>
        </w:rPr>
        <w:t>3</w:t>
      </w:r>
      <w:r>
        <w:fldChar w:fldCharType="end"/>
      </w:r>
      <w:r w:rsidRPr="00FC42E7">
        <w:t>).</w:t>
      </w:r>
    </w:p>
    <w:tbl>
      <w:tblPr>
        <w:tblStyle w:val="TableGrid"/>
        <w:tblW w:w="93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02"/>
        <w:gridCol w:w="1216"/>
        <w:gridCol w:w="1216"/>
        <w:gridCol w:w="1778"/>
        <w:gridCol w:w="2246"/>
      </w:tblGrid>
      <w:tr w:rsidR="00AA30D8" w:rsidRPr="00C63A98" w14:paraId="40A55221" w14:textId="76A94FE4" w:rsidTr="0081216E">
        <w:trPr>
          <w:cantSplit/>
          <w:tblHeader/>
        </w:trPr>
        <w:tc>
          <w:tcPr>
            <w:tcW w:w="2902" w:type="dxa"/>
            <w:shd w:val="clear" w:color="auto" w:fill="2F5597"/>
          </w:tcPr>
          <w:p w14:paraId="5B617C2F" w14:textId="670374B1" w:rsidR="00AA30D8" w:rsidRPr="00C63A98" w:rsidRDefault="00AA30D8" w:rsidP="00AA30D8">
            <w:pPr>
              <w:pStyle w:val="Tablehead1"/>
              <w:rPr>
                <w:rFonts w:ascii="Calibri" w:hAnsi="Calibri" w:cs="Calibri"/>
                <w:sz w:val="20"/>
              </w:rPr>
            </w:pPr>
            <w:r w:rsidRPr="00C63A98">
              <w:rPr>
                <w:rFonts w:ascii="Calibri" w:hAnsi="Calibri" w:cs="Calibri"/>
                <w:sz w:val="20"/>
              </w:rPr>
              <w:t>Data Entity</w:t>
            </w:r>
          </w:p>
        </w:tc>
        <w:tc>
          <w:tcPr>
            <w:tcW w:w="1216" w:type="dxa"/>
            <w:shd w:val="clear" w:color="auto" w:fill="2F5597"/>
          </w:tcPr>
          <w:p w14:paraId="45E5FE37" w14:textId="4DF3E87A" w:rsidR="00AA30D8" w:rsidRPr="00C63A98" w:rsidRDefault="00AA30D8" w:rsidP="00AA30D8">
            <w:pPr>
              <w:pStyle w:val="Tablehead1"/>
              <w:rPr>
                <w:rFonts w:ascii="Calibri" w:hAnsi="Calibri" w:cs="Calibri"/>
                <w:sz w:val="20"/>
              </w:rPr>
            </w:pPr>
            <w:r w:rsidRPr="00C63A98">
              <w:rPr>
                <w:rFonts w:ascii="Calibri" w:hAnsi="Calibri" w:cs="Calibri"/>
                <w:sz w:val="20"/>
              </w:rPr>
              <w:t>Primary Source</w:t>
            </w:r>
          </w:p>
        </w:tc>
        <w:tc>
          <w:tcPr>
            <w:tcW w:w="1216" w:type="dxa"/>
            <w:shd w:val="clear" w:color="auto" w:fill="2F5597"/>
          </w:tcPr>
          <w:p w14:paraId="23564BC4" w14:textId="7636F609" w:rsidR="00AA30D8" w:rsidRPr="00C63A98" w:rsidRDefault="00AA30D8" w:rsidP="00AA30D8">
            <w:pPr>
              <w:pStyle w:val="Tablehead1"/>
              <w:rPr>
                <w:rFonts w:ascii="Calibri" w:hAnsi="Calibri" w:cs="Calibri"/>
                <w:sz w:val="20"/>
              </w:rPr>
            </w:pPr>
            <w:r w:rsidRPr="00C63A98">
              <w:rPr>
                <w:rFonts w:ascii="Calibri" w:hAnsi="Calibri" w:cs="Calibri"/>
                <w:sz w:val="20"/>
              </w:rPr>
              <w:t>Secondary Source</w:t>
            </w:r>
          </w:p>
        </w:tc>
        <w:tc>
          <w:tcPr>
            <w:tcW w:w="1778" w:type="dxa"/>
            <w:shd w:val="clear" w:color="auto" w:fill="2F5597"/>
          </w:tcPr>
          <w:p w14:paraId="347589F1" w14:textId="35899CE0" w:rsidR="00AA30D8" w:rsidRPr="00C63A98" w:rsidRDefault="00AA30D8" w:rsidP="00AA30D8">
            <w:pPr>
              <w:pStyle w:val="Tablehead1"/>
              <w:rPr>
                <w:rFonts w:ascii="Calibri" w:hAnsi="Calibri" w:cs="Calibri"/>
                <w:sz w:val="20"/>
              </w:rPr>
            </w:pPr>
            <w:r w:rsidRPr="00C63A98">
              <w:rPr>
                <w:rFonts w:ascii="Calibri" w:hAnsi="Calibri" w:cs="Calibri"/>
                <w:sz w:val="20"/>
              </w:rPr>
              <w:t>Update Frequency</w:t>
            </w:r>
          </w:p>
        </w:tc>
        <w:tc>
          <w:tcPr>
            <w:tcW w:w="2246" w:type="dxa"/>
            <w:shd w:val="clear" w:color="auto" w:fill="2F5597"/>
          </w:tcPr>
          <w:p w14:paraId="586AD0B1" w14:textId="77D361D4" w:rsidR="00AA30D8" w:rsidRPr="00C63A98" w:rsidRDefault="00AA30D8" w:rsidP="00AA30D8">
            <w:pPr>
              <w:pStyle w:val="Tablehead1"/>
              <w:rPr>
                <w:rFonts w:ascii="Calibri" w:hAnsi="Calibri" w:cs="Calibri"/>
                <w:sz w:val="20"/>
              </w:rPr>
            </w:pPr>
            <w:r>
              <w:rPr>
                <w:rFonts w:ascii="Calibri" w:hAnsi="Calibri" w:cs="Calibri"/>
                <w:sz w:val="20"/>
              </w:rPr>
              <w:t>Release Scope</w:t>
            </w:r>
          </w:p>
        </w:tc>
      </w:tr>
      <w:tr w:rsidR="00AA30D8" w:rsidRPr="00C63A98" w14:paraId="6FAE0BF7" w14:textId="1188778F" w:rsidTr="0081216E">
        <w:trPr>
          <w:cantSplit/>
        </w:trPr>
        <w:tc>
          <w:tcPr>
            <w:tcW w:w="2902" w:type="dxa"/>
          </w:tcPr>
          <w:p w14:paraId="214C911C" w14:textId="600C18B1" w:rsidR="00AA30D8" w:rsidRPr="00C63A98" w:rsidRDefault="00AA30D8" w:rsidP="00AA30D8">
            <w:pPr>
              <w:pStyle w:val="Tabletext"/>
              <w:keepNext/>
              <w:rPr>
                <w:rFonts w:ascii="Calibri" w:hAnsi="Calibri" w:cs="Calibri"/>
                <w:sz w:val="20"/>
              </w:rPr>
            </w:pPr>
            <w:commentRangeStart w:id="42"/>
            <w:r w:rsidRPr="00C63A98">
              <w:rPr>
                <w:rFonts w:ascii="Calibri" w:hAnsi="Calibri" w:cs="Calibri"/>
                <w:sz w:val="20"/>
              </w:rPr>
              <w:t>In-Transit &amp; Schedule Movement from refinery (Pipeline)</w:t>
            </w:r>
          </w:p>
        </w:tc>
        <w:tc>
          <w:tcPr>
            <w:tcW w:w="1216" w:type="dxa"/>
          </w:tcPr>
          <w:p w14:paraId="11679FD7" w14:textId="112FDF3C" w:rsidR="00AA30D8" w:rsidRPr="00C63A98" w:rsidRDefault="00AA30D8" w:rsidP="00AA30D8">
            <w:pPr>
              <w:pStyle w:val="Tabletext"/>
              <w:keepNext/>
              <w:rPr>
                <w:rFonts w:ascii="Calibri" w:hAnsi="Calibri" w:cs="Calibri"/>
                <w:sz w:val="20"/>
              </w:rPr>
            </w:pPr>
            <w:r w:rsidRPr="00C63A98">
              <w:rPr>
                <w:rFonts w:ascii="Calibri" w:hAnsi="Calibri" w:cs="Calibri"/>
                <w:sz w:val="20"/>
              </w:rPr>
              <w:t>APS</w:t>
            </w:r>
          </w:p>
        </w:tc>
        <w:tc>
          <w:tcPr>
            <w:tcW w:w="1216" w:type="dxa"/>
          </w:tcPr>
          <w:p w14:paraId="4F6BA537" w14:textId="62076CA2"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443AC728" w14:textId="51DF745E" w:rsidR="00AA30D8" w:rsidRPr="00C63A98" w:rsidRDefault="00AA30D8" w:rsidP="00AA30D8">
            <w:pPr>
              <w:pStyle w:val="Tabletext"/>
              <w:keepNext/>
              <w:rPr>
                <w:rFonts w:ascii="Calibri" w:hAnsi="Calibri" w:cs="Calibri"/>
                <w:sz w:val="20"/>
              </w:rPr>
            </w:pPr>
            <w:r w:rsidRPr="00C63A98">
              <w:rPr>
                <w:rFonts w:ascii="Calibri" w:hAnsi="Calibri" w:cs="Calibri"/>
                <w:sz w:val="20"/>
              </w:rPr>
              <w:t>Every day at a specified time</w:t>
            </w:r>
          </w:p>
        </w:tc>
        <w:tc>
          <w:tcPr>
            <w:tcW w:w="2246" w:type="dxa"/>
          </w:tcPr>
          <w:p w14:paraId="3B5F5BC0" w14:textId="2D9C31FF" w:rsidR="00AA30D8" w:rsidRPr="00C63A98" w:rsidRDefault="0081216E" w:rsidP="00AA30D8">
            <w:pPr>
              <w:pStyle w:val="Tabletext"/>
              <w:keepNext/>
              <w:rPr>
                <w:rFonts w:ascii="Calibri" w:hAnsi="Calibri" w:cs="Calibri"/>
                <w:sz w:val="20"/>
              </w:rPr>
            </w:pPr>
            <w:r>
              <w:rPr>
                <w:rFonts w:ascii="Calibri" w:hAnsi="Calibri" w:cs="Calibri"/>
                <w:sz w:val="20"/>
              </w:rPr>
              <w:t>IQDM Release 1</w:t>
            </w:r>
            <w:commentRangeEnd w:id="42"/>
            <w:r w:rsidR="006B2FF0" w:rsidRPr="00C63A98">
              <w:rPr>
                <w:rStyle w:val="CommentReference"/>
                <w:rFonts w:ascii="Calibri" w:hAnsi="Calibri" w:cs="Calibri"/>
                <w:sz w:val="20"/>
                <w:szCs w:val="20"/>
              </w:rPr>
              <w:commentReference w:id="42"/>
            </w:r>
          </w:p>
        </w:tc>
      </w:tr>
      <w:tr w:rsidR="00AA30D8" w:rsidRPr="00C63A98" w14:paraId="1C996CA5" w14:textId="2B675FE8" w:rsidTr="0081216E">
        <w:trPr>
          <w:cantSplit/>
        </w:trPr>
        <w:tc>
          <w:tcPr>
            <w:tcW w:w="2902" w:type="dxa"/>
          </w:tcPr>
          <w:p w14:paraId="030DEC89" w14:textId="419CB64C" w:rsidR="00AA30D8" w:rsidRPr="00C63A98" w:rsidRDefault="00AA30D8" w:rsidP="00AA30D8">
            <w:pPr>
              <w:pStyle w:val="Tabletext"/>
              <w:keepNext/>
              <w:rPr>
                <w:rFonts w:ascii="Calibri" w:hAnsi="Calibri" w:cs="Calibri"/>
                <w:sz w:val="20"/>
              </w:rPr>
            </w:pPr>
            <w:r w:rsidRPr="00C63A98">
              <w:rPr>
                <w:rFonts w:ascii="Calibri" w:hAnsi="Calibri" w:cs="Calibri"/>
                <w:sz w:val="20"/>
              </w:rPr>
              <w:t>In-Transit Movement for Terminals (Barges)</w:t>
            </w:r>
          </w:p>
        </w:tc>
        <w:tc>
          <w:tcPr>
            <w:tcW w:w="1216" w:type="dxa"/>
          </w:tcPr>
          <w:p w14:paraId="4837E32A" w14:textId="0B240ACF" w:rsidR="00AA30D8" w:rsidRPr="00C63A98" w:rsidRDefault="00AA30D8" w:rsidP="00AA30D8">
            <w:pPr>
              <w:pStyle w:val="Tabletext"/>
              <w:keepNext/>
              <w:rPr>
                <w:rFonts w:ascii="Calibri" w:hAnsi="Calibri" w:cs="Calibri"/>
                <w:sz w:val="20"/>
              </w:rPr>
            </w:pPr>
            <w:r w:rsidRPr="00C63A98">
              <w:rPr>
                <w:rFonts w:ascii="Calibri" w:hAnsi="Calibri" w:cs="Calibri"/>
                <w:sz w:val="20"/>
              </w:rPr>
              <w:t>Towworks</w:t>
            </w:r>
          </w:p>
        </w:tc>
        <w:tc>
          <w:tcPr>
            <w:tcW w:w="1216" w:type="dxa"/>
          </w:tcPr>
          <w:p w14:paraId="2312A039" w14:textId="47851657"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6007800C" w14:textId="57B6DAA0" w:rsidR="00AA30D8" w:rsidRPr="00C63A98" w:rsidRDefault="00AA30D8" w:rsidP="00AA30D8">
            <w:pPr>
              <w:pStyle w:val="Tabletext"/>
              <w:keepNext/>
              <w:rPr>
                <w:rFonts w:ascii="Calibri" w:hAnsi="Calibri" w:cs="Calibri"/>
                <w:sz w:val="20"/>
              </w:rPr>
            </w:pPr>
            <w:r w:rsidRPr="00C63A98">
              <w:rPr>
                <w:rFonts w:ascii="Calibri" w:hAnsi="Calibri" w:cs="Calibri"/>
                <w:sz w:val="20"/>
              </w:rPr>
              <w:t>Every day at a specified time</w:t>
            </w:r>
          </w:p>
        </w:tc>
        <w:tc>
          <w:tcPr>
            <w:tcW w:w="2246" w:type="dxa"/>
          </w:tcPr>
          <w:p w14:paraId="37D70C5E" w14:textId="5C36CC9E" w:rsidR="00AA30D8" w:rsidRPr="00C63A98" w:rsidRDefault="0081216E" w:rsidP="00AA30D8">
            <w:pPr>
              <w:pStyle w:val="Tabletext"/>
              <w:keepNext/>
              <w:rPr>
                <w:rFonts w:ascii="Calibri" w:hAnsi="Calibri" w:cs="Calibri"/>
                <w:sz w:val="20"/>
              </w:rPr>
            </w:pPr>
            <w:r>
              <w:rPr>
                <w:rFonts w:ascii="Calibri" w:hAnsi="Calibri" w:cs="Calibri"/>
                <w:sz w:val="20"/>
              </w:rPr>
              <w:t>IQDM Release 2</w:t>
            </w:r>
          </w:p>
        </w:tc>
      </w:tr>
      <w:tr w:rsidR="00AA30D8" w:rsidRPr="00C63A98" w14:paraId="73117A48" w14:textId="2E3B510A" w:rsidTr="0081216E">
        <w:trPr>
          <w:cantSplit/>
        </w:trPr>
        <w:tc>
          <w:tcPr>
            <w:tcW w:w="2902" w:type="dxa"/>
          </w:tcPr>
          <w:p w14:paraId="44E9C9C9" w14:textId="759AE18B" w:rsidR="00AA30D8" w:rsidRPr="00C63A98" w:rsidRDefault="00AA30D8" w:rsidP="00AA30D8">
            <w:pPr>
              <w:pStyle w:val="Tabletext"/>
              <w:keepNext/>
              <w:rPr>
                <w:rFonts w:ascii="Calibri" w:hAnsi="Calibri" w:cs="Calibri"/>
                <w:sz w:val="20"/>
              </w:rPr>
            </w:pPr>
            <w:commentRangeStart w:id="43"/>
            <w:r w:rsidRPr="00C63A98">
              <w:rPr>
                <w:rFonts w:ascii="Calibri" w:hAnsi="Calibri" w:cs="Calibri"/>
                <w:sz w:val="20"/>
              </w:rPr>
              <w:t>In-Transit &amp; Scheduled Movement for Terminals</w:t>
            </w:r>
            <w:commentRangeEnd w:id="43"/>
            <w:r w:rsidR="0000562F" w:rsidRPr="00C63A98">
              <w:rPr>
                <w:rStyle w:val="CommentReference"/>
                <w:rFonts w:ascii="Calibri" w:hAnsi="Calibri" w:cs="Calibri"/>
                <w:sz w:val="20"/>
                <w:szCs w:val="20"/>
              </w:rPr>
              <w:commentReference w:id="43"/>
            </w:r>
          </w:p>
        </w:tc>
        <w:tc>
          <w:tcPr>
            <w:tcW w:w="1216" w:type="dxa"/>
          </w:tcPr>
          <w:p w14:paraId="57EF07AC" w14:textId="06069B5E" w:rsidR="00AA30D8" w:rsidRPr="00C63A98" w:rsidRDefault="00AA30D8" w:rsidP="00AA30D8">
            <w:pPr>
              <w:pStyle w:val="Tabletext"/>
              <w:keepNext/>
              <w:rPr>
                <w:rFonts w:ascii="Calibri" w:hAnsi="Calibri" w:cs="Calibri"/>
                <w:sz w:val="20"/>
              </w:rPr>
            </w:pPr>
            <w:r w:rsidRPr="00C63A98">
              <w:rPr>
                <w:rFonts w:ascii="Calibri" w:hAnsi="Calibri" w:cs="Calibri"/>
                <w:sz w:val="20"/>
              </w:rPr>
              <w:t>Kittyhawk</w:t>
            </w:r>
          </w:p>
        </w:tc>
        <w:tc>
          <w:tcPr>
            <w:tcW w:w="1216" w:type="dxa"/>
          </w:tcPr>
          <w:p w14:paraId="080641A8" w14:textId="2D602ECA"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03CA9FAC" w14:textId="5DEFD9CA" w:rsidR="00AA30D8" w:rsidRPr="00C63A98" w:rsidRDefault="00AA30D8" w:rsidP="00AA30D8">
            <w:pPr>
              <w:pStyle w:val="Tabletext"/>
              <w:keepNext/>
              <w:rPr>
                <w:rFonts w:ascii="Calibri" w:hAnsi="Calibri" w:cs="Calibri"/>
                <w:sz w:val="20"/>
              </w:rPr>
            </w:pPr>
            <w:r w:rsidRPr="00C63A98">
              <w:rPr>
                <w:rFonts w:ascii="Calibri" w:hAnsi="Calibri" w:cs="Calibri"/>
                <w:sz w:val="20"/>
              </w:rPr>
              <w:t>Every day at a specified time</w:t>
            </w:r>
          </w:p>
        </w:tc>
        <w:tc>
          <w:tcPr>
            <w:tcW w:w="2246" w:type="dxa"/>
          </w:tcPr>
          <w:p w14:paraId="34A0C8CC" w14:textId="3D54A017" w:rsidR="00AA30D8" w:rsidRPr="00C63A98" w:rsidRDefault="0081216E" w:rsidP="00AA30D8">
            <w:pPr>
              <w:pStyle w:val="Tabletext"/>
              <w:keepNext/>
              <w:rPr>
                <w:rFonts w:ascii="Calibri" w:hAnsi="Calibri" w:cs="Calibri"/>
                <w:sz w:val="20"/>
              </w:rPr>
            </w:pPr>
            <w:r>
              <w:rPr>
                <w:rFonts w:ascii="Calibri" w:hAnsi="Calibri" w:cs="Calibri"/>
                <w:sz w:val="20"/>
              </w:rPr>
              <w:t>IQDM Release 2</w:t>
            </w:r>
          </w:p>
        </w:tc>
      </w:tr>
      <w:tr w:rsidR="00AA30D8" w:rsidRPr="00C63A98" w14:paraId="0D9D5C52" w14:textId="5527C541" w:rsidTr="0081216E">
        <w:trPr>
          <w:cantSplit/>
        </w:trPr>
        <w:tc>
          <w:tcPr>
            <w:tcW w:w="2902" w:type="dxa"/>
          </w:tcPr>
          <w:p w14:paraId="008D1B77" w14:textId="20DC46F6" w:rsidR="00AA30D8" w:rsidRPr="00C63A98" w:rsidRDefault="00AA30D8" w:rsidP="00AA30D8">
            <w:pPr>
              <w:pStyle w:val="Tabletext"/>
              <w:keepNext/>
              <w:rPr>
                <w:rFonts w:ascii="Calibri" w:hAnsi="Calibri" w:cs="Calibri"/>
                <w:sz w:val="20"/>
              </w:rPr>
            </w:pPr>
            <w:r w:rsidRPr="00C63A98">
              <w:rPr>
                <w:rFonts w:ascii="Calibri" w:hAnsi="Calibri" w:cs="Calibri"/>
                <w:sz w:val="20"/>
              </w:rPr>
              <w:t>Actual quality for streams, product at Refinery</w:t>
            </w:r>
          </w:p>
        </w:tc>
        <w:tc>
          <w:tcPr>
            <w:tcW w:w="1216" w:type="dxa"/>
          </w:tcPr>
          <w:p w14:paraId="406348B9" w14:textId="7FDEA2BD" w:rsidR="00AA30D8" w:rsidRPr="00C63A98" w:rsidRDefault="00AA30D8" w:rsidP="00AA30D8">
            <w:pPr>
              <w:pStyle w:val="Tabletext"/>
              <w:keepNext/>
              <w:rPr>
                <w:rFonts w:ascii="Calibri" w:hAnsi="Calibri" w:cs="Calibri"/>
                <w:sz w:val="20"/>
              </w:rPr>
            </w:pPr>
            <w:r w:rsidRPr="00C63A98">
              <w:rPr>
                <w:rFonts w:ascii="Calibri" w:hAnsi="Calibri" w:cs="Calibri"/>
                <w:sz w:val="20"/>
              </w:rPr>
              <w:t>LIMS</w:t>
            </w:r>
          </w:p>
        </w:tc>
        <w:tc>
          <w:tcPr>
            <w:tcW w:w="1216" w:type="dxa"/>
          </w:tcPr>
          <w:p w14:paraId="3BE9A64B" w14:textId="3C0BF44F"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29C0184C" w14:textId="7D76B126" w:rsidR="00AA30D8" w:rsidRPr="00C63A98" w:rsidRDefault="00CE45AF" w:rsidP="00AA30D8">
            <w:pPr>
              <w:pStyle w:val="Tabletext"/>
              <w:keepNext/>
              <w:rPr>
                <w:rFonts w:ascii="Calibri" w:hAnsi="Calibri" w:cs="Calibri"/>
                <w:sz w:val="20"/>
              </w:rPr>
            </w:pPr>
            <w:r>
              <w:rPr>
                <w:rFonts w:ascii="Calibri" w:hAnsi="Calibri" w:cs="Calibri"/>
                <w:sz w:val="20"/>
              </w:rPr>
              <w:t>Near real-time</w:t>
            </w:r>
          </w:p>
        </w:tc>
        <w:tc>
          <w:tcPr>
            <w:tcW w:w="2246" w:type="dxa"/>
          </w:tcPr>
          <w:p w14:paraId="71C741DA" w14:textId="728E7243" w:rsidR="00AA30D8" w:rsidRPr="00C63A98" w:rsidRDefault="0081216E" w:rsidP="00AA30D8">
            <w:pPr>
              <w:pStyle w:val="Tabletext"/>
              <w:keepNext/>
              <w:rPr>
                <w:rFonts w:ascii="Calibri" w:hAnsi="Calibri" w:cs="Calibri"/>
                <w:sz w:val="20"/>
              </w:rPr>
            </w:pPr>
            <w:r>
              <w:rPr>
                <w:rFonts w:ascii="Calibri" w:hAnsi="Calibri" w:cs="Calibri"/>
                <w:sz w:val="20"/>
              </w:rPr>
              <w:t>IQDM Release 1</w:t>
            </w:r>
          </w:p>
        </w:tc>
      </w:tr>
      <w:tr w:rsidR="00AA30D8" w:rsidRPr="00C63A98" w14:paraId="47BD417C" w14:textId="4C58BA79" w:rsidTr="0081216E">
        <w:trPr>
          <w:cantSplit/>
        </w:trPr>
        <w:tc>
          <w:tcPr>
            <w:tcW w:w="2902" w:type="dxa"/>
          </w:tcPr>
          <w:p w14:paraId="68EB7DCB" w14:textId="46B252B6" w:rsidR="00AA30D8" w:rsidRPr="00C63A98" w:rsidRDefault="00AA30D8" w:rsidP="00AA30D8">
            <w:pPr>
              <w:pStyle w:val="Tabletext"/>
              <w:keepNext/>
              <w:rPr>
                <w:rFonts w:ascii="Calibri" w:hAnsi="Calibri" w:cs="Calibri"/>
                <w:sz w:val="20"/>
              </w:rPr>
            </w:pPr>
            <w:r w:rsidRPr="00C63A98">
              <w:rPr>
                <w:rFonts w:ascii="Calibri" w:hAnsi="Calibri" w:cs="Calibri"/>
                <w:sz w:val="20"/>
              </w:rPr>
              <w:t>Actual quality for streams, product at Terminal</w:t>
            </w:r>
          </w:p>
        </w:tc>
        <w:tc>
          <w:tcPr>
            <w:tcW w:w="1216" w:type="dxa"/>
          </w:tcPr>
          <w:p w14:paraId="2D45C3F1" w14:textId="437832D9" w:rsidR="00AA30D8" w:rsidRPr="00C63A98" w:rsidRDefault="00AA30D8" w:rsidP="00AA30D8">
            <w:pPr>
              <w:pStyle w:val="Tabletext"/>
              <w:keepNext/>
              <w:rPr>
                <w:rFonts w:ascii="Calibri" w:hAnsi="Calibri" w:cs="Calibri"/>
                <w:sz w:val="20"/>
              </w:rPr>
            </w:pPr>
            <w:r w:rsidRPr="00C63A98">
              <w:rPr>
                <w:rFonts w:ascii="Calibri" w:hAnsi="Calibri" w:cs="Calibri"/>
                <w:sz w:val="20"/>
              </w:rPr>
              <w:t>PQCore</w:t>
            </w:r>
          </w:p>
        </w:tc>
        <w:tc>
          <w:tcPr>
            <w:tcW w:w="1216" w:type="dxa"/>
          </w:tcPr>
          <w:p w14:paraId="687ABD4E" w14:textId="3C82AD46"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19947E5A" w14:textId="6AE7ED0A" w:rsidR="00AA30D8" w:rsidRPr="00C63A98" w:rsidRDefault="00CE45AF" w:rsidP="00AA30D8">
            <w:pPr>
              <w:pStyle w:val="Tabletext"/>
              <w:keepNext/>
              <w:rPr>
                <w:rFonts w:ascii="Calibri" w:hAnsi="Calibri" w:cs="Calibri"/>
                <w:sz w:val="20"/>
              </w:rPr>
            </w:pPr>
            <w:r>
              <w:rPr>
                <w:rFonts w:ascii="Calibri" w:hAnsi="Calibri" w:cs="Calibri"/>
                <w:sz w:val="20"/>
              </w:rPr>
              <w:t>Near real-time</w:t>
            </w:r>
          </w:p>
        </w:tc>
        <w:tc>
          <w:tcPr>
            <w:tcW w:w="2246" w:type="dxa"/>
          </w:tcPr>
          <w:p w14:paraId="02F69D63" w14:textId="5DC2615C" w:rsidR="00AA30D8" w:rsidRPr="00C63A98" w:rsidRDefault="0081216E" w:rsidP="00AA30D8">
            <w:pPr>
              <w:pStyle w:val="Tabletext"/>
              <w:keepNext/>
              <w:rPr>
                <w:rFonts w:ascii="Calibri" w:hAnsi="Calibri" w:cs="Calibri"/>
                <w:sz w:val="20"/>
              </w:rPr>
            </w:pPr>
            <w:r>
              <w:rPr>
                <w:rFonts w:ascii="Calibri" w:hAnsi="Calibri" w:cs="Calibri"/>
                <w:sz w:val="20"/>
              </w:rPr>
              <w:t>IQDM Release 2</w:t>
            </w:r>
          </w:p>
        </w:tc>
      </w:tr>
      <w:tr w:rsidR="00AA30D8" w:rsidRPr="00C63A98" w14:paraId="7782E0E9" w14:textId="20EAA1C4" w:rsidTr="0081216E">
        <w:trPr>
          <w:cantSplit/>
        </w:trPr>
        <w:tc>
          <w:tcPr>
            <w:tcW w:w="2902" w:type="dxa"/>
          </w:tcPr>
          <w:p w14:paraId="42861E52" w14:textId="5BAEEB24" w:rsidR="00AA30D8" w:rsidRPr="00C63A98" w:rsidRDefault="00AA30D8" w:rsidP="00AA30D8">
            <w:pPr>
              <w:pStyle w:val="Tabletext"/>
              <w:keepNext/>
              <w:rPr>
                <w:rFonts w:ascii="Calibri" w:hAnsi="Calibri" w:cs="Calibri"/>
                <w:sz w:val="20"/>
              </w:rPr>
            </w:pPr>
            <w:r w:rsidRPr="00C63A98">
              <w:rPr>
                <w:rFonts w:ascii="Calibri" w:hAnsi="Calibri" w:cs="Calibri"/>
                <w:sz w:val="20"/>
              </w:rPr>
              <w:t>Scheduled quality for streams, product at Refinery</w:t>
            </w:r>
          </w:p>
        </w:tc>
        <w:tc>
          <w:tcPr>
            <w:tcW w:w="1216" w:type="dxa"/>
          </w:tcPr>
          <w:p w14:paraId="2E45F553" w14:textId="1E386B3F" w:rsidR="00AA30D8" w:rsidRPr="00C63A98" w:rsidRDefault="00AA30D8" w:rsidP="00AA30D8">
            <w:pPr>
              <w:pStyle w:val="Tabletext"/>
              <w:keepNext/>
              <w:rPr>
                <w:rFonts w:ascii="Calibri" w:hAnsi="Calibri" w:cs="Calibri"/>
                <w:sz w:val="20"/>
              </w:rPr>
            </w:pPr>
            <w:r w:rsidRPr="00C63A98">
              <w:rPr>
                <w:rFonts w:ascii="Calibri" w:hAnsi="Calibri" w:cs="Calibri"/>
                <w:sz w:val="20"/>
              </w:rPr>
              <w:t>APS</w:t>
            </w:r>
          </w:p>
        </w:tc>
        <w:tc>
          <w:tcPr>
            <w:tcW w:w="1216" w:type="dxa"/>
          </w:tcPr>
          <w:p w14:paraId="4CE13A35" w14:textId="7629E604"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7926823C" w14:textId="406A2B41" w:rsidR="00AA30D8" w:rsidRPr="00C63A98" w:rsidRDefault="00AA30D8" w:rsidP="00AA30D8">
            <w:pPr>
              <w:pStyle w:val="Tabletext"/>
              <w:keepNext/>
              <w:rPr>
                <w:rFonts w:ascii="Calibri" w:hAnsi="Calibri" w:cs="Calibri"/>
                <w:sz w:val="20"/>
              </w:rPr>
            </w:pPr>
            <w:r w:rsidRPr="00C63A98">
              <w:rPr>
                <w:rFonts w:ascii="Calibri" w:hAnsi="Calibri" w:cs="Calibri"/>
                <w:sz w:val="20"/>
              </w:rPr>
              <w:t>Every day at a specified time</w:t>
            </w:r>
          </w:p>
        </w:tc>
        <w:tc>
          <w:tcPr>
            <w:tcW w:w="2246" w:type="dxa"/>
          </w:tcPr>
          <w:p w14:paraId="644C9B4A" w14:textId="051DEB5B" w:rsidR="00AA30D8" w:rsidRPr="00C63A98" w:rsidRDefault="0081216E" w:rsidP="00AA30D8">
            <w:pPr>
              <w:pStyle w:val="Tabletext"/>
              <w:keepNext/>
              <w:rPr>
                <w:rFonts w:ascii="Calibri" w:hAnsi="Calibri" w:cs="Calibri"/>
                <w:sz w:val="20"/>
              </w:rPr>
            </w:pPr>
            <w:r>
              <w:rPr>
                <w:rFonts w:ascii="Calibri" w:hAnsi="Calibri" w:cs="Calibri"/>
                <w:sz w:val="20"/>
              </w:rPr>
              <w:t>IQDM Release 1</w:t>
            </w:r>
          </w:p>
        </w:tc>
      </w:tr>
      <w:tr w:rsidR="00AA30D8" w:rsidRPr="00C63A98" w14:paraId="0873A8E0" w14:textId="2F8A896E" w:rsidTr="0081216E">
        <w:trPr>
          <w:cantSplit/>
        </w:trPr>
        <w:tc>
          <w:tcPr>
            <w:tcW w:w="2902" w:type="dxa"/>
          </w:tcPr>
          <w:p w14:paraId="72FB4CCB" w14:textId="54037267" w:rsidR="00AA30D8" w:rsidRPr="00C63A98" w:rsidRDefault="00AA30D8" w:rsidP="00AA30D8">
            <w:pPr>
              <w:pStyle w:val="Tabletext"/>
              <w:keepNext/>
              <w:rPr>
                <w:rFonts w:ascii="Calibri" w:hAnsi="Calibri" w:cs="Calibri"/>
                <w:sz w:val="20"/>
              </w:rPr>
            </w:pPr>
            <w:r w:rsidRPr="00C63A98">
              <w:rPr>
                <w:rFonts w:ascii="Calibri" w:hAnsi="Calibri" w:cs="Calibri"/>
                <w:sz w:val="20"/>
              </w:rPr>
              <w:t>Actual Inventory of Blend components at Terminals</w:t>
            </w:r>
          </w:p>
        </w:tc>
        <w:tc>
          <w:tcPr>
            <w:tcW w:w="1216" w:type="dxa"/>
          </w:tcPr>
          <w:p w14:paraId="2DBDF538" w14:textId="3767F8C5" w:rsidR="00AA30D8" w:rsidRPr="00C63A98" w:rsidRDefault="00AA30D8" w:rsidP="00AA30D8">
            <w:pPr>
              <w:pStyle w:val="Tabletext"/>
              <w:keepNext/>
              <w:rPr>
                <w:rFonts w:ascii="Calibri" w:hAnsi="Calibri" w:cs="Calibri"/>
                <w:sz w:val="20"/>
              </w:rPr>
            </w:pPr>
            <w:r w:rsidRPr="00C63A98">
              <w:rPr>
                <w:rFonts w:ascii="Calibri" w:hAnsi="Calibri" w:cs="Calibri"/>
                <w:sz w:val="20"/>
              </w:rPr>
              <w:t>Kittyhawk</w:t>
            </w:r>
          </w:p>
        </w:tc>
        <w:tc>
          <w:tcPr>
            <w:tcW w:w="1216" w:type="dxa"/>
          </w:tcPr>
          <w:p w14:paraId="6B75275A" w14:textId="0CFBB1FA"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1EB6F7D1" w14:textId="2EE772A7" w:rsidR="00AA30D8" w:rsidRPr="00C63A98" w:rsidRDefault="00AA30D8" w:rsidP="00AA30D8">
            <w:pPr>
              <w:pStyle w:val="Tabletext"/>
              <w:keepNext/>
              <w:rPr>
                <w:rFonts w:ascii="Calibri" w:hAnsi="Calibri" w:cs="Calibri"/>
                <w:sz w:val="20"/>
              </w:rPr>
            </w:pPr>
            <w:r w:rsidRPr="00C63A98">
              <w:rPr>
                <w:rFonts w:ascii="Calibri" w:hAnsi="Calibri" w:cs="Calibri"/>
                <w:sz w:val="20"/>
              </w:rPr>
              <w:t>Every day at a specified time</w:t>
            </w:r>
          </w:p>
        </w:tc>
        <w:tc>
          <w:tcPr>
            <w:tcW w:w="2246" w:type="dxa"/>
          </w:tcPr>
          <w:p w14:paraId="70C70405" w14:textId="7DF11C01" w:rsidR="00AA30D8" w:rsidRPr="00C63A98" w:rsidRDefault="00873A53" w:rsidP="00AA30D8">
            <w:pPr>
              <w:pStyle w:val="Tabletext"/>
              <w:keepNext/>
              <w:rPr>
                <w:rFonts w:ascii="Calibri" w:hAnsi="Calibri" w:cs="Calibri"/>
                <w:sz w:val="20"/>
              </w:rPr>
            </w:pPr>
            <w:r>
              <w:rPr>
                <w:rFonts w:ascii="Calibri" w:hAnsi="Calibri" w:cs="Calibri"/>
                <w:sz w:val="20"/>
              </w:rPr>
              <w:t>IQDM Release 2</w:t>
            </w:r>
          </w:p>
        </w:tc>
      </w:tr>
      <w:tr w:rsidR="00AA30D8" w:rsidRPr="00C63A98" w14:paraId="6538DB44" w14:textId="5F5E6BB4" w:rsidTr="0081216E">
        <w:trPr>
          <w:cantSplit/>
        </w:trPr>
        <w:tc>
          <w:tcPr>
            <w:tcW w:w="2902" w:type="dxa"/>
          </w:tcPr>
          <w:p w14:paraId="5822528B" w14:textId="554AAE53" w:rsidR="00AA30D8" w:rsidRPr="00C63A98" w:rsidRDefault="00AA30D8" w:rsidP="00AA30D8">
            <w:pPr>
              <w:pStyle w:val="Tabletext"/>
              <w:keepNext/>
              <w:rPr>
                <w:rFonts w:ascii="Calibri" w:hAnsi="Calibri" w:cs="Calibri"/>
                <w:sz w:val="20"/>
              </w:rPr>
            </w:pPr>
            <w:commentRangeStart w:id="44"/>
            <w:r w:rsidRPr="00C63A98">
              <w:rPr>
                <w:rFonts w:ascii="Calibri" w:hAnsi="Calibri" w:cs="Calibri"/>
                <w:sz w:val="20"/>
              </w:rPr>
              <w:t>Scheduled Movement of Blend components (Butane, Ethanol, Transmix, Biodiesel)</w:t>
            </w:r>
          </w:p>
        </w:tc>
        <w:tc>
          <w:tcPr>
            <w:tcW w:w="1216" w:type="dxa"/>
          </w:tcPr>
          <w:p w14:paraId="37C58F0A" w14:textId="20D82D41" w:rsidR="00AA30D8" w:rsidRPr="00C63A98" w:rsidRDefault="00AA30D8" w:rsidP="00AA30D8">
            <w:pPr>
              <w:pStyle w:val="Tabletext"/>
              <w:keepNext/>
              <w:rPr>
                <w:rFonts w:ascii="Calibri" w:hAnsi="Calibri" w:cs="Calibri"/>
                <w:sz w:val="20"/>
              </w:rPr>
            </w:pPr>
            <w:r w:rsidRPr="00C63A98">
              <w:rPr>
                <w:rFonts w:ascii="Calibri" w:hAnsi="Calibri" w:cs="Calibri"/>
                <w:sz w:val="20"/>
              </w:rPr>
              <w:t>Kittyhawk</w:t>
            </w:r>
          </w:p>
        </w:tc>
        <w:tc>
          <w:tcPr>
            <w:tcW w:w="1216" w:type="dxa"/>
          </w:tcPr>
          <w:p w14:paraId="310D45BB" w14:textId="41A05019"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02687BAA" w14:textId="3E2DB057" w:rsidR="00AA30D8" w:rsidRPr="00C63A98" w:rsidRDefault="00AA30D8" w:rsidP="00AA30D8">
            <w:pPr>
              <w:pStyle w:val="Tabletext"/>
              <w:keepNext/>
              <w:rPr>
                <w:rFonts w:ascii="Calibri" w:hAnsi="Calibri" w:cs="Calibri"/>
                <w:sz w:val="20"/>
              </w:rPr>
            </w:pPr>
            <w:r w:rsidRPr="00C63A98">
              <w:rPr>
                <w:rFonts w:ascii="Calibri" w:hAnsi="Calibri" w:cs="Calibri"/>
                <w:sz w:val="20"/>
              </w:rPr>
              <w:t>Every day at a specified time</w:t>
            </w:r>
          </w:p>
        </w:tc>
        <w:tc>
          <w:tcPr>
            <w:tcW w:w="2246" w:type="dxa"/>
          </w:tcPr>
          <w:p w14:paraId="4456BED1" w14:textId="4A8D504C" w:rsidR="00AA30D8" w:rsidRPr="00C63A98" w:rsidRDefault="0081216E" w:rsidP="00AA30D8">
            <w:pPr>
              <w:pStyle w:val="Tabletext"/>
              <w:keepNext/>
              <w:rPr>
                <w:rFonts w:ascii="Calibri" w:hAnsi="Calibri" w:cs="Calibri"/>
                <w:sz w:val="20"/>
              </w:rPr>
            </w:pPr>
            <w:r>
              <w:rPr>
                <w:rFonts w:ascii="Calibri" w:hAnsi="Calibri" w:cs="Calibri"/>
                <w:sz w:val="20"/>
              </w:rPr>
              <w:t>IQDM Release 2</w:t>
            </w:r>
            <w:commentRangeEnd w:id="44"/>
            <w:r w:rsidR="0021066B" w:rsidRPr="00C63A98">
              <w:rPr>
                <w:rStyle w:val="CommentReference"/>
                <w:rFonts w:ascii="Calibri" w:hAnsi="Calibri" w:cs="Calibri"/>
                <w:sz w:val="20"/>
                <w:szCs w:val="20"/>
              </w:rPr>
              <w:commentReference w:id="44"/>
            </w:r>
          </w:p>
        </w:tc>
      </w:tr>
      <w:tr w:rsidR="00AA30D8" w:rsidRPr="00C63A98" w14:paraId="4A1F1772" w14:textId="3BD270D1" w:rsidTr="0081216E">
        <w:trPr>
          <w:cantSplit/>
        </w:trPr>
        <w:tc>
          <w:tcPr>
            <w:tcW w:w="2902" w:type="dxa"/>
          </w:tcPr>
          <w:p w14:paraId="5140B2B8" w14:textId="26B35D59" w:rsidR="00AA30D8" w:rsidRPr="00C63A98" w:rsidRDefault="00AA30D8" w:rsidP="00C63A98">
            <w:pPr>
              <w:pStyle w:val="Tabletext"/>
              <w:keepNext/>
              <w:rPr>
                <w:rFonts w:ascii="Calibri" w:hAnsi="Calibri" w:cs="Calibri"/>
                <w:sz w:val="20"/>
              </w:rPr>
            </w:pPr>
            <w:r w:rsidRPr="00C63A98">
              <w:rPr>
                <w:rFonts w:ascii="Calibri" w:hAnsi="Calibri" w:cs="Calibri"/>
                <w:sz w:val="20"/>
              </w:rPr>
              <w:t>Product Specifications at Terminals</w:t>
            </w:r>
          </w:p>
        </w:tc>
        <w:tc>
          <w:tcPr>
            <w:tcW w:w="1216" w:type="dxa"/>
          </w:tcPr>
          <w:p w14:paraId="3A150FB7" w14:textId="064574E7" w:rsidR="00AA30D8" w:rsidRPr="00C63A98" w:rsidRDefault="00AA30D8" w:rsidP="00C63A98">
            <w:pPr>
              <w:pStyle w:val="Tabletext"/>
              <w:keepNext/>
              <w:rPr>
                <w:rFonts w:ascii="Calibri" w:hAnsi="Calibri" w:cs="Calibri"/>
                <w:sz w:val="20"/>
              </w:rPr>
            </w:pPr>
            <w:r w:rsidRPr="00C63A98">
              <w:rPr>
                <w:rFonts w:ascii="Calibri" w:hAnsi="Calibri" w:cs="Calibri"/>
                <w:sz w:val="20"/>
              </w:rPr>
              <w:t>PQ Spec Shop</w:t>
            </w:r>
          </w:p>
        </w:tc>
        <w:tc>
          <w:tcPr>
            <w:tcW w:w="1216" w:type="dxa"/>
          </w:tcPr>
          <w:p w14:paraId="5508B546" w14:textId="432A9695" w:rsidR="00AA30D8" w:rsidRPr="00C63A98" w:rsidRDefault="00AA30D8" w:rsidP="00C63A98">
            <w:pPr>
              <w:pStyle w:val="Tabletext"/>
              <w:keepNext/>
              <w:rPr>
                <w:rFonts w:ascii="Calibri" w:hAnsi="Calibri" w:cs="Calibri"/>
                <w:sz w:val="20"/>
              </w:rPr>
            </w:pPr>
            <w:r w:rsidRPr="00C63A98">
              <w:rPr>
                <w:rFonts w:ascii="Calibri" w:hAnsi="Calibri" w:cs="Calibri"/>
                <w:sz w:val="20"/>
              </w:rPr>
              <w:t>IQDM</w:t>
            </w:r>
          </w:p>
        </w:tc>
        <w:tc>
          <w:tcPr>
            <w:tcW w:w="1778" w:type="dxa"/>
          </w:tcPr>
          <w:p w14:paraId="3556F21F" w14:textId="53DFBC27" w:rsidR="00AA30D8" w:rsidRPr="00C63A98" w:rsidRDefault="00AA30D8" w:rsidP="00C63A98">
            <w:pPr>
              <w:pStyle w:val="Tabletext"/>
              <w:keepNext/>
              <w:rPr>
                <w:rFonts w:ascii="Calibri" w:hAnsi="Calibri" w:cs="Calibri"/>
                <w:sz w:val="20"/>
              </w:rPr>
            </w:pPr>
            <w:r w:rsidRPr="00C63A98">
              <w:rPr>
                <w:rFonts w:ascii="Calibri" w:hAnsi="Calibri" w:cs="Calibri"/>
                <w:sz w:val="20"/>
              </w:rPr>
              <w:t>Every day at a specified time</w:t>
            </w:r>
          </w:p>
        </w:tc>
        <w:tc>
          <w:tcPr>
            <w:tcW w:w="2246" w:type="dxa"/>
          </w:tcPr>
          <w:p w14:paraId="133EE3DC" w14:textId="2A4E52EB" w:rsidR="00AA30D8" w:rsidRPr="00C63A98" w:rsidRDefault="0081216E" w:rsidP="00C63A98">
            <w:pPr>
              <w:pStyle w:val="Tabletext"/>
              <w:keepNext/>
              <w:rPr>
                <w:rFonts w:ascii="Calibri" w:hAnsi="Calibri" w:cs="Calibri"/>
                <w:sz w:val="20"/>
              </w:rPr>
            </w:pPr>
            <w:commentRangeStart w:id="45"/>
            <w:r>
              <w:rPr>
                <w:rFonts w:ascii="Calibri" w:hAnsi="Calibri" w:cs="Calibri"/>
                <w:sz w:val="20"/>
              </w:rPr>
              <w:t>VCB Release 1 (IQDM Release 5)</w:t>
            </w:r>
            <w:commentRangeEnd w:id="45"/>
            <w:r w:rsidR="00D42E72" w:rsidRPr="00C63A98">
              <w:rPr>
                <w:rStyle w:val="CommentReference"/>
                <w:rFonts w:ascii="Calibri" w:hAnsi="Calibri" w:cs="Calibri"/>
                <w:sz w:val="20"/>
                <w:szCs w:val="20"/>
              </w:rPr>
              <w:commentReference w:id="45"/>
            </w:r>
          </w:p>
        </w:tc>
      </w:tr>
    </w:tbl>
    <w:p w14:paraId="307BEE24" w14:textId="479532B2" w:rsidR="00C63A98" w:rsidRDefault="00C63A98" w:rsidP="00C63A98">
      <w:pPr>
        <w:pStyle w:val="Caption"/>
      </w:pPr>
      <w:bookmarkStart w:id="46" w:name="_Toc241311419"/>
      <w:bookmarkStart w:id="47" w:name="_Toc241574575"/>
      <w:bookmarkStart w:id="48" w:name="_Toc242553999"/>
      <w:r>
        <w:t xml:space="preserve">Table </w:t>
      </w:r>
      <w:bookmarkStart w:id="49" w:name="_Ref917260904"/>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w:t>
      </w:r>
      <w:r>
        <w:fldChar w:fldCharType="end"/>
      </w:r>
      <w:bookmarkEnd w:id="49"/>
      <w:r>
        <w:t xml:space="preserve">: </w:t>
      </w:r>
      <w:r w:rsidR="008F2422">
        <w:t>Scope - Data Entities Common with IQDM</w:t>
      </w:r>
      <w:bookmarkEnd w:id="46"/>
      <w:bookmarkEnd w:id="47"/>
      <w:bookmarkEnd w:id="48"/>
    </w:p>
    <w:p w14:paraId="464D84F9" w14:textId="02D01B2C" w:rsidR="00AA30D8" w:rsidRPr="00AA30D8" w:rsidRDefault="008F2422" w:rsidP="00C63A98">
      <w:pPr>
        <w:pStyle w:val="Heading3"/>
        <w:rPr>
          <w:rFonts w:ascii="Calibri" w:hAnsi="Calibri" w:cs="Calibri"/>
          <w:b/>
          <w:sz w:val="20"/>
        </w:rPr>
      </w:pPr>
      <w:bookmarkStart w:id="50" w:name="_Ref917260903"/>
      <w:bookmarkStart w:id="51" w:name="_Toc242553917"/>
      <w:r>
        <w:rPr>
          <w:rFonts w:ascii="Calibri" w:hAnsi="Calibri" w:cs="Calibri"/>
          <w:b/>
          <w:sz w:val="20"/>
        </w:rPr>
        <w:t>VCB Scope</w:t>
      </w:r>
      <w:bookmarkEnd w:id="50"/>
      <w:bookmarkEnd w:id="51"/>
    </w:p>
    <w:p w14:paraId="30BA3970" w14:textId="1C6873D1" w:rsidR="00FC42E7" w:rsidRPr="00EC3682" w:rsidRDefault="00FC42E7" w:rsidP="00FC42E7">
      <w:pPr>
        <w:pStyle w:val="ListParagraph"/>
        <w:numPr>
          <w:ilvl w:val="0"/>
          <w:numId w:val="4"/>
        </w:numPr>
        <w:jc w:val="left"/>
        <w:rPr>
          <w:rFonts w:ascii="Calibri" w:hAnsi="Calibri" w:cs="Calibri"/>
        </w:rPr>
      </w:pPr>
      <w:r>
        <w:t>The second group shall comprise the data entities received from four new sources: PIAF, the Kittyhawk transaction upload, MPR and the Terminals Specsheet Master Data in Profisee.</w:t>
      </w:r>
    </w:p>
    <w:p w14:paraId="19DA62AE" w14:textId="3E5373F7" w:rsidR="00C63A98" w:rsidRPr="00FC42E7" w:rsidRDefault="00FC42E7" w:rsidP="00FC42E7">
      <w:pPr>
        <w:pStyle w:val="ListParagraph"/>
        <w:numPr>
          <w:ilvl w:val="0"/>
          <w:numId w:val="4"/>
        </w:numPr>
        <w:jc w:val="left"/>
      </w:pPr>
      <w:r w:rsidRPr="00FC42E7">
        <w:t>This document shall give the design and integration approach for the data entities of the second group.</w:t>
      </w:r>
    </w:p>
    <w:tbl>
      <w:tblPr>
        <w:tblStyle w:val="TableGrid"/>
        <w:tblW w:w="93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02"/>
        <w:gridCol w:w="1216"/>
        <w:gridCol w:w="1216"/>
        <w:gridCol w:w="1778"/>
        <w:gridCol w:w="2246"/>
      </w:tblGrid>
      <w:tr w:rsidR="00AA30D8" w:rsidRPr="00C63A98" w14:paraId="11F6D740" w14:textId="7FE93E5F" w:rsidTr="0081216E">
        <w:trPr>
          <w:cantSplit/>
          <w:tblHeader/>
        </w:trPr>
        <w:tc>
          <w:tcPr>
            <w:tcW w:w="2902" w:type="dxa"/>
            <w:shd w:val="clear" w:color="auto" w:fill="2F5597"/>
          </w:tcPr>
          <w:p w14:paraId="15DE3734" w14:textId="7CBB0A08" w:rsidR="00AA30D8" w:rsidRPr="00C63A98" w:rsidRDefault="00AA30D8" w:rsidP="00AA30D8">
            <w:pPr>
              <w:pStyle w:val="Tablehead1"/>
              <w:rPr>
                <w:rFonts w:ascii="Calibri" w:hAnsi="Calibri" w:cs="Calibri"/>
                <w:sz w:val="20"/>
              </w:rPr>
            </w:pPr>
            <w:r w:rsidRPr="00C63A98">
              <w:rPr>
                <w:rFonts w:ascii="Calibri" w:hAnsi="Calibri" w:cs="Calibri"/>
                <w:sz w:val="20"/>
              </w:rPr>
              <w:t>Data Entity</w:t>
            </w:r>
          </w:p>
        </w:tc>
        <w:tc>
          <w:tcPr>
            <w:tcW w:w="1216" w:type="dxa"/>
            <w:shd w:val="clear" w:color="auto" w:fill="2F5597"/>
          </w:tcPr>
          <w:p w14:paraId="08F88343" w14:textId="05534CFF" w:rsidR="00AA30D8" w:rsidRPr="00C63A98" w:rsidRDefault="00AA30D8" w:rsidP="00AA30D8">
            <w:pPr>
              <w:pStyle w:val="Tablehead1"/>
              <w:rPr>
                <w:rFonts w:ascii="Calibri" w:hAnsi="Calibri" w:cs="Calibri"/>
                <w:sz w:val="20"/>
              </w:rPr>
            </w:pPr>
            <w:r w:rsidRPr="00C63A98">
              <w:rPr>
                <w:rFonts w:ascii="Calibri" w:hAnsi="Calibri" w:cs="Calibri"/>
                <w:sz w:val="20"/>
              </w:rPr>
              <w:t>Primary Source</w:t>
            </w:r>
          </w:p>
        </w:tc>
        <w:tc>
          <w:tcPr>
            <w:tcW w:w="1216" w:type="dxa"/>
            <w:shd w:val="clear" w:color="auto" w:fill="2F5597"/>
          </w:tcPr>
          <w:p w14:paraId="40D04BC0" w14:textId="6B67885F" w:rsidR="00AA30D8" w:rsidRPr="00C63A98" w:rsidRDefault="00AA30D8" w:rsidP="00AA30D8">
            <w:pPr>
              <w:pStyle w:val="Tablehead1"/>
              <w:rPr>
                <w:rFonts w:ascii="Calibri" w:hAnsi="Calibri" w:cs="Calibri"/>
                <w:sz w:val="20"/>
              </w:rPr>
            </w:pPr>
            <w:r w:rsidRPr="00C63A98">
              <w:rPr>
                <w:rFonts w:ascii="Calibri" w:hAnsi="Calibri" w:cs="Calibri"/>
                <w:sz w:val="20"/>
              </w:rPr>
              <w:t>Secondary Source</w:t>
            </w:r>
          </w:p>
        </w:tc>
        <w:tc>
          <w:tcPr>
            <w:tcW w:w="1778" w:type="dxa"/>
            <w:shd w:val="clear" w:color="auto" w:fill="2F5597"/>
          </w:tcPr>
          <w:p w14:paraId="2090061F" w14:textId="7DE78E4F" w:rsidR="00AA30D8" w:rsidRPr="00C63A98" w:rsidRDefault="00AA30D8" w:rsidP="00AA30D8">
            <w:pPr>
              <w:pStyle w:val="Tablehead1"/>
              <w:rPr>
                <w:rFonts w:ascii="Calibri" w:hAnsi="Calibri" w:cs="Calibri"/>
                <w:sz w:val="20"/>
              </w:rPr>
            </w:pPr>
            <w:r w:rsidRPr="00C63A98">
              <w:rPr>
                <w:rFonts w:ascii="Calibri" w:hAnsi="Calibri" w:cs="Calibri"/>
                <w:sz w:val="20"/>
              </w:rPr>
              <w:t>Update Frequency</w:t>
            </w:r>
          </w:p>
        </w:tc>
        <w:tc>
          <w:tcPr>
            <w:tcW w:w="2246" w:type="dxa"/>
            <w:shd w:val="clear" w:color="auto" w:fill="2F5597"/>
          </w:tcPr>
          <w:p w14:paraId="320AC0D8" w14:textId="2035CA96" w:rsidR="00AA30D8" w:rsidRPr="00C63A98" w:rsidRDefault="00AA30D8" w:rsidP="00AA30D8">
            <w:pPr>
              <w:pStyle w:val="Tablehead1"/>
              <w:rPr>
                <w:rFonts w:ascii="Calibri" w:hAnsi="Calibri" w:cs="Calibri"/>
                <w:sz w:val="20"/>
              </w:rPr>
            </w:pPr>
            <w:r>
              <w:rPr>
                <w:rFonts w:ascii="Calibri" w:hAnsi="Calibri" w:cs="Calibri"/>
                <w:sz w:val="20"/>
              </w:rPr>
              <w:t>Release Scope</w:t>
            </w:r>
          </w:p>
        </w:tc>
      </w:tr>
      <w:tr w:rsidR="00AA30D8" w:rsidRPr="00C63A98" w14:paraId="528F5F73" w14:textId="130A3CA7" w:rsidTr="0081216E">
        <w:trPr>
          <w:cantSplit/>
        </w:trPr>
        <w:tc>
          <w:tcPr>
            <w:tcW w:w="2902" w:type="dxa"/>
          </w:tcPr>
          <w:p w14:paraId="34DB64F8" w14:textId="777B44E1" w:rsidR="00AA30D8" w:rsidRPr="00C63A98" w:rsidRDefault="00AA30D8" w:rsidP="00AA30D8">
            <w:pPr>
              <w:pStyle w:val="Tabletext"/>
              <w:keepNext/>
              <w:rPr>
                <w:rFonts w:ascii="Calibri" w:hAnsi="Calibri" w:cs="Calibri"/>
                <w:sz w:val="20"/>
              </w:rPr>
            </w:pPr>
            <w:r w:rsidRPr="00C63A98">
              <w:rPr>
                <w:rFonts w:ascii="Calibri" w:hAnsi="Calibri" w:cs="Calibri"/>
                <w:sz w:val="20"/>
              </w:rPr>
              <w:t>Analyzer qualities of gasoline products (T-10, T-50, T-90, IBP, FBP, RVP, etc.)</w:t>
            </w:r>
          </w:p>
        </w:tc>
        <w:tc>
          <w:tcPr>
            <w:tcW w:w="1216" w:type="dxa"/>
          </w:tcPr>
          <w:p w14:paraId="5FBD5E26" w14:textId="757B5A61" w:rsidR="00AA30D8" w:rsidRPr="00C63A98" w:rsidRDefault="00AA30D8" w:rsidP="00AA30D8">
            <w:pPr>
              <w:pStyle w:val="Tabletext"/>
              <w:keepNext/>
              <w:rPr>
                <w:rFonts w:ascii="Calibri" w:hAnsi="Calibri" w:cs="Calibri"/>
                <w:sz w:val="20"/>
              </w:rPr>
            </w:pPr>
            <w:r w:rsidRPr="00C63A98">
              <w:rPr>
                <w:rFonts w:ascii="Calibri" w:hAnsi="Calibri" w:cs="Calibri"/>
                <w:sz w:val="20"/>
              </w:rPr>
              <w:t>PIAF</w:t>
            </w:r>
          </w:p>
        </w:tc>
        <w:tc>
          <w:tcPr>
            <w:tcW w:w="1216" w:type="dxa"/>
          </w:tcPr>
          <w:p w14:paraId="7ED1D2C2" w14:textId="7C8CF4BA"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186040FE" w14:textId="62DC73B2" w:rsidR="00AA30D8" w:rsidRPr="00C63A98" w:rsidRDefault="004F4B99" w:rsidP="00AA30D8">
            <w:pPr>
              <w:pStyle w:val="Tabletext"/>
              <w:keepNext/>
              <w:rPr>
                <w:rFonts w:ascii="Calibri" w:hAnsi="Calibri" w:cs="Calibri"/>
                <w:sz w:val="20"/>
              </w:rPr>
            </w:pPr>
            <w:r>
              <w:rPr>
                <w:rFonts w:ascii="Calibri" w:hAnsi="Calibri" w:cs="Calibri"/>
                <w:sz w:val="20"/>
              </w:rPr>
              <w:t>Every day at a specified time</w:t>
            </w:r>
          </w:p>
        </w:tc>
        <w:tc>
          <w:tcPr>
            <w:tcW w:w="2246" w:type="dxa"/>
          </w:tcPr>
          <w:p w14:paraId="0AC58A6B" w14:textId="78662E9E" w:rsidR="00AA30D8" w:rsidRDefault="004C499A" w:rsidP="00AA30D8">
            <w:pPr>
              <w:pStyle w:val="Tabletext"/>
              <w:keepNext/>
              <w:rPr>
                <w:rFonts w:ascii="Calibri" w:hAnsi="Calibri" w:cs="Calibri"/>
                <w:sz w:val="20"/>
              </w:rPr>
            </w:pPr>
            <w:r>
              <w:rPr>
                <w:rFonts w:ascii="Calibri" w:hAnsi="Calibri" w:cs="Calibri"/>
                <w:sz w:val="20"/>
              </w:rPr>
              <w:t>VCB Release 3</w:t>
            </w:r>
          </w:p>
        </w:tc>
      </w:tr>
      <w:tr w:rsidR="00AA30D8" w:rsidRPr="00C63A98" w14:paraId="67A81B7A" w14:textId="65529DE1" w:rsidTr="0081216E">
        <w:trPr>
          <w:cantSplit/>
        </w:trPr>
        <w:tc>
          <w:tcPr>
            <w:tcW w:w="2902" w:type="dxa"/>
          </w:tcPr>
          <w:p w14:paraId="614DAC19" w14:textId="017654F1" w:rsidR="00AA30D8" w:rsidRPr="00C63A98" w:rsidRDefault="00AA30D8" w:rsidP="00AA30D8">
            <w:pPr>
              <w:pStyle w:val="Tabletext"/>
              <w:keepNext/>
              <w:rPr>
                <w:rFonts w:ascii="Calibri" w:hAnsi="Calibri" w:cs="Calibri"/>
                <w:sz w:val="20"/>
              </w:rPr>
            </w:pPr>
            <w:r>
              <w:rPr>
                <w:rFonts w:ascii="Calibri" w:hAnsi="Calibri" w:cs="Calibri"/>
                <w:sz w:val="20"/>
              </w:rPr>
              <w:t>Blend component Flows/Movement for terminal</w:t>
            </w:r>
          </w:p>
        </w:tc>
        <w:tc>
          <w:tcPr>
            <w:tcW w:w="1216" w:type="dxa"/>
          </w:tcPr>
          <w:p w14:paraId="7BD01571" w14:textId="6A19A04B" w:rsidR="00AA30D8" w:rsidRPr="00C63A98" w:rsidRDefault="00AA30D8" w:rsidP="00AA30D8">
            <w:pPr>
              <w:pStyle w:val="Tabletext"/>
              <w:keepNext/>
              <w:rPr>
                <w:rFonts w:ascii="Calibri" w:hAnsi="Calibri" w:cs="Calibri"/>
                <w:sz w:val="20"/>
              </w:rPr>
            </w:pPr>
            <w:r w:rsidRPr="00C63A98">
              <w:rPr>
                <w:rFonts w:ascii="Calibri" w:hAnsi="Calibri" w:cs="Calibri"/>
                <w:sz w:val="20"/>
              </w:rPr>
              <w:t>PIAF</w:t>
            </w:r>
          </w:p>
        </w:tc>
        <w:tc>
          <w:tcPr>
            <w:tcW w:w="1216" w:type="dxa"/>
          </w:tcPr>
          <w:p w14:paraId="78D3927F" w14:textId="22A69411" w:rsidR="00AA30D8" w:rsidRPr="00C63A98" w:rsidRDefault="00AA30D8" w:rsidP="00AA30D8">
            <w:pPr>
              <w:pStyle w:val="Tabletext"/>
              <w:keepNext/>
              <w:rPr>
                <w:rFonts w:ascii="Calibri" w:hAnsi="Calibri" w:cs="Calibri"/>
                <w:sz w:val="20"/>
              </w:rPr>
            </w:pPr>
            <w:r w:rsidRPr="00C63A98">
              <w:rPr>
                <w:rFonts w:ascii="Calibri" w:hAnsi="Calibri" w:cs="Calibri"/>
                <w:sz w:val="20"/>
              </w:rPr>
              <w:t>IQDM</w:t>
            </w:r>
          </w:p>
        </w:tc>
        <w:tc>
          <w:tcPr>
            <w:tcW w:w="1778" w:type="dxa"/>
          </w:tcPr>
          <w:p w14:paraId="27F67FD8" w14:textId="28E72E57" w:rsidR="00AA30D8" w:rsidRPr="00C63A98" w:rsidRDefault="004F4B99" w:rsidP="00AA30D8">
            <w:pPr>
              <w:pStyle w:val="Tabletext"/>
              <w:keepNext/>
              <w:rPr>
                <w:rFonts w:ascii="Calibri" w:hAnsi="Calibri" w:cs="Calibri"/>
                <w:sz w:val="20"/>
              </w:rPr>
            </w:pPr>
            <w:r>
              <w:rPr>
                <w:rFonts w:ascii="Calibri" w:hAnsi="Calibri" w:cs="Calibri"/>
                <w:sz w:val="20"/>
              </w:rPr>
              <w:t>Every day at a specified time</w:t>
            </w:r>
          </w:p>
        </w:tc>
        <w:tc>
          <w:tcPr>
            <w:tcW w:w="2246" w:type="dxa"/>
          </w:tcPr>
          <w:p w14:paraId="2D7FAA04" w14:textId="7F2DCD16" w:rsidR="00AA30D8" w:rsidRDefault="004C499A" w:rsidP="00AA30D8">
            <w:pPr>
              <w:pStyle w:val="Tabletext"/>
              <w:keepNext/>
              <w:rPr>
                <w:rFonts w:ascii="Calibri" w:hAnsi="Calibri" w:cs="Calibri"/>
                <w:sz w:val="20"/>
              </w:rPr>
            </w:pPr>
            <w:r>
              <w:rPr>
                <w:rFonts w:ascii="Calibri" w:hAnsi="Calibri" w:cs="Calibri"/>
                <w:sz w:val="20"/>
              </w:rPr>
              <w:t>VCB Release 3</w:t>
            </w:r>
          </w:p>
        </w:tc>
      </w:tr>
      <w:tr w:rsidR="00AA30D8" w:rsidRPr="00C63A98" w14:paraId="2A3F3BF2" w14:textId="69D36A42" w:rsidTr="0081216E">
        <w:trPr>
          <w:cantSplit/>
        </w:trPr>
        <w:tc>
          <w:tcPr>
            <w:tcW w:w="2902" w:type="dxa"/>
          </w:tcPr>
          <w:p w14:paraId="37331593" w14:textId="69CCD2EE" w:rsidR="00AA30D8" w:rsidRPr="00C63A98" w:rsidRDefault="00AA30D8" w:rsidP="00AA30D8">
            <w:pPr>
              <w:pStyle w:val="Tabletext"/>
              <w:keepNext/>
              <w:rPr>
                <w:rFonts w:ascii="Calibri" w:hAnsi="Calibri" w:cs="Calibri"/>
                <w:sz w:val="20"/>
              </w:rPr>
            </w:pPr>
            <w:r>
              <w:rPr>
                <w:rFonts w:ascii="Calibri" w:hAnsi="Calibri" w:cs="Calibri"/>
                <w:sz w:val="20"/>
              </w:rPr>
              <w:t>Actual Pricing data of products and blend components</w:t>
            </w:r>
          </w:p>
        </w:tc>
        <w:tc>
          <w:tcPr>
            <w:tcW w:w="1216" w:type="dxa"/>
          </w:tcPr>
          <w:p w14:paraId="3DCF84B7" w14:textId="1D688CA0" w:rsidR="00AA30D8" w:rsidRPr="00C63A98" w:rsidRDefault="00AA30D8" w:rsidP="00AA30D8">
            <w:pPr>
              <w:pStyle w:val="Tabletext"/>
              <w:keepNext/>
              <w:rPr>
                <w:rFonts w:ascii="Calibri" w:hAnsi="Calibri" w:cs="Calibri"/>
                <w:sz w:val="20"/>
              </w:rPr>
            </w:pPr>
            <w:r w:rsidRPr="00C63A98">
              <w:rPr>
                <w:rFonts w:ascii="Calibri" w:hAnsi="Calibri" w:cs="Calibri"/>
                <w:sz w:val="20"/>
              </w:rPr>
              <w:t>MPR</w:t>
            </w:r>
          </w:p>
        </w:tc>
        <w:tc>
          <w:tcPr>
            <w:tcW w:w="1216" w:type="dxa"/>
          </w:tcPr>
          <w:p w14:paraId="5D2331ED" w14:textId="34D9FDF2" w:rsidR="00AA30D8" w:rsidRPr="00C63A98" w:rsidRDefault="00610DB7" w:rsidP="00AA30D8">
            <w:pPr>
              <w:pStyle w:val="Tabletext"/>
              <w:keepNext/>
              <w:rPr>
                <w:rFonts w:ascii="Calibri" w:hAnsi="Calibri" w:cs="Calibri"/>
                <w:sz w:val="20"/>
              </w:rPr>
            </w:pPr>
            <w:r>
              <w:rPr>
                <w:rFonts w:ascii="Calibri" w:hAnsi="Calibri" w:cs="Calibri"/>
                <w:sz w:val="20"/>
              </w:rPr>
              <w:t>N/A</w:t>
            </w:r>
          </w:p>
        </w:tc>
        <w:tc>
          <w:tcPr>
            <w:tcW w:w="1778" w:type="dxa"/>
          </w:tcPr>
          <w:p w14:paraId="5ED1EA51" w14:textId="380EA24A" w:rsidR="00AA30D8" w:rsidRPr="00C63A98" w:rsidRDefault="00AA30D8" w:rsidP="00AA30D8">
            <w:pPr>
              <w:pStyle w:val="Tabletext"/>
              <w:keepNext/>
              <w:rPr>
                <w:rFonts w:ascii="Calibri" w:hAnsi="Calibri" w:cs="Calibri"/>
                <w:sz w:val="20"/>
              </w:rPr>
            </w:pPr>
            <w:r w:rsidRPr="00C63A98">
              <w:rPr>
                <w:rFonts w:ascii="Calibri" w:hAnsi="Calibri" w:cs="Calibri"/>
                <w:sz w:val="20"/>
              </w:rPr>
              <w:t>On demand, when a dashboard period is opened</w:t>
            </w:r>
          </w:p>
        </w:tc>
        <w:tc>
          <w:tcPr>
            <w:tcW w:w="2246" w:type="dxa"/>
          </w:tcPr>
          <w:p w14:paraId="6EA05B89" w14:textId="2E037C25" w:rsidR="00AA30D8" w:rsidRPr="00C63A98" w:rsidRDefault="00AA30D8" w:rsidP="00AA30D8">
            <w:pPr>
              <w:pStyle w:val="Tabletext"/>
              <w:keepNext/>
              <w:rPr>
                <w:rFonts w:ascii="Calibri" w:hAnsi="Calibri" w:cs="Calibri"/>
                <w:sz w:val="20"/>
              </w:rPr>
            </w:pPr>
            <w:r>
              <w:rPr>
                <w:rFonts w:ascii="Calibri" w:hAnsi="Calibri" w:cs="Calibri"/>
                <w:sz w:val="20"/>
              </w:rPr>
              <w:t>VCB Release 3</w:t>
            </w:r>
          </w:p>
        </w:tc>
      </w:tr>
      <w:tr w:rsidR="00AA30D8" w:rsidRPr="00C63A98" w14:paraId="3ECBE566" w14:textId="5AB8ADB4" w:rsidTr="0081216E">
        <w:trPr>
          <w:cantSplit/>
        </w:trPr>
        <w:tc>
          <w:tcPr>
            <w:tcW w:w="2902" w:type="dxa"/>
          </w:tcPr>
          <w:p w14:paraId="56EB8D80" w14:textId="2DAF029B" w:rsidR="00AA30D8" w:rsidRPr="00C63A98" w:rsidRDefault="00AA30D8" w:rsidP="00C63A98">
            <w:pPr>
              <w:pStyle w:val="Tabletext"/>
              <w:keepNext/>
              <w:rPr>
                <w:rFonts w:ascii="Calibri" w:hAnsi="Calibri" w:cs="Calibri"/>
                <w:sz w:val="20"/>
              </w:rPr>
            </w:pPr>
            <w:r w:rsidRPr="00C63A98">
              <w:rPr>
                <w:rFonts w:ascii="Calibri" w:hAnsi="Calibri" w:cs="Calibri"/>
                <w:sz w:val="20"/>
              </w:rPr>
              <w:t>Blend component Movements at Terminals (Kittyhawk transaction upload)</w:t>
            </w:r>
          </w:p>
        </w:tc>
        <w:tc>
          <w:tcPr>
            <w:tcW w:w="1216" w:type="dxa"/>
          </w:tcPr>
          <w:p w14:paraId="25A0587E" w14:textId="633C1726" w:rsidR="00AA30D8" w:rsidRPr="00C63A98" w:rsidRDefault="00AA30D8" w:rsidP="00C63A98">
            <w:pPr>
              <w:pStyle w:val="Tabletext"/>
              <w:keepNext/>
              <w:rPr>
                <w:rFonts w:ascii="Calibri" w:hAnsi="Calibri" w:cs="Calibri"/>
                <w:sz w:val="20"/>
              </w:rPr>
            </w:pPr>
            <w:r w:rsidRPr="00C63A98">
              <w:rPr>
                <w:rFonts w:ascii="Calibri" w:hAnsi="Calibri" w:cs="Calibri"/>
                <w:sz w:val="20"/>
              </w:rPr>
              <w:t>Kittyhawk</w:t>
            </w:r>
          </w:p>
        </w:tc>
        <w:tc>
          <w:tcPr>
            <w:tcW w:w="1216" w:type="dxa"/>
          </w:tcPr>
          <w:p w14:paraId="136FB052" w14:textId="21FD95FF" w:rsidR="00AA30D8" w:rsidRPr="00C63A98" w:rsidRDefault="00AA30D8" w:rsidP="00C63A98">
            <w:pPr>
              <w:pStyle w:val="Tabletext"/>
              <w:keepNext/>
              <w:rPr>
                <w:rFonts w:ascii="Calibri" w:hAnsi="Calibri" w:cs="Calibri"/>
                <w:sz w:val="20"/>
              </w:rPr>
            </w:pPr>
            <w:r w:rsidRPr="00C63A98">
              <w:rPr>
                <w:rFonts w:ascii="Calibri" w:hAnsi="Calibri" w:cs="Calibri"/>
                <w:sz w:val="20"/>
              </w:rPr>
              <w:t>IQDM</w:t>
            </w:r>
          </w:p>
        </w:tc>
        <w:tc>
          <w:tcPr>
            <w:tcW w:w="1778" w:type="dxa"/>
          </w:tcPr>
          <w:p w14:paraId="7826F793" w14:textId="18700A5E" w:rsidR="00AA30D8" w:rsidRPr="00C63A98" w:rsidRDefault="00AA30D8" w:rsidP="00C63A98">
            <w:pPr>
              <w:pStyle w:val="Tabletext"/>
              <w:keepNext/>
              <w:rPr>
                <w:rFonts w:ascii="Calibri" w:hAnsi="Calibri" w:cs="Calibri"/>
                <w:sz w:val="20"/>
              </w:rPr>
            </w:pPr>
            <w:r w:rsidRPr="00C63A98">
              <w:rPr>
                <w:rFonts w:ascii="Calibri" w:hAnsi="Calibri" w:cs="Calibri"/>
                <w:sz w:val="20"/>
              </w:rPr>
              <w:t>Every day at a specified time</w:t>
            </w:r>
          </w:p>
        </w:tc>
        <w:tc>
          <w:tcPr>
            <w:tcW w:w="2246" w:type="dxa"/>
          </w:tcPr>
          <w:p w14:paraId="79ECC5DA" w14:textId="56BE7507" w:rsidR="00AA30D8" w:rsidRPr="00C63A98" w:rsidRDefault="00AA30D8" w:rsidP="00C63A98">
            <w:pPr>
              <w:pStyle w:val="Tabletext"/>
              <w:keepNext/>
              <w:rPr>
                <w:rFonts w:ascii="Calibri" w:hAnsi="Calibri" w:cs="Calibri"/>
                <w:sz w:val="20"/>
              </w:rPr>
            </w:pPr>
            <w:r>
              <w:rPr>
                <w:rFonts w:ascii="Calibri" w:hAnsi="Calibri" w:cs="Calibri"/>
                <w:sz w:val="20"/>
              </w:rPr>
              <w:t>VCB Release 3</w:t>
            </w:r>
          </w:p>
        </w:tc>
      </w:tr>
      <w:tr w:rsidR="00B63412" w:rsidRPr="00C63A98" w14:paraId="3ABBE965" w14:textId="77777777" w:rsidTr="0081216E">
        <w:trPr>
          <w:cantSplit/>
        </w:trPr>
        <w:tc>
          <w:tcPr>
            <w:tcW w:w="2902" w:type="dxa"/>
          </w:tcPr>
          <w:p w14:paraId="64B335B2" w14:textId="55F59D8F" w:rsidR="00B63412" w:rsidRPr="00C63A98" w:rsidRDefault="00B63412" w:rsidP="00C63A98">
            <w:pPr>
              <w:pStyle w:val="Tabletext"/>
              <w:keepNext/>
              <w:rPr>
                <w:rFonts w:ascii="Calibri" w:hAnsi="Calibri" w:cs="Calibri"/>
                <w:sz w:val="20"/>
              </w:rPr>
            </w:pPr>
            <w:r>
              <w:rPr>
                <w:rFonts w:ascii="Calibri" w:hAnsi="Calibri" w:cs="Calibri"/>
                <w:sz w:val="20"/>
              </w:rPr>
              <w:t>Terminals Specsheet Master Data</w:t>
            </w:r>
          </w:p>
        </w:tc>
        <w:tc>
          <w:tcPr>
            <w:tcW w:w="1216" w:type="dxa"/>
          </w:tcPr>
          <w:p w14:paraId="4A1FC900" w14:textId="4AAA56EF" w:rsidR="00B63412" w:rsidRPr="00C63A98" w:rsidRDefault="00B63412" w:rsidP="00C63A98">
            <w:pPr>
              <w:pStyle w:val="Tabletext"/>
              <w:keepNext/>
              <w:rPr>
                <w:rFonts w:ascii="Calibri" w:hAnsi="Calibri" w:cs="Calibri"/>
                <w:sz w:val="20"/>
              </w:rPr>
            </w:pPr>
            <w:r>
              <w:rPr>
                <w:rFonts w:ascii="Calibri" w:hAnsi="Calibri" w:cs="Calibri"/>
                <w:sz w:val="20"/>
              </w:rPr>
              <w:t>Profisee</w:t>
            </w:r>
          </w:p>
        </w:tc>
        <w:tc>
          <w:tcPr>
            <w:tcW w:w="1216" w:type="dxa"/>
          </w:tcPr>
          <w:p w14:paraId="406EEEF3" w14:textId="03D5DC74" w:rsidR="00B63412" w:rsidRPr="00C63A98" w:rsidRDefault="00B63412" w:rsidP="00C63A98">
            <w:pPr>
              <w:pStyle w:val="Tabletext"/>
              <w:keepNext/>
              <w:rPr>
                <w:rFonts w:ascii="Calibri" w:hAnsi="Calibri" w:cs="Calibri"/>
                <w:sz w:val="20"/>
              </w:rPr>
            </w:pPr>
            <w:r>
              <w:rPr>
                <w:rFonts w:ascii="Calibri" w:hAnsi="Calibri" w:cs="Calibri"/>
                <w:sz w:val="20"/>
              </w:rPr>
              <w:t>IQDM</w:t>
            </w:r>
          </w:p>
        </w:tc>
        <w:tc>
          <w:tcPr>
            <w:tcW w:w="1778" w:type="dxa"/>
          </w:tcPr>
          <w:p w14:paraId="7AD1B3F8" w14:textId="3E770883" w:rsidR="00B63412" w:rsidRPr="00C63A98" w:rsidRDefault="00B63412" w:rsidP="00C63A98">
            <w:pPr>
              <w:pStyle w:val="Tabletext"/>
              <w:keepNext/>
              <w:rPr>
                <w:rFonts w:ascii="Calibri" w:hAnsi="Calibri" w:cs="Calibri"/>
                <w:sz w:val="20"/>
              </w:rPr>
            </w:pPr>
            <w:r>
              <w:rPr>
                <w:rFonts w:ascii="Calibri" w:hAnsi="Calibri" w:cs="Calibri"/>
                <w:sz w:val="20"/>
              </w:rPr>
              <w:t>Every day at a specified time, and on demand when a user starts it</w:t>
            </w:r>
          </w:p>
        </w:tc>
        <w:tc>
          <w:tcPr>
            <w:tcW w:w="2246" w:type="dxa"/>
          </w:tcPr>
          <w:p w14:paraId="59F22D2C" w14:textId="778E502B" w:rsidR="00B63412" w:rsidRDefault="00B63412" w:rsidP="00C63A98">
            <w:pPr>
              <w:pStyle w:val="Tabletext"/>
              <w:keepNext/>
              <w:rPr>
                <w:rFonts w:ascii="Calibri" w:hAnsi="Calibri" w:cs="Calibri"/>
                <w:sz w:val="20"/>
              </w:rPr>
            </w:pPr>
            <w:r>
              <w:rPr>
                <w:rFonts w:ascii="Calibri" w:hAnsi="Calibri" w:cs="Calibri"/>
                <w:sz w:val="20"/>
              </w:rPr>
              <w:t>VCB Release 2</w:t>
            </w:r>
          </w:p>
        </w:tc>
      </w:tr>
    </w:tbl>
    <w:p w14:paraId="1A456F70" w14:textId="4DE0643F" w:rsidR="00C63A98" w:rsidRDefault="00C63A98" w:rsidP="00C63A98">
      <w:pPr>
        <w:pStyle w:val="Caption"/>
      </w:pPr>
      <w:bookmarkStart w:id="52" w:name="_Toc241311420"/>
      <w:bookmarkStart w:id="53" w:name="_Toc241574576"/>
      <w:bookmarkStart w:id="54" w:name="_Toc242554000"/>
      <w:r>
        <w:t xml:space="preserve">Table </w:t>
      </w:r>
      <w:bookmarkStart w:id="55" w:name="_Ref917260905"/>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w:t>
      </w:r>
      <w:r>
        <w:fldChar w:fldCharType="end"/>
      </w:r>
      <w:bookmarkEnd w:id="55"/>
      <w:r>
        <w:t xml:space="preserve">: </w:t>
      </w:r>
      <w:r w:rsidR="008F2422">
        <w:t>Scope - Data Entities from New Sources</w:t>
      </w:r>
      <w:bookmarkEnd w:id="52"/>
      <w:bookmarkEnd w:id="53"/>
      <w:bookmarkEnd w:id="54"/>
    </w:p>
    <w:p w14:paraId="16D45C9C" w14:textId="2AA8A529" w:rsidR="00FC42E7" w:rsidRPr="00EC3682" w:rsidRDefault="00FC42E7" w:rsidP="00FC42E7">
      <w:pPr>
        <w:pStyle w:val="ListParagraph"/>
        <w:numPr>
          <w:ilvl w:val="0"/>
          <w:numId w:val="4"/>
        </w:numPr>
        <w:jc w:val="left"/>
        <w:rPr>
          <w:rFonts w:ascii="Calibri" w:hAnsi="Calibri" w:cs="Calibri"/>
        </w:rPr>
      </w:pPr>
      <w:commentRangeStart w:id="56"/>
      <w:r>
        <w:t>The user interface components of VCB shall read no new source system and shall save their data in the IQDM database.</w:t>
      </w:r>
      <w:commentRangeEnd w:id="56"/>
      <w:r w:rsidR="00D03DF3" w:rsidRPr="00EC3682">
        <w:rPr>
          <w:rStyle w:val="CommentReference"/>
          <w:rFonts w:ascii="Calibri" w:hAnsi="Calibri" w:cs="Calibri"/>
          <w:sz w:val="22"/>
          <w:szCs w:val="22"/>
        </w:rPr>
        <w:commentReference w:id="56"/>
      </w:r>
    </w:p>
    <w:p w14:paraId="3DC2BE26" w14:textId="5A773993" w:rsidR="008F2422" w:rsidRPr="00AA30D8" w:rsidRDefault="00FC42E7" w:rsidP="00FC42E7">
      <w:pPr>
        <w:keepNext/>
        <w:jc w:val="left"/>
        <w:rPr>
          <w:rFonts w:ascii="Calibri" w:hAnsi="Calibri" w:cs="Calibri"/>
        </w:rPr>
      </w:pPr>
      <w:r>
        <w:rPr>
          <w:rFonts w:ascii="Calibri" w:hAnsi="Calibri" w:cs="Calibri"/>
        </w:rPr>
        <w:t>The table below lists the user interface components of VCB.</w:t>
      </w:r>
    </w:p>
    <w:tbl>
      <w:tblPr>
        <w:tblStyle w:val="TableGrid"/>
        <w:tblW w:w="93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02"/>
        <w:gridCol w:w="1216"/>
        <w:gridCol w:w="1216"/>
        <w:gridCol w:w="1778"/>
        <w:gridCol w:w="2246"/>
      </w:tblGrid>
      <w:tr w:rsidR="008F2422" w:rsidRPr="00C63A98" w14:paraId="42E2C878" w14:textId="77777777" w:rsidTr="0081216E">
        <w:trPr>
          <w:cantSplit/>
          <w:tblHeader/>
        </w:trPr>
        <w:tc>
          <w:tcPr>
            <w:tcW w:w="2902" w:type="dxa"/>
            <w:shd w:val="clear" w:color="auto" w:fill="2F5597"/>
          </w:tcPr>
          <w:p w14:paraId="3E4F9A1C" w14:textId="1985C513" w:rsidR="008F2422" w:rsidRPr="00C63A98" w:rsidRDefault="008F2422" w:rsidP="00AA30D8">
            <w:pPr>
              <w:pStyle w:val="Tablehead1"/>
              <w:rPr>
                <w:rFonts w:ascii="Calibri" w:hAnsi="Calibri" w:cs="Calibri"/>
                <w:sz w:val="20"/>
              </w:rPr>
            </w:pPr>
            <w:r>
              <w:rPr>
                <w:rFonts w:ascii="Calibri" w:hAnsi="Calibri" w:cs="Calibri"/>
                <w:sz w:val="20"/>
              </w:rPr>
              <w:t>Component</w:t>
            </w:r>
          </w:p>
        </w:tc>
        <w:tc>
          <w:tcPr>
            <w:tcW w:w="1216" w:type="dxa"/>
            <w:shd w:val="clear" w:color="auto" w:fill="2F5597"/>
          </w:tcPr>
          <w:p w14:paraId="0ED80CB3" w14:textId="2B22100B" w:rsidR="008F2422" w:rsidRPr="00C63A98" w:rsidRDefault="008F2422" w:rsidP="00AA30D8">
            <w:pPr>
              <w:pStyle w:val="Tablehead1"/>
              <w:rPr>
                <w:rFonts w:ascii="Calibri" w:hAnsi="Calibri" w:cs="Calibri"/>
                <w:sz w:val="20"/>
              </w:rPr>
            </w:pPr>
            <w:r>
              <w:rPr>
                <w:rFonts w:ascii="Calibri" w:hAnsi="Calibri" w:cs="Calibri"/>
                <w:sz w:val="20"/>
              </w:rPr>
              <w:t>Type</w:t>
            </w:r>
          </w:p>
        </w:tc>
        <w:tc>
          <w:tcPr>
            <w:tcW w:w="1216" w:type="dxa"/>
            <w:shd w:val="clear" w:color="auto" w:fill="2F5597"/>
          </w:tcPr>
          <w:p w14:paraId="116BF16B" w14:textId="7218A1AC" w:rsidR="008F2422" w:rsidRPr="00C63A98" w:rsidRDefault="008F2422" w:rsidP="00AA30D8">
            <w:pPr>
              <w:pStyle w:val="Tablehead1"/>
              <w:rPr>
                <w:rFonts w:ascii="Calibri" w:hAnsi="Calibri" w:cs="Calibri"/>
                <w:sz w:val="20"/>
              </w:rPr>
            </w:pPr>
            <w:r>
              <w:rPr>
                <w:rFonts w:ascii="Calibri" w:hAnsi="Calibri" w:cs="Calibri"/>
                <w:sz w:val="20"/>
              </w:rPr>
              <w:t>Data Store</w:t>
            </w:r>
          </w:p>
        </w:tc>
        <w:tc>
          <w:tcPr>
            <w:tcW w:w="1778" w:type="dxa"/>
            <w:shd w:val="clear" w:color="auto" w:fill="2F5597"/>
          </w:tcPr>
          <w:p w14:paraId="751946CC" w14:textId="10DB253D" w:rsidR="008F2422" w:rsidRPr="00C63A98" w:rsidRDefault="008F2422" w:rsidP="00AA30D8">
            <w:pPr>
              <w:pStyle w:val="Tablehead1"/>
              <w:rPr>
                <w:rFonts w:ascii="Calibri" w:hAnsi="Calibri" w:cs="Calibri"/>
                <w:sz w:val="20"/>
              </w:rPr>
            </w:pPr>
            <w:r>
              <w:rPr>
                <w:rFonts w:ascii="Calibri" w:hAnsi="Calibri" w:cs="Calibri"/>
                <w:sz w:val="20"/>
              </w:rPr>
              <w:t>Update Frequency</w:t>
            </w:r>
          </w:p>
        </w:tc>
        <w:tc>
          <w:tcPr>
            <w:tcW w:w="2246" w:type="dxa"/>
            <w:shd w:val="clear" w:color="auto" w:fill="2F5597"/>
          </w:tcPr>
          <w:p w14:paraId="65BDF166" w14:textId="46D63C6D" w:rsidR="008F2422" w:rsidRPr="00C63A98" w:rsidRDefault="008F2422" w:rsidP="00AA30D8">
            <w:pPr>
              <w:pStyle w:val="Tablehead1"/>
              <w:rPr>
                <w:rFonts w:ascii="Calibri" w:hAnsi="Calibri" w:cs="Calibri"/>
                <w:sz w:val="20"/>
              </w:rPr>
            </w:pPr>
            <w:r>
              <w:rPr>
                <w:rFonts w:ascii="Calibri" w:hAnsi="Calibri" w:cs="Calibri"/>
                <w:sz w:val="20"/>
              </w:rPr>
              <w:t>Release Scope</w:t>
            </w:r>
          </w:p>
        </w:tc>
      </w:tr>
      <w:tr w:rsidR="008F2422" w:rsidRPr="00C63A98" w14:paraId="736F7845" w14:textId="77777777" w:rsidTr="0081216E">
        <w:trPr>
          <w:cantSplit/>
        </w:trPr>
        <w:tc>
          <w:tcPr>
            <w:tcW w:w="2902" w:type="dxa"/>
          </w:tcPr>
          <w:p w14:paraId="11318B73" w14:textId="076C139E" w:rsidR="008F2422" w:rsidRPr="00C63A98" w:rsidRDefault="008F2422" w:rsidP="00AA30D8">
            <w:pPr>
              <w:pStyle w:val="Tabletext"/>
              <w:keepNext/>
              <w:rPr>
                <w:rFonts w:ascii="Calibri" w:hAnsi="Calibri" w:cs="Calibri"/>
                <w:sz w:val="20"/>
              </w:rPr>
            </w:pPr>
            <w:r>
              <w:rPr>
                <w:rFonts w:ascii="Calibri" w:hAnsi="Calibri" w:cs="Calibri"/>
                <w:sz w:val="20"/>
              </w:rPr>
              <w:t>Waiver Selection</w:t>
            </w:r>
          </w:p>
        </w:tc>
        <w:tc>
          <w:tcPr>
            <w:tcW w:w="1216" w:type="dxa"/>
          </w:tcPr>
          <w:p w14:paraId="34BF64D0" w14:textId="0A3B5205" w:rsidR="008F2422" w:rsidRPr="00C63A98" w:rsidRDefault="008F2422" w:rsidP="00AA30D8">
            <w:pPr>
              <w:pStyle w:val="Tabletext"/>
              <w:keepNext/>
              <w:rPr>
                <w:rFonts w:ascii="Calibri" w:hAnsi="Calibri" w:cs="Calibri"/>
                <w:sz w:val="20"/>
              </w:rPr>
            </w:pPr>
            <w:r>
              <w:rPr>
                <w:rFonts w:ascii="Calibri" w:hAnsi="Calibri" w:cs="Calibri"/>
                <w:sz w:val="20"/>
              </w:rPr>
              <w:t>Core Capabilities UI page (Blazor)</w:t>
            </w:r>
          </w:p>
        </w:tc>
        <w:tc>
          <w:tcPr>
            <w:tcW w:w="1216" w:type="dxa"/>
          </w:tcPr>
          <w:p w14:paraId="2D8B5595" w14:textId="38AF5A53" w:rsidR="008F2422" w:rsidRPr="00C63A98" w:rsidRDefault="00144FA3" w:rsidP="00AA30D8">
            <w:pPr>
              <w:pStyle w:val="Tabletext"/>
              <w:keepNext/>
              <w:rPr>
                <w:rFonts w:ascii="Calibri" w:hAnsi="Calibri" w:cs="Calibri"/>
                <w:sz w:val="20"/>
              </w:rPr>
            </w:pPr>
            <w:r>
              <w:rPr>
                <w:rFonts w:ascii="Calibri" w:hAnsi="Calibri" w:cs="Calibri"/>
                <w:sz w:val="20"/>
              </w:rPr>
              <w:t>IQDM database</w:t>
            </w:r>
          </w:p>
        </w:tc>
        <w:tc>
          <w:tcPr>
            <w:tcW w:w="1778" w:type="dxa"/>
          </w:tcPr>
          <w:p w14:paraId="555EFCAF" w14:textId="54C93F92" w:rsidR="008F2422" w:rsidRPr="00C63A98" w:rsidRDefault="008F2422" w:rsidP="00AA30D8">
            <w:pPr>
              <w:pStyle w:val="Tabletext"/>
              <w:keepNext/>
              <w:rPr>
                <w:rFonts w:ascii="Calibri" w:hAnsi="Calibri" w:cs="Calibri"/>
                <w:sz w:val="20"/>
              </w:rPr>
            </w:pPr>
            <w:r>
              <w:rPr>
                <w:rFonts w:ascii="Calibri" w:hAnsi="Calibri" w:cs="Calibri"/>
                <w:sz w:val="20"/>
              </w:rPr>
              <w:t>On demand, when a user saves waivers</w:t>
            </w:r>
          </w:p>
        </w:tc>
        <w:tc>
          <w:tcPr>
            <w:tcW w:w="2246" w:type="dxa"/>
          </w:tcPr>
          <w:p w14:paraId="3810B152" w14:textId="54A05B77" w:rsidR="008F2422" w:rsidRDefault="008F2422" w:rsidP="00AA30D8">
            <w:pPr>
              <w:pStyle w:val="Tabletext"/>
              <w:keepNext/>
              <w:rPr>
                <w:rFonts w:ascii="Calibri" w:hAnsi="Calibri" w:cs="Calibri"/>
                <w:sz w:val="20"/>
              </w:rPr>
            </w:pPr>
            <w:r>
              <w:rPr>
                <w:rFonts w:ascii="Calibri" w:hAnsi="Calibri" w:cs="Calibri"/>
                <w:sz w:val="20"/>
              </w:rPr>
              <w:t>VCB Release 2</w:t>
            </w:r>
          </w:p>
        </w:tc>
      </w:tr>
    </w:tbl>
    <w:p w14:paraId="0C5899A0" w14:textId="4EC21BCC" w:rsidR="008F2422" w:rsidRDefault="008F2422" w:rsidP="008F2422">
      <w:pPr>
        <w:pStyle w:val="Caption"/>
      </w:pPr>
      <w:bookmarkStart w:id="57" w:name="_Toc242554001"/>
      <w:r>
        <w:t xml:space="preserve">Table </w:t>
      </w:r>
      <w:bookmarkStart w:id="58" w:name="_Ref917260906"/>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w:t>
      </w:r>
      <w:r>
        <w:fldChar w:fldCharType="end"/>
      </w:r>
      <w:bookmarkEnd w:id="58"/>
      <w:r>
        <w:t>: Scope - User Interface Components</w:t>
      </w:r>
      <w:bookmarkEnd w:id="57"/>
    </w:p>
    <w:p w14:paraId="3BFA6A9B" w14:textId="02B27704" w:rsidR="00FC42E7" w:rsidRPr="00EC3682" w:rsidRDefault="00FC42E7" w:rsidP="00FC42E7">
      <w:pPr>
        <w:pStyle w:val="ListParagraph"/>
        <w:numPr>
          <w:ilvl w:val="0"/>
          <w:numId w:val="4"/>
        </w:numPr>
        <w:jc w:val="left"/>
        <w:rPr>
          <w:rFonts w:ascii="Calibri" w:hAnsi="Calibri" w:cs="Calibri"/>
        </w:rPr>
      </w:pPr>
      <w:r>
        <w:t xml:space="preserve">As per the VCB requirement, the IQDM database shall keep at least 3 years of historical data for the data entities in sections </w:t>
      </w:r>
      <w:r>
        <w:fldChar w:fldCharType="begin"/>
      </w:r>
      <w:r>
        <w:instrText xml:space="preserve"> REF _Ref917260902 \w \h \* MERGEFORMAT </w:instrText>
      </w:r>
      <w:r>
        <w:fldChar w:fldCharType="separate"/>
      </w:r>
      <w:r w:rsidRPr="00FC42E7">
        <w:rPr>
          <w:color w:val="0563C1"/>
          <w:u w:val="single"/>
        </w:rPr>
        <w:t>2.1.1</w:t>
      </w:r>
      <w:r>
        <w:fldChar w:fldCharType="end"/>
      </w:r>
      <w:r>
        <w:t xml:space="preserve"> and </w:t>
      </w:r>
      <w:r>
        <w:fldChar w:fldCharType="begin"/>
      </w:r>
      <w:r>
        <w:instrText xml:space="preserve"> REF _Ref917260903 \w \h \* MERGEFORMAT </w:instrText>
      </w:r>
      <w:r>
        <w:fldChar w:fldCharType="separate"/>
      </w:r>
      <w:r w:rsidRPr="00FC42E7">
        <w:rPr>
          <w:color w:val="0563C1"/>
          <w:u w:val="single"/>
        </w:rPr>
        <w:t>2.1.2</w:t>
      </w:r>
      <w:r>
        <w:fldChar w:fldCharType="end"/>
      </w:r>
      <w:r>
        <w:t xml:space="preserve"> and for the waivers of Table </w:t>
      </w:r>
      <w:r>
        <w:fldChar w:fldCharType="begin"/>
      </w:r>
      <w:r>
        <w:instrText xml:space="preserve"> REF _Ref917260906 \h \* MERGEFORMAT </w:instrText>
      </w:r>
      <w:r>
        <w:fldChar w:fldCharType="separate"/>
      </w:r>
      <w:r w:rsidRPr="00FC42E7">
        <w:rPr>
          <w:noProof/>
          <w:color w:val="0563C1"/>
          <w:u w:val="single"/>
        </w:rPr>
        <w:t>2-3</w:t>
      </w:r>
      <w:r>
        <w:fldChar w:fldCharType="end"/>
      </w:r>
      <w:r>
        <w:t>, except the pricing data.</w:t>
      </w:r>
    </w:p>
    <w:p w14:paraId="5428C1F9" w14:textId="18EFF5F0" w:rsidR="00FC42E7" w:rsidRPr="00EC3682" w:rsidRDefault="00FC42E7" w:rsidP="00FC42E7">
      <w:pPr>
        <w:pStyle w:val="ListParagraph"/>
        <w:numPr>
          <w:ilvl w:val="0"/>
          <w:numId w:val="4"/>
        </w:numPr>
        <w:jc w:val="left"/>
        <w:rPr>
          <w:rFonts w:ascii="Calibri" w:hAnsi="Calibri" w:cs="Calibri"/>
        </w:rPr>
      </w:pPr>
      <w:r>
        <w:t>The VCB dashboards shall get the pricing data of products and blend components on demand through the</w:t>
      </w:r>
      <w:commentRangeStart w:id="59"/>
      <w:r>
        <w:t xml:space="preserve"> Price Request Service of the Cost API</w:t>
      </w:r>
      <w:commentRangeEnd w:id="59"/>
      <w:r w:rsidR="00C67D5A">
        <w:rPr>
          <w:rStyle w:val="CommentReference"/>
          <w:sz w:val="22"/>
          <w:szCs w:val="22"/>
        </w:rPr>
        <w:commentReference w:id="59"/>
      </w:r>
      <w:r>
        <w:t>.</w:t>
      </w:r>
    </w:p>
    <w:p w14:paraId="48EE5C8B" w14:textId="3E9D104E" w:rsidR="00C63A98" w:rsidRDefault="00FC42E7" w:rsidP="00FC42E7">
      <w:pPr>
        <w:pStyle w:val="ListParagraph"/>
        <w:numPr>
          <w:ilvl w:val="0"/>
          <w:numId w:val="4"/>
        </w:numPr>
        <w:jc w:val="left"/>
      </w:pPr>
      <w:r>
        <w:t>As per the MPC architecture guideline, price data shall not be stored in any other intermediate data store.</w:t>
      </w:r>
    </w:p>
    <w:p w14:paraId="0CF31ABA" w14:textId="77777777" w:rsidR="0081216E" w:rsidRDefault="00696D5B" w:rsidP="00140DC0">
      <w:pPr>
        <w:pStyle w:val="Heading2"/>
        <w:pageBreakBefore/>
        <w:rPr>
          <w:rFonts w:ascii="Calibri" w:hAnsi="Calibri" w:cs="Calibri"/>
          <w:sz w:val="20"/>
        </w:rPr>
      </w:pPr>
      <w:bookmarkStart w:id="60" w:name="_Toc241574288"/>
      <w:bookmarkStart w:id="61" w:name="_Toc242553918"/>
      <w:bookmarkStart w:id="62" w:name="_Toc10236890"/>
      <w:r w:rsidRPr="00947205">
        <w:rPr>
          <w:rFonts w:ascii="Calibri" w:hAnsi="Calibri" w:cs="Calibri"/>
          <w:sz w:val="20"/>
        </w:rPr>
        <w:t>Assumptions</w:t>
      </w:r>
      <w:bookmarkEnd w:id="60"/>
      <w:bookmarkEnd w:id="61"/>
    </w:p>
    <w:p w14:paraId="64D625EF" w14:textId="2C72175D" w:rsidR="000F74C8" w:rsidRPr="0081216E" w:rsidRDefault="008F2422" w:rsidP="00FC42E7">
      <w:pPr>
        <w:keepNext/>
        <w:jc w:val="left"/>
        <w:rPr>
          <w:rFonts w:ascii="Calibri" w:hAnsi="Calibri" w:cs="Calibri"/>
        </w:rPr>
      </w:pPr>
      <w:r>
        <w:rPr>
          <w:rFonts w:ascii="Calibri" w:hAnsi="Calibri" w:cs="Calibri"/>
        </w:rPr>
        <w:t>The assumptions below shall apply to every VCB integration and to the waiver selection in this chapter.</w:t>
      </w:r>
    </w:p>
    <w:p w14:paraId="6D32DC08" w14:textId="76C3D63A" w:rsidR="00260552" w:rsidRPr="00AA30D8" w:rsidRDefault="00A218D6" w:rsidP="00F10FD7">
      <w:pPr>
        <w:pStyle w:val="Heading3"/>
        <w:rPr>
          <w:rFonts w:ascii="Calibri" w:hAnsi="Calibri" w:cs="Calibri"/>
          <w:b/>
          <w:sz w:val="20"/>
        </w:rPr>
      </w:pPr>
      <w:bookmarkStart w:id="63" w:name="_Toc241574289"/>
      <w:bookmarkStart w:id="64" w:name="_Toc242553919"/>
      <w:r w:rsidRPr="00AA30D8">
        <w:rPr>
          <w:rFonts w:ascii="Calibri" w:hAnsi="Calibri" w:cs="Calibri"/>
          <w:b/>
          <w:sz w:val="20"/>
        </w:rPr>
        <w:t>Data Cross-Referencing &amp; Master Data</w:t>
      </w:r>
      <w:bookmarkEnd w:id="63"/>
      <w:bookmarkEnd w:id="64"/>
    </w:p>
    <w:p w14:paraId="083C2731" w14:textId="311C8AF4" w:rsidR="00C63A98" w:rsidRPr="00EC3682" w:rsidRDefault="00873A53" w:rsidP="00957267">
      <w:pPr>
        <w:pStyle w:val="ListParagraph"/>
        <w:numPr>
          <w:ilvl w:val="0"/>
          <w:numId w:val="4"/>
        </w:numPr>
        <w:jc w:val="left"/>
        <w:rPr>
          <w:rFonts w:ascii="Calibri" w:hAnsi="Calibri" w:cs="Calibri"/>
        </w:rPr>
      </w:pPr>
      <w:r>
        <w:t>Setting up the Profisee mappings shall be outside the scope of this document and shall be handled separately.</w:t>
      </w:r>
    </w:p>
    <w:p w14:paraId="22AD14D3" w14:textId="57BB1ADC" w:rsidR="00C63A98" w:rsidRPr="00EC3682" w:rsidRDefault="00873A53" w:rsidP="00957267">
      <w:pPr>
        <w:pStyle w:val="ListParagraph"/>
        <w:numPr>
          <w:ilvl w:val="0"/>
          <w:numId w:val="4"/>
        </w:numPr>
        <w:jc w:val="left"/>
        <w:rPr>
          <w:rFonts w:ascii="Calibri" w:hAnsi="Calibri" w:cs="Calibri"/>
        </w:rPr>
      </w:pPr>
      <w:r>
        <w:t>Building or changing the Semantic Service shall be outside the scope of this document and shall be handled separately.</w:t>
      </w:r>
    </w:p>
    <w:p w14:paraId="6CFE513A" w14:textId="780DDEEC" w:rsidR="00C63A98" w:rsidRPr="00EC3682" w:rsidRDefault="00873A53" w:rsidP="00957267">
      <w:pPr>
        <w:pStyle w:val="ListParagraph"/>
        <w:numPr>
          <w:ilvl w:val="0"/>
          <w:numId w:val="4"/>
        </w:numPr>
        <w:jc w:val="left"/>
        <w:rPr>
          <w:rFonts w:ascii="Calibri" w:hAnsi="Calibri" w:cs="Calibri"/>
        </w:rPr>
      </w:pPr>
      <w:r>
        <w:t xml:space="preserve">Profisee shall govern master data entities such as Equipment, Location, Material, Stream, UOM and </w:t>
      </w:r>
      <w:r w:rsidR="009936D6">
        <w:t>Property</w:t>
      </w:r>
      <w:r>
        <w:t xml:space="preserve"> Mapping.</w:t>
      </w:r>
    </w:p>
    <w:p w14:paraId="46C11470" w14:textId="1F0E2ADD" w:rsidR="00C63A98" w:rsidRPr="00EC3682" w:rsidRDefault="00AA30D8" w:rsidP="00957267">
      <w:pPr>
        <w:pStyle w:val="ListParagraph"/>
        <w:numPr>
          <w:ilvl w:val="0"/>
          <w:numId w:val="4"/>
        </w:numPr>
        <w:jc w:val="left"/>
        <w:rPr>
          <w:rFonts w:ascii="Calibri" w:hAnsi="Calibri" w:cs="Calibri"/>
        </w:rPr>
      </w:pPr>
      <w:r>
        <w:t>The integration shall read the Profisee codes and descriptions from Profisee and add them to the data.</w:t>
      </w:r>
    </w:p>
    <w:p w14:paraId="2BF60479" w14:textId="26F9C69C" w:rsidR="00C63A98" w:rsidRPr="00EC3682" w:rsidRDefault="00873A53" w:rsidP="00957267">
      <w:pPr>
        <w:pStyle w:val="ListParagraph"/>
        <w:numPr>
          <w:ilvl w:val="0"/>
          <w:numId w:val="4"/>
        </w:numPr>
        <w:jc w:val="left"/>
        <w:rPr>
          <w:rFonts w:ascii="Calibri" w:hAnsi="Calibri" w:cs="Calibri"/>
        </w:rPr>
      </w:pPr>
      <w:r>
        <w:t>Keeping the master data and mappings in Profisee up to date shall be a business-as-usual activity.</w:t>
      </w:r>
    </w:p>
    <w:p w14:paraId="76A6ED98" w14:textId="16BE3661" w:rsidR="00C63A98" w:rsidRPr="00EC3682" w:rsidRDefault="00873A53" w:rsidP="00957267">
      <w:pPr>
        <w:pStyle w:val="ListParagraph"/>
        <w:numPr>
          <w:ilvl w:val="0"/>
          <w:numId w:val="4"/>
        </w:numPr>
        <w:jc w:val="left"/>
        <w:rPr>
          <w:rFonts w:ascii="Calibri" w:hAnsi="Calibri" w:cs="Calibri"/>
        </w:rPr>
      </w:pPr>
      <w:commentRangeStart w:id="65"/>
      <w:r>
        <w:t>Barge movements shall be assumed to reach IQDM from Towworks without a cross-reference.</w:t>
      </w:r>
      <w:commentRangeEnd w:id="65"/>
      <w:r w:rsidR="00FF0697" w:rsidRPr="00EC3682">
        <w:rPr>
          <w:rStyle w:val="CommentReference"/>
          <w:rFonts w:ascii="Calibri" w:hAnsi="Calibri" w:cs="Calibri"/>
          <w:sz w:val="22"/>
          <w:szCs w:val="22"/>
        </w:rPr>
        <w:commentReference w:id="65"/>
      </w:r>
    </w:p>
    <w:p w14:paraId="39D0521D" w14:textId="77777777" w:rsidR="0081216E" w:rsidRDefault="4B3C8CF4" w:rsidP="00F10FD7">
      <w:pPr>
        <w:pStyle w:val="Heading3"/>
        <w:rPr>
          <w:rFonts w:ascii="Calibri" w:hAnsi="Calibri" w:cs="Calibri"/>
          <w:b/>
          <w:sz w:val="20"/>
        </w:rPr>
      </w:pPr>
      <w:bookmarkStart w:id="66" w:name="_Toc1232672279"/>
      <w:bookmarkStart w:id="67" w:name="_Toc1649504586"/>
      <w:bookmarkStart w:id="68" w:name="_Toc241574290"/>
      <w:bookmarkStart w:id="69" w:name="_Toc242553920"/>
      <w:r w:rsidRPr="00AA30D8">
        <w:rPr>
          <w:rFonts w:ascii="Calibri" w:hAnsi="Calibri" w:cs="Calibri"/>
          <w:b/>
          <w:sz w:val="20"/>
        </w:rPr>
        <w:t>Application Design and Architecture Consideration</w:t>
      </w:r>
      <w:bookmarkEnd w:id="66"/>
      <w:bookmarkEnd w:id="67"/>
      <w:bookmarkEnd w:id="68"/>
      <w:bookmarkEnd w:id="69"/>
    </w:p>
    <w:p w14:paraId="3CA79C02" w14:textId="1E21E88D" w:rsidR="00260552" w:rsidRPr="0081216E" w:rsidRDefault="00FA3AEE" w:rsidP="00FC42E7">
      <w:pPr>
        <w:keepNext/>
        <w:jc w:val="left"/>
        <w:rPr>
          <w:rFonts w:ascii="Calibri" w:hAnsi="Calibri" w:cs="Calibri"/>
        </w:rPr>
      </w:pPr>
      <w:r>
        <w:rPr>
          <w:rFonts w:ascii="Calibri" w:hAnsi="Calibri" w:cs="Calibri"/>
        </w:rPr>
        <w:t>Every VCB integration shall follow the design considerations in the sections below.</w:t>
      </w:r>
    </w:p>
    <w:p w14:paraId="6515A3C3" w14:textId="77777777" w:rsidR="00C63A98" w:rsidRPr="00AA30D8" w:rsidRDefault="00C63A98" w:rsidP="00C63A98">
      <w:pPr>
        <w:pStyle w:val="Heading4"/>
        <w:rPr>
          <w:rFonts w:ascii="Calibri" w:hAnsi="Calibri" w:cs="Calibri"/>
          <w:b/>
          <w:sz w:val="20"/>
        </w:rPr>
      </w:pPr>
      <w:r w:rsidRPr="00AA30D8">
        <w:rPr>
          <w:rFonts w:ascii="Calibri" w:hAnsi="Calibri" w:cs="Calibri"/>
          <w:b/>
          <w:sz w:val="20"/>
        </w:rPr>
        <w:t>Source Systems and Data Ownership</w:t>
      </w:r>
    </w:p>
    <w:p w14:paraId="5AC12F67" w14:textId="1BC1C890" w:rsidR="00FC42E7" w:rsidRPr="00EC3682" w:rsidRDefault="00FC42E7" w:rsidP="00FC42E7">
      <w:pPr>
        <w:pStyle w:val="ListParagraph"/>
        <w:numPr>
          <w:ilvl w:val="0"/>
          <w:numId w:val="4"/>
        </w:numPr>
        <w:jc w:val="left"/>
        <w:rPr>
          <w:rFonts w:ascii="Calibri" w:hAnsi="Calibri" w:cs="Calibri"/>
        </w:rPr>
      </w:pPr>
      <w:r>
        <w:t>The data received from the source systems shall be assumed to be complete, correct and already checked.</w:t>
      </w:r>
    </w:p>
    <w:p w14:paraId="21D1603A" w14:textId="64C649B2" w:rsidR="00FC42E7" w:rsidRPr="00EC3682" w:rsidRDefault="00FC42E7" w:rsidP="00FC42E7">
      <w:pPr>
        <w:pStyle w:val="ListParagraph"/>
        <w:numPr>
          <w:ilvl w:val="0"/>
          <w:numId w:val="4"/>
        </w:numPr>
        <w:jc w:val="left"/>
        <w:rPr>
          <w:rFonts w:ascii="Calibri" w:hAnsi="Calibri" w:cs="Calibri"/>
        </w:rPr>
      </w:pPr>
      <w:r>
        <w:t>The integration shall only do basic checks.</w:t>
      </w:r>
    </w:p>
    <w:p w14:paraId="533CE611" w14:textId="5383880C" w:rsidR="00C63A98" w:rsidRDefault="00FC42E7" w:rsidP="00FC42E7">
      <w:pPr>
        <w:pStyle w:val="ListParagraph"/>
        <w:numPr>
          <w:ilvl w:val="0"/>
          <w:numId w:val="4"/>
        </w:numPr>
        <w:jc w:val="left"/>
      </w:pPr>
      <w:r>
        <w:t>The integration shall not clean or correct source data.</w:t>
      </w:r>
    </w:p>
    <w:p w14:paraId="4D7269F4" w14:textId="77777777" w:rsidR="00C63A98" w:rsidRDefault="00C63A98" w:rsidP="00FC42E7">
      <w:pPr>
        <w:keepNext/>
        <w:jc w:val="left"/>
      </w:pPr>
      <w:r>
        <w:t>The sources of the data are:</w:t>
      </w:r>
    </w:p>
    <w:p w14:paraId="66411740" w14:textId="2D9ABDC1" w:rsidR="00C63A98" w:rsidRPr="00EC3682" w:rsidRDefault="00AA30D8" w:rsidP="00957267">
      <w:pPr>
        <w:pStyle w:val="ListParagraph"/>
        <w:numPr>
          <w:ilvl w:val="0"/>
          <w:numId w:val="4"/>
        </w:numPr>
        <w:jc w:val="left"/>
        <w:rPr>
          <w:rFonts w:ascii="Calibri" w:hAnsi="Calibri" w:cs="Calibri"/>
        </w:rPr>
      </w:pPr>
      <w:r>
        <w:t xml:space="preserve">IQDM database: the refinery schedule and scheduled quality (APS), the refinery actual quality (LIMS), the terminal inventory and movements (Kittyhawk), the terminal quality (PQCore) and the barge movements (Towworks). </w:t>
      </w:r>
      <w:r w:rsidR="00144FA3">
        <w:t>The IQDM integrations shall load this data, and the VCB dashboards shall read it there.</w:t>
      </w:r>
    </w:p>
    <w:p w14:paraId="1B1DA7BA" w14:textId="6360B79D" w:rsidR="00C63A98" w:rsidRPr="00EC3682" w:rsidRDefault="00873A53" w:rsidP="00957267">
      <w:pPr>
        <w:pStyle w:val="ListParagraph"/>
        <w:numPr>
          <w:ilvl w:val="0"/>
          <w:numId w:val="4"/>
        </w:numPr>
        <w:jc w:val="left"/>
        <w:rPr>
          <w:rFonts w:ascii="Calibri" w:hAnsi="Calibri" w:cs="Calibri"/>
        </w:rPr>
      </w:pPr>
      <w:r>
        <w:t>PI Asset Framework (PIAF): the analyzer qualities of gasoline products and the blend component flows.</w:t>
      </w:r>
    </w:p>
    <w:p w14:paraId="0C5E553B" w14:textId="362D7BC9" w:rsidR="00C63A98" w:rsidRPr="00EC3682" w:rsidRDefault="006B25DD" w:rsidP="00957267">
      <w:pPr>
        <w:pStyle w:val="ListParagraph"/>
        <w:numPr>
          <w:ilvl w:val="0"/>
          <w:numId w:val="4"/>
        </w:numPr>
        <w:jc w:val="left"/>
        <w:rPr>
          <w:rFonts w:ascii="Calibri" w:hAnsi="Calibri" w:cs="Calibri"/>
        </w:rPr>
      </w:pPr>
      <w:r>
        <w:t>Kittyhawk: the loads and blends of blend components at terminals (the transaction upload).</w:t>
      </w:r>
    </w:p>
    <w:p w14:paraId="5E0E01F4" w14:textId="5ABA183D" w:rsidR="00C63A98" w:rsidRPr="00EC3682" w:rsidRDefault="00794AE6" w:rsidP="00957267">
      <w:pPr>
        <w:pStyle w:val="ListParagraph"/>
        <w:numPr>
          <w:ilvl w:val="0"/>
          <w:numId w:val="4"/>
        </w:numPr>
        <w:jc w:val="left"/>
        <w:rPr>
          <w:rFonts w:ascii="Calibri" w:hAnsi="Calibri" w:cs="Calibri"/>
        </w:rPr>
      </w:pPr>
      <w:r>
        <w:t>MPR (Marathon Pricing Repository), a SQL database: the prices of products and blend components, read on demand by the Cost API through the platform price service.</w:t>
      </w:r>
    </w:p>
    <w:p w14:paraId="5E3D1AD0" w14:textId="083A9B13" w:rsidR="00C63A98" w:rsidRPr="00EC3682" w:rsidRDefault="00C63A98" w:rsidP="00957267">
      <w:pPr>
        <w:pStyle w:val="ListParagraph"/>
        <w:numPr>
          <w:ilvl w:val="0"/>
          <w:numId w:val="4"/>
        </w:numPr>
        <w:jc w:val="left"/>
        <w:rPr>
          <w:rFonts w:ascii="Calibri" w:hAnsi="Calibri" w:cs="Calibri"/>
        </w:rPr>
      </w:pPr>
      <w:r w:rsidRPr="00C63A98">
        <w:t xml:space="preserve">PQ Spec Shop: the product specifications. </w:t>
      </w:r>
      <w:r w:rsidR="00873A53">
        <w:t>Until IQDM Release 5, the database team shall load them into the IQDM database from a master Excel workbook.</w:t>
      </w:r>
    </w:p>
    <w:p w14:paraId="1474C7D8" w14:textId="5832654E" w:rsidR="00C63A98" w:rsidRDefault="00FC42E7" w:rsidP="00FC42E7">
      <w:pPr>
        <w:pStyle w:val="ListParagraph"/>
        <w:numPr>
          <w:ilvl w:val="0"/>
          <w:numId w:val="4"/>
        </w:numPr>
        <w:jc w:val="left"/>
      </w:pPr>
      <w:r>
        <w:t>The tables, views, fields and tags of the PI Asset Framework, the Kittyhawk transaction upload, MPR and the IQDM database shall be assumed to stay as they are during the VCB build, and any structural change to them shall be assumed to be announced before it is made.</w:t>
      </w:r>
    </w:p>
    <w:p w14:paraId="1A2EE4D0" w14:textId="77777777" w:rsidR="00C63A98" w:rsidRPr="00AA30D8" w:rsidRDefault="00C63A98" w:rsidP="00C63A98">
      <w:pPr>
        <w:pStyle w:val="Heading4"/>
        <w:rPr>
          <w:rFonts w:ascii="Calibri" w:hAnsi="Calibri" w:cs="Calibri"/>
          <w:b/>
          <w:sz w:val="20"/>
        </w:rPr>
      </w:pPr>
      <w:r w:rsidRPr="00AA30D8">
        <w:rPr>
          <w:rFonts w:ascii="Calibri" w:hAnsi="Calibri" w:cs="Calibri"/>
          <w:b/>
          <w:sz w:val="20"/>
        </w:rPr>
        <w:t>Data Handling and Transformation</w:t>
      </w:r>
    </w:p>
    <w:p w14:paraId="2FDD077A" w14:textId="77777777" w:rsidR="00AB52BC" w:rsidRDefault="00AA30D8" w:rsidP="00957267">
      <w:pPr>
        <w:pStyle w:val="ListParagraph"/>
        <w:numPr>
          <w:ilvl w:val="0"/>
          <w:numId w:val="4"/>
        </w:numPr>
        <w:jc w:val="left"/>
      </w:pPr>
      <w:r>
        <w:t>The time zone of each location shall come from the location master data in Profisee.</w:t>
      </w:r>
    </w:p>
    <w:p w14:paraId="03840998" w14:textId="17662F36" w:rsidR="00C63A98" w:rsidRPr="00EC3682" w:rsidRDefault="00AB52BC" w:rsidP="00957267">
      <w:pPr>
        <w:pStyle w:val="ListParagraph"/>
        <w:numPr>
          <w:ilvl w:val="0"/>
          <w:numId w:val="4"/>
        </w:numPr>
        <w:jc w:val="left"/>
        <w:rPr>
          <w:rFonts w:ascii="Calibri" w:hAnsi="Calibri" w:cs="Calibri"/>
        </w:rPr>
      </w:pPr>
      <w:r>
        <w:t xml:space="preserve">Rows that do not carry enough data to be mapped shall be left out, for example an analyzer quality at an injector </w:t>
      </w:r>
      <w:r w:rsidR="0023739F">
        <w:t>whose service tank has no product</w:t>
      </w:r>
      <w:r>
        <w:t>.</w:t>
      </w:r>
    </w:p>
    <w:p w14:paraId="7F3F0CA1" w14:textId="5B9B476B" w:rsidR="00C63A98" w:rsidRPr="00EC3682" w:rsidRDefault="00AB52BC" w:rsidP="00957267">
      <w:pPr>
        <w:pStyle w:val="ListParagraph"/>
        <w:numPr>
          <w:ilvl w:val="0"/>
          <w:numId w:val="4"/>
        </w:numPr>
        <w:jc w:val="left"/>
        <w:rPr>
          <w:rFonts w:ascii="Calibri" w:hAnsi="Calibri" w:cs="Calibri"/>
        </w:rPr>
      </w:pPr>
      <w:r>
        <w:t xml:space="preserve">Settings that are specific to </w:t>
      </w:r>
      <w:r w:rsidR="005D6F3D">
        <w:t>integration</w:t>
      </w:r>
      <w:r>
        <w:t xml:space="preserve"> shall be kept in the configuration file in Azure Blob Storage and in the app settings of the function app.</w:t>
      </w:r>
    </w:p>
    <w:p w14:paraId="090B9AB5" w14:textId="77777777" w:rsidR="00C63A98" w:rsidRPr="00AA30D8" w:rsidRDefault="00C63A98" w:rsidP="00C63A98">
      <w:pPr>
        <w:pStyle w:val="Heading4"/>
        <w:rPr>
          <w:rFonts w:ascii="Calibri" w:hAnsi="Calibri" w:cs="Calibri"/>
          <w:b/>
          <w:sz w:val="20"/>
        </w:rPr>
      </w:pPr>
      <w:r w:rsidRPr="00AA30D8">
        <w:rPr>
          <w:rFonts w:ascii="Calibri" w:hAnsi="Calibri" w:cs="Calibri"/>
          <w:b/>
          <w:sz w:val="20"/>
        </w:rPr>
        <w:t>Movement/Event Records Aggregations &amp; Segregations</w:t>
      </w:r>
    </w:p>
    <w:p w14:paraId="69D7D9C5" w14:textId="53755555" w:rsidR="00FC42E7" w:rsidRPr="00EC3682" w:rsidRDefault="00FC42E7" w:rsidP="00FC42E7">
      <w:pPr>
        <w:pStyle w:val="ListParagraph"/>
        <w:numPr>
          <w:ilvl w:val="0"/>
          <w:numId w:val="4"/>
        </w:numPr>
        <w:jc w:val="left"/>
        <w:rPr>
          <w:rFonts w:ascii="Calibri" w:hAnsi="Calibri" w:cs="Calibri"/>
        </w:rPr>
      </w:pPr>
      <w:r>
        <w:t xml:space="preserve">The IQDM refinery schedule integration shall split an APS event record that holds several tanks or </w:t>
      </w:r>
      <w:r w:rsidR="0013455A">
        <w:t>blends</w:t>
      </w:r>
      <w:r>
        <w:t xml:space="preserve"> into </w:t>
      </w:r>
      <w:r w:rsidR="00091C00">
        <w:t>z</w:t>
      </w:r>
      <w:r>
        <w:t>one record per tank or component.</w:t>
      </w:r>
    </w:p>
    <w:p w14:paraId="75C9734A" w14:textId="4B2A0EB8" w:rsidR="00C63A98" w:rsidRDefault="00FC42E7" w:rsidP="00FC42E7">
      <w:pPr>
        <w:pStyle w:val="ListParagraph"/>
        <w:numPr>
          <w:ilvl w:val="0"/>
          <w:numId w:val="4"/>
        </w:numPr>
        <w:jc w:val="left"/>
      </w:pPr>
      <w:r>
        <w:t>The VCB dashboards shall read the split records from the IQDM database.</w:t>
      </w:r>
    </w:p>
    <w:p w14:paraId="21E541B7" w14:textId="77777777" w:rsidR="00C63A98" w:rsidRPr="00AA30D8" w:rsidRDefault="00C63A98" w:rsidP="00C63A98">
      <w:pPr>
        <w:pStyle w:val="Heading4"/>
        <w:rPr>
          <w:rFonts w:ascii="Calibri" w:hAnsi="Calibri" w:cs="Calibri"/>
          <w:b/>
          <w:sz w:val="20"/>
        </w:rPr>
      </w:pPr>
      <w:r w:rsidRPr="00AA30D8">
        <w:rPr>
          <w:rFonts w:ascii="Calibri" w:hAnsi="Calibri" w:cs="Calibri"/>
          <w:b/>
          <w:sz w:val="20"/>
        </w:rPr>
        <w:t>Infrastructure and Availability</w:t>
      </w:r>
    </w:p>
    <w:p w14:paraId="4DEDEB8D" w14:textId="16DE16FC" w:rsidR="00C63A98" w:rsidRDefault="00873A53" w:rsidP="00FC42E7">
      <w:pPr>
        <w:keepNext/>
        <w:jc w:val="left"/>
      </w:pPr>
      <w:r>
        <w:t>All the systems the integrations depend on shall be assumed to be up and working, including:</w:t>
      </w:r>
    </w:p>
    <w:p w14:paraId="10AD9F6A" w14:textId="193C9AAC" w:rsidR="00C63A98" w:rsidRPr="00EC3682" w:rsidRDefault="00C63A98" w:rsidP="00957267">
      <w:pPr>
        <w:pStyle w:val="ListParagraph"/>
        <w:numPr>
          <w:ilvl w:val="0"/>
          <w:numId w:val="4"/>
        </w:numPr>
        <w:jc w:val="left"/>
        <w:rPr>
          <w:rFonts w:ascii="Calibri" w:hAnsi="Calibri" w:cs="Calibri"/>
        </w:rPr>
      </w:pPr>
      <w:r w:rsidRPr="00C63A98">
        <w:t>PI Web API, read through the PI proxy function</w:t>
      </w:r>
    </w:p>
    <w:p w14:paraId="7439D11B" w14:textId="5590D2AB" w:rsidR="00C63A98" w:rsidRPr="00EC3682" w:rsidRDefault="00C63A98" w:rsidP="00957267">
      <w:pPr>
        <w:pStyle w:val="ListParagraph"/>
        <w:numPr>
          <w:ilvl w:val="0"/>
          <w:numId w:val="4"/>
        </w:numPr>
        <w:jc w:val="left"/>
        <w:rPr>
          <w:rFonts w:ascii="Calibri" w:hAnsi="Calibri" w:cs="Calibri"/>
        </w:rPr>
      </w:pPr>
      <w:r w:rsidRPr="00C63A98">
        <w:t>Kittyhawk OData service</w:t>
      </w:r>
    </w:p>
    <w:p w14:paraId="63613CCB" w14:textId="4754B402" w:rsidR="00C63A98" w:rsidRPr="00EC3682" w:rsidRDefault="00752CCD" w:rsidP="00957267">
      <w:pPr>
        <w:pStyle w:val="ListParagraph"/>
        <w:numPr>
          <w:ilvl w:val="0"/>
          <w:numId w:val="4"/>
        </w:numPr>
        <w:jc w:val="left"/>
        <w:rPr>
          <w:rFonts w:ascii="Calibri" w:hAnsi="Calibri" w:cs="Calibri"/>
        </w:rPr>
      </w:pPr>
      <w:r>
        <w:t>Semantic Service and Profisee</w:t>
      </w:r>
    </w:p>
    <w:p w14:paraId="07270193" w14:textId="44130373" w:rsidR="00C63A98" w:rsidRPr="00EC3682" w:rsidRDefault="00C63A98" w:rsidP="00957267">
      <w:pPr>
        <w:pStyle w:val="ListParagraph"/>
        <w:numPr>
          <w:ilvl w:val="0"/>
          <w:numId w:val="4"/>
        </w:numPr>
        <w:jc w:val="left"/>
        <w:rPr>
          <w:rFonts w:ascii="Calibri" w:hAnsi="Calibri" w:cs="Calibri"/>
        </w:rPr>
      </w:pPr>
      <w:r w:rsidRPr="00C63A98">
        <w:t>Azure services</w:t>
      </w:r>
    </w:p>
    <w:p w14:paraId="5AF6DA91" w14:textId="20847560" w:rsidR="00C63A98" w:rsidRPr="00EC3682" w:rsidRDefault="00451F42" w:rsidP="00957267">
      <w:pPr>
        <w:pStyle w:val="ListParagraph"/>
        <w:numPr>
          <w:ilvl w:val="0"/>
          <w:numId w:val="4"/>
        </w:numPr>
        <w:jc w:val="left"/>
        <w:rPr>
          <w:rFonts w:ascii="Calibri" w:hAnsi="Calibri" w:cs="Calibri"/>
        </w:rPr>
      </w:pPr>
      <w:r>
        <w:t>MPR database, read by the Cost API through the platform price service</w:t>
      </w:r>
    </w:p>
    <w:p w14:paraId="3D503803" w14:textId="0D2575B2" w:rsidR="00C63A98" w:rsidRPr="00EC3682" w:rsidRDefault="00C63A98" w:rsidP="00957267">
      <w:pPr>
        <w:pStyle w:val="ListParagraph"/>
        <w:numPr>
          <w:ilvl w:val="0"/>
          <w:numId w:val="4"/>
        </w:numPr>
        <w:jc w:val="left"/>
        <w:rPr>
          <w:rFonts w:ascii="Calibri" w:hAnsi="Calibri" w:cs="Calibri"/>
        </w:rPr>
      </w:pPr>
      <w:r w:rsidRPr="00C63A98">
        <w:t>IQDM database</w:t>
      </w:r>
    </w:p>
    <w:p w14:paraId="3B5CDF15" w14:textId="77777777" w:rsidR="00C63A98" w:rsidRPr="00AA30D8" w:rsidRDefault="00C63A98" w:rsidP="00C63A98">
      <w:pPr>
        <w:pStyle w:val="Heading4"/>
        <w:rPr>
          <w:rFonts w:ascii="Calibri" w:hAnsi="Calibri" w:cs="Calibri"/>
          <w:b/>
          <w:sz w:val="20"/>
        </w:rPr>
      </w:pPr>
      <w:r w:rsidRPr="00AA30D8">
        <w:rPr>
          <w:rFonts w:ascii="Calibri" w:hAnsi="Calibri" w:cs="Calibri"/>
          <w:b/>
          <w:sz w:val="20"/>
        </w:rPr>
        <w:t>Integration Scope and Limitations</w:t>
      </w:r>
    </w:p>
    <w:p w14:paraId="5EB1BE45" w14:textId="4A111473" w:rsidR="00C63A98" w:rsidRPr="00EC3682" w:rsidRDefault="00873A53" w:rsidP="00957267">
      <w:pPr>
        <w:pStyle w:val="ListParagraph"/>
        <w:numPr>
          <w:ilvl w:val="0"/>
          <w:numId w:val="4"/>
        </w:numPr>
        <w:jc w:val="left"/>
        <w:rPr>
          <w:rFonts w:ascii="Calibri" w:hAnsi="Calibri" w:cs="Calibri"/>
        </w:rPr>
      </w:pPr>
      <w:r>
        <w:t xml:space="preserve">The scope shall be the one given in section </w:t>
      </w:r>
      <w:r w:rsidR="00FC42E7">
        <w:fldChar w:fldCharType="begin"/>
      </w:r>
      <w:r w:rsidR="00FC42E7">
        <w:instrText xml:space="preserve"> REF _Ref917260907 \w \h \* MERGEFORMAT </w:instrText>
      </w:r>
      <w:r w:rsidR="00FC42E7">
        <w:fldChar w:fldCharType="separate"/>
      </w:r>
      <w:r w:rsidR="00FC42E7" w:rsidRPr="00FC42E7">
        <w:rPr>
          <w:color w:val="0563C1"/>
          <w:u w:val="single"/>
        </w:rPr>
        <w:t>2.1</w:t>
      </w:r>
      <w:r w:rsidR="00FC42E7">
        <w:fldChar w:fldCharType="end"/>
      </w:r>
      <w:r>
        <w:t>: the Robinson, Catlettsburg, Detroit and Canton refineries and the North Region terminals.</w:t>
      </w:r>
    </w:p>
    <w:p w14:paraId="569059C0" w14:textId="3E64C63B" w:rsidR="00C63A98" w:rsidRPr="00EC3682" w:rsidRDefault="00794AE6" w:rsidP="00957267">
      <w:pPr>
        <w:pStyle w:val="ListParagraph"/>
        <w:numPr>
          <w:ilvl w:val="0"/>
          <w:numId w:val="4"/>
        </w:numPr>
        <w:jc w:val="left"/>
        <w:rPr>
          <w:rFonts w:ascii="Calibri" w:hAnsi="Calibri" w:cs="Calibri"/>
        </w:rPr>
      </w:pPr>
      <w:r>
        <w:t>Data shall be taken only from the source systems named in this document.</w:t>
      </w:r>
    </w:p>
    <w:p w14:paraId="39094545" w14:textId="1D6A4388" w:rsidR="00C63A98" w:rsidRPr="00EC3682" w:rsidRDefault="00AA30D8" w:rsidP="00957267">
      <w:pPr>
        <w:pStyle w:val="ListParagraph"/>
        <w:numPr>
          <w:ilvl w:val="0"/>
          <w:numId w:val="4"/>
        </w:numPr>
        <w:jc w:val="left"/>
        <w:rPr>
          <w:rFonts w:ascii="Calibri" w:hAnsi="Calibri" w:cs="Calibri"/>
        </w:rPr>
      </w:pPr>
      <w:r>
        <w:t>If a source or target system, data model, integration contract or requirement changes after design sign-off, this Technical Design Document (TDD) and the build shall be updated to match.</w:t>
      </w:r>
    </w:p>
    <w:p w14:paraId="38F187CA" w14:textId="77777777" w:rsidR="00C63A98" w:rsidRPr="00AA30D8" w:rsidRDefault="00C63A98" w:rsidP="00C63A98">
      <w:pPr>
        <w:pStyle w:val="Heading4"/>
        <w:rPr>
          <w:rFonts w:ascii="Calibri" w:hAnsi="Calibri" w:cs="Calibri"/>
          <w:b/>
          <w:sz w:val="20"/>
        </w:rPr>
      </w:pPr>
      <w:r w:rsidRPr="00AA30D8">
        <w:rPr>
          <w:rFonts w:ascii="Calibri" w:hAnsi="Calibri" w:cs="Calibri"/>
          <w:b/>
          <w:sz w:val="20"/>
        </w:rPr>
        <w:t>Business Logic and Validation</w:t>
      </w:r>
    </w:p>
    <w:p w14:paraId="00DFB54A" w14:textId="747EFCBF" w:rsidR="00C63A98" w:rsidRPr="00EC3682" w:rsidRDefault="00FC42E7" w:rsidP="00957267">
      <w:pPr>
        <w:pStyle w:val="ListParagraph"/>
        <w:numPr>
          <w:ilvl w:val="0"/>
          <w:numId w:val="4"/>
        </w:numPr>
        <w:jc w:val="left"/>
        <w:rPr>
          <w:rFonts w:ascii="Calibri" w:hAnsi="Calibri" w:cs="Calibri"/>
        </w:rPr>
      </w:pPr>
      <w:r>
        <w:t>All business rules, checks and transformations shall follow the Functional Design Document (FDD) and the design in this document.</w:t>
      </w:r>
    </w:p>
    <w:p w14:paraId="615928F0" w14:textId="56A85893" w:rsidR="00FC42E7" w:rsidRPr="00EC3682" w:rsidRDefault="00FC42E7" w:rsidP="00FC42E7">
      <w:pPr>
        <w:pStyle w:val="ListParagraph"/>
        <w:numPr>
          <w:ilvl w:val="0"/>
          <w:numId w:val="4"/>
        </w:numPr>
        <w:jc w:val="left"/>
        <w:rPr>
          <w:rFonts w:ascii="Calibri" w:hAnsi="Calibri" w:cs="Calibri"/>
        </w:rPr>
      </w:pPr>
      <w:r>
        <w:t>The functional or business team shall give and confirm the business rules, checks and transformations.</w:t>
      </w:r>
    </w:p>
    <w:p w14:paraId="30744F03" w14:textId="3D4AFD0D" w:rsidR="00C63A98" w:rsidRPr="00EC3682" w:rsidRDefault="00AA30D8" w:rsidP="00957267">
      <w:pPr>
        <w:pStyle w:val="ListParagraph"/>
        <w:numPr>
          <w:ilvl w:val="0"/>
          <w:numId w:val="4"/>
        </w:numPr>
        <w:jc w:val="left"/>
        <w:rPr>
          <w:rFonts w:ascii="Calibri" w:hAnsi="Calibri" w:cs="Calibri"/>
        </w:rPr>
      </w:pPr>
      <w:r>
        <w:t xml:space="preserve">The system shall retry temporary failures </w:t>
      </w:r>
      <w:r w:rsidR="00CE45AF">
        <w:t xml:space="preserve">as described in section </w:t>
      </w:r>
      <w:r w:rsidR="00FC42E7">
        <w:fldChar w:fldCharType="begin"/>
      </w:r>
      <w:r w:rsidR="00FC42E7">
        <w:instrText xml:space="preserve"> REF _Ref917260908 \w \h \* MERGEFORMAT </w:instrText>
      </w:r>
      <w:r w:rsidR="00FC42E7">
        <w:fldChar w:fldCharType="separate"/>
      </w:r>
      <w:r w:rsidR="00FC42E7" w:rsidRPr="00FC42E7">
        <w:rPr>
          <w:color w:val="0563C1"/>
          <w:u w:val="single"/>
        </w:rPr>
        <w:t>2.5</w:t>
      </w:r>
      <w:r w:rsidR="00FC42E7">
        <w:fldChar w:fldCharType="end"/>
      </w:r>
      <w:r w:rsidR="00CE45AF">
        <w:t>.</w:t>
      </w:r>
    </w:p>
    <w:p w14:paraId="4D2D4C52" w14:textId="6A118D15" w:rsidR="00873A53" w:rsidRPr="00EC3682" w:rsidRDefault="00873A53" w:rsidP="00873A53">
      <w:pPr>
        <w:pStyle w:val="ListParagraph"/>
        <w:numPr>
          <w:ilvl w:val="0"/>
          <w:numId w:val="4"/>
        </w:numPr>
        <w:jc w:val="left"/>
        <w:rPr>
          <w:rFonts w:ascii="Calibri" w:hAnsi="Calibri" w:cs="Calibri"/>
        </w:rPr>
      </w:pPr>
      <w:bookmarkStart w:id="70" w:name="_Toc1903535624"/>
      <w:bookmarkStart w:id="71" w:name="_Toc517294152"/>
      <w:bookmarkStart w:id="72" w:name="_Toc241574291"/>
      <w:r>
        <w:t>Users shall enter waiver values only from approved waivers.</w:t>
      </w:r>
    </w:p>
    <w:p w14:paraId="0EAE10B8" w14:textId="21525D5D" w:rsidR="000F74C8" w:rsidRPr="00AA30D8" w:rsidRDefault="000F74C8" w:rsidP="00C63A98">
      <w:pPr>
        <w:pStyle w:val="Heading3"/>
        <w:rPr>
          <w:rFonts w:ascii="Calibri" w:hAnsi="Calibri" w:cs="Calibri"/>
          <w:b/>
          <w:sz w:val="20"/>
        </w:rPr>
      </w:pPr>
      <w:bookmarkStart w:id="73" w:name="_Toc242553921"/>
      <w:r w:rsidRPr="00AA30D8">
        <w:rPr>
          <w:rFonts w:ascii="Calibri" w:hAnsi="Calibri" w:cs="Calibri"/>
          <w:b/>
          <w:sz w:val="20"/>
        </w:rPr>
        <w:t>Acceptance Criteria</w:t>
      </w:r>
      <w:bookmarkEnd w:id="70"/>
      <w:bookmarkEnd w:id="71"/>
      <w:bookmarkEnd w:id="72"/>
      <w:bookmarkEnd w:id="73"/>
    </w:p>
    <w:bookmarkEnd w:id="62"/>
    <w:p w14:paraId="393FDA08" w14:textId="0632EFED" w:rsidR="00C63A98" w:rsidRDefault="00873A53" w:rsidP="00FC42E7">
      <w:pPr>
        <w:pStyle w:val="ListParagraph"/>
        <w:numPr>
          <w:ilvl w:val="0"/>
          <w:numId w:val="4"/>
        </w:numPr>
        <w:jc w:val="left"/>
      </w:pPr>
      <w:r>
        <w:t xml:space="preserve">Acceptance criteria shall be written in the PBI of each integration on the </w:t>
      </w:r>
      <w:commentRangeStart w:id="74"/>
      <w:r>
        <w:t>MPC ADO board.</w:t>
      </w:r>
      <w:commentRangeEnd w:id="74"/>
      <w:r w:rsidR="002F4DE9">
        <w:rPr>
          <w:rStyle w:val="CommentReference"/>
          <w:sz w:val="22"/>
          <w:szCs w:val="22"/>
        </w:rPr>
        <w:commentReference w:id="74"/>
      </w:r>
    </w:p>
    <w:p w14:paraId="10EBCAA6" w14:textId="63384ACC" w:rsidR="000F74C8" w:rsidRPr="00AA30D8" w:rsidRDefault="000F74C8" w:rsidP="00C63A98">
      <w:pPr>
        <w:pStyle w:val="Heading3"/>
        <w:rPr>
          <w:rFonts w:ascii="Calibri" w:hAnsi="Calibri" w:cs="Calibri"/>
          <w:b/>
          <w:sz w:val="20"/>
        </w:rPr>
      </w:pPr>
      <w:bookmarkStart w:id="75" w:name="_Toc295689252"/>
      <w:bookmarkStart w:id="76" w:name="_Toc888388196"/>
      <w:bookmarkStart w:id="77" w:name="_Toc241574292"/>
      <w:bookmarkStart w:id="78" w:name="_Toc242553922"/>
      <w:bookmarkStart w:id="79" w:name="_Toc46420566"/>
      <w:bookmarkStart w:id="80" w:name="_Toc86433398"/>
      <w:r w:rsidRPr="00AA30D8">
        <w:rPr>
          <w:rFonts w:ascii="Calibri" w:hAnsi="Calibri" w:cs="Calibri"/>
          <w:b/>
          <w:sz w:val="20"/>
        </w:rPr>
        <w:t>Dependencies and Prerequisites</w:t>
      </w:r>
      <w:bookmarkEnd w:id="75"/>
      <w:bookmarkEnd w:id="76"/>
      <w:bookmarkEnd w:id="77"/>
      <w:bookmarkEnd w:id="78"/>
    </w:p>
    <w:bookmarkEnd w:id="16"/>
    <w:bookmarkEnd w:id="79"/>
    <w:bookmarkEnd w:id="80"/>
    <w:p w14:paraId="719A0D6E" w14:textId="63BF85E9" w:rsidR="00C63A98" w:rsidRPr="00EC3682" w:rsidRDefault="00873A53" w:rsidP="00957267">
      <w:pPr>
        <w:pStyle w:val="ListParagraph"/>
        <w:numPr>
          <w:ilvl w:val="0"/>
          <w:numId w:val="4"/>
        </w:numPr>
        <w:jc w:val="left"/>
        <w:rPr>
          <w:rFonts w:ascii="Calibri" w:hAnsi="Calibri" w:cs="Calibri"/>
        </w:rPr>
      </w:pPr>
      <w:r>
        <w:t>The master data and the mappings for PIAF, Kittyhawk, MPR and IQDM shall be available and kept up to date in Profisee.</w:t>
      </w:r>
    </w:p>
    <w:p w14:paraId="0904E972" w14:textId="476254D3" w:rsidR="00C63A98" w:rsidRPr="00EC3682" w:rsidRDefault="00873A53" w:rsidP="00957267">
      <w:pPr>
        <w:pStyle w:val="ListParagraph"/>
        <w:numPr>
          <w:ilvl w:val="0"/>
          <w:numId w:val="4"/>
        </w:numPr>
        <w:jc w:val="left"/>
        <w:rPr>
          <w:rFonts w:ascii="Calibri" w:hAnsi="Calibri" w:cs="Calibri"/>
        </w:rPr>
      </w:pPr>
      <w:r>
        <w:t>The Semantic Service shall be available to serve the master data and its mappings.</w:t>
      </w:r>
    </w:p>
    <w:p w14:paraId="66B7BB3B" w14:textId="14DA8B5A" w:rsidR="00C63A98" w:rsidRPr="00EC3682" w:rsidRDefault="00873A53" w:rsidP="00957267">
      <w:pPr>
        <w:pStyle w:val="ListParagraph"/>
        <w:numPr>
          <w:ilvl w:val="0"/>
          <w:numId w:val="4"/>
        </w:numPr>
        <w:jc w:val="left"/>
        <w:rPr>
          <w:rFonts w:ascii="Calibri" w:hAnsi="Calibri" w:cs="Calibri"/>
        </w:rPr>
      </w:pPr>
      <w:r>
        <w:t>The Azure resources needed (resource group, function app, Blob Storage, Service Bus queues and so on) shall be set up in the Azure portal before development starts.</w:t>
      </w:r>
    </w:p>
    <w:p w14:paraId="0A0ED129" w14:textId="2877BD72" w:rsidR="00C63A98" w:rsidRPr="00EC3682" w:rsidRDefault="00873A53" w:rsidP="00957267">
      <w:pPr>
        <w:pStyle w:val="ListParagraph"/>
        <w:numPr>
          <w:ilvl w:val="0"/>
          <w:numId w:val="4"/>
        </w:numPr>
        <w:jc w:val="left"/>
        <w:rPr>
          <w:rFonts w:ascii="Calibri" w:hAnsi="Calibri" w:cs="Calibri"/>
        </w:rPr>
      </w:pPr>
      <w:r>
        <w:t xml:space="preserve">The IQDM database, the PI Web API, the Kittyhawk OData service and the </w:t>
      </w:r>
      <w:commentRangeStart w:id="81"/>
      <w:r>
        <w:t xml:space="preserve">Cost API </w:t>
      </w:r>
      <w:commentRangeEnd w:id="81"/>
      <w:r w:rsidR="00316946">
        <w:rPr>
          <w:rStyle w:val="CommentReference"/>
          <w:sz w:val="22"/>
          <w:szCs w:val="22"/>
        </w:rPr>
        <w:commentReference w:id="81"/>
      </w:r>
      <w:r>
        <w:t>shall be available to the development team for integration and testing.</w:t>
      </w:r>
    </w:p>
    <w:p w14:paraId="771BD906" w14:textId="11BC63F3" w:rsidR="00C63A98" w:rsidRPr="00EC3682" w:rsidRDefault="00873A53" w:rsidP="00957267">
      <w:pPr>
        <w:pStyle w:val="ListParagraph"/>
        <w:numPr>
          <w:ilvl w:val="0"/>
          <w:numId w:val="4"/>
        </w:numPr>
        <w:jc w:val="left"/>
        <w:rPr>
          <w:rFonts w:ascii="Calibri" w:hAnsi="Calibri" w:cs="Calibri"/>
        </w:rPr>
      </w:pPr>
      <w:r>
        <w:t>The specification table shall be loaded into the IQDM database before the dashboards that use it are tested.</w:t>
      </w:r>
    </w:p>
    <w:p w14:paraId="2725735B" w14:textId="08626EDB" w:rsidR="00C63A98" w:rsidRPr="00EC3682" w:rsidRDefault="00873A53" w:rsidP="00957267">
      <w:pPr>
        <w:pStyle w:val="ListParagraph"/>
        <w:numPr>
          <w:ilvl w:val="0"/>
          <w:numId w:val="4"/>
        </w:numPr>
        <w:jc w:val="left"/>
        <w:rPr>
          <w:rFonts w:ascii="Calibri" w:hAnsi="Calibri" w:cs="Calibri"/>
        </w:rPr>
      </w:pPr>
      <w:r>
        <w:t>The SQL account shall have the access it needs to the IQDM database.</w:t>
      </w:r>
    </w:p>
    <w:p w14:paraId="2D7E4EB9" w14:textId="118CEF1F" w:rsidR="00C63A98" w:rsidRPr="00EC3682" w:rsidRDefault="008F2422" w:rsidP="00957267">
      <w:pPr>
        <w:pStyle w:val="ListParagraph"/>
        <w:numPr>
          <w:ilvl w:val="0"/>
          <w:numId w:val="4"/>
        </w:numPr>
        <w:jc w:val="left"/>
        <w:rPr>
          <w:rFonts w:ascii="Calibri" w:hAnsi="Calibri" w:cs="Calibri"/>
        </w:rPr>
      </w:pPr>
      <w:r>
        <w:t>The service account shall have access to the Kittyhawk OData service and read access to the PI Asset Framework (PI Web API) for the terminal tags.</w:t>
      </w:r>
    </w:p>
    <w:p w14:paraId="5D524466" w14:textId="760C6DF0" w:rsidR="00C63A98" w:rsidRPr="00EC3682" w:rsidRDefault="00873A53" w:rsidP="00957267">
      <w:pPr>
        <w:pStyle w:val="ListParagraph"/>
        <w:numPr>
          <w:ilvl w:val="0"/>
          <w:numId w:val="4"/>
        </w:numPr>
        <w:jc w:val="left"/>
        <w:rPr>
          <w:rFonts w:ascii="Calibri" w:hAnsi="Calibri" w:cs="Calibri"/>
        </w:rPr>
      </w:pPr>
      <w:r>
        <w:t>The MPR connection of the Cost API shall be available in every environment the pricing integration runs in.</w:t>
      </w:r>
    </w:p>
    <w:p w14:paraId="509F5C69" w14:textId="7DF8846B" w:rsidR="00F64688" w:rsidRPr="00947205" w:rsidRDefault="75BDE5DF" w:rsidP="00140DC0">
      <w:pPr>
        <w:pStyle w:val="Heading2"/>
        <w:pageBreakBefore/>
        <w:rPr>
          <w:rFonts w:ascii="Calibri" w:hAnsi="Calibri" w:cs="Calibri"/>
          <w:sz w:val="20"/>
        </w:rPr>
      </w:pPr>
      <w:bookmarkStart w:id="82" w:name="_Toc1542944210"/>
      <w:bookmarkStart w:id="83" w:name="_Toc1117118221"/>
      <w:bookmarkStart w:id="84" w:name="_Toc241574293"/>
      <w:bookmarkStart w:id="85" w:name="_Toc242553923"/>
      <w:bookmarkStart w:id="86" w:name="_Toc81570773"/>
      <w:bookmarkStart w:id="87" w:name="_Toc81570771"/>
      <w:r w:rsidRPr="00947205">
        <w:rPr>
          <w:rFonts w:ascii="Calibri" w:hAnsi="Calibri" w:cs="Calibri"/>
          <w:sz w:val="20"/>
        </w:rPr>
        <w:t>Solution Approach</w:t>
      </w:r>
      <w:bookmarkEnd w:id="82"/>
      <w:bookmarkEnd w:id="83"/>
      <w:bookmarkEnd w:id="84"/>
      <w:bookmarkEnd w:id="85"/>
    </w:p>
    <w:p w14:paraId="27456DDB" w14:textId="05335810" w:rsidR="00FC42E7" w:rsidRPr="00EC3682" w:rsidRDefault="00FC42E7" w:rsidP="00FC42E7">
      <w:pPr>
        <w:pStyle w:val="ListParagraph"/>
        <w:numPr>
          <w:ilvl w:val="0"/>
          <w:numId w:val="4"/>
        </w:numPr>
        <w:jc w:val="left"/>
        <w:rPr>
          <w:rFonts w:ascii="Calibri" w:hAnsi="Calibri" w:cs="Calibri"/>
        </w:rPr>
      </w:pPr>
      <w:r>
        <w:t xml:space="preserve">Section </w:t>
      </w:r>
      <w:r>
        <w:fldChar w:fldCharType="begin"/>
      </w:r>
      <w:r>
        <w:instrText xml:space="preserve"> REF _Ref917260909 \w \h \* MERGEFORMAT </w:instrText>
      </w:r>
      <w:r>
        <w:fldChar w:fldCharType="separate"/>
      </w:r>
      <w:r w:rsidRPr="00FC42E7">
        <w:rPr>
          <w:color w:val="0563C1"/>
          <w:u w:val="single"/>
        </w:rPr>
        <w:t>2.3.1</w:t>
      </w:r>
      <w:r>
        <w:fldChar w:fldCharType="end"/>
      </w:r>
      <w:r>
        <w:t xml:space="preserve"> describes the integration pattern that the VCB integrations follow.</w:t>
      </w:r>
    </w:p>
    <w:p w14:paraId="7709A603" w14:textId="71D99F8E" w:rsidR="00FC42E7" w:rsidRPr="00EC3682" w:rsidRDefault="00FC42E7" w:rsidP="00FC42E7">
      <w:pPr>
        <w:pStyle w:val="ListParagraph"/>
        <w:numPr>
          <w:ilvl w:val="0"/>
          <w:numId w:val="4"/>
        </w:numPr>
        <w:jc w:val="left"/>
        <w:rPr>
          <w:rFonts w:ascii="Calibri" w:hAnsi="Calibri" w:cs="Calibri"/>
        </w:rPr>
      </w:pPr>
      <w:r>
        <w:t xml:space="preserve">Section </w:t>
      </w:r>
      <w:r>
        <w:fldChar w:fldCharType="begin"/>
      </w:r>
      <w:r>
        <w:instrText xml:space="preserve"> REF _Ref917260910 \w \h \* MERGEFORMAT </w:instrText>
      </w:r>
      <w:r>
        <w:fldChar w:fldCharType="separate"/>
      </w:r>
      <w:r w:rsidRPr="00FC42E7">
        <w:rPr>
          <w:color w:val="0563C1"/>
          <w:u w:val="single"/>
        </w:rPr>
        <w:t>2.3.2</w:t>
      </w:r>
      <w:r>
        <w:fldChar w:fldCharType="end"/>
      </w:r>
      <w:r>
        <w:t xml:space="preserve"> describes the IQDM integrations that load the IQDM data read by the VCB dashboards.</w:t>
      </w:r>
    </w:p>
    <w:p w14:paraId="12848E5C" w14:textId="1599ED88" w:rsidR="00C63A98" w:rsidRDefault="00FC42E7" w:rsidP="00FC42E7">
      <w:pPr>
        <w:pStyle w:val="ListParagraph"/>
        <w:numPr>
          <w:ilvl w:val="0"/>
          <w:numId w:val="4"/>
        </w:numPr>
        <w:jc w:val="left"/>
      </w:pPr>
      <w:r>
        <w:t xml:space="preserve">Section </w:t>
      </w:r>
      <w:r>
        <w:fldChar w:fldCharType="begin"/>
      </w:r>
      <w:r>
        <w:instrText xml:space="preserve"> REF _Ref917260911 \w \h \* MERGEFORMAT </w:instrText>
      </w:r>
      <w:r>
        <w:fldChar w:fldCharType="separate"/>
      </w:r>
      <w:r w:rsidR="009C72A4" w:rsidRPr="009C72A4">
        <w:rPr>
          <w:color w:val="0563C1"/>
          <w:u w:val="single"/>
        </w:rPr>
        <w:t>2.3.3</w:t>
      </w:r>
      <w:r>
        <w:fldChar w:fldCharType="end"/>
      </w:r>
      <w:r>
        <w:t xml:space="preserve"> gives the design of the entities of Table </w:t>
      </w:r>
      <w:r>
        <w:fldChar w:fldCharType="begin"/>
      </w:r>
      <w:r>
        <w:instrText xml:space="preserve"> REF _Ref917260905 \h \* MERGEFORMAT </w:instrText>
      </w:r>
      <w:r>
        <w:fldChar w:fldCharType="separate"/>
      </w:r>
      <w:r w:rsidRPr="00FC42E7">
        <w:rPr>
          <w:noProof/>
          <w:color w:val="0563C1"/>
          <w:u w:val="single"/>
        </w:rPr>
        <w:t>2-2</w:t>
      </w:r>
      <w:r>
        <w:fldChar w:fldCharType="end"/>
      </w:r>
      <w:r>
        <w:t xml:space="preserve">, in the order of the table, the waiver selection of Table </w:t>
      </w:r>
      <w:r>
        <w:fldChar w:fldCharType="begin"/>
      </w:r>
      <w:r>
        <w:instrText xml:space="preserve"> REF _Ref917260906 \h \* MERGEFORMAT </w:instrText>
      </w:r>
      <w:r>
        <w:fldChar w:fldCharType="separate"/>
      </w:r>
      <w:r w:rsidRPr="00FC42E7">
        <w:rPr>
          <w:noProof/>
          <w:color w:val="0563C1"/>
          <w:u w:val="single"/>
        </w:rPr>
        <w:t>2-3</w:t>
      </w:r>
      <w:r>
        <w:fldChar w:fldCharType="end"/>
      </w:r>
      <w:r>
        <w:t xml:space="preserve"> with the Profisee data mapping, and the platform changes.</w:t>
      </w:r>
    </w:p>
    <w:p w14:paraId="41ECAD03" w14:textId="7924D547" w:rsidR="00FC42E7" w:rsidRPr="00EC3682" w:rsidRDefault="00FC42E7" w:rsidP="00FC42E7">
      <w:pPr>
        <w:pStyle w:val="ListParagraph"/>
        <w:numPr>
          <w:ilvl w:val="0"/>
          <w:numId w:val="4"/>
        </w:numPr>
        <w:jc w:val="left"/>
        <w:rPr>
          <w:rFonts w:ascii="Calibri" w:hAnsi="Calibri" w:cs="Calibri"/>
        </w:rPr>
      </w:pPr>
      <w:r>
        <w:t>The technical solution shall follow a service-oriented architecture (SOA), in which each function is offered as a service.</w:t>
      </w:r>
    </w:p>
    <w:p w14:paraId="2DC02CA0" w14:textId="0DFE3705" w:rsidR="00FC42E7" w:rsidRPr="00EC3682" w:rsidRDefault="00FC42E7" w:rsidP="00FC42E7">
      <w:pPr>
        <w:pStyle w:val="ListParagraph"/>
        <w:numPr>
          <w:ilvl w:val="0"/>
          <w:numId w:val="4"/>
        </w:numPr>
        <w:jc w:val="left"/>
        <w:rPr>
          <w:rFonts w:ascii="Calibri" w:hAnsi="Calibri" w:cs="Calibri"/>
        </w:rPr>
      </w:pPr>
      <w:r>
        <w:t>A few exceptions shall be allowed, because not every vendor system supports SOA; some systems can be reached only through COM (Component Object Model), an SDK (software development kit), APIs or an ETL (extract, transform, load) approach.</w:t>
      </w:r>
    </w:p>
    <w:p w14:paraId="22FBDC84" w14:textId="5563381D" w:rsidR="00FC42E7" w:rsidRPr="00EC3682" w:rsidRDefault="00FC42E7" w:rsidP="00FC42E7">
      <w:pPr>
        <w:pStyle w:val="ListParagraph"/>
        <w:numPr>
          <w:ilvl w:val="0"/>
          <w:numId w:val="4"/>
        </w:numPr>
        <w:jc w:val="left"/>
        <w:rPr>
          <w:rFonts w:ascii="Calibri" w:hAnsi="Calibri" w:cs="Calibri"/>
        </w:rPr>
      </w:pPr>
      <w:r>
        <w:t>For the systems that do not support SOA, a service wrapper shall be built, the vendor's APIs shall be used as they are, or an ETL approach shall be followed.</w:t>
      </w:r>
    </w:p>
    <w:p w14:paraId="74653635" w14:textId="143B7190" w:rsidR="00C63A98" w:rsidRDefault="00FC42E7" w:rsidP="00FC42E7">
      <w:pPr>
        <w:pStyle w:val="ListParagraph"/>
        <w:numPr>
          <w:ilvl w:val="0"/>
          <w:numId w:val="4"/>
        </w:numPr>
        <w:jc w:val="left"/>
      </w:pPr>
      <w:r>
        <w:t>The aim shall be to keep the Total Cost of Ownership (TCO) for IT as low as possible.</w:t>
      </w:r>
    </w:p>
    <w:p w14:paraId="65D88F5B" w14:textId="18B992E9" w:rsidR="00C63A98" w:rsidRDefault="00FC42E7" w:rsidP="00FC42E7">
      <w:pPr>
        <w:pStyle w:val="ListParagraph"/>
        <w:numPr>
          <w:ilvl w:val="0"/>
          <w:numId w:val="4"/>
        </w:numPr>
        <w:jc w:val="left"/>
      </w:pPr>
      <w:r>
        <w:t>The data services shall be designed to be loosely coupled and easy to extend, so that connecting a new vendor system shall need few changes and cost little.</w:t>
      </w:r>
    </w:p>
    <w:p w14:paraId="54E0856E" w14:textId="7357BC35" w:rsidR="00FC42E7" w:rsidRPr="00EC3682" w:rsidRDefault="00FC42E7" w:rsidP="00FC42E7">
      <w:pPr>
        <w:pStyle w:val="ListParagraph"/>
        <w:numPr>
          <w:ilvl w:val="0"/>
          <w:numId w:val="4"/>
        </w:numPr>
        <w:jc w:val="left"/>
        <w:rPr>
          <w:rFonts w:ascii="Calibri" w:hAnsi="Calibri" w:cs="Calibri"/>
        </w:rPr>
      </w:pPr>
      <w:r>
        <w:t>Wherever possible, the integration shall follow the business process.</w:t>
      </w:r>
    </w:p>
    <w:p w14:paraId="25F2517A" w14:textId="3468CA79" w:rsidR="00FC42E7" w:rsidRPr="00EC3682" w:rsidRDefault="00FC42E7" w:rsidP="00FC42E7">
      <w:pPr>
        <w:pStyle w:val="ListParagraph"/>
        <w:numPr>
          <w:ilvl w:val="0"/>
          <w:numId w:val="4"/>
        </w:numPr>
        <w:jc w:val="left"/>
        <w:rPr>
          <w:rFonts w:ascii="Calibri" w:hAnsi="Calibri" w:cs="Calibri"/>
        </w:rPr>
      </w:pPr>
      <w:r>
        <w:t>The integration shall use an event-driven or trigger-based approach.</w:t>
      </w:r>
    </w:p>
    <w:p w14:paraId="57AF88B5" w14:textId="4698DDFB" w:rsidR="00C63A98" w:rsidRDefault="00FC42E7" w:rsidP="00FC42E7">
      <w:pPr>
        <w:pStyle w:val="ListParagraph"/>
        <w:numPr>
          <w:ilvl w:val="0"/>
          <w:numId w:val="4"/>
        </w:numPr>
        <w:jc w:val="left"/>
      </w:pPr>
      <w:r>
        <w:t>The integration pattern shall be either publish/subscribe (PUB/SUB) or request/response (REQ/RESP).</w:t>
      </w:r>
    </w:p>
    <w:p w14:paraId="303157F0" w14:textId="7F6CFC21" w:rsidR="00C63A98" w:rsidRDefault="00873A53" w:rsidP="00FC42E7">
      <w:pPr>
        <w:keepNext/>
        <w:jc w:val="left"/>
      </w:pPr>
      <w:r>
        <w:t>The process integration flow shall be as follows:</w:t>
      </w:r>
    </w:p>
    <w:p w14:paraId="3D1942EE" w14:textId="70F2D80D" w:rsidR="00C63A98" w:rsidRPr="00C63A98" w:rsidRDefault="00B63412" w:rsidP="00652CF3">
      <w:pPr>
        <w:pStyle w:val="ListParagraph"/>
        <w:numPr>
          <w:ilvl w:val="0"/>
          <w:numId w:val="22"/>
        </w:numPr>
        <w:jc w:val="left"/>
        <w:rPr>
          <w:sz w:val="20"/>
        </w:rPr>
      </w:pPr>
      <w:r>
        <w:t>Data extraction: the VCB integrations shall read the four new sources, PIAF, the Kittyhawk transaction upload, MPR and the Terminals Specsheet Master Data in Profisee.</w:t>
      </w:r>
      <w:r w:rsidR="00AA30D8">
        <w:t xml:space="preserve"> All other data shall come from the IQDM database, where the IQDM integrations load it.</w:t>
      </w:r>
    </w:p>
    <w:p w14:paraId="1B3D57F1" w14:textId="3B58588D" w:rsidR="00C63A98" w:rsidRPr="00C63A98" w:rsidRDefault="00AA30D8" w:rsidP="00652CF3">
      <w:pPr>
        <w:pStyle w:val="ListParagraph"/>
        <w:numPr>
          <w:ilvl w:val="0"/>
          <w:numId w:val="22"/>
        </w:numPr>
        <w:jc w:val="left"/>
        <w:rPr>
          <w:sz w:val="20"/>
        </w:rPr>
      </w:pPr>
      <w:r>
        <w:t>Data processing: the data that was read shall be checked, put into a standard form and given the standard Profisee codes.</w:t>
      </w:r>
    </w:p>
    <w:p w14:paraId="13A40149" w14:textId="5C7C8BCC" w:rsidR="00C63A98" w:rsidRPr="00C63A98" w:rsidRDefault="00AA30D8" w:rsidP="00652CF3">
      <w:pPr>
        <w:pStyle w:val="ListParagraph"/>
        <w:numPr>
          <w:ilvl w:val="0"/>
          <w:numId w:val="22"/>
        </w:numPr>
        <w:jc w:val="left"/>
        <w:rPr>
          <w:sz w:val="20"/>
        </w:rPr>
      </w:pPr>
      <w:r>
        <w:t xml:space="preserve">Data delivery: </w:t>
      </w:r>
      <w:r w:rsidR="00610DB7">
        <w:t>the PIAF and Kittyhawk integrations shall save</w:t>
      </w:r>
      <w:r>
        <w:t xml:space="preserve"> their data into the VCB tables of the IQDM database, which the dashboards read. </w:t>
      </w:r>
      <w:r w:rsidR="00CE45AF">
        <w:t>The pricing integration shall return the prices to the dashboard that called it.</w:t>
      </w:r>
    </w:p>
    <w:p w14:paraId="7F6ADD8D" w14:textId="0E23CBEF" w:rsidR="00C63A98" w:rsidRPr="00C63A98" w:rsidRDefault="00AA30D8" w:rsidP="00652CF3">
      <w:pPr>
        <w:pStyle w:val="ListParagraph"/>
        <w:numPr>
          <w:ilvl w:val="0"/>
          <w:numId w:val="22"/>
        </w:numPr>
        <w:jc w:val="left"/>
        <w:rPr>
          <w:sz w:val="20"/>
        </w:rPr>
      </w:pPr>
      <w:r>
        <w:t xml:space="preserve">Exception handling: failures while reading or publishing data shall be handled in one central place. </w:t>
      </w:r>
      <w:r w:rsidR="00CE45AF">
        <w:t xml:space="preserve">For the errors listed in section </w:t>
      </w:r>
      <w:r w:rsidR="00FC42E7">
        <w:fldChar w:fldCharType="begin"/>
      </w:r>
      <w:r w:rsidR="00FC42E7">
        <w:instrText xml:space="preserve"> REF _Ref917260912 \w \h \* MERGEFORMAT </w:instrText>
      </w:r>
      <w:r w:rsidR="00FC42E7">
        <w:fldChar w:fldCharType="separate"/>
      </w:r>
      <w:r w:rsidR="00FC42E7" w:rsidRPr="00FC42E7">
        <w:rPr>
          <w:color w:val="0563C1"/>
          <w:u w:val="single"/>
        </w:rPr>
        <w:t>2.4</w:t>
      </w:r>
      <w:r w:rsidR="00FC42E7">
        <w:fldChar w:fldCharType="end"/>
      </w:r>
      <w:r w:rsidR="00CE45AF">
        <w:t>,</w:t>
      </w:r>
      <w:r>
        <w:t xml:space="preserve"> the operations and support teams shall get an automatic notification, so they can watch the run status and investigate.</w:t>
      </w:r>
    </w:p>
    <w:p w14:paraId="4592CE3E" w14:textId="4C401059" w:rsidR="00C63A98" w:rsidRDefault="00AA30D8" w:rsidP="00FC42E7">
      <w:pPr>
        <w:keepNext/>
        <w:jc w:val="left"/>
      </w:pPr>
      <w:r>
        <w:t>All the services built for this solution shall be designed to meet the principles below.</w:t>
      </w:r>
    </w:p>
    <w:p w14:paraId="3D63253D" w14:textId="77777777" w:rsidR="00313050" w:rsidRDefault="00313050" w:rsidP="00313050">
      <w:pPr>
        <w:keepNext/>
        <w:jc w:val="left"/>
      </w:pPr>
      <w:r w:rsidRPr="00313050">
        <w:rPr>
          <w:b/>
        </w:rPr>
        <w:t>Loose coupling</w:t>
      </w:r>
    </w:p>
    <w:p w14:paraId="75D77F36" w14:textId="5298723B" w:rsidR="00FC42E7" w:rsidRDefault="00313050" w:rsidP="00313050">
      <w:pPr>
        <w:keepNext/>
        <w:jc w:val="left"/>
      </w:pPr>
      <w:r>
        <w:t>T</w:t>
      </w:r>
      <w:r w:rsidR="00FC42E7">
        <w:t>he components of a system shall depend on each other as little as possible.</w:t>
      </w:r>
    </w:p>
    <w:p w14:paraId="18088C39" w14:textId="3BBAE71E" w:rsidR="00FC42E7" w:rsidRPr="00EC3682" w:rsidRDefault="00FC42E7" w:rsidP="00FC42E7">
      <w:pPr>
        <w:pStyle w:val="ListParagraph"/>
        <w:numPr>
          <w:ilvl w:val="0"/>
          <w:numId w:val="4"/>
        </w:numPr>
        <w:jc w:val="left"/>
        <w:rPr>
          <w:rFonts w:ascii="Calibri" w:hAnsi="Calibri" w:cs="Calibri"/>
        </w:rPr>
      </w:pPr>
      <w:r>
        <w:t>The PIAF and Kittyhawk integrations shall reach their source systems only through the Response Service, and the IQDM database only through the stored procedure.</w:t>
      </w:r>
    </w:p>
    <w:p w14:paraId="3CCDF27B" w14:textId="72CA21FE" w:rsidR="00FC42E7" w:rsidRPr="00EC3682" w:rsidRDefault="00FC42E7" w:rsidP="00FC42E7">
      <w:pPr>
        <w:pStyle w:val="ListParagraph"/>
        <w:numPr>
          <w:ilvl w:val="0"/>
          <w:numId w:val="4"/>
        </w:numPr>
        <w:jc w:val="left"/>
        <w:rPr>
          <w:rFonts w:ascii="Calibri" w:hAnsi="Calibri" w:cs="Calibri"/>
        </w:rPr>
      </w:pPr>
      <w:r>
        <w:t>On the Service Bus path, the request side and the response side shall exchange messages only through queues.</w:t>
      </w:r>
    </w:p>
    <w:p w14:paraId="64C02886" w14:textId="0B7BAEBA" w:rsidR="00C63A98" w:rsidRDefault="00FC42E7" w:rsidP="00FC42E7">
      <w:pPr>
        <w:pStyle w:val="ListParagraph"/>
        <w:numPr>
          <w:ilvl w:val="0"/>
          <w:numId w:val="4"/>
        </w:numPr>
        <w:jc w:val="left"/>
      </w:pPr>
      <w:r>
        <w:t>Pricing shall reach MPR only through the platform price service.</w:t>
      </w:r>
    </w:p>
    <w:p w14:paraId="5498FD30" w14:textId="77777777" w:rsidR="00313050" w:rsidRDefault="00313050" w:rsidP="00313050">
      <w:pPr>
        <w:keepNext/>
        <w:jc w:val="left"/>
      </w:pPr>
      <w:r w:rsidRPr="00313050">
        <w:rPr>
          <w:b/>
        </w:rPr>
        <w:t>Abstraction</w:t>
      </w:r>
    </w:p>
    <w:p w14:paraId="44344886" w14:textId="15C8D4D0" w:rsidR="00FC42E7" w:rsidRDefault="00313050" w:rsidP="00313050">
      <w:pPr>
        <w:keepNext/>
        <w:jc w:val="left"/>
      </w:pPr>
      <w:r>
        <w:t>A</w:t>
      </w:r>
      <w:r w:rsidR="00FC42E7">
        <w:t xml:space="preserve"> service shall hide as much of its inner detail as possible.</w:t>
      </w:r>
    </w:p>
    <w:p w14:paraId="6347C64B" w14:textId="09384B3E" w:rsidR="00C63A98" w:rsidRDefault="00FC42E7" w:rsidP="00FC42E7">
      <w:pPr>
        <w:pStyle w:val="ListParagraph"/>
        <w:numPr>
          <w:ilvl w:val="0"/>
          <w:numId w:val="4"/>
        </w:numPr>
        <w:jc w:val="left"/>
      </w:pPr>
      <w:r>
        <w:t>The Response Service and the Request Service shall translate the source codes through the Profisee cross-references, so the systems that use the data work with standard codes.</w:t>
      </w:r>
    </w:p>
    <w:p w14:paraId="2E160B30" w14:textId="77777777" w:rsidR="00313050" w:rsidRDefault="00313050" w:rsidP="00313050">
      <w:pPr>
        <w:keepNext/>
        <w:jc w:val="left"/>
      </w:pPr>
      <w:r w:rsidRPr="00313050">
        <w:rPr>
          <w:b/>
        </w:rPr>
        <w:t>Reusability</w:t>
      </w:r>
    </w:p>
    <w:p w14:paraId="36C4175E" w14:textId="5937005E" w:rsidR="00FC42E7" w:rsidRDefault="00313050" w:rsidP="00313050">
      <w:pPr>
        <w:keepNext/>
        <w:jc w:val="left"/>
      </w:pPr>
      <w:r>
        <w:t>S</w:t>
      </w:r>
      <w:r w:rsidR="00FC42E7">
        <w:t>ervices and code shall be built so that they can be used again across the business.</w:t>
      </w:r>
    </w:p>
    <w:p w14:paraId="52DDEF8E" w14:textId="42A6C510" w:rsidR="00FC42E7" w:rsidRPr="00EC3682" w:rsidRDefault="00FC42E7" w:rsidP="00FC42E7">
      <w:pPr>
        <w:pStyle w:val="ListParagraph"/>
        <w:numPr>
          <w:ilvl w:val="0"/>
          <w:numId w:val="4"/>
        </w:numPr>
        <w:jc w:val="left"/>
        <w:rPr>
          <w:rFonts w:ascii="Calibri" w:hAnsi="Calibri" w:cs="Calibri"/>
        </w:rPr>
      </w:pPr>
      <w:r>
        <w:t>The PIAF and Kittyhawk integrations shall reuse the platform services: the request and response services, the durable functions and session queues, the PI proxy function, the Kittyhawk OData client and the save into the IQDM database.</w:t>
      </w:r>
    </w:p>
    <w:p w14:paraId="21743377" w14:textId="199FD56D" w:rsidR="00FC42E7" w:rsidRPr="00EC3682" w:rsidRDefault="00FC42E7" w:rsidP="00FC42E7">
      <w:pPr>
        <w:pStyle w:val="ListParagraph"/>
        <w:numPr>
          <w:ilvl w:val="0"/>
          <w:numId w:val="4"/>
        </w:numPr>
        <w:jc w:val="left"/>
        <w:rPr>
          <w:rFonts w:ascii="Calibri" w:hAnsi="Calibri" w:cs="Calibri"/>
        </w:rPr>
      </w:pPr>
      <w:r>
        <w:t>All VCB integrations shall reuse the Semantic Service.</w:t>
      </w:r>
    </w:p>
    <w:p w14:paraId="35897965" w14:textId="50B960A9" w:rsidR="00C63A98" w:rsidRDefault="00FC42E7" w:rsidP="00FC42E7">
      <w:pPr>
        <w:pStyle w:val="ListParagraph"/>
        <w:numPr>
          <w:ilvl w:val="0"/>
          <w:numId w:val="4"/>
        </w:numPr>
        <w:jc w:val="left"/>
      </w:pPr>
      <w:r>
        <w:t>Pricing shall use the request and response pattern of the PIAF and Kittyhawk integrations in the Cost API, with its own durable functions and queues, and shall read MPR through the price service.</w:t>
      </w:r>
    </w:p>
    <w:p w14:paraId="7D87B8B1" w14:textId="77777777" w:rsidR="00313050" w:rsidRDefault="00313050" w:rsidP="00313050">
      <w:pPr>
        <w:keepNext/>
        <w:jc w:val="left"/>
      </w:pPr>
      <w:r w:rsidRPr="00313050">
        <w:rPr>
          <w:b/>
        </w:rPr>
        <w:t>Scalability</w:t>
      </w:r>
    </w:p>
    <w:p w14:paraId="3A7CD639" w14:textId="059D45B4" w:rsidR="00FC42E7" w:rsidRPr="00FC42E7" w:rsidRDefault="00313050" w:rsidP="00313050">
      <w:pPr>
        <w:keepNext/>
        <w:jc w:val="left"/>
      </w:pPr>
      <w:r>
        <w:t>T</w:t>
      </w:r>
      <w:r w:rsidR="00FC42E7">
        <w:t>he system shall grow with the business and handle more transactions, users and network traffic without slowing down the services it already offers.</w:t>
      </w:r>
    </w:p>
    <w:p w14:paraId="414CBBFA" w14:textId="3D15EBD7" w:rsidR="00C63A98" w:rsidRPr="00EC3682" w:rsidRDefault="00313050" w:rsidP="00957267">
      <w:pPr>
        <w:pStyle w:val="ListParagraph"/>
        <w:numPr>
          <w:ilvl w:val="0"/>
          <w:numId w:val="4"/>
        </w:numPr>
        <w:jc w:val="left"/>
        <w:rPr>
          <w:rFonts w:ascii="Calibri" w:hAnsi="Calibri" w:cs="Calibri"/>
        </w:rPr>
      </w:pPr>
      <w:commentRangeStart w:id="88"/>
      <w:r>
        <w:t>The system shall scale out (horizontally) by adding more machines, or scale up (vertically) by adding CPU or memory to one machine.</w:t>
      </w:r>
      <w:commentRangeEnd w:id="88"/>
      <w:r w:rsidR="00393110" w:rsidRPr="00EC3682">
        <w:rPr>
          <w:rStyle w:val="CommentReference"/>
          <w:rFonts w:ascii="Calibri" w:hAnsi="Calibri" w:cs="Calibri"/>
          <w:sz w:val="22"/>
          <w:szCs w:val="22"/>
        </w:rPr>
        <w:commentReference w:id="88"/>
      </w:r>
    </w:p>
    <w:p w14:paraId="2C9E37C6" w14:textId="25B0DF76" w:rsidR="00FC42E7" w:rsidRPr="00EC3682" w:rsidRDefault="00FC42E7" w:rsidP="00FC42E7">
      <w:pPr>
        <w:pStyle w:val="ListParagraph"/>
        <w:numPr>
          <w:ilvl w:val="0"/>
          <w:numId w:val="4"/>
        </w:numPr>
        <w:jc w:val="left"/>
        <w:rPr>
          <w:rFonts w:ascii="Calibri" w:hAnsi="Calibri" w:cs="Calibri"/>
        </w:rPr>
      </w:pPr>
      <w:r>
        <w:t>The Service Bus sessions and the durable functions shall let many requests run at the same time, with one session per request.</w:t>
      </w:r>
    </w:p>
    <w:p w14:paraId="4B77B252" w14:textId="07793864" w:rsidR="00C63A98" w:rsidRDefault="00FC42E7" w:rsidP="00FC42E7">
      <w:pPr>
        <w:pStyle w:val="ListParagraph"/>
        <w:numPr>
          <w:ilvl w:val="0"/>
          <w:numId w:val="4"/>
        </w:numPr>
        <w:jc w:val="left"/>
      </w:pPr>
      <w:r>
        <w:t>The PI proxy function shall read the tags in batches.</w:t>
      </w:r>
    </w:p>
    <w:p w14:paraId="37FB6279" w14:textId="77777777" w:rsidR="00313050" w:rsidRDefault="00313050" w:rsidP="00313050">
      <w:pPr>
        <w:keepNext/>
        <w:jc w:val="left"/>
      </w:pPr>
      <w:r w:rsidRPr="00313050">
        <w:rPr>
          <w:b/>
        </w:rPr>
        <w:t>Autonomy</w:t>
      </w:r>
    </w:p>
    <w:p w14:paraId="68FDCC35" w14:textId="672CAD25" w:rsidR="00FC42E7" w:rsidRDefault="00313050" w:rsidP="00313050">
      <w:pPr>
        <w:keepNext/>
        <w:jc w:val="left"/>
      </w:pPr>
      <w:r>
        <w:t>A</w:t>
      </w:r>
      <w:r w:rsidR="00FC42E7">
        <w:t xml:space="preserve"> service shall do its work on its own, consistently and reliably.</w:t>
      </w:r>
    </w:p>
    <w:p w14:paraId="5F7C9D56" w14:textId="614364C8" w:rsidR="00FC42E7" w:rsidRPr="00EC3682" w:rsidRDefault="00FC42E7" w:rsidP="00FC42E7">
      <w:pPr>
        <w:pStyle w:val="ListParagraph"/>
        <w:numPr>
          <w:ilvl w:val="0"/>
          <w:numId w:val="4"/>
        </w:numPr>
        <w:jc w:val="left"/>
        <w:rPr>
          <w:rFonts w:ascii="Calibri" w:hAnsi="Calibri" w:cs="Calibri"/>
        </w:rPr>
      </w:pPr>
      <w:r>
        <w:t>Each timer-triggered integration shall have its own trigger and its own run configuration.</w:t>
      </w:r>
    </w:p>
    <w:p w14:paraId="12CDC2D3" w14:textId="31F479C0" w:rsidR="00FC42E7" w:rsidRPr="00EC3682" w:rsidRDefault="00313050" w:rsidP="00FC42E7">
      <w:pPr>
        <w:pStyle w:val="ListParagraph"/>
        <w:numPr>
          <w:ilvl w:val="0"/>
          <w:numId w:val="4"/>
        </w:numPr>
        <w:jc w:val="left"/>
        <w:rPr>
          <w:rFonts w:ascii="Calibri" w:hAnsi="Calibri" w:cs="Calibri"/>
        </w:rPr>
      </w:pPr>
      <w:r>
        <w:t>Pricing shall run in the Cost API, apart from the PIAF and Kittyhawk integrations.</w:t>
      </w:r>
    </w:p>
    <w:p w14:paraId="0BB655A5" w14:textId="5F015BA3" w:rsidR="00C63A98" w:rsidRDefault="00FC42E7" w:rsidP="00FC42E7">
      <w:pPr>
        <w:pStyle w:val="ListParagraph"/>
        <w:numPr>
          <w:ilvl w:val="0"/>
          <w:numId w:val="4"/>
        </w:numPr>
        <w:jc w:val="left"/>
      </w:pPr>
      <w:r>
        <w:t>A failure in one integration shall not stop the others.</w:t>
      </w:r>
    </w:p>
    <w:p w14:paraId="1FA28BBF" w14:textId="77777777" w:rsidR="00313050" w:rsidRDefault="00313050" w:rsidP="00313050">
      <w:pPr>
        <w:keepNext/>
        <w:jc w:val="left"/>
      </w:pPr>
      <w:r w:rsidRPr="00313050">
        <w:rPr>
          <w:b/>
        </w:rPr>
        <w:t>Reliability</w:t>
      </w:r>
    </w:p>
    <w:p w14:paraId="768B024B" w14:textId="0FF4064E" w:rsidR="00FC42E7" w:rsidRDefault="00313050" w:rsidP="00313050">
      <w:pPr>
        <w:keepNext/>
        <w:jc w:val="left"/>
      </w:pPr>
      <w:r>
        <w:t>M</w:t>
      </w:r>
      <w:r w:rsidR="00FC42E7">
        <w:t>essages shall be delivered even when they travel over a connection that cannot guarantee delivery.</w:t>
      </w:r>
    </w:p>
    <w:p w14:paraId="4C4B5452" w14:textId="610021DF" w:rsidR="00FC42E7" w:rsidRPr="00EC3682" w:rsidRDefault="00FC42E7" w:rsidP="00FC42E7">
      <w:pPr>
        <w:pStyle w:val="ListParagraph"/>
        <w:numPr>
          <w:ilvl w:val="0"/>
          <w:numId w:val="4"/>
        </w:numPr>
        <w:jc w:val="left"/>
        <w:rPr>
          <w:rFonts w:ascii="Calibri" w:hAnsi="Calibri" w:cs="Calibri"/>
        </w:rPr>
      </w:pPr>
      <w:r>
        <w:t>On the Service Bus path, a request shall travel as a session message.</w:t>
      </w:r>
    </w:p>
    <w:p w14:paraId="5800D9AD" w14:textId="7A116ABA" w:rsidR="00C63A98" w:rsidRDefault="00FC42E7" w:rsidP="00FC42E7">
      <w:pPr>
        <w:pStyle w:val="ListParagraph"/>
        <w:numPr>
          <w:ilvl w:val="0"/>
          <w:numId w:val="4"/>
        </w:numPr>
        <w:jc w:val="left"/>
      </w:pPr>
      <w:r>
        <w:t xml:space="preserve">Failed steps shall be retried as set out in section </w:t>
      </w:r>
      <w:r>
        <w:fldChar w:fldCharType="begin"/>
      </w:r>
      <w:r>
        <w:instrText xml:space="preserve"> REF _Ref917260908 \w \h \* MERGEFORMAT </w:instrText>
      </w:r>
      <w:r>
        <w:fldChar w:fldCharType="separate"/>
      </w:r>
      <w:r w:rsidRPr="00FC42E7">
        <w:rPr>
          <w:color w:val="0563C1"/>
          <w:u w:val="single"/>
        </w:rPr>
        <w:t>2.5</w:t>
      </w:r>
      <w:r>
        <w:fldChar w:fldCharType="end"/>
      </w:r>
      <w:r>
        <w:t>.</w:t>
      </w:r>
    </w:p>
    <w:p w14:paraId="3599239D" w14:textId="77777777" w:rsidR="00313050" w:rsidRDefault="00313050" w:rsidP="00313050">
      <w:pPr>
        <w:keepNext/>
        <w:jc w:val="left"/>
      </w:pPr>
      <w:commentRangeStart w:id="89"/>
      <w:r w:rsidRPr="00313050">
        <w:rPr>
          <w:b/>
        </w:rPr>
        <w:t>Guaranteed delivery</w:t>
      </w:r>
    </w:p>
    <w:p w14:paraId="49E07C0A" w14:textId="495AA5D8" w:rsidR="00FC42E7" w:rsidRDefault="00313050" w:rsidP="00313050">
      <w:pPr>
        <w:keepNext/>
        <w:jc w:val="left"/>
      </w:pPr>
      <w:r>
        <w:t>T</w:t>
      </w:r>
      <w:r w:rsidR="00FC42E7">
        <w:t>he receiver shall get the message even if the messaging system fails while handling it.</w:t>
      </w:r>
    </w:p>
    <w:p w14:paraId="2360D681" w14:textId="2A28B8C8" w:rsidR="00FC42E7" w:rsidRPr="00EC3682" w:rsidRDefault="00FC42E7" w:rsidP="00FC42E7">
      <w:pPr>
        <w:pStyle w:val="ListParagraph"/>
        <w:numPr>
          <w:ilvl w:val="0"/>
          <w:numId w:val="4"/>
        </w:numPr>
        <w:jc w:val="left"/>
        <w:rPr>
          <w:rFonts w:ascii="Calibri" w:hAnsi="Calibri" w:cs="Calibri"/>
        </w:rPr>
      </w:pPr>
      <w:r>
        <w:t>A copy of each request message shall be kept until the response has been sent.</w:t>
      </w:r>
    </w:p>
    <w:p w14:paraId="6F951AD3" w14:textId="44F88F56" w:rsidR="00C63A98" w:rsidRDefault="00FC42E7" w:rsidP="00FC42E7">
      <w:pPr>
        <w:pStyle w:val="ListParagraph"/>
        <w:numPr>
          <w:ilvl w:val="0"/>
          <w:numId w:val="4"/>
        </w:numPr>
        <w:jc w:val="left"/>
      </w:pPr>
      <w:r>
        <w:t>A message that cannot be handed over shall go to the dead-letter queue.</w:t>
      </w:r>
      <w:commentRangeEnd w:id="89"/>
      <w:r w:rsidR="0065713D">
        <w:rPr>
          <w:rStyle w:val="CommentReference"/>
          <w:sz w:val="22"/>
          <w:szCs w:val="22"/>
        </w:rPr>
        <w:commentReference w:id="89"/>
      </w:r>
    </w:p>
    <w:p w14:paraId="09D10680" w14:textId="77777777" w:rsidR="00313050" w:rsidRDefault="00313050" w:rsidP="00313050">
      <w:pPr>
        <w:keepNext/>
        <w:jc w:val="left"/>
      </w:pPr>
      <w:r w:rsidRPr="00313050">
        <w:rPr>
          <w:b/>
        </w:rPr>
        <w:t>Security</w:t>
      </w:r>
    </w:p>
    <w:p w14:paraId="68358963" w14:textId="68330EF0" w:rsidR="00FC42E7" w:rsidRDefault="00313050" w:rsidP="00313050">
      <w:pPr>
        <w:keepNext/>
        <w:jc w:val="left"/>
      </w:pPr>
      <w:r>
        <w:t>Every system shall follow security policies that keep its data confidential and correct, keep the system and its data available, make every transaction traceable and make the system perform as designed.</w:t>
      </w:r>
    </w:p>
    <w:p w14:paraId="02BA47BF" w14:textId="4F1DC4EC" w:rsidR="00FC42E7" w:rsidRPr="00EC3682" w:rsidRDefault="00313050" w:rsidP="00FC42E7">
      <w:pPr>
        <w:pStyle w:val="ListParagraph"/>
        <w:numPr>
          <w:ilvl w:val="0"/>
          <w:numId w:val="4"/>
        </w:numPr>
        <w:jc w:val="left"/>
        <w:rPr>
          <w:rFonts w:ascii="Calibri" w:hAnsi="Calibri" w:cs="Calibri"/>
        </w:rPr>
      </w:pPr>
      <w:r>
        <w:t>The security controls shall cover system access, data access, system and security administration, and system design.</w:t>
      </w:r>
    </w:p>
    <w:p w14:paraId="03F6D050" w14:textId="1CD5747F" w:rsidR="00C63A98" w:rsidRDefault="00FC42E7" w:rsidP="00FC42E7">
      <w:pPr>
        <w:pStyle w:val="ListParagraph"/>
        <w:numPr>
          <w:ilvl w:val="0"/>
          <w:numId w:val="4"/>
        </w:numPr>
        <w:jc w:val="left"/>
      </w:pPr>
      <w:r>
        <w:t>The controls shall include encryption, roles and profiles (who may do what) and the set-up of security hardware.</w:t>
      </w:r>
    </w:p>
    <w:p w14:paraId="5C203163" w14:textId="3815231B" w:rsidR="00FC42E7" w:rsidRPr="00EC3682" w:rsidRDefault="00FC42E7" w:rsidP="00FC42E7">
      <w:pPr>
        <w:pStyle w:val="ListParagraph"/>
        <w:numPr>
          <w:ilvl w:val="0"/>
          <w:numId w:val="4"/>
        </w:numPr>
        <w:jc w:val="left"/>
        <w:rPr>
          <w:rFonts w:ascii="Calibri" w:hAnsi="Calibri" w:cs="Calibri"/>
        </w:rPr>
      </w:pPr>
      <w:r>
        <w:t>Each call to a web API shall carry an Entra ID bearer token for the configured scope.</w:t>
      </w:r>
    </w:p>
    <w:p w14:paraId="2FA5A149" w14:textId="46B2737D" w:rsidR="00FC42E7" w:rsidRPr="00EC3682" w:rsidRDefault="00FC42E7" w:rsidP="00FC42E7">
      <w:pPr>
        <w:pStyle w:val="ListParagraph"/>
        <w:numPr>
          <w:ilvl w:val="0"/>
          <w:numId w:val="4"/>
        </w:numPr>
        <w:jc w:val="left"/>
        <w:rPr>
          <w:rFonts w:ascii="Calibri" w:hAnsi="Calibri" w:cs="Calibri"/>
        </w:rPr>
      </w:pPr>
      <w:r>
        <w:t>The token shall prove that the caller is allowed to make the call.</w:t>
      </w:r>
    </w:p>
    <w:p w14:paraId="2056A4A4" w14:textId="31ED979D" w:rsidR="00C63A98" w:rsidRDefault="00FC42E7" w:rsidP="00FC42E7">
      <w:pPr>
        <w:pStyle w:val="ListParagraph"/>
        <w:numPr>
          <w:ilvl w:val="0"/>
          <w:numId w:val="4"/>
        </w:numPr>
        <w:jc w:val="left"/>
      </w:pPr>
      <w:r>
        <w:t>Kittyhawk shall be read with the service account.</w:t>
      </w:r>
    </w:p>
    <w:p w14:paraId="12CF1683" w14:textId="14128AF9" w:rsidR="00DB434F" w:rsidRPr="00AA30D8" w:rsidRDefault="00DB434F" w:rsidP="00F10FD7">
      <w:pPr>
        <w:pStyle w:val="Heading3"/>
        <w:rPr>
          <w:rFonts w:ascii="Calibri" w:hAnsi="Calibri" w:cs="Calibri"/>
          <w:b/>
          <w:sz w:val="20"/>
        </w:rPr>
      </w:pPr>
      <w:bookmarkStart w:id="90" w:name="_Toc241574295"/>
      <w:bookmarkStart w:id="91" w:name="_Ref917260909"/>
      <w:bookmarkStart w:id="92" w:name="_Toc242553924"/>
      <w:bookmarkStart w:id="93" w:name="VCBPART"/>
      <w:bookmarkStart w:id="94" w:name="_Toc1239594078"/>
      <w:bookmarkStart w:id="95" w:name="_Toc451522338"/>
      <w:bookmarkStart w:id="96" w:name="_Toc1084786903"/>
      <w:r w:rsidRPr="00AA30D8">
        <w:rPr>
          <w:rFonts w:ascii="Calibri" w:hAnsi="Calibri" w:cs="Calibri"/>
          <w:b/>
          <w:sz w:val="20"/>
        </w:rPr>
        <w:t xml:space="preserve">VCB </w:t>
      </w:r>
      <w:r w:rsidR="00AA30D8">
        <w:rPr>
          <w:rFonts w:ascii="Calibri" w:hAnsi="Calibri" w:cs="Calibri"/>
          <w:b/>
          <w:sz w:val="20"/>
        </w:rPr>
        <w:t>Integrations</w:t>
      </w:r>
      <w:r w:rsidRPr="00AA30D8">
        <w:rPr>
          <w:rFonts w:ascii="Calibri" w:hAnsi="Calibri" w:cs="Calibri"/>
          <w:b/>
          <w:sz w:val="20"/>
        </w:rPr>
        <w:t xml:space="preserve"> - Common Integration Pattern</w:t>
      </w:r>
      <w:bookmarkEnd w:id="90"/>
      <w:bookmarkEnd w:id="91"/>
      <w:bookmarkEnd w:id="92"/>
    </w:p>
    <w:p w14:paraId="1B0D4F24" w14:textId="224FD528" w:rsidR="00FC42E7" w:rsidRPr="00EC3682" w:rsidRDefault="00FC42E7" w:rsidP="00FC42E7">
      <w:pPr>
        <w:pStyle w:val="ListParagraph"/>
        <w:numPr>
          <w:ilvl w:val="0"/>
          <w:numId w:val="4"/>
        </w:numPr>
        <w:jc w:val="left"/>
        <w:rPr>
          <w:rFonts w:ascii="Calibri" w:hAnsi="Calibri" w:cs="Calibri"/>
        </w:rPr>
      </w:pPr>
      <w:r>
        <w:t>The VCB integrations shall follow the pattern the IQDM integrations already use in the Commercial Integration Platform (CIP).</w:t>
      </w:r>
    </w:p>
    <w:p w14:paraId="058EAA3E" w14:textId="52ED6ED1" w:rsidR="00FC42E7" w:rsidRPr="00EC3682" w:rsidRDefault="00FC42E7" w:rsidP="00FC42E7">
      <w:pPr>
        <w:pStyle w:val="ListParagraph"/>
        <w:numPr>
          <w:ilvl w:val="0"/>
          <w:numId w:val="4"/>
        </w:numPr>
        <w:jc w:val="left"/>
        <w:rPr>
          <w:rFonts w:ascii="Calibri" w:hAnsi="Calibri" w:cs="Calibri"/>
        </w:rPr>
      </w:pPr>
      <w:r>
        <w:t xml:space="preserve">Pricing shall follow the pattern without the trigger, the change to IQDM codes, the unit conversion, the duplicate check and the save (section </w:t>
      </w:r>
      <w:r>
        <w:fldChar w:fldCharType="begin"/>
      </w:r>
      <w:r>
        <w:instrText xml:space="preserve"> REF _Ref917260913 \w \h \* MERGEFORMAT </w:instrText>
      </w:r>
      <w:r>
        <w:fldChar w:fldCharType="separate"/>
      </w:r>
      <w:r w:rsidRPr="00FC42E7">
        <w:rPr>
          <w:color w:val="0563C1"/>
          <w:u w:val="single"/>
        </w:rPr>
        <w:t>2.3.3.3</w:t>
      </w:r>
      <w:r>
        <w:fldChar w:fldCharType="end"/>
      </w:r>
      <w:r>
        <w:t>).</w:t>
      </w:r>
    </w:p>
    <w:p w14:paraId="34CB1952" w14:textId="2363A6DD" w:rsidR="00C63A98" w:rsidRDefault="00FC42E7" w:rsidP="00FC42E7">
      <w:pPr>
        <w:pStyle w:val="ListParagraph"/>
        <w:numPr>
          <w:ilvl w:val="0"/>
          <w:numId w:val="4"/>
        </w:numPr>
        <w:jc w:val="left"/>
      </w:pPr>
      <w:r>
        <w:t xml:space="preserve">Section </w:t>
      </w:r>
      <w:r>
        <w:fldChar w:fldCharType="begin"/>
      </w:r>
      <w:r>
        <w:instrText xml:space="preserve"> REF _Ref917260909 \w \h \* MERGEFORMAT </w:instrText>
      </w:r>
      <w:r>
        <w:fldChar w:fldCharType="separate"/>
      </w:r>
      <w:r w:rsidRPr="00FC42E7">
        <w:rPr>
          <w:color w:val="0563C1"/>
          <w:u w:val="single"/>
        </w:rPr>
        <w:t>2.3.1</w:t>
      </w:r>
      <w:r>
        <w:fldChar w:fldCharType="end"/>
      </w:r>
      <w:r>
        <w:t xml:space="preserve"> describes the pattern once, and each entity section gives only what differs.</w:t>
      </w:r>
    </w:p>
    <w:p w14:paraId="2339D7C1" w14:textId="4F4E323E" w:rsidR="00DB434F" w:rsidRPr="00AA30D8" w:rsidRDefault="00DB434F" w:rsidP="00F10FD7">
      <w:pPr>
        <w:pStyle w:val="Heading4"/>
        <w:rPr>
          <w:rFonts w:ascii="Calibri" w:hAnsi="Calibri" w:cs="Calibri"/>
          <w:b/>
          <w:sz w:val="20"/>
        </w:rPr>
      </w:pPr>
      <w:bookmarkStart w:id="97" w:name="_Ref917260925"/>
      <w:r w:rsidRPr="00AA30D8">
        <w:rPr>
          <w:rFonts w:ascii="Calibri" w:hAnsi="Calibri" w:cs="Calibri"/>
          <w:b/>
          <w:sz w:val="20"/>
        </w:rPr>
        <w:t>High Level Technical Design Diagram</w:t>
      </w:r>
      <w:bookmarkEnd w:id="97"/>
    </w:p>
    <w:p w14:paraId="771D8D47" w14:textId="2B0831B2" w:rsidR="00C63A98" w:rsidRDefault="00FA3AEE" w:rsidP="00FC42E7">
      <w:pPr>
        <w:keepNext/>
        <w:jc w:val="left"/>
      </w:pPr>
      <w:r>
        <w:t>The figure below shows the common integration pattern at a high level.</w:t>
      </w:r>
    </w:p>
    <w:p w14:paraId="70E64C23" w14:textId="6FBF5E6A" w:rsidR="00DB434F" w:rsidRDefault="00636937" w:rsidP="006755AC">
      <w:pPr>
        <w:keepNext/>
        <w:spacing w:after="40"/>
        <w:jc w:val="center"/>
      </w:pPr>
      <w:r>
        <w:rPr>
          <w:noProof/>
        </w:rPr>
        <w:drawing>
          <wp:inline distT="0" distB="0" distL="0" distR="0" wp14:anchorId="1B960C3C" wp14:editId="4332D008">
            <wp:extent cx="5943600" cy="2466340"/>
            <wp:effectExtent l="0" t="0" r="0" b="0"/>
            <wp:docPr id="7862927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92795" name=""/>
                    <pic:cNvPicPr/>
                  </pic:nvPicPr>
                  <pic:blipFill>
                    <a:blip r:embed="rId24"/>
                    <a:stretch>
                      <a:fillRect/>
                    </a:stretch>
                  </pic:blipFill>
                  <pic:spPr>
                    <a:xfrm>
                      <a:off x="0" y="0"/>
                      <a:ext cx="5943600" cy="2466340"/>
                    </a:xfrm>
                    <a:prstGeom prst="rect">
                      <a:avLst/>
                    </a:prstGeom>
                  </pic:spPr>
                </pic:pic>
              </a:graphicData>
            </a:graphic>
          </wp:inline>
        </w:drawing>
      </w:r>
    </w:p>
    <w:p w14:paraId="4E03E0E9" w14:textId="6EAE3A59" w:rsidR="00DB434F" w:rsidRDefault="4C8A250A" w:rsidP="00904625">
      <w:pPr>
        <w:pStyle w:val="Caption"/>
      </w:pPr>
      <w:bookmarkStart w:id="98" w:name="_Toc241311537"/>
      <w:bookmarkStart w:id="99" w:name="_Toc241574753"/>
      <w:bookmarkStart w:id="100" w:name="_Toc242554137"/>
      <w:r>
        <w:t xml:space="preserve">Figure </w:t>
      </w:r>
      <w:r w:rsidR="00904625">
        <w:fldChar w:fldCharType="begin"/>
      </w:r>
      <w:r w:rsidR="00904625">
        <w:instrText>STYLEREF 1 \s</w:instrText>
      </w:r>
      <w:r w:rsidR="00904625">
        <w:fldChar w:fldCharType="separate"/>
      </w:r>
      <w:r w:rsidR="00FC42E7">
        <w:rPr>
          <w:noProof/>
        </w:rPr>
        <w:t>2</w:t>
      </w:r>
      <w:r w:rsidR="00904625">
        <w:fldChar w:fldCharType="end"/>
      </w:r>
      <w:r>
        <w:t>-</w:t>
      </w:r>
      <w:r w:rsidR="00904625">
        <w:fldChar w:fldCharType="begin"/>
      </w:r>
      <w:r w:rsidR="00904625">
        <w:instrText>SEQ Figure \* ARABIC \s 1</w:instrText>
      </w:r>
      <w:r w:rsidR="00904625">
        <w:fldChar w:fldCharType="separate"/>
      </w:r>
      <w:r w:rsidR="00FC42E7">
        <w:rPr>
          <w:noProof/>
        </w:rPr>
        <w:t>1</w:t>
      </w:r>
      <w:r w:rsidR="00904625">
        <w:fldChar w:fldCharType="end"/>
      </w:r>
      <w:r>
        <w:t xml:space="preserve">: </w:t>
      </w:r>
      <w:r w:rsidR="000A106D">
        <w:t>VCB Integration (common pattern) High Level Technical Design Diagram</w:t>
      </w:r>
      <w:r>
        <w:t xml:space="preserve"> (CIP Approach)</w:t>
      </w:r>
      <w:bookmarkEnd w:id="98"/>
      <w:bookmarkEnd w:id="99"/>
      <w:bookmarkEnd w:id="100"/>
    </w:p>
    <w:p w14:paraId="42D90973" w14:textId="5C48850B" w:rsidR="00FC42E7" w:rsidRPr="00EC3682" w:rsidRDefault="00FC42E7" w:rsidP="00FC42E7">
      <w:pPr>
        <w:pStyle w:val="ListParagraph"/>
        <w:numPr>
          <w:ilvl w:val="0"/>
          <w:numId w:val="4"/>
        </w:numPr>
        <w:jc w:val="left"/>
        <w:rPr>
          <w:rFonts w:ascii="Calibri" w:hAnsi="Calibri" w:cs="Calibri"/>
        </w:rPr>
      </w:pPr>
      <w:r>
        <w:t>The data source shall be the system the integration gets its data from.</w:t>
      </w:r>
    </w:p>
    <w:p w14:paraId="7FD52094" w14:textId="5069938B" w:rsidR="00C63A98" w:rsidRDefault="00FC42E7" w:rsidP="00FC42E7">
      <w:pPr>
        <w:keepNext/>
        <w:jc w:val="left"/>
      </w:pPr>
      <w:r>
        <w:t>For the VCB integrations, the data sources are:</w:t>
      </w:r>
    </w:p>
    <w:p w14:paraId="6C16CB09" w14:textId="4596D877" w:rsidR="00C63A98" w:rsidRPr="00EC3682" w:rsidRDefault="00C63A98" w:rsidP="00957267">
      <w:pPr>
        <w:pStyle w:val="ListParagraph"/>
        <w:numPr>
          <w:ilvl w:val="0"/>
          <w:numId w:val="4"/>
        </w:numPr>
        <w:jc w:val="left"/>
        <w:rPr>
          <w:rFonts w:ascii="Calibri" w:hAnsi="Calibri" w:cs="Calibri"/>
        </w:rPr>
      </w:pPr>
      <w:r w:rsidRPr="00C63A98">
        <w:t xml:space="preserve">PI Asset Framework (PIAF): read through the PI Web API, </w:t>
      </w:r>
      <w:r w:rsidR="00144FA3">
        <w:t>using the PI proxy function of the platform.</w:t>
      </w:r>
    </w:p>
    <w:p w14:paraId="0B7BCEA4" w14:textId="4403D3B8" w:rsidR="00C63A98" w:rsidRPr="00EC3682" w:rsidRDefault="00C63A98" w:rsidP="00957267">
      <w:pPr>
        <w:pStyle w:val="ListParagraph"/>
        <w:numPr>
          <w:ilvl w:val="0"/>
          <w:numId w:val="4"/>
        </w:numPr>
        <w:jc w:val="left"/>
        <w:rPr>
          <w:rFonts w:ascii="Calibri" w:hAnsi="Calibri" w:cs="Calibri"/>
        </w:rPr>
      </w:pPr>
      <w:r w:rsidRPr="00C63A98">
        <w:t>Kittyhawk: the transaction upload data, read through the Kittyhawk OData service.</w:t>
      </w:r>
    </w:p>
    <w:p w14:paraId="06A1678E" w14:textId="7A052B52" w:rsidR="00C63A98" w:rsidRPr="00EC3682" w:rsidRDefault="00C63A98" w:rsidP="00957267">
      <w:pPr>
        <w:pStyle w:val="ListParagraph"/>
        <w:numPr>
          <w:ilvl w:val="0"/>
          <w:numId w:val="4"/>
        </w:numPr>
        <w:jc w:val="left"/>
        <w:rPr>
          <w:rFonts w:ascii="Calibri" w:hAnsi="Calibri" w:cs="Calibri"/>
        </w:rPr>
      </w:pPr>
      <w:r w:rsidRPr="00C63A98">
        <w:t xml:space="preserve">MPR database: the price data, </w:t>
      </w:r>
      <w:r w:rsidR="00451F42">
        <w:t>read through the Cost API, which reads MPR through the platform price service.</w:t>
      </w:r>
    </w:p>
    <w:p w14:paraId="1F8926F6" w14:textId="39112AB0" w:rsidR="00FC42E7" w:rsidRPr="00EC3682" w:rsidRDefault="00FC42E7" w:rsidP="00FC42E7">
      <w:pPr>
        <w:pStyle w:val="ListParagraph"/>
        <w:numPr>
          <w:ilvl w:val="0"/>
          <w:numId w:val="4"/>
        </w:numPr>
        <w:jc w:val="left"/>
        <w:rPr>
          <w:rFonts w:ascii="Calibri" w:hAnsi="Calibri" w:cs="Calibri"/>
        </w:rPr>
      </w:pPr>
      <w:r>
        <w:t>Profisee: the Terminals Specsheet Master Data, read through the Semantic Service, which reads Profisee through APIM.</w:t>
      </w:r>
    </w:p>
    <w:p w14:paraId="31D5C888" w14:textId="77777777" w:rsidR="0081216E" w:rsidRDefault="00DB434F" w:rsidP="006755AC">
      <w:pPr>
        <w:pStyle w:val="Heading4"/>
        <w:rPr>
          <w:rFonts w:ascii="Calibri" w:hAnsi="Calibri" w:cs="Calibri"/>
          <w:b/>
          <w:sz w:val="20"/>
        </w:rPr>
      </w:pPr>
      <w:r w:rsidRPr="00AA30D8">
        <w:rPr>
          <w:rFonts w:ascii="Calibri" w:hAnsi="Calibri" w:cs="Calibri"/>
          <w:b/>
          <w:sz w:val="20"/>
        </w:rPr>
        <w:t>Detailed Technical Architecture</w:t>
      </w:r>
    </w:p>
    <w:p w14:paraId="794A71AF" w14:textId="18088C39" w:rsidR="00DB434F" w:rsidRPr="0081216E" w:rsidRDefault="00FC42E7" w:rsidP="00FC42E7">
      <w:pPr>
        <w:keepNext/>
        <w:jc w:val="left"/>
        <w:rPr>
          <w:rFonts w:ascii="Calibri" w:hAnsi="Calibri" w:cs="Calibri"/>
        </w:rPr>
      </w:pPr>
      <w:r>
        <w:rPr>
          <w:rFonts w:ascii="Calibri" w:hAnsi="Calibri" w:cs="Calibri"/>
        </w:rPr>
        <w:t xml:space="preserve">The figure below shows the technical components of the common integration pattern, and section </w:t>
      </w:r>
      <w:r>
        <w:rPr>
          <w:rFonts w:ascii="Calibri" w:hAnsi="Calibri" w:cs="Calibri"/>
        </w:rPr>
        <w:fldChar w:fldCharType="begin"/>
      </w:r>
      <w:r>
        <w:rPr>
          <w:rFonts w:ascii="Calibri" w:hAnsi="Calibri" w:cs="Calibri"/>
        </w:rPr>
        <w:instrText xml:space="preserve"> REF _Ref917260914 \w \h \* MERGEFORMAT </w:instrText>
      </w:r>
      <w:r>
        <w:rPr>
          <w:rFonts w:ascii="Calibri" w:hAnsi="Calibri" w:cs="Calibri"/>
        </w:rPr>
      </w:r>
      <w:r>
        <w:rPr>
          <w:rFonts w:ascii="Calibri" w:hAnsi="Calibri" w:cs="Calibri"/>
        </w:rPr>
        <w:fldChar w:fldCharType="separate"/>
      </w:r>
      <w:r w:rsidRPr="00FC42E7">
        <w:rPr>
          <w:rFonts w:ascii="Calibri" w:hAnsi="Calibri" w:cs="Calibri"/>
          <w:color w:val="0563C1"/>
          <w:u w:val="single"/>
        </w:rPr>
        <w:t>2.3.1.2.1</w:t>
      </w:r>
      <w:r>
        <w:rPr>
          <w:rFonts w:ascii="Calibri" w:hAnsi="Calibri" w:cs="Calibri"/>
        </w:rPr>
        <w:fldChar w:fldCharType="end"/>
      </w:r>
      <w:r>
        <w:rPr>
          <w:rFonts w:ascii="Calibri" w:hAnsi="Calibri" w:cs="Calibri"/>
        </w:rPr>
        <w:t xml:space="preserve"> describes each component.</w:t>
      </w:r>
    </w:p>
    <w:p w14:paraId="37F836F8" w14:textId="203E8F22" w:rsidR="00DB434F" w:rsidRDefault="00636937" w:rsidP="006755AC">
      <w:pPr>
        <w:keepNext/>
        <w:spacing w:after="40"/>
        <w:jc w:val="center"/>
      </w:pPr>
      <w:r>
        <w:rPr>
          <w:noProof/>
        </w:rPr>
        <w:drawing>
          <wp:inline distT="0" distB="0" distL="0" distR="0" wp14:anchorId="1B05DADA" wp14:editId="69571530">
            <wp:extent cx="5943600" cy="2173605"/>
            <wp:effectExtent l="0" t="0" r="0" b="0"/>
            <wp:docPr id="1095147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47458" name=""/>
                    <pic:cNvPicPr/>
                  </pic:nvPicPr>
                  <pic:blipFill>
                    <a:blip r:embed="rId25"/>
                    <a:stretch>
                      <a:fillRect/>
                    </a:stretch>
                  </pic:blipFill>
                  <pic:spPr>
                    <a:xfrm>
                      <a:off x="0" y="0"/>
                      <a:ext cx="5943600" cy="2173605"/>
                    </a:xfrm>
                    <a:prstGeom prst="rect">
                      <a:avLst/>
                    </a:prstGeom>
                  </pic:spPr>
                </pic:pic>
              </a:graphicData>
            </a:graphic>
          </wp:inline>
        </w:drawing>
      </w:r>
    </w:p>
    <w:p w14:paraId="48618D41" w14:textId="48AFB2B2" w:rsidR="00DB434F" w:rsidRDefault="00904625" w:rsidP="00904625">
      <w:pPr>
        <w:pStyle w:val="Caption"/>
      </w:pPr>
      <w:bookmarkStart w:id="101" w:name="_Toc241311538"/>
      <w:bookmarkStart w:id="102" w:name="_Toc241574754"/>
      <w:bookmarkStart w:id="103" w:name="_Toc242554138"/>
      <w:r>
        <w:t xml:space="preserve">Figure </w:t>
      </w:r>
      <w:r>
        <w:fldChar w:fldCharType="begin"/>
      </w:r>
      <w:r>
        <w:instrText>STYLEREF 1 \s</w:instrText>
      </w:r>
      <w:r>
        <w:fldChar w:fldCharType="separate"/>
      </w:r>
      <w:r w:rsidR="00FC42E7">
        <w:rPr>
          <w:noProof/>
        </w:rPr>
        <w:t>2</w:t>
      </w:r>
      <w:r>
        <w:fldChar w:fldCharType="end"/>
      </w:r>
      <w:r>
        <w:t>-</w:t>
      </w:r>
      <w:r>
        <w:fldChar w:fldCharType="begin"/>
      </w:r>
      <w:r>
        <w:instrText>SEQ Figure \* ARABIC \s 1</w:instrText>
      </w:r>
      <w:r>
        <w:fldChar w:fldCharType="separate"/>
      </w:r>
      <w:r w:rsidR="00FC42E7">
        <w:rPr>
          <w:noProof/>
        </w:rPr>
        <w:t>2</w:t>
      </w:r>
      <w:r>
        <w:fldChar w:fldCharType="end"/>
      </w:r>
      <w:r>
        <w:t xml:space="preserve">: </w:t>
      </w:r>
      <w:bookmarkEnd w:id="101"/>
      <w:bookmarkEnd w:id="102"/>
      <w:r w:rsidR="000A106D">
        <w:t>VCB Integration (common pattern) Detailed Technical Design Diagram</w:t>
      </w:r>
      <w:bookmarkEnd w:id="103"/>
    </w:p>
    <w:p w14:paraId="6174C330" w14:textId="77777777" w:rsidR="00DB434F" w:rsidRPr="00AA30D8" w:rsidRDefault="00DB434F" w:rsidP="00F10FD7">
      <w:pPr>
        <w:pStyle w:val="Heading5"/>
        <w:rPr>
          <w:rFonts w:ascii="Calibri" w:hAnsi="Calibri" w:cs="Calibri"/>
          <w:sz w:val="20"/>
        </w:rPr>
      </w:pPr>
      <w:bookmarkStart w:id="104" w:name="_Ref917260914"/>
      <w:r w:rsidRPr="00AA30D8">
        <w:rPr>
          <w:rFonts w:ascii="Calibri" w:hAnsi="Calibri" w:cs="Calibri"/>
          <w:sz w:val="20"/>
        </w:rPr>
        <w:t>Technical Components</w:t>
      </w:r>
      <w:bookmarkEnd w:id="104"/>
    </w:p>
    <w:p w14:paraId="3854BB0C" w14:textId="05C3E109" w:rsidR="00FC42E7" w:rsidRPr="00EC3682" w:rsidRDefault="00FC42E7" w:rsidP="00FC42E7">
      <w:pPr>
        <w:pStyle w:val="ListParagraph"/>
        <w:numPr>
          <w:ilvl w:val="0"/>
          <w:numId w:val="4"/>
        </w:numPr>
        <w:jc w:val="left"/>
        <w:rPr>
          <w:rFonts w:ascii="Calibri" w:hAnsi="Calibri" w:cs="Calibri"/>
        </w:rPr>
      </w:pPr>
      <w:r>
        <w:t>In the PIAF and Kittyhawk integrations and the Profisee data mapping, the name of every trigger, durable function and queue below shall start with the entity name of the integration (Blend Component or Blend Component Movement) or with Profisee Data Mapping.</w:t>
      </w:r>
    </w:p>
    <w:p w14:paraId="07987A33" w14:textId="7B602C87" w:rsidR="00FC42E7" w:rsidRPr="00EC3682" w:rsidRDefault="00FC42E7" w:rsidP="00FC42E7">
      <w:pPr>
        <w:pStyle w:val="ListParagraph"/>
        <w:numPr>
          <w:ilvl w:val="0"/>
          <w:numId w:val="4"/>
        </w:numPr>
        <w:jc w:val="left"/>
        <w:rPr>
          <w:rFonts w:ascii="Calibri" w:hAnsi="Calibri" w:cs="Calibri"/>
        </w:rPr>
      </w:pPr>
      <w:r>
        <w:t xml:space="preserve">For PIAF and Kittyhawk, the request and response services shall be the existing inventory and movement services, changed as in section </w:t>
      </w:r>
      <w:r>
        <w:fldChar w:fldCharType="begin"/>
      </w:r>
      <w:r>
        <w:instrText xml:space="preserve"> REF _Ref917260915 \w \h \* MERGEFORMAT </w:instrText>
      </w:r>
      <w:r>
        <w:fldChar w:fldCharType="separate"/>
      </w:r>
      <w:r w:rsidRPr="00FC42E7">
        <w:rPr>
          <w:color w:val="0563C1"/>
          <w:u w:val="single"/>
        </w:rPr>
        <w:t>2.3.3.6</w:t>
      </w:r>
      <w:r>
        <w:fldChar w:fldCharType="end"/>
      </w:r>
      <w:r>
        <w:t>; the entity sections shall refer to them by the entity name, for example Blend Component Request Service.</w:t>
      </w:r>
    </w:p>
    <w:p w14:paraId="72B4A1D2" w14:textId="1B990D9D" w:rsidR="00FC42E7" w:rsidRPr="00EC3682" w:rsidRDefault="00FC42E7" w:rsidP="00FC42E7">
      <w:pPr>
        <w:pStyle w:val="ListParagraph"/>
        <w:numPr>
          <w:ilvl w:val="0"/>
          <w:numId w:val="4"/>
        </w:numPr>
        <w:jc w:val="left"/>
        <w:rPr>
          <w:rFonts w:ascii="Calibri" w:hAnsi="Calibri" w:cs="Calibri"/>
        </w:rPr>
      </w:pPr>
      <w:r>
        <w:t>The pricing integration shall use the components of the common integration pattern, except the trigger, with the name Price.</w:t>
      </w:r>
    </w:p>
    <w:p w14:paraId="34B8199E" w14:textId="563DE62C" w:rsidR="00FC42E7" w:rsidRPr="00EC3682" w:rsidRDefault="00FC42E7" w:rsidP="00FC42E7">
      <w:pPr>
        <w:pStyle w:val="ListParagraph"/>
        <w:numPr>
          <w:ilvl w:val="0"/>
          <w:numId w:val="4"/>
        </w:numPr>
        <w:jc w:val="left"/>
        <w:rPr>
          <w:rFonts w:ascii="Calibri" w:hAnsi="Calibri" w:cs="Calibri"/>
        </w:rPr>
      </w:pPr>
      <w:r>
        <w:t>The services of the pricing integration shall run in the Cost API, and its durable functions shall run in the function app of the Cost domain.</w:t>
      </w:r>
    </w:p>
    <w:p w14:paraId="09C5A9FB" w14:textId="78A6DC82" w:rsidR="00C63A98" w:rsidRDefault="00FC42E7" w:rsidP="00FC42E7">
      <w:pPr>
        <w:pStyle w:val="ListParagraph"/>
        <w:numPr>
          <w:ilvl w:val="0"/>
          <w:numId w:val="4"/>
        </w:numPr>
        <w:jc w:val="left"/>
      </w:pPr>
      <w:r>
        <w:t xml:space="preserve">The pricing integration shall read MPR through the price service, which the drawings show as PriceCost API (see section </w:t>
      </w:r>
      <w:r>
        <w:fldChar w:fldCharType="begin"/>
      </w:r>
      <w:r>
        <w:instrText xml:space="preserve"> REF _Ref917260913 \w \h \* MERGEFORMAT </w:instrText>
      </w:r>
      <w:r>
        <w:fldChar w:fldCharType="separate"/>
      </w:r>
      <w:r w:rsidRPr="00FC42E7">
        <w:rPr>
          <w:color w:val="0563C1"/>
          <w:u w:val="single"/>
        </w:rPr>
        <w:t>2.3.3.3</w:t>
      </w:r>
      <w:r>
        <w:fldChar w:fldCharType="end"/>
      </w:r>
      <w:r>
        <w:t>).</w:t>
      </w:r>
    </w:p>
    <w:p w14:paraId="73B9DE1A" w14:textId="389EEA57" w:rsidR="00DB434F" w:rsidRPr="00AA30D8" w:rsidRDefault="00DB434F" w:rsidP="00F10FD7">
      <w:pPr>
        <w:pStyle w:val="Heading6"/>
        <w:rPr>
          <w:rFonts w:ascii="Calibri" w:hAnsi="Calibri" w:cs="Calibri"/>
          <w:sz w:val="20"/>
        </w:rPr>
      </w:pPr>
      <w:r w:rsidRPr="00AA30D8">
        <w:rPr>
          <w:rFonts w:ascii="Calibri" w:hAnsi="Calibri" w:cs="Calibri"/>
          <w:sz w:val="20"/>
        </w:rPr>
        <w:t>Trigger Function (Starter Function)</w:t>
      </w:r>
    </w:p>
    <w:p w14:paraId="4FC4BF84" w14:textId="312F3401" w:rsidR="00FC42E7" w:rsidRPr="00EC3682" w:rsidRDefault="00FC42E7" w:rsidP="00FC42E7">
      <w:pPr>
        <w:pStyle w:val="ListParagraph"/>
        <w:numPr>
          <w:ilvl w:val="0"/>
          <w:numId w:val="4"/>
        </w:numPr>
        <w:jc w:val="left"/>
        <w:rPr>
          <w:rFonts w:ascii="Calibri" w:hAnsi="Calibri" w:cs="Calibri"/>
        </w:rPr>
      </w:pPr>
      <w:r>
        <w:t>For the PIAF and Kittyhawk integrations and the Profisee data mapping, the trigger shall be an Azure Function started by a timer.</w:t>
      </w:r>
    </w:p>
    <w:p w14:paraId="210AA783" w14:textId="7A53204B" w:rsidR="00FC42E7" w:rsidRPr="00EC3682" w:rsidRDefault="00FC42E7" w:rsidP="00FC42E7">
      <w:pPr>
        <w:pStyle w:val="ListParagraph"/>
        <w:numPr>
          <w:ilvl w:val="0"/>
          <w:numId w:val="4"/>
        </w:numPr>
        <w:jc w:val="left"/>
        <w:rPr>
          <w:rFonts w:ascii="Calibri" w:hAnsi="Calibri" w:cs="Calibri"/>
        </w:rPr>
      </w:pPr>
      <w:r>
        <w:t xml:space="preserve">A user shall also start the Profisee data mapping from the Core Capabilities UI (section </w:t>
      </w:r>
      <w:r>
        <w:fldChar w:fldCharType="begin"/>
      </w:r>
      <w:r>
        <w:instrText xml:space="preserve"> REF _Ref917260916 \w \h \* MERGEFORMAT </w:instrText>
      </w:r>
      <w:r>
        <w:fldChar w:fldCharType="separate"/>
      </w:r>
      <w:r w:rsidRPr="00FC42E7">
        <w:rPr>
          <w:color w:val="0563C1"/>
          <w:u w:val="single"/>
        </w:rPr>
        <w:t>2.3.3.5.2</w:t>
      </w:r>
      <w:r>
        <w:fldChar w:fldCharType="end"/>
      </w:r>
      <w:r>
        <w:t>).</w:t>
      </w:r>
    </w:p>
    <w:p w14:paraId="1E269EE0" w14:textId="43B5B499" w:rsidR="00C63A98" w:rsidRDefault="00FC42E7" w:rsidP="00FC42E7">
      <w:pPr>
        <w:pStyle w:val="ListParagraph"/>
        <w:numPr>
          <w:ilvl w:val="0"/>
          <w:numId w:val="4"/>
        </w:numPr>
        <w:jc w:val="left"/>
      </w:pPr>
      <w:r>
        <w:t>The pricing integration shall have no trigger function; instead, the dashboard shall call the Price Request Service on demand.</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92"/>
        <w:gridCol w:w="2509"/>
        <w:gridCol w:w="3159"/>
      </w:tblGrid>
      <w:tr w:rsidR="00C63A98" w:rsidRPr="00C63A98" w14:paraId="23D79A1B" w14:textId="77777777" w:rsidTr="00C63A98">
        <w:trPr>
          <w:cantSplit/>
          <w:tblHeader/>
        </w:trPr>
        <w:tc>
          <w:tcPr>
            <w:tcW w:w="3692" w:type="dxa"/>
            <w:shd w:val="clear" w:color="auto" w:fill="2F5597"/>
          </w:tcPr>
          <w:p w14:paraId="28FCDA3C" w14:textId="2343B72D" w:rsidR="00C63A98" w:rsidRPr="00C63A98" w:rsidRDefault="00AA30D8" w:rsidP="00AA30D8">
            <w:pPr>
              <w:pStyle w:val="Tablehead1"/>
              <w:rPr>
                <w:rFonts w:ascii="Calibri" w:hAnsi="Calibri" w:cs="Calibri"/>
                <w:sz w:val="20"/>
              </w:rPr>
            </w:pPr>
            <w:r>
              <w:rPr>
                <w:rFonts w:ascii="Calibri" w:hAnsi="Calibri" w:cs="Calibri"/>
                <w:sz w:val="20"/>
              </w:rPr>
              <w:t>Integration</w:t>
            </w:r>
          </w:p>
        </w:tc>
        <w:tc>
          <w:tcPr>
            <w:tcW w:w="2509" w:type="dxa"/>
            <w:shd w:val="clear" w:color="auto" w:fill="2F5597"/>
          </w:tcPr>
          <w:p w14:paraId="074D060B" w14:textId="190D8569" w:rsidR="00C63A98" w:rsidRPr="00C63A98" w:rsidRDefault="00CE45AF" w:rsidP="00AA30D8">
            <w:pPr>
              <w:pStyle w:val="Tablehead1"/>
              <w:rPr>
                <w:rFonts w:ascii="Calibri" w:hAnsi="Calibri" w:cs="Calibri"/>
                <w:sz w:val="20"/>
              </w:rPr>
            </w:pPr>
            <w:r>
              <w:rPr>
                <w:rFonts w:ascii="Calibri" w:hAnsi="Calibri" w:cs="Calibri"/>
                <w:sz w:val="20"/>
              </w:rPr>
              <w:t>Started By</w:t>
            </w:r>
          </w:p>
        </w:tc>
        <w:tc>
          <w:tcPr>
            <w:tcW w:w="3159" w:type="dxa"/>
            <w:shd w:val="clear" w:color="auto" w:fill="2F5597"/>
          </w:tcPr>
          <w:p w14:paraId="30ED8A18" w14:textId="6FB14B01" w:rsidR="00C63A98" w:rsidRPr="00C63A98" w:rsidRDefault="00C63A98" w:rsidP="00AA30D8">
            <w:pPr>
              <w:pStyle w:val="Tablehead1"/>
              <w:rPr>
                <w:rFonts w:ascii="Calibri" w:hAnsi="Calibri" w:cs="Calibri"/>
                <w:sz w:val="20"/>
              </w:rPr>
            </w:pPr>
            <w:r w:rsidRPr="00C63A98">
              <w:rPr>
                <w:rFonts w:ascii="Calibri" w:hAnsi="Calibri" w:cs="Calibri"/>
                <w:sz w:val="20"/>
              </w:rPr>
              <w:t>Frequency</w:t>
            </w:r>
          </w:p>
        </w:tc>
      </w:tr>
      <w:tr w:rsidR="00C63A98" w:rsidRPr="00C63A98" w14:paraId="4BF861C0" w14:textId="77777777" w:rsidTr="00C63A98">
        <w:trPr>
          <w:cantSplit/>
        </w:trPr>
        <w:tc>
          <w:tcPr>
            <w:tcW w:w="3692" w:type="dxa"/>
          </w:tcPr>
          <w:p w14:paraId="213FBA0E" w14:textId="6BFE15FE" w:rsidR="00C63A98" w:rsidRPr="00C63A98" w:rsidRDefault="00C63A98" w:rsidP="00AA30D8">
            <w:pPr>
              <w:pStyle w:val="Tabletext"/>
              <w:keepNext/>
              <w:rPr>
                <w:rFonts w:ascii="Calibri" w:hAnsi="Calibri" w:cs="Calibri"/>
                <w:sz w:val="20"/>
              </w:rPr>
            </w:pPr>
            <w:r w:rsidRPr="00C63A98">
              <w:rPr>
                <w:rFonts w:ascii="Calibri" w:hAnsi="Calibri" w:cs="Calibri"/>
                <w:sz w:val="20"/>
              </w:rPr>
              <w:t>Blend Component (PIAF)</w:t>
            </w:r>
          </w:p>
        </w:tc>
        <w:tc>
          <w:tcPr>
            <w:tcW w:w="2509" w:type="dxa"/>
          </w:tcPr>
          <w:p w14:paraId="24D16010" w14:textId="19A442BF" w:rsidR="00C63A98" w:rsidRPr="00C63A98" w:rsidRDefault="00C63A98" w:rsidP="00AA30D8">
            <w:pPr>
              <w:pStyle w:val="Tabletext"/>
              <w:keepNext/>
              <w:rPr>
                <w:rFonts w:ascii="Calibri" w:hAnsi="Calibri" w:cs="Calibri"/>
                <w:sz w:val="20"/>
              </w:rPr>
            </w:pPr>
            <w:r w:rsidRPr="00C63A98">
              <w:rPr>
                <w:rFonts w:ascii="Calibri" w:hAnsi="Calibri" w:cs="Calibri"/>
                <w:sz w:val="20"/>
              </w:rPr>
              <w:t>Timer</w:t>
            </w:r>
          </w:p>
        </w:tc>
        <w:tc>
          <w:tcPr>
            <w:tcW w:w="3159" w:type="dxa"/>
          </w:tcPr>
          <w:p w14:paraId="0F5F0967" w14:textId="24CD0F3C" w:rsidR="00C63A98" w:rsidRPr="00C63A98" w:rsidRDefault="004F4B99" w:rsidP="00AA30D8">
            <w:pPr>
              <w:pStyle w:val="Tabletext"/>
              <w:keepNext/>
              <w:rPr>
                <w:rFonts w:ascii="Calibri" w:hAnsi="Calibri" w:cs="Calibri"/>
                <w:sz w:val="20"/>
              </w:rPr>
            </w:pPr>
            <w:r>
              <w:rPr>
                <w:rFonts w:ascii="Calibri" w:hAnsi="Calibri" w:cs="Calibri"/>
                <w:sz w:val="20"/>
              </w:rPr>
              <w:t>Every day at a specified time</w:t>
            </w:r>
          </w:p>
        </w:tc>
      </w:tr>
      <w:tr w:rsidR="00C63A98" w:rsidRPr="00C63A98" w14:paraId="5F894765" w14:textId="77777777" w:rsidTr="00C63A98">
        <w:trPr>
          <w:cantSplit/>
        </w:trPr>
        <w:tc>
          <w:tcPr>
            <w:tcW w:w="3692" w:type="dxa"/>
          </w:tcPr>
          <w:p w14:paraId="12CAD879" w14:textId="1FACC458" w:rsidR="00C63A98" w:rsidRPr="00C63A98" w:rsidRDefault="00C63A98" w:rsidP="00AA30D8">
            <w:pPr>
              <w:pStyle w:val="Tabletext"/>
              <w:keepNext/>
              <w:rPr>
                <w:rFonts w:ascii="Calibri" w:hAnsi="Calibri" w:cs="Calibri"/>
                <w:sz w:val="20"/>
              </w:rPr>
            </w:pPr>
            <w:r w:rsidRPr="00C63A98">
              <w:rPr>
                <w:rFonts w:ascii="Calibri" w:hAnsi="Calibri" w:cs="Calibri"/>
                <w:sz w:val="20"/>
              </w:rPr>
              <w:t>Blend Component Movement (Kittyhawk)</w:t>
            </w:r>
          </w:p>
        </w:tc>
        <w:tc>
          <w:tcPr>
            <w:tcW w:w="2509" w:type="dxa"/>
          </w:tcPr>
          <w:p w14:paraId="0ADF45A5" w14:textId="73B674E4" w:rsidR="00C63A98" w:rsidRPr="00C63A98" w:rsidRDefault="00C63A98" w:rsidP="00AA30D8">
            <w:pPr>
              <w:pStyle w:val="Tabletext"/>
              <w:keepNext/>
              <w:rPr>
                <w:rFonts w:ascii="Calibri" w:hAnsi="Calibri" w:cs="Calibri"/>
                <w:sz w:val="20"/>
              </w:rPr>
            </w:pPr>
            <w:r w:rsidRPr="00C63A98">
              <w:rPr>
                <w:rFonts w:ascii="Calibri" w:hAnsi="Calibri" w:cs="Calibri"/>
                <w:sz w:val="20"/>
              </w:rPr>
              <w:t>Timer</w:t>
            </w:r>
          </w:p>
        </w:tc>
        <w:tc>
          <w:tcPr>
            <w:tcW w:w="3159" w:type="dxa"/>
          </w:tcPr>
          <w:p w14:paraId="327F7A72" w14:textId="024DB599" w:rsidR="00C63A98" w:rsidRPr="00C63A98" w:rsidRDefault="00752CCD" w:rsidP="00AA30D8">
            <w:pPr>
              <w:pStyle w:val="Tabletext"/>
              <w:keepNext/>
              <w:rPr>
                <w:rFonts w:ascii="Calibri" w:hAnsi="Calibri" w:cs="Calibri"/>
                <w:sz w:val="20"/>
              </w:rPr>
            </w:pPr>
            <w:r>
              <w:rPr>
                <w:rFonts w:ascii="Calibri" w:hAnsi="Calibri" w:cs="Calibri"/>
                <w:sz w:val="20"/>
              </w:rPr>
              <w:t>Every day at a specified time</w:t>
            </w:r>
          </w:p>
        </w:tc>
      </w:tr>
      <w:tr w:rsidR="00B63412" w:rsidRPr="00C63A98" w14:paraId="4C7048F6" w14:textId="77777777" w:rsidTr="00C63A98">
        <w:trPr>
          <w:cantSplit/>
        </w:trPr>
        <w:tc>
          <w:tcPr>
            <w:tcW w:w="3692" w:type="dxa"/>
          </w:tcPr>
          <w:p w14:paraId="0E48B15E" w14:textId="7DA420AF" w:rsidR="00B63412" w:rsidRPr="00C63A98" w:rsidRDefault="00FC42E7" w:rsidP="00C63A98">
            <w:pPr>
              <w:pStyle w:val="Tabletext"/>
              <w:keepNext/>
              <w:rPr>
                <w:rFonts w:ascii="Calibri" w:hAnsi="Calibri" w:cs="Calibri"/>
                <w:sz w:val="20"/>
              </w:rPr>
            </w:pPr>
            <w:r>
              <w:rPr>
                <w:rFonts w:ascii="Calibri" w:hAnsi="Calibri" w:cs="Calibri"/>
                <w:sz w:val="20"/>
              </w:rPr>
              <w:t>Profisee Data Mapping</w:t>
            </w:r>
          </w:p>
        </w:tc>
        <w:tc>
          <w:tcPr>
            <w:tcW w:w="2509" w:type="dxa"/>
          </w:tcPr>
          <w:p w14:paraId="15C90E16" w14:textId="01FA3F43" w:rsidR="00B63412" w:rsidRPr="00C63A98" w:rsidRDefault="00B63412" w:rsidP="00C63A98">
            <w:pPr>
              <w:pStyle w:val="Tabletext"/>
              <w:keepNext/>
              <w:rPr>
                <w:rFonts w:ascii="Calibri" w:hAnsi="Calibri" w:cs="Calibri"/>
                <w:sz w:val="20"/>
              </w:rPr>
            </w:pPr>
            <w:r>
              <w:rPr>
                <w:rFonts w:ascii="Calibri" w:hAnsi="Calibri" w:cs="Calibri"/>
                <w:sz w:val="20"/>
              </w:rPr>
              <w:t>Timer, and the Core Capabilities UI</w:t>
            </w:r>
          </w:p>
        </w:tc>
        <w:tc>
          <w:tcPr>
            <w:tcW w:w="3159" w:type="dxa"/>
          </w:tcPr>
          <w:p w14:paraId="5D2E188A" w14:textId="78599BCB" w:rsidR="00B63412" w:rsidRPr="00C63A98" w:rsidRDefault="00B63412" w:rsidP="00C63A98">
            <w:pPr>
              <w:pStyle w:val="Tabletext"/>
              <w:keepNext/>
              <w:rPr>
                <w:rFonts w:ascii="Calibri" w:hAnsi="Calibri" w:cs="Calibri"/>
                <w:sz w:val="20"/>
              </w:rPr>
            </w:pPr>
            <w:r>
              <w:rPr>
                <w:rFonts w:ascii="Calibri" w:hAnsi="Calibri" w:cs="Calibri"/>
                <w:sz w:val="20"/>
              </w:rPr>
              <w:t>Every day at a specified time, and on demand</w:t>
            </w:r>
          </w:p>
        </w:tc>
      </w:tr>
      <w:tr w:rsidR="00C63A98" w:rsidRPr="00C63A98" w14:paraId="58C8B82C" w14:textId="77777777" w:rsidTr="00C63A98">
        <w:trPr>
          <w:cantSplit/>
        </w:trPr>
        <w:tc>
          <w:tcPr>
            <w:tcW w:w="3692" w:type="dxa"/>
          </w:tcPr>
          <w:p w14:paraId="3084E1AF" w14:textId="12FB73E5" w:rsidR="00C63A98" w:rsidRPr="00C63A98" w:rsidRDefault="00C63A98" w:rsidP="00C63A98">
            <w:pPr>
              <w:pStyle w:val="Tabletext"/>
              <w:keepNext/>
              <w:rPr>
                <w:rFonts w:ascii="Calibri" w:hAnsi="Calibri" w:cs="Calibri"/>
                <w:sz w:val="20"/>
              </w:rPr>
            </w:pPr>
            <w:r w:rsidRPr="00C63A98">
              <w:rPr>
                <w:rFonts w:ascii="Calibri" w:hAnsi="Calibri" w:cs="Calibri"/>
                <w:sz w:val="20"/>
              </w:rPr>
              <w:t>Price (MPR)</w:t>
            </w:r>
          </w:p>
        </w:tc>
        <w:tc>
          <w:tcPr>
            <w:tcW w:w="2509" w:type="dxa"/>
          </w:tcPr>
          <w:p w14:paraId="74D2B0F1" w14:textId="4F270548" w:rsidR="00C63A98" w:rsidRPr="00C63A98" w:rsidRDefault="00C63A98" w:rsidP="00C63A98">
            <w:pPr>
              <w:pStyle w:val="Tabletext"/>
              <w:keepNext/>
              <w:rPr>
                <w:rFonts w:ascii="Calibri" w:hAnsi="Calibri" w:cs="Calibri"/>
                <w:sz w:val="20"/>
              </w:rPr>
            </w:pPr>
            <w:r w:rsidRPr="00C63A98">
              <w:rPr>
                <w:rFonts w:ascii="Calibri" w:hAnsi="Calibri" w:cs="Calibri"/>
                <w:sz w:val="20"/>
              </w:rPr>
              <w:t>Call from the dashboard</w:t>
            </w:r>
          </w:p>
        </w:tc>
        <w:tc>
          <w:tcPr>
            <w:tcW w:w="3159" w:type="dxa"/>
          </w:tcPr>
          <w:p w14:paraId="51DAFA7F" w14:textId="26C4AFFD" w:rsidR="00C63A98" w:rsidRPr="00C63A98" w:rsidRDefault="00C63A98" w:rsidP="00C63A98">
            <w:pPr>
              <w:pStyle w:val="Tabletext"/>
              <w:keepNext/>
              <w:rPr>
                <w:rFonts w:ascii="Calibri" w:hAnsi="Calibri" w:cs="Calibri"/>
                <w:sz w:val="20"/>
              </w:rPr>
            </w:pPr>
            <w:r w:rsidRPr="00C63A98">
              <w:rPr>
                <w:rFonts w:ascii="Calibri" w:hAnsi="Calibri" w:cs="Calibri"/>
                <w:sz w:val="20"/>
              </w:rPr>
              <w:t>On demand</w:t>
            </w:r>
          </w:p>
        </w:tc>
      </w:tr>
    </w:tbl>
    <w:p w14:paraId="56025F2D" w14:textId="2A9F7A6C" w:rsidR="00C63A98" w:rsidRDefault="00C63A98" w:rsidP="00C63A98">
      <w:pPr>
        <w:pStyle w:val="Caption"/>
      </w:pPr>
      <w:bookmarkStart w:id="105" w:name="_Toc241311424"/>
      <w:bookmarkStart w:id="106" w:name="_Toc241574580"/>
      <w:bookmarkStart w:id="107" w:name="_Toc242554002"/>
      <w:r>
        <w:t xml:space="preserve">Table </w:t>
      </w:r>
      <w:bookmarkStart w:id="108" w:name="_Ref917260928"/>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w:t>
      </w:r>
      <w:r>
        <w:fldChar w:fldCharType="end"/>
      </w:r>
      <w:bookmarkEnd w:id="108"/>
      <w:r>
        <w:t xml:space="preserve">: VCB </w:t>
      </w:r>
      <w:r w:rsidR="00AA30D8">
        <w:t>Integration</w:t>
      </w:r>
      <w:r>
        <w:t xml:space="preserve"> (common pattern) - Start and Frequency</w:t>
      </w:r>
      <w:bookmarkEnd w:id="105"/>
      <w:bookmarkEnd w:id="106"/>
      <w:bookmarkEnd w:id="107"/>
    </w:p>
    <w:p w14:paraId="7352A3F5" w14:textId="2F01624A" w:rsidR="00C63A98" w:rsidRDefault="00AA30D8" w:rsidP="00FC42E7">
      <w:pPr>
        <w:keepNext/>
        <w:jc w:val="left"/>
      </w:pPr>
      <w:r>
        <w:t>The trigger shall do the following:</w:t>
      </w:r>
    </w:p>
    <w:p w14:paraId="6F5C728E" w14:textId="12851905" w:rsidR="00C63A98" w:rsidRPr="00C63A98" w:rsidRDefault="00AA30D8" w:rsidP="00652CF3">
      <w:pPr>
        <w:pStyle w:val="ListParagraph"/>
        <w:numPr>
          <w:ilvl w:val="0"/>
          <w:numId w:val="21"/>
        </w:numPr>
        <w:jc w:val="left"/>
        <w:rPr>
          <w:sz w:val="20"/>
        </w:rPr>
      </w:pPr>
      <w:r>
        <w:t>Read the run settings of the integration, such as the locations, the region and the date range, from a configuration file in Blob Storage.</w:t>
      </w:r>
    </w:p>
    <w:p w14:paraId="26995684" w14:textId="1BCFB3B3" w:rsidR="00C63A98" w:rsidRPr="00C63A98" w:rsidRDefault="00AA30D8" w:rsidP="00652CF3">
      <w:pPr>
        <w:pStyle w:val="ListParagraph"/>
        <w:numPr>
          <w:ilvl w:val="0"/>
          <w:numId w:val="21"/>
        </w:numPr>
        <w:jc w:val="left"/>
        <w:rPr>
          <w:sz w:val="20"/>
        </w:rPr>
      </w:pPr>
      <w:r>
        <w:t>Build the request with IsImport = false, so that the data is saved, and send it to the Request Service API with a bearer token.</w:t>
      </w:r>
    </w:p>
    <w:p w14:paraId="6AB2E5E0" w14:textId="41503830" w:rsidR="00DB434F" w:rsidRPr="00AA30D8" w:rsidRDefault="00DB434F" w:rsidP="00F10FD7">
      <w:pPr>
        <w:pStyle w:val="Heading6"/>
        <w:rPr>
          <w:rFonts w:ascii="Calibri" w:hAnsi="Calibri" w:cs="Calibri"/>
          <w:sz w:val="20"/>
        </w:rPr>
      </w:pPr>
      <w:bookmarkStart w:id="109" w:name="_Ref917260959"/>
      <w:r w:rsidRPr="00AA30D8">
        <w:rPr>
          <w:rFonts w:ascii="Calibri" w:hAnsi="Calibri" w:cs="Calibri"/>
          <w:sz w:val="20"/>
        </w:rPr>
        <w:t>Request Service API</w:t>
      </w:r>
      <w:bookmarkEnd w:id="109"/>
    </w:p>
    <w:p w14:paraId="2D4DBEEF" w14:textId="6C271509" w:rsidR="00FC42E7" w:rsidRPr="00EC3682" w:rsidRDefault="00FC42E7" w:rsidP="00FC42E7">
      <w:pPr>
        <w:pStyle w:val="ListParagraph"/>
        <w:numPr>
          <w:ilvl w:val="0"/>
          <w:numId w:val="4"/>
        </w:numPr>
        <w:jc w:val="left"/>
        <w:rPr>
          <w:rFonts w:ascii="Calibri" w:hAnsi="Calibri" w:cs="Calibri"/>
        </w:rPr>
      </w:pPr>
      <w:r>
        <w:t>The Request Service API, called the Request Service in this chapter, shall give the integration's data to the application that calls it.</w:t>
      </w:r>
    </w:p>
    <w:p w14:paraId="7C7776D8" w14:textId="2C7104F4" w:rsidR="00FC42E7" w:rsidRPr="00EC3682" w:rsidRDefault="00FC42E7" w:rsidP="00FC42E7">
      <w:pPr>
        <w:pStyle w:val="ListParagraph"/>
        <w:numPr>
          <w:ilvl w:val="0"/>
          <w:numId w:val="4"/>
        </w:numPr>
        <w:jc w:val="left"/>
        <w:rPr>
          <w:rFonts w:ascii="Calibri" w:hAnsi="Calibri" w:cs="Calibri"/>
        </w:rPr>
      </w:pPr>
      <w:r>
        <w:t>The Request Service shall get the data and, when IsImport is false or not sent, save it in the VCB table of the IQDM database.</w:t>
      </w:r>
    </w:p>
    <w:p w14:paraId="41E896BA" w14:textId="24FA6882" w:rsidR="00C63A98" w:rsidRDefault="00FC42E7" w:rsidP="00FC42E7">
      <w:pPr>
        <w:pStyle w:val="ListParagraph"/>
        <w:numPr>
          <w:ilvl w:val="0"/>
          <w:numId w:val="4"/>
        </w:numPr>
        <w:jc w:val="left"/>
      </w:pPr>
      <w:commentRangeStart w:id="110"/>
      <w:r>
        <w:t xml:space="preserve">For pricing, IsImport shall be true and nothing shall be saved (section </w:t>
      </w:r>
      <w:r>
        <w:fldChar w:fldCharType="begin"/>
      </w:r>
      <w:r>
        <w:instrText xml:space="preserve"> REF _Ref917260913 \w \h \* MERGEFORMAT </w:instrText>
      </w:r>
      <w:r>
        <w:fldChar w:fldCharType="separate"/>
      </w:r>
      <w:r w:rsidRPr="00FC42E7">
        <w:rPr>
          <w:color w:val="0563C1"/>
          <w:u w:val="single"/>
        </w:rPr>
        <w:t>2.3.3.3</w:t>
      </w:r>
      <w:r>
        <w:fldChar w:fldCharType="end"/>
      </w:r>
      <w:r>
        <w:t>).</w:t>
      </w:r>
      <w:commentRangeEnd w:id="110"/>
      <w:r w:rsidR="00F02C78">
        <w:rPr>
          <w:rStyle w:val="CommentReference"/>
          <w:sz w:val="22"/>
          <w:szCs w:val="22"/>
        </w:rPr>
        <w:commentReference w:id="110"/>
      </w:r>
    </w:p>
    <w:p w14:paraId="2B31E44B" w14:textId="57E92CDC" w:rsidR="00FC42E7" w:rsidRPr="00EC3682" w:rsidRDefault="00FC42E7" w:rsidP="00FC42E7">
      <w:pPr>
        <w:pStyle w:val="ListParagraph"/>
        <w:numPr>
          <w:ilvl w:val="0"/>
          <w:numId w:val="4"/>
        </w:numPr>
        <w:jc w:val="left"/>
        <w:rPr>
          <w:rFonts w:ascii="Calibri" w:hAnsi="Calibri" w:cs="Calibri"/>
        </w:rPr>
      </w:pPr>
      <w:r>
        <w:t xml:space="preserve">The PIAF and Kittyhawk integrations shall send the request body of Table </w:t>
      </w:r>
      <w:r>
        <w:fldChar w:fldCharType="begin"/>
      </w:r>
      <w:r>
        <w:instrText xml:space="preserve"> REF _Ref917260917 \h \* MERGEFORMAT </w:instrText>
      </w:r>
      <w:r>
        <w:fldChar w:fldCharType="separate"/>
      </w:r>
      <w:r w:rsidRPr="00FC42E7">
        <w:rPr>
          <w:noProof/>
          <w:color w:val="0563C1"/>
          <w:u w:val="single"/>
        </w:rPr>
        <w:t>2-6</w:t>
      </w:r>
      <w:r>
        <w:fldChar w:fldCharType="end"/>
      </w:r>
      <w:r>
        <w:t xml:space="preserve">; the pricing request body shall be given in section </w:t>
      </w:r>
      <w:r>
        <w:fldChar w:fldCharType="begin"/>
      </w:r>
      <w:r>
        <w:instrText xml:space="preserve"> REF _Ref917260913 \w \h \* MERGEFORMAT </w:instrText>
      </w:r>
      <w:r>
        <w:fldChar w:fldCharType="separate"/>
      </w:r>
      <w:r w:rsidRPr="00FC42E7">
        <w:rPr>
          <w:color w:val="0563C1"/>
          <w:u w:val="single"/>
        </w:rPr>
        <w:t>2.3.3.3</w:t>
      </w:r>
      <w:r>
        <w:fldChar w:fldCharType="end"/>
      </w:r>
      <w:r>
        <w:t>.</w:t>
      </w:r>
    </w:p>
    <w:p w14:paraId="3017EDD8" w14:textId="366E5DB9" w:rsidR="00C63A98" w:rsidRDefault="00FC42E7" w:rsidP="00FC42E7">
      <w:pPr>
        <w:keepNext/>
        <w:jc w:val="left"/>
      </w:pPr>
      <w:r>
        <w:t>Every request shall carry the header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9"/>
        <w:gridCol w:w="3439"/>
        <w:gridCol w:w="1392"/>
        <w:gridCol w:w="1520"/>
      </w:tblGrid>
      <w:tr w:rsidR="00C63A98" w:rsidRPr="00C63A98" w14:paraId="5A618FE7" w14:textId="6AD2893D" w:rsidTr="00C63A98">
        <w:trPr>
          <w:cantSplit/>
          <w:tblHeader/>
        </w:trPr>
        <w:tc>
          <w:tcPr>
            <w:tcW w:w="3009" w:type="dxa"/>
            <w:shd w:val="clear" w:color="auto" w:fill="2F5597"/>
          </w:tcPr>
          <w:p w14:paraId="338A4A1E" w14:textId="49A88919" w:rsidR="00C63A98" w:rsidRPr="00C63A98" w:rsidRDefault="00C63A98" w:rsidP="00C63A98">
            <w:pPr>
              <w:pStyle w:val="Tablehead1"/>
              <w:rPr>
                <w:rFonts w:ascii="Calibri" w:hAnsi="Calibri" w:cs="Calibri"/>
                <w:sz w:val="20"/>
              </w:rPr>
            </w:pPr>
            <w:r w:rsidRPr="00C63A98">
              <w:rPr>
                <w:rFonts w:ascii="Calibri" w:hAnsi="Calibri" w:cs="Calibri"/>
                <w:sz w:val="20"/>
              </w:rPr>
              <w:t>Parameter</w:t>
            </w:r>
          </w:p>
        </w:tc>
        <w:tc>
          <w:tcPr>
            <w:tcW w:w="3439" w:type="dxa"/>
            <w:shd w:val="clear" w:color="auto" w:fill="2F5597"/>
          </w:tcPr>
          <w:p w14:paraId="5B4A3185" w14:textId="5EB909FE" w:rsidR="00C63A98" w:rsidRPr="00C63A98" w:rsidRDefault="00C63A98" w:rsidP="00C63A98">
            <w:pPr>
              <w:pStyle w:val="Tablehead1"/>
              <w:rPr>
                <w:rFonts w:ascii="Calibri" w:hAnsi="Calibri" w:cs="Calibri"/>
                <w:sz w:val="20"/>
              </w:rPr>
            </w:pPr>
            <w:r w:rsidRPr="00C63A98">
              <w:rPr>
                <w:rFonts w:ascii="Calibri" w:hAnsi="Calibri" w:cs="Calibri"/>
                <w:sz w:val="20"/>
              </w:rPr>
              <w:t>Description</w:t>
            </w:r>
          </w:p>
        </w:tc>
        <w:tc>
          <w:tcPr>
            <w:tcW w:w="1392" w:type="dxa"/>
            <w:shd w:val="clear" w:color="auto" w:fill="2F5597"/>
          </w:tcPr>
          <w:p w14:paraId="485AB1BE" w14:textId="40A8D5A2" w:rsidR="00C63A98" w:rsidRPr="00C63A98" w:rsidRDefault="00C63A98" w:rsidP="00C63A98">
            <w:pPr>
              <w:pStyle w:val="Tablehead1"/>
              <w:rPr>
                <w:rFonts w:ascii="Calibri" w:hAnsi="Calibri" w:cs="Calibri"/>
                <w:sz w:val="20"/>
              </w:rPr>
            </w:pPr>
            <w:r w:rsidRPr="00C63A98">
              <w:rPr>
                <w:rFonts w:ascii="Calibri" w:hAnsi="Calibri" w:cs="Calibri"/>
                <w:sz w:val="20"/>
              </w:rPr>
              <w:t>Mandatory</w:t>
            </w:r>
          </w:p>
        </w:tc>
        <w:tc>
          <w:tcPr>
            <w:tcW w:w="1520" w:type="dxa"/>
            <w:shd w:val="clear" w:color="auto" w:fill="2F5597"/>
          </w:tcPr>
          <w:p w14:paraId="29E7D0DD" w14:textId="28188630" w:rsidR="00C63A98" w:rsidRPr="00C63A98" w:rsidRDefault="00C63A98" w:rsidP="00C63A98">
            <w:pPr>
              <w:pStyle w:val="Tablehead1"/>
              <w:rPr>
                <w:rFonts w:ascii="Calibri" w:hAnsi="Calibri" w:cs="Calibri"/>
                <w:sz w:val="20"/>
              </w:rPr>
            </w:pPr>
            <w:r w:rsidRPr="00C63A98">
              <w:rPr>
                <w:rFonts w:ascii="Calibri" w:hAnsi="Calibri" w:cs="Calibri"/>
                <w:sz w:val="20"/>
              </w:rPr>
              <w:t>Type</w:t>
            </w:r>
          </w:p>
        </w:tc>
      </w:tr>
      <w:tr w:rsidR="00C63A98" w:rsidRPr="00C63A98" w14:paraId="4FA68B87" w14:textId="5332001C" w:rsidTr="00C63A98">
        <w:trPr>
          <w:cantSplit/>
        </w:trPr>
        <w:tc>
          <w:tcPr>
            <w:tcW w:w="3009" w:type="dxa"/>
          </w:tcPr>
          <w:p w14:paraId="6BDA6E80" w14:textId="7961DF48" w:rsidR="00C63A98" w:rsidRPr="00C63A98" w:rsidRDefault="00C63A98" w:rsidP="00C63A98">
            <w:pPr>
              <w:pStyle w:val="Tabletext"/>
              <w:rPr>
                <w:rFonts w:ascii="Calibri" w:hAnsi="Calibri" w:cs="Calibri"/>
                <w:sz w:val="20"/>
              </w:rPr>
            </w:pPr>
            <w:r w:rsidRPr="00C63A98">
              <w:rPr>
                <w:rFonts w:ascii="Calibri" w:hAnsi="Calibri" w:cs="Calibri"/>
                <w:sz w:val="20"/>
              </w:rPr>
              <w:t>CipParentTransactionID</w:t>
            </w:r>
          </w:p>
        </w:tc>
        <w:tc>
          <w:tcPr>
            <w:tcW w:w="3439" w:type="dxa"/>
          </w:tcPr>
          <w:p w14:paraId="35CE1FAF" w14:textId="4AE24107" w:rsidR="00C63A98" w:rsidRPr="00C63A98" w:rsidRDefault="00CE45AF" w:rsidP="00C63A98">
            <w:pPr>
              <w:pStyle w:val="Tabletext"/>
              <w:rPr>
                <w:rFonts w:ascii="Calibri" w:hAnsi="Calibri" w:cs="Calibri"/>
                <w:sz w:val="20"/>
              </w:rPr>
            </w:pPr>
            <w:r>
              <w:rPr>
                <w:rFonts w:ascii="Calibri" w:hAnsi="Calibri" w:cs="Calibri"/>
                <w:sz w:val="20"/>
              </w:rPr>
              <w:t>Parent transaction ID of the run, carried in the logs</w:t>
            </w:r>
          </w:p>
        </w:tc>
        <w:tc>
          <w:tcPr>
            <w:tcW w:w="1392" w:type="dxa"/>
          </w:tcPr>
          <w:p w14:paraId="3FA247BA" w14:textId="45698BF3" w:rsidR="00C63A98" w:rsidRPr="00C63A98" w:rsidRDefault="00C63A98" w:rsidP="00C63A98">
            <w:pPr>
              <w:pStyle w:val="Tabletext"/>
              <w:rPr>
                <w:rFonts w:ascii="Calibri" w:hAnsi="Calibri" w:cs="Calibri"/>
                <w:sz w:val="20"/>
              </w:rPr>
            </w:pPr>
            <w:r w:rsidRPr="00C63A98">
              <w:rPr>
                <w:rFonts w:ascii="Calibri" w:hAnsi="Calibri" w:cs="Calibri"/>
                <w:sz w:val="20"/>
              </w:rPr>
              <w:t>Yes</w:t>
            </w:r>
          </w:p>
        </w:tc>
        <w:tc>
          <w:tcPr>
            <w:tcW w:w="1520" w:type="dxa"/>
          </w:tcPr>
          <w:p w14:paraId="403B24F6" w14:textId="7D2AB70D"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35DC937A" w14:textId="0D74232F" w:rsidTr="00C63A98">
        <w:trPr>
          <w:cantSplit/>
        </w:trPr>
        <w:tc>
          <w:tcPr>
            <w:tcW w:w="3009" w:type="dxa"/>
          </w:tcPr>
          <w:p w14:paraId="43439588" w14:textId="7D8E4D1A" w:rsidR="00C63A98" w:rsidRPr="00C63A98" w:rsidRDefault="00C63A98" w:rsidP="00C63A98">
            <w:pPr>
              <w:pStyle w:val="Tabletext"/>
              <w:rPr>
                <w:rFonts w:ascii="Calibri" w:hAnsi="Calibri" w:cs="Calibri"/>
                <w:sz w:val="20"/>
              </w:rPr>
            </w:pPr>
            <w:r w:rsidRPr="00C63A98">
              <w:rPr>
                <w:rFonts w:ascii="Calibri" w:hAnsi="Calibri" w:cs="Calibri"/>
                <w:sz w:val="20"/>
              </w:rPr>
              <w:t>CipTransactionID</w:t>
            </w:r>
          </w:p>
        </w:tc>
        <w:tc>
          <w:tcPr>
            <w:tcW w:w="3439" w:type="dxa"/>
          </w:tcPr>
          <w:p w14:paraId="12CC53EE" w14:textId="554708C1" w:rsidR="00C63A98" w:rsidRPr="00C63A98" w:rsidRDefault="00CE45AF" w:rsidP="00C63A98">
            <w:pPr>
              <w:pStyle w:val="Tabletext"/>
              <w:rPr>
                <w:rFonts w:ascii="Calibri" w:hAnsi="Calibri" w:cs="Calibri"/>
                <w:sz w:val="20"/>
              </w:rPr>
            </w:pPr>
            <w:r>
              <w:rPr>
                <w:rFonts w:ascii="Calibri" w:hAnsi="Calibri" w:cs="Calibri"/>
                <w:sz w:val="20"/>
              </w:rPr>
              <w:t>Transaction ID, carried in the logs</w:t>
            </w:r>
          </w:p>
        </w:tc>
        <w:tc>
          <w:tcPr>
            <w:tcW w:w="1392" w:type="dxa"/>
          </w:tcPr>
          <w:p w14:paraId="43BC9CEA" w14:textId="08B274AE" w:rsidR="00C63A98" w:rsidRPr="00C63A98" w:rsidRDefault="00C63A98" w:rsidP="00C63A98">
            <w:pPr>
              <w:pStyle w:val="Tabletext"/>
              <w:rPr>
                <w:rFonts w:ascii="Calibri" w:hAnsi="Calibri" w:cs="Calibri"/>
                <w:sz w:val="20"/>
              </w:rPr>
            </w:pPr>
            <w:r w:rsidRPr="00C63A98">
              <w:rPr>
                <w:rFonts w:ascii="Calibri" w:hAnsi="Calibri" w:cs="Calibri"/>
                <w:sz w:val="20"/>
              </w:rPr>
              <w:t>No</w:t>
            </w:r>
          </w:p>
        </w:tc>
        <w:tc>
          <w:tcPr>
            <w:tcW w:w="1520" w:type="dxa"/>
          </w:tcPr>
          <w:p w14:paraId="3B767806" w14:textId="4132F327"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4F76E941" w14:textId="7761060B" w:rsidTr="00C63A98">
        <w:trPr>
          <w:cantSplit/>
        </w:trPr>
        <w:tc>
          <w:tcPr>
            <w:tcW w:w="3009" w:type="dxa"/>
          </w:tcPr>
          <w:p w14:paraId="6A127A52" w14:textId="54777EB5" w:rsidR="00C63A98" w:rsidRPr="00C63A98" w:rsidRDefault="00C63A98" w:rsidP="00C63A98">
            <w:pPr>
              <w:pStyle w:val="Tabletext"/>
              <w:rPr>
                <w:rFonts w:ascii="Calibri" w:hAnsi="Calibri" w:cs="Calibri"/>
                <w:sz w:val="20"/>
              </w:rPr>
            </w:pPr>
            <w:r w:rsidRPr="00C63A98">
              <w:rPr>
                <w:rFonts w:ascii="Calibri" w:hAnsi="Calibri" w:cs="Calibri"/>
                <w:sz w:val="20"/>
              </w:rPr>
              <w:t>CipTenantID</w:t>
            </w:r>
          </w:p>
        </w:tc>
        <w:tc>
          <w:tcPr>
            <w:tcW w:w="3439" w:type="dxa"/>
          </w:tcPr>
          <w:p w14:paraId="61EB952C" w14:textId="0AD8F4DA" w:rsidR="00C63A98" w:rsidRPr="00C63A98" w:rsidRDefault="00CE45AF" w:rsidP="00C63A98">
            <w:pPr>
              <w:pStyle w:val="Tabletext"/>
              <w:rPr>
                <w:rFonts w:ascii="Calibri" w:hAnsi="Calibri" w:cs="Calibri"/>
                <w:sz w:val="20"/>
              </w:rPr>
            </w:pPr>
            <w:r>
              <w:rPr>
                <w:rFonts w:ascii="Calibri" w:hAnsi="Calibri" w:cs="Calibri"/>
                <w:sz w:val="20"/>
              </w:rPr>
              <w:t>Tenant ID, carried in the logs</w:t>
            </w:r>
          </w:p>
        </w:tc>
        <w:tc>
          <w:tcPr>
            <w:tcW w:w="1392" w:type="dxa"/>
          </w:tcPr>
          <w:p w14:paraId="25C69CB7" w14:textId="6A13C4F6" w:rsidR="00C63A98" w:rsidRPr="00C63A98" w:rsidRDefault="00C63A98" w:rsidP="00C63A98">
            <w:pPr>
              <w:pStyle w:val="Tabletext"/>
              <w:rPr>
                <w:rFonts w:ascii="Calibri" w:hAnsi="Calibri" w:cs="Calibri"/>
                <w:sz w:val="20"/>
              </w:rPr>
            </w:pPr>
            <w:r w:rsidRPr="00C63A98">
              <w:rPr>
                <w:rFonts w:ascii="Calibri" w:hAnsi="Calibri" w:cs="Calibri"/>
                <w:sz w:val="20"/>
              </w:rPr>
              <w:t>No</w:t>
            </w:r>
          </w:p>
        </w:tc>
        <w:tc>
          <w:tcPr>
            <w:tcW w:w="1520" w:type="dxa"/>
          </w:tcPr>
          <w:p w14:paraId="6031C4FC" w14:textId="1377F207"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5D2955FE" w14:textId="51739F95" w:rsidTr="00C63A98">
        <w:trPr>
          <w:cantSplit/>
        </w:trPr>
        <w:tc>
          <w:tcPr>
            <w:tcW w:w="3009" w:type="dxa"/>
          </w:tcPr>
          <w:p w14:paraId="1FDF351D" w14:textId="6034FE89" w:rsidR="00C63A98" w:rsidRPr="00C63A98" w:rsidRDefault="00C63A98" w:rsidP="00C63A98">
            <w:pPr>
              <w:pStyle w:val="Tabletext"/>
              <w:rPr>
                <w:rFonts w:ascii="Calibri" w:hAnsi="Calibri" w:cs="Calibri"/>
                <w:sz w:val="20"/>
              </w:rPr>
            </w:pPr>
            <w:r w:rsidRPr="00C63A98">
              <w:rPr>
                <w:rFonts w:ascii="Calibri" w:hAnsi="Calibri" w:cs="Calibri"/>
                <w:sz w:val="20"/>
              </w:rPr>
              <w:t>CipUserID</w:t>
            </w:r>
          </w:p>
        </w:tc>
        <w:tc>
          <w:tcPr>
            <w:tcW w:w="3439" w:type="dxa"/>
          </w:tcPr>
          <w:p w14:paraId="51054C7C" w14:textId="70DDEB80" w:rsidR="00C63A98" w:rsidRPr="00C63A98" w:rsidRDefault="00CE45AF" w:rsidP="00C63A98">
            <w:pPr>
              <w:pStyle w:val="Tabletext"/>
              <w:rPr>
                <w:rFonts w:ascii="Calibri" w:hAnsi="Calibri" w:cs="Calibri"/>
                <w:sz w:val="20"/>
              </w:rPr>
            </w:pPr>
            <w:r>
              <w:rPr>
                <w:rFonts w:ascii="Calibri" w:hAnsi="Calibri" w:cs="Calibri"/>
                <w:sz w:val="20"/>
              </w:rPr>
              <w:t>User ID, carried in the logs</w:t>
            </w:r>
          </w:p>
        </w:tc>
        <w:tc>
          <w:tcPr>
            <w:tcW w:w="1392" w:type="dxa"/>
          </w:tcPr>
          <w:p w14:paraId="53541EAB" w14:textId="30931E38" w:rsidR="00C63A98" w:rsidRPr="00C63A98" w:rsidRDefault="00C63A98" w:rsidP="00C63A98">
            <w:pPr>
              <w:pStyle w:val="Tabletext"/>
              <w:rPr>
                <w:rFonts w:ascii="Calibri" w:hAnsi="Calibri" w:cs="Calibri"/>
                <w:sz w:val="20"/>
              </w:rPr>
            </w:pPr>
            <w:r w:rsidRPr="00C63A98">
              <w:rPr>
                <w:rFonts w:ascii="Calibri" w:hAnsi="Calibri" w:cs="Calibri"/>
                <w:sz w:val="20"/>
              </w:rPr>
              <w:t>No</w:t>
            </w:r>
          </w:p>
        </w:tc>
        <w:tc>
          <w:tcPr>
            <w:tcW w:w="1520" w:type="dxa"/>
          </w:tcPr>
          <w:p w14:paraId="5BBE092B" w14:textId="16FB1F8A"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6CE7BC74" w14:textId="6AD5E1EF" w:rsidTr="00C63A98">
        <w:trPr>
          <w:cantSplit/>
        </w:trPr>
        <w:tc>
          <w:tcPr>
            <w:tcW w:w="3009" w:type="dxa"/>
          </w:tcPr>
          <w:p w14:paraId="15D4E33E" w14:textId="7FBE038D" w:rsidR="00C63A98" w:rsidRPr="00C63A98" w:rsidRDefault="00C63A98" w:rsidP="00C63A98">
            <w:pPr>
              <w:pStyle w:val="Tabletext"/>
              <w:rPr>
                <w:rFonts w:ascii="Calibri" w:hAnsi="Calibri" w:cs="Calibri"/>
                <w:sz w:val="20"/>
              </w:rPr>
            </w:pPr>
            <w:r w:rsidRPr="00C63A98">
              <w:rPr>
                <w:rFonts w:ascii="Calibri" w:hAnsi="Calibri" w:cs="Calibri"/>
                <w:sz w:val="20"/>
              </w:rPr>
              <w:t>SourceApplication</w:t>
            </w:r>
          </w:p>
        </w:tc>
        <w:tc>
          <w:tcPr>
            <w:tcW w:w="3439" w:type="dxa"/>
          </w:tcPr>
          <w:p w14:paraId="231E7F91" w14:textId="59579957" w:rsidR="00C63A98" w:rsidRPr="00C63A98" w:rsidRDefault="00C63A98" w:rsidP="00C63A98">
            <w:pPr>
              <w:pStyle w:val="Tabletext"/>
              <w:rPr>
                <w:rFonts w:ascii="Calibri" w:hAnsi="Calibri" w:cs="Calibri"/>
                <w:sz w:val="20"/>
              </w:rPr>
            </w:pPr>
            <w:r w:rsidRPr="00C63A98">
              <w:rPr>
                <w:rFonts w:ascii="Calibri" w:hAnsi="Calibri" w:cs="Calibri"/>
                <w:sz w:val="20"/>
              </w:rPr>
              <w:t>Source system of the data</w:t>
            </w:r>
          </w:p>
        </w:tc>
        <w:tc>
          <w:tcPr>
            <w:tcW w:w="1392" w:type="dxa"/>
          </w:tcPr>
          <w:p w14:paraId="6410A06F" w14:textId="45B10B0A" w:rsidR="00C63A98" w:rsidRPr="00C63A98" w:rsidRDefault="00C63A98" w:rsidP="00C63A98">
            <w:pPr>
              <w:pStyle w:val="Tabletext"/>
              <w:rPr>
                <w:rFonts w:ascii="Calibri" w:hAnsi="Calibri" w:cs="Calibri"/>
                <w:sz w:val="20"/>
              </w:rPr>
            </w:pPr>
            <w:r w:rsidRPr="00C63A98">
              <w:rPr>
                <w:rFonts w:ascii="Calibri" w:hAnsi="Calibri" w:cs="Calibri"/>
                <w:sz w:val="20"/>
              </w:rPr>
              <w:t>Yes</w:t>
            </w:r>
          </w:p>
        </w:tc>
        <w:tc>
          <w:tcPr>
            <w:tcW w:w="1520" w:type="dxa"/>
          </w:tcPr>
          <w:p w14:paraId="2A498D5B" w14:textId="3401656F"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5A90B4EA" w14:textId="43357BB2" w:rsidTr="00C63A98">
        <w:trPr>
          <w:cantSplit/>
        </w:trPr>
        <w:tc>
          <w:tcPr>
            <w:tcW w:w="3009" w:type="dxa"/>
          </w:tcPr>
          <w:p w14:paraId="1135B132" w14:textId="0E10E7F7" w:rsidR="00C63A98" w:rsidRPr="00C63A98" w:rsidRDefault="00C63A98" w:rsidP="00C63A98">
            <w:pPr>
              <w:pStyle w:val="Tabletext"/>
              <w:rPr>
                <w:rFonts w:ascii="Calibri" w:hAnsi="Calibri" w:cs="Calibri"/>
                <w:sz w:val="20"/>
              </w:rPr>
            </w:pPr>
            <w:r w:rsidRPr="00C63A98">
              <w:rPr>
                <w:rFonts w:ascii="Calibri" w:hAnsi="Calibri" w:cs="Calibri"/>
                <w:sz w:val="20"/>
              </w:rPr>
              <w:t>DestinationApplication</w:t>
            </w:r>
          </w:p>
        </w:tc>
        <w:tc>
          <w:tcPr>
            <w:tcW w:w="3439" w:type="dxa"/>
          </w:tcPr>
          <w:p w14:paraId="53DB72CD" w14:textId="5E38190C" w:rsidR="00C63A98" w:rsidRPr="00C63A98" w:rsidRDefault="00FC42E7" w:rsidP="00C63A98">
            <w:pPr>
              <w:pStyle w:val="Tabletext"/>
              <w:rPr>
                <w:rFonts w:ascii="Calibri" w:hAnsi="Calibri" w:cs="Calibri"/>
                <w:sz w:val="20"/>
              </w:rPr>
            </w:pPr>
            <w:r>
              <w:rPr>
                <w:rFonts w:ascii="Calibri" w:hAnsi="Calibri" w:cs="Calibri"/>
                <w:sz w:val="20"/>
              </w:rPr>
              <w:t>Target application, which shall be IQDM</w:t>
            </w:r>
          </w:p>
        </w:tc>
        <w:tc>
          <w:tcPr>
            <w:tcW w:w="1392" w:type="dxa"/>
          </w:tcPr>
          <w:p w14:paraId="24CFFFAF" w14:textId="67B9D6C8" w:rsidR="00C63A98" w:rsidRPr="00C63A98" w:rsidRDefault="00C63A98" w:rsidP="00C63A98">
            <w:pPr>
              <w:pStyle w:val="Tabletext"/>
              <w:rPr>
                <w:rFonts w:ascii="Calibri" w:hAnsi="Calibri" w:cs="Calibri"/>
                <w:sz w:val="20"/>
              </w:rPr>
            </w:pPr>
            <w:r w:rsidRPr="00C63A98">
              <w:rPr>
                <w:rFonts w:ascii="Calibri" w:hAnsi="Calibri" w:cs="Calibri"/>
                <w:sz w:val="20"/>
              </w:rPr>
              <w:t>Yes</w:t>
            </w:r>
          </w:p>
        </w:tc>
        <w:tc>
          <w:tcPr>
            <w:tcW w:w="1520" w:type="dxa"/>
          </w:tcPr>
          <w:p w14:paraId="75D7217F" w14:textId="5F71A207"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378FEDBA" w14:textId="79EC48D9" w:rsidTr="00C63A98">
        <w:trPr>
          <w:cantSplit/>
        </w:trPr>
        <w:tc>
          <w:tcPr>
            <w:tcW w:w="3009" w:type="dxa"/>
          </w:tcPr>
          <w:p w14:paraId="7C7954C3" w14:textId="33CA8E01" w:rsidR="00C63A98" w:rsidRPr="00C63A98" w:rsidRDefault="00C63A98" w:rsidP="00C63A98">
            <w:pPr>
              <w:pStyle w:val="Tabletext"/>
              <w:rPr>
                <w:rFonts w:ascii="Calibri" w:hAnsi="Calibri" w:cs="Calibri"/>
                <w:sz w:val="20"/>
              </w:rPr>
            </w:pPr>
            <w:r w:rsidRPr="00C63A98">
              <w:rPr>
                <w:rFonts w:ascii="Calibri" w:hAnsi="Calibri" w:cs="Calibri"/>
                <w:sz w:val="20"/>
              </w:rPr>
              <w:t>InterfaceId</w:t>
            </w:r>
          </w:p>
        </w:tc>
        <w:tc>
          <w:tcPr>
            <w:tcW w:w="3439" w:type="dxa"/>
          </w:tcPr>
          <w:p w14:paraId="55B5C249" w14:textId="06A8414C" w:rsidR="00C63A98" w:rsidRPr="00C63A98" w:rsidRDefault="00CE45AF" w:rsidP="00C63A98">
            <w:pPr>
              <w:pStyle w:val="Tabletext"/>
              <w:rPr>
                <w:rFonts w:ascii="Calibri" w:hAnsi="Calibri" w:cs="Calibri"/>
                <w:sz w:val="20"/>
              </w:rPr>
            </w:pPr>
            <w:r>
              <w:rPr>
                <w:rFonts w:ascii="Calibri" w:hAnsi="Calibri" w:cs="Calibri"/>
                <w:sz w:val="20"/>
              </w:rPr>
              <w:t>ID of the integration</w:t>
            </w:r>
          </w:p>
        </w:tc>
        <w:tc>
          <w:tcPr>
            <w:tcW w:w="1392" w:type="dxa"/>
          </w:tcPr>
          <w:p w14:paraId="38EB57B1" w14:textId="0A46D8AA" w:rsidR="00C63A98" w:rsidRPr="00C63A98" w:rsidRDefault="00C63A98" w:rsidP="00C63A98">
            <w:pPr>
              <w:pStyle w:val="Tabletext"/>
              <w:rPr>
                <w:rFonts w:ascii="Calibri" w:hAnsi="Calibri" w:cs="Calibri"/>
                <w:sz w:val="20"/>
              </w:rPr>
            </w:pPr>
            <w:r w:rsidRPr="00C63A98">
              <w:rPr>
                <w:rFonts w:ascii="Calibri" w:hAnsi="Calibri" w:cs="Calibri"/>
                <w:sz w:val="20"/>
              </w:rPr>
              <w:t>No</w:t>
            </w:r>
          </w:p>
        </w:tc>
        <w:tc>
          <w:tcPr>
            <w:tcW w:w="1520" w:type="dxa"/>
          </w:tcPr>
          <w:p w14:paraId="78B3AE61" w14:textId="5AF2B2B8"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1EF53C0A" w14:textId="44F09230" w:rsidTr="00C63A98">
        <w:trPr>
          <w:cantSplit/>
        </w:trPr>
        <w:tc>
          <w:tcPr>
            <w:tcW w:w="3009" w:type="dxa"/>
          </w:tcPr>
          <w:p w14:paraId="279FDCE7" w14:textId="5F9C094D" w:rsidR="00C63A98" w:rsidRPr="00C63A98" w:rsidRDefault="00C63A98" w:rsidP="00C63A98">
            <w:pPr>
              <w:pStyle w:val="Tabletext"/>
              <w:rPr>
                <w:rFonts w:ascii="Calibri" w:hAnsi="Calibri" w:cs="Calibri"/>
                <w:sz w:val="20"/>
              </w:rPr>
            </w:pPr>
            <w:r w:rsidRPr="00C63A98">
              <w:rPr>
                <w:rFonts w:ascii="Calibri" w:hAnsi="Calibri" w:cs="Calibri"/>
                <w:sz w:val="20"/>
              </w:rPr>
              <w:t>InterfaceName</w:t>
            </w:r>
          </w:p>
        </w:tc>
        <w:tc>
          <w:tcPr>
            <w:tcW w:w="3439" w:type="dxa"/>
          </w:tcPr>
          <w:p w14:paraId="3AEA45B6" w14:textId="127DE285" w:rsidR="00C63A98" w:rsidRPr="00C63A98" w:rsidRDefault="00C63A98" w:rsidP="00C63A98">
            <w:pPr>
              <w:pStyle w:val="Tabletext"/>
              <w:rPr>
                <w:rFonts w:ascii="Calibri" w:hAnsi="Calibri" w:cs="Calibri"/>
                <w:sz w:val="20"/>
              </w:rPr>
            </w:pPr>
            <w:r w:rsidRPr="00C63A98">
              <w:rPr>
                <w:rFonts w:ascii="Calibri" w:hAnsi="Calibri" w:cs="Calibri"/>
                <w:sz w:val="20"/>
              </w:rPr>
              <w:t xml:space="preserve">Name of the </w:t>
            </w:r>
            <w:r w:rsidR="00AA30D8">
              <w:rPr>
                <w:rFonts w:ascii="Calibri" w:hAnsi="Calibri" w:cs="Calibri"/>
                <w:sz w:val="20"/>
              </w:rPr>
              <w:t>integration</w:t>
            </w:r>
          </w:p>
        </w:tc>
        <w:tc>
          <w:tcPr>
            <w:tcW w:w="1392" w:type="dxa"/>
          </w:tcPr>
          <w:p w14:paraId="48812F02" w14:textId="66891546" w:rsidR="00C63A98" w:rsidRPr="00C63A98" w:rsidRDefault="00C63A98" w:rsidP="00C63A98">
            <w:pPr>
              <w:pStyle w:val="Tabletext"/>
              <w:rPr>
                <w:rFonts w:ascii="Calibri" w:hAnsi="Calibri" w:cs="Calibri"/>
                <w:sz w:val="20"/>
              </w:rPr>
            </w:pPr>
            <w:r w:rsidRPr="00C63A98">
              <w:rPr>
                <w:rFonts w:ascii="Calibri" w:hAnsi="Calibri" w:cs="Calibri"/>
                <w:sz w:val="20"/>
              </w:rPr>
              <w:t>No</w:t>
            </w:r>
          </w:p>
        </w:tc>
        <w:tc>
          <w:tcPr>
            <w:tcW w:w="1520" w:type="dxa"/>
          </w:tcPr>
          <w:p w14:paraId="5C2510C8" w14:textId="340204B5"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7E0D6840" w14:textId="332851D2" w:rsidTr="00C63A98">
        <w:trPr>
          <w:cantSplit/>
        </w:trPr>
        <w:tc>
          <w:tcPr>
            <w:tcW w:w="3009" w:type="dxa"/>
          </w:tcPr>
          <w:p w14:paraId="410D1D15" w14:textId="35CF15E7" w:rsidR="00C63A98" w:rsidRPr="00C63A98" w:rsidRDefault="00C63A98" w:rsidP="00C63A98">
            <w:pPr>
              <w:pStyle w:val="Tabletext"/>
              <w:rPr>
                <w:rFonts w:ascii="Calibri" w:hAnsi="Calibri" w:cs="Calibri"/>
                <w:sz w:val="20"/>
              </w:rPr>
            </w:pPr>
            <w:r w:rsidRPr="00C63A98">
              <w:rPr>
                <w:rFonts w:ascii="Calibri" w:hAnsi="Calibri" w:cs="Calibri"/>
                <w:sz w:val="20"/>
              </w:rPr>
              <w:t>GeneratedOn</w:t>
            </w:r>
          </w:p>
        </w:tc>
        <w:tc>
          <w:tcPr>
            <w:tcW w:w="3439" w:type="dxa"/>
          </w:tcPr>
          <w:p w14:paraId="2F21731D" w14:textId="503F6948" w:rsidR="00C63A98" w:rsidRPr="00C63A98" w:rsidRDefault="00C63A98" w:rsidP="00C63A98">
            <w:pPr>
              <w:pStyle w:val="Tabletext"/>
              <w:rPr>
                <w:rFonts w:ascii="Calibri" w:hAnsi="Calibri" w:cs="Calibri"/>
                <w:sz w:val="20"/>
              </w:rPr>
            </w:pPr>
            <w:r w:rsidRPr="00C63A98">
              <w:rPr>
                <w:rFonts w:ascii="Calibri" w:hAnsi="Calibri" w:cs="Calibri"/>
                <w:sz w:val="20"/>
              </w:rPr>
              <w:t>Date and time of the request. Set to the current time when not sent</w:t>
            </w:r>
          </w:p>
        </w:tc>
        <w:tc>
          <w:tcPr>
            <w:tcW w:w="1392" w:type="dxa"/>
          </w:tcPr>
          <w:p w14:paraId="3149FA20" w14:textId="2109F0A0" w:rsidR="00C63A98" w:rsidRPr="00C63A98" w:rsidRDefault="00C63A98" w:rsidP="00C63A98">
            <w:pPr>
              <w:pStyle w:val="Tabletext"/>
              <w:rPr>
                <w:rFonts w:ascii="Calibri" w:hAnsi="Calibri" w:cs="Calibri"/>
                <w:sz w:val="20"/>
              </w:rPr>
            </w:pPr>
            <w:r w:rsidRPr="00C63A98">
              <w:rPr>
                <w:rFonts w:ascii="Calibri" w:hAnsi="Calibri" w:cs="Calibri"/>
                <w:sz w:val="20"/>
              </w:rPr>
              <w:t>No</w:t>
            </w:r>
          </w:p>
        </w:tc>
        <w:tc>
          <w:tcPr>
            <w:tcW w:w="1520" w:type="dxa"/>
          </w:tcPr>
          <w:p w14:paraId="2CD7C486" w14:textId="1560F74E" w:rsidR="00C63A98" w:rsidRPr="00C63A98" w:rsidRDefault="00C63A98" w:rsidP="00C63A98">
            <w:pPr>
              <w:pStyle w:val="Tabletext"/>
              <w:rPr>
                <w:rFonts w:ascii="Calibri" w:hAnsi="Calibri" w:cs="Calibri"/>
                <w:sz w:val="20"/>
              </w:rPr>
            </w:pPr>
            <w:r w:rsidRPr="00C63A98">
              <w:rPr>
                <w:rFonts w:ascii="Calibri" w:hAnsi="Calibri" w:cs="Calibri"/>
                <w:sz w:val="20"/>
              </w:rPr>
              <w:t>DateTime</w:t>
            </w:r>
          </w:p>
        </w:tc>
      </w:tr>
      <w:tr w:rsidR="00C63A98" w:rsidRPr="00C63A98" w14:paraId="2D592439" w14:textId="77777777" w:rsidTr="00C63A98">
        <w:trPr>
          <w:cantSplit/>
        </w:trPr>
        <w:tc>
          <w:tcPr>
            <w:tcW w:w="3009" w:type="dxa"/>
          </w:tcPr>
          <w:p w14:paraId="778A2C7C" w14:textId="43FC2242" w:rsidR="00C63A98" w:rsidRPr="00C63A98" w:rsidRDefault="00C63A98" w:rsidP="00C63A98">
            <w:pPr>
              <w:pStyle w:val="Tabletext"/>
              <w:rPr>
                <w:rFonts w:ascii="Calibri" w:hAnsi="Calibri" w:cs="Calibri"/>
                <w:sz w:val="20"/>
              </w:rPr>
            </w:pPr>
            <w:r w:rsidRPr="00C63A98">
              <w:rPr>
                <w:rFonts w:ascii="Calibri" w:hAnsi="Calibri" w:cs="Calibri"/>
                <w:sz w:val="20"/>
              </w:rPr>
              <w:t>GeneratedBy</w:t>
            </w:r>
          </w:p>
        </w:tc>
        <w:tc>
          <w:tcPr>
            <w:tcW w:w="3439" w:type="dxa"/>
          </w:tcPr>
          <w:p w14:paraId="0AD98890" w14:textId="3ABB1D49" w:rsidR="00C63A98" w:rsidRPr="00C63A98" w:rsidRDefault="00C63A98" w:rsidP="00C63A98">
            <w:pPr>
              <w:pStyle w:val="Tabletext"/>
              <w:rPr>
                <w:rFonts w:ascii="Calibri" w:hAnsi="Calibri" w:cs="Calibri"/>
                <w:sz w:val="20"/>
              </w:rPr>
            </w:pPr>
            <w:r w:rsidRPr="00C63A98">
              <w:rPr>
                <w:rFonts w:ascii="Calibri" w:hAnsi="Calibri" w:cs="Calibri"/>
                <w:sz w:val="20"/>
              </w:rPr>
              <w:t>Who sent the request</w:t>
            </w:r>
          </w:p>
        </w:tc>
        <w:tc>
          <w:tcPr>
            <w:tcW w:w="1392" w:type="dxa"/>
          </w:tcPr>
          <w:p w14:paraId="5658A4FF" w14:textId="375F5528" w:rsidR="00C63A98" w:rsidRPr="00C63A98" w:rsidRDefault="00C63A98" w:rsidP="00C63A98">
            <w:pPr>
              <w:pStyle w:val="Tabletext"/>
              <w:rPr>
                <w:rFonts w:ascii="Calibri" w:hAnsi="Calibri" w:cs="Calibri"/>
                <w:sz w:val="20"/>
              </w:rPr>
            </w:pPr>
            <w:r w:rsidRPr="00C63A98">
              <w:rPr>
                <w:rFonts w:ascii="Calibri" w:hAnsi="Calibri" w:cs="Calibri"/>
                <w:sz w:val="20"/>
              </w:rPr>
              <w:t>No</w:t>
            </w:r>
          </w:p>
        </w:tc>
        <w:tc>
          <w:tcPr>
            <w:tcW w:w="1520" w:type="dxa"/>
          </w:tcPr>
          <w:p w14:paraId="21BEBCAE" w14:textId="5F52BEFD"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0723991B" w14:textId="77777777" w:rsidTr="00C63A98">
        <w:trPr>
          <w:cantSplit/>
        </w:trPr>
        <w:tc>
          <w:tcPr>
            <w:tcW w:w="3009" w:type="dxa"/>
          </w:tcPr>
          <w:p w14:paraId="175B2A61" w14:textId="0475D97D" w:rsidR="00C63A98" w:rsidRPr="00C63A98" w:rsidRDefault="00C63A98" w:rsidP="00C63A98">
            <w:pPr>
              <w:pStyle w:val="Tabletext"/>
              <w:rPr>
                <w:rFonts w:ascii="Calibri" w:hAnsi="Calibri" w:cs="Calibri"/>
                <w:sz w:val="20"/>
              </w:rPr>
            </w:pPr>
            <w:r w:rsidRPr="00C63A98">
              <w:rPr>
                <w:rFonts w:ascii="Calibri" w:hAnsi="Calibri" w:cs="Calibri"/>
                <w:sz w:val="20"/>
              </w:rPr>
              <w:t>SessionId</w:t>
            </w:r>
          </w:p>
        </w:tc>
        <w:tc>
          <w:tcPr>
            <w:tcW w:w="3439" w:type="dxa"/>
          </w:tcPr>
          <w:p w14:paraId="1F7588FB" w14:textId="5AB33B14" w:rsidR="00C63A98" w:rsidRPr="00C63A98" w:rsidRDefault="00CE45AF" w:rsidP="00C63A98">
            <w:pPr>
              <w:pStyle w:val="Tabletext"/>
              <w:rPr>
                <w:rFonts w:ascii="Calibri" w:hAnsi="Calibri" w:cs="Calibri"/>
                <w:sz w:val="20"/>
              </w:rPr>
            </w:pPr>
            <w:r>
              <w:rPr>
                <w:rFonts w:ascii="Calibri" w:hAnsi="Calibri" w:cs="Calibri"/>
                <w:sz w:val="20"/>
              </w:rPr>
              <w:t xml:space="preserve">ID that pairs a response with its request. </w:t>
            </w:r>
            <w:r w:rsidR="00873A53">
              <w:rPr>
                <w:rFonts w:ascii="Calibri" w:hAnsi="Calibri" w:cs="Calibri"/>
                <w:sz w:val="20"/>
              </w:rPr>
              <w:t>The service shall create one when it is empty</w:t>
            </w:r>
          </w:p>
        </w:tc>
        <w:tc>
          <w:tcPr>
            <w:tcW w:w="1392" w:type="dxa"/>
          </w:tcPr>
          <w:p w14:paraId="7B14D26E" w14:textId="084591AB" w:rsidR="00C63A98" w:rsidRPr="00C63A98" w:rsidRDefault="00C63A98" w:rsidP="00C63A98">
            <w:pPr>
              <w:pStyle w:val="Tabletext"/>
              <w:rPr>
                <w:rFonts w:ascii="Calibri" w:hAnsi="Calibri" w:cs="Calibri"/>
                <w:sz w:val="20"/>
              </w:rPr>
            </w:pPr>
            <w:r w:rsidRPr="00C63A98">
              <w:rPr>
                <w:rFonts w:ascii="Calibri" w:hAnsi="Calibri" w:cs="Calibri"/>
                <w:sz w:val="20"/>
              </w:rPr>
              <w:t>No</w:t>
            </w:r>
          </w:p>
        </w:tc>
        <w:tc>
          <w:tcPr>
            <w:tcW w:w="1520" w:type="dxa"/>
          </w:tcPr>
          <w:p w14:paraId="68D9D093" w14:textId="6FF1F6EE" w:rsidR="00C63A98" w:rsidRPr="00C63A98" w:rsidRDefault="00C63A98" w:rsidP="00C63A98">
            <w:pPr>
              <w:pStyle w:val="Tabletext"/>
              <w:rPr>
                <w:rFonts w:ascii="Calibri" w:hAnsi="Calibri" w:cs="Calibri"/>
                <w:sz w:val="20"/>
              </w:rPr>
            </w:pPr>
            <w:r w:rsidRPr="00C63A98">
              <w:rPr>
                <w:rFonts w:ascii="Calibri" w:hAnsi="Calibri" w:cs="Calibri"/>
                <w:sz w:val="20"/>
              </w:rPr>
              <w:t>String</w:t>
            </w:r>
          </w:p>
        </w:tc>
      </w:tr>
      <w:tr w:rsidR="00C63A98" w:rsidRPr="00C63A98" w14:paraId="4D761973" w14:textId="77777777" w:rsidTr="00C63A98">
        <w:trPr>
          <w:cantSplit/>
        </w:trPr>
        <w:tc>
          <w:tcPr>
            <w:tcW w:w="3009" w:type="dxa"/>
          </w:tcPr>
          <w:p w14:paraId="69B4F164" w14:textId="309AEFF0" w:rsidR="00C63A98" w:rsidRPr="00C63A98" w:rsidRDefault="00C63A98" w:rsidP="00C63A98">
            <w:pPr>
              <w:pStyle w:val="Tabletext"/>
              <w:keepNext/>
              <w:rPr>
                <w:rFonts w:ascii="Calibri" w:hAnsi="Calibri" w:cs="Calibri"/>
                <w:sz w:val="20"/>
              </w:rPr>
            </w:pPr>
            <w:r w:rsidRPr="00C63A98">
              <w:rPr>
                <w:rFonts w:ascii="Calibri" w:hAnsi="Calibri" w:cs="Calibri"/>
                <w:sz w:val="20"/>
              </w:rPr>
              <w:t>EmailBodyDetails</w:t>
            </w:r>
          </w:p>
        </w:tc>
        <w:tc>
          <w:tcPr>
            <w:tcW w:w="3439" w:type="dxa"/>
          </w:tcPr>
          <w:p w14:paraId="5D9D7719" w14:textId="6090ACEF" w:rsidR="00C63A98" w:rsidRPr="00C63A98" w:rsidRDefault="00C63A98" w:rsidP="00C63A98">
            <w:pPr>
              <w:pStyle w:val="Tabletext"/>
              <w:keepNext/>
              <w:rPr>
                <w:rFonts w:ascii="Calibri" w:hAnsi="Calibri" w:cs="Calibri"/>
                <w:sz w:val="20"/>
              </w:rPr>
            </w:pPr>
            <w:r w:rsidRPr="00C63A98">
              <w:rPr>
                <w:rFonts w:ascii="Calibri" w:hAnsi="Calibri" w:cs="Calibri"/>
                <w:sz w:val="20"/>
              </w:rPr>
              <w:t xml:space="preserve">Header lines of the notification e-mail, such as the </w:t>
            </w:r>
            <w:r w:rsidR="00AA30D8">
              <w:rPr>
                <w:rFonts w:ascii="Calibri" w:hAnsi="Calibri" w:cs="Calibri"/>
                <w:sz w:val="20"/>
              </w:rPr>
              <w:t>integration</w:t>
            </w:r>
            <w:r w:rsidRPr="00C63A98">
              <w:rPr>
                <w:rFonts w:ascii="Calibri" w:hAnsi="Calibri" w:cs="Calibri"/>
                <w:sz w:val="20"/>
              </w:rPr>
              <w:t xml:space="preserve"> name, run time, region and date range</w:t>
            </w:r>
          </w:p>
        </w:tc>
        <w:tc>
          <w:tcPr>
            <w:tcW w:w="1392" w:type="dxa"/>
          </w:tcPr>
          <w:p w14:paraId="7CEED7E4" w14:textId="17083C4E" w:rsidR="00C63A98" w:rsidRPr="00C63A98" w:rsidRDefault="00C63A98" w:rsidP="00C63A98">
            <w:pPr>
              <w:pStyle w:val="Tabletext"/>
              <w:keepNext/>
              <w:rPr>
                <w:rFonts w:ascii="Calibri" w:hAnsi="Calibri" w:cs="Calibri"/>
                <w:sz w:val="20"/>
              </w:rPr>
            </w:pPr>
            <w:r w:rsidRPr="00C63A98">
              <w:rPr>
                <w:rFonts w:ascii="Calibri" w:hAnsi="Calibri" w:cs="Calibri"/>
                <w:sz w:val="20"/>
              </w:rPr>
              <w:t>No</w:t>
            </w:r>
          </w:p>
        </w:tc>
        <w:tc>
          <w:tcPr>
            <w:tcW w:w="1520" w:type="dxa"/>
          </w:tcPr>
          <w:p w14:paraId="71DD2F8D" w14:textId="39D4CBE7" w:rsidR="00C63A98" w:rsidRPr="00C63A98" w:rsidRDefault="00CE45AF" w:rsidP="00C63A98">
            <w:pPr>
              <w:pStyle w:val="Tabletext"/>
              <w:keepNext/>
              <w:rPr>
                <w:rFonts w:ascii="Calibri" w:hAnsi="Calibri" w:cs="Calibri"/>
                <w:sz w:val="20"/>
              </w:rPr>
            </w:pPr>
            <w:r>
              <w:rPr>
                <w:rFonts w:ascii="Calibri" w:hAnsi="Calibri" w:cs="Calibri"/>
                <w:sz w:val="20"/>
              </w:rPr>
              <w:t>List</w:t>
            </w:r>
          </w:p>
        </w:tc>
      </w:tr>
    </w:tbl>
    <w:p w14:paraId="2C707A6C" w14:textId="7B95EADD" w:rsidR="00C63A98" w:rsidRDefault="00C63A98" w:rsidP="00C63A98">
      <w:pPr>
        <w:pStyle w:val="Caption"/>
      </w:pPr>
      <w:bookmarkStart w:id="111" w:name="_Toc241311425"/>
      <w:bookmarkStart w:id="112" w:name="_Toc241574581"/>
      <w:bookmarkStart w:id="113" w:name="_Toc242554003"/>
      <w:r>
        <w:t xml:space="preserve">Table </w:t>
      </w:r>
      <w:bookmarkStart w:id="114" w:name="_Ref917260927"/>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5</w:t>
      </w:r>
      <w:r>
        <w:fldChar w:fldCharType="end"/>
      </w:r>
      <w:bookmarkEnd w:id="114"/>
      <w:r>
        <w:t xml:space="preserve">: VCB </w:t>
      </w:r>
      <w:r w:rsidR="00AA30D8">
        <w:t>Integration</w:t>
      </w:r>
      <w:r>
        <w:t xml:space="preserve"> (common pattern) - </w:t>
      </w:r>
      <w:bookmarkEnd w:id="111"/>
      <w:bookmarkEnd w:id="112"/>
      <w:r w:rsidR="008A4F32">
        <w:t>Request Header Parameters</w:t>
      </w:r>
      <w:bookmarkEnd w:id="113"/>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6"/>
        <w:gridCol w:w="4286"/>
        <w:gridCol w:w="1592"/>
        <w:gridCol w:w="1486"/>
      </w:tblGrid>
      <w:tr w:rsidR="00C63A98" w:rsidRPr="00C63A98" w14:paraId="47C753CB" w14:textId="14F56669" w:rsidTr="00C63A98">
        <w:trPr>
          <w:cantSplit/>
          <w:tblHeader/>
        </w:trPr>
        <w:tc>
          <w:tcPr>
            <w:tcW w:w="1997" w:type="dxa"/>
            <w:shd w:val="clear" w:color="auto" w:fill="2F5597"/>
          </w:tcPr>
          <w:p w14:paraId="094E6297" w14:textId="5085FF49" w:rsidR="00C63A98" w:rsidRPr="00C63A98" w:rsidRDefault="00C63A98" w:rsidP="00AA30D8">
            <w:pPr>
              <w:pStyle w:val="Tablehead1"/>
              <w:rPr>
                <w:rFonts w:ascii="Calibri" w:hAnsi="Calibri" w:cs="Calibri"/>
                <w:sz w:val="20"/>
              </w:rPr>
            </w:pPr>
            <w:r w:rsidRPr="00C63A98">
              <w:rPr>
                <w:rFonts w:ascii="Calibri" w:hAnsi="Calibri" w:cs="Calibri"/>
                <w:sz w:val="20"/>
              </w:rPr>
              <w:t>Parameter</w:t>
            </w:r>
          </w:p>
        </w:tc>
        <w:tc>
          <w:tcPr>
            <w:tcW w:w="4286" w:type="dxa"/>
            <w:shd w:val="clear" w:color="auto" w:fill="2F5597"/>
          </w:tcPr>
          <w:p w14:paraId="1F28FF58" w14:textId="62B1AE67"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c>
          <w:tcPr>
            <w:tcW w:w="1592" w:type="dxa"/>
            <w:shd w:val="clear" w:color="auto" w:fill="2F5597"/>
          </w:tcPr>
          <w:p w14:paraId="02D88733" w14:textId="25AC0752" w:rsidR="00C63A98" w:rsidRPr="00C63A98" w:rsidRDefault="00C63A98" w:rsidP="00AA30D8">
            <w:pPr>
              <w:pStyle w:val="Tablehead1"/>
              <w:rPr>
                <w:rFonts w:ascii="Calibri" w:hAnsi="Calibri" w:cs="Calibri"/>
                <w:sz w:val="20"/>
              </w:rPr>
            </w:pPr>
            <w:r w:rsidRPr="00C63A98">
              <w:rPr>
                <w:rFonts w:ascii="Calibri" w:hAnsi="Calibri" w:cs="Calibri"/>
                <w:sz w:val="20"/>
              </w:rPr>
              <w:t>Mandatory</w:t>
            </w:r>
          </w:p>
        </w:tc>
        <w:tc>
          <w:tcPr>
            <w:tcW w:w="1486" w:type="dxa"/>
            <w:shd w:val="clear" w:color="auto" w:fill="2F5597"/>
          </w:tcPr>
          <w:p w14:paraId="25667FDF" w14:textId="53A19F0B" w:rsidR="00C63A98" w:rsidRPr="00C63A98" w:rsidRDefault="00C63A98" w:rsidP="00AA30D8">
            <w:pPr>
              <w:pStyle w:val="Tablehead1"/>
              <w:rPr>
                <w:rFonts w:ascii="Calibri" w:hAnsi="Calibri" w:cs="Calibri"/>
                <w:sz w:val="20"/>
              </w:rPr>
            </w:pPr>
            <w:r w:rsidRPr="00C63A98">
              <w:rPr>
                <w:rFonts w:ascii="Calibri" w:hAnsi="Calibri" w:cs="Calibri"/>
                <w:sz w:val="20"/>
              </w:rPr>
              <w:t>Type</w:t>
            </w:r>
          </w:p>
        </w:tc>
      </w:tr>
      <w:tr w:rsidR="00C63A98" w:rsidRPr="00C63A98" w14:paraId="6877BE0A" w14:textId="04504DCB" w:rsidTr="00C63A98">
        <w:trPr>
          <w:cantSplit/>
        </w:trPr>
        <w:tc>
          <w:tcPr>
            <w:tcW w:w="1997" w:type="dxa"/>
          </w:tcPr>
          <w:p w14:paraId="44E6694A" w14:textId="339C7D07" w:rsidR="00C63A98" w:rsidRPr="00C63A98" w:rsidRDefault="00C63A98" w:rsidP="00AA30D8">
            <w:pPr>
              <w:pStyle w:val="Tabletext"/>
              <w:keepNext/>
              <w:rPr>
                <w:rFonts w:ascii="Calibri" w:hAnsi="Calibri" w:cs="Calibri"/>
                <w:sz w:val="20"/>
              </w:rPr>
            </w:pPr>
            <w:r w:rsidRPr="00C63A98">
              <w:rPr>
                <w:rFonts w:ascii="Calibri" w:hAnsi="Calibri" w:cs="Calibri"/>
                <w:sz w:val="20"/>
              </w:rPr>
              <w:t>StartDate</w:t>
            </w:r>
          </w:p>
        </w:tc>
        <w:tc>
          <w:tcPr>
            <w:tcW w:w="4286" w:type="dxa"/>
          </w:tcPr>
          <w:p w14:paraId="566224DB" w14:textId="4E8A8A42" w:rsidR="00C63A98" w:rsidRPr="00C63A98" w:rsidRDefault="00C63A98" w:rsidP="00AA30D8">
            <w:pPr>
              <w:pStyle w:val="Tabletext"/>
              <w:keepNext/>
              <w:rPr>
                <w:rFonts w:ascii="Calibri" w:hAnsi="Calibri" w:cs="Calibri"/>
                <w:sz w:val="20"/>
              </w:rPr>
            </w:pPr>
            <w:r w:rsidRPr="00C63A98">
              <w:rPr>
                <w:rFonts w:ascii="Calibri" w:hAnsi="Calibri" w:cs="Calibri"/>
                <w:sz w:val="20"/>
              </w:rPr>
              <w:t>Start of the date range. Not later than EndDate</w:t>
            </w:r>
          </w:p>
        </w:tc>
        <w:tc>
          <w:tcPr>
            <w:tcW w:w="1592" w:type="dxa"/>
          </w:tcPr>
          <w:p w14:paraId="0E2CD1C2" w14:textId="3C95160B"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1486" w:type="dxa"/>
          </w:tcPr>
          <w:p w14:paraId="17C51394" w14:textId="3E7B86FA" w:rsidR="00C63A98" w:rsidRPr="00C63A98" w:rsidRDefault="00C63A98" w:rsidP="00AA30D8">
            <w:pPr>
              <w:pStyle w:val="Tabletext"/>
              <w:keepNext/>
              <w:rPr>
                <w:rFonts w:ascii="Calibri" w:hAnsi="Calibri" w:cs="Calibri"/>
                <w:sz w:val="20"/>
              </w:rPr>
            </w:pPr>
            <w:r w:rsidRPr="00C63A98">
              <w:rPr>
                <w:rFonts w:ascii="Calibri" w:hAnsi="Calibri" w:cs="Calibri"/>
                <w:sz w:val="20"/>
              </w:rPr>
              <w:t>DateTime</w:t>
            </w:r>
          </w:p>
        </w:tc>
      </w:tr>
      <w:tr w:rsidR="00C63A98" w:rsidRPr="00C63A98" w14:paraId="208A1684" w14:textId="1E72D038" w:rsidTr="00C63A98">
        <w:trPr>
          <w:cantSplit/>
        </w:trPr>
        <w:tc>
          <w:tcPr>
            <w:tcW w:w="1997" w:type="dxa"/>
          </w:tcPr>
          <w:p w14:paraId="54C2792C" w14:textId="2EE9CE8F" w:rsidR="00C63A98" w:rsidRPr="00C63A98" w:rsidRDefault="00C63A98" w:rsidP="00AA30D8">
            <w:pPr>
              <w:pStyle w:val="Tabletext"/>
              <w:keepNext/>
              <w:rPr>
                <w:rFonts w:ascii="Calibri" w:hAnsi="Calibri" w:cs="Calibri"/>
                <w:sz w:val="20"/>
              </w:rPr>
            </w:pPr>
            <w:r w:rsidRPr="00C63A98">
              <w:rPr>
                <w:rFonts w:ascii="Calibri" w:hAnsi="Calibri" w:cs="Calibri"/>
                <w:sz w:val="20"/>
              </w:rPr>
              <w:t>EndDate</w:t>
            </w:r>
          </w:p>
        </w:tc>
        <w:tc>
          <w:tcPr>
            <w:tcW w:w="4286" w:type="dxa"/>
          </w:tcPr>
          <w:p w14:paraId="43AF6A45" w14:textId="312DC76D" w:rsidR="00C63A98" w:rsidRPr="00C63A98" w:rsidRDefault="00C63A98" w:rsidP="00AA30D8">
            <w:pPr>
              <w:pStyle w:val="Tabletext"/>
              <w:keepNext/>
              <w:rPr>
                <w:rFonts w:ascii="Calibri" w:hAnsi="Calibri" w:cs="Calibri"/>
                <w:sz w:val="20"/>
              </w:rPr>
            </w:pPr>
            <w:r w:rsidRPr="00C63A98">
              <w:rPr>
                <w:rFonts w:ascii="Calibri" w:hAnsi="Calibri" w:cs="Calibri"/>
                <w:sz w:val="20"/>
              </w:rPr>
              <w:t>End of the date range</w:t>
            </w:r>
          </w:p>
        </w:tc>
        <w:tc>
          <w:tcPr>
            <w:tcW w:w="1592" w:type="dxa"/>
          </w:tcPr>
          <w:p w14:paraId="3B8CB860" w14:textId="2C31C4FD"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1486" w:type="dxa"/>
          </w:tcPr>
          <w:p w14:paraId="35AABB4D" w14:textId="0C5EF295" w:rsidR="00C63A98" w:rsidRPr="00C63A98" w:rsidRDefault="00C63A98" w:rsidP="00AA30D8">
            <w:pPr>
              <w:pStyle w:val="Tabletext"/>
              <w:keepNext/>
              <w:rPr>
                <w:rFonts w:ascii="Calibri" w:hAnsi="Calibri" w:cs="Calibri"/>
                <w:sz w:val="20"/>
              </w:rPr>
            </w:pPr>
            <w:r w:rsidRPr="00C63A98">
              <w:rPr>
                <w:rFonts w:ascii="Calibri" w:hAnsi="Calibri" w:cs="Calibri"/>
                <w:sz w:val="20"/>
              </w:rPr>
              <w:t>DateTime</w:t>
            </w:r>
          </w:p>
        </w:tc>
      </w:tr>
      <w:tr w:rsidR="00C63A98" w:rsidRPr="00C63A98" w14:paraId="78DBE9D3" w14:textId="3936077F" w:rsidTr="00C63A98">
        <w:trPr>
          <w:cantSplit/>
        </w:trPr>
        <w:tc>
          <w:tcPr>
            <w:tcW w:w="1997" w:type="dxa"/>
          </w:tcPr>
          <w:p w14:paraId="6C8E7F0C" w14:textId="0893482C" w:rsidR="00C63A98" w:rsidRPr="00C63A98" w:rsidRDefault="00C63A98" w:rsidP="00AA30D8">
            <w:pPr>
              <w:pStyle w:val="Tabletext"/>
              <w:keepNext/>
              <w:rPr>
                <w:rFonts w:ascii="Calibri" w:hAnsi="Calibri" w:cs="Calibri"/>
                <w:sz w:val="20"/>
              </w:rPr>
            </w:pPr>
            <w:r w:rsidRPr="00C63A98">
              <w:rPr>
                <w:rFonts w:ascii="Calibri" w:hAnsi="Calibri" w:cs="Calibri"/>
                <w:sz w:val="20"/>
              </w:rPr>
              <w:t>State</w:t>
            </w:r>
          </w:p>
        </w:tc>
        <w:tc>
          <w:tcPr>
            <w:tcW w:w="4286" w:type="dxa"/>
          </w:tcPr>
          <w:p w14:paraId="31ACD8EF" w14:textId="54D3F461" w:rsidR="00C63A98" w:rsidRPr="00C63A98" w:rsidRDefault="00C63A98" w:rsidP="00AA30D8">
            <w:pPr>
              <w:pStyle w:val="Tabletext"/>
              <w:keepNext/>
              <w:rPr>
                <w:rFonts w:ascii="Calibri" w:hAnsi="Calibri" w:cs="Calibri"/>
                <w:sz w:val="20"/>
              </w:rPr>
            </w:pPr>
            <w:r w:rsidRPr="00C63A98">
              <w:rPr>
                <w:rFonts w:ascii="Calibri" w:hAnsi="Calibri" w:cs="Calibri"/>
                <w:sz w:val="20"/>
              </w:rPr>
              <w:t xml:space="preserve">Actual or Scheduled. The </w:t>
            </w:r>
            <w:r w:rsidR="00610DB7">
              <w:rPr>
                <w:rFonts w:ascii="Calibri" w:hAnsi="Calibri" w:cs="Calibri"/>
                <w:sz w:val="20"/>
              </w:rPr>
              <w:t>PIAF and Kittyhawk integrations</w:t>
            </w:r>
            <w:r w:rsidRPr="00C63A98">
              <w:rPr>
                <w:rFonts w:ascii="Calibri" w:hAnsi="Calibri" w:cs="Calibri"/>
                <w:sz w:val="20"/>
              </w:rPr>
              <w:t xml:space="preserve"> send Actual</w:t>
            </w:r>
          </w:p>
        </w:tc>
        <w:tc>
          <w:tcPr>
            <w:tcW w:w="1592" w:type="dxa"/>
          </w:tcPr>
          <w:p w14:paraId="4F0B201D" w14:textId="148D6F6A"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1486" w:type="dxa"/>
          </w:tcPr>
          <w:p w14:paraId="68CA6AF3" w14:textId="10F80456" w:rsidR="00C63A98" w:rsidRPr="00C63A98" w:rsidRDefault="00C63A98" w:rsidP="00AA30D8">
            <w:pPr>
              <w:pStyle w:val="Tabletext"/>
              <w:keepNext/>
              <w:rPr>
                <w:rFonts w:ascii="Calibri" w:hAnsi="Calibri" w:cs="Calibri"/>
                <w:sz w:val="20"/>
              </w:rPr>
            </w:pPr>
            <w:r w:rsidRPr="00C63A98">
              <w:rPr>
                <w:rFonts w:ascii="Calibri" w:hAnsi="Calibri" w:cs="Calibri"/>
                <w:sz w:val="20"/>
              </w:rPr>
              <w:t>String</w:t>
            </w:r>
          </w:p>
        </w:tc>
      </w:tr>
      <w:tr w:rsidR="00C63A98" w:rsidRPr="00C63A98" w14:paraId="425D6B76" w14:textId="38463702" w:rsidTr="00C63A98">
        <w:trPr>
          <w:cantSplit/>
        </w:trPr>
        <w:tc>
          <w:tcPr>
            <w:tcW w:w="1997" w:type="dxa"/>
          </w:tcPr>
          <w:p w14:paraId="27A63612" w14:textId="29E580D4" w:rsidR="00C63A98" w:rsidRPr="00C63A98" w:rsidRDefault="00C63A98" w:rsidP="00AA30D8">
            <w:pPr>
              <w:pStyle w:val="Tabletext"/>
              <w:keepNext/>
              <w:rPr>
                <w:rFonts w:ascii="Calibri" w:hAnsi="Calibri" w:cs="Calibri"/>
                <w:sz w:val="20"/>
              </w:rPr>
            </w:pPr>
            <w:r w:rsidRPr="00C63A98">
              <w:rPr>
                <w:rFonts w:ascii="Calibri" w:hAnsi="Calibri" w:cs="Calibri"/>
                <w:sz w:val="20"/>
              </w:rPr>
              <w:t>LocationType</w:t>
            </w:r>
          </w:p>
        </w:tc>
        <w:tc>
          <w:tcPr>
            <w:tcW w:w="4286" w:type="dxa"/>
          </w:tcPr>
          <w:p w14:paraId="2E75121A" w14:textId="207620AF" w:rsidR="00C63A98" w:rsidRPr="00C63A98" w:rsidRDefault="00C63A98" w:rsidP="00AA30D8">
            <w:pPr>
              <w:pStyle w:val="Tabletext"/>
              <w:keepNext/>
              <w:rPr>
                <w:rFonts w:ascii="Calibri" w:hAnsi="Calibri" w:cs="Calibri"/>
                <w:sz w:val="20"/>
              </w:rPr>
            </w:pPr>
            <w:r w:rsidRPr="00C63A98">
              <w:rPr>
                <w:rFonts w:ascii="Calibri" w:hAnsi="Calibri" w:cs="Calibri"/>
                <w:sz w:val="20"/>
              </w:rPr>
              <w:t xml:space="preserve">Refinery or Terminal. The </w:t>
            </w:r>
            <w:r w:rsidR="00610DB7">
              <w:rPr>
                <w:rFonts w:ascii="Calibri" w:hAnsi="Calibri" w:cs="Calibri"/>
                <w:sz w:val="20"/>
              </w:rPr>
              <w:t>PIAF and Kittyhawk integrations</w:t>
            </w:r>
            <w:r w:rsidRPr="00C63A98">
              <w:rPr>
                <w:rFonts w:ascii="Calibri" w:hAnsi="Calibri" w:cs="Calibri"/>
                <w:sz w:val="20"/>
              </w:rPr>
              <w:t xml:space="preserve"> use Terminal</w:t>
            </w:r>
          </w:p>
        </w:tc>
        <w:tc>
          <w:tcPr>
            <w:tcW w:w="1592" w:type="dxa"/>
          </w:tcPr>
          <w:p w14:paraId="5C4446CF" w14:textId="18D7813C"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1486" w:type="dxa"/>
          </w:tcPr>
          <w:p w14:paraId="78B925D5" w14:textId="1E859B03" w:rsidR="00C63A98" w:rsidRPr="00C63A98" w:rsidRDefault="00C63A98" w:rsidP="00AA30D8">
            <w:pPr>
              <w:pStyle w:val="Tabletext"/>
              <w:keepNext/>
              <w:rPr>
                <w:rFonts w:ascii="Calibri" w:hAnsi="Calibri" w:cs="Calibri"/>
                <w:sz w:val="20"/>
              </w:rPr>
            </w:pPr>
            <w:r w:rsidRPr="00C63A98">
              <w:rPr>
                <w:rFonts w:ascii="Calibri" w:hAnsi="Calibri" w:cs="Calibri"/>
                <w:sz w:val="20"/>
              </w:rPr>
              <w:t>String</w:t>
            </w:r>
          </w:p>
        </w:tc>
      </w:tr>
      <w:tr w:rsidR="00C63A98" w:rsidRPr="00C63A98" w14:paraId="71D4C9AC" w14:textId="0687E6F0" w:rsidTr="00C63A98">
        <w:trPr>
          <w:cantSplit/>
        </w:trPr>
        <w:tc>
          <w:tcPr>
            <w:tcW w:w="1997" w:type="dxa"/>
          </w:tcPr>
          <w:p w14:paraId="14F055CD" w14:textId="25B74140" w:rsidR="00C63A98" w:rsidRPr="00C63A98" w:rsidRDefault="00C63A98" w:rsidP="00AA30D8">
            <w:pPr>
              <w:pStyle w:val="Tabletext"/>
              <w:keepNext/>
              <w:rPr>
                <w:rFonts w:ascii="Calibri" w:hAnsi="Calibri" w:cs="Calibri"/>
                <w:sz w:val="20"/>
              </w:rPr>
            </w:pPr>
            <w:commentRangeStart w:id="115"/>
            <w:r w:rsidRPr="00C63A98">
              <w:rPr>
                <w:rFonts w:ascii="Calibri" w:hAnsi="Calibri" w:cs="Calibri"/>
                <w:sz w:val="20"/>
              </w:rPr>
              <w:t>LocationCodes</w:t>
            </w:r>
          </w:p>
        </w:tc>
        <w:tc>
          <w:tcPr>
            <w:tcW w:w="4286" w:type="dxa"/>
          </w:tcPr>
          <w:p w14:paraId="63185B55" w14:textId="2A2AA494" w:rsidR="00C63A98" w:rsidRPr="00C63A98" w:rsidRDefault="00C63A98" w:rsidP="00AA30D8">
            <w:pPr>
              <w:pStyle w:val="Tabletext"/>
              <w:keepNext/>
              <w:rPr>
                <w:rFonts w:ascii="Calibri" w:hAnsi="Calibri" w:cs="Calibri"/>
                <w:sz w:val="20"/>
              </w:rPr>
            </w:pPr>
            <w:r w:rsidRPr="00C63A98">
              <w:rPr>
                <w:rFonts w:ascii="Calibri" w:hAnsi="Calibri" w:cs="Calibri"/>
                <w:sz w:val="20"/>
              </w:rPr>
              <w:t>Location codes of the request</w:t>
            </w:r>
          </w:p>
        </w:tc>
        <w:tc>
          <w:tcPr>
            <w:tcW w:w="1592" w:type="dxa"/>
          </w:tcPr>
          <w:p w14:paraId="3874BF1F" w14:textId="7C773D5F" w:rsidR="00C63A98" w:rsidRPr="00C63A98" w:rsidRDefault="00144FA3" w:rsidP="00AA30D8">
            <w:pPr>
              <w:pStyle w:val="Tabletext"/>
              <w:keepNext/>
              <w:rPr>
                <w:rFonts w:ascii="Calibri" w:hAnsi="Calibri" w:cs="Calibri"/>
                <w:sz w:val="20"/>
              </w:rPr>
            </w:pPr>
            <w:r>
              <w:rPr>
                <w:rFonts w:ascii="Calibri" w:hAnsi="Calibri" w:cs="Calibri"/>
                <w:sz w:val="20"/>
              </w:rPr>
              <w:t>Yes, except for Kittyhawk</w:t>
            </w:r>
          </w:p>
        </w:tc>
        <w:tc>
          <w:tcPr>
            <w:tcW w:w="1486" w:type="dxa"/>
          </w:tcPr>
          <w:p w14:paraId="26B34ADF" w14:textId="46A7C05F" w:rsidR="00C63A98" w:rsidRPr="00C63A98" w:rsidRDefault="00C63A98" w:rsidP="00AA30D8">
            <w:pPr>
              <w:pStyle w:val="Tabletext"/>
              <w:keepNext/>
              <w:rPr>
                <w:rFonts w:ascii="Calibri" w:hAnsi="Calibri" w:cs="Calibri"/>
                <w:sz w:val="20"/>
              </w:rPr>
            </w:pPr>
            <w:r w:rsidRPr="00C63A98">
              <w:rPr>
                <w:rFonts w:ascii="Calibri" w:hAnsi="Calibri" w:cs="Calibri"/>
                <w:sz w:val="20"/>
              </w:rPr>
              <w:t>List of String</w:t>
            </w:r>
            <w:commentRangeEnd w:id="115"/>
            <w:r w:rsidR="005C2597" w:rsidRPr="00C63A98">
              <w:rPr>
                <w:rStyle w:val="CommentReference"/>
                <w:rFonts w:ascii="Calibri" w:hAnsi="Calibri" w:cs="Calibri"/>
                <w:sz w:val="20"/>
                <w:szCs w:val="20"/>
              </w:rPr>
              <w:commentReference w:id="115"/>
            </w:r>
          </w:p>
        </w:tc>
      </w:tr>
      <w:tr w:rsidR="00C63A98" w:rsidRPr="00C63A98" w14:paraId="058719A3" w14:textId="69804831" w:rsidTr="00C63A98">
        <w:trPr>
          <w:cantSplit/>
        </w:trPr>
        <w:tc>
          <w:tcPr>
            <w:tcW w:w="1997" w:type="dxa"/>
          </w:tcPr>
          <w:p w14:paraId="0B49BB48" w14:textId="0DCA53EE" w:rsidR="00C63A98" w:rsidRPr="00C63A98" w:rsidRDefault="00C63A98" w:rsidP="00AA30D8">
            <w:pPr>
              <w:pStyle w:val="Tabletext"/>
              <w:keepNext/>
              <w:rPr>
                <w:rFonts w:ascii="Calibri" w:hAnsi="Calibri" w:cs="Calibri"/>
                <w:sz w:val="20"/>
              </w:rPr>
            </w:pPr>
            <w:r w:rsidRPr="00C63A98">
              <w:rPr>
                <w:rFonts w:ascii="Calibri" w:hAnsi="Calibri" w:cs="Calibri"/>
                <w:sz w:val="20"/>
              </w:rPr>
              <w:t>Region</w:t>
            </w:r>
          </w:p>
        </w:tc>
        <w:tc>
          <w:tcPr>
            <w:tcW w:w="4286" w:type="dxa"/>
          </w:tcPr>
          <w:p w14:paraId="26A26CEF" w14:textId="47E3F1AE" w:rsidR="00C63A98" w:rsidRPr="00C63A98" w:rsidRDefault="00C63A98" w:rsidP="00AA30D8">
            <w:pPr>
              <w:pStyle w:val="Tabletext"/>
              <w:keepNext/>
              <w:rPr>
                <w:rFonts w:ascii="Calibri" w:hAnsi="Calibri" w:cs="Calibri"/>
                <w:sz w:val="20"/>
              </w:rPr>
            </w:pPr>
            <w:r w:rsidRPr="00C63A98">
              <w:rPr>
                <w:rFonts w:ascii="Calibri" w:hAnsi="Calibri" w:cs="Calibri"/>
                <w:sz w:val="20"/>
              </w:rPr>
              <w:t>Region of the terminals</w:t>
            </w:r>
          </w:p>
        </w:tc>
        <w:tc>
          <w:tcPr>
            <w:tcW w:w="1592" w:type="dxa"/>
          </w:tcPr>
          <w:p w14:paraId="4039D402" w14:textId="4AE6E3A4" w:rsidR="00C63A98" w:rsidRPr="00C63A98" w:rsidRDefault="00C63A98" w:rsidP="00AA30D8">
            <w:pPr>
              <w:pStyle w:val="Tabletext"/>
              <w:keepNext/>
              <w:rPr>
                <w:rFonts w:ascii="Calibri" w:hAnsi="Calibri" w:cs="Calibri"/>
                <w:sz w:val="20"/>
              </w:rPr>
            </w:pPr>
            <w:r w:rsidRPr="00C63A98">
              <w:rPr>
                <w:rFonts w:ascii="Calibri" w:hAnsi="Calibri" w:cs="Calibri"/>
                <w:sz w:val="20"/>
              </w:rPr>
              <w:t>Yes, for Terminal</w:t>
            </w:r>
          </w:p>
        </w:tc>
        <w:tc>
          <w:tcPr>
            <w:tcW w:w="1486" w:type="dxa"/>
          </w:tcPr>
          <w:p w14:paraId="795E6626" w14:textId="16B7F43B" w:rsidR="00C63A98" w:rsidRPr="00C63A98" w:rsidRDefault="00C63A98" w:rsidP="00AA30D8">
            <w:pPr>
              <w:pStyle w:val="Tabletext"/>
              <w:keepNext/>
              <w:rPr>
                <w:rFonts w:ascii="Calibri" w:hAnsi="Calibri" w:cs="Calibri"/>
                <w:sz w:val="20"/>
              </w:rPr>
            </w:pPr>
            <w:r w:rsidRPr="00C63A98">
              <w:rPr>
                <w:rFonts w:ascii="Calibri" w:hAnsi="Calibri" w:cs="Calibri"/>
                <w:sz w:val="20"/>
              </w:rPr>
              <w:t>String</w:t>
            </w:r>
          </w:p>
        </w:tc>
      </w:tr>
      <w:tr w:rsidR="00C63A98" w:rsidRPr="00C63A98" w14:paraId="5E7044AF" w14:textId="24044D8A" w:rsidTr="00C63A98">
        <w:trPr>
          <w:cantSplit/>
        </w:trPr>
        <w:tc>
          <w:tcPr>
            <w:tcW w:w="1997" w:type="dxa"/>
          </w:tcPr>
          <w:p w14:paraId="2AEF2B94" w14:textId="56B82AD0" w:rsidR="00C63A98" w:rsidRPr="00C63A98" w:rsidRDefault="00C63A98" w:rsidP="00AA30D8">
            <w:pPr>
              <w:pStyle w:val="Tabletext"/>
              <w:keepNext/>
              <w:rPr>
                <w:rFonts w:ascii="Calibri" w:hAnsi="Calibri" w:cs="Calibri"/>
                <w:sz w:val="20"/>
              </w:rPr>
            </w:pPr>
            <w:r w:rsidRPr="00C63A98">
              <w:rPr>
                <w:rFonts w:ascii="Calibri" w:hAnsi="Calibri" w:cs="Calibri"/>
                <w:sz w:val="20"/>
              </w:rPr>
              <w:t>IsImport</w:t>
            </w:r>
          </w:p>
        </w:tc>
        <w:tc>
          <w:tcPr>
            <w:tcW w:w="4286" w:type="dxa"/>
          </w:tcPr>
          <w:p w14:paraId="34678A6F" w14:textId="040C1315" w:rsidR="00C63A98" w:rsidRPr="00C63A98" w:rsidRDefault="00873A53" w:rsidP="00AA30D8">
            <w:pPr>
              <w:pStyle w:val="Tabletext"/>
              <w:keepNext/>
              <w:rPr>
                <w:rFonts w:ascii="Calibri" w:hAnsi="Calibri" w:cs="Calibri"/>
                <w:sz w:val="20"/>
              </w:rPr>
            </w:pPr>
            <w:r>
              <w:rPr>
                <w:rFonts w:ascii="Calibri" w:hAnsi="Calibri" w:cs="Calibri"/>
                <w:sz w:val="20"/>
              </w:rPr>
              <w:t>True: the data shall be returned to the caller.</w:t>
            </w:r>
            <w:r w:rsidR="00636937">
              <w:rPr>
                <w:rFonts w:ascii="Calibri" w:hAnsi="Calibri" w:cs="Calibri"/>
                <w:sz w:val="20"/>
              </w:rPr>
              <w:t xml:space="preserve"> </w:t>
            </w:r>
            <w:r>
              <w:rPr>
                <w:rFonts w:ascii="Calibri" w:hAnsi="Calibri" w:cs="Calibri"/>
                <w:sz w:val="20"/>
              </w:rPr>
              <w:t>False or not sent: the data shall be saved in the VCB table of the IQDM database through a stored procedure.</w:t>
            </w:r>
            <w:r w:rsidR="00636937">
              <w:rPr>
                <w:rFonts w:ascii="Calibri" w:hAnsi="Calibri" w:cs="Calibri"/>
                <w:sz w:val="20"/>
              </w:rPr>
              <w:t xml:space="preserve"> </w:t>
            </w:r>
            <w:r>
              <w:rPr>
                <w:rFonts w:ascii="Calibri" w:hAnsi="Calibri" w:cs="Calibri"/>
                <w:sz w:val="20"/>
              </w:rPr>
              <w:t xml:space="preserve">The pricing request shall always send true (section </w:t>
            </w:r>
            <w:r w:rsidR="00FC42E7">
              <w:rPr>
                <w:rFonts w:ascii="Calibri" w:hAnsi="Calibri" w:cs="Calibri"/>
                <w:sz w:val="20"/>
              </w:rPr>
              <w:fldChar w:fldCharType="begin"/>
            </w:r>
            <w:r w:rsidR="00FC42E7">
              <w:rPr>
                <w:rFonts w:ascii="Calibri" w:hAnsi="Calibri" w:cs="Calibri"/>
                <w:sz w:val="20"/>
              </w:rPr>
              <w:instrText xml:space="preserve"> REF _Ref917260913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2.3.3.3</w:t>
            </w:r>
            <w:r w:rsidR="00FC42E7">
              <w:rPr>
                <w:rFonts w:ascii="Calibri" w:hAnsi="Calibri" w:cs="Calibri"/>
                <w:sz w:val="20"/>
              </w:rPr>
              <w:fldChar w:fldCharType="end"/>
            </w:r>
            <w:r>
              <w:rPr>
                <w:rFonts w:ascii="Calibri" w:hAnsi="Calibri" w:cs="Calibri"/>
                <w:sz w:val="20"/>
              </w:rPr>
              <w:t>)</w:t>
            </w:r>
          </w:p>
        </w:tc>
        <w:tc>
          <w:tcPr>
            <w:tcW w:w="1592" w:type="dxa"/>
          </w:tcPr>
          <w:p w14:paraId="03368A9C" w14:textId="2F16671A" w:rsidR="00C63A98" w:rsidRPr="00C63A98" w:rsidRDefault="00C63A98" w:rsidP="00AA30D8">
            <w:pPr>
              <w:pStyle w:val="Tabletext"/>
              <w:keepNext/>
              <w:rPr>
                <w:rFonts w:ascii="Calibri" w:hAnsi="Calibri" w:cs="Calibri"/>
                <w:sz w:val="20"/>
              </w:rPr>
            </w:pPr>
            <w:r w:rsidRPr="00C63A98">
              <w:rPr>
                <w:rFonts w:ascii="Calibri" w:hAnsi="Calibri" w:cs="Calibri"/>
                <w:sz w:val="20"/>
              </w:rPr>
              <w:t>No</w:t>
            </w:r>
          </w:p>
        </w:tc>
        <w:tc>
          <w:tcPr>
            <w:tcW w:w="1486" w:type="dxa"/>
          </w:tcPr>
          <w:p w14:paraId="541F621A" w14:textId="097E299D" w:rsidR="00C63A98" w:rsidRPr="00C63A98" w:rsidRDefault="00C63A98" w:rsidP="00AA30D8">
            <w:pPr>
              <w:pStyle w:val="Tabletext"/>
              <w:keepNext/>
              <w:rPr>
                <w:rFonts w:ascii="Calibri" w:hAnsi="Calibri" w:cs="Calibri"/>
                <w:sz w:val="20"/>
              </w:rPr>
            </w:pPr>
            <w:r w:rsidRPr="00C63A98">
              <w:rPr>
                <w:rFonts w:ascii="Calibri" w:hAnsi="Calibri" w:cs="Calibri"/>
                <w:sz w:val="20"/>
              </w:rPr>
              <w:t>Boolean</w:t>
            </w:r>
          </w:p>
        </w:tc>
      </w:tr>
      <w:tr w:rsidR="00C63A98" w:rsidRPr="00C63A98" w14:paraId="0BCDFFBE" w14:textId="41F734ED" w:rsidTr="00C63A98">
        <w:trPr>
          <w:cantSplit/>
        </w:trPr>
        <w:tc>
          <w:tcPr>
            <w:tcW w:w="1997" w:type="dxa"/>
          </w:tcPr>
          <w:p w14:paraId="1407C865" w14:textId="0818EC2E" w:rsidR="00C63A98" w:rsidRPr="00C63A98" w:rsidRDefault="00C63A98" w:rsidP="00C63A98">
            <w:pPr>
              <w:pStyle w:val="Tabletext"/>
              <w:keepNext/>
              <w:rPr>
                <w:rFonts w:ascii="Calibri" w:hAnsi="Calibri" w:cs="Calibri"/>
                <w:sz w:val="20"/>
              </w:rPr>
            </w:pPr>
            <w:r w:rsidRPr="00C63A98">
              <w:rPr>
                <w:rFonts w:ascii="Calibri" w:hAnsi="Calibri" w:cs="Calibri"/>
                <w:sz w:val="20"/>
              </w:rPr>
              <w:t>UseServiceBus</w:t>
            </w:r>
          </w:p>
        </w:tc>
        <w:tc>
          <w:tcPr>
            <w:tcW w:w="4286" w:type="dxa"/>
          </w:tcPr>
          <w:p w14:paraId="099F7481" w14:textId="4FF13BEB" w:rsidR="00C63A98" w:rsidRPr="00C63A98" w:rsidRDefault="00873A53" w:rsidP="00C63A98">
            <w:pPr>
              <w:pStyle w:val="Tabletext"/>
              <w:keepNext/>
              <w:rPr>
                <w:rFonts w:ascii="Calibri" w:hAnsi="Calibri" w:cs="Calibri"/>
                <w:sz w:val="20"/>
              </w:rPr>
            </w:pPr>
            <w:r>
              <w:rPr>
                <w:rFonts w:ascii="Calibri" w:hAnsi="Calibri" w:cs="Calibri"/>
                <w:sz w:val="20"/>
              </w:rPr>
              <w:t xml:space="preserve">True: the request shall go through the durable functions and queues. False: the Response Service shall be called directly. </w:t>
            </w:r>
            <w:commentRangeStart w:id="116"/>
            <w:r w:rsidR="008F2422">
              <w:rPr>
                <w:rFonts w:ascii="Calibri" w:hAnsi="Calibri" w:cs="Calibri"/>
                <w:sz w:val="20"/>
              </w:rPr>
              <w:t xml:space="preserve">When it is not sent, the </w:t>
            </w:r>
            <w:r w:rsidR="00FC42E7">
              <w:rPr>
                <w:rFonts w:ascii="Calibri" w:hAnsi="Calibri" w:cs="Calibri"/>
                <w:sz w:val="20"/>
              </w:rPr>
              <w:t xml:space="preserve">value in the request table of each integration (Tables </w:t>
            </w:r>
            <w:r w:rsidR="00FC42E7">
              <w:rPr>
                <w:rFonts w:ascii="Calibri" w:hAnsi="Calibri" w:cs="Calibri"/>
                <w:sz w:val="20"/>
              </w:rPr>
              <w:fldChar w:fldCharType="begin"/>
            </w:r>
            <w:r w:rsidR="00FC42E7">
              <w:rPr>
                <w:rFonts w:ascii="Calibri" w:hAnsi="Calibri" w:cs="Calibri"/>
                <w:sz w:val="20"/>
              </w:rPr>
              <w:instrText xml:space="preserve"> REF _Ref917260918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2-12</w:t>
            </w:r>
            <w:r w:rsidR="00FC42E7">
              <w:rPr>
                <w:rFonts w:ascii="Calibri" w:hAnsi="Calibri" w:cs="Calibri"/>
                <w:sz w:val="20"/>
              </w:rPr>
              <w:fldChar w:fldCharType="end"/>
            </w:r>
            <w:r w:rsidR="00FC42E7">
              <w:rPr>
                <w:rFonts w:ascii="Calibri" w:hAnsi="Calibri" w:cs="Calibri"/>
                <w:sz w:val="20"/>
              </w:rPr>
              <w:t xml:space="preserve">, </w:t>
            </w:r>
            <w:r w:rsidR="00FC42E7">
              <w:rPr>
                <w:rFonts w:ascii="Calibri" w:hAnsi="Calibri" w:cs="Calibri"/>
                <w:sz w:val="20"/>
              </w:rPr>
              <w:fldChar w:fldCharType="begin"/>
            </w:r>
            <w:r w:rsidR="00FC42E7">
              <w:rPr>
                <w:rFonts w:ascii="Calibri" w:hAnsi="Calibri" w:cs="Calibri"/>
                <w:sz w:val="20"/>
              </w:rPr>
              <w:instrText xml:space="preserve"> REF _Ref917260919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2-20</w:t>
            </w:r>
            <w:r w:rsidR="00FC42E7">
              <w:rPr>
                <w:rFonts w:ascii="Calibri" w:hAnsi="Calibri" w:cs="Calibri"/>
                <w:sz w:val="20"/>
              </w:rPr>
              <w:fldChar w:fldCharType="end"/>
            </w:r>
            <w:r w:rsidR="00FC42E7">
              <w:rPr>
                <w:rFonts w:ascii="Calibri" w:hAnsi="Calibri" w:cs="Calibri"/>
                <w:sz w:val="20"/>
              </w:rPr>
              <w:t xml:space="preserve">, </w:t>
            </w:r>
            <w:r w:rsidR="00FC42E7">
              <w:rPr>
                <w:rFonts w:ascii="Calibri" w:hAnsi="Calibri" w:cs="Calibri"/>
                <w:sz w:val="20"/>
              </w:rPr>
              <w:fldChar w:fldCharType="begin"/>
            </w:r>
            <w:r w:rsidR="00FC42E7">
              <w:rPr>
                <w:rFonts w:ascii="Calibri" w:hAnsi="Calibri" w:cs="Calibri"/>
                <w:sz w:val="20"/>
              </w:rPr>
              <w:instrText xml:space="preserve"> REF _Ref917260920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2-28</w:t>
            </w:r>
            <w:r w:rsidR="00FC42E7">
              <w:rPr>
                <w:rFonts w:ascii="Calibri" w:hAnsi="Calibri" w:cs="Calibri"/>
                <w:sz w:val="20"/>
              </w:rPr>
              <w:fldChar w:fldCharType="end"/>
            </w:r>
            <w:r w:rsidR="00FC42E7">
              <w:rPr>
                <w:rFonts w:ascii="Calibri" w:hAnsi="Calibri" w:cs="Calibri"/>
                <w:sz w:val="20"/>
              </w:rPr>
              <w:t xml:space="preserve"> and </w:t>
            </w:r>
            <w:r w:rsidR="00FC42E7">
              <w:rPr>
                <w:rFonts w:ascii="Calibri" w:hAnsi="Calibri" w:cs="Calibri"/>
                <w:sz w:val="20"/>
              </w:rPr>
              <w:fldChar w:fldCharType="begin"/>
            </w:r>
            <w:r w:rsidR="00FC42E7">
              <w:rPr>
                <w:rFonts w:ascii="Calibri" w:hAnsi="Calibri" w:cs="Calibri"/>
                <w:sz w:val="20"/>
              </w:rPr>
              <w:instrText xml:space="preserve"> REF _Ref917260921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2-43</w:t>
            </w:r>
            <w:r w:rsidR="00FC42E7">
              <w:rPr>
                <w:rFonts w:ascii="Calibri" w:hAnsi="Calibri" w:cs="Calibri"/>
                <w:sz w:val="20"/>
              </w:rPr>
              <w:fldChar w:fldCharType="end"/>
            </w:r>
            <w:r w:rsidR="00FC42E7">
              <w:rPr>
                <w:rFonts w:ascii="Calibri" w:hAnsi="Calibri" w:cs="Calibri"/>
                <w:sz w:val="20"/>
              </w:rPr>
              <w:t xml:space="preserve">) and of the waiver selection (Table </w:t>
            </w:r>
            <w:r w:rsidR="00FC42E7">
              <w:rPr>
                <w:rFonts w:ascii="Calibri" w:hAnsi="Calibri" w:cs="Calibri"/>
                <w:sz w:val="20"/>
              </w:rPr>
              <w:fldChar w:fldCharType="begin"/>
            </w:r>
            <w:r w:rsidR="00FC42E7">
              <w:rPr>
                <w:rFonts w:ascii="Calibri" w:hAnsi="Calibri" w:cs="Calibri"/>
                <w:sz w:val="20"/>
              </w:rPr>
              <w:instrText xml:space="preserve"> REF _Ref917260922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2-35</w:t>
            </w:r>
            <w:r w:rsidR="00FC42E7">
              <w:rPr>
                <w:rFonts w:ascii="Calibri" w:hAnsi="Calibri" w:cs="Calibri"/>
                <w:sz w:val="20"/>
              </w:rPr>
              <w:fldChar w:fldCharType="end"/>
            </w:r>
            <w:r w:rsidR="00FC42E7">
              <w:rPr>
                <w:rFonts w:ascii="Calibri" w:hAnsi="Calibri" w:cs="Calibri"/>
                <w:sz w:val="20"/>
              </w:rPr>
              <w:t>) shall apply.</w:t>
            </w:r>
            <w:commentRangeEnd w:id="116"/>
            <w:r w:rsidR="001E01D5" w:rsidRPr="00C63A98">
              <w:rPr>
                <w:rStyle w:val="CommentReference"/>
                <w:rFonts w:ascii="Calibri" w:hAnsi="Calibri" w:cs="Calibri"/>
                <w:sz w:val="20"/>
                <w:szCs w:val="20"/>
              </w:rPr>
              <w:commentReference w:id="116"/>
            </w:r>
          </w:p>
        </w:tc>
        <w:tc>
          <w:tcPr>
            <w:tcW w:w="1592" w:type="dxa"/>
          </w:tcPr>
          <w:p w14:paraId="454539FA" w14:textId="6BB2B7FB" w:rsidR="00C63A98" w:rsidRPr="00C63A98" w:rsidRDefault="00C63A98" w:rsidP="00C63A98">
            <w:pPr>
              <w:pStyle w:val="Tabletext"/>
              <w:keepNext/>
              <w:rPr>
                <w:rFonts w:ascii="Calibri" w:hAnsi="Calibri" w:cs="Calibri"/>
                <w:sz w:val="20"/>
              </w:rPr>
            </w:pPr>
            <w:r w:rsidRPr="00C63A98">
              <w:rPr>
                <w:rFonts w:ascii="Calibri" w:hAnsi="Calibri" w:cs="Calibri"/>
                <w:sz w:val="20"/>
              </w:rPr>
              <w:t>No</w:t>
            </w:r>
          </w:p>
        </w:tc>
        <w:tc>
          <w:tcPr>
            <w:tcW w:w="1486" w:type="dxa"/>
          </w:tcPr>
          <w:p w14:paraId="43B62CF5" w14:textId="42491816" w:rsidR="00C63A98" w:rsidRPr="00C63A98" w:rsidRDefault="00C63A98" w:rsidP="00C63A98">
            <w:pPr>
              <w:pStyle w:val="Tabletext"/>
              <w:keepNext/>
              <w:rPr>
                <w:rFonts w:ascii="Calibri" w:hAnsi="Calibri" w:cs="Calibri"/>
                <w:sz w:val="20"/>
              </w:rPr>
            </w:pPr>
            <w:r w:rsidRPr="00C63A98">
              <w:rPr>
                <w:rFonts w:ascii="Calibri" w:hAnsi="Calibri" w:cs="Calibri"/>
                <w:sz w:val="20"/>
              </w:rPr>
              <w:t>Boolean</w:t>
            </w:r>
          </w:p>
        </w:tc>
      </w:tr>
    </w:tbl>
    <w:p w14:paraId="7CE7344F" w14:textId="64C58FD9" w:rsidR="00C63A98" w:rsidRDefault="00C63A98" w:rsidP="00C63A98">
      <w:pPr>
        <w:pStyle w:val="Caption"/>
      </w:pPr>
      <w:bookmarkStart w:id="117" w:name="_Toc241311426"/>
      <w:bookmarkStart w:id="118" w:name="_Toc241574582"/>
      <w:bookmarkStart w:id="119" w:name="_Toc242554004"/>
      <w:r>
        <w:t xml:space="preserve">Table </w:t>
      </w:r>
      <w:bookmarkStart w:id="120" w:name="_Ref917260917"/>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6</w:t>
      </w:r>
      <w:r>
        <w:fldChar w:fldCharType="end"/>
      </w:r>
      <w:bookmarkEnd w:id="120"/>
      <w:r>
        <w:t xml:space="preserve">: VCB </w:t>
      </w:r>
      <w:r w:rsidR="00AA30D8">
        <w:t>Integration</w:t>
      </w:r>
      <w:r>
        <w:t xml:space="preserve"> (common pattern) - </w:t>
      </w:r>
      <w:bookmarkEnd w:id="117"/>
      <w:bookmarkEnd w:id="118"/>
      <w:r w:rsidR="008A4F32">
        <w:t>Request Body Parameters</w:t>
      </w:r>
      <w:bookmarkEnd w:id="119"/>
    </w:p>
    <w:p w14:paraId="14B82EA7" w14:textId="459FD5B3" w:rsidR="00C63A98" w:rsidRDefault="00873A53" w:rsidP="00FC42E7">
      <w:pPr>
        <w:pStyle w:val="ListParagraph"/>
        <w:numPr>
          <w:ilvl w:val="0"/>
          <w:numId w:val="4"/>
        </w:numPr>
        <w:jc w:val="left"/>
      </w:pPr>
      <w:r>
        <w:t>Parameters that only one integration uses shall be given in that entity's section.</w:t>
      </w:r>
    </w:p>
    <w:p w14:paraId="584B1A02" w14:textId="7FBA7CA5" w:rsidR="00C63A98" w:rsidRDefault="00FA3AEE" w:rsidP="00FC42E7">
      <w:pPr>
        <w:keepNext/>
        <w:jc w:val="left"/>
      </w:pPr>
      <w:r>
        <w:t>The Request Service shall:</w:t>
      </w:r>
    </w:p>
    <w:p w14:paraId="6A73ACD9" w14:textId="5B02C9B8" w:rsidR="00C63A98" w:rsidRPr="00C63A98" w:rsidRDefault="00AA30D8" w:rsidP="00652CF3">
      <w:pPr>
        <w:pStyle w:val="ListParagraph"/>
        <w:numPr>
          <w:ilvl w:val="0"/>
          <w:numId w:val="20"/>
        </w:numPr>
        <w:jc w:val="left"/>
        <w:rPr>
          <w:sz w:val="20"/>
        </w:rPr>
      </w:pPr>
      <w:r>
        <w:t>Check the header and the body. DestinationApplication shall be IQDM.</w:t>
      </w:r>
    </w:p>
    <w:p w14:paraId="64EF9D99" w14:textId="17547E18" w:rsidR="00C63A98" w:rsidRPr="00C63A98" w:rsidRDefault="00AA30D8" w:rsidP="00652CF3">
      <w:pPr>
        <w:pStyle w:val="ListParagraph"/>
        <w:numPr>
          <w:ilvl w:val="0"/>
          <w:numId w:val="20"/>
        </w:numPr>
        <w:jc w:val="left"/>
        <w:rPr>
          <w:sz w:val="20"/>
        </w:rPr>
      </w:pPr>
      <w:r>
        <w:t>If UseServiceBus is true, send the request to the Request Durable Function. The durable function shall start the work in the background and at once return a response that is used to check its status.</w:t>
      </w:r>
    </w:p>
    <w:p w14:paraId="4D6013D2" w14:textId="3AB3DE90" w:rsidR="00C63A98" w:rsidRPr="00C63A98" w:rsidRDefault="00AA30D8" w:rsidP="00652CF3">
      <w:pPr>
        <w:pStyle w:val="ListParagraph"/>
        <w:numPr>
          <w:ilvl w:val="0"/>
          <w:numId w:val="20"/>
        </w:numPr>
        <w:jc w:val="left"/>
        <w:rPr>
          <w:sz w:val="20"/>
        </w:rPr>
      </w:pPr>
      <w:r>
        <w:t>Check the status of the durable function at intervals, up to a set timeout. When the durable function has finished, take the data, which is in Profisee codes.</w:t>
      </w:r>
    </w:p>
    <w:p w14:paraId="62CBAB35" w14:textId="03E36A8E" w:rsidR="00C63A98" w:rsidRPr="00C63A98" w:rsidRDefault="00FC42E7" w:rsidP="00652CF3">
      <w:pPr>
        <w:pStyle w:val="ListParagraph"/>
        <w:numPr>
          <w:ilvl w:val="0"/>
          <w:numId w:val="20"/>
        </w:numPr>
        <w:jc w:val="left"/>
        <w:rPr>
          <w:sz w:val="20"/>
        </w:rPr>
      </w:pPr>
      <w:r>
        <w:t xml:space="preserve">If UseServiceBus is false, the Request Service shall skip the durable functions and call the Response Service directly, which shall answer in the same call. </w:t>
      </w:r>
      <w:commentRangeStart w:id="121"/>
      <w:r>
        <w:t xml:space="preserve">Both paths shall remain available. </w:t>
      </w:r>
      <w:commentRangeEnd w:id="121"/>
      <w:r w:rsidR="000A05B0">
        <w:rPr>
          <w:rStyle w:val="CommentReference"/>
          <w:sz w:val="22"/>
          <w:szCs w:val="22"/>
        </w:rPr>
        <w:commentReference w:id="121"/>
      </w:r>
      <w:commentRangeStart w:id="122"/>
      <w:r>
        <w:t>The PIAF and Kittyhawk configurations and the pricing request shall send UseServiceBus = true.</w:t>
      </w:r>
      <w:commentRangeEnd w:id="122"/>
      <w:r w:rsidR="000537B0" w:rsidRPr="00C63A98">
        <w:rPr>
          <w:rStyle w:val="CommentReference"/>
          <w:sz w:val="20"/>
          <w:szCs w:val="22"/>
        </w:rPr>
        <w:commentReference w:id="122"/>
      </w:r>
    </w:p>
    <w:p w14:paraId="6E1E48DE" w14:textId="3FCBD5F2" w:rsidR="00C63A98" w:rsidRPr="00C63A98" w:rsidRDefault="00AA30D8" w:rsidP="00652CF3">
      <w:pPr>
        <w:pStyle w:val="ListParagraph"/>
        <w:numPr>
          <w:ilvl w:val="0"/>
          <w:numId w:val="20"/>
        </w:numPr>
        <w:jc w:val="left"/>
        <w:rPr>
          <w:sz w:val="20"/>
        </w:rPr>
      </w:pPr>
      <w:r>
        <w:t xml:space="preserve">Turn the </w:t>
      </w:r>
      <w:commentRangeStart w:id="123"/>
      <w:r>
        <w:t>Profisee location and material code</w:t>
      </w:r>
      <w:commentRangeEnd w:id="123"/>
      <w:r w:rsidR="000537B0">
        <w:rPr>
          <w:rStyle w:val="CommentReference"/>
          <w:sz w:val="22"/>
          <w:szCs w:val="22"/>
        </w:rPr>
        <w:commentReference w:id="123"/>
      </w:r>
      <w:r>
        <w:t>s into IQDM codes through the Semantic Service, and convert volumes to the IQDM default unit.</w:t>
      </w:r>
    </w:p>
    <w:p w14:paraId="75026362" w14:textId="20D06231" w:rsidR="00C63A98" w:rsidRPr="00C63A98" w:rsidRDefault="00636937" w:rsidP="00652CF3">
      <w:pPr>
        <w:pStyle w:val="ListParagraph"/>
        <w:numPr>
          <w:ilvl w:val="0"/>
          <w:numId w:val="20"/>
        </w:numPr>
        <w:jc w:val="left"/>
        <w:rPr>
          <w:sz w:val="20"/>
        </w:rPr>
      </w:pPr>
      <w:r>
        <w:t xml:space="preserve">Leave out duplicate rows. When the same row appears more than once in one response, every row of that group shall be left out. </w:t>
      </w:r>
      <w:r w:rsidR="00873A53">
        <w:t xml:space="preserve">The save shall use the composite key of the response model </w:t>
      </w:r>
      <w:r w:rsidR="004812A6">
        <w:t xml:space="preserve">(Tables </w:t>
      </w:r>
      <w:r w:rsidR="00FC42E7">
        <w:fldChar w:fldCharType="begin"/>
      </w:r>
      <w:r w:rsidR="00FC42E7">
        <w:instrText xml:space="preserve"> REF _Ref917260923 \h \* MERGEFORMAT </w:instrText>
      </w:r>
      <w:r w:rsidR="00FC42E7">
        <w:fldChar w:fldCharType="separate"/>
      </w:r>
      <w:r w:rsidR="00FC42E7" w:rsidRPr="00FC42E7">
        <w:rPr>
          <w:noProof/>
          <w:color w:val="0563C1"/>
          <w:u w:val="single"/>
        </w:rPr>
        <w:t>2-13</w:t>
      </w:r>
      <w:r w:rsidR="00FC42E7">
        <w:fldChar w:fldCharType="end"/>
      </w:r>
      <w:r w:rsidR="004812A6">
        <w:t xml:space="preserve"> and </w:t>
      </w:r>
      <w:r w:rsidR="00FC42E7">
        <w:fldChar w:fldCharType="begin"/>
      </w:r>
      <w:r w:rsidR="00FC42E7">
        <w:instrText xml:space="preserve"> REF _Ref917260924 \h \* MERGEFORMAT </w:instrText>
      </w:r>
      <w:r w:rsidR="00FC42E7">
        <w:fldChar w:fldCharType="separate"/>
      </w:r>
      <w:r w:rsidR="00FC42E7" w:rsidRPr="00FC42E7">
        <w:rPr>
          <w:noProof/>
          <w:color w:val="0563C1"/>
          <w:u w:val="single"/>
        </w:rPr>
        <w:t>2-29</w:t>
      </w:r>
      <w:r w:rsidR="00FC42E7">
        <w:fldChar w:fldCharType="end"/>
      </w:r>
      <w:r w:rsidR="004812A6">
        <w:t xml:space="preserve">), </w:t>
      </w:r>
      <w:commentRangeStart w:id="124"/>
      <w:r w:rsidR="004812A6">
        <w:t>so a row whose composite key has already been saved shall not be saved again.</w:t>
      </w:r>
      <w:commentRangeEnd w:id="124"/>
      <w:r w:rsidR="000E738C" w:rsidRPr="00C63A98">
        <w:rPr>
          <w:rStyle w:val="CommentReference"/>
          <w:sz w:val="20"/>
          <w:szCs w:val="22"/>
        </w:rPr>
        <w:commentReference w:id="124"/>
      </w:r>
    </w:p>
    <w:p w14:paraId="38FB60EF" w14:textId="1FB7E44B" w:rsidR="00C63A98" w:rsidRPr="00C63A98" w:rsidRDefault="00610DB7" w:rsidP="00652CF3">
      <w:pPr>
        <w:pStyle w:val="ListParagraph"/>
        <w:numPr>
          <w:ilvl w:val="0"/>
          <w:numId w:val="20"/>
        </w:numPr>
        <w:jc w:val="left"/>
        <w:rPr>
          <w:sz w:val="20"/>
        </w:rPr>
      </w:pPr>
      <w:r>
        <w:t>Leave out rows that have no material mapping and, for PIAF rows,</w:t>
      </w:r>
      <w:r w:rsidR="00AB52BC">
        <w:t xml:space="preserve"> rows that have no equipment code.</w:t>
      </w:r>
    </w:p>
    <w:p w14:paraId="1543144C" w14:textId="71F2D42C" w:rsidR="00C63A98" w:rsidRPr="00C63A98" w:rsidRDefault="00AA30D8" w:rsidP="00652CF3">
      <w:pPr>
        <w:pStyle w:val="ListParagraph"/>
        <w:numPr>
          <w:ilvl w:val="0"/>
          <w:numId w:val="20"/>
        </w:numPr>
        <w:jc w:val="left"/>
        <w:rPr>
          <w:sz w:val="20"/>
        </w:rPr>
      </w:pPr>
      <w:r>
        <w:t>If IsImport is true, return the data to the caller. If IsImport is false or not sent, save the data in the VCB table of the IQDM database through a stored procedure.</w:t>
      </w:r>
    </w:p>
    <w:p w14:paraId="08456BA8" w14:textId="1C67CAF3" w:rsidR="00DB434F" w:rsidRPr="00AA30D8" w:rsidRDefault="00DB434F" w:rsidP="00F10FD7">
      <w:pPr>
        <w:pStyle w:val="Heading6"/>
        <w:rPr>
          <w:rFonts w:ascii="Calibri" w:hAnsi="Calibri" w:cs="Calibri"/>
          <w:sz w:val="20"/>
        </w:rPr>
      </w:pPr>
      <w:r w:rsidRPr="00AA30D8">
        <w:rPr>
          <w:rFonts w:ascii="Calibri" w:hAnsi="Calibri" w:cs="Calibri"/>
          <w:sz w:val="20"/>
        </w:rPr>
        <w:t>Request Durable Function</w:t>
      </w:r>
    </w:p>
    <w:p w14:paraId="1630A997" w14:textId="2685F65D" w:rsidR="00FC42E7" w:rsidRPr="00EC3682" w:rsidRDefault="00FC42E7" w:rsidP="00FC42E7">
      <w:pPr>
        <w:pStyle w:val="ListParagraph"/>
        <w:numPr>
          <w:ilvl w:val="0"/>
          <w:numId w:val="4"/>
        </w:numPr>
        <w:jc w:val="left"/>
        <w:rPr>
          <w:rFonts w:ascii="Calibri" w:hAnsi="Calibri" w:cs="Calibri"/>
        </w:rPr>
      </w:pPr>
      <w:r>
        <w:t>The Request Durable Function shall be an HTTP-triggered Azure Durable Function.</w:t>
      </w:r>
    </w:p>
    <w:p w14:paraId="17F036F2" w14:textId="2F9A5CE5" w:rsidR="00FC42E7" w:rsidRPr="00EC3682" w:rsidRDefault="00FC42E7" w:rsidP="00FC42E7">
      <w:pPr>
        <w:pStyle w:val="ListParagraph"/>
        <w:numPr>
          <w:ilvl w:val="0"/>
          <w:numId w:val="4"/>
        </w:numPr>
        <w:jc w:val="left"/>
        <w:rPr>
          <w:rFonts w:ascii="Calibri" w:hAnsi="Calibri" w:cs="Calibri"/>
        </w:rPr>
      </w:pPr>
      <w:r>
        <w:t>The Request Durable Function shall have a trigger that starts the run, an orchestrator that sets the order of the work and activities that do the work.</w:t>
      </w:r>
    </w:p>
    <w:p w14:paraId="0E4DCAF1" w14:textId="756BE2AE" w:rsidR="00C63A98" w:rsidRDefault="00FC42E7" w:rsidP="00FC42E7">
      <w:pPr>
        <w:keepNext/>
        <w:jc w:val="left"/>
      </w:pPr>
      <w:r>
        <w:t>The components of the Request Durable Function are:</w:t>
      </w:r>
    </w:p>
    <w:p w14:paraId="7E159E8D" w14:textId="5C1F8854" w:rsidR="00C63A98" w:rsidRPr="00EC3682" w:rsidRDefault="00C63A98" w:rsidP="00957267">
      <w:pPr>
        <w:pStyle w:val="ListParagraph"/>
        <w:numPr>
          <w:ilvl w:val="0"/>
          <w:numId w:val="4"/>
        </w:numPr>
        <w:jc w:val="left"/>
        <w:rPr>
          <w:rFonts w:ascii="Calibri" w:hAnsi="Calibri" w:cs="Calibri"/>
        </w:rPr>
      </w:pPr>
      <w:r w:rsidRPr="00C63A98">
        <w:t>Request Trigger</w:t>
      </w:r>
    </w:p>
    <w:p w14:paraId="2BA78FC6" w14:textId="750FB426" w:rsidR="00C63A98" w:rsidRPr="00EC3682" w:rsidRDefault="00C63A98" w:rsidP="00957267">
      <w:pPr>
        <w:pStyle w:val="ListParagraph"/>
        <w:numPr>
          <w:ilvl w:val="0"/>
          <w:numId w:val="4"/>
        </w:numPr>
        <w:jc w:val="left"/>
        <w:rPr>
          <w:rFonts w:ascii="Calibri" w:hAnsi="Calibri" w:cs="Calibri"/>
        </w:rPr>
      </w:pPr>
      <w:r w:rsidRPr="00C63A98">
        <w:t>Request Orchestrator</w:t>
      </w:r>
    </w:p>
    <w:p w14:paraId="7C021AD0" w14:textId="599E37E1" w:rsidR="00C63A98" w:rsidRPr="00EC3682" w:rsidRDefault="00C63A98" w:rsidP="00957267">
      <w:pPr>
        <w:pStyle w:val="ListParagraph"/>
        <w:numPr>
          <w:ilvl w:val="0"/>
          <w:numId w:val="4"/>
        </w:numPr>
        <w:jc w:val="left"/>
        <w:rPr>
          <w:rFonts w:ascii="Calibri" w:hAnsi="Calibri" w:cs="Calibri"/>
        </w:rPr>
      </w:pPr>
      <w:r w:rsidRPr="00C63A98">
        <w:t>Send-to-Request-Queue Activity</w:t>
      </w:r>
    </w:p>
    <w:p w14:paraId="4C293C2B" w14:textId="4F25A497" w:rsidR="00C63A98" w:rsidRPr="00EC3682" w:rsidRDefault="00C63A98" w:rsidP="00957267">
      <w:pPr>
        <w:pStyle w:val="ListParagraph"/>
        <w:numPr>
          <w:ilvl w:val="0"/>
          <w:numId w:val="4"/>
        </w:numPr>
        <w:jc w:val="left"/>
        <w:rPr>
          <w:rFonts w:ascii="Calibri" w:hAnsi="Calibri" w:cs="Calibri"/>
        </w:rPr>
      </w:pPr>
      <w:r w:rsidRPr="00C63A98">
        <w:t>Poll-Response-Queue Activity</w:t>
      </w:r>
    </w:p>
    <w:p w14:paraId="38BFD587" w14:textId="4DB50800" w:rsidR="00DB434F" w:rsidRPr="00AA30D8" w:rsidRDefault="00DB434F" w:rsidP="00F10FD7">
      <w:pPr>
        <w:pStyle w:val="Heading7"/>
        <w:rPr>
          <w:rFonts w:ascii="Calibri" w:hAnsi="Calibri" w:cs="Calibri"/>
          <w:b/>
          <w:sz w:val="20"/>
        </w:rPr>
      </w:pPr>
      <w:r w:rsidRPr="00AA30D8">
        <w:rPr>
          <w:rFonts w:ascii="Calibri" w:hAnsi="Calibri" w:cs="Calibri"/>
          <w:b/>
          <w:sz w:val="20"/>
        </w:rPr>
        <w:t>Request Trigger</w:t>
      </w:r>
    </w:p>
    <w:p w14:paraId="44CAF56F" w14:textId="7A8F0460" w:rsidR="00FC42E7" w:rsidRPr="00EC3682" w:rsidRDefault="00FC42E7" w:rsidP="00FC42E7">
      <w:pPr>
        <w:pStyle w:val="ListParagraph"/>
        <w:numPr>
          <w:ilvl w:val="0"/>
          <w:numId w:val="4"/>
        </w:numPr>
        <w:jc w:val="left"/>
        <w:rPr>
          <w:rFonts w:ascii="Calibri" w:hAnsi="Calibri" w:cs="Calibri"/>
        </w:rPr>
      </w:pPr>
      <w:r>
        <w:t>The Request Trigger shall be an HTTP-triggered Azure Function and the entry point of the Request Durable Function.</w:t>
      </w:r>
    </w:p>
    <w:p w14:paraId="53677182" w14:textId="4F383FEE" w:rsidR="00C63A98" w:rsidRDefault="00FC42E7" w:rsidP="00FC42E7">
      <w:pPr>
        <w:keepNext/>
        <w:jc w:val="left"/>
      </w:pPr>
      <w:r>
        <w:t>For every request, the Request Trigger shall:</w:t>
      </w:r>
    </w:p>
    <w:p w14:paraId="05FB3313" w14:textId="7EBC2007" w:rsidR="00C63A98" w:rsidRPr="00C63A98" w:rsidRDefault="00AA30D8" w:rsidP="00652CF3">
      <w:pPr>
        <w:pStyle w:val="ListParagraph"/>
        <w:numPr>
          <w:ilvl w:val="0"/>
          <w:numId w:val="19"/>
        </w:numPr>
        <w:jc w:val="left"/>
        <w:rPr>
          <w:sz w:val="20"/>
        </w:rPr>
      </w:pPr>
      <w:r>
        <w:t>Start a new run of the orchestrator.</w:t>
      </w:r>
    </w:p>
    <w:p w14:paraId="41772E32" w14:textId="19DC18BE" w:rsidR="00C63A98" w:rsidRPr="00C63A98" w:rsidRDefault="00AA30D8" w:rsidP="00652CF3">
      <w:pPr>
        <w:pStyle w:val="ListParagraph"/>
        <w:numPr>
          <w:ilvl w:val="0"/>
          <w:numId w:val="19"/>
        </w:numPr>
        <w:jc w:val="left"/>
        <w:rPr>
          <w:sz w:val="20"/>
        </w:rPr>
      </w:pPr>
      <w:r>
        <w:t>Return the status-check response that the Request Service uses to follow the run.</w:t>
      </w:r>
    </w:p>
    <w:p w14:paraId="7AB0BDC2" w14:textId="2FC7E03D" w:rsidR="00DB434F" w:rsidRPr="00AA30D8" w:rsidRDefault="00DB434F" w:rsidP="00F10FD7">
      <w:pPr>
        <w:pStyle w:val="Heading7"/>
        <w:rPr>
          <w:rFonts w:ascii="Calibri" w:hAnsi="Calibri" w:cs="Calibri"/>
          <w:b/>
          <w:sz w:val="20"/>
        </w:rPr>
      </w:pPr>
      <w:r w:rsidRPr="00AA30D8">
        <w:rPr>
          <w:rFonts w:ascii="Calibri" w:hAnsi="Calibri" w:cs="Calibri"/>
          <w:b/>
          <w:sz w:val="20"/>
        </w:rPr>
        <w:t>Request Orchestrator</w:t>
      </w:r>
    </w:p>
    <w:p w14:paraId="2F77A42A" w14:textId="35665BFE" w:rsidR="00C63A98" w:rsidRDefault="00FA3AEE" w:rsidP="00FC42E7">
      <w:pPr>
        <w:keepNext/>
        <w:jc w:val="left"/>
      </w:pPr>
      <w:r>
        <w:t>The Request Orchestrator shall run the activities in this order:</w:t>
      </w:r>
    </w:p>
    <w:p w14:paraId="5ACFD69E" w14:textId="6D6AD21C" w:rsidR="00C63A98" w:rsidRPr="00C63A98" w:rsidRDefault="00AA30D8" w:rsidP="00652CF3">
      <w:pPr>
        <w:pStyle w:val="ListParagraph"/>
        <w:numPr>
          <w:ilvl w:val="0"/>
          <w:numId w:val="18"/>
        </w:numPr>
        <w:jc w:val="left"/>
        <w:rPr>
          <w:sz w:val="20"/>
        </w:rPr>
      </w:pPr>
      <w:r>
        <w:t>Invoke the Send-to-Request-Queue Activity with the request.</w:t>
      </w:r>
    </w:p>
    <w:p w14:paraId="5DF9F253" w14:textId="760D0FAF" w:rsidR="00C63A98" w:rsidRPr="00C63A98" w:rsidRDefault="00AA30D8" w:rsidP="00652CF3">
      <w:pPr>
        <w:pStyle w:val="ListParagraph"/>
        <w:numPr>
          <w:ilvl w:val="0"/>
          <w:numId w:val="18"/>
        </w:numPr>
        <w:jc w:val="left"/>
        <w:rPr>
          <w:sz w:val="20"/>
        </w:rPr>
      </w:pPr>
      <w:r>
        <w:t>Invoke the Poll-Response-Queue Activity and return its content as the result of the run.</w:t>
      </w:r>
    </w:p>
    <w:p w14:paraId="2BD18206" w14:textId="705B4DF5" w:rsidR="00DB434F" w:rsidRPr="00AA30D8" w:rsidRDefault="00DB434F" w:rsidP="00F10FD7">
      <w:pPr>
        <w:pStyle w:val="Heading7"/>
        <w:rPr>
          <w:rFonts w:ascii="Calibri" w:hAnsi="Calibri" w:cs="Calibri"/>
          <w:b/>
          <w:sz w:val="20"/>
        </w:rPr>
      </w:pPr>
      <w:r w:rsidRPr="00AA30D8">
        <w:rPr>
          <w:rFonts w:ascii="Calibri" w:hAnsi="Calibri" w:cs="Calibri"/>
          <w:b/>
          <w:sz w:val="20"/>
        </w:rPr>
        <w:t>Send-to-Request-Queue Activity</w:t>
      </w:r>
    </w:p>
    <w:p w14:paraId="799306BA" w14:textId="13D78410" w:rsidR="00C63A98" w:rsidRDefault="00FA3AEE" w:rsidP="00FC42E7">
      <w:pPr>
        <w:keepNext/>
        <w:jc w:val="left"/>
      </w:pPr>
      <w:r>
        <w:t>The Send-to-Request-Queue Activity shall:</w:t>
      </w:r>
    </w:p>
    <w:p w14:paraId="1A95DA98" w14:textId="775B6B3D" w:rsidR="00C63A98" w:rsidRPr="00C63A98" w:rsidRDefault="00AA30D8" w:rsidP="00652CF3">
      <w:pPr>
        <w:pStyle w:val="ListParagraph"/>
        <w:numPr>
          <w:ilvl w:val="0"/>
          <w:numId w:val="17"/>
        </w:numPr>
        <w:jc w:val="left"/>
        <w:rPr>
          <w:sz w:val="20"/>
        </w:rPr>
      </w:pPr>
      <w:r>
        <w:t>Receive the request from the orchestrator.</w:t>
      </w:r>
    </w:p>
    <w:p w14:paraId="3B4FB613" w14:textId="70DB0E85" w:rsidR="00C63A98" w:rsidRPr="00C63A98" w:rsidRDefault="00AA30D8" w:rsidP="00652CF3">
      <w:pPr>
        <w:pStyle w:val="ListParagraph"/>
        <w:numPr>
          <w:ilvl w:val="0"/>
          <w:numId w:val="17"/>
        </w:numPr>
        <w:jc w:val="left"/>
        <w:rPr>
          <w:sz w:val="20"/>
        </w:rPr>
      </w:pPr>
      <w:r>
        <w:t>Put the request on the request queue in its own session, so that the response can be matched to it.</w:t>
      </w:r>
    </w:p>
    <w:p w14:paraId="67EC466F" w14:textId="50522F2C" w:rsidR="00DB434F" w:rsidRPr="00AA30D8" w:rsidRDefault="00DB434F" w:rsidP="00F10FD7">
      <w:pPr>
        <w:pStyle w:val="Heading7"/>
        <w:rPr>
          <w:rFonts w:ascii="Calibri" w:hAnsi="Calibri" w:cs="Calibri"/>
          <w:b/>
          <w:sz w:val="20"/>
        </w:rPr>
      </w:pPr>
      <w:r w:rsidRPr="00AA30D8">
        <w:rPr>
          <w:rFonts w:ascii="Calibri" w:hAnsi="Calibri" w:cs="Calibri"/>
          <w:b/>
          <w:sz w:val="20"/>
        </w:rPr>
        <w:t>Poll-Response-Queue Activity</w:t>
      </w:r>
    </w:p>
    <w:p w14:paraId="6093B5E9" w14:textId="75D1E049" w:rsidR="00C63A98" w:rsidRDefault="00FA3AEE" w:rsidP="00FC42E7">
      <w:pPr>
        <w:keepNext/>
        <w:jc w:val="left"/>
      </w:pPr>
      <w:r>
        <w:t>The Poll-Response-Queue Activity shall:</w:t>
      </w:r>
    </w:p>
    <w:p w14:paraId="770DF1DE" w14:textId="42FF32A8" w:rsidR="00C63A98" w:rsidRPr="00C63A98" w:rsidRDefault="00AA30D8" w:rsidP="00652CF3">
      <w:pPr>
        <w:pStyle w:val="ListParagraph"/>
        <w:numPr>
          <w:ilvl w:val="0"/>
          <w:numId w:val="16"/>
        </w:numPr>
        <w:jc w:val="left"/>
        <w:rPr>
          <w:sz w:val="20"/>
        </w:rPr>
      </w:pPr>
      <w:r>
        <w:t>Wait on the response queue, for a set polling time, for the message that belongs to its session.</w:t>
      </w:r>
    </w:p>
    <w:p w14:paraId="06CC8FF3" w14:textId="23C9D375" w:rsidR="00C63A98" w:rsidRPr="00C63A98" w:rsidRDefault="00AA30D8" w:rsidP="00652CF3">
      <w:pPr>
        <w:pStyle w:val="ListParagraph"/>
        <w:numPr>
          <w:ilvl w:val="0"/>
          <w:numId w:val="16"/>
        </w:numPr>
        <w:jc w:val="left"/>
        <w:rPr>
          <w:sz w:val="20"/>
        </w:rPr>
      </w:pPr>
      <w:r>
        <w:t>Return the data to the orchestrator.</w:t>
      </w:r>
    </w:p>
    <w:p w14:paraId="2B303A8D" w14:textId="72C44859" w:rsidR="00DB434F" w:rsidRPr="00AA30D8" w:rsidRDefault="00DB434F" w:rsidP="00F10FD7">
      <w:pPr>
        <w:pStyle w:val="Heading6"/>
        <w:rPr>
          <w:rFonts w:ascii="Calibri" w:hAnsi="Calibri" w:cs="Calibri"/>
          <w:sz w:val="20"/>
        </w:rPr>
      </w:pPr>
      <w:r w:rsidRPr="00AA30D8">
        <w:rPr>
          <w:rFonts w:ascii="Calibri" w:hAnsi="Calibri" w:cs="Calibri"/>
          <w:sz w:val="20"/>
        </w:rPr>
        <w:t>Request Queues (Azure Service Bus Queues)</w:t>
      </w:r>
    </w:p>
    <w:p w14:paraId="3830E9F7" w14:textId="7493CB8B" w:rsidR="00FC42E7" w:rsidRPr="00EC3682" w:rsidRDefault="00FC42E7" w:rsidP="00FC42E7">
      <w:pPr>
        <w:pStyle w:val="ListParagraph"/>
        <w:numPr>
          <w:ilvl w:val="0"/>
          <w:numId w:val="4"/>
        </w:numPr>
        <w:jc w:val="left"/>
        <w:rPr>
          <w:rFonts w:ascii="Calibri" w:hAnsi="Calibri" w:cs="Calibri"/>
        </w:rPr>
      </w:pPr>
      <w:r>
        <w:t>Azure Service Bus shall carry the messages between the Request Durable Function and the Response Durable Function.</w:t>
      </w:r>
    </w:p>
    <w:p w14:paraId="15F2AA6E" w14:textId="03B53C1D" w:rsidR="00FC42E7" w:rsidRPr="00EC3682" w:rsidRDefault="00FC42E7" w:rsidP="00FC42E7">
      <w:pPr>
        <w:pStyle w:val="ListParagraph"/>
        <w:numPr>
          <w:ilvl w:val="0"/>
          <w:numId w:val="4"/>
        </w:numPr>
        <w:jc w:val="left"/>
        <w:rPr>
          <w:rFonts w:ascii="Calibri" w:hAnsi="Calibri" w:cs="Calibri"/>
        </w:rPr>
      </w:pPr>
      <w:r>
        <w:t>Sessions shall be switched on, so each response is matched to its request.</w:t>
      </w:r>
    </w:p>
    <w:p w14:paraId="731615EE" w14:textId="7090B46D" w:rsidR="00C63A98" w:rsidRDefault="00FC42E7" w:rsidP="00FC42E7">
      <w:pPr>
        <w:keepNext/>
        <w:jc w:val="left"/>
      </w:pPr>
      <w:r>
        <w:t>The table below gives the details of the request queues.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26"/>
        <w:gridCol w:w="7034"/>
      </w:tblGrid>
      <w:tr w:rsidR="00C63A98" w:rsidRPr="00C63A98" w14:paraId="27345FF1" w14:textId="77777777" w:rsidTr="00C63A98">
        <w:trPr>
          <w:cantSplit/>
          <w:tblHeader/>
        </w:trPr>
        <w:tc>
          <w:tcPr>
            <w:tcW w:w="2326" w:type="dxa"/>
            <w:shd w:val="clear" w:color="auto" w:fill="2F5597"/>
          </w:tcPr>
          <w:p w14:paraId="13FFE9B0" w14:textId="7EFCA6EC" w:rsidR="00C63A98" w:rsidRPr="00C63A98" w:rsidRDefault="00C63A98" w:rsidP="00AA30D8">
            <w:pPr>
              <w:pStyle w:val="Tablehead1"/>
              <w:rPr>
                <w:rFonts w:ascii="Calibri" w:hAnsi="Calibri" w:cs="Calibri"/>
                <w:sz w:val="20"/>
              </w:rPr>
            </w:pPr>
            <w:r w:rsidRPr="00C63A98">
              <w:rPr>
                <w:rFonts w:ascii="Calibri" w:hAnsi="Calibri" w:cs="Calibri"/>
                <w:sz w:val="20"/>
              </w:rPr>
              <w:t>Service Name</w:t>
            </w:r>
          </w:p>
        </w:tc>
        <w:tc>
          <w:tcPr>
            <w:tcW w:w="7034" w:type="dxa"/>
            <w:shd w:val="clear" w:color="auto" w:fill="2F5597"/>
          </w:tcPr>
          <w:p w14:paraId="5BB4B1AB" w14:textId="3E5D54D2"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r>
      <w:tr w:rsidR="00C63A98" w:rsidRPr="00C63A98" w14:paraId="78159CB1" w14:textId="77777777" w:rsidTr="00C63A98">
        <w:trPr>
          <w:cantSplit/>
        </w:trPr>
        <w:tc>
          <w:tcPr>
            <w:tcW w:w="2326" w:type="dxa"/>
          </w:tcPr>
          <w:p w14:paraId="1F51736C" w14:textId="19745839" w:rsidR="00C63A98" w:rsidRPr="00C63A98" w:rsidRDefault="00C63A98" w:rsidP="00AA30D8">
            <w:pPr>
              <w:pStyle w:val="Tabletext"/>
              <w:keepNext/>
              <w:rPr>
                <w:rFonts w:ascii="Calibri" w:hAnsi="Calibri" w:cs="Calibri"/>
                <w:sz w:val="20"/>
              </w:rPr>
            </w:pPr>
            <w:r w:rsidRPr="00C63A98">
              <w:rPr>
                <w:rFonts w:ascii="Calibri" w:hAnsi="Calibri" w:cs="Calibri"/>
                <w:sz w:val="20"/>
              </w:rPr>
              <w:t>Request Queue</w:t>
            </w:r>
          </w:p>
        </w:tc>
        <w:tc>
          <w:tcPr>
            <w:tcW w:w="7034" w:type="dxa"/>
          </w:tcPr>
          <w:p w14:paraId="12C5CC08" w14:textId="2328110C" w:rsidR="00C63A98" w:rsidRPr="00C63A98" w:rsidRDefault="00C63A98" w:rsidP="00AA30D8">
            <w:pPr>
              <w:pStyle w:val="Tabletext"/>
              <w:keepNext/>
              <w:rPr>
                <w:rFonts w:ascii="Calibri" w:hAnsi="Calibri" w:cs="Calibri"/>
                <w:sz w:val="20"/>
              </w:rPr>
            </w:pPr>
            <w:r w:rsidRPr="00C63A98">
              <w:rPr>
                <w:rFonts w:ascii="Calibri" w:hAnsi="Calibri" w:cs="Calibri"/>
                <w:sz w:val="20"/>
              </w:rPr>
              <w:t>Holds the request message until the Response Durable Function picks it up.</w:t>
            </w:r>
          </w:p>
        </w:tc>
      </w:tr>
      <w:tr w:rsidR="00C63A98" w:rsidRPr="00C63A98" w14:paraId="5E41F57C" w14:textId="77777777" w:rsidTr="00C63A98">
        <w:trPr>
          <w:cantSplit/>
        </w:trPr>
        <w:tc>
          <w:tcPr>
            <w:tcW w:w="2326" w:type="dxa"/>
          </w:tcPr>
          <w:p w14:paraId="70293905" w14:textId="79A881B9" w:rsidR="00C63A98" w:rsidRPr="00C63A98" w:rsidRDefault="00C63A98" w:rsidP="00C63A98">
            <w:pPr>
              <w:pStyle w:val="Tabletext"/>
              <w:keepNext/>
              <w:rPr>
                <w:rFonts w:ascii="Calibri" w:hAnsi="Calibri" w:cs="Calibri"/>
                <w:sz w:val="20"/>
              </w:rPr>
            </w:pPr>
            <w:r w:rsidRPr="00C63A98">
              <w:rPr>
                <w:rFonts w:ascii="Calibri" w:hAnsi="Calibri" w:cs="Calibri"/>
                <w:sz w:val="20"/>
              </w:rPr>
              <w:t>Secondary Request Queue</w:t>
            </w:r>
          </w:p>
        </w:tc>
        <w:tc>
          <w:tcPr>
            <w:tcW w:w="7034" w:type="dxa"/>
          </w:tcPr>
          <w:p w14:paraId="787D656E" w14:textId="15D0CEDD" w:rsidR="00C63A98" w:rsidRPr="00C63A98" w:rsidRDefault="00873A53" w:rsidP="00C63A98">
            <w:pPr>
              <w:pStyle w:val="Tabletext"/>
              <w:keepNext/>
              <w:rPr>
                <w:rFonts w:ascii="Calibri" w:hAnsi="Calibri" w:cs="Calibri"/>
                <w:sz w:val="20"/>
              </w:rPr>
            </w:pPr>
            <w:r>
              <w:rPr>
                <w:rFonts w:ascii="Calibri" w:hAnsi="Calibri" w:cs="Calibri"/>
                <w:sz w:val="20"/>
              </w:rPr>
              <w:t>The Response Trigger shall put a copy of each request message here before the run starts.</w:t>
            </w:r>
            <w:r w:rsidR="00C63A98" w:rsidRPr="00C63A98">
              <w:rPr>
                <w:rFonts w:ascii="Calibri" w:hAnsi="Calibri" w:cs="Calibri"/>
                <w:sz w:val="20"/>
              </w:rPr>
              <w:t xml:space="preserve"> </w:t>
            </w:r>
            <w:r>
              <w:rPr>
                <w:rFonts w:ascii="Calibri" w:hAnsi="Calibri" w:cs="Calibri"/>
                <w:sz w:val="20"/>
              </w:rPr>
              <w:t>The copy shall be removed from the queue once the response has been sent.</w:t>
            </w:r>
          </w:p>
        </w:tc>
      </w:tr>
    </w:tbl>
    <w:p w14:paraId="2927AF90" w14:textId="0C0A1571" w:rsidR="00C63A98" w:rsidRDefault="00C63A98" w:rsidP="00C63A98">
      <w:pPr>
        <w:pStyle w:val="Caption"/>
      </w:pPr>
      <w:bookmarkStart w:id="125" w:name="_Toc241311427"/>
      <w:bookmarkStart w:id="126" w:name="_Toc241574583"/>
      <w:bookmarkStart w:id="127" w:name="_Toc242554005"/>
      <w:r>
        <w:t xml:space="preserve">Table </w:t>
      </w:r>
      <w:bookmarkStart w:id="128" w:name="_Ref917260962"/>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7</w:t>
      </w:r>
      <w:r>
        <w:fldChar w:fldCharType="end"/>
      </w:r>
      <w:bookmarkEnd w:id="128"/>
      <w:r>
        <w:t xml:space="preserve">: VCB </w:t>
      </w:r>
      <w:r w:rsidR="00AA30D8">
        <w:t>Integration</w:t>
      </w:r>
      <w:r>
        <w:t xml:space="preserve"> (common pattern) - Azure Service Bus Request Queues</w:t>
      </w:r>
      <w:bookmarkEnd w:id="125"/>
      <w:bookmarkEnd w:id="126"/>
      <w:bookmarkEnd w:id="127"/>
    </w:p>
    <w:p w14:paraId="0B627530" w14:textId="1E636702" w:rsidR="00DB434F" w:rsidRPr="00AA30D8" w:rsidRDefault="00DB434F" w:rsidP="00F10FD7">
      <w:pPr>
        <w:pStyle w:val="Heading6"/>
        <w:rPr>
          <w:rFonts w:ascii="Calibri" w:hAnsi="Calibri" w:cs="Calibri"/>
          <w:sz w:val="20"/>
        </w:rPr>
      </w:pPr>
      <w:r w:rsidRPr="00AA30D8">
        <w:rPr>
          <w:rFonts w:ascii="Calibri" w:hAnsi="Calibri" w:cs="Calibri"/>
          <w:sz w:val="20"/>
        </w:rPr>
        <w:t>Response Durable Function</w:t>
      </w:r>
    </w:p>
    <w:p w14:paraId="4FEA76B4" w14:textId="42E9038E" w:rsidR="00FC42E7" w:rsidRPr="00EC3682" w:rsidRDefault="00FC42E7" w:rsidP="00FC42E7">
      <w:pPr>
        <w:pStyle w:val="ListParagraph"/>
        <w:numPr>
          <w:ilvl w:val="0"/>
          <w:numId w:val="4"/>
        </w:numPr>
        <w:jc w:val="left"/>
        <w:rPr>
          <w:rFonts w:ascii="Calibri" w:hAnsi="Calibri" w:cs="Calibri"/>
        </w:rPr>
      </w:pPr>
      <w:r>
        <w:t>The Response Durable Function shall be an Azure Durable Function that is started by a Service Bus message.</w:t>
      </w:r>
    </w:p>
    <w:p w14:paraId="5584F468" w14:textId="0646DD27" w:rsidR="00FC42E7" w:rsidRPr="00EC3682" w:rsidRDefault="00FC42E7" w:rsidP="00FC42E7">
      <w:pPr>
        <w:pStyle w:val="ListParagraph"/>
        <w:numPr>
          <w:ilvl w:val="0"/>
          <w:numId w:val="4"/>
        </w:numPr>
        <w:jc w:val="left"/>
        <w:rPr>
          <w:rFonts w:ascii="Calibri" w:hAnsi="Calibri" w:cs="Calibri"/>
        </w:rPr>
      </w:pPr>
      <w:r>
        <w:t>The Response Durable Function shall get the data from the source system.</w:t>
      </w:r>
    </w:p>
    <w:p w14:paraId="5D3111CB" w14:textId="52259D10" w:rsidR="00C63A98" w:rsidRDefault="00FC42E7" w:rsidP="00FC42E7">
      <w:pPr>
        <w:keepNext/>
        <w:jc w:val="left"/>
      </w:pPr>
      <w:r>
        <w:t>The components of the Response Durable Function are:</w:t>
      </w:r>
    </w:p>
    <w:p w14:paraId="168421CF" w14:textId="50F4D9B3" w:rsidR="00C63A98" w:rsidRPr="00EC3682" w:rsidRDefault="00C63A98" w:rsidP="00957267">
      <w:pPr>
        <w:pStyle w:val="ListParagraph"/>
        <w:numPr>
          <w:ilvl w:val="0"/>
          <w:numId w:val="4"/>
        </w:numPr>
        <w:jc w:val="left"/>
        <w:rPr>
          <w:rFonts w:ascii="Calibri" w:hAnsi="Calibri" w:cs="Calibri"/>
        </w:rPr>
      </w:pPr>
      <w:r w:rsidRPr="00C63A98">
        <w:t>Response Trigger</w:t>
      </w:r>
    </w:p>
    <w:p w14:paraId="33913CDF" w14:textId="4F8B795B" w:rsidR="00C63A98" w:rsidRPr="00EC3682" w:rsidRDefault="00C63A98" w:rsidP="00957267">
      <w:pPr>
        <w:pStyle w:val="ListParagraph"/>
        <w:numPr>
          <w:ilvl w:val="0"/>
          <w:numId w:val="4"/>
        </w:numPr>
        <w:jc w:val="left"/>
        <w:rPr>
          <w:rFonts w:ascii="Calibri" w:hAnsi="Calibri" w:cs="Calibri"/>
        </w:rPr>
      </w:pPr>
      <w:r w:rsidRPr="00C63A98">
        <w:t>Response Orchestrator</w:t>
      </w:r>
    </w:p>
    <w:p w14:paraId="16F775B0" w14:textId="4B816486" w:rsidR="00C63A98" w:rsidRPr="00EC3682" w:rsidRDefault="00C63A98" w:rsidP="00957267">
      <w:pPr>
        <w:pStyle w:val="ListParagraph"/>
        <w:numPr>
          <w:ilvl w:val="0"/>
          <w:numId w:val="4"/>
        </w:numPr>
        <w:jc w:val="left"/>
        <w:rPr>
          <w:rFonts w:ascii="Calibri" w:hAnsi="Calibri" w:cs="Calibri"/>
        </w:rPr>
      </w:pPr>
      <w:r w:rsidRPr="00C63A98">
        <w:t>Get-from-Source Activity</w:t>
      </w:r>
    </w:p>
    <w:p w14:paraId="276A4B3D" w14:textId="169D7A28" w:rsidR="00C63A98" w:rsidRPr="00EC3682" w:rsidRDefault="00C63A98" w:rsidP="00957267">
      <w:pPr>
        <w:pStyle w:val="ListParagraph"/>
        <w:numPr>
          <w:ilvl w:val="0"/>
          <w:numId w:val="4"/>
        </w:numPr>
        <w:jc w:val="left"/>
        <w:rPr>
          <w:rFonts w:ascii="Calibri" w:hAnsi="Calibri" w:cs="Calibri"/>
        </w:rPr>
      </w:pPr>
      <w:r w:rsidRPr="00C63A98">
        <w:t>Send-to-Response-Queue Activity</w:t>
      </w:r>
    </w:p>
    <w:p w14:paraId="3898CD40" w14:textId="75B73850" w:rsidR="00DB434F" w:rsidRPr="00AA30D8" w:rsidRDefault="00DB434F" w:rsidP="00F10FD7">
      <w:pPr>
        <w:pStyle w:val="Heading7"/>
        <w:rPr>
          <w:rFonts w:ascii="Calibri" w:hAnsi="Calibri" w:cs="Calibri"/>
          <w:b/>
          <w:sz w:val="20"/>
        </w:rPr>
      </w:pPr>
      <w:r w:rsidRPr="00AA30D8">
        <w:rPr>
          <w:rFonts w:ascii="Calibri" w:hAnsi="Calibri" w:cs="Calibri"/>
          <w:b/>
          <w:sz w:val="20"/>
        </w:rPr>
        <w:t>Response Trigger</w:t>
      </w:r>
    </w:p>
    <w:p w14:paraId="685639A7" w14:textId="36655A4C" w:rsidR="00FC42E7" w:rsidRPr="00EC3682" w:rsidRDefault="00FC42E7" w:rsidP="00FC42E7">
      <w:pPr>
        <w:pStyle w:val="ListParagraph"/>
        <w:numPr>
          <w:ilvl w:val="0"/>
          <w:numId w:val="4"/>
        </w:numPr>
        <w:jc w:val="left"/>
        <w:rPr>
          <w:rFonts w:ascii="Calibri" w:hAnsi="Calibri" w:cs="Calibri"/>
        </w:rPr>
      </w:pPr>
      <w:r>
        <w:t>The Response Trigger shall be a Service Bus-triggered Azure Function that listens to the request queue.</w:t>
      </w:r>
    </w:p>
    <w:p w14:paraId="4A64CD24" w14:textId="1FCF022C" w:rsidR="00C63A98" w:rsidRDefault="00FC42E7" w:rsidP="00FC42E7">
      <w:pPr>
        <w:keepNext/>
        <w:jc w:val="left"/>
      </w:pPr>
      <w:r>
        <w:t>For every message, the Response Trigger shall:</w:t>
      </w:r>
    </w:p>
    <w:p w14:paraId="21CC0AEF" w14:textId="1F25AE99" w:rsidR="00C63A98" w:rsidRPr="00C63A98" w:rsidRDefault="00AA30D8" w:rsidP="00652CF3">
      <w:pPr>
        <w:pStyle w:val="ListParagraph"/>
        <w:numPr>
          <w:ilvl w:val="0"/>
          <w:numId w:val="15"/>
        </w:numPr>
        <w:jc w:val="left"/>
        <w:rPr>
          <w:sz w:val="20"/>
        </w:rPr>
      </w:pPr>
      <w:r>
        <w:t>Put a copy of the message on the secondary request queue.</w:t>
      </w:r>
    </w:p>
    <w:p w14:paraId="024CB584" w14:textId="5D500F7B" w:rsidR="00C63A98" w:rsidRPr="00C63A98" w:rsidRDefault="00AA30D8" w:rsidP="00652CF3">
      <w:pPr>
        <w:pStyle w:val="ListParagraph"/>
        <w:numPr>
          <w:ilvl w:val="0"/>
          <w:numId w:val="15"/>
        </w:numPr>
        <w:jc w:val="left"/>
        <w:rPr>
          <w:sz w:val="20"/>
        </w:rPr>
      </w:pPr>
      <w:r>
        <w:t>Start a new run of the orchestrator with the request.</w:t>
      </w:r>
    </w:p>
    <w:p w14:paraId="420066BF" w14:textId="3FF92356" w:rsidR="00DB434F" w:rsidRPr="00AA30D8" w:rsidRDefault="00DB434F" w:rsidP="00F10FD7">
      <w:pPr>
        <w:pStyle w:val="Heading7"/>
        <w:rPr>
          <w:rFonts w:ascii="Calibri" w:hAnsi="Calibri" w:cs="Calibri"/>
          <w:b/>
          <w:sz w:val="20"/>
        </w:rPr>
      </w:pPr>
      <w:r w:rsidRPr="00AA30D8">
        <w:rPr>
          <w:rFonts w:ascii="Calibri" w:hAnsi="Calibri" w:cs="Calibri"/>
          <w:b/>
          <w:sz w:val="20"/>
        </w:rPr>
        <w:t>Response Orchestrator</w:t>
      </w:r>
    </w:p>
    <w:p w14:paraId="61EDE723" w14:textId="0B74558A" w:rsidR="00C63A98" w:rsidRDefault="00FA3AEE" w:rsidP="00FC42E7">
      <w:pPr>
        <w:keepNext/>
        <w:jc w:val="left"/>
      </w:pPr>
      <w:r>
        <w:t>The Response Orchestrator shall run the activities in this order:</w:t>
      </w:r>
    </w:p>
    <w:p w14:paraId="338C5F80" w14:textId="2C157325" w:rsidR="00C63A98" w:rsidRPr="00C63A98" w:rsidRDefault="00AA30D8" w:rsidP="00652CF3">
      <w:pPr>
        <w:pStyle w:val="ListParagraph"/>
        <w:numPr>
          <w:ilvl w:val="0"/>
          <w:numId w:val="14"/>
        </w:numPr>
        <w:jc w:val="left"/>
        <w:rPr>
          <w:sz w:val="20"/>
        </w:rPr>
      </w:pPr>
      <w:r>
        <w:t>Invoke the Get-from-Source Activity.</w:t>
      </w:r>
    </w:p>
    <w:p w14:paraId="44329F45" w14:textId="6166454B" w:rsidR="00C63A98" w:rsidRPr="00C63A98" w:rsidRDefault="00AA30D8" w:rsidP="00652CF3">
      <w:pPr>
        <w:pStyle w:val="ListParagraph"/>
        <w:numPr>
          <w:ilvl w:val="0"/>
          <w:numId w:val="14"/>
        </w:numPr>
        <w:jc w:val="left"/>
        <w:rPr>
          <w:sz w:val="20"/>
        </w:rPr>
      </w:pPr>
      <w:r>
        <w:t>Invoke the Send-to-Response-Queue Activity with the integration data.</w:t>
      </w:r>
    </w:p>
    <w:p w14:paraId="2DA70B8B" w14:textId="5A6455F1" w:rsidR="00DB434F" w:rsidRPr="00AA30D8" w:rsidRDefault="00DB434F" w:rsidP="00F10FD7">
      <w:pPr>
        <w:pStyle w:val="Heading7"/>
        <w:rPr>
          <w:rFonts w:ascii="Calibri" w:hAnsi="Calibri" w:cs="Calibri"/>
          <w:b/>
          <w:sz w:val="20"/>
        </w:rPr>
      </w:pPr>
      <w:r w:rsidRPr="00AA30D8">
        <w:rPr>
          <w:rFonts w:ascii="Calibri" w:hAnsi="Calibri" w:cs="Calibri"/>
          <w:b/>
          <w:sz w:val="20"/>
        </w:rPr>
        <w:t>Get-from-Source Activity</w:t>
      </w:r>
    </w:p>
    <w:p w14:paraId="7CFA7C58" w14:textId="07108FE7" w:rsidR="00C63A98" w:rsidRDefault="00FA3AEE" w:rsidP="00FC42E7">
      <w:pPr>
        <w:keepNext/>
        <w:jc w:val="left"/>
      </w:pPr>
      <w:r>
        <w:t>The Get-from-Source Activity shall:</w:t>
      </w:r>
    </w:p>
    <w:p w14:paraId="62E963DB" w14:textId="24FFF4D4" w:rsidR="00C63A98" w:rsidRPr="00C63A98" w:rsidRDefault="00AA30D8" w:rsidP="00652CF3">
      <w:pPr>
        <w:pStyle w:val="ListParagraph"/>
        <w:numPr>
          <w:ilvl w:val="0"/>
          <w:numId w:val="13"/>
        </w:numPr>
        <w:jc w:val="left"/>
        <w:rPr>
          <w:sz w:val="20"/>
        </w:rPr>
      </w:pPr>
      <w:r>
        <w:t>Receive the request from the orchestrator and send it to the Response Service API.</w:t>
      </w:r>
    </w:p>
    <w:p w14:paraId="7CCFEC58" w14:textId="14A0F7EB" w:rsidR="00C63A98" w:rsidRPr="00C63A98" w:rsidRDefault="00AA30D8" w:rsidP="00652CF3">
      <w:pPr>
        <w:pStyle w:val="ListParagraph"/>
        <w:numPr>
          <w:ilvl w:val="0"/>
          <w:numId w:val="13"/>
        </w:numPr>
        <w:jc w:val="left"/>
        <w:rPr>
          <w:sz w:val="20"/>
        </w:rPr>
      </w:pPr>
      <w:r>
        <w:t>Take the integration data from the Response Service and return it to the orchestrator.</w:t>
      </w:r>
    </w:p>
    <w:p w14:paraId="33C7D9CA" w14:textId="52A3ECBF" w:rsidR="00DB434F" w:rsidRPr="00AA30D8" w:rsidRDefault="00DB434F" w:rsidP="00F10FD7">
      <w:pPr>
        <w:pStyle w:val="Heading7"/>
        <w:rPr>
          <w:rFonts w:ascii="Calibri" w:hAnsi="Calibri" w:cs="Calibri"/>
          <w:b/>
          <w:sz w:val="20"/>
        </w:rPr>
      </w:pPr>
      <w:r w:rsidRPr="00AA30D8">
        <w:rPr>
          <w:rFonts w:ascii="Calibri" w:hAnsi="Calibri" w:cs="Calibri"/>
          <w:b/>
          <w:sz w:val="20"/>
        </w:rPr>
        <w:t>Send-to-Response-Queue Activity</w:t>
      </w:r>
    </w:p>
    <w:p w14:paraId="6C38C6EC" w14:textId="6EC4801C" w:rsidR="00C63A98" w:rsidRDefault="00FA3AEE" w:rsidP="00FC42E7">
      <w:pPr>
        <w:keepNext/>
        <w:jc w:val="left"/>
      </w:pPr>
      <w:r>
        <w:t>The Send-to-Response-Queue Activity shall:</w:t>
      </w:r>
    </w:p>
    <w:p w14:paraId="6614AD3E" w14:textId="780787F1" w:rsidR="00C63A98" w:rsidRPr="00C63A98" w:rsidRDefault="00AA30D8" w:rsidP="00652CF3">
      <w:pPr>
        <w:pStyle w:val="ListParagraph"/>
        <w:numPr>
          <w:ilvl w:val="0"/>
          <w:numId w:val="12"/>
        </w:numPr>
        <w:jc w:val="left"/>
        <w:rPr>
          <w:sz w:val="20"/>
        </w:rPr>
      </w:pPr>
      <w:r>
        <w:t>Receive the integration data from the orchestrator.</w:t>
      </w:r>
    </w:p>
    <w:p w14:paraId="7003A481" w14:textId="275F5AD9" w:rsidR="00C63A98" w:rsidRPr="00C63A98" w:rsidRDefault="00AA30D8" w:rsidP="00652CF3">
      <w:pPr>
        <w:pStyle w:val="ListParagraph"/>
        <w:numPr>
          <w:ilvl w:val="0"/>
          <w:numId w:val="12"/>
        </w:numPr>
        <w:jc w:val="left"/>
        <w:rPr>
          <w:sz w:val="20"/>
        </w:rPr>
      </w:pPr>
      <w:r>
        <w:t>Put the data on the response queue in the session of the request, so that the request side receives it.</w:t>
      </w:r>
    </w:p>
    <w:p w14:paraId="79A08114" w14:textId="42E2CA0B" w:rsidR="00DB434F" w:rsidRPr="00AA30D8" w:rsidRDefault="00DB434F" w:rsidP="00F10FD7">
      <w:pPr>
        <w:pStyle w:val="Heading6"/>
        <w:rPr>
          <w:rFonts w:ascii="Calibri" w:hAnsi="Calibri" w:cs="Calibri"/>
          <w:sz w:val="20"/>
        </w:rPr>
      </w:pPr>
      <w:r w:rsidRPr="00AA30D8">
        <w:rPr>
          <w:rFonts w:ascii="Calibri" w:hAnsi="Calibri" w:cs="Calibri"/>
          <w:sz w:val="20"/>
        </w:rPr>
        <w:t>Response Service API</w:t>
      </w:r>
    </w:p>
    <w:p w14:paraId="0B7FB6E5" w14:textId="5DC29CB1" w:rsidR="00C63A98" w:rsidRDefault="00AA30D8" w:rsidP="00FC42E7">
      <w:pPr>
        <w:pStyle w:val="ListParagraph"/>
        <w:numPr>
          <w:ilvl w:val="0"/>
          <w:numId w:val="4"/>
        </w:numPr>
        <w:jc w:val="left"/>
      </w:pPr>
      <w:r>
        <w:t>The Response Service API, called the Response Service in this chapter, shall connect to the source system and bring back the integration's data.</w:t>
      </w:r>
    </w:p>
    <w:p w14:paraId="44E0F71B" w14:textId="2FFF4E3A" w:rsidR="00C63A98" w:rsidRDefault="00FA3AEE" w:rsidP="00FC42E7">
      <w:pPr>
        <w:keepNext/>
        <w:jc w:val="left"/>
      </w:pPr>
      <w:r>
        <w:t>The Response Service shall:</w:t>
      </w:r>
    </w:p>
    <w:p w14:paraId="2633F87E" w14:textId="50564C52" w:rsidR="00C63A98" w:rsidRPr="00C63A98" w:rsidRDefault="00AA30D8" w:rsidP="00652CF3">
      <w:pPr>
        <w:pStyle w:val="ListParagraph"/>
        <w:numPr>
          <w:ilvl w:val="0"/>
          <w:numId w:val="11"/>
        </w:numPr>
        <w:jc w:val="left"/>
        <w:rPr>
          <w:sz w:val="20"/>
        </w:rPr>
      </w:pPr>
      <w:r>
        <w:t>Receive the request from the Get-from-Source Activity, or straight from the Request Service when UseServiceBus is false.</w:t>
      </w:r>
    </w:p>
    <w:p w14:paraId="73535E69" w14:textId="1711A8CA" w:rsidR="00C63A98" w:rsidRPr="00C63A98" w:rsidRDefault="00AA30D8" w:rsidP="00652CF3">
      <w:pPr>
        <w:pStyle w:val="ListParagraph"/>
        <w:numPr>
          <w:ilvl w:val="0"/>
          <w:numId w:val="11"/>
        </w:numPr>
        <w:jc w:val="left"/>
        <w:rPr>
          <w:sz w:val="20"/>
        </w:rPr>
      </w:pPr>
      <w:r>
        <w:t xml:space="preserve">Read the source system for the requested region or locations and period, </w:t>
      </w:r>
      <w:r w:rsidR="00144FA3">
        <w:t xml:space="preserve">using the access given for that source in section </w:t>
      </w:r>
      <w:r w:rsidR="00FC42E7">
        <w:fldChar w:fldCharType="begin"/>
      </w:r>
      <w:r w:rsidR="00FC42E7">
        <w:instrText xml:space="preserve"> REF _Ref917260925 \w \h \* MERGEFORMAT </w:instrText>
      </w:r>
      <w:r w:rsidR="00FC42E7">
        <w:fldChar w:fldCharType="separate"/>
      </w:r>
      <w:r w:rsidR="00FC42E7" w:rsidRPr="00FC42E7">
        <w:rPr>
          <w:color w:val="0563C1"/>
          <w:u w:val="single"/>
        </w:rPr>
        <w:t>2.3.1.1</w:t>
      </w:r>
      <w:r w:rsidR="00FC42E7">
        <w:fldChar w:fldCharType="end"/>
      </w:r>
      <w:r w:rsidR="00144FA3">
        <w:t xml:space="preserve"> and in its entity section.</w:t>
      </w:r>
    </w:p>
    <w:p w14:paraId="69325FAE" w14:textId="7F76144C" w:rsidR="00C63A98" w:rsidRPr="00C63A98" w:rsidRDefault="00AA30D8" w:rsidP="00652CF3">
      <w:pPr>
        <w:pStyle w:val="ListParagraph"/>
        <w:numPr>
          <w:ilvl w:val="0"/>
          <w:numId w:val="11"/>
        </w:numPr>
        <w:jc w:val="left"/>
        <w:rPr>
          <w:sz w:val="20"/>
        </w:rPr>
      </w:pPr>
      <w:r>
        <w:t>Add the Profisee codes and descriptions to the rows through the Semantic Service.</w:t>
      </w:r>
    </w:p>
    <w:p w14:paraId="48C7FCC5" w14:textId="18CB398A" w:rsidR="00C63A98" w:rsidRPr="00C63A98" w:rsidRDefault="00AA30D8" w:rsidP="00652CF3">
      <w:pPr>
        <w:pStyle w:val="ListParagraph"/>
        <w:numPr>
          <w:ilvl w:val="0"/>
          <w:numId w:val="11"/>
        </w:numPr>
        <w:jc w:val="left"/>
        <w:rPr>
          <w:sz w:val="20"/>
        </w:rPr>
      </w:pPr>
      <w:r>
        <w:t>Return the data to the caller.</w:t>
      </w:r>
    </w:p>
    <w:p w14:paraId="644F6AA2" w14:textId="2A444836" w:rsidR="00DB434F" w:rsidRPr="00AA30D8" w:rsidRDefault="00DB434F" w:rsidP="00F10FD7">
      <w:pPr>
        <w:pStyle w:val="Heading6"/>
        <w:rPr>
          <w:rFonts w:ascii="Calibri" w:hAnsi="Calibri" w:cs="Calibri"/>
          <w:sz w:val="20"/>
        </w:rPr>
      </w:pPr>
      <w:r w:rsidRPr="00AA30D8">
        <w:rPr>
          <w:rFonts w:ascii="Calibri" w:hAnsi="Calibri" w:cs="Calibri"/>
          <w:sz w:val="20"/>
        </w:rPr>
        <w:t>Response Queue (Azure Service Bus Queue)</w:t>
      </w:r>
    </w:p>
    <w:p w14:paraId="4FD78A16" w14:textId="77777777" w:rsidR="00C63A98" w:rsidRDefault="00C63A98" w:rsidP="00FC42E7">
      <w:pPr>
        <w:keepNext/>
        <w:jc w:val="left"/>
      </w:pPr>
      <w:r>
        <w:t>The table below gives the details of the response queue.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9"/>
        <w:gridCol w:w="6981"/>
      </w:tblGrid>
      <w:tr w:rsidR="00C63A98" w:rsidRPr="00C63A98" w14:paraId="1DBE084E" w14:textId="77777777" w:rsidTr="00C63A98">
        <w:trPr>
          <w:cantSplit/>
          <w:tblHeader/>
        </w:trPr>
        <w:tc>
          <w:tcPr>
            <w:tcW w:w="2379" w:type="dxa"/>
            <w:shd w:val="clear" w:color="auto" w:fill="2F5597"/>
          </w:tcPr>
          <w:p w14:paraId="29A5D4EC" w14:textId="03D01EC3" w:rsidR="00C63A98" w:rsidRPr="00C63A98" w:rsidRDefault="00C63A98" w:rsidP="00AA30D8">
            <w:pPr>
              <w:pStyle w:val="Tablehead1"/>
              <w:rPr>
                <w:rFonts w:ascii="Calibri" w:hAnsi="Calibri" w:cs="Calibri"/>
                <w:sz w:val="20"/>
              </w:rPr>
            </w:pPr>
            <w:r w:rsidRPr="00C63A98">
              <w:rPr>
                <w:rFonts w:ascii="Calibri" w:hAnsi="Calibri" w:cs="Calibri"/>
                <w:sz w:val="20"/>
              </w:rPr>
              <w:t>Service Name</w:t>
            </w:r>
          </w:p>
        </w:tc>
        <w:tc>
          <w:tcPr>
            <w:tcW w:w="6981" w:type="dxa"/>
            <w:shd w:val="clear" w:color="auto" w:fill="2F5597"/>
          </w:tcPr>
          <w:p w14:paraId="59E6382A" w14:textId="3B2DE4F9"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r>
      <w:tr w:rsidR="00C63A98" w:rsidRPr="00C63A98" w14:paraId="3E358E42" w14:textId="77777777" w:rsidTr="00C63A98">
        <w:trPr>
          <w:cantSplit/>
        </w:trPr>
        <w:tc>
          <w:tcPr>
            <w:tcW w:w="2379" w:type="dxa"/>
          </w:tcPr>
          <w:p w14:paraId="1E516C2F" w14:textId="6492E824" w:rsidR="00C63A98" w:rsidRPr="00C63A98" w:rsidRDefault="00C63A98" w:rsidP="00C63A98">
            <w:pPr>
              <w:pStyle w:val="Tabletext"/>
              <w:keepNext/>
              <w:rPr>
                <w:rFonts w:ascii="Calibri" w:hAnsi="Calibri" w:cs="Calibri"/>
                <w:sz w:val="20"/>
              </w:rPr>
            </w:pPr>
            <w:r w:rsidRPr="00C63A98">
              <w:rPr>
                <w:rFonts w:ascii="Calibri" w:hAnsi="Calibri" w:cs="Calibri"/>
                <w:sz w:val="20"/>
              </w:rPr>
              <w:t>Response Queue</w:t>
            </w:r>
          </w:p>
        </w:tc>
        <w:tc>
          <w:tcPr>
            <w:tcW w:w="6981" w:type="dxa"/>
          </w:tcPr>
          <w:p w14:paraId="34B0045E" w14:textId="2C0A54C2" w:rsidR="00C63A98" w:rsidRPr="00C63A98" w:rsidRDefault="00C63A98" w:rsidP="00C63A98">
            <w:pPr>
              <w:pStyle w:val="Tabletext"/>
              <w:keepNext/>
              <w:rPr>
                <w:rFonts w:ascii="Calibri" w:hAnsi="Calibri" w:cs="Calibri"/>
                <w:sz w:val="20"/>
              </w:rPr>
            </w:pPr>
            <w:r w:rsidRPr="00C63A98">
              <w:rPr>
                <w:rFonts w:ascii="Calibri" w:hAnsi="Calibri" w:cs="Calibri"/>
                <w:sz w:val="20"/>
              </w:rPr>
              <w:t xml:space="preserve">Holds the </w:t>
            </w:r>
            <w:r w:rsidR="00AA30D8">
              <w:rPr>
                <w:rFonts w:ascii="Calibri" w:hAnsi="Calibri" w:cs="Calibri"/>
                <w:sz w:val="20"/>
              </w:rPr>
              <w:t>integration</w:t>
            </w:r>
            <w:r w:rsidRPr="00C63A98">
              <w:rPr>
                <w:rFonts w:ascii="Calibri" w:hAnsi="Calibri" w:cs="Calibri"/>
                <w:sz w:val="20"/>
              </w:rPr>
              <w:t xml:space="preserve"> data from the Response Durable Function until the Request Durable Function reads it.</w:t>
            </w:r>
          </w:p>
        </w:tc>
      </w:tr>
    </w:tbl>
    <w:p w14:paraId="526B407D" w14:textId="40F7E12D" w:rsidR="00C63A98" w:rsidRDefault="00C63A98" w:rsidP="00C63A98">
      <w:pPr>
        <w:pStyle w:val="Caption"/>
      </w:pPr>
      <w:bookmarkStart w:id="129" w:name="_Toc241311428"/>
      <w:bookmarkStart w:id="130" w:name="_Toc241574584"/>
      <w:bookmarkStart w:id="131" w:name="_Toc242554006"/>
      <w:r>
        <w:t xml:space="preserve">Table </w:t>
      </w:r>
      <w:bookmarkStart w:id="132" w:name="_Ref917260963"/>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8</w:t>
      </w:r>
      <w:r>
        <w:fldChar w:fldCharType="end"/>
      </w:r>
      <w:bookmarkEnd w:id="132"/>
      <w:r>
        <w:t xml:space="preserve">: VCB </w:t>
      </w:r>
      <w:r w:rsidR="00AA30D8">
        <w:t>Integration</w:t>
      </w:r>
      <w:r>
        <w:t xml:space="preserve"> (common pattern) - Azure Service Bus Response Queue</w:t>
      </w:r>
      <w:bookmarkEnd w:id="129"/>
      <w:bookmarkEnd w:id="130"/>
      <w:bookmarkEnd w:id="131"/>
    </w:p>
    <w:p w14:paraId="61DDAB0C" w14:textId="77777777" w:rsidR="00C63A98" w:rsidRPr="00AA30D8" w:rsidRDefault="00C63A98" w:rsidP="00C63A98">
      <w:pPr>
        <w:pStyle w:val="Heading4"/>
        <w:rPr>
          <w:rFonts w:ascii="Calibri" w:hAnsi="Calibri" w:cs="Calibri"/>
          <w:b/>
          <w:sz w:val="20"/>
        </w:rPr>
      </w:pPr>
      <w:r w:rsidRPr="00AA30D8">
        <w:rPr>
          <w:rFonts w:ascii="Calibri" w:hAnsi="Calibri" w:cs="Calibri"/>
          <w:b/>
          <w:sz w:val="20"/>
        </w:rPr>
        <w:t>Master Data Entity</w:t>
      </w:r>
    </w:p>
    <w:p w14:paraId="1B66B5BD" w14:textId="732ACF7C" w:rsidR="00FC42E7" w:rsidRPr="00EC3682" w:rsidRDefault="00FC42E7" w:rsidP="00FC42E7">
      <w:pPr>
        <w:pStyle w:val="ListParagraph"/>
        <w:numPr>
          <w:ilvl w:val="0"/>
          <w:numId w:val="4"/>
        </w:numPr>
        <w:jc w:val="left"/>
        <w:rPr>
          <w:rFonts w:ascii="Calibri" w:hAnsi="Calibri" w:cs="Calibri"/>
        </w:rPr>
      </w:pPr>
      <w:commentRangeStart w:id="133"/>
      <w:r>
        <w:t>The PIAF and Kittyhawk integrations shall turn their codes into standard codes using the Profisee tables, read through the Semantic Service.</w:t>
      </w:r>
      <w:commentRangeEnd w:id="133"/>
      <w:r w:rsidR="00E159FA" w:rsidRPr="00EC3682">
        <w:rPr>
          <w:rStyle w:val="CommentReference"/>
          <w:rFonts w:ascii="Calibri" w:hAnsi="Calibri" w:cs="Calibri"/>
          <w:sz w:val="22"/>
          <w:szCs w:val="22"/>
        </w:rPr>
        <w:commentReference w:id="133"/>
      </w:r>
    </w:p>
    <w:p w14:paraId="1EB84A04" w14:textId="4DC079B1" w:rsidR="00FC42E7" w:rsidRPr="00EC3682" w:rsidRDefault="00FC42E7" w:rsidP="00FC42E7">
      <w:pPr>
        <w:pStyle w:val="ListParagraph"/>
        <w:numPr>
          <w:ilvl w:val="0"/>
          <w:numId w:val="4"/>
        </w:numPr>
        <w:jc w:val="left"/>
        <w:rPr>
          <w:rFonts w:ascii="Calibri" w:hAnsi="Calibri" w:cs="Calibri"/>
        </w:rPr>
      </w:pPr>
      <w:commentRangeStart w:id="134"/>
      <w:r>
        <w:t>Each entity section lists the tables it uses, including those that only it needs.</w:t>
      </w:r>
      <w:commentRangeEnd w:id="134"/>
      <w:r w:rsidR="002B6892" w:rsidRPr="00EC3682">
        <w:rPr>
          <w:rStyle w:val="CommentReference"/>
          <w:rFonts w:ascii="Calibri" w:hAnsi="Calibri" w:cs="Calibri"/>
          <w:sz w:val="22"/>
          <w:szCs w:val="22"/>
        </w:rPr>
        <w:commentReference w:id="134"/>
      </w:r>
    </w:p>
    <w:p w14:paraId="3B454C92" w14:textId="6B09D3B8" w:rsidR="00FC42E7" w:rsidRPr="00EC3682" w:rsidRDefault="00FC42E7" w:rsidP="00FC42E7">
      <w:pPr>
        <w:pStyle w:val="ListParagraph"/>
        <w:numPr>
          <w:ilvl w:val="0"/>
          <w:numId w:val="4"/>
        </w:numPr>
        <w:jc w:val="left"/>
        <w:rPr>
          <w:rFonts w:ascii="Calibri" w:hAnsi="Calibri" w:cs="Calibri"/>
        </w:rPr>
      </w:pPr>
      <w:r>
        <w:t xml:space="preserve">The master data of pricing is given in section </w:t>
      </w:r>
      <w:r>
        <w:fldChar w:fldCharType="begin"/>
      </w:r>
      <w:r>
        <w:instrText xml:space="preserve"> REF _Ref917260926 \w \h \* MERGEFORMAT </w:instrText>
      </w:r>
      <w:r>
        <w:fldChar w:fldCharType="separate"/>
      </w:r>
      <w:r w:rsidRPr="00FC42E7">
        <w:rPr>
          <w:color w:val="0563C1"/>
          <w:u w:val="single"/>
        </w:rPr>
        <w:t>2.3.3.3.8</w:t>
      </w:r>
      <w:r>
        <w:fldChar w:fldCharType="end"/>
      </w:r>
      <w:r>
        <w:t>.</w:t>
      </w:r>
    </w:p>
    <w:p w14:paraId="68CDD7AD" w14:textId="39FA7399" w:rsidR="00C63A98" w:rsidRDefault="00FC42E7" w:rsidP="00FC42E7">
      <w:pPr>
        <w:keepNext/>
        <w:jc w:val="left"/>
      </w:pPr>
      <w:r>
        <w:t>The table below gives the Profisee tables of the common integration pattern.</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41"/>
        <w:gridCol w:w="3381"/>
        <w:gridCol w:w="1496"/>
        <w:gridCol w:w="2742"/>
      </w:tblGrid>
      <w:tr w:rsidR="00C63A98" w:rsidRPr="00C63A98" w14:paraId="26A76C85" w14:textId="5B955B0B" w:rsidTr="00C63A98">
        <w:trPr>
          <w:cantSplit/>
          <w:tblHeader/>
        </w:trPr>
        <w:tc>
          <w:tcPr>
            <w:tcW w:w="1741" w:type="dxa"/>
            <w:shd w:val="clear" w:color="auto" w:fill="2F5597"/>
          </w:tcPr>
          <w:p w14:paraId="3948B6D4" w14:textId="77117796" w:rsidR="00C63A98" w:rsidRPr="00C63A98" w:rsidRDefault="00C63A98" w:rsidP="00AA30D8">
            <w:pPr>
              <w:pStyle w:val="Tablehead1"/>
              <w:rPr>
                <w:rFonts w:ascii="Calibri" w:hAnsi="Calibri" w:cs="Calibri"/>
                <w:sz w:val="20"/>
              </w:rPr>
            </w:pPr>
            <w:r w:rsidRPr="00C63A98">
              <w:rPr>
                <w:rFonts w:ascii="Calibri" w:hAnsi="Calibri" w:cs="Calibri"/>
                <w:sz w:val="20"/>
              </w:rPr>
              <w:t>Master Data</w:t>
            </w:r>
          </w:p>
        </w:tc>
        <w:tc>
          <w:tcPr>
            <w:tcW w:w="3381" w:type="dxa"/>
            <w:shd w:val="clear" w:color="auto" w:fill="2F5597"/>
          </w:tcPr>
          <w:p w14:paraId="359AC758" w14:textId="6508E75F"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c>
          <w:tcPr>
            <w:tcW w:w="1496" w:type="dxa"/>
            <w:shd w:val="clear" w:color="auto" w:fill="2F5597"/>
          </w:tcPr>
          <w:p w14:paraId="0DDE5D21" w14:textId="3DF36F5C" w:rsidR="00C63A98" w:rsidRPr="00C63A98" w:rsidRDefault="00C63A98" w:rsidP="00AA30D8">
            <w:pPr>
              <w:pStyle w:val="Tablehead1"/>
              <w:rPr>
                <w:rFonts w:ascii="Calibri" w:hAnsi="Calibri" w:cs="Calibri"/>
                <w:sz w:val="20"/>
              </w:rPr>
            </w:pPr>
            <w:r w:rsidRPr="00C63A98">
              <w:rPr>
                <w:rFonts w:ascii="Calibri" w:hAnsi="Calibri" w:cs="Calibri"/>
                <w:sz w:val="20"/>
              </w:rPr>
              <w:t>Mapping Required</w:t>
            </w:r>
          </w:p>
        </w:tc>
        <w:tc>
          <w:tcPr>
            <w:tcW w:w="2742" w:type="dxa"/>
            <w:shd w:val="clear" w:color="auto" w:fill="2F5597"/>
          </w:tcPr>
          <w:p w14:paraId="0BD2A0BF" w14:textId="3F03FBCE" w:rsidR="00C63A98" w:rsidRPr="00C63A98" w:rsidRDefault="00C63A98" w:rsidP="00AA30D8">
            <w:pPr>
              <w:pStyle w:val="Tablehead1"/>
              <w:rPr>
                <w:rFonts w:ascii="Calibri" w:hAnsi="Calibri" w:cs="Calibri"/>
                <w:sz w:val="20"/>
              </w:rPr>
            </w:pPr>
            <w:r w:rsidRPr="00C63A98">
              <w:rPr>
                <w:rFonts w:ascii="Calibri" w:hAnsi="Calibri" w:cs="Calibri"/>
                <w:sz w:val="20"/>
              </w:rPr>
              <w:t>Comments</w:t>
            </w:r>
          </w:p>
        </w:tc>
      </w:tr>
      <w:tr w:rsidR="00C63A98" w:rsidRPr="00C63A98" w14:paraId="12845F21" w14:textId="6782163D" w:rsidTr="00C63A98">
        <w:trPr>
          <w:cantSplit/>
        </w:trPr>
        <w:tc>
          <w:tcPr>
            <w:tcW w:w="1741" w:type="dxa"/>
          </w:tcPr>
          <w:p w14:paraId="7FFAE043" w14:textId="2817FA64" w:rsidR="00C63A98" w:rsidRPr="00C63A98" w:rsidRDefault="00C63A98" w:rsidP="00AA30D8">
            <w:pPr>
              <w:pStyle w:val="Tabletext"/>
              <w:keepNext/>
              <w:rPr>
                <w:rFonts w:ascii="Calibri" w:hAnsi="Calibri" w:cs="Calibri"/>
                <w:sz w:val="20"/>
              </w:rPr>
            </w:pPr>
            <w:r w:rsidRPr="00C63A98">
              <w:rPr>
                <w:rFonts w:ascii="Calibri" w:hAnsi="Calibri" w:cs="Calibri"/>
                <w:sz w:val="20"/>
              </w:rPr>
              <w:t>Product XREF</w:t>
            </w:r>
          </w:p>
        </w:tc>
        <w:tc>
          <w:tcPr>
            <w:tcW w:w="3381" w:type="dxa"/>
          </w:tcPr>
          <w:p w14:paraId="567A6226" w14:textId="470391B4" w:rsidR="00C63A98" w:rsidRPr="00C63A98" w:rsidRDefault="00C63A98" w:rsidP="00AA30D8">
            <w:pPr>
              <w:pStyle w:val="Tabletext"/>
              <w:keepNext/>
              <w:rPr>
                <w:rFonts w:ascii="Calibri" w:hAnsi="Calibri" w:cs="Calibri"/>
                <w:sz w:val="20"/>
              </w:rPr>
            </w:pPr>
            <w:r w:rsidRPr="00C63A98">
              <w:rPr>
                <w:rFonts w:ascii="Calibri" w:hAnsi="Calibri" w:cs="Calibri"/>
                <w:sz w:val="20"/>
              </w:rPr>
              <w:t>Product codes</w:t>
            </w:r>
          </w:p>
        </w:tc>
        <w:tc>
          <w:tcPr>
            <w:tcW w:w="1496" w:type="dxa"/>
          </w:tcPr>
          <w:p w14:paraId="301436BB" w14:textId="741B1037"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2742" w:type="dxa"/>
          </w:tcPr>
          <w:p w14:paraId="049C169A" w14:textId="3736CBB2" w:rsidR="00C63A98" w:rsidRPr="00C63A98" w:rsidRDefault="00873A53" w:rsidP="00AA30D8">
            <w:pPr>
              <w:pStyle w:val="Tabletext"/>
              <w:keepNext/>
              <w:rPr>
                <w:rFonts w:ascii="Calibri" w:hAnsi="Calibri" w:cs="Calibri"/>
                <w:sz w:val="20"/>
              </w:rPr>
            </w:pPr>
            <w:r>
              <w:rPr>
                <w:rFonts w:ascii="Calibri" w:hAnsi="Calibri" w:cs="Calibri"/>
                <w:sz w:val="20"/>
              </w:rPr>
              <w:t>Rows without a material mapping shall be left out.</w:t>
            </w:r>
          </w:p>
        </w:tc>
      </w:tr>
      <w:tr w:rsidR="00C63A98" w:rsidRPr="00C63A98" w14:paraId="21E1916E" w14:textId="10EC5F96" w:rsidTr="00C63A98">
        <w:trPr>
          <w:cantSplit/>
        </w:trPr>
        <w:tc>
          <w:tcPr>
            <w:tcW w:w="1741" w:type="dxa"/>
          </w:tcPr>
          <w:p w14:paraId="7B423B7E" w14:textId="4B38C055" w:rsidR="00C63A98" w:rsidRPr="00C63A98" w:rsidRDefault="00C63A98" w:rsidP="00AA30D8">
            <w:pPr>
              <w:pStyle w:val="Tabletext"/>
              <w:keepNext/>
              <w:rPr>
                <w:rFonts w:ascii="Calibri" w:hAnsi="Calibri" w:cs="Calibri"/>
                <w:sz w:val="20"/>
              </w:rPr>
            </w:pPr>
            <w:r w:rsidRPr="00C63A98">
              <w:rPr>
                <w:rFonts w:ascii="Calibri" w:hAnsi="Calibri" w:cs="Calibri"/>
                <w:sz w:val="20"/>
              </w:rPr>
              <w:t>Location XREF</w:t>
            </w:r>
          </w:p>
        </w:tc>
        <w:tc>
          <w:tcPr>
            <w:tcW w:w="3381" w:type="dxa"/>
          </w:tcPr>
          <w:p w14:paraId="36F14E0E" w14:textId="757F5D15" w:rsidR="00C63A98" w:rsidRPr="00C63A98" w:rsidRDefault="00C63A98" w:rsidP="00AA30D8">
            <w:pPr>
              <w:pStyle w:val="Tabletext"/>
              <w:keepNext/>
              <w:rPr>
                <w:rFonts w:ascii="Calibri" w:hAnsi="Calibri" w:cs="Calibri"/>
                <w:sz w:val="20"/>
              </w:rPr>
            </w:pPr>
            <w:r w:rsidRPr="00C63A98">
              <w:rPr>
                <w:rFonts w:ascii="Calibri" w:hAnsi="Calibri" w:cs="Calibri"/>
                <w:sz w:val="20"/>
              </w:rPr>
              <w:t>Location codes, descriptions and time zones</w:t>
            </w:r>
          </w:p>
        </w:tc>
        <w:tc>
          <w:tcPr>
            <w:tcW w:w="1496" w:type="dxa"/>
          </w:tcPr>
          <w:p w14:paraId="624C3D89" w14:textId="7E2ED5C8"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2742" w:type="dxa"/>
          </w:tcPr>
          <w:p w14:paraId="571BB2B1" w14:textId="339F2EE4" w:rsidR="00C63A98" w:rsidRPr="00C63A98" w:rsidRDefault="00CE45AF" w:rsidP="00AA30D8">
            <w:pPr>
              <w:pStyle w:val="Tabletext"/>
              <w:keepNext/>
              <w:rPr>
                <w:rFonts w:ascii="Calibri" w:hAnsi="Calibri" w:cs="Calibri"/>
                <w:sz w:val="20"/>
              </w:rPr>
            </w:pPr>
            <w:r>
              <w:rPr>
                <w:rFonts w:ascii="Calibri" w:hAnsi="Calibri" w:cs="Calibri"/>
                <w:sz w:val="20"/>
              </w:rPr>
              <w:t>Location to the IQDM location, with its time zone.</w:t>
            </w:r>
          </w:p>
        </w:tc>
      </w:tr>
      <w:tr w:rsidR="00C63A98" w:rsidRPr="00C63A98" w14:paraId="24E7CAA3" w14:textId="743CA51B" w:rsidTr="00C63A98">
        <w:trPr>
          <w:cantSplit/>
        </w:trPr>
        <w:tc>
          <w:tcPr>
            <w:tcW w:w="1741" w:type="dxa"/>
          </w:tcPr>
          <w:p w14:paraId="6594E893" w14:textId="6B63C175" w:rsidR="00C63A98" w:rsidRPr="00C63A98" w:rsidRDefault="00C63A98" w:rsidP="00AA30D8">
            <w:pPr>
              <w:pStyle w:val="Tabletext"/>
              <w:keepNext/>
              <w:rPr>
                <w:rFonts w:ascii="Calibri" w:hAnsi="Calibri" w:cs="Calibri"/>
                <w:sz w:val="20"/>
              </w:rPr>
            </w:pPr>
            <w:r w:rsidRPr="00C63A98">
              <w:rPr>
                <w:rFonts w:ascii="Calibri" w:hAnsi="Calibri" w:cs="Calibri"/>
                <w:sz w:val="20"/>
              </w:rPr>
              <w:t>UOM</w:t>
            </w:r>
          </w:p>
        </w:tc>
        <w:tc>
          <w:tcPr>
            <w:tcW w:w="3381" w:type="dxa"/>
          </w:tcPr>
          <w:p w14:paraId="1CAB3169" w14:textId="70FD1C91" w:rsidR="00C63A98" w:rsidRPr="00C63A98" w:rsidRDefault="00C63A98" w:rsidP="00AA30D8">
            <w:pPr>
              <w:pStyle w:val="Tabletext"/>
              <w:keepNext/>
              <w:rPr>
                <w:rFonts w:ascii="Calibri" w:hAnsi="Calibri" w:cs="Calibri"/>
                <w:sz w:val="20"/>
              </w:rPr>
            </w:pPr>
            <w:r w:rsidRPr="00C63A98">
              <w:rPr>
                <w:rFonts w:ascii="Calibri" w:hAnsi="Calibri" w:cs="Calibri"/>
                <w:sz w:val="20"/>
              </w:rPr>
              <w:t>Units of measure and their conversion factors</w:t>
            </w:r>
          </w:p>
        </w:tc>
        <w:tc>
          <w:tcPr>
            <w:tcW w:w="1496" w:type="dxa"/>
          </w:tcPr>
          <w:p w14:paraId="6E935319" w14:textId="167E9B1C"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2742" w:type="dxa"/>
          </w:tcPr>
          <w:p w14:paraId="5596EABA" w14:textId="50666BEC" w:rsidR="00C63A98" w:rsidRPr="00C63A98" w:rsidRDefault="00873A53" w:rsidP="00AA30D8">
            <w:pPr>
              <w:pStyle w:val="Tabletext"/>
              <w:keepNext/>
              <w:rPr>
                <w:rFonts w:ascii="Calibri" w:hAnsi="Calibri" w:cs="Calibri"/>
                <w:sz w:val="20"/>
              </w:rPr>
            </w:pPr>
            <w:r>
              <w:rPr>
                <w:rFonts w:ascii="Calibri" w:hAnsi="Calibri" w:cs="Calibri"/>
                <w:sz w:val="20"/>
              </w:rPr>
              <w:t>Volumes shall be converted to the IQDM default unit.</w:t>
            </w:r>
          </w:p>
        </w:tc>
      </w:tr>
      <w:tr w:rsidR="00C63A98" w:rsidRPr="00C63A98" w14:paraId="4DB6A048" w14:textId="6ECD7D12" w:rsidTr="00C63A98">
        <w:trPr>
          <w:cantSplit/>
        </w:trPr>
        <w:tc>
          <w:tcPr>
            <w:tcW w:w="1741" w:type="dxa"/>
          </w:tcPr>
          <w:p w14:paraId="6B55A00F" w14:textId="72171542" w:rsidR="00C63A98" w:rsidRPr="00C63A98" w:rsidRDefault="00C63A98" w:rsidP="00C63A98">
            <w:pPr>
              <w:pStyle w:val="Tabletext"/>
              <w:keepNext/>
              <w:rPr>
                <w:rFonts w:ascii="Calibri" w:hAnsi="Calibri" w:cs="Calibri"/>
                <w:sz w:val="20"/>
              </w:rPr>
            </w:pPr>
            <w:commentRangeStart w:id="135"/>
            <w:r w:rsidRPr="00C63A98">
              <w:rPr>
                <w:rFonts w:ascii="Calibri" w:hAnsi="Calibri" w:cs="Calibri"/>
                <w:sz w:val="20"/>
              </w:rPr>
              <w:t>Tank XREF</w:t>
            </w:r>
          </w:p>
        </w:tc>
        <w:tc>
          <w:tcPr>
            <w:tcW w:w="3381" w:type="dxa"/>
          </w:tcPr>
          <w:p w14:paraId="4EEA5F47" w14:textId="1F7BA2E1" w:rsidR="00C63A98" w:rsidRPr="00C63A98" w:rsidRDefault="00C63A98" w:rsidP="00C63A98">
            <w:pPr>
              <w:pStyle w:val="Tabletext"/>
              <w:keepNext/>
              <w:rPr>
                <w:rFonts w:ascii="Calibri" w:hAnsi="Calibri" w:cs="Calibri"/>
                <w:sz w:val="20"/>
              </w:rPr>
            </w:pPr>
            <w:r w:rsidRPr="00C63A98">
              <w:rPr>
                <w:rFonts w:ascii="Calibri" w:hAnsi="Calibri" w:cs="Calibri"/>
                <w:sz w:val="20"/>
              </w:rPr>
              <w:t>Tank (container) codes</w:t>
            </w:r>
          </w:p>
        </w:tc>
        <w:tc>
          <w:tcPr>
            <w:tcW w:w="1496" w:type="dxa"/>
          </w:tcPr>
          <w:p w14:paraId="1055FC24" w14:textId="3B2FA446" w:rsidR="00C63A98" w:rsidRPr="00C63A98" w:rsidRDefault="00C63A98" w:rsidP="00C63A98">
            <w:pPr>
              <w:pStyle w:val="Tabletext"/>
              <w:keepNext/>
              <w:rPr>
                <w:rFonts w:ascii="Calibri" w:hAnsi="Calibri" w:cs="Calibri"/>
                <w:sz w:val="20"/>
              </w:rPr>
            </w:pPr>
            <w:r w:rsidRPr="00C63A98">
              <w:rPr>
                <w:rFonts w:ascii="Calibri" w:hAnsi="Calibri" w:cs="Calibri"/>
                <w:sz w:val="20"/>
              </w:rPr>
              <w:t>Yes</w:t>
            </w:r>
          </w:p>
        </w:tc>
        <w:tc>
          <w:tcPr>
            <w:tcW w:w="2742" w:type="dxa"/>
          </w:tcPr>
          <w:p w14:paraId="5C441D50" w14:textId="7CD6AFB9" w:rsidR="00C63A98" w:rsidRPr="00C63A98" w:rsidRDefault="00CE45AF" w:rsidP="00C63A98">
            <w:pPr>
              <w:pStyle w:val="Tabletext"/>
              <w:keepNext/>
              <w:rPr>
                <w:rFonts w:ascii="Calibri" w:hAnsi="Calibri" w:cs="Calibri"/>
                <w:sz w:val="20"/>
              </w:rPr>
            </w:pPr>
            <w:r>
              <w:rPr>
                <w:rFonts w:ascii="Calibri" w:hAnsi="Calibri" w:cs="Calibri"/>
                <w:sz w:val="20"/>
              </w:rPr>
              <w:t>Tank to the IQDM tank code.</w:t>
            </w:r>
            <w:commentRangeEnd w:id="135"/>
            <w:r w:rsidR="002B6892" w:rsidRPr="00C63A98">
              <w:rPr>
                <w:rStyle w:val="CommentReference"/>
                <w:rFonts w:ascii="Calibri" w:hAnsi="Calibri" w:cs="Calibri"/>
                <w:sz w:val="20"/>
                <w:szCs w:val="20"/>
              </w:rPr>
              <w:commentReference w:id="135"/>
            </w:r>
          </w:p>
        </w:tc>
      </w:tr>
    </w:tbl>
    <w:p w14:paraId="7D66009E" w14:textId="00E94127" w:rsidR="00C63A98" w:rsidRDefault="00C63A98" w:rsidP="00C63A98">
      <w:pPr>
        <w:pStyle w:val="Caption"/>
      </w:pPr>
      <w:bookmarkStart w:id="136" w:name="_Toc241311429"/>
      <w:bookmarkStart w:id="137" w:name="_Toc241574585"/>
      <w:bookmarkStart w:id="138" w:name="_Toc242554007"/>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9</w:t>
      </w:r>
      <w:r>
        <w:fldChar w:fldCharType="end"/>
      </w:r>
      <w:r>
        <w:t xml:space="preserve">: VCB </w:t>
      </w:r>
      <w:r w:rsidR="00AA30D8">
        <w:t>Integration</w:t>
      </w:r>
      <w:r>
        <w:t xml:space="preserve"> (common pattern) - </w:t>
      </w:r>
      <w:bookmarkEnd w:id="136"/>
      <w:bookmarkEnd w:id="137"/>
      <w:r w:rsidR="008A4F32">
        <w:t>Master Data Entities</w:t>
      </w:r>
      <w:bookmarkEnd w:id="138"/>
    </w:p>
    <w:p w14:paraId="77715C4F" w14:textId="77777777" w:rsidR="0081216E" w:rsidRDefault="00DB434F" w:rsidP="006755AC">
      <w:pPr>
        <w:pStyle w:val="Heading4"/>
        <w:rPr>
          <w:rFonts w:ascii="Calibri" w:hAnsi="Calibri" w:cs="Calibri"/>
          <w:b/>
          <w:sz w:val="20"/>
        </w:rPr>
      </w:pPr>
      <w:bookmarkStart w:id="139" w:name="_Ref917260951"/>
      <w:r w:rsidRPr="00AA30D8">
        <w:rPr>
          <w:rFonts w:ascii="Calibri" w:hAnsi="Calibri" w:cs="Calibri"/>
          <w:b/>
          <w:sz w:val="20"/>
        </w:rPr>
        <w:t>Sequence Diagram</w:t>
      </w:r>
      <w:bookmarkEnd w:id="139"/>
    </w:p>
    <w:p w14:paraId="31BB0ED1" w14:textId="12E347FA" w:rsidR="00DB434F" w:rsidRPr="0081216E" w:rsidRDefault="00FC42E7" w:rsidP="00FC42E7">
      <w:pPr>
        <w:keepNext/>
        <w:jc w:val="left"/>
        <w:rPr>
          <w:rFonts w:ascii="Calibri" w:hAnsi="Calibri" w:cs="Calibri"/>
        </w:rPr>
      </w:pPr>
      <w:r>
        <w:rPr>
          <w:rFonts w:ascii="Calibri" w:hAnsi="Calibri" w:cs="Calibri"/>
        </w:rPr>
        <w:t>The figure below shows the calls of the common integration pattern in the order they happen, from the trigger to the save in the IQDM database or the return to the caller.</w:t>
      </w:r>
    </w:p>
    <w:p w14:paraId="70343D57" w14:textId="726A069A" w:rsidR="00DB434F" w:rsidRDefault="00636937" w:rsidP="006755AC">
      <w:pPr>
        <w:keepNext/>
        <w:spacing w:after="40"/>
        <w:jc w:val="center"/>
      </w:pPr>
      <w:r>
        <w:rPr>
          <w:noProof/>
        </w:rPr>
        <w:drawing>
          <wp:inline distT="0" distB="0" distL="0" distR="0" wp14:anchorId="688C2C7E" wp14:editId="00A40263">
            <wp:extent cx="5943600" cy="4439920"/>
            <wp:effectExtent l="0" t="0" r="0" b="0"/>
            <wp:docPr id="8052915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91511" name=""/>
                    <pic:cNvPicPr/>
                  </pic:nvPicPr>
                  <pic:blipFill>
                    <a:blip r:embed="rId26"/>
                    <a:stretch>
                      <a:fillRect/>
                    </a:stretch>
                  </pic:blipFill>
                  <pic:spPr>
                    <a:xfrm>
                      <a:off x="0" y="0"/>
                      <a:ext cx="5943600" cy="4439920"/>
                    </a:xfrm>
                    <a:prstGeom prst="rect">
                      <a:avLst/>
                    </a:prstGeom>
                  </pic:spPr>
                </pic:pic>
              </a:graphicData>
            </a:graphic>
          </wp:inline>
        </w:drawing>
      </w:r>
    </w:p>
    <w:p w14:paraId="1F223582" w14:textId="648B7085" w:rsidR="00DB434F" w:rsidRDefault="00904625" w:rsidP="00904625">
      <w:pPr>
        <w:pStyle w:val="Caption"/>
      </w:pPr>
      <w:bookmarkStart w:id="140" w:name="_Toc241311539"/>
      <w:bookmarkStart w:id="141" w:name="_Toc241574755"/>
      <w:bookmarkStart w:id="142" w:name="_Toc242554139"/>
      <w:r>
        <w:t xml:space="preserve">Figure </w:t>
      </w:r>
      <w:r>
        <w:fldChar w:fldCharType="begin"/>
      </w:r>
      <w:r>
        <w:instrText>STYLEREF 1 \s</w:instrText>
      </w:r>
      <w:r>
        <w:fldChar w:fldCharType="separate"/>
      </w:r>
      <w:r w:rsidR="00FC42E7">
        <w:rPr>
          <w:noProof/>
        </w:rPr>
        <w:t>2</w:t>
      </w:r>
      <w:r>
        <w:fldChar w:fldCharType="end"/>
      </w:r>
      <w:r>
        <w:t>-</w:t>
      </w:r>
      <w:r>
        <w:fldChar w:fldCharType="begin"/>
      </w:r>
      <w:r>
        <w:instrText>SEQ Figure \* ARABIC \s 1</w:instrText>
      </w:r>
      <w:r>
        <w:fldChar w:fldCharType="separate"/>
      </w:r>
      <w:r w:rsidR="00FC42E7">
        <w:rPr>
          <w:noProof/>
        </w:rPr>
        <w:t>3</w:t>
      </w:r>
      <w:r>
        <w:fldChar w:fldCharType="end"/>
      </w:r>
      <w:r>
        <w:t xml:space="preserve">: </w:t>
      </w:r>
      <w:bookmarkEnd w:id="140"/>
      <w:bookmarkEnd w:id="141"/>
      <w:r w:rsidR="000A106D">
        <w:t>VCB Integration (common pattern) Integration Sequence Diagram</w:t>
      </w:r>
      <w:bookmarkEnd w:id="142"/>
    </w:p>
    <w:p w14:paraId="17C8A9CD" w14:textId="77777777" w:rsidR="00FC42E7" w:rsidRPr="00EC3682" w:rsidRDefault="00FC42E7" w:rsidP="00FC42E7">
      <w:pPr>
        <w:pStyle w:val="ListParagraph"/>
        <w:numPr>
          <w:ilvl w:val="0"/>
          <w:numId w:val="4"/>
        </w:numPr>
        <w:jc w:val="left"/>
        <w:rPr>
          <w:rFonts w:ascii="Calibri" w:hAnsi="Calibri" w:cs="Calibri"/>
        </w:rPr>
      </w:pPr>
      <w:r>
        <w:t>The Semantic Service calls are drawn in the UseServiceBus = false path; the UseServiceBus = true path shall make them in the same order.</w:t>
      </w:r>
    </w:p>
    <w:p w14:paraId="0AE92E10" w14:textId="5A3E4C1B" w:rsidR="00FC42E7" w:rsidRPr="00EC3682" w:rsidRDefault="00FC42E7" w:rsidP="00FC42E7">
      <w:pPr>
        <w:pStyle w:val="ListParagraph"/>
        <w:numPr>
          <w:ilvl w:val="0"/>
          <w:numId w:val="4"/>
        </w:numPr>
        <w:jc w:val="left"/>
        <w:rPr>
          <w:rFonts w:ascii="Calibri" w:hAnsi="Calibri" w:cs="Calibri"/>
        </w:rPr>
      </w:pPr>
      <w:r>
        <w:t xml:space="preserve">For pricing, the dashboard shall send the request on demand to the Price Request Service of the Cost API, as described in section </w:t>
      </w:r>
      <w:r>
        <w:fldChar w:fldCharType="begin"/>
      </w:r>
      <w:r>
        <w:instrText xml:space="preserve"> REF _Ref917260913 \w \h \* MERGEFORMAT </w:instrText>
      </w:r>
      <w:r>
        <w:fldChar w:fldCharType="separate"/>
      </w:r>
      <w:r w:rsidRPr="00FC42E7">
        <w:rPr>
          <w:color w:val="0563C1"/>
          <w:u w:val="single"/>
        </w:rPr>
        <w:t>2.3.3.3</w:t>
      </w:r>
      <w:r>
        <w:fldChar w:fldCharType="end"/>
      </w:r>
      <w:r>
        <w:t>.</w:t>
      </w:r>
    </w:p>
    <w:p w14:paraId="46A22444" w14:textId="65FDD3B9" w:rsidR="00FC42E7" w:rsidRPr="00EC3682" w:rsidRDefault="00FC42E7" w:rsidP="00FC42E7">
      <w:pPr>
        <w:pStyle w:val="ListParagraph"/>
        <w:numPr>
          <w:ilvl w:val="0"/>
          <w:numId w:val="4"/>
        </w:numPr>
        <w:jc w:val="left"/>
        <w:rPr>
          <w:rFonts w:ascii="Calibri" w:hAnsi="Calibri" w:cs="Calibri"/>
        </w:rPr>
      </w:pPr>
      <w:commentRangeStart w:id="143"/>
      <w:r>
        <w:t>The pricing request shall carry IsImport = true and UseServiceBus = true.</w:t>
      </w:r>
      <w:commentRangeEnd w:id="143"/>
      <w:r w:rsidR="00FC793A" w:rsidRPr="00EC3682">
        <w:rPr>
          <w:rStyle w:val="CommentReference"/>
          <w:rFonts w:ascii="Calibri" w:hAnsi="Calibri" w:cs="Calibri"/>
          <w:sz w:val="22"/>
          <w:szCs w:val="22"/>
        </w:rPr>
        <w:commentReference w:id="143"/>
      </w:r>
    </w:p>
    <w:p w14:paraId="44325036" w14:textId="68A0A2A3" w:rsidR="00C63A98" w:rsidRDefault="00FC42E7" w:rsidP="00FC42E7">
      <w:pPr>
        <w:keepNext/>
        <w:jc w:val="left"/>
      </w:pPr>
      <w:r>
        <w:t>The steps below follow the sequence diagram and apply to the PIAF and Kittyhawk integrations.</w:t>
      </w:r>
    </w:p>
    <w:p w14:paraId="0EA681C0" w14:textId="79600C4C" w:rsidR="00C63A98" w:rsidRPr="00C63A98" w:rsidRDefault="00794AE6" w:rsidP="00652CF3">
      <w:pPr>
        <w:pStyle w:val="ListParagraph"/>
        <w:numPr>
          <w:ilvl w:val="0"/>
          <w:numId w:val="10"/>
        </w:numPr>
        <w:jc w:val="left"/>
        <w:rPr>
          <w:sz w:val="20"/>
        </w:rPr>
      </w:pPr>
      <w:r>
        <w:t xml:space="preserve">The trigger shall read the run settings from the configuration file in Blob Storage and </w:t>
      </w:r>
      <w:r w:rsidR="00CE45AF">
        <w:t>send a request to the Request Service.</w:t>
      </w:r>
    </w:p>
    <w:p w14:paraId="447FA1C6" w14:textId="1514A8CA" w:rsidR="00C63A98" w:rsidRPr="00C63A98" w:rsidRDefault="00AA30D8" w:rsidP="00652CF3">
      <w:pPr>
        <w:pStyle w:val="ListParagraph"/>
        <w:numPr>
          <w:ilvl w:val="0"/>
          <w:numId w:val="10"/>
        </w:numPr>
        <w:jc w:val="left"/>
        <w:rPr>
          <w:sz w:val="20"/>
        </w:rPr>
      </w:pPr>
      <w:r>
        <w:t xml:space="preserve">The Request Service shall check the request. If UseServiceBus is true, it shall hand the request to </w:t>
      </w:r>
      <w:commentRangeStart w:id="144"/>
      <w:r>
        <w:t xml:space="preserve">the Request Durable Function and wait for the answer. </w:t>
      </w:r>
      <w:commentRangeEnd w:id="144"/>
      <w:r w:rsidR="001D4C79">
        <w:rPr>
          <w:rStyle w:val="CommentReference"/>
          <w:sz w:val="22"/>
          <w:szCs w:val="22"/>
        </w:rPr>
        <w:commentReference w:id="144"/>
      </w:r>
      <w:r>
        <w:t>If UseServiceBus is false, it shall call the Response Service directly.</w:t>
      </w:r>
    </w:p>
    <w:p w14:paraId="5FC3C240" w14:textId="2CA0B862" w:rsidR="00C63A98" w:rsidRPr="00C63A98" w:rsidRDefault="00AA30D8" w:rsidP="00652CF3">
      <w:pPr>
        <w:pStyle w:val="ListParagraph"/>
        <w:numPr>
          <w:ilvl w:val="0"/>
          <w:numId w:val="10"/>
        </w:numPr>
        <w:jc w:val="left"/>
        <w:rPr>
          <w:sz w:val="20"/>
        </w:rPr>
      </w:pPr>
      <w:r>
        <w:t>The Request Durable Function shall put the request on the request queue and wait on the response queue.</w:t>
      </w:r>
    </w:p>
    <w:p w14:paraId="3C94FC55" w14:textId="63467F10" w:rsidR="00C63A98" w:rsidRPr="00C63A98" w:rsidRDefault="00AA30D8" w:rsidP="00652CF3">
      <w:pPr>
        <w:pStyle w:val="ListParagraph"/>
        <w:numPr>
          <w:ilvl w:val="0"/>
          <w:numId w:val="10"/>
        </w:numPr>
        <w:jc w:val="left"/>
        <w:rPr>
          <w:sz w:val="20"/>
        </w:rPr>
      </w:pPr>
      <w:r>
        <w:t>The Response Durable Function shall pick the request up and ask the Response Service for the data.</w:t>
      </w:r>
    </w:p>
    <w:p w14:paraId="7D9CD32B" w14:textId="3716D5CC" w:rsidR="00C63A98" w:rsidRPr="00C63A98" w:rsidRDefault="00636937" w:rsidP="00652CF3">
      <w:pPr>
        <w:pStyle w:val="ListParagraph"/>
        <w:numPr>
          <w:ilvl w:val="0"/>
          <w:numId w:val="10"/>
        </w:numPr>
        <w:jc w:val="left"/>
        <w:rPr>
          <w:sz w:val="20"/>
        </w:rPr>
      </w:pPr>
      <w:r>
        <w:t xml:space="preserve">The Response Service shall read the source system and </w:t>
      </w:r>
      <w:commentRangeStart w:id="145"/>
      <w:r>
        <w:t xml:space="preserve">add the Profisee codes through the </w:t>
      </w:r>
      <w:commentRangeEnd w:id="145"/>
      <w:r w:rsidR="005E445E">
        <w:rPr>
          <w:rStyle w:val="CommentReference"/>
          <w:sz w:val="22"/>
          <w:szCs w:val="22"/>
        </w:rPr>
        <w:commentReference w:id="145"/>
      </w:r>
      <w:r>
        <w:t>Semantic Service (code aliasing). It shall then return the data to the Request Service, through the response queue when the request came through the queues.</w:t>
      </w:r>
    </w:p>
    <w:p w14:paraId="5EDB1B51" w14:textId="00DBB821" w:rsidR="00C63A98" w:rsidRPr="00C63A98" w:rsidRDefault="00636937" w:rsidP="00652CF3">
      <w:pPr>
        <w:pStyle w:val="ListParagraph"/>
        <w:numPr>
          <w:ilvl w:val="0"/>
          <w:numId w:val="10"/>
        </w:numPr>
        <w:jc w:val="left"/>
        <w:rPr>
          <w:sz w:val="20"/>
        </w:rPr>
      </w:pPr>
      <w:r>
        <w:t>The Request Service shall turn the Profisee codes into IQDM codes and convert the units through the Semantic Service (code cross-reference and unit conversion). It shall leave out duplicate rows, rows without a material mapping and, for PIAF rows, rows without an equipment code.</w:t>
      </w:r>
    </w:p>
    <w:p w14:paraId="11E1D5FD" w14:textId="3D98EE22" w:rsidR="00C63A98" w:rsidRPr="00C63A98" w:rsidRDefault="008F2422" w:rsidP="00652CF3">
      <w:pPr>
        <w:pStyle w:val="ListParagraph"/>
        <w:numPr>
          <w:ilvl w:val="0"/>
          <w:numId w:val="10"/>
        </w:numPr>
        <w:jc w:val="left"/>
        <w:rPr>
          <w:sz w:val="20"/>
        </w:rPr>
      </w:pPr>
      <w:r>
        <w:t>Only after these steps shall the Request Service, with IsImport = false, save</w:t>
      </w:r>
      <w:r w:rsidR="00636937">
        <w:t xml:space="preserve"> the rows in the VCB table of the IQDM database through a stored procedure. With IsImport = true, it shall return them to the caller.</w:t>
      </w:r>
    </w:p>
    <w:p w14:paraId="24F1963A" w14:textId="6A2E185C" w:rsidR="00873A53" w:rsidRPr="00AA30D8" w:rsidRDefault="00873A53" w:rsidP="00873A53">
      <w:pPr>
        <w:pStyle w:val="Heading4"/>
        <w:rPr>
          <w:rFonts w:ascii="Calibri" w:hAnsi="Calibri" w:cs="Calibri"/>
          <w:b/>
          <w:sz w:val="20"/>
        </w:rPr>
      </w:pPr>
      <w:bookmarkStart w:id="146" w:name="_Toc241574296"/>
      <w:commentRangeStart w:id="147"/>
      <w:r>
        <w:rPr>
          <w:rFonts w:ascii="Calibri" w:hAnsi="Calibri" w:cs="Calibri"/>
          <w:b/>
          <w:sz w:val="20"/>
        </w:rPr>
        <w:t>How a Request Reaches Its Integration</w:t>
      </w:r>
    </w:p>
    <w:p w14:paraId="1DC61E07" w14:textId="199806CD" w:rsidR="00FC42E7" w:rsidRPr="00EC3682" w:rsidRDefault="00FC42E7" w:rsidP="00FC42E7">
      <w:pPr>
        <w:pStyle w:val="ListParagraph"/>
        <w:numPr>
          <w:ilvl w:val="0"/>
          <w:numId w:val="4"/>
        </w:numPr>
        <w:jc w:val="left"/>
        <w:rPr>
          <w:rFonts w:ascii="Calibri" w:hAnsi="Calibri" w:cs="Calibri"/>
        </w:rPr>
      </w:pPr>
      <w:r>
        <w:t xml:space="preserve">Every request shall carry the header of Table </w:t>
      </w:r>
      <w:r>
        <w:fldChar w:fldCharType="begin"/>
      </w:r>
      <w:r>
        <w:instrText xml:space="preserve"> REF _Ref917260927 \h \* MERGEFORMAT </w:instrText>
      </w:r>
      <w:r>
        <w:fldChar w:fldCharType="separate"/>
      </w:r>
      <w:r w:rsidRPr="00FC42E7">
        <w:rPr>
          <w:noProof/>
          <w:color w:val="0563C1"/>
          <w:u w:val="single"/>
        </w:rPr>
        <w:t>2-5</w:t>
      </w:r>
      <w:r>
        <w:fldChar w:fldCharType="end"/>
      </w:r>
      <w:r>
        <w:t>.</w:t>
      </w:r>
    </w:p>
    <w:p w14:paraId="398AE0B9" w14:textId="450C36D7" w:rsidR="00873A53" w:rsidRDefault="00FC42E7" w:rsidP="00FC42E7">
      <w:pPr>
        <w:keepNext/>
        <w:jc w:val="left"/>
      </w:pPr>
      <w:r>
        <w:t>The platform shall use the header to send the request to the right integration and to keep the data of each integration apart:</w:t>
      </w:r>
    </w:p>
    <w:p w14:paraId="44141C70" w14:textId="0192349A" w:rsidR="00873A53" w:rsidRPr="00EC3682" w:rsidRDefault="008F2422" w:rsidP="00873A53">
      <w:pPr>
        <w:pStyle w:val="ListParagraph"/>
        <w:numPr>
          <w:ilvl w:val="0"/>
          <w:numId w:val="4"/>
        </w:numPr>
        <w:jc w:val="left"/>
        <w:rPr>
          <w:rFonts w:ascii="Calibri" w:hAnsi="Calibri" w:cs="Calibri"/>
        </w:rPr>
      </w:pPr>
      <w:r>
        <w:t>SourceApplication shall name the source system of the request, for example PIAF, KittyHawk or MPR.</w:t>
      </w:r>
    </w:p>
    <w:p w14:paraId="77A2DBD9" w14:textId="248CB03A" w:rsidR="00873A53" w:rsidRPr="00EC3682" w:rsidRDefault="00873A53" w:rsidP="00873A53">
      <w:pPr>
        <w:pStyle w:val="ListParagraph"/>
        <w:numPr>
          <w:ilvl w:val="0"/>
          <w:numId w:val="4"/>
        </w:numPr>
        <w:jc w:val="left"/>
        <w:rPr>
          <w:rFonts w:ascii="Calibri" w:hAnsi="Calibri" w:cs="Calibri"/>
        </w:rPr>
      </w:pPr>
      <w:r>
        <w:t xml:space="preserve">The Response Service shall choose what to read from SourceApplication. </w:t>
      </w:r>
      <w:r w:rsidR="008F2422">
        <w:t>For PIAF, the PI tag mapping shall give the tags of each terminal, and the property of each tag shall keep the analyzer qualities and the flows apart.</w:t>
      </w:r>
    </w:p>
    <w:p w14:paraId="3302CA8F" w14:textId="6013D533" w:rsidR="00873A53" w:rsidRPr="00EC3682" w:rsidRDefault="00873A53" w:rsidP="00873A53">
      <w:pPr>
        <w:pStyle w:val="ListParagraph"/>
        <w:numPr>
          <w:ilvl w:val="0"/>
          <w:numId w:val="4"/>
        </w:numPr>
        <w:jc w:val="left"/>
        <w:rPr>
          <w:rFonts w:ascii="Calibri" w:hAnsi="Calibri" w:cs="Calibri"/>
        </w:rPr>
      </w:pPr>
      <w:r>
        <w:t>InterfaceId and InterfaceName shall name the integration. They shall appear in every log entry and notification of the run.</w:t>
      </w:r>
    </w:p>
    <w:p w14:paraId="7CC5F74A" w14:textId="171E4A45" w:rsidR="00873A53" w:rsidRPr="00EC3682" w:rsidRDefault="00FC42E7" w:rsidP="00873A53">
      <w:pPr>
        <w:pStyle w:val="ListParagraph"/>
        <w:numPr>
          <w:ilvl w:val="0"/>
          <w:numId w:val="4"/>
        </w:numPr>
        <w:jc w:val="left"/>
        <w:rPr>
          <w:rFonts w:ascii="Calibri" w:hAnsi="Calibri" w:cs="Calibri"/>
        </w:rPr>
      </w:pPr>
      <w:r>
        <w:t xml:space="preserve">Each integration shall have its own durable functions and queues, and the PIAF and Kittyhawk integrations and the Profisee data mapping shall also have their own trigger and configuration file (Tables </w:t>
      </w:r>
      <w:r>
        <w:fldChar w:fldCharType="begin"/>
      </w:r>
      <w:r>
        <w:instrText xml:space="preserve"> REF _Ref917260928 \h \* MERGEFORMAT </w:instrText>
      </w:r>
      <w:r>
        <w:fldChar w:fldCharType="separate"/>
      </w:r>
      <w:r w:rsidRPr="00FC42E7">
        <w:rPr>
          <w:noProof/>
          <w:color w:val="0563C1"/>
          <w:u w:val="single"/>
        </w:rPr>
        <w:t>2-4</w:t>
      </w:r>
      <w:r>
        <w:fldChar w:fldCharType="end"/>
      </w:r>
      <w:r>
        <w:t xml:space="preserve">, </w:t>
      </w:r>
      <w:r>
        <w:fldChar w:fldCharType="begin"/>
      </w:r>
      <w:r>
        <w:instrText xml:space="preserve"> REF _Ref917260929 \h \* MERGEFORMAT </w:instrText>
      </w:r>
      <w:r>
        <w:fldChar w:fldCharType="separate"/>
      </w:r>
      <w:r w:rsidRPr="00FC42E7">
        <w:rPr>
          <w:noProof/>
          <w:color w:val="0563C1"/>
          <w:u w:val="single"/>
        </w:rPr>
        <w:t>2-10</w:t>
      </w:r>
      <w:r>
        <w:fldChar w:fldCharType="end"/>
      </w:r>
      <w:r>
        <w:t xml:space="preserve">, </w:t>
      </w:r>
      <w:r>
        <w:fldChar w:fldCharType="begin"/>
      </w:r>
      <w:r>
        <w:instrText xml:space="preserve"> REF _Ref917260930 \h \* MERGEFORMAT </w:instrText>
      </w:r>
      <w:r>
        <w:fldChar w:fldCharType="separate"/>
      </w:r>
      <w:r w:rsidRPr="00FC42E7">
        <w:rPr>
          <w:noProof/>
          <w:color w:val="0563C1"/>
          <w:u w:val="single"/>
        </w:rPr>
        <w:t>2-17</w:t>
      </w:r>
      <w:r>
        <w:fldChar w:fldCharType="end"/>
      </w:r>
      <w:r>
        <w:t xml:space="preserve">, </w:t>
      </w:r>
      <w:r>
        <w:fldChar w:fldCharType="begin"/>
      </w:r>
      <w:r>
        <w:instrText xml:space="preserve"> REF _Ref917260931 \h \* MERGEFORMAT </w:instrText>
      </w:r>
      <w:r>
        <w:fldChar w:fldCharType="separate"/>
      </w:r>
      <w:r w:rsidRPr="00FC42E7">
        <w:rPr>
          <w:noProof/>
          <w:color w:val="0563C1"/>
          <w:u w:val="single"/>
        </w:rPr>
        <w:t>2-19</w:t>
      </w:r>
      <w:r>
        <w:fldChar w:fldCharType="end"/>
      </w:r>
      <w:r>
        <w:t xml:space="preserve">, </w:t>
      </w:r>
      <w:r>
        <w:fldChar w:fldCharType="begin"/>
      </w:r>
      <w:r>
        <w:instrText xml:space="preserve"> REF _Ref917260932 \h \* MERGEFORMAT </w:instrText>
      </w:r>
      <w:r>
        <w:fldChar w:fldCharType="separate"/>
      </w:r>
      <w:r w:rsidRPr="00FC42E7">
        <w:rPr>
          <w:noProof/>
          <w:color w:val="0563C1"/>
          <w:u w:val="single"/>
        </w:rPr>
        <w:t>2-27</w:t>
      </w:r>
      <w:r>
        <w:fldChar w:fldCharType="end"/>
      </w:r>
      <w:r>
        <w:t xml:space="preserve">, </w:t>
      </w:r>
      <w:r>
        <w:fldChar w:fldCharType="begin"/>
      </w:r>
      <w:r>
        <w:instrText xml:space="preserve"> REF _Ref917260933 \h \* MERGEFORMAT </w:instrText>
      </w:r>
      <w:r>
        <w:fldChar w:fldCharType="separate"/>
      </w:r>
      <w:r w:rsidRPr="00FC42E7">
        <w:rPr>
          <w:noProof/>
          <w:color w:val="0563C1"/>
          <w:u w:val="single"/>
        </w:rPr>
        <w:t>2-33</w:t>
      </w:r>
      <w:r>
        <w:fldChar w:fldCharType="end"/>
      </w:r>
      <w:r>
        <w:t xml:space="preserve">, </w:t>
      </w:r>
      <w:r>
        <w:fldChar w:fldCharType="begin"/>
      </w:r>
      <w:r>
        <w:instrText xml:space="preserve"> REF _Ref917260934 \h \* MERGEFORMAT </w:instrText>
      </w:r>
      <w:r>
        <w:fldChar w:fldCharType="separate"/>
      </w:r>
      <w:r w:rsidRPr="00FC42E7">
        <w:rPr>
          <w:noProof/>
          <w:color w:val="0563C1"/>
          <w:u w:val="single"/>
        </w:rPr>
        <w:t>2-42</w:t>
      </w:r>
      <w:r>
        <w:fldChar w:fldCharType="end"/>
      </w:r>
      <w:r>
        <w:t xml:space="preserve"> and </w:t>
      </w:r>
      <w:r>
        <w:fldChar w:fldCharType="begin"/>
      </w:r>
      <w:r>
        <w:instrText xml:space="preserve"> REF _Ref917260935 \h \* MERGEFORMAT </w:instrText>
      </w:r>
      <w:r>
        <w:fldChar w:fldCharType="separate"/>
      </w:r>
      <w:r w:rsidRPr="00FC42E7">
        <w:rPr>
          <w:noProof/>
          <w:color w:val="0563C1"/>
          <w:u w:val="single"/>
        </w:rPr>
        <w:t>2-49</w:t>
      </w:r>
      <w:r>
        <w:fldChar w:fldCharType="end"/>
      </w:r>
      <w:r>
        <w:t>), so the requests of one integration shall never reach another.</w:t>
      </w:r>
    </w:p>
    <w:p w14:paraId="0BE9F7FF" w14:textId="6D149BC7" w:rsidR="00873A53" w:rsidRPr="00EC3682" w:rsidRDefault="00873A53" w:rsidP="00873A53">
      <w:pPr>
        <w:pStyle w:val="ListParagraph"/>
        <w:numPr>
          <w:ilvl w:val="0"/>
          <w:numId w:val="4"/>
        </w:numPr>
        <w:jc w:val="left"/>
        <w:rPr>
          <w:rFonts w:ascii="Calibri" w:hAnsi="Calibri" w:cs="Calibri"/>
        </w:rPr>
      </w:pPr>
      <w:r>
        <w:t>SessionId shall pair every response with its request. On the Service Bus path, all the messages of one request shall travel in one session.</w:t>
      </w:r>
      <w:commentRangeEnd w:id="147"/>
      <w:r w:rsidR="00A262ED" w:rsidRPr="00EC3682">
        <w:rPr>
          <w:rStyle w:val="CommentReference"/>
          <w:rFonts w:ascii="Calibri" w:hAnsi="Calibri" w:cs="Calibri"/>
          <w:sz w:val="22"/>
          <w:szCs w:val="22"/>
        </w:rPr>
        <w:commentReference w:id="147"/>
      </w:r>
    </w:p>
    <w:p w14:paraId="2171B949" w14:textId="6A07BA4E" w:rsidR="00AA30D8" w:rsidRPr="00AA30D8" w:rsidRDefault="008F2422" w:rsidP="00AA30D8">
      <w:pPr>
        <w:pStyle w:val="Heading3"/>
        <w:rPr>
          <w:rFonts w:ascii="Calibri" w:hAnsi="Calibri" w:cs="Calibri"/>
          <w:b/>
          <w:sz w:val="20"/>
        </w:rPr>
      </w:pPr>
      <w:bookmarkStart w:id="148" w:name="_Ref917260910"/>
      <w:bookmarkStart w:id="149" w:name="_Toc242553925"/>
      <w:r>
        <w:rPr>
          <w:rFonts w:ascii="Calibri" w:hAnsi="Calibri" w:cs="Calibri"/>
          <w:b/>
          <w:sz w:val="20"/>
        </w:rPr>
        <w:t>Technical Design of IQDM Scope</w:t>
      </w:r>
      <w:bookmarkEnd w:id="148"/>
      <w:bookmarkEnd w:id="149"/>
    </w:p>
    <w:p w14:paraId="1D7DB502" w14:textId="60831E25" w:rsidR="00FC42E7" w:rsidRPr="00EC3682" w:rsidRDefault="00FC42E7" w:rsidP="00FC42E7">
      <w:pPr>
        <w:pStyle w:val="ListParagraph"/>
        <w:numPr>
          <w:ilvl w:val="0"/>
          <w:numId w:val="4"/>
        </w:numPr>
        <w:jc w:val="left"/>
        <w:rPr>
          <w:rFonts w:ascii="Calibri" w:hAnsi="Calibri" w:cs="Calibri"/>
        </w:rPr>
      </w:pPr>
      <w:r>
        <w:t>The IQDM integrations below shall load the data of the refineries and terminals into the IQDM database.</w:t>
      </w:r>
    </w:p>
    <w:p w14:paraId="231ECC58" w14:textId="54820AB7" w:rsidR="00FC42E7" w:rsidRPr="00EC3682" w:rsidRDefault="00FC42E7" w:rsidP="00FC42E7">
      <w:pPr>
        <w:pStyle w:val="ListParagraph"/>
        <w:numPr>
          <w:ilvl w:val="0"/>
          <w:numId w:val="4"/>
        </w:numPr>
        <w:jc w:val="left"/>
        <w:rPr>
          <w:rFonts w:ascii="Calibri" w:hAnsi="Calibri" w:cs="Calibri"/>
        </w:rPr>
      </w:pPr>
      <w:r>
        <w:t>VCB shall not build or run the IQDM integrations.</w:t>
      </w:r>
    </w:p>
    <w:p w14:paraId="469FCC2F" w14:textId="059AF7C3" w:rsidR="00FC42E7" w:rsidRPr="00EC3682" w:rsidRDefault="00FC42E7" w:rsidP="00FC42E7">
      <w:pPr>
        <w:pStyle w:val="ListParagraph"/>
        <w:numPr>
          <w:ilvl w:val="0"/>
          <w:numId w:val="4"/>
        </w:numPr>
        <w:jc w:val="left"/>
        <w:rPr>
          <w:rFonts w:ascii="Calibri" w:hAnsi="Calibri" w:cs="Calibri"/>
        </w:rPr>
      </w:pPr>
      <w:r>
        <w:t xml:space="preserve">The VCB dashboards shall read the entities of Table </w:t>
      </w:r>
      <w:r>
        <w:fldChar w:fldCharType="begin"/>
      </w:r>
      <w:r>
        <w:instrText xml:space="preserve"> REF _Ref917260904 \h \* MERGEFORMAT </w:instrText>
      </w:r>
      <w:r>
        <w:fldChar w:fldCharType="separate"/>
      </w:r>
      <w:r w:rsidRPr="00FC42E7">
        <w:rPr>
          <w:noProof/>
          <w:color w:val="0563C1"/>
          <w:u w:val="single"/>
        </w:rPr>
        <w:t>2-1</w:t>
      </w:r>
      <w:r>
        <w:fldChar w:fldCharType="end"/>
      </w:r>
      <w:r>
        <w:t xml:space="preserve"> from the IQDM database; the product specifications shall be loaded there by IQDM from IQDM Release 5, and until then by the database team (chapter </w:t>
      </w:r>
      <w:r>
        <w:fldChar w:fldCharType="begin"/>
      </w:r>
      <w:r>
        <w:instrText xml:space="preserve"> REF _Toc1072462938 \w \h \* MERGEFORMAT </w:instrText>
      </w:r>
      <w:r>
        <w:fldChar w:fldCharType="separate"/>
      </w:r>
      <w:r w:rsidRPr="00FC42E7">
        <w:rPr>
          <w:color w:val="0563C1"/>
          <w:u w:val="single"/>
        </w:rPr>
        <w:t>3</w:t>
      </w:r>
      <w:r>
        <w:fldChar w:fldCharType="end"/>
      </w:r>
      <w:r>
        <w:t>).</w:t>
      </w:r>
    </w:p>
    <w:p w14:paraId="35BF4C14" w14:textId="23FBC606" w:rsidR="00FC42E7" w:rsidRPr="00EC3682" w:rsidRDefault="00FC42E7" w:rsidP="00FC42E7">
      <w:pPr>
        <w:pStyle w:val="ListParagraph"/>
        <w:numPr>
          <w:ilvl w:val="0"/>
          <w:numId w:val="4"/>
        </w:numPr>
        <w:jc w:val="left"/>
        <w:rPr>
          <w:rFonts w:ascii="Calibri" w:hAnsi="Calibri" w:cs="Calibri"/>
        </w:rPr>
      </w:pPr>
      <w:r>
        <w:t xml:space="preserve">Sections </w:t>
      </w:r>
      <w:r>
        <w:fldChar w:fldCharType="begin"/>
      </w:r>
      <w:r>
        <w:instrText xml:space="preserve"> REF _Ref917260936 \w \h \* MERGEFORMAT </w:instrText>
      </w:r>
      <w:r>
        <w:fldChar w:fldCharType="separate"/>
      </w:r>
      <w:r w:rsidRPr="00FC42E7">
        <w:rPr>
          <w:color w:val="0563C1"/>
          <w:u w:val="single"/>
        </w:rPr>
        <w:t>2.3.2.1</w:t>
      </w:r>
      <w:r>
        <w:fldChar w:fldCharType="end"/>
      </w:r>
      <w:r>
        <w:t xml:space="preserve"> to </w:t>
      </w:r>
      <w:r>
        <w:fldChar w:fldCharType="begin"/>
      </w:r>
      <w:r>
        <w:instrText xml:space="preserve"> REF _Ref917260937 \w \h \* MERGEFORMAT </w:instrText>
      </w:r>
      <w:r>
        <w:fldChar w:fldCharType="separate"/>
      </w:r>
      <w:r w:rsidRPr="00FC42E7">
        <w:rPr>
          <w:color w:val="0563C1"/>
          <w:u w:val="single"/>
        </w:rPr>
        <w:t>2.3.2.7</w:t>
      </w:r>
      <w:r>
        <w:fldChar w:fldCharType="end"/>
      </w:r>
      <w:r>
        <w:t xml:space="preserve"> give a short description of each IQDM integration, and section </w:t>
      </w:r>
      <w:r>
        <w:fldChar w:fldCharType="begin"/>
      </w:r>
      <w:r>
        <w:instrText xml:space="preserve"> REF _Ref917260938 \w \h \* MERGEFORMAT </w:instrText>
      </w:r>
      <w:r>
        <w:fldChar w:fldCharType="separate"/>
      </w:r>
      <w:r w:rsidRPr="00FC42E7">
        <w:rPr>
          <w:color w:val="0563C1"/>
          <w:u w:val="single"/>
        </w:rPr>
        <w:t>2.3.2.8</w:t>
      </w:r>
      <w:r>
        <w:fldChar w:fldCharType="end"/>
      </w:r>
      <w:r>
        <w:t xml:space="preserve"> the blend component inventory that comes into the IQDM database from IQDM Release 2; for more details, refer to the IQDM Technical Design Document.</w:t>
      </w:r>
    </w:p>
    <w:p w14:paraId="3E1AB43F" w14:textId="60897D29" w:rsidR="00AA30D8" w:rsidRPr="00FC42E7" w:rsidRDefault="00FC42E7" w:rsidP="00FC42E7">
      <w:pPr>
        <w:pStyle w:val="ListParagraph"/>
        <w:numPr>
          <w:ilvl w:val="0"/>
          <w:numId w:val="4"/>
        </w:numPr>
        <w:jc w:val="left"/>
      </w:pPr>
      <w:r w:rsidRPr="00FC42E7">
        <w:t xml:space="preserve">Section </w:t>
      </w:r>
      <w:r>
        <w:fldChar w:fldCharType="begin"/>
      </w:r>
      <w:r>
        <w:instrText xml:space="preserve"> REF _Ref917260939 \w \h \* MERGEFORMAT </w:instrText>
      </w:r>
      <w:r>
        <w:fldChar w:fldCharType="separate"/>
      </w:r>
      <w:r w:rsidRPr="00FC42E7">
        <w:rPr>
          <w:color w:val="0563C1"/>
          <w:u w:val="single"/>
        </w:rPr>
        <w:t>2.3.2.9</w:t>
      </w:r>
      <w:r>
        <w:fldChar w:fldCharType="end"/>
      </w:r>
      <w:r w:rsidRPr="00FC42E7">
        <w:t xml:space="preserve"> gives the rule that selects the specification limits.</w:t>
      </w:r>
    </w:p>
    <w:p w14:paraId="44B56A70" w14:textId="71329F6B" w:rsidR="00AA30D8" w:rsidRPr="00AA30D8" w:rsidRDefault="00AA30D8" w:rsidP="00AA30D8">
      <w:pPr>
        <w:pStyle w:val="Heading4"/>
        <w:rPr>
          <w:rFonts w:ascii="Calibri" w:hAnsi="Calibri" w:cs="Calibri"/>
          <w:b/>
          <w:sz w:val="20"/>
        </w:rPr>
      </w:pPr>
      <w:bookmarkStart w:id="150" w:name="_Ref917260936"/>
      <w:r w:rsidRPr="00AA30D8">
        <w:rPr>
          <w:rFonts w:ascii="Calibri" w:hAnsi="Calibri" w:cs="Calibri"/>
          <w:b/>
          <w:sz w:val="20"/>
        </w:rPr>
        <w:t>Refinery Schedule Events</w:t>
      </w:r>
      <w:bookmarkEnd w:id="150"/>
    </w:p>
    <w:p w14:paraId="269C0718" w14:textId="1A021C27" w:rsidR="00FC42E7" w:rsidRPr="00EC3682" w:rsidRDefault="00FC42E7" w:rsidP="00FC42E7">
      <w:pPr>
        <w:pStyle w:val="ListParagraph"/>
        <w:numPr>
          <w:ilvl w:val="0"/>
          <w:numId w:val="4"/>
        </w:numPr>
        <w:jc w:val="left"/>
        <w:rPr>
          <w:rFonts w:ascii="Calibri" w:hAnsi="Calibri" w:cs="Calibri"/>
        </w:rPr>
      </w:pPr>
      <w:r>
        <w:t xml:space="preserve">This IQDM integration shall read the </w:t>
      </w:r>
      <w:commentRangeStart w:id="151"/>
      <w:r>
        <w:t xml:space="preserve">planned </w:t>
      </w:r>
      <w:commentRangeEnd w:id="151"/>
      <w:r w:rsidR="00E3559C">
        <w:rPr>
          <w:rStyle w:val="CommentReference"/>
          <w:sz w:val="22"/>
          <w:szCs w:val="22"/>
        </w:rPr>
        <w:commentReference w:id="151"/>
      </w:r>
      <w:r>
        <w:t>events of the refineries from the refinery APS database and save them into the IQDM database.</w:t>
      </w:r>
    </w:p>
    <w:p w14:paraId="110B98C7" w14:textId="25843F85" w:rsidR="00FC42E7" w:rsidRPr="00EC3682" w:rsidRDefault="00FC42E7" w:rsidP="00FC42E7">
      <w:pPr>
        <w:pStyle w:val="ListParagraph"/>
        <w:numPr>
          <w:ilvl w:val="0"/>
          <w:numId w:val="4"/>
        </w:numPr>
        <w:jc w:val="left"/>
        <w:rPr>
          <w:rFonts w:ascii="Calibri" w:hAnsi="Calibri" w:cs="Calibri"/>
        </w:rPr>
      </w:pPr>
      <w:r>
        <w:t>The VCB dashboards shall use the product shipment events (event type 15) for the In-Transit &amp; Schedule Movement from refinery (Pipeline).</w:t>
      </w:r>
    </w:p>
    <w:p w14:paraId="7EC1251F" w14:textId="6AED1BBF" w:rsidR="00AA30D8" w:rsidRPr="00FC42E7" w:rsidRDefault="00FC42E7" w:rsidP="00FC42E7">
      <w:pPr>
        <w:pStyle w:val="ListParagraph"/>
        <w:numPr>
          <w:ilvl w:val="0"/>
          <w:numId w:val="4"/>
        </w:numPr>
        <w:jc w:val="left"/>
      </w:pPr>
      <w:r w:rsidRPr="00FC42E7">
        <w:t>For more details, refer to the IQDM Technical Design Document, section Refinery Schedule Events.</w:t>
      </w:r>
    </w:p>
    <w:p w14:paraId="52BA1FAE" w14:textId="77777777" w:rsidR="00AA30D8" w:rsidRPr="00AA30D8" w:rsidRDefault="00AA30D8" w:rsidP="00AA30D8">
      <w:pPr>
        <w:pStyle w:val="Heading4"/>
        <w:rPr>
          <w:rFonts w:ascii="Calibri" w:hAnsi="Calibri" w:cs="Calibri"/>
          <w:b/>
          <w:sz w:val="20"/>
        </w:rPr>
      </w:pPr>
      <w:r w:rsidRPr="00AA30D8">
        <w:rPr>
          <w:rFonts w:ascii="Calibri" w:hAnsi="Calibri" w:cs="Calibri"/>
          <w:b/>
          <w:sz w:val="20"/>
        </w:rPr>
        <w:t>Refinery Actual &amp; Scheduled Quality</w:t>
      </w:r>
    </w:p>
    <w:p w14:paraId="4A36C95A" w14:textId="09587A09" w:rsidR="00FC42E7" w:rsidRPr="00EC3682" w:rsidRDefault="00FC42E7" w:rsidP="00FC42E7">
      <w:pPr>
        <w:pStyle w:val="ListParagraph"/>
        <w:numPr>
          <w:ilvl w:val="0"/>
          <w:numId w:val="4"/>
        </w:numPr>
        <w:jc w:val="left"/>
        <w:rPr>
          <w:rFonts w:ascii="Calibri" w:hAnsi="Calibri" w:cs="Calibri"/>
        </w:rPr>
      </w:pPr>
      <w:r>
        <w:t>This IQDM integration shall read the actual quality of the refinery streams and products from LIMS and the scheduled quality from APS, and save both into the IQDM database.</w:t>
      </w:r>
    </w:p>
    <w:p w14:paraId="314571B3" w14:textId="1FBEC390" w:rsidR="00FC42E7" w:rsidRPr="00EC3682" w:rsidRDefault="00FC42E7" w:rsidP="00FC42E7">
      <w:pPr>
        <w:pStyle w:val="ListParagraph"/>
        <w:numPr>
          <w:ilvl w:val="0"/>
          <w:numId w:val="4"/>
        </w:numPr>
        <w:jc w:val="left"/>
        <w:rPr>
          <w:rFonts w:ascii="Calibri" w:hAnsi="Calibri" w:cs="Calibri"/>
        </w:rPr>
      </w:pPr>
      <w:r>
        <w:t>The VCB dashboards shall read two entities from this IQDM integration: "Actual quality for streams, product at Refinery" and "Scheduled quality for streams, product at Refinery".</w:t>
      </w:r>
    </w:p>
    <w:p w14:paraId="495E3525" w14:textId="5006191A" w:rsidR="00AA30D8" w:rsidRPr="00FC42E7" w:rsidRDefault="00FC42E7" w:rsidP="00FC42E7">
      <w:pPr>
        <w:pStyle w:val="ListParagraph"/>
        <w:numPr>
          <w:ilvl w:val="0"/>
          <w:numId w:val="4"/>
        </w:numPr>
        <w:jc w:val="left"/>
      </w:pPr>
      <w:r w:rsidRPr="00FC42E7">
        <w:t>For more details, refer to the IQDM Technical Design Document, section Refinery Actual &amp; Scheduled Quality.</w:t>
      </w:r>
    </w:p>
    <w:p w14:paraId="3E29AB9A" w14:textId="77777777" w:rsidR="00AA30D8" w:rsidRPr="00AA30D8" w:rsidRDefault="00AA30D8" w:rsidP="00AA30D8">
      <w:pPr>
        <w:pStyle w:val="Heading4"/>
        <w:rPr>
          <w:rFonts w:ascii="Calibri" w:hAnsi="Calibri" w:cs="Calibri"/>
          <w:b/>
          <w:sz w:val="20"/>
        </w:rPr>
      </w:pPr>
      <w:bookmarkStart w:id="152" w:name="_Ref917260941"/>
      <w:r w:rsidRPr="00AA30D8">
        <w:rPr>
          <w:rFonts w:ascii="Calibri" w:hAnsi="Calibri" w:cs="Calibri"/>
          <w:b/>
          <w:sz w:val="20"/>
        </w:rPr>
        <w:t>Terminal Actual Inventory Data Integration</w:t>
      </w:r>
      <w:bookmarkEnd w:id="152"/>
    </w:p>
    <w:p w14:paraId="4E58D6C1" w14:textId="72E0BC36" w:rsidR="00FC42E7" w:rsidRPr="00EC3682" w:rsidRDefault="00FC42E7" w:rsidP="00FC42E7">
      <w:pPr>
        <w:pStyle w:val="ListParagraph"/>
        <w:numPr>
          <w:ilvl w:val="0"/>
          <w:numId w:val="4"/>
        </w:numPr>
        <w:jc w:val="left"/>
        <w:rPr>
          <w:rFonts w:ascii="Calibri" w:hAnsi="Calibri" w:cs="Calibri"/>
        </w:rPr>
      </w:pPr>
      <w:r>
        <w:t>This IQDM integration shall read the actual inventory of the terminals from the Kittyhawk OData service and save it into the IQDM database.</w:t>
      </w:r>
    </w:p>
    <w:p w14:paraId="7373ED23" w14:textId="1A1C73AD" w:rsidR="00FC42E7" w:rsidRPr="00EC3682" w:rsidRDefault="00FC42E7" w:rsidP="00FC42E7">
      <w:pPr>
        <w:pStyle w:val="ListParagraph"/>
        <w:numPr>
          <w:ilvl w:val="0"/>
          <w:numId w:val="4"/>
        </w:numPr>
        <w:jc w:val="left"/>
        <w:rPr>
          <w:rFonts w:ascii="Calibri" w:hAnsi="Calibri" w:cs="Calibri"/>
        </w:rPr>
      </w:pPr>
      <w:r>
        <w:t xml:space="preserve">From IQDM Release 2, the VCB dashboards shall also read the Actual Inventory of Blend components at Terminals from this IQDM integration (section </w:t>
      </w:r>
      <w:r>
        <w:fldChar w:fldCharType="begin"/>
      </w:r>
      <w:r>
        <w:instrText xml:space="preserve"> REF _Ref917260938 \w \h \* MERGEFORMAT </w:instrText>
      </w:r>
      <w:r>
        <w:fldChar w:fldCharType="separate"/>
      </w:r>
      <w:r w:rsidRPr="00FC42E7">
        <w:rPr>
          <w:color w:val="0563C1"/>
          <w:u w:val="single"/>
        </w:rPr>
        <w:t>2.3.2.8</w:t>
      </w:r>
      <w:r>
        <w:fldChar w:fldCharType="end"/>
      </w:r>
      <w:r>
        <w:t>).</w:t>
      </w:r>
    </w:p>
    <w:p w14:paraId="5FA900A5" w14:textId="0977CAA5" w:rsidR="00AA30D8" w:rsidRPr="00FC42E7" w:rsidRDefault="00FC42E7" w:rsidP="00FC42E7">
      <w:pPr>
        <w:pStyle w:val="ListParagraph"/>
        <w:numPr>
          <w:ilvl w:val="0"/>
          <w:numId w:val="4"/>
        </w:numPr>
        <w:jc w:val="left"/>
      </w:pPr>
      <w:r w:rsidRPr="00FC42E7">
        <w:t>For more details, refer to the IQDM Technical Design Document, section Terminal actual inventory data integration.</w:t>
      </w:r>
    </w:p>
    <w:p w14:paraId="718AA1A4" w14:textId="77777777" w:rsidR="00AA30D8" w:rsidRPr="00AA30D8" w:rsidRDefault="00AA30D8" w:rsidP="00AA30D8">
      <w:pPr>
        <w:pStyle w:val="Heading4"/>
        <w:rPr>
          <w:rFonts w:ascii="Calibri" w:hAnsi="Calibri" w:cs="Calibri"/>
          <w:b/>
          <w:sz w:val="20"/>
        </w:rPr>
      </w:pPr>
      <w:r w:rsidRPr="00AA30D8">
        <w:rPr>
          <w:rFonts w:ascii="Calibri" w:hAnsi="Calibri" w:cs="Calibri"/>
          <w:b/>
          <w:sz w:val="20"/>
        </w:rPr>
        <w:t>Terminal Actual Quality Data Integration</w:t>
      </w:r>
    </w:p>
    <w:p w14:paraId="7300BF48" w14:textId="521DADB8" w:rsidR="00FC42E7" w:rsidRPr="00EC3682" w:rsidRDefault="00FC42E7" w:rsidP="00FC42E7">
      <w:pPr>
        <w:pStyle w:val="ListParagraph"/>
        <w:numPr>
          <w:ilvl w:val="0"/>
          <w:numId w:val="4"/>
        </w:numPr>
        <w:jc w:val="left"/>
        <w:rPr>
          <w:rFonts w:ascii="Calibri" w:hAnsi="Calibri" w:cs="Calibri"/>
        </w:rPr>
      </w:pPr>
      <w:r>
        <w:t>This IQDM integration shall read the actual quality at the terminals from PQCore and save it into the IQDM database.</w:t>
      </w:r>
    </w:p>
    <w:p w14:paraId="70DAFA1A" w14:textId="3CA505A0" w:rsidR="00FC42E7" w:rsidRPr="00EC3682" w:rsidRDefault="00FC42E7" w:rsidP="00FC42E7">
      <w:pPr>
        <w:pStyle w:val="ListParagraph"/>
        <w:numPr>
          <w:ilvl w:val="0"/>
          <w:numId w:val="4"/>
        </w:numPr>
        <w:jc w:val="left"/>
        <w:rPr>
          <w:rFonts w:ascii="Calibri" w:hAnsi="Calibri" w:cs="Calibri"/>
        </w:rPr>
      </w:pPr>
      <w:r>
        <w:t>The VCB dashboards shall read the entity "Actual quality for streams, product at Terminal" from this IQDM integration.</w:t>
      </w:r>
    </w:p>
    <w:p w14:paraId="6E67F966" w14:textId="19BC6536" w:rsidR="00AA30D8" w:rsidRPr="00FC42E7" w:rsidRDefault="00FC42E7" w:rsidP="00FC42E7">
      <w:pPr>
        <w:pStyle w:val="ListParagraph"/>
        <w:numPr>
          <w:ilvl w:val="0"/>
          <w:numId w:val="4"/>
        </w:numPr>
        <w:jc w:val="left"/>
      </w:pPr>
      <w:r w:rsidRPr="00FC42E7">
        <w:t>For more details, refer to the IQDM Technical Design Document, section Terminal actual quality data Integration.</w:t>
      </w:r>
    </w:p>
    <w:p w14:paraId="25D7C2C1" w14:textId="77777777" w:rsidR="00AA30D8" w:rsidRPr="00AA30D8" w:rsidRDefault="00AA30D8" w:rsidP="00AA30D8">
      <w:pPr>
        <w:pStyle w:val="Heading4"/>
        <w:rPr>
          <w:rFonts w:ascii="Calibri" w:hAnsi="Calibri" w:cs="Calibri"/>
          <w:b/>
          <w:sz w:val="20"/>
        </w:rPr>
      </w:pPr>
      <w:bookmarkStart w:id="153" w:name="_Ref917260940"/>
      <w:r w:rsidRPr="00AA30D8">
        <w:rPr>
          <w:rFonts w:ascii="Calibri" w:hAnsi="Calibri" w:cs="Calibri"/>
          <w:b/>
          <w:sz w:val="20"/>
        </w:rPr>
        <w:t>Current In-Transit: Product Movement (Pipeline and Barge)</w:t>
      </w:r>
      <w:bookmarkEnd w:id="153"/>
    </w:p>
    <w:p w14:paraId="696EFCBC" w14:textId="513D1EA3" w:rsidR="00FC42E7" w:rsidRPr="00EC3682" w:rsidRDefault="00FC42E7" w:rsidP="00FC42E7">
      <w:pPr>
        <w:pStyle w:val="ListParagraph"/>
        <w:numPr>
          <w:ilvl w:val="0"/>
          <w:numId w:val="4"/>
        </w:numPr>
        <w:jc w:val="left"/>
        <w:rPr>
          <w:rFonts w:ascii="Calibri" w:hAnsi="Calibri" w:cs="Calibri"/>
        </w:rPr>
      </w:pPr>
      <w:r>
        <w:t>This IQDM integration shall read the product movements in transit from the Kittyhawk OData service (pipeline) and Towworks (barge) and save them into the IQDM database.</w:t>
      </w:r>
    </w:p>
    <w:p w14:paraId="4C572BF6" w14:textId="3EC5B22F" w:rsidR="00FC42E7" w:rsidRPr="00EC3682" w:rsidRDefault="00FC42E7" w:rsidP="00FC42E7">
      <w:pPr>
        <w:pStyle w:val="ListParagraph"/>
        <w:numPr>
          <w:ilvl w:val="0"/>
          <w:numId w:val="4"/>
        </w:numPr>
        <w:jc w:val="left"/>
        <w:rPr>
          <w:rFonts w:ascii="Calibri" w:hAnsi="Calibri" w:cs="Calibri"/>
        </w:rPr>
      </w:pPr>
      <w:r>
        <w:t>The VCB dashboards shall read three entities from this IQDM integration: "In-Transit Movement for Terminals (Barges)", "In-Transit &amp; Scheduled Movement for Terminals" and "Scheduled Movement of Blend components".</w:t>
      </w:r>
    </w:p>
    <w:p w14:paraId="615733F6" w14:textId="6F6909C0" w:rsidR="00AA30D8" w:rsidRPr="00FC42E7" w:rsidRDefault="00FC42E7" w:rsidP="00FC42E7">
      <w:pPr>
        <w:pStyle w:val="ListParagraph"/>
        <w:numPr>
          <w:ilvl w:val="0"/>
          <w:numId w:val="4"/>
        </w:numPr>
        <w:jc w:val="left"/>
      </w:pPr>
      <w:r w:rsidRPr="00FC42E7">
        <w:t>For more details, refer to the IQDM Technical Design Document, section Current In-Transit: Product Movement (Pipeline and Barge).</w:t>
      </w:r>
    </w:p>
    <w:p w14:paraId="69715A01" w14:textId="77777777" w:rsidR="00AA30D8" w:rsidRPr="00AA30D8" w:rsidRDefault="00AA30D8" w:rsidP="00AA30D8">
      <w:pPr>
        <w:pStyle w:val="Heading4"/>
        <w:rPr>
          <w:rFonts w:ascii="Calibri" w:hAnsi="Calibri" w:cs="Calibri"/>
          <w:b/>
          <w:sz w:val="20"/>
        </w:rPr>
      </w:pPr>
      <w:r w:rsidRPr="00AA30D8">
        <w:rPr>
          <w:rFonts w:ascii="Calibri" w:hAnsi="Calibri" w:cs="Calibri"/>
          <w:b/>
          <w:sz w:val="20"/>
        </w:rPr>
        <w:t>Terminal Scheduled Inventory Data Integration</w:t>
      </w:r>
    </w:p>
    <w:p w14:paraId="43838969" w14:textId="08074842" w:rsidR="00FC42E7" w:rsidRPr="00EC3682" w:rsidRDefault="00FC42E7" w:rsidP="00FC42E7">
      <w:pPr>
        <w:pStyle w:val="ListParagraph"/>
        <w:numPr>
          <w:ilvl w:val="0"/>
          <w:numId w:val="4"/>
        </w:numPr>
        <w:jc w:val="left"/>
        <w:rPr>
          <w:rFonts w:ascii="Calibri" w:hAnsi="Calibri" w:cs="Calibri"/>
        </w:rPr>
      </w:pPr>
      <w:r>
        <w:t>This IQDM integration shall read the scheduled inventory of the terminals from the Kittyhawk OData service and save it into the IQDM database.</w:t>
      </w:r>
    </w:p>
    <w:p w14:paraId="31BC60E7" w14:textId="53FEA413" w:rsidR="00FC42E7" w:rsidRPr="00EC3682" w:rsidRDefault="00FC42E7" w:rsidP="00FC42E7">
      <w:pPr>
        <w:pStyle w:val="ListParagraph"/>
        <w:numPr>
          <w:ilvl w:val="0"/>
          <w:numId w:val="4"/>
        </w:numPr>
        <w:jc w:val="left"/>
        <w:rPr>
          <w:rFonts w:ascii="Calibri" w:hAnsi="Calibri" w:cs="Calibri"/>
        </w:rPr>
      </w:pPr>
      <w:r>
        <w:t xml:space="preserve">The scheduled movements that the VCB dashboards read shall come from the integration in section </w:t>
      </w:r>
      <w:r>
        <w:fldChar w:fldCharType="begin"/>
      </w:r>
      <w:r>
        <w:instrText xml:space="preserve"> REF _Ref917260940 \w \h \* MERGEFORMAT </w:instrText>
      </w:r>
      <w:r>
        <w:fldChar w:fldCharType="separate"/>
      </w:r>
      <w:r w:rsidRPr="00FC42E7">
        <w:rPr>
          <w:color w:val="0563C1"/>
          <w:u w:val="single"/>
        </w:rPr>
        <w:t>2.3.2.5</w:t>
      </w:r>
      <w:r>
        <w:fldChar w:fldCharType="end"/>
      </w:r>
      <w:r>
        <w:t>.</w:t>
      </w:r>
    </w:p>
    <w:p w14:paraId="3C96B8F2" w14:textId="796500B1" w:rsidR="00AA30D8" w:rsidRPr="00FC42E7" w:rsidRDefault="00FC42E7" w:rsidP="00FC42E7">
      <w:pPr>
        <w:pStyle w:val="ListParagraph"/>
        <w:numPr>
          <w:ilvl w:val="0"/>
          <w:numId w:val="4"/>
        </w:numPr>
        <w:jc w:val="left"/>
      </w:pPr>
      <w:r w:rsidRPr="00FC42E7">
        <w:t>For more details, refer to the IQDM Technical Design Document, section Terminal scheduled inventory data integration.</w:t>
      </w:r>
    </w:p>
    <w:p w14:paraId="7D41FAEB" w14:textId="77777777" w:rsidR="00AA30D8" w:rsidRPr="00AA30D8" w:rsidRDefault="00AA30D8" w:rsidP="00AA30D8">
      <w:pPr>
        <w:pStyle w:val="Heading4"/>
        <w:rPr>
          <w:rFonts w:ascii="Calibri" w:hAnsi="Calibri" w:cs="Calibri"/>
          <w:b/>
          <w:sz w:val="20"/>
        </w:rPr>
      </w:pPr>
      <w:bookmarkStart w:id="154" w:name="_Ref917260937"/>
      <w:r w:rsidRPr="00AA30D8">
        <w:rPr>
          <w:rFonts w:ascii="Calibri" w:hAnsi="Calibri" w:cs="Calibri"/>
          <w:b/>
          <w:sz w:val="20"/>
        </w:rPr>
        <w:t>Current In-Transit: Product Movement (Vessel, Truck and Railcar)</w:t>
      </w:r>
      <w:bookmarkEnd w:id="154"/>
    </w:p>
    <w:p w14:paraId="68A67EC4" w14:textId="56970F49" w:rsidR="00FC42E7" w:rsidRPr="00EC3682" w:rsidRDefault="00FC42E7" w:rsidP="00FC42E7">
      <w:pPr>
        <w:pStyle w:val="ListParagraph"/>
        <w:numPr>
          <w:ilvl w:val="0"/>
          <w:numId w:val="4"/>
        </w:numPr>
        <w:jc w:val="left"/>
        <w:rPr>
          <w:rFonts w:ascii="Calibri" w:hAnsi="Calibri" w:cs="Calibri"/>
        </w:rPr>
      </w:pPr>
      <w:r>
        <w:t>This IQDM integration shall read the vessel, truck and railcar movements in transit from the Kittyhawk OData service and save them into the IQDM database.</w:t>
      </w:r>
    </w:p>
    <w:p w14:paraId="317C60A9" w14:textId="6D9A25F4" w:rsidR="00FC42E7" w:rsidRPr="00EC3682" w:rsidRDefault="00FC42E7" w:rsidP="00FC42E7">
      <w:pPr>
        <w:pStyle w:val="ListParagraph"/>
        <w:numPr>
          <w:ilvl w:val="0"/>
          <w:numId w:val="4"/>
        </w:numPr>
        <w:jc w:val="left"/>
        <w:rPr>
          <w:rFonts w:ascii="Calibri" w:hAnsi="Calibri" w:cs="Calibri"/>
        </w:rPr>
      </w:pPr>
      <w:r>
        <w:t>The VCB dashboards shall read the In-Transit &amp; Scheduled Movement for Terminals from this IQDM integration.</w:t>
      </w:r>
    </w:p>
    <w:p w14:paraId="674415DC" w14:textId="4AE9EF9E" w:rsidR="00AA30D8" w:rsidRPr="00FC42E7" w:rsidRDefault="00FC42E7" w:rsidP="00FC42E7">
      <w:pPr>
        <w:pStyle w:val="ListParagraph"/>
        <w:numPr>
          <w:ilvl w:val="0"/>
          <w:numId w:val="4"/>
        </w:numPr>
        <w:jc w:val="left"/>
      </w:pPr>
      <w:r w:rsidRPr="00FC42E7">
        <w:t>For more details, refer to the IQDM Technical Design Document, section Current In-Transit: Product Movement (Vessel, Truck and Railcar).</w:t>
      </w:r>
    </w:p>
    <w:p w14:paraId="54CD3E70" w14:textId="3ABC9F1E" w:rsidR="00873A53" w:rsidRPr="00AA30D8" w:rsidRDefault="00873A53" w:rsidP="00873A53">
      <w:pPr>
        <w:pStyle w:val="Heading4"/>
        <w:rPr>
          <w:rFonts w:ascii="Calibri" w:hAnsi="Calibri" w:cs="Calibri"/>
          <w:b/>
          <w:sz w:val="20"/>
        </w:rPr>
      </w:pPr>
      <w:bookmarkStart w:id="155" w:name="_Ref917260938"/>
      <w:r>
        <w:rPr>
          <w:rFonts w:ascii="Calibri" w:hAnsi="Calibri" w:cs="Calibri"/>
          <w:b/>
          <w:sz w:val="20"/>
        </w:rPr>
        <w:t>Inventory of Blend components at Terminals</w:t>
      </w:r>
      <w:bookmarkEnd w:id="155"/>
    </w:p>
    <w:p w14:paraId="6AF0C1F7" w14:textId="073D11B2" w:rsidR="00FC42E7" w:rsidRPr="00EC3682" w:rsidRDefault="00FC42E7" w:rsidP="00FC42E7">
      <w:pPr>
        <w:pStyle w:val="ListParagraph"/>
        <w:numPr>
          <w:ilvl w:val="0"/>
          <w:numId w:val="4"/>
        </w:numPr>
        <w:jc w:val="left"/>
        <w:rPr>
          <w:rFonts w:ascii="Calibri" w:hAnsi="Calibri" w:cs="Calibri"/>
        </w:rPr>
      </w:pPr>
      <w:r>
        <w:t xml:space="preserve">The IQDM terminal actual inventory integration (section </w:t>
      </w:r>
      <w:r>
        <w:fldChar w:fldCharType="begin"/>
      </w:r>
      <w:r>
        <w:instrText xml:space="preserve"> REF _Ref917260941 \w \h \* MERGEFORMAT </w:instrText>
      </w:r>
      <w:r>
        <w:fldChar w:fldCharType="separate"/>
      </w:r>
      <w:r w:rsidRPr="00FC42E7">
        <w:rPr>
          <w:color w:val="0563C1"/>
          <w:u w:val="single"/>
        </w:rPr>
        <w:t>2.3.2.3</w:t>
      </w:r>
      <w:r>
        <w:fldChar w:fldCharType="end"/>
      </w:r>
      <w:r>
        <w:t>) shall bring the actual inventory of the blend components at the terminals into the IQDM database from IQDM Release 2.</w:t>
      </w:r>
    </w:p>
    <w:p w14:paraId="3DC325B3" w14:textId="04CBA04D" w:rsidR="00FC42E7" w:rsidRPr="00EC3682" w:rsidRDefault="00FC42E7" w:rsidP="00FC42E7">
      <w:pPr>
        <w:pStyle w:val="ListParagraph"/>
        <w:numPr>
          <w:ilvl w:val="0"/>
          <w:numId w:val="4"/>
        </w:numPr>
        <w:jc w:val="left"/>
        <w:rPr>
          <w:rFonts w:ascii="Calibri" w:hAnsi="Calibri" w:cs="Calibri"/>
        </w:rPr>
      </w:pPr>
      <w:r>
        <w:t>MPC shall load the blend component inventory into Kittyhawk.</w:t>
      </w:r>
    </w:p>
    <w:p w14:paraId="072B743A" w14:textId="6A3884CF" w:rsidR="00FC42E7" w:rsidRPr="00EC3682" w:rsidRDefault="00FC42E7" w:rsidP="00FC42E7">
      <w:pPr>
        <w:pStyle w:val="ListParagraph"/>
        <w:numPr>
          <w:ilvl w:val="0"/>
          <w:numId w:val="4"/>
        </w:numPr>
        <w:jc w:val="left"/>
        <w:rPr>
          <w:rFonts w:ascii="Calibri" w:hAnsi="Calibri" w:cs="Calibri"/>
        </w:rPr>
      </w:pPr>
      <w:commentRangeStart w:id="156"/>
      <w:r>
        <w:t>The existing sync from Kittyhawk to the IQDM database shall bring the data into the IQDM database as soon as MPC starts to load it</w:t>
      </w:r>
      <w:commentRangeEnd w:id="156"/>
      <w:r w:rsidR="003011DE">
        <w:rPr>
          <w:rStyle w:val="CommentReference"/>
          <w:sz w:val="22"/>
          <w:szCs w:val="22"/>
        </w:rPr>
        <w:commentReference w:id="156"/>
      </w:r>
      <w:r>
        <w:t>.</w:t>
      </w:r>
    </w:p>
    <w:p w14:paraId="49569893" w14:textId="0ECD77AA" w:rsidR="00FC42E7" w:rsidRPr="00EC3682" w:rsidRDefault="00FC42E7" w:rsidP="00FC42E7">
      <w:pPr>
        <w:pStyle w:val="ListParagraph"/>
        <w:numPr>
          <w:ilvl w:val="0"/>
          <w:numId w:val="4"/>
        </w:numPr>
        <w:jc w:val="left"/>
        <w:rPr>
          <w:rFonts w:ascii="Calibri" w:hAnsi="Calibri" w:cs="Calibri"/>
        </w:rPr>
      </w:pPr>
      <w:r>
        <w:t>The VCB dashboards shall read the Actual Inventory of Blend components at Terminals from the IQDM database.</w:t>
      </w:r>
    </w:p>
    <w:p w14:paraId="0449D01A" w14:textId="3DE07FAC" w:rsidR="00873A53" w:rsidRDefault="00FC42E7" w:rsidP="00FC42E7">
      <w:pPr>
        <w:pStyle w:val="ListParagraph"/>
        <w:numPr>
          <w:ilvl w:val="0"/>
          <w:numId w:val="4"/>
        </w:numPr>
        <w:jc w:val="left"/>
      </w:pPr>
      <w:r>
        <w:t>For more details, refer to the IQDM Technical Design Document, section Terminal actual inventory data integration.</w:t>
      </w:r>
    </w:p>
    <w:p w14:paraId="793E36A7" w14:textId="04E3E46C" w:rsidR="00873A53" w:rsidRPr="00AA30D8" w:rsidRDefault="00873A53" w:rsidP="00873A53">
      <w:pPr>
        <w:pStyle w:val="Heading4"/>
        <w:rPr>
          <w:rFonts w:ascii="Calibri" w:hAnsi="Calibri" w:cs="Calibri"/>
          <w:b/>
          <w:sz w:val="20"/>
        </w:rPr>
      </w:pPr>
      <w:bookmarkStart w:id="157" w:name="_Ref917260939"/>
      <w:r>
        <w:rPr>
          <w:rFonts w:ascii="Calibri" w:hAnsi="Calibri" w:cs="Calibri"/>
          <w:b/>
          <w:sz w:val="20"/>
        </w:rPr>
        <w:t>Specification Selection</w:t>
      </w:r>
      <w:bookmarkEnd w:id="157"/>
    </w:p>
    <w:p w14:paraId="373BE191" w14:textId="0A6D0AC4" w:rsidR="00FC42E7" w:rsidRPr="00EC3682" w:rsidRDefault="00FC42E7" w:rsidP="00FC42E7">
      <w:pPr>
        <w:pStyle w:val="ListParagraph"/>
        <w:numPr>
          <w:ilvl w:val="0"/>
          <w:numId w:val="4"/>
        </w:numPr>
        <w:jc w:val="left"/>
        <w:rPr>
          <w:rFonts w:ascii="Calibri" w:hAnsi="Calibri" w:cs="Calibri"/>
        </w:rPr>
      </w:pPr>
      <w:r>
        <w:t>From IQDM Release 5, IQDM shall load the product specifications from PQ Spec Shop into the IQDM database.</w:t>
      </w:r>
    </w:p>
    <w:p w14:paraId="608CECB0" w14:textId="346B09C0" w:rsidR="00FC42E7" w:rsidRPr="00EC3682" w:rsidRDefault="00FC42E7" w:rsidP="00FC42E7">
      <w:pPr>
        <w:pStyle w:val="ListParagraph"/>
        <w:numPr>
          <w:ilvl w:val="0"/>
          <w:numId w:val="4"/>
        </w:numPr>
        <w:jc w:val="left"/>
        <w:rPr>
          <w:rFonts w:ascii="Calibri" w:hAnsi="Calibri" w:cs="Calibri"/>
        </w:rPr>
      </w:pPr>
      <w:r>
        <w:t xml:space="preserve">Until then, the database team shall load the product specifications from Excel (chapter </w:t>
      </w:r>
      <w:r>
        <w:fldChar w:fldCharType="begin"/>
      </w:r>
      <w:r>
        <w:instrText xml:space="preserve"> REF _Toc1072462938 \w \h \* MERGEFORMAT </w:instrText>
      </w:r>
      <w:r>
        <w:fldChar w:fldCharType="separate"/>
      </w:r>
      <w:r w:rsidRPr="00FC42E7">
        <w:rPr>
          <w:color w:val="0563C1"/>
          <w:u w:val="single"/>
        </w:rPr>
        <w:t>3</w:t>
      </w:r>
      <w:r>
        <w:fldChar w:fldCharType="end"/>
      </w:r>
      <w:r>
        <w:t>).</w:t>
      </w:r>
    </w:p>
    <w:p w14:paraId="6D917706" w14:textId="3F25FBB2" w:rsidR="00873A53" w:rsidRDefault="00FC42E7" w:rsidP="00FC42E7">
      <w:pPr>
        <w:keepNext/>
        <w:jc w:val="left"/>
      </w:pPr>
      <w:r>
        <w:t>The VCB dashboards shall show, for each quality of a batch, the minimum and maximum of its specification, selected as follows:</w:t>
      </w:r>
    </w:p>
    <w:p w14:paraId="46591482" w14:textId="308DD6EA" w:rsidR="00873A53" w:rsidRPr="00EC3682" w:rsidRDefault="00873A53" w:rsidP="00873A53">
      <w:pPr>
        <w:pStyle w:val="ListParagraph"/>
        <w:numPr>
          <w:ilvl w:val="0"/>
          <w:numId w:val="4"/>
        </w:numPr>
        <w:jc w:val="left"/>
        <w:rPr>
          <w:rFonts w:ascii="Calibri" w:hAnsi="Calibri" w:cs="Calibri"/>
        </w:rPr>
      </w:pPr>
      <w:r>
        <w:t>Inputs: the source refinery, the destination terminal, the product and the ETA of the batch shall come from the IQDM movement data.</w:t>
      </w:r>
    </w:p>
    <w:p w14:paraId="17702CBC" w14:textId="00ED38A7" w:rsidR="00873A53" w:rsidRPr="00EC3682" w:rsidRDefault="00687F84" w:rsidP="00873A53">
      <w:pPr>
        <w:pStyle w:val="ListParagraph"/>
        <w:numPr>
          <w:ilvl w:val="0"/>
          <w:numId w:val="4"/>
        </w:numPr>
        <w:jc w:val="left"/>
        <w:rPr>
          <w:rFonts w:ascii="Calibri" w:hAnsi="Calibri" w:cs="Calibri"/>
        </w:rPr>
      </w:pPr>
      <w:r>
        <w:t xml:space="preserve">Specification sheet: the source refinery, the product and the destination terminal shall select the specification sheet from the Terminals Specsheet Master Data, which the Profisee data mapping shall load into the </w:t>
      </w:r>
      <w:r w:rsidR="00FC42E7">
        <w:t>vcb_</w:t>
      </w:r>
      <w:r>
        <w:t xml:space="preserve">terminal_specsheet_master table (section </w:t>
      </w:r>
      <w:r w:rsidR="00FC42E7">
        <w:fldChar w:fldCharType="begin"/>
      </w:r>
      <w:r w:rsidR="00FC42E7">
        <w:instrText xml:space="preserve"> REF _Ref917260916 \w \h \* MERGEFORMAT </w:instrText>
      </w:r>
      <w:r w:rsidR="00FC42E7">
        <w:fldChar w:fldCharType="separate"/>
      </w:r>
      <w:r w:rsidR="00FC42E7" w:rsidRPr="00FC42E7">
        <w:rPr>
          <w:color w:val="0563C1"/>
          <w:u w:val="single"/>
        </w:rPr>
        <w:t>2.3.3.5.2</w:t>
      </w:r>
      <w:r w:rsidR="00FC42E7">
        <w:fldChar w:fldCharType="end"/>
      </w:r>
      <w:r>
        <w:t>).</w:t>
      </w:r>
    </w:p>
    <w:p w14:paraId="7F76E230" w14:textId="66DEB0BD" w:rsidR="00873A53" w:rsidRPr="00EC3682" w:rsidRDefault="00873A53" w:rsidP="00873A53">
      <w:pPr>
        <w:pStyle w:val="ListParagraph"/>
        <w:numPr>
          <w:ilvl w:val="0"/>
          <w:numId w:val="4"/>
        </w:numPr>
        <w:jc w:val="left"/>
        <w:rPr>
          <w:rFonts w:ascii="Calibri" w:hAnsi="Calibri" w:cs="Calibri"/>
        </w:rPr>
      </w:pPr>
      <w:r>
        <w:t>Refinery and terminal rows: the rows of that specification sheet shall be taken from the refinery data and the terminal data of PQ Spec Shop.</w:t>
      </w:r>
    </w:p>
    <w:p w14:paraId="152B2C3B" w14:textId="35E4772D" w:rsidR="00873A53" w:rsidRPr="00EC3682" w:rsidRDefault="00873A53" w:rsidP="00873A53">
      <w:pPr>
        <w:pStyle w:val="ListParagraph"/>
        <w:numPr>
          <w:ilvl w:val="0"/>
          <w:numId w:val="4"/>
        </w:numPr>
        <w:jc w:val="left"/>
        <w:rPr>
          <w:rFonts w:ascii="Calibri" w:hAnsi="Calibri" w:cs="Calibri"/>
        </w:rPr>
      </w:pPr>
      <w:r>
        <w:t xml:space="preserve">Season: a row with a season shall apply only when the ETA falls inside the season. </w:t>
      </w:r>
      <w:r w:rsidR="008F2422">
        <w:t>The season dates shall repeat every year, and a season that runs over the year end shall apply on both sides of the year end. A row with missing season dates shall not apply. In March and April, when a pipeline needs a tighter limit before the season change, the tighter limit shall apply. When the refinery specification has both a Neat RVP and an E10 RVP, both shall be kept.</w:t>
      </w:r>
    </w:p>
    <w:p w14:paraId="4391E58C" w14:textId="2EA58319" w:rsidR="00873A53" w:rsidRPr="00EC3682" w:rsidRDefault="00873A53" w:rsidP="00873A53">
      <w:pPr>
        <w:pStyle w:val="ListParagraph"/>
        <w:numPr>
          <w:ilvl w:val="0"/>
          <w:numId w:val="4"/>
        </w:numPr>
        <w:jc w:val="left"/>
        <w:rPr>
          <w:rFonts w:ascii="Calibri" w:hAnsi="Calibri" w:cs="Calibri"/>
        </w:rPr>
      </w:pPr>
      <w:r>
        <w:t>Names: the quality names of PQ Spec Shop shall be mapped to the IQDM properties. The product and location names shall be mapped to the IQDM names. Both mappings shall use the mapping tables loaded with the data.</w:t>
      </w:r>
    </w:p>
    <w:p w14:paraId="692B878A" w14:textId="5C5DE7D5" w:rsidR="00873A53" w:rsidRPr="00EC3682" w:rsidRDefault="00873A53" w:rsidP="00873A53">
      <w:pPr>
        <w:pStyle w:val="ListParagraph"/>
        <w:numPr>
          <w:ilvl w:val="0"/>
          <w:numId w:val="4"/>
        </w:numPr>
        <w:jc w:val="left"/>
        <w:rPr>
          <w:rFonts w:ascii="Calibri" w:hAnsi="Calibri" w:cs="Calibri"/>
        </w:rPr>
      </w:pPr>
      <w:r>
        <w:t>Terminal over refinery: where the terminal has its own limit for a quality, that limit shall replace the refinery limit before the limits below are applied. Example: EPA RVP has a maximum of 9 at the refinery and 11.54 at the terminal, so the maximum shall be 11.54.</w:t>
      </w:r>
    </w:p>
    <w:p w14:paraId="55A4DA6F" w14:textId="6D590106" w:rsidR="00873A53" w:rsidRPr="00EC3682" w:rsidRDefault="00873A53" w:rsidP="00873A53">
      <w:pPr>
        <w:pStyle w:val="ListParagraph"/>
        <w:numPr>
          <w:ilvl w:val="0"/>
          <w:numId w:val="4"/>
        </w:numPr>
        <w:jc w:val="left"/>
        <w:rPr>
          <w:rFonts w:ascii="Calibri" w:hAnsi="Calibri" w:cs="Calibri"/>
        </w:rPr>
      </w:pPr>
      <w:r>
        <w:t>Limits: of the rows that remain, the minimum shall be the highest of the applicable minimums, and the maximum shall be the lowest of the applicable maximums.</w:t>
      </w:r>
    </w:p>
    <w:p w14:paraId="76DB4134" w14:textId="34F7D417" w:rsidR="009C3F56" w:rsidRPr="00EC3682" w:rsidRDefault="009C3F56" w:rsidP="009C3F56">
      <w:pPr>
        <w:pStyle w:val="ListParagraph"/>
        <w:numPr>
          <w:ilvl w:val="0"/>
          <w:numId w:val="4"/>
        </w:numPr>
        <w:jc w:val="left"/>
        <w:rPr>
          <w:rFonts w:ascii="Calibri" w:hAnsi="Calibri" w:cs="Calibri"/>
        </w:rPr>
      </w:pPr>
      <w:bookmarkStart w:id="158" w:name="_Toc242553926"/>
      <w:r>
        <w:t>Unusable values: a specification value that is not a number, or whose limit type is neither MIN nor MAX, shall be left out of the minimum and the maximum.</w:t>
      </w:r>
    </w:p>
    <w:p w14:paraId="1CFAC8A4" w14:textId="20724183" w:rsidR="00AA30D8" w:rsidRPr="00AA30D8" w:rsidRDefault="008F2422" w:rsidP="00AA30D8">
      <w:pPr>
        <w:pStyle w:val="Heading3"/>
        <w:rPr>
          <w:rFonts w:ascii="Calibri" w:hAnsi="Calibri" w:cs="Calibri"/>
          <w:b/>
          <w:sz w:val="20"/>
        </w:rPr>
      </w:pPr>
      <w:bookmarkStart w:id="159" w:name="_Ref917260911"/>
      <w:r>
        <w:rPr>
          <w:rFonts w:ascii="Calibri" w:hAnsi="Calibri" w:cs="Calibri"/>
          <w:b/>
          <w:sz w:val="20"/>
        </w:rPr>
        <w:t>Technical Design of VCB Scope</w:t>
      </w:r>
      <w:bookmarkEnd w:id="158"/>
      <w:bookmarkEnd w:id="159"/>
    </w:p>
    <w:p w14:paraId="3983F2EB" w14:textId="7709A603" w:rsidR="00FC42E7" w:rsidRPr="00EC3682" w:rsidRDefault="00FC42E7" w:rsidP="00FC42E7">
      <w:pPr>
        <w:pStyle w:val="ListParagraph"/>
        <w:numPr>
          <w:ilvl w:val="0"/>
          <w:numId w:val="4"/>
        </w:numPr>
        <w:jc w:val="left"/>
        <w:rPr>
          <w:rFonts w:ascii="Calibri" w:hAnsi="Calibri" w:cs="Calibri"/>
        </w:rPr>
      </w:pPr>
      <w:r>
        <w:t xml:space="preserve">The five entities of Table </w:t>
      </w:r>
      <w:r>
        <w:fldChar w:fldCharType="begin"/>
      </w:r>
      <w:r>
        <w:instrText xml:space="preserve"> REF _Ref917260905 \h \* MERGEFORMAT </w:instrText>
      </w:r>
      <w:r>
        <w:fldChar w:fldCharType="separate"/>
      </w:r>
      <w:r w:rsidRPr="00FC42E7">
        <w:rPr>
          <w:noProof/>
          <w:color w:val="0563C1"/>
          <w:u w:val="single"/>
        </w:rPr>
        <w:t>2-2</w:t>
      </w:r>
      <w:r>
        <w:fldChar w:fldCharType="end"/>
      </w:r>
      <w:r>
        <w:t xml:space="preserve"> shall be read by three VCB integrations and the Profisee data mapping.</w:t>
      </w:r>
    </w:p>
    <w:p w14:paraId="3EE6B9AA" w14:textId="68776EC1" w:rsidR="00FC42E7" w:rsidRPr="00EC3682" w:rsidRDefault="00FC42E7" w:rsidP="00FC42E7">
      <w:pPr>
        <w:pStyle w:val="ListParagraph"/>
        <w:numPr>
          <w:ilvl w:val="0"/>
          <w:numId w:val="4"/>
        </w:numPr>
        <w:jc w:val="left"/>
        <w:rPr>
          <w:rFonts w:ascii="Calibri" w:hAnsi="Calibri" w:cs="Calibri"/>
        </w:rPr>
      </w:pPr>
      <w:r>
        <w:t>The PIAF integration shall read the analyzer qualities and the blend component flows from VCB Release 3, in the same run.</w:t>
      </w:r>
    </w:p>
    <w:p w14:paraId="71D942D3" w14:textId="20E69E27" w:rsidR="00FC42E7" w:rsidRPr="00EC3682" w:rsidRDefault="00FC42E7" w:rsidP="00FC42E7">
      <w:pPr>
        <w:pStyle w:val="ListParagraph"/>
        <w:numPr>
          <w:ilvl w:val="0"/>
          <w:numId w:val="4"/>
        </w:numPr>
        <w:jc w:val="left"/>
        <w:rPr>
          <w:rFonts w:ascii="Calibri" w:hAnsi="Calibri" w:cs="Calibri"/>
        </w:rPr>
      </w:pPr>
      <w:r>
        <w:t>The Kittyhawk integration shall read the blend component movements, and the pricing integration shall read the prices from MPR.</w:t>
      </w:r>
    </w:p>
    <w:p w14:paraId="2E4CD54F" w14:textId="1A51B275" w:rsidR="00FC42E7" w:rsidRPr="00EC3682" w:rsidRDefault="00FC42E7" w:rsidP="00FC42E7">
      <w:pPr>
        <w:pStyle w:val="ListParagraph"/>
        <w:numPr>
          <w:ilvl w:val="0"/>
          <w:numId w:val="4"/>
        </w:numPr>
        <w:jc w:val="left"/>
        <w:rPr>
          <w:rFonts w:ascii="Calibri" w:hAnsi="Calibri" w:cs="Calibri"/>
        </w:rPr>
      </w:pPr>
      <w:r>
        <w:t xml:space="preserve">The Profisee data mapping shall load the Terminals Specsheet Master Data (section </w:t>
      </w:r>
      <w:r>
        <w:fldChar w:fldCharType="begin"/>
      </w:r>
      <w:r>
        <w:instrText xml:space="preserve"> REF _Ref917260916 \w \h \* MERGEFORMAT </w:instrText>
      </w:r>
      <w:r>
        <w:fldChar w:fldCharType="separate"/>
      </w:r>
      <w:r w:rsidRPr="00FC42E7">
        <w:rPr>
          <w:color w:val="0563C1"/>
          <w:u w:val="single"/>
        </w:rPr>
        <w:t>2.3.3.5.2</w:t>
      </w:r>
      <w:r>
        <w:fldChar w:fldCharType="end"/>
      </w:r>
      <w:r>
        <w:t>).</w:t>
      </w:r>
    </w:p>
    <w:p w14:paraId="3D2D3038" w14:textId="2F75DDAD" w:rsidR="00FC42E7" w:rsidRPr="00EC3682" w:rsidRDefault="00FC42E7" w:rsidP="00FC42E7">
      <w:pPr>
        <w:pStyle w:val="ListParagraph"/>
        <w:numPr>
          <w:ilvl w:val="0"/>
          <w:numId w:val="4"/>
        </w:numPr>
        <w:jc w:val="left"/>
        <w:rPr>
          <w:rFonts w:ascii="Calibri" w:hAnsi="Calibri" w:cs="Calibri"/>
        </w:rPr>
      </w:pPr>
      <w:r>
        <w:t xml:space="preserve">Section </w:t>
      </w:r>
      <w:r>
        <w:fldChar w:fldCharType="begin"/>
      </w:r>
      <w:r>
        <w:instrText xml:space="preserve"> REF _Ref917260909 \w \h \* MERGEFORMAT </w:instrText>
      </w:r>
      <w:r>
        <w:fldChar w:fldCharType="separate"/>
      </w:r>
      <w:r w:rsidRPr="00FC42E7">
        <w:rPr>
          <w:color w:val="0563C1"/>
          <w:u w:val="single"/>
        </w:rPr>
        <w:t>2.3.1</w:t>
      </w:r>
      <w:r>
        <w:fldChar w:fldCharType="end"/>
      </w:r>
      <w:r>
        <w:t xml:space="preserve"> describes the pattern that the integrations share.</w:t>
      </w:r>
    </w:p>
    <w:p w14:paraId="55BD6AF1" w14:textId="26E50F7C" w:rsidR="00797913" w:rsidRPr="00797913" w:rsidRDefault="00FC42E7" w:rsidP="00797913">
      <w:pPr>
        <w:pStyle w:val="ListParagraph"/>
        <w:numPr>
          <w:ilvl w:val="0"/>
          <w:numId w:val="4"/>
        </w:numPr>
        <w:jc w:val="left"/>
        <w:rPr>
          <w:rFonts w:ascii="Calibri" w:hAnsi="Calibri" w:cs="Calibri"/>
        </w:rPr>
      </w:pPr>
      <w:r>
        <w:t xml:space="preserve">Sections </w:t>
      </w:r>
      <w:r>
        <w:fldChar w:fldCharType="begin"/>
      </w:r>
      <w:r>
        <w:instrText xml:space="preserve"> REF _Ref917260942 \w \h \* MERGEFORMAT </w:instrText>
      </w:r>
      <w:r>
        <w:fldChar w:fldCharType="separate"/>
      </w:r>
      <w:r w:rsidRPr="00FC42E7">
        <w:rPr>
          <w:color w:val="0563C1"/>
          <w:u w:val="single"/>
        </w:rPr>
        <w:t>2.3.3.1</w:t>
      </w:r>
      <w:r>
        <w:fldChar w:fldCharType="end"/>
      </w:r>
      <w:r>
        <w:t xml:space="preserve"> to </w:t>
      </w:r>
      <w:r>
        <w:fldChar w:fldCharType="begin"/>
      </w:r>
      <w:r>
        <w:instrText xml:space="preserve"> REF _Ref917260943 \w \h \* MERGEFORMAT </w:instrText>
      </w:r>
      <w:r>
        <w:fldChar w:fldCharType="separate"/>
      </w:r>
      <w:r w:rsidRPr="00FC42E7">
        <w:rPr>
          <w:color w:val="0563C1"/>
          <w:u w:val="single"/>
        </w:rPr>
        <w:t>2.3.3.4</w:t>
      </w:r>
      <w:r>
        <w:fldChar w:fldCharType="end"/>
      </w:r>
      <w:r>
        <w:t xml:space="preserve"> give the first four entities of Table </w:t>
      </w:r>
      <w:r>
        <w:fldChar w:fldCharType="begin"/>
      </w:r>
      <w:r>
        <w:instrText xml:space="preserve"> REF _Ref917260905 \h \* MERGEFORMAT </w:instrText>
      </w:r>
      <w:r>
        <w:fldChar w:fldCharType="separate"/>
      </w:r>
      <w:r w:rsidRPr="00FC42E7">
        <w:rPr>
          <w:noProof/>
          <w:color w:val="0563C1"/>
          <w:u w:val="single"/>
        </w:rPr>
        <w:t>2-2</w:t>
      </w:r>
      <w:r>
        <w:fldChar w:fldCharType="end"/>
      </w:r>
      <w:r>
        <w:t xml:space="preserve">, in the order of the table, and section </w:t>
      </w:r>
      <w:r>
        <w:fldChar w:fldCharType="begin"/>
      </w:r>
      <w:r>
        <w:instrText xml:space="preserve"> REF _Ref917260916 \w \h \* MERGEFORMAT </w:instrText>
      </w:r>
      <w:r>
        <w:fldChar w:fldCharType="separate"/>
      </w:r>
      <w:r w:rsidRPr="00FC42E7">
        <w:rPr>
          <w:color w:val="0563C1"/>
          <w:u w:val="single"/>
        </w:rPr>
        <w:t>2.3.3.5.2</w:t>
      </w:r>
      <w:r>
        <w:fldChar w:fldCharType="end"/>
      </w:r>
      <w:r>
        <w:t xml:space="preserve"> the Terminals Specsheet Master Data.</w:t>
      </w:r>
    </w:p>
    <w:p w14:paraId="7BE8E660" w14:textId="6AD20C1B" w:rsidR="00AA30D8" w:rsidRPr="00FC42E7" w:rsidRDefault="00FC42E7" w:rsidP="00FC42E7">
      <w:pPr>
        <w:pStyle w:val="ListParagraph"/>
        <w:numPr>
          <w:ilvl w:val="0"/>
          <w:numId w:val="4"/>
        </w:numPr>
        <w:jc w:val="left"/>
      </w:pPr>
      <w:r w:rsidRPr="00FC42E7">
        <w:t xml:space="preserve">Section </w:t>
      </w:r>
      <w:r>
        <w:fldChar w:fldCharType="begin"/>
      </w:r>
      <w:r>
        <w:instrText xml:space="preserve"> REF _Ref917260944 \w \h \* MERGEFORMAT </w:instrText>
      </w:r>
      <w:r>
        <w:fldChar w:fldCharType="separate"/>
      </w:r>
      <w:r w:rsidRPr="00FC42E7">
        <w:rPr>
          <w:color w:val="0563C1"/>
          <w:u w:val="single"/>
        </w:rPr>
        <w:t>2.3.3.5</w:t>
      </w:r>
      <w:r>
        <w:fldChar w:fldCharType="end"/>
      </w:r>
      <w:r w:rsidRPr="00FC42E7">
        <w:t xml:space="preserve"> gives the waiver selection, and section </w:t>
      </w:r>
      <w:r>
        <w:fldChar w:fldCharType="begin"/>
      </w:r>
      <w:r>
        <w:instrText xml:space="preserve"> REF _Ref917260915 \w \h \* MERGEFORMAT </w:instrText>
      </w:r>
      <w:r>
        <w:fldChar w:fldCharType="separate"/>
      </w:r>
      <w:r w:rsidRPr="00FC42E7">
        <w:rPr>
          <w:color w:val="0563C1"/>
          <w:u w:val="single"/>
        </w:rPr>
        <w:t>2.3.3.6</w:t>
      </w:r>
      <w:r>
        <w:fldChar w:fldCharType="end"/>
      </w:r>
      <w:r w:rsidRPr="00FC42E7">
        <w:t xml:space="preserve"> the platform changes for the VCB integrations.</w:t>
      </w:r>
    </w:p>
    <w:p w14:paraId="21E4858C" w14:textId="77777777" w:rsidR="00AA30D8" w:rsidRPr="00AA30D8" w:rsidRDefault="00AA30D8" w:rsidP="00AA30D8">
      <w:pPr>
        <w:pStyle w:val="Heading4"/>
        <w:rPr>
          <w:rFonts w:ascii="Calibri" w:hAnsi="Calibri" w:cs="Calibri"/>
          <w:b/>
          <w:sz w:val="20"/>
        </w:rPr>
      </w:pPr>
      <w:bookmarkStart w:id="160" w:name="_Ref917260942"/>
      <w:bookmarkEnd w:id="93"/>
      <w:bookmarkEnd w:id="146"/>
      <w:r w:rsidRPr="00AA30D8">
        <w:rPr>
          <w:rFonts w:ascii="Calibri" w:hAnsi="Calibri" w:cs="Calibri"/>
          <w:b/>
          <w:sz w:val="20"/>
        </w:rPr>
        <w:t>Analyzer qualities of gasoline products (T-10, T-50, T-90, IBP, FBP, RVP, etc.)</w:t>
      </w:r>
      <w:bookmarkEnd w:id="160"/>
    </w:p>
    <w:p w14:paraId="159FD84A" w14:textId="2109A5B5" w:rsidR="00FC42E7" w:rsidRPr="00EC3682" w:rsidRDefault="00FC42E7" w:rsidP="00FC42E7">
      <w:pPr>
        <w:pStyle w:val="ListParagraph"/>
        <w:numPr>
          <w:ilvl w:val="0"/>
          <w:numId w:val="4"/>
        </w:numPr>
        <w:jc w:val="left"/>
        <w:rPr>
          <w:rFonts w:ascii="Calibri" w:hAnsi="Calibri" w:cs="Calibri"/>
        </w:rPr>
      </w:pPr>
      <w:r>
        <w:t>From VCB Release 3, the PIAF integration shall read the analyzer qualities at each butane injector from the PI Asset Framework of the terminals (PIAF).</w:t>
      </w:r>
    </w:p>
    <w:p w14:paraId="0D70AF88" w14:textId="131A5355" w:rsidR="00FC42E7" w:rsidRPr="00EC3682" w:rsidRDefault="00FC42E7" w:rsidP="00FC42E7">
      <w:pPr>
        <w:pStyle w:val="ListParagraph"/>
        <w:numPr>
          <w:ilvl w:val="0"/>
          <w:numId w:val="4"/>
        </w:numPr>
        <w:jc w:val="left"/>
        <w:rPr>
          <w:rFonts w:ascii="Calibri" w:hAnsi="Calibri" w:cs="Calibri"/>
        </w:rPr>
      </w:pPr>
      <w:r>
        <w:t xml:space="preserve">Section </w:t>
      </w:r>
      <w:r>
        <w:fldChar w:fldCharType="begin"/>
      </w:r>
      <w:r>
        <w:instrText xml:space="preserve"> REF _Ref917260942 \w \h \* MERGEFORMAT </w:instrText>
      </w:r>
      <w:r>
        <w:fldChar w:fldCharType="separate"/>
      </w:r>
      <w:r w:rsidRPr="00FC42E7">
        <w:rPr>
          <w:color w:val="0563C1"/>
          <w:u w:val="single"/>
        </w:rPr>
        <w:t>2.3.3.1</w:t>
      </w:r>
      <w:r>
        <w:fldChar w:fldCharType="end"/>
      </w:r>
      <w:r>
        <w:t xml:space="preserve"> gives the full design of the PIAF integration, which also reads the blend component flows (section </w:t>
      </w:r>
      <w:r>
        <w:fldChar w:fldCharType="begin"/>
      </w:r>
      <w:r>
        <w:instrText xml:space="preserve"> REF _Ref917260945 \w \h \* MERGEFORMAT </w:instrText>
      </w:r>
      <w:r>
        <w:fldChar w:fldCharType="separate"/>
      </w:r>
      <w:r w:rsidRPr="00FC42E7">
        <w:rPr>
          <w:color w:val="0563C1"/>
          <w:u w:val="single"/>
        </w:rPr>
        <w:t>2.3.3.2</w:t>
      </w:r>
      <w:r>
        <w:fldChar w:fldCharType="end"/>
      </w:r>
      <w:r>
        <w:t>).</w:t>
      </w:r>
    </w:p>
    <w:p w14:paraId="486664CD" w14:textId="7F9A682B" w:rsidR="00FC42E7" w:rsidRPr="00EC3682" w:rsidRDefault="00FC42E7" w:rsidP="00FC42E7">
      <w:pPr>
        <w:pStyle w:val="ListParagraph"/>
        <w:numPr>
          <w:ilvl w:val="0"/>
          <w:numId w:val="4"/>
        </w:numPr>
        <w:jc w:val="left"/>
        <w:rPr>
          <w:rFonts w:ascii="Calibri" w:hAnsi="Calibri" w:cs="Calibri"/>
        </w:rPr>
      </w:pPr>
      <w:r>
        <w:t>The PIAF integration shall run every day at a specified time and change the terminal codes into Profisee codes.</w:t>
      </w:r>
    </w:p>
    <w:p w14:paraId="1A7F0B68" w14:textId="75487B30" w:rsidR="00FC42E7" w:rsidRPr="00EC3682" w:rsidRDefault="00FC42E7" w:rsidP="00FC42E7">
      <w:pPr>
        <w:pStyle w:val="ListParagraph"/>
        <w:numPr>
          <w:ilvl w:val="0"/>
          <w:numId w:val="4"/>
        </w:numPr>
        <w:jc w:val="left"/>
        <w:rPr>
          <w:rFonts w:ascii="Calibri" w:hAnsi="Calibri" w:cs="Calibri"/>
        </w:rPr>
      </w:pPr>
      <w:r>
        <w:t xml:space="preserve">The PIAF integration shall save an analyzer quality only when it has changed, </w:t>
      </w:r>
      <w:commentRangeStart w:id="161"/>
      <w:r>
        <w:t>and each daily flow every day</w:t>
      </w:r>
      <w:commentRangeEnd w:id="161"/>
      <w:r w:rsidR="00BC5CC0">
        <w:rPr>
          <w:rStyle w:val="CommentReference"/>
          <w:sz w:val="22"/>
          <w:szCs w:val="22"/>
        </w:rPr>
        <w:commentReference w:id="161"/>
      </w:r>
      <w:r>
        <w:t>, in the VCB table of the IQDM database.</w:t>
      </w:r>
    </w:p>
    <w:p w14:paraId="4E2B28BE" w14:textId="2F262933" w:rsidR="00FC42E7" w:rsidRPr="00EC3682" w:rsidRDefault="00FC42E7" w:rsidP="00FC42E7">
      <w:pPr>
        <w:pStyle w:val="ListParagraph"/>
        <w:numPr>
          <w:ilvl w:val="0"/>
          <w:numId w:val="4"/>
        </w:numPr>
        <w:jc w:val="left"/>
        <w:rPr>
          <w:rFonts w:ascii="Calibri" w:hAnsi="Calibri" w:cs="Calibri"/>
        </w:rPr>
      </w:pPr>
      <w:r>
        <w:t>The dashboards shall read the analyzer qualities and the flows from the VCB table of the IQDM database.</w:t>
      </w:r>
    </w:p>
    <w:p w14:paraId="47096823" w14:textId="6E8B932F" w:rsidR="0081216E" w:rsidRPr="00FC42E7" w:rsidRDefault="00FC42E7" w:rsidP="00FC42E7">
      <w:pPr>
        <w:pStyle w:val="ListParagraph"/>
        <w:numPr>
          <w:ilvl w:val="0"/>
          <w:numId w:val="4"/>
        </w:numPr>
        <w:jc w:val="left"/>
      </w:pPr>
      <w:r w:rsidRPr="00FC42E7">
        <w:t xml:space="preserve">The inventory of blend components at the terminals shall come from the IQDM database (Table </w:t>
      </w:r>
      <w:r>
        <w:fldChar w:fldCharType="begin"/>
      </w:r>
      <w:r>
        <w:instrText xml:space="preserve"> REF _Ref917260904 \h \* MERGEFORMAT </w:instrText>
      </w:r>
      <w:r>
        <w:fldChar w:fldCharType="separate"/>
      </w:r>
      <w:r w:rsidRPr="00FC42E7">
        <w:rPr>
          <w:noProof/>
          <w:color w:val="0563C1"/>
          <w:u w:val="single"/>
        </w:rPr>
        <w:t>2-1</w:t>
      </w:r>
      <w:r>
        <w:fldChar w:fldCharType="end"/>
      </w:r>
      <w:r w:rsidRPr="00FC42E7">
        <w:t xml:space="preserve">, section </w:t>
      </w:r>
      <w:r>
        <w:fldChar w:fldCharType="begin"/>
      </w:r>
      <w:r>
        <w:instrText xml:space="preserve"> REF _Ref917260938 \w \h \* MERGEFORMAT </w:instrText>
      </w:r>
      <w:r>
        <w:fldChar w:fldCharType="separate"/>
      </w:r>
      <w:r w:rsidRPr="00FC42E7">
        <w:rPr>
          <w:color w:val="0563C1"/>
          <w:u w:val="single"/>
        </w:rPr>
        <w:t>2.3.2.8</w:t>
      </w:r>
      <w:r>
        <w:fldChar w:fldCharType="end"/>
      </w:r>
      <w:r w:rsidRPr="00FC42E7">
        <w:t>); the PIAF integration shall not read it.</w:t>
      </w:r>
    </w:p>
    <w:p w14:paraId="1DCAAA2B" w14:textId="77777777" w:rsidR="006958CC" w:rsidRPr="006958CC" w:rsidRDefault="006958CC" w:rsidP="006958CC">
      <w:pPr>
        <w:pStyle w:val="Heading5"/>
        <w:rPr>
          <w:rFonts w:ascii="Calibri" w:hAnsi="Calibri" w:cs="Calibri"/>
          <w:sz w:val="20"/>
        </w:rPr>
      </w:pPr>
      <w:bookmarkStart w:id="162" w:name="_Ref917260947"/>
      <w:r w:rsidRPr="006958CC">
        <w:rPr>
          <w:rFonts w:ascii="Calibri" w:hAnsi="Calibri" w:cs="Calibri"/>
          <w:sz w:val="20"/>
        </w:rPr>
        <w:t>High Level Technical Design Diagram</w:t>
      </w:r>
      <w:bookmarkEnd w:id="162"/>
    </w:p>
    <w:p w14:paraId="46976500" w14:textId="5F2E7152" w:rsidR="00FC42E7" w:rsidRPr="00EC3682" w:rsidRDefault="00FC42E7" w:rsidP="00FC42E7">
      <w:pPr>
        <w:pStyle w:val="ListParagraph"/>
        <w:numPr>
          <w:ilvl w:val="0"/>
          <w:numId w:val="4"/>
        </w:numPr>
        <w:jc w:val="left"/>
        <w:rPr>
          <w:rFonts w:ascii="Calibri" w:hAnsi="Calibri" w:cs="Calibri"/>
        </w:rPr>
      </w:pPr>
      <w:r>
        <w:t xml:space="preserve">The flows shall be read in the same daily run as the analyzer qualities (section </w:t>
      </w:r>
      <w:r>
        <w:fldChar w:fldCharType="begin"/>
      </w:r>
      <w:r>
        <w:instrText xml:space="preserve"> REF _Ref917260945 \w \h \* MERGEFORMAT </w:instrText>
      </w:r>
      <w:r>
        <w:fldChar w:fldCharType="separate"/>
      </w:r>
      <w:r w:rsidRPr="00FC42E7">
        <w:rPr>
          <w:color w:val="0563C1"/>
          <w:u w:val="single"/>
        </w:rPr>
        <w:t>2.3.3.2</w:t>
      </w:r>
      <w:r>
        <w:fldChar w:fldCharType="end"/>
      </w:r>
      <w:r>
        <w:t>).</w:t>
      </w:r>
    </w:p>
    <w:p w14:paraId="2894096F" w14:textId="317BEC2A" w:rsidR="00FC42E7" w:rsidRPr="00EC3682" w:rsidRDefault="00FC42E7" w:rsidP="00FC42E7">
      <w:pPr>
        <w:pStyle w:val="ListParagraph"/>
        <w:numPr>
          <w:ilvl w:val="0"/>
          <w:numId w:val="4"/>
        </w:numPr>
        <w:jc w:val="left"/>
        <w:rPr>
          <w:rFonts w:ascii="Calibri" w:hAnsi="Calibri" w:cs="Calibri"/>
        </w:rPr>
      </w:pPr>
      <w:r>
        <w:t>The services shall run in the CIP Inventory domain API, and the durable functions shall run in the function app of the Inventory domain.</w:t>
      </w:r>
    </w:p>
    <w:p w14:paraId="1718C37F" w14:textId="34D1A4D5" w:rsidR="006958CC" w:rsidRPr="006958CC" w:rsidRDefault="00FC42E7" w:rsidP="00FC42E7">
      <w:pPr>
        <w:keepNext/>
        <w:keepLines/>
        <w:jc w:val="left"/>
        <w:rPr>
          <w:rFonts w:ascii="Calibri" w:hAnsi="Calibri" w:cs="Calibri"/>
        </w:rPr>
      </w:pPr>
      <w:r>
        <w:rPr>
          <w:rFonts w:ascii="Calibri" w:hAnsi="Calibri" w:cs="Calibri"/>
        </w:rPr>
        <w:t>The figure below shows how the analyzer qualities (RVP, TV/L, T10 to T90, IBP and FBP) measured at the butane injectors travel from PI Asset Framework (PI Web API via CIP PI proxy) to the IQDM database.</w:t>
      </w:r>
    </w:p>
    <w:p w14:paraId="55A01FBD" w14:textId="791E102B" w:rsidR="006958CC" w:rsidRPr="006958CC" w:rsidRDefault="008F2422" w:rsidP="006958CC">
      <w:pPr>
        <w:keepNext/>
        <w:spacing w:after="40"/>
        <w:jc w:val="center"/>
      </w:pPr>
      <w:r>
        <w:rPr>
          <w:noProof/>
        </w:rPr>
        <w:drawing>
          <wp:inline distT="0" distB="0" distL="0" distR="0" wp14:anchorId="115F2E58" wp14:editId="282D8747">
            <wp:extent cx="5943600" cy="2466340"/>
            <wp:effectExtent l="0" t="0" r="0" b="0"/>
            <wp:docPr id="591166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66301" name=""/>
                    <pic:cNvPicPr/>
                  </pic:nvPicPr>
                  <pic:blipFill>
                    <a:blip r:embed="rId27"/>
                    <a:stretch>
                      <a:fillRect/>
                    </a:stretch>
                  </pic:blipFill>
                  <pic:spPr>
                    <a:xfrm>
                      <a:off x="0" y="0"/>
                      <a:ext cx="5943600" cy="2466340"/>
                    </a:xfrm>
                    <a:prstGeom prst="rect">
                      <a:avLst/>
                    </a:prstGeom>
                  </pic:spPr>
                </pic:pic>
              </a:graphicData>
            </a:graphic>
          </wp:inline>
        </w:drawing>
      </w:r>
    </w:p>
    <w:p w14:paraId="5881666F" w14:textId="1E20B9EA" w:rsidR="006958CC" w:rsidRPr="006958CC" w:rsidRDefault="006958CC" w:rsidP="006958CC">
      <w:pPr>
        <w:pStyle w:val="Caption"/>
        <w:rPr>
          <w:rFonts w:ascii="Calibri" w:hAnsi="Calibri" w:cs="Calibri"/>
        </w:rPr>
      </w:pPr>
      <w:bookmarkStart w:id="163" w:name="_Toc242554140"/>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4</w:t>
      </w:r>
      <w:r w:rsidRPr="006958CC">
        <w:rPr>
          <w:rFonts w:ascii="Calibri" w:hAnsi="Calibri" w:cs="Calibri"/>
        </w:rPr>
        <w:fldChar w:fldCharType="end"/>
      </w:r>
      <w:r w:rsidRPr="006958CC">
        <w:rPr>
          <w:rFonts w:ascii="Calibri" w:hAnsi="Calibri" w:cs="Calibri"/>
        </w:rPr>
        <w:t>: Blend Component Integration (Analyzer Qualities) High Level Technical Design Diagram (CIP Approach)</w:t>
      </w:r>
      <w:bookmarkEnd w:id="163"/>
    </w:p>
    <w:p w14:paraId="53736ED1" w14:textId="7F6ED7F2" w:rsidR="00FC42E7" w:rsidRPr="00EC3682" w:rsidRDefault="00FC42E7" w:rsidP="00FC42E7">
      <w:pPr>
        <w:pStyle w:val="ListParagraph"/>
        <w:numPr>
          <w:ilvl w:val="0"/>
          <w:numId w:val="4"/>
        </w:numPr>
        <w:jc w:val="left"/>
        <w:rPr>
          <w:rFonts w:ascii="Calibri" w:hAnsi="Calibri" w:cs="Calibri"/>
        </w:rPr>
      </w:pPr>
      <w:r>
        <w:t xml:space="preserve">The figure names the components by their role; their full names shall start with Blend Component, as in Table </w:t>
      </w:r>
      <w:r>
        <w:fldChar w:fldCharType="begin"/>
      </w:r>
      <w:r>
        <w:instrText xml:space="preserve"> REF _Ref917260929 \h \* MERGEFORMAT </w:instrText>
      </w:r>
      <w:r>
        <w:fldChar w:fldCharType="separate"/>
      </w:r>
      <w:r w:rsidRPr="00FC42E7">
        <w:rPr>
          <w:noProof/>
          <w:color w:val="0563C1"/>
          <w:u w:val="single"/>
        </w:rPr>
        <w:t>2-10</w:t>
      </w:r>
      <w:r>
        <w:fldChar w:fldCharType="end"/>
      </w:r>
      <w:r>
        <w:t>, for example Blend Component Request Service.</w:t>
      </w:r>
    </w:p>
    <w:p w14:paraId="12CA7700" w14:textId="77777777" w:rsidR="006958CC" w:rsidRPr="006958CC" w:rsidRDefault="006958CC" w:rsidP="00FC42E7">
      <w:pPr>
        <w:keepNext/>
        <w:jc w:val="left"/>
        <w:rPr>
          <w:rFonts w:ascii="Calibri" w:hAnsi="Calibri" w:cs="Calibri"/>
        </w:rPr>
      </w:pPr>
      <w:r w:rsidRPr="006958CC">
        <w:rPr>
          <w:rFonts w:ascii="Calibri" w:hAnsi="Calibri" w:cs="Calibri"/>
        </w:rPr>
        <w:t>The numbered steps in the figure are:</w:t>
      </w:r>
    </w:p>
    <w:p w14:paraId="24253C11" w14:textId="77A1A7B9" w:rsidR="006958CC" w:rsidRPr="006958CC" w:rsidRDefault="00873A53" w:rsidP="00652CF3">
      <w:pPr>
        <w:pStyle w:val="ListParagraph"/>
        <w:numPr>
          <w:ilvl w:val="0"/>
          <w:numId w:val="27"/>
        </w:numPr>
        <w:jc w:val="left"/>
        <w:rPr>
          <w:rFonts w:ascii="Calibri" w:hAnsi="Calibri" w:cs="Calibri"/>
          <w:sz w:val="20"/>
        </w:rPr>
      </w:pPr>
      <w:r>
        <w:rPr>
          <w:rFonts w:ascii="Calibri" w:hAnsi="Calibri" w:cs="Calibri"/>
        </w:rPr>
        <w:t>The Timer Trigger Function shall start the run every day at the specified time and send the Trigger Request to Extract Analyzer Quality Data to the Request Service (step 1).</w:t>
      </w:r>
    </w:p>
    <w:p w14:paraId="3749F4E0" w14:textId="56A97911" w:rsidR="006958CC" w:rsidRPr="006958CC" w:rsidRDefault="00873A53" w:rsidP="00652CF3">
      <w:pPr>
        <w:pStyle w:val="ListParagraph"/>
        <w:numPr>
          <w:ilvl w:val="0"/>
          <w:numId w:val="27"/>
        </w:numPr>
        <w:jc w:val="left"/>
        <w:rPr>
          <w:rFonts w:ascii="Calibri" w:hAnsi="Calibri" w:cs="Calibri"/>
          <w:sz w:val="20"/>
        </w:rPr>
      </w:pPr>
      <w:r>
        <w:rPr>
          <w:rFonts w:ascii="Calibri" w:hAnsi="Calibri" w:cs="Calibri"/>
        </w:rPr>
        <w:t>With UseServiceBus = false, the Request Service shall ask the Response Service for the analyzer qualities directly and get them back on the same call (steps 2 and 2.1).</w:t>
      </w:r>
    </w:p>
    <w:p w14:paraId="1B15D504" w14:textId="64C7AE02" w:rsidR="006958CC" w:rsidRPr="006958CC" w:rsidRDefault="00873A53" w:rsidP="00652CF3">
      <w:pPr>
        <w:pStyle w:val="ListParagraph"/>
        <w:numPr>
          <w:ilvl w:val="0"/>
          <w:numId w:val="27"/>
        </w:numPr>
        <w:jc w:val="left"/>
        <w:rPr>
          <w:rFonts w:ascii="Calibri" w:hAnsi="Calibri" w:cs="Calibri"/>
          <w:sz w:val="20"/>
        </w:rPr>
      </w:pPr>
      <w:r>
        <w:rPr>
          <w:rFonts w:ascii="Calibri" w:hAnsi="Calibri" w:cs="Calibri"/>
        </w:rPr>
        <w:t>With UseServiceBus = true, the Request Service shall hand the request for the analyzer qualities to the Request Orchestrator, with its session ID (step 4). The Request Service shall follow the request through the Callback API for status check.</w:t>
      </w:r>
    </w:p>
    <w:p w14:paraId="27193316" w14:textId="72F2600B" w:rsidR="006958CC" w:rsidRPr="006958CC" w:rsidRDefault="00873A53" w:rsidP="00652CF3">
      <w:pPr>
        <w:pStyle w:val="ListParagraph"/>
        <w:numPr>
          <w:ilvl w:val="0"/>
          <w:numId w:val="27"/>
        </w:numPr>
        <w:jc w:val="left"/>
        <w:rPr>
          <w:rFonts w:ascii="Calibri" w:hAnsi="Calibri" w:cs="Calibri"/>
          <w:sz w:val="20"/>
        </w:rPr>
      </w:pPr>
      <w:r>
        <w:rPr>
          <w:rFonts w:ascii="Calibri" w:hAnsi="Calibri" w:cs="Calibri"/>
        </w:rPr>
        <w:t>The Request Orchestrator shall put the request for the analyzer qualities on the Request Queue (step 5), and the Response Orchestrator shall take it from there (step 6).</w:t>
      </w:r>
    </w:p>
    <w:p w14:paraId="442AF144" w14:textId="727E8661" w:rsidR="006958CC" w:rsidRPr="006958CC" w:rsidRDefault="00873A53" w:rsidP="00652CF3">
      <w:pPr>
        <w:pStyle w:val="ListParagraph"/>
        <w:numPr>
          <w:ilvl w:val="0"/>
          <w:numId w:val="27"/>
        </w:numPr>
        <w:jc w:val="left"/>
        <w:rPr>
          <w:rFonts w:ascii="Calibri" w:hAnsi="Calibri" w:cs="Calibri"/>
          <w:sz w:val="20"/>
        </w:rPr>
      </w:pPr>
      <w:r>
        <w:rPr>
          <w:rFonts w:ascii="Calibri" w:hAnsi="Calibri" w:cs="Calibri"/>
        </w:rPr>
        <w:t>The Response Orchestrator shall ask the Response Service for the analyzer qualities.</w:t>
      </w:r>
      <w:r w:rsidR="006958CC" w:rsidRPr="006958CC">
        <w:rPr>
          <w:rFonts w:ascii="Calibri" w:hAnsi="Calibri" w:cs="Calibri"/>
        </w:rPr>
        <w:t xml:space="preserve"> </w:t>
      </w:r>
      <w:r>
        <w:rPr>
          <w:rFonts w:ascii="Calibri" w:hAnsi="Calibri" w:cs="Calibri"/>
        </w:rPr>
        <w:t xml:space="preserve">The Response Service shall send the Analyzer Quality Request for PIAF and read the analyzer qualities of the period as interpolated values </w:t>
      </w:r>
      <w:r w:rsidR="004812A6">
        <w:rPr>
          <w:rFonts w:ascii="Calibri" w:hAnsi="Calibri" w:cs="Calibri"/>
        </w:rPr>
        <w:t>at 15-minute intervals</w:t>
      </w:r>
      <w:r>
        <w:rPr>
          <w:rFonts w:ascii="Calibri" w:hAnsi="Calibri" w:cs="Calibri"/>
        </w:rPr>
        <w:t xml:space="preserve"> (steps 8.1 and 8.2).</w:t>
      </w:r>
    </w:p>
    <w:p w14:paraId="08C44668" w14:textId="6EFF8158" w:rsidR="006958CC" w:rsidRPr="006958CC" w:rsidRDefault="00873A53" w:rsidP="00652CF3">
      <w:pPr>
        <w:pStyle w:val="ListParagraph"/>
        <w:numPr>
          <w:ilvl w:val="0"/>
          <w:numId w:val="27"/>
        </w:numPr>
        <w:jc w:val="left"/>
        <w:rPr>
          <w:rFonts w:ascii="Calibri" w:hAnsi="Calibri" w:cs="Calibri"/>
          <w:sz w:val="20"/>
        </w:rPr>
      </w:pPr>
      <w:r>
        <w:rPr>
          <w:rFonts w:ascii="Calibri" w:hAnsi="Calibri" w:cs="Calibri"/>
        </w:rPr>
        <w:t>The Response Orchestrator shall put the Analyzer Quality Response from PIAF on the Response Queue (step 9).</w:t>
      </w:r>
      <w:r w:rsidR="006958CC" w:rsidRPr="006958CC">
        <w:rPr>
          <w:rFonts w:ascii="Calibri" w:hAnsi="Calibri" w:cs="Calibri"/>
        </w:rPr>
        <w:t xml:space="preserve"> </w:t>
      </w:r>
      <w:r>
        <w:rPr>
          <w:rFonts w:ascii="Calibri" w:hAnsi="Calibri" w:cs="Calibri"/>
        </w:rPr>
        <w:t>The Request Orchestrator shall poll the Response Queue (step 10) and return the analyzer qualities, with the session ID, to the Request Service (step 11).</w:t>
      </w:r>
    </w:p>
    <w:p w14:paraId="73E76B8C" w14:textId="62291982" w:rsidR="006958CC" w:rsidRPr="006958CC" w:rsidRDefault="00144FA3" w:rsidP="00652CF3">
      <w:pPr>
        <w:pStyle w:val="ListParagraph"/>
        <w:numPr>
          <w:ilvl w:val="0"/>
          <w:numId w:val="27"/>
        </w:numPr>
        <w:jc w:val="left"/>
        <w:rPr>
          <w:rFonts w:ascii="Calibri" w:hAnsi="Calibri" w:cs="Calibri"/>
          <w:sz w:val="20"/>
        </w:rPr>
      </w:pPr>
      <w:r>
        <w:rPr>
          <w:rFonts w:ascii="Calibri" w:hAnsi="Calibri" w:cs="Calibri"/>
        </w:rPr>
        <w:t xml:space="preserve">The Request Service shall save the analyzer qualities in the VCB table of the IQDM database through the </w:t>
      </w:r>
      <w:r w:rsidR="00AA63C5">
        <w:rPr>
          <w:rFonts w:ascii="Calibri" w:hAnsi="Calibri" w:cs="Calibri"/>
        </w:rPr>
        <w:t>saved</w:t>
      </w:r>
      <w:r>
        <w:rPr>
          <w:rFonts w:ascii="Calibri" w:hAnsi="Calibri" w:cs="Calibri"/>
        </w:rPr>
        <w:t xml:space="preserve"> procedure, shown in the figure as Save VCB Integration Data (step 12).</w:t>
      </w:r>
    </w:p>
    <w:p w14:paraId="1B0EEE4E" w14:textId="55014CCA" w:rsidR="006958CC" w:rsidRPr="006958CC" w:rsidRDefault="00873A53" w:rsidP="00652CF3">
      <w:pPr>
        <w:pStyle w:val="ListParagraph"/>
        <w:numPr>
          <w:ilvl w:val="0"/>
          <w:numId w:val="27"/>
        </w:numPr>
        <w:jc w:val="left"/>
        <w:rPr>
          <w:rFonts w:ascii="Calibri" w:hAnsi="Calibri" w:cs="Calibri"/>
          <w:sz w:val="20"/>
        </w:rPr>
      </w:pPr>
      <w:r>
        <w:rPr>
          <w:rFonts w:ascii="Calibri" w:hAnsi="Calibri" w:cs="Calibri"/>
        </w:rPr>
        <w:t>On its Scheduled Refresh, the Dashboard shall read the analyzer qualities through the VCB views of the IQDM database (steps 13 and 14).</w:t>
      </w:r>
    </w:p>
    <w:p w14:paraId="37D7A6F3" w14:textId="35080DE6" w:rsidR="00FC42E7" w:rsidRPr="006958CC" w:rsidRDefault="00FC42E7" w:rsidP="00FC42E7">
      <w:pPr>
        <w:rPr>
          <w:rFonts w:ascii="Calibri" w:hAnsi="Calibri" w:cs="Calibri"/>
        </w:rPr>
      </w:pPr>
      <w:r>
        <w:rPr>
          <w:rFonts w:ascii="Calibri" w:hAnsi="Calibri" w:cs="Calibri"/>
        </w:rPr>
        <w:t>For the analyzer qualities, steps 3 and 7 in the figure are the calls to the Semantic Service for translation and validation.</w:t>
      </w:r>
    </w:p>
    <w:p w14:paraId="46243A0F" w14:textId="4276DF9C" w:rsidR="00FC42E7" w:rsidRPr="00EC3682" w:rsidRDefault="00FC42E7" w:rsidP="00FC42E7">
      <w:pPr>
        <w:pStyle w:val="ListParagraph"/>
        <w:numPr>
          <w:ilvl w:val="0"/>
          <w:numId w:val="4"/>
        </w:numPr>
        <w:jc w:val="left"/>
        <w:rPr>
          <w:rFonts w:ascii="Calibri" w:hAnsi="Calibri" w:cs="Calibri"/>
        </w:rPr>
      </w:pPr>
      <w:r>
        <w:t>The Semantic Service shall take the master data of Profisee (MDM) through APIM.</w:t>
      </w:r>
    </w:p>
    <w:p w14:paraId="2AAF9E55" w14:textId="4B91C3EA" w:rsidR="00FC42E7" w:rsidRPr="00EC3682" w:rsidRDefault="00FC42E7" w:rsidP="00FC42E7">
      <w:pPr>
        <w:pStyle w:val="ListParagraph"/>
        <w:numPr>
          <w:ilvl w:val="0"/>
          <w:numId w:val="4"/>
        </w:numPr>
        <w:jc w:val="left"/>
        <w:rPr>
          <w:rFonts w:ascii="Calibri" w:hAnsi="Calibri" w:cs="Calibri"/>
        </w:rPr>
      </w:pPr>
      <w:r>
        <w:t>On the response side the analyzer qualities shall get their Profisee codes; on the request side the Profisee codes shall be turned into IQDM codes.</w:t>
      </w:r>
    </w:p>
    <w:p w14:paraId="084FECC8" w14:textId="6D66D761" w:rsidR="00FC42E7" w:rsidRPr="00EC3682" w:rsidRDefault="00FC42E7" w:rsidP="00FC42E7">
      <w:pPr>
        <w:pStyle w:val="ListParagraph"/>
        <w:numPr>
          <w:ilvl w:val="0"/>
          <w:numId w:val="4"/>
        </w:numPr>
        <w:jc w:val="left"/>
        <w:rPr>
          <w:rFonts w:ascii="Calibri" w:hAnsi="Calibri" w:cs="Calibri"/>
        </w:rPr>
      </w:pPr>
      <w:r>
        <w:t>Every component shall call the Notification Logging &amp; Exception Service.</w:t>
      </w:r>
    </w:p>
    <w:p w14:paraId="451F5E1C" w14:textId="0780951A" w:rsidR="00FC42E7" w:rsidRPr="00EC3682" w:rsidRDefault="00FC42E7" w:rsidP="00FC42E7">
      <w:pPr>
        <w:pStyle w:val="ListParagraph"/>
        <w:numPr>
          <w:ilvl w:val="0"/>
          <w:numId w:val="4"/>
        </w:numPr>
        <w:jc w:val="left"/>
        <w:rPr>
          <w:rFonts w:ascii="Calibri" w:hAnsi="Calibri" w:cs="Calibri"/>
        </w:rPr>
      </w:pPr>
      <w:r>
        <w:t>The right of the figure shows the Azure services the integration runs on.</w:t>
      </w:r>
    </w:p>
    <w:p w14:paraId="5AB9CF52" w14:textId="653033B9" w:rsidR="006958CC" w:rsidRPr="00FC42E7" w:rsidRDefault="00FC42E7" w:rsidP="00FC42E7">
      <w:pPr>
        <w:pStyle w:val="ListParagraph"/>
        <w:numPr>
          <w:ilvl w:val="0"/>
          <w:numId w:val="4"/>
        </w:numPr>
        <w:jc w:val="left"/>
      </w:pPr>
      <w:r w:rsidRPr="00FC42E7">
        <w:t>The integration shall use Microsoft Entra ID, Azure Key Vault and Azure DNS for security, Azure DevOps and Kubernetes for deployment, Azure Blob Storage for storage and Azure App Insights for logging.</w:t>
      </w:r>
    </w:p>
    <w:p w14:paraId="1F3F4032" w14:textId="0F4B66F7" w:rsidR="006958CC" w:rsidRPr="006958CC" w:rsidRDefault="006958CC" w:rsidP="006958CC">
      <w:pPr>
        <w:pStyle w:val="Heading5"/>
        <w:rPr>
          <w:rFonts w:ascii="Calibri" w:hAnsi="Calibri" w:cs="Calibri"/>
          <w:sz w:val="20"/>
        </w:rPr>
      </w:pPr>
      <w:r w:rsidRPr="006958CC">
        <w:rPr>
          <w:rFonts w:ascii="Calibri" w:hAnsi="Calibri" w:cs="Calibri"/>
          <w:sz w:val="20"/>
        </w:rPr>
        <w:t>Detailed Technical Design Diagram</w:t>
      </w:r>
    </w:p>
    <w:p w14:paraId="4A18A575" w14:textId="5645EE08" w:rsidR="006958CC" w:rsidRPr="006958CC" w:rsidRDefault="00FC42E7" w:rsidP="00FC42E7">
      <w:pPr>
        <w:keepNext/>
        <w:keepLines/>
        <w:jc w:val="left"/>
        <w:rPr>
          <w:rFonts w:ascii="Calibri" w:hAnsi="Calibri" w:cs="Calibri"/>
        </w:rPr>
      </w:pPr>
      <w:r>
        <w:rPr>
          <w:rFonts w:ascii="Calibri" w:hAnsi="Calibri" w:cs="Calibri"/>
        </w:rPr>
        <w:t>The figure below shows the activities inside the two durable functions of the Blend Component Integration (Analyzer Qualities).</w:t>
      </w:r>
    </w:p>
    <w:p w14:paraId="03AC214D" w14:textId="2F924EC0" w:rsidR="006958CC" w:rsidRPr="006958CC" w:rsidRDefault="008F2422" w:rsidP="006958CC">
      <w:pPr>
        <w:keepNext/>
        <w:spacing w:after="40"/>
        <w:jc w:val="center"/>
      </w:pPr>
      <w:r>
        <w:rPr>
          <w:noProof/>
        </w:rPr>
        <w:drawing>
          <wp:inline distT="0" distB="0" distL="0" distR="0" wp14:anchorId="1AE3F2F8" wp14:editId="16CD9A6F">
            <wp:extent cx="5943600" cy="2173605"/>
            <wp:effectExtent l="0" t="0" r="0" b="0"/>
            <wp:docPr id="1763389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89862" name=""/>
                    <pic:cNvPicPr/>
                  </pic:nvPicPr>
                  <pic:blipFill>
                    <a:blip r:embed="rId28"/>
                    <a:stretch>
                      <a:fillRect/>
                    </a:stretch>
                  </pic:blipFill>
                  <pic:spPr>
                    <a:xfrm>
                      <a:off x="0" y="0"/>
                      <a:ext cx="5943600" cy="2173605"/>
                    </a:xfrm>
                    <a:prstGeom prst="rect">
                      <a:avLst/>
                    </a:prstGeom>
                  </pic:spPr>
                </pic:pic>
              </a:graphicData>
            </a:graphic>
          </wp:inline>
        </w:drawing>
      </w:r>
    </w:p>
    <w:p w14:paraId="52E143D0" w14:textId="367D714B" w:rsidR="006958CC" w:rsidRPr="006958CC" w:rsidRDefault="006958CC" w:rsidP="006958CC">
      <w:pPr>
        <w:pStyle w:val="Caption"/>
        <w:rPr>
          <w:rFonts w:ascii="Calibri" w:hAnsi="Calibri" w:cs="Calibri"/>
        </w:rPr>
      </w:pPr>
      <w:bookmarkStart w:id="164" w:name="_Toc242554141"/>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5</w:t>
      </w:r>
      <w:r w:rsidRPr="006958CC">
        <w:rPr>
          <w:rFonts w:ascii="Calibri" w:hAnsi="Calibri" w:cs="Calibri"/>
        </w:rPr>
        <w:fldChar w:fldCharType="end"/>
      </w:r>
      <w:r w:rsidRPr="006958CC">
        <w:rPr>
          <w:rFonts w:ascii="Calibri" w:hAnsi="Calibri" w:cs="Calibri"/>
        </w:rPr>
        <w:t>: Blend Component Integration (Analyzer Qualities) Detailed Technical Design Diagram</w:t>
      </w:r>
      <w:bookmarkEnd w:id="164"/>
    </w:p>
    <w:p w14:paraId="1C398EF5" w14:textId="77777777" w:rsidR="00FC42E7" w:rsidRPr="00EC3682" w:rsidRDefault="00FC42E7" w:rsidP="00FC42E7">
      <w:pPr>
        <w:pStyle w:val="ListParagraph"/>
        <w:numPr>
          <w:ilvl w:val="0"/>
          <w:numId w:val="4"/>
        </w:numPr>
        <w:jc w:val="left"/>
        <w:rPr>
          <w:rFonts w:ascii="Calibri" w:hAnsi="Calibri" w:cs="Calibri"/>
        </w:rPr>
      </w:pPr>
      <w:r>
        <w:t>The flow starts from the Trigger Request to Extract Analyzer Quality Data (IsImport = false).</w:t>
      </w:r>
    </w:p>
    <w:p w14:paraId="6B7918FB" w14:textId="77777777" w:rsidR="00FC42E7" w:rsidRPr="00EC3682" w:rsidRDefault="00FC42E7" w:rsidP="00FC42E7">
      <w:pPr>
        <w:pStyle w:val="ListParagraph"/>
        <w:numPr>
          <w:ilvl w:val="0"/>
          <w:numId w:val="4"/>
        </w:numPr>
        <w:jc w:val="left"/>
        <w:rPr>
          <w:rFonts w:ascii="Calibri" w:hAnsi="Calibri" w:cs="Calibri"/>
        </w:rPr>
      </w:pPr>
      <w:r>
        <w:t>Steps 4 to 11 are drawn in more detail; the other steps are those of the high-level figure above.</w:t>
      </w:r>
    </w:p>
    <w:p w14:paraId="2A9143B0" w14:textId="77777777" w:rsidR="006958CC" w:rsidRPr="006958CC" w:rsidRDefault="006958CC" w:rsidP="00FC42E7">
      <w:pPr>
        <w:keepNext/>
        <w:jc w:val="left"/>
        <w:rPr>
          <w:rFonts w:ascii="Calibri" w:hAnsi="Calibri" w:cs="Calibri"/>
        </w:rPr>
      </w:pPr>
      <w:r w:rsidRPr="006958CC">
        <w:rPr>
          <w:rFonts w:ascii="Calibri" w:hAnsi="Calibri" w:cs="Calibri"/>
        </w:rPr>
        <w:t>Inside the durable functions:</w:t>
      </w:r>
    </w:p>
    <w:p w14:paraId="693EA8F6" w14:textId="54D63EC7" w:rsidR="006958CC" w:rsidRPr="006958CC" w:rsidRDefault="00873A53" w:rsidP="00652CF3">
      <w:pPr>
        <w:pStyle w:val="ListParagraph"/>
        <w:numPr>
          <w:ilvl w:val="0"/>
          <w:numId w:val="26"/>
        </w:numPr>
        <w:jc w:val="left"/>
        <w:rPr>
          <w:rFonts w:ascii="Calibri" w:hAnsi="Calibri" w:cs="Calibri"/>
          <w:sz w:val="20"/>
        </w:rPr>
      </w:pPr>
      <w:r>
        <w:rPr>
          <w:rFonts w:ascii="Calibri" w:hAnsi="Calibri" w:cs="Calibri"/>
        </w:rPr>
        <w:t>The Request Trigger (HTTP) shall receive the request for the analyzer qualities from the Request Service and start the Request Orchestrator (step 4).</w:t>
      </w:r>
    </w:p>
    <w:p w14:paraId="430F52BD" w14:textId="186DAE87" w:rsidR="006958CC" w:rsidRPr="006958CC" w:rsidRDefault="00873A53" w:rsidP="00652CF3">
      <w:pPr>
        <w:pStyle w:val="ListParagraph"/>
        <w:numPr>
          <w:ilvl w:val="0"/>
          <w:numId w:val="26"/>
        </w:numPr>
        <w:jc w:val="left"/>
        <w:rPr>
          <w:rFonts w:ascii="Calibri" w:hAnsi="Calibri" w:cs="Calibri"/>
          <w:sz w:val="20"/>
        </w:rPr>
      </w:pPr>
      <w:r>
        <w:rPr>
          <w:rFonts w:ascii="Calibri" w:hAnsi="Calibri" w:cs="Calibri"/>
        </w:rPr>
        <w:t>The Send-to-Request-Queue Activity shall put the request for the analyzer qualities, with its session ID, on the Request Queue (step 5).</w:t>
      </w:r>
    </w:p>
    <w:p w14:paraId="30472457" w14:textId="5B65412B" w:rsidR="006958CC" w:rsidRPr="006958CC" w:rsidRDefault="00873A53" w:rsidP="00652CF3">
      <w:pPr>
        <w:pStyle w:val="ListParagraph"/>
        <w:numPr>
          <w:ilvl w:val="0"/>
          <w:numId w:val="26"/>
        </w:numPr>
        <w:jc w:val="left"/>
        <w:rPr>
          <w:rFonts w:ascii="Calibri" w:hAnsi="Calibri" w:cs="Calibri"/>
          <w:sz w:val="20"/>
        </w:rPr>
      </w:pPr>
      <w:r>
        <w:rPr>
          <w:rFonts w:ascii="Calibri" w:hAnsi="Calibri" w:cs="Calibri"/>
        </w:rPr>
        <w:t>The Response Trigger (Service Bus) shall pick up the request for the analyzer qualities and copy the message to the secondary request queue. It shall then start the Response Orchestrator (step 6).</w:t>
      </w:r>
    </w:p>
    <w:p w14:paraId="237E7038" w14:textId="380D1C83" w:rsidR="006958CC" w:rsidRPr="006958CC" w:rsidRDefault="00873A53" w:rsidP="00652CF3">
      <w:pPr>
        <w:pStyle w:val="ListParagraph"/>
        <w:numPr>
          <w:ilvl w:val="0"/>
          <w:numId w:val="26"/>
        </w:numPr>
        <w:jc w:val="left"/>
        <w:rPr>
          <w:rFonts w:ascii="Calibri" w:hAnsi="Calibri" w:cs="Calibri"/>
          <w:sz w:val="20"/>
        </w:rPr>
      </w:pPr>
      <w:r>
        <w:rPr>
          <w:rFonts w:ascii="Calibri" w:hAnsi="Calibri" w:cs="Calibri"/>
        </w:rPr>
        <w:t>The Get-from-Source Activity shall call the Response Service. The Response Service shall read the analyzer qualities from PI Asset Framework (PI Web API via CIP PI proxy). It shall send the Analyzer Quality Request for PIAF and receive the Analyzer Quality Response from PIAF (steps 8.1 and 8.2).</w:t>
      </w:r>
    </w:p>
    <w:p w14:paraId="7B0A5F23" w14:textId="14E4DDA8" w:rsidR="006958CC" w:rsidRPr="006958CC" w:rsidRDefault="00873A53" w:rsidP="00652CF3">
      <w:pPr>
        <w:pStyle w:val="ListParagraph"/>
        <w:numPr>
          <w:ilvl w:val="0"/>
          <w:numId w:val="26"/>
        </w:numPr>
        <w:jc w:val="left"/>
        <w:rPr>
          <w:rFonts w:ascii="Calibri" w:hAnsi="Calibri" w:cs="Calibri"/>
          <w:sz w:val="20"/>
        </w:rPr>
      </w:pPr>
      <w:r>
        <w:rPr>
          <w:rFonts w:ascii="Calibri" w:hAnsi="Calibri" w:cs="Calibri"/>
        </w:rPr>
        <w:t>The Response Orchestrator shall put the Analyzer Quality Response from PIAF, with its session ID, on the Response Queue (step 9).</w:t>
      </w:r>
    </w:p>
    <w:p w14:paraId="189452C6" w14:textId="231E2A7A" w:rsidR="006958CC" w:rsidRPr="006958CC" w:rsidRDefault="00873A53" w:rsidP="00652CF3">
      <w:pPr>
        <w:pStyle w:val="ListParagraph"/>
        <w:numPr>
          <w:ilvl w:val="0"/>
          <w:numId w:val="26"/>
        </w:numPr>
        <w:jc w:val="left"/>
        <w:rPr>
          <w:rFonts w:ascii="Calibri" w:hAnsi="Calibri" w:cs="Calibri"/>
          <w:sz w:val="20"/>
        </w:rPr>
      </w:pPr>
      <w:r>
        <w:rPr>
          <w:rFonts w:ascii="Calibri" w:hAnsi="Calibri" w:cs="Calibri"/>
        </w:rPr>
        <w:t>The Poll-Response-Queue Activity of the Request Orchestrator shall poll the Response Queue for the response of its own session (step 10). It shall then hand the analyzer qualities to the Request Service (step 11).</w:t>
      </w:r>
    </w:p>
    <w:p w14:paraId="3B0E4AA4" w14:textId="739E3CED" w:rsidR="0081216E" w:rsidRDefault="0081216E" w:rsidP="0081216E">
      <w:pPr>
        <w:pStyle w:val="Heading5"/>
        <w:rPr>
          <w:rFonts w:ascii="Calibri" w:hAnsi="Calibri" w:cs="Calibri"/>
          <w:sz w:val="20"/>
        </w:rPr>
      </w:pPr>
      <w:r w:rsidRPr="0081216E">
        <w:rPr>
          <w:rFonts w:ascii="Calibri" w:hAnsi="Calibri" w:cs="Calibri"/>
          <w:sz w:val="20"/>
        </w:rPr>
        <w:t>Integration Specifics</w:t>
      </w:r>
    </w:p>
    <w:p w14:paraId="2B6DA7E1" w14:textId="74C389E4" w:rsidR="00873A53" w:rsidRPr="0081216E" w:rsidRDefault="00FC42E7" w:rsidP="00FC42E7">
      <w:pPr>
        <w:keepNext/>
        <w:jc w:val="left"/>
        <w:rPr>
          <w:rFonts w:ascii="Calibri" w:hAnsi="Calibri" w:cs="Calibri"/>
        </w:rPr>
      </w:pPr>
      <w:r>
        <w:rPr>
          <w:rFonts w:ascii="Calibri" w:hAnsi="Calibri" w:cs="Calibri"/>
        </w:rPr>
        <w:t>The table below shows how the PIAF integration reads the terminal PI tags, which values it keeps and the name of each component of the integration.</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8"/>
        <w:gridCol w:w="3182"/>
        <w:gridCol w:w="4680"/>
      </w:tblGrid>
      <w:tr w:rsidR="00873A53" w:rsidRPr="00C63A98" w14:paraId="7B3C9842" w14:textId="77777777" w:rsidTr="00FA3AEE">
        <w:trPr>
          <w:cantSplit/>
          <w:tblHeader/>
        </w:trPr>
        <w:tc>
          <w:tcPr>
            <w:tcW w:w="1498" w:type="dxa"/>
            <w:shd w:val="clear" w:color="auto" w:fill="2F5597"/>
          </w:tcPr>
          <w:p w14:paraId="28CE3BC1" w14:textId="77777777" w:rsidR="00873A53" w:rsidRPr="00C63A98" w:rsidRDefault="00873A53" w:rsidP="00C63A98">
            <w:pPr>
              <w:pStyle w:val="Tablehead1"/>
              <w:rPr>
                <w:rFonts w:ascii="Calibri" w:hAnsi="Calibri" w:cs="Calibri"/>
                <w:sz w:val="20"/>
              </w:rPr>
            </w:pPr>
            <w:r w:rsidRPr="00C63A98">
              <w:rPr>
                <w:rFonts w:ascii="Calibri" w:hAnsi="Calibri" w:cs="Calibri"/>
                <w:sz w:val="20"/>
              </w:rPr>
              <w:t>Component</w:t>
            </w:r>
          </w:p>
        </w:tc>
        <w:tc>
          <w:tcPr>
            <w:tcW w:w="3182" w:type="dxa"/>
            <w:shd w:val="clear" w:color="auto" w:fill="2F5597"/>
          </w:tcPr>
          <w:p w14:paraId="0AD72CDD" w14:textId="77777777" w:rsidR="00873A53" w:rsidRPr="00C63A98" w:rsidRDefault="00873A53" w:rsidP="00C63A98">
            <w:pPr>
              <w:pStyle w:val="Tablehead1"/>
              <w:rPr>
                <w:rFonts w:ascii="Calibri" w:hAnsi="Calibri" w:cs="Calibri"/>
                <w:sz w:val="20"/>
              </w:rPr>
            </w:pPr>
            <w:r>
              <w:rPr>
                <w:rFonts w:ascii="Calibri" w:hAnsi="Calibri" w:cs="Calibri"/>
                <w:sz w:val="20"/>
              </w:rPr>
              <w:t>Name in This Integration</w:t>
            </w:r>
          </w:p>
        </w:tc>
        <w:tc>
          <w:tcPr>
            <w:tcW w:w="4680" w:type="dxa"/>
            <w:shd w:val="clear" w:color="auto" w:fill="2F5597"/>
          </w:tcPr>
          <w:p w14:paraId="7BE0D447" w14:textId="77777777" w:rsidR="00873A53" w:rsidRPr="00C63A98" w:rsidRDefault="00873A53" w:rsidP="00C63A98">
            <w:pPr>
              <w:pStyle w:val="Tablehead1"/>
              <w:rPr>
                <w:rFonts w:ascii="Calibri" w:hAnsi="Calibri" w:cs="Calibri"/>
                <w:sz w:val="20"/>
              </w:rPr>
            </w:pPr>
            <w:r>
              <w:rPr>
                <w:rFonts w:ascii="Calibri" w:hAnsi="Calibri" w:cs="Calibri"/>
                <w:sz w:val="20"/>
              </w:rPr>
              <w:t>Specific to This Integration</w:t>
            </w:r>
          </w:p>
        </w:tc>
      </w:tr>
      <w:tr w:rsidR="00873A53" w:rsidRPr="00C63A98" w14:paraId="0D731D7D" w14:textId="77777777" w:rsidTr="00FA3AEE">
        <w:trPr>
          <w:cantSplit/>
        </w:trPr>
        <w:tc>
          <w:tcPr>
            <w:tcW w:w="1498" w:type="dxa"/>
          </w:tcPr>
          <w:p w14:paraId="5EAA0E8A" w14:textId="77777777" w:rsidR="00873A53" w:rsidRPr="00C63A98" w:rsidRDefault="00873A53" w:rsidP="00C63A98">
            <w:pPr>
              <w:pStyle w:val="Tabletext"/>
              <w:rPr>
                <w:rFonts w:ascii="Calibri" w:hAnsi="Calibri" w:cs="Calibri"/>
                <w:sz w:val="20"/>
              </w:rPr>
            </w:pPr>
            <w:r w:rsidRPr="00C63A98">
              <w:rPr>
                <w:rFonts w:ascii="Calibri" w:hAnsi="Calibri" w:cs="Calibri"/>
                <w:sz w:val="20"/>
              </w:rPr>
              <w:t>Data source</w:t>
            </w:r>
          </w:p>
        </w:tc>
        <w:tc>
          <w:tcPr>
            <w:tcW w:w="3182" w:type="dxa"/>
          </w:tcPr>
          <w:p w14:paraId="3CFCB9FF"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 Asset Framework of the terminals (PIAF)</w:t>
            </w:r>
          </w:p>
        </w:tc>
        <w:tc>
          <w:tcPr>
            <w:tcW w:w="4680" w:type="dxa"/>
          </w:tcPr>
          <w:p w14:paraId="46783AC3" w14:textId="36D0977E" w:rsidR="00873A53" w:rsidRPr="00C63A98" w:rsidRDefault="004812A6" w:rsidP="00C63A98">
            <w:pPr>
              <w:pStyle w:val="Tabletext"/>
              <w:rPr>
                <w:rFonts w:ascii="Calibri" w:hAnsi="Calibri" w:cs="Calibri"/>
                <w:sz w:val="20"/>
              </w:rPr>
            </w:pPr>
            <w:r>
              <w:rPr>
                <w:rFonts w:ascii="Calibri" w:hAnsi="Calibri" w:cs="Calibri"/>
                <w:sz w:val="20"/>
              </w:rPr>
              <w:t xml:space="preserve">Shall be read through the PI Web API at the address held in Aviva_PI_Base_Url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Pr>
                <w:rFonts w:ascii="Calibri" w:hAnsi="Calibri" w:cs="Calibri"/>
                <w:sz w:val="20"/>
              </w:rPr>
              <w:t xml:space="preserve">). </w:t>
            </w:r>
            <w:r w:rsidR="00144FA3">
              <w:rPr>
                <w:rFonts w:ascii="Calibri" w:hAnsi="Calibri" w:cs="Calibri"/>
                <w:sz w:val="20"/>
              </w:rPr>
              <w:t>The reads shall go in batches through the PI proxy function of the platform.</w:t>
            </w:r>
          </w:p>
        </w:tc>
      </w:tr>
      <w:tr w:rsidR="00873A53" w:rsidRPr="00C63A98" w14:paraId="3A0F7943" w14:textId="77777777" w:rsidTr="00FA3AEE">
        <w:trPr>
          <w:cantSplit/>
        </w:trPr>
        <w:tc>
          <w:tcPr>
            <w:tcW w:w="1498" w:type="dxa"/>
          </w:tcPr>
          <w:p w14:paraId="55CF9B12" w14:textId="77777777" w:rsidR="00873A53" w:rsidRPr="00C63A98" w:rsidRDefault="00873A53" w:rsidP="00C63A98">
            <w:pPr>
              <w:pStyle w:val="Tabletext"/>
              <w:rPr>
                <w:rFonts w:ascii="Calibri" w:hAnsi="Calibri" w:cs="Calibri"/>
                <w:sz w:val="20"/>
              </w:rPr>
            </w:pPr>
            <w:r w:rsidRPr="00C63A98">
              <w:rPr>
                <w:rFonts w:ascii="Calibri" w:hAnsi="Calibri" w:cs="Calibri"/>
                <w:sz w:val="20"/>
              </w:rPr>
              <w:t>AF server and database</w:t>
            </w:r>
          </w:p>
        </w:tc>
        <w:tc>
          <w:tcPr>
            <w:tcW w:w="3182" w:type="dxa"/>
          </w:tcPr>
          <w:p w14:paraId="187CEE6A"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PIAF-TTR, AF database \\PIAF-TTR\TTR_PROD</w:t>
            </w:r>
          </w:p>
        </w:tc>
        <w:tc>
          <w:tcPr>
            <w:tcW w:w="4680" w:type="dxa"/>
          </w:tcPr>
          <w:p w14:paraId="0BD30911" w14:textId="77777777" w:rsidR="00873A53" w:rsidRPr="00C63A98" w:rsidRDefault="00873A53" w:rsidP="00C63A98">
            <w:pPr>
              <w:pStyle w:val="Tabletext"/>
              <w:rPr>
                <w:rFonts w:ascii="Calibri" w:hAnsi="Calibri" w:cs="Calibri"/>
                <w:sz w:val="20"/>
              </w:rPr>
            </w:pPr>
            <w:r w:rsidRPr="00C63A98">
              <w:rPr>
                <w:rFonts w:ascii="Calibri" w:hAnsi="Calibri" w:cs="Calibri"/>
                <w:sz w:val="20"/>
              </w:rPr>
              <w:t>The production AF database of the Terminals PI System.</w:t>
            </w:r>
          </w:p>
        </w:tc>
      </w:tr>
      <w:tr w:rsidR="00F80961" w:rsidRPr="00C63A98" w14:paraId="481E1692" w14:textId="77777777" w:rsidTr="00FA3AEE">
        <w:trPr>
          <w:cantSplit/>
        </w:trPr>
        <w:tc>
          <w:tcPr>
            <w:tcW w:w="1498" w:type="dxa"/>
          </w:tcPr>
          <w:p w14:paraId="503DDC4C" w14:textId="2F520A0B" w:rsidR="00F80961" w:rsidRPr="00C63A98" w:rsidRDefault="00F80961" w:rsidP="00C63A98">
            <w:pPr>
              <w:pStyle w:val="Tabletext"/>
              <w:rPr>
                <w:rFonts w:ascii="Calibri" w:hAnsi="Calibri" w:cs="Calibri"/>
                <w:sz w:val="20"/>
              </w:rPr>
            </w:pPr>
            <w:r>
              <w:rPr>
                <w:rFonts w:ascii="Calibri" w:hAnsi="Calibri" w:cs="Calibri"/>
                <w:sz w:val="20"/>
              </w:rPr>
              <w:t>Terminals in scope</w:t>
            </w:r>
          </w:p>
        </w:tc>
        <w:tc>
          <w:tcPr>
            <w:tcW w:w="3182" w:type="dxa"/>
          </w:tcPr>
          <w:p w14:paraId="70392F71" w14:textId="79581877" w:rsidR="00F80961" w:rsidRPr="00C63A98" w:rsidRDefault="00F80961" w:rsidP="00C63A98">
            <w:pPr>
              <w:pStyle w:val="Tabletext"/>
              <w:rPr>
                <w:rFonts w:ascii="Calibri" w:hAnsi="Calibri" w:cs="Calibri"/>
                <w:sz w:val="20"/>
              </w:rPr>
            </w:pPr>
            <w:r>
              <w:rPr>
                <w:rFonts w:ascii="Calibri" w:hAnsi="Calibri" w:cs="Calibri"/>
                <w:sz w:val="20"/>
              </w:rPr>
              <w:t>19 terminals with injector quality tags</w:t>
            </w:r>
          </w:p>
        </w:tc>
        <w:tc>
          <w:tcPr>
            <w:tcW w:w="4680" w:type="dxa"/>
          </w:tcPr>
          <w:p w14:paraId="5CDDE81A" w14:textId="2B75B06E" w:rsidR="00F80961" w:rsidRPr="00C63A98" w:rsidRDefault="00F80961" w:rsidP="00C63A98">
            <w:pPr>
              <w:pStyle w:val="Tabletext"/>
              <w:rPr>
                <w:rFonts w:ascii="Calibri" w:hAnsi="Calibri" w:cs="Calibri"/>
                <w:sz w:val="20"/>
              </w:rPr>
            </w:pPr>
            <w:r>
              <w:rPr>
                <w:rFonts w:ascii="Calibri" w:hAnsi="Calibri" w:cs="Calibri"/>
                <w:sz w:val="20"/>
              </w:rPr>
              <w:t xml:space="preserve">The analyzer qualities shall be read at the 19 terminals with injector quality tags: Kenova, Mt. Vernon, Bay City, Indianapolis, Lima, Louisville Algonquin, Louisville Kramers, North Muskegon, Speedway, Pasco, Charlotte East, Lansing, Lexington, Muncie, Nashville 51st, Selma Buffalo, Selma West Oak, Tampa and Boise. </w:t>
            </w:r>
            <w:r w:rsidR="004812A6">
              <w:rPr>
                <w:rFonts w:ascii="Calibri" w:hAnsi="Calibri" w:cs="Calibri"/>
                <w:sz w:val="20"/>
              </w:rPr>
              <w:t xml:space="preserve">The flows shall be read only for the terminals and blend components on the PIAF flow list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sidR="004812A6">
              <w:rPr>
                <w:rFonts w:ascii="Calibri" w:hAnsi="Calibri" w:cs="Calibri"/>
                <w:sz w:val="20"/>
              </w:rPr>
              <w:t>).</w:t>
            </w:r>
          </w:p>
        </w:tc>
      </w:tr>
      <w:tr w:rsidR="00873A53" w:rsidRPr="00C63A98" w14:paraId="6641CBD2" w14:textId="77777777" w:rsidTr="00FA3AEE">
        <w:trPr>
          <w:cantSplit/>
        </w:trPr>
        <w:tc>
          <w:tcPr>
            <w:tcW w:w="1498" w:type="dxa"/>
          </w:tcPr>
          <w:p w14:paraId="7EABDFFE" w14:textId="77777777" w:rsidR="00873A53" w:rsidRPr="00C63A98" w:rsidRDefault="00873A53" w:rsidP="00C63A98">
            <w:pPr>
              <w:pStyle w:val="Tabletext"/>
              <w:rPr>
                <w:rFonts w:ascii="Calibri" w:hAnsi="Calibri" w:cs="Calibri"/>
                <w:sz w:val="20"/>
              </w:rPr>
            </w:pPr>
            <w:r w:rsidRPr="00C63A98">
              <w:rPr>
                <w:rFonts w:ascii="Calibri" w:hAnsi="Calibri" w:cs="Calibri"/>
                <w:sz w:val="20"/>
              </w:rPr>
              <w:t>Attribute path</w:t>
            </w:r>
          </w:p>
        </w:tc>
        <w:tc>
          <w:tcPr>
            <w:tcW w:w="3182" w:type="dxa"/>
          </w:tcPr>
          <w:p w14:paraId="22BD1F9E" w14:textId="77777777" w:rsidR="00873A53" w:rsidRPr="00C63A98" w:rsidRDefault="00873A53" w:rsidP="00C63A98">
            <w:pPr>
              <w:pStyle w:val="Tabletext"/>
              <w:rPr>
                <w:rFonts w:ascii="Calibri" w:hAnsi="Calibri" w:cs="Calibri"/>
                <w:sz w:val="20"/>
              </w:rPr>
            </w:pPr>
            <w:r w:rsidRPr="00C63A98">
              <w:rPr>
                <w:rFonts w:ascii="Calibri" w:hAnsi="Calibri" w:cs="Calibri"/>
                <w:sz w:val="20"/>
              </w:rPr>
              <w:t>\</w:t>
            </w:r>
            <w:r>
              <w:rPr>
                <w:rFonts w:ascii="Calibri" w:hAnsi="Calibri" w:cs="Calibri"/>
                <w:sz w:val="20"/>
              </w:rPr>
              <w:t>\PIAF-TTR\TTR_PROD\Terminals\&lt;terminal&gt;\&lt;element path&gt;|&lt;attribute&gt;</w:t>
            </w:r>
          </w:p>
        </w:tc>
        <w:tc>
          <w:tcPr>
            <w:tcW w:w="4680" w:type="dxa"/>
          </w:tcPr>
          <w:p w14:paraId="4C72AC1E" w14:textId="0F497099" w:rsidR="00873A53" w:rsidRPr="00C63A98" w:rsidRDefault="00873A53" w:rsidP="00C63A98">
            <w:pPr>
              <w:pStyle w:val="Tabletext"/>
              <w:rPr>
                <w:rFonts w:ascii="Calibri" w:hAnsi="Calibri" w:cs="Calibri"/>
                <w:sz w:val="20"/>
              </w:rPr>
            </w:pPr>
            <w:r w:rsidRPr="00C63A98">
              <w:rPr>
                <w:rFonts w:ascii="Calibri" w:hAnsi="Calibri" w:cs="Calibri"/>
                <w:sz w:val="20"/>
              </w:rPr>
              <w:t xml:space="preserve">Each value is an attribute of a terminal element, addressed by its AF path, for example \\PIAF-TTR\TTR_PROD\Terminals\Lima\Meters|Daily Transmix Throughput. An injector attribute adds one level, for example \\PIAF-TTR\TTR_PROD\Terminals\Lima\__Butane Blending|Injector 1|Butane Volume Daily Totalizer. </w:t>
            </w:r>
            <w:r>
              <w:rPr>
                <w:rFonts w:ascii="Calibri" w:hAnsi="Calibri" w:cs="Calibri"/>
                <w:sz w:val="20"/>
              </w:rPr>
              <w:t>The integration shall first get the attribute's identifier (WebId) from {Aviva_PI_Base_Url}/attributes?path=&lt;attribute path&gt;.</w:t>
            </w:r>
          </w:p>
        </w:tc>
      </w:tr>
      <w:tr w:rsidR="00873A53" w:rsidRPr="00C63A98" w14:paraId="3206EB17" w14:textId="77777777" w:rsidTr="00FA3AEE">
        <w:trPr>
          <w:cantSplit/>
        </w:trPr>
        <w:tc>
          <w:tcPr>
            <w:tcW w:w="1498" w:type="dxa"/>
          </w:tcPr>
          <w:p w14:paraId="053517BA" w14:textId="77777777" w:rsidR="00873A53" w:rsidRPr="00C63A98" w:rsidRDefault="00873A53" w:rsidP="00C63A98">
            <w:pPr>
              <w:pStyle w:val="Tabletext"/>
              <w:rPr>
                <w:rFonts w:ascii="Calibri" w:hAnsi="Calibri" w:cs="Calibri"/>
                <w:sz w:val="20"/>
              </w:rPr>
            </w:pPr>
            <w:r w:rsidRPr="00C63A98">
              <w:rPr>
                <w:rFonts w:ascii="Calibri" w:hAnsi="Calibri" w:cs="Calibri"/>
                <w:sz w:val="20"/>
              </w:rPr>
              <w:t>Interpolated read</w:t>
            </w:r>
          </w:p>
        </w:tc>
        <w:tc>
          <w:tcPr>
            <w:tcW w:w="3182" w:type="dxa"/>
          </w:tcPr>
          <w:p w14:paraId="60DBE547" w14:textId="77777777" w:rsidR="00873A53" w:rsidRPr="00C63A98" w:rsidRDefault="00873A53" w:rsidP="00C63A98">
            <w:pPr>
              <w:pStyle w:val="Tabletext"/>
              <w:rPr>
                <w:rFonts w:ascii="Calibri" w:hAnsi="Calibri" w:cs="Calibri"/>
                <w:sz w:val="20"/>
              </w:rPr>
            </w:pPr>
            <w:r w:rsidRPr="00C63A98">
              <w:rPr>
                <w:rFonts w:ascii="Calibri" w:hAnsi="Calibri" w:cs="Calibri"/>
                <w:sz w:val="20"/>
              </w:rPr>
              <w:t>{Aviva_PI_Base_Url}/streams/{WebId}/interpolatedattimes?time=</w:t>
            </w:r>
            <w:r>
              <w:rPr>
                <w:rFonts w:ascii="Calibri" w:hAnsi="Calibri" w:cs="Calibri"/>
                <w:sz w:val="20"/>
              </w:rPr>
              <w:t>&lt;time&gt;; {Aviva_PI_Base_Url}/streams/{WebId}/interpolated?startTime=&lt;from&gt;&amp;endTime=&lt;to&gt;&amp;interval=15m</w:t>
            </w:r>
          </w:p>
        </w:tc>
        <w:tc>
          <w:tcPr>
            <w:tcW w:w="4680" w:type="dxa"/>
          </w:tcPr>
          <w:p w14:paraId="6EF7C329" w14:textId="77777777" w:rsidR="00873A53" w:rsidRPr="00C63A98" w:rsidRDefault="00873A53" w:rsidP="00C63A98">
            <w:pPr>
              <w:pStyle w:val="Tabletext"/>
              <w:rPr>
                <w:rFonts w:ascii="Calibri" w:hAnsi="Calibri" w:cs="Calibri"/>
                <w:sz w:val="20"/>
              </w:rPr>
            </w:pPr>
            <w:r>
              <w:rPr>
                <w:rFonts w:ascii="Calibri" w:hAnsi="Calibri" w:cs="Calibri"/>
                <w:sz w:val="20"/>
              </w:rPr>
              <w:t>The value PI calculates for the requested time, stamped with that time. A time in the future returns No Data. The second form returns one value per interval, for example every 15 minutes; {Aviva_PI_Base_Url}/streamsets/interpolated reads several attributes in one call.</w:t>
            </w:r>
          </w:p>
        </w:tc>
      </w:tr>
      <w:tr w:rsidR="00873A53" w:rsidRPr="00C63A98" w14:paraId="4E773558" w14:textId="77777777" w:rsidTr="00FA3AEE">
        <w:trPr>
          <w:cantSplit/>
        </w:trPr>
        <w:tc>
          <w:tcPr>
            <w:tcW w:w="1498" w:type="dxa"/>
          </w:tcPr>
          <w:p w14:paraId="4E759A1C" w14:textId="77777777" w:rsidR="00873A53" w:rsidRPr="00C63A98" w:rsidRDefault="00873A53" w:rsidP="00C63A98">
            <w:pPr>
              <w:pStyle w:val="Tabletext"/>
              <w:rPr>
                <w:rFonts w:ascii="Calibri" w:hAnsi="Calibri" w:cs="Calibri"/>
                <w:sz w:val="20"/>
              </w:rPr>
            </w:pPr>
            <w:r w:rsidRPr="00C63A98">
              <w:rPr>
                <w:rFonts w:ascii="Calibri" w:hAnsi="Calibri" w:cs="Calibri"/>
                <w:sz w:val="20"/>
              </w:rPr>
              <w:t>Tag list</w:t>
            </w:r>
          </w:p>
        </w:tc>
        <w:tc>
          <w:tcPr>
            <w:tcW w:w="3182" w:type="dxa"/>
          </w:tcPr>
          <w:p w14:paraId="10A60C53" w14:textId="77777777" w:rsidR="00873A53" w:rsidRPr="00C63A98" w:rsidRDefault="00873A53" w:rsidP="00C63A98">
            <w:pPr>
              <w:pStyle w:val="Tabletext"/>
              <w:rPr>
                <w:rFonts w:ascii="Calibri" w:hAnsi="Calibri" w:cs="Calibri"/>
                <w:sz w:val="20"/>
              </w:rPr>
            </w:pPr>
            <w:r>
              <w:rPr>
                <w:rFonts w:ascii="Calibri" w:hAnsi="Calibri" w:cs="Calibri"/>
                <w:sz w:val="20"/>
              </w:rPr>
              <w:t>PI tag mapping</w:t>
            </w:r>
          </w:p>
        </w:tc>
        <w:tc>
          <w:tcPr>
            <w:tcW w:w="4680" w:type="dxa"/>
          </w:tcPr>
          <w:p w14:paraId="4D33920F" w14:textId="3179A6D2" w:rsidR="00873A53" w:rsidRPr="00C63A98" w:rsidRDefault="00873A53" w:rsidP="00C63A98">
            <w:pPr>
              <w:pStyle w:val="Tabletext"/>
              <w:rPr>
                <w:rFonts w:ascii="Calibri" w:hAnsi="Calibri" w:cs="Calibri"/>
                <w:sz w:val="20"/>
              </w:rPr>
            </w:pPr>
            <w:r>
              <w:rPr>
                <w:rFonts w:ascii="Calibri" w:hAnsi="Calibri" w:cs="Calibri"/>
                <w:sz w:val="20"/>
              </w:rPr>
              <w:t>The tags shall be held in Profisee as the tank, PI tag and property mapping and read through the Semantic Service. Where the PI tag mapping has no tag for a terminal, no row shall be produced.</w:t>
            </w:r>
          </w:p>
        </w:tc>
      </w:tr>
      <w:tr w:rsidR="00F80961" w:rsidRPr="00C63A98" w14:paraId="1E9A07D9" w14:textId="77777777" w:rsidTr="00FA3AEE">
        <w:trPr>
          <w:cantSplit/>
        </w:trPr>
        <w:tc>
          <w:tcPr>
            <w:tcW w:w="1498" w:type="dxa"/>
          </w:tcPr>
          <w:p w14:paraId="17A65875" w14:textId="6D3D4DEF" w:rsidR="00F80961" w:rsidRPr="00C63A98" w:rsidRDefault="00F80961" w:rsidP="00C63A98">
            <w:pPr>
              <w:pStyle w:val="Tabletext"/>
              <w:rPr>
                <w:rFonts w:ascii="Calibri" w:hAnsi="Calibri" w:cs="Calibri"/>
                <w:sz w:val="20"/>
              </w:rPr>
            </w:pPr>
            <w:r>
              <w:rPr>
                <w:rFonts w:ascii="Calibri" w:hAnsi="Calibri" w:cs="Calibri"/>
                <w:sz w:val="20"/>
              </w:rPr>
              <w:t>Tag check</w:t>
            </w:r>
          </w:p>
        </w:tc>
        <w:tc>
          <w:tcPr>
            <w:tcW w:w="3182" w:type="dxa"/>
          </w:tcPr>
          <w:p w14:paraId="639C3DA5" w14:textId="63E3CB00" w:rsidR="00F80961" w:rsidRDefault="00F80961" w:rsidP="00C63A98">
            <w:pPr>
              <w:pStyle w:val="Tabletext"/>
              <w:rPr>
                <w:rFonts w:ascii="Calibri" w:hAnsi="Calibri" w:cs="Calibri"/>
                <w:sz w:val="20"/>
              </w:rPr>
            </w:pPr>
            <w:r>
              <w:rPr>
                <w:rFonts w:ascii="Calibri" w:hAnsi="Calibri" w:cs="Calibri"/>
                <w:sz w:val="20"/>
              </w:rPr>
              <w:t>Every tag path checked against PI Asset Framework</w:t>
            </w:r>
          </w:p>
        </w:tc>
        <w:tc>
          <w:tcPr>
            <w:tcW w:w="4680" w:type="dxa"/>
          </w:tcPr>
          <w:p w14:paraId="7BF5C52B" w14:textId="53ED50E7" w:rsidR="00F80961" w:rsidRDefault="00F80961" w:rsidP="00C63A98">
            <w:pPr>
              <w:pStyle w:val="Tabletext"/>
              <w:rPr>
                <w:rFonts w:ascii="Calibri" w:hAnsi="Calibri" w:cs="Calibri"/>
                <w:sz w:val="20"/>
              </w:rPr>
            </w:pPr>
            <w:r>
              <w:rPr>
                <w:rFonts w:ascii="Calibri" w:hAnsi="Calibri" w:cs="Calibri"/>
                <w:sz w:val="20"/>
              </w:rPr>
              <w:t>Before a tag is put in a batch, the integration shall check that its path exists in PI Asset Framework. A path that does not exist shall be left out of the read, reported in a business error notification and corrected in the PI tag mapping in Profisee. When a batch read fails, the batch shall be split until the failing tag is found, and the other tags shall still be read.</w:t>
            </w:r>
          </w:p>
        </w:tc>
      </w:tr>
      <w:tr w:rsidR="00873A53" w:rsidRPr="00C63A98" w14:paraId="7D90727A" w14:textId="77777777" w:rsidTr="00FA3AEE">
        <w:trPr>
          <w:cantSplit/>
        </w:trPr>
        <w:tc>
          <w:tcPr>
            <w:tcW w:w="1498" w:type="dxa"/>
          </w:tcPr>
          <w:p w14:paraId="6E25D4D5" w14:textId="77777777" w:rsidR="00873A53" w:rsidRPr="00C63A98" w:rsidRDefault="00873A53" w:rsidP="00C63A98">
            <w:pPr>
              <w:pStyle w:val="Tabletext"/>
              <w:rPr>
                <w:rFonts w:ascii="Calibri" w:hAnsi="Calibri" w:cs="Calibri"/>
                <w:sz w:val="20"/>
              </w:rPr>
            </w:pPr>
            <w:r w:rsidRPr="00C63A98">
              <w:rPr>
                <w:rFonts w:ascii="Calibri" w:hAnsi="Calibri" w:cs="Calibri"/>
                <w:sz w:val="20"/>
              </w:rPr>
              <w:t>Read kind</w:t>
            </w:r>
          </w:p>
        </w:tc>
        <w:tc>
          <w:tcPr>
            <w:tcW w:w="3182" w:type="dxa"/>
          </w:tcPr>
          <w:p w14:paraId="3C62E996" w14:textId="77777777" w:rsidR="00873A53" w:rsidRPr="00C63A98" w:rsidRDefault="00873A53" w:rsidP="00C63A98">
            <w:pPr>
              <w:pStyle w:val="Tabletext"/>
              <w:rPr>
                <w:rFonts w:ascii="Calibri" w:hAnsi="Calibri" w:cs="Calibri"/>
                <w:sz w:val="20"/>
              </w:rPr>
            </w:pPr>
            <w:r>
              <w:rPr>
                <w:rFonts w:ascii="Calibri" w:hAnsi="Calibri" w:cs="Calibri"/>
                <w:sz w:val="20"/>
              </w:rPr>
              <w:t>Interpolated</w:t>
            </w:r>
          </w:p>
        </w:tc>
        <w:tc>
          <w:tcPr>
            <w:tcW w:w="4680" w:type="dxa"/>
          </w:tcPr>
          <w:p w14:paraId="39A80339" w14:textId="222AE155" w:rsidR="00873A53" w:rsidRPr="00C63A98" w:rsidRDefault="0023739F" w:rsidP="00C63A98">
            <w:pPr>
              <w:pStyle w:val="Tabletext"/>
              <w:rPr>
                <w:rFonts w:ascii="Calibri" w:hAnsi="Calibri" w:cs="Calibri"/>
                <w:sz w:val="20"/>
              </w:rPr>
            </w:pPr>
            <w:r>
              <w:rPr>
                <w:rFonts w:ascii="Calibri" w:hAnsi="Calibri" w:cs="Calibri"/>
                <w:sz w:val="20"/>
              </w:rPr>
              <w:t>Every PI value shall be interpolated. The analyzer qualities shall be read at 15-minute intervals. Each daily flow shall be read once a day, as one value at the read time set for its totalizer.</w:t>
            </w:r>
          </w:p>
        </w:tc>
      </w:tr>
      <w:tr w:rsidR="00873A53" w:rsidRPr="00C63A98" w14:paraId="68BF1E3C" w14:textId="77777777" w:rsidTr="00FA3AEE">
        <w:trPr>
          <w:cantSplit/>
        </w:trPr>
        <w:tc>
          <w:tcPr>
            <w:tcW w:w="1498" w:type="dxa"/>
          </w:tcPr>
          <w:p w14:paraId="2984AB2E"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 basis</w:t>
            </w:r>
          </w:p>
        </w:tc>
        <w:tc>
          <w:tcPr>
            <w:tcW w:w="3182" w:type="dxa"/>
          </w:tcPr>
          <w:p w14:paraId="61A7DD19"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 zone of the terminal, from Profisee</w:t>
            </w:r>
          </w:p>
        </w:tc>
        <w:tc>
          <w:tcPr>
            <w:tcW w:w="4680" w:type="dxa"/>
          </w:tcPr>
          <w:p w14:paraId="7FD9FCAB" w14:textId="51C8DE97" w:rsidR="00873A53" w:rsidRPr="00C63A98" w:rsidRDefault="00873A53" w:rsidP="00C63A98">
            <w:pPr>
              <w:pStyle w:val="Tabletext"/>
              <w:rPr>
                <w:rFonts w:ascii="Calibri" w:hAnsi="Calibri" w:cs="Calibri"/>
                <w:sz w:val="20"/>
              </w:rPr>
            </w:pPr>
            <w:r>
              <w:rPr>
                <w:rFonts w:ascii="Calibri" w:hAnsi="Calibri" w:cs="Calibri"/>
                <w:sz w:val="20"/>
              </w:rPr>
              <w:t xml:space="preserve">Every time sent to PI and every time stored shall be in UTC. </w:t>
            </w:r>
            <w:r w:rsidR="009C3F56">
              <w:rPr>
                <w:rFonts w:ascii="Calibri" w:hAnsi="Calibri" w:cs="Calibri"/>
                <w:sz w:val="20"/>
              </w:rPr>
              <w:t>The time zone of the terminal shall set the day boundaries of the analyzer qualities. When a terminal has no time zone in Profisee, its analyzer qualities shall not be stored, and an MDM error notification shall be sent.</w:t>
            </w:r>
            <w:r w:rsidR="004812A6">
              <w:rPr>
                <w:rFonts w:ascii="Calibri" w:hAnsi="Calibri" w:cs="Calibri"/>
                <w:sz w:val="20"/>
              </w:rPr>
              <w:t xml:space="preserve"> For the flows, </w:t>
            </w:r>
            <w:r w:rsidR="00140DC0">
              <w:rPr>
                <w:rFonts w:ascii="Calibri" w:hAnsi="Calibri" w:cs="Calibri"/>
                <w:sz w:val="20"/>
              </w:rPr>
              <w:t xml:space="preserve">the reset time of each totalizer shall set the day boundaries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sidR="00140DC0">
              <w:rPr>
                <w:rFonts w:ascii="Calibri" w:hAnsi="Calibri" w:cs="Calibri"/>
                <w:sz w:val="20"/>
              </w:rPr>
              <w:t>).</w:t>
            </w:r>
            <w:r>
              <w:rPr>
                <w:rFonts w:ascii="Calibri" w:hAnsi="Calibri" w:cs="Calibri"/>
                <w:sz w:val="20"/>
              </w:rPr>
              <w:t xml:space="preserve"> </w:t>
            </w:r>
            <w:r w:rsidR="006B25DD">
              <w:rPr>
                <w:rFonts w:ascii="Calibri" w:hAnsi="Calibri" w:cs="Calibri"/>
                <w:sz w:val="20"/>
              </w:rPr>
              <w:t xml:space="preserve">The reset time and the read time of each totalizer shall be held per totalizer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sidR="006B25DD">
              <w:rPr>
                <w:rFonts w:ascii="Calibri" w:hAnsi="Calibri" w:cs="Calibri"/>
                <w:sz w:val="20"/>
              </w:rPr>
              <w:t>).</w:t>
            </w:r>
          </w:p>
        </w:tc>
      </w:tr>
      <w:tr w:rsidR="00873A53" w:rsidRPr="00C63A98" w14:paraId="304B0A5E" w14:textId="77777777" w:rsidTr="00FA3AEE">
        <w:trPr>
          <w:cantSplit/>
        </w:trPr>
        <w:tc>
          <w:tcPr>
            <w:tcW w:w="1498" w:type="dxa"/>
          </w:tcPr>
          <w:p w14:paraId="06F7D637" w14:textId="77777777" w:rsidR="00873A53" w:rsidRPr="00C63A98" w:rsidRDefault="00873A53" w:rsidP="00C63A98">
            <w:pPr>
              <w:pStyle w:val="Tabletext"/>
              <w:rPr>
                <w:rFonts w:ascii="Calibri" w:hAnsi="Calibri" w:cs="Calibri"/>
                <w:sz w:val="20"/>
              </w:rPr>
            </w:pPr>
            <w:r w:rsidRPr="00C63A98">
              <w:rPr>
                <w:rFonts w:ascii="Calibri" w:hAnsi="Calibri" w:cs="Calibri"/>
                <w:sz w:val="20"/>
              </w:rPr>
              <w:t>Value check</w:t>
            </w:r>
          </w:p>
        </w:tc>
        <w:tc>
          <w:tcPr>
            <w:tcW w:w="3182" w:type="dxa"/>
          </w:tcPr>
          <w:p w14:paraId="6CE1BD77" w14:textId="22CEB665" w:rsidR="00873A53" w:rsidRPr="00C63A98" w:rsidRDefault="00873A53" w:rsidP="00C63A98">
            <w:pPr>
              <w:pStyle w:val="Tabletext"/>
              <w:rPr>
                <w:rFonts w:ascii="Calibri" w:hAnsi="Calibri" w:cs="Calibri"/>
                <w:sz w:val="20"/>
              </w:rPr>
            </w:pPr>
            <w:r>
              <w:rPr>
                <w:rFonts w:ascii="Calibri" w:hAnsi="Calibri" w:cs="Calibri"/>
                <w:sz w:val="20"/>
              </w:rPr>
              <w:t>Only values that PI marks good shall be kept</w:t>
            </w:r>
          </w:p>
        </w:tc>
        <w:tc>
          <w:tcPr>
            <w:tcW w:w="4680" w:type="dxa"/>
          </w:tcPr>
          <w:p w14:paraId="2B2E74FE" w14:textId="0AF3373A" w:rsidR="00873A53" w:rsidRPr="00C63A98" w:rsidRDefault="00F80961" w:rsidP="00C63A98">
            <w:pPr>
              <w:pStyle w:val="Tabletext"/>
              <w:rPr>
                <w:rFonts w:ascii="Calibri" w:hAnsi="Calibri" w:cs="Calibri"/>
                <w:sz w:val="20"/>
              </w:rPr>
            </w:pPr>
            <w:r>
              <w:rPr>
                <w:rFonts w:ascii="Calibri" w:hAnsi="Calibri" w:cs="Calibri"/>
                <w:sz w:val="20"/>
              </w:rPr>
              <w:t xml:space="preserve">A value that PI marks Questionable shall be treated as not good. A system state, such as No Data, Bad, Out of Serv, Comm Fail or Configure, shall not be stored. It shall never be stored as zero either. The integration shall read the injector's Blending Enabled attribute with the qualities. </w:t>
            </w:r>
            <w:r w:rsidR="009C3F56">
              <w:rPr>
                <w:rFonts w:ascii="Calibri" w:hAnsi="Calibri" w:cs="Calibri"/>
                <w:sz w:val="20"/>
              </w:rPr>
              <w:t>When it shows Disabled, the qualities of that time shall not be stored, even when PI marks them good. When its state at that time is not known, the qualities of that time shall not be stored either.</w:t>
            </w:r>
            <w:r>
              <w:rPr>
                <w:rFonts w:ascii="Calibri" w:hAnsi="Calibri" w:cs="Calibri"/>
                <w:sz w:val="20"/>
              </w:rPr>
              <w:t xml:space="preserve"> An attribute whose data reference has no PI point, such as T10 at Lima injector 1, shall give no reading.</w:t>
            </w:r>
          </w:p>
        </w:tc>
      </w:tr>
      <w:tr w:rsidR="00873A53" w:rsidRPr="00C63A98" w14:paraId="7EFE6EEC" w14:textId="77777777" w:rsidTr="00FA3AEE">
        <w:trPr>
          <w:cantSplit/>
        </w:trPr>
        <w:tc>
          <w:tcPr>
            <w:tcW w:w="1498" w:type="dxa"/>
          </w:tcPr>
          <w:p w14:paraId="49D986AC" w14:textId="77777777" w:rsidR="00873A53" w:rsidRDefault="00873A53" w:rsidP="00C63A98">
            <w:pPr>
              <w:pStyle w:val="Tabletext"/>
              <w:rPr>
                <w:rFonts w:ascii="Calibri" w:hAnsi="Calibri" w:cs="Calibri"/>
                <w:sz w:val="20"/>
              </w:rPr>
            </w:pPr>
            <w:r>
              <w:rPr>
                <w:rFonts w:ascii="Calibri" w:hAnsi="Calibri" w:cs="Calibri"/>
                <w:sz w:val="20"/>
              </w:rPr>
              <w:t>Change check</w:t>
            </w:r>
          </w:p>
        </w:tc>
        <w:tc>
          <w:tcPr>
            <w:tcW w:w="3182" w:type="dxa"/>
          </w:tcPr>
          <w:p w14:paraId="39105C1C" w14:textId="01B7D242" w:rsidR="00873A53" w:rsidRDefault="004812A6" w:rsidP="00C63A98">
            <w:pPr>
              <w:pStyle w:val="Tabletext"/>
              <w:rPr>
                <w:rFonts w:ascii="Calibri" w:hAnsi="Calibri" w:cs="Calibri"/>
                <w:sz w:val="20"/>
              </w:rPr>
            </w:pPr>
            <w:r>
              <w:rPr>
                <w:rFonts w:ascii="Calibri" w:hAnsi="Calibri" w:cs="Calibri"/>
                <w:sz w:val="20"/>
              </w:rPr>
              <w:t>Changed values only (analyzer qualities)</w:t>
            </w:r>
          </w:p>
        </w:tc>
        <w:tc>
          <w:tcPr>
            <w:tcW w:w="4680" w:type="dxa"/>
          </w:tcPr>
          <w:p w14:paraId="43AA8007" w14:textId="3317CCCD" w:rsidR="00873A53" w:rsidRDefault="006B25DD" w:rsidP="00C63A98">
            <w:pPr>
              <w:pStyle w:val="Tabletext"/>
              <w:rPr>
                <w:rFonts w:ascii="Calibri" w:hAnsi="Calibri" w:cs="Calibri"/>
                <w:sz w:val="20"/>
              </w:rPr>
            </w:pPr>
            <w:r>
              <w:rPr>
                <w:rFonts w:ascii="Calibri" w:hAnsi="Calibri" w:cs="Calibri"/>
                <w:sz w:val="20"/>
              </w:rPr>
              <w:t>Each run shall compare every analyzer quality it reads with the last value saved for the same tag in the VCB table and shall save it only if it has changed. Each daily flow shall always be saved, one row per totalizer and day.</w:t>
            </w:r>
          </w:p>
        </w:tc>
      </w:tr>
      <w:tr w:rsidR="00873A53" w:rsidRPr="00C63A98" w14:paraId="4A1751C6" w14:textId="77777777" w:rsidTr="00FA3AEE">
        <w:trPr>
          <w:cantSplit/>
        </w:trPr>
        <w:tc>
          <w:tcPr>
            <w:tcW w:w="1498" w:type="dxa"/>
          </w:tcPr>
          <w:p w14:paraId="01F24089" w14:textId="77777777" w:rsidR="00873A53" w:rsidRDefault="00873A53" w:rsidP="00C63A98">
            <w:pPr>
              <w:pStyle w:val="Tabletext"/>
              <w:rPr>
                <w:rFonts w:ascii="Calibri" w:hAnsi="Calibri" w:cs="Calibri"/>
                <w:sz w:val="20"/>
              </w:rPr>
            </w:pPr>
            <w:r>
              <w:rPr>
                <w:rFonts w:ascii="Calibri" w:hAnsi="Calibri" w:cs="Calibri"/>
                <w:sz w:val="20"/>
              </w:rPr>
              <w:t>Saved row</w:t>
            </w:r>
          </w:p>
        </w:tc>
        <w:tc>
          <w:tcPr>
            <w:tcW w:w="3182" w:type="dxa"/>
          </w:tcPr>
          <w:p w14:paraId="45A2715B" w14:textId="77777777" w:rsidR="00873A53" w:rsidRDefault="00873A53" w:rsidP="00C63A98">
            <w:pPr>
              <w:pStyle w:val="Tabletext"/>
              <w:rPr>
                <w:rFonts w:ascii="Calibri" w:hAnsi="Calibri" w:cs="Calibri"/>
                <w:sz w:val="20"/>
              </w:rPr>
            </w:pPr>
            <w:r>
              <w:rPr>
                <w:rFonts w:ascii="Calibri" w:hAnsi="Calibri" w:cs="Calibri"/>
                <w:sz w:val="20"/>
              </w:rPr>
              <w:t>One row per location, equipment, property, material and value time stamp</w:t>
            </w:r>
          </w:p>
        </w:tc>
        <w:tc>
          <w:tcPr>
            <w:tcW w:w="4680" w:type="dxa"/>
          </w:tcPr>
          <w:p w14:paraId="03E382A3" w14:textId="2DECC0A1" w:rsidR="00873A53" w:rsidRDefault="00140DC0" w:rsidP="00C63A98">
            <w:pPr>
              <w:pStyle w:val="Tabletext"/>
              <w:rPr>
                <w:rFonts w:ascii="Calibri" w:hAnsi="Calibri" w:cs="Calibri"/>
                <w:sz w:val="20"/>
              </w:rPr>
            </w:pPr>
            <w:r>
              <w:rPr>
                <w:rFonts w:ascii="Calibri" w:hAnsi="Calibri" w:cs="Calibri"/>
                <w:sz w:val="20"/>
              </w:rPr>
              <w:t xml:space="preserve">Rows shall be saved under the composite key of the response model (Table </w:t>
            </w:r>
            <w:r w:rsidR="00FC42E7">
              <w:rPr>
                <w:rFonts w:ascii="Calibri" w:hAnsi="Calibri" w:cs="Calibri"/>
                <w:sz w:val="20"/>
              </w:rPr>
              <w:fldChar w:fldCharType="begin"/>
            </w:r>
            <w:r w:rsidR="00FC42E7">
              <w:rPr>
                <w:rFonts w:ascii="Calibri" w:hAnsi="Calibri" w:cs="Calibri"/>
                <w:sz w:val="20"/>
              </w:rPr>
              <w:instrText xml:space="preserve"> REF _Ref917260923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2-13</w:t>
            </w:r>
            <w:r w:rsidR="00FC42E7">
              <w:rPr>
                <w:rFonts w:ascii="Calibri" w:hAnsi="Calibri" w:cs="Calibri"/>
                <w:sz w:val="20"/>
              </w:rPr>
              <w:fldChar w:fldCharType="end"/>
            </w:r>
            <w:r>
              <w:rPr>
                <w:rFonts w:ascii="Calibri" w:hAnsi="Calibri" w:cs="Calibri"/>
                <w:sz w:val="20"/>
              </w:rPr>
              <w:t>). The analyzer</w:t>
            </w:r>
            <w:r w:rsidR="00873A53">
              <w:rPr>
                <w:rFonts w:ascii="Calibri" w:hAnsi="Calibri" w:cs="Calibri"/>
                <w:sz w:val="20"/>
              </w:rPr>
              <w:t xml:space="preserve"> qualities and the daily flows shall be saved in the same way.</w:t>
            </w:r>
          </w:p>
        </w:tc>
      </w:tr>
      <w:tr w:rsidR="00873A53" w:rsidRPr="00C63A98" w14:paraId="34C43309" w14:textId="77777777" w:rsidTr="00FA3AEE">
        <w:trPr>
          <w:cantSplit/>
        </w:trPr>
        <w:tc>
          <w:tcPr>
            <w:tcW w:w="1498" w:type="dxa"/>
          </w:tcPr>
          <w:p w14:paraId="7BA8F95C" w14:textId="77777777" w:rsidR="00873A53" w:rsidRPr="00C63A98" w:rsidRDefault="00873A53" w:rsidP="00C63A98">
            <w:pPr>
              <w:pStyle w:val="Tabletext"/>
              <w:rPr>
                <w:rFonts w:ascii="Calibri" w:hAnsi="Calibri" w:cs="Calibri"/>
                <w:sz w:val="20"/>
              </w:rPr>
            </w:pPr>
            <w:r>
              <w:rPr>
                <w:rFonts w:ascii="Calibri" w:hAnsi="Calibri" w:cs="Calibri"/>
                <w:sz w:val="20"/>
              </w:rPr>
              <w:t>Missed runs</w:t>
            </w:r>
          </w:p>
        </w:tc>
        <w:tc>
          <w:tcPr>
            <w:tcW w:w="3182" w:type="dxa"/>
          </w:tcPr>
          <w:p w14:paraId="1C7335DC" w14:textId="4CD328C5" w:rsidR="00873A53" w:rsidRPr="00C63A98" w:rsidRDefault="00F80961" w:rsidP="00C63A98">
            <w:pPr>
              <w:pStyle w:val="Tabletext"/>
              <w:rPr>
                <w:rFonts w:ascii="Calibri" w:hAnsi="Calibri" w:cs="Calibri"/>
                <w:sz w:val="20"/>
              </w:rPr>
            </w:pPr>
            <w:r>
              <w:rPr>
                <w:rFonts w:ascii="Calibri" w:hAnsi="Calibri" w:cs="Calibri"/>
                <w:sz w:val="20"/>
              </w:rPr>
              <w:t>Read from the end of the last period read in full</w:t>
            </w:r>
          </w:p>
        </w:tc>
        <w:tc>
          <w:tcPr>
            <w:tcW w:w="4680" w:type="dxa"/>
          </w:tcPr>
          <w:p w14:paraId="0AE60115" w14:textId="1BCA9A29" w:rsidR="00873A53" w:rsidRPr="00C63A98" w:rsidRDefault="004812A6" w:rsidP="00C63A98">
            <w:pPr>
              <w:pStyle w:val="Tabletext"/>
              <w:rPr>
                <w:rFonts w:ascii="Calibri" w:hAnsi="Calibri" w:cs="Calibri"/>
                <w:sz w:val="20"/>
              </w:rPr>
            </w:pPr>
            <w:r>
              <w:rPr>
                <w:rFonts w:ascii="Calibri" w:hAnsi="Calibri" w:cs="Calibri"/>
                <w:sz w:val="20"/>
              </w:rPr>
              <w:t xml:space="preserve">The offsets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Pr>
                <w:rFonts w:ascii="Calibri" w:hAnsi="Calibri" w:cs="Calibri"/>
                <w:sz w:val="20"/>
              </w:rPr>
              <w:t xml:space="preserve">) shall set the period of a scheduled run. The Request Service shall move the start of each terminal and data type (analyzer qualities or flows) back to the end of the last period read in full for it, </w:t>
            </w:r>
            <w:r w:rsidR="009C3F56">
              <w:rPr>
                <w:rFonts w:ascii="Calibri" w:hAnsi="Calibri" w:cs="Calibri"/>
                <w:sz w:val="20"/>
              </w:rPr>
              <w:t>by no more than the Catch-up Look-back. The save stored procedure shall record, with the rows, the period read in full for each terminal and data type.</w:t>
            </w:r>
            <w:r w:rsidR="00F80961">
              <w:rPr>
                <w:rFonts w:ascii="Calibri" w:hAnsi="Calibri" w:cs="Calibri"/>
                <w:sz w:val="20"/>
              </w:rPr>
              <w:t xml:space="preserve"> The last saved value shall not set the start, </w:t>
            </w:r>
            <w:r w:rsidR="008F2422">
              <w:rPr>
                <w:rFonts w:ascii="Calibri" w:hAnsi="Calibri" w:cs="Calibri"/>
                <w:sz w:val="20"/>
              </w:rPr>
              <w:t>because only changed analyzer qualities are saved.</w:t>
            </w:r>
            <w:r w:rsidR="00873A53">
              <w:rPr>
                <w:rFonts w:ascii="Calibri" w:hAnsi="Calibri" w:cs="Calibri"/>
                <w:sz w:val="20"/>
              </w:rPr>
              <w:t xml:space="preserve"> </w:t>
            </w:r>
            <w:r w:rsidR="0023739F">
              <w:rPr>
                <w:rFonts w:ascii="Calibri" w:hAnsi="Calibri" w:cs="Calibri"/>
                <w:sz w:val="20"/>
              </w:rPr>
              <w:t xml:space="preserve">If a value is not in PI yet, the next run shall read it. </w:t>
            </w:r>
            <w:r w:rsidR="006B25DD">
              <w:rPr>
                <w:rFonts w:ascii="Calibri" w:hAnsi="Calibri" w:cs="Calibri"/>
                <w:sz w:val="20"/>
              </w:rPr>
              <w:t>The first run shall read from the go-live day; no run, scheduled or on demand, shall load data from before the go-live day.</w:t>
            </w:r>
          </w:p>
        </w:tc>
      </w:tr>
      <w:tr w:rsidR="00873A53" w:rsidRPr="00C63A98" w14:paraId="6F66D99C" w14:textId="77777777" w:rsidTr="00FA3AEE">
        <w:trPr>
          <w:cantSplit/>
        </w:trPr>
        <w:tc>
          <w:tcPr>
            <w:tcW w:w="1498" w:type="dxa"/>
          </w:tcPr>
          <w:p w14:paraId="65E6A0C8" w14:textId="77777777" w:rsidR="00873A53" w:rsidRPr="00C63A98" w:rsidRDefault="00873A53" w:rsidP="00C63A98">
            <w:pPr>
              <w:pStyle w:val="Tabletext"/>
              <w:rPr>
                <w:rFonts w:ascii="Calibri" w:hAnsi="Calibri" w:cs="Calibri"/>
                <w:sz w:val="20"/>
              </w:rPr>
            </w:pPr>
            <w:r>
              <w:rPr>
                <w:rFonts w:ascii="Calibri" w:hAnsi="Calibri" w:cs="Calibri"/>
                <w:sz w:val="20"/>
              </w:rPr>
              <w:t>Load control</w:t>
            </w:r>
          </w:p>
        </w:tc>
        <w:tc>
          <w:tcPr>
            <w:tcW w:w="3182" w:type="dxa"/>
          </w:tcPr>
          <w:p w14:paraId="5BB3018E" w14:textId="77777777" w:rsidR="00873A53" w:rsidRPr="00C63A98" w:rsidRDefault="00873A53" w:rsidP="00C63A98">
            <w:pPr>
              <w:pStyle w:val="Tabletext"/>
              <w:rPr>
                <w:rFonts w:ascii="Calibri" w:hAnsi="Calibri" w:cs="Calibri"/>
                <w:sz w:val="20"/>
              </w:rPr>
            </w:pPr>
            <w:r>
              <w:rPr>
                <w:rFonts w:ascii="Calibri" w:hAnsi="Calibri" w:cs="Calibri"/>
                <w:sz w:val="20"/>
              </w:rPr>
              <w:t>Chunked reads, limited parallel calls, bulk save</w:t>
            </w:r>
          </w:p>
        </w:tc>
        <w:tc>
          <w:tcPr>
            <w:tcW w:w="4680" w:type="dxa"/>
          </w:tcPr>
          <w:p w14:paraId="7D4F89D0" w14:textId="20695956" w:rsidR="00873A53" w:rsidRDefault="0023739F" w:rsidP="00C63A98">
            <w:pPr>
              <w:pStyle w:val="Tabletext"/>
              <w:rPr>
                <w:rFonts w:ascii="Calibri" w:hAnsi="Calibri" w:cs="Calibri"/>
                <w:sz w:val="20"/>
              </w:rPr>
            </w:pPr>
            <w:r>
              <w:rPr>
                <w:rFonts w:ascii="Calibri" w:hAnsi="Calibri" w:cs="Calibri"/>
                <w:sz w:val="20"/>
              </w:rPr>
              <w:t>The 15-minute read of the analyzer qualities and the daily read of the flows shall be split</w:t>
            </w:r>
            <w:r w:rsidR="00873A53">
              <w:rPr>
                <w:rFonts w:ascii="Calibri" w:hAnsi="Calibri" w:cs="Calibri"/>
                <w:sz w:val="20"/>
              </w:rPr>
              <w:t xml:space="preserve"> into chunks by tags and period. PI Batch Size and PI Batch Date Range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sidR="00873A53">
              <w:rPr>
                <w:rFonts w:ascii="Calibri" w:hAnsi="Calibri" w:cs="Calibri"/>
                <w:sz w:val="20"/>
              </w:rPr>
              <w:t xml:space="preserve">) shall set this split. Each chunk shall stay within the value limit set on the PI Web API. Only a set number of PI calls shall run at once across the integration. A large result shall pass to the next service as a blob storage reference, not inside the queue message. </w:t>
            </w:r>
            <w:r w:rsidR="00D87FC6">
              <w:rPr>
                <w:rFonts w:ascii="Calibri" w:hAnsi="Calibri" w:cs="Calibri"/>
                <w:sz w:val="20"/>
              </w:rPr>
              <w:t>The days of one request, set by the Batch Duration setting, shall be saved in one bulk call;</w:t>
            </w:r>
            <w:r w:rsidR="00873A53">
              <w:rPr>
                <w:rFonts w:ascii="Calibri" w:hAnsi="Calibri" w:cs="Calibri"/>
                <w:sz w:val="20"/>
              </w:rPr>
              <w:t xml:space="preserve"> re-running a period shall create no duplicates. Values read and rows saved shall be logged per run.</w:t>
            </w:r>
          </w:p>
        </w:tc>
      </w:tr>
      <w:tr w:rsidR="00F80961" w:rsidRPr="00C63A98" w14:paraId="3E77F4B3" w14:textId="77777777" w:rsidTr="00FA3AEE">
        <w:trPr>
          <w:cantSplit/>
        </w:trPr>
        <w:tc>
          <w:tcPr>
            <w:tcW w:w="1498" w:type="dxa"/>
          </w:tcPr>
          <w:p w14:paraId="29CEA373" w14:textId="70C09886" w:rsidR="00F80961" w:rsidRPr="00C63A98" w:rsidRDefault="00F80961" w:rsidP="00C63A98">
            <w:pPr>
              <w:pStyle w:val="Tabletext"/>
              <w:rPr>
                <w:rFonts w:ascii="Calibri" w:hAnsi="Calibri" w:cs="Calibri"/>
                <w:sz w:val="20"/>
              </w:rPr>
            </w:pPr>
            <w:r>
              <w:rPr>
                <w:rFonts w:ascii="Calibri" w:hAnsi="Calibri" w:cs="Calibri"/>
                <w:sz w:val="20"/>
              </w:rPr>
              <w:t>Error handling</w:t>
            </w:r>
          </w:p>
        </w:tc>
        <w:tc>
          <w:tcPr>
            <w:tcW w:w="3182" w:type="dxa"/>
          </w:tcPr>
          <w:p w14:paraId="77614605" w14:textId="145CFACC" w:rsidR="00F80961" w:rsidRPr="00C63A98" w:rsidRDefault="00B63412" w:rsidP="00C63A98">
            <w:pPr>
              <w:pStyle w:val="Tabletext"/>
              <w:rPr>
                <w:rFonts w:ascii="Calibri" w:hAnsi="Calibri" w:cs="Calibri"/>
                <w:sz w:val="20"/>
              </w:rPr>
            </w:pPr>
            <w:r>
              <w:rPr>
                <w:rFonts w:ascii="Calibri" w:hAnsi="Calibri" w:cs="Calibri"/>
                <w:sz w:val="20"/>
              </w:rPr>
              <w:t xml:space="preserve">Notification for each error case (Table </w:t>
            </w:r>
            <w:r w:rsidR="00FC42E7">
              <w:rPr>
                <w:rFonts w:ascii="Calibri" w:hAnsi="Calibri" w:cs="Calibri"/>
                <w:sz w:val="20"/>
              </w:rPr>
              <w:fldChar w:fldCharType="begin"/>
            </w:r>
            <w:r w:rsidR="00FC42E7">
              <w:rPr>
                <w:rFonts w:ascii="Calibri" w:hAnsi="Calibri" w:cs="Calibri"/>
                <w:sz w:val="20"/>
              </w:rPr>
              <w:instrText xml:space="preserve"> REF _Ref917260946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2-51</w:t>
            </w:r>
            <w:r w:rsidR="00FC42E7">
              <w:rPr>
                <w:rFonts w:ascii="Calibri" w:hAnsi="Calibri" w:cs="Calibri"/>
                <w:sz w:val="20"/>
              </w:rPr>
              <w:fldChar w:fldCharType="end"/>
            </w:r>
            <w:r>
              <w:rPr>
                <w:rFonts w:ascii="Calibri" w:hAnsi="Calibri" w:cs="Calibri"/>
                <w:sz w:val="20"/>
              </w:rPr>
              <w:t>)</w:t>
            </w:r>
          </w:p>
        </w:tc>
        <w:tc>
          <w:tcPr>
            <w:tcW w:w="4680" w:type="dxa"/>
          </w:tcPr>
          <w:p w14:paraId="69C82673" w14:textId="559BD955" w:rsidR="00F80961" w:rsidRDefault="009C3F56" w:rsidP="00C63A98">
            <w:pPr>
              <w:pStyle w:val="Tabletext"/>
              <w:rPr>
                <w:rFonts w:ascii="Calibri" w:hAnsi="Calibri" w:cs="Calibri"/>
                <w:sz w:val="20"/>
              </w:rPr>
            </w:pPr>
            <w:r>
              <w:rPr>
                <w:rFonts w:ascii="Calibri" w:hAnsi="Calibri" w:cs="Calibri"/>
                <w:sz w:val="20"/>
              </w:rPr>
              <w:t>When the trigger cannot read its configuration or send the request, it shall send an IT error notification, and the next run shall read the period again. When a required setting is missing, or the end of the last period read in full cannot be read, the run shall stop, and an IT error notification shall be sent.</w:t>
            </w:r>
            <w:r w:rsidR="00F80961">
              <w:rPr>
                <w:rFonts w:ascii="Calibri" w:hAnsi="Calibri" w:cs="Calibri"/>
                <w:sz w:val="20"/>
              </w:rPr>
              <w:t xml:space="preserve"> </w:t>
            </w:r>
            <w:r w:rsidR="008F2422">
              <w:rPr>
                <w:rFonts w:ascii="Calibri" w:hAnsi="Calibri" w:cs="Calibri"/>
                <w:sz w:val="20"/>
              </w:rPr>
              <w:t>A row with no material mapping or, for PIAF rows, no equipment code shall be left out, and an MDM error notification shall be sent. A tag</w:t>
            </w:r>
            <w:r w:rsidR="00F80961">
              <w:rPr>
                <w:rFonts w:ascii="Calibri" w:hAnsi="Calibri" w:cs="Calibri"/>
                <w:sz w:val="20"/>
              </w:rPr>
              <w:t xml:space="preserve"> that gives no good value in the period shall give no row and shall be listed in a business error notification. </w:t>
            </w:r>
            <w:r w:rsidR="006B25DD">
              <w:rPr>
                <w:rFonts w:ascii="Calibri" w:hAnsi="Calibri" w:cs="Calibri"/>
                <w:sz w:val="20"/>
              </w:rPr>
              <w:t xml:space="preserve">When the day's total of a totalizer cannot be read at its read time, that day's total </w:t>
            </w:r>
            <w:r w:rsidR="008F2422">
              <w:rPr>
                <w:rFonts w:ascii="Calibri" w:hAnsi="Calibri" w:cs="Calibri"/>
                <w:sz w:val="20"/>
              </w:rPr>
              <w:t>shall not be stored and shall be listed in a business error notification.</w:t>
            </w:r>
            <w:r w:rsidR="00F80961">
              <w:rPr>
                <w:rFonts w:ascii="Calibri" w:hAnsi="Calibri" w:cs="Calibri"/>
                <w:sz w:val="20"/>
              </w:rPr>
              <w:t xml:space="preserve"> </w:t>
            </w:r>
            <w:r w:rsidR="004812A6">
              <w:rPr>
                <w:rFonts w:ascii="Calibri" w:hAnsi="Calibri" w:cs="Calibri"/>
                <w:sz w:val="20"/>
              </w:rPr>
              <w:t>When the save in the VCB table fails,</w:t>
            </w:r>
            <w:r w:rsidR="00F80961">
              <w:rPr>
                <w:rFonts w:ascii="Calibri" w:hAnsi="Calibri" w:cs="Calibri"/>
                <w:sz w:val="20"/>
              </w:rPr>
              <w:t xml:space="preserve"> the Request Service shall send an IT error notification and a business error notification.</w:t>
            </w:r>
          </w:p>
        </w:tc>
      </w:tr>
      <w:tr w:rsidR="00873A53" w:rsidRPr="00C63A98" w14:paraId="75709A70" w14:textId="77777777" w:rsidTr="00FA3AEE">
        <w:trPr>
          <w:cantSplit/>
        </w:trPr>
        <w:tc>
          <w:tcPr>
            <w:tcW w:w="1498" w:type="dxa"/>
          </w:tcPr>
          <w:p w14:paraId="2ED00762" w14:textId="77777777" w:rsidR="00873A53" w:rsidRPr="00C63A98" w:rsidRDefault="00873A53" w:rsidP="00C63A98">
            <w:pPr>
              <w:pStyle w:val="Tabletext"/>
              <w:rPr>
                <w:rFonts w:ascii="Calibri" w:hAnsi="Calibri" w:cs="Calibri"/>
                <w:sz w:val="20"/>
              </w:rPr>
            </w:pPr>
            <w:r w:rsidRPr="00C63A98">
              <w:rPr>
                <w:rFonts w:ascii="Calibri" w:hAnsi="Calibri" w:cs="Calibri"/>
                <w:sz w:val="20"/>
              </w:rPr>
              <w:t>Trigger function</w:t>
            </w:r>
          </w:p>
        </w:tc>
        <w:tc>
          <w:tcPr>
            <w:tcW w:w="3182" w:type="dxa"/>
          </w:tcPr>
          <w:p w14:paraId="7DB818B5" w14:textId="77777777" w:rsidR="00873A53" w:rsidRPr="00C63A98" w:rsidRDefault="00873A53" w:rsidP="00C63A98">
            <w:pPr>
              <w:pStyle w:val="Tabletext"/>
              <w:rPr>
                <w:rFonts w:ascii="Calibri" w:hAnsi="Calibri" w:cs="Calibri"/>
                <w:sz w:val="20"/>
              </w:rPr>
            </w:pPr>
            <w:r w:rsidRPr="00C63A98">
              <w:rPr>
                <w:rFonts w:ascii="Calibri" w:hAnsi="Calibri" w:cs="Calibri"/>
                <w:sz w:val="20"/>
              </w:rPr>
              <w:t>Blend Component Trigger Function</w:t>
            </w:r>
          </w:p>
        </w:tc>
        <w:tc>
          <w:tcPr>
            <w:tcW w:w="4680" w:type="dxa"/>
          </w:tcPr>
          <w:p w14:paraId="1A98DD5B" w14:textId="4B41EBDB" w:rsidR="00873A53" w:rsidRPr="00C63A98" w:rsidRDefault="004812A6" w:rsidP="00C63A98">
            <w:pPr>
              <w:pStyle w:val="Tabletext"/>
              <w:rPr>
                <w:rFonts w:ascii="Calibri" w:hAnsi="Calibri" w:cs="Calibri"/>
                <w:sz w:val="20"/>
              </w:rPr>
            </w:pPr>
            <w:r>
              <w:rPr>
                <w:rFonts w:ascii="Calibri" w:hAnsi="Calibri" w:cs="Calibri"/>
                <w:sz w:val="20"/>
              </w:rPr>
              <w:t>Shall be started by a timer every day at a specified time.</w:t>
            </w:r>
            <w:r w:rsidR="00873A53">
              <w:rPr>
                <w:rFonts w:ascii="Calibri" w:hAnsi="Calibri" w:cs="Calibri"/>
                <w:sz w:val="20"/>
              </w:rPr>
              <w:t xml:space="preserve"> It shall also be possible to run it on demand for a past period.</w:t>
            </w:r>
          </w:p>
        </w:tc>
      </w:tr>
      <w:tr w:rsidR="00873A53" w:rsidRPr="00C63A98" w14:paraId="78ED2B1A" w14:textId="77777777" w:rsidTr="00FA3AEE">
        <w:trPr>
          <w:cantSplit/>
        </w:trPr>
        <w:tc>
          <w:tcPr>
            <w:tcW w:w="1498" w:type="dxa"/>
          </w:tcPr>
          <w:p w14:paraId="7BE1A53B" w14:textId="77777777" w:rsidR="00873A53" w:rsidRPr="00C63A98" w:rsidRDefault="00873A53" w:rsidP="00C63A98">
            <w:pPr>
              <w:pStyle w:val="Tabletext"/>
              <w:rPr>
                <w:rFonts w:ascii="Calibri" w:hAnsi="Calibri" w:cs="Calibri"/>
                <w:sz w:val="20"/>
              </w:rPr>
            </w:pPr>
            <w:r w:rsidRPr="00C63A98">
              <w:rPr>
                <w:rFonts w:ascii="Calibri" w:hAnsi="Calibri" w:cs="Calibri"/>
                <w:sz w:val="20"/>
              </w:rPr>
              <w:t>Request Service</w:t>
            </w:r>
          </w:p>
        </w:tc>
        <w:tc>
          <w:tcPr>
            <w:tcW w:w="3182" w:type="dxa"/>
          </w:tcPr>
          <w:p w14:paraId="1A8CD407" w14:textId="77777777" w:rsidR="00873A53" w:rsidRPr="00C63A98" w:rsidRDefault="00873A53" w:rsidP="00C63A98">
            <w:pPr>
              <w:pStyle w:val="Tabletext"/>
              <w:rPr>
                <w:rFonts w:ascii="Calibri" w:hAnsi="Calibri" w:cs="Calibri"/>
                <w:sz w:val="20"/>
              </w:rPr>
            </w:pPr>
            <w:r w:rsidRPr="00C63A98">
              <w:rPr>
                <w:rFonts w:ascii="Calibri" w:hAnsi="Calibri" w:cs="Calibri"/>
                <w:sz w:val="20"/>
              </w:rPr>
              <w:t>Blend Component Request Service</w:t>
            </w:r>
          </w:p>
        </w:tc>
        <w:tc>
          <w:tcPr>
            <w:tcW w:w="4680" w:type="dxa"/>
          </w:tcPr>
          <w:p w14:paraId="27AED34E" w14:textId="2A9409B3" w:rsidR="00873A53" w:rsidRPr="00C63A98" w:rsidRDefault="004812A6" w:rsidP="00C63A98">
            <w:pPr>
              <w:pStyle w:val="Tabletext"/>
              <w:rPr>
                <w:rFonts w:ascii="Calibri" w:hAnsi="Calibri" w:cs="Calibri"/>
                <w:sz w:val="20"/>
              </w:rPr>
            </w:pPr>
            <w:r>
              <w:rPr>
                <w:rFonts w:ascii="Calibri" w:hAnsi="Calibri" w:cs="Calibri"/>
                <w:sz w:val="20"/>
              </w:rPr>
              <w:t>Shall turn the Profisee codes into IQDM codes, convert the units and save the rows into the VCB table</w:t>
            </w:r>
            <w:r w:rsidR="00873A53" w:rsidRPr="00C63A98">
              <w:rPr>
                <w:rFonts w:ascii="Calibri" w:hAnsi="Calibri" w:cs="Calibri"/>
                <w:sz w:val="20"/>
              </w:rPr>
              <w:t xml:space="preserve"> of the IQDM database through a stored procedure.</w:t>
            </w:r>
          </w:p>
        </w:tc>
      </w:tr>
      <w:tr w:rsidR="00873A53" w:rsidRPr="00C63A98" w14:paraId="1244D471" w14:textId="77777777" w:rsidTr="00FA3AEE">
        <w:trPr>
          <w:cantSplit/>
        </w:trPr>
        <w:tc>
          <w:tcPr>
            <w:tcW w:w="1498" w:type="dxa"/>
          </w:tcPr>
          <w:p w14:paraId="3D9B877F" w14:textId="77777777" w:rsidR="00873A53" w:rsidRPr="00C63A98" w:rsidRDefault="00873A53" w:rsidP="00C63A98">
            <w:pPr>
              <w:pStyle w:val="Tabletext"/>
              <w:rPr>
                <w:rFonts w:ascii="Calibri" w:hAnsi="Calibri" w:cs="Calibri"/>
                <w:sz w:val="20"/>
              </w:rPr>
            </w:pPr>
            <w:r w:rsidRPr="00C63A98">
              <w:rPr>
                <w:rFonts w:ascii="Calibri" w:hAnsi="Calibri" w:cs="Calibri"/>
                <w:sz w:val="20"/>
              </w:rPr>
              <w:t>Durable functions and queues</w:t>
            </w:r>
          </w:p>
        </w:tc>
        <w:tc>
          <w:tcPr>
            <w:tcW w:w="3182" w:type="dxa"/>
          </w:tcPr>
          <w:p w14:paraId="12A9E124" w14:textId="77777777" w:rsidR="00873A53" w:rsidRPr="00C63A98" w:rsidRDefault="00873A53" w:rsidP="00C63A98">
            <w:pPr>
              <w:pStyle w:val="Tabletext"/>
              <w:rPr>
                <w:rFonts w:ascii="Calibri" w:hAnsi="Calibri" w:cs="Calibri"/>
                <w:sz w:val="20"/>
              </w:rPr>
            </w:pPr>
            <w:r>
              <w:rPr>
                <w:rFonts w:ascii="Calibri" w:hAnsi="Calibri" w:cs="Calibri"/>
                <w:sz w:val="20"/>
              </w:rPr>
              <w:t>Blend Component Request Durable Function, Blend Component Request Queue, Blend Component Response Durable Function and Blend Component Response Queue</w:t>
            </w:r>
          </w:p>
        </w:tc>
        <w:tc>
          <w:tcPr>
            <w:tcW w:w="4680" w:type="dxa"/>
          </w:tcPr>
          <w:p w14:paraId="1A2ED8EE" w14:textId="77777777" w:rsidR="00873A53" w:rsidRPr="00C63A98" w:rsidRDefault="00873A53" w:rsidP="00C63A98">
            <w:pPr>
              <w:pStyle w:val="Tabletext"/>
              <w:rPr>
                <w:rFonts w:ascii="Calibri" w:hAnsi="Calibri" w:cs="Calibri"/>
                <w:sz w:val="20"/>
              </w:rPr>
            </w:pPr>
            <w:r w:rsidRPr="00C63A98">
              <w:rPr>
                <w:rFonts w:ascii="Calibri" w:hAnsi="Calibri" w:cs="Calibri"/>
                <w:sz w:val="20"/>
              </w:rPr>
              <w:t>As in the common integration pattern.</w:t>
            </w:r>
          </w:p>
        </w:tc>
      </w:tr>
      <w:tr w:rsidR="00873A53" w:rsidRPr="00C63A98" w14:paraId="6E0C9420" w14:textId="77777777" w:rsidTr="00FA3AEE">
        <w:trPr>
          <w:cantSplit/>
        </w:trPr>
        <w:tc>
          <w:tcPr>
            <w:tcW w:w="1498" w:type="dxa"/>
          </w:tcPr>
          <w:p w14:paraId="7596AC71"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Response Service</w:t>
            </w:r>
          </w:p>
        </w:tc>
        <w:tc>
          <w:tcPr>
            <w:tcW w:w="3182" w:type="dxa"/>
          </w:tcPr>
          <w:p w14:paraId="30627080"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Blend Component Response Service</w:t>
            </w:r>
          </w:p>
        </w:tc>
        <w:tc>
          <w:tcPr>
            <w:tcW w:w="4680" w:type="dxa"/>
          </w:tcPr>
          <w:p w14:paraId="4B82A54F" w14:textId="6DA0F8CC" w:rsidR="00873A53" w:rsidRPr="00C63A98" w:rsidRDefault="00140DC0" w:rsidP="00C63A98">
            <w:pPr>
              <w:pStyle w:val="Tabletext"/>
              <w:keepNext/>
              <w:rPr>
                <w:rFonts w:ascii="Calibri" w:hAnsi="Calibri" w:cs="Calibri"/>
                <w:sz w:val="20"/>
              </w:rPr>
            </w:pPr>
            <w:r>
              <w:rPr>
                <w:rFonts w:ascii="Calibri" w:hAnsi="Calibri" w:cs="Calibri"/>
                <w:sz w:val="20"/>
              </w:rPr>
              <w:t>Shall read PIAF and add the Profisee codes through the Semantic Service.</w:t>
            </w:r>
          </w:p>
        </w:tc>
      </w:tr>
    </w:tbl>
    <w:p w14:paraId="739B73F3" w14:textId="2CE5D6C9" w:rsidR="00873A53" w:rsidRDefault="00873A53" w:rsidP="00873A53">
      <w:pPr>
        <w:pStyle w:val="Caption"/>
      </w:pPr>
      <w:bookmarkStart w:id="165" w:name="_Toc242554008"/>
      <w:r>
        <w:t xml:space="preserve">Table </w:t>
      </w:r>
      <w:bookmarkStart w:id="166" w:name="_Ref917260929"/>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10</w:t>
      </w:r>
      <w:r>
        <w:fldChar w:fldCharType="end"/>
      </w:r>
      <w:bookmarkEnd w:id="166"/>
      <w:r>
        <w:t>: Blend Component Integration (PIAF) - Integration Specifics</w:t>
      </w:r>
      <w:bookmarkEnd w:id="165"/>
    </w:p>
    <w:p w14:paraId="490EE9BB" w14:textId="1BEBD5DE" w:rsidR="00AA30D8" w:rsidRPr="0081216E" w:rsidRDefault="00FA3AEE" w:rsidP="00FC42E7">
      <w:pPr>
        <w:keepNext/>
        <w:jc w:val="left"/>
        <w:rPr>
          <w:rFonts w:ascii="Calibri" w:hAnsi="Calibri" w:cs="Calibri"/>
        </w:rPr>
      </w:pPr>
      <w:r>
        <w:rPr>
          <w:rFonts w:ascii="Calibri" w:hAnsi="Calibri" w:cs="Calibri"/>
        </w:rPr>
        <w:t>The table below gives the analyzer properties that are read and the unit each one carries.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32"/>
        <w:gridCol w:w="4013"/>
        <w:gridCol w:w="4015"/>
      </w:tblGrid>
      <w:tr w:rsidR="00AA30D8" w:rsidRPr="00C63A98" w14:paraId="49A62D4A" w14:textId="77777777" w:rsidTr="00C63A98">
        <w:trPr>
          <w:cantSplit/>
          <w:tblHeader/>
        </w:trPr>
        <w:tc>
          <w:tcPr>
            <w:tcW w:w="1332" w:type="dxa"/>
            <w:shd w:val="clear" w:color="auto" w:fill="2F5597"/>
          </w:tcPr>
          <w:p w14:paraId="7E0302CD" w14:textId="3AA6D233" w:rsidR="00AA30D8" w:rsidRPr="00C63A98" w:rsidRDefault="00AA30D8" w:rsidP="006958CC">
            <w:pPr>
              <w:pStyle w:val="Tablehead1"/>
              <w:rPr>
                <w:rFonts w:ascii="Calibri" w:hAnsi="Calibri" w:cs="Calibri"/>
                <w:sz w:val="20"/>
              </w:rPr>
            </w:pPr>
            <w:r>
              <w:rPr>
                <w:rFonts w:ascii="Calibri" w:hAnsi="Calibri" w:cs="Calibri"/>
                <w:sz w:val="20"/>
              </w:rPr>
              <w:t>Component</w:t>
            </w:r>
          </w:p>
        </w:tc>
        <w:tc>
          <w:tcPr>
            <w:tcW w:w="4013" w:type="dxa"/>
            <w:shd w:val="clear" w:color="auto" w:fill="2F5597"/>
          </w:tcPr>
          <w:p w14:paraId="548F6689" w14:textId="182FA2F3" w:rsidR="00AA30D8" w:rsidRPr="00C63A98" w:rsidRDefault="00CE45AF" w:rsidP="006958CC">
            <w:pPr>
              <w:pStyle w:val="Tablehead1"/>
              <w:rPr>
                <w:rFonts w:ascii="Calibri" w:hAnsi="Calibri" w:cs="Calibri"/>
                <w:sz w:val="20"/>
              </w:rPr>
            </w:pPr>
            <w:r>
              <w:rPr>
                <w:rFonts w:ascii="Calibri" w:hAnsi="Calibri" w:cs="Calibri"/>
                <w:sz w:val="20"/>
              </w:rPr>
              <w:t>Name in This Integration</w:t>
            </w:r>
          </w:p>
        </w:tc>
        <w:tc>
          <w:tcPr>
            <w:tcW w:w="4015" w:type="dxa"/>
            <w:shd w:val="clear" w:color="auto" w:fill="2F5597"/>
          </w:tcPr>
          <w:p w14:paraId="1C5D7D8C" w14:textId="4F2C77CE" w:rsidR="00AA30D8" w:rsidRPr="00C63A98" w:rsidRDefault="00CE45AF" w:rsidP="006958CC">
            <w:pPr>
              <w:pStyle w:val="Tablehead1"/>
              <w:rPr>
                <w:rFonts w:ascii="Calibri" w:hAnsi="Calibri" w:cs="Calibri"/>
                <w:sz w:val="20"/>
              </w:rPr>
            </w:pPr>
            <w:r>
              <w:rPr>
                <w:rFonts w:ascii="Calibri" w:hAnsi="Calibri" w:cs="Calibri"/>
                <w:sz w:val="20"/>
              </w:rPr>
              <w:t>Specific to This Integration</w:t>
            </w:r>
          </w:p>
        </w:tc>
      </w:tr>
      <w:tr w:rsidR="00AA30D8" w:rsidRPr="00C63A98" w14:paraId="50277506" w14:textId="77777777" w:rsidTr="00C63A98">
        <w:trPr>
          <w:cantSplit/>
        </w:trPr>
        <w:tc>
          <w:tcPr>
            <w:tcW w:w="1332" w:type="dxa"/>
          </w:tcPr>
          <w:p w14:paraId="07244A06" w14:textId="60DE75DD" w:rsidR="00AA30D8" w:rsidRPr="00C63A98" w:rsidRDefault="00AA30D8" w:rsidP="006958CC">
            <w:pPr>
              <w:pStyle w:val="Tabletext"/>
              <w:keepNext/>
              <w:rPr>
                <w:rFonts w:ascii="Calibri" w:hAnsi="Calibri" w:cs="Calibri"/>
                <w:sz w:val="20"/>
              </w:rPr>
            </w:pPr>
            <w:r>
              <w:rPr>
                <w:rFonts w:ascii="Calibri" w:hAnsi="Calibri" w:cs="Calibri"/>
                <w:sz w:val="20"/>
              </w:rPr>
              <w:t>Analyzer qualities</w:t>
            </w:r>
          </w:p>
        </w:tc>
        <w:tc>
          <w:tcPr>
            <w:tcW w:w="4013" w:type="dxa"/>
          </w:tcPr>
          <w:p w14:paraId="16388F5D" w14:textId="66AD6F1E" w:rsidR="00AA30D8" w:rsidRPr="00C63A98" w:rsidRDefault="00AA30D8" w:rsidP="006958CC">
            <w:pPr>
              <w:pStyle w:val="Tabletext"/>
              <w:keepNext/>
              <w:rPr>
                <w:rFonts w:ascii="Calibri" w:hAnsi="Calibri" w:cs="Calibri"/>
                <w:sz w:val="20"/>
              </w:rPr>
            </w:pPr>
            <w:r>
              <w:rPr>
                <w:rFonts w:ascii="Calibri" w:hAnsi="Calibri" w:cs="Calibri"/>
                <w:sz w:val="20"/>
              </w:rPr>
              <w:t>RVP, TV/L, T10, T30, T50, T70, T90, IBP and FBP of the gasoline at each butane injector</w:t>
            </w:r>
          </w:p>
        </w:tc>
        <w:tc>
          <w:tcPr>
            <w:tcW w:w="4015" w:type="dxa"/>
          </w:tcPr>
          <w:p w14:paraId="12E0ABB2" w14:textId="3A7640FB" w:rsidR="00AA30D8" w:rsidRPr="00C63A98" w:rsidRDefault="00140DC0" w:rsidP="006958CC">
            <w:pPr>
              <w:pStyle w:val="Tabletext"/>
              <w:keepNext/>
              <w:rPr>
                <w:rFonts w:ascii="Calibri" w:hAnsi="Calibri" w:cs="Calibri"/>
                <w:sz w:val="20"/>
              </w:rPr>
            </w:pPr>
            <w:r>
              <w:rPr>
                <w:rFonts w:ascii="Calibri" w:hAnsi="Calibri" w:cs="Calibri"/>
                <w:sz w:val="20"/>
              </w:rPr>
              <w:t>The properties shall differ by terminal and by injector,</w:t>
            </w:r>
            <w:r w:rsidR="0023739F">
              <w:rPr>
                <w:rFonts w:ascii="Calibri" w:hAnsi="Calibri" w:cs="Calibri"/>
                <w:sz w:val="20"/>
              </w:rPr>
              <w:t xml:space="preserve"> as held in the PI tag mapping. The material of an analyzer reading shall be the gasoline product, taken from the Product attribute of the injector's service tank in the PI tag mapping.</w:t>
            </w:r>
            <w:r w:rsidR="00794AE6">
              <w:rPr>
                <w:rFonts w:ascii="Calibri" w:hAnsi="Calibri" w:cs="Calibri"/>
                <w:sz w:val="20"/>
              </w:rPr>
              <w:t xml:space="preserve"> Example: RVP 11.36, with no unit, at Lima injector 1.</w:t>
            </w:r>
          </w:p>
        </w:tc>
      </w:tr>
      <w:tr w:rsidR="00AA30D8" w:rsidRPr="00C63A98" w14:paraId="453AAA70" w14:textId="77777777" w:rsidTr="00C63A98">
        <w:trPr>
          <w:cantSplit/>
        </w:trPr>
        <w:tc>
          <w:tcPr>
            <w:tcW w:w="1332" w:type="dxa"/>
          </w:tcPr>
          <w:p w14:paraId="54444CBB" w14:textId="0073E632" w:rsidR="00AA30D8" w:rsidRPr="00C63A98" w:rsidRDefault="00AA30D8" w:rsidP="006958CC">
            <w:pPr>
              <w:pStyle w:val="Tabletext"/>
              <w:keepNext/>
              <w:rPr>
                <w:rFonts w:ascii="Calibri" w:hAnsi="Calibri" w:cs="Calibri"/>
                <w:sz w:val="20"/>
              </w:rPr>
            </w:pPr>
            <w:r>
              <w:rPr>
                <w:rFonts w:ascii="Calibri" w:hAnsi="Calibri" w:cs="Calibri"/>
                <w:sz w:val="20"/>
              </w:rPr>
              <w:t>Units</w:t>
            </w:r>
          </w:p>
        </w:tc>
        <w:tc>
          <w:tcPr>
            <w:tcW w:w="4013" w:type="dxa"/>
          </w:tcPr>
          <w:p w14:paraId="5B408E34" w14:textId="1B424CD5" w:rsidR="00AA30D8" w:rsidRPr="00C63A98" w:rsidRDefault="00144FA3" w:rsidP="006958CC">
            <w:pPr>
              <w:pStyle w:val="Tabletext"/>
              <w:keepNext/>
              <w:rPr>
                <w:rFonts w:ascii="Calibri" w:hAnsi="Calibri" w:cs="Calibri"/>
                <w:sz w:val="20"/>
              </w:rPr>
            </w:pPr>
            <w:r>
              <w:rPr>
                <w:rFonts w:ascii="Calibri" w:hAnsi="Calibri" w:cs="Calibri"/>
                <w:sz w:val="20"/>
              </w:rPr>
              <w:t>Unit from PI, or from Profisee where PI gives none</w:t>
            </w:r>
          </w:p>
        </w:tc>
        <w:tc>
          <w:tcPr>
            <w:tcW w:w="4015" w:type="dxa"/>
          </w:tcPr>
          <w:p w14:paraId="569C4CC9" w14:textId="6509D367" w:rsidR="00AA30D8" w:rsidRPr="00C63A98" w:rsidRDefault="00F80961" w:rsidP="006958CC">
            <w:pPr>
              <w:pStyle w:val="Tabletext"/>
              <w:keepNext/>
              <w:rPr>
                <w:rFonts w:ascii="Calibri" w:hAnsi="Calibri" w:cs="Calibri"/>
                <w:sz w:val="20"/>
              </w:rPr>
            </w:pPr>
            <w:r>
              <w:rPr>
                <w:rFonts w:ascii="Calibri" w:hAnsi="Calibri" w:cs="Calibri"/>
                <w:sz w:val="20"/>
              </w:rPr>
              <w:t xml:space="preserve">T30, T70, T90, IBP and FBP shall carry degrees Fahrenheit, as PI gives them. </w:t>
            </w:r>
            <w:r w:rsidR="008F2422">
              <w:rPr>
                <w:rFonts w:ascii="Calibri" w:hAnsi="Calibri" w:cs="Calibri"/>
                <w:sz w:val="20"/>
              </w:rPr>
              <w:t>T10, T50, RVP and TV/L shall carry no unit from PI; their unit shall come from the Property Mapping in Profisee.</w:t>
            </w:r>
          </w:p>
        </w:tc>
      </w:tr>
    </w:tbl>
    <w:p w14:paraId="687E8B4E" w14:textId="39D86420" w:rsidR="00AA30D8" w:rsidRDefault="00AA30D8" w:rsidP="00AA30D8">
      <w:pPr>
        <w:pStyle w:val="Caption"/>
      </w:pPr>
      <w:bookmarkStart w:id="167" w:name="_Toc242554009"/>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11</w:t>
      </w:r>
      <w:r>
        <w:fldChar w:fldCharType="end"/>
      </w:r>
      <w:r>
        <w:t xml:space="preserve">: </w:t>
      </w:r>
      <w:r w:rsidR="00873A53">
        <w:t>Blend Component Integration (PIAF) - Analyzer Properties</w:t>
      </w:r>
      <w:bookmarkEnd w:id="167"/>
    </w:p>
    <w:p w14:paraId="306CA03C" w14:textId="77777777" w:rsidR="0081216E" w:rsidRDefault="0081216E" w:rsidP="0081216E">
      <w:pPr>
        <w:pStyle w:val="Heading5"/>
        <w:rPr>
          <w:rFonts w:ascii="Calibri" w:hAnsi="Calibri" w:cs="Calibri"/>
          <w:sz w:val="20"/>
        </w:rPr>
      </w:pPr>
      <w:bookmarkStart w:id="168" w:name="_Ref917260950"/>
      <w:r w:rsidRPr="0081216E">
        <w:rPr>
          <w:rFonts w:ascii="Calibri" w:hAnsi="Calibri" w:cs="Calibri"/>
          <w:sz w:val="20"/>
        </w:rPr>
        <w:t>API Endpoints</w:t>
      </w:r>
      <w:bookmarkEnd w:id="168"/>
    </w:p>
    <w:p w14:paraId="3C5DD34E" w14:textId="2FE571C5" w:rsidR="00FC42E7" w:rsidRPr="00EC3682" w:rsidRDefault="00FC42E7" w:rsidP="00FC42E7">
      <w:pPr>
        <w:pStyle w:val="ListParagraph"/>
        <w:numPr>
          <w:ilvl w:val="0"/>
          <w:numId w:val="4"/>
        </w:numPr>
        <w:jc w:val="left"/>
        <w:rPr>
          <w:rFonts w:ascii="Calibri" w:hAnsi="Calibri" w:cs="Calibri"/>
        </w:rPr>
      </w:pPr>
      <w:r>
        <w:t>The Blend Component Request Service shall be the API endpoint that gives the terminal blend component data from PIAF.</w:t>
      </w:r>
    </w:p>
    <w:p w14:paraId="65EF0ED4" w14:textId="14D30538" w:rsidR="009C3F56" w:rsidRPr="00EC3682" w:rsidRDefault="009C3F56" w:rsidP="009C3F56">
      <w:pPr>
        <w:pStyle w:val="ListParagraph"/>
        <w:numPr>
          <w:ilvl w:val="0"/>
          <w:numId w:val="4"/>
        </w:numPr>
        <w:jc w:val="left"/>
        <w:rPr>
          <w:rFonts w:ascii="Calibri" w:hAnsi="Calibri" w:cs="Calibri"/>
        </w:rPr>
      </w:pPr>
      <w:r>
        <w:t>The Blend Component Request Service shall be called at POST api/v1/Inventory/GetInventories, and the Blend Component Response Service at POST api/v1/Inventory/GetInventoriesData, with SourceApplication PIAF in the request header.</w:t>
      </w:r>
    </w:p>
    <w:p w14:paraId="70F1ABA9" w14:textId="77777777" w:rsidR="00873A53" w:rsidRDefault="00873A53" w:rsidP="00FC42E7">
      <w:pPr>
        <w:keepNext/>
        <w:jc w:val="left"/>
      </w:pPr>
      <w:r>
        <w:t>Request Parameters: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29"/>
        <w:gridCol w:w="4387"/>
        <w:gridCol w:w="1432"/>
        <w:gridCol w:w="1512"/>
      </w:tblGrid>
      <w:tr w:rsidR="00873A53" w:rsidRPr="00C63A98" w14:paraId="13CF2D22" w14:textId="77777777" w:rsidTr="00BE31EA">
        <w:trPr>
          <w:tblHeader/>
        </w:trPr>
        <w:tc>
          <w:tcPr>
            <w:tcW w:w="2029" w:type="dxa"/>
            <w:shd w:val="clear" w:color="auto" w:fill="2F5597"/>
          </w:tcPr>
          <w:p w14:paraId="02537573" w14:textId="77777777" w:rsidR="00873A53" w:rsidRPr="00C63A98" w:rsidRDefault="00873A53" w:rsidP="00AA30D8">
            <w:pPr>
              <w:pStyle w:val="Tablehead1"/>
              <w:rPr>
                <w:rFonts w:ascii="Calibri" w:hAnsi="Calibri" w:cs="Calibri"/>
                <w:sz w:val="20"/>
              </w:rPr>
            </w:pPr>
            <w:r w:rsidRPr="00C63A98">
              <w:rPr>
                <w:rFonts w:ascii="Calibri" w:hAnsi="Calibri" w:cs="Calibri"/>
                <w:sz w:val="20"/>
              </w:rPr>
              <w:t>Parameter</w:t>
            </w:r>
          </w:p>
        </w:tc>
        <w:tc>
          <w:tcPr>
            <w:tcW w:w="4387" w:type="dxa"/>
            <w:shd w:val="clear" w:color="auto" w:fill="2F5597"/>
          </w:tcPr>
          <w:p w14:paraId="56CD646A" w14:textId="77777777" w:rsidR="00873A53" w:rsidRPr="00C63A98" w:rsidRDefault="00873A53" w:rsidP="00AA30D8">
            <w:pPr>
              <w:pStyle w:val="Tablehead1"/>
              <w:rPr>
                <w:rFonts w:ascii="Calibri" w:hAnsi="Calibri" w:cs="Calibri"/>
                <w:sz w:val="20"/>
              </w:rPr>
            </w:pPr>
            <w:r w:rsidRPr="00C63A98">
              <w:rPr>
                <w:rFonts w:ascii="Calibri" w:hAnsi="Calibri" w:cs="Calibri"/>
                <w:sz w:val="20"/>
              </w:rPr>
              <w:t>Description</w:t>
            </w:r>
          </w:p>
        </w:tc>
        <w:tc>
          <w:tcPr>
            <w:tcW w:w="1432" w:type="dxa"/>
            <w:shd w:val="clear" w:color="auto" w:fill="2F5597"/>
          </w:tcPr>
          <w:p w14:paraId="209213B9" w14:textId="77777777" w:rsidR="00873A53" w:rsidRPr="00C63A98" w:rsidRDefault="00873A53" w:rsidP="00AA30D8">
            <w:pPr>
              <w:pStyle w:val="Tablehead1"/>
              <w:rPr>
                <w:rFonts w:ascii="Calibri" w:hAnsi="Calibri" w:cs="Calibri"/>
                <w:sz w:val="20"/>
              </w:rPr>
            </w:pPr>
            <w:r w:rsidRPr="00C63A98">
              <w:rPr>
                <w:rFonts w:ascii="Calibri" w:hAnsi="Calibri" w:cs="Calibri"/>
                <w:sz w:val="20"/>
              </w:rPr>
              <w:t>Mandatory</w:t>
            </w:r>
          </w:p>
        </w:tc>
        <w:tc>
          <w:tcPr>
            <w:tcW w:w="1512" w:type="dxa"/>
            <w:shd w:val="clear" w:color="auto" w:fill="2F5597"/>
          </w:tcPr>
          <w:p w14:paraId="1F0B6931" w14:textId="77777777" w:rsidR="00873A53" w:rsidRPr="00C63A98" w:rsidRDefault="00873A53" w:rsidP="00AA30D8">
            <w:pPr>
              <w:pStyle w:val="Tablehead1"/>
              <w:rPr>
                <w:rFonts w:ascii="Calibri" w:hAnsi="Calibri" w:cs="Calibri"/>
                <w:sz w:val="20"/>
              </w:rPr>
            </w:pPr>
            <w:r w:rsidRPr="00C63A98">
              <w:rPr>
                <w:rFonts w:ascii="Calibri" w:hAnsi="Calibri" w:cs="Calibri"/>
                <w:sz w:val="20"/>
              </w:rPr>
              <w:t>Type</w:t>
            </w:r>
          </w:p>
        </w:tc>
      </w:tr>
      <w:tr w:rsidR="00873A53" w:rsidRPr="00C63A98" w14:paraId="521AD0AA" w14:textId="77777777" w:rsidTr="00BE31EA">
        <w:tc>
          <w:tcPr>
            <w:tcW w:w="2029" w:type="dxa"/>
          </w:tcPr>
          <w:p w14:paraId="0E032AE6" w14:textId="77777777" w:rsidR="00873A53" w:rsidRPr="00C63A98" w:rsidRDefault="00873A53" w:rsidP="00BE31EA">
            <w:pPr>
              <w:pStyle w:val="Tabletext"/>
              <w:rPr>
                <w:rFonts w:ascii="Calibri" w:hAnsi="Calibri" w:cs="Calibri"/>
                <w:sz w:val="20"/>
              </w:rPr>
            </w:pPr>
            <w:r w:rsidRPr="00C63A98">
              <w:rPr>
                <w:rFonts w:ascii="Calibri" w:hAnsi="Calibri" w:cs="Calibri"/>
                <w:sz w:val="20"/>
              </w:rPr>
              <w:t>StartDate</w:t>
            </w:r>
          </w:p>
        </w:tc>
        <w:tc>
          <w:tcPr>
            <w:tcW w:w="4387" w:type="dxa"/>
          </w:tcPr>
          <w:p w14:paraId="2A918037" w14:textId="77777777" w:rsidR="00873A53" w:rsidRPr="00C63A98" w:rsidRDefault="00873A53" w:rsidP="00BE31EA">
            <w:pPr>
              <w:pStyle w:val="Tabletext"/>
              <w:rPr>
                <w:rFonts w:ascii="Calibri" w:hAnsi="Calibri" w:cs="Calibri"/>
                <w:sz w:val="20"/>
              </w:rPr>
            </w:pPr>
            <w:r w:rsidRPr="00C63A98">
              <w:rPr>
                <w:rFonts w:ascii="Calibri" w:hAnsi="Calibri" w:cs="Calibri"/>
                <w:sz w:val="20"/>
              </w:rPr>
              <w:t>Start of the date range. Not later than EndDate</w:t>
            </w:r>
          </w:p>
        </w:tc>
        <w:tc>
          <w:tcPr>
            <w:tcW w:w="1432" w:type="dxa"/>
          </w:tcPr>
          <w:p w14:paraId="2AF07C79" w14:textId="77777777" w:rsidR="00873A53" w:rsidRPr="00C63A98" w:rsidRDefault="00873A53" w:rsidP="00BE31EA">
            <w:pPr>
              <w:pStyle w:val="Tabletext"/>
              <w:rPr>
                <w:rFonts w:ascii="Calibri" w:hAnsi="Calibri" w:cs="Calibri"/>
                <w:sz w:val="20"/>
              </w:rPr>
            </w:pPr>
            <w:r w:rsidRPr="00C63A98">
              <w:rPr>
                <w:rFonts w:ascii="Calibri" w:hAnsi="Calibri" w:cs="Calibri"/>
                <w:sz w:val="20"/>
              </w:rPr>
              <w:t>Yes</w:t>
            </w:r>
          </w:p>
        </w:tc>
        <w:tc>
          <w:tcPr>
            <w:tcW w:w="1512" w:type="dxa"/>
          </w:tcPr>
          <w:p w14:paraId="66E3F42A" w14:textId="77777777" w:rsidR="00873A53" w:rsidRPr="00C63A98" w:rsidRDefault="00873A53" w:rsidP="00BE31EA">
            <w:pPr>
              <w:pStyle w:val="Tabletext"/>
              <w:rPr>
                <w:rFonts w:ascii="Calibri" w:hAnsi="Calibri" w:cs="Calibri"/>
                <w:sz w:val="20"/>
              </w:rPr>
            </w:pPr>
            <w:r w:rsidRPr="00C63A98">
              <w:rPr>
                <w:rFonts w:ascii="Calibri" w:hAnsi="Calibri" w:cs="Calibri"/>
                <w:sz w:val="20"/>
              </w:rPr>
              <w:t>DateTime</w:t>
            </w:r>
          </w:p>
        </w:tc>
      </w:tr>
      <w:tr w:rsidR="00873A53" w:rsidRPr="00C63A98" w14:paraId="242CE2B4" w14:textId="77777777" w:rsidTr="00BE31EA">
        <w:tc>
          <w:tcPr>
            <w:tcW w:w="2029" w:type="dxa"/>
          </w:tcPr>
          <w:p w14:paraId="69C3E8B1" w14:textId="77777777" w:rsidR="00873A53" w:rsidRPr="00C63A98" w:rsidRDefault="00873A53" w:rsidP="00BE31EA">
            <w:pPr>
              <w:pStyle w:val="Tabletext"/>
              <w:rPr>
                <w:rFonts w:ascii="Calibri" w:hAnsi="Calibri" w:cs="Calibri"/>
                <w:sz w:val="20"/>
              </w:rPr>
            </w:pPr>
            <w:r w:rsidRPr="00C63A98">
              <w:rPr>
                <w:rFonts w:ascii="Calibri" w:hAnsi="Calibri" w:cs="Calibri"/>
                <w:sz w:val="20"/>
              </w:rPr>
              <w:t>EndDate</w:t>
            </w:r>
          </w:p>
        </w:tc>
        <w:tc>
          <w:tcPr>
            <w:tcW w:w="4387" w:type="dxa"/>
          </w:tcPr>
          <w:p w14:paraId="1BC2AD76" w14:textId="77777777" w:rsidR="00873A53" w:rsidRPr="00C63A98" w:rsidRDefault="00873A53" w:rsidP="00BE31EA">
            <w:pPr>
              <w:pStyle w:val="Tabletext"/>
              <w:rPr>
                <w:rFonts w:ascii="Calibri" w:hAnsi="Calibri" w:cs="Calibri"/>
                <w:sz w:val="20"/>
              </w:rPr>
            </w:pPr>
            <w:r w:rsidRPr="00C63A98">
              <w:rPr>
                <w:rFonts w:ascii="Calibri" w:hAnsi="Calibri" w:cs="Calibri"/>
                <w:sz w:val="20"/>
              </w:rPr>
              <w:t>End of the date range</w:t>
            </w:r>
          </w:p>
        </w:tc>
        <w:tc>
          <w:tcPr>
            <w:tcW w:w="1432" w:type="dxa"/>
          </w:tcPr>
          <w:p w14:paraId="16855592" w14:textId="77777777" w:rsidR="00873A53" w:rsidRPr="00C63A98" w:rsidRDefault="00873A53" w:rsidP="00BE31EA">
            <w:pPr>
              <w:pStyle w:val="Tabletext"/>
              <w:rPr>
                <w:rFonts w:ascii="Calibri" w:hAnsi="Calibri" w:cs="Calibri"/>
                <w:sz w:val="20"/>
              </w:rPr>
            </w:pPr>
            <w:r w:rsidRPr="00C63A98">
              <w:rPr>
                <w:rFonts w:ascii="Calibri" w:hAnsi="Calibri" w:cs="Calibri"/>
                <w:sz w:val="20"/>
              </w:rPr>
              <w:t>Yes</w:t>
            </w:r>
          </w:p>
        </w:tc>
        <w:tc>
          <w:tcPr>
            <w:tcW w:w="1512" w:type="dxa"/>
          </w:tcPr>
          <w:p w14:paraId="14308361" w14:textId="77777777" w:rsidR="00873A53" w:rsidRPr="00C63A98" w:rsidRDefault="00873A53" w:rsidP="00BE31EA">
            <w:pPr>
              <w:pStyle w:val="Tabletext"/>
              <w:rPr>
                <w:rFonts w:ascii="Calibri" w:hAnsi="Calibri" w:cs="Calibri"/>
                <w:sz w:val="20"/>
              </w:rPr>
            </w:pPr>
            <w:r w:rsidRPr="00C63A98">
              <w:rPr>
                <w:rFonts w:ascii="Calibri" w:hAnsi="Calibri" w:cs="Calibri"/>
                <w:sz w:val="20"/>
              </w:rPr>
              <w:t>DateTime</w:t>
            </w:r>
          </w:p>
        </w:tc>
      </w:tr>
      <w:tr w:rsidR="00873A53" w:rsidRPr="00C63A98" w14:paraId="339C9EB6" w14:textId="77777777" w:rsidTr="00BE31EA">
        <w:tc>
          <w:tcPr>
            <w:tcW w:w="2029" w:type="dxa"/>
          </w:tcPr>
          <w:p w14:paraId="6901CB49" w14:textId="77777777" w:rsidR="00873A53" w:rsidRPr="00C63A98" w:rsidRDefault="00873A53" w:rsidP="00BE31EA">
            <w:pPr>
              <w:pStyle w:val="Tabletext"/>
              <w:rPr>
                <w:rFonts w:ascii="Calibri" w:hAnsi="Calibri" w:cs="Calibri"/>
                <w:sz w:val="20"/>
              </w:rPr>
            </w:pPr>
            <w:r w:rsidRPr="00C63A98">
              <w:rPr>
                <w:rFonts w:ascii="Calibri" w:hAnsi="Calibri" w:cs="Calibri"/>
                <w:sz w:val="20"/>
              </w:rPr>
              <w:t>State</w:t>
            </w:r>
          </w:p>
        </w:tc>
        <w:tc>
          <w:tcPr>
            <w:tcW w:w="4387" w:type="dxa"/>
          </w:tcPr>
          <w:p w14:paraId="04E09CB2" w14:textId="45E7D373" w:rsidR="00873A53" w:rsidRPr="00C63A98" w:rsidRDefault="008F2422" w:rsidP="00BE31EA">
            <w:pPr>
              <w:pStyle w:val="Tabletext"/>
              <w:rPr>
                <w:rFonts w:ascii="Calibri" w:hAnsi="Calibri" w:cs="Calibri"/>
                <w:sz w:val="20"/>
              </w:rPr>
            </w:pPr>
            <w:r>
              <w:rPr>
                <w:rFonts w:ascii="Calibri" w:hAnsi="Calibri" w:cs="Calibri"/>
                <w:sz w:val="20"/>
              </w:rPr>
              <w:t>Data state. This integration shall send Actual</w:t>
            </w:r>
          </w:p>
        </w:tc>
        <w:tc>
          <w:tcPr>
            <w:tcW w:w="1432" w:type="dxa"/>
          </w:tcPr>
          <w:p w14:paraId="37E7FEBA" w14:textId="77777777" w:rsidR="00873A53" w:rsidRPr="00C63A98" w:rsidRDefault="00873A53" w:rsidP="00BE31EA">
            <w:pPr>
              <w:pStyle w:val="Tabletext"/>
              <w:rPr>
                <w:rFonts w:ascii="Calibri" w:hAnsi="Calibri" w:cs="Calibri"/>
                <w:sz w:val="20"/>
              </w:rPr>
            </w:pPr>
            <w:r w:rsidRPr="00C63A98">
              <w:rPr>
                <w:rFonts w:ascii="Calibri" w:hAnsi="Calibri" w:cs="Calibri"/>
                <w:sz w:val="20"/>
              </w:rPr>
              <w:t>Yes</w:t>
            </w:r>
          </w:p>
        </w:tc>
        <w:tc>
          <w:tcPr>
            <w:tcW w:w="1512" w:type="dxa"/>
          </w:tcPr>
          <w:p w14:paraId="5A2409E6" w14:textId="77777777" w:rsidR="00873A53" w:rsidRPr="00C63A98" w:rsidRDefault="00873A53" w:rsidP="00BE31EA">
            <w:pPr>
              <w:pStyle w:val="Tabletext"/>
              <w:rPr>
                <w:rFonts w:ascii="Calibri" w:hAnsi="Calibri" w:cs="Calibri"/>
                <w:sz w:val="20"/>
              </w:rPr>
            </w:pPr>
            <w:r w:rsidRPr="00C63A98">
              <w:rPr>
                <w:rFonts w:ascii="Calibri" w:hAnsi="Calibri" w:cs="Calibri"/>
                <w:sz w:val="20"/>
              </w:rPr>
              <w:t>String</w:t>
            </w:r>
          </w:p>
        </w:tc>
      </w:tr>
      <w:tr w:rsidR="00873A53" w:rsidRPr="00C63A98" w14:paraId="65C53EFE" w14:textId="77777777" w:rsidTr="00BE31EA">
        <w:tc>
          <w:tcPr>
            <w:tcW w:w="2029" w:type="dxa"/>
          </w:tcPr>
          <w:p w14:paraId="1A818403" w14:textId="77777777" w:rsidR="00873A53" w:rsidRPr="00C63A98" w:rsidRDefault="00873A53" w:rsidP="00BE31EA">
            <w:pPr>
              <w:pStyle w:val="Tabletext"/>
              <w:rPr>
                <w:rFonts w:ascii="Calibri" w:hAnsi="Calibri" w:cs="Calibri"/>
                <w:sz w:val="20"/>
              </w:rPr>
            </w:pPr>
            <w:r w:rsidRPr="00C63A98">
              <w:rPr>
                <w:rFonts w:ascii="Calibri" w:hAnsi="Calibri" w:cs="Calibri"/>
                <w:sz w:val="20"/>
              </w:rPr>
              <w:t>LocationType</w:t>
            </w:r>
          </w:p>
        </w:tc>
        <w:tc>
          <w:tcPr>
            <w:tcW w:w="4387" w:type="dxa"/>
          </w:tcPr>
          <w:p w14:paraId="75B21D09" w14:textId="79FCB757" w:rsidR="00873A53" w:rsidRPr="00C63A98" w:rsidRDefault="00873A53" w:rsidP="00BE31EA">
            <w:pPr>
              <w:pStyle w:val="Tabletext"/>
              <w:rPr>
                <w:rFonts w:ascii="Calibri" w:hAnsi="Calibri" w:cs="Calibri"/>
                <w:sz w:val="20"/>
              </w:rPr>
            </w:pPr>
            <w:r w:rsidRPr="00C63A98">
              <w:rPr>
                <w:rFonts w:ascii="Calibri" w:hAnsi="Calibri" w:cs="Calibri"/>
                <w:sz w:val="20"/>
              </w:rPr>
              <w:t xml:space="preserve">Type of location. </w:t>
            </w:r>
            <w:r>
              <w:rPr>
                <w:rFonts w:ascii="Calibri" w:hAnsi="Calibri" w:cs="Calibri"/>
                <w:sz w:val="20"/>
              </w:rPr>
              <w:t>This integration shall send Terminal</w:t>
            </w:r>
          </w:p>
        </w:tc>
        <w:tc>
          <w:tcPr>
            <w:tcW w:w="1432" w:type="dxa"/>
          </w:tcPr>
          <w:p w14:paraId="4D10DA14" w14:textId="77777777" w:rsidR="00873A53" w:rsidRPr="00C63A98" w:rsidRDefault="00873A53" w:rsidP="00BE31EA">
            <w:pPr>
              <w:pStyle w:val="Tabletext"/>
              <w:rPr>
                <w:rFonts w:ascii="Calibri" w:hAnsi="Calibri" w:cs="Calibri"/>
                <w:sz w:val="20"/>
              </w:rPr>
            </w:pPr>
            <w:r w:rsidRPr="00C63A98">
              <w:rPr>
                <w:rFonts w:ascii="Calibri" w:hAnsi="Calibri" w:cs="Calibri"/>
                <w:sz w:val="20"/>
              </w:rPr>
              <w:t>Yes</w:t>
            </w:r>
          </w:p>
        </w:tc>
        <w:tc>
          <w:tcPr>
            <w:tcW w:w="1512" w:type="dxa"/>
          </w:tcPr>
          <w:p w14:paraId="1A8B1C31" w14:textId="77777777" w:rsidR="00873A53" w:rsidRPr="00C63A98" w:rsidRDefault="00873A53" w:rsidP="00BE31EA">
            <w:pPr>
              <w:pStyle w:val="Tabletext"/>
              <w:rPr>
                <w:rFonts w:ascii="Calibri" w:hAnsi="Calibri" w:cs="Calibri"/>
                <w:sz w:val="20"/>
              </w:rPr>
            </w:pPr>
            <w:r w:rsidRPr="00C63A98">
              <w:rPr>
                <w:rFonts w:ascii="Calibri" w:hAnsi="Calibri" w:cs="Calibri"/>
                <w:sz w:val="20"/>
              </w:rPr>
              <w:t>String</w:t>
            </w:r>
          </w:p>
        </w:tc>
      </w:tr>
      <w:tr w:rsidR="00873A53" w:rsidRPr="00C63A98" w14:paraId="23EF311A" w14:textId="77777777" w:rsidTr="00BE31EA">
        <w:tc>
          <w:tcPr>
            <w:tcW w:w="2029" w:type="dxa"/>
          </w:tcPr>
          <w:p w14:paraId="5B0E8325" w14:textId="77777777" w:rsidR="00873A53" w:rsidRPr="00C63A98" w:rsidRDefault="00873A53" w:rsidP="00BE31EA">
            <w:pPr>
              <w:pStyle w:val="Tabletext"/>
              <w:rPr>
                <w:rFonts w:ascii="Calibri" w:hAnsi="Calibri" w:cs="Calibri"/>
                <w:sz w:val="20"/>
              </w:rPr>
            </w:pPr>
            <w:r w:rsidRPr="00C63A98">
              <w:rPr>
                <w:rFonts w:ascii="Calibri" w:hAnsi="Calibri" w:cs="Calibri"/>
                <w:sz w:val="20"/>
              </w:rPr>
              <w:t>LocationCodes</w:t>
            </w:r>
          </w:p>
        </w:tc>
        <w:tc>
          <w:tcPr>
            <w:tcW w:w="4387" w:type="dxa"/>
          </w:tcPr>
          <w:p w14:paraId="56C9F95B" w14:textId="77777777" w:rsidR="00873A53" w:rsidRPr="00C63A98" w:rsidRDefault="00873A53" w:rsidP="00BE31EA">
            <w:pPr>
              <w:pStyle w:val="Tabletext"/>
              <w:rPr>
                <w:rFonts w:ascii="Calibri" w:hAnsi="Calibri" w:cs="Calibri"/>
                <w:sz w:val="20"/>
              </w:rPr>
            </w:pPr>
            <w:r>
              <w:rPr>
                <w:rFonts w:ascii="Calibri" w:hAnsi="Calibri" w:cs="Calibri"/>
                <w:sz w:val="20"/>
              </w:rPr>
              <w:t>Profisee location codes of the terminals to read, taken from the configuration</w:t>
            </w:r>
          </w:p>
        </w:tc>
        <w:tc>
          <w:tcPr>
            <w:tcW w:w="1432" w:type="dxa"/>
          </w:tcPr>
          <w:p w14:paraId="1D700CE0" w14:textId="51706759" w:rsidR="00873A53" w:rsidRPr="00C63A98" w:rsidRDefault="00144FA3" w:rsidP="00BE31EA">
            <w:pPr>
              <w:pStyle w:val="Tabletext"/>
              <w:rPr>
                <w:rFonts w:ascii="Calibri" w:hAnsi="Calibri" w:cs="Calibri"/>
                <w:sz w:val="20"/>
              </w:rPr>
            </w:pPr>
            <w:r>
              <w:rPr>
                <w:rFonts w:ascii="Calibri" w:hAnsi="Calibri" w:cs="Calibri"/>
                <w:sz w:val="20"/>
              </w:rPr>
              <w:t>Yes</w:t>
            </w:r>
          </w:p>
        </w:tc>
        <w:tc>
          <w:tcPr>
            <w:tcW w:w="1512" w:type="dxa"/>
          </w:tcPr>
          <w:p w14:paraId="6EAAA7AB" w14:textId="77777777" w:rsidR="00873A53" w:rsidRPr="00C63A98" w:rsidRDefault="00873A53" w:rsidP="00BE31EA">
            <w:pPr>
              <w:pStyle w:val="Tabletext"/>
              <w:rPr>
                <w:rFonts w:ascii="Calibri" w:hAnsi="Calibri" w:cs="Calibri"/>
                <w:sz w:val="20"/>
              </w:rPr>
            </w:pPr>
            <w:r w:rsidRPr="00C63A98">
              <w:rPr>
                <w:rFonts w:ascii="Calibri" w:hAnsi="Calibri" w:cs="Calibri"/>
                <w:sz w:val="20"/>
              </w:rPr>
              <w:t>List of String</w:t>
            </w:r>
          </w:p>
        </w:tc>
      </w:tr>
      <w:tr w:rsidR="00873A53" w:rsidRPr="00C63A98" w14:paraId="2D7102F6" w14:textId="77777777" w:rsidTr="00BE31EA">
        <w:tc>
          <w:tcPr>
            <w:tcW w:w="2029" w:type="dxa"/>
          </w:tcPr>
          <w:p w14:paraId="2A3B6E2A" w14:textId="77777777" w:rsidR="00873A53" w:rsidRPr="00C63A98" w:rsidRDefault="00873A53" w:rsidP="00BE31EA">
            <w:pPr>
              <w:pStyle w:val="Tabletext"/>
              <w:rPr>
                <w:rFonts w:ascii="Calibri" w:hAnsi="Calibri" w:cs="Calibri"/>
                <w:sz w:val="20"/>
              </w:rPr>
            </w:pPr>
            <w:r w:rsidRPr="00C63A98">
              <w:rPr>
                <w:rFonts w:ascii="Calibri" w:hAnsi="Calibri" w:cs="Calibri"/>
                <w:sz w:val="20"/>
              </w:rPr>
              <w:t>Region</w:t>
            </w:r>
          </w:p>
        </w:tc>
        <w:tc>
          <w:tcPr>
            <w:tcW w:w="4387" w:type="dxa"/>
          </w:tcPr>
          <w:p w14:paraId="44FE122E" w14:textId="618AA596" w:rsidR="00873A53" w:rsidRPr="00C63A98" w:rsidRDefault="008F2422" w:rsidP="00BE31EA">
            <w:pPr>
              <w:pStyle w:val="Tabletext"/>
              <w:rPr>
                <w:rFonts w:ascii="Calibri" w:hAnsi="Calibri" w:cs="Calibri"/>
                <w:sz w:val="20"/>
              </w:rPr>
            </w:pPr>
            <w:r>
              <w:rPr>
                <w:rFonts w:ascii="Calibri" w:hAnsi="Calibri" w:cs="Calibri"/>
                <w:sz w:val="20"/>
              </w:rPr>
              <w:t>Region of the terminals. This integration shall send North</w:t>
            </w:r>
          </w:p>
        </w:tc>
        <w:tc>
          <w:tcPr>
            <w:tcW w:w="1432" w:type="dxa"/>
          </w:tcPr>
          <w:p w14:paraId="620C4F24" w14:textId="77777777" w:rsidR="00873A53" w:rsidRPr="00C63A98" w:rsidRDefault="00873A53" w:rsidP="00BE31EA">
            <w:pPr>
              <w:pStyle w:val="Tabletext"/>
              <w:rPr>
                <w:rFonts w:ascii="Calibri" w:hAnsi="Calibri" w:cs="Calibri"/>
                <w:sz w:val="20"/>
              </w:rPr>
            </w:pPr>
            <w:r w:rsidRPr="00C63A98">
              <w:rPr>
                <w:rFonts w:ascii="Calibri" w:hAnsi="Calibri" w:cs="Calibri"/>
                <w:sz w:val="20"/>
              </w:rPr>
              <w:t>Yes</w:t>
            </w:r>
          </w:p>
        </w:tc>
        <w:tc>
          <w:tcPr>
            <w:tcW w:w="1512" w:type="dxa"/>
          </w:tcPr>
          <w:p w14:paraId="0D450F84" w14:textId="77777777" w:rsidR="00873A53" w:rsidRPr="00C63A98" w:rsidRDefault="00873A53" w:rsidP="00BE31EA">
            <w:pPr>
              <w:pStyle w:val="Tabletext"/>
              <w:rPr>
                <w:rFonts w:ascii="Calibri" w:hAnsi="Calibri" w:cs="Calibri"/>
                <w:sz w:val="20"/>
              </w:rPr>
            </w:pPr>
            <w:r w:rsidRPr="00C63A98">
              <w:rPr>
                <w:rFonts w:ascii="Calibri" w:hAnsi="Calibri" w:cs="Calibri"/>
                <w:sz w:val="20"/>
              </w:rPr>
              <w:t>String</w:t>
            </w:r>
          </w:p>
        </w:tc>
      </w:tr>
      <w:tr w:rsidR="00873A53" w:rsidRPr="00C63A98" w14:paraId="583ED4F2" w14:textId="77777777" w:rsidTr="00BE31EA">
        <w:tc>
          <w:tcPr>
            <w:tcW w:w="2029" w:type="dxa"/>
          </w:tcPr>
          <w:p w14:paraId="638B6032" w14:textId="77777777" w:rsidR="00873A53" w:rsidRPr="00C63A98" w:rsidRDefault="00873A53" w:rsidP="00BE31EA">
            <w:pPr>
              <w:pStyle w:val="Tabletext"/>
              <w:rPr>
                <w:rFonts w:ascii="Calibri" w:hAnsi="Calibri" w:cs="Calibri"/>
                <w:sz w:val="20"/>
              </w:rPr>
            </w:pPr>
            <w:r w:rsidRPr="00C63A98">
              <w:rPr>
                <w:rFonts w:ascii="Calibri" w:hAnsi="Calibri" w:cs="Calibri"/>
                <w:sz w:val="20"/>
              </w:rPr>
              <w:t>IsImport</w:t>
            </w:r>
          </w:p>
        </w:tc>
        <w:tc>
          <w:tcPr>
            <w:tcW w:w="4387" w:type="dxa"/>
          </w:tcPr>
          <w:p w14:paraId="74F64D48" w14:textId="4E610AC8" w:rsidR="00873A53" w:rsidRPr="00C63A98" w:rsidRDefault="00873A53" w:rsidP="00BE31EA">
            <w:pPr>
              <w:pStyle w:val="Tabletext"/>
              <w:rPr>
                <w:rFonts w:ascii="Calibri" w:hAnsi="Calibri" w:cs="Calibri"/>
                <w:sz w:val="20"/>
              </w:rPr>
            </w:pPr>
            <w:r>
              <w:rPr>
                <w:rFonts w:ascii="Calibri" w:hAnsi="Calibri" w:cs="Calibri"/>
                <w:sz w:val="20"/>
              </w:rPr>
              <w:t>True: the data shall be returned to the caller. False or not sent: the data shall be saved in the VCB table of the IQDM database through a stored procedure</w:t>
            </w:r>
          </w:p>
        </w:tc>
        <w:tc>
          <w:tcPr>
            <w:tcW w:w="1432" w:type="dxa"/>
          </w:tcPr>
          <w:p w14:paraId="27FFAB4F" w14:textId="77777777" w:rsidR="00873A53" w:rsidRPr="00C63A98" w:rsidRDefault="00873A53" w:rsidP="00BE31EA">
            <w:pPr>
              <w:pStyle w:val="Tabletext"/>
              <w:rPr>
                <w:rFonts w:ascii="Calibri" w:hAnsi="Calibri" w:cs="Calibri"/>
                <w:sz w:val="20"/>
              </w:rPr>
            </w:pPr>
            <w:r w:rsidRPr="00C63A98">
              <w:rPr>
                <w:rFonts w:ascii="Calibri" w:hAnsi="Calibri" w:cs="Calibri"/>
                <w:sz w:val="20"/>
              </w:rPr>
              <w:t>No</w:t>
            </w:r>
          </w:p>
        </w:tc>
        <w:tc>
          <w:tcPr>
            <w:tcW w:w="1512" w:type="dxa"/>
          </w:tcPr>
          <w:p w14:paraId="165BBBC3" w14:textId="77777777" w:rsidR="00873A53" w:rsidRPr="00C63A98" w:rsidRDefault="00873A53" w:rsidP="00BE31EA">
            <w:pPr>
              <w:pStyle w:val="Tabletext"/>
              <w:rPr>
                <w:rFonts w:ascii="Calibri" w:hAnsi="Calibri" w:cs="Calibri"/>
                <w:sz w:val="20"/>
              </w:rPr>
            </w:pPr>
            <w:r w:rsidRPr="00C63A98">
              <w:rPr>
                <w:rFonts w:ascii="Calibri" w:hAnsi="Calibri" w:cs="Calibri"/>
                <w:sz w:val="20"/>
              </w:rPr>
              <w:t>Boolean</w:t>
            </w:r>
          </w:p>
        </w:tc>
      </w:tr>
      <w:tr w:rsidR="00873A53" w:rsidRPr="00C63A98" w14:paraId="50B643F2" w14:textId="77777777" w:rsidTr="00BE31EA">
        <w:tc>
          <w:tcPr>
            <w:tcW w:w="2029" w:type="dxa"/>
          </w:tcPr>
          <w:p w14:paraId="7D7C2F16" w14:textId="77777777" w:rsidR="00873A53" w:rsidRPr="00C63A98" w:rsidRDefault="00873A53" w:rsidP="00BE31EA">
            <w:pPr>
              <w:pStyle w:val="Tabletext"/>
              <w:keepNext/>
              <w:rPr>
                <w:rFonts w:ascii="Calibri" w:hAnsi="Calibri" w:cs="Calibri"/>
                <w:sz w:val="20"/>
              </w:rPr>
            </w:pPr>
            <w:r w:rsidRPr="00C63A98">
              <w:rPr>
                <w:rFonts w:ascii="Calibri" w:hAnsi="Calibri" w:cs="Calibri"/>
                <w:sz w:val="20"/>
              </w:rPr>
              <w:t>UseServiceBus</w:t>
            </w:r>
          </w:p>
        </w:tc>
        <w:tc>
          <w:tcPr>
            <w:tcW w:w="4387" w:type="dxa"/>
          </w:tcPr>
          <w:p w14:paraId="202763C4" w14:textId="22C51D53" w:rsidR="00873A53" w:rsidRPr="00C63A98" w:rsidRDefault="00873A53" w:rsidP="00BE31EA">
            <w:pPr>
              <w:pStyle w:val="Tabletext"/>
              <w:keepNext/>
              <w:rPr>
                <w:rFonts w:ascii="Calibri" w:hAnsi="Calibri" w:cs="Calibri"/>
                <w:sz w:val="20"/>
              </w:rPr>
            </w:pPr>
            <w:r>
              <w:rPr>
                <w:rFonts w:ascii="Calibri" w:hAnsi="Calibri" w:cs="Calibri"/>
                <w:sz w:val="20"/>
              </w:rPr>
              <w:t>True: the request shall go through the durable functions and queues.</w:t>
            </w:r>
            <w:r w:rsidRPr="00C63A98">
              <w:rPr>
                <w:rFonts w:ascii="Calibri" w:hAnsi="Calibri" w:cs="Calibri"/>
                <w:sz w:val="20"/>
              </w:rPr>
              <w:t xml:space="preserve"> </w:t>
            </w:r>
            <w:r>
              <w:rPr>
                <w:rFonts w:ascii="Calibri" w:hAnsi="Calibri" w:cs="Calibri"/>
                <w:sz w:val="20"/>
              </w:rPr>
              <w:t>False or not sent: the Response Service shall be called directly</w:t>
            </w:r>
          </w:p>
        </w:tc>
        <w:tc>
          <w:tcPr>
            <w:tcW w:w="1432" w:type="dxa"/>
          </w:tcPr>
          <w:p w14:paraId="222B2AF3" w14:textId="77777777" w:rsidR="00873A53" w:rsidRPr="00C63A98" w:rsidRDefault="00873A53" w:rsidP="00BE31EA">
            <w:pPr>
              <w:pStyle w:val="Tabletext"/>
              <w:keepNext/>
              <w:rPr>
                <w:rFonts w:ascii="Calibri" w:hAnsi="Calibri" w:cs="Calibri"/>
                <w:sz w:val="20"/>
              </w:rPr>
            </w:pPr>
            <w:r w:rsidRPr="00C63A98">
              <w:rPr>
                <w:rFonts w:ascii="Calibri" w:hAnsi="Calibri" w:cs="Calibri"/>
                <w:sz w:val="20"/>
              </w:rPr>
              <w:t>No</w:t>
            </w:r>
          </w:p>
        </w:tc>
        <w:tc>
          <w:tcPr>
            <w:tcW w:w="1512" w:type="dxa"/>
          </w:tcPr>
          <w:p w14:paraId="6D1B7076" w14:textId="77777777" w:rsidR="00873A53" w:rsidRPr="00C63A98" w:rsidRDefault="00873A53" w:rsidP="00BE31EA">
            <w:pPr>
              <w:pStyle w:val="Tabletext"/>
              <w:keepNext/>
              <w:rPr>
                <w:rFonts w:ascii="Calibri" w:hAnsi="Calibri" w:cs="Calibri"/>
                <w:sz w:val="20"/>
              </w:rPr>
            </w:pPr>
            <w:r w:rsidRPr="00C63A98">
              <w:rPr>
                <w:rFonts w:ascii="Calibri" w:hAnsi="Calibri" w:cs="Calibri"/>
                <w:sz w:val="20"/>
              </w:rPr>
              <w:t>Boolean</w:t>
            </w:r>
          </w:p>
        </w:tc>
      </w:tr>
    </w:tbl>
    <w:p w14:paraId="7B597619" w14:textId="7BED6C6E" w:rsidR="00873A53" w:rsidRDefault="00873A53" w:rsidP="00873A53">
      <w:pPr>
        <w:pStyle w:val="Caption"/>
      </w:pPr>
      <w:bookmarkStart w:id="169" w:name="_Toc242554010"/>
      <w:r>
        <w:t xml:space="preserve">Table </w:t>
      </w:r>
      <w:bookmarkStart w:id="170" w:name="_Ref917260918"/>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12</w:t>
      </w:r>
      <w:r>
        <w:fldChar w:fldCharType="end"/>
      </w:r>
      <w:bookmarkEnd w:id="170"/>
      <w:r>
        <w:t>: Blend Component Integration (PIAF) - API Endpoint - Request Parameters</w:t>
      </w:r>
      <w:bookmarkEnd w:id="169"/>
    </w:p>
    <w:p w14:paraId="32149F75" w14:textId="77777777" w:rsidR="00873A53" w:rsidRDefault="00873A53" w:rsidP="00FC42E7">
      <w:pPr>
        <w:keepNext/>
        <w:jc w:val="left"/>
      </w:pPr>
      <w:r>
        <w:t>Response Model:</w:t>
      </w:r>
    </w:p>
    <w:tbl>
      <w:tblPr>
        <w:tblStyle w:val="TableGrid"/>
        <w:tblW w:w="93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46"/>
        <w:gridCol w:w="1778"/>
        <w:gridCol w:w="1216"/>
        <w:gridCol w:w="1216"/>
        <w:gridCol w:w="1124"/>
        <w:gridCol w:w="1778"/>
      </w:tblGrid>
      <w:tr w:rsidR="00873A53" w:rsidRPr="00C63A98" w14:paraId="2871322B" w14:textId="77777777" w:rsidTr="00D0687B">
        <w:trPr>
          <w:cantSplit/>
          <w:tblHeader/>
        </w:trPr>
        <w:tc>
          <w:tcPr>
            <w:tcW w:w="2246" w:type="dxa"/>
            <w:shd w:val="clear" w:color="auto" w:fill="2F5597"/>
          </w:tcPr>
          <w:p w14:paraId="5C362771" w14:textId="77777777" w:rsidR="00873A53" w:rsidRPr="00C63A98" w:rsidRDefault="00873A53" w:rsidP="00C63A98">
            <w:pPr>
              <w:pStyle w:val="Tablehead1"/>
              <w:rPr>
                <w:rFonts w:ascii="Calibri" w:hAnsi="Calibri" w:cs="Calibri"/>
                <w:sz w:val="20"/>
              </w:rPr>
            </w:pPr>
            <w:r w:rsidRPr="00C63A98">
              <w:rPr>
                <w:rFonts w:ascii="Calibri" w:hAnsi="Calibri" w:cs="Calibri"/>
                <w:sz w:val="20"/>
              </w:rPr>
              <w:t>Attribute</w:t>
            </w:r>
          </w:p>
        </w:tc>
        <w:tc>
          <w:tcPr>
            <w:tcW w:w="1778" w:type="dxa"/>
            <w:shd w:val="clear" w:color="auto" w:fill="2F5597"/>
          </w:tcPr>
          <w:p w14:paraId="2493EF05" w14:textId="77777777" w:rsidR="00873A53" w:rsidRPr="00C63A98" w:rsidRDefault="00873A53" w:rsidP="00C63A98">
            <w:pPr>
              <w:pStyle w:val="Tablehead1"/>
              <w:rPr>
                <w:rFonts w:ascii="Calibri" w:hAnsi="Calibri" w:cs="Calibri"/>
                <w:sz w:val="20"/>
              </w:rPr>
            </w:pPr>
            <w:r w:rsidRPr="00C63A98">
              <w:rPr>
                <w:rFonts w:ascii="Calibri" w:hAnsi="Calibri" w:cs="Calibri"/>
                <w:sz w:val="20"/>
              </w:rPr>
              <w:t>Description</w:t>
            </w:r>
          </w:p>
        </w:tc>
        <w:tc>
          <w:tcPr>
            <w:tcW w:w="1216" w:type="dxa"/>
            <w:shd w:val="clear" w:color="auto" w:fill="2F5597"/>
          </w:tcPr>
          <w:p w14:paraId="5A456BE8" w14:textId="77777777" w:rsidR="00873A53" w:rsidRPr="00C63A98" w:rsidRDefault="00873A53" w:rsidP="00C63A98">
            <w:pPr>
              <w:pStyle w:val="Tablehead1"/>
              <w:rPr>
                <w:rFonts w:ascii="Calibri" w:hAnsi="Calibri" w:cs="Calibri"/>
                <w:sz w:val="20"/>
              </w:rPr>
            </w:pPr>
            <w:r w:rsidRPr="00C63A98">
              <w:rPr>
                <w:rFonts w:ascii="Calibri" w:hAnsi="Calibri" w:cs="Calibri"/>
                <w:sz w:val="20"/>
              </w:rPr>
              <w:t>Mandatory</w:t>
            </w:r>
          </w:p>
        </w:tc>
        <w:tc>
          <w:tcPr>
            <w:tcW w:w="1216" w:type="dxa"/>
            <w:shd w:val="clear" w:color="auto" w:fill="2F5597"/>
          </w:tcPr>
          <w:p w14:paraId="34497BFF" w14:textId="77777777" w:rsidR="00873A53" w:rsidRPr="00C63A98" w:rsidRDefault="00873A53" w:rsidP="00C63A98">
            <w:pPr>
              <w:pStyle w:val="Tablehead1"/>
              <w:rPr>
                <w:rFonts w:ascii="Calibri" w:hAnsi="Calibri" w:cs="Calibri"/>
                <w:sz w:val="20"/>
              </w:rPr>
            </w:pPr>
            <w:r w:rsidRPr="00C63A98">
              <w:rPr>
                <w:rFonts w:ascii="Calibri" w:hAnsi="Calibri" w:cs="Calibri"/>
                <w:sz w:val="20"/>
              </w:rPr>
              <w:t>Composite Key</w:t>
            </w:r>
          </w:p>
        </w:tc>
        <w:tc>
          <w:tcPr>
            <w:tcW w:w="1124" w:type="dxa"/>
            <w:shd w:val="clear" w:color="auto" w:fill="2F5597"/>
          </w:tcPr>
          <w:p w14:paraId="0226C1E1" w14:textId="77777777" w:rsidR="00873A53" w:rsidRPr="00C63A98" w:rsidRDefault="00873A53" w:rsidP="00C63A98">
            <w:pPr>
              <w:pStyle w:val="Tablehead1"/>
              <w:rPr>
                <w:rFonts w:ascii="Calibri" w:hAnsi="Calibri" w:cs="Calibri"/>
                <w:sz w:val="20"/>
              </w:rPr>
            </w:pPr>
            <w:r w:rsidRPr="00C63A98">
              <w:rPr>
                <w:rFonts w:ascii="Calibri" w:hAnsi="Calibri" w:cs="Calibri"/>
                <w:sz w:val="20"/>
              </w:rPr>
              <w:t>Type</w:t>
            </w:r>
          </w:p>
        </w:tc>
        <w:tc>
          <w:tcPr>
            <w:tcW w:w="1778" w:type="dxa"/>
            <w:shd w:val="clear" w:color="auto" w:fill="2F5597"/>
          </w:tcPr>
          <w:p w14:paraId="23E878DB" w14:textId="77777777" w:rsidR="00873A53" w:rsidRPr="00C63A98" w:rsidRDefault="00873A53" w:rsidP="00C63A98">
            <w:pPr>
              <w:pStyle w:val="Tablehead1"/>
              <w:rPr>
                <w:rFonts w:ascii="Calibri" w:hAnsi="Calibri" w:cs="Calibri"/>
                <w:sz w:val="20"/>
              </w:rPr>
            </w:pPr>
            <w:r w:rsidRPr="00C63A98">
              <w:rPr>
                <w:rFonts w:ascii="Calibri" w:hAnsi="Calibri" w:cs="Calibri"/>
                <w:sz w:val="20"/>
              </w:rPr>
              <w:t>Example</w:t>
            </w:r>
          </w:p>
        </w:tc>
      </w:tr>
      <w:tr w:rsidR="00873A53" w:rsidRPr="00C63A98" w14:paraId="55209214" w14:textId="77777777" w:rsidTr="00D0687B">
        <w:trPr>
          <w:cantSplit/>
        </w:trPr>
        <w:tc>
          <w:tcPr>
            <w:tcW w:w="2246" w:type="dxa"/>
          </w:tcPr>
          <w:p w14:paraId="199E667A"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w:t>
            </w:r>
          </w:p>
        </w:tc>
        <w:tc>
          <w:tcPr>
            <w:tcW w:w="1778" w:type="dxa"/>
          </w:tcPr>
          <w:p w14:paraId="6CCE1B67" w14:textId="77777777" w:rsidR="00873A53" w:rsidRPr="00C63A98" w:rsidRDefault="00873A53" w:rsidP="00C63A98">
            <w:pPr>
              <w:pStyle w:val="Tabletext"/>
              <w:rPr>
                <w:rFonts w:ascii="Calibri" w:hAnsi="Calibri" w:cs="Calibri"/>
                <w:sz w:val="20"/>
              </w:rPr>
            </w:pPr>
            <w:r w:rsidRPr="00C63A98">
              <w:rPr>
                <w:rFonts w:ascii="Calibri" w:hAnsi="Calibri" w:cs="Calibri"/>
                <w:sz w:val="20"/>
              </w:rPr>
              <w:t>Tank, meter or injector of the PI tag mapping</w:t>
            </w:r>
          </w:p>
        </w:tc>
        <w:tc>
          <w:tcPr>
            <w:tcW w:w="1216" w:type="dxa"/>
          </w:tcPr>
          <w:p w14:paraId="39FE2A64"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66AD0E6D"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180F4C1C"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1DE77FDA" w14:textId="076B695B" w:rsidR="00873A53" w:rsidRPr="00C63A98" w:rsidRDefault="00873A53" w:rsidP="00C63A98">
            <w:pPr>
              <w:pStyle w:val="Tabletext"/>
              <w:rPr>
                <w:rFonts w:ascii="Calibri" w:hAnsi="Calibri" w:cs="Calibri"/>
                <w:sz w:val="20"/>
              </w:rPr>
            </w:pPr>
            <w:r>
              <w:rPr>
                <w:rFonts w:ascii="Calibri" w:hAnsi="Calibri" w:cs="Calibri"/>
                <w:sz w:val="20"/>
              </w:rPr>
              <w:t>Injector 1</w:t>
            </w:r>
          </w:p>
        </w:tc>
      </w:tr>
      <w:tr w:rsidR="00873A53" w:rsidRPr="00C63A98" w14:paraId="7607D2AC" w14:textId="77777777" w:rsidTr="00D0687B">
        <w:trPr>
          <w:cantSplit/>
        </w:trPr>
        <w:tc>
          <w:tcPr>
            <w:tcW w:w="2246" w:type="dxa"/>
          </w:tcPr>
          <w:p w14:paraId="5D90F8D5"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Equipment_GlobalCode</w:t>
            </w:r>
          </w:p>
        </w:tc>
        <w:tc>
          <w:tcPr>
            <w:tcW w:w="1778" w:type="dxa"/>
          </w:tcPr>
          <w:p w14:paraId="1DA6EEFA"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equipment</w:t>
            </w:r>
          </w:p>
        </w:tc>
        <w:tc>
          <w:tcPr>
            <w:tcW w:w="1216" w:type="dxa"/>
          </w:tcPr>
          <w:p w14:paraId="282AC05E"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0B229DEF"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124" w:type="dxa"/>
          </w:tcPr>
          <w:p w14:paraId="4A118DC0"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1E77D3DF" w14:textId="77777777" w:rsidR="00873A53" w:rsidRPr="00C63A98" w:rsidRDefault="00873A53" w:rsidP="00C63A98">
            <w:pPr>
              <w:pStyle w:val="Tabletext"/>
              <w:rPr>
                <w:rFonts w:ascii="Calibri" w:hAnsi="Calibri" w:cs="Calibri"/>
                <w:sz w:val="20"/>
              </w:rPr>
            </w:pPr>
          </w:p>
        </w:tc>
      </w:tr>
      <w:tr w:rsidR="00873A53" w:rsidRPr="00C63A98" w14:paraId="5D985BF0" w14:textId="77777777" w:rsidTr="00D0687B">
        <w:trPr>
          <w:cantSplit/>
        </w:trPr>
        <w:tc>
          <w:tcPr>
            <w:tcW w:w="2246" w:type="dxa"/>
          </w:tcPr>
          <w:p w14:paraId="252A0753"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EquipmentGlobalCodeDescription</w:t>
            </w:r>
          </w:p>
        </w:tc>
        <w:tc>
          <w:tcPr>
            <w:tcW w:w="1778" w:type="dxa"/>
          </w:tcPr>
          <w:p w14:paraId="5867B1EC"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description of the equipment</w:t>
            </w:r>
          </w:p>
        </w:tc>
        <w:tc>
          <w:tcPr>
            <w:tcW w:w="1216" w:type="dxa"/>
          </w:tcPr>
          <w:p w14:paraId="1D21A279"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216" w:type="dxa"/>
          </w:tcPr>
          <w:p w14:paraId="2E62B979"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1C7235AB"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6481AB60" w14:textId="77777777" w:rsidR="00873A53" w:rsidRPr="00C63A98" w:rsidRDefault="00873A53" w:rsidP="00C63A98">
            <w:pPr>
              <w:pStyle w:val="Tabletext"/>
              <w:rPr>
                <w:rFonts w:ascii="Calibri" w:hAnsi="Calibri" w:cs="Calibri"/>
                <w:sz w:val="20"/>
              </w:rPr>
            </w:pPr>
          </w:p>
        </w:tc>
      </w:tr>
      <w:tr w:rsidR="00873A53" w:rsidRPr="00C63A98" w14:paraId="176C3331" w14:textId="77777777" w:rsidTr="00D0687B">
        <w:trPr>
          <w:cantSplit/>
        </w:trPr>
        <w:tc>
          <w:tcPr>
            <w:tcW w:w="2246" w:type="dxa"/>
          </w:tcPr>
          <w:p w14:paraId="390BECC4"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Property</w:t>
            </w:r>
          </w:p>
        </w:tc>
        <w:tc>
          <w:tcPr>
            <w:tcW w:w="1778" w:type="dxa"/>
          </w:tcPr>
          <w:p w14:paraId="1986E83B" w14:textId="5271D986" w:rsidR="00873A53" w:rsidRPr="00C63A98" w:rsidRDefault="00873A53" w:rsidP="00C63A98">
            <w:pPr>
              <w:pStyle w:val="Tabletext"/>
              <w:rPr>
                <w:rFonts w:ascii="Calibri" w:hAnsi="Calibri" w:cs="Calibri"/>
                <w:sz w:val="20"/>
              </w:rPr>
            </w:pPr>
            <w:r>
              <w:rPr>
                <w:rFonts w:ascii="Calibri" w:hAnsi="Calibri" w:cs="Calibri"/>
                <w:sz w:val="20"/>
              </w:rPr>
              <w:t>Measured property: an analyzer quality or a daily throughput</w:t>
            </w:r>
          </w:p>
        </w:tc>
        <w:tc>
          <w:tcPr>
            <w:tcW w:w="1216" w:type="dxa"/>
          </w:tcPr>
          <w:p w14:paraId="6787EEC8"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64E05635" w14:textId="77777777" w:rsidR="00873A53" w:rsidRPr="00C63A98" w:rsidRDefault="00873A53" w:rsidP="00C63A98">
            <w:pPr>
              <w:pStyle w:val="Tabletext"/>
              <w:rPr>
                <w:rFonts w:ascii="Calibri" w:hAnsi="Calibri" w:cs="Calibri"/>
                <w:sz w:val="20"/>
              </w:rPr>
            </w:pPr>
            <w:r>
              <w:rPr>
                <w:rFonts w:ascii="Calibri" w:hAnsi="Calibri" w:cs="Calibri"/>
                <w:sz w:val="20"/>
              </w:rPr>
              <w:t>No</w:t>
            </w:r>
          </w:p>
        </w:tc>
        <w:tc>
          <w:tcPr>
            <w:tcW w:w="1124" w:type="dxa"/>
          </w:tcPr>
          <w:p w14:paraId="0D580A25"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0589ED95" w14:textId="6088E400" w:rsidR="00873A53" w:rsidRPr="00C63A98" w:rsidRDefault="00873A53" w:rsidP="00C63A98">
            <w:pPr>
              <w:pStyle w:val="Tabletext"/>
              <w:rPr>
                <w:rFonts w:ascii="Calibri" w:hAnsi="Calibri" w:cs="Calibri"/>
                <w:sz w:val="20"/>
              </w:rPr>
            </w:pPr>
            <w:r>
              <w:rPr>
                <w:rFonts w:ascii="Calibri" w:hAnsi="Calibri" w:cs="Calibri"/>
                <w:sz w:val="20"/>
              </w:rPr>
              <w:t>RVP</w:t>
            </w:r>
          </w:p>
        </w:tc>
      </w:tr>
      <w:tr w:rsidR="00873A53" w:rsidRPr="00C63A98" w14:paraId="7B8E340C" w14:textId="77777777" w:rsidTr="00D0687B">
        <w:trPr>
          <w:cantSplit/>
        </w:trPr>
        <w:tc>
          <w:tcPr>
            <w:tcW w:w="2246" w:type="dxa"/>
          </w:tcPr>
          <w:p w14:paraId="2CF48BE9"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Property_GlobalCode</w:t>
            </w:r>
          </w:p>
        </w:tc>
        <w:tc>
          <w:tcPr>
            <w:tcW w:w="1778" w:type="dxa"/>
          </w:tcPr>
          <w:p w14:paraId="3CA82A75"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property</w:t>
            </w:r>
          </w:p>
        </w:tc>
        <w:tc>
          <w:tcPr>
            <w:tcW w:w="1216" w:type="dxa"/>
          </w:tcPr>
          <w:p w14:paraId="1A71A8EB" w14:textId="77777777" w:rsidR="00873A53" w:rsidRPr="00C63A98" w:rsidRDefault="00873A53" w:rsidP="00C63A98">
            <w:pPr>
              <w:pStyle w:val="Tabletext"/>
              <w:rPr>
                <w:rFonts w:ascii="Calibri" w:hAnsi="Calibri" w:cs="Calibri"/>
                <w:sz w:val="20"/>
              </w:rPr>
            </w:pPr>
            <w:r>
              <w:rPr>
                <w:rFonts w:ascii="Calibri" w:hAnsi="Calibri" w:cs="Calibri"/>
                <w:sz w:val="20"/>
              </w:rPr>
              <w:t>Yes</w:t>
            </w:r>
          </w:p>
        </w:tc>
        <w:tc>
          <w:tcPr>
            <w:tcW w:w="1216" w:type="dxa"/>
          </w:tcPr>
          <w:p w14:paraId="1569EDC1" w14:textId="77777777" w:rsidR="00873A53" w:rsidRPr="00C63A98" w:rsidRDefault="00873A53" w:rsidP="00C63A98">
            <w:pPr>
              <w:pStyle w:val="Tabletext"/>
              <w:rPr>
                <w:rFonts w:ascii="Calibri" w:hAnsi="Calibri" w:cs="Calibri"/>
                <w:sz w:val="20"/>
              </w:rPr>
            </w:pPr>
            <w:r>
              <w:rPr>
                <w:rFonts w:ascii="Calibri" w:hAnsi="Calibri" w:cs="Calibri"/>
                <w:sz w:val="20"/>
              </w:rPr>
              <w:t>Yes</w:t>
            </w:r>
          </w:p>
        </w:tc>
        <w:tc>
          <w:tcPr>
            <w:tcW w:w="1124" w:type="dxa"/>
          </w:tcPr>
          <w:p w14:paraId="1BD2C94D"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00814DB1" w14:textId="77777777" w:rsidR="00873A53" w:rsidRPr="00C63A98" w:rsidRDefault="00873A53" w:rsidP="00C63A98">
            <w:pPr>
              <w:pStyle w:val="Tabletext"/>
              <w:rPr>
                <w:rFonts w:ascii="Calibri" w:hAnsi="Calibri" w:cs="Calibri"/>
                <w:sz w:val="20"/>
              </w:rPr>
            </w:pPr>
          </w:p>
        </w:tc>
      </w:tr>
      <w:tr w:rsidR="00873A53" w:rsidRPr="00C63A98" w14:paraId="72BABEEB" w14:textId="77777777" w:rsidTr="00D0687B">
        <w:trPr>
          <w:cantSplit/>
        </w:trPr>
        <w:tc>
          <w:tcPr>
            <w:tcW w:w="2246" w:type="dxa"/>
          </w:tcPr>
          <w:p w14:paraId="196FABC5" w14:textId="77777777" w:rsidR="00873A53" w:rsidRPr="00C63A98" w:rsidRDefault="00873A53" w:rsidP="00C63A98">
            <w:pPr>
              <w:pStyle w:val="Tabletext"/>
              <w:rPr>
                <w:rFonts w:ascii="Calibri" w:hAnsi="Calibri" w:cs="Calibri"/>
                <w:sz w:val="20"/>
              </w:rPr>
            </w:pPr>
            <w:r w:rsidRPr="00C63A98">
              <w:rPr>
                <w:rFonts w:ascii="Calibri" w:hAnsi="Calibri" w:cs="Calibri"/>
                <w:sz w:val="20"/>
              </w:rPr>
              <w:t>Value</w:t>
            </w:r>
          </w:p>
        </w:tc>
        <w:tc>
          <w:tcPr>
            <w:tcW w:w="1778" w:type="dxa"/>
          </w:tcPr>
          <w:p w14:paraId="6C1D69DF"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 value</w:t>
            </w:r>
          </w:p>
        </w:tc>
        <w:tc>
          <w:tcPr>
            <w:tcW w:w="1216" w:type="dxa"/>
          </w:tcPr>
          <w:p w14:paraId="3F7390E4"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4F8A3E7D"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058C1C14" w14:textId="77777777" w:rsidR="00873A53" w:rsidRPr="00C63A98" w:rsidRDefault="00873A53" w:rsidP="00C63A98">
            <w:pPr>
              <w:pStyle w:val="Tabletext"/>
              <w:rPr>
                <w:rFonts w:ascii="Calibri" w:hAnsi="Calibri" w:cs="Calibri"/>
                <w:sz w:val="20"/>
              </w:rPr>
            </w:pPr>
            <w:r w:rsidRPr="00C63A98">
              <w:rPr>
                <w:rFonts w:ascii="Calibri" w:hAnsi="Calibri" w:cs="Calibri"/>
                <w:sz w:val="20"/>
              </w:rPr>
              <w:t>Decimal (18,4)</w:t>
            </w:r>
          </w:p>
        </w:tc>
        <w:tc>
          <w:tcPr>
            <w:tcW w:w="1778" w:type="dxa"/>
          </w:tcPr>
          <w:p w14:paraId="6B1DD67F" w14:textId="31229B0C" w:rsidR="00873A53" w:rsidRPr="00C63A98" w:rsidRDefault="00873A53" w:rsidP="00C63A98">
            <w:pPr>
              <w:pStyle w:val="Tabletext"/>
              <w:rPr>
                <w:rFonts w:ascii="Calibri" w:hAnsi="Calibri" w:cs="Calibri"/>
                <w:sz w:val="20"/>
              </w:rPr>
            </w:pPr>
            <w:r>
              <w:rPr>
                <w:rFonts w:ascii="Calibri" w:hAnsi="Calibri" w:cs="Calibri"/>
                <w:sz w:val="20"/>
              </w:rPr>
              <w:t>11.36</w:t>
            </w:r>
          </w:p>
        </w:tc>
      </w:tr>
      <w:tr w:rsidR="00873A53" w:rsidRPr="00C63A98" w14:paraId="3AEC7DF5" w14:textId="77777777" w:rsidTr="00D0687B">
        <w:trPr>
          <w:cantSplit/>
        </w:trPr>
        <w:tc>
          <w:tcPr>
            <w:tcW w:w="2246" w:type="dxa"/>
          </w:tcPr>
          <w:p w14:paraId="013B3616" w14:textId="77777777" w:rsidR="00873A53" w:rsidRPr="00C63A98" w:rsidRDefault="00873A53" w:rsidP="00C63A98">
            <w:pPr>
              <w:pStyle w:val="Tabletext"/>
              <w:rPr>
                <w:rFonts w:ascii="Calibri" w:hAnsi="Calibri" w:cs="Calibri"/>
                <w:sz w:val="20"/>
              </w:rPr>
            </w:pPr>
            <w:r w:rsidRPr="00C63A98">
              <w:rPr>
                <w:rFonts w:ascii="Calibri" w:hAnsi="Calibri" w:cs="Calibri"/>
                <w:sz w:val="20"/>
              </w:rPr>
              <w:t>ValueDate</w:t>
            </w:r>
          </w:p>
        </w:tc>
        <w:tc>
          <w:tcPr>
            <w:tcW w:w="1778" w:type="dxa"/>
          </w:tcPr>
          <w:p w14:paraId="57968F15"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 stamp of the value</w:t>
            </w:r>
          </w:p>
        </w:tc>
        <w:tc>
          <w:tcPr>
            <w:tcW w:w="1216" w:type="dxa"/>
          </w:tcPr>
          <w:p w14:paraId="45FBEF19"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6D10688C"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124" w:type="dxa"/>
          </w:tcPr>
          <w:p w14:paraId="2987B43A" w14:textId="77777777" w:rsidR="00873A53" w:rsidRPr="00C63A98" w:rsidRDefault="00873A53" w:rsidP="00C63A98">
            <w:pPr>
              <w:pStyle w:val="Tabletext"/>
              <w:rPr>
                <w:rFonts w:ascii="Calibri" w:hAnsi="Calibri" w:cs="Calibri"/>
                <w:sz w:val="20"/>
              </w:rPr>
            </w:pPr>
            <w:r w:rsidRPr="00C63A98">
              <w:rPr>
                <w:rFonts w:ascii="Calibri" w:hAnsi="Calibri" w:cs="Calibri"/>
                <w:sz w:val="20"/>
              </w:rPr>
              <w:t>DateTime</w:t>
            </w:r>
          </w:p>
        </w:tc>
        <w:tc>
          <w:tcPr>
            <w:tcW w:w="1778" w:type="dxa"/>
          </w:tcPr>
          <w:p w14:paraId="5619E82A" w14:textId="25378B1C" w:rsidR="00873A53" w:rsidRPr="00C63A98" w:rsidRDefault="00873A53" w:rsidP="00C63A98">
            <w:pPr>
              <w:pStyle w:val="Tabletext"/>
              <w:rPr>
                <w:rFonts w:ascii="Calibri" w:hAnsi="Calibri" w:cs="Calibri"/>
                <w:sz w:val="20"/>
              </w:rPr>
            </w:pPr>
          </w:p>
        </w:tc>
      </w:tr>
      <w:tr w:rsidR="00873A53" w:rsidRPr="00C63A98" w14:paraId="2E93235C" w14:textId="77777777" w:rsidTr="00D0687B">
        <w:trPr>
          <w:cantSplit/>
        </w:trPr>
        <w:tc>
          <w:tcPr>
            <w:tcW w:w="2246" w:type="dxa"/>
          </w:tcPr>
          <w:p w14:paraId="1DA8ECA8"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w:t>
            </w:r>
          </w:p>
        </w:tc>
        <w:tc>
          <w:tcPr>
            <w:tcW w:w="1778" w:type="dxa"/>
          </w:tcPr>
          <w:p w14:paraId="748BBBE6"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Product or blend component</w:t>
            </w:r>
          </w:p>
        </w:tc>
        <w:tc>
          <w:tcPr>
            <w:tcW w:w="1216" w:type="dxa"/>
          </w:tcPr>
          <w:p w14:paraId="2FB462B6" w14:textId="77777777" w:rsidR="00873A53" w:rsidRPr="00C63A98" w:rsidRDefault="00873A53" w:rsidP="00C63A98">
            <w:pPr>
              <w:pStyle w:val="Tabletext"/>
              <w:rPr>
                <w:rFonts w:ascii="Calibri" w:hAnsi="Calibri" w:cs="Calibri"/>
                <w:sz w:val="20"/>
              </w:rPr>
            </w:pPr>
            <w:r>
              <w:rPr>
                <w:rFonts w:ascii="Calibri" w:hAnsi="Calibri" w:cs="Calibri"/>
                <w:sz w:val="20"/>
              </w:rPr>
              <w:t>Yes</w:t>
            </w:r>
          </w:p>
        </w:tc>
        <w:tc>
          <w:tcPr>
            <w:tcW w:w="1216" w:type="dxa"/>
          </w:tcPr>
          <w:p w14:paraId="363BB935"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2C3CFEF8"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3B0E4C55" w14:textId="77777777" w:rsidR="00873A53" w:rsidRPr="00C63A98" w:rsidRDefault="00873A53" w:rsidP="00C63A98">
            <w:pPr>
              <w:pStyle w:val="Tabletext"/>
              <w:rPr>
                <w:rFonts w:ascii="Calibri" w:hAnsi="Calibri" w:cs="Calibri"/>
                <w:sz w:val="20"/>
              </w:rPr>
            </w:pPr>
          </w:p>
        </w:tc>
      </w:tr>
      <w:tr w:rsidR="00873A53" w:rsidRPr="00C63A98" w14:paraId="511CA543" w14:textId="77777777" w:rsidTr="00D0687B">
        <w:trPr>
          <w:cantSplit/>
        </w:trPr>
        <w:tc>
          <w:tcPr>
            <w:tcW w:w="2246" w:type="dxa"/>
          </w:tcPr>
          <w:p w14:paraId="5DC04907"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Material_GlobalCode</w:t>
            </w:r>
          </w:p>
        </w:tc>
        <w:tc>
          <w:tcPr>
            <w:tcW w:w="1778" w:type="dxa"/>
          </w:tcPr>
          <w:p w14:paraId="34BE6BC2"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material</w:t>
            </w:r>
          </w:p>
        </w:tc>
        <w:tc>
          <w:tcPr>
            <w:tcW w:w="1216" w:type="dxa"/>
          </w:tcPr>
          <w:p w14:paraId="0838BFA1" w14:textId="77777777" w:rsidR="00873A53" w:rsidRPr="00C63A98" w:rsidRDefault="00873A53" w:rsidP="00C63A98">
            <w:pPr>
              <w:pStyle w:val="Tabletext"/>
              <w:rPr>
                <w:rFonts w:ascii="Calibri" w:hAnsi="Calibri" w:cs="Calibri"/>
                <w:sz w:val="20"/>
              </w:rPr>
            </w:pPr>
            <w:r>
              <w:rPr>
                <w:rFonts w:ascii="Calibri" w:hAnsi="Calibri" w:cs="Calibri"/>
                <w:sz w:val="20"/>
              </w:rPr>
              <w:t>Yes</w:t>
            </w:r>
          </w:p>
        </w:tc>
        <w:tc>
          <w:tcPr>
            <w:tcW w:w="1216" w:type="dxa"/>
          </w:tcPr>
          <w:p w14:paraId="041C4847"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124" w:type="dxa"/>
          </w:tcPr>
          <w:p w14:paraId="4C0D7587"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3B629C8D" w14:textId="77777777" w:rsidR="00873A53" w:rsidRPr="00C63A98" w:rsidRDefault="00873A53" w:rsidP="00C63A98">
            <w:pPr>
              <w:pStyle w:val="Tabletext"/>
              <w:rPr>
                <w:rFonts w:ascii="Calibri" w:hAnsi="Calibri" w:cs="Calibri"/>
                <w:sz w:val="20"/>
              </w:rPr>
            </w:pPr>
          </w:p>
        </w:tc>
      </w:tr>
      <w:tr w:rsidR="00873A53" w:rsidRPr="00C63A98" w14:paraId="55A60574" w14:textId="77777777" w:rsidTr="00D0687B">
        <w:trPr>
          <w:cantSplit/>
        </w:trPr>
        <w:tc>
          <w:tcPr>
            <w:tcW w:w="2246" w:type="dxa"/>
          </w:tcPr>
          <w:p w14:paraId="52FCE596"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MaterialGlobalCodeDescription</w:t>
            </w:r>
          </w:p>
        </w:tc>
        <w:tc>
          <w:tcPr>
            <w:tcW w:w="1778" w:type="dxa"/>
          </w:tcPr>
          <w:p w14:paraId="4B009B0F"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description of the material</w:t>
            </w:r>
          </w:p>
        </w:tc>
        <w:tc>
          <w:tcPr>
            <w:tcW w:w="1216" w:type="dxa"/>
          </w:tcPr>
          <w:p w14:paraId="71497A0B"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216" w:type="dxa"/>
          </w:tcPr>
          <w:p w14:paraId="2ADBF1E8"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52DC1923"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60BD34F8" w14:textId="77777777" w:rsidR="00873A53" w:rsidRPr="00C63A98" w:rsidRDefault="00873A53" w:rsidP="00C63A98">
            <w:pPr>
              <w:pStyle w:val="Tabletext"/>
              <w:rPr>
                <w:rFonts w:ascii="Calibri" w:hAnsi="Calibri" w:cs="Calibri"/>
                <w:sz w:val="20"/>
              </w:rPr>
            </w:pPr>
          </w:p>
        </w:tc>
      </w:tr>
      <w:tr w:rsidR="00873A53" w:rsidRPr="00C63A98" w14:paraId="517FD97A" w14:textId="77777777" w:rsidTr="00D0687B">
        <w:trPr>
          <w:cantSplit/>
        </w:trPr>
        <w:tc>
          <w:tcPr>
            <w:tcW w:w="2246" w:type="dxa"/>
          </w:tcPr>
          <w:p w14:paraId="5D2C1A8A" w14:textId="77777777" w:rsidR="00873A53" w:rsidRPr="00C63A98" w:rsidRDefault="00873A53" w:rsidP="00C63A98">
            <w:pPr>
              <w:pStyle w:val="Tabletext"/>
              <w:rPr>
                <w:rFonts w:ascii="Calibri" w:hAnsi="Calibri" w:cs="Calibri"/>
                <w:sz w:val="20"/>
              </w:rPr>
            </w:pPr>
            <w:r w:rsidRPr="00C63A98">
              <w:rPr>
                <w:rFonts w:ascii="Calibri" w:hAnsi="Calibri" w:cs="Calibri"/>
                <w:sz w:val="20"/>
              </w:rPr>
              <w:t>UOM</w:t>
            </w:r>
          </w:p>
        </w:tc>
        <w:tc>
          <w:tcPr>
            <w:tcW w:w="1778" w:type="dxa"/>
          </w:tcPr>
          <w:p w14:paraId="00031374" w14:textId="77777777" w:rsidR="00873A53" w:rsidRPr="00C63A98" w:rsidRDefault="00873A53" w:rsidP="00C63A98">
            <w:pPr>
              <w:pStyle w:val="Tabletext"/>
              <w:rPr>
                <w:rFonts w:ascii="Calibri" w:hAnsi="Calibri" w:cs="Calibri"/>
                <w:sz w:val="20"/>
              </w:rPr>
            </w:pPr>
            <w:r w:rsidRPr="00C63A98">
              <w:rPr>
                <w:rFonts w:ascii="Calibri" w:hAnsi="Calibri" w:cs="Calibri"/>
                <w:sz w:val="20"/>
              </w:rPr>
              <w:t>Unit of the value</w:t>
            </w:r>
          </w:p>
        </w:tc>
        <w:tc>
          <w:tcPr>
            <w:tcW w:w="1216" w:type="dxa"/>
          </w:tcPr>
          <w:p w14:paraId="110DEB29"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216" w:type="dxa"/>
          </w:tcPr>
          <w:p w14:paraId="5E034934"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3F1C383B"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38A5F39E" w14:textId="1889A654" w:rsidR="00873A53" w:rsidRPr="00C63A98" w:rsidRDefault="00873A53" w:rsidP="00C63A98">
            <w:pPr>
              <w:pStyle w:val="Tabletext"/>
              <w:rPr>
                <w:rFonts w:ascii="Calibri" w:hAnsi="Calibri" w:cs="Calibri"/>
                <w:sz w:val="20"/>
              </w:rPr>
            </w:pPr>
          </w:p>
        </w:tc>
      </w:tr>
      <w:tr w:rsidR="00873A53" w:rsidRPr="00C63A98" w14:paraId="58C03DE0" w14:textId="77777777" w:rsidTr="00D0687B">
        <w:trPr>
          <w:cantSplit/>
        </w:trPr>
        <w:tc>
          <w:tcPr>
            <w:tcW w:w="2246" w:type="dxa"/>
          </w:tcPr>
          <w:p w14:paraId="30C6F86F" w14:textId="77777777" w:rsidR="00873A53" w:rsidRPr="00C63A98" w:rsidRDefault="00873A53" w:rsidP="00C63A98">
            <w:pPr>
              <w:pStyle w:val="Tabletext"/>
              <w:rPr>
                <w:rFonts w:ascii="Calibri" w:hAnsi="Calibri" w:cs="Calibri"/>
                <w:sz w:val="20"/>
              </w:rPr>
            </w:pPr>
            <w:r w:rsidRPr="00C63A98">
              <w:rPr>
                <w:rFonts w:ascii="Calibri" w:hAnsi="Calibri" w:cs="Calibri"/>
                <w:sz w:val="20"/>
              </w:rPr>
              <w:t>UOM_GlobalCode</w:t>
            </w:r>
          </w:p>
        </w:tc>
        <w:tc>
          <w:tcPr>
            <w:tcW w:w="1778" w:type="dxa"/>
          </w:tcPr>
          <w:p w14:paraId="5C358F5E"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unit</w:t>
            </w:r>
          </w:p>
        </w:tc>
        <w:tc>
          <w:tcPr>
            <w:tcW w:w="1216" w:type="dxa"/>
          </w:tcPr>
          <w:p w14:paraId="0DC9E936"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216" w:type="dxa"/>
          </w:tcPr>
          <w:p w14:paraId="16046ADA"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4283E372"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58B9535F" w14:textId="77777777" w:rsidR="00873A53" w:rsidRPr="00C63A98" w:rsidRDefault="00873A53" w:rsidP="00C63A98">
            <w:pPr>
              <w:pStyle w:val="Tabletext"/>
              <w:rPr>
                <w:rFonts w:ascii="Calibri" w:hAnsi="Calibri" w:cs="Calibri"/>
                <w:sz w:val="20"/>
              </w:rPr>
            </w:pPr>
          </w:p>
        </w:tc>
      </w:tr>
      <w:tr w:rsidR="00873A53" w:rsidRPr="00C63A98" w14:paraId="1C5E0675" w14:textId="77777777" w:rsidTr="00D0687B">
        <w:trPr>
          <w:cantSplit/>
        </w:trPr>
        <w:tc>
          <w:tcPr>
            <w:tcW w:w="2246" w:type="dxa"/>
          </w:tcPr>
          <w:p w14:paraId="62129676"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PITag</w:t>
            </w:r>
          </w:p>
        </w:tc>
        <w:tc>
          <w:tcPr>
            <w:tcW w:w="1778" w:type="dxa"/>
          </w:tcPr>
          <w:p w14:paraId="7E230FC5"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 tag (PIAF attribute path)</w:t>
            </w:r>
          </w:p>
        </w:tc>
        <w:tc>
          <w:tcPr>
            <w:tcW w:w="1216" w:type="dxa"/>
          </w:tcPr>
          <w:p w14:paraId="2220EFC8"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649B7ED5"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3C5D8D8B"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6C0BD101" w14:textId="03C0DA76" w:rsidR="00873A53" w:rsidRPr="00C63A98" w:rsidRDefault="00873A53" w:rsidP="00C63A98">
            <w:pPr>
              <w:pStyle w:val="Tabletext"/>
              <w:rPr>
                <w:rFonts w:ascii="Calibri" w:hAnsi="Calibri" w:cs="Calibri"/>
                <w:sz w:val="20"/>
              </w:rPr>
            </w:pPr>
            <w:r>
              <w:rPr>
                <w:rFonts w:ascii="Calibri" w:hAnsi="Calibri" w:cs="Calibri"/>
                <w:sz w:val="20"/>
              </w:rPr>
              <w:t>\\PIAF-TTR\TTR_PROD\Terminals\Lima\__Butane Blending|Injector 1|RVP</w:t>
            </w:r>
          </w:p>
        </w:tc>
      </w:tr>
      <w:tr w:rsidR="00873A53" w:rsidRPr="00C63A98" w14:paraId="677D31A0" w14:textId="77777777" w:rsidTr="00D0687B">
        <w:trPr>
          <w:cantSplit/>
        </w:trPr>
        <w:tc>
          <w:tcPr>
            <w:tcW w:w="2246" w:type="dxa"/>
          </w:tcPr>
          <w:p w14:paraId="5E2A69FA"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PIDescription</w:t>
            </w:r>
          </w:p>
        </w:tc>
        <w:tc>
          <w:tcPr>
            <w:tcW w:w="1778" w:type="dxa"/>
          </w:tcPr>
          <w:p w14:paraId="1C3093DC" w14:textId="77777777" w:rsidR="00873A53" w:rsidRPr="00C63A98" w:rsidRDefault="00873A53" w:rsidP="00C63A98">
            <w:pPr>
              <w:pStyle w:val="Tabletext"/>
              <w:rPr>
                <w:rFonts w:ascii="Calibri" w:hAnsi="Calibri" w:cs="Calibri"/>
                <w:sz w:val="20"/>
              </w:rPr>
            </w:pPr>
            <w:r>
              <w:rPr>
                <w:rFonts w:ascii="Calibri" w:hAnsi="Calibri" w:cs="Calibri"/>
                <w:sz w:val="20"/>
              </w:rPr>
              <w:t>Description of the PI tag, held in Profisee only</w:t>
            </w:r>
          </w:p>
        </w:tc>
        <w:tc>
          <w:tcPr>
            <w:tcW w:w="1216" w:type="dxa"/>
          </w:tcPr>
          <w:p w14:paraId="0EA511F4"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216" w:type="dxa"/>
          </w:tcPr>
          <w:p w14:paraId="6DAE6580"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5678D19D"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740E6673" w14:textId="61F34CDC" w:rsidR="00873A53" w:rsidRPr="00C63A98" w:rsidRDefault="00873A53" w:rsidP="00C63A98">
            <w:pPr>
              <w:pStyle w:val="Tabletext"/>
              <w:rPr>
                <w:rFonts w:ascii="Calibri" w:hAnsi="Calibri" w:cs="Calibri"/>
                <w:sz w:val="20"/>
              </w:rPr>
            </w:pPr>
          </w:p>
        </w:tc>
      </w:tr>
      <w:tr w:rsidR="00873A53" w:rsidRPr="00C63A98" w14:paraId="5CCEAC4B" w14:textId="77777777" w:rsidTr="00D0687B">
        <w:trPr>
          <w:cantSplit/>
        </w:trPr>
        <w:tc>
          <w:tcPr>
            <w:tcW w:w="2246" w:type="dxa"/>
          </w:tcPr>
          <w:p w14:paraId="48E5BE09"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w:t>
            </w:r>
          </w:p>
        </w:tc>
        <w:tc>
          <w:tcPr>
            <w:tcW w:w="1778" w:type="dxa"/>
          </w:tcPr>
          <w:p w14:paraId="30B8433A" w14:textId="77777777" w:rsidR="00873A53" w:rsidRPr="00C63A98" w:rsidRDefault="00873A53" w:rsidP="00C63A98">
            <w:pPr>
              <w:pStyle w:val="Tabletext"/>
              <w:rPr>
                <w:rFonts w:ascii="Calibri" w:hAnsi="Calibri" w:cs="Calibri"/>
                <w:sz w:val="20"/>
              </w:rPr>
            </w:pPr>
            <w:r w:rsidRPr="00C63A98">
              <w:rPr>
                <w:rFonts w:ascii="Calibri" w:hAnsi="Calibri" w:cs="Calibri"/>
                <w:sz w:val="20"/>
              </w:rPr>
              <w:t>Terminal</w:t>
            </w:r>
          </w:p>
        </w:tc>
        <w:tc>
          <w:tcPr>
            <w:tcW w:w="1216" w:type="dxa"/>
          </w:tcPr>
          <w:p w14:paraId="27F7C763"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67A8E718"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55B68485"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5606C55F" w14:textId="55DF9021" w:rsidR="00873A53" w:rsidRPr="00C63A98" w:rsidRDefault="00873A53" w:rsidP="00C63A98">
            <w:pPr>
              <w:pStyle w:val="Tabletext"/>
              <w:rPr>
                <w:rFonts w:ascii="Calibri" w:hAnsi="Calibri" w:cs="Calibri"/>
                <w:sz w:val="20"/>
              </w:rPr>
            </w:pPr>
            <w:r>
              <w:rPr>
                <w:rFonts w:ascii="Calibri" w:hAnsi="Calibri" w:cs="Calibri"/>
                <w:sz w:val="20"/>
              </w:rPr>
              <w:t>Lima</w:t>
            </w:r>
          </w:p>
        </w:tc>
      </w:tr>
      <w:tr w:rsidR="00873A53" w:rsidRPr="00C63A98" w14:paraId="34341A15" w14:textId="77777777" w:rsidTr="00D0687B">
        <w:trPr>
          <w:cantSplit/>
        </w:trPr>
        <w:tc>
          <w:tcPr>
            <w:tcW w:w="2246" w:type="dxa"/>
          </w:tcPr>
          <w:p w14:paraId="7FB4B0D4"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Location_GlobalCode</w:t>
            </w:r>
          </w:p>
        </w:tc>
        <w:tc>
          <w:tcPr>
            <w:tcW w:w="1778" w:type="dxa"/>
          </w:tcPr>
          <w:p w14:paraId="51F0B152"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location</w:t>
            </w:r>
          </w:p>
        </w:tc>
        <w:tc>
          <w:tcPr>
            <w:tcW w:w="1216" w:type="dxa"/>
          </w:tcPr>
          <w:p w14:paraId="19CF7DD1"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481A8B66"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124" w:type="dxa"/>
          </w:tcPr>
          <w:p w14:paraId="3D62A50B"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0C625A6F" w14:textId="77777777" w:rsidR="00873A53" w:rsidRPr="00C63A98" w:rsidRDefault="00873A53" w:rsidP="00C63A98">
            <w:pPr>
              <w:pStyle w:val="Tabletext"/>
              <w:rPr>
                <w:rFonts w:ascii="Calibri" w:hAnsi="Calibri" w:cs="Calibri"/>
                <w:sz w:val="20"/>
              </w:rPr>
            </w:pPr>
          </w:p>
        </w:tc>
      </w:tr>
      <w:tr w:rsidR="00873A53" w:rsidRPr="00C63A98" w14:paraId="770DE575" w14:textId="77777777" w:rsidTr="00D0687B">
        <w:trPr>
          <w:cantSplit/>
        </w:trPr>
        <w:tc>
          <w:tcPr>
            <w:tcW w:w="2246" w:type="dxa"/>
          </w:tcPr>
          <w:p w14:paraId="4DD97597"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LocationGlobalCodeDescription</w:t>
            </w:r>
          </w:p>
        </w:tc>
        <w:tc>
          <w:tcPr>
            <w:tcW w:w="1778" w:type="dxa"/>
          </w:tcPr>
          <w:p w14:paraId="2A80F328"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description of the location</w:t>
            </w:r>
          </w:p>
        </w:tc>
        <w:tc>
          <w:tcPr>
            <w:tcW w:w="1216" w:type="dxa"/>
          </w:tcPr>
          <w:p w14:paraId="2FFCFC15"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216" w:type="dxa"/>
          </w:tcPr>
          <w:p w14:paraId="175F6E19"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430F7EF6"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448680F4" w14:textId="77777777" w:rsidR="00873A53" w:rsidRPr="00C63A98" w:rsidRDefault="00873A53" w:rsidP="00C63A98">
            <w:pPr>
              <w:pStyle w:val="Tabletext"/>
              <w:rPr>
                <w:rFonts w:ascii="Calibri" w:hAnsi="Calibri" w:cs="Calibri"/>
                <w:sz w:val="20"/>
              </w:rPr>
            </w:pPr>
          </w:p>
        </w:tc>
      </w:tr>
      <w:tr w:rsidR="00873A53" w:rsidRPr="00C63A98" w14:paraId="03DD36ED" w14:textId="77777777" w:rsidTr="00D0687B">
        <w:trPr>
          <w:cantSplit/>
        </w:trPr>
        <w:tc>
          <w:tcPr>
            <w:tcW w:w="2246" w:type="dxa"/>
          </w:tcPr>
          <w:p w14:paraId="6B28AB05"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TimeZone</w:t>
            </w:r>
          </w:p>
        </w:tc>
        <w:tc>
          <w:tcPr>
            <w:tcW w:w="1778" w:type="dxa"/>
          </w:tcPr>
          <w:p w14:paraId="1235BFDA"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 zone of the location</w:t>
            </w:r>
          </w:p>
        </w:tc>
        <w:tc>
          <w:tcPr>
            <w:tcW w:w="1216" w:type="dxa"/>
          </w:tcPr>
          <w:p w14:paraId="330DCA5D"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216" w:type="dxa"/>
          </w:tcPr>
          <w:p w14:paraId="33192628"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66D9943C"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4418BB7B" w14:textId="77777777" w:rsidR="00873A53" w:rsidRPr="00C63A98" w:rsidRDefault="00873A53" w:rsidP="00C63A98">
            <w:pPr>
              <w:pStyle w:val="Tabletext"/>
              <w:rPr>
                <w:rFonts w:ascii="Calibri" w:hAnsi="Calibri" w:cs="Calibri"/>
                <w:sz w:val="20"/>
              </w:rPr>
            </w:pPr>
          </w:p>
        </w:tc>
      </w:tr>
      <w:tr w:rsidR="00873A53" w:rsidRPr="00C63A98" w14:paraId="4FBAAE03" w14:textId="77777777" w:rsidTr="00D0687B">
        <w:trPr>
          <w:cantSplit/>
        </w:trPr>
        <w:tc>
          <w:tcPr>
            <w:tcW w:w="2246" w:type="dxa"/>
          </w:tcPr>
          <w:p w14:paraId="5890E263" w14:textId="77777777" w:rsidR="00873A53" w:rsidRPr="00C63A98" w:rsidRDefault="00873A53" w:rsidP="00C63A98">
            <w:pPr>
              <w:pStyle w:val="Tabletext"/>
              <w:rPr>
                <w:rFonts w:ascii="Calibri" w:hAnsi="Calibri" w:cs="Calibri"/>
                <w:sz w:val="20"/>
              </w:rPr>
            </w:pPr>
            <w:r w:rsidRPr="00C63A98">
              <w:rPr>
                <w:rFonts w:ascii="Calibri" w:hAnsi="Calibri" w:cs="Calibri"/>
                <w:sz w:val="20"/>
              </w:rPr>
              <w:t>Region</w:t>
            </w:r>
          </w:p>
        </w:tc>
        <w:tc>
          <w:tcPr>
            <w:tcW w:w="1778" w:type="dxa"/>
          </w:tcPr>
          <w:p w14:paraId="4949C3F6" w14:textId="77777777" w:rsidR="00873A53" w:rsidRPr="00C63A98" w:rsidRDefault="00873A53" w:rsidP="00C63A98">
            <w:pPr>
              <w:pStyle w:val="Tabletext"/>
              <w:rPr>
                <w:rFonts w:ascii="Calibri" w:hAnsi="Calibri" w:cs="Calibri"/>
                <w:sz w:val="20"/>
              </w:rPr>
            </w:pPr>
            <w:r w:rsidRPr="00C63A98">
              <w:rPr>
                <w:rFonts w:ascii="Calibri" w:hAnsi="Calibri" w:cs="Calibri"/>
                <w:sz w:val="20"/>
              </w:rPr>
              <w:t>Region of the location</w:t>
            </w:r>
          </w:p>
        </w:tc>
        <w:tc>
          <w:tcPr>
            <w:tcW w:w="1216" w:type="dxa"/>
          </w:tcPr>
          <w:p w14:paraId="2DEF7F99"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216" w:type="dxa"/>
          </w:tcPr>
          <w:p w14:paraId="57FED225"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w:t>
            </w:r>
          </w:p>
        </w:tc>
        <w:tc>
          <w:tcPr>
            <w:tcW w:w="1124" w:type="dxa"/>
          </w:tcPr>
          <w:p w14:paraId="65D0ACCE"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11825319" w14:textId="77777777" w:rsidR="00873A53" w:rsidRPr="00C63A98" w:rsidRDefault="00873A53" w:rsidP="00C63A98">
            <w:pPr>
              <w:pStyle w:val="Tabletext"/>
              <w:rPr>
                <w:rFonts w:ascii="Calibri" w:hAnsi="Calibri" w:cs="Calibri"/>
                <w:sz w:val="20"/>
              </w:rPr>
            </w:pPr>
            <w:r w:rsidRPr="00C63A98">
              <w:rPr>
                <w:rFonts w:ascii="Calibri" w:hAnsi="Calibri" w:cs="Calibri"/>
                <w:sz w:val="20"/>
              </w:rPr>
              <w:t>North</w:t>
            </w:r>
          </w:p>
        </w:tc>
      </w:tr>
      <w:tr w:rsidR="00873A53" w:rsidRPr="00C63A98" w14:paraId="33D94F25" w14:textId="77777777" w:rsidTr="00D0687B">
        <w:trPr>
          <w:cantSplit/>
        </w:trPr>
        <w:tc>
          <w:tcPr>
            <w:tcW w:w="2246" w:type="dxa"/>
          </w:tcPr>
          <w:p w14:paraId="47B29151"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State</w:t>
            </w:r>
          </w:p>
        </w:tc>
        <w:tc>
          <w:tcPr>
            <w:tcW w:w="1778" w:type="dxa"/>
          </w:tcPr>
          <w:p w14:paraId="287D9D4E" w14:textId="77777777" w:rsidR="00873A53" w:rsidRPr="00C63A98" w:rsidRDefault="00873A53" w:rsidP="00C63A98">
            <w:pPr>
              <w:pStyle w:val="Tabletext"/>
              <w:rPr>
                <w:rFonts w:ascii="Calibri" w:hAnsi="Calibri" w:cs="Calibri"/>
                <w:sz w:val="20"/>
              </w:rPr>
            </w:pPr>
            <w:r w:rsidRPr="00C63A98">
              <w:rPr>
                <w:rFonts w:ascii="Calibri" w:hAnsi="Calibri" w:cs="Calibri"/>
                <w:sz w:val="20"/>
              </w:rPr>
              <w:t>Data state</w:t>
            </w:r>
          </w:p>
        </w:tc>
        <w:tc>
          <w:tcPr>
            <w:tcW w:w="1216" w:type="dxa"/>
          </w:tcPr>
          <w:p w14:paraId="76087ABF"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216" w:type="dxa"/>
          </w:tcPr>
          <w:p w14:paraId="3E59E12E" w14:textId="77777777" w:rsidR="00873A53" w:rsidRPr="00C63A98" w:rsidRDefault="00873A53" w:rsidP="00C63A98">
            <w:pPr>
              <w:pStyle w:val="Tabletext"/>
              <w:rPr>
                <w:rFonts w:ascii="Calibri" w:hAnsi="Calibri" w:cs="Calibri"/>
                <w:sz w:val="20"/>
              </w:rPr>
            </w:pPr>
            <w:r w:rsidRPr="00C63A98">
              <w:rPr>
                <w:rFonts w:ascii="Calibri" w:hAnsi="Calibri" w:cs="Calibri"/>
                <w:sz w:val="20"/>
              </w:rPr>
              <w:t>Yes</w:t>
            </w:r>
          </w:p>
        </w:tc>
        <w:tc>
          <w:tcPr>
            <w:tcW w:w="1124" w:type="dxa"/>
          </w:tcPr>
          <w:p w14:paraId="19207BDA"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String</w:t>
            </w:r>
          </w:p>
        </w:tc>
        <w:tc>
          <w:tcPr>
            <w:tcW w:w="1778" w:type="dxa"/>
          </w:tcPr>
          <w:p w14:paraId="0E3C2161" w14:textId="77777777" w:rsidR="00873A53" w:rsidRPr="00C63A98" w:rsidRDefault="00873A53" w:rsidP="00C63A98">
            <w:pPr>
              <w:pStyle w:val="Tabletext"/>
              <w:rPr>
                <w:rFonts w:ascii="Calibri" w:hAnsi="Calibri" w:cs="Calibri"/>
                <w:sz w:val="20"/>
              </w:rPr>
            </w:pPr>
            <w:r w:rsidRPr="00C63A98">
              <w:rPr>
                <w:rFonts w:ascii="Calibri" w:hAnsi="Calibri" w:cs="Calibri"/>
                <w:sz w:val="20"/>
              </w:rPr>
              <w:t>Actual</w:t>
            </w:r>
          </w:p>
        </w:tc>
      </w:tr>
      <w:tr w:rsidR="00873A53" w:rsidRPr="00C63A98" w14:paraId="29949280" w14:textId="77777777" w:rsidTr="00D0687B">
        <w:trPr>
          <w:cantSplit/>
        </w:trPr>
        <w:tc>
          <w:tcPr>
            <w:tcW w:w="2246" w:type="dxa"/>
          </w:tcPr>
          <w:p w14:paraId="32BE0E2B"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DataSource</w:t>
            </w:r>
          </w:p>
        </w:tc>
        <w:tc>
          <w:tcPr>
            <w:tcW w:w="1778" w:type="dxa"/>
          </w:tcPr>
          <w:p w14:paraId="4032454A"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Source system</w:t>
            </w:r>
          </w:p>
        </w:tc>
        <w:tc>
          <w:tcPr>
            <w:tcW w:w="1216" w:type="dxa"/>
          </w:tcPr>
          <w:p w14:paraId="6398EE2A"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Yes</w:t>
            </w:r>
          </w:p>
        </w:tc>
        <w:tc>
          <w:tcPr>
            <w:tcW w:w="1216" w:type="dxa"/>
          </w:tcPr>
          <w:p w14:paraId="7CF5A9A1"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Yes</w:t>
            </w:r>
          </w:p>
        </w:tc>
        <w:tc>
          <w:tcPr>
            <w:tcW w:w="1124" w:type="dxa"/>
          </w:tcPr>
          <w:p w14:paraId="777986A9"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String</w:t>
            </w:r>
          </w:p>
        </w:tc>
        <w:tc>
          <w:tcPr>
            <w:tcW w:w="1778" w:type="dxa"/>
          </w:tcPr>
          <w:p w14:paraId="0C30074B"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PIAF</w:t>
            </w:r>
          </w:p>
        </w:tc>
      </w:tr>
    </w:tbl>
    <w:p w14:paraId="43C51290" w14:textId="79CC8F17" w:rsidR="00873A53" w:rsidRDefault="00873A53" w:rsidP="00873A53">
      <w:pPr>
        <w:pStyle w:val="Caption"/>
      </w:pPr>
      <w:bookmarkStart w:id="171" w:name="_Toc242554011"/>
      <w:r>
        <w:t xml:space="preserve">Table </w:t>
      </w:r>
      <w:bookmarkStart w:id="172" w:name="_Ref917260923"/>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13</w:t>
      </w:r>
      <w:r>
        <w:fldChar w:fldCharType="end"/>
      </w:r>
      <w:bookmarkEnd w:id="172"/>
      <w:r>
        <w:t>: Blend Component Integration (PIAF) - API Endpoint - Response Model</w:t>
      </w:r>
      <w:bookmarkEnd w:id="171"/>
    </w:p>
    <w:p w14:paraId="6F2B9D0C" w14:textId="77777777" w:rsidR="006958CC" w:rsidRPr="006958CC" w:rsidRDefault="006958CC" w:rsidP="006958CC">
      <w:pPr>
        <w:pStyle w:val="Heading5"/>
        <w:rPr>
          <w:rFonts w:ascii="Calibri" w:hAnsi="Calibri" w:cs="Calibri"/>
          <w:sz w:val="20"/>
        </w:rPr>
      </w:pPr>
      <w:bookmarkStart w:id="173" w:name="_Ref917260952"/>
      <w:r w:rsidRPr="006958CC">
        <w:rPr>
          <w:rFonts w:ascii="Calibri" w:hAnsi="Calibri" w:cs="Calibri"/>
          <w:sz w:val="20"/>
        </w:rPr>
        <w:t>Sequence Diagram</w:t>
      </w:r>
      <w:bookmarkEnd w:id="173"/>
    </w:p>
    <w:p w14:paraId="10C5850F" w14:textId="6A31EF93" w:rsidR="006958CC" w:rsidRPr="006958CC" w:rsidRDefault="00FC42E7" w:rsidP="00FC42E7">
      <w:pPr>
        <w:keepNext/>
        <w:keepLines/>
        <w:jc w:val="left"/>
        <w:rPr>
          <w:rFonts w:ascii="Calibri" w:hAnsi="Calibri" w:cs="Calibri"/>
        </w:rPr>
      </w:pPr>
      <w:r>
        <w:rPr>
          <w:rFonts w:ascii="Calibri" w:hAnsi="Calibri" w:cs="Calibri"/>
        </w:rPr>
        <w:t>The figure below shows the calls that move the analyzer qualities in the order they happen, for UseServiceBus = true and for UseServiceBus = false.</w:t>
      </w:r>
    </w:p>
    <w:p w14:paraId="7DBF3F85" w14:textId="6C2E686C" w:rsidR="006958CC" w:rsidRPr="006958CC" w:rsidRDefault="00FC42E7" w:rsidP="006958CC">
      <w:pPr>
        <w:keepNext/>
        <w:spacing w:after="40"/>
        <w:jc w:val="center"/>
      </w:pPr>
      <w:r>
        <w:rPr>
          <w:noProof/>
        </w:rPr>
        <w:drawing>
          <wp:inline distT="0" distB="0" distL="0" distR="0" wp14:anchorId="4B68D5B8" wp14:editId="24416309">
            <wp:extent cx="5943600" cy="3618865"/>
            <wp:effectExtent l="0" t="0" r="0" b="635"/>
            <wp:docPr id="16642805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80573" name=""/>
                    <pic:cNvPicPr/>
                  </pic:nvPicPr>
                  <pic:blipFill>
                    <a:blip r:embed="rId29"/>
                    <a:stretch>
                      <a:fillRect/>
                    </a:stretch>
                  </pic:blipFill>
                  <pic:spPr>
                    <a:xfrm>
                      <a:off x="0" y="0"/>
                      <a:ext cx="5943600" cy="3618865"/>
                    </a:xfrm>
                    <a:prstGeom prst="rect">
                      <a:avLst/>
                    </a:prstGeom>
                  </pic:spPr>
                </pic:pic>
              </a:graphicData>
            </a:graphic>
          </wp:inline>
        </w:drawing>
      </w:r>
    </w:p>
    <w:p w14:paraId="22FD9F1E" w14:textId="3EDD6DD4" w:rsidR="006958CC" w:rsidRPr="006958CC" w:rsidRDefault="006958CC" w:rsidP="006958CC">
      <w:pPr>
        <w:pStyle w:val="Caption"/>
        <w:rPr>
          <w:rFonts w:ascii="Calibri" w:hAnsi="Calibri" w:cs="Calibri"/>
        </w:rPr>
      </w:pPr>
      <w:bookmarkStart w:id="174" w:name="_Toc242554142"/>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6</w:t>
      </w:r>
      <w:r w:rsidRPr="006958CC">
        <w:rPr>
          <w:rFonts w:ascii="Calibri" w:hAnsi="Calibri" w:cs="Calibri"/>
        </w:rPr>
        <w:fldChar w:fldCharType="end"/>
      </w:r>
      <w:r w:rsidRPr="006958CC">
        <w:rPr>
          <w:rFonts w:ascii="Calibri" w:hAnsi="Calibri" w:cs="Calibri"/>
        </w:rPr>
        <w:t>: Blend Component Integration (Analyzer Qualities) Sequence Diagram</w:t>
      </w:r>
      <w:bookmarkEnd w:id="174"/>
    </w:p>
    <w:p w14:paraId="371B5BDA" w14:textId="77777777" w:rsidR="00FC42E7" w:rsidRPr="00EC3682" w:rsidRDefault="00FC42E7" w:rsidP="00FC42E7">
      <w:pPr>
        <w:pStyle w:val="ListParagraph"/>
        <w:numPr>
          <w:ilvl w:val="0"/>
          <w:numId w:val="4"/>
        </w:numPr>
        <w:jc w:val="left"/>
        <w:rPr>
          <w:rFonts w:ascii="Calibri" w:hAnsi="Calibri" w:cs="Calibri"/>
        </w:rPr>
      </w:pPr>
      <w:r>
        <w:t>The Semantic Service calls are drawn in the UseServiceBus = false path; the UseServiceBus = true path shall make them in the same order.</w:t>
      </w:r>
    </w:p>
    <w:p w14:paraId="292F30BF" w14:textId="77777777" w:rsidR="006958CC" w:rsidRPr="006958CC" w:rsidRDefault="006958CC" w:rsidP="00FC42E7">
      <w:pPr>
        <w:keepNext/>
        <w:jc w:val="left"/>
        <w:rPr>
          <w:rFonts w:ascii="Calibri" w:hAnsi="Calibri" w:cs="Calibri"/>
        </w:rPr>
      </w:pPr>
      <w:r w:rsidRPr="006958CC">
        <w:rPr>
          <w:rFonts w:ascii="Calibri" w:hAnsi="Calibri" w:cs="Calibri"/>
        </w:rPr>
        <w:t>The calls in the figure are:</w:t>
      </w:r>
    </w:p>
    <w:p w14:paraId="5D2AFB1C" w14:textId="03BED9B3" w:rsidR="006958CC" w:rsidRPr="006958CC" w:rsidRDefault="00873A53" w:rsidP="00652CF3">
      <w:pPr>
        <w:pStyle w:val="ListParagraph"/>
        <w:numPr>
          <w:ilvl w:val="0"/>
          <w:numId w:val="25"/>
        </w:numPr>
        <w:jc w:val="left"/>
        <w:rPr>
          <w:rFonts w:ascii="Calibri" w:hAnsi="Calibri" w:cs="Calibri"/>
          <w:sz w:val="20"/>
        </w:rPr>
      </w:pPr>
      <w:r>
        <w:rPr>
          <w:rFonts w:ascii="Calibri" w:hAnsi="Calibri" w:cs="Calibri"/>
        </w:rPr>
        <w:t>The Timer Trigger shall start the run every day at the specified time and send the Timer Trigger Request for the analyzer qualities to the Request Service.</w:t>
      </w:r>
    </w:p>
    <w:p w14:paraId="1271ECF7" w14:textId="26E367D7" w:rsidR="006958CC" w:rsidRPr="006958CC" w:rsidRDefault="00873A53" w:rsidP="00652CF3">
      <w:pPr>
        <w:pStyle w:val="ListParagraph"/>
        <w:numPr>
          <w:ilvl w:val="0"/>
          <w:numId w:val="25"/>
        </w:numPr>
        <w:jc w:val="left"/>
        <w:rPr>
          <w:rFonts w:ascii="Calibri" w:hAnsi="Calibri" w:cs="Calibri"/>
          <w:sz w:val="20"/>
        </w:rPr>
      </w:pPr>
      <w:r>
        <w:rPr>
          <w:rFonts w:ascii="Calibri" w:hAnsi="Calibri" w:cs="Calibri"/>
        </w:rPr>
        <w:t>With UseServiceBus = true, the Request Service shall send the request for the analyzer qualities to the Request Orchestrator, with its session ID. It shall follow the request through the Callback API for status check.</w:t>
      </w:r>
    </w:p>
    <w:p w14:paraId="21035857" w14:textId="5100C2A1" w:rsidR="006958CC" w:rsidRPr="006958CC" w:rsidRDefault="008F2422" w:rsidP="00652CF3">
      <w:pPr>
        <w:pStyle w:val="ListParagraph"/>
        <w:numPr>
          <w:ilvl w:val="0"/>
          <w:numId w:val="25"/>
        </w:numPr>
        <w:jc w:val="left"/>
        <w:rPr>
          <w:rFonts w:ascii="Calibri" w:hAnsi="Calibri" w:cs="Calibri"/>
          <w:sz w:val="20"/>
        </w:rPr>
      </w:pPr>
      <w:r>
        <w:rPr>
          <w:rFonts w:ascii="Calibri" w:hAnsi="Calibri" w:cs="Calibri"/>
        </w:rPr>
        <w:t>The request shall go through the Request Queue to the Response Trigger, which shall copy it to the secondary request queue and start the Response Orchestrator. The Response Orchestrator shall ask the Response Service for the analyzer qualities.</w:t>
      </w:r>
    </w:p>
    <w:p w14:paraId="5BF4A94F" w14:textId="3E2E6C92" w:rsidR="006958CC" w:rsidRPr="006958CC" w:rsidRDefault="00873A53" w:rsidP="00652CF3">
      <w:pPr>
        <w:pStyle w:val="ListParagraph"/>
        <w:numPr>
          <w:ilvl w:val="0"/>
          <w:numId w:val="25"/>
        </w:numPr>
        <w:jc w:val="left"/>
        <w:rPr>
          <w:rFonts w:ascii="Calibri" w:hAnsi="Calibri" w:cs="Calibri"/>
          <w:sz w:val="20"/>
        </w:rPr>
      </w:pPr>
      <w:r>
        <w:rPr>
          <w:rFonts w:ascii="Calibri" w:hAnsi="Calibri" w:cs="Calibri"/>
        </w:rPr>
        <w:t>The Response Service shall read the analyzer qualities from PI Asset Framework (PI Web API via CIP PI proxy). To do this, it shall send the Analyzer Quality Request for PIAF and receive the Analyzer Quality Response from PIAF. It shall then add the Profisee codes to the analyzer qualities through the Semantic Service (code aliasing).</w:t>
      </w:r>
    </w:p>
    <w:p w14:paraId="6CAB51A6" w14:textId="11ACC616" w:rsidR="006958CC" w:rsidRPr="006958CC" w:rsidRDefault="00873A53" w:rsidP="00652CF3">
      <w:pPr>
        <w:pStyle w:val="ListParagraph"/>
        <w:numPr>
          <w:ilvl w:val="0"/>
          <w:numId w:val="25"/>
        </w:numPr>
        <w:jc w:val="left"/>
        <w:rPr>
          <w:rFonts w:ascii="Calibri" w:hAnsi="Calibri" w:cs="Calibri"/>
          <w:sz w:val="20"/>
        </w:rPr>
      </w:pPr>
      <w:r>
        <w:rPr>
          <w:rFonts w:ascii="Calibri" w:hAnsi="Calibri" w:cs="Calibri"/>
        </w:rPr>
        <w:t>The Analyzer Quality Response from PIAF shall go back through the Response Queue and the Request Orchestrator to the Request Service.</w:t>
      </w:r>
    </w:p>
    <w:p w14:paraId="29E50D62" w14:textId="69461A5D" w:rsidR="006958CC" w:rsidRPr="006958CC" w:rsidRDefault="00873A53" w:rsidP="00652CF3">
      <w:pPr>
        <w:pStyle w:val="ListParagraph"/>
        <w:numPr>
          <w:ilvl w:val="0"/>
          <w:numId w:val="25"/>
        </w:numPr>
        <w:jc w:val="left"/>
        <w:rPr>
          <w:rFonts w:ascii="Calibri" w:hAnsi="Calibri" w:cs="Calibri"/>
          <w:sz w:val="20"/>
        </w:rPr>
      </w:pPr>
      <w:r>
        <w:rPr>
          <w:rFonts w:ascii="Calibri" w:hAnsi="Calibri" w:cs="Calibri"/>
        </w:rPr>
        <w:t>With UseServiceBus = false, the Request Service shall call the Response Service directly. The Response Service shall read the analyzer qualities from PIAF and add the Profisee codes. It shall return them on the same call.</w:t>
      </w:r>
    </w:p>
    <w:p w14:paraId="1AC757A6" w14:textId="429EB1D6" w:rsidR="006958CC" w:rsidRPr="006958CC" w:rsidRDefault="00873A53" w:rsidP="00652CF3">
      <w:pPr>
        <w:pStyle w:val="ListParagraph"/>
        <w:numPr>
          <w:ilvl w:val="0"/>
          <w:numId w:val="25"/>
        </w:numPr>
        <w:jc w:val="left"/>
        <w:rPr>
          <w:rFonts w:ascii="Calibri" w:hAnsi="Calibri" w:cs="Calibri"/>
          <w:sz w:val="20"/>
        </w:rPr>
      </w:pPr>
      <w:r>
        <w:rPr>
          <w:rFonts w:ascii="Calibri" w:hAnsi="Calibri" w:cs="Calibri"/>
        </w:rPr>
        <w:t xml:space="preserve">The Request Service shall then turn the Profisee codes of the analyzer qualities into IQDM codes through the Semantic Service (code cross-reference). It shall also convert the units through the Semantic Service (unit conversion). </w:t>
      </w:r>
      <w:r w:rsidR="004812A6">
        <w:rPr>
          <w:rFonts w:ascii="Calibri" w:hAnsi="Calibri" w:cs="Calibri"/>
        </w:rPr>
        <w:t>After that, with IsImport = false, it shall save the analyzer qualities in the VCB table of the IQDM database. With IsImport = true,</w:t>
      </w:r>
      <w:r>
        <w:rPr>
          <w:rFonts w:ascii="Calibri" w:hAnsi="Calibri" w:cs="Calibri"/>
        </w:rPr>
        <w:t xml:space="preserve"> it shall return them to the caller.</w:t>
      </w:r>
    </w:p>
    <w:p w14:paraId="7CA92F4F" w14:textId="3A5F7E81" w:rsidR="006958CC" w:rsidRPr="006958CC" w:rsidRDefault="00873A53" w:rsidP="00652CF3">
      <w:pPr>
        <w:pStyle w:val="ListParagraph"/>
        <w:numPr>
          <w:ilvl w:val="0"/>
          <w:numId w:val="25"/>
        </w:numPr>
        <w:jc w:val="left"/>
        <w:rPr>
          <w:rFonts w:ascii="Calibri" w:hAnsi="Calibri" w:cs="Calibri"/>
          <w:sz w:val="20"/>
        </w:rPr>
      </w:pPr>
      <w:r>
        <w:rPr>
          <w:rFonts w:ascii="Calibri" w:hAnsi="Calibri" w:cs="Calibri"/>
        </w:rPr>
        <w:t>While the analyzer qualities are read, all services and both orchestrators shall call the Notification Logging &amp; Exception Service.</w:t>
      </w:r>
    </w:p>
    <w:p w14:paraId="51D5D549" w14:textId="366931D3" w:rsidR="0081216E" w:rsidRDefault="0081216E" w:rsidP="0081216E">
      <w:pPr>
        <w:pStyle w:val="Heading5"/>
        <w:rPr>
          <w:rFonts w:ascii="Calibri" w:hAnsi="Calibri" w:cs="Calibri"/>
          <w:sz w:val="20"/>
        </w:rPr>
      </w:pPr>
      <w:bookmarkStart w:id="175" w:name="_Ref917260953"/>
      <w:r w:rsidRPr="0081216E">
        <w:rPr>
          <w:rFonts w:ascii="Calibri" w:hAnsi="Calibri" w:cs="Calibri"/>
          <w:sz w:val="20"/>
        </w:rPr>
        <w:t>Data Entity</w:t>
      </w:r>
      <w:bookmarkEnd w:id="175"/>
    </w:p>
    <w:p w14:paraId="520B39CA" w14:textId="77777777" w:rsidR="00873A53" w:rsidRPr="00FC42E7" w:rsidRDefault="00873A53" w:rsidP="00FC42E7">
      <w:pPr>
        <w:pStyle w:val="ListParagraph"/>
        <w:numPr>
          <w:ilvl w:val="0"/>
          <w:numId w:val="4"/>
        </w:numPr>
        <w:jc w:val="left"/>
      </w:pPr>
      <w:r w:rsidRPr="00FC42E7">
        <w:t>The PIAF integration shall read the Terminal Blend Component Data entity, which carries each PI tag value with its terminal, equipment, time stamp and unit.</w:t>
      </w:r>
    </w:p>
    <w:p w14:paraId="13B4DA25" w14:textId="77777777" w:rsidR="00873A53" w:rsidRDefault="00873A53" w:rsidP="00873A53">
      <w:pPr>
        <w:pStyle w:val="Heading6"/>
        <w:rPr>
          <w:rFonts w:ascii="Calibri" w:hAnsi="Calibri" w:cs="Calibri"/>
          <w:sz w:val="20"/>
        </w:rPr>
      </w:pPr>
      <w:r w:rsidRPr="00AA30D8">
        <w:rPr>
          <w:rFonts w:ascii="Calibri" w:hAnsi="Calibri" w:cs="Calibri"/>
          <w:sz w:val="20"/>
        </w:rPr>
        <w:t>Source (PIAF) Data Entity: Terminal Blend Component Data</w:t>
      </w:r>
    </w:p>
    <w:p w14:paraId="1C21762A" w14:textId="77777777" w:rsidR="00873A53" w:rsidRPr="0081216E" w:rsidRDefault="00873A53" w:rsidP="00FC42E7">
      <w:pPr>
        <w:keepNext/>
        <w:jc w:val="left"/>
        <w:rPr>
          <w:rFonts w:ascii="Calibri" w:hAnsi="Calibri" w:cs="Calibri"/>
        </w:rPr>
      </w:pPr>
      <w:r>
        <w:rPr>
          <w:rFonts w:ascii="Calibri" w:hAnsi="Calibri" w:cs="Calibri"/>
        </w:rPr>
        <w:t>The table below gives each attribute of Terminal Blend Component Data, with its type and an example.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92"/>
        <w:gridCol w:w="2808"/>
        <w:gridCol w:w="1216"/>
        <w:gridCol w:w="3744"/>
      </w:tblGrid>
      <w:tr w:rsidR="00873A53" w:rsidRPr="00C63A98" w14:paraId="2DEE5E17" w14:textId="77777777" w:rsidTr="00FA3AEE">
        <w:trPr>
          <w:cantSplit/>
          <w:tblHeader/>
        </w:trPr>
        <w:tc>
          <w:tcPr>
            <w:tcW w:w="1592" w:type="dxa"/>
            <w:shd w:val="clear" w:color="auto" w:fill="2F5597"/>
          </w:tcPr>
          <w:p w14:paraId="4ABEEFFD" w14:textId="77777777" w:rsidR="00873A53" w:rsidRPr="00C63A98" w:rsidRDefault="00873A53" w:rsidP="00AA30D8">
            <w:pPr>
              <w:pStyle w:val="Tablehead1"/>
              <w:rPr>
                <w:rFonts w:ascii="Calibri" w:hAnsi="Calibri" w:cs="Calibri"/>
                <w:sz w:val="20"/>
              </w:rPr>
            </w:pPr>
            <w:r w:rsidRPr="00C63A98">
              <w:rPr>
                <w:rFonts w:ascii="Calibri" w:hAnsi="Calibri" w:cs="Calibri"/>
                <w:sz w:val="20"/>
              </w:rPr>
              <w:t>Attribute Name</w:t>
            </w:r>
          </w:p>
        </w:tc>
        <w:tc>
          <w:tcPr>
            <w:tcW w:w="2808" w:type="dxa"/>
            <w:shd w:val="clear" w:color="auto" w:fill="2F5597"/>
          </w:tcPr>
          <w:p w14:paraId="1A09A8BC" w14:textId="77777777" w:rsidR="00873A53" w:rsidRPr="00C63A98" w:rsidRDefault="00873A53" w:rsidP="00AA30D8">
            <w:pPr>
              <w:pStyle w:val="Tablehead1"/>
              <w:rPr>
                <w:rFonts w:ascii="Calibri" w:hAnsi="Calibri" w:cs="Calibri"/>
                <w:sz w:val="20"/>
              </w:rPr>
            </w:pPr>
            <w:r w:rsidRPr="00C63A98">
              <w:rPr>
                <w:rFonts w:ascii="Calibri" w:hAnsi="Calibri" w:cs="Calibri"/>
                <w:sz w:val="20"/>
              </w:rPr>
              <w:t>Description</w:t>
            </w:r>
          </w:p>
        </w:tc>
        <w:tc>
          <w:tcPr>
            <w:tcW w:w="1216" w:type="dxa"/>
            <w:shd w:val="clear" w:color="auto" w:fill="2F5597"/>
          </w:tcPr>
          <w:p w14:paraId="7F9AF661" w14:textId="77777777" w:rsidR="00873A53" w:rsidRPr="00C63A98" w:rsidRDefault="00873A53" w:rsidP="00AA30D8">
            <w:pPr>
              <w:pStyle w:val="Tablehead1"/>
              <w:rPr>
                <w:rFonts w:ascii="Calibri" w:hAnsi="Calibri" w:cs="Calibri"/>
                <w:sz w:val="20"/>
              </w:rPr>
            </w:pPr>
            <w:r w:rsidRPr="00C63A98">
              <w:rPr>
                <w:rFonts w:ascii="Calibri" w:hAnsi="Calibri" w:cs="Calibri"/>
                <w:sz w:val="20"/>
              </w:rPr>
              <w:t>Type</w:t>
            </w:r>
          </w:p>
        </w:tc>
        <w:tc>
          <w:tcPr>
            <w:tcW w:w="3744" w:type="dxa"/>
            <w:shd w:val="clear" w:color="auto" w:fill="2F5597"/>
          </w:tcPr>
          <w:p w14:paraId="76EAEF61" w14:textId="77777777" w:rsidR="00873A53" w:rsidRPr="00C63A98" w:rsidRDefault="00873A53" w:rsidP="00AA30D8">
            <w:pPr>
              <w:pStyle w:val="Tablehead1"/>
              <w:rPr>
                <w:rFonts w:ascii="Calibri" w:hAnsi="Calibri" w:cs="Calibri"/>
                <w:sz w:val="20"/>
              </w:rPr>
            </w:pPr>
            <w:r w:rsidRPr="00C63A98">
              <w:rPr>
                <w:rFonts w:ascii="Calibri" w:hAnsi="Calibri" w:cs="Calibri"/>
                <w:sz w:val="20"/>
              </w:rPr>
              <w:t>Example</w:t>
            </w:r>
          </w:p>
        </w:tc>
      </w:tr>
      <w:tr w:rsidR="00873A53" w:rsidRPr="00C63A98" w14:paraId="34231CEE" w14:textId="77777777" w:rsidTr="00FA3AEE">
        <w:trPr>
          <w:cantSplit/>
        </w:trPr>
        <w:tc>
          <w:tcPr>
            <w:tcW w:w="1592" w:type="dxa"/>
          </w:tcPr>
          <w:p w14:paraId="2C9C69F4"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Terminal Tag</w:t>
            </w:r>
          </w:p>
        </w:tc>
        <w:tc>
          <w:tcPr>
            <w:tcW w:w="2808" w:type="dxa"/>
          </w:tcPr>
          <w:p w14:paraId="07998811" w14:textId="77777777" w:rsidR="00873A53" w:rsidRPr="00C63A98" w:rsidRDefault="00873A53" w:rsidP="00AA30D8">
            <w:pPr>
              <w:pStyle w:val="Tabletext"/>
              <w:keepNext/>
              <w:rPr>
                <w:rFonts w:ascii="Calibri" w:hAnsi="Calibri" w:cs="Calibri"/>
                <w:sz w:val="20"/>
              </w:rPr>
            </w:pPr>
            <w:r>
              <w:rPr>
                <w:rFonts w:ascii="Calibri" w:hAnsi="Calibri" w:cs="Calibri"/>
                <w:sz w:val="20"/>
              </w:rPr>
              <w:t>Unique tag of the terminal</w:t>
            </w:r>
          </w:p>
        </w:tc>
        <w:tc>
          <w:tcPr>
            <w:tcW w:w="1216" w:type="dxa"/>
          </w:tcPr>
          <w:p w14:paraId="2805A029" w14:textId="77777777" w:rsidR="00873A53" w:rsidRPr="00C63A98" w:rsidRDefault="00873A53" w:rsidP="00AA30D8">
            <w:pPr>
              <w:pStyle w:val="Tabletext"/>
              <w:keepNext/>
              <w:rPr>
                <w:rFonts w:ascii="Calibri" w:hAnsi="Calibri" w:cs="Calibri"/>
                <w:sz w:val="20"/>
              </w:rPr>
            </w:pPr>
            <w:r>
              <w:rPr>
                <w:rFonts w:ascii="Calibri" w:hAnsi="Calibri" w:cs="Calibri"/>
                <w:sz w:val="20"/>
              </w:rPr>
              <w:t>Varchar</w:t>
            </w:r>
          </w:p>
        </w:tc>
        <w:tc>
          <w:tcPr>
            <w:tcW w:w="3744" w:type="dxa"/>
          </w:tcPr>
          <w:p w14:paraId="7ADE1045" w14:textId="3DDC1F51" w:rsidR="00873A53" w:rsidRPr="00C63A98" w:rsidRDefault="00873A53" w:rsidP="00AA30D8">
            <w:pPr>
              <w:pStyle w:val="Tabletext"/>
              <w:keepNext/>
              <w:rPr>
                <w:rFonts w:ascii="Calibri" w:hAnsi="Calibri" w:cs="Calibri"/>
                <w:sz w:val="20"/>
              </w:rPr>
            </w:pPr>
            <w:r>
              <w:rPr>
                <w:rFonts w:ascii="Calibri" w:hAnsi="Calibri" w:cs="Calibri"/>
                <w:sz w:val="20"/>
              </w:rPr>
              <w:t>Lima</w:t>
            </w:r>
          </w:p>
        </w:tc>
      </w:tr>
      <w:tr w:rsidR="00873A53" w:rsidRPr="00C63A98" w14:paraId="2827A209" w14:textId="77777777" w:rsidTr="00FA3AEE">
        <w:trPr>
          <w:cantSplit/>
        </w:trPr>
        <w:tc>
          <w:tcPr>
            <w:tcW w:w="1592" w:type="dxa"/>
          </w:tcPr>
          <w:p w14:paraId="4219A5A9"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Tank Tag</w:t>
            </w:r>
          </w:p>
        </w:tc>
        <w:tc>
          <w:tcPr>
            <w:tcW w:w="2808" w:type="dxa"/>
          </w:tcPr>
          <w:p w14:paraId="6CF51E02" w14:textId="150DF5EC" w:rsidR="00873A53" w:rsidRPr="00C63A98" w:rsidRDefault="00873A53" w:rsidP="00AA30D8">
            <w:pPr>
              <w:pStyle w:val="Tabletext"/>
              <w:keepNext/>
              <w:rPr>
                <w:rFonts w:ascii="Calibri" w:hAnsi="Calibri" w:cs="Calibri"/>
                <w:sz w:val="20"/>
              </w:rPr>
            </w:pPr>
            <w:r>
              <w:rPr>
                <w:rFonts w:ascii="Calibri" w:hAnsi="Calibri" w:cs="Calibri"/>
                <w:sz w:val="20"/>
              </w:rPr>
              <w:t>Unique asset tag of the tank, meter or injector at the terminal</w:t>
            </w:r>
          </w:p>
        </w:tc>
        <w:tc>
          <w:tcPr>
            <w:tcW w:w="1216" w:type="dxa"/>
          </w:tcPr>
          <w:p w14:paraId="128D15DC" w14:textId="77777777" w:rsidR="00873A53" w:rsidRPr="00C63A98" w:rsidRDefault="00873A53" w:rsidP="00AA30D8">
            <w:pPr>
              <w:pStyle w:val="Tabletext"/>
              <w:keepNext/>
              <w:rPr>
                <w:rFonts w:ascii="Calibri" w:hAnsi="Calibri" w:cs="Calibri"/>
                <w:sz w:val="20"/>
              </w:rPr>
            </w:pPr>
            <w:r>
              <w:rPr>
                <w:rFonts w:ascii="Calibri" w:hAnsi="Calibri" w:cs="Calibri"/>
                <w:sz w:val="20"/>
              </w:rPr>
              <w:t>Varchar</w:t>
            </w:r>
          </w:p>
        </w:tc>
        <w:tc>
          <w:tcPr>
            <w:tcW w:w="3744" w:type="dxa"/>
          </w:tcPr>
          <w:p w14:paraId="498C5863" w14:textId="172B4789" w:rsidR="00873A53" w:rsidRPr="00C63A98" w:rsidRDefault="00873A53" w:rsidP="00AA30D8">
            <w:pPr>
              <w:pStyle w:val="Tabletext"/>
              <w:keepNext/>
              <w:rPr>
                <w:rFonts w:ascii="Calibri" w:hAnsi="Calibri" w:cs="Calibri"/>
                <w:sz w:val="20"/>
              </w:rPr>
            </w:pPr>
            <w:r>
              <w:rPr>
                <w:rFonts w:ascii="Calibri" w:hAnsi="Calibri" w:cs="Calibri"/>
                <w:sz w:val="20"/>
              </w:rPr>
              <w:t>Injector 1</w:t>
            </w:r>
          </w:p>
        </w:tc>
      </w:tr>
      <w:tr w:rsidR="00873A53" w:rsidRPr="00C63A98" w14:paraId="3E8F76EC" w14:textId="77777777" w:rsidTr="00FA3AEE">
        <w:trPr>
          <w:cantSplit/>
        </w:trPr>
        <w:tc>
          <w:tcPr>
            <w:tcW w:w="1592" w:type="dxa"/>
          </w:tcPr>
          <w:p w14:paraId="13800578"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PI Tag</w:t>
            </w:r>
          </w:p>
        </w:tc>
        <w:tc>
          <w:tcPr>
            <w:tcW w:w="2808" w:type="dxa"/>
          </w:tcPr>
          <w:p w14:paraId="315E8A09" w14:textId="77777777" w:rsidR="00873A53" w:rsidRPr="00C63A98" w:rsidRDefault="00873A53" w:rsidP="00AA30D8">
            <w:pPr>
              <w:pStyle w:val="Tabletext"/>
              <w:keepNext/>
              <w:rPr>
                <w:rFonts w:ascii="Calibri" w:hAnsi="Calibri" w:cs="Calibri"/>
                <w:sz w:val="20"/>
              </w:rPr>
            </w:pPr>
            <w:r>
              <w:rPr>
                <w:rFonts w:ascii="Calibri" w:hAnsi="Calibri" w:cs="Calibri"/>
                <w:sz w:val="20"/>
              </w:rPr>
              <w:t>Unique tag mapped to a tank, service, property, injector, injector volume or injector quality</w:t>
            </w:r>
          </w:p>
        </w:tc>
        <w:tc>
          <w:tcPr>
            <w:tcW w:w="1216" w:type="dxa"/>
          </w:tcPr>
          <w:p w14:paraId="12E25303" w14:textId="77777777" w:rsidR="00873A53" w:rsidRPr="00C63A98" w:rsidRDefault="00873A53" w:rsidP="00AA30D8">
            <w:pPr>
              <w:pStyle w:val="Tabletext"/>
              <w:keepNext/>
              <w:rPr>
                <w:rFonts w:ascii="Calibri" w:hAnsi="Calibri" w:cs="Calibri"/>
                <w:sz w:val="20"/>
              </w:rPr>
            </w:pPr>
            <w:r>
              <w:rPr>
                <w:rFonts w:ascii="Calibri" w:hAnsi="Calibri" w:cs="Calibri"/>
                <w:sz w:val="20"/>
              </w:rPr>
              <w:t>Varchar</w:t>
            </w:r>
          </w:p>
        </w:tc>
        <w:tc>
          <w:tcPr>
            <w:tcW w:w="3744" w:type="dxa"/>
          </w:tcPr>
          <w:p w14:paraId="0F976878" w14:textId="7820155C" w:rsidR="00873A53" w:rsidRPr="00C63A98" w:rsidRDefault="00873A53" w:rsidP="00AA30D8">
            <w:pPr>
              <w:pStyle w:val="Tabletext"/>
              <w:keepNext/>
              <w:rPr>
                <w:rFonts w:ascii="Calibri" w:hAnsi="Calibri" w:cs="Calibri"/>
                <w:sz w:val="20"/>
              </w:rPr>
            </w:pPr>
            <w:r>
              <w:rPr>
                <w:rFonts w:ascii="Calibri" w:hAnsi="Calibri" w:cs="Calibri"/>
                <w:sz w:val="20"/>
              </w:rPr>
              <w:t>\\PIAF-TTR\TTR_PROD\Terminals\Lima\__Butane Blending|Injector 1|RVP</w:t>
            </w:r>
          </w:p>
        </w:tc>
      </w:tr>
      <w:tr w:rsidR="00873A53" w:rsidRPr="00C63A98" w14:paraId="130DE2DC" w14:textId="77777777" w:rsidTr="00FA3AEE">
        <w:trPr>
          <w:cantSplit/>
        </w:trPr>
        <w:tc>
          <w:tcPr>
            <w:tcW w:w="1592" w:type="dxa"/>
          </w:tcPr>
          <w:p w14:paraId="20D1FF79"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PI Description</w:t>
            </w:r>
          </w:p>
        </w:tc>
        <w:tc>
          <w:tcPr>
            <w:tcW w:w="2808" w:type="dxa"/>
          </w:tcPr>
          <w:p w14:paraId="3342803A" w14:textId="77777777" w:rsidR="00873A53" w:rsidRPr="00C63A98" w:rsidRDefault="00873A53" w:rsidP="00AA30D8">
            <w:pPr>
              <w:pStyle w:val="Tabletext"/>
              <w:keepNext/>
              <w:rPr>
                <w:rFonts w:ascii="Calibri" w:hAnsi="Calibri" w:cs="Calibri"/>
                <w:sz w:val="20"/>
              </w:rPr>
            </w:pPr>
            <w:r>
              <w:rPr>
                <w:rFonts w:ascii="Calibri" w:hAnsi="Calibri" w:cs="Calibri"/>
                <w:sz w:val="20"/>
              </w:rPr>
              <w:t>Description of the PI tag, held in Profisee only</w:t>
            </w:r>
          </w:p>
        </w:tc>
        <w:tc>
          <w:tcPr>
            <w:tcW w:w="1216" w:type="dxa"/>
          </w:tcPr>
          <w:p w14:paraId="193DFE8D" w14:textId="77777777" w:rsidR="00873A53" w:rsidRPr="00C63A98" w:rsidRDefault="00873A53" w:rsidP="00AA30D8">
            <w:pPr>
              <w:pStyle w:val="Tabletext"/>
              <w:keepNext/>
              <w:rPr>
                <w:rFonts w:ascii="Calibri" w:hAnsi="Calibri" w:cs="Calibri"/>
                <w:sz w:val="20"/>
              </w:rPr>
            </w:pPr>
            <w:r>
              <w:rPr>
                <w:rFonts w:ascii="Calibri" w:hAnsi="Calibri" w:cs="Calibri"/>
                <w:sz w:val="20"/>
              </w:rPr>
              <w:t>Varchar</w:t>
            </w:r>
          </w:p>
        </w:tc>
        <w:tc>
          <w:tcPr>
            <w:tcW w:w="3744" w:type="dxa"/>
          </w:tcPr>
          <w:p w14:paraId="7A5B13A7" w14:textId="2E1C6EC3" w:rsidR="00873A53" w:rsidRPr="00C63A98" w:rsidRDefault="00873A53" w:rsidP="00AA30D8">
            <w:pPr>
              <w:pStyle w:val="Tabletext"/>
              <w:keepNext/>
              <w:rPr>
                <w:rFonts w:ascii="Calibri" w:hAnsi="Calibri" w:cs="Calibri"/>
                <w:sz w:val="20"/>
              </w:rPr>
            </w:pPr>
          </w:p>
        </w:tc>
      </w:tr>
      <w:tr w:rsidR="00873A53" w:rsidRPr="00C63A98" w14:paraId="75CA8534" w14:textId="77777777" w:rsidTr="00FA3AEE">
        <w:trPr>
          <w:cantSplit/>
        </w:trPr>
        <w:tc>
          <w:tcPr>
            <w:tcW w:w="1592" w:type="dxa"/>
          </w:tcPr>
          <w:p w14:paraId="16C4C8B3"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PI Value</w:t>
            </w:r>
          </w:p>
        </w:tc>
        <w:tc>
          <w:tcPr>
            <w:tcW w:w="2808" w:type="dxa"/>
          </w:tcPr>
          <w:p w14:paraId="1654260A"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Field value</w:t>
            </w:r>
          </w:p>
        </w:tc>
        <w:tc>
          <w:tcPr>
            <w:tcW w:w="1216" w:type="dxa"/>
          </w:tcPr>
          <w:p w14:paraId="35440B26"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Float</w:t>
            </w:r>
          </w:p>
        </w:tc>
        <w:tc>
          <w:tcPr>
            <w:tcW w:w="3744" w:type="dxa"/>
          </w:tcPr>
          <w:p w14:paraId="0E6C8F84" w14:textId="1379436D" w:rsidR="00873A53" w:rsidRPr="00C63A98" w:rsidRDefault="00873A53" w:rsidP="00AA30D8">
            <w:pPr>
              <w:pStyle w:val="Tabletext"/>
              <w:keepNext/>
              <w:rPr>
                <w:rFonts w:ascii="Calibri" w:hAnsi="Calibri" w:cs="Calibri"/>
                <w:sz w:val="20"/>
              </w:rPr>
            </w:pPr>
            <w:r>
              <w:rPr>
                <w:rFonts w:ascii="Calibri" w:hAnsi="Calibri" w:cs="Calibri"/>
                <w:sz w:val="20"/>
              </w:rPr>
              <w:t>11.36</w:t>
            </w:r>
          </w:p>
        </w:tc>
      </w:tr>
      <w:tr w:rsidR="00873A53" w:rsidRPr="00C63A98" w14:paraId="7DEF76B1" w14:textId="77777777" w:rsidTr="00FA3AEE">
        <w:trPr>
          <w:cantSplit/>
        </w:trPr>
        <w:tc>
          <w:tcPr>
            <w:tcW w:w="1592" w:type="dxa"/>
          </w:tcPr>
          <w:p w14:paraId="75651C51"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Time Stamp</w:t>
            </w:r>
          </w:p>
        </w:tc>
        <w:tc>
          <w:tcPr>
            <w:tcW w:w="2808" w:type="dxa"/>
          </w:tcPr>
          <w:p w14:paraId="42FC3627" w14:textId="77777777" w:rsidR="00873A53" w:rsidRPr="00C63A98" w:rsidRDefault="00873A53" w:rsidP="00AA30D8">
            <w:pPr>
              <w:pStyle w:val="Tabletext"/>
              <w:keepNext/>
              <w:rPr>
                <w:rFonts w:ascii="Calibri" w:hAnsi="Calibri" w:cs="Calibri"/>
                <w:sz w:val="20"/>
              </w:rPr>
            </w:pPr>
            <w:r>
              <w:rPr>
                <w:rFonts w:ascii="Calibri" w:hAnsi="Calibri" w:cs="Calibri"/>
                <w:sz w:val="20"/>
              </w:rPr>
              <w:t>Time of the value</w:t>
            </w:r>
          </w:p>
        </w:tc>
        <w:tc>
          <w:tcPr>
            <w:tcW w:w="1216" w:type="dxa"/>
          </w:tcPr>
          <w:p w14:paraId="60B65134" w14:textId="77777777" w:rsidR="00873A53" w:rsidRPr="00C63A98" w:rsidRDefault="00873A53" w:rsidP="00AA30D8">
            <w:pPr>
              <w:pStyle w:val="Tabletext"/>
              <w:keepNext/>
              <w:rPr>
                <w:rFonts w:ascii="Calibri" w:hAnsi="Calibri" w:cs="Calibri"/>
                <w:sz w:val="20"/>
              </w:rPr>
            </w:pPr>
            <w:r>
              <w:rPr>
                <w:rFonts w:ascii="Calibri" w:hAnsi="Calibri" w:cs="Calibri"/>
                <w:sz w:val="20"/>
              </w:rPr>
              <w:t>DateTime</w:t>
            </w:r>
          </w:p>
        </w:tc>
        <w:tc>
          <w:tcPr>
            <w:tcW w:w="3744" w:type="dxa"/>
          </w:tcPr>
          <w:p w14:paraId="4D562C54" w14:textId="308BF738" w:rsidR="00873A53" w:rsidRPr="00C63A98" w:rsidRDefault="00873A53" w:rsidP="00AA30D8">
            <w:pPr>
              <w:pStyle w:val="Tabletext"/>
              <w:keepNext/>
              <w:rPr>
                <w:rFonts w:ascii="Calibri" w:hAnsi="Calibri" w:cs="Calibri"/>
                <w:sz w:val="20"/>
              </w:rPr>
            </w:pPr>
          </w:p>
        </w:tc>
      </w:tr>
      <w:tr w:rsidR="00873A53" w:rsidRPr="00C63A98" w14:paraId="0F902A58" w14:textId="77777777" w:rsidTr="00FA3AEE">
        <w:trPr>
          <w:cantSplit/>
        </w:trPr>
        <w:tc>
          <w:tcPr>
            <w:tcW w:w="1592" w:type="dxa"/>
          </w:tcPr>
          <w:p w14:paraId="66A95EE2"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Engineering Units</w:t>
            </w:r>
          </w:p>
        </w:tc>
        <w:tc>
          <w:tcPr>
            <w:tcW w:w="2808" w:type="dxa"/>
          </w:tcPr>
          <w:p w14:paraId="0AA9E43D" w14:textId="77777777" w:rsidR="00873A53" w:rsidRPr="00C63A98" w:rsidRDefault="00873A53" w:rsidP="00C63A98">
            <w:pPr>
              <w:pStyle w:val="Tabletext"/>
              <w:keepNext/>
              <w:rPr>
                <w:rFonts w:ascii="Calibri" w:hAnsi="Calibri" w:cs="Calibri"/>
                <w:sz w:val="20"/>
              </w:rPr>
            </w:pPr>
            <w:r>
              <w:rPr>
                <w:rFonts w:ascii="Calibri" w:hAnsi="Calibri" w:cs="Calibri"/>
                <w:sz w:val="20"/>
              </w:rPr>
              <w:t>Unit of measurement, where applicable</w:t>
            </w:r>
          </w:p>
        </w:tc>
        <w:tc>
          <w:tcPr>
            <w:tcW w:w="1216" w:type="dxa"/>
          </w:tcPr>
          <w:p w14:paraId="32A5AD5C" w14:textId="77777777" w:rsidR="00873A53" w:rsidRPr="00C63A98" w:rsidRDefault="00873A53" w:rsidP="00C63A98">
            <w:pPr>
              <w:pStyle w:val="Tabletext"/>
              <w:keepNext/>
              <w:rPr>
                <w:rFonts w:ascii="Calibri" w:hAnsi="Calibri" w:cs="Calibri"/>
                <w:sz w:val="20"/>
              </w:rPr>
            </w:pPr>
            <w:r>
              <w:rPr>
                <w:rFonts w:ascii="Calibri" w:hAnsi="Calibri" w:cs="Calibri"/>
                <w:sz w:val="20"/>
              </w:rPr>
              <w:t>Varchar</w:t>
            </w:r>
          </w:p>
        </w:tc>
        <w:tc>
          <w:tcPr>
            <w:tcW w:w="3744" w:type="dxa"/>
          </w:tcPr>
          <w:p w14:paraId="18F87AEA" w14:textId="49DC5980" w:rsidR="00873A53" w:rsidRPr="00C63A98" w:rsidRDefault="00873A53" w:rsidP="00C63A98">
            <w:pPr>
              <w:pStyle w:val="Tabletext"/>
              <w:keepNext/>
              <w:rPr>
                <w:rFonts w:ascii="Calibri" w:hAnsi="Calibri" w:cs="Calibri"/>
                <w:sz w:val="20"/>
              </w:rPr>
            </w:pPr>
          </w:p>
        </w:tc>
      </w:tr>
    </w:tbl>
    <w:p w14:paraId="28B52273" w14:textId="42F73BFF" w:rsidR="00873A53" w:rsidRDefault="00873A53" w:rsidP="00873A53">
      <w:pPr>
        <w:pStyle w:val="Caption"/>
      </w:pPr>
      <w:bookmarkStart w:id="176" w:name="_Toc242554012"/>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14</w:t>
      </w:r>
      <w:r>
        <w:fldChar w:fldCharType="end"/>
      </w:r>
      <w:r>
        <w:t>: Source (PIAF) Data Entity: Terminal Blend Component Data</w:t>
      </w:r>
      <w:bookmarkEnd w:id="176"/>
    </w:p>
    <w:p w14:paraId="07D6072A" w14:textId="77777777" w:rsidR="0081216E" w:rsidRDefault="0081216E" w:rsidP="0081216E">
      <w:pPr>
        <w:pStyle w:val="Heading5"/>
        <w:rPr>
          <w:rFonts w:ascii="Calibri" w:hAnsi="Calibri" w:cs="Calibri"/>
          <w:sz w:val="20"/>
        </w:rPr>
      </w:pPr>
      <w:bookmarkStart w:id="177" w:name="_Ref917260954"/>
      <w:r w:rsidRPr="0081216E">
        <w:rPr>
          <w:rFonts w:ascii="Calibri" w:hAnsi="Calibri" w:cs="Calibri"/>
          <w:sz w:val="20"/>
        </w:rPr>
        <w:t>Source to Response Model Mapping</w:t>
      </w:r>
      <w:bookmarkEnd w:id="177"/>
    </w:p>
    <w:p w14:paraId="72A2C590" w14:textId="77777777" w:rsidR="00873A53" w:rsidRPr="00FC42E7" w:rsidRDefault="00873A53" w:rsidP="00FC42E7">
      <w:pPr>
        <w:pStyle w:val="ListParagraph"/>
        <w:numPr>
          <w:ilvl w:val="0"/>
          <w:numId w:val="4"/>
        </w:numPr>
        <w:jc w:val="left"/>
      </w:pPr>
      <w:r w:rsidRPr="00FC42E7">
        <w:t>The response model shall carry the PI values of Terminal Blend Component Data, with the codes and descriptions added from Profisee.</w:t>
      </w:r>
    </w:p>
    <w:p w14:paraId="698215C7" w14:textId="77777777" w:rsidR="00873A53" w:rsidRDefault="00873A53" w:rsidP="00873A53">
      <w:pPr>
        <w:pStyle w:val="Heading6"/>
        <w:rPr>
          <w:rFonts w:ascii="Calibri" w:hAnsi="Calibri" w:cs="Calibri"/>
          <w:sz w:val="20"/>
        </w:rPr>
      </w:pPr>
      <w:r w:rsidRPr="00AA30D8">
        <w:rPr>
          <w:rFonts w:ascii="Calibri" w:hAnsi="Calibri" w:cs="Calibri"/>
          <w:sz w:val="20"/>
        </w:rPr>
        <w:t>PIAF (Terminal Blend Component Data) to Response Model Mapping</w:t>
      </w:r>
    </w:p>
    <w:p w14:paraId="35EBE7E2" w14:textId="41E616EE" w:rsidR="00FC42E7" w:rsidRPr="00EC3682" w:rsidRDefault="00FC42E7" w:rsidP="00FC42E7">
      <w:pPr>
        <w:pStyle w:val="ListParagraph"/>
        <w:numPr>
          <w:ilvl w:val="0"/>
          <w:numId w:val="4"/>
        </w:numPr>
        <w:jc w:val="left"/>
        <w:rPr>
          <w:rFonts w:ascii="Calibri" w:hAnsi="Calibri" w:cs="Calibri"/>
        </w:rPr>
      </w:pPr>
      <w:r>
        <w:t>The state and the data source shall be fixed values, and the region shall come from the request.</w:t>
      </w:r>
    </w:p>
    <w:p w14:paraId="3E8A65DC" w14:textId="375D7CD1" w:rsidR="00873A53" w:rsidRPr="0081216E" w:rsidRDefault="00FC42E7" w:rsidP="00FC42E7">
      <w:pPr>
        <w:keepNext/>
        <w:jc w:val="left"/>
        <w:rPr>
          <w:rFonts w:ascii="Calibri" w:hAnsi="Calibri" w:cs="Calibri"/>
        </w:rPr>
      </w:pPr>
      <w:r>
        <w:rPr>
          <w:rFonts w:ascii="Calibri" w:hAnsi="Calibri" w:cs="Calibri"/>
        </w:rPr>
        <w:t>The table below gives the PIAF field or Profisee table that each attribute of the response model comes from.</w:t>
      </w:r>
    </w:p>
    <w:tbl>
      <w:tblPr>
        <w:tblStyle w:val="TableGrid"/>
        <w:tblW w:w="93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8"/>
        <w:gridCol w:w="2340"/>
        <w:gridCol w:w="2528"/>
        <w:gridCol w:w="1966"/>
      </w:tblGrid>
      <w:tr w:rsidR="00873A53" w:rsidRPr="00C63A98" w14:paraId="36F8949C" w14:textId="77777777" w:rsidTr="00FA3AEE">
        <w:trPr>
          <w:cantSplit/>
          <w:tblHeader/>
        </w:trPr>
        <w:tc>
          <w:tcPr>
            <w:tcW w:w="2528" w:type="dxa"/>
            <w:shd w:val="clear" w:color="auto" w:fill="2F5597"/>
          </w:tcPr>
          <w:p w14:paraId="5E727858" w14:textId="77777777" w:rsidR="00873A53" w:rsidRPr="00C63A98" w:rsidRDefault="00873A53" w:rsidP="00C63A98">
            <w:pPr>
              <w:pStyle w:val="Tablehead1"/>
              <w:rPr>
                <w:rFonts w:ascii="Calibri" w:hAnsi="Calibri" w:cs="Calibri"/>
                <w:sz w:val="20"/>
              </w:rPr>
            </w:pPr>
            <w:r w:rsidRPr="00C63A98">
              <w:rPr>
                <w:rFonts w:ascii="Calibri" w:hAnsi="Calibri" w:cs="Calibri"/>
                <w:sz w:val="20"/>
              </w:rPr>
              <w:t>Response Model</w:t>
            </w:r>
          </w:p>
        </w:tc>
        <w:tc>
          <w:tcPr>
            <w:tcW w:w="2340" w:type="dxa"/>
            <w:shd w:val="clear" w:color="auto" w:fill="2F5597"/>
          </w:tcPr>
          <w:p w14:paraId="687FB67C" w14:textId="77777777" w:rsidR="00873A53" w:rsidRPr="00C63A98" w:rsidRDefault="00873A53" w:rsidP="00C63A98">
            <w:pPr>
              <w:pStyle w:val="Tablehead1"/>
              <w:rPr>
                <w:rFonts w:ascii="Calibri" w:hAnsi="Calibri" w:cs="Calibri"/>
                <w:sz w:val="20"/>
              </w:rPr>
            </w:pPr>
            <w:r w:rsidRPr="00C63A98">
              <w:rPr>
                <w:rFonts w:ascii="Calibri" w:hAnsi="Calibri" w:cs="Calibri"/>
                <w:sz w:val="20"/>
              </w:rPr>
              <w:t>Source Field</w:t>
            </w:r>
          </w:p>
        </w:tc>
        <w:tc>
          <w:tcPr>
            <w:tcW w:w="2528" w:type="dxa"/>
            <w:shd w:val="clear" w:color="auto" w:fill="2F5597"/>
          </w:tcPr>
          <w:p w14:paraId="0688B02E" w14:textId="77777777" w:rsidR="00873A53" w:rsidRPr="00C63A98" w:rsidRDefault="00873A53" w:rsidP="00C63A98">
            <w:pPr>
              <w:pStyle w:val="Tablehead1"/>
              <w:rPr>
                <w:rFonts w:ascii="Calibri" w:hAnsi="Calibri" w:cs="Calibri"/>
                <w:sz w:val="20"/>
              </w:rPr>
            </w:pPr>
            <w:r w:rsidRPr="00C63A98">
              <w:rPr>
                <w:rFonts w:ascii="Calibri" w:hAnsi="Calibri" w:cs="Calibri"/>
                <w:sz w:val="20"/>
              </w:rPr>
              <w:t>Attribute</w:t>
            </w:r>
          </w:p>
        </w:tc>
        <w:tc>
          <w:tcPr>
            <w:tcW w:w="1966" w:type="dxa"/>
            <w:shd w:val="clear" w:color="auto" w:fill="2F5597"/>
          </w:tcPr>
          <w:p w14:paraId="44DB9539" w14:textId="77777777" w:rsidR="00873A53" w:rsidRPr="00C63A98" w:rsidRDefault="00873A53" w:rsidP="00C63A98">
            <w:pPr>
              <w:pStyle w:val="Tablehead1"/>
              <w:rPr>
                <w:rFonts w:ascii="Calibri" w:hAnsi="Calibri" w:cs="Calibri"/>
                <w:sz w:val="20"/>
              </w:rPr>
            </w:pPr>
            <w:r w:rsidRPr="00C63A98">
              <w:rPr>
                <w:rFonts w:ascii="Calibri" w:hAnsi="Calibri" w:cs="Calibri"/>
                <w:sz w:val="20"/>
              </w:rPr>
              <w:t>Description</w:t>
            </w:r>
          </w:p>
        </w:tc>
      </w:tr>
      <w:tr w:rsidR="00873A53" w:rsidRPr="00C63A98" w14:paraId="4984A376" w14:textId="77777777" w:rsidTr="00FA3AEE">
        <w:trPr>
          <w:cantSplit/>
        </w:trPr>
        <w:tc>
          <w:tcPr>
            <w:tcW w:w="2528" w:type="dxa"/>
          </w:tcPr>
          <w:p w14:paraId="7969E389"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equipmentCode</w:t>
            </w:r>
          </w:p>
        </w:tc>
        <w:tc>
          <w:tcPr>
            <w:tcW w:w="2340" w:type="dxa"/>
          </w:tcPr>
          <w:p w14:paraId="6E4AE7D1" w14:textId="77777777" w:rsidR="00873A53" w:rsidRPr="00C63A98" w:rsidRDefault="00873A53" w:rsidP="00C63A98">
            <w:pPr>
              <w:pStyle w:val="Tabletext"/>
              <w:rPr>
                <w:rFonts w:ascii="Calibri" w:hAnsi="Calibri" w:cs="Calibri"/>
                <w:sz w:val="20"/>
              </w:rPr>
            </w:pPr>
            <w:r w:rsidRPr="00C63A98">
              <w:rPr>
                <w:rFonts w:ascii="Calibri" w:hAnsi="Calibri" w:cs="Calibri"/>
                <w:sz w:val="20"/>
              </w:rPr>
              <w:t>Tank Tag (tank, meter or injector of the PI tag mapping)</w:t>
            </w:r>
          </w:p>
        </w:tc>
        <w:tc>
          <w:tcPr>
            <w:tcW w:w="2528" w:type="dxa"/>
          </w:tcPr>
          <w:p w14:paraId="4AAC303D"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w:t>
            </w:r>
          </w:p>
        </w:tc>
        <w:tc>
          <w:tcPr>
            <w:tcW w:w="1966" w:type="dxa"/>
          </w:tcPr>
          <w:p w14:paraId="4AC382FB"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 of the value</w:t>
            </w:r>
          </w:p>
        </w:tc>
      </w:tr>
      <w:tr w:rsidR="00873A53" w:rsidRPr="00C63A98" w14:paraId="08B2BDB6" w14:textId="77777777" w:rsidTr="00FA3AEE">
        <w:trPr>
          <w:cantSplit/>
        </w:trPr>
        <w:tc>
          <w:tcPr>
            <w:tcW w:w="2528" w:type="dxa"/>
          </w:tcPr>
          <w:p w14:paraId="007FBC44"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equipmentGlobalCode</w:t>
            </w:r>
          </w:p>
        </w:tc>
        <w:tc>
          <w:tcPr>
            <w:tcW w:w="2340" w:type="dxa"/>
          </w:tcPr>
          <w:p w14:paraId="3F661A60"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(PI tag mapping)</w:t>
            </w:r>
          </w:p>
        </w:tc>
        <w:tc>
          <w:tcPr>
            <w:tcW w:w="2528" w:type="dxa"/>
          </w:tcPr>
          <w:p w14:paraId="4B0EAC04"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Equipment_GlobalCode</w:t>
            </w:r>
          </w:p>
        </w:tc>
        <w:tc>
          <w:tcPr>
            <w:tcW w:w="1966" w:type="dxa"/>
          </w:tcPr>
          <w:p w14:paraId="0CEA0447"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equipment</w:t>
            </w:r>
          </w:p>
        </w:tc>
      </w:tr>
      <w:tr w:rsidR="00873A53" w:rsidRPr="00C63A98" w14:paraId="35C181D2" w14:textId="77777777" w:rsidTr="00FA3AEE">
        <w:trPr>
          <w:cantSplit/>
        </w:trPr>
        <w:tc>
          <w:tcPr>
            <w:tcW w:w="2528" w:type="dxa"/>
          </w:tcPr>
          <w:p w14:paraId="4C249F25"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equipmentGlobalCodeDescription</w:t>
            </w:r>
          </w:p>
        </w:tc>
        <w:tc>
          <w:tcPr>
            <w:tcW w:w="2340" w:type="dxa"/>
          </w:tcPr>
          <w:p w14:paraId="33FA38D7"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(PI tag mapping)</w:t>
            </w:r>
          </w:p>
        </w:tc>
        <w:tc>
          <w:tcPr>
            <w:tcW w:w="2528" w:type="dxa"/>
          </w:tcPr>
          <w:p w14:paraId="21636740" w14:textId="77777777" w:rsidR="00873A53" w:rsidRPr="00C63A98" w:rsidRDefault="00873A53" w:rsidP="00C63A98">
            <w:pPr>
              <w:pStyle w:val="Tabletext"/>
              <w:rPr>
                <w:rFonts w:ascii="Calibri" w:hAnsi="Calibri" w:cs="Calibri"/>
                <w:sz w:val="20"/>
              </w:rPr>
            </w:pPr>
            <w:r w:rsidRPr="00C63A98">
              <w:rPr>
                <w:rFonts w:ascii="Calibri" w:hAnsi="Calibri" w:cs="Calibri"/>
                <w:sz w:val="20"/>
              </w:rPr>
              <w:t>EquipmentGlobalCodeDescription</w:t>
            </w:r>
          </w:p>
        </w:tc>
        <w:tc>
          <w:tcPr>
            <w:tcW w:w="1966" w:type="dxa"/>
          </w:tcPr>
          <w:p w14:paraId="7D7CBF3D"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description of the equipment</w:t>
            </w:r>
          </w:p>
        </w:tc>
      </w:tr>
      <w:tr w:rsidR="00873A53" w:rsidRPr="00C63A98" w14:paraId="7836128B" w14:textId="77777777" w:rsidTr="00FA3AEE">
        <w:trPr>
          <w:cantSplit/>
        </w:trPr>
        <w:tc>
          <w:tcPr>
            <w:tcW w:w="2528" w:type="dxa"/>
          </w:tcPr>
          <w:p w14:paraId="5B9E161A"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property</w:t>
            </w:r>
          </w:p>
        </w:tc>
        <w:tc>
          <w:tcPr>
            <w:tcW w:w="2340" w:type="dxa"/>
          </w:tcPr>
          <w:p w14:paraId="5AC2C1DB"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(PI tag mapping: property of the tag)</w:t>
            </w:r>
          </w:p>
        </w:tc>
        <w:tc>
          <w:tcPr>
            <w:tcW w:w="2528" w:type="dxa"/>
          </w:tcPr>
          <w:p w14:paraId="7C93C34D"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Property</w:t>
            </w:r>
          </w:p>
        </w:tc>
        <w:tc>
          <w:tcPr>
            <w:tcW w:w="1966" w:type="dxa"/>
          </w:tcPr>
          <w:p w14:paraId="4BB84B85" w14:textId="77777777" w:rsidR="00873A53" w:rsidRPr="00C63A98" w:rsidRDefault="00873A53" w:rsidP="00C63A98">
            <w:pPr>
              <w:pStyle w:val="Tabletext"/>
              <w:rPr>
                <w:rFonts w:ascii="Calibri" w:hAnsi="Calibri" w:cs="Calibri"/>
                <w:sz w:val="20"/>
              </w:rPr>
            </w:pPr>
            <w:r w:rsidRPr="00C63A98">
              <w:rPr>
                <w:rFonts w:ascii="Calibri" w:hAnsi="Calibri" w:cs="Calibri"/>
                <w:sz w:val="20"/>
              </w:rPr>
              <w:t>Measured property</w:t>
            </w:r>
          </w:p>
        </w:tc>
      </w:tr>
      <w:tr w:rsidR="00873A53" w:rsidRPr="00C63A98" w14:paraId="5D224F38" w14:textId="77777777" w:rsidTr="00FA3AEE">
        <w:trPr>
          <w:cantSplit/>
        </w:trPr>
        <w:tc>
          <w:tcPr>
            <w:tcW w:w="2528" w:type="dxa"/>
          </w:tcPr>
          <w:p w14:paraId="4D72478C"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propertyGlobalCode</w:t>
            </w:r>
          </w:p>
        </w:tc>
        <w:tc>
          <w:tcPr>
            <w:tcW w:w="2340" w:type="dxa"/>
          </w:tcPr>
          <w:p w14:paraId="342F92D0"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(Property Mapping)</w:t>
            </w:r>
          </w:p>
        </w:tc>
        <w:tc>
          <w:tcPr>
            <w:tcW w:w="2528" w:type="dxa"/>
          </w:tcPr>
          <w:p w14:paraId="201FFDF2"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Property_GlobalCode</w:t>
            </w:r>
          </w:p>
        </w:tc>
        <w:tc>
          <w:tcPr>
            <w:tcW w:w="1966" w:type="dxa"/>
          </w:tcPr>
          <w:p w14:paraId="065DF23A"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property</w:t>
            </w:r>
          </w:p>
        </w:tc>
      </w:tr>
      <w:tr w:rsidR="00873A53" w:rsidRPr="00C63A98" w14:paraId="428DE23C" w14:textId="77777777" w:rsidTr="00FA3AEE">
        <w:trPr>
          <w:cantSplit/>
        </w:trPr>
        <w:tc>
          <w:tcPr>
            <w:tcW w:w="2528" w:type="dxa"/>
          </w:tcPr>
          <w:p w14:paraId="0846015F" w14:textId="77777777" w:rsidR="00873A53" w:rsidRPr="00C63A98" w:rsidRDefault="00873A53" w:rsidP="00C63A98">
            <w:pPr>
              <w:pStyle w:val="Tabletext"/>
              <w:rPr>
                <w:rFonts w:ascii="Calibri" w:hAnsi="Calibri" w:cs="Calibri"/>
                <w:sz w:val="20"/>
              </w:rPr>
            </w:pPr>
            <w:r w:rsidRPr="00C63A98">
              <w:rPr>
                <w:rFonts w:ascii="Calibri" w:hAnsi="Calibri" w:cs="Calibri"/>
                <w:sz w:val="20"/>
              </w:rPr>
              <w:t>value</w:t>
            </w:r>
          </w:p>
        </w:tc>
        <w:tc>
          <w:tcPr>
            <w:tcW w:w="2340" w:type="dxa"/>
          </w:tcPr>
          <w:p w14:paraId="00AF4DD1"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 Value</w:t>
            </w:r>
          </w:p>
        </w:tc>
        <w:tc>
          <w:tcPr>
            <w:tcW w:w="2528" w:type="dxa"/>
          </w:tcPr>
          <w:p w14:paraId="6048F628" w14:textId="77777777" w:rsidR="00873A53" w:rsidRPr="00C63A98" w:rsidRDefault="00873A53" w:rsidP="00C63A98">
            <w:pPr>
              <w:pStyle w:val="Tabletext"/>
              <w:rPr>
                <w:rFonts w:ascii="Calibri" w:hAnsi="Calibri" w:cs="Calibri"/>
                <w:sz w:val="20"/>
              </w:rPr>
            </w:pPr>
            <w:r w:rsidRPr="00C63A98">
              <w:rPr>
                <w:rFonts w:ascii="Calibri" w:hAnsi="Calibri" w:cs="Calibri"/>
                <w:sz w:val="20"/>
              </w:rPr>
              <w:t>Value</w:t>
            </w:r>
          </w:p>
        </w:tc>
        <w:tc>
          <w:tcPr>
            <w:tcW w:w="1966" w:type="dxa"/>
          </w:tcPr>
          <w:p w14:paraId="6A185551" w14:textId="77777777" w:rsidR="00873A53" w:rsidRPr="00C63A98" w:rsidRDefault="00873A53" w:rsidP="00C63A98">
            <w:pPr>
              <w:pStyle w:val="Tabletext"/>
              <w:rPr>
                <w:rFonts w:ascii="Calibri" w:hAnsi="Calibri" w:cs="Calibri"/>
                <w:sz w:val="20"/>
              </w:rPr>
            </w:pPr>
            <w:r w:rsidRPr="00C63A98">
              <w:rPr>
                <w:rFonts w:ascii="Calibri" w:hAnsi="Calibri" w:cs="Calibri"/>
                <w:sz w:val="20"/>
              </w:rPr>
              <w:t>Measured value</w:t>
            </w:r>
          </w:p>
        </w:tc>
      </w:tr>
      <w:tr w:rsidR="00873A53" w:rsidRPr="00C63A98" w14:paraId="7D5083FF" w14:textId="77777777" w:rsidTr="00FA3AEE">
        <w:trPr>
          <w:cantSplit/>
        </w:trPr>
        <w:tc>
          <w:tcPr>
            <w:tcW w:w="2528" w:type="dxa"/>
          </w:tcPr>
          <w:p w14:paraId="582D0185" w14:textId="77777777" w:rsidR="00873A53" w:rsidRPr="00C63A98" w:rsidRDefault="00873A53" w:rsidP="00C63A98">
            <w:pPr>
              <w:pStyle w:val="Tabletext"/>
              <w:rPr>
                <w:rFonts w:ascii="Calibri" w:hAnsi="Calibri" w:cs="Calibri"/>
                <w:sz w:val="20"/>
              </w:rPr>
            </w:pPr>
            <w:r w:rsidRPr="00C63A98">
              <w:rPr>
                <w:rFonts w:ascii="Calibri" w:hAnsi="Calibri" w:cs="Calibri"/>
                <w:sz w:val="20"/>
              </w:rPr>
              <w:t>valueDate</w:t>
            </w:r>
          </w:p>
        </w:tc>
        <w:tc>
          <w:tcPr>
            <w:tcW w:w="2340" w:type="dxa"/>
          </w:tcPr>
          <w:p w14:paraId="51A03078"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 Stamp</w:t>
            </w:r>
          </w:p>
        </w:tc>
        <w:tc>
          <w:tcPr>
            <w:tcW w:w="2528" w:type="dxa"/>
          </w:tcPr>
          <w:p w14:paraId="09704DAE" w14:textId="77777777" w:rsidR="00873A53" w:rsidRPr="00C63A98" w:rsidRDefault="00873A53" w:rsidP="00C63A98">
            <w:pPr>
              <w:pStyle w:val="Tabletext"/>
              <w:rPr>
                <w:rFonts w:ascii="Calibri" w:hAnsi="Calibri" w:cs="Calibri"/>
                <w:sz w:val="20"/>
              </w:rPr>
            </w:pPr>
            <w:r w:rsidRPr="00C63A98">
              <w:rPr>
                <w:rFonts w:ascii="Calibri" w:hAnsi="Calibri" w:cs="Calibri"/>
                <w:sz w:val="20"/>
              </w:rPr>
              <w:t>ValueDate</w:t>
            </w:r>
          </w:p>
        </w:tc>
        <w:tc>
          <w:tcPr>
            <w:tcW w:w="1966" w:type="dxa"/>
          </w:tcPr>
          <w:p w14:paraId="3460B6C5"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 stamp of the value</w:t>
            </w:r>
          </w:p>
        </w:tc>
      </w:tr>
      <w:tr w:rsidR="00873A53" w:rsidRPr="00C63A98" w14:paraId="0B680E76" w14:textId="77777777" w:rsidTr="00FA3AEE">
        <w:trPr>
          <w:cantSplit/>
        </w:trPr>
        <w:tc>
          <w:tcPr>
            <w:tcW w:w="2528" w:type="dxa"/>
          </w:tcPr>
          <w:p w14:paraId="14E4C513"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materialCode</w:t>
            </w:r>
          </w:p>
        </w:tc>
        <w:tc>
          <w:tcPr>
            <w:tcW w:w="2340" w:type="dxa"/>
          </w:tcPr>
          <w:p w14:paraId="2769320F" w14:textId="7189E52B" w:rsidR="00873A53" w:rsidRPr="00C63A98" w:rsidRDefault="004812A6" w:rsidP="00C63A98">
            <w:pPr>
              <w:pStyle w:val="Tabletext"/>
              <w:rPr>
                <w:rFonts w:ascii="Calibri" w:hAnsi="Calibri" w:cs="Calibri"/>
                <w:sz w:val="20"/>
              </w:rPr>
            </w:pPr>
            <w:r>
              <w:rPr>
                <w:rFonts w:ascii="Calibri" w:hAnsi="Calibri" w:cs="Calibri"/>
                <w:sz w:val="20"/>
              </w:rPr>
              <w:t xml:space="preserve">PI Tag, from the PI tag mapping. </w:t>
            </w:r>
            <w:r w:rsidR="009C3F56">
              <w:rPr>
                <w:rFonts w:ascii="Calibri" w:hAnsi="Calibri" w:cs="Calibri"/>
                <w:sz w:val="20"/>
              </w:rPr>
              <w:t>For a flow: the blend component given for its totalizer in the PI tag mapping or, where none is given, the Product attribute of the service tank.</w:t>
            </w:r>
            <w:r>
              <w:rPr>
                <w:rFonts w:ascii="Calibri" w:hAnsi="Calibri" w:cs="Calibri"/>
                <w:sz w:val="20"/>
              </w:rPr>
              <w:t xml:space="preserve"> For an analyzer quality: the gasoline product, from the Product attribute of the injector's service tank.</w:t>
            </w:r>
          </w:p>
        </w:tc>
        <w:tc>
          <w:tcPr>
            <w:tcW w:w="2528" w:type="dxa"/>
          </w:tcPr>
          <w:p w14:paraId="09B24038"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w:t>
            </w:r>
          </w:p>
        </w:tc>
        <w:tc>
          <w:tcPr>
            <w:tcW w:w="1966" w:type="dxa"/>
          </w:tcPr>
          <w:p w14:paraId="165664DC"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Product or blend component</w:t>
            </w:r>
          </w:p>
        </w:tc>
      </w:tr>
      <w:tr w:rsidR="00873A53" w:rsidRPr="00C63A98" w14:paraId="21D0D6A2" w14:textId="77777777" w:rsidTr="00FA3AEE">
        <w:trPr>
          <w:cantSplit/>
        </w:trPr>
        <w:tc>
          <w:tcPr>
            <w:tcW w:w="2528" w:type="dxa"/>
          </w:tcPr>
          <w:p w14:paraId="31FF83BC"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materialGlobalCode</w:t>
            </w:r>
          </w:p>
        </w:tc>
        <w:tc>
          <w:tcPr>
            <w:tcW w:w="2340" w:type="dxa"/>
          </w:tcPr>
          <w:p w14:paraId="326D85FC"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(Product XREF)</w:t>
            </w:r>
          </w:p>
        </w:tc>
        <w:tc>
          <w:tcPr>
            <w:tcW w:w="2528" w:type="dxa"/>
          </w:tcPr>
          <w:p w14:paraId="2EB9E15A"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Material_GlobalCode</w:t>
            </w:r>
          </w:p>
        </w:tc>
        <w:tc>
          <w:tcPr>
            <w:tcW w:w="1966" w:type="dxa"/>
          </w:tcPr>
          <w:p w14:paraId="2C06F424"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material</w:t>
            </w:r>
          </w:p>
        </w:tc>
      </w:tr>
      <w:tr w:rsidR="00873A53" w:rsidRPr="00C63A98" w14:paraId="1799BFE9" w14:textId="77777777" w:rsidTr="00FA3AEE">
        <w:trPr>
          <w:cantSplit/>
        </w:trPr>
        <w:tc>
          <w:tcPr>
            <w:tcW w:w="2528" w:type="dxa"/>
          </w:tcPr>
          <w:p w14:paraId="63C6B840"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materialGlobalCodeDescription</w:t>
            </w:r>
          </w:p>
        </w:tc>
        <w:tc>
          <w:tcPr>
            <w:tcW w:w="2340" w:type="dxa"/>
          </w:tcPr>
          <w:p w14:paraId="59976051"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(Product XREF)</w:t>
            </w:r>
          </w:p>
        </w:tc>
        <w:tc>
          <w:tcPr>
            <w:tcW w:w="2528" w:type="dxa"/>
          </w:tcPr>
          <w:p w14:paraId="1F56E0F0" w14:textId="77777777" w:rsidR="00873A53" w:rsidRPr="00C63A98" w:rsidRDefault="00873A53" w:rsidP="00C63A98">
            <w:pPr>
              <w:pStyle w:val="Tabletext"/>
              <w:rPr>
                <w:rFonts w:ascii="Calibri" w:hAnsi="Calibri" w:cs="Calibri"/>
                <w:sz w:val="20"/>
              </w:rPr>
            </w:pPr>
            <w:r w:rsidRPr="00C63A98">
              <w:rPr>
                <w:rFonts w:ascii="Calibri" w:hAnsi="Calibri" w:cs="Calibri"/>
                <w:sz w:val="20"/>
              </w:rPr>
              <w:t>MaterialGlobalCodeDescription</w:t>
            </w:r>
          </w:p>
        </w:tc>
        <w:tc>
          <w:tcPr>
            <w:tcW w:w="1966" w:type="dxa"/>
          </w:tcPr>
          <w:p w14:paraId="63002509"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description of the material</w:t>
            </w:r>
          </w:p>
        </w:tc>
      </w:tr>
      <w:tr w:rsidR="00873A53" w:rsidRPr="00C63A98" w14:paraId="207F9870" w14:textId="77777777" w:rsidTr="00FA3AEE">
        <w:trPr>
          <w:cantSplit/>
        </w:trPr>
        <w:tc>
          <w:tcPr>
            <w:tcW w:w="2528" w:type="dxa"/>
          </w:tcPr>
          <w:p w14:paraId="006407DE" w14:textId="77777777" w:rsidR="00873A53" w:rsidRPr="00C63A98" w:rsidRDefault="00873A53" w:rsidP="00C63A98">
            <w:pPr>
              <w:pStyle w:val="Tabletext"/>
              <w:rPr>
                <w:rFonts w:ascii="Calibri" w:hAnsi="Calibri" w:cs="Calibri"/>
                <w:sz w:val="20"/>
              </w:rPr>
            </w:pPr>
            <w:r w:rsidRPr="00C63A98">
              <w:rPr>
                <w:rFonts w:ascii="Calibri" w:hAnsi="Calibri" w:cs="Calibri"/>
                <w:sz w:val="20"/>
              </w:rPr>
              <w:t>unitOfMeasure</w:t>
            </w:r>
          </w:p>
        </w:tc>
        <w:tc>
          <w:tcPr>
            <w:tcW w:w="2340" w:type="dxa"/>
          </w:tcPr>
          <w:p w14:paraId="188E884C" w14:textId="4C98401A" w:rsidR="00873A53" w:rsidRPr="00C63A98" w:rsidRDefault="00140DC0" w:rsidP="00C63A98">
            <w:pPr>
              <w:pStyle w:val="Tabletext"/>
              <w:rPr>
                <w:rFonts w:ascii="Calibri" w:hAnsi="Calibri" w:cs="Calibri"/>
                <w:sz w:val="20"/>
              </w:rPr>
            </w:pPr>
            <w:r>
              <w:rPr>
                <w:rFonts w:ascii="Calibri" w:hAnsi="Calibri" w:cs="Calibri"/>
                <w:sz w:val="20"/>
              </w:rPr>
              <w:t>Engineering Units. For RVP, TV/L, T10 and T50, the unit of the property in Profisee; for the other quality properties, the unit that PI gives</w:t>
            </w:r>
          </w:p>
        </w:tc>
        <w:tc>
          <w:tcPr>
            <w:tcW w:w="2528" w:type="dxa"/>
          </w:tcPr>
          <w:p w14:paraId="2F0F8B60" w14:textId="77777777" w:rsidR="00873A53" w:rsidRPr="00C63A98" w:rsidRDefault="00873A53" w:rsidP="00C63A98">
            <w:pPr>
              <w:pStyle w:val="Tabletext"/>
              <w:rPr>
                <w:rFonts w:ascii="Calibri" w:hAnsi="Calibri" w:cs="Calibri"/>
                <w:sz w:val="20"/>
              </w:rPr>
            </w:pPr>
            <w:r w:rsidRPr="00C63A98">
              <w:rPr>
                <w:rFonts w:ascii="Calibri" w:hAnsi="Calibri" w:cs="Calibri"/>
                <w:sz w:val="20"/>
              </w:rPr>
              <w:t>UOM</w:t>
            </w:r>
          </w:p>
        </w:tc>
        <w:tc>
          <w:tcPr>
            <w:tcW w:w="1966" w:type="dxa"/>
          </w:tcPr>
          <w:p w14:paraId="0262B9D3" w14:textId="77777777" w:rsidR="00873A53" w:rsidRPr="00C63A98" w:rsidRDefault="00873A53" w:rsidP="00C63A98">
            <w:pPr>
              <w:pStyle w:val="Tabletext"/>
              <w:rPr>
                <w:rFonts w:ascii="Calibri" w:hAnsi="Calibri" w:cs="Calibri"/>
                <w:sz w:val="20"/>
              </w:rPr>
            </w:pPr>
            <w:r w:rsidRPr="00C63A98">
              <w:rPr>
                <w:rFonts w:ascii="Calibri" w:hAnsi="Calibri" w:cs="Calibri"/>
                <w:sz w:val="20"/>
              </w:rPr>
              <w:t>Unit of the value</w:t>
            </w:r>
          </w:p>
        </w:tc>
      </w:tr>
      <w:tr w:rsidR="00873A53" w:rsidRPr="00C63A98" w14:paraId="1CE697F0" w14:textId="77777777" w:rsidTr="00FA3AEE">
        <w:trPr>
          <w:cantSplit/>
        </w:trPr>
        <w:tc>
          <w:tcPr>
            <w:tcW w:w="2528" w:type="dxa"/>
          </w:tcPr>
          <w:p w14:paraId="5A07D0C9" w14:textId="77777777" w:rsidR="00873A53" w:rsidRPr="00C63A98" w:rsidRDefault="00873A53" w:rsidP="00C63A98">
            <w:pPr>
              <w:pStyle w:val="Tabletext"/>
              <w:rPr>
                <w:rFonts w:ascii="Calibri" w:hAnsi="Calibri" w:cs="Calibri"/>
                <w:sz w:val="20"/>
              </w:rPr>
            </w:pPr>
            <w:r w:rsidRPr="00C63A98">
              <w:rPr>
                <w:rFonts w:ascii="Calibri" w:hAnsi="Calibri" w:cs="Calibri"/>
                <w:sz w:val="20"/>
              </w:rPr>
              <w:t>unitOfMeasureGlobalCode</w:t>
            </w:r>
          </w:p>
        </w:tc>
        <w:tc>
          <w:tcPr>
            <w:tcW w:w="2340" w:type="dxa"/>
          </w:tcPr>
          <w:p w14:paraId="78E1A687"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(UOM)</w:t>
            </w:r>
          </w:p>
        </w:tc>
        <w:tc>
          <w:tcPr>
            <w:tcW w:w="2528" w:type="dxa"/>
          </w:tcPr>
          <w:p w14:paraId="03BE7E62" w14:textId="77777777" w:rsidR="00873A53" w:rsidRPr="00C63A98" w:rsidRDefault="00873A53" w:rsidP="00C63A98">
            <w:pPr>
              <w:pStyle w:val="Tabletext"/>
              <w:rPr>
                <w:rFonts w:ascii="Calibri" w:hAnsi="Calibri" w:cs="Calibri"/>
                <w:sz w:val="20"/>
              </w:rPr>
            </w:pPr>
            <w:r w:rsidRPr="00C63A98">
              <w:rPr>
                <w:rFonts w:ascii="Calibri" w:hAnsi="Calibri" w:cs="Calibri"/>
                <w:sz w:val="20"/>
              </w:rPr>
              <w:t>UOM_GlobalCode</w:t>
            </w:r>
          </w:p>
        </w:tc>
        <w:tc>
          <w:tcPr>
            <w:tcW w:w="1966" w:type="dxa"/>
          </w:tcPr>
          <w:p w14:paraId="3E033A76"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unit</w:t>
            </w:r>
          </w:p>
        </w:tc>
      </w:tr>
      <w:tr w:rsidR="00873A53" w:rsidRPr="00C63A98" w14:paraId="1DB46F09" w14:textId="77777777" w:rsidTr="00FA3AEE">
        <w:trPr>
          <w:cantSplit/>
        </w:trPr>
        <w:tc>
          <w:tcPr>
            <w:tcW w:w="2528" w:type="dxa"/>
          </w:tcPr>
          <w:p w14:paraId="555F8836"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piTag</w:t>
            </w:r>
          </w:p>
        </w:tc>
        <w:tc>
          <w:tcPr>
            <w:tcW w:w="2340" w:type="dxa"/>
          </w:tcPr>
          <w:p w14:paraId="4CF95808"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 Tag</w:t>
            </w:r>
          </w:p>
        </w:tc>
        <w:tc>
          <w:tcPr>
            <w:tcW w:w="2528" w:type="dxa"/>
          </w:tcPr>
          <w:p w14:paraId="14B311A3"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PITag</w:t>
            </w:r>
          </w:p>
        </w:tc>
        <w:tc>
          <w:tcPr>
            <w:tcW w:w="1966" w:type="dxa"/>
          </w:tcPr>
          <w:p w14:paraId="34B84ED1"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PIAF attribute path</w:t>
            </w:r>
          </w:p>
        </w:tc>
      </w:tr>
      <w:tr w:rsidR="00873A53" w:rsidRPr="00C63A98" w14:paraId="301EB0D9" w14:textId="77777777" w:rsidTr="00FA3AEE">
        <w:trPr>
          <w:cantSplit/>
        </w:trPr>
        <w:tc>
          <w:tcPr>
            <w:tcW w:w="2528" w:type="dxa"/>
          </w:tcPr>
          <w:p w14:paraId="2E146E35"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piDescription</w:t>
            </w:r>
          </w:p>
        </w:tc>
        <w:tc>
          <w:tcPr>
            <w:tcW w:w="2340" w:type="dxa"/>
          </w:tcPr>
          <w:p w14:paraId="60D4BB19"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 Description (Profisee)</w:t>
            </w:r>
          </w:p>
        </w:tc>
        <w:tc>
          <w:tcPr>
            <w:tcW w:w="2528" w:type="dxa"/>
          </w:tcPr>
          <w:p w14:paraId="5C1A91BC"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PIDescription</w:t>
            </w:r>
          </w:p>
        </w:tc>
        <w:tc>
          <w:tcPr>
            <w:tcW w:w="1966" w:type="dxa"/>
          </w:tcPr>
          <w:p w14:paraId="0255C978" w14:textId="77777777" w:rsidR="00873A53" w:rsidRPr="00C63A98" w:rsidRDefault="00873A53" w:rsidP="00C63A98">
            <w:pPr>
              <w:pStyle w:val="Tabletext"/>
              <w:rPr>
                <w:rFonts w:ascii="Calibri" w:hAnsi="Calibri" w:cs="Calibri"/>
                <w:sz w:val="20"/>
              </w:rPr>
            </w:pPr>
            <w:r w:rsidRPr="00C63A98">
              <w:rPr>
                <w:rFonts w:ascii="Calibri" w:hAnsi="Calibri" w:cs="Calibri"/>
                <w:sz w:val="20"/>
              </w:rPr>
              <w:t>Description of the PI tag</w:t>
            </w:r>
          </w:p>
        </w:tc>
      </w:tr>
      <w:tr w:rsidR="00873A53" w:rsidRPr="00C63A98" w14:paraId="3798D304" w14:textId="77777777" w:rsidTr="00FA3AEE">
        <w:trPr>
          <w:cantSplit/>
        </w:trPr>
        <w:tc>
          <w:tcPr>
            <w:tcW w:w="2528" w:type="dxa"/>
          </w:tcPr>
          <w:p w14:paraId="24734DC7"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locationCode</w:t>
            </w:r>
          </w:p>
        </w:tc>
        <w:tc>
          <w:tcPr>
            <w:tcW w:w="2340" w:type="dxa"/>
          </w:tcPr>
          <w:p w14:paraId="767B86B5" w14:textId="77777777" w:rsidR="00873A53" w:rsidRPr="00C63A98" w:rsidRDefault="00873A53" w:rsidP="00C63A98">
            <w:pPr>
              <w:pStyle w:val="Tabletext"/>
              <w:rPr>
                <w:rFonts w:ascii="Calibri" w:hAnsi="Calibri" w:cs="Calibri"/>
                <w:sz w:val="20"/>
              </w:rPr>
            </w:pPr>
            <w:r w:rsidRPr="00C63A98">
              <w:rPr>
                <w:rFonts w:ascii="Calibri" w:hAnsi="Calibri" w:cs="Calibri"/>
                <w:sz w:val="20"/>
              </w:rPr>
              <w:t>Terminal Tag</w:t>
            </w:r>
          </w:p>
        </w:tc>
        <w:tc>
          <w:tcPr>
            <w:tcW w:w="2528" w:type="dxa"/>
          </w:tcPr>
          <w:p w14:paraId="7BEBCF87"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w:t>
            </w:r>
          </w:p>
        </w:tc>
        <w:tc>
          <w:tcPr>
            <w:tcW w:w="1966" w:type="dxa"/>
          </w:tcPr>
          <w:p w14:paraId="20855EF6" w14:textId="77777777" w:rsidR="00873A53" w:rsidRPr="00C63A98" w:rsidRDefault="00873A53" w:rsidP="00C63A98">
            <w:pPr>
              <w:pStyle w:val="Tabletext"/>
              <w:rPr>
                <w:rFonts w:ascii="Calibri" w:hAnsi="Calibri" w:cs="Calibri"/>
                <w:sz w:val="20"/>
              </w:rPr>
            </w:pPr>
            <w:r w:rsidRPr="00C63A98">
              <w:rPr>
                <w:rFonts w:ascii="Calibri" w:hAnsi="Calibri" w:cs="Calibri"/>
                <w:sz w:val="20"/>
              </w:rPr>
              <w:t>Terminal</w:t>
            </w:r>
          </w:p>
        </w:tc>
      </w:tr>
      <w:tr w:rsidR="00873A53" w:rsidRPr="00C63A98" w14:paraId="5F4C89AF" w14:textId="77777777" w:rsidTr="00FA3AEE">
        <w:trPr>
          <w:cantSplit/>
        </w:trPr>
        <w:tc>
          <w:tcPr>
            <w:tcW w:w="2528" w:type="dxa"/>
          </w:tcPr>
          <w:p w14:paraId="7CE41D83"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locationGlobalCode</w:t>
            </w:r>
          </w:p>
        </w:tc>
        <w:tc>
          <w:tcPr>
            <w:tcW w:w="2340" w:type="dxa"/>
          </w:tcPr>
          <w:p w14:paraId="564D1B5B"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(PI tag mapping)</w:t>
            </w:r>
          </w:p>
        </w:tc>
        <w:tc>
          <w:tcPr>
            <w:tcW w:w="2528" w:type="dxa"/>
          </w:tcPr>
          <w:p w14:paraId="671F5A22"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Location_GlobalCode</w:t>
            </w:r>
          </w:p>
        </w:tc>
        <w:tc>
          <w:tcPr>
            <w:tcW w:w="1966" w:type="dxa"/>
          </w:tcPr>
          <w:p w14:paraId="38D1AFA8"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code of the location</w:t>
            </w:r>
          </w:p>
        </w:tc>
      </w:tr>
      <w:tr w:rsidR="00873A53" w:rsidRPr="00C63A98" w14:paraId="768FB8A9" w14:textId="77777777" w:rsidTr="00FA3AEE">
        <w:trPr>
          <w:cantSplit/>
        </w:trPr>
        <w:tc>
          <w:tcPr>
            <w:tcW w:w="2528" w:type="dxa"/>
          </w:tcPr>
          <w:p w14:paraId="164AED9F"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locationGlobalCodeDescription</w:t>
            </w:r>
          </w:p>
        </w:tc>
        <w:tc>
          <w:tcPr>
            <w:tcW w:w="2340" w:type="dxa"/>
          </w:tcPr>
          <w:p w14:paraId="538AA794"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(Location XREF)</w:t>
            </w:r>
          </w:p>
        </w:tc>
        <w:tc>
          <w:tcPr>
            <w:tcW w:w="2528" w:type="dxa"/>
          </w:tcPr>
          <w:p w14:paraId="094BC929"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LocationGlobalCodeDescription</w:t>
            </w:r>
          </w:p>
        </w:tc>
        <w:tc>
          <w:tcPr>
            <w:tcW w:w="1966" w:type="dxa"/>
          </w:tcPr>
          <w:p w14:paraId="3B70EF0E"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description of the location</w:t>
            </w:r>
          </w:p>
        </w:tc>
      </w:tr>
      <w:tr w:rsidR="00873A53" w:rsidRPr="00C63A98" w14:paraId="61F0C39F" w14:textId="77777777" w:rsidTr="00FA3AEE">
        <w:trPr>
          <w:cantSplit/>
        </w:trPr>
        <w:tc>
          <w:tcPr>
            <w:tcW w:w="2528" w:type="dxa"/>
          </w:tcPr>
          <w:p w14:paraId="02AC1DAA" w14:textId="77777777" w:rsidR="00873A53" w:rsidRPr="00C63A98" w:rsidRDefault="00873A53" w:rsidP="00C63A98">
            <w:pPr>
              <w:pStyle w:val="Tabletext"/>
              <w:rPr>
                <w:rFonts w:ascii="Calibri" w:hAnsi="Calibri" w:cs="Calibri"/>
                <w:sz w:val="20"/>
              </w:rPr>
            </w:pPr>
            <w:r w:rsidRPr="00C63A98">
              <w:rPr>
                <w:rFonts w:ascii="Calibri" w:hAnsi="Calibri" w:cs="Calibri"/>
                <w:sz w:val="20"/>
              </w:rPr>
              <w:t>locationTimezone</w:t>
            </w:r>
          </w:p>
        </w:tc>
        <w:tc>
          <w:tcPr>
            <w:tcW w:w="2340" w:type="dxa"/>
          </w:tcPr>
          <w:p w14:paraId="1FFAB663" w14:textId="77777777" w:rsidR="00873A53" w:rsidRPr="00C63A98" w:rsidRDefault="00873A53" w:rsidP="00C63A98">
            <w:pPr>
              <w:pStyle w:val="Tabletext"/>
              <w:rPr>
                <w:rFonts w:ascii="Calibri" w:hAnsi="Calibri" w:cs="Calibri"/>
                <w:sz w:val="20"/>
              </w:rPr>
            </w:pPr>
            <w:r w:rsidRPr="00C63A98">
              <w:rPr>
                <w:rFonts w:ascii="Calibri" w:hAnsi="Calibri" w:cs="Calibri"/>
                <w:sz w:val="20"/>
              </w:rPr>
              <w:t>Profisee (Location XREF)</w:t>
            </w:r>
          </w:p>
        </w:tc>
        <w:tc>
          <w:tcPr>
            <w:tcW w:w="2528" w:type="dxa"/>
          </w:tcPr>
          <w:p w14:paraId="7033AD36"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TimeZone</w:t>
            </w:r>
          </w:p>
        </w:tc>
        <w:tc>
          <w:tcPr>
            <w:tcW w:w="1966" w:type="dxa"/>
          </w:tcPr>
          <w:p w14:paraId="0988D8C5" w14:textId="77777777" w:rsidR="00873A53" w:rsidRPr="00C63A98" w:rsidRDefault="00873A53" w:rsidP="00C63A98">
            <w:pPr>
              <w:pStyle w:val="Tabletext"/>
              <w:rPr>
                <w:rFonts w:ascii="Calibri" w:hAnsi="Calibri" w:cs="Calibri"/>
                <w:sz w:val="20"/>
              </w:rPr>
            </w:pPr>
            <w:r w:rsidRPr="00C63A98">
              <w:rPr>
                <w:rFonts w:ascii="Calibri" w:hAnsi="Calibri" w:cs="Calibri"/>
                <w:sz w:val="20"/>
              </w:rPr>
              <w:t>Time zone of the location</w:t>
            </w:r>
          </w:p>
        </w:tc>
      </w:tr>
      <w:tr w:rsidR="00873A53" w:rsidRPr="00C63A98" w14:paraId="7D052ADF" w14:textId="77777777" w:rsidTr="00FA3AEE">
        <w:trPr>
          <w:cantSplit/>
        </w:trPr>
        <w:tc>
          <w:tcPr>
            <w:tcW w:w="2528" w:type="dxa"/>
          </w:tcPr>
          <w:p w14:paraId="6C8DA498"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state</w:t>
            </w:r>
          </w:p>
        </w:tc>
        <w:tc>
          <w:tcPr>
            <w:tcW w:w="2340" w:type="dxa"/>
          </w:tcPr>
          <w:p w14:paraId="10F04266" w14:textId="77777777" w:rsidR="00873A53" w:rsidRPr="00C63A98" w:rsidRDefault="00873A53" w:rsidP="00C63A98">
            <w:pPr>
              <w:pStyle w:val="Tabletext"/>
              <w:rPr>
                <w:rFonts w:ascii="Calibri" w:hAnsi="Calibri" w:cs="Calibri"/>
                <w:sz w:val="20"/>
              </w:rPr>
            </w:pPr>
            <w:r w:rsidRPr="00C63A98">
              <w:rPr>
                <w:rFonts w:ascii="Calibri" w:hAnsi="Calibri" w:cs="Calibri"/>
                <w:sz w:val="20"/>
              </w:rPr>
              <w:t>Fixed value (Actual)</w:t>
            </w:r>
          </w:p>
        </w:tc>
        <w:tc>
          <w:tcPr>
            <w:tcW w:w="2528" w:type="dxa"/>
          </w:tcPr>
          <w:p w14:paraId="6C2FFB2C" w14:textId="77777777" w:rsidR="00873A53" w:rsidRPr="00C63A98" w:rsidRDefault="00873A53" w:rsidP="00C63A98">
            <w:pPr>
              <w:pStyle w:val="Tabletext"/>
              <w:rPr>
                <w:rFonts w:ascii="Calibri" w:hAnsi="Calibri" w:cs="Calibri"/>
                <w:sz w:val="20"/>
              </w:rPr>
            </w:pPr>
            <w:r w:rsidRPr="00C63A98">
              <w:rPr>
                <w:rFonts w:ascii="Calibri" w:hAnsi="Calibri" w:cs="Calibri"/>
                <w:sz w:val="20"/>
              </w:rPr>
              <w:t>State</w:t>
            </w:r>
          </w:p>
        </w:tc>
        <w:tc>
          <w:tcPr>
            <w:tcW w:w="1966" w:type="dxa"/>
          </w:tcPr>
          <w:p w14:paraId="07C3C910" w14:textId="77777777" w:rsidR="00873A53" w:rsidRPr="00C63A98" w:rsidRDefault="00873A53" w:rsidP="00C63A98">
            <w:pPr>
              <w:pStyle w:val="Tabletext"/>
              <w:rPr>
                <w:rFonts w:ascii="Calibri" w:hAnsi="Calibri" w:cs="Calibri"/>
                <w:sz w:val="20"/>
              </w:rPr>
            </w:pPr>
            <w:r w:rsidRPr="00C63A98">
              <w:rPr>
                <w:rFonts w:ascii="Calibri" w:hAnsi="Calibri" w:cs="Calibri"/>
                <w:sz w:val="20"/>
              </w:rPr>
              <w:t>Data state</w:t>
            </w:r>
          </w:p>
        </w:tc>
      </w:tr>
      <w:tr w:rsidR="00873A53" w:rsidRPr="00C63A98" w14:paraId="4757E033" w14:textId="77777777" w:rsidTr="00FA3AEE">
        <w:trPr>
          <w:cantSplit/>
        </w:trPr>
        <w:tc>
          <w:tcPr>
            <w:tcW w:w="2528" w:type="dxa"/>
          </w:tcPr>
          <w:p w14:paraId="4A4AB8D4" w14:textId="77777777" w:rsidR="00873A53" w:rsidRPr="00C63A98" w:rsidRDefault="00873A53" w:rsidP="00C63A98">
            <w:pPr>
              <w:pStyle w:val="Tabletext"/>
              <w:rPr>
                <w:rFonts w:ascii="Calibri" w:hAnsi="Calibri" w:cs="Calibri"/>
                <w:sz w:val="20"/>
              </w:rPr>
            </w:pPr>
            <w:r w:rsidRPr="00C63A98">
              <w:rPr>
                <w:rFonts w:ascii="Calibri" w:hAnsi="Calibri" w:cs="Calibri"/>
                <w:sz w:val="20"/>
              </w:rPr>
              <w:t>dataSource</w:t>
            </w:r>
          </w:p>
        </w:tc>
        <w:tc>
          <w:tcPr>
            <w:tcW w:w="2340" w:type="dxa"/>
          </w:tcPr>
          <w:p w14:paraId="2FA174C2" w14:textId="77777777" w:rsidR="00873A53" w:rsidRPr="00C63A98" w:rsidRDefault="00873A53" w:rsidP="00C63A98">
            <w:pPr>
              <w:pStyle w:val="Tabletext"/>
              <w:rPr>
                <w:rFonts w:ascii="Calibri" w:hAnsi="Calibri" w:cs="Calibri"/>
                <w:sz w:val="20"/>
              </w:rPr>
            </w:pPr>
            <w:r w:rsidRPr="00C63A98">
              <w:rPr>
                <w:rFonts w:ascii="Calibri" w:hAnsi="Calibri" w:cs="Calibri"/>
                <w:sz w:val="20"/>
              </w:rPr>
              <w:t>Fixed value (PIAF)</w:t>
            </w:r>
          </w:p>
        </w:tc>
        <w:tc>
          <w:tcPr>
            <w:tcW w:w="2528" w:type="dxa"/>
          </w:tcPr>
          <w:p w14:paraId="600904DA" w14:textId="77777777" w:rsidR="00873A53" w:rsidRPr="00C63A98" w:rsidRDefault="00873A53" w:rsidP="00C63A98">
            <w:pPr>
              <w:pStyle w:val="Tabletext"/>
              <w:rPr>
                <w:rFonts w:ascii="Calibri" w:hAnsi="Calibri" w:cs="Calibri"/>
                <w:sz w:val="20"/>
              </w:rPr>
            </w:pPr>
            <w:r w:rsidRPr="00C63A98">
              <w:rPr>
                <w:rFonts w:ascii="Calibri" w:hAnsi="Calibri" w:cs="Calibri"/>
                <w:sz w:val="20"/>
              </w:rPr>
              <w:t>DataSource</w:t>
            </w:r>
          </w:p>
        </w:tc>
        <w:tc>
          <w:tcPr>
            <w:tcW w:w="1966" w:type="dxa"/>
          </w:tcPr>
          <w:p w14:paraId="550BF8E2" w14:textId="77777777" w:rsidR="00873A53" w:rsidRPr="00C63A98" w:rsidRDefault="00873A53" w:rsidP="00C63A98">
            <w:pPr>
              <w:pStyle w:val="Tabletext"/>
              <w:rPr>
                <w:rFonts w:ascii="Calibri" w:hAnsi="Calibri" w:cs="Calibri"/>
                <w:sz w:val="20"/>
              </w:rPr>
            </w:pPr>
            <w:r w:rsidRPr="00C63A98">
              <w:rPr>
                <w:rFonts w:ascii="Calibri" w:hAnsi="Calibri" w:cs="Calibri"/>
                <w:sz w:val="20"/>
              </w:rPr>
              <w:t>Source system</w:t>
            </w:r>
          </w:p>
        </w:tc>
      </w:tr>
      <w:tr w:rsidR="00873A53" w:rsidRPr="00C63A98" w14:paraId="4BD940D1" w14:textId="77777777" w:rsidTr="00FA3AEE">
        <w:trPr>
          <w:cantSplit/>
        </w:trPr>
        <w:tc>
          <w:tcPr>
            <w:tcW w:w="2528" w:type="dxa"/>
          </w:tcPr>
          <w:p w14:paraId="1140E629"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region</w:t>
            </w:r>
          </w:p>
        </w:tc>
        <w:tc>
          <w:tcPr>
            <w:tcW w:w="2340" w:type="dxa"/>
          </w:tcPr>
          <w:p w14:paraId="01CA8060"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Request (Region)</w:t>
            </w:r>
          </w:p>
        </w:tc>
        <w:tc>
          <w:tcPr>
            <w:tcW w:w="2528" w:type="dxa"/>
          </w:tcPr>
          <w:p w14:paraId="50AB8F4F"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Region</w:t>
            </w:r>
          </w:p>
        </w:tc>
        <w:tc>
          <w:tcPr>
            <w:tcW w:w="1966" w:type="dxa"/>
          </w:tcPr>
          <w:p w14:paraId="60A59886"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Region of the location</w:t>
            </w:r>
          </w:p>
        </w:tc>
      </w:tr>
    </w:tbl>
    <w:p w14:paraId="68988098" w14:textId="6379A8E6" w:rsidR="00873A53" w:rsidRDefault="00873A53" w:rsidP="00873A53">
      <w:pPr>
        <w:pStyle w:val="Caption"/>
      </w:pPr>
      <w:bookmarkStart w:id="178" w:name="_Toc242554013"/>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15</w:t>
      </w:r>
      <w:r>
        <w:fldChar w:fldCharType="end"/>
      </w:r>
      <w:r>
        <w:t>: PIAF (Terminal Blend Component Data) to Response Model Mapping</w:t>
      </w:r>
      <w:bookmarkEnd w:id="178"/>
    </w:p>
    <w:p w14:paraId="617C9D50" w14:textId="77777777" w:rsidR="0081216E" w:rsidRDefault="0081216E" w:rsidP="0081216E">
      <w:pPr>
        <w:pStyle w:val="Heading5"/>
        <w:rPr>
          <w:rFonts w:ascii="Calibri" w:hAnsi="Calibri" w:cs="Calibri"/>
          <w:sz w:val="20"/>
        </w:rPr>
      </w:pPr>
      <w:bookmarkStart w:id="179" w:name="_Ref917260949"/>
      <w:r w:rsidRPr="0081216E">
        <w:rPr>
          <w:rFonts w:ascii="Calibri" w:hAnsi="Calibri" w:cs="Calibri"/>
          <w:sz w:val="20"/>
        </w:rPr>
        <w:t>Master Data Entity</w:t>
      </w:r>
      <w:bookmarkEnd w:id="179"/>
    </w:p>
    <w:p w14:paraId="377E79CE" w14:textId="7AD43202" w:rsidR="00873A53" w:rsidRDefault="00873A53" w:rsidP="00FC42E7">
      <w:pPr>
        <w:keepNext/>
        <w:jc w:val="left"/>
      </w:pPr>
      <w:r>
        <w:t xml:space="preserve">The PIAF integration (sections </w:t>
      </w:r>
      <w:r w:rsidR="00FC42E7">
        <w:fldChar w:fldCharType="begin"/>
      </w:r>
      <w:r w:rsidR="00FC42E7">
        <w:instrText xml:space="preserve"> REF _Ref917260942 \w \h \* MERGEFORMAT </w:instrText>
      </w:r>
      <w:r w:rsidR="00FC42E7">
        <w:fldChar w:fldCharType="separate"/>
      </w:r>
      <w:r w:rsidR="00FC42E7" w:rsidRPr="00FC42E7">
        <w:rPr>
          <w:color w:val="0563C1"/>
          <w:u w:val="single"/>
        </w:rPr>
        <w:t>2.3.3.1</w:t>
      </w:r>
      <w:r w:rsidR="00FC42E7">
        <w:fldChar w:fldCharType="end"/>
      </w:r>
      <w:r>
        <w:t xml:space="preserve"> and </w:t>
      </w:r>
      <w:r w:rsidR="00FC42E7">
        <w:fldChar w:fldCharType="begin"/>
      </w:r>
      <w:r w:rsidR="00FC42E7">
        <w:instrText xml:space="preserve"> REF _Ref917260945 \w \h \* MERGEFORMAT </w:instrText>
      </w:r>
      <w:r w:rsidR="00FC42E7">
        <w:fldChar w:fldCharType="separate"/>
      </w:r>
      <w:r w:rsidR="00FC42E7" w:rsidRPr="00FC42E7">
        <w:rPr>
          <w:color w:val="0563C1"/>
          <w:u w:val="single"/>
        </w:rPr>
        <w:t>2.3.3.2</w:t>
      </w:r>
      <w:r w:rsidR="00FC42E7">
        <w:fldChar w:fldCharType="end"/>
      </w:r>
      <w:r>
        <w:t>) shall use the master data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6"/>
        <w:gridCol w:w="2597"/>
        <w:gridCol w:w="1243"/>
        <w:gridCol w:w="4074"/>
      </w:tblGrid>
      <w:tr w:rsidR="00873A53" w:rsidRPr="00C63A98" w14:paraId="04D4E08F" w14:textId="77777777" w:rsidTr="00C63A98">
        <w:trPr>
          <w:cantSplit/>
          <w:tblHeader/>
        </w:trPr>
        <w:tc>
          <w:tcPr>
            <w:tcW w:w="1446" w:type="dxa"/>
            <w:shd w:val="clear" w:color="auto" w:fill="2F5597"/>
          </w:tcPr>
          <w:p w14:paraId="0A13AC2E" w14:textId="77777777" w:rsidR="00873A53" w:rsidRPr="00C63A98" w:rsidRDefault="00873A53" w:rsidP="00AA30D8">
            <w:pPr>
              <w:pStyle w:val="Tablehead1"/>
              <w:rPr>
                <w:rFonts w:ascii="Calibri" w:hAnsi="Calibri" w:cs="Calibri"/>
                <w:sz w:val="20"/>
              </w:rPr>
            </w:pPr>
            <w:r w:rsidRPr="00C63A98">
              <w:rPr>
                <w:rFonts w:ascii="Calibri" w:hAnsi="Calibri" w:cs="Calibri"/>
                <w:sz w:val="20"/>
              </w:rPr>
              <w:t>Master Data</w:t>
            </w:r>
          </w:p>
        </w:tc>
        <w:tc>
          <w:tcPr>
            <w:tcW w:w="2597" w:type="dxa"/>
            <w:shd w:val="clear" w:color="auto" w:fill="2F5597"/>
          </w:tcPr>
          <w:p w14:paraId="2FC11A1B" w14:textId="77777777" w:rsidR="00873A53" w:rsidRPr="00C63A98" w:rsidRDefault="00873A53" w:rsidP="00AA30D8">
            <w:pPr>
              <w:pStyle w:val="Tablehead1"/>
              <w:rPr>
                <w:rFonts w:ascii="Calibri" w:hAnsi="Calibri" w:cs="Calibri"/>
                <w:sz w:val="20"/>
              </w:rPr>
            </w:pPr>
            <w:r w:rsidRPr="00C63A98">
              <w:rPr>
                <w:rFonts w:ascii="Calibri" w:hAnsi="Calibri" w:cs="Calibri"/>
                <w:sz w:val="20"/>
              </w:rPr>
              <w:t>Description</w:t>
            </w:r>
          </w:p>
        </w:tc>
        <w:tc>
          <w:tcPr>
            <w:tcW w:w="1243" w:type="dxa"/>
            <w:shd w:val="clear" w:color="auto" w:fill="2F5597"/>
          </w:tcPr>
          <w:p w14:paraId="1E135CE5" w14:textId="77777777" w:rsidR="00873A53" w:rsidRPr="00C63A98" w:rsidRDefault="00873A53" w:rsidP="00AA30D8">
            <w:pPr>
              <w:pStyle w:val="Tablehead1"/>
              <w:rPr>
                <w:rFonts w:ascii="Calibri" w:hAnsi="Calibri" w:cs="Calibri"/>
                <w:sz w:val="20"/>
              </w:rPr>
            </w:pPr>
            <w:r w:rsidRPr="00C63A98">
              <w:rPr>
                <w:rFonts w:ascii="Calibri" w:hAnsi="Calibri" w:cs="Calibri"/>
                <w:sz w:val="20"/>
              </w:rPr>
              <w:t>Mapping Required</w:t>
            </w:r>
          </w:p>
        </w:tc>
        <w:tc>
          <w:tcPr>
            <w:tcW w:w="4074" w:type="dxa"/>
            <w:shd w:val="clear" w:color="auto" w:fill="2F5597"/>
          </w:tcPr>
          <w:p w14:paraId="67DF83EC" w14:textId="77777777" w:rsidR="00873A53" w:rsidRPr="00C63A98" w:rsidRDefault="00873A53" w:rsidP="00AA30D8">
            <w:pPr>
              <w:pStyle w:val="Tablehead1"/>
              <w:rPr>
                <w:rFonts w:ascii="Calibri" w:hAnsi="Calibri" w:cs="Calibri"/>
                <w:sz w:val="20"/>
              </w:rPr>
            </w:pPr>
            <w:r w:rsidRPr="00C63A98">
              <w:rPr>
                <w:rFonts w:ascii="Calibri" w:hAnsi="Calibri" w:cs="Calibri"/>
                <w:sz w:val="20"/>
              </w:rPr>
              <w:t>Comments</w:t>
            </w:r>
          </w:p>
        </w:tc>
      </w:tr>
      <w:tr w:rsidR="00873A53" w:rsidRPr="00C63A98" w14:paraId="27224A88" w14:textId="77777777" w:rsidTr="00C63A98">
        <w:trPr>
          <w:cantSplit/>
        </w:trPr>
        <w:tc>
          <w:tcPr>
            <w:tcW w:w="1446" w:type="dxa"/>
          </w:tcPr>
          <w:p w14:paraId="75B79008"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Product XREF</w:t>
            </w:r>
          </w:p>
        </w:tc>
        <w:tc>
          <w:tcPr>
            <w:tcW w:w="2597" w:type="dxa"/>
          </w:tcPr>
          <w:p w14:paraId="1E1D8B0E" w14:textId="77777777" w:rsidR="00873A53" w:rsidRPr="00C63A98" w:rsidRDefault="00873A53" w:rsidP="00AA30D8">
            <w:pPr>
              <w:pStyle w:val="Tabletext"/>
              <w:keepNext/>
              <w:rPr>
                <w:rFonts w:ascii="Calibri" w:hAnsi="Calibri" w:cs="Calibri"/>
                <w:sz w:val="20"/>
              </w:rPr>
            </w:pPr>
            <w:r>
              <w:rPr>
                <w:rFonts w:ascii="Calibri" w:hAnsi="Calibri" w:cs="Calibri"/>
                <w:sz w:val="20"/>
              </w:rPr>
              <w:t>Product or blend component in the tank</w:t>
            </w:r>
          </w:p>
        </w:tc>
        <w:tc>
          <w:tcPr>
            <w:tcW w:w="1243" w:type="dxa"/>
          </w:tcPr>
          <w:p w14:paraId="6E6C4D35"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Yes</w:t>
            </w:r>
          </w:p>
        </w:tc>
        <w:tc>
          <w:tcPr>
            <w:tcW w:w="4074" w:type="dxa"/>
          </w:tcPr>
          <w:p w14:paraId="4BDAE224" w14:textId="230D6254" w:rsidR="00873A53" w:rsidRPr="00C63A98" w:rsidRDefault="009C3F56" w:rsidP="00AA30D8">
            <w:pPr>
              <w:pStyle w:val="Tabletext"/>
              <w:keepNext/>
              <w:rPr>
                <w:rFonts w:ascii="Calibri" w:hAnsi="Calibri" w:cs="Calibri"/>
                <w:sz w:val="20"/>
              </w:rPr>
            </w:pPr>
            <w:r>
              <w:rPr>
                <w:rFonts w:ascii="Calibri" w:hAnsi="Calibri" w:cs="Calibri"/>
                <w:sz w:val="20"/>
              </w:rPr>
              <w:t>The blend component of a flow (or, where none is given, the Product attribute of its service tank) and the Product attribute of the service tank of an injector, to the IQDM product code.</w:t>
            </w:r>
            <w:r w:rsidR="00F80961">
              <w:rPr>
                <w:rFonts w:ascii="Calibri" w:hAnsi="Calibri" w:cs="Calibri"/>
                <w:sz w:val="20"/>
              </w:rPr>
              <w:t xml:space="preserve"> The Product XREF shall hold each product name exactly as PI gives it, including a name that PI shortens, such as BLEND GRADE UN at North Muskegon.</w:t>
            </w:r>
          </w:p>
        </w:tc>
      </w:tr>
      <w:tr w:rsidR="00873A53" w:rsidRPr="00C63A98" w14:paraId="1F7CAC87" w14:textId="77777777" w:rsidTr="00C63A98">
        <w:trPr>
          <w:cantSplit/>
        </w:trPr>
        <w:tc>
          <w:tcPr>
            <w:tcW w:w="1446" w:type="dxa"/>
          </w:tcPr>
          <w:p w14:paraId="699219DF"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Location XREF</w:t>
            </w:r>
          </w:p>
        </w:tc>
        <w:tc>
          <w:tcPr>
            <w:tcW w:w="2597" w:type="dxa"/>
          </w:tcPr>
          <w:p w14:paraId="24F77161"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Terminal</w:t>
            </w:r>
          </w:p>
        </w:tc>
        <w:tc>
          <w:tcPr>
            <w:tcW w:w="1243" w:type="dxa"/>
          </w:tcPr>
          <w:p w14:paraId="43C56942"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Yes</w:t>
            </w:r>
          </w:p>
        </w:tc>
        <w:tc>
          <w:tcPr>
            <w:tcW w:w="4074" w:type="dxa"/>
          </w:tcPr>
          <w:p w14:paraId="0763ECB6"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Terminal to the IQDM location, with the terminal's time zone.</w:t>
            </w:r>
          </w:p>
        </w:tc>
      </w:tr>
      <w:tr w:rsidR="00873A53" w:rsidRPr="00C63A98" w14:paraId="6628F2EA" w14:textId="77777777" w:rsidTr="00C63A98">
        <w:trPr>
          <w:cantSplit/>
        </w:trPr>
        <w:tc>
          <w:tcPr>
            <w:tcW w:w="1446" w:type="dxa"/>
          </w:tcPr>
          <w:p w14:paraId="0CF3898B"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Tank XREF</w:t>
            </w:r>
          </w:p>
        </w:tc>
        <w:tc>
          <w:tcPr>
            <w:tcW w:w="2597" w:type="dxa"/>
          </w:tcPr>
          <w:p w14:paraId="75F04C72" w14:textId="77777777" w:rsidR="00873A53" w:rsidRPr="00C63A98" w:rsidRDefault="00873A53" w:rsidP="00AA30D8">
            <w:pPr>
              <w:pStyle w:val="Tabletext"/>
              <w:keepNext/>
              <w:rPr>
                <w:rFonts w:ascii="Calibri" w:hAnsi="Calibri" w:cs="Calibri"/>
                <w:sz w:val="20"/>
              </w:rPr>
            </w:pPr>
            <w:r>
              <w:rPr>
                <w:rFonts w:ascii="Calibri" w:hAnsi="Calibri" w:cs="Calibri"/>
                <w:sz w:val="20"/>
              </w:rPr>
              <w:t>Tanks, meters and injectors of the PI tag mapping</w:t>
            </w:r>
          </w:p>
        </w:tc>
        <w:tc>
          <w:tcPr>
            <w:tcW w:w="1243" w:type="dxa"/>
          </w:tcPr>
          <w:p w14:paraId="1EB19F09"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Yes</w:t>
            </w:r>
          </w:p>
        </w:tc>
        <w:tc>
          <w:tcPr>
            <w:tcW w:w="4074" w:type="dxa"/>
          </w:tcPr>
          <w:p w14:paraId="1F2EEC38" w14:textId="77777777" w:rsidR="00873A53" w:rsidRPr="00C63A98" w:rsidRDefault="00873A53" w:rsidP="00AA30D8">
            <w:pPr>
              <w:pStyle w:val="Tabletext"/>
              <w:keepNext/>
              <w:rPr>
                <w:rFonts w:ascii="Calibri" w:hAnsi="Calibri" w:cs="Calibri"/>
                <w:sz w:val="20"/>
              </w:rPr>
            </w:pPr>
            <w:r>
              <w:rPr>
                <w:rFonts w:ascii="Calibri" w:hAnsi="Calibri" w:cs="Calibri"/>
                <w:sz w:val="20"/>
              </w:rPr>
              <w:t>Held in the PI tag mapping for each PI tag.</w:t>
            </w:r>
          </w:p>
        </w:tc>
      </w:tr>
      <w:tr w:rsidR="00873A53" w:rsidRPr="00C63A98" w14:paraId="1538BC99" w14:textId="77777777" w:rsidTr="00C63A98">
        <w:trPr>
          <w:cantSplit/>
        </w:trPr>
        <w:tc>
          <w:tcPr>
            <w:tcW w:w="1446" w:type="dxa"/>
          </w:tcPr>
          <w:p w14:paraId="4BFBDB4A"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UOM</w:t>
            </w:r>
          </w:p>
        </w:tc>
        <w:tc>
          <w:tcPr>
            <w:tcW w:w="2597" w:type="dxa"/>
          </w:tcPr>
          <w:p w14:paraId="18188F62"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Unit of the value</w:t>
            </w:r>
          </w:p>
        </w:tc>
        <w:tc>
          <w:tcPr>
            <w:tcW w:w="1243" w:type="dxa"/>
          </w:tcPr>
          <w:p w14:paraId="014172DB"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Yes</w:t>
            </w:r>
          </w:p>
        </w:tc>
        <w:tc>
          <w:tcPr>
            <w:tcW w:w="4074" w:type="dxa"/>
          </w:tcPr>
          <w:p w14:paraId="46DFDD47" w14:textId="31D27040" w:rsidR="00873A53" w:rsidRPr="00C63A98" w:rsidRDefault="00873A53" w:rsidP="00AA30D8">
            <w:pPr>
              <w:pStyle w:val="Tabletext"/>
              <w:keepNext/>
              <w:rPr>
                <w:rFonts w:ascii="Calibri" w:hAnsi="Calibri" w:cs="Calibri"/>
                <w:sz w:val="20"/>
              </w:rPr>
            </w:pPr>
            <w:r>
              <w:rPr>
                <w:rFonts w:ascii="Calibri" w:hAnsi="Calibri" w:cs="Calibri"/>
                <w:sz w:val="20"/>
              </w:rPr>
              <w:t>Totalizers shall be converted to the IQDM default unit.</w:t>
            </w:r>
          </w:p>
        </w:tc>
      </w:tr>
      <w:tr w:rsidR="00873A53" w:rsidRPr="00C63A98" w14:paraId="698082F9" w14:textId="77777777" w:rsidTr="00C63A98">
        <w:trPr>
          <w:cantSplit/>
        </w:trPr>
        <w:tc>
          <w:tcPr>
            <w:tcW w:w="1446" w:type="dxa"/>
          </w:tcPr>
          <w:p w14:paraId="3CA7E351" w14:textId="7E08BEC8" w:rsidR="00873A53" w:rsidRPr="00C63A98" w:rsidRDefault="008F2422" w:rsidP="00AA30D8">
            <w:pPr>
              <w:pStyle w:val="Tabletext"/>
              <w:keepNext/>
              <w:rPr>
                <w:rFonts w:ascii="Calibri" w:hAnsi="Calibri" w:cs="Calibri"/>
                <w:sz w:val="20"/>
              </w:rPr>
            </w:pPr>
            <w:r>
              <w:rPr>
                <w:rFonts w:ascii="Calibri" w:hAnsi="Calibri" w:cs="Calibri"/>
                <w:sz w:val="20"/>
              </w:rPr>
              <w:t>PI tag mapping</w:t>
            </w:r>
          </w:p>
        </w:tc>
        <w:tc>
          <w:tcPr>
            <w:tcW w:w="2597" w:type="dxa"/>
          </w:tcPr>
          <w:p w14:paraId="0FC87AF0" w14:textId="77777777" w:rsidR="00873A53" w:rsidRPr="00C63A98" w:rsidRDefault="00873A53" w:rsidP="00AA30D8">
            <w:pPr>
              <w:pStyle w:val="Tabletext"/>
              <w:keepNext/>
              <w:rPr>
                <w:rFonts w:ascii="Calibri" w:hAnsi="Calibri" w:cs="Calibri"/>
                <w:sz w:val="20"/>
              </w:rPr>
            </w:pPr>
            <w:r>
              <w:rPr>
                <w:rFonts w:ascii="Calibri" w:hAnsi="Calibri" w:cs="Calibri"/>
                <w:sz w:val="20"/>
              </w:rPr>
              <w:t>PIAF tag per terminal, equipment and property</w:t>
            </w:r>
          </w:p>
        </w:tc>
        <w:tc>
          <w:tcPr>
            <w:tcW w:w="1243" w:type="dxa"/>
          </w:tcPr>
          <w:p w14:paraId="1920FADE"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Yes</w:t>
            </w:r>
          </w:p>
        </w:tc>
        <w:tc>
          <w:tcPr>
            <w:tcW w:w="4074" w:type="dxa"/>
          </w:tcPr>
          <w:p w14:paraId="2144DA89" w14:textId="77777777" w:rsidR="00873A53" w:rsidRPr="00C63A98" w:rsidRDefault="00873A53" w:rsidP="00AA30D8">
            <w:pPr>
              <w:pStyle w:val="Tabletext"/>
              <w:keepNext/>
              <w:rPr>
                <w:rFonts w:ascii="Calibri" w:hAnsi="Calibri" w:cs="Calibri"/>
                <w:sz w:val="20"/>
              </w:rPr>
            </w:pPr>
            <w:r w:rsidRPr="00C63A98">
              <w:rPr>
                <w:rFonts w:ascii="Calibri" w:hAnsi="Calibri" w:cs="Calibri"/>
                <w:sz w:val="20"/>
              </w:rPr>
              <w:t>Held in Profisee as the tank, PI tag and property mapping, read through the Semantic Service.</w:t>
            </w:r>
          </w:p>
        </w:tc>
      </w:tr>
      <w:tr w:rsidR="00873A53" w:rsidRPr="00C63A98" w14:paraId="20979F7F" w14:textId="77777777" w:rsidTr="00C63A98">
        <w:trPr>
          <w:cantSplit/>
        </w:trPr>
        <w:tc>
          <w:tcPr>
            <w:tcW w:w="1446" w:type="dxa"/>
          </w:tcPr>
          <w:p w14:paraId="022D760F"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Property Mapping</w:t>
            </w:r>
          </w:p>
        </w:tc>
        <w:tc>
          <w:tcPr>
            <w:tcW w:w="2597" w:type="dxa"/>
          </w:tcPr>
          <w:p w14:paraId="2516CAA2" w14:textId="50B326F2" w:rsidR="00873A53" w:rsidRPr="00C63A98" w:rsidRDefault="00873A53" w:rsidP="00C63A98">
            <w:pPr>
              <w:pStyle w:val="Tabletext"/>
              <w:keepNext/>
              <w:rPr>
                <w:rFonts w:ascii="Calibri" w:hAnsi="Calibri" w:cs="Calibri"/>
                <w:sz w:val="20"/>
              </w:rPr>
            </w:pPr>
            <w:r>
              <w:rPr>
                <w:rFonts w:ascii="Calibri" w:hAnsi="Calibri" w:cs="Calibri"/>
                <w:sz w:val="20"/>
              </w:rPr>
              <w:t xml:space="preserve">Measured property: </w:t>
            </w:r>
            <w:r w:rsidR="004812A6">
              <w:rPr>
                <w:rFonts w:ascii="Calibri" w:hAnsi="Calibri" w:cs="Calibri"/>
                <w:sz w:val="20"/>
              </w:rPr>
              <w:t>the analyzer qualities and the daily flows</w:t>
            </w:r>
          </w:p>
        </w:tc>
        <w:tc>
          <w:tcPr>
            <w:tcW w:w="1243" w:type="dxa"/>
          </w:tcPr>
          <w:p w14:paraId="766870A2"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Yes</w:t>
            </w:r>
          </w:p>
        </w:tc>
        <w:tc>
          <w:tcPr>
            <w:tcW w:w="4074" w:type="dxa"/>
          </w:tcPr>
          <w:p w14:paraId="1FB5E825"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Property to the IQDM property code, with the unit of each quality property.</w:t>
            </w:r>
          </w:p>
        </w:tc>
      </w:tr>
    </w:tbl>
    <w:p w14:paraId="73CE8C9F" w14:textId="12C75CC4" w:rsidR="00873A53" w:rsidRDefault="00873A53" w:rsidP="00873A53">
      <w:pPr>
        <w:pStyle w:val="Caption"/>
      </w:pPr>
      <w:bookmarkStart w:id="180" w:name="_Toc242554014"/>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16</w:t>
      </w:r>
      <w:r>
        <w:fldChar w:fldCharType="end"/>
      </w:r>
      <w:r>
        <w:t>: Master Data Entity - Blend Component Integration (PIAF)</w:t>
      </w:r>
      <w:bookmarkEnd w:id="180"/>
    </w:p>
    <w:p w14:paraId="69A0A425" w14:textId="77777777" w:rsidR="0081216E" w:rsidRDefault="0081216E" w:rsidP="0081216E">
      <w:pPr>
        <w:pStyle w:val="Heading5"/>
        <w:rPr>
          <w:rFonts w:ascii="Calibri" w:hAnsi="Calibri" w:cs="Calibri"/>
          <w:sz w:val="20"/>
        </w:rPr>
      </w:pPr>
      <w:bookmarkStart w:id="181" w:name="_Ref917260955"/>
      <w:r w:rsidRPr="0081216E">
        <w:rPr>
          <w:rFonts w:ascii="Calibri" w:hAnsi="Calibri" w:cs="Calibri"/>
          <w:sz w:val="20"/>
        </w:rPr>
        <w:t>Integration Configuration</w:t>
      </w:r>
      <w:bookmarkEnd w:id="181"/>
    </w:p>
    <w:p w14:paraId="05E1160A" w14:textId="3FCF5054" w:rsidR="00FC42E7" w:rsidRPr="00EC3682" w:rsidRDefault="00FC42E7" w:rsidP="00FC42E7">
      <w:pPr>
        <w:pStyle w:val="ListParagraph"/>
        <w:numPr>
          <w:ilvl w:val="0"/>
          <w:numId w:val="4"/>
        </w:numPr>
        <w:jc w:val="left"/>
        <w:rPr>
          <w:rFonts w:ascii="Calibri" w:hAnsi="Calibri" w:cs="Calibri"/>
        </w:rPr>
      </w:pPr>
      <w:r>
        <w:t>The run settings shall be held in the configuration file in the blob container.</w:t>
      </w:r>
    </w:p>
    <w:p w14:paraId="0F4451F6" w14:textId="3486078E" w:rsidR="00FC42E7" w:rsidRPr="00EC3682" w:rsidRDefault="00FC42E7" w:rsidP="00FC42E7">
      <w:pPr>
        <w:pStyle w:val="ListParagraph"/>
        <w:numPr>
          <w:ilvl w:val="0"/>
          <w:numId w:val="4"/>
        </w:numPr>
        <w:jc w:val="left"/>
        <w:rPr>
          <w:rFonts w:ascii="Calibri" w:hAnsi="Calibri" w:cs="Calibri"/>
        </w:rPr>
      </w:pPr>
      <w:r>
        <w:t>The PI address, the schedule, the batch sizes, the parallel PI calls and the function app settings shall be app settings.</w:t>
      </w:r>
    </w:p>
    <w:p w14:paraId="65195D50" w14:textId="6D3D8C65" w:rsidR="00873A53" w:rsidRPr="0081216E" w:rsidRDefault="00FC42E7" w:rsidP="00FC42E7">
      <w:pPr>
        <w:keepNext/>
        <w:jc w:val="left"/>
        <w:rPr>
          <w:rFonts w:ascii="Calibri" w:hAnsi="Calibri" w:cs="Calibri"/>
        </w:rPr>
      </w:pPr>
      <w:r>
        <w:rPr>
          <w:rFonts w:ascii="Calibri" w:hAnsi="Calibri" w:cs="Calibri"/>
        </w:rPr>
        <w:t>The PIAF integration shall use the settings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0"/>
        <w:gridCol w:w="2620"/>
        <w:gridCol w:w="2996"/>
        <w:gridCol w:w="1404"/>
      </w:tblGrid>
      <w:tr w:rsidR="00873A53" w:rsidRPr="00C63A98" w14:paraId="6A97C4CA" w14:textId="77777777" w:rsidTr="00FA3AEE">
        <w:trPr>
          <w:cantSplit/>
          <w:tblHeader/>
        </w:trPr>
        <w:tc>
          <w:tcPr>
            <w:tcW w:w="2340" w:type="dxa"/>
            <w:shd w:val="clear" w:color="auto" w:fill="2F5597"/>
          </w:tcPr>
          <w:p w14:paraId="191DBF13" w14:textId="77777777" w:rsidR="00873A53" w:rsidRPr="00C63A98" w:rsidRDefault="00873A53" w:rsidP="00C63A98">
            <w:pPr>
              <w:pStyle w:val="Tablehead1"/>
              <w:rPr>
                <w:rFonts w:ascii="Calibri" w:hAnsi="Calibri" w:cs="Calibri"/>
                <w:sz w:val="20"/>
              </w:rPr>
            </w:pPr>
            <w:r w:rsidRPr="00C63A98">
              <w:rPr>
                <w:rFonts w:ascii="Calibri" w:hAnsi="Calibri" w:cs="Calibri"/>
                <w:sz w:val="20"/>
              </w:rPr>
              <w:t>Configuration</w:t>
            </w:r>
          </w:p>
        </w:tc>
        <w:tc>
          <w:tcPr>
            <w:tcW w:w="2620" w:type="dxa"/>
            <w:shd w:val="clear" w:color="auto" w:fill="2F5597"/>
          </w:tcPr>
          <w:p w14:paraId="2537FCCB" w14:textId="77777777" w:rsidR="00873A53" w:rsidRPr="00C63A98" w:rsidRDefault="00873A53" w:rsidP="00C63A98">
            <w:pPr>
              <w:pStyle w:val="Tablehead1"/>
              <w:rPr>
                <w:rFonts w:ascii="Calibri" w:hAnsi="Calibri" w:cs="Calibri"/>
                <w:sz w:val="20"/>
              </w:rPr>
            </w:pPr>
            <w:r w:rsidRPr="00C63A98">
              <w:rPr>
                <w:rFonts w:ascii="Calibri" w:hAnsi="Calibri" w:cs="Calibri"/>
                <w:sz w:val="20"/>
              </w:rPr>
              <w:t>Value</w:t>
            </w:r>
          </w:p>
        </w:tc>
        <w:tc>
          <w:tcPr>
            <w:tcW w:w="2996" w:type="dxa"/>
            <w:shd w:val="clear" w:color="auto" w:fill="2F5597"/>
          </w:tcPr>
          <w:p w14:paraId="6FE9B6C2" w14:textId="77777777" w:rsidR="00873A53" w:rsidRPr="00C63A98" w:rsidRDefault="00873A53" w:rsidP="00C63A98">
            <w:pPr>
              <w:pStyle w:val="Tablehead1"/>
              <w:rPr>
                <w:rFonts w:ascii="Calibri" w:hAnsi="Calibri" w:cs="Calibri"/>
                <w:sz w:val="20"/>
              </w:rPr>
            </w:pPr>
            <w:r w:rsidRPr="00C63A98">
              <w:rPr>
                <w:rFonts w:ascii="Calibri" w:hAnsi="Calibri" w:cs="Calibri"/>
                <w:sz w:val="20"/>
              </w:rPr>
              <w:t>Description</w:t>
            </w:r>
          </w:p>
        </w:tc>
        <w:tc>
          <w:tcPr>
            <w:tcW w:w="1404" w:type="dxa"/>
            <w:shd w:val="clear" w:color="auto" w:fill="2F5597"/>
          </w:tcPr>
          <w:p w14:paraId="74152776" w14:textId="77777777" w:rsidR="00873A53" w:rsidRPr="00C63A98" w:rsidRDefault="00873A53" w:rsidP="00C63A98">
            <w:pPr>
              <w:pStyle w:val="Tablehead1"/>
              <w:rPr>
                <w:rFonts w:ascii="Calibri" w:hAnsi="Calibri" w:cs="Calibri"/>
                <w:sz w:val="20"/>
              </w:rPr>
            </w:pPr>
            <w:r w:rsidRPr="00C63A98">
              <w:rPr>
                <w:rFonts w:ascii="Calibri" w:hAnsi="Calibri" w:cs="Calibri"/>
                <w:sz w:val="20"/>
              </w:rPr>
              <w:t>Location</w:t>
            </w:r>
          </w:p>
        </w:tc>
      </w:tr>
      <w:tr w:rsidR="00873A53" w:rsidRPr="00C63A98" w14:paraId="0F80AD9D" w14:textId="77777777" w:rsidTr="00FA3AEE">
        <w:trPr>
          <w:cantSplit/>
        </w:trPr>
        <w:tc>
          <w:tcPr>
            <w:tcW w:w="2340" w:type="dxa"/>
          </w:tcPr>
          <w:p w14:paraId="5B655B03" w14:textId="77777777" w:rsidR="00873A53" w:rsidRPr="00C63A98" w:rsidRDefault="00873A53" w:rsidP="00C63A98">
            <w:pPr>
              <w:pStyle w:val="Tabletext"/>
              <w:rPr>
                <w:rFonts w:ascii="Calibri" w:hAnsi="Calibri" w:cs="Calibri"/>
                <w:sz w:val="20"/>
              </w:rPr>
            </w:pPr>
            <w:r w:rsidRPr="00C63A98">
              <w:rPr>
                <w:rFonts w:ascii="Calibri" w:hAnsi="Calibri" w:cs="Calibri"/>
                <w:sz w:val="20"/>
              </w:rPr>
              <w:t>Aviva_PI_Base_Url</w:t>
            </w:r>
          </w:p>
        </w:tc>
        <w:tc>
          <w:tcPr>
            <w:tcW w:w="2620" w:type="dxa"/>
          </w:tcPr>
          <w:p w14:paraId="5A6175ED" w14:textId="77777777" w:rsidR="00873A53" w:rsidRPr="00C63A98" w:rsidRDefault="00873A53" w:rsidP="00C63A98">
            <w:pPr>
              <w:pStyle w:val="Tabletext"/>
              <w:rPr>
                <w:rFonts w:ascii="Calibri" w:hAnsi="Calibri" w:cs="Calibri"/>
                <w:sz w:val="20"/>
              </w:rPr>
            </w:pPr>
          </w:p>
        </w:tc>
        <w:tc>
          <w:tcPr>
            <w:tcW w:w="2996" w:type="dxa"/>
          </w:tcPr>
          <w:p w14:paraId="67F5FE41" w14:textId="77777777" w:rsidR="00873A53" w:rsidRPr="00C63A98" w:rsidRDefault="00873A53" w:rsidP="00C63A98">
            <w:pPr>
              <w:pStyle w:val="Tabletext"/>
              <w:rPr>
                <w:rFonts w:ascii="Calibri" w:hAnsi="Calibri" w:cs="Calibri"/>
                <w:sz w:val="20"/>
              </w:rPr>
            </w:pPr>
            <w:r>
              <w:rPr>
                <w:rFonts w:ascii="Calibri" w:hAnsi="Calibri" w:cs="Calibri"/>
                <w:sz w:val="20"/>
              </w:rPr>
              <w:t>Base address of the terminals' PI Web API, held as the terminal entry of the PI address setting</w:t>
            </w:r>
          </w:p>
        </w:tc>
        <w:tc>
          <w:tcPr>
            <w:tcW w:w="1404" w:type="dxa"/>
          </w:tcPr>
          <w:p w14:paraId="6327F8CD" w14:textId="77777777" w:rsidR="00873A53" w:rsidRPr="00C63A98" w:rsidRDefault="00873A53" w:rsidP="00C63A98">
            <w:pPr>
              <w:pStyle w:val="Tabletext"/>
              <w:rPr>
                <w:rFonts w:ascii="Calibri" w:hAnsi="Calibri" w:cs="Calibri"/>
                <w:sz w:val="20"/>
              </w:rPr>
            </w:pPr>
            <w:r w:rsidRPr="00C63A98">
              <w:rPr>
                <w:rFonts w:ascii="Calibri" w:hAnsi="Calibri" w:cs="Calibri"/>
                <w:sz w:val="20"/>
              </w:rPr>
              <w:t>AppSettings</w:t>
            </w:r>
          </w:p>
        </w:tc>
      </w:tr>
      <w:tr w:rsidR="00873A53" w:rsidRPr="00C63A98" w14:paraId="387FE0F4" w14:textId="77777777" w:rsidTr="00FA3AEE">
        <w:trPr>
          <w:cantSplit/>
        </w:trPr>
        <w:tc>
          <w:tcPr>
            <w:tcW w:w="2340" w:type="dxa"/>
          </w:tcPr>
          <w:p w14:paraId="56910B0B" w14:textId="77777777" w:rsidR="00873A53" w:rsidRPr="00C63A98" w:rsidRDefault="00873A53" w:rsidP="00C63A98">
            <w:pPr>
              <w:pStyle w:val="Tabletext"/>
              <w:rPr>
                <w:rFonts w:ascii="Calibri" w:hAnsi="Calibri" w:cs="Calibri"/>
                <w:sz w:val="20"/>
              </w:rPr>
            </w:pPr>
            <w:r w:rsidRPr="00C63A98">
              <w:rPr>
                <w:rFonts w:ascii="Calibri" w:hAnsi="Calibri" w:cs="Calibri"/>
                <w:sz w:val="20"/>
              </w:rPr>
              <w:t>Schedule</w:t>
            </w:r>
          </w:p>
        </w:tc>
        <w:tc>
          <w:tcPr>
            <w:tcW w:w="2620" w:type="dxa"/>
          </w:tcPr>
          <w:p w14:paraId="156188E1" w14:textId="77777777" w:rsidR="00873A53" w:rsidRPr="00C63A98" w:rsidRDefault="00873A53" w:rsidP="00C63A98">
            <w:pPr>
              <w:pStyle w:val="Tabletext"/>
              <w:rPr>
                <w:rFonts w:ascii="Calibri" w:hAnsi="Calibri" w:cs="Calibri"/>
                <w:sz w:val="20"/>
              </w:rPr>
            </w:pPr>
            <w:r>
              <w:rPr>
                <w:rFonts w:ascii="Calibri" w:hAnsi="Calibri" w:cs="Calibri"/>
                <w:sz w:val="20"/>
              </w:rPr>
              <w:t>0 0 0 * * *</w:t>
            </w:r>
          </w:p>
        </w:tc>
        <w:tc>
          <w:tcPr>
            <w:tcW w:w="2996" w:type="dxa"/>
          </w:tcPr>
          <w:p w14:paraId="59CCD815" w14:textId="30D9A128" w:rsidR="00873A53" w:rsidRPr="00C63A98" w:rsidRDefault="00F80961" w:rsidP="00C63A98">
            <w:pPr>
              <w:pStyle w:val="Tabletext"/>
              <w:rPr>
                <w:rFonts w:ascii="Calibri" w:hAnsi="Calibri" w:cs="Calibri"/>
                <w:sz w:val="20"/>
              </w:rPr>
            </w:pPr>
            <w:r>
              <w:rPr>
                <w:rFonts w:ascii="Calibri" w:hAnsi="Calibri" w:cs="Calibri"/>
                <w:sz w:val="20"/>
              </w:rPr>
              <w:t>How often the trigger function runs: every day at a specified time. The schedule shall be given in UTC. A run shall read a day only after every totalizer reset of that day has passed. A day that has not closed at the run time shall be read by the next run.</w:t>
            </w:r>
          </w:p>
        </w:tc>
        <w:tc>
          <w:tcPr>
            <w:tcW w:w="1404" w:type="dxa"/>
          </w:tcPr>
          <w:p w14:paraId="228A8E40" w14:textId="77777777" w:rsidR="00873A53" w:rsidRPr="00C63A98" w:rsidRDefault="00873A53" w:rsidP="00C63A98">
            <w:pPr>
              <w:pStyle w:val="Tabletext"/>
              <w:rPr>
                <w:rFonts w:ascii="Calibri" w:hAnsi="Calibri" w:cs="Calibri"/>
                <w:sz w:val="20"/>
              </w:rPr>
            </w:pPr>
            <w:r w:rsidRPr="00C63A98">
              <w:rPr>
                <w:rFonts w:ascii="Calibri" w:hAnsi="Calibri" w:cs="Calibri"/>
                <w:sz w:val="20"/>
              </w:rPr>
              <w:t>AppSettings</w:t>
            </w:r>
          </w:p>
        </w:tc>
      </w:tr>
      <w:tr w:rsidR="00873A53" w:rsidRPr="00C63A98" w14:paraId="666661EB" w14:textId="77777777" w:rsidTr="00FA3AEE">
        <w:trPr>
          <w:cantSplit/>
        </w:trPr>
        <w:tc>
          <w:tcPr>
            <w:tcW w:w="2340" w:type="dxa"/>
          </w:tcPr>
          <w:p w14:paraId="1CE5B0DB" w14:textId="77777777" w:rsidR="00873A53" w:rsidRDefault="00873A53" w:rsidP="00C63A98">
            <w:pPr>
              <w:pStyle w:val="Tabletext"/>
              <w:rPr>
                <w:rFonts w:ascii="Calibri" w:hAnsi="Calibri" w:cs="Calibri"/>
                <w:sz w:val="20"/>
              </w:rPr>
            </w:pPr>
            <w:r>
              <w:rPr>
                <w:rFonts w:ascii="Calibri" w:hAnsi="Calibri" w:cs="Calibri"/>
                <w:sz w:val="20"/>
              </w:rPr>
              <w:t>Blob Container</w:t>
            </w:r>
          </w:p>
        </w:tc>
        <w:tc>
          <w:tcPr>
            <w:tcW w:w="2620" w:type="dxa"/>
          </w:tcPr>
          <w:p w14:paraId="32BE8E96" w14:textId="77777777" w:rsidR="00873A53" w:rsidRDefault="00873A53" w:rsidP="00C63A98">
            <w:pPr>
              <w:pStyle w:val="Tabletext"/>
              <w:rPr>
                <w:rFonts w:ascii="Calibri" w:hAnsi="Calibri" w:cs="Calibri"/>
                <w:sz w:val="20"/>
              </w:rPr>
            </w:pPr>
          </w:p>
        </w:tc>
        <w:tc>
          <w:tcPr>
            <w:tcW w:w="2996" w:type="dxa"/>
          </w:tcPr>
          <w:p w14:paraId="5370DFD7" w14:textId="77777777" w:rsidR="00873A53" w:rsidRDefault="00873A53" w:rsidP="00C63A98">
            <w:pPr>
              <w:pStyle w:val="Tabletext"/>
              <w:rPr>
                <w:rFonts w:ascii="Calibri" w:hAnsi="Calibri" w:cs="Calibri"/>
                <w:sz w:val="20"/>
              </w:rPr>
            </w:pPr>
            <w:r>
              <w:rPr>
                <w:rFonts w:ascii="Calibri" w:hAnsi="Calibri" w:cs="Calibri"/>
                <w:sz w:val="20"/>
              </w:rPr>
              <w:t>Container that holds the configuration file</w:t>
            </w:r>
          </w:p>
        </w:tc>
        <w:tc>
          <w:tcPr>
            <w:tcW w:w="1404" w:type="dxa"/>
          </w:tcPr>
          <w:p w14:paraId="2C4822A8" w14:textId="77777777" w:rsidR="00873A53" w:rsidRDefault="00873A53" w:rsidP="00C63A98">
            <w:pPr>
              <w:pStyle w:val="Tabletext"/>
              <w:rPr>
                <w:rFonts w:ascii="Calibri" w:hAnsi="Calibri" w:cs="Calibri"/>
                <w:sz w:val="20"/>
              </w:rPr>
            </w:pPr>
            <w:r>
              <w:rPr>
                <w:rFonts w:ascii="Calibri" w:hAnsi="Calibri" w:cs="Calibri"/>
                <w:sz w:val="20"/>
              </w:rPr>
              <w:t>Azure</w:t>
            </w:r>
          </w:p>
        </w:tc>
      </w:tr>
      <w:tr w:rsidR="00873A53" w:rsidRPr="00C63A98" w14:paraId="472BBC3A" w14:textId="77777777" w:rsidTr="00FA3AEE">
        <w:trPr>
          <w:cantSplit/>
        </w:trPr>
        <w:tc>
          <w:tcPr>
            <w:tcW w:w="2340" w:type="dxa"/>
          </w:tcPr>
          <w:p w14:paraId="00C75AE1" w14:textId="77777777" w:rsidR="00873A53" w:rsidRPr="00C63A98" w:rsidRDefault="00873A53" w:rsidP="00C63A98">
            <w:pPr>
              <w:pStyle w:val="Tabletext"/>
              <w:rPr>
                <w:rFonts w:ascii="Calibri" w:hAnsi="Calibri" w:cs="Calibri"/>
                <w:sz w:val="20"/>
              </w:rPr>
            </w:pPr>
            <w:r>
              <w:rPr>
                <w:rFonts w:ascii="Calibri" w:hAnsi="Calibri" w:cs="Calibri"/>
                <w:sz w:val="20"/>
              </w:rPr>
              <w:t>Configuration File</w:t>
            </w:r>
          </w:p>
        </w:tc>
        <w:tc>
          <w:tcPr>
            <w:tcW w:w="2620" w:type="dxa"/>
          </w:tcPr>
          <w:p w14:paraId="7AF6096E" w14:textId="77777777" w:rsidR="00873A53" w:rsidRPr="00C63A98" w:rsidRDefault="00873A53" w:rsidP="00C63A98">
            <w:pPr>
              <w:pStyle w:val="Tabletext"/>
              <w:rPr>
                <w:rFonts w:ascii="Calibri" w:hAnsi="Calibri" w:cs="Calibri"/>
                <w:sz w:val="20"/>
              </w:rPr>
            </w:pPr>
            <w:r>
              <w:rPr>
                <w:rFonts w:ascii="Calibri" w:hAnsi="Calibri" w:cs="Calibri"/>
                <w:sz w:val="20"/>
              </w:rPr>
              <w:t>VcbBlendComponentRequestConfiguration.json</w:t>
            </w:r>
          </w:p>
        </w:tc>
        <w:tc>
          <w:tcPr>
            <w:tcW w:w="2996" w:type="dxa"/>
          </w:tcPr>
          <w:p w14:paraId="4BD4BACC" w14:textId="5B31E00A" w:rsidR="00873A53" w:rsidRPr="00C63A98" w:rsidRDefault="00873A53" w:rsidP="00C63A98">
            <w:pPr>
              <w:pStyle w:val="Tabletext"/>
              <w:rPr>
                <w:rFonts w:ascii="Calibri" w:hAnsi="Calibri" w:cs="Calibri"/>
                <w:sz w:val="20"/>
              </w:rPr>
            </w:pPr>
            <w:r>
              <w:rPr>
                <w:rFonts w:ascii="Calibri" w:hAnsi="Calibri" w:cs="Calibri"/>
                <w:sz w:val="20"/>
              </w:rPr>
              <w:t>File with the run settings. The trigger function shall read it at every run</w:t>
            </w:r>
          </w:p>
        </w:tc>
        <w:tc>
          <w:tcPr>
            <w:tcW w:w="1404" w:type="dxa"/>
          </w:tcPr>
          <w:p w14:paraId="3B0EF076"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2747292D" w14:textId="77777777" w:rsidTr="00FA3AEE">
        <w:trPr>
          <w:cantSplit/>
        </w:trPr>
        <w:tc>
          <w:tcPr>
            <w:tcW w:w="2340" w:type="dxa"/>
          </w:tcPr>
          <w:p w14:paraId="73E0E358" w14:textId="77777777" w:rsidR="00873A53" w:rsidRPr="00C63A98" w:rsidRDefault="00873A53" w:rsidP="00C63A98">
            <w:pPr>
              <w:pStyle w:val="Tabletext"/>
              <w:rPr>
                <w:rFonts w:ascii="Calibri" w:hAnsi="Calibri" w:cs="Calibri"/>
                <w:sz w:val="20"/>
              </w:rPr>
            </w:pPr>
            <w:r>
              <w:rPr>
                <w:rFonts w:ascii="Calibri" w:hAnsi="Calibri" w:cs="Calibri"/>
                <w:sz w:val="20"/>
              </w:rPr>
              <w:t>Integration Configuration</w:t>
            </w:r>
          </w:p>
        </w:tc>
        <w:tc>
          <w:tcPr>
            <w:tcW w:w="2620" w:type="dxa"/>
          </w:tcPr>
          <w:p w14:paraId="157EA4DA" w14:textId="77777777" w:rsidR="00873A53" w:rsidRDefault="00873A53" w:rsidP="00C63A98">
            <w:pPr>
              <w:pStyle w:val="Tabletext"/>
              <w:rPr>
                <w:rFonts w:ascii="Calibri" w:hAnsi="Calibri" w:cs="Calibri"/>
                <w:sz w:val="20"/>
              </w:rPr>
            </w:pPr>
            <w:r>
              <w:rPr>
                <w:rFonts w:ascii="Calibri" w:hAnsi="Calibri" w:cs="Calibri"/>
                <w:sz w:val="20"/>
              </w:rPr>
              <w:t>ActualPIAF</w:t>
            </w:r>
          </w:p>
        </w:tc>
        <w:tc>
          <w:tcPr>
            <w:tcW w:w="2996" w:type="dxa"/>
          </w:tcPr>
          <w:p w14:paraId="3686F8AB" w14:textId="77777777" w:rsidR="00873A53" w:rsidRPr="00C63A98" w:rsidRDefault="00873A53" w:rsidP="00C63A98">
            <w:pPr>
              <w:pStyle w:val="Tabletext"/>
              <w:rPr>
                <w:rFonts w:ascii="Calibri" w:hAnsi="Calibri" w:cs="Calibri"/>
                <w:sz w:val="20"/>
              </w:rPr>
            </w:pPr>
            <w:r>
              <w:rPr>
                <w:rFonts w:ascii="Calibri" w:hAnsi="Calibri" w:cs="Calibri"/>
                <w:sz w:val="20"/>
              </w:rPr>
              <w:t>Name of this integration's settings in the configuration file</w:t>
            </w:r>
          </w:p>
        </w:tc>
        <w:tc>
          <w:tcPr>
            <w:tcW w:w="1404" w:type="dxa"/>
          </w:tcPr>
          <w:p w14:paraId="72FE77CF"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556C0ABB" w14:textId="77777777" w:rsidTr="00FA3AEE">
        <w:trPr>
          <w:cantSplit/>
        </w:trPr>
        <w:tc>
          <w:tcPr>
            <w:tcW w:w="2340" w:type="dxa"/>
          </w:tcPr>
          <w:p w14:paraId="70036941" w14:textId="77777777" w:rsidR="00873A53" w:rsidRPr="00C63A98" w:rsidRDefault="00873A53" w:rsidP="00C63A98">
            <w:pPr>
              <w:pStyle w:val="Tabletext"/>
              <w:rPr>
                <w:rFonts w:ascii="Calibri" w:hAnsi="Calibri" w:cs="Calibri"/>
                <w:sz w:val="20"/>
              </w:rPr>
            </w:pPr>
            <w:r>
              <w:rPr>
                <w:rFonts w:ascii="Calibri" w:hAnsi="Calibri" w:cs="Calibri"/>
                <w:sz w:val="20"/>
              </w:rPr>
              <w:t>Locations</w:t>
            </w:r>
          </w:p>
        </w:tc>
        <w:tc>
          <w:tcPr>
            <w:tcW w:w="2620" w:type="dxa"/>
          </w:tcPr>
          <w:p w14:paraId="4DE9CE82" w14:textId="77777777" w:rsidR="00873A53" w:rsidRDefault="00873A53" w:rsidP="00C63A98">
            <w:pPr>
              <w:pStyle w:val="Tabletext"/>
              <w:rPr>
                <w:rFonts w:ascii="Calibri" w:hAnsi="Calibri" w:cs="Calibri"/>
                <w:sz w:val="20"/>
              </w:rPr>
            </w:pPr>
          </w:p>
        </w:tc>
        <w:tc>
          <w:tcPr>
            <w:tcW w:w="2996" w:type="dxa"/>
          </w:tcPr>
          <w:p w14:paraId="1DA440A6" w14:textId="55C38547" w:rsidR="00873A53" w:rsidRPr="00C63A98" w:rsidRDefault="00873A53" w:rsidP="00C63A98">
            <w:pPr>
              <w:pStyle w:val="Tabletext"/>
              <w:rPr>
                <w:rFonts w:ascii="Calibri" w:hAnsi="Calibri" w:cs="Calibri"/>
                <w:sz w:val="20"/>
              </w:rPr>
            </w:pPr>
            <w:r>
              <w:rPr>
                <w:rFonts w:ascii="Calibri" w:hAnsi="Calibri" w:cs="Calibri"/>
                <w:sz w:val="20"/>
              </w:rPr>
              <w:t>North Region terminals to read, as Profisee codes. The run shall stop when the list is empty</w:t>
            </w:r>
          </w:p>
        </w:tc>
        <w:tc>
          <w:tcPr>
            <w:tcW w:w="1404" w:type="dxa"/>
          </w:tcPr>
          <w:p w14:paraId="4150D79A"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23739F" w:rsidRPr="00C63A98" w14:paraId="135F8D43" w14:textId="77777777" w:rsidTr="00FA3AEE">
        <w:trPr>
          <w:cantSplit/>
        </w:trPr>
        <w:tc>
          <w:tcPr>
            <w:tcW w:w="2340" w:type="dxa"/>
          </w:tcPr>
          <w:p w14:paraId="4B28C911" w14:textId="468CB04E" w:rsidR="0023739F" w:rsidRDefault="0023739F" w:rsidP="00C63A98">
            <w:pPr>
              <w:pStyle w:val="Tabletext"/>
              <w:rPr>
                <w:rFonts w:ascii="Calibri" w:hAnsi="Calibri" w:cs="Calibri"/>
                <w:sz w:val="20"/>
              </w:rPr>
            </w:pPr>
            <w:r>
              <w:rPr>
                <w:rFonts w:ascii="Calibri" w:hAnsi="Calibri" w:cs="Calibri"/>
                <w:sz w:val="20"/>
              </w:rPr>
              <w:t>PIAF flow list</w:t>
            </w:r>
          </w:p>
        </w:tc>
        <w:tc>
          <w:tcPr>
            <w:tcW w:w="2620" w:type="dxa"/>
          </w:tcPr>
          <w:p w14:paraId="76B67175" w14:textId="77777777" w:rsidR="0023739F" w:rsidRDefault="0023739F" w:rsidP="00C63A98">
            <w:pPr>
              <w:pStyle w:val="Tabletext"/>
              <w:rPr>
                <w:rFonts w:ascii="Calibri" w:hAnsi="Calibri" w:cs="Calibri"/>
                <w:sz w:val="20"/>
              </w:rPr>
            </w:pPr>
          </w:p>
        </w:tc>
        <w:tc>
          <w:tcPr>
            <w:tcW w:w="2996" w:type="dxa"/>
          </w:tcPr>
          <w:p w14:paraId="502B8A77" w14:textId="0065746F" w:rsidR="0023739F" w:rsidRDefault="004812A6" w:rsidP="00C63A98">
            <w:pPr>
              <w:pStyle w:val="Tabletext"/>
              <w:rPr>
                <w:rFonts w:ascii="Calibri" w:hAnsi="Calibri" w:cs="Calibri"/>
                <w:sz w:val="20"/>
              </w:rPr>
            </w:pPr>
            <w:r>
              <w:rPr>
                <w:rFonts w:ascii="Calibri" w:hAnsi="Calibri" w:cs="Calibri"/>
                <w:sz w:val="20"/>
              </w:rPr>
              <w:t xml:space="preserve">Terminals and blend components whose flows shall be taken from PIAF. The same list shall be read by the Kittyhawk integration (Table </w:t>
            </w:r>
            <w:r w:rsidR="00FC42E7">
              <w:rPr>
                <w:rFonts w:ascii="Calibri" w:hAnsi="Calibri" w:cs="Calibri"/>
                <w:sz w:val="20"/>
              </w:rPr>
              <w:fldChar w:fldCharType="begin"/>
            </w:r>
            <w:r w:rsidR="00FC42E7">
              <w:rPr>
                <w:rFonts w:ascii="Calibri" w:hAnsi="Calibri" w:cs="Calibri"/>
                <w:sz w:val="20"/>
              </w:rPr>
              <w:instrText xml:space="preserve"> REF _Ref917260933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2-33</w:t>
            </w:r>
            <w:r w:rsidR="00FC42E7">
              <w:rPr>
                <w:rFonts w:ascii="Calibri" w:hAnsi="Calibri" w:cs="Calibri"/>
                <w:sz w:val="20"/>
              </w:rPr>
              <w:fldChar w:fldCharType="end"/>
            </w:r>
            <w:r>
              <w:rPr>
                <w:rFonts w:ascii="Calibri" w:hAnsi="Calibri" w:cs="Calibri"/>
                <w:sz w:val="20"/>
              </w:rPr>
              <w:t>).</w:t>
            </w:r>
          </w:p>
        </w:tc>
        <w:tc>
          <w:tcPr>
            <w:tcW w:w="1404" w:type="dxa"/>
          </w:tcPr>
          <w:p w14:paraId="316BE5E7" w14:textId="29644795" w:rsidR="0023739F" w:rsidRDefault="0023739F" w:rsidP="00C63A98">
            <w:pPr>
              <w:pStyle w:val="Tabletext"/>
              <w:rPr>
                <w:rFonts w:ascii="Calibri" w:hAnsi="Calibri" w:cs="Calibri"/>
                <w:sz w:val="20"/>
              </w:rPr>
            </w:pPr>
            <w:r>
              <w:rPr>
                <w:rFonts w:ascii="Calibri" w:hAnsi="Calibri" w:cs="Calibri"/>
                <w:sz w:val="20"/>
              </w:rPr>
              <w:t>Blob Container</w:t>
            </w:r>
          </w:p>
        </w:tc>
      </w:tr>
      <w:tr w:rsidR="00873A53" w:rsidRPr="00C63A98" w14:paraId="24D47EA8" w14:textId="77777777" w:rsidTr="00FA3AEE">
        <w:trPr>
          <w:cantSplit/>
        </w:trPr>
        <w:tc>
          <w:tcPr>
            <w:tcW w:w="2340" w:type="dxa"/>
          </w:tcPr>
          <w:p w14:paraId="2CE49555" w14:textId="77777777" w:rsidR="00873A53" w:rsidRPr="00C63A98" w:rsidRDefault="00873A53" w:rsidP="00C63A98">
            <w:pPr>
              <w:pStyle w:val="Tabletext"/>
              <w:rPr>
                <w:rFonts w:ascii="Calibri" w:hAnsi="Calibri" w:cs="Calibri"/>
                <w:sz w:val="20"/>
              </w:rPr>
            </w:pPr>
            <w:r>
              <w:rPr>
                <w:rFonts w:ascii="Calibri" w:hAnsi="Calibri" w:cs="Calibri"/>
                <w:sz w:val="20"/>
              </w:rPr>
              <w:t>Region</w:t>
            </w:r>
          </w:p>
        </w:tc>
        <w:tc>
          <w:tcPr>
            <w:tcW w:w="2620" w:type="dxa"/>
          </w:tcPr>
          <w:p w14:paraId="584198D9" w14:textId="77777777" w:rsidR="00873A53" w:rsidRDefault="00873A53" w:rsidP="00C63A98">
            <w:pPr>
              <w:pStyle w:val="Tabletext"/>
              <w:rPr>
                <w:rFonts w:ascii="Calibri" w:hAnsi="Calibri" w:cs="Calibri"/>
                <w:sz w:val="20"/>
              </w:rPr>
            </w:pPr>
            <w:r>
              <w:rPr>
                <w:rFonts w:ascii="Calibri" w:hAnsi="Calibri" w:cs="Calibri"/>
                <w:sz w:val="20"/>
              </w:rPr>
              <w:t>North</w:t>
            </w:r>
          </w:p>
        </w:tc>
        <w:tc>
          <w:tcPr>
            <w:tcW w:w="2996" w:type="dxa"/>
          </w:tcPr>
          <w:p w14:paraId="679194CC" w14:textId="77777777" w:rsidR="00873A53" w:rsidRPr="00C63A98" w:rsidRDefault="00873A53" w:rsidP="00C63A98">
            <w:pPr>
              <w:pStyle w:val="Tabletext"/>
              <w:rPr>
                <w:rFonts w:ascii="Calibri" w:hAnsi="Calibri" w:cs="Calibri"/>
                <w:sz w:val="20"/>
              </w:rPr>
            </w:pPr>
            <w:r>
              <w:rPr>
                <w:rFonts w:ascii="Calibri" w:hAnsi="Calibri" w:cs="Calibri"/>
                <w:sz w:val="20"/>
              </w:rPr>
              <w:t>Region of the terminals</w:t>
            </w:r>
          </w:p>
        </w:tc>
        <w:tc>
          <w:tcPr>
            <w:tcW w:w="1404" w:type="dxa"/>
          </w:tcPr>
          <w:p w14:paraId="57063963"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53D8BA70" w14:textId="77777777" w:rsidTr="00FA3AEE">
        <w:trPr>
          <w:cantSplit/>
        </w:trPr>
        <w:tc>
          <w:tcPr>
            <w:tcW w:w="2340" w:type="dxa"/>
          </w:tcPr>
          <w:p w14:paraId="070BB7E5" w14:textId="77777777" w:rsidR="00873A53" w:rsidRPr="00C63A98" w:rsidRDefault="00873A53" w:rsidP="00C63A98">
            <w:pPr>
              <w:pStyle w:val="Tabletext"/>
              <w:rPr>
                <w:rFonts w:ascii="Calibri" w:hAnsi="Calibri" w:cs="Calibri"/>
                <w:sz w:val="20"/>
              </w:rPr>
            </w:pPr>
            <w:r>
              <w:rPr>
                <w:rFonts w:ascii="Calibri" w:hAnsi="Calibri" w:cs="Calibri"/>
                <w:sz w:val="20"/>
              </w:rPr>
              <w:t>IsOnDemandTrigger</w:t>
            </w:r>
          </w:p>
        </w:tc>
        <w:tc>
          <w:tcPr>
            <w:tcW w:w="2620" w:type="dxa"/>
          </w:tcPr>
          <w:p w14:paraId="679A7CE5" w14:textId="77777777" w:rsidR="00873A53" w:rsidRDefault="00873A53" w:rsidP="00C63A98">
            <w:pPr>
              <w:pStyle w:val="Tabletext"/>
              <w:rPr>
                <w:rFonts w:ascii="Calibri" w:hAnsi="Calibri" w:cs="Calibri"/>
                <w:sz w:val="20"/>
              </w:rPr>
            </w:pPr>
            <w:r>
              <w:rPr>
                <w:rFonts w:ascii="Calibri" w:hAnsi="Calibri" w:cs="Calibri"/>
                <w:sz w:val="20"/>
              </w:rPr>
              <w:t>false</w:t>
            </w:r>
          </w:p>
        </w:tc>
        <w:tc>
          <w:tcPr>
            <w:tcW w:w="2996" w:type="dxa"/>
          </w:tcPr>
          <w:p w14:paraId="2CB63994" w14:textId="4F75CC13" w:rsidR="00873A53" w:rsidRPr="00C63A98" w:rsidRDefault="00873A53" w:rsidP="00C63A98">
            <w:pPr>
              <w:pStyle w:val="Tabletext"/>
              <w:rPr>
                <w:rFonts w:ascii="Calibri" w:hAnsi="Calibri" w:cs="Calibri"/>
                <w:sz w:val="20"/>
              </w:rPr>
            </w:pPr>
            <w:r>
              <w:rPr>
                <w:rFonts w:ascii="Calibri" w:hAnsi="Calibri" w:cs="Calibri"/>
                <w:sz w:val="20"/>
              </w:rPr>
              <w:t>True means the run shall use the on-demand dates, not the offsets</w:t>
            </w:r>
          </w:p>
        </w:tc>
        <w:tc>
          <w:tcPr>
            <w:tcW w:w="1404" w:type="dxa"/>
          </w:tcPr>
          <w:p w14:paraId="65CBBB2E"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03F32074" w14:textId="77777777" w:rsidTr="00FA3AEE">
        <w:trPr>
          <w:cantSplit/>
        </w:trPr>
        <w:tc>
          <w:tcPr>
            <w:tcW w:w="2340" w:type="dxa"/>
          </w:tcPr>
          <w:p w14:paraId="3C7535A7" w14:textId="77777777" w:rsidR="00873A53" w:rsidRPr="00C63A98" w:rsidRDefault="00873A53" w:rsidP="00C63A98">
            <w:pPr>
              <w:pStyle w:val="Tabletext"/>
              <w:rPr>
                <w:rFonts w:ascii="Calibri" w:hAnsi="Calibri" w:cs="Calibri"/>
                <w:sz w:val="20"/>
              </w:rPr>
            </w:pPr>
            <w:r>
              <w:rPr>
                <w:rFonts w:ascii="Calibri" w:hAnsi="Calibri" w:cs="Calibri"/>
                <w:sz w:val="20"/>
              </w:rPr>
              <w:t>StartDateOffset</w:t>
            </w:r>
          </w:p>
        </w:tc>
        <w:tc>
          <w:tcPr>
            <w:tcW w:w="2620" w:type="dxa"/>
          </w:tcPr>
          <w:p w14:paraId="77980EC6" w14:textId="77777777" w:rsidR="00873A53" w:rsidRDefault="00873A53" w:rsidP="00C63A98">
            <w:pPr>
              <w:pStyle w:val="Tabletext"/>
              <w:rPr>
                <w:rFonts w:ascii="Calibri" w:hAnsi="Calibri" w:cs="Calibri"/>
                <w:sz w:val="20"/>
              </w:rPr>
            </w:pPr>
          </w:p>
        </w:tc>
        <w:tc>
          <w:tcPr>
            <w:tcW w:w="2996" w:type="dxa"/>
          </w:tcPr>
          <w:p w14:paraId="1F7BAA3B" w14:textId="77777777" w:rsidR="00873A53" w:rsidRPr="00C63A98" w:rsidRDefault="00873A53" w:rsidP="00C63A98">
            <w:pPr>
              <w:pStyle w:val="Tabletext"/>
              <w:rPr>
                <w:rFonts w:ascii="Calibri" w:hAnsi="Calibri" w:cs="Calibri"/>
                <w:sz w:val="20"/>
              </w:rPr>
            </w:pPr>
            <w:r>
              <w:rPr>
                <w:rFonts w:ascii="Calibri" w:hAnsi="Calibri" w:cs="Calibri"/>
                <w:sz w:val="20"/>
              </w:rPr>
              <w:t>Number of minutes added to the run time to get the start time</w:t>
            </w:r>
          </w:p>
        </w:tc>
        <w:tc>
          <w:tcPr>
            <w:tcW w:w="1404" w:type="dxa"/>
          </w:tcPr>
          <w:p w14:paraId="663E6D47"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1A771DBA" w14:textId="77777777" w:rsidTr="00FA3AEE">
        <w:trPr>
          <w:cantSplit/>
        </w:trPr>
        <w:tc>
          <w:tcPr>
            <w:tcW w:w="2340" w:type="dxa"/>
          </w:tcPr>
          <w:p w14:paraId="2130A595" w14:textId="77777777" w:rsidR="00873A53" w:rsidRPr="00C63A98" w:rsidRDefault="00873A53" w:rsidP="00C63A98">
            <w:pPr>
              <w:pStyle w:val="Tabletext"/>
              <w:rPr>
                <w:rFonts w:ascii="Calibri" w:hAnsi="Calibri" w:cs="Calibri"/>
                <w:sz w:val="20"/>
              </w:rPr>
            </w:pPr>
            <w:r>
              <w:rPr>
                <w:rFonts w:ascii="Calibri" w:hAnsi="Calibri" w:cs="Calibri"/>
                <w:sz w:val="20"/>
              </w:rPr>
              <w:t>EndDateOffset</w:t>
            </w:r>
          </w:p>
        </w:tc>
        <w:tc>
          <w:tcPr>
            <w:tcW w:w="2620" w:type="dxa"/>
          </w:tcPr>
          <w:p w14:paraId="624D1BBF" w14:textId="77777777" w:rsidR="00873A53" w:rsidRDefault="00873A53" w:rsidP="00C63A98">
            <w:pPr>
              <w:pStyle w:val="Tabletext"/>
              <w:rPr>
                <w:rFonts w:ascii="Calibri" w:hAnsi="Calibri" w:cs="Calibri"/>
                <w:sz w:val="20"/>
              </w:rPr>
            </w:pPr>
          </w:p>
        </w:tc>
        <w:tc>
          <w:tcPr>
            <w:tcW w:w="2996" w:type="dxa"/>
          </w:tcPr>
          <w:p w14:paraId="432E4754" w14:textId="77777777" w:rsidR="00873A53" w:rsidRPr="00C63A98" w:rsidRDefault="00873A53" w:rsidP="00C63A98">
            <w:pPr>
              <w:pStyle w:val="Tabletext"/>
              <w:rPr>
                <w:rFonts w:ascii="Calibri" w:hAnsi="Calibri" w:cs="Calibri"/>
                <w:sz w:val="20"/>
              </w:rPr>
            </w:pPr>
            <w:r>
              <w:rPr>
                <w:rFonts w:ascii="Calibri" w:hAnsi="Calibri" w:cs="Calibri"/>
                <w:sz w:val="20"/>
              </w:rPr>
              <w:t>Number of minutes added to the run time to get the end time</w:t>
            </w:r>
          </w:p>
        </w:tc>
        <w:tc>
          <w:tcPr>
            <w:tcW w:w="1404" w:type="dxa"/>
          </w:tcPr>
          <w:p w14:paraId="61732C4B"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0749E52A" w14:textId="77777777" w:rsidTr="00FA3AEE">
        <w:trPr>
          <w:cantSplit/>
        </w:trPr>
        <w:tc>
          <w:tcPr>
            <w:tcW w:w="2340" w:type="dxa"/>
          </w:tcPr>
          <w:p w14:paraId="66BC324C" w14:textId="77777777" w:rsidR="00873A53" w:rsidRPr="00C63A98" w:rsidRDefault="00873A53" w:rsidP="00C63A98">
            <w:pPr>
              <w:pStyle w:val="Tabletext"/>
              <w:rPr>
                <w:rFonts w:ascii="Calibri" w:hAnsi="Calibri" w:cs="Calibri"/>
                <w:sz w:val="20"/>
              </w:rPr>
            </w:pPr>
            <w:r>
              <w:rPr>
                <w:rFonts w:ascii="Calibri" w:hAnsi="Calibri" w:cs="Calibri"/>
                <w:sz w:val="20"/>
              </w:rPr>
              <w:t>OnDemandStartDateTime</w:t>
            </w:r>
          </w:p>
        </w:tc>
        <w:tc>
          <w:tcPr>
            <w:tcW w:w="2620" w:type="dxa"/>
          </w:tcPr>
          <w:p w14:paraId="5CE2839F" w14:textId="76ADFFD2" w:rsidR="00873A53" w:rsidRDefault="00873A53" w:rsidP="00C63A98">
            <w:pPr>
              <w:pStyle w:val="Tabletext"/>
              <w:rPr>
                <w:rFonts w:ascii="Calibri" w:hAnsi="Calibri" w:cs="Calibri"/>
                <w:sz w:val="20"/>
              </w:rPr>
            </w:pPr>
          </w:p>
        </w:tc>
        <w:tc>
          <w:tcPr>
            <w:tcW w:w="2996" w:type="dxa"/>
          </w:tcPr>
          <w:p w14:paraId="78E047D2" w14:textId="77777777" w:rsidR="00873A53" w:rsidRPr="00C63A98" w:rsidRDefault="00873A53" w:rsidP="00C63A98">
            <w:pPr>
              <w:pStyle w:val="Tabletext"/>
              <w:rPr>
                <w:rFonts w:ascii="Calibri" w:hAnsi="Calibri" w:cs="Calibri"/>
                <w:sz w:val="20"/>
              </w:rPr>
            </w:pPr>
            <w:r>
              <w:rPr>
                <w:rFonts w:ascii="Calibri" w:hAnsi="Calibri" w:cs="Calibri"/>
                <w:sz w:val="20"/>
              </w:rPr>
              <w:t>Start of the period of an on-demand run, in UTC</w:t>
            </w:r>
          </w:p>
        </w:tc>
        <w:tc>
          <w:tcPr>
            <w:tcW w:w="1404" w:type="dxa"/>
          </w:tcPr>
          <w:p w14:paraId="4F30340E"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5489A2A3" w14:textId="77777777" w:rsidTr="00FA3AEE">
        <w:trPr>
          <w:cantSplit/>
        </w:trPr>
        <w:tc>
          <w:tcPr>
            <w:tcW w:w="2340" w:type="dxa"/>
          </w:tcPr>
          <w:p w14:paraId="38E93B33" w14:textId="77777777" w:rsidR="00873A53" w:rsidRPr="00C63A98" w:rsidRDefault="00873A53" w:rsidP="00C63A98">
            <w:pPr>
              <w:pStyle w:val="Tabletext"/>
              <w:rPr>
                <w:rFonts w:ascii="Calibri" w:hAnsi="Calibri" w:cs="Calibri"/>
                <w:sz w:val="20"/>
              </w:rPr>
            </w:pPr>
            <w:r>
              <w:rPr>
                <w:rFonts w:ascii="Calibri" w:hAnsi="Calibri" w:cs="Calibri"/>
                <w:sz w:val="20"/>
              </w:rPr>
              <w:t>OnDemandEndDateTime</w:t>
            </w:r>
          </w:p>
        </w:tc>
        <w:tc>
          <w:tcPr>
            <w:tcW w:w="2620" w:type="dxa"/>
          </w:tcPr>
          <w:p w14:paraId="6690DD2E" w14:textId="24C6B8D8" w:rsidR="00873A53" w:rsidRDefault="00873A53" w:rsidP="00C63A98">
            <w:pPr>
              <w:pStyle w:val="Tabletext"/>
              <w:rPr>
                <w:rFonts w:ascii="Calibri" w:hAnsi="Calibri" w:cs="Calibri"/>
                <w:sz w:val="20"/>
              </w:rPr>
            </w:pPr>
          </w:p>
        </w:tc>
        <w:tc>
          <w:tcPr>
            <w:tcW w:w="2996" w:type="dxa"/>
          </w:tcPr>
          <w:p w14:paraId="5E821CC1" w14:textId="77777777" w:rsidR="00873A53" w:rsidRPr="00C63A98" w:rsidRDefault="00873A53" w:rsidP="00C63A98">
            <w:pPr>
              <w:pStyle w:val="Tabletext"/>
              <w:rPr>
                <w:rFonts w:ascii="Calibri" w:hAnsi="Calibri" w:cs="Calibri"/>
                <w:sz w:val="20"/>
              </w:rPr>
            </w:pPr>
            <w:r>
              <w:rPr>
                <w:rFonts w:ascii="Calibri" w:hAnsi="Calibri" w:cs="Calibri"/>
                <w:sz w:val="20"/>
              </w:rPr>
              <w:t>End of the period of an on-demand run, in UTC</w:t>
            </w:r>
          </w:p>
        </w:tc>
        <w:tc>
          <w:tcPr>
            <w:tcW w:w="1404" w:type="dxa"/>
          </w:tcPr>
          <w:p w14:paraId="4095F94C"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10C37837" w14:textId="77777777" w:rsidTr="00FA3AEE">
        <w:trPr>
          <w:cantSplit/>
        </w:trPr>
        <w:tc>
          <w:tcPr>
            <w:tcW w:w="2340" w:type="dxa"/>
          </w:tcPr>
          <w:p w14:paraId="3F3132BD" w14:textId="77777777" w:rsidR="00873A53" w:rsidRPr="00C63A98" w:rsidRDefault="00873A53" w:rsidP="00C63A98">
            <w:pPr>
              <w:pStyle w:val="Tabletext"/>
              <w:rPr>
                <w:rFonts w:ascii="Calibri" w:hAnsi="Calibri" w:cs="Calibri"/>
                <w:sz w:val="20"/>
              </w:rPr>
            </w:pPr>
            <w:r>
              <w:rPr>
                <w:rFonts w:ascii="Calibri" w:hAnsi="Calibri" w:cs="Calibri"/>
                <w:sz w:val="20"/>
              </w:rPr>
              <w:t>UseServiceBus</w:t>
            </w:r>
          </w:p>
        </w:tc>
        <w:tc>
          <w:tcPr>
            <w:tcW w:w="2620" w:type="dxa"/>
          </w:tcPr>
          <w:p w14:paraId="5D74493C" w14:textId="77777777" w:rsidR="00873A53" w:rsidRDefault="00873A53" w:rsidP="00C63A98">
            <w:pPr>
              <w:pStyle w:val="Tabletext"/>
              <w:rPr>
                <w:rFonts w:ascii="Calibri" w:hAnsi="Calibri" w:cs="Calibri"/>
                <w:sz w:val="20"/>
              </w:rPr>
            </w:pPr>
            <w:r>
              <w:rPr>
                <w:rFonts w:ascii="Calibri" w:hAnsi="Calibri" w:cs="Calibri"/>
                <w:sz w:val="20"/>
              </w:rPr>
              <w:t>true</w:t>
            </w:r>
          </w:p>
        </w:tc>
        <w:tc>
          <w:tcPr>
            <w:tcW w:w="2996" w:type="dxa"/>
          </w:tcPr>
          <w:p w14:paraId="512A7510" w14:textId="2A5FAF9C" w:rsidR="00873A53" w:rsidRPr="00C63A98" w:rsidRDefault="00873A53" w:rsidP="00C63A98">
            <w:pPr>
              <w:pStyle w:val="Tabletext"/>
              <w:rPr>
                <w:rFonts w:ascii="Calibri" w:hAnsi="Calibri" w:cs="Calibri"/>
                <w:sz w:val="20"/>
              </w:rPr>
            </w:pPr>
            <w:r>
              <w:rPr>
                <w:rFonts w:ascii="Calibri" w:hAnsi="Calibri" w:cs="Calibri"/>
                <w:sz w:val="20"/>
              </w:rPr>
              <w:t>True means the request shall go through the durable functions and queues</w:t>
            </w:r>
          </w:p>
        </w:tc>
        <w:tc>
          <w:tcPr>
            <w:tcW w:w="1404" w:type="dxa"/>
          </w:tcPr>
          <w:p w14:paraId="64D9C0B9"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177648B6" w14:textId="77777777" w:rsidTr="00FA3AEE">
        <w:trPr>
          <w:cantSplit/>
        </w:trPr>
        <w:tc>
          <w:tcPr>
            <w:tcW w:w="2340" w:type="dxa"/>
          </w:tcPr>
          <w:p w14:paraId="35E784E3" w14:textId="77777777" w:rsidR="00873A53" w:rsidRPr="00C63A98" w:rsidRDefault="00873A53" w:rsidP="00C63A98">
            <w:pPr>
              <w:pStyle w:val="Tabletext"/>
              <w:rPr>
                <w:rFonts w:ascii="Calibri" w:hAnsi="Calibri" w:cs="Calibri"/>
                <w:sz w:val="20"/>
              </w:rPr>
            </w:pPr>
            <w:r>
              <w:rPr>
                <w:rFonts w:ascii="Calibri" w:hAnsi="Calibri" w:cs="Calibri"/>
                <w:sz w:val="20"/>
              </w:rPr>
              <w:t>Trigger Function</w:t>
            </w:r>
          </w:p>
        </w:tc>
        <w:tc>
          <w:tcPr>
            <w:tcW w:w="2620" w:type="dxa"/>
          </w:tcPr>
          <w:p w14:paraId="0DE1C711" w14:textId="77777777" w:rsidR="00873A53" w:rsidRDefault="00873A53" w:rsidP="00C63A98">
            <w:pPr>
              <w:pStyle w:val="Tabletext"/>
              <w:rPr>
                <w:rFonts w:ascii="Calibri" w:hAnsi="Calibri" w:cs="Calibri"/>
                <w:sz w:val="20"/>
              </w:rPr>
            </w:pPr>
            <w:r>
              <w:rPr>
                <w:rFonts w:ascii="Calibri" w:hAnsi="Calibri" w:cs="Calibri"/>
                <w:sz w:val="20"/>
              </w:rPr>
              <w:t>Blend Component Trigger Function</w:t>
            </w:r>
          </w:p>
        </w:tc>
        <w:tc>
          <w:tcPr>
            <w:tcW w:w="2996" w:type="dxa"/>
          </w:tcPr>
          <w:p w14:paraId="299E9F69" w14:textId="7DEFF36E" w:rsidR="00873A53" w:rsidRPr="00C63A98" w:rsidRDefault="00873A53" w:rsidP="00C63A98">
            <w:pPr>
              <w:pStyle w:val="Tabletext"/>
              <w:rPr>
                <w:rFonts w:ascii="Calibri" w:hAnsi="Calibri" w:cs="Calibri"/>
                <w:sz w:val="20"/>
              </w:rPr>
            </w:pPr>
            <w:r>
              <w:rPr>
                <w:rFonts w:ascii="Calibri" w:hAnsi="Calibri" w:cs="Calibri"/>
                <w:sz w:val="20"/>
              </w:rPr>
              <w:t>Function started by the timer. It shall read the configuration file and send the request to the Request Service</w:t>
            </w:r>
          </w:p>
        </w:tc>
        <w:tc>
          <w:tcPr>
            <w:tcW w:w="1404" w:type="dxa"/>
          </w:tcPr>
          <w:p w14:paraId="45563684" w14:textId="77777777" w:rsidR="00873A53" w:rsidRPr="00C63A98" w:rsidRDefault="00873A53" w:rsidP="00C63A98">
            <w:pPr>
              <w:pStyle w:val="Tabletext"/>
              <w:rPr>
                <w:rFonts w:ascii="Calibri" w:hAnsi="Calibri" w:cs="Calibri"/>
                <w:sz w:val="20"/>
              </w:rPr>
            </w:pPr>
            <w:r>
              <w:rPr>
                <w:rFonts w:ascii="Calibri" w:hAnsi="Calibri" w:cs="Calibri"/>
                <w:sz w:val="20"/>
              </w:rPr>
              <w:t>AppSettings</w:t>
            </w:r>
          </w:p>
        </w:tc>
      </w:tr>
      <w:tr w:rsidR="00873A53" w:rsidRPr="00C63A98" w14:paraId="7B3131CD" w14:textId="77777777" w:rsidTr="00FA3AEE">
        <w:trPr>
          <w:cantSplit/>
        </w:trPr>
        <w:tc>
          <w:tcPr>
            <w:tcW w:w="2340" w:type="dxa"/>
          </w:tcPr>
          <w:p w14:paraId="2FD03108" w14:textId="77777777" w:rsidR="00873A53" w:rsidRPr="00C63A98" w:rsidRDefault="00873A53" w:rsidP="00C63A98">
            <w:pPr>
              <w:pStyle w:val="Tabletext"/>
              <w:rPr>
                <w:rFonts w:ascii="Calibri" w:hAnsi="Calibri" w:cs="Calibri"/>
                <w:sz w:val="20"/>
              </w:rPr>
            </w:pPr>
            <w:r>
              <w:rPr>
                <w:rFonts w:ascii="Calibri" w:hAnsi="Calibri" w:cs="Calibri"/>
                <w:sz w:val="20"/>
              </w:rPr>
              <w:t>Storage Connection</w:t>
            </w:r>
          </w:p>
        </w:tc>
        <w:tc>
          <w:tcPr>
            <w:tcW w:w="2620" w:type="dxa"/>
          </w:tcPr>
          <w:p w14:paraId="60F5BB3F" w14:textId="77777777" w:rsidR="00873A53" w:rsidRDefault="00873A53" w:rsidP="00C63A98">
            <w:pPr>
              <w:pStyle w:val="Tabletext"/>
              <w:rPr>
                <w:rFonts w:ascii="Calibri" w:hAnsi="Calibri" w:cs="Calibri"/>
                <w:sz w:val="20"/>
              </w:rPr>
            </w:pPr>
          </w:p>
        </w:tc>
        <w:tc>
          <w:tcPr>
            <w:tcW w:w="2996" w:type="dxa"/>
          </w:tcPr>
          <w:p w14:paraId="4E1D5AB2" w14:textId="77777777" w:rsidR="00873A53" w:rsidRPr="00C63A98" w:rsidRDefault="00873A53" w:rsidP="00C63A98">
            <w:pPr>
              <w:pStyle w:val="Tabletext"/>
              <w:rPr>
                <w:rFonts w:ascii="Calibri" w:hAnsi="Calibri" w:cs="Calibri"/>
                <w:sz w:val="20"/>
              </w:rPr>
            </w:pPr>
            <w:r>
              <w:rPr>
                <w:rFonts w:ascii="Calibri" w:hAnsi="Calibri" w:cs="Calibri"/>
                <w:sz w:val="20"/>
              </w:rPr>
              <w:t>Storage account of the function app</w:t>
            </w:r>
          </w:p>
        </w:tc>
        <w:tc>
          <w:tcPr>
            <w:tcW w:w="1404" w:type="dxa"/>
          </w:tcPr>
          <w:p w14:paraId="572D2D56" w14:textId="77777777" w:rsidR="00873A53" w:rsidRPr="00C63A98" w:rsidRDefault="00873A53" w:rsidP="00C63A98">
            <w:pPr>
              <w:pStyle w:val="Tabletext"/>
              <w:rPr>
                <w:rFonts w:ascii="Calibri" w:hAnsi="Calibri" w:cs="Calibri"/>
                <w:sz w:val="20"/>
              </w:rPr>
            </w:pPr>
            <w:r>
              <w:rPr>
                <w:rFonts w:ascii="Calibri" w:hAnsi="Calibri" w:cs="Calibri"/>
                <w:sz w:val="20"/>
              </w:rPr>
              <w:t>AppSettings</w:t>
            </w:r>
          </w:p>
        </w:tc>
      </w:tr>
      <w:tr w:rsidR="00873A53" w:rsidRPr="00C63A98" w14:paraId="711785D4" w14:textId="77777777" w:rsidTr="00FA3AEE">
        <w:trPr>
          <w:cantSplit/>
        </w:trPr>
        <w:tc>
          <w:tcPr>
            <w:tcW w:w="2340" w:type="dxa"/>
          </w:tcPr>
          <w:p w14:paraId="29508574" w14:textId="77777777" w:rsidR="00873A53" w:rsidRPr="00C63A98" w:rsidRDefault="00873A53" w:rsidP="00C63A98">
            <w:pPr>
              <w:pStyle w:val="Tabletext"/>
              <w:rPr>
                <w:rFonts w:ascii="Calibri" w:hAnsi="Calibri" w:cs="Calibri"/>
                <w:sz w:val="20"/>
              </w:rPr>
            </w:pPr>
            <w:r>
              <w:rPr>
                <w:rFonts w:ascii="Calibri" w:hAnsi="Calibri" w:cs="Calibri"/>
                <w:sz w:val="20"/>
              </w:rPr>
              <w:t>Function App</w:t>
            </w:r>
          </w:p>
        </w:tc>
        <w:tc>
          <w:tcPr>
            <w:tcW w:w="2620" w:type="dxa"/>
          </w:tcPr>
          <w:p w14:paraId="111C6FE9" w14:textId="77777777" w:rsidR="00873A53" w:rsidRDefault="00873A53" w:rsidP="00C63A98">
            <w:pPr>
              <w:pStyle w:val="Tabletext"/>
              <w:rPr>
                <w:rFonts w:ascii="Calibri" w:hAnsi="Calibri" w:cs="Calibri"/>
                <w:sz w:val="20"/>
              </w:rPr>
            </w:pPr>
          </w:p>
        </w:tc>
        <w:tc>
          <w:tcPr>
            <w:tcW w:w="2996" w:type="dxa"/>
          </w:tcPr>
          <w:p w14:paraId="0AFDFD0A" w14:textId="77777777" w:rsidR="00873A53" w:rsidRPr="00C63A98" w:rsidRDefault="00873A53" w:rsidP="00C63A98">
            <w:pPr>
              <w:pStyle w:val="Tabletext"/>
              <w:rPr>
                <w:rFonts w:ascii="Calibri" w:hAnsi="Calibri" w:cs="Calibri"/>
                <w:sz w:val="20"/>
              </w:rPr>
            </w:pPr>
            <w:r>
              <w:rPr>
                <w:rFonts w:ascii="Calibri" w:hAnsi="Calibri" w:cs="Calibri"/>
                <w:sz w:val="20"/>
              </w:rPr>
              <w:t>Azure Function App that hosts the trigger function</w:t>
            </w:r>
          </w:p>
        </w:tc>
        <w:tc>
          <w:tcPr>
            <w:tcW w:w="1404" w:type="dxa"/>
          </w:tcPr>
          <w:p w14:paraId="4CE10F5F" w14:textId="77777777" w:rsidR="00873A53" w:rsidRPr="00C63A98" w:rsidRDefault="00873A53" w:rsidP="00C63A98">
            <w:pPr>
              <w:pStyle w:val="Tabletext"/>
              <w:rPr>
                <w:rFonts w:ascii="Calibri" w:hAnsi="Calibri" w:cs="Calibri"/>
                <w:sz w:val="20"/>
              </w:rPr>
            </w:pPr>
            <w:r>
              <w:rPr>
                <w:rFonts w:ascii="Calibri" w:hAnsi="Calibri" w:cs="Calibri"/>
                <w:sz w:val="20"/>
              </w:rPr>
              <w:t>AppSettings</w:t>
            </w:r>
          </w:p>
        </w:tc>
      </w:tr>
      <w:tr w:rsidR="004812A6" w:rsidRPr="00C63A98" w14:paraId="645F549A" w14:textId="77777777" w:rsidTr="00FA3AEE">
        <w:trPr>
          <w:cantSplit/>
        </w:trPr>
        <w:tc>
          <w:tcPr>
            <w:tcW w:w="2340" w:type="dxa"/>
          </w:tcPr>
          <w:p w14:paraId="39026BD7" w14:textId="4BC6A659" w:rsidR="004812A6" w:rsidRPr="00C63A98" w:rsidRDefault="004812A6" w:rsidP="00C63A98">
            <w:pPr>
              <w:pStyle w:val="Tabletext"/>
              <w:rPr>
                <w:rFonts w:ascii="Calibri" w:hAnsi="Calibri" w:cs="Calibri"/>
                <w:sz w:val="20"/>
              </w:rPr>
            </w:pPr>
            <w:r>
              <w:rPr>
                <w:rFonts w:ascii="Calibri" w:hAnsi="Calibri" w:cs="Calibri"/>
                <w:sz w:val="20"/>
              </w:rPr>
              <w:t>Save Stored Procedure</w:t>
            </w:r>
          </w:p>
        </w:tc>
        <w:tc>
          <w:tcPr>
            <w:tcW w:w="2620" w:type="dxa"/>
          </w:tcPr>
          <w:p w14:paraId="2CEFF870" w14:textId="77777777" w:rsidR="004812A6" w:rsidRDefault="004812A6" w:rsidP="00C63A98">
            <w:pPr>
              <w:pStyle w:val="Tabletext"/>
              <w:rPr>
                <w:rFonts w:ascii="Calibri" w:hAnsi="Calibri" w:cs="Calibri"/>
                <w:sz w:val="20"/>
              </w:rPr>
            </w:pPr>
          </w:p>
        </w:tc>
        <w:tc>
          <w:tcPr>
            <w:tcW w:w="2996" w:type="dxa"/>
          </w:tcPr>
          <w:p w14:paraId="0D1AB8A8" w14:textId="1EE87D33" w:rsidR="004812A6" w:rsidRPr="00C63A98" w:rsidRDefault="004812A6" w:rsidP="00C63A98">
            <w:pPr>
              <w:pStyle w:val="Tabletext"/>
              <w:rPr>
                <w:rFonts w:ascii="Calibri" w:hAnsi="Calibri" w:cs="Calibri"/>
                <w:sz w:val="20"/>
              </w:rPr>
            </w:pPr>
            <w:r>
              <w:rPr>
                <w:rFonts w:ascii="Calibri" w:hAnsi="Calibri" w:cs="Calibri"/>
                <w:sz w:val="20"/>
              </w:rPr>
              <w:t>Stored procedure that saves the rows in the VCB table of the IQDM database</w:t>
            </w:r>
          </w:p>
        </w:tc>
        <w:tc>
          <w:tcPr>
            <w:tcW w:w="1404" w:type="dxa"/>
          </w:tcPr>
          <w:p w14:paraId="552AC1F2" w14:textId="5817D156" w:rsidR="004812A6" w:rsidRPr="00C63A98" w:rsidRDefault="004812A6" w:rsidP="00C63A98">
            <w:pPr>
              <w:pStyle w:val="Tabletext"/>
              <w:rPr>
                <w:rFonts w:ascii="Calibri" w:hAnsi="Calibri" w:cs="Calibri"/>
                <w:sz w:val="20"/>
              </w:rPr>
            </w:pPr>
            <w:r>
              <w:rPr>
                <w:rFonts w:ascii="Calibri" w:hAnsi="Calibri" w:cs="Calibri"/>
                <w:sz w:val="20"/>
              </w:rPr>
              <w:t>AppSettings</w:t>
            </w:r>
          </w:p>
        </w:tc>
      </w:tr>
      <w:tr w:rsidR="00873A53" w:rsidRPr="00C63A98" w14:paraId="46BBFCAB" w14:textId="77777777" w:rsidTr="00FA3AEE">
        <w:trPr>
          <w:cantSplit/>
        </w:trPr>
        <w:tc>
          <w:tcPr>
            <w:tcW w:w="2340" w:type="dxa"/>
          </w:tcPr>
          <w:p w14:paraId="2E75F972"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 Batch Size</w:t>
            </w:r>
          </w:p>
        </w:tc>
        <w:tc>
          <w:tcPr>
            <w:tcW w:w="2620" w:type="dxa"/>
          </w:tcPr>
          <w:p w14:paraId="7EEF65C0" w14:textId="77777777" w:rsidR="00873A53" w:rsidRPr="00C63A98" w:rsidRDefault="00873A53" w:rsidP="00C63A98">
            <w:pPr>
              <w:pStyle w:val="Tabletext"/>
              <w:rPr>
                <w:rFonts w:ascii="Calibri" w:hAnsi="Calibri" w:cs="Calibri"/>
                <w:sz w:val="20"/>
              </w:rPr>
            </w:pPr>
            <w:r>
              <w:rPr>
                <w:rFonts w:ascii="Calibri" w:hAnsi="Calibri" w:cs="Calibri"/>
                <w:sz w:val="20"/>
              </w:rPr>
              <w:t>100</w:t>
            </w:r>
          </w:p>
        </w:tc>
        <w:tc>
          <w:tcPr>
            <w:tcW w:w="2996" w:type="dxa"/>
          </w:tcPr>
          <w:p w14:paraId="411F60B3" w14:textId="77777777" w:rsidR="00873A53" w:rsidRPr="00C63A98" w:rsidRDefault="00873A53" w:rsidP="00C63A98">
            <w:pPr>
              <w:pStyle w:val="Tabletext"/>
              <w:rPr>
                <w:rFonts w:ascii="Calibri" w:hAnsi="Calibri" w:cs="Calibri"/>
                <w:sz w:val="20"/>
              </w:rPr>
            </w:pPr>
            <w:r w:rsidRPr="00C63A98">
              <w:rPr>
                <w:rFonts w:ascii="Calibri" w:hAnsi="Calibri" w:cs="Calibri"/>
                <w:sz w:val="20"/>
              </w:rPr>
              <w:t>Number of tags read in one batch through the PI proxy function</w:t>
            </w:r>
          </w:p>
        </w:tc>
        <w:tc>
          <w:tcPr>
            <w:tcW w:w="1404" w:type="dxa"/>
          </w:tcPr>
          <w:p w14:paraId="6BCD86DF" w14:textId="77777777" w:rsidR="00873A53" w:rsidRPr="00C63A98" w:rsidRDefault="00873A53" w:rsidP="00C63A98">
            <w:pPr>
              <w:pStyle w:val="Tabletext"/>
              <w:rPr>
                <w:rFonts w:ascii="Calibri" w:hAnsi="Calibri" w:cs="Calibri"/>
                <w:sz w:val="20"/>
              </w:rPr>
            </w:pPr>
            <w:r w:rsidRPr="00C63A98">
              <w:rPr>
                <w:rFonts w:ascii="Calibri" w:hAnsi="Calibri" w:cs="Calibri"/>
                <w:sz w:val="20"/>
              </w:rPr>
              <w:t>AppSettings</w:t>
            </w:r>
          </w:p>
        </w:tc>
      </w:tr>
      <w:tr w:rsidR="00873A53" w:rsidRPr="00C63A98" w14:paraId="6375E362" w14:textId="77777777" w:rsidTr="00FA3AEE">
        <w:trPr>
          <w:cantSplit/>
        </w:trPr>
        <w:tc>
          <w:tcPr>
            <w:tcW w:w="2340" w:type="dxa"/>
          </w:tcPr>
          <w:p w14:paraId="34D8F614" w14:textId="77777777" w:rsidR="00873A53" w:rsidRPr="00C63A98" w:rsidRDefault="00873A53" w:rsidP="00C63A98">
            <w:pPr>
              <w:pStyle w:val="Tabletext"/>
              <w:rPr>
                <w:rFonts w:ascii="Calibri" w:hAnsi="Calibri" w:cs="Calibri"/>
                <w:sz w:val="20"/>
              </w:rPr>
            </w:pPr>
            <w:r w:rsidRPr="00C63A98">
              <w:rPr>
                <w:rFonts w:ascii="Calibri" w:hAnsi="Calibri" w:cs="Calibri"/>
                <w:sz w:val="20"/>
              </w:rPr>
              <w:t>PI Batch Date Range (days)</w:t>
            </w:r>
          </w:p>
        </w:tc>
        <w:tc>
          <w:tcPr>
            <w:tcW w:w="2620" w:type="dxa"/>
          </w:tcPr>
          <w:p w14:paraId="02651B76" w14:textId="77777777" w:rsidR="00873A53" w:rsidRPr="00C63A98" w:rsidRDefault="00873A53" w:rsidP="00C63A98">
            <w:pPr>
              <w:pStyle w:val="Tabletext"/>
              <w:rPr>
                <w:rFonts w:ascii="Calibri" w:hAnsi="Calibri" w:cs="Calibri"/>
                <w:sz w:val="20"/>
              </w:rPr>
            </w:pPr>
            <w:r>
              <w:rPr>
                <w:rFonts w:ascii="Calibri" w:hAnsi="Calibri" w:cs="Calibri"/>
                <w:sz w:val="20"/>
              </w:rPr>
              <w:t>1</w:t>
            </w:r>
          </w:p>
        </w:tc>
        <w:tc>
          <w:tcPr>
            <w:tcW w:w="2996" w:type="dxa"/>
          </w:tcPr>
          <w:p w14:paraId="7BDB2833" w14:textId="77777777" w:rsidR="00873A53" w:rsidRPr="00C63A98" w:rsidRDefault="00873A53" w:rsidP="00C63A98">
            <w:pPr>
              <w:pStyle w:val="Tabletext"/>
              <w:rPr>
                <w:rFonts w:ascii="Calibri" w:hAnsi="Calibri" w:cs="Calibri"/>
                <w:sz w:val="20"/>
              </w:rPr>
            </w:pPr>
            <w:r w:rsidRPr="00C63A98">
              <w:rPr>
                <w:rFonts w:ascii="Calibri" w:hAnsi="Calibri" w:cs="Calibri"/>
                <w:sz w:val="20"/>
              </w:rPr>
              <w:t>Number of days read in one batch</w:t>
            </w:r>
          </w:p>
        </w:tc>
        <w:tc>
          <w:tcPr>
            <w:tcW w:w="1404" w:type="dxa"/>
          </w:tcPr>
          <w:p w14:paraId="21A21E6C" w14:textId="77777777" w:rsidR="00873A53" w:rsidRPr="00C63A98" w:rsidRDefault="00873A53" w:rsidP="00C63A98">
            <w:pPr>
              <w:pStyle w:val="Tabletext"/>
              <w:rPr>
                <w:rFonts w:ascii="Calibri" w:hAnsi="Calibri" w:cs="Calibri"/>
                <w:sz w:val="20"/>
              </w:rPr>
            </w:pPr>
            <w:r w:rsidRPr="00C63A98">
              <w:rPr>
                <w:rFonts w:ascii="Calibri" w:hAnsi="Calibri" w:cs="Calibri"/>
                <w:sz w:val="20"/>
              </w:rPr>
              <w:t>AppSettings</w:t>
            </w:r>
          </w:p>
        </w:tc>
      </w:tr>
      <w:tr w:rsidR="00873A53" w:rsidRPr="00C63A98" w14:paraId="40B57831" w14:textId="77777777" w:rsidTr="00FA3AEE">
        <w:trPr>
          <w:cantSplit/>
        </w:trPr>
        <w:tc>
          <w:tcPr>
            <w:tcW w:w="2340" w:type="dxa"/>
          </w:tcPr>
          <w:p w14:paraId="3CA111C0" w14:textId="77777777" w:rsidR="00873A53" w:rsidRPr="00C63A98" w:rsidRDefault="00873A53" w:rsidP="00C63A98">
            <w:pPr>
              <w:pStyle w:val="Tabletext"/>
              <w:rPr>
                <w:rFonts w:ascii="Calibri" w:hAnsi="Calibri" w:cs="Calibri"/>
                <w:sz w:val="20"/>
              </w:rPr>
            </w:pPr>
            <w:r>
              <w:rPr>
                <w:rFonts w:ascii="Calibri" w:hAnsi="Calibri" w:cs="Calibri"/>
                <w:sz w:val="20"/>
              </w:rPr>
              <w:t>Interpolation Interval</w:t>
            </w:r>
          </w:p>
        </w:tc>
        <w:tc>
          <w:tcPr>
            <w:tcW w:w="2620" w:type="dxa"/>
          </w:tcPr>
          <w:p w14:paraId="0A32C2DA" w14:textId="77777777" w:rsidR="00873A53" w:rsidRDefault="00873A53" w:rsidP="00C63A98">
            <w:pPr>
              <w:pStyle w:val="Tabletext"/>
              <w:rPr>
                <w:rFonts w:ascii="Calibri" w:hAnsi="Calibri" w:cs="Calibri"/>
                <w:sz w:val="20"/>
              </w:rPr>
            </w:pPr>
            <w:r>
              <w:rPr>
                <w:rFonts w:ascii="Calibri" w:hAnsi="Calibri" w:cs="Calibri"/>
                <w:sz w:val="20"/>
              </w:rPr>
              <w:t>15m</w:t>
            </w:r>
          </w:p>
        </w:tc>
        <w:tc>
          <w:tcPr>
            <w:tcW w:w="2996" w:type="dxa"/>
          </w:tcPr>
          <w:p w14:paraId="5869DF57" w14:textId="529D822D" w:rsidR="00873A53" w:rsidRPr="00C63A98" w:rsidRDefault="0023739F" w:rsidP="00C63A98">
            <w:pPr>
              <w:pStyle w:val="Tabletext"/>
              <w:rPr>
                <w:rFonts w:ascii="Calibri" w:hAnsi="Calibri" w:cs="Calibri"/>
                <w:sz w:val="20"/>
              </w:rPr>
            </w:pPr>
            <w:r>
              <w:rPr>
                <w:rFonts w:ascii="Calibri" w:hAnsi="Calibri" w:cs="Calibri"/>
                <w:sz w:val="20"/>
              </w:rPr>
              <w:t>Interval of the interpolated analyzer values</w:t>
            </w:r>
          </w:p>
        </w:tc>
        <w:tc>
          <w:tcPr>
            <w:tcW w:w="1404" w:type="dxa"/>
          </w:tcPr>
          <w:p w14:paraId="70A9E4A5" w14:textId="77777777" w:rsidR="00873A53" w:rsidRPr="00C63A98" w:rsidRDefault="00873A53" w:rsidP="00C63A98">
            <w:pPr>
              <w:pStyle w:val="Tabletext"/>
              <w:rPr>
                <w:rFonts w:ascii="Calibri" w:hAnsi="Calibri" w:cs="Calibri"/>
                <w:sz w:val="20"/>
              </w:rPr>
            </w:pPr>
            <w:r>
              <w:rPr>
                <w:rFonts w:ascii="Calibri" w:hAnsi="Calibri" w:cs="Calibri"/>
                <w:sz w:val="20"/>
              </w:rPr>
              <w:t>Blob Container</w:t>
            </w:r>
          </w:p>
        </w:tc>
      </w:tr>
      <w:tr w:rsidR="00873A53" w:rsidRPr="00C63A98" w14:paraId="4C30D469" w14:textId="77777777" w:rsidTr="00FA3AEE">
        <w:trPr>
          <w:cantSplit/>
        </w:trPr>
        <w:tc>
          <w:tcPr>
            <w:tcW w:w="2340" w:type="dxa"/>
          </w:tcPr>
          <w:p w14:paraId="0CD0B929" w14:textId="77777777" w:rsidR="00873A53" w:rsidRPr="00C63A98" w:rsidRDefault="00873A53" w:rsidP="00C63A98">
            <w:pPr>
              <w:pStyle w:val="Tabletext"/>
              <w:rPr>
                <w:rFonts w:ascii="Calibri" w:hAnsi="Calibri" w:cs="Calibri"/>
                <w:sz w:val="20"/>
              </w:rPr>
            </w:pPr>
            <w:r>
              <w:rPr>
                <w:rFonts w:ascii="Calibri" w:hAnsi="Calibri" w:cs="Calibri"/>
                <w:sz w:val="20"/>
              </w:rPr>
              <w:t>Parallel PI Calls</w:t>
            </w:r>
          </w:p>
        </w:tc>
        <w:tc>
          <w:tcPr>
            <w:tcW w:w="2620" w:type="dxa"/>
          </w:tcPr>
          <w:p w14:paraId="3E5C06B4" w14:textId="77777777" w:rsidR="00873A53" w:rsidRDefault="00873A53" w:rsidP="00C63A98">
            <w:pPr>
              <w:pStyle w:val="Tabletext"/>
              <w:rPr>
                <w:rFonts w:ascii="Calibri" w:hAnsi="Calibri" w:cs="Calibri"/>
                <w:sz w:val="20"/>
              </w:rPr>
            </w:pPr>
          </w:p>
        </w:tc>
        <w:tc>
          <w:tcPr>
            <w:tcW w:w="2996" w:type="dxa"/>
          </w:tcPr>
          <w:p w14:paraId="6B79F2B1" w14:textId="77777777" w:rsidR="00873A53" w:rsidRPr="00C63A98" w:rsidRDefault="00873A53" w:rsidP="00C63A98">
            <w:pPr>
              <w:pStyle w:val="Tabletext"/>
              <w:rPr>
                <w:rFonts w:ascii="Calibri" w:hAnsi="Calibri" w:cs="Calibri"/>
                <w:sz w:val="20"/>
              </w:rPr>
            </w:pPr>
            <w:r>
              <w:rPr>
                <w:rFonts w:ascii="Calibri" w:hAnsi="Calibri" w:cs="Calibri"/>
                <w:sz w:val="20"/>
              </w:rPr>
              <w:t>Number of PI calls that run at the same time across the integration</w:t>
            </w:r>
          </w:p>
        </w:tc>
        <w:tc>
          <w:tcPr>
            <w:tcW w:w="1404" w:type="dxa"/>
          </w:tcPr>
          <w:p w14:paraId="40605F32" w14:textId="77777777" w:rsidR="00873A53" w:rsidRPr="00C63A98" w:rsidRDefault="00873A53" w:rsidP="00C63A98">
            <w:pPr>
              <w:pStyle w:val="Tabletext"/>
              <w:rPr>
                <w:rFonts w:ascii="Calibri" w:hAnsi="Calibri" w:cs="Calibri"/>
                <w:sz w:val="20"/>
              </w:rPr>
            </w:pPr>
            <w:r>
              <w:rPr>
                <w:rFonts w:ascii="Calibri" w:hAnsi="Calibri" w:cs="Calibri"/>
                <w:sz w:val="20"/>
              </w:rPr>
              <w:t>AppSettings</w:t>
            </w:r>
          </w:p>
        </w:tc>
      </w:tr>
      <w:tr w:rsidR="00873A53" w:rsidRPr="00C63A98" w14:paraId="7FF27129" w14:textId="77777777" w:rsidTr="00FA3AEE">
        <w:trPr>
          <w:cantSplit/>
        </w:trPr>
        <w:tc>
          <w:tcPr>
            <w:tcW w:w="2340" w:type="dxa"/>
          </w:tcPr>
          <w:p w14:paraId="0851926B" w14:textId="77777777" w:rsidR="00873A53" w:rsidRPr="00C63A98" w:rsidRDefault="00873A53" w:rsidP="00C63A98">
            <w:pPr>
              <w:pStyle w:val="Tabletext"/>
              <w:rPr>
                <w:rFonts w:ascii="Calibri" w:hAnsi="Calibri" w:cs="Calibri"/>
                <w:sz w:val="20"/>
              </w:rPr>
            </w:pPr>
            <w:r w:rsidRPr="00C63A98">
              <w:rPr>
                <w:rFonts w:ascii="Calibri" w:hAnsi="Calibri" w:cs="Calibri"/>
                <w:sz w:val="20"/>
              </w:rPr>
              <w:t>Catch-up Look-back (days)</w:t>
            </w:r>
          </w:p>
        </w:tc>
        <w:tc>
          <w:tcPr>
            <w:tcW w:w="2620" w:type="dxa"/>
          </w:tcPr>
          <w:p w14:paraId="3C6AD748" w14:textId="77777777" w:rsidR="00873A53" w:rsidRPr="00C63A98" w:rsidRDefault="00873A53" w:rsidP="00C63A98">
            <w:pPr>
              <w:pStyle w:val="Tabletext"/>
              <w:rPr>
                <w:rFonts w:ascii="Calibri" w:hAnsi="Calibri" w:cs="Calibri"/>
                <w:sz w:val="20"/>
              </w:rPr>
            </w:pPr>
            <w:r>
              <w:rPr>
                <w:rFonts w:ascii="Calibri" w:hAnsi="Calibri" w:cs="Calibri"/>
                <w:sz w:val="20"/>
              </w:rPr>
              <w:t>3</w:t>
            </w:r>
          </w:p>
        </w:tc>
        <w:tc>
          <w:tcPr>
            <w:tcW w:w="2996" w:type="dxa"/>
          </w:tcPr>
          <w:p w14:paraId="69D1B8C6" w14:textId="77777777" w:rsidR="00873A53" w:rsidRPr="00C63A98" w:rsidRDefault="00873A53" w:rsidP="00C63A98">
            <w:pPr>
              <w:pStyle w:val="Tabletext"/>
              <w:rPr>
                <w:rFonts w:ascii="Calibri" w:hAnsi="Calibri" w:cs="Calibri"/>
                <w:sz w:val="20"/>
              </w:rPr>
            </w:pPr>
            <w:r w:rsidRPr="00C63A98">
              <w:rPr>
                <w:rFonts w:ascii="Calibri" w:hAnsi="Calibri" w:cs="Calibri"/>
                <w:sz w:val="20"/>
              </w:rPr>
              <w:t>Largest number of days back that a run reads to catch up missed days</w:t>
            </w:r>
          </w:p>
        </w:tc>
        <w:tc>
          <w:tcPr>
            <w:tcW w:w="1404" w:type="dxa"/>
          </w:tcPr>
          <w:p w14:paraId="2DAA790B" w14:textId="4378DC71" w:rsidR="00873A53" w:rsidRPr="00C63A98" w:rsidRDefault="008F2422" w:rsidP="00C63A98">
            <w:pPr>
              <w:pStyle w:val="Tabletext"/>
              <w:rPr>
                <w:rFonts w:ascii="Calibri" w:hAnsi="Calibri" w:cs="Calibri"/>
                <w:sz w:val="20"/>
              </w:rPr>
            </w:pPr>
            <w:r>
              <w:rPr>
                <w:rFonts w:ascii="Calibri" w:hAnsi="Calibri" w:cs="Calibri"/>
                <w:sz w:val="20"/>
              </w:rPr>
              <w:t>Blob Container</w:t>
            </w:r>
          </w:p>
        </w:tc>
      </w:tr>
      <w:tr w:rsidR="004812A6" w:rsidRPr="00C63A98" w14:paraId="4DB0BC56" w14:textId="77777777" w:rsidTr="00FA3AEE">
        <w:trPr>
          <w:cantSplit/>
        </w:trPr>
        <w:tc>
          <w:tcPr>
            <w:tcW w:w="2340" w:type="dxa"/>
          </w:tcPr>
          <w:p w14:paraId="1AC23A3F" w14:textId="04584AEC" w:rsidR="004812A6" w:rsidRPr="00C63A98" w:rsidRDefault="004812A6" w:rsidP="00C63A98">
            <w:pPr>
              <w:pStyle w:val="Tabletext"/>
              <w:keepNext/>
              <w:rPr>
                <w:rFonts w:ascii="Calibri" w:hAnsi="Calibri" w:cs="Calibri"/>
                <w:sz w:val="20"/>
              </w:rPr>
            </w:pPr>
            <w:r>
              <w:rPr>
                <w:rFonts w:ascii="Calibri" w:hAnsi="Calibri" w:cs="Calibri"/>
                <w:sz w:val="20"/>
              </w:rPr>
              <w:t>Go-live Date</w:t>
            </w:r>
          </w:p>
        </w:tc>
        <w:tc>
          <w:tcPr>
            <w:tcW w:w="2620" w:type="dxa"/>
          </w:tcPr>
          <w:p w14:paraId="284139A9" w14:textId="77777777" w:rsidR="004812A6" w:rsidRDefault="004812A6" w:rsidP="00C63A98">
            <w:pPr>
              <w:pStyle w:val="Tabletext"/>
              <w:keepNext/>
              <w:rPr>
                <w:rFonts w:ascii="Calibri" w:hAnsi="Calibri" w:cs="Calibri"/>
                <w:sz w:val="20"/>
              </w:rPr>
            </w:pPr>
          </w:p>
        </w:tc>
        <w:tc>
          <w:tcPr>
            <w:tcW w:w="2996" w:type="dxa"/>
          </w:tcPr>
          <w:p w14:paraId="694DD9C4" w14:textId="4A3EE86C" w:rsidR="004812A6" w:rsidRDefault="004812A6" w:rsidP="00C63A98">
            <w:pPr>
              <w:pStyle w:val="Tabletext"/>
              <w:keepNext/>
              <w:rPr>
                <w:rFonts w:ascii="Calibri" w:hAnsi="Calibri" w:cs="Calibri"/>
                <w:sz w:val="20"/>
              </w:rPr>
            </w:pPr>
            <w:r>
              <w:rPr>
                <w:rFonts w:ascii="Calibri" w:hAnsi="Calibri" w:cs="Calibri"/>
                <w:sz w:val="20"/>
              </w:rPr>
              <w:t>First day that any run shall read; no data from before it shall be loaded</w:t>
            </w:r>
          </w:p>
        </w:tc>
        <w:tc>
          <w:tcPr>
            <w:tcW w:w="1404" w:type="dxa"/>
          </w:tcPr>
          <w:p w14:paraId="6AA81815" w14:textId="6A6742E9" w:rsidR="004812A6" w:rsidRPr="00C63A98" w:rsidRDefault="004812A6" w:rsidP="00C63A98">
            <w:pPr>
              <w:pStyle w:val="Tabletext"/>
              <w:keepNext/>
              <w:rPr>
                <w:rFonts w:ascii="Calibri" w:hAnsi="Calibri" w:cs="Calibri"/>
                <w:sz w:val="20"/>
              </w:rPr>
            </w:pPr>
            <w:r>
              <w:rPr>
                <w:rFonts w:ascii="Calibri" w:hAnsi="Calibri" w:cs="Calibri"/>
                <w:sz w:val="20"/>
              </w:rPr>
              <w:t>Blob Container</w:t>
            </w:r>
          </w:p>
        </w:tc>
      </w:tr>
      <w:tr w:rsidR="00873A53" w:rsidRPr="00C63A98" w14:paraId="45CCC8FC" w14:textId="77777777" w:rsidTr="00FA3AEE">
        <w:trPr>
          <w:cantSplit/>
        </w:trPr>
        <w:tc>
          <w:tcPr>
            <w:tcW w:w="2340" w:type="dxa"/>
          </w:tcPr>
          <w:p w14:paraId="12EC2DC1" w14:textId="77777777" w:rsidR="00873A53" w:rsidRPr="00C63A98" w:rsidRDefault="00873A53" w:rsidP="00C63A98">
            <w:pPr>
              <w:pStyle w:val="Tabletext"/>
              <w:keepNext/>
              <w:rPr>
                <w:rFonts w:ascii="Calibri" w:hAnsi="Calibri" w:cs="Calibri"/>
                <w:sz w:val="20"/>
              </w:rPr>
            </w:pPr>
            <w:r w:rsidRPr="00C63A98">
              <w:rPr>
                <w:rFonts w:ascii="Calibri" w:hAnsi="Calibri" w:cs="Calibri"/>
                <w:sz w:val="20"/>
              </w:rPr>
              <w:t>Totalizer Reset Time</w:t>
            </w:r>
          </w:p>
        </w:tc>
        <w:tc>
          <w:tcPr>
            <w:tcW w:w="2620" w:type="dxa"/>
          </w:tcPr>
          <w:p w14:paraId="09A40255" w14:textId="0EADC1C8" w:rsidR="00873A53" w:rsidRPr="00C63A98" w:rsidRDefault="00873A53" w:rsidP="00C63A98">
            <w:pPr>
              <w:pStyle w:val="Tabletext"/>
              <w:keepNext/>
              <w:rPr>
                <w:rFonts w:ascii="Calibri" w:hAnsi="Calibri" w:cs="Calibri"/>
                <w:sz w:val="20"/>
              </w:rPr>
            </w:pPr>
          </w:p>
        </w:tc>
        <w:tc>
          <w:tcPr>
            <w:tcW w:w="2996" w:type="dxa"/>
          </w:tcPr>
          <w:p w14:paraId="73FA39B6" w14:textId="1C2F0D16" w:rsidR="00873A53" w:rsidRPr="00C63A98" w:rsidRDefault="008F2422" w:rsidP="00C63A98">
            <w:pPr>
              <w:pStyle w:val="Tabletext"/>
              <w:keepNext/>
              <w:rPr>
                <w:rFonts w:ascii="Calibri" w:hAnsi="Calibri" w:cs="Calibri"/>
                <w:sz w:val="20"/>
              </w:rPr>
            </w:pPr>
            <w:r>
              <w:rPr>
                <w:rFonts w:ascii="Calibri" w:hAnsi="Calibri" w:cs="Calibri"/>
                <w:sz w:val="20"/>
              </w:rPr>
              <w:t>Time of day, per totalizer, at which a daily totalizer goes back to zero: 00:00 Eastern for the meter totalizers; 00:00 Eastern or local midnight for the injector totalizers, depending on the terminal</w:t>
            </w:r>
          </w:p>
        </w:tc>
        <w:tc>
          <w:tcPr>
            <w:tcW w:w="1404" w:type="dxa"/>
          </w:tcPr>
          <w:p w14:paraId="6184FC38" w14:textId="5415C6EE" w:rsidR="00873A53" w:rsidRPr="00C63A98" w:rsidRDefault="008F2422" w:rsidP="00C63A98">
            <w:pPr>
              <w:pStyle w:val="Tabletext"/>
              <w:keepNext/>
              <w:rPr>
                <w:rFonts w:ascii="Calibri" w:hAnsi="Calibri" w:cs="Calibri"/>
                <w:sz w:val="20"/>
              </w:rPr>
            </w:pPr>
            <w:r>
              <w:rPr>
                <w:rFonts w:ascii="Calibri" w:hAnsi="Calibri" w:cs="Calibri"/>
                <w:sz w:val="20"/>
              </w:rPr>
              <w:t>Blob Container</w:t>
            </w:r>
          </w:p>
        </w:tc>
      </w:tr>
      <w:tr w:rsidR="0023739F" w:rsidRPr="00C63A98" w14:paraId="13B78CFE" w14:textId="77777777" w:rsidTr="00FA3AEE">
        <w:trPr>
          <w:cantSplit/>
        </w:trPr>
        <w:tc>
          <w:tcPr>
            <w:tcW w:w="2340" w:type="dxa"/>
          </w:tcPr>
          <w:p w14:paraId="55A0CBD8" w14:textId="6972AC73" w:rsidR="0023739F" w:rsidRPr="00C63A98" w:rsidRDefault="0023739F" w:rsidP="00C63A98">
            <w:pPr>
              <w:pStyle w:val="Tabletext"/>
              <w:keepNext/>
              <w:rPr>
                <w:rFonts w:ascii="Calibri" w:hAnsi="Calibri" w:cs="Calibri"/>
                <w:sz w:val="20"/>
              </w:rPr>
            </w:pPr>
            <w:r>
              <w:rPr>
                <w:rFonts w:ascii="Calibri" w:hAnsi="Calibri" w:cs="Calibri"/>
                <w:sz w:val="20"/>
              </w:rPr>
              <w:t>Flow Read Time</w:t>
            </w:r>
          </w:p>
        </w:tc>
        <w:tc>
          <w:tcPr>
            <w:tcW w:w="2620" w:type="dxa"/>
          </w:tcPr>
          <w:p w14:paraId="14B8F331" w14:textId="2EF6E188" w:rsidR="0023739F" w:rsidRDefault="0023739F" w:rsidP="00C63A98">
            <w:pPr>
              <w:pStyle w:val="Tabletext"/>
              <w:keepNext/>
              <w:rPr>
                <w:rFonts w:ascii="Calibri" w:hAnsi="Calibri" w:cs="Calibri"/>
                <w:sz w:val="20"/>
              </w:rPr>
            </w:pPr>
          </w:p>
        </w:tc>
        <w:tc>
          <w:tcPr>
            <w:tcW w:w="2996" w:type="dxa"/>
          </w:tcPr>
          <w:p w14:paraId="16564A7D" w14:textId="7CBB0D37" w:rsidR="0023739F" w:rsidRDefault="004812A6" w:rsidP="00C63A98">
            <w:pPr>
              <w:pStyle w:val="Tabletext"/>
              <w:keepNext/>
              <w:rPr>
                <w:rFonts w:ascii="Calibri" w:hAnsi="Calibri" w:cs="Calibri"/>
                <w:sz w:val="20"/>
              </w:rPr>
            </w:pPr>
            <w:r>
              <w:rPr>
                <w:rFonts w:ascii="Calibri" w:hAnsi="Calibri" w:cs="Calibri"/>
                <w:sz w:val="20"/>
              </w:rPr>
              <w:t>Time of day, per totalizer, at which the day's total shall be read, just before its reset</w:t>
            </w:r>
          </w:p>
        </w:tc>
        <w:tc>
          <w:tcPr>
            <w:tcW w:w="1404" w:type="dxa"/>
          </w:tcPr>
          <w:p w14:paraId="07744CEB" w14:textId="627D6C4E" w:rsidR="0023739F" w:rsidRPr="00C63A98" w:rsidRDefault="008F2422" w:rsidP="00C63A98">
            <w:pPr>
              <w:pStyle w:val="Tabletext"/>
              <w:keepNext/>
              <w:rPr>
                <w:rFonts w:ascii="Calibri" w:hAnsi="Calibri" w:cs="Calibri"/>
                <w:sz w:val="20"/>
              </w:rPr>
            </w:pPr>
            <w:r>
              <w:rPr>
                <w:rFonts w:ascii="Calibri" w:hAnsi="Calibri" w:cs="Calibri"/>
                <w:sz w:val="20"/>
              </w:rPr>
              <w:t>Blob Container</w:t>
            </w:r>
          </w:p>
        </w:tc>
      </w:tr>
      <w:tr w:rsidR="009C3F56" w:rsidRPr="00C63A98" w14:paraId="0C0F81A1" w14:textId="77777777" w:rsidTr="00FA3AEE">
        <w:trPr>
          <w:cantSplit/>
        </w:trPr>
        <w:tc>
          <w:tcPr>
            <w:tcW w:w="2340" w:type="dxa"/>
          </w:tcPr>
          <w:p w14:paraId="0FB485E6" w14:textId="49ECA6C6" w:rsidR="009C3F56" w:rsidRDefault="009C3F56" w:rsidP="00C63A98">
            <w:pPr>
              <w:pStyle w:val="Tabletext"/>
              <w:keepNext/>
              <w:rPr>
                <w:rFonts w:ascii="Calibri" w:hAnsi="Calibri" w:cs="Calibri"/>
                <w:sz w:val="20"/>
              </w:rPr>
            </w:pPr>
            <w:r>
              <w:rPr>
                <w:rFonts w:ascii="Calibri" w:hAnsi="Calibri" w:cs="Calibri"/>
                <w:sz w:val="20"/>
              </w:rPr>
              <w:t>Last Saved Values Stored Procedure</w:t>
            </w:r>
          </w:p>
        </w:tc>
        <w:tc>
          <w:tcPr>
            <w:tcW w:w="2620" w:type="dxa"/>
          </w:tcPr>
          <w:p w14:paraId="1B819210" w14:textId="77777777" w:rsidR="009C3F56" w:rsidRDefault="009C3F56" w:rsidP="00C63A98">
            <w:pPr>
              <w:pStyle w:val="Tabletext"/>
              <w:keepNext/>
              <w:rPr>
                <w:rFonts w:ascii="Calibri" w:hAnsi="Calibri" w:cs="Calibri"/>
                <w:sz w:val="20"/>
              </w:rPr>
            </w:pPr>
          </w:p>
        </w:tc>
        <w:tc>
          <w:tcPr>
            <w:tcW w:w="2996" w:type="dxa"/>
          </w:tcPr>
          <w:p w14:paraId="54CD360F" w14:textId="16C6D6FE" w:rsidR="009C3F56" w:rsidRDefault="009C3F56" w:rsidP="00C63A98">
            <w:pPr>
              <w:pStyle w:val="Tabletext"/>
              <w:keepNext/>
              <w:rPr>
                <w:rFonts w:ascii="Calibri" w:hAnsi="Calibri" w:cs="Calibri"/>
                <w:sz w:val="20"/>
              </w:rPr>
            </w:pPr>
            <w:r>
              <w:rPr>
                <w:rFonts w:ascii="Calibri" w:hAnsi="Calibri" w:cs="Calibri"/>
                <w:sz w:val="20"/>
              </w:rPr>
              <w:t>Stored procedure that reads the last analyzer quality saved for each tag before the period, for the change check</w:t>
            </w:r>
          </w:p>
        </w:tc>
        <w:tc>
          <w:tcPr>
            <w:tcW w:w="1404" w:type="dxa"/>
          </w:tcPr>
          <w:p w14:paraId="5F9FAF28" w14:textId="653298AD" w:rsidR="009C3F56" w:rsidRDefault="009C3F56" w:rsidP="00C63A98">
            <w:pPr>
              <w:pStyle w:val="Tabletext"/>
              <w:keepNext/>
              <w:rPr>
                <w:rFonts w:ascii="Calibri" w:hAnsi="Calibri" w:cs="Calibri"/>
                <w:sz w:val="20"/>
              </w:rPr>
            </w:pPr>
            <w:r>
              <w:rPr>
                <w:rFonts w:ascii="Calibri" w:hAnsi="Calibri" w:cs="Calibri"/>
                <w:sz w:val="20"/>
              </w:rPr>
              <w:t>AppSettings</w:t>
            </w:r>
          </w:p>
        </w:tc>
      </w:tr>
      <w:tr w:rsidR="009C3F56" w:rsidRPr="00C63A98" w14:paraId="6B0DA6C6" w14:textId="77777777" w:rsidTr="00FA3AEE">
        <w:trPr>
          <w:cantSplit/>
        </w:trPr>
        <w:tc>
          <w:tcPr>
            <w:tcW w:w="2340" w:type="dxa"/>
          </w:tcPr>
          <w:p w14:paraId="1F28CCDF" w14:textId="05C3E109" w:rsidR="009C3F56" w:rsidRDefault="009C3F56" w:rsidP="00C63A98">
            <w:pPr>
              <w:pStyle w:val="Tabletext"/>
              <w:keepNext/>
              <w:rPr>
                <w:rFonts w:ascii="Calibri" w:hAnsi="Calibri" w:cs="Calibri"/>
                <w:sz w:val="20"/>
              </w:rPr>
            </w:pPr>
            <w:r>
              <w:rPr>
                <w:rFonts w:ascii="Calibri" w:hAnsi="Calibri" w:cs="Calibri"/>
                <w:sz w:val="20"/>
              </w:rPr>
              <w:t>Read Periods Stored Procedure</w:t>
            </w:r>
          </w:p>
        </w:tc>
        <w:tc>
          <w:tcPr>
            <w:tcW w:w="2620" w:type="dxa"/>
          </w:tcPr>
          <w:p w14:paraId="7B48370A" w14:textId="77777777" w:rsidR="009C3F56" w:rsidRDefault="009C3F56" w:rsidP="00C63A98">
            <w:pPr>
              <w:pStyle w:val="Tabletext"/>
              <w:keepNext/>
              <w:rPr>
                <w:rFonts w:ascii="Calibri" w:hAnsi="Calibri" w:cs="Calibri"/>
                <w:sz w:val="20"/>
              </w:rPr>
            </w:pPr>
          </w:p>
        </w:tc>
        <w:tc>
          <w:tcPr>
            <w:tcW w:w="2996" w:type="dxa"/>
          </w:tcPr>
          <w:p w14:paraId="1C746509" w14:textId="469CC759" w:rsidR="009C3F56" w:rsidRDefault="009C3F56" w:rsidP="00C63A98">
            <w:pPr>
              <w:pStyle w:val="Tabletext"/>
              <w:keepNext/>
              <w:rPr>
                <w:rFonts w:ascii="Calibri" w:hAnsi="Calibri" w:cs="Calibri"/>
                <w:sz w:val="20"/>
              </w:rPr>
            </w:pPr>
            <w:r>
              <w:rPr>
                <w:rFonts w:ascii="Calibri" w:hAnsi="Calibri" w:cs="Calibri"/>
                <w:sz w:val="20"/>
              </w:rPr>
              <w:t>Stored procedure that reads the end of the last period read in full for each terminal and data type, for the catch-up of missed runs</w:t>
            </w:r>
          </w:p>
        </w:tc>
        <w:tc>
          <w:tcPr>
            <w:tcW w:w="1404" w:type="dxa"/>
          </w:tcPr>
          <w:p w14:paraId="25989EB7" w14:textId="07987A33" w:rsidR="009C3F56" w:rsidRDefault="009C3F56" w:rsidP="00C63A98">
            <w:pPr>
              <w:pStyle w:val="Tabletext"/>
              <w:keepNext/>
              <w:rPr>
                <w:rFonts w:ascii="Calibri" w:hAnsi="Calibri" w:cs="Calibri"/>
                <w:sz w:val="20"/>
              </w:rPr>
            </w:pPr>
            <w:r>
              <w:rPr>
                <w:rFonts w:ascii="Calibri" w:hAnsi="Calibri" w:cs="Calibri"/>
                <w:sz w:val="20"/>
              </w:rPr>
              <w:t>AppSettings</w:t>
            </w:r>
          </w:p>
        </w:tc>
      </w:tr>
      <w:tr w:rsidR="009C3F56" w:rsidRPr="00C63A98" w14:paraId="563DE62C" w14:textId="77777777" w:rsidTr="00FA3AEE">
        <w:trPr>
          <w:cantSplit/>
        </w:trPr>
        <w:tc>
          <w:tcPr>
            <w:tcW w:w="2340" w:type="dxa"/>
          </w:tcPr>
          <w:p w14:paraId="16B0E6F5" w14:textId="1FB4067F" w:rsidR="009C3F56" w:rsidRDefault="009C3F56" w:rsidP="00C63A98">
            <w:pPr>
              <w:pStyle w:val="Tabletext"/>
              <w:keepNext/>
              <w:rPr>
                <w:rFonts w:ascii="Calibri" w:hAnsi="Calibri" w:cs="Calibri"/>
                <w:sz w:val="20"/>
              </w:rPr>
            </w:pPr>
            <w:r>
              <w:rPr>
                <w:rFonts w:ascii="Calibri" w:hAnsi="Calibri" w:cs="Calibri"/>
                <w:sz w:val="20"/>
              </w:rPr>
              <w:t>Batch Duration (days)</w:t>
            </w:r>
          </w:p>
        </w:tc>
        <w:tc>
          <w:tcPr>
            <w:tcW w:w="2620" w:type="dxa"/>
          </w:tcPr>
          <w:p w14:paraId="1B990D9D" w14:textId="5869E7D0" w:rsidR="009C3F56" w:rsidRDefault="009C3F56" w:rsidP="00C63A98">
            <w:pPr>
              <w:pStyle w:val="Tabletext"/>
              <w:keepNext/>
              <w:rPr>
                <w:rFonts w:ascii="Calibri" w:hAnsi="Calibri" w:cs="Calibri"/>
                <w:sz w:val="20"/>
              </w:rPr>
            </w:pPr>
            <w:r>
              <w:rPr>
                <w:rFonts w:ascii="Calibri" w:hAnsi="Calibri" w:cs="Calibri"/>
                <w:sz w:val="20"/>
              </w:rPr>
              <w:t>1</w:t>
            </w:r>
          </w:p>
        </w:tc>
        <w:tc>
          <w:tcPr>
            <w:tcW w:w="2996" w:type="dxa"/>
          </w:tcPr>
          <w:p w14:paraId="59ABF3E2" w14:textId="71EF00CF" w:rsidR="009C3F56" w:rsidRDefault="009C3F56" w:rsidP="00C63A98">
            <w:pPr>
              <w:pStyle w:val="Tabletext"/>
              <w:keepNext/>
              <w:rPr>
                <w:rFonts w:ascii="Calibri" w:hAnsi="Calibri" w:cs="Calibri"/>
                <w:sz w:val="20"/>
              </w:rPr>
            </w:pPr>
            <w:r>
              <w:rPr>
                <w:rFonts w:ascii="Calibri" w:hAnsi="Calibri" w:cs="Calibri"/>
                <w:sz w:val="20"/>
              </w:rPr>
              <w:t>Number of days of the period sent in one request and saved in one bulk call</w:t>
            </w:r>
          </w:p>
        </w:tc>
        <w:tc>
          <w:tcPr>
            <w:tcW w:w="1404" w:type="dxa"/>
          </w:tcPr>
          <w:p w14:paraId="15BB872F" w14:textId="78FEF4C4" w:rsidR="009C3F56" w:rsidRDefault="009C3F56" w:rsidP="00C63A98">
            <w:pPr>
              <w:pStyle w:val="Tabletext"/>
              <w:keepNext/>
              <w:rPr>
                <w:rFonts w:ascii="Calibri" w:hAnsi="Calibri" w:cs="Calibri"/>
                <w:sz w:val="20"/>
              </w:rPr>
            </w:pPr>
            <w:r>
              <w:rPr>
                <w:rFonts w:ascii="Calibri" w:hAnsi="Calibri" w:cs="Calibri"/>
                <w:sz w:val="20"/>
              </w:rPr>
              <w:t>AppSettings</w:t>
            </w:r>
          </w:p>
        </w:tc>
      </w:tr>
      <w:tr w:rsidR="009C3F56" w:rsidRPr="00C63A98" w14:paraId="30576126" w14:textId="77777777" w:rsidTr="00FA3AEE">
        <w:trPr>
          <w:cantSplit/>
        </w:trPr>
        <w:tc>
          <w:tcPr>
            <w:tcW w:w="2340" w:type="dxa"/>
          </w:tcPr>
          <w:p w14:paraId="3DACBBB4" w14:textId="2336C9FF" w:rsidR="009C3F56" w:rsidRDefault="009C3F56" w:rsidP="00C63A98">
            <w:pPr>
              <w:pStyle w:val="Tabletext"/>
              <w:keepNext/>
              <w:rPr>
                <w:rFonts w:ascii="Calibri" w:hAnsi="Calibri" w:cs="Calibri"/>
                <w:sz w:val="20"/>
              </w:rPr>
            </w:pPr>
            <w:r>
              <w:rPr>
                <w:rFonts w:ascii="Calibri" w:hAnsi="Calibri" w:cs="Calibri"/>
                <w:sz w:val="20"/>
              </w:rPr>
              <w:t>AF Server and Database</w:t>
            </w:r>
          </w:p>
        </w:tc>
        <w:tc>
          <w:tcPr>
            <w:tcW w:w="2620" w:type="dxa"/>
          </w:tcPr>
          <w:p w14:paraId="26A9B74B" w14:textId="07EFF14A" w:rsidR="009C3F56" w:rsidRDefault="009C3F56" w:rsidP="00C63A98">
            <w:pPr>
              <w:pStyle w:val="Tabletext"/>
              <w:keepNext/>
              <w:rPr>
                <w:rFonts w:ascii="Calibri" w:hAnsi="Calibri" w:cs="Calibri"/>
                <w:sz w:val="20"/>
              </w:rPr>
            </w:pPr>
            <w:r>
              <w:rPr>
                <w:rFonts w:ascii="Calibri" w:hAnsi="Calibri" w:cs="Calibri"/>
                <w:sz w:val="20"/>
              </w:rPr>
              <w:t>PIAF-TTR\TTR_PROD</w:t>
            </w:r>
          </w:p>
        </w:tc>
        <w:tc>
          <w:tcPr>
            <w:tcW w:w="2996" w:type="dxa"/>
          </w:tcPr>
          <w:p w14:paraId="57E975FC" w14:textId="1B085976" w:rsidR="009C3F56" w:rsidRDefault="009C3F56" w:rsidP="00C63A98">
            <w:pPr>
              <w:pStyle w:val="Tabletext"/>
              <w:keepNext/>
              <w:rPr>
                <w:rFonts w:ascii="Calibri" w:hAnsi="Calibri" w:cs="Calibri"/>
                <w:sz w:val="20"/>
              </w:rPr>
            </w:pPr>
            <w:r>
              <w:rPr>
                <w:rFonts w:ascii="Calibri" w:hAnsi="Calibri" w:cs="Calibri"/>
                <w:sz w:val="20"/>
              </w:rPr>
              <w:t>AF server and database of the terminals, held as the terminal entry of the AF server setting</w:t>
            </w:r>
          </w:p>
        </w:tc>
        <w:tc>
          <w:tcPr>
            <w:tcW w:w="1404" w:type="dxa"/>
          </w:tcPr>
          <w:p w14:paraId="3260382A" w14:textId="2A5CB279" w:rsidR="009C3F56" w:rsidRDefault="009C3F56" w:rsidP="00C63A98">
            <w:pPr>
              <w:pStyle w:val="Tabletext"/>
              <w:keepNext/>
              <w:rPr>
                <w:rFonts w:ascii="Calibri" w:hAnsi="Calibri" w:cs="Calibri"/>
                <w:sz w:val="20"/>
              </w:rPr>
            </w:pPr>
            <w:r>
              <w:rPr>
                <w:rFonts w:ascii="Calibri" w:hAnsi="Calibri" w:cs="Calibri"/>
                <w:sz w:val="20"/>
              </w:rPr>
              <w:t>AppSettings</w:t>
            </w:r>
          </w:p>
        </w:tc>
      </w:tr>
    </w:tbl>
    <w:p w14:paraId="5C4740D0" w14:textId="7D6F9AFD" w:rsidR="00873A53" w:rsidRDefault="00873A53" w:rsidP="00873A53">
      <w:pPr>
        <w:pStyle w:val="Caption"/>
      </w:pPr>
      <w:bookmarkStart w:id="182" w:name="_Toc242554015"/>
      <w:r>
        <w:t xml:space="preserve">Table </w:t>
      </w:r>
      <w:bookmarkStart w:id="183" w:name="_Ref917260930"/>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17</w:t>
      </w:r>
      <w:r>
        <w:fldChar w:fldCharType="end"/>
      </w:r>
      <w:bookmarkEnd w:id="183"/>
      <w:r>
        <w:t>: Blend Component Integration (PIAF) - Integration Configuration</w:t>
      </w:r>
      <w:bookmarkEnd w:id="182"/>
    </w:p>
    <w:p w14:paraId="037F9AD7" w14:textId="77777777" w:rsidR="00AA30D8" w:rsidRPr="00AA30D8" w:rsidRDefault="00AA30D8" w:rsidP="00AA30D8">
      <w:pPr>
        <w:pStyle w:val="Heading4"/>
        <w:rPr>
          <w:rFonts w:ascii="Calibri" w:hAnsi="Calibri" w:cs="Calibri"/>
          <w:b/>
          <w:sz w:val="20"/>
        </w:rPr>
      </w:pPr>
      <w:bookmarkStart w:id="184" w:name="_Ref917260945"/>
      <w:r w:rsidRPr="00AA30D8">
        <w:rPr>
          <w:rFonts w:ascii="Calibri" w:hAnsi="Calibri" w:cs="Calibri"/>
          <w:b/>
          <w:sz w:val="20"/>
        </w:rPr>
        <w:t>Blend component Flows/Movement for terminal</w:t>
      </w:r>
      <w:bookmarkEnd w:id="184"/>
    </w:p>
    <w:p w14:paraId="463D2153" w14:textId="30F98B2E" w:rsidR="00FC42E7" w:rsidRPr="00EC3682" w:rsidRDefault="00FC42E7" w:rsidP="00FC42E7">
      <w:pPr>
        <w:pStyle w:val="ListParagraph"/>
        <w:numPr>
          <w:ilvl w:val="0"/>
          <w:numId w:val="4"/>
        </w:numPr>
        <w:jc w:val="left"/>
        <w:rPr>
          <w:rFonts w:ascii="Calibri" w:hAnsi="Calibri" w:cs="Calibri"/>
        </w:rPr>
      </w:pPr>
      <w:r>
        <w:t xml:space="preserve">From VCB Release 3, the PIAF integration of section </w:t>
      </w:r>
      <w:r>
        <w:fldChar w:fldCharType="begin"/>
      </w:r>
      <w:r>
        <w:instrText xml:space="preserve"> REF _Ref917260942 \w \h \* MERGEFORMAT </w:instrText>
      </w:r>
      <w:r>
        <w:fldChar w:fldCharType="separate"/>
      </w:r>
      <w:r w:rsidRPr="00FC42E7">
        <w:rPr>
          <w:color w:val="0563C1"/>
          <w:u w:val="single"/>
        </w:rPr>
        <w:t>2.3.3.1</w:t>
      </w:r>
      <w:r>
        <w:fldChar w:fldCharType="end"/>
      </w:r>
      <w:r>
        <w:t xml:space="preserve"> shall also read the daily flows of butane, ethanol and transmix in the same run as the analyzer qualities.</w:t>
      </w:r>
    </w:p>
    <w:p w14:paraId="21344F60" w14:textId="1C97EE05" w:rsidR="00FC42E7" w:rsidRPr="00EC3682" w:rsidRDefault="00FC42E7" w:rsidP="00FC42E7">
      <w:pPr>
        <w:pStyle w:val="ListParagraph"/>
        <w:numPr>
          <w:ilvl w:val="0"/>
          <w:numId w:val="4"/>
        </w:numPr>
        <w:jc w:val="left"/>
        <w:rPr>
          <w:rFonts w:ascii="Calibri" w:hAnsi="Calibri" w:cs="Calibri"/>
        </w:rPr>
      </w:pPr>
      <w:r>
        <w:t>Each flow shall be read from a daily totalizer, and each totalizer shall have its own reset rule and unit.</w:t>
      </w:r>
    </w:p>
    <w:p w14:paraId="7366D5AC" w14:textId="0AB6573B" w:rsidR="00FC42E7" w:rsidRPr="00EC3682" w:rsidRDefault="00FC42E7" w:rsidP="00FC42E7">
      <w:pPr>
        <w:pStyle w:val="ListParagraph"/>
        <w:numPr>
          <w:ilvl w:val="0"/>
          <w:numId w:val="4"/>
        </w:numPr>
        <w:jc w:val="left"/>
        <w:rPr>
          <w:rFonts w:ascii="Calibri" w:hAnsi="Calibri" w:cs="Calibri"/>
        </w:rPr>
      </w:pPr>
      <w:r>
        <w:t xml:space="preserve">The PIAF flow list of the integration configuration (Table </w:t>
      </w:r>
      <w:r>
        <w:fldChar w:fldCharType="begin"/>
      </w:r>
      <w:r>
        <w:instrText xml:space="preserve"> REF _Ref917260930 \h \* MERGEFORMAT </w:instrText>
      </w:r>
      <w:r>
        <w:fldChar w:fldCharType="separate"/>
      </w:r>
      <w:r w:rsidRPr="00FC42E7">
        <w:rPr>
          <w:noProof/>
          <w:color w:val="0563C1"/>
          <w:u w:val="single"/>
        </w:rPr>
        <w:t>2-17</w:t>
      </w:r>
      <w:r>
        <w:fldChar w:fldCharType="end"/>
      </w:r>
      <w:r>
        <w:t>) shall list the terminals and blend components whose flows shall be taken from PIAF.</w:t>
      </w:r>
    </w:p>
    <w:p w14:paraId="61034508" w14:textId="7A9F811A" w:rsidR="00FC42E7" w:rsidRPr="00EC3682" w:rsidRDefault="00FC42E7" w:rsidP="00FC42E7">
      <w:pPr>
        <w:pStyle w:val="ListParagraph"/>
        <w:numPr>
          <w:ilvl w:val="0"/>
          <w:numId w:val="4"/>
        </w:numPr>
        <w:jc w:val="left"/>
        <w:rPr>
          <w:rFonts w:ascii="Calibri" w:hAnsi="Calibri" w:cs="Calibri"/>
        </w:rPr>
      </w:pPr>
      <w:r>
        <w:t xml:space="preserve">All other blend component movements shall come from the Kittyhawk transaction upload (section </w:t>
      </w:r>
      <w:r>
        <w:fldChar w:fldCharType="begin"/>
      </w:r>
      <w:r>
        <w:instrText xml:space="preserve"> REF _Ref917260943 \w \h \* MERGEFORMAT </w:instrText>
      </w:r>
      <w:r>
        <w:fldChar w:fldCharType="separate"/>
      </w:r>
      <w:r w:rsidRPr="00FC42E7">
        <w:rPr>
          <w:color w:val="0563C1"/>
          <w:u w:val="single"/>
        </w:rPr>
        <w:t>2.3.3.4</w:t>
      </w:r>
      <w:r>
        <w:fldChar w:fldCharType="end"/>
      </w:r>
      <w:r>
        <w:t>).</w:t>
      </w:r>
    </w:p>
    <w:p w14:paraId="7E1ED7D0" w14:textId="3A84363B" w:rsidR="00FC42E7" w:rsidRPr="00EC3682" w:rsidRDefault="00FC42E7" w:rsidP="00FC42E7">
      <w:pPr>
        <w:pStyle w:val="ListParagraph"/>
        <w:numPr>
          <w:ilvl w:val="0"/>
          <w:numId w:val="4"/>
        </w:numPr>
        <w:jc w:val="left"/>
        <w:rPr>
          <w:rFonts w:ascii="Calibri" w:hAnsi="Calibri" w:cs="Calibri"/>
        </w:rPr>
      </w:pPr>
      <w:r>
        <w:t>The Gasoline KPI and Distillate KPI dashboards shall read the daily flows from PIAF and the movements from Kittyhawk together as the actual component volumes blended.</w:t>
      </w:r>
    </w:p>
    <w:p w14:paraId="7F13D134" w14:textId="5EDB7F9E" w:rsidR="00FC42E7" w:rsidRPr="00EC3682" w:rsidRDefault="00FC42E7" w:rsidP="00FC42E7">
      <w:pPr>
        <w:pStyle w:val="ListParagraph"/>
        <w:numPr>
          <w:ilvl w:val="0"/>
          <w:numId w:val="4"/>
        </w:numPr>
        <w:jc w:val="left"/>
        <w:rPr>
          <w:rFonts w:ascii="Calibri" w:hAnsi="Calibri" w:cs="Calibri"/>
        </w:rPr>
      </w:pPr>
      <w:r>
        <w:t>The daily flows from PIAF and the movements from Kittyhawk shall never overlap.</w:t>
      </w:r>
    </w:p>
    <w:p w14:paraId="3021E26C" w14:textId="2E3B9A89" w:rsidR="00FC42E7" w:rsidRPr="00EC3682" w:rsidRDefault="00FC42E7" w:rsidP="00FC42E7">
      <w:pPr>
        <w:pStyle w:val="ListParagraph"/>
        <w:numPr>
          <w:ilvl w:val="0"/>
          <w:numId w:val="4"/>
        </w:numPr>
        <w:jc w:val="left"/>
        <w:rPr>
          <w:rFonts w:ascii="Calibri" w:hAnsi="Calibri" w:cs="Calibri"/>
        </w:rPr>
      </w:pPr>
      <w:r>
        <w:t>The flows shall be saved per totalizer and day, not per batch, and the dashboards shall read them by terminal and day.</w:t>
      </w:r>
    </w:p>
    <w:p w14:paraId="206252DD" w14:textId="0E23AC92" w:rsidR="0081216E" w:rsidRPr="00FC42E7" w:rsidRDefault="00FC42E7" w:rsidP="00FC42E7">
      <w:pPr>
        <w:pStyle w:val="ListParagraph"/>
        <w:numPr>
          <w:ilvl w:val="0"/>
          <w:numId w:val="4"/>
        </w:numPr>
        <w:jc w:val="left"/>
      </w:pPr>
      <w:r>
        <w:t xml:space="preserve">For the rest of the design, the sections below refer to section </w:t>
      </w:r>
      <w:r>
        <w:fldChar w:fldCharType="begin"/>
      </w:r>
      <w:r>
        <w:instrText xml:space="preserve"> REF _Ref917260942 \w \h \* MERGEFORMAT </w:instrText>
      </w:r>
      <w:r>
        <w:fldChar w:fldCharType="separate"/>
      </w:r>
      <w:r w:rsidRPr="00FC42E7">
        <w:rPr>
          <w:color w:val="0563C1"/>
          <w:u w:val="single"/>
        </w:rPr>
        <w:t>2.3.3.1</w:t>
      </w:r>
      <w:r>
        <w:fldChar w:fldCharType="end"/>
      </w:r>
      <w:r>
        <w:t>.</w:t>
      </w:r>
    </w:p>
    <w:p w14:paraId="04921B5E" w14:textId="77777777" w:rsidR="006958CC" w:rsidRPr="006958CC" w:rsidRDefault="006958CC" w:rsidP="006958CC">
      <w:pPr>
        <w:pStyle w:val="Heading5"/>
        <w:rPr>
          <w:rFonts w:ascii="Calibri" w:hAnsi="Calibri" w:cs="Calibri"/>
          <w:sz w:val="20"/>
        </w:rPr>
      </w:pPr>
      <w:bookmarkStart w:id="185" w:name="_Ref917260948"/>
      <w:r w:rsidRPr="006958CC">
        <w:rPr>
          <w:rFonts w:ascii="Calibri" w:hAnsi="Calibri" w:cs="Calibri"/>
          <w:sz w:val="20"/>
        </w:rPr>
        <w:t>High Level Technical Design Diagram</w:t>
      </w:r>
      <w:bookmarkEnd w:id="185"/>
    </w:p>
    <w:p w14:paraId="21B2D4B9" w14:textId="3F59D8A4" w:rsidR="00FC42E7" w:rsidRPr="00EC3682" w:rsidRDefault="00FC42E7" w:rsidP="00FC42E7">
      <w:pPr>
        <w:pStyle w:val="ListParagraph"/>
        <w:numPr>
          <w:ilvl w:val="0"/>
          <w:numId w:val="4"/>
        </w:numPr>
        <w:jc w:val="left"/>
        <w:rPr>
          <w:rFonts w:ascii="Calibri" w:hAnsi="Calibri" w:cs="Calibri"/>
        </w:rPr>
      </w:pPr>
      <w:r>
        <w:t xml:space="preserve">The daily flows shall be read in the same daily run as the analyzer qualities (section </w:t>
      </w:r>
      <w:r>
        <w:fldChar w:fldCharType="begin"/>
      </w:r>
      <w:r>
        <w:instrText xml:space="preserve"> REF _Ref917260942 \w \h \* MERGEFORMAT </w:instrText>
      </w:r>
      <w:r>
        <w:fldChar w:fldCharType="separate"/>
      </w:r>
      <w:r w:rsidRPr="00FC42E7">
        <w:rPr>
          <w:color w:val="0563C1"/>
          <w:u w:val="single"/>
        </w:rPr>
        <w:t>2.3.3.1</w:t>
      </w:r>
      <w:r>
        <w:fldChar w:fldCharType="end"/>
      </w:r>
      <w:r>
        <w:t xml:space="preserve">), with the components of section </w:t>
      </w:r>
      <w:r>
        <w:fldChar w:fldCharType="begin"/>
      </w:r>
      <w:r>
        <w:instrText xml:space="preserve"> REF _Ref917260947 \w \h \* MERGEFORMAT </w:instrText>
      </w:r>
      <w:r>
        <w:fldChar w:fldCharType="separate"/>
      </w:r>
      <w:r w:rsidRPr="00FC42E7">
        <w:rPr>
          <w:color w:val="0563C1"/>
          <w:u w:val="single"/>
        </w:rPr>
        <w:t>2.3.3.1.1</w:t>
      </w:r>
      <w:r>
        <w:fldChar w:fldCharType="end"/>
      </w:r>
      <w:r>
        <w:t>.</w:t>
      </w:r>
    </w:p>
    <w:p w14:paraId="3129459B" w14:textId="24D71E1E" w:rsidR="006958CC" w:rsidRPr="006958CC" w:rsidRDefault="00FC42E7" w:rsidP="00FC42E7">
      <w:pPr>
        <w:keepNext/>
        <w:keepLines/>
        <w:jc w:val="left"/>
        <w:rPr>
          <w:rFonts w:ascii="Calibri" w:hAnsi="Calibri" w:cs="Calibri"/>
        </w:rPr>
      </w:pPr>
      <w:r>
        <w:rPr>
          <w:rFonts w:ascii="Calibri" w:hAnsi="Calibri" w:cs="Calibri"/>
        </w:rPr>
        <w:t>The figure below shows how the daily totalizers of butane per injector and of ethanol and transmix per terminal meter travel from PI Asset Framework (PI Web API via CIP PI proxy) to the IQDM database.</w:t>
      </w:r>
    </w:p>
    <w:p w14:paraId="0BB4CCED" w14:textId="120C2173" w:rsidR="006958CC" w:rsidRPr="006958CC" w:rsidRDefault="008F2422" w:rsidP="006958CC">
      <w:pPr>
        <w:keepNext/>
        <w:spacing w:after="40"/>
        <w:jc w:val="center"/>
      </w:pPr>
      <w:r>
        <w:rPr>
          <w:noProof/>
        </w:rPr>
        <w:drawing>
          <wp:inline distT="0" distB="0" distL="0" distR="0" wp14:anchorId="766C06A0" wp14:editId="74D34C6E">
            <wp:extent cx="5943600" cy="2466340"/>
            <wp:effectExtent l="0" t="0" r="0" b="0"/>
            <wp:docPr id="1588958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58386" name=""/>
                    <pic:cNvPicPr/>
                  </pic:nvPicPr>
                  <pic:blipFill>
                    <a:blip r:embed="rId30"/>
                    <a:stretch>
                      <a:fillRect/>
                    </a:stretch>
                  </pic:blipFill>
                  <pic:spPr>
                    <a:xfrm>
                      <a:off x="0" y="0"/>
                      <a:ext cx="5943600" cy="2466340"/>
                    </a:xfrm>
                    <a:prstGeom prst="rect">
                      <a:avLst/>
                    </a:prstGeom>
                  </pic:spPr>
                </pic:pic>
              </a:graphicData>
            </a:graphic>
          </wp:inline>
        </w:drawing>
      </w:r>
    </w:p>
    <w:p w14:paraId="1EA42943" w14:textId="35C77C49" w:rsidR="006958CC" w:rsidRPr="006958CC" w:rsidRDefault="006958CC" w:rsidP="006958CC">
      <w:pPr>
        <w:pStyle w:val="Caption"/>
        <w:rPr>
          <w:rFonts w:ascii="Calibri" w:hAnsi="Calibri" w:cs="Calibri"/>
        </w:rPr>
      </w:pPr>
      <w:bookmarkStart w:id="186" w:name="_Toc242554143"/>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7</w:t>
      </w:r>
      <w:r w:rsidRPr="006958CC">
        <w:rPr>
          <w:rFonts w:ascii="Calibri" w:hAnsi="Calibri" w:cs="Calibri"/>
        </w:rPr>
        <w:fldChar w:fldCharType="end"/>
      </w:r>
      <w:r w:rsidRPr="006958CC">
        <w:rPr>
          <w:rFonts w:ascii="Calibri" w:hAnsi="Calibri" w:cs="Calibri"/>
        </w:rPr>
        <w:t>: Blend Component Integration (Flows) High Level Technical Design Diagram (CIP Approach)</w:t>
      </w:r>
      <w:bookmarkEnd w:id="186"/>
    </w:p>
    <w:p w14:paraId="203CF0BE" w14:textId="0061B703" w:rsidR="00FC42E7" w:rsidRPr="00EC3682" w:rsidRDefault="00FC42E7" w:rsidP="00FC42E7">
      <w:pPr>
        <w:pStyle w:val="ListParagraph"/>
        <w:numPr>
          <w:ilvl w:val="0"/>
          <w:numId w:val="4"/>
        </w:numPr>
        <w:jc w:val="left"/>
        <w:rPr>
          <w:rFonts w:ascii="Calibri" w:hAnsi="Calibri" w:cs="Calibri"/>
        </w:rPr>
      </w:pPr>
      <w:r>
        <w:t xml:space="preserve">The figure follows the common integration pattern (section </w:t>
      </w:r>
      <w:r>
        <w:fldChar w:fldCharType="begin"/>
      </w:r>
      <w:r>
        <w:instrText xml:space="preserve"> REF _Ref917260909 \w \h \* MERGEFORMAT </w:instrText>
      </w:r>
      <w:r>
        <w:fldChar w:fldCharType="separate"/>
      </w:r>
      <w:r w:rsidRPr="00FC42E7">
        <w:rPr>
          <w:color w:val="0563C1"/>
          <w:u w:val="single"/>
        </w:rPr>
        <w:t>2.3.1</w:t>
      </w:r>
      <w:r>
        <w:fldChar w:fldCharType="end"/>
      </w:r>
      <w:r>
        <w:t xml:space="preserve">), and its steps are numbered as in section </w:t>
      </w:r>
      <w:r>
        <w:fldChar w:fldCharType="begin"/>
      </w:r>
      <w:r>
        <w:instrText xml:space="preserve"> REF _Ref917260947 \w \h \* MERGEFORMAT </w:instrText>
      </w:r>
      <w:r>
        <w:fldChar w:fldCharType="separate"/>
      </w:r>
      <w:r w:rsidRPr="00FC42E7">
        <w:rPr>
          <w:color w:val="0563C1"/>
          <w:u w:val="single"/>
        </w:rPr>
        <w:t>2.3.3.1.1</w:t>
      </w:r>
      <w:r>
        <w:fldChar w:fldCharType="end"/>
      </w:r>
      <w:r>
        <w:t>.</w:t>
      </w:r>
    </w:p>
    <w:p w14:paraId="7316870A" w14:textId="1D13F136" w:rsidR="00FC42E7" w:rsidRPr="00EC3682" w:rsidRDefault="00FC42E7" w:rsidP="00FC42E7">
      <w:pPr>
        <w:keepNext/>
        <w:jc w:val="left"/>
        <w:rPr>
          <w:rFonts w:ascii="Calibri" w:hAnsi="Calibri" w:cs="Calibri"/>
        </w:rPr>
      </w:pPr>
      <w:r w:rsidRPr="00FC42E7">
        <w:rPr>
          <w:rFonts w:ascii="Calibri" w:hAnsi="Calibri" w:cs="Calibri"/>
        </w:rPr>
        <w:t>For the flows, the request names in the figure and steps 8.1 and 8.2 shall differ from the common integration pattern:</w:t>
      </w:r>
    </w:p>
    <w:p w14:paraId="57184DD6" w14:textId="6D85BFCE" w:rsidR="00FC42E7" w:rsidRPr="00EC3682" w:rsidRDefault="00FC42E7" w:rsidP="00FC42E7">
      <w:pPr>
        <w:pStyle w:val="ListParagraph"/>
        <w:numPr>
          <w:ilvl w:val="0"/>
          <w:numId w:val="4"/>
        </w:numPr>
        <w:jc w:val="left"/>
        <w:rPr>
          <w:rFonts w:ascii="Calibri" w:hAnsi="Calibri" w:cs="Calibri"/>
        </w:rPr>
      </w:pPr>
      <w:r>
        <w:t>In steps 8.1 and 8.2, the Response Service shall send the Flows Request for PIAF.</w:t>
      </w:r>
    </w:p>
    <w:p w14:paraId="36A6136B" w14:textId="6D005AEB" w:rsidR="00FC42E7" w:rsidRPr="00EC3682" w:rsidRDefault="00FC42E7" w:rsidP="00FC42E7">
      <w:pPr>
        <w:pStyle w:val="ListParagraph"/>
        <w:numPr>
          <w:ilvl w:val="0"/>
          <w:numId w:val="4"/>
        </w:numPr>
        <w:jc w:val="left"/>
        <w:rPr>
          <w:rFonts w:ascii="Calibri" w:hAnsi="Calibri" w:cs="Calibri"/>
        </w:rPr>
      </w:pPr>
      <w:r>
        <w:t>The Response Service shall read each totalizer once a day, at the read time set for that totalizer, as one interpolated value.</w:t>
      </w:r>
    </w:p>
    <w:p w14:paraId="21A35CEA" w14:textId="3AE0754C" w:rsidR="00FC42E7" w:rsidRPr="00EC3682" w:rsidRDefault="00FC42E7" w:rsidP="00FC42E7">
      <w:pPr>
        <w:pStyle w:val="ListParagraph"/>
        <w:numPr>
          <w:ilvl w:val="0"/>
          <w:numId w:val="4"/>
        </w:numPr>
        <w:jc w:val="left"/>
        <w:rPr>
          <w:rFonts w:ascii="Calibri" w:hAnsi="Calibri" w:cs="Calibri"/>
        </w:rPr>
      </w:pPr>
      <w:r>
        <w:t>The interpolated value shall be the day's total, just before the totalizer's own reset time.</w:t>
      </w:r>
    </w:p>
    <w:p w14:paraId="3F61D2A8" w14:textId="62F52DAB" w:rsidR="006958CC" w:rsidRPr="00FC42E7" w:rsidRDefault="00FC42E7" w:rsidP="00FC42E7">
      <w:pPr>
        <w:pStyle w:val="ListParagraph"/>
        <w:numPr>
          <w:ilvl w:val="0"/>
          <w:numId w:val="4"/>
        </w:numPr>
        <w:jc w:val="left"/>
      </w:pPr>
      <w:r w:rsidRPr="00FC42E7">
        <w:t xml:space="preserve">The logging, notification and Azure services shall be those described in section </w:t>
      </w:r>
      <w:r>
        <w:fldChar w:fldCharType="begin"/>
      </w:r>
      <w:r>
        <w:instrText xml:space="preserve"> REF _Ref917260947 \w \h \* MERGEFORMAT </w:instrText>
      </w:r>
      <w:r>
        <w:fldChar w:fldCharType="separate"/>
      </w:r>
      <w:r w:rsidRPr="00FC42E7">
        <w:rPr>
          <w:color w:val="0563C1"/>
          <w:u w:val="single"/>
        </w:rPr>
        <w:t>2.3.3.1.1</w:t>
      </w:r>
      <w:r>
        <w:fldChar w:fldCharType="end"/>
      </w:r>
      <w:r w:rsidRPr="00FC42E7">
        <w:t>.</w:t>
      </w:r>
    </w:p>
    <w:p w14:paraId="768CA6AB" w14:textId="3B9E8406" w:rsidR="006958CC" w:rsidRPr="006958CC" w:rsidRDefault="006958CC" w:rsidP="006958CC">
      <w:pPr>
        <w:pStyle w:val="Heading5"/>
        <w:rPr>
          <w:rFonts w:ascii="Calibri" w:hAnsi="Calibri" w:cs="Calibri"/>
          <w:sz w:val="20"/>
        </w:rPr>
      </w:pPr>
      <w:r w:rsidRPr="006958CC">
        <w:rPr>
          <w:rFonts w:ascii="Calibri" w:hAnsi="Calibri" w:cs="Calibri"/>
          <w:sz w:val="20"/>
        </w:rPr>
        <w:t>Detailed Technical Design Diagram</w:t>
      </w:r>
    </w:p>
    <w:p w14:paraId="10740CFE" w14:textId="0D5A0B89" w:rsidR="006958CC" w:rsidRPr="006958CC" w:rsidRDefault="00FC42E7" w:rsidP="00FC42E7">
      <w:pPr>
        <w:keepNext/>
        <w:keepLines/>
        <w:jc w:val="left"/>
        <w:rPr>
          <w:rFonts w:ascii="Calibri" w:hAnsi="Calibri" w:cs="Calibri"/>
        </w:rPr>
      </w:pPr>
      <w:r>
        <w:rPr>
          <w:rFonts w:ascii="Calibri" w:hAnsi="Calibri" w:cs="Calibri"/>
        </w:rPr>
        <w:t>The figure below shows the activities inside the two durable functions of the Blend Component Integration (Flows).</w:t>
      </w:r>
    </w:p>
    <w:p w14:paraId="476C141D" w14:textId="205CA4A2" w:rsidR="006958CC" w:rsidRPr="006958CC" w:rsidRDefault="008F2422" w:rsidP="006958CC">
      <w:pPr>
        <w:keepNext/>
        <w:spacing w:after="40"/>
        <w:jc w:val="center"/>
      </w:pPr>
      <w:r>
        <w:rPr>
          <w:noProof/>
        </w:rPr>
        <w:drawing>
          <wp:inline distT="0" distB="0" distL="0" distR="0" wp14:anchorId="1D24A675" wp14:editId="36435398">
            <wp:extent cx="5943600" cy="2173605"/>
            <wp:effectExtent l="0" t="0" r="0" b="0"/>
            <wp:docPr id="2063873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73991" name=""/>
                    <pic:cNvPicPr/>
                  </pic:nvPicPr>
                  <pic:blipFill>
                    <a:blip r:embed="rId31"/>
                    <a:stretch>
                      <a:fillRect/>
                    </a:stretch>
                  </pic:blipFill>
                  <pic:spPr>
                    <a:xfrm>
                      <a:off x="0" y="0"/>
                      <a:ext cx="5943600" cy="2173605"/>
                    </a:xfrm>
                    <a:prstGeom prst="rect">
                      <a:avLst/>
                    </a:prstGeom>
                  </pic:spPr>
                </pic:pic>
              </a:graphicData>
            </a:graphic>
          </wp:inline>
        </w:drawing>
      </w:r>
    </w:p>
    <w:p w14:paraId="383DEA00" w14:textId="72DDD480" w:rsidR="006958CC" w:rsidRPr="006958CC" w:rsidRDefault="006958CC" w:rsidP="006958CC">
      <w:pPr>
        <w:pStyle w:val="Caption"/>
        <w:rPr>
          <w:rFonts w:ascii="Calibri" w:hAnsi="Calibri" w:cs="Calibri"/>
        </w:rPr>
      </w:pPr>
      <w:bookmarkStart w:id="187" w:name="_Toc242554144"/>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8</w:t>
      </w:r>
      <w:r w:rsidRPr="006958CC">
        <w:rPr>
          <w:rFonts w:ascii="Calibri" w:hAnsi="Calibri" w:cs="Calibri"/>
        </w:rPr>
        <w:fldChar w:fldCharType="end"/>
      </w:r>
      <w:r w:rsidRPr="006958CC">
        <w:rPr>
          <w:rFonts w:ascii="Calibri" w:hAnsi="Calibri" w:cs="Calibri"/>
        </w:rPr>
        <w:t>: Blend Component Integration (Flows) Detailed Technical Design Diagram</w:t>
      </w:r>
      <w:bookmarkEnd w:id="187"/>
    </w:p>
    <w:p w14:paraId="28B77CCF" w14:textId="77777777" w:rsidR="00FC42E7" w:rsidRPr="00EC3682" w:rsidRDefault="00FC42E7" w:rsidP="00FC42E7">
      <w:pPr>
        <w:pStyle w:val="ListParagraph"/>
        <w:numPr>
          <w:ilvl w:val="0"/>
          <w:numId w:val="4"/>
        </w:numPr>
        <w:jc w:val="left"/>
        <w:rPr>
          <w:rFonts w:ascii="Calibri" w:hAnsi="Calibri" w:cs="Calibri"/>
        </w:rPr>
      </w:pPr>
      <w:r>
        <w:t>The flow starts from the Trigger Request to Extract Blend Component Flows (IsImport = false).</w:t>
      </w:r>
    </w:p>
    <w:p w14:paraId="6ECBDAC7" w14:textId="77777777" w:rsidR="00FC42E7" w:rsidRPr="00EC3682" w:rsidRDefault="00FC42E7" w:rsidP="00FC42E7">
      <w:pPr>
        <w:pStyle w:val="ListParagraph"/>
        <w:numPr>
          <w:ilvl w:val="0"/>
          <w:numId w:val="4"/>
        </w:numPr>
        <w:jc w:val="left"/>
        <w:rPr>
          <w:rFonts w:ascii="Calibri" w:hAnsi="Calibri" w:cs="Calibri"/>
        </w:rPr>
      </w:pPr>
      <w:r>
        <w:t>Steps 4 to 11 are drawn in more detail; the other steps are those of the high-level figure above.</w:t>
      </w:r>
    </w:p>
    <w:p w14:paraId="0D79278E" w14:textId="63D296F2" w:rsidR="006958CC" w:rsidRPr="00FC42E7" w:rsidRDefault="00873A53" w:rsidP="00FC42E7">
      <w:pPr>
        <w:pStyle w:val="ListParagraph"/>
        <w:numPr>
          <w:ilvl w:val="0"/>
          <w:numId w:val="4"/>
        </w:numPr>
        <w:jc w:val="left"/>
      </w:pPr>
      <w:r w:rsidRPr="00FC42E7">
        <w:t xml:space="preserve">The activities inside the durable functions shall be those of the common integration pattern (section </w:t>
      </w:r>
      <w:r w:rsidR="00FC42E7">
        <w:fldChar w:fldCharType="begin"/>
      </w:r>
      <w:r w:rsidR="00FC42E7">
        <w:instrText xml:space="preserve"> REF _Ref917260914 \w \h \* MERGEFORMAT </w:instrText>
      </w:r>
      <w:r w:rsidR="00FC42E7">
        <w:fldChar w:fldCharType="separate"/>
      </w:r>
      <w:r w:rsidR="00FC42E7" w:rsidRPr="00FC42E7">
        <w:rPr>
          <w:color w:val="0563C1"/>
          <w:u w:val="single"/>
        </w:rPr>
        <w:t>2.3.1.2.1</w:t>
      </w:r>
      <w:r w:rsidR="00FC42E7">
        <w:fldChar w:fldCharType="end"/>
      </w:r>
      <w:r w:rsidRPr="00FC42E7">
        <w:t>), with the flows read from PI Asset Framework in steps 8.1 and 8.2.</w:t>
      </w:r>
    </w:p>
    <w:p w14:paraId="2E896752" w14:textId="6E4E1C3C" w:rsidR="0081216E" w:rsidRDefault="0081216E" w:rsidP="0081216E">
      <w:pPr>
        <w:pStyle w:val="Heading5"/>
        <w:rPr>
          <w:rFonts w:ascii="Calibri" w:hAnsi="Calibri" w:cs="Calibri"/>
          <w:sz w:val="20"/>
        </w:rPr>
      </w:pPr>
      <w:r w:rsidRPr="0081216E">
        <w:rPr>
          <w:rFonts w:ascii="Calibri" w:hAnsi="Calibri" w:cs="Calibri"/>
          <w:sz w:val="20"/>
        </w:rPr>
        <w:t>Integration Specifics</w:t>
      </w:r>
    </w:p>
    <w:p w14:paraId="028FA383" w14:textId="2F3B04B7" w:rsidR="00AA30D8" w:rsidRPr="0081216E" w:rsidRDefault="00610DB7" w:rsidP="00FC42E7">
      <w:pPr>
        <w:keepNext/>
        <w:jc w:val="left"/>
        <w:rPr>
          <w:rFonts w:ascii="Calibri" w:hAnsi="Calibri" w:cs="Calibri"/>
        </w:rPr>
      </w:pPr>
      <w:r>
        <w:rPr>
          <w:rFonts w:ascii="Calibri" w:hAnsi="Calibri" w:cs="Calibri"/>
        </w:rPr>
        <w:t>The table below gives the totalizer rules and units</w:t>
      </w:r>
      <w:r w:rsidR="0081216E" w:rsidRPr="0081216E">
        <w:rPr>
          <w:rFonts w:ascii="Calibri" w:hAnsi="Calibri" w:cs="Calibri"/>
        </w:rPr>
        <w:t xml:space="preserve"> that apply only to the blend component flows.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32"/>
        <w:gridCol w:w="4013"/>
        <w:gridCol w:w="4015"/>
      </w:tblGrid>
      <w:tr w:rsidR="00AA30D8" w:rsidRPr="00C63A98" w14:paraId="290D43C6" w14:textId="77777777" w:rsidTr="00C63A98">
        <w:trPr>
          <w:cantSplit/>
          <w:tblHeader/>
        </w:trPr>
        <w:tc>
          <w:tcPr>
            <w:tcW w:w="1332" w:type="dxa"/>
            <w:shd w:val="clear" w:color="auto" w:fill="2F5597"/>
          </w:tcPr>
          <w:p w14:paraId="0D33DD2B" w14:textId="164CB455" w:rsidR="00AA30D8" w:rsidRPr="00C63A98" w:rsidRDefault="00AA30D8" w:rsidP="006958CC">
            <w:pPr>
              <w:pStyle w:val="Tablehead1"/>
              <w:rPr>
                <w:rFonts w:ascii="Calibri" w:hAnsi="Calibri" w:cs="Calibri"/>
                <w:sz w:val="20"/>
              </w:rPr>
            </w:pPr>
            <w:r>
              <w:rPr>
                <w:rFonts w:ascii="Calibri" w:hAnsi="Calibri" w:cs="Calibri"/>
                <w:sz w:val="20"/>
              </w:rPr>
              <w:t>Component</w:t>
            </w:r>
          </w:p>
        </w:tc>
        <w:tc>
          <w:tcPr>
            <w:tcW w:w="4013" w:type="dxa"/>
            <w:shd w:val="clear" w:color="auto" w:fill="2F5597"/>
          </w:tcPr>
          <w:p w14:paraId="19B874C5" w14:textId="418C9DF2" w:rsidR="00AA30D8" w:rsidRPr="00C63A98" w:rsidRDefault="00CE45AF" w:rsidP="006958CC">
            <w:pPr>
              <w:pStyle w:val="Tablehead1"/>
              <w:rPr>
                <w:rFonts w:ascii="Calibri" w:hAnsi="Calibri" w:cs="Calibri"/>
                <w:sz w:val="20"/>
              </w:rPr>
            </w:pPr>
            <w:r>
              <w:rPr>
                <w:rFonts w:ascii="Calibri" w:hAnsi="Calibri" w:cs="Calibri"/>
                <w:sz w:val="20"/>
              </w:rPr>
              <w:t>Name in This Integration</w:t>
            </w:r>
          </w:p>
        </w:tc>
        <w:tc>
          <w:tcPr>
            <w:tcW w:w="4015" w:type="dxa"/>
            <w:shd w:val="clear" w:color="auto" w:fill="2F5597"/>
          </w:tcPr>
          <w:p w14:paraId="54645B3E" w14:textId="314C0407" w:rsidR="00AA30D8" w:rsidRPr="00C63A98" w:rsidRDefault="00CE45AF" w:rsidP="006958CC">
            <w:pPr>
              <w:pStyle w:val="Tablehead1"/>
              <w:rPr>
                <w:rFonts w:ascii="Calibri" w:hAnsi="Calibri" w:cs="Calibri"/>
                <w:sz w:val="20"/>
              </w:rPr>
            </w:pPr>
            <w:r>
              <w:rPr>
                <w:rFonts w:ascii="Calibri" w:hAnsi="Calibri" w:cs="Calibri"/>
                <w:sz w:val="20"/>
              </w:rPr>
              <w:t>Specific to This Integration</w:t>
            </w:r>
          </w:p>
        </w:tc>
      </w:tr>
      <w:tr w:rsidR="00AA30D8" w:rsidRPr="00C63A98" w14:paraId="717DE66E" w14:textId="77777777" w:rsidTr="00C63A98">
        <w:trPr>
          <w:cantSplit/>
        </w:trPr>
        <w:tc>
          <w:tcPr>
            <w:tcW w:w="1332" w:type="dxa"/>
          </w:tcPr>
          <w:p w14:paraId="7CEDCC22" w14:textId="5E0AB17F" w:rsidR="00AA30D8" w:rsidRPr="00C63A98" w:rsidRDefault="00AA30D8" w:rsidP="006958CC">
            <w:pPr>
              <w:pStyle w:val="Tabletext"/>
              <w:keepNext/>
              <w:rPr>
                <w:rFonts w:ascii="Calibri" w:hAnsi="Calibri" w:cs="Calibri"/>
                <w:sz w:val="20"/>
              </w:rPr>
            </w:pPr>
            <w:r>
              <w:rPr>
                <w:rFonts w:ascii="Calibri" w:hAnsi="Calibri" w:cs="Calibri"/>
                <w:sz w:val="20"/>
              </w:rPr>
              <w:t>Blend component flows</w:t>
            </w:r>
          </w:p>
        </w:tc>
        <w:tc>
          <w:tcPr>
            <w:tcW w:w="4013" w:type="dxa"/>
          </w:tcPr>
          <w:p w14:paraId="49BD1FF3" w14:textId="2E32E368" w:rsidR="00AA30D8" w:rsidRPr="00C63A98" w:rsidRDefault="00CE45AF" w:rsidP="006958CC">
            <w:pPr>
              <w:pStyle w:val="Tabletext"/>
              <w:keepNext/>
              <w:rPr>
                <w:rFonts w:ascii="Calibri" w:hAnsi="Calibri" w:cs="Calibri"/>
                <w:sz w:val="20"/>
              </w:rPr>
            </w:pPr>
            <w:r>
              <w:rPr>
                <w:rFonts w:ascii="Calibri" w:hAnsi="Calibri" w:cs="Calibri"/>
                <w:sz w:val="20"/>
              </w:rPr>
              <w:t>Daily totalizers of butane per injector, and of ethanol and transmix per terminal meter</w:t>
            </w:r>
          </w:p>
        </w:tc>
        <w:tc>
          <w:tcPr>
            <w:tcW w:w="4015" w:type="dxa"/>
          </w:tcPr>
          <w:p w14:paraId="777F80D2" w14:textId="625CE9E8" w:rsidR="00AA30D8" w:rsidRPr="00C63A98" w:rsidRDefault="004812A6" w:rsidP="006958CC">
            <w:pPr>
              <w:pStyle w:val="Tabletext"/>
              <w:keepNext/>
              <w:rPr>
                <w:rFonts w:ascii="Calibri" w:hAnsi="Calibri" w:cs="Calibri"/>
                <w:sz w:val="20"/>
              </w:rPr>
            </w:pPr>
            <w:r>
              <w:rPr>
                <w:rFonts w:ascii="Calibri" w:hAnsi="Calibri" w:cs="Calibri"/>
                <w:sz w:val="20"/>
              </w:rPr>
              <w:t>The totalizers shall count in gallons,</w:t>
            </w:r>
            <w:r w:rsidR="00794AE6">
              <w:rPr>
                <w:rFonts w:ascii="Calibri" w:hAnsi="Calibri" w:cs="Calibri"/>
                <w:sz w:val="20"/>
              </w:rPr>
              <w:t xml:space="preserve"> </w:t>
            </w:r>
            <w:r w:rsidR="00610DB7">
              <w:rPr>
                <w:rFonts w:ascii="Calibri" w:hAnsi="Calibri" w:cs="Calibri"/>
                <w:sz w:val="20"/>
              </w:rPr>
              <w:t>for example 17,405.61 gal of ethanol at Lima</w:t>
            </w:r>
            <w:r w:rsidR="00794AE6">
              <w:rPr>
                <w:rFonts w:ascii="Calibri" w:hAnsi="Calibri" w:cs="Calibri"/>
                <w:sz w:val="20"/>
              </w:rPr>
              <w:t xml:space="preserve">. </w:t>
            </w:r>
            <w:r>
              <w:rPr>
                <w:rFonts w:ascii="Calibri" w:hAnsi="Calibri" w:cs="Calibri"/>
                <w:sz w:val="20"/>
              </w:rPr>
              <w:t xml:space="preserve">Each totalizer shall close its day at its own reset time, </w:t>
            </w:r>
            <w:r w:rsidR="008F2422">
              <w:rPr>
                <w:rFonts w:ascii="Calibri" w:hAnsi="Calibri" w:cs="Calibri"/>
                <w:sz w:val="20"/>
              </w:rPr>
              <w:t xml:space="preserve">and its day's total shall be read as described in section </w:t>
            </w:r>
            <w:r w:rsidR="00FC42E7">
              <w:rPr>
                <w:rFonts w:ascii="Calibri" w:hAnsi="Calibri" w:cs="Calibri"/>
                <w:sz w:val="20"/>
              </w:rPr>
              <w:fldChar w:fldCharType="begin"/>
            </w:r>
            <w:r w:rsidR="00FC42E7">
              <w:rPr>
                <w:rFonts w:ascii="Calibri" w:hAnsi="Calibri" w:cs="Calibri"/>
                <w:sz w:val="20"/>
              </w:rPr>
              <w:instrText xml:space="preserve"> REF _Ref917260948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2.3.3.2.1</w:t>
            </w:r>
            <w:r w:rsidR="00FC42E7">
              <w:rPr>
                <w:rFonts w:ascii="Calibri" w:hAnsi="Calibri" w:cs="Calibri"/>
                <w:sz w:val="20"/>
              </w:rPr>
              <w:fldChar w:fldCharType="end"/>
            </w:r>
            <w:r w:rsidR="008F2422">
              <w:rPr>
                <w:rFonts w:ascii="Calibri" w:hAnsi="Calibri" w:cs="Calibri"/>
                <w:sz w:val="20"/>
              </w:rPr>
              <w:t>.</w:t>
            </w:r>
            <w:r w:rsidR="00794AE6">
              <w:rPr>
                <w:rFonts w:ascii="Calibri" w:hAnsi="Calibri" w:cs="Calibri"/>
                <w:sz w:val="20"/>
              </w:rPr>
              <w:t xml:space="preserve"> </w:t>
            </w:r>
            <w:r w:rsidR="009C3F56">
              <w:rPr>
                <w:rFonts w:ascii="Calibri" w:hAnsi="Calibri" w:cs="Calibri"/>
                <w:sz w:val="20"/>
              </w:rPr>
              <w:t xml:space="preserve">The material of a flow shall be the blend component given for its totalizer in the PI tag mapping; where none is given, </w:t>
            </w:r>
            <w:r w:rsidR="00D87FC6">
              <w:rPr>
                <w:rFonts w:ascii="Calibri" w:hAnsi="Calibri" w:cs="Calibri"/>
                <w:sz w:val="20"/>
              </w:rPr>
              <w:t>it shall be the Product attribute of the service tank</w:t>
            </w:r>
            <w:r w:rsidR="009C3F56">
              <w:rPr>
                <w:rFonts w:ascii="Calibri" w:hAnsi="Calibri" w:cs="Calibri"/>
                <w:sz w:val="20"/>
              </w:rPr>
              <w:t>.</w:t>
            </w:r>
            <w:r w:rsidR="00F80961">
              <w:rPr>
                <w:rFonts w:ascii="Calibri" w:hAnsi="Calibri" w:cs="Calibri"/>
                <w:sz w:val="20"/>
              </w:rPr>
              <w:t xml:space="preserve"> For each totalizer, the integration shall save one row per day: the day's total. </w:t>
            </w:r>
            <w:r w:rsidR="0023739F">
              <w:rPr>
                <w:rFonts w:ascii="Calibri" w:hAnsi="Calibri" w:cs="Calibri"/>
                <w:sz w:val="20"/>
              </w:rPr>
              <w:t>ValueDate shall be the UTC time of that value. The row shall stand for the calendar day that the reset closes, on that totalizer's own clock.</w:t>
            </w:r>
          </w:p>
        </w:tc>
      </w:tr>
      <w:tr w:rsidR="00F80961" w:rsidRPr="00C63A98" w14:paraId="72986106" w14:textId="77777777" w:rsidTr="00C63A98">
        <w:trPr>
          <w:cantSplit/>
        </w:trPr>
        <w:tc>
          <w:tcPr>
            <w:tcW w:w="1332" w:type="dxa"/>
          </w:tcPr>
          <w:p w14:paraId="2922603B" w14:textId="1BD9C4A3" w:rsidR="00F80961" w:rsidRDefault="00F80961" w:rsidP="006958CC">
            <w:pPr>
              <w:pStyle w:val="Tabletext"/>
              <w:keepNext/>
              <w:rPr>
                <w:rFonts w:ascii="Calibri" w:hAnsi="Calibri" w:cs="Calibri"/>
                <w:sz w:val="20"/>
              </w:rPr>
            </w:pPr>
            <w:r>
              <w:rPr>
                <w:rFonts w:ascii="Calibri" w:hAnsi="Calibri" w:cs="Calibri"/>
                <w:sz w:val="20"/>
              </w:rPr>
              <w:t>Flow attributes</w:t>
            </w:r>
          </w:p>
        </w:tc>
        <w:tc>
          <w:tcPr>
            <w:tcW w:w="4013" w:type="dxa"/>
          </w:tcPr>
          <w:p w14:paraId="26D27879" w14:textId="0C5974C3" w:rsidR="00F80961" w:rsidRDefault="00F80961" w:rsidP="006958CC">
            <w:pPr>
              <w:pStyle w:val="Tabletext"/>
              <w:keepNext/>
              <w:rPr>
                <w:rFonts w:ascii="Calibri" w:hAnsi="Calibri" w:cs="Calibri"/>
                <w:sz w:val="20"/>
              </w:rPr>
            </w:pPr>
            <w:r>
              <w:rPr>
                <w:rFonts w:ascii="Calibri" w:hAnsi="Calibri" w:cs="Calibri"/>
                <w:sz w:val="20"/>
              </w:rPr>
              <w:t>Injector n|Butane Volume Daily Totalizer; Meters|Daily Ethanol Throughput Net; Meters|Daily Transmix Throughput</w:t>
            </w:r>
          </w:p>
        </w:tc>
        <w:tc>
          <w:tcPr>
            <w:tcW w:w="4015" w:type="dxa"/>
          </w:tcPr>
          <w:p w14:paraId="736486E8" w14:textId="7E46C20C" w:rsidR="00F80961" w:rsidRDefault="00F80961" w:rsidP="006958CC">
            <w:pPr>
              <w:pStyle w:val="Tabletext"/>
              <w:keepNext/>
              <w:rPr>
                <w:rFonts w:ascii="Calibri" w:hAnsi="Calibri" w:cs="Calibri"/>
                <w:sz w:val="20"/>
              </w:rPr>
            </w:pPr>
            <w:r>
              <w:rPr>
                <w:rFonts w:ascii="Calibri" w:hAnsi="Calibri" w:cs="Calibri"/>
                <w:sz w:val="20"/>
              </w:rPr>
              <w:t>The butane flow shall be read from the daily totalizer of each butane injector, under the terminal's __Butane Blending element. The ethanol flow shall be read from the net daily throughput of the terminal meters, not from the gross one. The transmix flow shall be read from the daily throughput of the terminal meters.</w:t>
            </w:r>
          </w:p>
        </w:tc>
      </w:tr>
      <w:tr w:rsidR="00AA30D8" w:rsidRPr="00C63A98" w14:paraId="18065ADC" w14:textId="77777777" w:rsidTr="00C63A98">
        <w:trPr>
          <w:cantSplit/>
        </w:trPr>
        <w:tc>
          <w:tcPr>
            <w:tcW w:w="1332" w:type="dxa"/>
          </w:tcPr>
          <w:p w14:paraId="38B529EA" w14:textId="43C190D2" w:rsidR="00AA30D8" w:rsidRPr="00C63A98" w:rsidRDefault="00AA30D8" w:rsidP="006958CC">
            <w:pPr>
              <w:pStyle w:val="Tabletext"/>
              <w:keepNext/>
              <w:rPr>
                <w:rFonts w:ascii="Calibri" w:hAnsi="Calibri" w:cs="Calibri"/>
                <w:sz w:val="20"/>
              </w:rPr>
            </w:pPr>
            <w:r>
              <w:rPr>
                <w:rFonts w:ascii="Calibri" w:hAnsi="Calibri" w:cs="Calibri"/>
                <w:sz w:val="20"/>
              </w:rPr>
              <w:t>Units</w:t>
            </w:r>
          </w:p>
        </w:tc>
        <w:tc>
          <w:tcPr>
            <w:tcW w:w="4013" w:type="dxa"/>
          </w:tcPr>
          <w:p w14:paraId="1915C3C9" w14:textId="73DDB276" w:rsidR="00AA30D8" w:rsidRPr="00C63A98" w:rsidRDefault="00AA30D8" w:rsidP="006958CC">
            <w:pPr>
              <w:pStyle w:val="Tabletext"/>
              <w:keepNext/>
              <w:rPr>
                <w:rFonts w:ascii="Calibri" w:hAnsi="Calibri" w:cs="Calibri"/>
                <w:sz w:val="20"/>
              </w:rPr>
            </w:pPr>
            <w:r>
              <w:rPr>
                <w:rFonts w:ascii="Calibri" w:hAnsi="Calibri" w:cs="Calibri"/>
                <w:sz w:val="20"/>
              </w:rPr>
              <w:t>Unit reported by PI (Engineering Units)</w:t>
            </w:r>
          </w:p>
        </w:tc>
        <w:tc>
          <w:tcPr>
            <w:tcW w:w="4015" w:type="dxa"/>
          </w:tcPr>
          <w:p w14:paraId="7304BE53" w14:textId="5CB5C777" w:rsidR="00AA30D8" w:rsidRPr="00C63A98" w:rsidRDefault="00F80961" w:rsidP="006958CC">
            <w:pPr>
              <w:pStyle w:val="Tabletext"/>
              <w:keepNext/>
              <w:rPr>
                <w:rFonts w:ascii="Calibri" w:hAnsi="Calibri" w:cs="Calibri"/>
                <w:sz w:val="20"/>
              </w:rPr>
            </w:pPr>
            <w:r>
              <w:rPr>
                <w:rFonts w:ascii="Calibri" w:hAnsi="Calibri" w:cs="Calibri"/>
                <w:sz w:val="20"/>
              </w:rPr>
              <w:t xml:space="preserve">The totalizers shall be converted from gallons to barrels, the IQDM default unit (section </w:t>
            </w:r>
            <w:r w:rsidR="00FC42E7">
              <w:rPr>
                <w:rFonts w:ascii="Calibri" w:hAnsi="Calibri" w:cs="Calibri"/>
                <w:sz w:val="20"/>
              </w:rPr>
              <w:fldChar w:fldCharType="begin"/>
            </w:r>
            <w:r w:rsidR="00FC42E7">
              <w:rPr>
                <w:rFonts w:ascii="Calibri" w:hAnsi="Calibri" w:cs="Calibri"/>
                <w:sz w:val="20"/>
              </w:rPr>
              <w:instrText xml:space="preserve"> REF _Ref917260949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2.3.3.1.8</w:t>
            </w:r>
            <w:r w:rsidR="00FC42E7">
              <w:rPr>
                <w:rFonts w:ascii="Calibri" w:hAnsi="Calibri" w:cs="Calibri"/>
                <w:sz w:val="20"/>
              </w:rPr>
              <w:fldChar w:fldCharType="end"/>
            </w:r>
            <w:r>
              <w:rPr>
                <w:rFonts w:ascii="Calibri" w:hAnsi="Calibri" w:cs="Calibri"/>
                <w:sz w:val="20"/>
              </w:rPr>
              <w:t>).</w:t>
            </w:r>
          </w:p>
        </w:tc>
      </w:tr>
    </w:tbl>
    <w:p w14:paraId="0E958CDE" w14:textId="3739D923" w:rsidR="00AA30D8" w:rsidRDefault="00AA30D8" w:rsidP="00AA30D8">
      <w:pPr>
        <w:pStyle w:val="Caption"/>
      </w:pPr>
      <w:bookmarkStart w:id="188" w:name="_Toc242554016"/>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18</w:t>
      </w:r>
      <w:r>
        <w:fldChar w:fldCharType="end"/>
      </w:r>
      <w:r>
        <w:t>: Blend component Flows/Movement for terminal - Integration Specifics</w:t>
      </w:r>
      <w:bookmarkEnd w:id="188"/>
    </w:p>
    <w:p w14:paraId="0E417DE9" w14:textId="77777777" w:rsidR="0081216E" w:rsidRDefault="0081216E" w:rsidP="0081216E">
      <w:pPr>
        <w:pStyle w:val="Heading5"/>
        <w:rPr>
          <w:rFonts w:ascii="Calibri" w:hAnsi="Calibri" w:cs="Calibri"/>
          <w:sz w:val="20"/>
        </w:rPr>
      </w:pPr>
      <w:r w:rsidRPr="0081216E">
        <w:rPr>
          <w:rFonts w:ascii="Calibri" w:hAnsi="Calibri" w:cs="Calibri"/>
          <w:sz w:val="20"/>
        </w:rPr>
        <w:t>API Endpoints</w:t>
      </w:r>
    </w:p>
    <w:p w14:paraId="1DB3C946" w14:textId="174CC981" w:rsidR="0081216E" w:rsidRPr="00FC42E7" w:rsidRDefault="00610DB7" w:rsidP="00FC42E7">
      <w:pPr>
        <w:pStyle w:val="ListParagraph"/>
        <w:numPr>
          <w:ilvl w:val="0"/>
          <w:numId w:val="4"/>
        </w:numPr>
        <w:jc w:val="left"/>
      </w:pPr>
      <w:r w:rsidRPr="00FC42E7">
        <w:t xml:space="preserve">The daily flows shall be returned by the Blend Component Request Service of section </w:t>
      </w:r>
      <w:r w:rsidR="00FC42E7">
        <w:fldChar w:fldCharType="begin"/>
      </w:r>
      <w:r w:rsidR="00FC42E7">
        <w:instrText xml:space="preserve"> REF _Ref917260950 \w \h \* MERGEFORMAT </w:instrText>
      </w:r>
      <w:r w:rsidR="00FC42E7">
        <w:fldChar w:fldCharType="separate"/>
      </w:r>
      <w:r w:rsidR="00FC42E7" w:rsidRPr="00FC42E7">
        <w:rPr>
          <w:color w:val="0563C1"/>
          <w:u w:val="single"/>
        </w:rPr>
        <w:t>2.3.3.1.4</w:t>
      </w:r>
      <w:r w:rsidR="00FC42E7">
        <w:fldChar w:fldCharType="end"/>
      </w:r>
      <w:r w:rsidRPr="00FC42E7">
        <w:t>,</w:t>
      </w:r>
      <w:r w:rsidR="00FA3AEE" w:rsidRPr="00FC42E7">
        <w:t xml:space="preserve"> with the property set to the daily throughput.</w:t>
      </w:r>
    </w:p>
    <w:p w14:paraId="462D1551" w14:textId="77777777" w:rsidR="006958CC" w:rsidRPr="006958CC" w:rsidRDefault="006958CC" w:rsidP="006958CC">
      <w:pPr>
        <w:pStyle w:val="Heading5"/>
        <w:rPr>
          <w:rFonts w:ascii="Calibri" w:hAnsi="Calibri" w:cs="Calibri"/>
          <w:sz w:val="20"/>
        </w:rPr>
      </w:pPr>
      <w:r w:rsidRPr="006958CC">
        <w:rPr>
          <w:rFonts w:ascii="Calibri" w:hAnsi="Calibri" w:cs="Calibri"/>
          <w:sz w:val="20"/>
        </w:rPr>
        <w:t>Sequence Diagram</w:t>
      </w:r>
    </w:p>
    <w:p w14:paraId="4B04E269" w14:textId="0B0CFFD7" w:rsidR="006958CC" w:rsidRPr="006958CC" w:rsidRDefault="00FC42E7" w:rsidP="00FC42E7">
      <w:pPr>
        <w:keepNext/>
        <w:keepLines/>
        <w:jc w:val="left"/>
        <w:rPr>
          <w:rFonts w:ascii="Calibri" w:hAnsi="Calibri" w:cs="Calibri"/>
        </w:rPr>
      </w:pPr>
      <w:r>
        <w:rPr>
          <w:rFonts w:ascii="Calibri" w:hAnsi="Calibri" w:cs="Calibri"/>
        </w:rPr>
        <w:t>The figure below shows the calls that move the flows in the order they happen, for UseServiceBus = true and for UseServiceBus = false.</w:t>
      </w:r>
    </w:p>
    <w:p w14:paraId="5BD9F737" w14:textId="5CB64910" w:rsidR="006958CC" w:rsidRPr="006958CC" w:rsidRDefault="00FC42E7" w:rsidP="006958CC">
      <w:pPr>
        <w:keepNext/>
        <w:spacing w:after="40"/>
        <w:jc w:val="center"/>
      </w:pPr>
      <w:r>
        <w:rPr>
          <w:noProof/>
        </w:rPr>
        <w:drawing>
          <wp:inline distT="0" distB="0" distL="0" distR="0" wp14:anchorId="581DC147" wp14:editId="23DDE4D3">
            <wp:extent cx="5943600" cy="3618865"/>
            <wp:effectExtent l="0" t="0" r="0" b="635"/>
            <wp:docPr id="12481827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82711" name=""/>
                    <pic:cNvPicPr/>
                  </pic:nvPicPr>
                  <pic:blipFill>
                    <a:blip r:embed="rId32"/>
                    <a:stretch>
                      <a:fillRect/>
                    </a:stretch>
                  </pic:blipFill>
                  <pic:spPr>
                    <a:xfrm>
                      <a:off x="0" y="0"/>
                      <a:ext cx="5943600" cy="3618865"/>
                    </a:xfrm>
                    <a:prstGeom prst="rect">
                      <a:avLst/>
                    </a:prstGeom>
                  </pic:spPr>
                </pic:pic>
              </a:graphicData>
            </a:graphic>
          </wp:inline>
        </w:drawing>
      </w:r>
    </w:p>
    <w:p w14:paraId="0016C5CC" w14:textId="0FC335CB" w:rsidR="006958CC" w:rsidRPr="006958CC" w:rsidRDefault="006958CC" w:rsidP="006958CC">
      <w:pPr>
        <w:pStyle w:val="Caption"/>
        <w:rPr>
          <w:rFonts w:ascii="Calibri" w:hAnsi="Calibri" w:cs="Calibri"/>
        </w:rPr>
      </w:pPr>
      <w:bookmarkStart w:id="189" w:name="_Toc242554145"/>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9</w:t>
      </w:r>
      <w:r w:rsidRPr="006958CC">
        <w:rPr>
          <w:rFonts w:ascii="Calibri" w:hAnsi="Calibri" w:cs="Calibri"/>
        </w:rPr>
        <w:fldChar w:fldCharType="end"/>
      </w:r>
      <w:r w:rsidRPr="006958CC">
        <w:rPr>
          <w:rFonts w:ascii="Calibri" w:hAnsi="Calibri" w:cs="Calibri"/>
        </w:rPr>
        <w:t>: Blend Component Integration (Flows) Sequence Diagram</w:t>
      </w:r>
      <w:bookmarkEnd w:id="189"/>
    </w:p>
    <w:p w14:paraId="61FC882E" w14:textId="77777777" w:rsidR="00FC42E7" w:rsidRPr="00EC3682" w:rsidRDefault="00FC42E7" w:rsidP="00FC42E7">
      <w:pPr>
        <w:pStyle w:val="ListParagraph"/>
        <w:numPr>
          <w:ilvl w:val="0"/>
          <w:numId w:val="4"/>
        </w:numPr>
        <w:jc w:val="left"/>
        <w:rPr>
          <w:rFonts w:ascii="Calibri" w:hAnsi="Calibri" w:cs="Calibri"/>
        </w:rPr>
      </w:pPr>
      <w:r>
        <w:t>The Semantic Service calls are drawn in the UseServiceBus = false path; the UseServiceBus = true path shall make them in the same order.</w:t>
      </w:r>
    </w:p>
    <w:p w14:paraId="04C41A0C" w14:textId="10B9860B" w:rsidR="006958CC" w:rsidRPr="00FC42E7" w:rsidRDefault="00873A53" w:rsidP="00FC42E7">
      <w:pPr>
        <w:pStyle w:val="ListParagraph"/>
        <w:numPr>
          <w:ilvl w:val="0"/>
          <w:numId w:val="4"/>
        </w:numPr>
        <w:jc w:val="left"/>
      </w:pPr>
      <w:r w:rsidRPr="00FC42E7">
        <w:t xml:space="preserve">The calls shall follow the common integration pattern (section </w:t>
      </w:r>
      <w:r w:rsidR="00FC42E7">
        <w:fldChar w:fldCharType="begin"/>
      </w:r>
      <w:r w:rsidR="00FC42E7">
        <w:instrText xml:space="preserve"> REF _Ref917260951 \w \h \* MERGEFORMAT </w:instrText>
      </w:r>
      <w:r w:rsidR="00FC42E7">
        <w:fldChar w:fldCharType="separate"/>
      </w:r>
      <w:r w:rsidR="00FC42E7" w:rsidRPr="00FC42E7">
        <w:rPr>
          <w:color w:val="0563C1"/>
          <w:u w:val="single"/>
        </w:rPr>
        <w:t>2.3.1.4</w:t>
      </w:r>
      <w:r w:rsidR="00FC42E7">
        <w:fldChar w:fldCharType="end"/>
      </w:r>
      <w:r w:rsidRPr="00FC42E7">
        <w:t xml:space="preserve">), in the order given for the analyzer qualities in section </w:t>
      </w:r>
      <w:r w:rsidR="00FC42E7">
        <w:fldChar w:fldCharType="begin"/>
      </w:r>
      <w:r w:rsidR="00FC42E7">
        <w:instrText xml:space="preserve"> REF _Ref917260952 \w \h \* MERGEFORMAT </w:instrText>
      </w:r>
      <w:r w:rsidR="00FC42E7">
        <w:fldChar w:fldCharType="separate"/>
      </w:r>
      <w:r w:rsidR="00FC42E7" w:rsidRPr="00FC42E7">
        <w:rPr>
          <w:color w:val="0563C1"/>
          <w:u w:val="single"/>
        </w:rPr>
        <w:t>2.3.3.1.5</w:t>
      </w:r>
      <w:r w:rsidR="00FC42E7">
        <w:fldChar w:fldCharType="end"/>
      </w:r>
      <w:r w:rsidRPr="00FC42E7">
        <w:t>, with the flows as the data.</w:t>
      </w:r>
    </w:p>
    <w:p w14:paraId="33CA1900" w14:textId="0EE2BF8A" w:rsidR="0081216E" w:rsidRDefault="0081216E" w:rsidP="0081216E">
      <w:pPr>
        <w:pStyle w:val="Heading5"/>
        <w:rPr>
          <w:rFonts w:ascii="Calibri" w:hAnsi="Calibri" w:cs="Calibri"/>
          <w:sz w:val="20"/>
        </w:rPr>
      </w:pPr>
      <w:r w:rsidRPr="0081216E">
        <w:rPr>
          <w:rFonts w:ascii="Calibri" w:hAnsi="Calibri" w:cs="Calibri"/>
          <w:sz w:val="20"/>
        </w:rPr>
        <w:t>Data Entity</w:t>
      </w:r>
    </w:p>
    <w:p w14:paraId="4685EA17" w14:textId="093D3BB5" w:rsidR="0081216E" w:rsidRPr="00FC42E7" w:rsidRDefault="00FA3AEE" w:rsidP="00FC42E7">
      <w:pPr>
        <w:pStyle w:val="ListParagraph"/>
        <w:numPr>
          <w:ilvl w:val="0"/>
          <w:numId w:val="4"/>
        </w:numPr>
        <w:jc w:val="left"/>
      </w:pPr>
      <w:r w:rsidRPr="00FC42E7">
        <w:t xml:space="preserve">Each daily totalizer value shall be read as a PI Value of the entity in section </w:t>
      </w:r>
      <w:r w:rsidR="00FC42E7">
        <w:fldChar w:fldCharType="begin"/>
      </w:r>
      <w:r w:rsidR="00FC42E7">
        <w:instrText xml:space="preserve"> REF _Ref917260953 \w \h \* MERGEFORMAT </w:instrText>
      </w:r>
      <w:r w:rsidR="00FC42E7">
        <w:fldChar w:fldCharType="separate"/>
      </w:r>
      <w:r w:rsidR="00FC42E7" w:rsidRPr="00FC42E7">
        <w:rPr>
          <w:color w:val="0563C1"/>
          <w:u w:val="single"/>
        </w:rPr>
        <w:t>2.3.3.1.6</w:t>
      </w:r>
      <w:r w:rsidR="00FC42E7">
        <w:fldChar w:fldCharType="end"/>
      </w:r>
      <w:r w:rsidRPr="00FC42E7">
        <w:t>, from the injector or meter attribute of the terminal.</w:t>
      </w:r>
    </w:p>
    <w:p w14:paraId="655EAB5C" w14:textId="77777777" w:rsidR="0081216E" w:rsidRDefault="0081216E" w:rsidP="0081216E">
      <w:pPr>
        <w:pStyle w:val="Heading5"/>
        <w:rPr>
          <w:rFonts w:ascii="Calibri" w:hAnsi="Calibri" w:cs="Calibri"/>
          <w:sz w:val="20"/>
        </w:rPr>
      </w:pPr>
      <w:r w:rsidRPr="0081216E">
        <w:rPr>
          <w:rFonts w:ascii="Calibri" w:hAnsi="Calibri" w:cs="Calibri"/>
          <w:sz w:val="20"/>
        </w:rPr>
        <w:t>Source to Response Model Mapping</w:t>
      </w:r>
    </w:p>
    <w:p w14:paraId="2CD35009" w14:textId="23FAB648" w:rsidR="00FC42E7" w:rsidRPr="00EC3682" w:rsidRDefault="00FC42E7" w:rsidP="00FC42E7">
      <w:pPr>
        <w:pStyle w:val="ListParagraph"/>
        <w:numPr>
          <w:ilvl w:val="0"/>
          <w:numId w:val="4"/>
        </w:numPr>
        <w:jc w:val="left"/>
        <w:rPr>
          <w:rFonts w:ascii="Calibri" w:hAnsi="Calibri" w:cs="Calibri"/>
        </w:rPr>
      </w:pPr>
      <w:r>
        <w:t xml:space="preserve">The mapping of section </w:t>
      </w:r>
      <w:r>
        <w:fldChar w:fldCharType="begin"/>
      </w:r>
      <w:r>
        <w:instrText xml:space="preserve"> REF _Ref917260954 \w \h \* MERGEFORMAT </w:instrText>
      </w:r>
      <w:r>
        <w:fldChar w:fldCharType="separate"/>
      </w:r>
      <w:r w:rsidRPr="00FC42E7">
        <w:rPr>
          <w:color w:val="0563C1"/>
          <w:u w:val="single"/>
        </w:rPr>
        <w:t>2.3.3.1.7</w:t>
      </w:r>
      <w:r>
        <w:fldChar w:fldCharType="end"/>
      </w:r>
      <w:r>
        <w:t xml:space="preserve"> shall apply.</w:t>
      </w:r>
    </w:p>
    <w:p w14:paraId="6F24E4A2" w14:textId="7AB027D9" w:rsidR="0081216E" w:rsidRPr="00FC42E7" w:rsidRDefault="009C3F56" w:rsidP="00FC42E7">
      <w:pPr>
        <w:pStyle w:val="ListParagraph"/>
        <w:numPr>
          <w:ilvl w:val="0"/>
          <w:numId w:val="4"/>
        </w:numPr>
        <w:jc w:val="left"/>
      </w:pPr>
      <w:r>
        <w:t>The material of a flow shall come from the blend component given for its totalizer in the PI tag mapping; where none is given, it shall come from the Product attribute of the service tank.</w:t>
      </w:r>
    </w:p>
    <w:p w14:paraId="4BE0F23A" w14:textId="77777777" w:rsidR="0081216E" w:rsidRDefault="0081216E" w:rsidP="0081216E">
      <w:pPr>
        <w:pStyle w:val="Heading5"/>
        <w:rPr>
          <w:rFonts w:ascii="Calibri" w:hAnsi="Calibri" w:cs="Calibri"/>
          <w:sz w:val="20"/>
        </w:rPr>
      </w:pPr>
      <w:r w:rsidRPr="0081216E">
        <w:rPr>
          <w:rFonts w:ascii="Calibri" w:hAnsi="Calibri" w:cs="Calibri"/>
          <w:sz w:val="20"/>
        </w:rPr>
        <w:t>Master Data Entity</w:t>
      </w:r>
    </w:p>
    <w:p w14:paraId="37DCBC4A" w14:textId="4E9964E0" w:rsidR="00FC42E7" w:rsidRPr="00EC3682" w:rsidRDefault="00FC42E7" w:rsidP="00FC42E7">
      <w:pPr>
        <w:pStyle w:val="ListParagraph"/>
        <w:numPr>
          <w:ilvl w:val="0"/>
          <w:numId w:val="4"/>
        </w:numPr>
        <w:jc w:val="left"/>
        <w:rPr>
          <w:rFonts w:ascii="Calibri" w:hAnsi="Calibri" w:cs="Calibri"/>
        </w:rPr>
      </w:pPr>
      <w:r>
        <w:t xml:space="preserve">Totalizer volumes shall be converted to the IQDM default unit through the UOM entry of section </w:t>
      </w:r>
      <w:r>
        <w:fldChar w:fldCharType="begin"/>
      </w:r>
      <w:r>
        <w:instrText xml:space="preserve"> REF _Ref917260949 \w \h \* MERGEFORMAT </w:instrText>
      </w:r>
      <w:r>
        <w:fldChar w:fldCharType="separate"/>
      </w:r>
      <w:r w:rsidRPr="00FC42E7">
        <w:rPr>
          <w:color w:val="0563C1"/>
          <w:u w:val="single"/>
        </w:rPr>
        <w:t>2.3.3.1.8</w:t>
      </w:r>
      <w:r>
        <w:fldChar w:fldCharType="end"/>
      </w:r>
      <w:r>
        <w:t>.</w:t>
      </w:r>
    </w:p>
    <w:p w14:paraId="2FF9C4E3" w14:textId="6DDB5F6B" w:rsidR="0081216E" w:rsidRPr="00FC42E7" w:rsidRDefault="00FC42E7" w:rsidP="00FC42E7">
      <w:pPr>
        <w:pStyle w:val="ListParagraph"/>
        <w:numPr>
          <w:ilvl w:val="0"/>
          <w:numId w:val="4"/>
        </w:numPr>
        <w:jc w:val="left"/>
      </w:pPr>
      <w:r w:rsidRPr="00FC42E7">
        <w:t xml:space="preserve">The master data other than the UOM entry shall be those of section </w:t>
      </w:r>
      <w:r>
        <w:fldChar w:fldCharType="begin"/>
      </w:r>
      <w:r>
        <w:instrText xml:space="preserve"> REF _Ref917260949 \w \h \* MERGEFORMAT </w:instrText>
      </w:r>
      <w:r>
        <w:fldChar w:fldCharType="separate"/>
      </w:r>
      <w:r w:rsidRPr="00FC42E7">
        <w:rPr>
          <w:color w:val="0563C1"/>
          <w:u w:val="single"/>
        </w:rPr>
        <w:t>2.3.3.1.8</w:t>
      </w:r>
      <w:r>
        <w:fldChar w:fldCharType="end"/>
      </w:r>
      <w:r w:rsidRPr="00FC42E7">
        <w:t>.</w:t>
      </w:r>
    </w:p>
    <w:p w14:paraId="4586EE53" w14:textId="77777777" w:rsidR="0081216E" w:rsidRDefault="0081216E" w:rsidP="0081216E">
      <w:pPr>
        <w:pStyle w:val="Heading5"/>
        <w:rPr>
          <w:rFonts w:ascii="Calibri" w:hAnsi="Calibri" w:cs="Calibri"/>
          <w:sz w:val="20"/>
        </w:rPr>
      </w:pPr>
      <w:r w:rsidRPr="0081216E">
        <w:rPr>
          <w:rFonts w:ascii="Calibri" w:hAnsi="Calibri" w:cs="Calibri"/>
          <w:sz w:val="20"/>
        </w:rPr>
        <w:t>Integration Configuration</w:t>
      </w:r>
    </w:p>
    <w:p w14:paraId="72A8087D" w14:textId="0D43750F" w:rsidR="0081216E" w:rsidRPr="00FC42E7" w:rsidRDefault="006B25DD" w:rsidP="00FC42E7">
      <w:pPr>
        <w:pStyle w:val="ListParagraph"/>
        <w:numPr>
          <w:ilvl w:val="0"/>
          <w:numId w:val="4"/>
        </w:numPr>
        <w:jc w:val="left"/>
      </w:pPr>
      <w:r w:rsidRPr="00FC42E7">
        <w:t xml:space="preserve">The reset time and the read time of each totalizer shall be held in the configuration of section </w:t>
      </w:r>
      <w:r w:rsidR="00FC42E7">
        <w:fldChar w:fldCharType="begin"/>
      </w:r>
      <w:r w:rsidR="00FC42E7">
        <w:instrText xml:space="preserve"> REF _Ref917260955 \w \h \* MERGEFORMAT </w:instrText>
      </w:r>
      <w:r w:rsidR="00FC42E7">
        <w:fldChar w:fldCharType="separate"/>
      </w:r>
      <w:r w:rsidR="00FC42E7" w:rsidRPr="00FC42E7">
        <w:rPr>
          <w:color w:val="0563C1"/>
          <w:u w:val="single"/>
        </w:rPr>
        <w:t>2.3.3.1.9</w:t>
      </w:r>
      <w:r w:rsidR="00FC42E7">
        <w:fldChar w:fldCharType="end"/>
      </w:r>
      <w:r w:rsidR="00873A53" w:rsidRPr="00FC42E7">
        <w:t>, with the other settings of that section.</w:t>
      </w:r>
    </w:p>
    <w:p w14:paraId="15DC926C" w14:textId="21B0468F" w:rsidR="004639A1" w:rsidRPr="00AA30D8" w:rsidRDefault="00AA30D8" w:rsidP="00AA30D8">
      <w:pPr>
        <w:pStyle w:val="Heading4"/>
        <w:rPr>
          <w:rFonts w:ascii="Calibri" w:hAnsi="Calibri" w:cs="Calibri"/>
          <w:b/>
          <w:sz w:val="20"/>
        </w:rPr>
      </w:pPr>
      <w:bookmarkStart w:id="190" w:name="_Ref917260913"/>
      <w:r w:rsidRPr="00AA30D8">
        <w:rPr>
          <w:rFonts w:ascii="Calibri" w:hAnsi="Calibri" w:cs="Calibri"/>
          <w:b/>
          <w:sz w:val="20"/>
        </w:rPr>
        <w:t>Actual Pricing data of products and blend components</w:t>
      </w:r>
      <w:bookmarkEnd w:id="190"/>
    </w:p>
    <w:p w14:paraId="5C9D19CD" w14:textId="4E129AF4" w:rsidR="00FC42E7" w:rsidRPr="00EC3682" w:rsidRDefault="00FC42E7" w:rsidP="00FC42E7">
      <w:pPr>
        <w:pStyle w:val="ListParagraph"/>
        <w:numPr>
          <w:ilvl w:val="0"/>
          <w:numId w:val="4"/>
        </w:numPr>
        <w:jc w:val="left"/>
        <w:rPr>
          <w:rFonts w:ascii="Calibri" w:hAnsi="Calibri" w:cs="Calibri"/>
        </w:rPr>
      </w:pPr>
      <w:r>
        <w:t>This integration shall give the dashboards the reference prices and costs of the products and blend components by period.</w:t>
      </w:r>
    </w:p>
    <w:p w14:paraId="4288906C" w14:textId="423ECDCD" w:rsidR="00FC42E7" w:rsidRPr="00EC3682" w:rsidRDefault="00FC42E7" w:rsidP="00FC42E7">
      <w:pPr>
        <w:pStyle w:val="ListParagraph"/>
        <w:numPr>
          <w:ilvl w:val="0"/>
          <w:numId w:val="4"/>
        </w:numPr>
        <w:jc w:val="left"/>
        <w:rPr>
          <w:rFonts w:ascii="Calibri" w:hAnsi="Calibri" w:cs="Calibri"/>
        </w:rPr>
      </w:pPr>
      <w:r>
        <w:t>The reference prices and costs shall be the gasoline price, the butane and ethanol costs and the transmix selling price, all kept in MPR (Marathon Pricing Repository).</w:t>
      </w:r>
    </w:p>
    <w:p w14:paraId="68A127A4" w14:textId="44215AAB" w:rsidR="00C63A98" w:rsidRDefault="00FC42E7" w:rsidP="00FC42E7">
      <w:pPr>
        <w:pStyle w:val="ListParagraph"/>
        <w:numPr>
          <w:ilvl w:val="0"/>
          <w:numId w:val="4"/>
        </w:numPr>
        <w:jc w:val="left"/>
      </w:pPr>
      <w:r>
        <w:t>For the Distillate KPI Dashboard, the integration shall also give the ULSD, Jet, Kerosene and Biodiesel prices.</w:t>
      </w:r>
    </w:p>
    <w:p w14:paraId="5F6BA0C7" w14:textId="14724FB6" w:rsidR="00FC42E7" w:rsidRPr="00EC3682" w:rsidRDefault="00FC42E7" w:rsidP="00FC42E7">
      <w:pPr>
        <w:pStyle w:val="ListParagraph"/>
        <w:numPr>
          <w:ilvl w:val="0"/>
          <w:numId w:val="4"/>
        </w:numPr>
        <w:jc w:val="left"/>
        <w:rPr>
          <w:rFonts w:ascii="Calibri" w:hAnsi="Calibri" w:cs="Calibri"/>
        </w:rPr>
      </w:pPr>
      <w:r>
        <w:t>The prices shall be read on demand, each time the dashboard asks for a period.</w:t>
      </w:r>
    </w:p>
    <w:p w14:paraId="49F45D6D" w14:textId="26AABB93" w:rsidR="00FC42E7" w:rsidRPr="00EC3682" w:rsidRDefault="00FC42E7" w:rsidP="00FC42E7">
      <w:pPr>
        <w:pStyle w:val="ListParagraph"/>
        <w:numPr>
          <w:ilvl w:val="0"/>
          <w:numId w:val="4"/>
        </w:numPr>
        <w:jc w:val="left"/>
        <w:rPr>
          <w:rFonts w:ascii="Calibri" w:hAnsi="Calibri" w:cs="Calibri"/>
        </w:rPr>
      </w:pPr>
      <w:r>
        <w:t>The prices shall be returned to the caller and shall not be stored.</w:t>
      </w:r>
    </w:p>
    <w:p w14:paraId="0EC588E9" w14:textId="72602FCB" w:rsidR="00FC42E7" w:rsidRPr="00EC3682" w:rsidRDefault="00FC42E7" w:rsidP="00FC42E7">
      <w:pPr>
        <w:pStyle w:val="ListParagraph"/>
        <w:numPr>
          <w:ilvl w:val="0"/>
          <w:numId w:val="4"/>
        </w:numPr>
        <w:jc w:val="left"/>
        <w:rPr>
          <w:rFonts w:ascii="Calibri" w:hAnsi="Calibri" w:cs="Calibri"/>
        </w:rPr>
      </w:pPr>
      <w:r>
        <w:t>The integration shall return one average price for each MPR tag for the period, not the daily prices, together with the priceOverride and the tier.</w:t>
      </w:r>
    </w:p>
    <w:p w14:paraId="41526D49" w14:textId="4D22413F" w:rsidR="00C63A98" w:rsidRDefault="00FC42E7" w:rsidP="00FC42E7">
      <w:pPr>
        <w:pStyle w:val="ListParagraph"/>
        <w:numPr>
          <w:ilvl w:val="0"/>
          <w:numId w:val="4"/>
        </w:numPr>
        <w:jc w:val="left"/>
      </w:pPr>
      <w:r>
        <w:t>The dashboard shall work out the price differential and the value loss from the returned prices.</w:t>
      </w:r>
    </w:p>
    <w:p w14:paraId="1DE75101" w14:textId="77777777" w:rsidR="006958CC" w:rsidRPr="006958CC" w:rsidRDefault="006958CC" w:rsidP="006958CC">
      <w:pPr>
        <w:pStyle w:val="Heading5"/>
        <w:rPr>
          <w:rFonts w:ascii="Calibri" w:hAnsi="Calibri" w:cs="Calibri"/>
          <w:sz w:val="20"/>
        </w:rPr>
      </w:pPr>
      <w:r w:rsidRPr="006958CC">
        <w:rPr>
          <w:rFonts w:ascii="Calibri" w:hAnsi="Calibri" w:cs="Calibri"/>
          <w:sz w:val="20"/>
        </w:rPr>
        <w:t>High Level Technical Design Diagram</w:t>
      </w:r>
    </w:p>
    <w:p w14:paraId="586B7E78" w14:textId="57B8F0B0" w:rsidR="00FC42E7" w:rsidRPr="00EC3682" w:rsidRDefault="00FC42E7" w:rsidP="00FC42E7">
      <w:pPr>
        <w:pStyle w:val="ListParagraph"/>
        <w:numPr>
          <w:ilvl w:val="0"/>
          <w:numId w:val="4"/>
        </w:numPr>
        <w:jc w:val="left"/>
        <w:rPr>
          <w:rFonts w:ascii="Calibri" w:hAnsi="Calibri" w:cs="Calibri"/>
        </w:rPr>
      </w:pPr>
      <w:r>
        <w:t>The request and response services, orchestrators and queues of this integration shall carry the name Price.</w:t>
      </w:r>
    </w:p>
    <w:p w14:paraId="456CDBA5" w14:textId="505CE93E" w:rsidR="00FC42E7" w:rsidRPr="00EC3682" w:rsidRDefault="00FC42E7" w:rsidP="00FC42E7">
      <w:pPr>
        <w:pStyle w:val="ListParagraph"/>
        <w:numPr>
          <w:ilvl w:val="0"/>
          <w:numId w:val="4"/>
        </w:numPr>
        <w:jc w:val="left"/>
        <w:rPr>
          <w:rFonts w:ascii="Calibri" w:hAnsi="Calibri" w:cs="Calibri"/>
        </w:rPr>
      </w:pPr>
      <w:r>
        <w:t>The services shall run in the Cost API, and the durable functions shall run in the function app of the Cost domain.</w:t>
      </w:r>
    </w:p>
    <w:p w14:paraId="6BD6D386" w14:textId="43DD41CD" w:rsidR="006958CC" w:rsidRPr="006958CC" w:rsidRDefault="00FC42E7" w:rsidP="00FC42E7">
      <w:pPr>
        <w:keepNext/>
        <w:keepLines/>
        <w:jc w:val="left"/>
        <w:rPr>
          <w:rFonts w:ascii="Calibri" w:hAnsi="Calibri" w:cs="Calibri"/>
        </w:rPr>
      </w:pPr>
      <w:r>
        <w:rPr>
          <w:rFonts w:ascii="Calibri" w:hAnsi="Calibri" w:cs="Calibri"/>
        </w:rPr>
        <w:t>The figure below shows how the settled prices of the MPR tags travel from MPR, through the price service, to the dashboard for the period the dashboard asks for.</w:t>
      </w:r>
    </w:p>
    <w:p w14:paraId="42CE7572" w14:textId="04136EB7" w:rsidR="006958CC" w:rsidRPr="006958CC" w:rsidRDefault="008F2422" w:rsidP="006958CC">
      <w:pPr>
        <w:keepNext/>
        <w:spacing w:after="40"/>
        <w:jc w:val="center"/>
      </w:pPr>
      <w:r>
        <w:rPr>
          <w:noProof/>
        </w:rPr>
        <w:drawing>
          <wp:inline distT="0" distB="0" distL="0" distR="0" wp14:anchorId="788B240A" wp14:editId="6B81CBDE">
            <wp:extent cx="5943600" cy="2466340"/>
            <wp:effectExtent l="0" t="0" r="0" b="0"/>
            <wp:docPr id="205087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7052" name=""/>
                    <pic:cNvPicPr/>
                  </pic:nvPicPr>
                  <pic:blipFill>
                    <a:blip r:embed="rId33"/>
                    <a:stretch>
                      <a:fillRect/>
                    </a:stretch>
                  </pic:blipFill>
                  <pic:spPr>
                    <a:xfrm>
                      <a:off x="0" y="0"/>
                      <a:ext cx="5943600" cy="2466340"/>
                    </a:xfrm>
                    <a:prstGeom prst="rect">
                      <a:avLst/>
                    </a:prstGeom>
                  </pic:spPr>
                </pic:pic>
              </a:graphicData>
            </a:graphic>
          </wp:inline>
        </w:drawing>
      </w:r>
    </w:p>
    <w:p w14:paraId="5A3A16A7" w14:textId="3137A647" w:rsidR="006958CC" w:rsidRPr="006958CC" w:rsidRDefault="006958CC" w:rsidP="006958CC">
      <w:pPr>
        <w:pStyle w:val="Caption"/>
        <w:rPr>
          <w:rFonts w:ascii="Calibri" w:hAnsi="Calibri" w:cs="Calibri"/>
        </w:rPr>
      </w:pPr>
      <w:bookmarkStart w:id="191" w:name="_Toc242554146"/>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10</w:t>
      </w:r>
      <w:r w:rsidRPr="006958CC">
        <w:rPr>
          <w:rFonts w:ascii="Calibri" w:hAnsi="Calibri" w:cs="Calibri"/>
        </w:rPr>
        <w:fldChar w:fldCharType="end"/>
      </w:r>
      <w:r w:rsidRPr="006958CC">
        <w:rPr>
          <w:rFonts w:ascii="Calibri" w:hAnsi="Calibri" w:cs="Calibri"/>
        </w:rPr>
        <w:t>: PriceCost Integration High Level Technical Design Diagram (CIP Approach)</w:t>
      </w:r>
      <w:bookmarkEnd w:id="191"/>
    </w:p>
    <w:p w14:paraId="0B7753A8" w14:textId="77BA52B5" w:rsidR="00FC42E7" w:rsidRPr="00EC3682" w:rsidRDefault="00FC42E7" w:rsidP="00FC42E7">
      <w:pPr>
        <w:pStyle w:val="ListParagraph"/>
        <w:numPr>
          <w:ilvl w:val="0"/>
          <w:numId w:val="4"/>
        </w:numPr>
        <w:jc w:val="left"/>
        <w:rPr>
          <w:rFonts w:ascii="Calibri" w:hAnsi="Calibri" w:cs="Calibri"/>
        </w:rPr>
      </w:pPr>
      <w:r>
        <w:t xml:space="preserve">The figure follows the common integration pattern (section </w:t>
      </w:r>
      <w:r>
        <w:fldChar w:fldCharType="begin"/>
      </w:r>
      <w:r>
        <w:instrText xml:space="preserve"> REF _Ref917260909 \w \h \* MERGEFORMAT </w:instrText>
      </w:r>
      <w:r>
        <w:fldChar w:fldCharType="separate"/>
      </w:r>
      <w:r w:rsidRPr="00FC42E7">
        <w:rPr>
          <w:color w:val="0563C1"/>
          <w:u w:val="single"/>
        </w:rPr>
        <w:t>2.3.1</w:t>
      </w:r>
      <w:r>
        <w:fldChar w:fldCharType="end"/>
      </w:r>
      <w:r>
        <w:t xml:space="preserve">), with the Price services, orchestrators and queues, and its steps are numbered as in section </w:t>
      </w:r>
      <w:r>
        <w:fldChar w:fldCharType="begin"/>
      </w:r>
      <w:r>
        <w:instrText xml:space="preserve"> REF _Ref917260947 \w \h \* MERGEFORMAT </w:instrText>
      </w:r>
      <w:r>
        <w:fldChar w:fldCharType="separate"/>
      </w:r>
      <w:r w:rsidRPr="00FC42E7">
        <w:rPr>
          <w:color w:val="0563C1"/>
          <w:u w:val="single"/>
        </w:rPr>
        <w:t>2.3.3.1.1</w:t>
      </w:r>
      <w:r>
        <w:fldChar w:fldCharType="end"/>
      </w:r>
      <w:r>
        <w:t>.</w:t>
      </w:r>
    </w:p>
    <w:p w14:paraId="1E5051AC" w14:textId="6B6B07ED" w:rsidR="006958CC" w:rsidRPr="006958CC" w:rsidRDefault="00FC42E7" w:rsidP="00FC42E7">
      <w:pPr>
        <w:keepNext/>
        <w:jc w:val="left"/>
        <w:rPr>
          <w:rFonts w:ascii="Calibri" w:hAnsi="Calibri" w:cs="Calibri"/>
        </w:rPr>
      </w:pPr>
      <w:r>
        <w:rPr>
          <w:rFonts w:ascii="Calibri" w:hAnsi="Calibri" w:cs="Calibri"/>
        </w:rPr>
        <w:t>For the prices, these steps shall differ from the common integration pattern:</w:t>
      </w:r>
    </w:p>
    <w:p w14:paraId="5C798589" w14:textId="2570747F" w:rsidR="006958CC" w:rsidRPr="00FC42E7" w:rsidRDefault="00873A53" w:rsidP="00FC42E7">
      <w:pPr>
        <w:pStyle w:val="ListParagraph"/>
        <w:numPr>
          <w:ilvl w:val="0"/>
          <w:numId w:val="4"/>
        </w:numPr>
        <w:jc w:val="left"/>
      </w:pPr>
      <w:r w:rsidRPr="00FC42E7">
        <w:t>The Presentation Layer shall send the Price Request on demand, with IsImport = true, to the Price Request Service (step 1).</w:t>
      </w:r>
      <w:r w:rsidR="006958CC" w:rsidRPr="00FC42E7">
        <w:t xml:space="preserve"> </w:t>
      </w:r>
      <w:r w:rsidRPr="00FC42E7">
        <w:t>The integration shall have no timer.</w:t>
      </w:r>
    </w:p>
    <w:p w14:paraId="0BE55548" w14:textId="0DD45A47" w:rsidR="006958CC" w:rsidRPr="00FC42E7" w:rsidRDefault="00873A53" w:rsidP="00FC42E7">
      <w:pPr>
        <w:pStyle w:val="ListParagraph"/>
        <w:numPr>
          <w:ilvl w:val="0"/>
          <w:numId w:val="4"/>
        </w:numPr>
        <w:jc w:val="left"/>
      </w:pPr>
      <w:r w:rsidRPr="00FC42E7">
        <w:t>The Price Response Orchestrator shall ask the Price Response Service for the prices.</w:t>
      </w:r>
      <w:r w:rsidR="006958CC" w:rsidRPr="00FC42E7">
        <w:t xml:space="preserve"> </w:t>
      </w:r>
      <w:r w:rsidRPr="00FC42E7">
        <w:t>The Price Response Service shall send the Price Request for MPR, get the settled prices of the period and work out the average price of each MPR tag (steps 8.1 and 8.2).</w:t>
      </w:r>
    </w:p>
    <w:p w14:paraId="1C18F9C5" w14:textId="6C6CCF97" w:rsidR="006958CC" w:rsidRPr="00FC42E7" w:rsidRDefault="00873A53" w:rsidP="00FC42E7">
      <w:pPr>
        <w:pStyle w:val="ListParagraph"/>
        <w:numPr>
          <w:ilvl w:val="0"/>
          <w:numId w:val="4"/>
        </w:numPr>
        <w:jc w:val="left"/>
      </w:pPr>
      <w:r w:rsidRPr="00FC42E7">
        <w:t>The Price Request Service shall return the Price Response (period-average price) to the Presentation Layer (step 12).</w:t>
      </w:r>
      <w:r w:rsidR="006958CC" w:rsidRPr="00FC42E7">
        <w:t xml:space="preserve"> </w:t>
      </w:r>
      <w:r w:rsidRPr="00FC42E7">
        <w:t>The prices shall not be saved.</w:t>
      </w:r>
    </w:p>
    <w:p w14:paraId="5C080F64" w14:textId="7F35B0D0" w:rsidR="006958CC" w:rsidRPr="00FC42E7" w:rsidRDefault="00873A53" w:rsidP="00FC42E7">
      <w:pPr>
        <w:pStyle w:val="ListParagraph"/>
        <w:numPr>
          <w:ilvl w:val="0"/>
          <w:numId w:val="4"/>
        </w:numPr>
        <w:jc w:val="left"/>
      </w:pPr>
      <w:r w:rsidRPr="00FC42E7">
        <w:t>The Scheduled Refresh of the Dashboard (steps 13 and 14) shall read the VCB views of the IQDM database.</w:t>
      </w:r>
      <w:r w:rsidR="007445A1" w:rsidRPr="00FC42E7">
        <w:t xml:space="preserve"> </w:t>
      </w:r>
      <w:r w:rsidRPr="00FC42E7">
        <w:t>The prices shall not be part of it; they shall come only through steps 1 to 12.</w:t>
      </w:r>
    </w:p>
    <w:p w14:paraId="130019B8" w14:textId="198A14BD" w:rsidR="00FC42E7" w:rsidRPr="00FC42E7" w:rsidRDefault="00FC42E7" w:rsidP="00FC42E7">
      <w:pPr>
        <w:pStyle w:val="ListParagraph"/>
        <w:numPr>
          <w:ilvl w:val="0"/>
          <w:numId w:val="4"/>
        </w:numPr>
        <w:jc w:val="left"/>
      </w:pPr>
      <w:r w:rsidRPr="00FC42E7">
        <w:t>The Price Response Service shall get the MPR tags held in Profisee through the Semantic Service, which shall take the master data of Profisee (MDM) through APIM.</w:t>
      </w:r>
    </w:p>
    <w:p w14:paraId="68BFE952" w14:textId="69AAB91D" w:rsidR="006958CC" w:rsidRPr="00FC42E7" w:rsidRDefault="00FC42E7" w:rsidP="00FC42E7">
      <w:pPr>
        <w:pStyle w:val="ListParagraph"/>
        <w:numPr>
          <w:ilvl w:val="0"/>
          <w:numId w:val="4"/>
        </w:numPr>
        <w:jc w:val="left"/>
      </w:pPr>
      <w:r w:rsidRPr="00FC42E7">
        <w:t xml:space="preserve">The logging, notification and Azure services of the pricing integration shall be those described in section </w:t>
      </w:r>
      <w:r>
        <w:fldChar w:fldCharType="begin"/>
      </w:r>
      <w:r>
        <w:instrText xml:space="preserve"> REF _Ref917260947 \w \h \* MERGEFORMAT </w:instrText>
      </w:r>
      <w:r>
        <w:fldChar w:fldCharType="separate"/>
      </w:r>
      <w:r w:rsidRPr="00FC42E7">
        <w:rPr>
          <w:color w:val="0563C1"/>
          <w:u w:val="single"/>
        </w:rPr>
        <w:t>2.3.3.1.1</w:t>
      </w:r>
      <w:r>
        <w:fldChar w:fldCharType="end"/>
      </w:r>
      <w:r w:rsidRPr="00FC42E7">
        <w:t>.</w:t>
      </w:r>
    </w:p>
    <w:p w14:paraId="10BD4C6F" w14:textId="0E5EDFE4" w:rsidR="006958CC" w:rsidRPr="006958CC" w:rsidRDefault="006958CC" w:rsidP="006958CC">
      <w:pPr>
        <w:pStyle w:val="Heading5"/>
        <w:rPr>
          <w:rFonts w:ascii="Calibri" w:hAnsi="Calibri" w:cs="Calibri"/>
          <w:sz w:val="20"/>
        </w:rPr>
      </w:pPr>
      <w:r w:rsidRPr="006958CC">
        <w:rPr>
          <w:rFonts w:ascii="Calibri" w:hAnsi="Calibri" w:cs="Calibri"/>
          <w:sz w:val="20"/>
        </w:rPr>
        <w:t>Detailed Technical Design Diagram</w:t>
      </w:r>
    </w:p>
    <w:p w14:paraId="2EE6F60B" w14:textId="23FAFF6F" w:rsidR="006958CC" w:rsidRPr="006958CC" w:rsidRDefault="00FC42E7" w:rsidP="00FC42E7">
      <w:pPr>
        <w:keepNext/>
        <w:keepLines/>
        <w:jc w:val="left"/>
        <w:rPr>
          <w:rFonts w:ascii="Calibri" w:hAnsi="Calibri" w:cs="Calibri"/>
        </w:rPr>
      </w:pPr>
      <w:r>
        <w:rPr>
          <w:rFonts w:ascii="Calibri" w:hAnsi="Calibri" w:cs="Calibri"/>
        </w:rPr>
        <w:t>The figure below shows the activities inside the two durable functions of the pricing integration.</w:t>
      </w:r>
    </w:p>
    <w:p w14:paraId="33850FAA" w14:textId="56509EE5" w:rsidR="006958CC" w:rsidRPr="006958CC" w:rsidRDefault="008F2422" w:rsidP="006958CC">
      <w:pPr>
        <w:keepNext/>
        <w:spacing w:after="40"/>
        <w:jc w:val="center"/>
      </w:pPr>
      <w:r>
        <w:rPr>
          <w:noProof/>
        </w:rPr>
        <w:drawing>
          <wp:inline distT="0" distB="0" distL="0" distR="0" wp14:anchorId="6DECAABA" wp14:editId="4197E7AF">
            <wp:extent cx="5943600" cy="2173605"/>
            <wp:effectExtent l="0" t="0" r="0" b="0"/>
            <wp:docPr id="11610786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78674" name=""/>
                    <pic:cNvPicPr/>
                  </pic:nvPicPr>
                  <pic:blipFill>
                    <a:blip r:embed="rId34"/>
                    <a:stretch>
                      <a:fillRect/>
                    </a:stretch>
                  </pic:blipFill>
                  <pic:spPr>
                    <a:xfrm>
                      <a:off x="0" y="0"/>
                      <a:ext cx="5943600" cy="2173605"/>
                    </a:xfrm>
                    <a:prstGeom prst="rect">
                      <a:avLst/>
                    </a:prstGeom>
                  </pic:spPr>
                </pic:pic>
              </a:graphicData>
            </a:graphic>
          </wp:inline>
        </w:drawing>
      </w:r>
    </w:p>
    <w:p w14:paraId="5D7DDF88" w14:textId="7398A112" w:rsidR="006958CC" w:rsidRPr="006958CC" w:rsidRDefault="006958CC" w:rsidP="006958CC">
      <w:pPr>
        <w:pStyle w:val="Caption"/>
        <w:rPr>
          <w:rFonts w:ascii="Calibri" w:hAnsi="Calibri" w:cs="Calibri"/>
        </w:rPr>
      </w:pPr>
      <w:bookmarkStart w:id="192" w:name="_Toc242554147"/>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11</w:t>
      </w:r>
      <w:r w:rsidRPr="006958CC">
        <w:rPr>
          <w:rFonts w:ascii="Calibri" w:hAnsi="Calibri" w:cs="Calibri"/>
        </w:rPr>
        <w:fldChar w:fldCharType="end"/>
      </w:r>
      <w:r w:rsidRPr="006958CC">
        <w:rPr>
          <w:rFonts w:ascii="Calibri" w:hAnsi="Calibri" w:cs="Calibri"/>
        </w:rPr>
        <w:t>: PriceCost Integration Detailed Technical Design Diagram</w:t>
      </w:r>
      <w:bookmarkEnd w:id="192"/>
    </w:p>
    <w:p w14:paraId="71EE89AE" w14:textId="77777777" w:rsidR="00FC42E7" w:rsidRPr="00EC3682" w:rsidRDefault="00FC42E7" w:rsidP="00FC42E7">
      <w:pPr>
        <w:pStyle w:val="ListParagraph"/>
        <w:numPr>
          <w:ilvl w:val="0"/>
          <w:numId w:val="4"/>
        </w:numPr>
        <w:jc w:val="left"/>
        <w:rPr>
          <w:rFonts w:ascii="Calibri" w:hAnsi="Calibri" w:cs="Calibri"/>
        </w:rPr>
      </w:pPr>
      <w:r>
        <w:t>The flow starts from the Price Request that the Presentation Layer sends on demand with IsImport = true.</w:t>
      </w:r>
    </w:p>
    <w:p w14:paraId="08A0EE16" w14:textId="77777777" w:rsidR="00FC42E7" w:rsidRPr="00EC3682" w:rsidRDefault="00FC42E7" w:rsidP="00FC42E7">
      <w:pPr>
        <w:pStyle w:val="ListParagraph"/>
        <w:numPr>
          <w:ilvl w:val="0"/>
          <w:numId w:val="4"/>
        </w:numPr>
        <w:jc w:val="left"/>
        <w:rPr>
          <w:rFonts w:ascii="Calibri" w:hAnsi="Calibri" w:cs="Calibri"/>
        </w:rPr>
      </w:pPr>
      <w:r>
        <w:t>Steps 4 to 11 are drawn in more detail; the other steps are those of the high-level figure above.</w:t>
      </w:r>
    </w:p>
    <w:p w14:paraId="24416309" w14:textId="0A30B7E2" w:rsidR="00FC42E7" w:rsidRPr="00EC3682" w:rsidRDefault="00FC42E7" w:rsidP="00FC42E7">
      <w:pPr>
        <w:pStyle w:val="ListParagraph"/>
        <w:numPr>
          <w:ilvl w:val="0"/>
          <w:numId w:val="4"/>
        </w:numPr>
        <w:jc w:val="left"/>
        <w:rPr>
          <w:rFonts w:ascii="Calibri" w:hAnsi="Calibri" w:cs="Calibri"/>
        </w:rPr>
      </w:pPr>
      <w:r>
        <w:t xml:space="preserve">The activities inside the durable functions shall be those of the common integration pattern (section </w:t>
      </w:r>
      <w:r>
        <w:fldChar w:fldCharType="begin"/>
      </w:r>
      <w:r>
        <w:instrText xml:space="preserve"> REF _Ref917260914 \w \h \* MERGEFORMAT </w:instrText>
      </w:r>
      <w:r>
        <w:fldChar w:fldCharType="separate"/>
      </w:r>
      <w:r w:rsidRPr="00FC42E7">
        <w:rPr>
          <w:color w:val="0563C1"/>
          <w:u w:val="single"/>
        </w:rPr>
        <w:t>2.3.1.2.1</w:t>
      </w:r>
      <w:r>
        <w:fldChar w:fldCharType="end"/>
      </w:r>
      <w:r>
        <w:t>).</w:t>
      </w:r>
    </w:p>
    <w:p w14:paraId="68129BEF" w14:textId="189BA1EB" w:rsidR="00FC42E7" w:rsidRPr="00EC3682" w:rsidRDefault="00FC42E7" w:rsidP="00FC42E7">
      <w:pPr>
        <w:pStyle w:val="ListParagraph"/>
        <w:numPr>
          <w:ilvl w:val="0"/>
          <w:numId w:val="4"/>
        </w:numPr>
        <w:jc w:val="left"/>
        <w:rPr>
          <w:rFonts w:ascii="Calibri" w:hAnsi="Calibri" w:cs="Calibri"/>
        </w:rPr>
      </w:pPr>
      <w:r>
        <w:t>The activities shall use the Price orchestrators and queues.</w:t>
      </w:r>
    </w:p>
    <w:p w14:paraId="0CB4D4DF" w14:textId="70DB306E" w:rsidR="006958CC" w:rsidRPr="00FC42E7" w:rsidRDefault="00FC42E7" w:rsidP="00FC42E7">
      <w:pPr>
        <w:pStyle w:val="ListParagraph"/>
        <w:numPr>
          <w:ilvl w:val="0"/>
          <w:numId w:val="4"/>
        </w:numPr>
        <w:jc w:val="left"/>
      </w:pPr>
      <w:r w:rsidRPr="00FC42E7">
        <w:t>In steps 8.1 and 8.2, the prices shall be read from MPR through the price service.</w:t>
      </w:r>
    </w:p>
    <w:p w14:paraId="2228990C" w14:textId="425223FB" w:rsidR="0081216E" w:rsidRDefault="004639A1" w:rsidP="00AA30D8">
      <w:pPr>
        <w:pStyle w:val="Heading5"/>
        <w:rPr>
          <w:rFonts w:ascii="Calibri" w:hAnsi="Calibri" w:cs="Calibri"/>
          <w:sz w:val="20"/>
        </w:rPr>
      </w:pPr>
      <w:r w:rsidRPr="00AA30D8">
        <w:rPr>
          <w:rFonts w:ascii="Calibri" w:hAnsi="Calibri" w:cs="Calibri"/>
          <w:sz w:val="20"/>
        </w:rPr>
        <w:t xml:space="preserve">Integration </w:t>
      </w:r>
      <w:r w:rsidR="00C63A98" w:rsidRPr="00AA30D8">
        <w:rPr>
          <w:rFonts w:ascii="Calibri" w:hAnsi="Calibri" w:cs="Calibri"/>
          <w:sz w:val="20"/>
        </w:rPr>
        <w:t>S</w:t>
      </w:r>
      <w:r w:rsidRPr="00AA30D8">
        <w:rPr>
          <w:rFonts w:ascii="Calibri" w:hAnsi="Calibri" w:cs="Calibri"/>
          <w:sz w:val="20"/>
        </w:rPr>
        <w:t>pecifics</w:t>
      </w:r>
    </w:p>
    <w:p w14:paraId="29E0765C" w14:textId="21573F92" w:rsidR="004639A1" w:rsidRPr="0081216E" w:rsidRDefault="00FC42E7" w:rsidP="00FC42E7">
      <w:pPr>
        <w:keepNext/>
        <w:jc w:val="left"/>
        <w:rPr>
          <w:rFonts w:ascii="Calibri" w:hAnsi="Calibri" w:cs="Calibri"/>
        </w:rPr>
      </w:pPr>
      <w:r>
        <w:rPr>
          <w:rFonts w:ascii="Calibri" w:hAnsi="Calibri" w:cs="Calibri"/>
        </w:rPr>
        <w:t>The table below shows how a dashboard call reaches MPR through the Price Request and Price Response Services of the Cost API and the price service, and how the prices are filtered and averaged.</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0"/>
        <w:gridCol w:w="2196"/>
        <w:gridCol w:w="5504"/>
      </w:tblGrid>
      <w:tr w:rsidR="00C63A98" w:rsidRPr="00C63A98" w14:paraId="6B16A997" w14:textId="77777777" w:rsidTr="00C63A98">
        <w:trPr>
          <w:cantSplit/>
          <w:tblHeader/>
        </w:trPr>
        <w:tc>
          <w:tcPr>
            <w:tcW w:w="1660" w:type="dxa"/>
            <w:shd w:val="clear" w:color="auto" w:fill="2F5597"/>
          </w:tcPr>
          <w:p w14:paraId="5AB5CF59" w14:textId="789544C2" w:rsidR="00C63A98" w:rsidRPr="00C63A98" w:rsidRDefault="00C63A98" w:rsidP="006958CC">
            <w:pPr>
              <w:pStyle w:val="Tablehead1"/>
              <w:rPr>
                <w:rFonts w:ascii="Calibri" w:hAnsi="Calibri" w:cs="Calibri"/>
                <w:sz w:val="20"/>
              </w:rPr>
            </w:pPr>
            <w:r w:rsidRPr="00C63A98">
              <w:rPr>
                <w:rFonts w:ascii="Calibri" w:hAnsi="Calibri" w:cs="Calibri"/>
                <w:sz w:val="20"/>
              </w:rPr>
              <w:t>Component</w:t>
            </w:r>
          </w:p>
        </w:tc>
        <w:tc>
          <w:tcPr>
            <w:tcW w:w="2196" w:type="dxa"/>
            <w:shd w:val="clear" w:color="auto" w:fill="2F5597"/>
          </w:tcPr>
          <w:p w14:paraId="0BE07AED" w14:textId="4C4E9189" w:rsidR="00C63A98" w:rsidRPr="00C63A98" w:rsidRDefault="00CE45AF" w:rsidP="006958CC">
            <w:pPr>
              <w:pStyle w:val="Tablehead1"/>
              <w:rPr>
                <w:rFonts w:ascii="Calibri" w:hAnsi="Calibri" w:cs="Calibri"/>
                <w:sz w:val="20"/>
              </w:rPr>
            </w:pPr>
            <w:r>
              <w:rPr>
                <w:rFonts w:ascii="Calibri" w:hAnsi="Calibri" w:cs="Calibri"/>
                <w:sz w:val="20"/>
              </w:rPr>
              <w:t>Name in This Integration</w:t>
            </w:r>
          </w:p>
        </w:tc>
        <w:tc>
          <w:tcPr>
            <w:tcW w:w="5504" w:type="dxa"/>
            <w:shd w:val="clear" w:color="auto" w:fill="2F5597"/>
          </w:tcPr>
          <w:p w14:paraId="3DD897A9" w14:textId="051F4012" w:rsidR="00C63A98" w:rsidRPr="00C63A98" w:rsidRDefault="00CE45AF" w:rsidP="006958CC">
            <w:pPr>
              <w:pStyle w:val="Tablehead1"/>
              <w:rPr>
                <w:rFonts w:ascii="Calibri" w:hAnsi="Calibri" w:cs="Calibri"/>
                <w:sz w:val="20"/>
              </w:rPr>
            </w:pPr>
            <w:r>
              <w:rPr>
                <w:rFonts w:ascii="Calibri" w:hAnsi="Calibri" w:cs="Calibri"/>
                <w:sz w:val="20"/>
              </w:rPr>
              <w:t>Specific to This Integration</w:t>
            </w:r>
          </w:p>
        </w:tc>
      </w:tr>
      <w:tr w:rsidR="00C63A98" w:rsidRPr="00C63A98" w14:paraId="2124CA34" w14:textId="77777777" w:rsidTr="00C63A98">
        <w:trPr>
          <w:cantSplit/>
        </w:trPr>
        <w:tc>
          <w:tcPr>
            <w:tcW w:w="1660" w:type="dxa"/>
          </w:tcPr>
          <w:p w14:paraId="5F74EE14" w14:textId="3052D7BF" w:rsidR="00C63A98" w:rsidRPr="00C63A98" w:rsidRDefault="00C63A98" w:rsidP="006958CC">
            <w:pPr>
              <w:pStyle w:val="Tabletext"/>
              <w:keepNext/>
              <w:rPr>
                <w:rFonts w:ascii="Calibri" w:hAnsi="Calibri" w:cs="Calibri"/>
                <w:sz w:val="20"/>
              </w:rPr>
            </w:pPr>
            <w:r w:rsidRPr="00C63A98">
              <w:rPr>
                <w:rFonts w:ascii="Calibri" w:hAnsi="Calibri" w:cs="Calibri"/>
                <w:sz w:val="20"/>
              </w:rPr>
              <w:t>Data source</w:t>
            </w:r>
          </w:p>
        </w:tc>
        <w:tc>
          <w:tcPr>
            <w:tcW w:w="2196" w:type="dxa"/>
          </w:tcPr>
          <w:p w14:paraId="23DE6895" w14:textId="22F98839" w:rsidR="00C63A98" w:rsidRPr="00C63A98" w:rsidRDefault="00C63A98" w:rsidP="006958CC">
            <w:pPr>
              <w:pStyle w:val="Tabletext"/>
              <w:keepNext/>
              <w:rPr>
                <w:rFonts w:ascii="Calibri" w:hAnsi="Calibri" w:cs="Calibri"/>
                <w:sz w:val="20"/>
              </w:rPr>
            </w:pPr>
            <w:r w:rsidRPr="00C63A98">
              <w:rPr>
                <w:rFonts w:ascii="Calibri" w:hAnsi="Calibri" w:cs="Calibri"/>
                <w:sz w:val="20"/>
              </w:rPr>
              <w:t>MPR, a SQL database</w:t>
            </w:r>
          </w:p>
        </w:tc>
        <w:tc>
          <w:tcPr>
            <w:tcW w:w="5504" w:type="dxa"/>
          </w:tcPr>
          <w:p w14:paraId="265EE483" w14:textId="6F0428A5" w:rsidR="00C63A98" w:rsidRPr="00C63A98" w:rsidRDefault="004812A6" w:rsidP="006958CC">
            <w:pPr>
              <w:pStyle w:val="Tabletext"/>
              <w:keepNext/>
              <w:rPr>
                <w:rFonts w:ascii="Calibri" w:hAnsi="Calibri" w:cs="Calibri"/>
                <w:sz w:val="20"/>
              </w:rPr>
            </w:pPr>
            <w:r>
              <w:rPr>
                <w:rFonts w:ascii="Calibri" w:hAnsi="Calibri" w:cs="Calibri"/>
                <w:sz w:val="20"/>
              </w:rPr>
              <w:t>Shall be read only through the platform price service.</w:t>
            </w:r>
          </w:p>
        </w:tc>
      </w:tr>
      <w:tr w:rsidR="00C63A98" w:rsidRPr="00C63A98" w14:paraId="6D2573DE" w14:textId="77777777" w:rsidTr="00C63A98">
        <w:trPr>
          <w:cantSplit/>
        </w:trPr>
        <w:tc>
          <w:tcPr>
            <w:tcW w:w="1660" w:type="dxa"/>
          </w:tcPr>
          <w:p w14:paraId="1B6DE131" w14:textId="5B81E18F" w:rsidR="00C63A98" w:rsidRPr="00C63A98" w:rsidRDefault="00C63A98" w:rsidP="006958CC">
            <w:pPr>
              <w:pStyle w:val="Tabletext"/>
              <w:keepNext/>
              <w:rPr>
                <w:rFonts w:ascii="Calibri" w:hAnsi="Calibri" w:cs="Calibri"/>
                <w:sz w:val="20"/>
              </w:rPr>
            </w:pPr>
            <w:r w:rsidRPr="00C63A98">
              <w:rPr>
                <w:rFonts w:ascii="Calibri" w:hAnsi="Calibri" w:cs="Calibri"/>
                <w:sz w:val="20"/>
              </w:rPr>
              <w:t>Caller</w:t>
            </w:r>
          </w:p>
        </w:tc>
        <w:tc>
          <w:tcPr>
            <w:tcW w:w="2196" w:type="dxa"/>
          </w:tcPr>
          <w:p w14:paraId="6164E665" w14:textId="2A2DF4D0" w:rsidR="00C63A98" w:rsidRPr="00C63A98" w:rsidRDefault="00C63A98" w:rsidP="006958CC">
            <w:pPr>
              <w:pStyle w:val="Tabletext"/>
              <w:keepNext/>
              <w:rPr>
                <w:rFonts w:ascii="Calibri" w:hAnsi="Calibri" w:cs="Calibri"/>
                <w:sz w:val="20"/>
              </w:rPr>
            </w:pPr>
            <w:r w:rsidRPr="00C63A98">
              <w:rPr>
                <w:rFonts w:ascii="Calibri" w:hAnsi="Calibri" w:cs="Calibri"/>
                <w:sz w:val="20"/>
              </w:rPr>
              <w:t>Dashboard</w:t>
            </w:r>
          </w:p>
        </w:tc>
        <w:tc>
          <w:tcPr>
            <w:tcW w:w="5504" w:type="dxa"/>
          </w:tcPr>
          <w:p w14:paraId="76E7A979" w14:textId="2495C635" w:rsidR="00C63A98" w:rsidRPr="00C63A98" w:rsidRDefault="00F80961" w:rsidP="006958CC">
            <w:pPr>
              <w:pStyle w:val="Tabletext"/>
              <w:keepNext/>
              <w:rPr>
                <w:rFonts w:ascii="Calibri" w:hAnsi="Calibri" w:cs="Calibri"/>
                <w:sz w:val="20"/>
              </w:rPr>
            </w:pPr>
            <w:r>
              <w:rPr>
                <w:rFonts w:ascii="Calibri" w:hAnsi="Calibri" w:cs="Calibri"/>
                <w:sz w:val="20"/>
              </w:rPr>
              <w:t>The dashboard shall call the Price Request Service when the prices are needed,</w:t>
            </w:r>
            <w:r w:rsidR="000A106D">
              <w:rPr>
                <w:rFonts w:ascii="Calibri" w:hAnsi="Calibri" w:cs="Calibri"/>
                <w:sz w:val="20"/>
              </w:rPr>
              <w:t xml:space="preserve"> with SourceApplication MPR and DestinationApplication IQDM in the header (Table </w:t>
            </w:r>
            <w:r w:rsidR="00FC42E7">
              <w:rPr>
                <w:rFonts w:ascii="Calibri" w:hAnsi="Calibri" w:cs="Calibri"/>
                <w:sz w:val="20"/>
              </w:rPr>
              <w:fldChar w:fldCharType="begin"/>
            </w:r>
            <w:r w:rsidR="00FC42E7">
              <w:rPr>
                <w:rFonts w:ascii="Calibri" w:hAnsi="Calibri" w:cs="Calibri"/>
                <w:sz w:val="20"/>
              </w:rPr>
              <w:instrText xml:space="preserve"> REF _Ref917260927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2-5</w:t>
            </w:r>
            <w:r w:rsidR="00FC42E7">
              <w:rPr>
                <w:rFonts w:ascii="Calibri" w:hAnsi="Calibri" w:cs="Calibri"/>
                <w:sz w:val="20"/>
              </w:rPr>
              <w:fldChar w:fldCharType="end"/>
            </w:r>
            <w:r w:rsidR="000A106D">
              <w:rPr>
                <w:rFonts w:ascii="Calibri" w:hAnsi="Calibri" w:cs="Calibri"/>
                <w:sz w:val="20"/>
              </w:rPr>
              <w:t xml:space="preserve">), </w:t>
            </w:r>
            <w:r w:rsidR="008F2422">
              <w:rPr>
                <w:rFonts w:ascii="Calibri" w:hAnsi="Calibri" w:cs="Calibri"/>
                <w:sz w:val="20"/>
              </w:rPr>
              <w:t>and the period, the category (Price or Cost, Price by default), IsImport = true and UseServiceBus = true in the body.</w:t>
            </w:r>
            <w:r w:rsidR="000A106D">
              <w:rPr>
                <w:rFonts w:ascii="Calibri" w:hAnsi="Calibri" w:cs="Calibri"/>
                <w:sz w:val="20"/>
              </w:rPr>
              <w:t xml:space="preserve"> </w:t>
            </w:r>
            <w:r>
              <w:rPr>
                <w:rFonts w:ascii="Calibri" w:hAnsi="Calibri" w:cs="Calibri"/>
                <w:sz w:val="20"/>
              </w:rPr>
              <w:t>There shall be no timer trigger. The period shall be the date range the user picks in the dashboard filters, for example a week or a month.</w:t>
            </w:r>
          </w:p>
        </w:tc>
      </w:tr>
      <w:tr w:rsidR="000A106D" w:rsidRPr="00C63A98" w14:paraId="063B932C" w14:textId="77777777" w:rsidTr="00C63A98">
        <w:trPr>
          <w:cantSplit/>
        </w:trPr>
        <w:tc>
          <w:tcPr>
            <w:tcW w:w="1660" w:type="dxa"/>
          </w:tcPr>
          <w:p w14:paraId="49E05BB6" w14:textId="3689A92B" w:rsidR="000A106D" w:rsidRDefault="000A106D" w:rsidP="00FA3AEE">
            <w:pPr>
              <w:pStyle w:val="Tabletext"/>
              <w:rPr>
                <w:rFonts w:ascii="Calibri" w:hAnsi="Calibri" w:cs="Calibri"/>
                <w:sz w:val="20"/>
              </w:rPr>
            </w:pPr>
            <w:r>
              <w:rPr>
                <w:rFonts w:ascii="Calibri" w:hAnsi="Calibri" w:cs="Calibri"/>
                <w:sz w:val="20"/>
              </w:rPr>
              <w:t>Request Service</w:t>
            </w:r>
          </w:p>
        </w:tc>
        <w:tc>
          <w:tcPr>
            <w:tcW w:w="2196" w:type="dxa"/>
          </w:tcPr>
          <w:p w14:paraId="3F2B3EC4" w14:textId="5A2BBA93" w:rsidR="000A106D" w:rsidRDefault="000A106D" w:rsidP="00FA3AEE">
            <w:pPr>
              <w:pStyle w:val="Tabletext"/>
              <w:rPr>
                <w:rFonts w:ascii="Calibri" w:hAnsi="Calibri" w:cs="Calibri"/>
                <w:sz w:val="20"/>
              </w:rPr>
            </w:pPr>
            <w:r>
              <w:rPr>
                <w:rFonts w:ascii="Calibri" w:hAnsi="Calibri" w:cs="Calibri"/>
                <w:sz w:val="20"/>
              </w:rPr>
              <w:t>Price Request Service of the Cost API</w:t>
            </w:r>
          </w:p>
        </w:tc>
        <w:tc>
          <w:tcPr>
            <w:tcW w:w="5504" w:type="dxa"/>
          </w:tcPr>
          <w:p w14:paraId="7913C363" w14:textId="4C986652" w:rsidR="000A106D" w:rsidRDefault="00F80961" w:rsidP="00FA3AEE">
            <w:pPr>
              <w:pStyle w:val="Tabletext"/>
              <w:rPr>
                <w:rFonts w:ascii="Calibri" w:hAnsi="Calibri" w:cs="Calibri"/>
                <w:sz w:val="20"/>
              </w:rPr>
            </w:pPr>
            <w:r>
              <w:rPr>
                <w:rFonts w:ascii="Calibri" w:hAnsi="Calibri" w:cs="Calibri"/>
                <w:sz w:val="20"/>
              </w:rPr>
              <w:t>The Price Request Service shall check the header and the body and return the prices to the dashboard.</w:t>
            </w:r>
            <w:r w:rsidR="008F2422">
              <w:rPr>
                <w:rFonts w:ascii="Calibri" w:hAnsi="Calibri" w:cs="Calibri"/>
                <w:sz w:val="20"/>
              </w:rPr>
              <w:t xml:space="preserve"> The Price Request Service shall reject</w:t>
            </w:r>
            <w:r>
              <w:rPr>
                <w:rFonts w:ascii="Calibri" w:hAnsi="Calibri" w:cs="Calibri"/>
                <w:sz w:val="20"/>
              </w:rPr>
              <w:t xml:space="preserve"> a request that has no StartDate or EndDate, </w:t>
            </w:r>
            <w:r w:rsidR="004812A6">
              <w:rPr>
                <w:rFonts w:ascii="Calibri" w:hAnsi="Calibri" w:cs="Calibri"/>
                <w:sz w:val="20"/>
              </w:rPr>
              <w:t>or whose StartDate is later than its EndDate, and shall send an IT error notification.</w:t>
            </w:r>
            <w:r w:rsidR="0023739F">
              <w:rPr>
                <w:rFonts w:ascii="Calibri" w:hAnsi="Calibri" w:cs="Calibri"/>
                <w:sz w:val="20"/>
              </w:rPr>
              <w:t xml:space="preserve"> If a price service call still fails after the retries, the whole request shall return an error and an IT error notification shall be sent; no partial answer shall be returned.</w:t>
            </w:r>
          </w:p>
        </w:tc>
      </w:tr>
      <w:tr w:rsidR="000A106D" w:rsidRPr="00C63A98" w14:paraId="7853C811" w14:textId="77777777" w:rsidTr="00C63A98">
        <w:trPr>
          <w:cantSplit/>
        </w:trPr>
        <w:tc>
          <w:tcPr>
            <w:tcW w:w="1660" w:type="dxa"/>
          </w:tcPr>
          <w:p w14:paraId="01864E29" w14:textId="412F2D69" w:rsidR="000A106D" w:rsidRDefault="000A106D" w:rsidP="00FA3AEE">
            <w:pPr>
              <w:pStyle w:val="Tabletext"/>
              <w:rPr>
                <w:rFonts w:ascii="Calibri" w:hAnsi="Calibri" w:cs="Calibri"/>
                <w:sz w:val="20"/>
              </w:rPr>
            </w:pPr>
            <w:r>
              <w:rPr>
                <w:rFonts w:ascii="Calibri" w:hAnsi="Calibri" w:cs="Calibri"/>
                <w:sz w:val="20"/>
              </w:rPr>
              <w:t>Durable functions and queues</w:t>
            </w:r>
          </w:p>
        </w:tc>
        <w:tc>
          <w:tcPr>
            <w:tcW w:w="2196" w:type="dxa"/>
          </w:tcPr>
          <w:p w14:paraId="187124B5" w14:textId="2D4E1784" w:rsidR="000A106D" w:rsidRDefault="00636937" w:rsidP="00FA3AEE">
            <w:pPr>
              <w:pStyle w:val="Tabletext"/>
              <w:rPr>
                <w:rFonts w:ascii="Calibri" w:hAnsi="Calibri" w:cs="Calibri"/>
                <w:sz w:val="20"/>
              </w:rPr>
            </w:pPr>
            <w:r>
              <w:rPr>
                <w:rFonts w:ascii="Calibri" w:hAnsi="Calibri" w:cs="Calibri"/>
                <w:sz w:val="20"/>
              </w:rPr>
              <w:t>Price Request Durable Function, Price Request Queue, Price Response Durable Function and Price Response Queue</w:t>
            </w:r>
          </w:p>
        </w:tc>
        <w:tc>
          <w:tcPr>
            <w:tcW w:w="5504" w:type="dxa"/>
          </w:tcPr>
          <w:p w14:paraId="4799F4DE" w14:textId="476091F2" w:rsidR="000A106D" w:rsidRDefault="000A106D" w:rsidP="00FA3AEE">
            <w:pPr>
              <w:pStyle w:val="Tabletext"/>
              <w:rPr>
                <w:rFonts w:ascii="Calibri" w:hAnsi="Calibri" w:cs="Calibri"/>
                <w:sz w:val="20"/>
              </w:rPr>
            </w:pPr>
            <w:r>
              <w:rPr>
                <w:rFonts w:ascii="Calibri" w:hAnsi="Calibri" w:cs="Calibri"/>
                <w:sz w:val="20"/>
              </w:rPr>
              <w:t>As in the common integration pattern.</w:t>
            </w:r>
          </w:p>
        </w:tc>
      </w:tr>
      <w:tr w:rsidR="000A106D" w:rsidRPr="00C63A98" w14:paraId="5510036C" w14:textId="77777777" w:rsidTr="00C63A98">
        <w:trPr>
          <w:cantSplit/>
        </w:trPr>
        <w:tc>
          <w:tcPr>
            <w:tcW w:w="1660" w:type="dxa"/>
          </w:tcPr>
          <w:p w14:paraId="40A5AD2B" w14:textId="62601D13" w:rsidR="000A106D" w:rsidRDefault="000A106D" w:rsidP="00FA3AEE">
            <w:pPr>
              <w:pStyle w:val="Tabletext"/>
              <w:rPr>
                <w:rFonts w:ascii="Calibri" w:hAnsi="Calibri" w:cs="Calibri"/>
                <w:sz w:val="20"/>
              </w:rPr>
            </w:pPr>
            <w:r>
              <w:rPr>
                <w:rFonts w:ascii="Calibri" w:hAnsi="Calibri" w:cs="Calibri"/>
                <w:sz w:val="20"/>
              </w:rPr>
              <w:t>Response Service</w:t>
            </w:r>
          </w:p>
        </w:tc>
        <w:tc>
          <w:tcPr>
            <w:tcW w:w="2196" w:type="dxa"/>
          </w:tcPr>
          <w:p w14:paraId="2EF116D3" w14:textId="1C484FC0" w:rsidR="000A106D" w:rsidRDefault="000A106D" w:rsidP="00FA3AEE">
            <w:pPr>
              <w:pStyle w:val="Tabletext"/>
              <w:rPr>
                <w:rFonts w:ascii="Calibri" w:hAnsi="Calibri" w:cs="Calibri"/>
                <w:sz w:val="20"/>
              </w:rPr>
            </w:pPr>
            <w:r>
              <w:rPr>
                <w:rFonts w:ascii="Calibri" w:hAnsi="Calibri" w:cs="Calibri"/>
                <w:sz w:val="20"/>
              </w:rPr>
              <w:t>Price Response Service of the Cost API</w:t>
            </w:r>
          </w:p>
        </w:tc>
        <w:tc>
          <w:tcPr>
            <w:tcW w:w="5504" w:type="dxa"/>
          </w:tcPr>
          <w:p w14:paraId="72056C13" w14:textId="270C202C" w:rsidR="000A106D" w:rsidRDefault="00F80961" w:rsidP="00FA3AEE">
            <w:pPr>
              <w:pStyle w:val="Tabletext"/>
              <w:rPr>
                <w:rFonts w:ascii="Calibri" w:hAnsi="Calibri" w:cs="Calibri"/>
                <w:sz w:val="20"/>
              </w:rPr>
            </w:pPr>
            <w:r>
              <w:rPr>
                <w:rFonts w:ascii="Calibri" w:hAnsi="Calibri" w:cs="Calibri"/>
                <w:sz w:val="20"/>
              </w:rPr>
              <w:t>The Price Response Service shall get the MPR tags from Profisee through the Semantic Service</w:t>
            </w:r>
            <w:r w:rsidR="000A106D">
              <w:rPr>
                <w:rFonts w:ascii="Calibri" w:hAnsi="Calibri" w:cs="Calibri"/>
                <w:sz w:val="20"/>
              </w:rPr>
              <w:t xml:space="preserve"> and the settled prices of the period from the price service. </w:t>
            </w:r>
            <w:r w:rsidR="006B25DD">
              <w:rPr>
                <w:rFonts w:ascii="Calibri" w:hAnsi="Calibri" w:cs="Calibri"/>
                <w:sz w:val="20"/>
              </w:rPr>
              <w:t xml:space="preserve">If a day has no settled price, it shall use the price of the day before. </w:t>
            </w:r>
            <w:r w:rsidR="008F2422">
              <w:rPr>
                <w:rFonts w:ascii="Calibri" w:hAnsi="Calibri" w:cs="Calibri"/>
                <w:sz w:val="20"/>
              </w:rPr>
              <w:t>When the first day of the period has no settled price on that day or within the price read offset, it shall read 2 days further back</w:t>
            </w:r>
            <w:r w:rsidR="006B25DD">
              <w:rPr>
                <w:rFonts w:ascii="Calibri" w:hAnsi="Calibri" w:cs="Calibri"/>
                <w:sz w:val="20"/>
              </w:rPr>
              <w:t xml:space="preserve"> and use the latest settled price found.</w:t>
            </w:r>
            <w:r w:rsidR="000A106D">
              <w:rPr>
                <w:rFonts w:ascii="Calibri" w:hAnsi="Calibri" w:cs="Calibri"/>
                <w:sz w:val="20"/>
              </w:rPr>
              <w:t xml:space="preserve"> </w:t>
            </w:r>
            <w:r>
              <w:rPr>
                <w:rFonts w:ascii="Calibri" w:hAnsi="Calibri" w:cs="Calibri"/>
                <w:sz w:val="20"/>
              </w:rPr>
              <w:t>Then it shall group the days and work out the average price of each MPR tag. The Price Response Service shall pass priceOverride and tier on unchanged. It shall not average them and shall not put them in place of price.</w:t>
            </w:r>
          </w:p>
        </w:tc>
      </w:tr>
      <w:tr w:rsidR="00C63A98" w:rsidRPr="00C63A98" w14:paraId="607B77BC" w14:textId="77777777" w:rsidTr="00C63A98">
        <w:trPr>
          <w:cantSplit/>
        </w:trPr>
        <w:tc>
          <w:tcPr>
            <w:tcW w:w="1660" w:type="dxa"/>
          </w:tcPr>
          <w:p w14:paraId="0173F4DD" w14:textId="145444DC" w:rsidR="00C63A98" w:rsidRPr="00C63A98" w:rsidRDefault="00C63A98" w:rsidP="00FA3AEE">
            <w:pPr>
              <w:pStyle w:val="Tabletext"/>
              <w:rPr>
                <w:rFonts w:ascii="Calibri" w:hAnsi="Calibri" w:cs="Calibri"/>
                <w:sz w:val="20"/>
              </w:rPr>
            </w:pPr>
            <w:r w:rsidRPr="00C63A98">
              <w:rPr>
                <w:rFonts w:ascii="Calibri" w:hAnsi="Calibri" w:cs="Calibri"/>
                <w:sz w:val="20"/>
              </w:rPr>
              <w:t>Price service</w:t>
            </w:r>
          </w:p>
        </w:tc>
        <w:tc>
          <w:tcPr>
            <w:tcW w:w="2196" w:type="dxa"/>
          </w:tcPr>
          <w:p w14:paraId="58857B53" w14:textId="11FBEA11" w:rsidR="00C63A98" w:rsidRPr="00C63A98" w:rsidRDefault="00CE45AF" w:rsidP="00FA3AEE">
            <w:pPr>
              <w:pStyle w:val="Tabletext"/>
              <w:rPr>
                <w:rFonts w:ascii="Calibri" w:hAnsi="Calibri" w:cs="Calibri"/>
                <w:sz w:val="20"/>
              </w:rPr>
            </w:pPr>
            <w:r>
              <w:rPr>
                <w:rFonts w:ascii="Calibri" w:hAnsi="Calibri" w:cs="Calibri"/>
                <w:sz w:val="20"/>
              </w:rPr>
              <w:t>The platform price service of the Cost domain</w:t>
            </w:r>
          </w:p>
        </w:tc>
        <w:tc>
          <w:tcPr>
            <w:tcW w:w="5504" w:type="dxa"/>
          </w:tcPr>
          <w:p w14:paraId="13D8F9EA" w14:textId="3FED8442" w:rsidR="00C63A98" w:rsidRPr="00C63A98" w:rsidRDefault="00873A53" w:rsidP="00FA3AEE">
            <w:pPr>
              <w:pStyle w:val="Tabletext"/>
              <w:rPr>
                <w:rFonts w:ascii="Calibri" w:hAnsi="Calibri" w:cs="Calibri"/>
                <w:sz w:val="20"/>
              </w:rPr>
            </w:pPr>
            <w:r>
              <w:rPr>
                <w:rFonts w:ascii="Calibri" w:hAnsi="Calibri" w:cs="Calibri"/>
                <w:sz w:val="20"/>
              </w:rPr>
              <w:t xml:space="preserve">On each call, the price service shall run a new price query for the MPR tags and the period that the Price Response Service passes on. The MPR tags shall come from the Semantic Service, and the period shall be the period of the dashboard, </w:t>
            </w:r>
            <w:r w:rsidR="004812A6">
              <w:rPr>
                <w:rFonts w:ascii="Calibri" w:hAnsi="Calibri" w:cs="Calibri"/>
                <w:sz w:val="20"/>
              </w:rPr>
              <w:t>with its start moved back by the price read offset</w:t>
            </w:r>
            <w:r>
              <w:rPr>
                <w:rFonts w:ascii="Calibri" w:hAnsi="Calibri" w:cs="Calibri"/>
                <w:sz w:val="20"/>
              </w:rPr>
              <w:t xml:space="preserve"> (Table </w:t>
            </w:r>
            <w:r w:rsidR="00FC42E7">
              <w:rPr>
                <w:rFonts w:ascii="Calibri" w:hAnsi="Calibri" w:cs="Calibri"/>
                <w:sz w:val="20"/>
              </w:rPr>
              <w:fldChar w:fldCharType="begin"/>
            </w:r>
            <w:r w:rsidR="00FC42E7">
              <w:rPr>
                <w:rFonts w:ascii="Calibri" w:hAnsi="Calibri" w:cs="Calibri"/>
                <w:sz w:val="20"/>
              </w:rPr>
              <w:instrText xml:space="preserve"> REF _Ref917260956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2-26</w:t>
            </w:r>
            <w:r w:rsidR="00FC42E7">
              <w:rPr>
                <w:rFonts w:ascii="Calibri" w:hAnsi="Calibri" w:cs="Calibri"/>
                <w:sz w:val="20"/>
              </w:rPr>
              <w:fldChar w:fldCharType="end"/>
            </w:r>
            <w:r>
              <w:rPr>
                <w:rFonts w:ascii="Calibri" w:hAnsi="Calibri" w:cs="Calibri"/>
                <w:sz w:val="20"/>
              </w:rPr>
              <w:t xml:space="preserve">). </w:t>
            </w:r>
            <w:r w:rsidR="008F2422">
              <w:rPr>
                <w:rFonts w:ascii="Calibri" w:hAnsi="Calibri" w:cs="Calibri"/>
                <w:sz w:val="20"/>
              </w:rPr>
              <w:t>The price service shall return the settled price of each MPR tag and day, not averaged, with state Actual,</w:t>
            </w:r>
            <w:r w:rsidR="00794AE6">
              <w:rPr>
                <w:rFonts w:ascii="Calibri" w:hAnsi="Calibri" w:cs="Calibri"/>
                <w:sz w:val="20"/>
              </w:rPr>
              <w:t xml:space="preserve"> price type Settle and the relative period (RelativePeriodNum) of each row.</w:t>
            </w:r>
          </w:p>
        </w:tc>
      </w:tr>
      <w:tr w:rsidR="00C63A98" w:rsidRPr="00C63A98" w14:paraId="2EAC9538" w14:textId="77777777" w:rsidTr="00C63A98">
        <w:trPr>
          <w:cantSplit/>
        </w:trPr>
        <w:tc>
          <w:tcPr>
            <w:tcW w:w="1660" w:type="dxa"/>
          </w:tcPr>
          <w:p w14:paraId="7BAD4182" w14:textId="7792B38B" w:rsidR="00C63A98" w:rsidRPr="00C63A98" w:rsidRDefault="00C63A98" w:rsidP="00FA3AEE">
            <w:pPr>
              <w:pStyle w:val="Tabletext"/>
              <w:rPr>
                <w:rFonts w:ascii="Calibri" w:hAnsi="Calibri" w:cs="Calibri"/>
                <w:sz w:val="20"/>
              </w:rPr>
            </w:pPr>
            <w:r w:rsidRPr="00C63A98">
              <w:rPr>
                <w:rFonts w:ascii="Calibri" w:hAnsi="Calibri" w:cs="Calibri"/>
                <w:sz w:val="20"/>
              </w:rPr>
              <w:t>MPR tags</w:t>
            </w:r>
          </w:p>
        </w:tc>
        <w:tc>
          <w:tcPr>
            <w:tcW w:w="2196" w:type="dxa"/>
          </w:tcPr>
          <w:p w14:paraId="40B70CBE" w14:textId="4E96DC6A" w:rsidR="00C63A98" w:rsidRPr="00C63A98" w:rsidRDefault="00772610" w:rsidP="00FA3AEE">
            <w:pPr>
              <w:pStyle w:val="Tabletext"/>
              <w:rPr>
                <w:rFonts w:ascii="Calibri" w:hAnsi="Calibri" w:cs="Calibri"/>
                <w:sz w:val="20"/>
              </w:rPr>
            </w:pPr>
            <w:r>
              <w:rPr>
                <w:rFonts w:ascii="Calibri" w:hAnsi="Calibri" w:cs="Calibri"/>
                <w:sz w:val="20"/>
              </w:rPr>
              <w:t>MPR tags held in Profisee</w:t>
            </w:r>
          </w:p>
        </w:tc>
        <w:tc>
          <w:tcPr>
            <w:tcW w:w="5504" w:type="dxa"/>
          </w:tcPr>
          <w:p w14:paraId="497099E2" w14:textId="71C24475" w:rsidR="00C63A98" w:rsidRPr="00C63A98" w:rsidRDefault="008F2422" w:rsidP="00FA3AEE">
            <w:pPr>
              <w:pStyle w:val="Tabletext"/>
              <w:rPr>
                <w:rFonts w:ascii="Calibri" w:hAnsi="Calibri" w:cs="Calibri"/>
                <w:sz w:val="20"/>
              </w:rPr>
            </w:pPr>
            <w:r>
              <w:rPr>
                <w:rFonts w:ascii="Calibri" w:hAnsi="Calibri" w:cs="Calibri"/>
                <w:sz w:val="20"/>
              </w:rPr>
              <w:t>The MPR tags shall be held in Profisee and read through the Semantic Service call below. The Price Response Service shall send all of them to the price service in batches (Price service call below).</w:t>
            </w:r>
          </w:p>
        </w:tc>
      </w:tr>
      <w:tr w:rsidR="00F80961" w:rsidRPr="00C63A98" w14:paraId="446B745C" w14:textId="77777777" w:rsidTr="00C63A98">
        <w:trPr>
          <w:cantSplit/>
        </w:trPr>
        <w:tc>
          <w:tcPr>
            <w:tcW w:w="1660" w:type="dxa"/>
          </w:tcPr>
          <w:p w14:paraId="46B6E973" w14:textId="74512AB5" w:rsidR="00F80961" w:rsidRDefault="00F80961" w:rsidP="00FA3AEE">
            <w:pPr>
              <w:pStyle w:val="Tabletext"/>
              <w:rPr>
                <w:rFonts w:ascii="Calibri" w:hAnsi="Calibri" w:cs="Calibri"/>
                <w:sz w:val="20"/>
              </w:rPr>
            </w:pPr>
            <w:r>
              <w:rPr>
                <w:rFonts w:ascii="Calibri" w:hAnsi="Calibri" w:cs="Calibri"/>
                <w:sz w:val="20"/>
              </w:rPr>
              <w:t>No MPR tags</w:t>
            </w:r>
          </w:p>
        </w:tc>
        <w:tc>
          <w:tcPr>
            <w:tcW w:w="2196" w:type="dxa"/>
          </w:tcPr>
          <w:p w14:paraId="7226B6F1" w14:textId="68E04A20" w:rsidR="00F80961" w:rsidRDefault="00F80961" w:rsidP="00FA3AEE">
            <w:pPr>
              <w:pStyle w:val="Tabletext"/>
              <w:rPr>
                <w:rFonts w:ascii="Calibri" w:hAnsi="Calibri" w:cs="Calibri"/>
                <w:sz w:val="20"/>
              </w:rPr>
            </w:pPr>
            <w:r>
              <w:rPr>
                <w:rFonts w:ascii="Calibri" w:hAnsi="Calibri" w:cs="Calibri"/>
                <w:sz w:val="20"/>
              </w:rPr>
              <w:t>Semantic Service returns no tag</w:t>
            </w:r>
          </w:p>
        </w:tc>
        <w:tc>
          <w:tcPr>
            <w:tcW w:w="5504" w:type="dxa"/>
          </w:tcPr>
          <w:p w14:paraId="52453768" w14:textId="7F88AEDF" w:rsidR="00F80961" w:rsidRDefault="00F80961" w:rsidP="00FA3AEE">
            <w:pPr>
              <w:pStyle w:val="Tabletext"/>
              <w:rPr>
                <w:rFonts w:ascii="Calibri" w:hAnsi="Calibri" w:cs="Calibri"/>
                <w:sz w:val="20"/>
              </w:rPr>
            </w:pPr>
            <w:r>
              <w:rPr>
                <w:rFonts w:ascii="Calibri" w:hAnsi="Calibri" w:cs="Calibri"/>
                <w:sz w:val="20"/>
              </w:rPr>
              <w:t>The Price Response Service shall not call the price service. It shall return an empty list and send an IT information notification.</w:t>
            </w:r>
          </w:p>
        </w:tc>
      </w:tr>
      <w:tr w:rsidR="00CE45AF" w:rsidRPr="00C63A98" w14:paraId="5186FE1B" w14:textId="77777777" w:rsidTr="00C63A98">
        <w:trPr>
          <w:cantSplit/>
        </w:trPr>
        <w:tc>
          <w:tcPr>
            <w:tcW w:w="1660" w:type="dxa"/>
          </w:tcPr>
          <w:p w14:paraId="685FA4E2" w14:textId="42CF3337" w:rsidR="00CE45AF" w:rsidRDefault="00CE45AF" w:rsidP="00FA3AEE">
            <w:pPr>
              <w:pStyle w:val="Tabletext"/>
              <w:rPr>
                <w:rFonts w:ascii="Calibri" w:hAnsi="Calibri" w:cs="Calibri"/>
                <w:sz w:val="20"/>
              </w:rPr>
            </w:pPr>
            <w:r>
              <w:rPr>
                <w:rFonts w:ascii="Calibri" w:hAnsi="Calibri" w:cs="Calibri"/>
                <w:sz w:val="20"/>
              </w:rPr>
              <w:t>Semantic Service call</w:t>
            </w:r>
          </w:p>
        </w:tc>
        <w:tc>
          <w:tcPr>
            <w:tcW w:w="2196" w:type="dxa"/>
          </w:tcPr>
          <w:p w14:paraId="38455F1F" w14:textId="40F841BB" w:rsidR="00CE45AF" w:rsidRDefault="00144FA3" w:rsidP="00FA3AEE">
            <w:pPr>
              <w:pStyle w:val="Tabletext"/>
              <w:rPr>
                <w:rFonts w:ascii="Calibri" w:hAnsi="Calibri" w:cs="Calibri"/>
                <w:sz w:val="20"/>
              </w:rPr>
            </w:pPr>
            <w:r>
              <w:rPr>
                <w:rFonts w:ascii="Calibri" w:hAnsi="Calibri" w:cs="Calibri"/>
                <w:sz w:val="20"/>
              </w:rPr>
              <w:t>sourceDomain, targetDomain, entity, StartDate, EndDate, Model, Region</w:t>
            </w:r>
          </w:p>
        </w:tc>
        <w:tc>
          <w:tcPr>
            <w:tcW w:w="5504" w:type="dxa"/>
          </w:tcPr>
          <w:p w14:paraId="585F0D1D" w14:textId="2F0975FE" w:rsidR="00CE45AF" w:rsidRDefault="00F80961" w:rsidP="00FA3AEE">
            <w:pPr>
              <w:pStyle w:val="Tabletext"/>
              <w:rPr>
                <w:rFonts w:ascii="Calibri" w:hAnsi="Calibri" w:cs="Calibri"/>
                <w:sz w:val="20"/>
              </w:rPr>
            </w:pPr>
            <w:r>
              <w:rPr>
                <w:rFonts w:ascii="Calibri" w:hAnsi="Calibri" w:cs="Calibri"/>
                <w:sz w:val="20"/>
              </w:rPr>
              <w:t>The Price Response Service shall send MarathonPetroleumRepository,</w:t>
            </w:r>
            <w:r w:rsidR="00CE45AF">
              <w:rPr>
                <w:rFonts w:ascii="Calibri" w:hAnsi="Calibri" w:cs="Calibri"/>
                <w:sz w:val="20"/>
              </w:rPr>
              <w:t xml:space="preserve"> VCB North and Price, the StartDate and EndDate of the dashboard, and VCB North region model dashboard and North Zone (Table </w:t>
            </w:r>
            <w:r w:rsidR="00FC42E7">
              <w:rPr>
                <w:rFonts w:ascii="Calibri" w:hAnsi="Calibri" w:cs="Calibri"/>
                <w:sz w:val="20"/>
              </w:rPr>
              <w:fldChar w:fldCharType="begin"/>
            </w:r>
            <w:r w:rsidR="00FC42E7">
              <w:rPr>
                <w:rFonts w:ascii="Calibri" w:hAnsi="Calibri" w:cs="Calibri"/>
                <w:sz w:val="20"/>
              </w:rPr>
              <w:instrText xml:space="preserve"> REF _Ref917260956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2-26</w:t>
            </w:r>
            <w:r w:rsidR="00FC42E7">
              <w:rPr>
                <w:rFonts w:ascii="Calibri" w:hAnsi="Calibri" w:cs="Calibri"/>
                <w:sz w:val="20"/>
              </w:rPr>
              <w:fldChar w:fldCharType="end"/>
            </w:r>
            <w:r w:rsidR="00CE45AF">
              <w:rPr>
                <w:rFonts w:ascii="Calibri" w:hAnsi="Calibri" w:cs="Calibri"/>
                <w:sz w:val="20"/>
              </w:rPr>
              <w:t xml:space="preserve">). </w:t>
            </w:r>
            <w:r>
              <w:rPr>
                <w:rFonts w:ascii="Calibri" w:hAnsi="Calibri" w:cs="Calibri"/>
                <w:sz w:val="20"/>
              </w:rPr>
              <w:t>It shall get back up to 1,000 MPR tags.</w:t>
            </w:r>
          </w:p>
        </w:tc>
      </w:tr>
      <w:tr w:rsidR="00CE45AF" w:rsidRPr="00C63A98" w14:paraId="0AD730F4" w14:textId="77777777" w:rsidTr="00C63A98">
        <w:trPr>
          <w:cantSplit/>
        </w:trPr>
        <w:tc>
          <w:tcPr>
            <w:tcW w:w="1660" w:type="dxa"/>
          </w:tcPr>
          <w:p w14:paraId="09F2FB23" w14:textId="7C7DB8E9" w:rsidR="00CE45AF" w:rsidRDefault="00CE45AF" w:rsidP="00FA3AEE">
            <w:pPr>
              <w:pStyle w:val="Tabletext"/>
              <w:rPr>
                <w:rFonts w:ascii="Calibri" w:hAnsi="Calibri" w:cs="Calibri"/>
                <w:sz w:val="20"/>
              </w:rPr>
            </w:pPr>
            <w:r>
              <w:rPr>
                <w:rFonts w:ascii="Calibri" w:hAnsi="Calibri" w:cs="Calibri"/>
                <w:sz w:val="20"/>
              </w:rPr>
              <w:t>Price service call</w:t>
            </w:r>
          </w:p>
        </w:tc>
        <w:tc>
          <w:tcPr>
            <w:tcW w:w="2196" w:type="dxa"/>
          </w:tcPr>
          <w:p w14:paraId="49991520" w14:textId="7E2BAC4A" w:rsidR="00CE45AF" w:rsidRDefault="00CE45AF" w:rsidP="00FA3AEE">
            <w:pPr>
              <w:pStyle w:val="Tabletext"/>
              <w:rPr>
                <w:rFonts w:ascii="Calibri" w:hAnsi="Calibri" w:cs="Calibri"/>
                <w:sz w:val="20"/>
              </w:rPr>
            </w:pPr>
            <w:r>
              <w:rPr>
                <w:rFonts w:ascii="Calibri" w:hAnsi="Calibri" w:cs="Calibri"/>
                <w:sz w:val="20"/>
              </w:rPr>
              <w:t>state, startDate, effectiveDate, endDate, category, priceIds</w:t>
            </w:r>
          </w:p>
        </w:tc>
        <w:tc>
          <w:tcPr>
            <w:tcW w:w="5504" w:type="dxa"/>
          </w:tcPr>
          <w:p w14:paraId="10CC5B4C" w14:textId="3AEB9E58" w:rsidR="00CE45AF" w:rsidRDefault="004812A6" w:rsidP="00FA3AEE">
            <w:pPr>
              <w:pStyle w:val="Tabletext"/>
              <w:rPr>
                <w:rFonts w:ascii="Calibri" w:hAnsi="Calibri" w:cs="Calibri"/>
                <w:sz w:val="20"/>
              </w:rPr>
            </w:pPr>
            <w:r>
              <w:rPr>
                <w:rFonts w:ascii="Calibri" w:hAnsi="Calibri" w:cs="Calibri"/>
                <w:sz w:val="20"/>
              </w:rPr>
              <w:t xml:space="preserve">The Price Response Service shall send the state Actual, the StartDate of the dashboard minus the price read offset, and the EndDate of the dashboard. It shall send VCBPrice for Category Price or VCBCost for Category Cost, and the MPR tags, comma separated, 100 in each call. </w:t>
            </w:r>
            <w:r w:rsidR="009C3F56">
              <w:rPr>
                <w:rFonts w:ascii="Calibri" w:hAnsi="Calibri" w:cs="Calibri"/>
                <w:sz w:val="20"/>
              </w:rPr>
              <w:t>It shall also send effectiveDate as the StartDate of the dashboard. For actual VCB prices, the price service shall use effectiveDate only to start the read of the price overrides</w:t>
            </w:r>
            <w:r w:rsidR="00D87FC6">
              <w:rPr>
                <w:rFonts w:ascii="Calibri" w:hAnsi="Calibri" w:cs="Calibri"/>
                <w:sz w:val="20"/>
              </w:rPr>
              <w:t>. Only the overrides of the period shall count.</w:t>
            </w:r>
            <w:r w:rsidR="008F2422">
              <w:rPr>
                <w:rFonts w:ascii="Calibri" w:hAnsi="Calibri" w:cs="Calibri"/>
                <w:sz w:val="20"/>
              </w:rPr>
              <w:t xml:space="preserve"> The Price Response Service shall get back the settled price</w:t>
            </w:r>
            <w:r w:rsidR="00F80961">
              <w:rPr>
                <w:rFonts w:ascii="Calibri" w:hAnsi="Calibri" w:cs="Calibri"/>
                <w:sz w:val="20"/>
              </w:rPr>
              <w:t xml:space="preserve"> of each MPR tag and day, with its RelativePeriodNum. The Price Response Service shall call the price service with a GET request. It shall sign in with the Microsoft Entra ID client credentials held in Key Vault. It shall need the read price permission of the price service.</w:t>
            </w:r>
          </w:p>
        </w:tc>
      </w:tr>
      <w:tr w:rsidR="00772610" w:rsidRPr="00C63A98" w14:paraId="1387D652" w14:textId="77777777" w:rsidTr="00C63A98">
        <w:trPr>
          <w:cantSplit/>
        </w:trPr>
        <w:tc>
          <w:tcPr>
            <w:tcW w:w="1660" w:type="dxa"/>
          </w:tcPr>
          <w:p w14:paraId="270D4BE1" w14:textId="5D35B0D9" w:rsidR="00772610" w:rsidRPr="00C63A98" w:rsidRDefault="00772610" w:rsidP="00FA3AEE">
            <w:pPr>
              <w:pStyle w:val="Tabletext"/>
              <w:rPr>
                <w:rFonts w:ascii="Calibri" w:hAnsi="Calibri" w:cs="Calibri"/>
                <w:sz w:val="20"/>
              </w:rPr>
            </w:pPr>
            <w:r>
              <w:rPr>
                <w:rFonts w:ascii="Calibri" w:hAnsi="Calibri" w:cs="Calibri"/>
                <w:sz w:val="20"/>
              </w:rPr>
              <w:t>Relative period</w:t>
            </w:r>
          </w:p>
        </w:tc>
        <w:tc>
          <w:tcPr>
            <w:tcW w:w="2196" w:type="dxa"/>
          </w:tcPr>
          <w:p w14:paraId="4424B9CD" w14:textId="6FCE6359" w:rsidR="00772610" w:rsidRPr="00C63A98" w:rsidRDefault="00772610" w:rsidP="00FA3AEE">
            <w:pPr>
              <w:pStyle w:val="Tabletext"/>
              <w:rPr>
                <w:rFonts w:ascii="Calibri" w:hAnsi="Calibri" w:cs="Calibri"/>
                <w:sz w:val="20"/>
              </w:rPr>
            </w:pPr>
            <w:r>
              <w:rPr>
                <w:rFonts w:ascii="Calibri" w:hAnsi="Calibri" w:cs="Calibri"/>
                <w:sz w:val="20"/>
              </w:rPr>
              <w:t>RelativePeriodNum = 0</w:t>
            </w:r>
          </w:p>
        </w:tc>
        <w:tc>
          <w:tcPr>
            <w:tcW w:w="5504" w:type="dxa"/>
          </w:tcPr>
          <w:p w14:paraId="4FF8B6C0" w14:textId="01821670" w:rsidR="00772610" w:rsidRDefault="004812A6" w:rsidP="00FA3AEE">
            <w:pPr>
              <w:pStyle w:val="Tabletext"/>
              <w:rPr>
                <w:rFonts w:ascii="Calibri" w:hAnsi="Calibri" w:cs="Calibri"/>
                <w:sz w:val="20"/>
              </w:rPr>
            </w:pPr>
            <w:r>
              <w:rPr>
                <w:rFonts w:ascii="Calibri" w:hAnsi="Calibri" w:cs="Calibri"/>
                <w:sz w:val="20"/>
              </w:rPr>
              <w:t>The Price Response Service shall use only the price rows where RelativePeriodNum is 0, the fixed value for actual prices.</w:t>
            </w:r>
            <w:r w:rsidR="00772610">
              <w:rPr>
                <w:rFonts w:ascii="Calibri" w:hAnsi="Calibri" w:cs="Calibri"/>
                <w:sz w:val="20"/>
              </w:rPr>
              <w:t xml:space="preserve"> </w:t>
            </w:r>
            <w:r w:rsidR="00873A53">
              <w:rPr>
                <w:rFonts w:ascii="Calibri" w:hAnsi="Calibri" w:cs="Calibri"/>
                <w:sz w:val="20"/>
              </w:rPr>
              <w:t>It shall do this before it fills the missing days and works out the average.</w:t>
            </w:r>
          </w:p>
        </w:tc>
      </w:tr>
      <w:tr w:rsidR="00C63A98" w:rsidRPr="00C63A98" w14:paraId="12E309A1" w14:textId="77777777" w:rsidTr="00C63A98">
        <w:trPr>
          <w:cantSplit/>
        </w:trPr>
        <w:tc>
          <w:tcPr>
            <w:tcW w:w="1660" w:type="dxa"/>
          </w:tcPr>
          <w:p w14:paraId="2DE54CAD" w14:textId="2016A4DC" w:rsidR="00C63A98" w:rsidRPr="00C63A98" w:rsidRDefault="00C63A98" w:rsidP="006958CC">
            <w:pPr>
              <w:pStyle w:val="Tabletext"/>
              <w:keepNext/>
              <w:rPr>
                <w:rFonts w:ascii="Calibri" w:hAnsi="Calibri" w:cs="Calibri"/>
                <w:sz w:val="20"/>
              </w:rPr>
            </w:pPr>
            <w:r w:rsidRPr="00C63A98">
              <w:rPr>
                <w:rFonts w:ascii="Calibri" w:hAnsi="Calibri" w:cs="Calibri"/>
                <w:sz w:val="20"/>
              </w:rPr>
              <w:t>Storage</w:t>
            </w:r>
          </w:p>
        </w:tc>
        <w:tc>
          <w:tcPr>
            <w:tcW w:w="2196" w:type="dxa"/>
          </w:tcPr>
          <w:p w14:paraId="50BB5FB0" w14:textId="069F815A" w:rsidR="00C63A98" w:rsidRPr="00C63A98" w:rsidRDefault="00C63A98" w:rsidP="006958CC">
            <w:pPr>
              <w:pStyle w:val="Tabletext"/>
              <w:keepNext/>
              <w:rPr>
                <w:rFonts w:ascii="Calibri" w:hAnsi="Calibri" w:cs="Calibri"/>
                <w:sz w:val="20"/>
              </w:rPr>
            </w:pPr>
            <w:r w:rsidRPr="00C63A98">
              <w:rPr>
                <w:rFonts w:ascii="Calibri" w:hAnsi="Calibri" w:cs="Calibri"/>
                <w:sz w:val="20"/>
              </w:rPr>
              <w:t>Not stored</w:t>
            </w:r>
          </w:p>
        </w:tc>
        <w:tc>
          <w:tcPr>
            <w:tcW w:w="5504" w:type="dxa"/>
          </w:tcPr>
          <w:p w14:paraId="3F52D0C8" w14:textId="2B3660E5" w:rsidR="00C63A98" w:rsidRPr="00C63A98" w:rsidRDefault="00873A53" w:rsidP="006958CC">
            <w:pPr>
              <w:pStyle w:val="Tabletext"/>
              <w:keepNext/>
              <w:rPr>
                <w:rFonts w:ascii="Calibri" w:hAnsi="Calibri" w:cs="Calibri"/>
                <w:sz w:val="20"/>
              </w:rPr>
            </w:pPr>
            <w:r>
              <w:rPr>
                <w:rFonts w:ascii="Calibri" w:hAnsi="Calibri" w:cs="Calibri"/>
                <w:sz w:val="20"/>
              </w:rPr>
              <w:t>The prices shall always be returned to the caller and never stored. The pricing request shall always send IsImport = true.</w:t>
            </w:r>
          </w:p>
        </w:tc>
      </w:tr>
      <w:tr w:rsidR="00C63A98" w:rsidRPr="00C63A98" w14:paraId="20A5ECC8" w14:textId="77777777" w:rsidTr="00C63A98">
        <w:trPr>
          <w:cantSplit/>
        </w:trPr>
        <w:tc>
          <w:tcPr>
            <w:tcW w:w="1660" w:type="dxa"/>
          </w:tcPr>
          <w:p w14:paraId="2AF51DB0" w14:textId="461D3D0E" w:rsidR="00C63A98" w:rsidRPr="00C63A98" w:rsidRDefault="00C63A98" w:rsidP="00FA3AEE">
            <w:pPr>
              <w:pStyle w:val="Tabletext"/>
              <w:keepNext/>
              <w:rPr>
                <w:rFonts w:ascii="Calibri" w:hAnsi="Calibri" w:cs="Calibri"/>
                <w:sz w:val="20"/>
              </w:rPr>
            </w:pPr>
            <w:r w:rsidRPr="00C63A98">
              <w:rPr>
                <w:rFonts w:ascii="Calibri" w:hAnsi="Calibri" w:cs="Calibri"/>
                <w:sz w:val="20"/>
              </w:rPr>
              <w:t>Missing tag</w:t>
            </w:r>
          </w:p>
        </w:tc>
        <w:tc>
          <w:tcPr>
            <w:tcW w:w="2196" w:type="dxa"/>
          </w:tcPr>
          <w:p w14:paraId="1880A542" w14:textId="4C7FB0AB" w:rsidR="00C63A98" w:rsidRPr="00C63A98" w:rsidRDefault="00C63A98" w:rsidP="00FA3AEE">
            <w:pPr>
              <w:pStyle w:val="Tabletext"/>
              <w:keepNext/>
              <w:rPr>
                <w:rFonts w:ascii="Calibri" w:hAnsi="Calibri" w:cs="Calibri"/>
                <w:sz w:val="20"/>
              </w:rPr>
            </w:pPr>
            <w:r w:rsidRPr="00C63A98">
              <w:rPr>
                <w:rFonts w:ascii="Calibri" w:hAnsi="Calibri" w:cs="Calibri"/>
                <w:sz w:val="20"/>
              </w:rPr>
              <w:t>MPR tag not found in MPR</w:t>
            </w:r>
          </w:p>
        </w:tc>
        <w:tc>
          <w:tcPr>
            <w:tcW w:w="5504" w:type="dxa"/>
          </w:tcPr>
          <w:p w14:paraId="1A5090EC" w14:textId="40F5B6F3" w:rsidR="00C63A98" w:rsidRPr="00C63A98" w:rsidRDefault="00F80961" w:rsidP="00FA3AEE">
            <w:pPr>
              <w:pStyle w:val="Tabletext"/>
              <w:keepNext/>
              <w:rPr>
                <w:rFonts w:ascii="Calibri" w:hAnsi="Calibri" w:cs="Calibri"/>
                <w:sz w:val="20"/>
              </w:rPr>
            </w:pPr>
            <w:r>
              <w:rPr>
                <w:rFonts w:ascii="Calibri" w:hAnsi="Calibri" w:cs="Calibri"/>
                <w:sz w:val="20"/>
              </w:rPr>
              <w:t>The price service shall send an IT error notification, and the response shall have no row for that tag.</w:t>
            </w:r>
          </w:p>
        </w:tc>
      </w:tr>
      <w:tr w:rsidR="00F80961" w:rsidRPr="00C63A98" w14:paraId="34C58BC6" w14:textId="77777777" w:rsidTr="00C63A98">
        <w:trPr>
          <w:cantSplit/>
        </w:trPr>
        <w:tc>
          <w:tcPr>
            <w:tcW w:w="1660" w:type="dxa"/>
          </w:tcPr>
          <w:p w14:paraId="5AFCB6B0" w14:textId="368005F1" w:rsidR="00F80961" w:rsidRPr="00C63A98" w:rsidRDefault="00F80961" w:rsidP="00FA3AEE">
            <w:pPr>
              <w:pStyle w:val="Tabletext"/>
              <w:keepNext/>
              <w:rPr>
                <w:rFonts w:ascii="Calibri" w:hAnsi="Calibri" w:cs="Calibri"/>
                <w:sz w:val="20"/>
              </w:rPr>
            </w:pPr>
            <w:r>
              <w:rPr>
                <w:rFonts w:ascii="Calibri" w:hAnsi="Calibri" w:cs="Calibri"/>
                <w:sz w:val="20"/>
              </w:rPr>
              <w:t>Untranslated tag</w:t>
            </w:r>
          </w:p>
        </w:tc>
        <w:tc>
          <w:tcPr>
            <w:tcW w:w="2196" w:type="dxa"/>
          </w:tcPr>
          <w:p w14:paraId="2BF96EA2" w14:textId="6870AE16" w:rsidR="00F80961" w:rsidRPr="00C63A98" w:rsidRDefault="00F80961" w:rsidP="00FA3AEE">
            <w:pPr>
              <w:pStyle w:val="Tabletext"/>
              <w:keepNext/>
              <w:rPr>
                <w:rFonts w:ascii="Calibri" w:hAnsi="Calibri" w:cs="Calibri"/>
                <w:sz w:val="20"/>
              </w:rPr>
            </w:pPr>
            <w:r>
              <w:rPr>
                <w:rFonts w:ascii="Calibri" w:hAnsi="Calibri" w:cs="Calibri"/>
                <w:sz w:val="20"/>
              </w:rPr>
              <w:t>MPR tag with no Profisee global code</w:t>
            </w:r>
          </w:p>
        </w:tc>
        <w:tc>
          <w:tcPr>
            <w:tcW w:w="5504" w:type="dxa"/>
          </w:tcPr>
          <w:p w14:paraId="1B15F786" w14:textId="1F304789" w:rsidR="00F80961" w:rsidRPr="00C63A98" w:rsidRDefault="004812A6" w:rsidP="00FA3AEE">
            <w:pPr>
              <w:pStyle w:val="Tabletext"/>
              <w:keepNext/>
              <w:rPr>
                <w:rFonts w:ascii="Calibri" w:hAnsi="Calibri" w:cs="Calibri"/>
                <w:sz w:val="20"/>
              </w:rPr>
            </w:pPr>
            <w:r>
              <w:rPr>
                <w:rFonts w:ascii="Calibri" w:hAnsi="Calibri" w:cs="Calibri"/>
                <w:sz w:val="20"/>
              </w:rPr>
              <w:t>The price service shall leave out the rows of that tag, so the response shall have no row for it.</w:t>
            </w:r>
            <w:r w:rsidR="00F80961">
              <w:rPr>
                <w:rFonts w:ascii="Calibri" w:hAnsi="Calibri" w:cs="Calibri"/>
                <w:sz w:val="20"/>
              </w:rPr>
              <w:t xml:space="preserve"> The price service shall send an IT error notification only when no tag in the call has a Profisee code.</w:t>
            </w:r>
          </w:p>
        </w:tc>
      </w:tr>
    </w:tbl>
    <w:p w14:paraId="7F25283E" w14:textId="76873C0D" w:rsidR="00C63A98" w:rsidRDefault="00C63A98" w:rsidP="00C63A98">
      <w:pPr>
        <w:pStyle w:val="Caption"/>
      </w:pPr>
      <w:bookmarkStart w:id="193" w:name="_Toc241311444"/>
      <w:bookmarkStart w:id="194" w:name="_Toc241574600"/>
      <w:bookmarkStart w:id="195" w:name="_Toc242554017"/>
      <w:r>
        <w:t xml:space="preserve">Table </w:t>
      </w:r>
      <w:bookmarkStart w:id="196" w:name="_Ref917260931"/>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19</w:t>
      </w:r>
      <w:r>
        <w:fldChar w:fldCharType="end"/>
      </w:r>
      <w:bookmarkEnd w:id="196"/>
      <w:r>
        <w:t xml:space="preserve">: </w:t>
      </w:r>
      <w:r w:rsidR="00AA30D8">
        <w:t xml:space="preserve">Actual Pricing data of products and blend components - </w:t>
      </w:r>
      <w:r>
        <w:t>Integration Specifics</w:t>
      </w:r>
      <w:bookmarkEnd w:id="193"/>
      <w:bookmarkEnd w:id="194"/>
      <w:bookmarkEnd w:id="195"/>
    </w:p>
    <w:p w14:paraId="7B9CDA9F" w14:textId="23842D5A" w:rsidR="004639A1" w:rsidRPr="00AA30D8" w:rsidRDefault="004639A1" w:rsidP="00AA30D8">
      <w:pPr>
        <w:pStyle w:val="Heading5"/>
        <w:rPr>
          <w:rFonts w:ascii="Calibri" w:hAnsi="Calibri" w:cs="Calibri"/>
          <w:sz w:val="20"/>
        </w:rPr>
      </w:pPr>
      <w:r w:rsidRPr="00AA30D8">
        <w:rPr>
          <w:rFonts w:ascii="Calibri" w:hAnsi="Calibri" w:cs="Calibri"/>
          <w:sz w:val="20"/>
        </w:rPr>
        <w:t>API Endpoints</w:t>
      </w:r>
    </w:p>
    <w:p w14:paraId="31A5E960" w14:textId="4C2FF2D2" w:rsidR="00FC42E7" w:rsidRPr="00EC3682" w:rsidRDefault="00FC42E7" w:rsidP="00FC42E7">
      <w:pPr>
        <w:pStyle w:val="ListParagraph"/>
        <w:numPr>
          <w:ilvl w:val="0"/>
          <w:numId w:val="4"/>
        </w:numPr>
        <w:jc w:val="left"/>
        <w:rPr>
          <w:rFonts w:ascii="Calibri" w:hAnsi="Calibri" w:cs="Calibri"/>
        </w:rPr>
      </w:pPr>
      <w:r>
        <w:t>The Price Request Service of the Cost API shall be the API endpoint that gives the average settled price of each MPR tag for a period from MPR.</w:t>
      </w:r>
    </w:p>
    <w:p w14:paraId="0FD2DC98" w14:textId="77557584" w:rsidR="009C3F56" w:rsidRPr="00EC3682" w:rsidRDefault="009C3F56" w:rsidP="009C3F56">
      <w:pPr>
        <w:pStyle w:val="ListParagraph"/>
        <w:numPr>
          <w:ilvl w:val="0"/>
          <w:numId w:val="4"/>
        </w:numPr>
        <w:jc w:val="left"/>
        <w:rPr>
          <w:rFonts w:ascii="Calibri" w:hAnsi="Calibri" w:cs="Calibri"/>
        </w:rPr>
      </w:pPr>
      <w:r>
        <w:t>The Price Request Service shall be called at POST api/v1/Price/GetPrices, and the Price Response Service at POST api/v1/Price/GetPricesData.</w:t>
      </w:r>
    </w:p>
    <w:p w14:paraId="45654C7A" w14:textId="34238D7E" w:rsidR="00C63A98" w:rsidRDefault="00FC42E7" w:rsidP="00FC42E7">
      <w:pPr>
        <w:keepNext/>
        <w:jc w:val="left"/>
      </w:pPr>
      <w:r>
        <w:t>The Price Response Service shall call two services:</w:t>
      </w:r>
    </w:p>
    <w:p w14:paraId="7A6F7114" w14:textId="20520294" w:rsidR="00772610" w:rsidRDefault="00772610" w:rsidP="00FC42E7">
      <w:pPr>
        <w:pStyle w:val="ListParagraph"/>
        <w:numPr>
          <w:ilvl w:val="0"/>
          <w:numId w:val="4"/>
        </w:numPr>
        <w:jc w:val="left"/>
      </w:pPr>
      <w:r>
        <w:t>Semantic Service, to get the MPR tags: api/Semantic/GetSourceEntityCodeByTargetDomain/{sourceDomain}/{targetDomain}/{entity}</w:t>
      </w:r>
    </w:p>
    <w:p w14:paraId="12B13566" w14:textId="26B4A7BF" w:rsidR="00772610" w:rsidRDefault="00AB52BC" w:rsidP="00FC42E7">
      <w:pPr>
        <w:pStyle w:val="ListParagraph"/>
        <w:numPr>
          <w:ilvl w:val="0"/>
          <w:numId w:val="4"/>
        </w:numPr>
        <w:jc w:val="left"/>
      </w:pPr>
      <w:r>
        <w:t>Price service, to get the prices (MPR tags separated by commas): api/v1/PriceCost/Actual/{effectiveDate}/{endDate}/{category}/{priceIds}?startDate={startDate}</w:t>
      </w:r>
    </w:p>
    <w:p w14:paraId="1EB1830A" w14:textId="77777777" w:rsidR="00C63A98" w:rsidRDefault="00C63A98" w:rsidP="00FC42E7">
      <w:pPr>
        <w:keepNext/>
        <w:jc w:val="left"/>
      </w:pPr>
      <w:r>
        <w:t>Request Parameters: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87"/>
        <w:gridCol w:w="4168"/>
        <w:gridCol w:w="1492"/>
        <w:gridCol w:w="1613"/>
      </w:tblGrid>
      <w:tr w:rsidR="00C63A98" w:rsidRPr="00C63A98" w14:paraId="25C0BAF5" w14:textId="77777777" w:rsidTr="00C63A98">
        <w:trPr>
          <w:cantSplit/>
          <w:tblHeader/>
        </w:trPr>
        <w:tc>
          <w:tcPr>
            <w:tcW w:w="2087" w:type="dxa"/>
            <w:shd w:val="clear" w:color="auto" w:fill="2F5597"/>
          </w:tcPr>
          <w:p w14:paraId="676CDEAF" w14:textId="0045C577" w:rsidR="00C63A98" w:rsidRPr="00C63A98" w:rsidRDefault="00C63A98" w:rsidP="00AA30D8">
            <w:pPr>
              <w:pStyle w:val="Tablehead1"/>
              <w:rPr>
                <w:rFonts w:ascii="Calibri" w:hAnsi="Calibri" w:cs="Calibri"/>
                <w:sz w:val="20"/>
              </w:rPr>
            </w:pPr>
            <w:r w:rsidRPr="00C63A98">
              <w:rPr>
                <w:rFonts w:ascii="Calibri" w:hAnsi="Calibri" w:cs="Calibri"/>
                <w:sz w:val="20"/>
              </w:rPr>
              <w:t>Parameter</w:t>
            </w:r>
          </w:p>
        </w:tc>
        <w:tc>
          <w:tcPr>
            <w:tcW w:w="4168" w:type="dxa"/>
            <w:shd w:val="clear" w:color="auto" w:fill="2F5597"/>
          </w:tcPr>
          <w:p w14:paraId="56A7C7CC" w14:textId="2FF8D9D4"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c>
          <w:tcPr>
            <w:tcW w:w="1492" w:type="dxa"/>
            <w:shd w:val="clear" w:color="auto" w:fill="2F5597"/>
          </w:tcPr>
          <w:p w14:paraId="7DA8D058" w14:textId="606B54F0" w:rsidR="00C63A98" w:rsidRPr="00C63A98" w:rsidRDefault="00C63A98" w:rsidP="00AA30D8">
            <w:pPr>
              <w:pStyle w:val="Tablehead1"/>
              <w:rPr>
                <w:rFonts w:ascii="Calibri" w:hAnsi="Calibri" w:cs="Calibri"/>
                <w:sz w:val="20"/>
              </w:rPr>
            </w:pPr>
            <w:r w:rsidRPr="00C63A98">
              <w:rPr>
                <w:rFonts w:ascii="Calibri" w:hAnsi="Calibri" w:cs="Calibri"/>
                <w:sz w:val="20"/>
              </w:rPr>
              <w:t>Mandatory</w:t>
            </w:r>
          </w:p>
        </w:tc>
        <w:tc>
          <w:tcPr>
            <w:tcW w:w="1613" w:type="dxa"/>
            <w:shd w:val="clear" w:color="auto" w:fill="2F5597"/>
          </w:tcPr>
          <w:p w14:paraId="504DCE1B" w14:textId="5CFE06D4" w:rsidR="00C63A98" w:rsidRPr="00C63A98" w:rsidRDefault="00C63A98" w:rsidP="00AA30D8">
            <w:pPr>
              <w:pStyle w:val="Tablehead1"/>
              <w:rPr>
                <w:rFonts w:ascii="Calibri" w:hAnsi="Calibri" w:cs="Calibri"/>
                <w:sz w:val="20"/>
              </w:rPr>
            </w:pPr>
            <w:r w:rsidRPr="00C63A98">
              <w:rPr>
                <w:rFonts w:ascii="Calibri" w:hAnsi="Calibri" w:cs="Calibri"/>
                <w:sz w:val="20"/>
              </w:rPr>
              <w:t>Type</w:t>
            </w:r>
          </w:p>
        </w:tc>
      </w:tr>
      <w:tr w:rsidR="00C63A98" w:rsidRPr="00C63A98" w14:paraId="318903D2" w14:textId="77777777" w:rsidTr="00C63A98">
        <w:trPr>
          <w:cantSplit/>
        </w:trPr>
        <w:tc>
          <w:tcPr>
            <w:tcW w:w="2087" w:type="dxa"/>
          </w:tcPr>
          <w:p w14:paraId="6DD10C10" w14:textId="2297F525" w:rsidR="00C63A98" w:rsidRPr="00C63A98" w:rsidRDefault="00C63A98" w:rsidP="00AA30D8">
            <w:pPr>
              <w:pStyle w:val="Tabletext"/>
              <w:keepNext/>
              <w:rPr>
                <w:rFonts w:ascii="Calibri" w:hAnsi="Calibri" w:cs="Calibri"/>
                <w:sz w:val="20"/>
              </w:rPr>
            </w:pPr>
            <w:r w:rsidRPr="00C63A98">
              <w:rPr>
                <w:rFonts w:ascii="Calibri" w:hAnsi="Calibri" w:cs="Calibri"/>
                <w:sz w:val="20"/>
              </w:rPr>
              <w:t>StartDate</w:t>
            </w:r>
          </w:p>
        </w:tc>
        <w:tc>
          <w:tcPr>
            <w:tcW w:w="4168" w:type="dxa"/>
          </w:tcPr>
          <w:p w14:paraId="07C8B176" w14:textId="5AD54123" w:rsidR="00C63A98" w:rsidRPr="00C63A98" w:rsidRDefault="00F80961" w:rsidP="00AA30D8">
            <w:pPr>
              <w:pStyle w:val="Tabletext"/>
              <w:keepNext/>
              <w:rPr>
                <w:rFonts w:ascii="Calibri" w:hAnsi="Calibri" w:cs="Calibri"/>
                <w:sz w:val="20"/>
              </w:rPr>
            </w:pPr>
            <w:r>
              <w:rPr>
                <w:rFonts w:ascii="Calibri" w:hAnsi="Calibri" w:cs="Calibri"/>
                <w:sz w:val="20"/>
              </w:rPr>
              <w:t>First day of the period. Not later than EndDate</w:t>
            </w:r>
          </w:p>
        </w:tc>
        <w:tc>
          <w:tcPr>
            <w:tcW w:w="1492" w:type="dxa"/>
          </w:tcPr>
          <w:p w14:paraId="394CA1DB" w14:textId="0504D275"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1613" w:type="dxa"/>
          </w:tcPr>
          <w:p w14:paraId="4BEA2BEB" w14:textId="1FB74060" w:rsidR="00C63A98" w:rsidRPr="00C63A98" w:rsidRDefault="00C63A98" w:rsidP="00AA30D8">
            <w:pPr>
              <w:pStyle w:val="Tabletext"/>
              <w:keepNext/>
              <w:rPr>
                <w:rFonts w:ascii="Calibri" w:hAnsi="Calibri" w:cs="Calibri"/>
                <w:sz w:val="20"/>
              </w:rPr>
            </w:pPr>
            <w:r w:rsidRPr="00C63A98">
              <w:rPr>
                <w:rFonts w:ascii="Calibri" w:hAnsi="Calibri" w:cs="Calibri"/>
                <w:sz w:val="20"/>
              </w:rPr>
              <w:t>DateTime</w:t>
            </w:r>
          </w:p>
        </w:tc>
      </w:tr>
      <w:tr w:rsidR="00C63A98" w:rsidRPr="00C63A98" w14:paraId="23810D7A" w14:textId="77777777" w:rsidTr="00C63A98">
        <w:trPr>
          <w:cantSplit/>
        </w:trPr>
        <w:tc>
          <w:tcPr>
            <w:tcW w:w="2087" w:type="dxa"/>
          </w:tcPr>
          <w:p w14:paraId="70646F1F" w14:textId="6CBDB0B0" w:rsidR="00C63A98" w:rsidRPr="00C63A98" w:rsidRDefault="00C63A98" w:rsidP="00AA30D8">
            <w:pPr>
              <w:pStyle w:val="Tabletext"/>
              <w:keepNext/>
              <w:rPr>
                <w:rFonts w:ascii="Calibri" w:hAnsi="Calibri" w:cs="Calibri"/>
                <w:sz w:val="20"/>
              </w:rPr>
            </w:pPr>
            <w:r w:rsidRPr="00C63A98">
              <w:rPr>
                <w:rFonts w:ascii="Calibri" w:hAnsi="Calibri" w:cs="Calibri"/>
                <w:sz w:val="20"/>
              </w:rPr>
              <w:t>EndDate</w:t>
            </w:r>
          </w:p>
        </w:tc>
        <w:tc>
          <w:tcPr>
            <w:tcW w:w="4168" w:type="dxa"/>
          </w:tcPr>
          <w:p w14:paraId="5807DE50" w14:textId="0C7F46D4" w:rsidR="00C63A98" w:rsidRPr="00C63A98" w:rsidRDefault="00C63A98" w:rsidP="00AA30D8">
            <w:pPr>
              <w:pStyle w:val="Tabletext"/>
              <w:keepNext/>
              <w:rPr>
                <w:rFonts w:ascii="Calibri" w:hAnsi="Calibri" w:cs="Calibri"/>
                <w:sz w:val="20"/>
              </w:rPr>
            </w:pPr>
            <w:r w:rsidRPr="00C63A98">
              <w:rPr>
                <w:rFonts w:ascii="Calibri" w:hAnsi="Calibri" w:cs="Calibri"/>
                <w:sz w:val="20"/>
              </w:rPr>
              <w:t>Last day of the period, included</w:t>
            </w:r>
          </w:p>
        </w:tc>
        <w:tc>
          <w:tcPr>
            <w:tcW w:w="1492" w:type="dxa"/>
          </w:tcPr>
          <w:p w14:paraId="40E88C30" w14:textId="15AD5632"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1613" w:type="dxa"/>
          </w:tcPr>
          <w:p w14:paraId="3456E135" w14:textId="1C096DB4" w:rsidR="00C63A98" w:rsidRPr="00C63A98" w:rsidRDefault="00C63A98" w:rsidP="00AA30D8">
            <w:pPr>
              <w:pStyle w:val="Tabletext"/>
              <w:keepNext/>
              <w:rPr>
                <w:rFonts w:ascii="Calibri" w:hAnsi="Calibri" w:cs="Calibri"/>
                <w:sz w:val="20"/>
              </w:rPr>
            </w:pPr>
            <w:r w:rsidRPr="00C63A98">
              <w:rPr>
                <w:rFonts w:ascii="Calibri" w:hAnsi="Calibri" w:cs="Calibri"/>
                <w:sz w:val="20"/>
              </w:rPr>
              <w:t>DateTime</w:t>
            </w:r>
          </w:p>
        </w:tc>
      </w:tr>
      <w:tr w:rsidR="00C63A98" w:rsidRPr="00C63A98" w14:paraId="0D3BE0DA" w14:textId="77777777" w:rsidTr="00C63A98">
        <w:trPr>
          <w:cantSplit/>
        </w:trPr>
        <w:tc>
          <w:tcPr>
            <w:tcW w:w="2087" w:type="dxa"/>
          </w:tcPr>
          <w:p w14:paraId="25DE8B3D" w14:textId="0EAE92E1" w:rsidR="00C63A98" w:rsidRPr="00C63A98" w:rsidRDefault="00C63A98" w:rsidP="00AA30D8">
            <w:pPr>
              <w:pStyle w:val="Tabletext"/>
              <w:keepNext/>
              <w:rPr>
                <w:rFonts w:ascii="Calibri" w:hAnsi="Calibri" w:cs="Calibri"/>
                <w:sz w:val="20"/>
              </w:rPr>
            </w:pPr>
            <w:r w:rsidRPr="00C63A98">
              <w:rPr>
                <w:rFonts w:ascii="Calibri" w:hAnsi="Calibri" w:cs="Calibri"/>
                <w:sz w:val="20"/>
              </w:rPr>
              <w:t>IsImport</w:t>
            </w:r>
          </w:p>
        </w:tc>
        <w:tc>
          <w:tcPr>
            <w:tcW w:w="4168" w:type="dxa"/>
          </w:tcPr>
          <w:p w14:paraId="659063AC" w14:textId="440447EE" w:rsidR="00C63A98" w:rsidRPr="00C63A98" w:rsidRDefault="00873A53" w:rsidP="00AA30D8">
            <w:pPr>
              <w:pStyle w:val="Tabletext"/>
              <w:keepNext/>
              <w:rPr>
                <w:rFonts w:ascii="Calibri" w:hAnsi="Calibri" w:cs="Calibri"/>
                <w:sz w:val="20"/>
              </w:rPr>
            </w:pPr>
            <w:r>
              <w:rPr>
                <w:rFonts w:ascii="Calibri" w:hAnsi="Calibri" w:cs="Calibri"/>
                <w:sz w:val="20"/>
              </w:rPr>
              <w:t>The dashboard shall always send true.</w:t>
            </w:r>
            <w:r w:rsidR="00636937">
              <w:rPr>
                <w:rFonts w:ascii="Calibri" w:hAnsi="Calibri" w:cs="Calibri"/>
                <w:sz w:val="20"/>
              </w:rPr>
              <w:t xml:space="preserve"> </w:t>
            </w:r>
            <w:r>
              <w:rPr>
                <w:rFonts w:ascii="Calibri" w:hAnsi="Calibri" w:cs="Calibri"/>
                <w:sz w:val="20"/>
              </w:rPr>
              <w:t>The prices shall always be returned and never stored</w:t>
            </w:r>
          </w:p>
        </w:tc>
        <w:tc>
          <w:tcPr>
            <w:tcW w:w="1492" w:type="dxa"/>
          </w:tcPr>
          <w:p w14:paraId="6F4CA662" w14:textId="51743AD3" w:rsidR="00C63A98" w:rsidRPr="00C63A98" w:rsidRDefault="00AB52BC" w:rsidP="00AA30D8">
            <w:pPr>
              <w:pStyle w:val="Tabletext"/>
              <w:keepNext/>
              <w:rPr>
                <w:rFonts w:ascii="Calibri" w:hAnsi="Calibri" w:cs="Calibri"/>
                <w:sz w:val="20"/>
              </w:rPr>
            </w:pPr>
            <w:r>
              <w:rPr>
                <w:rFonts w:ascii="Calibri" w:hAnsi="Calibri" w:cs="Calibri"/>
                <w:sz w:val="20"/>
              </w:rPr>
              <w:t>No</w:t>
            </w:r>
          </w:p>
        </w:tc>
        <w:tc>
          <w:tcPr>
            <w:tcW w:w="1613" w:type="dxa"/>
          </w:tcPr>
          <w:p w14:paraId="6A97E2D4" w14:textId="1369BA28" w:rsidR="00C63A98" w:rsidRPr="00C63A98" w:rsidRDefault="00C63A98" w:rsidP="00AA30D8">
            <w:pPr>
              <w:pStyle w:val="Tabletext"/>
              <w:keepNext/>
              <w:rPr>
                <w:rFonts w:ascii="Calibri" w:hAnsi="Calibri" w:cs="Calibri"/>
                <w:sz w:val="20"/>
              </w:rPr>
            </w:pPr>
            <w:r w:rsidRPr="00C63A98">
              <w:rPr>
                <w:rFonts w:ascii="Calibri" w:hAnsi="Calibri" w:cs="Calibri"/>
                <w:sz w:val="20"/>
              </w:rPr>
              <w:t>Boolean</w:t>
            </w:r>
          </w:p>
        </w:tc>
      </w:tr>
      <w:tr w:rsidR="000A106D" w:rsidRPr="00C63A98" w14:paraId="0B1D8FCE" w14:textId="77777777" w:rsidTr="00C63A98">
        <w:trPr>
          <w:cantSplit/>
        </w:trPr>
        <w:tc>
          <w:tcPr>
            <w:tcW w:w="2087" w:type="dxa"/>
          </w:tcPr>
          <w:p w14:paraId="0CA61077" w14:textId="08227D4C" w:rsidR="000A106D" w:rsidRDefault="000A106D" w:rsidP="00AA30D8">
            <w:pPr>
              <w:pStyle w:val="Tabletext"/>
              <w:keepNext/>
              <w:rPr>
                <w:rFonts w:ascii="Calibri" w:hAnsi="Calibri" w:cs="Calibri"/>
                <w:sz w:val="20"/>
              </w:rPr>
            </w:pPr>
            <w:r>
              <w:rPr>
                <w:rFonts w:ascii="Calibri" w:hAnsi="Calibri" w:cs="Calibri"/>
                <w:sz w:val="20"/>
              </w:rPr>
              <w:t>UseServiceBus</w:t>
            </w:r>
          </w:p>
        </w:tc>
        <w:tc>
          <w:tcPr>
            <w:tcW w:w="4168" w:type="dxa"/>
          </w:tcPr>
          <w:p w14:paraId="59D25303" w14:textId="492843E3" w:rsidR="000A106D" w:rsidRDefault="00873A53" w:rsidP="00AA30D8">
            <w:pPr>
              <w:pStyle w:val="Tabletext"/>
              <w:keepNext/>
              <w:rPr>
                <w:rFonts w:ascii="Calibri" w:hAnsi="Calibri" w:cs="Calibri"/>
                <w:sz w:val="20"/>
              </w:rPr>
            </w:pPr>
            <w:r>
              <w:rPr>
                <w:rFonts w:ascii="Calibri" w:hAnsi="Calibri" w:cs="Calibri"/>
                <w:sz w:val="20"/>
              </w:rPr>
              <w:t>True or not sent: the request shall go through the durable functions and queues.</w:t>
            </w:r>
            <w:r w:rsidR="000A106D">
              <w:rPr>
                <w:rFonts w:ascii="Calibri" w:hAnsi="Calibri" w:cs="Calibri"/>
                <w:sz w:val="20"/>
              </w:rPr>
              <w:t xml:space="preserve"> </w:t>
            </w:r>
            <w:r>
              <w:rPr>
                <w:rFonts w:ascii="Calibri" w:hAnsi="Calibri" w:cs="Calibri"/>
                <w:sz w:val="20"/>
              </w:rPr>
              <w:t>False: the Price Response Service shall be called directly</w:t>
            </w:r>
          </w:p>
        </w:tc>
        <w:tc>
          <w:tcPr>
            <w:tcW w:w="1492" w:type="dxa"/>
          </w:tcPr>
          <w:p w14:paraId="74C77340" w14:textId="249D0663" w:rsidR="000A106D" w:rsidRDefault="000A106D" w:rsidP="00AA30D8">
            <w:pPr>
              <w:pStyle w:val="Tabletext"/>
              <w:keepNext/>
              <w:rPr>
                <w:rFonts w:ascii="Calibri" w:hAnsi="Calibri" w:cs="Calibri"/>
                <w:sz w:val="20"/>
              </w:rPr>
            </w:pPr>
            <w:r>
              <w:rPr>
                <w:rFonts w:ascii="Calibri" w:hAnsi="Calibri" w:cs="Calibri"/>
                <w:sz w:val="20"/>
              </w:rPr>
              <w:t>No</w:t>
            </w:r>
          </w:p>
        </w:tc>
        <w:tc>
          <w:tcPr>
            <w:tcW w:w="1613" w:type="dxa"/>
          </w:tcPr>
          <w:p w14:paraId="229D644D" w14:textId="370AD078" w:rsidR="000A106D" w:rsidRDefault="000A106D" w:rsidP="00AA30D8">
            <w:pPr>
              <w:pStyle w:val="Tabletext"/>
              <w:keepNext/>
              <w:rPr>
                <w:rFonts w:ascii="Calibri" w:hAnsi="Calibri" w:cs="Calibri"/>
                <w:sz w:val="20"/>
              </w:rPr>
            </w:pPr>
            <w:r>
              <w:rPr>
                <w:rFonts w:ascii="Calibri" w:hAnsi="Calibri" w:cs="Calibri"/>
                <w:sz w:val="20"/>
              </w:rPr>
              <w:t>Boolean</w:t>
            </w:r>
          </w:p>
        </w:tc>
      </w:tr>
      <w:tr w:rsidR="00AB52BC" w:rsidRPr="00C63A98" w14:paraId="28F5E984" w14:textId="77777777" w:rsidTr="00C63A98">
        <w:trPr>
          <w:cantSplit/>
        </w:trPr>
        <w:tc>
          <w:tcPr>
            <w:tcW w:w="2087" w:type="dxa"/>
          </w:tcPr>
          <w:p w14:paraId="68F366B3" w14:textId="36EB8AB3" w:rsidR="00AB52BC" w:rsidRPr="00C63A98" w:rsidRDefault="00AB52BC" w:rsidP="00AA30D8">
            <w:pPr>
              <w:pStyle w:val="Tabletext"/>
              <w:keepNext/>
              <w:rPr>
                <w:rFonts w:ascii="Calibri" w:hAnsi="Calibri" w:cs="Calibri"/>
                <w:sz w:val="20"/>
              </w:rPr>
            </w:pPr>
            <w:r>
              <w:rPr>
                <w:rFonts w:ascii="Calibri" w:hAnsi="Calibri" w:cs="Calibri"/>
                <w:sz w:val="20"/>
              </w:rPr>
              <w:t>Category</w:t>
            </w:r>
          </w:p>
        </w:tc>
        <w:tc>
          <w:tcPr>
            <w:tcW w:w="4168" w:type="dxa"/>
          </w:tcPr>
          <w:p w14:paraId="5CB7D551" w14:textId="05EF1252" w:rsidR="00AB52BC" w:rsidRDefault="0023739F" w:rsidP="00AA30D8">
            <w:pPr>
              <w:pStyle w:val="Tabletext"/>
              <w:keepNext/>
              <w:rPr>
                <w:rFonts w:ascii="Calibri" w:hAnsi="Calibri" w:cs="Calibri"/>
                <w:sz w:val="20"/>
              </w:rPr>
            </w:pPr>
            <w:r>
              <w:rPr>
                <w:rFonts w:ascii="Calibri" w:hAnsi="Calibri" w:cs="Calibri"/>
                <w:sz w:val="20"/>
              </w:rPr>
              <w:t>The user shall pick the category (Price or Cost) on the dashboard; Price shall be the default.</w:t>
            </w:r>
          </w:p>
        </w:tc>
        <w:tc>
          <w:tcPr>
            <w:tcW w:w="1492" w:type="dxa"/>
          </w:tcPr>
          <w:p w14:paraId="137F5AAC" w14:textId="542DA0A0" w:rsidR="00AB52BC" w:rsidRDefault="00AB52BC" w:rsidP="00AA30D8">
            <w:pPr>
              <w:pStyle w:val="Tabletext"/>
              <w:keepNext/>
              <w:rPr>
                <w:rFonts w:ascii="Calibri" w:hAnsi="Calibri" w:cs="Calibri"/>
                <w:sz w:val="20"/>
              </w:rPr>
            </w:pPr>
            <w:r>
              <w:rPr>
                <w:rFonts w:ascii="Calibri" w:hAnsi="Calibri" w:cs="Calibri"/>
                <w:sz w:val="20"/>
              </w:rPr>
              <w:t>No</w:t>
            </w:r>
          </w:p>
        </w:tc>
        <w:tc>
          <w:tcPr>
            <w:tcW w:w="1613" w:type="dxa"/>
          </w:tcPr>
          <w:p w14:paraId="17C62E96" w14:textId="7577EE57" w:rsidR="00AB52BC" w:rsidRPr="00C63A98" w:rsidRDefault="00AB52BC" w:rsidP="00AA30D8">
            <w:pPr>
              <w:pStyle w:val="Tabletext"/>
              <w:keepNext/>
              <w:rPr>
                <w:rFonts w:ascii="Calibri" w:hAnsi="Calibri" w:cs="Calibri"/>
                <w:sz w:val="20"/>
              </w:rPr>
            </w:pPr>
            <w:r>
              <w:rPr>
                <w:rFonts w:ascii="Calibri" w:hAnsi="Calibri" w:cs="Calibri"/>
                <w:sz w:val="20"/>
              </w:rPr>
              <w:t>String</w:t>
            </w:r>
          </w:p>
        </w:tc>
      </w:tr>
    </w:tbl>
    <w:p w14:paraId="741B3B68" w14:textId="68A89CB0" w:rsidR="00C63A98" w:rsidRDefault="00C63A98" w:rsidP="00C63A98">
      <w:pPr>
        <w:pStyle w:val="Caption"/>
      </w:pPr>
      <w:bookmarkStart w:id="197" w:name="_Toc241311445"/>
      <w:bookmarkStart w:id="198" w:name="_Toc241574601"/>
      <w:bookmarkStart w:id="199" w:name="_Toc242554018"/>
      <w:r>
        <w:t xml:space="preserve">Table </w:t>
      </w:r>
      <w:bookmarkStart w:id="200" w:name="_Ref917260919"/>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20</w:t>
      </w:r>
      <w:r>
        <w:fldChar w:fldCharType="end"/>
      </w:r>
      <w:bookmarkEnd w:id="200"/>
      <w:r>
        <w:t xml:space="preserve">: </w:t>
      </w:r>
      <w:r w:rsidR="00AA30D8">
        <w:t xml:space="preserve">Actual Pricing data of products and blend components - </w:t>
      </w:r>
      <w:r>
        <w:t>API Endpoint - Request Parameters</w:t>
      </w:r>
      <w:bookmarkEnd w:id="197"/>
      <w:bookmarkEnd w:id="198"/>
      <w:bookmarkEnd w:id="199"/>
    </w:p>
    <w:p w14:paraId="6E4C9843" w14:textId="77777777" w:rsidR="00C63A98" w:rsidRDefault="00C63A98" w:rsidP="00FC42E7">
      <w:pPr>
        <w:keepNext/>
        <w:jc w:val="left"/>
      </w:pPr>
      <w:r>
        <w:t>Response Model:</w:t>
      </w:r>
    </w:p>
    <w:tbl>
      <w:tblPr>
        <w:tblStyle w:val="TableGrid"/>
        <w:tblW w:w="93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2"/>
        <w:gridCol w:w="2060"/>
        <w:gridCol w:w="1216"/>
        <w:gridCol w:w="1216"/>
        <w:gridCol w:w="1124"/>
        <w:gridCol w:w="1876"/>
      </w:tblGrid>
      <w:tr w:rsidR="00C63A98" w:rsidRPr="00C63A98" w14:paraId="4B880D46" w14:textId="777C344D" w:rsidTr="000A106D">
        <w:trPr>
          <w:cantSplit/>
          <w:tblHeader/>
        </w:trPr>
        <w:tc>
          <w:tcPr>
            <w:tcW w:w="1872" w:type="dxa"/>
            <w:shd w:val="clear" w:color="auto" w:fill="2F5597"/>
          </w:tcPr>
          <w:p w14:paraId="61D635E2" w14:textId="2E43299D" w:rsidR="00C63A98" w:rsidRPr="00C63A98" w:rsidRDefault="00AA30D8" w:rsidP="00C63A98">
            <w:pPr>
              <w:pStyle w:val="Tablehead1"/>
              <w:rPr>
                <w:rFonts w:ascii="Calibri" w:hAnsi="Calibri" w:cs="Calibri"/>
                <w:sz w:val="20"/>
              </w:rPr>
            </w:pPr>
            <w:r>
              <w:rPr>
                <w:rFonts w:ascii="Calibri" w:hAnsi="Calibri" w:cs="Calibri"/>
                <w:sz w:val="20"/>
              </w:rPr>
              <w:t>Attribute</w:t>
            </w:r>
          </w:p>
        </w:tc>
        <w:tc>
          <w:tcPr>
            <w:tcW w:w="2060" w:type="dxa"/>
            <w:shd w:val="clear" w:color="auto" w:fill="2F5597"/>
          </w:tcPr>
          <w:p w14:paraId="71DDF9C3" w14:textId="59277C44" w:rsidR="00C63A98" w:rsidRPr="00C63A98" w:rsidRDefault="00AA30D8" w:rsidP="00C63A98">
            <w:pPr>
              <w:pStyle w:val="Tablehead1"/>
              <w:rPr>
                <w:rFonts w:ascii="Calibri" w:hAnsi="Calibri" w:cs="Calibri"/>
                <w:sz w:val="20"/>
              </w:rPr>
            </w:pPr>
            <w:r>
              <w:rPr>
                <w:rFonts w:ascii="Calibri" w:hAnsi="Calibri" w:cs="Calibri"/>
                <w:sz w:val="20"/>
              </w:rPr>
              <w:t>Description</w:t>
            </w:r>
          </w:p>
        </w:tc>
        <w:tc>
          <w:tcPr>
            <w:tcW w:w="1216" w:type="dxa"/>
            <w:shd w:val="clear" w:color="auto" w:fill="2F5597"/>
          </w:tcPr>
          <w:p w14:paraId="6BC3A5CC" w14:textId="0AD029EB" w:rsidR="00C63A98" w:rsidRPr="00C63A98" w:rsidRDefault="00AA30D8" w:rsidP="00C63A98">
            <w:pPr>
              <w:pStyle w:val="Tablehead1"/>
              <w:rPr>
                <w:rFonts w:ascii="Calibri" w:hAnsi="Calibri" w:cs="Calibri"/>
                <w:sz w:val="20"/>
              </w:rPr>
            </w:pPr>
            <w:r>
              <w:rPr>
                <w:rFonts w:ascii="Calibri" w:hAnsi="Calibri" w:cs="Calibri"/>
                <w:sz w:val="20"/>
              </w:rPr>
              <w:t>Mandatory</w:t>
            </w:r>
          </w:p>
        </w:tc>
        <w:tc>
          <w:tcPr>
            <w:tcW w:w="1216" w:type="dxa"/>
            <w:shd w:val="clear" w:color="auto" w:fill="2F5597"/>
          </w:tcPr>
          <w:p w14:paraId="4BBC7BF8" w14:textId="5C11DD7A" w:rsidR="00C63A98" w:rsidRPr="00C63A98" w:rsidRDefault="00AA30D8" w:rsidP="00C63A98">
            <w:pPr>
              <w:pStyle w:val="Tablehead1"/>
              <w:rPr>
                <w:rFonts w:ascii="Calibri" w:hAnsi="Calibri" w:cs="Calibri"/>
                <w:sz w:val="20"/>
              </w:rPr>
            </w:pPr>
            <w:r>
              <w:rPr>
                <w:rFonts w:ascii="Calibri" w:hAnsi="Calibri" w:cs="Calibri"/>
                <w:sz w:val="20"/>
              </w:rPr>
              <w:t>Composite Key</w:t>
            </w:r>
          </w:p>
        </w:tc>
        <w:tc>
          <w:tcPr>
            <w:tcW w:w="1124" w:type="dxa"/>
            <w:shd w:val="clear" w:color="auto" w:fill="2F5597"/>
          </w:tcPr>
          <w:p w14:paraId="18ECB27C" w14:textId="719DD590" w:rsidR="00C63A98" w:rsidRPr="00C63A98" w:rsidRDefault="00AA30D8" w:rsidP="00C63A98">
            <w:pPr>
              <w:pStyle w:val="Tablehead1"/>
              <w:rPr>
                <w:rFonts w:ascii="Calibri" w:hAnsi="Calibri" w:cs="Calibri"/>
                <w:sz w:val="20"/>
              </w:rPr>
            </w:pPr>
            <w:r>
              <w:rPr>
                <w:rFonts w:ascii="Calibri" w:hAnsi="Calibri" w:cs="Calibri"/>
                <w:sz w:val="20"/>
              </w:rPr>
              <w:t>Type</w:t>
            </w:r>
          </w:p>
        </w:tc>
        <w:tc>
          <w:tcPr>
            <w:tcW w:w="1876" w:type="dxa"/>
            <w:shd w:val="clear" w:color="auto" w:fill="2F5597"/>
          </w:tcPr>
          <w:p w14:paraId="72EF6DA6" w14:textId="4F16F511" w:rsidR="00C63A98" w:rsidRPr="00C63A98" w:rsidRDefault="00AA30D8" w:rsidP="00C63A98">
            <w:pPr>
              <w:pStyle w:val="Tablehead1"/>
              <w:rPr>
                <w:rFonts w:ascii="Calibri" w:hAnsi="Calibri" w:cs="Calibri"/>
                <w:sz w:val="20"/>
              </w:rPr>
            </w:pPr>
            <w:r>
              <w:rPr>
                <w:rFonts w:ascii="Calibri" w:hAnsi="Calibri" w:cs="Calibri"/>
                <w:sz w:val="20"/>
              </w:rPr>
              <w:t>Example</w:t>
            </w:r>
          </w:p>
        </w:tc>
      </w:tr>
      <w:tr w:rsidR="00451F42" w:rsidRPr="00C63A98" w14:paraId="37C49658" w14:textId="77777777" w:rsidTr="000A106D">
        <w:trPr>
          <w:cantSplit/>
        </w:trPr>
        <w:tc>
          <w:tcPr>
            <w:tcW w:w="1872" w:type="dxa"/>
          </w:tcPr>
          <w:p w14:paraId="4B7C580C" w14:textId="47704FD2" w:rsidR="00451F42" w:rsidRPr="00C63A98" w:rsidRDefault="00AA30D8" w:rsidP="00C63A98">
            <w:pPr>
              <w:pStyle w:val="Tabletext"/>
              <w:rPr>
                <w:rFonts w:ascii="Calibri" w:hAnsi="Calibri" w:cs="Calibri"/>
                <w:sz w:val="20"/>
              </w:rPr>
            </w:pPr>
            <w:r>
              <w:rPr>
                <w:rFonts w:ascii="Calibri" w:hAnsi="Calibri" w:cs="Calibri"/>
                <w:sz w:val="20"/>
              </w:rPr>
              <w:t>state</w:t>
            </w:r>
          </w:p>
        </w:tc>
        <w:tc>
          <w:tcPr>
            <w:tcW w:w="2060" w:type="dxa"/>
          </w:tcPr>
          <w:p w14:paraId="7C4A919B" w14:textId="021A862E" w:rsidR="00451F42" w:rsidRPr="00C63A98" w:rsidRDefault="00AA30D8" w:rsidP="00C63A98">
            <w:pPr>
              <w:pStyle w:val="Tabletext"/>
              <w:rPr>
                <w:rFonts w:ascii="Calibri" w:hAnsi="Calibri" w:cs="Calibri"/>
                <w:sz w:val="20"/>
              </w:rPr>
            </w:pPr>
            <w:r>
              <w:rPr>
                <w:rFonts w:ascii="Calibri" w:hAnsi="Calibri" w:cs="Calibri"/>
                <w:sz w:val="20"/>
              </w:rPr>
              <w:t>Data state</w:t>
            </w:r>
          </w:p>
        </w:tc>
        <w:tc>
          <w:tcPr>
            <w:tcW w:w="1216" w:type="dxa"/>
          </w:tcPr>
          <w:p w14:paraId="53C0F1ED" w14:textId="3460FCC6" w:rsidR="00451F42" w:rsidRPr="00C63A98" w:rsidRDefault="00AA30D8" w:rsidP="00C63A98">
            <w:pPr>
              <w:pStyle w:val="Tabletext"/>
              <w:rPr>
                <w:rFonts w:ascii="Calibri" w:hAnsi="Calibri" w:cs="Calibri"/>
                <w:sz w:val="20"/>
              </w:rPr>
            </w:pPr>
            <w:r>
              <w:rPr>
                <w:rFonts w:ascii="Calibri" w:hAnsi="Calibri" w:cs="Calibri"/>
                <w:sz w:val="20"/>
              </w:rPr>
              <w:t>Yes</w:t>
            </w:r>
          </w:p>
        </w:tc>
        <w:tc>
          <w:tcPr>
            <w:tcW w:w="1216" w:type="dxa"/>
          </w:tcPr>
          <w:p w14:paraId="2C0DEC70" w14:textId="54D8B83C" w:rsidR="00451F42"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2D344846" w14:textId="07CE058F" w:rsidR="00451F42" w:rsidRPr="00C63A9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49C57920" w14:textId="69236633" w:rsidR="00451F42" w:rsidRPr="00C63A98" w:rsidRDefault="00AA30D8" w:rsidP="00C63A98">
            <w:pPr>
              <w:pStyle w:val="Tabletext"/>
              <w:rPr>
                <w:rFonts w:ascii="Calibri" w:hAnsi="Calibri" w:cs="Calibri"/>
                <w:sz w:val="20"/>
              </w:rPr>
            </w:pPr>
            <w:r>
              <w:rPr>
                <w:rFonts w:ascii="Calibri" w:hAnsi="Calibri" w:cs="Calibri"/>
                <w:sz w:val="20"/>
              </w:rPr>
              <w:t>Actual</w:t>
            </w:r>
          </w:p>
        </w:tc>
      </w:tr>
      <w:tr w:rsidR="00AA30D8" w:rsidRPr="00C63A98" w14:paraId="69F1EB01" w14:textId="77777777" w:rsidTr="000A106D">
        <w:trPr>
          <w:cantSplit/>
        </w:trPr>
        <w:tc>
          <w:tcPr>
            <w:tcW w:w="1872" w:type="dxa"/>
          </w:tcPr>
          <w:p w14:paraId="426BE360" w14:textId="0E149DC1" w:rsidR="00AA30D8" w:rsidRDefault="00AA30D8" w:rsidP="00C63A98">
            <w:pPr>
              <w:pStyle w:val="Tabletext"/>
              <w:rPr>
                <w:rFonts w:ascii="Calibri" w:hAnsi="Calibri" w:cs="Calibri"/>
                <w:sz w:val="20"/>
              </w:rPr>
            </w:pPr>
            <w:r>
              <w:rPr>
                <w:rFonts w:ascii="Calibri" w:hAnsi="Calibri" w:cs="Calibri"/>
                <w:sz w:val="20"/>
              </w:rPr>
              <w:t>priceCosts</w:t>
            </w:r>
          </w:p>
        </w:tc>
        <w:tc>
          <w:tcPr>
            <w:tcW w:w="2060" w:type="dxa"/>
          </w:tcPr>
          <w:p w14:paraId="3FFEB00B" w14:textId="540E637C" w:rsidR="00AA30D8" w:rsidRDefault="00CE45AF" w:rsidP="00C63A98">
            <w:pPr>
              <w:pStyle w:val="Tabletext"/>
              <w:rPr>
                <w:rFonts w:ascii="Calibri" w:hAnsi="Calibri" w:cs="Calibri"/>
                <w:sz w:val="20"/>
              </w:rPr>
            </w:pPr>
            <w:r>
              <w:rPr>
                <w:rFonts w:ascii="Calibri" w:hAnsi="Calibri" w:cs="Calibri"/>
                <w:sz w:val="20"/>
              </w:rPr>
              <w:t>List of the rows below, one per MPR tag for the period</w:t>
            </w:r>
          </w:p>
        </w:tc>
        <w:tc>
          <w:tcPr>
            <w:tcW w:w="1216" w:type="dxa"/>
          </w:tcPr>
          <w:p w14:paraId="28B46B7E" w14:textId="0F8A1F51"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2C8C7DEB" w14:textId="1920B136"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24C75C3E" w14:textId="40E0187A" w:rsidR="00AA30D8" w:rsidRDefault="00AA30D8" w:rsidP="00C63A98">
            <w:pPr>
              <w:pStyle w:val="Tabletext"/>
              <w:rPr>
                <w:rFonts w:ascii="Calibri" w:hAnsi="Calibri" w:cs="Calibri"/>
                <w:sz w:val="20"/>
              </w:rPr>
            </w:pPr>
            <w:r>
              <w:rPr>
                <w:rFonts w:ascii="Calibri" w:hAnsi="Calibri" w:cs="Calibri"/>
                <w:sz w:val="20"/>
              </w:rPr>
              <w:t>List</w:t>
            </w:r>
          </w:p>
        </w:tc>
        <w:tc>
          <w:tcPr>
            <w:tcW w:w="1876" w:type="dxa"/>
          </w:tcPr>
          <w:p w14:paraId="0F2A6F06" w14:textId="77777777" w:rsidR="00AA30D8" w:rsidRPr="00C63A98" w:rsidRDefault="00AA30D8" w:rsidP="00C63A98">
            <w:pPr>
              <w:pStyle w:val="Tabletext"/>
              <w:rPr>
                <w:rFonts w:ascii="Calibri" w:hAnsi="Calibri" w:cs="Calibri"/>
                <w:sz w:val="20"/>
              </w:rPr>
            </w:pPr>
          </w:p>
        </w:tc>
      </w:tr>
      <w:tr w:rsidR="00AA30D8" w:rsidRPr="00C63A98" w14:paraId="438888E6" w14:textId="77777777" w:rsidTr="000A106D">
        <w:trPr>
          <w:cantSplit/>
        </w:trPr>
        <w:tc>
          <w:tcPr>
            <w:tcW w:w="1872" w:type="dxa"/>
          </w:tcPr>
          <w:p w14:paraId="09E22948" w14:textId="7017E70B" w:rsidR="00AA30D8" w:rsidRDefault="00AA30D8" w:rsidP="00C63A98">
            <w:pPr>
              <w:pStyle w:val="Tabletext"/>
              <w:rPr>
                <w:rFonts w:ascii="Calibri" w:hAnsi="Calibri" w:cs="Calibri"/>
                <w:sz w:val="20"/>
              </w:rPr>
            </w:pPr>
            <w:r>
              <w:rPr>
                <w:rFonts w:ascii="Calibri" w:hAnsi="Calibri" w:cs="Calibri"/>
                <w:sz w:val="20"/>
              </w:rPr>
              <w:t>priceId</w:t>
            </w:r>
          </w:p>
        </w:tc>
        <w:tc>
          <w:tcPr>
            <w:tcW w:w="2060" w:type="dxa"/>
          </w:tcPr>
          <w:p w14:paraId="44565AB1" w14:textId="60079252" w:rsidR="00AA30D8" w:rsidRDefault="00AA30D8" w:rsidP="00C63A98">
            <w:pPr>
              <w:pStyle w:val="Tabletext"/>
              <w:rPr>
                <w:rFonts w:ascii="Calibri" w:hAnsi="Calibri" w:cs="Calibri"/>
                <w:sz w:val="20"/>
              </w:rPr>
            </w:pPr>
            <w:r>
              <w:rPr>
                <w:rFonts w:ascii="Calibri" w:hAnsi="Calibri" w:cs="Calibri"/>
                <w:sz w:val="20"/>
              </w:rPr>
              <w:t>MPR tag</w:t>
            </w:r>
          </w:p>
        </w:tc>
        <w:tc>
          <w:tcPr>
            <w:tcW w:w="1216" w:type="dxa"/>
          </w:tcPr>
          <w:p w14:paraId="3FE2003B" w14:textId="1D854169"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5C2FBFA8" w14:textId="163B2F2C"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2ED88346" w14:textId="421F9CB4" w:rsidR="00AA30D8" w:rsidRDefault="00610DB7" w:rsidP="00C63A98">
            <w:pPr>
              <w:pStyle w:val="Tabletext"/>
              <w:rPr>
                <w:rFonts w:ascii="Calibri" w:hAnsi="Calibri" w:cs="Calibri"/>
                <w:sz w:val="20"/>
              </w:rPr>
            </w:pPr>
            <w:r>
              <w:rPr>
                <w:rFonts w:ascii="Calibri" w:hAnsi="Calibri" w:cs="Calibri"/>
                <w:sz w:val="20"/>
              </w:rPr>
              <w:t>String</w:t>
            </w:r>
          </w:p>
        </w:tc>
        <w:tc>
          <w:tcPr>
            <w:tcW w:w="1876" w:type="dxa"/>
          </w:tcPr>
          <w:p w14:paraId="4330D5D8" w14:textId="7BC7719C" w:rsidR="00AA30D8" w:rsidRPr="00C63A98" w:rsidRDefault="00AB52BC" w:rsidP="00C63A98">
            <w:pPr>
              <w:pStyle w:val="Tabletext"/>
              <w:rPr>
                <w:rFonts w:ascii="Calibri" w:hAnsi="Calibri" w:cs="Calibri"/>
                <w:sz w:val="20"/>
              </w:rPr>
            </w:pPr>
            <w:r>
              <w:rPr>
                <w:rFonts w:ascii="Calibri" w:hAnsi="Calibri" w:cs="Calibri"/>
                <w:sz w:val="20"/>
              </w:rPr>
              <w:t>15094</w:t>
            </w:r>
          </w:p>
        </w:tc>
      </w:tr>
      <w:tr w:rsidR="00AA30D8" w:rsidRPr="00C63A98" w14:paraId="6A77ADC4" w14:textId="77777777" w:rsidTr="000A106D">
        <w:trPr>
          <w:cantSplit/>
        </w:trPr>
        <w:tc>
          <w:tcPr>
            <w:tcW w:w="1872" w:type="dxa"/>
          </w:tcPr>
          <w:p w14:paraId="0E81DCFD" w14:textId="03D29D47" w:rsidR="00AA30D8" w:rsidRDefault="00AA30D8" w:rsidP="00C63A98">
            <w:pPr>
              <w:pStyle w:val="Tabletext"/>
              <w:rPr>
                <w:rFonts w:ascii="Calibri" w:hAnsi="Calibri" w:cs="Calibri"/>
                <w:sz w:val="20"/>
              </w:rPr>
            </w:pPr>
            <w:r>
              <w:rPr>
                <w:rFonts w:ascii="Calibri" w:hAnsi="Calibri" w:cs="Calibri"/>
                <w:sz w:val="20"/>
              </w:rPr>
              <w:t>type</w:t>
            </w:r>
          </w:p>
        </w:tc>
        <w:tc>
          <w:tcPr>
            <w:tcW w:w="2060" w:type="dxa"/>
          </w:tcPr>
          <w:p w14:paraId="27079082" w14:textId="41E86F8E" w:rsidR="00AA30D8" w:rsidRDefault="00AA30D8" w:rsidP="00C63A98">
            <w:pPr>
              <w:pStyle w:val="Tabletext"/>
              <w:rPr>
                <w:rFonts w:ascii="Calibri" w:hAnsi="Calibri" w:cs="Calibri"/>
                <w:sz w:val="20"/>
              </w:rPr>
            </w:pPr>
            <w:r>
              <w:rPr>
                <w:rFonts w:ascii="Calibri" w:hAnsi="Calibri" w:cs="Calibri"/>
                <w:sz w:val="20"/>
              </w:rPr>
              <w:t>Price type</w:t>
            </w:r>
          </w:p>
        </w:tc>
        <w:tc>
          <w:tcPr>
            <w:tcW w:w="1216" w:type="dxa"/>
          </w:tcPr>
          <w:p w14:paraId="683F8059" w14:textId="0D0C6E5C"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672BCE37" w14:textId="778D7A8E"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169305CD" w14:textId="30F275BF"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21523994" w14:textId="609BEE4F" w:rsidR="00AA30D8" w:rsidRPr="00C63A98" w:rsidRDefault="00AA30D8" w:rsidP="00C63A98">
            <w:pPr>
              <w:pStyle w:val="Tabletext"/>
              <w:rPr>
                <w:rFonts w:ascii="Calibri" w:hAnsi="Calibri" w:cs="Calibri"/>
                <w:sz w:val="20"/>
              </w:rPr>
            </w:pPr>
            <w:r>
              <w:rPr>
                <w:rFonts w:ascii="Calibri" w:hAnsi="Calibri" w:cs="Calibri"/>
                <w:sz w:val="20"/>
              </w:rPr>
              <w:t>Settle</w:t>
            </w:r>
          </w:p>
        </w:tc>
      </w:tr>
      <w:tr w:rsidR="00AA30D8" w:rsidRPr="00C63A98" w14:paraId="3492A14B" w14:textId="77777777" w:rsidTr="000A106D">
        <w:trPr>
          <w:cantSplit/>
        </w:trPr>
        <w:tc>
          <w:tcPr>
            <w:tcW w:w="1872" w:type="dxa"/>
          </w:tcPr>
          <w:p w14:paraId="4C0204E0" w14:textId="5912494E" w:rsidR="00AA30D8" w:rsidRDefault="00AA30D8" w:rsidP="00C63A98">
            <w:pPr>
              <w:pStyle w:val="Tabletext"/>
              <w:rPr>
                <w:rFonts w:ascii="Calibri" w:hAnsi="Calibri" w:cs="Calibri"/>
                <w:sz w:val="20"/>
              </w:rPr>
            </w:pPr>
            <w:r>
              <w:rPr>
                <w:rFonts w:ascii="Calibri" w:hAnsi="Calibri" w:cs="Calibri"/>
                <w:sz w:val="20"/>
              </w:rPr>
              <w:t>globalCode</w:t>
            </w:r>
          </w:p>
        </w:tc>
        <w:tc>
          <w:tcPr>
            <w:tcW w:w="2060" w:type="dxa"/>
          </w:tcPr>
          <w:p w14:paraId="0481F09A" w14:textId="0E48422E" w:rsidR="00AA30D8" w:rsidRDefault="00794AE6" w:rsidP="00C63A98">
            <w:pPr>
              <w:pStyle w:val="Tabletext"/>
              <w:rPr>
                <w:rFonts w:ascii="Calibri" w:hAnsi="Calibri" w:cs="Calibri"/>
                <w:sz w:val="20"/>
              </w:rPr>
            </w:pPr>
            <w:r>
              <w:rPr>
                <w:rFonts w:ascii="Calibri" w:hAnsi="Calibri" w:cs="Calibri"/>
                <w:sz w:val="20"/>
              </w:rPr>
              <w:t>Profisee code of the MPR tag</w:t>
            </w:r>
          </w:p>
        </w:tc>
        <w:tc>
          <w:tcPr>
            <w:tcW w:w="1216" w:type="dxa"/>
          </w:tcPr>
          <w:p w14:paraId="07F7F4A7" w14:textId="7E1E9E7D"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4E7160B1" w14:textId="09A3960C"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6E973EB7" w14:textId="77B32A60"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3B4DD935" w14:textId="2AD8CF70" w:rsidR="00AA30D8" w:rsidRPr="00C63A98" w:rsidRDefault="00AA30D8" w:rsidP="00C63A98">
            <w:pPr>
              <w:pStyle w:val="Tabletext"/>
              <w:rPr>
                <w:rFonts w:ascii="Calibri" w:hAnsi="Calibri" w:cs="Calibri"/>
                <w:sz w:val="20"/>
              </w:rPr>
            </w:pPr>
          </w:p>
        </w:tc>
      </w:tr>
      <w:tr w:rsidR="00AA30D8" w:rsidRPr="00C63A98" w14:paraId="01DA1542" w14:textId="77777777" w:rsidTr="000A106D">
        <w:trPr>
          <w:cantSplit/>
        </w:trPr>
        <w:tc>
          <w:tcPr>
            <w:tcW w:w="1872" w:type="dxa"/>
          </w:tcPr>
          <w:p w14:paraId="594E4FB0" w14:textId="1C9C3F6E" w:rsidR="00AA30D8" w:rsidRDefault="00AA30D8" w:rsidP="00C63A98">
            <w:pPr>
              <w:pStyle w:val="Tabletext"/>
              <w:rPr>
                <w:rFonts w:ascii="Calibri" w:hAnsi="Calibri" w:cs="Calibri"/>
                <w:sz w:val="20"/>
              </w:rPr>
            </w:pPr>
            <w:r>
              <w:rPr>
                <w:rFonts w:ascii="Calibri" w:hAnsi="Calibri" w:cs="Calibri"/>
                <w:sz w:val="20"/>
              </w:rPr>
              <w:t>price</w:t>
            </w:r>
          </w:p>
        </w:tc>
        <w:tc>
          <w:tcPr>
            <w:tcW w:w="2060" w:type="dxa"/>
          </w:tcPr>
          <w:p w14:paraId="2C5400C9" w14:textId="77193D0F" w:rsidR="00AA30D8" w:rsidRDefault="00F80961" w:rsidP="00C63A98">
            <w:pPr>
              <w:pStyle w:val="Tabletext"/>
              <w:rPr>
                <w:rFonts w:ascii="Calibri" w:hAnsi="Calibri" w:cs="Calibri"/>
                <w:sz w:val="20"/>
              </w:rPr>
            </w:pPr>
            <w:r>
              <w:rPr>
                <w:rFonts w:ascii="Calibri" w:hAnsi="Calibri" w:cs="Calibri"/>
                <w:sz w:val="20"/>
              </w:rPr>
              <w:t>Average of the settled prices over every calendar day of the period, rounded to two decimals</w:t>
            </w:r>
          </w:p>
        </w:tc>
        <w:tc>
          <w:tcPr>
            <w:tcW w:w="1216" w:type="dxa"/>
          </w:tcPr>
          <w:p w14:paraId="2DAEDD70" w14:textId="1C01C2F0"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2871D0EE" w14:textId="63BFF298"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3168F9A0" w14:textId="0AA0439D" w:rsidR="00AA30D8" w:rsidRDefault="00AA30D8" w:rsidP="00C63A98">
            <w:pPr>
              <w:pStyle w:val="Tabletext"/>
              <w:rPr>
                <w:rFonts w:ascii="Calibri" w:hAnsi="Calibri" w:cs="Calibri"/>
                <w:sz w:val="20"/>
              </w:rPr>
            </w:pPr>
            <w:r>
              <w:rPr>
                <w:rFonts w:ascii="Calibri" w:hAnsi="Calibri" w:cs="Calibri"/>
                <w:sz w:val="20"/>
              </w:rPr>
              <w:t>Decimal</w:t>
            </w:r>
          </w:p>
        </w:tc>
        <w:tc>
          <w:tcPr>
            <w:tcW w:w="1876" w:type="dxa"/>
          </w:tcPr>
          <w:p w14:paraId="233D4DB0" w14:textId="0B1869F8" w:rsidR="00AA30D8" w:rsidRPr="00C63A98" w:rsidRDefault="00F80961" w:rsidP="00C63A98">
            <w:pPr>
              <w:pStyle w:val="Tabletext"/>
              <w:rPr>
                <w:rFonts w:ascii="Calibri" w:hAnsi="Calibri" w:cs="Calibri"/>
                <w:sz w:val="20"/>
              </w:rPr>
            </w:pPr>
            <w:r>
              <w:rPr>
                <w:rFonts w:ascii="Calibri" w:hAnsi="Calibri" w:cs="Calibri"/>
                <w:sz w:val="20"/>
              </w:rPr>
              <w:t>18.86</w:t>
            </w:r>
          </w:p>
        </w:tc>
      </w:tr>
      <w:tr w:rsidR="00AA30D8" w:rsidRPr="00C63A98" w14:paraId="6B61FE06" w14:textId="77777777" w:rsidTr="000A106D">
        <w:trPr>
          <w:cantSplit/>
        </w:trPr>
        <w:tc>
          <w:tcPr>
            <w:tcW w:w="1872" w:type="dxa"/>
          </w:tcPr>
          <w:p w14:paraId="03056423" w14:textId="7D11AD31" w:rsidR="00AA30D8" w:rsidRDefault="00AA30D8" w:rsidP="00C63A98">
            <w:pPr>
              <w:pStyle w:val="Tabletext"/>
              <w:rPr>
                <w:rFonts w:ascii="Calibri" w:hAnsi="Calibri" w:cs="Calibri"/>
                <w:sz w:val="20"/>
              </w:rPr>
            </w:pPr>
            <w:r>
              <w:rPr>
                <w:rFonts w:ascii="Calibri" w:hAnsi="Calibri" w:cs="Calibri"/>
                <w:sz w:val="20"/>
              </w:rPr>
              <w:t>priceOverride</w:t>
            </w:r>
          </w:p>
        </w:tc>
        <w:tc>
          <w:tcPr>
            <w:tcW w:w="2060" w:type="dxa"/>
          </w:tcPr>
          <w:p w14:paraId="00DF57BA" w14:textId="1A9C11BF" w:rsidR="00AA30D8" w:rsidRDefault="00794AE6" w:rsidP="00C63A98">
            <w:pPr>
              <w:pStyle w:val="Tabletext"/>
              <w:rPr>
                <w:rFonts w:ascii="Calibri" w:hAnsi="Calibri" w:cs="Calibri"/>
                <w:sz w:val="20"/>
              </w:rPr>
            </w:pPr>
            <w:r>
              <w:rPr>
                <w:rFonts w:ascii="Calibri" w:hAnsi="Calibri" w:cs="Calibri"/>
                <w:sz w:val="20"/>
              </w:rPr>
              <w:t>Override price from the platform's price override table, when one is set</w:t>
            </w:r>
          </w:p>
        </w:tc>
        <w:tc>
          <w:tcPr>
            <w:tcW w:w="1216" w:type="dxa"/>
          </w:tcPr>
          <w:p w14:paraId="13353937" w14:textId="478E16F5" w:rsidR="00AA30D8" w:rsidRDefault="00AA30D8" w:rsidP="00C63A98">
            <w:pPr>
              <w:pStyle w:val="Tabletext"/>
              <w:rPr>
                <w:rFonts w:ascii="Calibri" w:hAnsi="Calibri" w:cs="Calibri"/>
                <w:sz w:val="20"/>
              </w:rPr>
            </w:pPr>
            <w:r>
              <w:rPr>
                <w:rFonts w:ascii="Calibri" w:hAnsi="Calibri" w:cs="Calibri"/>
                <w:sz w:val="20"/>
              </w:rPr>
              <w:t>No</w:t>
            </w:r>
          </w:p>
        </w:tc>
        <w:tc>
          <w:tcPr>
            <w:tcW w:w="1216" w:type="dxa"/>
          </w:tcPr>
          <w:p w14:paraId="7BE0B7C1" w14:textId="55CA9FD0"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76F670CF" w14:textId="31138E9F" w:rsidR="00AA30D8" w:rsidRDefault="00AA30D8" w:rsidP="00C63A98">
            <w:pPr>
              <w:pStyle w:val="Tabletext"/>
              <w:rPr>
                <w:rFonts w:ascii="Calibri" w:hAnsi="Calibri" w:cs="Calibri"/>
                <w:sz w:val="20"/>
              </w:rPr>
            </w:pPr>
            <w:r>
              <w:rPr>
                <w:rFonts w:ascii="Calibri" w:hAnsi="Calibri" w:cs="Calibri"/>
                <w:sz w:val="20"/>
              </w:rPr>
              <w:t>Decimal</w:t>
            </w:r>
          </w:p>
        </w:tc>
        <w:tc>
          <w:tcPr>
            <w:tcW w:w="1876" w:type="dxa"/>
          </w:tcPr>
          <w:p w14:paraId="6752B7CC" w14:textId="56532687" w:rsidR="00AA30D8" w:rsidRPr="00C63A98" w:rsidRDefault="00AA30D8" w:rsidP="00C63A98">
            <w:pPr>
              <w:pStyle w:val="Tabletext"/>
              <w:rPr>
                <w:rFonts w:ascii="Calibri" w:hAnsi="Calibri" w:cs="Calibri"/>
                <w:sz w:val="20"/>
              </w:rPr>
            </w:pPr>
            <w:r>
              <w:rPr>
                <w:rFonts w:ascii="Calibri" w:hAnsi="Calibri" w:cs="Calibri"/>
                <w:sz w:val="20"/>
              </w:rPr>
              <w:t>null</w:t>
            </w:r>
          </w:p>
        </w:tc>
      </w:tr>
      <w:tr w:rsidR="00AA30D8" w:rsidRPr="00C63A98" w14:paraId="5A4237F4" w14:textId="77777777" w:rsidTr="000A106D">
        <w:trPr>
          <w:cantSplit/>
        </w:trPr>
        <w:tc>
          <w:tcPr>
            <w:tcW w:w="1872" w:type="dxa"/>
          </w:tcPr>
          <w:p w14:paraId="748F4660" w14:textId="4EF9EECC" w:rsidR="00AA30D8" w:rsidRDefault="00AA30D8" w:rsidP="00C63A98">
            <w:pPr>
              <w:pStyle w:val="Tabletext"/>
              <w:rPr>
                <w:rFonts w:ascii="Calibri" w:hAnsi="Calibri" w:cs="Calibri"/>
                <w:sz w:val="20"/>
              </w:rPr>
            </w:pPr>
            <w:r>
              <w:rPr>
                <w:rFonts w:ascii="Calibri" w:hAnsi="Calibri" w:cs="Calibri"/>
                <w:sz w:val="20"/>
              </w:rPr>
              <w:t>productAbbreviation</w:t>
            </w:r>
          </w:p>
        </w:tc>
        <w:tc>
          <w:tcPr>
            <w:tcW w:w="2060" w:type="dxa"/>
          </w:tcPr>
          <w:p w14:paraId="378BC7B6" w14:textId="654AD535" w:rsidR="00AA30D8" w:rsidRDefault="00AA30D8" w:rsidP="00C63A98">
            <w:pPr>
              <w:pStyle w:val="Tabletext"/>
              <w:rPr>
                <w:rFonts w:ascii="Calibri" w:hAnsi="Calibri" w:cs="Calibri"/>
                <w:sz w:val="20"/>
              </w:rPr>
            </w:pPr>
            <w:r>
              <w:rPr>
                <w:rFonts w:ascii="Calibri" w:hAnsi="Calibri" w:cs="Calibri"/>
                <w:sz w:val="20"/>
              </w:rPr>
              <w:t>Abbreviation of the product</w:t>
            </w:r>
          </w:p>
        </w:tc>
        <w:tc>
          <w:tcPr>
            <w:tcW w:w="1216" w:type="dxa"/>
          </w:tcPr>
          <w:p w14:paraId="08796E42" w14:textId="02E24EF0"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358784FD" w14:textId="5961CC4C"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2B059B6E" w14:textId="3EFB0A41"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1128834F" w14:textId="2E5CFF9F" w:rsidR="00AA30D8" w:rsidRPr="00C63A98" w:rsidRDefault="00AA30D8" w:rsidP="00C63A98">
            <w:pPr>
              <w:pStyle w:val="Tabletext"/>
              <w:rPr>
                <w:rFonts w:ascii="Calibri" w:hAnsi="Calibri" w:cs="Calibri"/>
                <w:sz w:val="20"/>
              </w:rPr>
            </w:pPr>
          </w:p>
        </w:tc>
      </w:tr>
      <w:tr w:rsidR="00AA30D8" w:rsidRPr="00C63A98" w14:paraId="7D6CA967" w14:textId="77777777" w:rsidTr="000A106D">
        <w:trPr>
          <w:cantSplit/>
        </w:trPr>
        <w:tc>
          <w:tcPr>
            <w:tcW w:w="1872" w:type="dxa"/>
          </w:tcPr>
          <w:p w14:paraId="2D8C73F8" w14:textId="0C709D5D" w:rsidR="00AA30D8" w:rsidRDefault="00AA30D8" w:rsidP="00C63A98">
            <w:pPr>
              <w:pStyle w:val="Tabletext"/>
              <w:rPr>
                <w:rFonts w:ascii="Calibri" w:hAnsi="Calibri" w:cs="Calibri"/>
                <w:sz w:val="20"/>
              </w:rPr>
            </w:pPr>
            <w:r>
              <w:rPr>
                <w:rFonts w:ascii="Calibri" w:hAnsi="Calibri" w:cs="Calibri"/>
                <w:sz w:val="20"/>
              </w:rPr>
              <w:t>publisherCategory</w:t>
            </w:r>
          </w:p>
        </w:tc>
        <w:tc>
          <w:tcPr>
            <w:tcW w:w="2060" w:type="dxa"/>
          </w:tcPr>
          <w:p w14:paraId="0049C205" w14:textId="5751A12C" w:rsidR="00AA30D8" w:rsidRDefault="00AA30D8" w:rsidP="00C63A98">
            <w:pPr>
              <w:pStyle w:val="Tabletext"/>
              <w:rPr>
                <w:rFonts w:ascii="Calibri" w:hAnsi="Calibri" w:cs="Calibri"/>
                <w:sz w:val="20"/>
              </w:rPr>
            </w:pPr>
            <w:r>
              <w:rPr>
                <w:rFonts w:ascii="Calibri" w:hAnsi="Calibri" w:cs="Calibri"/>
                <w:sz w:val="20"/>
              </w:rPr>
              <w:t>Publisher category, when MPR holds one</w:t>
            </w:r>
          </w:p>
        </w:tc>
        <w:tc>
          <w:tcPr>
            <w:tcW w:w="1216" w:type="dxa"/>
          </w:tcPr>
          <w:p w14:paraId="28A4F3E3" w14:textId="71A0EB26" w:rsidR="00AA30D8" w:rsidRDefault="00AA30D8" w:rsidP="00C63A98">
            <w:pPr>
              <w:pStyle w:val="Tabletext"/>
              <w:rPr>
                <w:rFonts w:ascii="Calibri" w:hAnsi="Calibri" w:cs="Calibri"/>
                <w:sz w:val="20"/>
              </w:rPr>
            </w:pPr>
            <w:r>
              <w:rPr>
                <w:rFonts w:ascii="Calibri" w:hAnsi="Calibri" w:cs="Calibri"/>
                <w:sz w:val="20"/>
              </w:rPr>
              <w:t>No</w:t>
            </w:r>
          </w:p>
        </w:tc>
        <w:tc>
          <w:tcPr>
            <w:tcW w:w="1216" w:type="dxa"/>
          </w:tcPr>
          <w:p w14:paraId="5B2D1C8A" w14:textId="17E7625E"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6CACB086" w14:textId="456A0CA9"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37FCEF14" w14:textId="107492FA" w:rsidR="00AA30D8" w:rsidRPr="00C63A98" w:rsidRDefault="00AA30D8" w:rsidP="00C63A98">
            <w:pPr>
              <w:pStyle w:val="Tabletext"/>
              <w:rPr>
                <w:rFonts w:ascii="Calibri" w:hAnsi="Calibri" w:cs="Calibri"/>
                <w:sz w:val="20"/>
              </w:rPr>
            </w:pPr>
            <w:r>
              <w:rPr>
                <w:rFonts w:ascii="Calibri" w:hAnsi="Calibri" w:cs="Calibri"/>
                <w:sz w:val="20"/>
              </w:rPr>
              <w:t>null</w:t>
            </w:r>
          </w:p>
        </w:tc>
      </w:tr>
      <w:tr w:rsidR="00AA30D8" w:rsidRPr="00C63A98" w14:paraId="2377C029" w14:textId="77777777" w:rsidTr="000A106D">
        <w:trPr>
          <w:cantSplit/>
        </w:trPr>
        <w:tc>
          <w:tcPr>
            <w:tcW w:w="1872" w:type="dxa"/>
          </w:tcPr>
          <w:p w14:paraId="3E86044D" w14:textId="633743A8" w:rsidR="00AA30D8" w:rsidRDefault="00AA30D8" w:rsidP="00C63A98">
            <w:pPr>
              <w:pStyle w:val="Tabletext"/>
              <w:rPr>
                <w:rFonts w:ascii="Calibri" w:hAnsi="Calibri" w:cs="Calibri"/>
                <w:sz w:val="20"/>
              </w:rPr>
            </w:pPr>
            <w:r>
              <w:rPr>
                <w:rFonts w:ascii="Calibri" w:hAnsi="Calibri" w:cs="Calibri"/>
                <w:sz w:val="20"/>
              </w:rPr>
              <w:t>category</w:t>
            </w:r>
          </w:p>
        </w:tc>
        <w:tc>
          <w:tcPr>
            <w:tcW w:w="2060" w:type="dxa"/>
          </w:tcPr>
          <w:p w14:paraId="365FE35A" w14:textId="2439C46B" w:rsidR="00AA30D8" w:rsidRDefault="00CE45AF" w:rsidP="00C63A98">
            <w:pPr>
              <w:pStyle w:val="Tabletext"/>
              <w:rPr>
                <w:rFonts w:ascii="Calibri" w:hAnsi="Calibri" w:cs="Calibri"/>
                <w:sz w:val="20"/>
              </w:rPr>
            </w:pPr>
            <w:r>
              <w:rPr>
                <w:rFonts w:ascii="Calibri" w:hAnsi="Calibri" w:cs="Calibri"/>
                <w:sz w:val="20"/>
              </w:rPr>
              <w:t>Price or Cost</w:t>
            </w:r>
          </w:p>
        </w:tc>
        <w:tc>
          <w:tcPr>
            <w:tcW w:w="1216" w:type="dxa"/>
          </w:tcPr>
          <w:p w14:paraId="17A1C452" w14:textId="4CDF8422"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33F54259" w14:textId="22B57310"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62FF31E3" w14:textId="35DCDAA7"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7329BE55" w14:textId="74BD0B63" w:rsidR="00AA30D8" w:rsidRPr="00C63A98" w:rsidRDefault="00AA30D8" w:rsidP="00C63A98">
            <w:pPr>
              <w:pStyle w:val="Tabletext"/>
              <w:rPr>
                <w:rFonts w:ascii="Calibri" w:hAnsi="Calibri" w:cs="Calibri"/>
                <w:sz w:val="20"/>
              </w:rPr>
            </w:pPr>
            <w:r>
              <w:rPr>
                <w:rFonts w:ascii="Calibri" w:hAnsi="Calibri" w:cs="Calibri"/>
                <w:sz w:val="20"/>
              </w:rPr>
              <w:t>Price</w:t>
            </w:r>
          </w:p>
        </w:tc>
      </w:tr>
      <w:tr w:rsidR="00AA30D8" w:rsidRPr="00C63A98" w14:paraId="5C0038C3" w14:textId="77777777" w:rsidTr="000A106D">
        <w:trPr>
          <w:cantSplit/>
        </w:trPr>
        <w:tc>
          <w:tcPr>
            <w:tcW w:w="1872" w:type="dxa"/>
          </w:tcPr>
          <w:p w14:paraId="5E261BCE" w14:textId="136AC330" w:rsidR="00AA30D8" w:rsidRDefault="00AA30D8" w:rsidP="00C63A98">
            <w:pPr>
              <w:pStyle w:val="Tabletext"/>
              <w:rPr>
                <w:rFonts w:ascii="Calibri" w:hAnsi="Calibri" w:cs="Calibri"/>
                <w:sz w:val="20"/>
              </w:rPr>
            </w:pPr>
            <w:r>
              <w:rPr>
                <w:rFonts w:ascii="Calibri" w:hAnsi="Calibri" w:cs="Calibri"/>
                <w:sz w:val="20"/>
              </w:rPr>
              <w:t>currency</w:t>
            </w:r>
          </w:p>
        </w:tc>
        <w:tc>
          <w:tcPr>
            <w:tcW w:w="2060" w:type="dxa"/>
          </w:tcPr>
          <w:p w14:paraId="7705959C" w14:textId="01CEC369" w:rsidR="00AA30D8" w:rsidRDefault="00AA30D8" w:rsidP="00C63A98">
            <w:pPr>
              <w:pStyle w:val="Tabletext"/>
              <w:rPr>
                <w:rFonts w:ascii="Calibri" w:hAnsi="Calibri" w:cs="Calibri"/>
                <w:sz w:val="20"/>
              </w:rPr>
            </w:pPr>
            <w:r>
              <w:rPr>
                <w:rFonts w:ascii="Calibri" w:hAnsi="Calibri" w:cs="Calibri"/>
                <w:sz w:val="20"/>
              </w:rPr>
              <w:t>Currency of the price</w:t>
            </w:r>
          </w:p>
        </w:tc>
        <w:tc>
          <w:tcPr>
            <w:tcW w:w="1216" w:type="dxa"/>
          </w:tcPr>
          <w:p w14:paraId="2C497177" w14:textId="742B44BF"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1892BC5F" w14:textId="260BE828"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50514FB1" w14:textId="3AF936AB"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5A6B2891" w14:textId="05B32274" w:rsidR="00AA30D8" w:rsidRPr="00C63A98" w:rsidRDefault="00AA30D8" w:rsidP="00C63A98">
            <w:pPr>
              <w:pStyle w:val="Tabletext"/>
              <w:rPr>
                <w:rFonts w:ascii="Calibri" w:hAnsi="Calibri" w:cs="Calibri"/>
                <w:sz w:val="20"/>
              </w:rPr>
            </w:pPr>
            <w:r>
              <w:rPr>
                <w:rFonts w:ascii="Calibri" w:hAnsi="Calibri" w:cs="Calibri"/>
                <w:sz w:val="20"/>
              </w:rPr>
              <w:t>USD DOLLARS</w:t>
            </w:r>
          </w:p>
        </w:tc>
      </w:tr>
      <w:tr w:rsidR="00AA30D8" w:rsidRPr="00C63A98" w14:paraId="49605C43" w14:textId="77777777" w:rsidTr="000A106D">
        <w:trPr>
          <w:cantSplit/>
        </w:trPr>
        <w:tc>
          <w:tcPr>
            <w:tcW w:w="1872" w:type="dxa"/>
          </w:tcPr>
          <w:p w14:paraId="2C024E53" w14:textId="443D77EF" w:rsidR="00AA30D8" w:rsidRDefault="00AA30D8" w:rsidP="00C63A98">
            <w:pPr>
              <w:pStyle w:val="Tabletext"/>
              <w:rPr>
                <w:rFonts w:ascii="Calibri" w:hAnsi="Calibri" w:cs="Calibri"/>
                <w:sz w:val="20"/>
              </w:rPr>
            </w:pPr>
            <w:r>
              <w:rPr>
                <w:rFonts w:ascii="Calibri" w:hAnsi="Calibri" w:cs="Calibri"/>
                <w:sz w:val="20"/>
              </w:rPr>
              <w:t>currencyType</w:t>
            </w:r>
          </w:p>
        </w:tc>
        <w:tc>
          <w:tcPr>
            <w:tcW w:w="2060" w:type="dxa"/>
          </w:tcPr>
          <w:p w14:paraId="6F8380AB" w14:textId="052EE3B8" w:rsidR="00AA30D8" w:rsidRDefault="00AA30D8" w:rsidP="00C63A98">
            <w:pPr>
              <w:pStyle w:val="Tabletext"/>
              <w:rPr>
                <w:rFonts w:ascii="Calibri" w:hAnsi="Calibri" w:cs="Calibri"/>
                <w:sz w:val="20"/>
              </w:rPr>
            </w:pPr>
            <w:r>
              <w:rPr>
                <w:rFonts w:ascii="Calibri" w:hAnsi="Calibri" w:cs="Calibri"/>
                <w:sz w:val="20"/>
              </w:rPr>
              <w:t>Currency type</w:t>
            </w:r>
          </w:p>
        </w:tc>
        <w:tc>
          <w:tcPr>
            <w:tcW w:w="1216" w:type="dxa"/>
          </w:tcPr>
          <w:p w14:paraId="22EC1B01" w14:textId="72E2BFCA"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56D4CB01" w14:textId="31D61AFA"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3C7CD6CE" w14:textId="7FE4A031"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1C4976D4" w14:textId="00E262BA" w:rsidR="00AA30D8" w:rsidRPr="00C63A98" w:rsidRDefault="00AA30D8" w:rsidP="00C63A98">
            <w:pPr>
              <w:pStyle w:val="Tabletext"/>
              <w:rPr>
                <w:rFonts w:ascii="Calibri" w:hAnsi="Calibri" w:cs="Calibri"/>
                <w:sz w:val="20"/>
              </w:rPr>
            </w:pPr>
            <w:r>
              <w:rPr>
                <w:rFonts w:ascii="Calibri" w:hAnsi="Calibri" w:cs="Calibri"/>
                <w:sz w:val="20"/>
              </w:rPr>
              <w:t>USD DOLLARS</w:t>
            </w:r>
          </w:p>
        </w:tc>
      </w:tr>
      <w:tr w:rsidR="00AA30D8" w:rsidRPr="00C63A98" w14:paraId="33BACC4A" w14:textId="77777777" w:rsidTr="000A106D">
        <w:trPr>
          <w:cantSplit/>
        </w:trPr>
        <w:tc>
          <w:tcPr>
            <w:tcW w:w="1872" w:type="dxa"/>
          </w:tcPr>
          <w:p w14:paraId="522F9D3C" w14:textId="07F234D8" w:rsidR="00AA30D8" w:rsidRDefault="00AA30D8" w:rsidP="00C63A98">
            <w:pPr>
              <w:pStyle w:val="Tabletext"/>
              <w:rPr>
                <w:rFonts w:ascii="Calibri" w:hAnsi="Calibri" w:cs="Calibri"/>
                <w:sz w:val="20"/>
              </w:rPr>
            </w:pPr>
            <w:r>
              <w:rPr>
                <w:rFonts w:ascii="Calibri" w:hAnsi="Calibri" w:cs="Calibri"/>
                <w:sz w:val="20"/>
              </w:rPr>
              <w:t>uom</w:t>
            </w:r>
          </w:p>
        </w:tc>
        <w:tc>
          <w:tcPr>
            <w:tcW w:w="2060" w:type="dxa"/>
          </w:tcPr>
          <w:p w14:paraId="07AFE895" w14:textId="71E1E994" w:rsidR="00AA30D8" w:rsidRDefault="00AA30D8" w:rsidP="00C63A98">
            <w:pPr>
              <w:pStyle w:val="Tabletext"/>
              <w:rPr>
                <w:rFonts w:ascii="Calibri" w:hAnsi="Calibri" w:cs="Calibri"/>
                <w:sz w:val="20"/>
              </w:rPr>
            </w:pPr>
            <w:r>
              <w:rPr>
                <w:rFonts w:ascii="Calibri" w:hAnsi="Calibri" w:cs="Calibri"/>
                <w:sz w:val="20"/>
              </w:rPr>
              <w:t>Unit of the price</w:t>
            </w:r>
          </w:p>
        </w:tc>
        <w:tc>
          <w:tcPr>
            <w:tcW w:w="1216" w:type="dxa"/>
          </w:tcPr>
          <w:p w14:paraId="027A512F" w14:textId="02CAD76E"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29891C44" w14:textId="7DD5B77E"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0C0E2C48" w14:textId="3AB74E2F"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16C58CE4" w14:textId="4A049EE5" w:rsidR="00AA30D8" w:rsidRPr="00C63A98" w:rsidRDefault="00AB52BC" w:rsidP="00C63A98">
            <w:pPr>
              <w:pStyle w:val="Tabletext"/>
              <w:rPr>
                <w:rFonts w:ascii="Calibri" w:hAnsi="Calibri" w:cs="Calibri"/>
                <w:sz w:val="20"/>
              </w:rPr>
            </w:pPr>
            <w:r>
              <w:rPr>
                <w:rFonts w:ascii="Calibri" w:hAnsi="Calibri" w:cs="Calibri"/>
                <w:sz w:val="20"/>
              </w:rPr>
              <w:t>bbl</w:t>
            </w:r>
          </w:p>
        </w:tc>
      </w:tr>
      <w:tr w:rsidR="00AA30D8" w:rsidRPr="00C63A98" w14:paraId="30DE45CE" w14:textId="77777777" w:rsidTr="000A106D">
        <w:trPr>
          <w:cantSplit/>
        </w:trPr>
        <w:tc>
          <w:tcPr>
            <w:tcW w:w="1872" w:type="dxa"/>
          </w:tcPr>
          <w:p w14:paraId="781D4D20" w14:textId="0503745A" w:rsidR="00AA30D8" w:rsidRDefault="00AA30D8" w:rsidP="00C63A98">
            <w:pPr>
              <w:pStyle w:val="Tabletext"/>
              <w:rPr>
                <w:rFonts w:ascii="Calibri" w:hAnsi="Calibri" w:cs="Calibri"/>
                <w:sz w:val="20"/>
              </w:rPr>
            </w:pPr>
            <w:r>
              <w:rPr>
                <w:rFonts w:ascii="Calibri" w:hAnsi="Calibri" w:cs="Calibri"/>
                <w:sz w:val="20"/>
              </w:rPr>
              <w:t>uomAbbreviation</w:t>
            </w:r>
          </w:p>
        </w:tc>
        <w:tc>
          <w:tcPr>
            <w:tcW w:w="2060" w:type="dxa"/>
          </w:tcPr>
          <w:p w14:paraId="1724B9D1" w14:textId="70935238" w:rsidR="00AA30D8" w:rsidRDefault="00AA30D8" w:rsidP="00C63A98">
            <w:pPr>
              <w:pStyle w:val="Tabletext"/>
              <w:rPr>
                <w:rFonts w:ascii="Calibri" w:hAnsi="Calibri" w:cs="Calibri"/>
                <w:sz w:val="20"/>
              </w:rPr>
            </w:pPr>
            <w:r>
              <w:rPr>
                <w:rFonts w:ascii="Calibri" w:hAnsi="Calibri" w:cs="Calibri"/>
                <w:sz w:val="20"/>
              </w:rPr>
              <w:t>Abbreviation of the unit</w:t>
            </w:r>
          </w:p>
        </w:tc>
        <w:tc>
          <w:tcPr>
            <w:tcW w:w="1216" w:type="dxa"/>
          </w:tcPr>
          <w:p w14:paraId="76F93DB2" w14:textId="5EC63104"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52C0CD66" w14:textId="0AED5257"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4994A615" w14:textId="74535E43"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66B46046" w14:textId="20CA3820" w:rsidR="00AA30D8" w:rsidRPr="00C63A98" w:rsidRDefault="00AB52BC" w:rsidP="00C63A98">
            <w:pPr>
              <w:pStyle w:val="Tabletext"/>
              <w:rPr>
                <w:rFonts w:ascii="Calibri" w:hAnsi="Calibri" w:cs="Calibri"/>
                <w:sz w:val="20"/>
              </w:rPr>
            </w:pPr>
            <w:r>
              <w:rPr>
                <w:rFonts w:ascii="Calibri" w:hAnsi="Calibri" w:cs="Calibri"/>
                <w:sz w:val="20"/>
              </w:rPr>
              <w:t>bbl</w:t>
            </w:r>
          </w:p>
        </w:tc>
      </w:tr>
      <w:tr w:rsidR="00AA30D8" w:rsidRPr="00C63A98" w14:paraId="593D10A7" w14:textId="77777777" w:rsidTr="000A106D">
        <w:trPr>
          <w:cantSplit/>
        </w:trPr>
        <w:tc>
          <w:tcPr>
            <w:tcW w:w="1872" w:type="dxa"/>
          </w:tcPr>
          <w:p w14:paraId="091DA96D" w14:textId="5EA3DB2D" w:rsidR="00AA30D8" w:rsidRDefault="00AA30D8" w:rsidP="00C63A98">
            <w:pPr>
              <w:pStyle w:val="Tabletext"/>
              <w:rPr>
                <w:rFonts w:ascii="Calibri" w:hAnsi="Calibri" w:cs="Calibri"/>
                <w:sz w:val="20"/>
              </w:rPr>
            </w:pPr>
            <w:r>
              <w:rPr>
                <w:rFonts w:ascii="Calibri" w:hAnsi="Calibri" w:cs="Calibri"/>
                <w:sz w:val="20"/>
              </w:rPr>
              <w:t>uomGlobalCode</w:t>
            </w:r>
          </w:p>
        </w:tc>
        <w:tc>
          <w:tcPr>
            <w:tcW w:w="2060" w:type="dxa"/>
          </w:tcPr>
          <w:p w14:paraId="51F96C6D" w14:textId="4F1C25EA" w:rsidR="00AA30D8" w:rsidRDefault="00AA30D8" w:rsidP="00C63A98">
            <w:pPr>
              <w:pStyle w:val="Tabletext"/>
              <w:rPr>
                <w:rFonts w:ascii="Calibri" w:hAnsi="Calibri" w:cs="Calibri"/>
                <w:sz w:val="20"/>
              </w:rPr>
            </w:pPr>
            <w:r>
              <w:rPr>
                <w:rFonts w:ascii="Calibri" w:hAnsi="Calibri" w:cs="Calibri"/>
                <w:sz w:val="20"/>
              </w:rPr>
              <w:t>Profisee code of the unit</w:t>
            </w:r>
          </w:p>
        </w:tc>
        <w:tc>
          <w:tcPr>
            <w:tcW w:w="1216" w:type="dxa"/>
          </w:tcPr>
          <w:p w14:paraId="68C1636B" w14:textId="05E75050" w:rsidR="00AA30D8" w:rsidRDefault="00AA30D8" w:rsidP="00C63A98">
            <w:pPr>
              <w:pStyle w:val="Tabletext"/>
              <w:rPr>
                <w:rFonts w:ascii="Calibri" w:hAnsi="Calibri" w:cs="Calibri"/>
                <w:sz w:val="20"/>
              </w:rPr>
            </w:pPr>
            <w:r>
              <w:rPr>
                <w:rFonts w:ascii="Calibri" w:hAnsi="Calibri" w:cs="Calibri"/>
                <w:sz w:val="20"/>
              </w:rPr>
              <w:t>No</w:t>
            </w:r>
          </w:p>
        </w:tc>
        <w:tc>
          <w:tcPr>
            <w:tcW w:w="1216" w:type="dxa"/>
          </w:tcPr>
          <w:p w14:paraId="5E0FE732" w14:textId="4D7C86EE"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23255583" w14:textId="1600B96C"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6A4E4F17" w14:textId="05FEE1E7" w:rsidR="00AA30D8" w:rsidRPr="00C63A98" w:rsidRDefault="00AA30D8" w:rsidP="00C63A98">
            <w:pPr>
              <w:pStyle w:val="Tabletext"/>
              <w:rPr>
                <w:rFonts w:ascii="Calibri" w:hAnsi="Calibri" w:cs="Calibri"/>
                <w:sz w:val="20"/>
              </w:rPr>
            </w:pPr>
          </w:p>
        </w:tc>
      </w:tr>
      <w:tr w:rsidR="00AA30D8" w:rsidRPr="00C63A98" w14:paraId="3D90C65A" w14:textId="77777777" w:rsidTr="000A106D">
        <w:trPr>
          <w:cantSplit/>
        </w:trPr>
        <w:tc>
          <w:tcPr>
            <w:tcW w:w="1872" w:type="dxa"/>
          </w:tcPr>
          <w:p w14:paraId="70D274E3" w14:textId="541F211E" w:rsidR="00AA30D8" w:rsidRDefault="00AA30D8" w:rsidP="00C63A98">
            <w:pPr>
              <w:pStyle w:val="Tabletext"/>
              <w:rPr>
                <w:rFonts w:ascii="Calibri" w:hAnsi="Calibri" w:cs="Calibri"/>
                <w:sz w:val="20"/>
              </w:rPr>
            </w:pPr>
            <w:r>
              <w:rPr>
                <w:rFonts w:ascii="Calibri" w:hAnsi="Calibri" w:cs="Calibri"/>
                <w:sz w:val="20"/>
              </w:rPr>
              <w:t>dataSource</w:t>
            </w:r>
          </w:p>
        </w:tc>
        <w:tc>
          <w:tcPr>
            <w:tcW w:w="2060" w:type="dxa"/>
          </w:tcPr>
          <w:p w14:paraId="54DB1EDA" w14:textId="49467150" w:rsidR="00AA30D8" w:rsidRDefault="00AA30D8" w:rsidP="00C63A98">
            <w:pPr>
              <w:pStyle w:val="Tabletext"/>
              <w:rPr>
                <w:rFonts w:ascii="Calibri" w:hAnsi="Calibri" w:cs="Calibri"/>
                <w:sz w:val="20"/>
              </w:rPr>
            </w:pPr>
            <w:r>
              <w:rPr>
                <w:rFonts w:ascii="Calibri" w:hAnsi="Calibri" w:cs="Calibri"/>
                <w:sz w:val="20"/>
              </w:rPr>
              <w:t>Source system</w:t>
            </w:r>
          </w:p>
        </w:tc>
        <w:tc>
          <w:tcPr>
            <w:tcW w:w="1216" w:type="dxa"/>
          </w:tcPr>
          <w:p w14:paraId="753B6ABB" w14:textId="2E75D5BE" w:rsidR="00AA30D8" w:rsidRDefault="00AA30D8" w:rsidP="00C63A98">
            <w:pPr>
              <w:pStyle w:val="Tabletext"/>
              <w:rPr>
                <w:rFonts w:ascii="Calibri" w:hAnsi="Calibri" w:cs="Calibri"/>
                <w:sz w:val="20"/>
              </w:rPr>
            </w:pPr>
            <w:r>
              <w:rPr>
                <w:rFonts w:ascii="Calibri" w:hAnsi="Calibri" w:cs="Calibri"/>
                <w:sz w:val="20"/>
              </w:rPr>
              <w:t>Yes</w:t>
            </w:r>
          </w:p>
        </w:tc>
        <w:tc>
          <w:tcPr>
            <w:tcW w:w="1216" w:type="dxa"/>
          </w:tcPr>
          <w:p w14:paraId="037A8A76" w14:textId="6EDAA69A" w:rsidR="00AA30D8" w:rsidRPr="00C63A98" w:rsidRDefault="00610DB7" w:rsidP="00C63A98">
            <w:pPr>
              <w:pStyle w:val="Tabletext"/>
              <w:rPr>
                <w:rFonts w:ascii="Calibri" w:hAnsi="Calibri" w:cs="Calibri"/>
                <w:sz w:val="20"/>
              </w:rPr>
            </w:pPr>
            <w:r>
              <w:rPr>
                <w:rFonts w:ascii="Calibri" w:hAnsi="Calibri" w:cs="Calibri"/>
                <w:sz w:val="20"/>
              </w:rPr>
              <w:t>No</w:t>
            </w:r>
          </w:p>
        </w:tc>
        <w:tc>
          <w:tcPr>
            <w:tcW w:w="1124" w:type="dxa"/>
          </w:tcPr>
          <w:p w14:paraId="0F1E9488" w14:textId="79959F07" w:rsidR="00AA30D8" w:rsidRDefault="00AA30D8" w:rsidP="00C63A98">
            <w:pPr>
              <w:pStyle w:val="Tabletext"/>
              <w:rPr>
                <w:rFonts w:ascii="Calibri" w:hAnsi="Calibri" w:cs="Calibri"/>
                <w:sz w:val="20"/>
              </w:rPr>
            </w:pPr>
            <w:r>
              <w:rPr>
                <w:rFonts w:ascii="Calibri" w:hAnsi="Calibri" w:cs="Calibri"/>
                <w:sz w:val="20"/>
              </w:rPr>
              <w:t>String</w:t>
            </w:r>
          </w:p>
        </w:tc>
        <w:tc>
          <w:tcPr>
            <w:tcW w:w="1876" w:type="dxa"/>
          </w:tcPr>
          <w:p w14:paraId="2334D9B5" w14:textId="7C02DAE8" w:rsidR="00AA30D8" w:rsidRPr="00C63A98" w:rsidRDefault="00AA30D8" w:rsidP="00C63A98">
            <w:pPr>
              <w:pStyle w:val="Tabletext"/>
              <w:rPr>
                <w:rFonts w:ascii="Calibri" w:hAnsi="Calibri" w:cs="Calibri"/>
                <w:sz w:val="20"/>
              </w:rPr>
            </w:pPr>
            <w:r>
              <w:rPr>
                <w:rFonts w:ascii="Calibri" w:hAnsi="Calibri" w:cs="Calibri"/>
                <w:sz w:val="20"/>
              </w:rPr>
              <w:t>Marathon Pricing Repository</w:t>
            </w:r>
          </w:p>
        </w:tc>
      </w:tr>
      <w:tr w:rsidR="00AA30D8" w:rsidRPr="00C63A98" w14:paraId="393368C8" w14:textId="77777777" w:rsidTr="000A106D">
        <w:trPr>
          <w:cantSplit/>
        </w:trPr>
        <w:tc>
          <w:tcPr>
            <w:tcW w:w="1872" w:type="dxa"/>
          </w:tcPr>
          <w:p w14:paraId="3F24C6A8" w14:textId="1494F0CB" w:rsidR="00AA30D8" w:rsidRDefault="00AA30D8" w:rsidP="00873A53">
            <w:pPr>
              <w:pStyle w:val="Tabletext"/>
              <w:keepNext/>
              <w:rPr>
                <w:rFonts w:ascii="Calibri" w:hAnsi="Calibri" w:cs="Calibri"/>
                <w:sz w:val="20"/>
              </w:rPr>
            </w:pPr>
            <w:r>
              <w:rPr>
                <w:rFonts w:ascii="Calibri" w:hAnsi="Calibri" w:cs="Calibri"/>
                <w:sz w:val="20"/>
              </w:rPr>
              <w:t>tier</w:t>
            </w:r>
          </w:p>
        </w:tc>
        <w:tc>
          <w:tcPr>
            <w:tcW w:w="2060" w:type="dxa"/>
          </w:tcPr>
          <w:p w14:paraId="00E5E31E" w14:textId="698AF8B4" w:rsidR="00AA30D8" w:rsidRDefault="00794AE6" w:rsidP="00873A53">
            <w:pPr>
              <w:pStyle w:val="Tabletext"/>
              <w:keepNext/>
              <w:rPr>
                <w:rFonts w:ascii="Calibri" w:hAnsi="Calibri" w:cs="Calibri"/>
                <w:sz w:val="20"/>
              </w:rPr>
            </w:pPr>
            <w:r>
              <w:rPr>
                <w:rFonts w:ascii="Calibri" w:hAnsi="Calibri" w:cs="Calibri"/>
                <w:sz w:val="20"/>
              </w:rPr>
              <w:t>Price tier from the platform's price override table, when one is set</w:t>
            </w:r>
          </w:p>
        </w:tc>
        <w:tc>
          <w:tcPr>
            <w:tcW w:w="1216" w:type="dxa"/>
          </w:tcPr>
          <w:p w14:paraId="0E469F56" w14:textId="0E63106B" w:rsidR="00AA30D8" w:rsidRDefault="00AA30D8" w:rsidP="00873A53">
            <w:pPr>
              <w:pStyle w:val="Tabletext"/>
              <w:keepNext/>
              <w:rPr>
                <w:rFonts w:ascii="Calibri" w:hAnsi="Calibri" w:cs="Calibri"/>
                <w:sz w:val="20"/>
              </w:rPr>
            </w:pPr>
            <w:r>
              <w:rPr>
                <w:rFonts w:ascii="Calibri" w:hAnsi="Calibri" w:cs="Calibri"/>
                <w:sz w:val="20"/>
              </w:rPr>
              <w:t>No</w:t>
            </w:r>
          </w:p>
        </w:tc>
        <w:tc>
          <w:tcPr>
            <w:tcW w:w="1216" w:type="dxa"/>
          </w:tcPr>
          <w:p w14:paraId="465B6AE1" w14:textId="55365B41" w:rsidR="00AA30D8" w:rsidRPr="00C63A98" w:rsidRDefault="00610DB7" w:rsidP="00873A53">
            <w:pPr>
              <w:pStyle w:val="Tabletext"/>
              <w:keepNext/>
              <w:rPr>
                <w:rFonts w:ascii="Calibri" w:hAnsi="Calibri" w:cs="Calibri"/>
                <w:sz w:val="20"/>
              </w:rPr>
            </w:pPr>
            <w:r>
              <w:rPr>
                <w:rFonts w:ascii="Calibri" w:hAnsi="Calibri" w:cs="Calibri"/>
                <w:sz w:val="20"/>
              </w:rPr>
              <w:t>No</w:t>
            </w:r>
          </w:p>
        </w:tc>
        <w:tc>
          <w:tcPr>
            <w:tcW w:w="1124" w:type="dxa"/>
          </w:tcPr>
          <w:p w14:paraId="3C200767" w14:textId="09798682" w:rsidR="00AA30D8" w:rsidRDefault="00AA30D8" w:rsidP="00873A53">
            <w:pPr>
              <w:pStyle w:val="Tabletext"/>
              <w:keepNext/>
              <w:rPr>
                <w:rFonts w:ascii="Calibri" w:hAnsi="Calibri" w:cs="Calibri"/>
                <w:sz w:val="20"/>
              </w:rPr>
            </w:pPr>
            <w:r>
              <w:rPr>
                <w:rFonts w:ascii="Calibri" w:hAnsi="Calibri" w:cs="Calibri"/>
                <w:sz w:val="20"/>
              </w:rPr>
              <w:t>String</w:t>
            </w:r>
          </w:p>
        </w:tc>
        <w:tc>
          <w:tcPr>
            <w:tcW w:w="1876" w:type="dxa"/>
          </w:tcPr>
          <w:p w14:paraId="33C8CB7E" w14:textId="1629CE18" w:rsidR="00AA30D8" w:rsidRPr="00C63A98" w:rsidRDefault="00AA30D8" w:rsidP="00873A53">
            <w:pPr>
              <w:pStyle w:val="Tabletext"/>
              <w:keepNext/>
              <w:rPr>
                <w:rFonts w:ascii="Calibri" w:hAnsi="Calibri" w:cs="Calibri"/>
                <w:sz w:val="20"/>
              </w:rPr>
            </w:pPr>
            <w:r>
              <w:rPr>
                <w:rFonts w:ascii="Calibri" w:hAnsi="Calibri" w:cs="Calibri"/>
                <w:sz w:val="20"/>
              </w:rPr>
              <w:t>null</w:t>
            </w:r>
          </w:p>
        </w:tc>
      </w:tr>
    </w:tbl>
    <w:p w14:paraId="50F951DC" w14:textId="17A55481" w:rsidR="00C63A98" w:rsidRDefault="00C63A98" w:rsidP="00C63A98">
      <w:pPr>
        <w:pStyle w:val="Caption"/>
      </w:pPr>
      <w:bookmarkStart w:id="201" w:name="_Toc241311446"/>
      <w:bookmarkStart w:id="202" w:name="_Toc241574602"/>
      <w:bookmarkStart w:id="203" w:name="_Toc242554019"/>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21</w:t>
      </w:r>
      <w:r>
        <w:fldChar w:fldCharType="end"/>
      </w:r>
      <w:r>
        <w:t xml:space="preserve">: </w:t>
      </w:r>
      <w:r w:rsidR="00AA30D8">
        <w:t xml:space="preserve">Actual Pricing data of products and blend components - </w:t>
      </w:r>
      <w:r>
        <w:t>API Endpoint - Response Model</w:t>
      </w:r>
      <w:bookmarkEnd w:id="201"/>
      <w:bookmarkEnd w:id="202"/>
      <w:bookmarkEnd w:id="203"/>
    </w:p>
    <w:p w14:paraId="42588C8A" w14:textId="77777777" w:rsidR="006958CC" w:rsidRPr="006958CC" w:rsidRDefault="006958CC" w:rsidP="006958CC">
      <w:pPr>
        <w:pStyle w:val="Heading5"/>
        <w:rPr>
          <w:rFonts w:ascii="Calibri" w:hAnsi="Calibri" w:cs="Calibri"/>
          <w:sz w:val="20"/>
        </w:rPr>
      </w:pPr>
      <w:r w:rsidRPr="006958CC">
        <w:rPr>
          <w:rFonts w:ascii="Calibri" w:hAnsi="Calibri" w:cs="Calibri"/>
          <w:sz w:val="20"/>
        </w:rPr>
        <w:t>Sequence Diagram</w:t>
      </w:r>
    </w:p>
    <w:p w14:paraId="09AD0809" w14:textId="54A9B6BD" w:rsidR="00FC42E7" w:rsidRPr="00EC3682" w:rsidRDefault="00FC42E7" w:rsidP="00FC42E7">
      <w:pPr>
        <w:pStyle w:val="ListParagraph"/>
        <w:numPr>
          <w:ilvl w:val="0"/>
          <w:numId w:val="4"/>
        </w:numPr>
        <w:jc w:val="left"/>
        <w:rPr>
          <w:rFonts w:ascii="Calibri" w:hAnsi="Calibri" w:cs="Calibri"/>
        </w:rPr>
      </w:pPr>
      <w:r>
        <w:t>The dashboard shall always send UseServiceBus = true.</w:t>
      </w:r>
    </w:p>
    <w:p w14:paraId="5299C6F2" w14:textId="183CA8CD" w:rsidR="006958CC" w:rsidRPr="006958CC" w:rsidRDefault="00FC42E7" w:rsidP="00FC42E7">
      <w:pPr>
        <w:keepNext/>
        <w:keepLines/>
        <w:jc w:val="left"/>
        <w:rPr>
          <w:rFonts w:ascii="Calibri" w:hAnsi="Calibri" w:cs="Calibri"/>
        </w:rPr>
      </w:pPr>
      <w:r>
        <w:rPr>
          <w:rFonts w:ascii="Calibri" w:hAnsi="Calibri" w:cs="Calibri"/>
        </w:rPr>
        <w:t>The figure below shows the calls that move the prices in the order they happen.</w:t>
      </w:r>
    </w:p>
    <w:p w14:paraId="5514B980" w14:textId="2563E74C" w:rsidR="006958CC" w:rsidRPr="006958CC" w:rsidRDefault="00636937" w:rsidP="006958CC">
      <w:pPr>
        <w:keepNext/>
        <w:spacing w:after="40"/>
        <w:jc w:val="center"/>
      </w:pPr>
      <w:r>
        <w:rPr>
          <w:noProof/>
        </w:rPr>
        <w:drawing>
          <wp:inline distT="0" distB="0" distL="0" distR="0" wp14:anchorId="04AD041D" wp14:editId="62CC19D8">
            <wp:extent cx="5943600" cy="3618865"/>
            <wp:effectExtent l="0" t="0" r="0" b="635"/>
            <wp:docPr id="2032489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89386" name=""/>
                    <pic:cNvPicPr/>
                  </pic:nvPicPr>
                  <pic:blipFill>
                    <a:blip r:embed="rId35"/>
                    <a:stretch>
                      <a:fillRect/>
                    </a:stretch>
                  </pic:blipFill>
                  <pic:spPr>
                    <a:xfrm>
                      <a:off x="0" y="0"/>
                      <a:ext cx="5943600" cy="3618865"/>
                    </a:xfrm>
                    <a:prstGeom prst="rect">
                      <a:avLst/>
                    </a:prstGeom>
                  </pic:spPr>
                </pic:pic>
              </a:graphicData>
            </a:graphic>
          </wp:inline>
        </w:drawing>
      </w:r>
    </w:p>
    <w:p w14:paraId="1E0E9139" w14:textId="1F19C695" w:rsidR="006958CC" w:rsidRPr="006958CC" w:rsidRDefault="006958CC" w:rsidP="006958CC">
      <w:pPr>
        <w:pStyle w:val="Caption"/>
        <w:rPr>
          <w:rFonts w:ascii="Calibri" w:hAnsi="Calibri" w:cs="Calibri"/>
        </w:rPr>
      </w:pPr>
      <w:bookmarkStart w:id="204" w:name="_Toc242554148"/>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12</w:t>
      </w:r>
      <w:r w:rsidRPr="006958CC">
        <w:rPr>
          <w:rFonts w:ascii="Calibri" w:hAnsi="Calibri" w:cs="Calibri"/>
        </w:rPr>
        <w:fldChar w:fldCharType="end"/>
      </w:r>
      <w:r w:rsidRPr="006958CC">
        <w:rPr>
          <w:rFonts w:ascii="Calibri" w:hAnsi="Calibri" w:cs="Calibri"/>
        </w:rPr>
        <w:t>: PriceCost Integration Sequence Diagram</w:t>
      </w:r>
      <w:bookmarkEnd w:id="204"/>
    </w:p>
    <w:p w14:paraId="4CECD77B" w14:textId="77777777" w:rsidR="00FC42E7" w:rsidRPr="00EC3682" w:rsidRDefault="00FC42E7" w:rsidP="00FC42E7">
      <w:pPr>
        <w:pStyle w:val="ListParagraph"/>
        <w:numPr>
          <w:ilvl w:val="0"/>
          <w:numId w:val="4"/>
        </w:numPr>
        <w:jc w:val="left"/>
        <w:rPr>
          <w:rFonts w:ascii="Calibri" w:hAnsi="Calibri" w:cs="Calibri"/>
        </w:rPr>
      </w:pPr>
      <w:r>
        <w:t>The figure also shows the UseServiceBus = false path that the platform offers.</w:t>
      </w:r>
    </w:p>
    <w:p w14:paraId="434B43F3" w14:textId="77777777" w:rsidR="00FC42E7" w:rsidRPr="00EC3682" w:rsidRDefault="00FC42E7" w:rsidP="00FC42E7">
      <w:pPr>
        <w:pStyle w:val="ListParagraph"/>
        <w:numPr>
          <w:ilvl w:val="0"/>
          <w:numId w:val="4"/>
        </w:numPr>
        <w:jc w:val="left"/>
        <w:rPr>
          <w:rFonts w:ascii="Calibri" w:hAnsi="Calibri" w:cs="Calibri"/>
        </w:rPr>
      </w:pPr>
      <w:r>
        <w:t>The Semantic Service calls are drawn in the UseServiceBus = false path; the UseServiceBus = true path shall make them in the same order.</w:t>
      </w:r>
    </w:p>
    <w:p w14:paraId="154FCE21" w14:textId="43425123" w:rsidR="00FC42E7" w:rsidRPr="00EC3682" w:rsidRDefault="00FC42E7" w:rsidP="00FC42E7">
      <w:pPr>
        <w:pStyle w:val="ListParagraph"/>
        <w:numPr>
          <w:ilvl w:val="0"/>
          <w:numId w:val="4"/>
        </w:numPr>
        <w:jc w:val="left"/>
        <w:rPr>
          <w:rFonts w:ascii="Calibri" w:hAnsi="Calibri" w:cs="Calibri"/>
        </w:rPr>
      </w:pPr>
      <w:r>
        <w:t xml:space="preserve">The calls shall follow the common integration pattern (section </w:t>
      </w:r>
      <w:r>
        <w:fldChar w:fldCharType="begin"/>
      </w:r>
      <w:r>
        <w:instrText xml:space="preserve"> REF _Ref917260951 \w \h \* MERGEFORMAT </w:instrText>
      </w:r>
      <w:r>
        <w:fldChar w:fldCharType="separate"/>
      </w:r>
      <w:r w:rsidRPr="00FC42E7">
        <w:rPr>
          <w:color w:val="0563C1"/>
          <w:u w:val="single"/>
        </w:rPr>
        <w:t>2.3.1.4</w:t>
      </w:r>
      <w:r>
        <w:fldChar w:fldCharType="end"/>
      </w:r>
      <w:r>
        <w:t>), with the Price services, orchestrators and queues.</w:t>
      </w:r>
    </w:p>
    <w:p w14:paraId="70BBD4E7" w14:textId="68116E1B" w:rsidR="00FC42E7" w:rsidRPr="00EC3682" w:rsidRDefault="00FC42E7" w:rsidP="00FC42E7">
      <w:pPr>
        <w:pStyle w:val="ListParagraph"/>
        <w:numPr>
          <w:ilvl w:val="0"/>
          <w:numId w:val="4"/>
        </w:numPr>
        <w:jc w:val="left"/>
        <w:rPr>
          <w:rFonts w:ascii="Calibri" w:hAnsi="Calibri" w:cs="Calibri"/>
        </w:rPr>
      </w:pPr>
      <w:r>
        <w:t>Pricing shall have no trigger, no change to IQDM codes, no conversion to the IQDM default unit, no duplicate check and no save.</w:t>
      </w:r>
    </w:p>
    <w:p w14:paraId="7EBB5DC9" w14:textId="41E5E158" w:rsidR="006958CC" w:rsidRPr="006958CC" w:rsidRDefault="00FC42E7" w:rsidP="00FC42E7">
      <w:pPr>
        <w:keepNext/>
        <w:jc w:val="left"/>
        <w:rPr>
          <w:rFonts w:ascii="Calibri" w:hAnsi="Calibri" w:cs="Calibri"/>
        </w:rPr>
      </w:pPr>
      <w:r>
        <w:rPr>
          <w:rFonts w:ascii="Calibri" w:hAnsi="Calibri" w:cs="Calibri"/>
        </w:rPr>
        <w:t>For the prices, these calls shall differ from the common integration pattern:</w:t>
      </w:r>
    </w:p>
    <w:p w14:paraId="5270B23F" w14:textId="2E705CED" w:rsidR="006958CC" w:rsidRPr="00FC42E7" w:rsidRDefault="00873A53" w:rsidP="00FC42E7">
      <w:pPr>
        <w:pStyle w:val="ListParagraph"/>
        <w:numPr>
          <w:ilvl w:val="0"/>
          <w:numId w:val="4"/>
        </w:numPr>
        <w:jc w:val="left"/>
      </w:pPr>
      <w:r w:rsidRPr="00FC42E7">
        <w:t>The Presentation Layer (Power BI dashboard) shall send the Price Request on demand, with IsImport = true, to the Price Request Service.</w:t>
      </w:r>
    </w:p>
    <w:p w14:paraId="1B2713AE" w14:textId="3EC2A887" w:rsidR="006958CC" w:rsidRPr="00FC42E7" w:rsidRDefault="00873A53" w:rsidP="00FC42E7">
      <w:pPr>
        <w:pStyle w:val="ListParagraph"/>
        <w:numPr>
          <w:ilvl w:val="0"/>
          <w:numId w:val="4"/>
        </w:numPr>
        <w:jc w:val="left"/>
      </w:pPr>
      <w:r w:rsidRPr="00FC42E7">
        <w:t>The Price Response Service shall get the MPR tags held in Profisee through the Semantic Service. It shall then send the Price Request for MPR to the price service. It shall receive the Price Response from MPR through the price service. The price service shall return each price row with the Profisee global code of its MPR tag.</w:t>
      </w:r>
    </w:p>
    <w:p w14:paraId="151B0304" w14:textId="3B1885FB" w:rsidR="006958CC" w:rsidRPr="00FC42E7" w:rsidRDefault="004812A6" w:rsidP="00FC42E7">
      <w:pPr>
        <w:pStyle w:val="ListParagraph"/>
        <w:numPr>
          <w:ilvl w:val="0"/>
          <w:numId w:val="4"/>
        </w:numPr>
        <w:jc w:val="left"/>
      </w:pPr>
      <w:r w:rsidRPr="00FC42E7">
        <w:t>The Price Request Service shall return the prices to the Presentation Layer.</w:t>
      </w:r>
    </w:p>
    <w:p w14:paraId="1EB77429" w14:textId="43D2A31E" w:rsidR="0081216E" w:rsidRDefault="004639A1" w:rsidP="00AA30D8">
      <w:pPr>
        <w:pStyle w:val="Heading5"/>
        <w:rPr>
          <w:rFonts w:ascii="Calibri" w:hAnsi="Calibri" w:cs="Calibri"/>
          <w:sz w:val="20"/>
        </w:rPr>
      </w:pPr>
      <w:r w:rsidRPr="00AA30D8">
        <w:rPr>
          <w:rFonts w:ascii="Calibri" w:hAnsi="Calibri" w:cs="Calibri"/>
          <w:sz w:val="20"/>
        </w:rPr>
        <w:t>Data Entity</w:t>
      </w:r>
    </w:p>
    <w:p w14:paraId="1C06F56A" w14:textId="12B9C8B3" w:rsidR="004639A1" w:rsidRPr="00FC42E7" w:rsidRDefault="00610DB7" w:rsidP="00FC42E7">
      <w:pPr>
        <w:pStyle w:val="ListParagraph"/>
        <w:numPr>
          <w:ilvl w:val="0"/>
          <w:numId w:val="4"/>
        </w:numPr>
        <w:jc w:val="left"/>
      </w:pPr>
      <w:r w:rsidRPr="00FC42E7">
        <w:t>For the pricing integration, the price service shall read the Pricing Data entity of MPR, which holds a value for each MPR tag and date, with its unit.</w:t>
      </w:r>
    </w:p>
    <w:p w14:paraId="77ABC122" w14:textId="77777777" w:rsidR="0081216E" w:rsidRDefault="004639A1" w:rsidP="00AA30D8">
      <w:pPr>
        <w:pStyle w:val="Heading6"/>
        <w:rPr>
          <w:rFonts w:ascii="Calibri" w:hAnsi="Calibri" w:cs="Calibri"/>
          <w:sz w:val="20"/>
        </w:rPr>
      </w:pPr>
      <w:r w:rsidRPr="00AA30D8">
        <w:rPr>
          <w:rFonts w:ascii="Calibri" w:hAnsi="Calibri" w:cs="Calibri"/>
          <w:sz w:val="20"/>
        </w:rPr>
        <w:t>Source (MPR) Data Entity: Pricing Data</w:t>
      </w:r>
    </w:p>
    <w:p w14:paraId="520196FC" w14:textId="6CD9D009" w:rsidR="004639A1" w:rsidRPr="0081216E" w:rsidRDefault="00610DB7" w:rsidP="00FC42E7">
      <w:pPr>
        <w:keepNext/>
        <w:jc w:val="left"/>
        <w:rPr>
          <w:rFonts w:ascii="Calibri" w:hAnsi="Calibri" w:cs="Calibri"/>
        </w:rPr>
      </w:pPr>
      <w:r>
        <w:rPr>
          <w:rFonts w:ascii="Calibri" w:hAnsi="Calibri" w:cs="Calibri"/>
        </w:rPr>
        <w:t>The table below gives each attribute of Pricing Data, with its type and an example.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1"/>
        <w:gridCol w:w="4154"/>
        <w:gridCol w:w="1436"/>
        <w:gridCol w:w="1549"/>
      </w:tblGrid>
      <w:tr w:rsidR="00C63A98" w:rsidRPr="00C63A98" w14:paraId="2284E734" w14:textId="77777777" w:rsidTr="00C63A98">
        <w:trPr>
          <w:cantSplit/>
          <w:tblHeader/>
        </w:trPr>
        <w:tc>
          <w:tcPr>
            <w:tcW w:w="2221" w:type="dxa"/>
            <w:shd w:val="clear" w:color="auto" w:fill="2F5597"/>
          </w:tcPr>
          <w:p w14:paraId="021D51FF" w14:textId="244963E5" w:rsidR="00C63A98" w:rsidRPr="00C63A98" w:rsidRDefault="00C63A98" w:rsidP="00AA30D8">
            <w:pPr>
              <w:pStyle w:val="Tablehead1"/>
              <w:rPr>
                <w:rFonts w:ascii="Calibri" w:hAnsi="Calibri" w:cs="Calibri"/>
                <w:sz w:val="20"/>
              </w:rPr>
            </w:pPr>
            <w:r w:rsidRPr="00C63A98">
              <w:rPr>
                <w:rFonts w:ascii="Calibri" w:hAnsi="Calibri" w:cs="Calibri"/>
                <w:sz w:val="20"/>
              </w:rPr>
              <w:t>Attribute Name</w:t>
            </w:r>
          </w:p>
        </w:tc>
        <w:tc>
          <w:tcPr>
            <w:tcW w:w="4154" w:type="dxa"/>
            <w:shd w:val="clear" w:color="auto" w:fill="2F5597"/>
          </w:tcPr>
          <w:p w14:paraId="39DF45BB" w14:textId="00296E0B"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c>
          <w:tcPr>
            <w:tcW w:w="1436" w:type="dxa"/>
            <w:shd w:val="clear" w:color="auto" w:fill="2F5597"/>
          </w:tcPr>
          <w:p w14:paraId="4582E337" w14:textId="5BA72B57" w:rsidR="00C63A98" w:rsidRPr="00C63A98" w:rsidRDefault="00C63A98" w:rsidP="00AA30D8">
            <w:pPr>
              <w:pStyle w:val="Tablehead1"/>
              <w:rPr>
                <w:rFonts w:ascii="Calibri" w:hAnsi="Calibri" w:cs="Calibri"/>
                <w:sz w:val="20"/>
              </w:rPr>
            </w:pPr>
            <w:r w:rsidRPr="00C63A98">
              <w:rPr>
                <w:rFonts w:ascii="Calibri" w:hAnsi="Calibri" w:cs="Calibri"/>
                <w:sz w:val="20"/>
              </w:rPr>
              <w:t>Type</w:t>
            </w:r>
          </w:p>
        </w:tc>
        <w:tc>
          <w:tcPr>
            <w:tcW w:w="1549" w:type="dxa"/>
            <w:shd w:val="clear" w:color="auto" w:fill="2F5597"/>
          </w:tcPr>
          <w:p w14:paraId="49537C03" w14:textId="453952EB" w:rsidR="00C63A98" w:rsidRPr="00C63A98" w:rsidRDefault="00C63A98" w:rsidP="00AA30D8">
            <w:pPr>
              <w:pStyle w:val="Tablehead1"/>
              <w:rPr>
                <w:rFonts w:ascii="Calibri" w:hAnsi="Calibri" w:cs="Calibri"/>
                <w:sz w:val="20"/>
              </w:rPr>
            </w:pPr>
            <w:r w:rsidRPr="00C63A98">
              <w:rPr>
                <w:rFonts w:ascii="Calibri" w:hAnsi="Calibri" w:cs="Calibri"/>
                <w:sz w:val="20"/>
              </w:rPr>
              <w:t>Example</w:t>
            </w:r>
          </w:p>
        </w:tc>
      </w:tr>
      <w:tr w:rsidR="00C63A98" w:rsidRPr="00C63A98" w14:paraId="3E05773D" w14:textId="77777777" w:rsidTr="00C63A98">
        <w:trPr>
          <w:cantSplit/>
        </w:trPr>
        <w:tc>
          <w:tcPr>
            <w:tcW w:w="2221" w:type="dxa"/>
          </w:tcPr>
          <w:p w14:paraId="5FA672CE" w14:textId="7588B036" w:rsidR="00C63A98" w:rsidRPr="00C63A98" w:rsidRDefault="00C63A98" w:rsidP="00AA30D8">
            <w:pPr>
              <w:pStyle w:val="Tabletext"/>
              <w:keepNext/>
              <w:rPr>
                <w:rFonts w:ascii="Calibri" w:hAnsi="Calibri" w:cs="Calibri"/>
                <w:sz w:val="20"/>
              </w:rPr>
            </w:pPr>
            <w:r w:rsidRPr="00C63A98">
              <w:rPr>
                <w:rFonts w:ascii="Calibri" w:hAnsi="Calibri" w:cs="Calibri"/>
                <w:sz w:val="20"/>
              </w:rPr>
              <w:t>MPR TAG</w:t>
            </w:r>
          </w:p>
        </w:tc>
        <w:tc>
          <w:tcPr>
            <w:tcW w:w="4154" w:type="dxa"/>
          </w:tcPr>
          <w:p w14:paraId="0F8F3C87" w14:textId="25FA7695" w:rsidR="00C63A98" w:rsidRPr="00C63A98" w:rsidRDefault="00FA3AEE" w:rsidP="00AA30D8">
            <w:pPr>
              <w:pStyle w:val="Tabletext"/>
              <w:keepNext/>
              <w:rPr>
                <w:rFonts w:ascii="Calibri" w:hAnsi="Calibri" w:cs="Calibri"/>
                <w:sz w:val="20"/>
              </w:rPr>
            </w:pPr>
            <w:r>
              <w:rPr>
                <w:rFonts w:ascii="Calibri" w:hAnsi="Calibri" w:cs="Calibri"/>
                <w:sz w:val="20"/>
              </w:rPr>
              <w:t>Unique identification tag corresponding to each product</w:t>
            </w:r>
          </w:p>
        </w:tc>
        <w:tc>
          <w:tcPr>
            <w:tcW w:w="1436" w:type="dxa"/>
          </w:tcPr>
          <w:p w14:paraId="0511CBE8" w14:textId="5B86344E" w:rsidR="00C63A98" w:rsidRPr="00C63A98" w:rsidRDefault="00C63A98" w:rsidP="00AA30D8">
            <w:pPr>
              <w:pStyle w:val="Tabletext"/>
              <w:keepNext/>
              <w:rPr>
                <w:rFonts w:ascii="Calibri" w:hAnsi="Calibri" w:cs="Calibri"/>
                <w:sz w:val="20"/>
              </w:rPr>
            </w:pPr>
            <w:r w:rsidRPr="00C63A98">
              <w:rPr>
                <w:rFonts w:ascii="Calibri" w:hAnsi="Calibri" w:cs="Calibri"/>
                <w:sz w:val="20"/>
              </w:rPr>
              <w:t>Varchar</w:t>
            </w:r>
          </w:p>
        </w:tc>
        <w:tc>
          <w:tcPr>
            <w:tcW w:w="1549" w:type="dxa"/>
          </w:tcPr>
          <w:p w14:paraId="16C833FD" w14:textId="5519DC0F" w:rsidR="00C63A98" w:rsidRPr="00C63A98" w:rsidRDefault="00C63A98" w:rsidP="00AA30D8">
            <w:pPr>
              <w:pStyle w:val="Tabletext"/>
              <w:keepNext/>
              <w:rPr>
                <w:rFonts w:ascii="Calibri" w:hAnsi="Calibri" w:cs="Calibri"/>
                <w:sz w:val="20"/>
              </w:rPr>
            </w:pPr>
            <w:r w:rsidRPr="00C63A98">
              <w:rPr>
                <w:rFonts w:ascii="Calibri" w:hAnsi="Calibri" w:cs="Calibri"/>
                <w:sz w:val="20"/>
              </w:rPr>
              <w:t>15094</w:t>
            </w:r>
          </w:p>
        </w:tc>
      </w:tr>
      <w:tr w:rsidR="00C63A98" w:rsidRPr="00C63A98" w14:paraId="38C65C2E" w14:textId="77777777" w:rsidTr="00C63A98">
        <w:trPr>
          <w:cantSplit/>
        </w:trPr>
        <w:tc>
          <w:tcPr>
            <w:tcW w:w="2221" w:type="dxa"/>
          </w:tcPr>
          <w:p w14:paraId="72BC45E2" w14:textId="3E22AA18" w:rsidR="00C63A98" w:rsidRPr="00C63A98" w:rsidRDefault="00C63A98" w:rsidP="00AA30D8">
            <w:pPr>
              <w:pStyle w:val="Tabletext"/>
              <w:keepNext/>
              <w:rPr>
                <w:rFonts w:ascii="Calibri" w:hAnsi="Calibri" w:cs="Calibri"/>
                <w:sz w:val="20"/>
              </w:rPr>
            </w:pPr>
            <w:r w:rsidRPr="00C63A98">
              <w:rPr>
                <w:rFonts w:ascii="Calibri" w:hAnsi="Calibri" w:cs="Calibri"/>
                <w:sz w:val="20"/>
              </w:rPr>
              <w:t>MPR Value</w:t>
            </w:r>
          </w:p>
        </w:tc>
        <w:tc>
          <w:tcPr>
            <w:tcW w:w="4154" w:type="dxa"/>
          </w:tcPr>
          <w:p w14:paraId="3BD1F06E" w14:textId="6749AE8F" w:rsidR="00C63A98" w:rsidRPr="00C63A98" w:rsidRDefault="00610DB7" w:rsidP="00AA30D8">
            <w:pPr>
              <w:pStyle w:val="Tabletext"/>
              <w:keepNext/>
              <w:rPr>
                <w:rFonts w:ascii="Calibri" w:hAnsi="Calibri" w:cs="Calibri"/>
                <w:sz w:val="20"/>
              </w:rPr>
            </w:pPr>
            <w:r>
              <w:rPr>
                <w:rFonts w:ascii="Calibri" w:hAnsi="Calibri" w:cs="Calibri"/>
                <w:sz w:val="20"/>
              </w:rPr>
              <w:t>Field value</w:t>
            </w:r>
          </w:p>
        </w:tc>
        <w:tc>
          <w:tcPr>
            <w:tcW w:w="1436" w:type="dxa"/>
          </w:tcPr>
          <w:p w14:paraId="00017339" w14:textId="64151D2D" w:rsidR="00C63A98" w:rsidRPr="00C63A98" w:rsidRDefault="00C63A98" w:rsidP="00AA30D8">
            <w:pPr>
              <w:pStyle w:val="Tabletext"/>
              <w:keepNext/>
              <w:rPr>
                <w:rFonts w:ascii="Calibri" w:hAnsi="Calibri" w:cs="Calibri"/>
                <w:sz w:val="20"/>
              </w:rPr>
            </w:pPr>
            <w:r w:rsidRPr="00C63A98">
              <w:rPr>
                <w:rFonts w:ascii="Calibri" w:hAnsi="Calibri" w:cs="Calibri"/>
                <w:sz w:val="20"/>
              </w:rPr>
              <w:t>Float</w:t>
            </w:r>
          </w:p>
        </w:tc>
        <w:tc>
          <w:tcPr>
            <w:tcW w:w="1549" w:type="dxa"/>
          </w:tcPr>
          <w:p w14:paraId="52ADFB37" w14:textId="28575942" w:rsidR="00C63A98" w:rsidRPr="00C63A98" w:rsidRDefault="00C63A98" w:rsidP="00AA30D8">
            <w:pPr>
              <w:pStyle w:val="Tabletext"/>
              <w:keepNext/>
              <w:rPr>
                <w:rFonts w:ascii="Calibri" w:hAnsi="Calibri" w:cs="Calibri"/>
                <w:sz w:val="20"/>
              </w:rPr>
            </w:pPr>
            <w:r w:rsidRPr="00C63A98">
              <w:rPr>
                <w:rFonts w:ascii="Calibri" w:hAnsi="Calibri" w:cs="Calibri"/>
                <w:sz w:val="20"/>
              </w:rPr>
              <w:t>82</w:t>
            </w:r>
          </w:p>
        </w:tc>
      </w:tr>
      <w:tr w:rsidR="00C63A98" w:rsidRPr="00C63A98" w14:paraId="52546B5A" w14:textId="77777777" w:rsidTr="00C63A98">
        <w:trPr>
          <w:cantSplit/>
        </w:trPr>
        <w:tc>
          <w:tcPr>
            <w:tcW w:w="2221" w:type="dxa"/>
          </w:tcPr>
          <w:p w14:paraId="2CCB2AB4" w14:textId="5EB8FC48" w:rsidR="00C63A98" w:rsidRPr="00C63A98" w:rsidRDefault="00C63A98" w:rsidP="00AA30D8">
            <w:pPr>
              <w:pStyle w:val="Tabletext"/>
              <w:keepNext/>
              <w:rPr>
                <w:rFonts w:ascii="Calibri" w:hAnsi="Calibri" w:cs="Calibri"/>
                <w:sz w:val="20"/>
              </w:rPr>
            </w:pPr>
            <w:r w:rsidRPr="00C63A98">
              <w:rPr>
                <w:rFonts w:ascii="Calibri" w:hAnsi="Calibri" w:cs="Calibri"/>
                <w:sz w:val="20"/>
              </w:rPr>
              <w:t>Engineering Units</w:t>
            </w:r>
          </w:p>
        </w:tc>
        <w:tc>
          <w:tcPr>
            <w:tcW w:w="4154" w:type="dxa"/>
          </w:tcPr>
          <w:p w14:paraId="0931F4A4" w14:textId="06C91291" w:rsidR="00C63A98" w:rsidRPr="00C63A98" w:rsidRDefault="00794AE6" w:rsidP="00AA30D8">
            <w:pPr>
              <w:pStyle w:val="Tabletext"/>
              <w:keepNext/>
              <w:rPr>
                <w:rFonts w:ascii="Calibri" w:hAnsi="Calibri" w:cs="Calibri"/>
                <w:sz w:val="20"/>
              </w:rPr>
            </w:pPr>
            <w:r>
              <w:rPr>
                <w:rFonts w:ascii="Calibri" w:hAnsi="Calibri" w:cs="Calibri"/>
                <w:sz w:val="20"/>
              </w:rPr>
              <w:t>Unit of measurement, where applicable</w:t>
            </w:r>
          </w:p>
        </w:tc>
        <w:tc>
          <w:tcPr>
            <w:tcW w:w="1436" w:type="dxa"/>
          </w:tcPr>
          <w:p w14:paraId="5C82E25C" w14:textId="47836337" w:rsidR="00C63A98" w:rsidRPr="00C63A98" w:rsidRDefault="00C63A98" w:rsidP="00AA30D8">
            <w:pPr>
              <w:pStyle w:val="Tabletext"/>
              <w:keepNext/>
              <w:rPr>
                <w:rFonts w:ascii="Calibri" w:hAnsi="Calibri" w:cs="Calibri"/>
                <w:sz w:val="20"/>
              </w:rPr>
            </w:pPr>
            <w:r w:rsidRPr="00C63A98">
              <w:rPr>
                <w:rFonts w:ascii="Calibri" w:hAnsi="Calibri" w:cs="Calibri"/>
                <w:sz w:val="20"/>
              </w:rPr>
              <w:t>Varchar</w:t>
            </w:r>
          </w:p>
        </w:tc>
        <w:tc>
          <w:tcPr>
            <w:tcW w:w="1549" w:type="dxa"/>
          </w:tcPr>
          <w:p w14:paraId="2432D8C3" w14:textId="14601868" w:rsidR="00C63A98" w:rsidRPr="00C63A98" w:rsidRDefault="00C63A98" w:rsidP="00AA30D8">
            <w:pPr>
              <w:pStyle w:val="Tabletext"/>
              <w:keepNext/>
              <w:rPr>
                <w:rFonts w:ascii="Calibri" w:hAnsi="Calibri" w:cs="Calibri"/>
                <w:sz w:val="20"/>
              </w:rPr>
            </w:pPr>
            <w:r w:rsidRPr="00C63A98">
              <w:rPr>
                <w:rFonts w:ascii="Calibri" w:hAnsi="Calibri" w:cs="Calibri"/>
                <w:sz w:val="20"/>
              </w:rPr>
              <w:t>$/bbl</w:t>
            </w:r>
          </w:p>
        </w:tc>
      </w:tr>
      <w:tr w:rsidR="00C63A98" w:rsidRPr="00C63A98" w14:paraId="581CC35D" w14:textId="77777777" w:rsidTr="00C63A98">
        <w:trPr>
          <w:cantSplit/>
        </w:trPr>
        <w:tc>
          <w:tcPr>
            <w:tcW w:w="2221" w:type="dxa"/>
          </w:tcPr>
          <w:p w14:paraId="0BA74054" w14:textId="020A5F62" w:rsidR="00C63A98" w:rsidRPr="00C63A98" w:rsidRDefault="00C63A98" w:rsidP="00C63A98">
            <w:pPr>
              <w:pStyle w:val="Tabletext"/>
              <w:keepNext/>
              <w:rPr>
                <w:rFonts w:ascii="Calibri" w:hAnsi="Calibri" w:cs="Calibri"/>
                <w:sz w:val="20"/>
              </w:rPr>
            </w:pPr>
            <w:r w:rsidRPr="00C63A98">
              <w:rPr>
                <w:rFonts w:ascii="Calibri" w:hAnsi="Calibri" w:cs="Calibri"/>
                <w:sz w:val="20"/>
              </w:rPr>
              <w:t>Date</w:t>
            </w:r>
          </w:p>
        </w:tc>
        <w:tc>
          <w:tcPr>
            <w:tcW w:w="4154" w:type="dxa"/>
          </w:tcPr>
          <w:p w14:paraId="2A5B87D2" w14:textId="04ADEDE0" w:rsidR="00C63A98" w:rsidRPr="00C63A98" w:rsidRDefault="00144FA3" w:rsidP="00C63A98">
            <w:pPr>
              <w:pStyle w:val="Tabletext"/>
              <w:keepNext/>
              <w:rPr>
                <w:rFonts w:ascii="Calibri" w:hAnsi="Calibri" w:cs="Calibri"/>
                <w:sz w:val="20"/>
              </w:rPr>
            </w:pPr>
            <w:r>
              <w:rPr>
                <w:rFonts w:ascii="Calibri" w:hAnsi="Calibri" w:cs="Calibri"/>
                <w:sz w:val="20"/>
              </w:rPr>
              <w:t>Date when data is generated (price effective date)</w:t>
            </w:r>
          </w:p>
        </w:tc>
        <w:tc>
          <w:tcPr>
            <w:tcW w:w="1436" w:type="dxa"/>
          </w:tcPr>
          <w:p w14:paraId="14764AB3" w14:textId="790E0076" w:rsidR="00C63A98" w:rsidRPr="00C63A98" w:rsidRDefault="00C63A98" w:rsidP="00C63A98">
            <w:pPr>
              <w:pStyle w:val="Tabletext"/>
              <w:keepNext/>
              <w:rPr>
                <w:rFonts w:ascii="Calibri" w:hAnsi="Calibri" w:cs="Calibri"/>
                <w:sz w:val="20"/>
              </w:rPr>
            </w:pPr>
            <w:r w:rsidRPr="00C63A98">
              <w:rPr>
                <w:rFonts w:ascii="Calibri" w:hAnsi="Calibri" w:cs="Calibri"/>
                <w:sz w:val="20"/>
              </w:rPr>
              <w:t>Date</w:t>
            </w:r>
          </w:p>
        </w:tc>
        <w:tc>
          <w:tcPr>
            <w:tcW w:w="1549" w:type="dxa"/>
          </w:tcPr>
          <w:p w14:paraId="191C6C7A" w14:textId="4942489F" w:rsidR="00C63A98" w:rsidRPr="00C63A98" w:rsidRDefault="00794AE6" w:rsidP="00C63A98">
            <w:pPr>
              <w:pStyle w:val="Tabletext"/>
              <w:keepNext/>
              <w:rPr>
                <w:rFonts w:ascii="Calibri" w:hAnsi="Calibri" w:cs="Calibri"/>
                <w:sz w:val="20"/>
              </w:rPr>
            </w:pPr>
            <w:r>
              <w:rPr>
                <w:rFonts w:ascii="Calibri" w:hAnsi="Calibri" w:cs="Calibri"/>
                <w:sz w:val="20"/>
              </w:rPr>
              <w:t>2026-06-22</w:t>
            </w:r>
          </w:p>
        </w:tc>
      </w:tr>
    </w:tbl>
    <w:p w14:paraId="41826106" w14:textId="09597168" w:rsidR="00C63A98" w:rsidRDefault="00C63A98" w:rsidP="00C63A98">
      <w:pPr>
        <w:pStyle w:val="Caption"/>
      </w:pPr>
      <w:bookmarkStart w:id="205" w:name="_Toc241311447"/>
      <w:bookmarkStart w:id="206" w:name="_Toc241574603"/>
      <w:bookmarkStart w:id="207" w:name="_Toc242554020"/>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22</w:t>
      </w:r>
      <w:r>
        <w:fldChar w:fldCharType="end"/>
      </w:r>
      <w:r>
        <w:t>: Source (MPR) Data Entity: Pricing Data</w:t>
      </w:r>
      <w:bookmarkEnd w:id="205"/>
      <w:bookmarkEnd w:id="206"/>
      <w:bookmarkEnd w:id="207"/>
    </w:p>
    <w:p w14:paraId="26788110" w14:textId="77777777" w:rsidR="0081216E" w:rsidRDefault="004639A1" w:rsidP="00AA30D8">
      <w:pPr>
        <w:pStyle w:val="Heading5"/>
        <w:rPr>
          <w:rFonts w:ascii="Calibri" w:hAnsi="Calibri" w:cs="Calibri"/>
          <w:sz w:val="20"/>
        </w:rPr>
      </w:pPr>
      <w:r w:rsidRPr="00AA30D8">
        <w:rPr>
          <w:rFonts w:ascii="Calibri" w:hAnsi="Calibri" w:cs="Calibri"/>
          <w:sz w:val="20"/>
        </w:rPr>
        <w:t>Source to Response Model Mapping</w:t>
      </w:r>
    </w:p>
    <w:p w14:paraId="2CFD913C" w14:textId="65B4F7CD" w:rsidR="00FC42E7" w:rsidRPr="00EC3682" w:rsidRDefault="00FC42E7" w:rsidP="00FC42E7">
      <w:pPr>
        <w:pStyle w:val="ListParagraph"/>
        <w:numPr>
          <w:ilvl w:val="0"/>
          <w:numId w:val="4"/>
        </w:numPr>
        <w:jc w:val="left"/>
        <w:rPr>
          <w:rFonts w:ascii="Calibri" w:hAnsi="Calibri" w:cs="Calibri"/>
        </w:rPr>
      </w:pPr>
      <w:r>
        <w:t>Most attributes of the pricing response shall come unchanged from the price service.</w:t>
      </w:r>
    </w:p>
    <w:p w14:paraId="6917E677" w14:textId="30714314" w:rsidR="004639A1" w:rsidRPr="00FC42E7" w:rsidRDefault="00FC42E7" w:rsidP="00FC42E7">
      <w:pPr>
        <w:pStyle w:val="ListParagraph"/>
        <w:numPr>
          <w:ilvl w:val="0"/>
          <w:numId w:val="4"/>
        </w:numPr>
        <w:jc w:val="left"/>
      </w:pPr>
      <w:r w:rsidRPr="00FC42E7">
        <w:t>The Price Response Service shall work out the price as the average over the period.</w:t>
      </w:r>
    </w:p>
    <w:p w14:paraId="0E2DD280" w14:textId="77777777" w:rsidR="0081216E" w:rsidRDefault="00C63A98" w:rsidP="00AA30D8">
      <w:pPr>
        <w:pStyle w:val="Heading6"/>
        <w:rPr>
          <w:rFonts w:ascii="Calibri" w:hAnsi="Calibri" w:cs="Calibri"/>
          <w:sz w:val="20"/>
        </w:rPr>
      </w:pPr>
      <w:r w:rsidRPr="00AA30D8">
        <w:rPr>
          <w:rFonts w:ascii="Calibri" w:hAnsi="Calibri" w:cs="Calibri"/>
          <w:sz w:val="20"/>
        </w:rPr>
        <w:t>MPR (Pricing Data</w:t>
      </w:r>
      <w:r w:rsidR="0045635D" w:rsidRPr="00AA30D8">
        <w:rPr>
          <w:rFonts w:ascii="Calibri" w:hAnsi="Calibri" w:cs="Calibri"/>
          <w:sz w:val="20"/>
        </w:rPr>
        <w:t>) to Response Model Mapping</w:t>
      </w:r>
    </w:p>
    <w:p w14:paraId="54F1618F" w14:textId="38F523AB" w:rsidR="004639A1" w:rsidRPr="0081216E" w:rsidRDefault="00FC42E7" w:rsidP="00FC42E7">
      <w:pPr>
        <w:keepNext/>
        <w:jc w:val="left"/>
        <w:rPr>
          <w:rFonts w:ascii="Calibri" w:hAnsi="Calibri" w:cs="Calibri"/>
        </w:rPr>
      </w:pPr>
      <w:r>
        <w:rPr>
          <w:rFonts w:ascii="Calibri" w:hAnsi="Calibri" w:cs="Calibri"/>
        </w:rPr>
        <w:t>The table below gives the price service field that each attribute of the response model comes from; the worked example after it shows how the average price is calculated.</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0"/>
        <w:gridCol w:w="2340"/>
        <w:gridCol w:w="2340"/>
        <w:gridCol w:w="2340"/>
      </w:tblGrid>
      <w:tr w:rsidR="00C63A98" w:rsidRPr="00C63A98" w14:paraId="0B640988" w14:textId="77777777" w:rsidTr="00D0687B">
        <w:trPr>
          <w:cantSplit/>
          <w:tblHeader/>
        </w:trPr>
        <w:tc>
          <w:tcPr>
            <w:tcW w:w="2340" w:type="dxa"/>
            <w:shd w:val="clear" w:color="auto" w:fill="2F5597"/>
          </w:tcPr>
          <w:p w14:paraId="75DCF740" w14:textId="2755ABD3" w:rsidR="00C63A98" w:rsidRPr="00C63A98" w:rsidRDefault="00AA30D8" w:rsidP="00C63A98">
            <w:pPr>
              <w:pStyle w:val="Tablehead1"/>
              <w:rPr>
                <w:rFonts w:ascii="Calibri" w:hAnsi="Calibri" w:cs="Calibri"/>
                <w:sz w:val="20"/>
              </w:rPr>
            </w:pPr>
            <w:r>
              <w:rPr>
                <w:rFonts w:ascii="Calibri" w:hAnsi="Calibri" w:cs="Calibri"/>
                <w:sz w:val="20"/>
              </w:rPr>
              <w:t>Response Model</w:t>
            </w:r>
          </w:p>
        </w:tc>
        <w:tc>
          <w:tcPr>
            <w:tcW w:w="2340" w:type="dxa"/>
            <w:shd w:val="clear" w:color="auto" w:fill="2F5597"/>
          </w:tcPr>
          <w:p w14:paraId="39065680" w14:textId="4A0F94A7" w:rsidR="00C63A98" w:rsidRPr="00C63A98" w:rsidRDefault="00AA30D8" w:rsidP="00C63A98">
            <w:pPr>
              <w:pStyle w:val="Tablehead1"/>
              <w:rPr>
                <w:rFonts w:ascii="Calibri" w:hAnsi="Calibri" w:cs="Calibri"/>
                <w:sz w:val="20"/>
              </w:rPr>
            </w:pPr>
            <w:r>
              <w:rPr>
                <w:rFonts w:ascii="Calibri" w:hAnsi="Calibri" w:cs="Calibri"/>
                <w:sz w:val="20"/>
              </w:rPr>
              <w:t>Source Field</w:t>
            </w:r>
          </w:p>
        </w:tc>
        <w:tc>
          <w:tcPr>
            <w:tcW w:w="2340" w:type="dxa"/>
            <w:shd w:val="clear" w:color="auto" w:fill="2F5597"/>
          </w:tcPr>
          <w:p w14:paraId="433136E7" w14:textId="2A769754" w:rsidR="00C63A98" w:rsidRPr="00C63A98" w:rsidRDefault="00AA30D8" w:rsidP="00C63A98">
            <w:pPr>
              <w:pStyle w:val="Tablehead1"/>
              <w:rPr>
                <w:rFonts w:ascii="Calibri" w:hAnsi="Calibri" w:cs="Calibri"/>
                <w:sz w:val="20"/>
              </w:rPr>
            </w:pPr>
            <w:r>
              <w:rPr>
                <w:rFonts w:ascii="Calibri" w:hAnsi="Calibri" w:cs="Calibri"/>
                <w:sz w:val="20"/>
              </w:rPr>
              <w:t>Attribute</w:t>
            </w:r>
          </w:p>
        </w:tc>
        <w:tc>
          <w:tcPr>
            <w:tcW w:w="2340" w:type="dxa"/>
            <w:shd w:val="clear" w:color="auto" w:fill="2F5597"/>
          </w:tcPr>
          <w:p w14:paraId="521423EB" w14:textId="47C93125" w:rsidR="00C63A98" w:rsidRPr="00C63A98" w:rsidRDefault="00AA30D8" w:rsidP="00C63A98">
            <w:pPr>
              <w:pStyle w:val="Tablehead1"/>
              <w:rPr>
                <w:rFonts w:ascii="Calibri" w:hAnsi="Calibri" w:cs="Calibri"/>
                <w:sz w:val="20"/>
              </w:rPr>
            </w:pPr>
            <w:r>
              <w:rPr>
                <w:rFonts w:ascii="Calibri" w:hAnsi="Calibri" w:cs="Calibri"/>
                <w:sz w:val="20"/>
              </w:rPr>
              <w:t>Description</w:t>
            </w:r>
          </w:p>
        </w:tc>
      </w:tr>
      <w:tr w:rsidR="00451F42" w:rsidRPr="00C63A98" w14:paraId="0241E5CF" w14:textId="77777777" w:rsidTr="00D0687B">
        <w:trPr>
          <w:cantSplit/>
        </w:trPr>
        <w:tc>
          <w:tcPr>
            <w:tcW w:w="2340" w:type="dxa"/>
          </w:tcPr>
          <w:p w14:paraId="09D65E81" w14:textId="31373B36" w:rsidR="00451F42" w:rsidRPr="00C63A98" w:rsidRDefault="00AA30D8" w:rsidP="00C63A98">
            <w:pPr>
              <w:pStyle w:val="Tabletext"/>
              <w:rPr>
                <w:rFonts w:ascii="Calibri" w:hAnsi="Calibri" w:cs="Calibri"/>
                <w:sz w:val="20"/>
              </w:rPr>
            </w:pPr>
            <w:r>
              <w:rPr>
                <w:rFonts w:ascii="Calibri" w:hAnsi="Calibri" w:cs="Calibri"/>
                <w:sz w:val="20"/>
              </w:rPr>
              <w:t>state</w:t>
            </w:r>
          </w:p>
        </w:tc>
        <w:tc>
          <w:tcPr>
            <w:tcW w:w="2340" w:type="dxa"/>
          </w:tcPr>
          <w:p w14:paraId="7FF42665" w14:textId="4328901F" w:rsidR="00451F42" w:rsidRPr="00C63A98" w:rsidRDefault="00CE45AF" w:rsidP="00C63A98">
            <w:pPr>
              <w:pStyle w:val="Tabletext"/>
              <w:rPr>
                <w:rFonts w:ascii="Calibri" w:hAnsi="Calibri" w:cs="Calibri"/>
                <w:sz w:val="20"/>
              </w:rPr>
            </w:pPr>
            <w:r>
              <w:rPr>
                <w:rFonts w:ascii="Calibri" w:hAnsi="Calibri" w:cs="Calibri"/>
                <w:sz w:val="20"/>
              </w:rPr>
              <w:t>state, given by the price service (Actual)</w:t>
            </w:r>
          </w:p>
        </w:tc>
        <w:tc>
          <w:tcPr>
            <w:tcW w:w="2340" w:type="dxa"/>
          </w:tcPr>
          <w:p w14:paraId="5471DEFC" w14:textId="4E8ED3AC" w:rsidR="00451F42" w:rsidRPr="00C63A98" w:rsidRDefault="00AA30D8" w:rsidP="00C63A98">
            <w:pPr>
              <w:pStyle w:val="Tabletext"/>
              <w:rPr>
                <w:rFonts w:ascii="Calibri" w:hAnsi="Calibri" w:cs="Calibri"/>
                <w:sz w:val="20"/>
              </w:rPr>
            </w:pPr>
            <w:r>
              <w:rPr>
                <w:rFonts w:ascii="Calibri" w:hAnsi="Calibri" w:cs="Calibri"/>
                <w:sz w:val="20"/>
              </w:rPr>
              <w:t>state</w:t>
            </w:r>
          </w:p>
        </w:tc>
        <w:tc>
          <w:tcPr>
            <w:tcW w:w="2340" w:type="dxa"/>
          </w:tcPr>
          <w:p w14:paraId="2F8451C6" w14:textId="4421C66A" w:rsidR="00451F42" w:rsidRPr="00C63A98" w:rsidRDefault="00AA30D8" w:rsidP="00C63A98">
            <w:pPr>
              <w:pStyle w:val="Tabletext"/>
              <w:rPr>
                <w:rFonts w:ascii="Calibri" w:hAnsi="Calibri" w:cs="Calibri"/>
                <w:sz w:val="20"/>
              </w:rPr>
            </w:pPr>
            <w:r>
              <w:rPr>
                <w:rFonts w:ascii="Calibri" w:hAnsi="Calibri" w:cs="Calibri"/>
                <w:sz w:val="20"/>
              </w:rPr>
              <w:t>Data state</w:t>
            </w:r>
          </w:p>
        </w:tc>
      </w:tr>
      <w:tr w:rsidR="00AA30D8" w:rsidRPr="00C63A98" w14:paraId="55CBC14A" w14:textId="77777777" w:rsidTr="00D0687B">
        <w:trPr>
          <w:cantSplit/>
        </w:trPr>
        <w:tc>
          <w:tcPr>
            <w:tcW w:w="2340" w:type="dxa"/>
          </w:tcPr>
          <w:p w14:paraId="2B61F7F4" w14:textId="5EC5AD91" w:rsidR="00AA30D8" w:rsidRDefault="00AA30D8" w:rsidP="00C63A98">
            <w:pPr>
              <w:pStyle w:val="Tabletext"/>
              <w:rPr>
                <w:rFonts w:ascii="Calibri" w:hAnsi="Calibri" w:cs="Calibri"/>
                <w:sz w:val="20"/>
              </w:rPr>
            </w:pPr>
            <w:r>
              <w:rPr>
                <w:rFonts w:ascii="Calibri" w:hAnsi="Calibri" w:cs="Calibri"/>
                <w:sz w:val="20"/>
              </w:rPr>
              <w:t>priceId</w:t>
            </w:r>
          </w:p>
        </w:tc>
        <w:tc>
          <w:tcPr>
            <w:tcW w:w="2340" w:type="dxa"/>
          </w:tcPr>
          <w:p w14:paraId="68722062" w14:textId="60A08471" w:rsidR="00AA30D8" w:rsidRDefault="00AA30D8" w:rsidP="00C63A98">
            <w:pPr>
              <w:pStyle w:val="Tabletext"/>
              <w:rPr>
                <w:rFonts w:ascii="Calibri" w:hAnsi="Calibri" w:cs="Calibri"/>
                <w:sz w:val="20"/>
              </w:rPr>
            </w:pPr>
            <w:r>
              <w:rPr>
                <w:rFonts w:ascii="Calibri" w:hAnsi="Calibri" w:cs="Calibri"/>
                <w:sz w:val="20"/>
              </w:rPr>
              <w:t>priceId, given by the price service</w:t>
            </w:r>
          </w:p>
        </w:tc>
        <w:tc>
          <w:tcPr>
            <w:tcW w:w="2340" w:type="dxa"/>
          </w:tcPr>
          <w:p w14:paraId="7D513A25" w14:textId="0905CB0E" w:rsidR="00AA30D8" w:rsidRDefault="00AA30D8" w:rsidP="00C63A98">
            <w:pPr>
              <w:pStyle w:val="Tabletext"/>
              <w:rPr>
                <w:rFonts w:ascii="Calibri" w:hAnsi="Calibri" w:cs="Calibri"/>
                <w:sz w:val="20"/>
              </w:rPr>
            </w:pPr>
            <w:r>
              <w:rPr>
                <w:rFonts w:ascii="Calibri" w:hAnsi="Calibri" w:cs="Calibri"/>
                <w:sz w:val="20"/>
              </w:rPr>
              <w:t>priceId</w:t>
            </w:r>
          </w:p>
        </w:tc>
        <w:tc>
          <w:tcPr>
            <w:tcW w:w="2340" w:type="dxa"/>
          </w:tcPr>
          <w:p w14:paraId="3030A8E2" w14:textId="3E4B900F" w:rsidR="00AA30D8" w:rsidRDefault="00AA30D8" w:rsidP="00C63A98">
            <w:pPr>
              <w:pStyle w:val="Tabletext"/>
              <w:rPr>
                <w:rFonts w:ascii="Calibri" w:hAnsi="Calibri" w:cs="Calibri"/>
                <w:sz w:val="20"/>
              </w:rPr>
            </w:pPr>
            <w:r>
              <w:rPr>
                <w:rFonts w:ascii="Calibri" w:hAnsi="Calibri" w:cs="Calibri"/>
                <w:sz w:val="20"/>
              </w:rPr>
              <w:t>MPR tag</w:t>
            </w:r>
          </w:p>
        </w:tc>
      </w:tr>
      <w:tr w:rsidR="00AA30D8" w:rsidRPr="00C63A98" w14:paraId="5DA9C0F7" w14:textId="77777777" w:rsidTr="00D0687B">
        <w:trPr>
          <w:cantSplit/>
        </w:trPr>
        <w:tc>
          <w:tcPr>
            <w:tcW w:w="2340" w:type="dxa"/>
          </w:tcPr>
          <w:p w14:paraId="6AE47F68" w14:textId="73E25D39" w:rsidR="00AA30D8" w:rsidRDefault="00AA30D8" w:rsidP="00C63A98">
            <w:pPr>
              <w:pStyle w:val="Tabletext"/>
              <w:rPr>
                <w:rFonts w:ascii="Calibri" w:hAnsi="Calibri" w:cs="Calibri"/>
                <w:sz w:val="20"/>
              </w:rPr>
            </w:pPr>
            <w:r>
              <w:rPr>
                <w:rFonts w:ascii="Calibri" w:hAnsi="Calibri" w:cs="Calibri"/>
                <w:sz w:val="20"/>
              </w:rPr>
              <w:t>type</w:t>
            </w:r>
          </w:p>
        </w:tc>
        <w:tc>
          <w:tcPr>
            <w:tcW w:w="2340" w:type="dxa"/>
          </w:tcPr>
          <w:p w14:paraId="5AF8BAB5" w14:textId="4E1F4260" w:rsidR="00AA30D8" w:rsidRDefault="00AA30D8" w:rsidP="00C63A98">
            <w:pPr>
              <w:pStyle w:val="Tabletext"/>
              <w:rPr>
                <w:rFonts w:ascii="Calibri" w:hAnsi="Calibri" w:cs="Calibri"/>
                <w:sz w:val="20"/>
              </w:rPr>
            </w:pPr>
            <w:r>
              <w:rPr>
                <w:rFonts w:ascii="Calibri" w:hAnsi="Calibri" w:cs="Calibri"/>
                <w:sz w:val="20"/>
              </w:rPr>
              <w:t>type, given by the price service</w:t>
            </w:r>
          </w:p>
        </w:tc>
        <w:tc>
          <w:tcPr>
            <w:tcW w:w="2340" w:type="dxa"/>
          </w:tcPr>
          <w:p w14:paraId="131F8A66" w14:textId="204241A8" w:rsidR="00AA30D8" w:rsidRDefault="00AA30D8" w:rsidP="00C63A98">
            <w:pPr>
              <w:pStyle w:val="Tabletext"/>
              <w:rPr>
                <w:rFonts w:ascii="Calibri" w:hAnsi="Calibri" w:cs="Calibri"/>
                <w:sz w:val="20"/>
              </w:rPr>
            </w:pPr>
            <w:r>
              <w:rPr>
                <w:rFonts w:ascii="Calibri" w:hAnsi="Calibri" w:cs="Calibri"/>
                <w:sz w:val="20"/>
              </w:rPr>
              <w:t>type</w:t>
            </w:r>
          </w:p>
        </w:tc>
        <w:tc>
          <w:tcPr>
            <w:tcW w:w="2340" w:type="dxa"/>
          </w:tcPr>
          <w:p w14:paraId="3C0D19F6" w14:textId="28DD8946" w:rsidR="00AA30D8" w:rsidRDefault="00AA30D8" w:rsidP="00C63A98">
            <w:pPr>
              <w:pStyle w:val="Tabletext"/>
              <w:rPr>
                <w:rFonts w:ascii="Calibri" w:hAnsi="Calibri" w:cs="Calibri"/>
                <w:sz w:val="20"/>
              </w:rPr>
            </w:pPr>
            <w:r>
              <w:rPr>
                <w:rFonts w:ascii="Calibri" w:hAnsi="Calibri" w:cs="Calibri"/>
                <w:sz w:val="20"/>
              </w:rPr>
              <w:t>Price type</w:t>
            </w:r>
          </w:p>
        </w:tc>
      </w:tr>
      <w:tr w:rsidR="00AA30D8" w:rsidRPr="00C63A98" w14:paraId="083CD654" w14:textId="77777777" w:rsidTr="00D0687B">
        <w:trPr>
          <w:cantSplit/>
        </w:trPr>
        <w:tc>
          <w:tcPr>
            <w:tcW w:w="2340" w:type="dxa"/>
          </w:tcPr>
          <w:p w14:paraId="5C2C7608" w14:textId="55E80198" w:rsidR="00AA30D8" w:rsidRDefault="00AA30D8" w:rsidP="00C63A98">
            <w:pPr>
              <w:pStyle w:val="Tabletext"/>
              <w:rPr>
                <w:rFonts w:ascii="Calibri" w:hAnsi="Calibri" w:cs="Calibri"/>
                <w:sz w:val="20"/>
              </w:rPr>
            </w:pPr>
            <w:r>
              <w:rPr>
                <w:rFonts w:ascii="Calibri" w:hAnsi="Calibri" w:cs="Calibri"/>
                <w:sz w:val="20"/>
              </w:rPr>
              <w:t>globalCode</w:t>
            </w:r>
          </w:p>
        </w:tc>
        <w:tc>
          <w:tcPr>
            <w:tcW w:w="2340" w:type="dxa"/>
          </w:tcPr>
          <w:p w14:paraId="30B8F576" w14:textId="409202C7" w:rsidR="00AA30D8" w:rsidRDefault="00AA30D8" w:rsidP="00C63A98">
            <w:pPr>
              <w:pStyle w:val="Tabletext"/>
              <w:rPr>
                <w:rFonts w:ascii="Calibri" w:hAnsi="Calibri" w:cs="Calibri"/>
                <w:sz w:val="20"/>
              </w:rPr>
            </w:pPr>
            <w:r>
              <w:rPr>
                <w:rFonts w:ascii="Calibri" w:hAnsi="Calibri" w:cs="Calibri"/>
                <w:sz w:val="20"/>
              </w:rPr>
              <w:t>globalCode, given by the price service</w:t>
            </w:r>
          </w:p>
        </w:tc>
        <w:tc>
          <w:tcPr>
            <w:tcW w:w="2340" w:type="dxa"/>
          </w:tcPr>
          <w:p w14:paraId="42AD8091" w14:textId="3C816EF9" w:rsidR="00AA30D8" w:rsidRDefault="00AA30D8" w:rsidP="00C63A98">
            <w:pPr>
              <w:pStyle w:val="Tabletext"/>
              <w:rPr>
                <w:rFonts w:ascii="Calibri" w:hAnsi="Calibri" w:cs="Calibri"/>
                <w:sz w:val="20"/>
              </w:rPr>
            </w:pPr>
            <w:r>
              <w:rPr>
                <w:rFonts w:ascii="Calibri" w:hAnsi="Calibri" w:cs="Calibri"/>
                <w:sz w:val="20"/>
              </w:rPr>
              <w:t>globalCode</w:t>
            </w:r>
          </w:p>
        </w:tc>
        <w:tc>
          <w:tcPr>
            <w:tcW w:w="2340" w:type="dxa"/>
          </w:tcPr>
          <w:p w14:paraId="152A0635" w14:textId="2A7F6759" w:rsidR="00AA30D8" w:rsidRDefault="00794AE6" w:rsidP="00C63A98">
            <w:pPr>
              <w:pStyle w:val="Tabletext"/>
              <w:rPr>
                <w:rFonts w:ascii="Calibri" w:hAnsi="Calibri" w:cs="Calibri"/>
                <w:sz w:val="20"/>
              </w:rPr>
            </w:pPr>
            <w:r>
              <w:rPr>
                <w:rFonts w:ascii="Calibri" w:hAnsi="Calibri" w:cs="Calibri"/>
                <w:sz w:val="20"/>
              </w:rPr>
              <w:t>Profisee code of the MPR tag</w:t>
            </w:r>
          </w:p>
        </w:tc>
      </w:tr>
      <w:tr w:rsidR="00AA30D8" w:rsidRPr="00C63A98" w14:paraId="5E63E6A0" w14:textId="77777777" w:rsidTr="00D0687B">
        <w:trPr>
          <w:cantSplit/>
        </w:trPr>
        <w:tc>
          <w:tcPr>
            <w:tcW w:w="2340" w:type="dxa"/>
          </w:tcPr>
          <w:p w14:paraId="692741AB" w14:textId="11A7A6AC" w:rsidR="00AA30D8" w:rsidRDefault="00AA30D8" w:rsidP="00C63A98">
            <w:pPr>
              <w:pStyle w:val="Tabletext"/>
              <w:rPr>
                <w:rFonts w:ascii="Calibri" w:hAnsi="Calibri" w:cs="Calibri"/>
                <w:sz w:val="20"/>
              </w:rPr>
            </w:pPr>
            <w:r>
              <w:rPr>
                <w:rFonts w:ascii="Calibri" w:hAnsi="Calibri" w:cs="Calibri"/>
                <w:sz w:val="20"/>
              </w:rPr>
              <w:t>price</w:t>
            </w:r>
          </w:p>
        </w:tc>
        <w:tc>
          <w:tcPr>
            <w:tcW w:w="2340" w:type="dxa"/>
          </w:tcPr>
          <w:p w14:paraId="220F3D7A" w14:textId="5D8F3758" w:rsidR="00AA30D8" w:rsidRDefault="00AA30D8" w:rsidP="00C63A98">
            <w:pPr>
              <w:pStyle w:val="Tabletext"/>
              <w:rPr>
                <w:rFonts w:ascii="Calibri" w:hAnsi="Calibri" w:cs="Calibri"/>
                <w:sz w:val="20"/>
              </w:rPr>
            </w:pPr>
            <w:r>
              <w:rPr>
                <w:rFonts w:ascii="Calibri" w:hAnsi="Calibri" w:cs="Calibri"/>
                <w:sz w:val="20"/>
              </w:rPr>
              <w:t xml:space="preserve">Settled price of each day, given by the price service. </w:t>
            </w:r>
            <w:r w:rsidR="00873A53">
              <w:rPr>
                <w:rFonts w:ascii="Calibri" w:hAnsi="Calibri" w:cs="Calibri"/>
                <w:sz w:val="20"/>
              </w:rPr>
              <w:t xml:space="preserve">The Price Response Service shall give a day without a settled price the price of the day before, </w:t>
            </w:r>
            <w:r w:rsidR="00F80961">
              <w:rPr>
                <w:rFonts w:ascii="Calibri" w:hAnsi="Calibri" w:cs="Calibri"/>
                <w:sz w:val="20"/>
              </w:rPr>
              <w:t>then average the days of the period and round the average to two decimals</w:t>
            </w:r>
          </w:p>
        </w:tc>
        <w:tc>
          <w:tcPr>
            <w:tcW w:w="2340" w:type="dxa"/>
          </w:tcPr>
          <w:p w14:paraId="3DB62A91" w14:textId="2973A400" w:rsidR="00AA30D8" w:rsidRDefault="00AA30D8" w:rsidP="00C63A98">
            <w:pPr>
              <w:pStyle w:val="Tabletext"/>
              <w:rPr>
                <w:rFonts w:ascii="Calibri" w:hAnsi="Calibri" w:cs="Calibri"/>
                <w:sz w:val="20"/>
              </w:rPr>
            </w:pPr>
            <w:r>
              <w:rPr>
                <w:rFonts w:ascii="Calibri" w:hAnsi="Calibri" w:cs="Calibri"/>
                <w:sz w:val="20"/>
              </w:rPr>
              <w:t>price</w:t>
            </w:r>
          </w:p>
        </w:tc>
        <w:tc>
          <w:tcPr>
            <w:tcW w:w="2340" w:type="dxa"/>
          </w:tcPr>
          <w:p w14:paraId="108BCDD4" w14:textId="54675171" w:rsidR="00AA30D8" w:rsidRDefault="00AA30D8" w:rsidP="00C63A98">
            <w:pPr>
              <w:pStyle w:val="Tabletext"/>
              <w:rPr>
                <w:rFonts w:ascii="Calibri" w:hAnsi="Calibri" w:cs="Calibri"/>
                <w:sz w:val="20"/>
              </w:rPr>
            </w:pPr>
            <w:r>
              <w:rPr>
                <w:rFonts w:ascii="Calibri" w:hAnsi="Calibri" w:cs="Calibri"/>
                <w:sz w:val="20"/>
              </w:rPr>
              <w:t>Average of the settled prices over every calendar day of the period</w:t>
            </w:r>
          </w:p>
        </w:tc>
      </w:tr>
      <w:tr w:rsidR="00AA30D8" w:rsidRPr="00C63A98" w14:paraId="4EAF01C3" w14:textId="77777777" w:rsidTr="00D0687B">
        <w:trPr>
          <w:cantSplit/>
        </w:trPr>
        <w:tc>
          <w:tcPr>
            <w:tcW w:w="2340" w:type="dxa"/>
          </w:tcPr>
          <w:p w14:paraId="155E84CB" w14:textId="1AAC33CB" w:rsidR="00AA30D8" w:rsidRDefault="00AA30D8" w:rsidP="00C63A98">
            <w:pPr>
              <w:pStyle w:val="Tabletext"/>
              <w:rPr>
                <w:rFonts w:ascii="Calibri" w:hAnsi="Calibri" w:cs="Calibri"/>
                <w:sz w:val="20"/>
              </w:rPr>
            </w:pPr>
            <w:r>
              <w:rPr>
                <w:rFonts w:ascii="Calibri" w:hAnsi="Calibri" w:cs="Calibri"/>
                <w:sz w:val="20"/>
              </w:rPr>
              <w:t>priceOverride</w:t>
            </w:r>
          </w:p>
        </w:tc>
        <w:tc>
          <w:tcPr>
            <w:tcW w:w="2340" w:type="dxa"/>
          </w:tcPr>
          <w:p w14:paraId="66191278" w14:textId="4390B78A" w:rsidR="00AA30D8" w:rsidRDefault="00F80961" w:rsidP="00C63A98">
            <w:pPr>
              <w:pStyle w:val="Tabletext"/>
              <w:rPr>
                <w:rFonts w:ascii="Calibri" w:hAnsi="Calibri" w:cs="Calibri"/>
                <w:sz w:val="20"/>
              </w:rPr>
            </w:pPr>
            <w:r>
              <w:rPr>
                <w:rFonts w:ascii="Calibri" w:hAnsi="Calibri" w:cs="Calibri"/>
                <w:sz w:val="20"/>
              </w:rPr>
              <w:t>priceOverride, given by the price service: the latest override entered for the MPR tag in the period</w:t>
            </w:r>
          </w:p>
        </w:tc>
        <w:tc>
          <w:tcPr>
            <w:tcW w:w="2340" w:type="dxa"/>
          </w:tcPr>
          <w:p w14:paraId="6AE684AB" w14:textId="043C9BF4" w:rsidR="00AA30D8" w:rsidRDefault="00AA30D8" w:rsidP="00C63A98">
            <w:pPr>
              <w:pStyle w:val="Tabletext"/>
              <w:rPr>
                <w:rFonts w:ascii="Calibri" w:hAnsi="Calibri" w:cs="Calibri"/>
                <w:sz w:val="20"/>
              </w:rPr>
            </w:pPr>
            <w:r>
              <w:rPr>
                <w:rFonts w:ascii="Calibri" w:hAnsi="Calibri" w:cs="Calibri"/>
                <w:sz w:val="20"/>
              </w:rPr>
              <w:t>priceOverride</w:t>
            </w:r>
          </w:p>
        </w:tc>
        <w:tc>
          <w:tcPr>
            <w:tcW w:w="2340" w:type="dxa"/>
          </w:tcPr>
          <w:p w14:paraId="287C96B9" w14:textId="6C35DC1F" w:rsidR="00AA30D8" w:rsidRDefault="00794AE6" w:rsidP="00C63A98">
            <w:pPr>
              <w:pStyle w:val="Tabletext"/>
              <w:rPr>
                <w:rFonts w:ascii="Calibri" w:hAnsi="Calibri" w:cs="Calibri"/>
                <w:sz w:val="20"/>
              </w:rPr>
            </w:pPr>
            <w:r>
              <w:rPr>
                <w:rFonts w:ascii="Calibri" w:hAnsi="Calibri" w:cs="Calibri"/>
                <w:sz w:val="20"/>
              </w:rPr>
              <w:t>Override price from the platform's price override table, when one is set</w:t>
            </w:r>
          </w:p>
        </w:tc>
      </w:tr>
      <w:tr w:rsidR="00AA30D8" w:rsidRPr="00C63A98" w14:paraId="38730757" w14:textId="77777777" w:rsidTr="00D0687B">
        <w:trPr>
          <w:cantSplit/>
        </w:trPr>
        <w:tc>
          <w:tcPr>
            <w:tcW w:w="2340" w:type="dxa"/>
          </w:tcPr>
          <w:p w14:paraId="487E1CF5" w14:textId="05837B83" w:rsidR="00AA30D8" w:rsidRDefault="00AA30D8" w:rsidP="00C63A98">
            <w:pPr>
              <w:pStyle w:val="Tabletext"/>
              <w:rPr>
                <w:rFonts w:ascii="Calibri" w:hAnsi="Calibri" w:cs="Calibri"/>
                <w:sz w:val="20"/>
              </w:rPr>
            </w:pPr>
            <w:r>
              <w:rPr>
                <w:rFonts w:ascii="Calibri" w:hAnsi="Calibri" w:cs="Calibri"/>
                <w:sz w:val="20"/>
              </w:rPr>
              <w:t>productAbbreviation</w:t>
            </w:r>
          </w:p>
        </w:tc>
        <w:tc>
          <w:tcPr>
            <w:tcW w:w="2340" w:type="dxa"/>
          </w:tcPr>
          <w:p w14:paraId="2929B547" w14:textId="2025F7B4" w:rsidR="00AA30D8" w:rsidRDefault="00AA30D8" w:rsidP="00C63A98">
            <w:pPr>
              <w:pStyle w:val="Tabletext"/>
              <w:rPr>
                <w:rFonts w:ascii="Calibri" w:hAnsi="Calibri" w:cs="Calibri"/>
                <w:sz w:val="20"/>
              </w:rPr>
            </w:pPr>
            <w:r>
              <w:rPr>
                <w:rFonts w:ascii="Calibri" w:hAnsi="Calibri" w:cs="Calibri"/>
                <w:sz w:val="20"/>
              </w:rPr>
              <w:t>productAbbreviation, given by the price service</w:t>
            </w:r>
          </w:p>
        </w:tc>
        <w:tc>
          <w:tcPr>
            <w:tcW w:w="2340" w:type="dxa"/>
          </w:tcPr>
          <w:p w14:paraId="401C2934" w14:textId="6B9C872F" w:rsidR="00AA30D8" w:rsidRDefault="00AA30D8" w:rsidP="00C63A98">
            <w:pPr>
              <w:pStyle w:val="Tabletext"/>
              <w:rPr>
                <w:rFonts w:ascii="Calibri" w:hAnsi="Calibri" w:cs="Calibri"/>
                <w:sz w:val="20"/>
              </w:rPr>
            </w:pPr>
            <w:r>
              <w:rPr>
                <w:rFonts w:ascii="Calibri" w:hAnsi="Calibri" w:cs="Calibri"/>
                <w:sz w:val="20"/>
              </w:rPr>
              <w:t>productAbbreviation</w:t>
            </w:r>
          </w:p>
        </w:tc>
        <w:tc>
          <w:tcPr>
            <w:tcW w:w="2340" w:type="dxa"/>
          </w:tcPr>
          <w:p w14:paraId="13658383" w14:textId="6EFB0B42" w:rsidR="00AA30D8" w:rsidRDefault="00AA30D8" w:rsidP="00C63A98">
            <w:pPr>
              <w:pStyle w:val="Tabletext"/>
              <w:rPr>
                <w:rFonts w:ascii="Calibri" w:hAnsi="Calibri" w:cs="Calibri"/>
                <w:sz w:val="20"/>
              </w:rPr>
            </w:pPr>
            <w:r>
              <w:rPr>
                <w:rFonts w:ascii="Calibri" w:hAnsi="Calibri" w:cs="Calibri"/>
                <w:sz w:val="20"/>
              </w:rPr>
              <w:t>Abbreviation of the product</w:t>
            </w:r>
          </w:p>
        </w:tc>
      </w:tr>
      <w:tr w:rsidR="00AA30D8" w:rsidRPr="00C63A98" w14:paraId="144914DC" w14:textId="77777777" w:rsidTr="00D0687B">
        <w:trPr>
          <w:cantSplit/>
        </w:trPr>
        <w:tc>
          <w:tcPr>
            <w:tcW w:w="2340" w:type="dxa"/>
          </w:tcPr>
          <w:p w14:paraId="36A88B6A" w14:textId="2FEBE67A" w:rsidR="00AA30D8" w:rsidRDefault="00AA30D8" w:rsidP="00C63A98">
            <w:pPr>
              <w:pStyle w:val="Tabletext"/>
              <w:rPr>
                <w:rFonts w:ascii="Calibri" w:hAnsi="Calibri" w:cs="Calibri"/>
                <w:sz w:val="20"/>
              </w:rPr>
            </w:pPr>
            <w:r>
              <w:rPr>
                <w:rFonts w:ascii="Calibri" w:hAnsi="Calibri" w:cs="Calibri"/>
                <w:sz w:val="20"/>
              </w:rPr>
              <w:t>publisherCategory</w:t>
            </w:r>
          </w:p>
        </w:tc>
        <w:tc>
          <w:tcPr>
            <w:tcW w:w="2340" w:type="dxa"/>
          </w:tcPr>
          <w:p w14:paraId="7AF93E7E" w14:textId="07F5A7C5" w:rsidR="00AA30D8" w:rsidRDefault="00AA30D8" w:rsidP="00C63A98">
            <w:pPr>
              <w:pStyle w:val="Tabletext"/>
              <w:rPr>
                <w:rFonts w:ascii="Calibri" w:hAnsi="Calibri" w:cs="Calibri"/>
                <w:sz w:val="20"/>
              </w:rPr>
            </w:pPr>
            <w:r>
              <w:rPr>
                <w:rFonts w:ascii="Calibri" w:hAnsi="Calibri" w:cs="Calibri"/>
                <w:sz w:val="20"/>
              </w:rPr>
              <w:t>publisherCategory, given by the price service</w:t>
            </w:r>
          </w:p>
        </w:tc>
        <w:tc>
          <w:tcPr>
            <w:tcW w:w="2340" w:type="dxa"/>
          </w:tcPr>
          <w:p w14:paraId="46DF5192" w14:textId="7631F50C" w:rsidR="00AA30D8" w:rsidRDefault="00AA30D8" w:rsidP="00C63A98">
            <w:pPr>
              <w:pStyle w:val="Tabletext"/>
              <w:rPr>
                <w:rFonts w:ascii="Calibri" w:hAnsi="Calibri" w:cs="Calibri"/>
                <w:sz w:val="20"/>
              </w:rPr>
            </w:pPr>
            <w:r>
              <w:rPr>
                <w:rFonts w:ascii="Calibri" w:hAnsi="Calibri" w:cs="Calibri"/>
                <w:sz w:val="20"/>
              </w:rPr>
              <w:t>publisherCategory</w:t>
            </w:r>
          </w:p>
        </w:tc>
        <w:tc>
          <w:tcPr>
            <w:tcW w:w="2340" w:type="dxa"/>
          </w:tcPr>
          <w:p w14:paraId="00493A2A" w14:textId="7592CE4F" w:rsidR="00AA30D8" w:rsidRDefault="00AA30D8" w:rsidP="00C63A98">
            <w:pPr>
              <w:pStyle w:val="Tabletext"/>
              <w:rPr>
                <w:rFonts w:ascii="Calibri" w:hAnsi="Calibri" w:cs="Calibri"/>
                <w:sz w:val="20"/>
              </w:rPr>
            </w:pPr>
            <w:r>
              <w:rPr>
                <w:rFonts w:ascii="Calibri" w:hAnsi="Calibri" w:cs="Calibri"/>
                <w:sz w:val="20"/>
              </w:rPr>
              <w:t>Publisher category, when MPR holds one</w:t>
            </w:r>
          </w:p>
        </w:tc>
      </w:tr>
      <w:tr w:rsidR="00AA30D8" w:rsidRPr="00C63A98" w14:paraId="0C6B03AA" w14:textId="77777777" w:rsidTr="00D0687B">
        <w:trPr>
          <w:cantSplit/>
        </w:trPr>
        <w:tc>
          <w:tcPr>
            <w:tcW w:w="2340" w:type="dxa"/>
          </w:tcPr>
          <w:p w14:paraId="6B3F245D" w14:textId="1C019DC5" w:rsidR="00AA30D8" w:rsidRDefault="00AA30D8" w:rsidP="00C63A98">
            <w:pPr>
              <w:pStyle w:val="Tabletext"/>
              <w:rPr>
                <w:rFonts w:ascii="Calibri" w:hAnsi="Calibri" w:cs="Calibri"/>
                <w:sz w:val="20"/>
              </w:rPr>
            </w:pPr>
            <w:r>
              <w:rPr>
                <w:rFonts w:ascii="Calibri" w:hAnsi="Calibri" w:cs="Calibri"/>
                <w:sz w:val="20"/>
              </w:rPr>
              <w:t>category</w:t>
            </w:r>
          </w:p>
        </w:tc>
        <w:tc>
          <w:tcPr>
            <w:tcW w:w="2340" w:type="dxa"/>
          </w:tcPr>
          <w:p w14:paraId="7062ED35" w14:textId="050E45CB" w:rsidR="00AA30D8" w:rsidRDefault="00AA30D8" w:rsidP="00C63A98">
            <w:pPr>
              <w:pStyle w:val="Tabletext"/>
              <w:rPr>
                <w:rFonts w:ascii="Calibri" w:hAnsi="Calibri" w:cs="Calibri"/>
                <w:sz w:val="20"/>
              </w:rPr>
            </w:pPr>
            <w:r>
              <w:rPr>
                <w:rFonts w:ascii="Calibri" w:hAnsi="Calibri" w:cs="Calibri"/>
                <w:sz w:val="20"/>
              </w:rPr>
              <w:t>category, given by the price service</w:t>
            </w:r>
          </w:p>
        </w:tc>
        <w:tc>
          <w:tcPr>
            <w:tcW w:w="2340" w:type="dxa"/>
          </w:tcPr>
          <w:p w14:paraId="1E32F9F9" w14:textId="0F982B34" w:rsidR="00AA30D8" w:rsidRDefault="00AA30D8" w:rsidP="00C63A98">
            <w:pPr>
              <w:pStyle w:val="Tabletext"/>
              <w:rPr>
                <w:rFonts w:ascii="Calibri" w:hAnsi="Calibri" w:cs="Calibri"/>
                <w:sz w:val="20"/>
              </w:rPr>
            </w:pPr>
            <w:r>
              <w:rPr>
                <w:rFonts w:ascii="Calibri" w:hAnsi="Calibri" w:cs="Calibri"/>
                <w:sz w:val="20"/>
              </w:rPr>
              <w:t>category</w:t>
            </w:r>
          </w:p>
        </w:tc>
        <w:tc>
          <w:tcPr>
            <w:tcW w:w="2340" w:type="dxa"/>
          </w:tcPr>
          <w:p w14:paraId="24AC98B4" w14:textId="0DDFDCB8" w:rsidR="00AA30D8" w:rsidRDefault="00CE45AF" w:rsidP="00C63A98">
            <w:pPr>
              <w:pStyle w:val="Tabletext"/>
              <w:rPr>
                <w:rFonts w:ascii="Calibri" w:hAnsi="Calibri" w:cs="Calibri"/>
                <w:sz w:val="20"/>
              </w:rPr>
            </w:pPr>
            <w:r>
              <w:rPr>
                <w:rFonts w:ascii="Calibri" w:hAnsi="Calibri" w:cs="Calibri"/>
                <w:sz w:val="20"/>
              </w:rPr>
              <w:t>Price or Cost</w:t>
            </w:r>
          </w:p>
        </w:tc>
      </w:tr>
      <w:tr w:rsidR="00AA30D8" w:rsidRPr="00C63A98" w14:paraId="44FCBA01" w14:textId="77777777" w:rsidTr="00D0687B">
        <w:trPr>
          <w:cantSplit/>
        </w:trPr>
        <w:tc>
          <w:tcPr>
            <w:tcW w:w="2340" w:type="dxa"/>
          </w:tcPr>
          <w:p w14:paraId="365BA38B" w14:textId="2B05C7F4" w:rsidR="00AA30D8" w:rsidRDefault="00AA30D8" w:rsidP="00C63A98">
            <w:pPr>
              <w:pStyle w:val="Tabletext"/>
              <w:rPr>
                <w:rFonts w:ascii="Calibri" w:hAnsi="Calibri" w:cs="Calibri"/>
                <w:sz w:val="20"/>
              </w:rPr>
            </w:pPr>
            <w:r>
              <w:rPr>
                <w:rFonts w:ascii="Calibri" w:hAnsi="Calibri" w:cs="Calibri"/>
                <w:sz w:val="20"/>
              </w:rPr>
              <w:t>currency</w:t>
            </w:r>
          </w:p>
        </w:tc>
        <w:tc>
          <w:tcPr>
            <w:tcW w:w="2340" w:type="dxa"/>
          </w:tcPr>
          <w:p w14:paraId="749DE6C2" w14:textId="17D4B721" w:rsidR="00AA30D8" w:rsidRDefault="00AA30D8" w:rsidP="00C63A98">
            <w:pPr>
              <w:pStyle w:val="Tabletext"/>
              <w:rPr>
                <w:rFonts w:ascii="Calibri" w:hAnsi="Calibri" w:cs="Calibri"/>
                <w:sz w:val="20"/>
              </w:rPr>
            </w:pPr>
            <w:r>
              <w:rPr>
                <w:rFonts w:ascii="Calibri" w:hAnsi="Calibri" w:cs="Calibri"/>
                <w:sz w:val="20"/>
              </w:rPr>
              <w:t>currency, given by the price service</w:t>
            </w:r>
          </w:p>
        </w:tc>
        <w:tc>
          <w:tcPr>
            <w:tcW w:w="2340" w:type="dxa"/>
          </w:tcPr>
          <w:p w14:paraId="68AA8374" w14:textId="56823E82" w:rsidR="00AA30D8" w:rsidRDefault="00AA30D8" w:rsidP="00C63A98">
            <w:pPr>
              <w:pStyle w:val="Tabletext"/>
              <w:rPr>
                <w:rFonts w:ascii="Calibri" w:hAnsi="Calibri" w:cs="Calibri"/>
                <w:sz w:val="20"/>
              </w:rPr>
            </w:pPr>
            <w:r>
              <w:rPr>
                <w:rFonts w:ascii="Calibri" w:hAnsi="Calibri" w:cs="Calibri"/>
                <w:sz w:val="20"/>
              </w:rPr>
              <w:t>currency</w:t>
            </w:r>
          </w:p>
        </w:tc>
        <w:tc>
          <w:tcPr>
            <w:tcW w:w="2340" w:type="dxa"/>
          </w:tcPr>
          <w:p w14:paraId="7081F764" w14:textId="5DA4F30B" w:rsidR="00AA30D8" w:rsidRDefault="00AA30D8" w:rsidP="00C63A98">
            <w:pPr>
              <w:pStyle w:val="Tabletext"/>
              <w:rPr>
                <w:rFonts w:ascii="Calibri" w:hAnsi="Calibri" w:cs="Calibri"/>
                <w:sz w:val="20"/>
              </w:rPr>
            </w:pPr>
            <w:r>
              <w:rPr>
                <w:rFonts w:ascii="Calibri" w:hAnsi="Calibri" w:cs="Calibri"/>
                <w:sz w:val="20"/>
              </w:rPr>
              <w:t>Currency of the price</w:t>
            </w:r>
          </w:p>
        </w:tc>
      </w:tr>
      <w:tr w:rsidR="00AA30D8" w:rsidRPr="00C63A98" w14:paraId="5178CB3B" w14:textId="77777777" w:rsidTr="00D0687B">
        <w:trPr>
          <w:cantSplit/>
        </w:trPr>
        <w:tc>
          <w:tcPr>
            <w:tcW w:w="2340" w:type="dxa"/>
          </w:tcPr>
          <w:p w14:paraId="5BB6EA6D" w14:textId="1C0CC377" w:rsidR="00AA30D8" w:rsidRDefault="00AA30D8" w:rsidP="00C63A98">
            <w:pPr>
              <w:pStyle w:val="Tabletext"/>
              <w:rPr>
                <w:rFonts w:ascii="Calibri" w:hAnsi="Calibri" w:cs="Calibri"/>
                <w:sz w:val="20"/>
              </w:rPr>
            </w:pPr>
            <w:r>
              <w:rPr>
                <w:rFonts w:ascii="Calibri" w:hAnsi="Calibri" w:cs="Calibri"/>
                <w:sz w:val="20"/>
              </w:rPr>
              <w:t>currencyType</w:t>
            </w:r>
          </w:p>
        </w:tc>
        <w:tc>
          <w:tcPr>
            <w:tcW w:w="2340" w:type="dxa"/>
          </w:tcPr>
          <w:p w14:paraId="134C4645" w14:textId="30B3773C" w:rsidR="00AA30D8" w:rsidRDefault="00AA30D8" w:rsidP="00C63A98">
            <w:pPr>
              <w:pStyle w:val="Tabletext"/>
              <w:rPr>
                <w:rFonts w:ascii="Calibri" w:hAnsi="Calibri" w:cs="Calibri"/>
                <w:sz w:val="20"/>
              </w:rPr>
            </w:pPr>
            <w:r>
              <w:rPr>
                <w:rFonts w:ascii="Calibri" w:hAnsi="Calibri" w:cs="Calibri"/>
                <w:sz w:val="20"/>
              </w:rPr>
              <w:t>currencyType, given by the price service</w:t>
            </w:r>
          </w:p>
        </w:tc>
        <w:tc>
          <w:tcPr>
            <w:tcW w:w="2340" w:type="dxa"/>
          </w:tcPr>
          <w:p w14:paraId="70308367" w14:textId="6FF20BD1" w:rsidR="00AA30D8" w:rsidRDefault="00AA30D8" w:rsidP="00C63A98">
            <w:pPr>
              <w:pStyle w:val="Tabletext"/>
              <w:rPr>
                <w:rFonts w:ascii="Calibri" w:hAnsi="Calibri" w:cs="Calibri"/>
                <w:sz w:val="20"/>
              </w:rPr>
            </w:pPr>
            <w:r>
              <w:rPr>
                <w:rFonts w:ascii="Calibri" w:hAnsi="Calibri" w:cs="Calibri"/>
                <w:sz w:val="20"/>
              </w:rPr>
              <w:t>currencyType</w:t>
            </w:r>
          </w:p>
        </w:tc>
        <w:tc>
          <w:tcPr>
            <w:tcW w:w="2340" w:type="dxa"/>
          </w:tcPr>
          <w:p w14:paraId="102E0B6B" w14:textId="33BC34A8" w:rsidR="00AA30D8" w:rsidRDefault="00AA30D8" w:rsidP="00C63A98">
            <w:pPr>
              <w:pStyle w:val="Tabletext"/>
              <w:rPr>
                <w:rFonts w:ascii="Calibri" w:hAnsi="Calibri" w:cs="Calibri"/>
                <w:sz w:val="20"/>
              </w:rPr>
            </w:pPr>
            <w:r>
              <w:rPr>
                <w:rFonts w:ascii="Calibri" w:hAnsi="Calibri" w:cs="Calibri"/>
                <w:sz w:val="20"/>
              </w:rPr>
              <w:t>Currency type</w:t>
            </w:r>
          </w:p>
        </w:tc>
      </w:tr>
      <w:tr w:rsidR="00AA30D8" w:rsidRPr="00C63A98" w14:paraId="5A2B0731" w14:textId="77777777" w:rsidTr="00D0687B">
        <w:trPr>
          <w:cantSplit/>
        </w:trPr>
        <w:tc>
          <w:tcPr>
            <w:tcW w:w="2340" w:type="dxa"/>
          </w:tcPr>
          <w:p w14:paraId="0EA1FFFD" w14:textId="563CE1E1" w:rsidR="00AA30D8" w:rsidRDefault="00AA30D8" w:rsidP="00C63A98">
            <w:pPr>
              <w:pStyle w:val="Tabletext"/>
              <w:rPr>
                <w:rFonts w:ascii="Calibri" w:hAnsi="Calibri" w:cs="Calibri"/>
                <w:sz w:val="20"/>
              </w:rPr>
            </w:pPr>
            <w:r>
              <w:rPr>
                <w:rFonts w:ascii="Calibri" w:hAnsi="Calibri" w:cs="Calibri"/>
                <w:sz w:val="20"/>
              </w:rPr>
              <w:t>uom</w:t>
            </w:r>
          </w:p>
        </w:tc>
        <w:tc>
          <w:tcPr>
            <w:tcW w:w="2340" w:type="dxa"/>
          </w:tcPr>
          <w:p w14:paraId="77E63538" w14:textId="78B24E33" w:rsidR="00AA30D8" w:rsidRDefault="00AA30D8" w:rsidP="00C63A98">
            <w:pPr>
              <w:pStyle w:val="Tabletext"/>
              <w:rPr>
                <w:rFonts w:ascii="Calibri" w:hAnsi="Calibri" w:cs="Calibri"/>
                <w:sz w:val="20"/>
              </w:rPr>
            </w:pPr>
            <w:r>
              <w:rPr>
                <w:rFonts w:ascii="Calibri" w:hAnsi="Calibri" w:cs="Calibri"/>
                <w:sz w:val="20"/>
              </w:rPr>
              <w:t>uom, given by the price service</w:t>
            </w:r>
          </w:p>
        </w:tc>
        <w:tc>
          <w:tcPr>
            <w:tcW w:w="2340" w:type="dxa"/>
          </w:tcPr>
          <w:p w14:paraId="55949AE8" w14:textId="6B6EF615" w:rsidR="00AA30D8" w:rsidRDefault="00AA30D8" w:rsidP="00C63A98">
            <w:pPr>
              <w:pStyle w:val="Tabletext"/>
              <w:rPr>
                <w:rFonts w:ascii="Calibri" w:hAnsi="Calibri" w:cs="Calibri"/>
                <w:sz w:val="20"/>
              </w:rPr>
            </w:pPr>
            <w:r>
              <w:rPr>
                <w:rFonts w:ascii="Calibri" w:hAnsi="Calibri" w:cs="Calibri"/>
                <w:sz w:val="20"/>
              </w:rPr>
              <w:t>uom</w:t>
            </w:r>
          </w:p>
        </w:tc>
        <w:tc>
          <w:tcPr>
            <w:tcW w:w="2340" w:type="dxa"/>
          </w:tcPr>
          <w:p w14:paraId="41078FF8" w14:textId="1AE371B3" w:rsidR="00AA30D8" w:rsidRDefault="00AA30D8" w:rsidP="00C63A98">
            <w:pPr>
              <w:pStyle w:val="Tabletext"/>
              <w:rPr>
                <w:rFonts w:ascii="Calibri" w:hAnsi="Calibri" w:cs="Calibri"/>
                <w:sz w:val="20"/>
              </w:rPr>
            </w:pPr>
            <w:r>
              <w:rPr>
                <w:rFonts w:ascii="Calibri" w:hAnsi="Calibri" w:cs="Calibri"/>
                <w:sz w:val="20"/>
              </w:rPr>
              <w:t>Unit of the price</w:t>
            </w:r>
          </w:p>
        </w:tc>
      </w:tr>
      <w:tr w:rsidR="00AA30D8" w:rsidRPr="00C63A98" w14:paraId="6A9E3DAD" w14:textId="77777777" w:rsidTr="00D0687B">
        <w:trPr>
          <w:cantSplit/>
        </w:trPr>
        <w:tc>
          <w:tcPr>
            <w:tcW w:w="2340" w:type="dxa"/>
          </w:tcPr>
          <w:p w14:paraId="53FCB7F7" w14:textId="228DB36D" w:rsidR="00AA30D8" w:rsidRDefault="00AA30D8" w:rsidP="00C63A98">
            <w:pPr>
              <w:pStyle w:val="Tabletext"/>
              <w:rPr>
                <w:rFonts w:ascii="Calibri" w:hAnsi="Calibri" w:cs="Calibri"/>
                <w:sz w:val="20"/>
              </w:rPr>
            </w:pPr>
            <w:r>
              <w:rPr>
                <w:rFonts w:ascii="Calibri" w:hAnsi="Calibri" w:cs="Calibri"/>
                <w:sz w:val="20"/>
              </w:rPr>
              <w:t>uomAbbreviation</w:t>
            </w:r>
          </w:p>
        </w:tc>
        <w:tc>
          <w:tcPr>
            <w:tcW w:w="2340" w:type="dxa"/>
          </w:tcPr>
          <w:p w14:paraId="212A6CF4" w14:textId="31291672" w:rsidR="00AA30D8" w:rsidRDefault="00AA30D8" w:rsidP="00C63A98">
            <w:pPr>
              <w:pStyle w:val="Tabletext"/>
              <w:rPr>
                <w:rFonts w:ascii="Calibri" w:hAnsi="Calibri" w:cs="Calibri"/>
                <w:sz w:val="20"/>
              </w:rPr>
            </w:pPr>
            <w:r>
              <w:rPr>
                <w:rFonts w:ascii="Calibri" w:hAnsi="Calibri" w:cs="Calibri"/>
                <w:sz w:val="20"/>
              </w:rPr>
              <w:t>uomAbbreviation, given by the price service</w:t>
            </w:r>
          </w:p>
        </w:tc>
        <w:tc>
          <w:tcPr>
            <w:tcW w:w="2340" w:type="dxa"/>
          </w:tcPr>
          <w:p w14:paraId="73A28788" w14:textId="104ECF96" w:rsidR="00AA30D8" w:rsidRDefault="00AA30D8" w:rsidP="00C63A98">
            <w:pPr>
              <w:pStyle w:val="Tabletext"/>
              <w:rPr>
                <w:rFonts w:ascii="Calibri" w:hAnsi="Calibri" w:cs="Calibri"/>
                <w:sz w:val="20"/>
              </w:rPr>
            </w:pPr>
            <w:r>
              <w:rPr>
                <w:rFonts w:ascii="Calibri" w:hAnsi="Calibri" w:cs="Calibri"/>
                <w:sz w:val="20"/>
              </w:rPr>
              <w:t>uomAbbreviation</w:t>
            </w:r>
          </w:p>
        </w:tc>
        <w:tc>
          <w:tcPr>
            <w:tcW w:w="2340" w:type="dxa"/>
          </w:tcPr>
          <w:p w14:paraId="3D3663C4" w14:textId="3A7E5B80" w:rsidR="00AA30D8" w:rsidRDefault="00AA30D8" w:rsidP="00C63A98">
            <w:pPr>
              <w:pStyle w:val="Tabletext"/>
              <w:rPr>
                <w:rFonts w:ascii="Calibri" w:hAnsi="Calibri" w:cs="Calibri"/>
                <w:sz w:val="20"/>
              </w:rPr>
            </w:pPr>
            <w:r>
              <w:rPr>
                <w:rFonts w:ascii="Calibri" w:hAnsi="Calibri" w:cs="Calibri"/>
                <w:sz w:val="20"/>
              </w:rPr>
              <w:t>Abbreviation of the unit</w:t>
            </w:r>
          </w:p>
        </w:tc>
      </w:tr>
      <w:tr w:rsidR="00AA30D8" w:rsidRPr="00C63A98" w14:paraId="536FE3DC" w14:textId="77777777" w:rsidTr="00D0687B">
        <w:trPr>
          <w:cantSplit/>
        </w:trPr>
        <w:tc>
          <w:tcPr>
            <w:tcW w:w="2340" w:type="dxa"/>
          </w:tcPr>
          <w:p w14:paraId="388B741B" w14:textId="1C890535" w:rsidR="00AA30D8" w:rsidRDefault="00AA30D8" w:rsidP="00C63A98">
            <w:pPr>
              <w:pStyle w:val="Tabletext"/>
              <w:rPr>
                <w:rFonts w:ascii="Calibri" w:hAnsi="Calibri" w:cs="Calibri"/>
                <w:sz w:val="20"/>
              </w:rPr>
            </w:pPr>
            <w:r>
              <w:rPr>
                <w:rFonts w:ascii="Calibri" w:hAnsi="Calibri" w:cs="Calibri"/>
                <w:sz w:val="20"/>
              </w:rPr>
              <w:t>uomGlobalCode</w:t>
            </w:r>
          </w:p>
        </w:tc>
        <w:tc>
          <w:tcPr>
            <w:tcW w:w="2340" w:type="dxa"/>
          </w:tcPr>
          <w:p w14:paraId="58F1EF0C" w14:textId="4F999593" w:rsidR="00AA30D8" w:rsidRDefault="00AA30D8" w:rsidP="00C63A98">
            <w:pPr>
              <w:pStyle w:val="Tabletext"/>
              <w:rPr>
                <w:rFonts w:ascii="Calibri" w:hAnsi="Calibri" w:cs="Calibri"/>
                <w:sz w:val="20"/>
              </w:rPr>
            </w:pPr>
            <w:r>
              <w:rPr>
                <w:rFonts w:ascii="Calibri" w:hAnsi="Calibri" w:cs="Calibri"/>
                <w:sz w:val="20"/>
              </w:rPr>
              <w:t>uomGlobalCode, given by the price service</w:t>
            </w:r>
          </w:p>
        </w:tc>
        <w:tc>
          <w:tcPr>
            <w:tcW w:w="2340" w:type="dxa"/>
          </w:tcPr>
          <w:p w14:paraId="546C84E3" w14:textId="520C01A4" w:rsidR="00AA30D8" w:rsidRDefault="00AA30D8" w:rsidP="00C63A98">
            <w:pPr>
              <w:pStyle w:val="Tabletext"/>
              <w:rPr>
                <w:rFonts w:ascii="Calibri" w:hAnsi="Calibri" w:cs="Calibri"/>
                <w:sz w:val="20"/>
              </w:rPr>
            </w:pPr>
            <w:r>
              <w:rPr>
                <w:rFonts w:ascii="Calibri" w:hAnsi="Calibri" w:cs="Calibri"/>
                <w:sz w:val="20"/>
              </w:rPr>
              <w:t>uomGlobalCode</w:t>
            </w:r>
          </w:p>
        </w:tc>
        <w:tc>
          <w:tcPr>
            <w:tcW w:w="2340" w:type="dxa"/>
          </w:tcPr>
          <w:p w14:paraId="6232D706" w14:textId="31A7D73B" w:rsidR="00AA30D8" w:rsidRDefault="00AA30D8" w:rsidP="00C63A98">
            <w:pPr>
              <w:pStyle w:val="Tabletext"/>
              <w:rPr>
                <w:rFonts w:ascii="Calibri" w:hAnsi="Calibri" w:cs="Calibri"/>
                <w:sz w:val="20"/>
              </w:rPr>
            </w:pPr>
            <w:r>
              <w:rPr>
                <w:rFonts w:ascii="Calibri" w:hAnsi="Calibri" w:cs="Calibri"/>
                <w:sz w:val="20"/>
              </w:rPr>
              <w:t>Profisee code of the unit</w:t>
            </w:r>
          </w:p>
        </w:tc>
      </w:tr>
      <w:tr w:rsidR="00AA30D8" w:rsidRPr="00C63A98" w14:paraId="3937C9E5" w14:textId="77777777" w:rsidTr="00D0687B">
        <w:trPr>
          <w:cantSplit/>
        </w:trPr>
        <w:tc>
          <w:tcPr>
            <w:tcW w:w="2340" w:type="dxa"/>
          </w:tcPr>
          <w:p w14:paraId="1699A8A0" w14:textId="25F0425D" w:rsidR="00AA30D8" w:rsidRDefault="00AA30D8" w:rsidP="00C63A98">
            <w:pPr>
              <w:pStyle w:val="Tabletext"/>
              <w:rPr>
                <w:rFonts w:ascii="Calibri" w:hAnsi="Calibri" w:cs="Calibri"/>
                <w:sz w:val="20"/>
              </w:rPr>
            </w:pPr>
            <w:r>
              <w:rPr>
                <w:rFonts w:ascii="Calibri" w:hAnsi="Calibri" w:cs="Calibri"/>
                <w:sz w:val="20"/>
              </w:rPr>
              <w:t>dataSource</w:t>
            </w:r>
          </w:p>
        </w:tc>
        <w:tc>
          <w:tcPr>
            <w:tcW w:w="2340" w:type="dxa"/>
          </w:tcPr>
          <w:p w14:paraId="1FE6B082" w14:textId="0D2EC2BA" w:rsidR="00AA30D8" w:rsidRDefault="00AA30D8" w:rsidP="00C63A98">
            <w:pPr>
              <w:pStyle w:val="Tabletext"/>
              <w:rPr>
                <w:rFonts w:ascii="Calibri" w:hAnsi="Calibri" w:cs="Calibri"/>
                <w:sz w:val="20"/>
              </w:rPr>
            </w:pPr>
            <w:r>
              <w:rPr>
                <w:rFonts w:ascii="Calibri" w:hAnsi="Calibri" w:cs="Calibri"/>
                <w:sz w:val="20"/>
              </w:rPr>
              <w:t>dataSource, given by the price service</w:t>
            </w:r>
          </w:p>
        </w:tc>
        <w:tc>
          <w:tcPr>
            <w:tcW w:w="2340" w:type="dxa"/>
          </w:tcPr>
          <w:p w14:paraId="700E2F69" w14:textId="55F12459" w:rsidR="00AA30D8" w:rsidRDefault="00AA30D8" w:rsidP="00C63A98">
            <w:pPr>
              <w:pStyle w:val="Tabletext"/>
              <w:rPr>
                <w:rFonts w:ascii="Calibri" w:hAnsi="Calibri" w:cs="Calibri"/>
                <w:sz w:val="20"/>
              </w:rPr>
            </w:pPr>
            <w:r>
              <w:rPr>
                <w:rFonts w:ascii="Calibri" w:hAnsi="Calibri" w:cs="Calibri"/>
                <w:sz w:val="20"/>
              </w:rPr>
              <w:t>dataSource</w:t>
            </w:r>
          </w:p>
        </w:tc>
        <w:tc>
          <w:tcPr>
            <w:tcW w:w="2340" w:type="dxa"/>
          </w:tcPr>
          <w:p w14:paraId="6B3DB438" w14:textId="1F0C4ED0" w:rsidR="00AA30D8" w:rsidRDefault="00AA30D8" w:rsidP="00C63A98">
            <w:pPr>
              <w:pStyle w:val="Tabletext"/>
              <w:rPr>
                <w:rFonts w:ascii="Calibri" w:hAnsi="Calibri" w:cs="Calibri"/>
                <w:sz w:val="20"/>
              </w:rPr>
            </w:pPr>
            <w:r>
              <w:rPr>
                <w:rFonts w:ascii="Calibri" w:hAnsi="Calibri" w:cs="Calibri"/>
                <w:sz w:val="20"/>
              </w:rPr>
              <w:t>Source system</w:t>
            </w:r>
          </w:p>
        </w:tc>
      </w:tr>
      <w:tr w:rsidR="00AA30D8" w:rsidRPr="00C63A98" w14:paraId="6ED33B6A" w14:textId="77777777" w:rsidTr="00D0687B">
        <w:trPr>
          <w:cantSplit/>
        </w:trPr>
        <w:tc>
          <w:tcPr>
            <w:tcW w:w="2340" w:type="dxa"/>
          </w:tcPr>
          <w:p w14:paraId="3E1EEA72" w14:textId="36384B4B" w:rsidR="00AA30D8" w:rsidRDefault="00AA30D8" w:rsidP="00C63A98">
            <w:pPr>
              <w:pStyle w:val="Tabletext"/>
              <w:rPr>
                <w:rFonts w:ascii="Calibri" w:hAnsi="Calibri" w:cs="Calibri"/>
                <w:sz w:val="20"/>
              </w:rPr>
            </w:pPr>
            <w:r>
              <w:rPr>
                <w:rFonts w:ascii="Calibri" w:hAnsi="Calibri" w:cs="Calibri"/>
                <w:sz w:val="20"/>
              </w:rPr>
              <w:t>tier</w:t>
            </w:r>
          </w:p>
        </w:tc>
        <w:tc>
          <w:tcPr>
            <w:tcW w:w="2340" w:type="dxa"/>
          </w:tcPr>
          <w:p w14:paraId="4314DA2D" w14:textId="28AD4BE6" w:rsidR="00AA30D8" w:rsidRDefault="00AA30D8" w:rsidP="00C63A98">
            <w:pPr>
              <w:pStyle w:val="Tabletext"/>
              <w:rPr>
                <w:rFonts w:ascii="Calibri" w:hAnsi="Calibri" w:cs="Calibri"/>
                <w:sz w:val="20"/>
              </w:rPr>
            </w:pPr>
            <w:r>
              <w:rPr>
                <w:rFonts w:ascii="Calibri" w:hAnsi="Calibri" w:cs="Calibri"/>
                <w:sz w:val="20"/>
              </w:rPr>
              <w:t>tier, given by the price service</w:t>
            </w:r>
          </w:p>
        </w:tc>
        <w:tc>
          <w:tcPr>
            <w:tcW w:w="2340" w:type="dxa"/>
          </w:tcPr>
          <w:p w14:paraId="1202C41F" w14:textId="1B456D41" w:rsidR="00AA30D8" w:rsidRDefault="00AA30D8" w:rsidP="00C63A98">
            <w:pPr>
              <w:pStyle w:val="Tabletext"/>
              <w:rPr>
                <w:rFonts w:ascii="Calibri" w:hAnsi="Calibri" w:cs="Calibri"/>
                <w:sz w:val="20"/>
              </w:rPr>
            </w:pPr>
            <w:r>
              <w:rPr>
                <w:rFonts w:ascii="Calibri" w:hAnsi="Calibri" w:cs="Calibri"/>
                <w:sz w:val="20"/>
              </w:rPr>
              <w:t>tier</w:t>
            </w:r>
          </w:p>
        </w:tc>
        <w:tc>
          <w:tcPr>
            <w:tcW w:w="2340" w:type="dxa"/>
          </w:tcPr>
          <w:p w14:paraId="0F2A8F97" w14:textId="64F97B3A" w:rsidR="00AA30D8" w:rsidRDefault="00794AE6" w:rsidP="00C63A98">
            <w:pPr>
              <w:pStyle w:val="Tabletext"/>
              <w:rPr>
                <w:rFonts w:ascii="Calibri" w:hAnsi="Calibri" w:cs="Calibri"/>
                <w:sz w:val="20"/>
              </w:rPr>
            </w:pPr>
            <w:r>
              <w:rPr>
                <w:rFonts w:ascii="Calibri" w:hAnsi="Calibri" w:cs="Calibri"/>
                <w:sz w:val="20"/>
              </w:rPr>
              <w:t>Price tier from the platform's price override table, when one is set</w:t>
            </w:r>
          </w:p>
        </w:tc>
      </w:tr>
    </w:tbl>
    <w:p w14:paraId="2767B92C" w14:textId="28113AB6" w:rsidR="00C63A98" w:rsidRDefault="00C63A98" w:rsidP="00C63A98">
      <w:pPr>
        <w:pStyle w:val="Caption"/>
      </w:pPr>
      <w:bookmarkStart w:id="208" w:name="_Toc241311448"/>
      <w:bookmarkStart w:id="209" w:name="_Toc241574604"/>
      <w:bookmarkStart w:id="210" w:name="_Toc242554021"/>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23</w:t>
      </w:r>
      <w:r>
        <w:fldChar w:fldCharType="end"/>
      </w:r>
      <w:r>
        <w:t>: MPR (Pricing Data) to Response Model Mapping</w:t>
      </w:r>
      <w:bookmarkEnd w:id="208"/>
      <w:bookmarkEnd w:id="209"/>
      <w:bookmarkEnd w:id="210"/>
    </w:p>
    <w:p w14:paraId="5F6CBB52" w14:textId="66033ADD" w:rsidR="00FC42E7" w:rsidRPr="00EC3682" w:rsidRDefault="00FC42E7" w:rsidP="00FC42E7">
      <w:pPr>
        <w:pStyle w:val="ListParagraph"/>
        <w:numPr>
          <w:ilvl w:val="0"/>
          <w:numId w:val="4"/>
        </w:numPr>
        <w:jc w:val="left"/>
        <w:rPr>
          <w:rFonts w:ascii="Calibri" w:hAnsi="Calibri" w:cs="Calibri"/>
        </w:rPr>
      </w:pPr>
      <w:r>
        <w:t>The Price Response Service shall ask the price service for the settled prices.</w:t>
      </w:r>
    </w:p>
    <w:p w14:paraId="133082C7" w14:textId="3B56B7C0" w:rsidR="00FC42E7" w:rsidRPr="00EC3682" w:rsidRDefault="00FC42E7" w:rsidP="00FC42E7">
      <w:pPr>
        <w:pStyle w:val="ListParagraph"/>
        <w:numPr>
          <w:ilvl w:val="0"/>
          <w:numId w:val="4"/>
        </w:numPr>
        <w:jc w:val="left"/>
        <w:rPr>
          <w:rFonts w:ascii="Calibri" w:hAnsi="Calibri" w:cs="Calibri"/>
        </w:rPr>
      </w:pPr>
      <w:r>
        <w:t xml:space="preserve">The read shall start a set number of days before the first day of the period, as set by the Price Read Offset (Table </w:t>
      </w:r>
      <w:r>
        <w:fldChar w:fldCharType="begin"/>
      </w:r>
      <w:r>
        <w:instrText xml:space="preserve"> REF _Ref917260956 \h \* MERGEFORMAT </w:instrText>
      </w:r>
      <w:r>
        <w:fldChar w:fldCharType="separate"/>
      </w:r>
      <w:r w:rsidRPr="00FC42E7">
        <w:rPr>
          <w:noProof/>
          <w:color w:val="0563C1"/>
          <w:u w:val="single"/>
        </w:rPr>
        <w:t>2-26</w:t>
      </w:r>
      <w:r>
        <w:fldChar w:fldCharType="end"/>
      </w:r>
      <w:r>
        <w:t>).</w:t>
      </w:r>
    </w:p>
    <w:p w14:paraId="214524D9" w14:textId="37E7020B" w:rsidR="00FC42E7" w:rsidRPr="00EC3682" w:rsidRDefault="00FC42E7" w:rsidP="00FC42E7">
      <w:pPr>
        <w:pStyle w:val="ListParagraph"/>
        <w:numPr>
          <w:ilvl w:val="0"/>
          <w:numId w:val="4"/>
        </w:numPr>
        <w:jc w:val="left"/>
        <w:rPr>
          <w:rFonts w:ascii="Calibri" w:hAnsi="Calibri" w:cs="Calibri"/>
        </w:rPr>
      </w:pPr>
      <w:r>
        <w:t>The earlier start shall let the first days of the period take the price of an earlier day.</w:t>
      </w:r>
    </w:p>
    <w:p w14:paraId="057614CC" w14:textId="48765275" w:rsidR="00FC42E7" w:rsidRPr="00EC3682" w:rsidRDefault="00FC42E7" w:rsidP="00FC42E7">
      <w:pPr>
        <w:pStyle w:val="ListParagraph"/>
        <w:numPr>
          <w:ilvl w:val="0"/>
          <w:numId w:val="4"/>
        </w:numPr>
        <w:jc w:val="left"/>
        <w:rPr>
          <w:rFonts w:ascii="Calibri" w:hAnsi="Calibri" w:cs="Calibri"/>
        </w:rPr>
      </w:pPr>
      <w:r>
        <w:t>When the first day of the period has no settled price on that day or within the price read offset, the Price Response Service shall read 2 days further back and use the latest settled price found.</w:t>
      </w:r>
    </w:p>
    <w:p w14:paraId="657BF980" w14:textId="36489F8D" w:rsidR="00FC42E7" w:rsidRPr="00EC3682" w:rsidRDefault="00FC42E7" w:rsidP="00FC42E7">
      <w:pPr>
        <w:pStyle w:val="ListParagraph"/>
        <w:numPr>
          <w:ilvl w:val="0"/>
          <w:numId w:val="4"/>
        </w:numPr>
        <w:jc w:val="left"/>
        <w:rPr>
          <w:rFonts w:ascii="Calibri" w:hAnsi="Calibri" w:cs="Calibri"/>
        </w:rPr>
      </w:pPr>
      <w:r>
        <w:t>Only the days of the period shall count in the average.</w:t>
      </w:r>
    </w:p>
    <w:p w14:paraId="5C149FE2" w14:textId="14231BFB" w:rsidR="00FC42E7" w:rsidRPr="00EC3682" w:rsidRDefault="00FC42E7" w:rsidP="00FC42E7">
      <w:pPr>
        <w:pStyle w:val="ListParagraph"/>
        <w:numPr>
          <w:ilvl w:val="0"/>
          <w:numId w:val="4"/>
        </w:numPr>
        <w:jc w:val="left"/>
        <w:rPr>
          <w:rFonts w:ascii="Calibri" w:hAnsi="Calibri" w:cs="Calibri"/>
        </w:rPr>
      </w:pPr>
      <w:r>
        <w:t>The Price Response Service shall take the day of each settled price from its price effective date.</w:t>
      </w:r>
    </w:p>
    <w:p w14:paraId="498D7DA6" w14:textId="541724B4" w:rsidR="00C63A98" w:rsidRDefault="00FC42E7" w:rsidP="00FC42E7">
      <w:pPr>
        <w:pStyle w:val="ListParagraph"/>
        <w:numPr>
          <w:ilvl w:val="0"/>
          <w:numId w:val="4"/>
        </w:numPr>
        <w:jc w:val="left"/>
      </w:pPr>
      <w:r>
        <w:t>The contract period date shall not be used to find the day, because for actual prices it always carries the last day of the requested period.</w:t>
      </w:r>
    </w:p>
    <w:p w14:paraId="5B640B4E" w14:textId="6EF39DAA" w:rsidR="00FC42E7" w:rsidRDefault="00FC42E7" w:rsidP="00FC42E7">
      <w:pPr>
        <w:keepNext/>
        <w:jc w:val="left"/>
      </w:pPr>
      <w:r>
        <w:t>Example of one request:</w:t>
      </w:r>
    </w:p>
    <w:p w14:paraId="49622856" w14:textId="36164583" w:rsidR="00FC42E7" w:rsidRPr="00EC3682" w:rsidRDefault="00FC42E7" w:rsidP="00FC42E7">
      <w:pPr>
        <w:pStyle w:val="ListParagraph"/>
        <w:numPr>
          <w:ilvl w:val="0"/>
          <w:numId w:val="4"/>
        </w:numPr>
        <w:jc w:val="left"/>
        <w:rPr>
          <w:rFonts w:ascii="Calibri" w:hAnsi="Calibri" w:cs="Calibri"/>
        </w:rPr>
      </w:pPr>
      <w:r>
        <w:t>The dashboard shall ask for 7 to 13 December with Category Price.</w:t>
      </w:r>
    </w:p>
    <w:p w14:paraId="2C20438E" w14:textId="7ADBA346" w:rsidR="00FC42E7" w:rsidRPr="00EC3682" w:rsidRDefault="00FC42E7" w:rsidP="00FC42E7">
      <w:pPr>
        <w:pStyle w:val="ListParagraph"/>
        <w:numPr>
          <w:ilvl w:val="0"/>
          <w:numId w:val="4"/>
        </w:numPr>
        <w:jc w:val="left"/>
        <w:rPr>
          <w:rFonts w:ascii="Calibri" w:hAnsi="Calibri" w:cs="Calibri"/>
        </w:rPr>
      </w:pPr>
      <w:r>
        <w:t>The Price Response Service shall get the MPR tags from the Semantic Service.</w:t>
      </w:r>
    </w:p>
    <w:p w14:paraId="2BDCE764" w14:textId="34F0CC4B" w:rsidR="00FC42E7" w:rsidRPr="00EC3682" w:rsidRDefault="00FC42E7" w:rsidP="00FC42E7">
      <w:pPr>
        <w:pStyle w:val="ListParagraph"/>
        <w:numPr>
          <w:ilvl w:val="0"/>
          <w:numId w:val="4"/>
        </w:numPr>
        <w:jc w:val="left"/>
        <w:rPr>
          <w:rFonts w:ascii="Calibri" w:hAnsi="Calibri" w:cs="Calibri"/>
        </w:rPr>
      </w:pPr>
      <w:r>
        <w:t xml:space="preserve">The Price Response Service shall call the price service with state Actual, startDate 5 December (7 December minus the price read offset of 2 days), </w:t>
      </w:r>
      <w:r w:rsidR="009C3F56">
        <w:t>effectiveDate 7 December</w:t>
      </w:r>
      <w:r>
        <w:t>, endDate 13 December, category VCBPrice and up to 100 MPR tags in each call.</w:t>
      </w:r>
    </w:p>
    <w:p w14:paraId="4380DB02" w14:textId="676E641B" w:rsidR="00FC42E7" w:rsidRPr="00EC3682" w:rsidRDefault="00FC42E7" w:rsidP="00FC42E7">
      <w:pPr>
        <w:pStyle w:val="ListParagraph"/>
        <w:numPr>
          <w:ilvl w:val="0"/>
          <w:numId w:val="4"/>
        </w:numPr>
        <w:jc w:val="left"/>
        <w:rPr>
          <w:rFonts w:ascii="Calibri" w:hAnsi="Calibri" w:cs="Calibri"/>
        </w:rPr>
      </w:pPr>
      <w:r>
        <w:t>The Price Response Service shall put the rows of all calls together and keep the rows with RelativePeriodNum 0.</w:t>
      </w:r>
    </w:p>
    <w:p w14:paraId="3378586E" w14:textId="70E0232E" w:rsidR="00F80961" w:rsidRDefault="00FC42E7" w:rsidP="00FC42E7">
      <w:pPr>
        <w:pStyle w:val="ListParagraph"/>
        <w:numPr>
          <w:ilvl w:val="0"/>
          <w:numId w:val="4"/>
        </w:numPr>
        <w:jc w:val="left"/>
      </w:pPr>
      <w:r>
        <w:t xml:space="preserve">The Price Response Service shall then fill the days without a price and return one average price for each MPR tag, as in Table </w:t>
      </w:r>
      <w:r>
        <w:fldChar w:fldCharType="begin"/>
      </w:r>
      <w:r>
        <w:instrText xml:space="preserve"> REF _Ref917260957 \h \* MERGEFORMAT </w:instrText>
      </w:r>
      <w:r>
        <w:fldChar w:fldCharType="separate"/>
      </w:r>
      <w:r w:rsidRPr="00FC42E7">
        <w:rPr>
          <w:noProof/>
          <w:color w:val="0563C1"/>
          <w:u w:val="single"/>
        </w:rPr>
        <w:t>2-24</w:t>
      </w:r>
      <w:r>
        <w:fldChar w:fldCharType="end"/>
      </w:r>
      <w:r>
        <w:t>.</w:t>
      </w:r>
    </w:p>
    <w:p w14:paraId="459C5C48" w14:textId="2FD9A4C0" w:rsidR="00FC42E7" w:rsidRPr="00EC3682" w:rsidRDefault="00FC42E7" w:rsidP="00FC42E7">
      <w:pPr>
        <w:pStyle w:val="ListParagraph"/>
        <w:numPr>
          <w:ilvl w:val="0"/>
          <w:numId w:val="4"/>
        </w:numPr>
        <w:jc w:val="left"/>
        <w:rPr>
          <w:rFonts w:ascii="Calibri" w:hAnsi="Calibri" w:cs="Calibri"/>
        </w:rPr>
      </w:pPr>
      <w:r>
        <w:t>The average shall be rounded to two decimals.</w:t>
      </w:r>
    </w:p>
    <w:p w14:paraId="412D148E" w14:textId="7F4E7514" w:rsidR="00C63A98" w:rsidRDefault="00FC42E7" w:rsidP="00FC42E7">
      <w:pPr>
        <w:keepNext/>
        <w:jc w:val="left"/>
      </w:pPr>
      <w:r>
        <w:t>The table below shows the average price of one MPR tag for 7 to 13 December, when MPR holds a settled price for four of the seven days.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6"/>
        <w:gridCol w:w="2710"/>
        <w:gridCol w:w="3934"/>
      </w:tblGrid>
      <w:tr w:rsidR="00C63A98" w:rsidRPr="00C63A98" w14:paraId="30F0F201" w14:textId="77777777" w:rsidTr="3F0C403B">
        <w:trPr>
          <w:cantSplit/>
          <w:tblHeader/>
        </w:trPr>
        <w:tc>
          <w:tcPr>
            <w:tcW w:w="2716" w:type="dxa"/>
            <w:shd w:val="clear" w:color="auto" w:fill="2F5597"/>
          </w:tcPr>
          <w:p w14:paraId="600DF627" w14:textId="4D0B14BA" w:rsidR="00C63A98" w:rsidRPr="00C63A98" w:rsidRDefault="00C63A98" w:rsidP="00AA30D8">
            <w:pPr>
              <w:pStyle w:val="Tablehead1"/>
              <w:rPr>
                <w:rFonts w:ascii="Calibri" w:hAnsi="Calibri" w:cs="Calibri"/>
                <w:sz w:val="20"/>
              </w:rPr>
            </w:pPr>
            <w:r w:rsidRPr="00C63A98">
              <w:rPr>
                <w:rFonts w:ascii="Calibri" w:hAnsi="Calibri" w:cs="Calibri"/>
                <w:sz w:val="20"/>
              </w:rPr>
              <w:t>Date</w:t>
            </w:r>
          </w:p>
        </w:tc>
        <w:tc>
          <w:tcPr>
            <w:tcW w:w="2710" w:type="dxa"/>
            <w:shd w:val="clear" w:color="auto" w:fill="2F5597"/>
          </w:tcPr>
          <w:p w14:paraId="12A91BEC" w14:textId="30454518" w:rsidR="00C63A98" w:rsidRPr="00C63A98" w:rsidRDefault="00CE45AF" w:rsidP="00AA30D8">
            <w:pPr>
              <w:pStyle w:val="Tablehead1"/>
              <w:rPr>
                <w:rFonts w:ascii="Calibri" w:hAnsi="Calibri" w:cs="Calibri"/>
                <w:sz w:val="20"/>
              </w:rPr>
            </w:pPr>
            <w:r>
              <w:rPr>
                <w:rFonts w:ascii="Calibri" w:hAnsi="Calibri" w:cs="Calibri"/>
                <w:sz w:val="20"/>
              </w:rPr>
              <w:t>Settled Price in MPR</w:t>
            </w:r>
          </w:p>
        </w:tc>
        <w:tc>
          <w:tcPr>
            <w:tcW w:w="3934" w:type="dxa"/>
            <w:shd w:val="clear" w:color="auto" w:fill="2F5597"/>
          </w:tcPr>
          <w:p w14:paraId="7CA0F9D5" w14:textId="67028F1E" w:rsidR="00C63A98" w:rsidRPr="00C63A98" w:rsidRDefault="00CE45AF" w:rsidP="00AA30D8">
            <w:pPr>
              <w:pStyle w:val="Tablehead1"/>
              <w:rPr>
                <w:rFonts w:ascii="Calibri" w:hAnsi="Calibri" w:cs="Calibri"/>
                <w:sz w:val="20"/>
              </w:rPr>
            </w:pPr>
            <w:r>
              <w:rPr>
                <w:rFonts w:ascii="Calibri" w:hAnsi="Calibri" w:cs="Calibri"/>
                <w:sz w:val="20"/>
              </w:rPr>
              <w:t>Price Used for the Day</w:t>
            </w:r>
          </w:p>
        </w:tc>
      </w:tr>
      <w:tr w:rsidR="00C63A98" w:rsidRPr="00C63A98" w14:paraId="4646C960" w14:textId="77777777" w:rsidTr="3F0C403B">
        <w:trPr>
          <w:cantSplit/>
        </w:trPr>
        <w:tc>
          <w:tcPr>
            <w:tcW w:w="2716" w:type="dxa"/>
          </w:tcPr>
          <w:p w14:paraId="2680CCFB" w14:textId="2354B3FE" w:rsidR="00C63A98" w:rsidRPr="00C63A98" w:rsidRDefault="00C63A98" w:rsidP="00AA30D8">
            <w:pPr>
              <w:pStyle w:val="Tabletext"/>
              <w:keepNext/>
              <w:rPr>
                <w:rFonts w:ascii="Calibri" w:hAnsi="Calibri" w:cs="Calibri"/>
                <w:sz w:val="20"/>
              </w:rPr>
            </w:pPr>
            <w:r w:rsidRPr="00C63A98">
              <w:rPr>
                <w:rFonts w:ascii="Calibri" w:hAnsi="Calibri" w:cs="Calibri"/>
                <w:sz w:val="20"/>
              </w:rPr>
              <w:t>7 Dec</w:t>
            </w:r>
          </w:p>
        </w:tc>
        <w:tc>
          <w:tcPr>
            <w:tcW w:w="2710" w:type="dxa"/>
          </w:tcPr>
          <w:p w14:paraId="36449100" w14:textId="59AF6859" w:rsidR="00C63A98" w:rsidRPr="00C63A98" w:rsidRDefault="00C63A98" w:rsidP="00AA30D8">
            <w:pPr>
              <w:pStyle w:val="Tabletext"/>
              <w:keepNext/>
              <w:rPr>
                <w:rFonts w:ascii="Calibri" w:hAnsi="Calibri" w:cs="Calibri"/>
                <w:sz w:val="20"/>
              </w:rPr>
            </w:pPr>
            <w:r w:rsidRPr="00C63A98">
              <w:rPr>
                <w:rFonts w:ascii="Calibri" w:hAnsi="Calibri" w:cs="Calibri"/>
                <w:sz w:val="20"/>
              </w:rPr>
              <w:t>20</w:t>
            </w:r>
          </w:p>
        </w:tc>
        <w:tc>
          <w:tcPr>
            <w:tcW w:w="3934" w:type="dxa"/>
          </w:tcPr>
          <w:p w14:paraId="7F7B8257" w14:textId="5DDD8C1D" w:rsidR="00C63A98" w:rsidRPr="00C63A98" w:rsidRDefault="00C63A98" w:rsidP="00AA30D8">
            <w:pPr>
              <w:pStyle w:val="Tabletext"/>
              <w:keepNext/>
              <w:rPr>
                <w:rFonts w:ascii="Calibri" w:hAnsi="Calibri" w:cs="Calibri"/>
                <w:sz w:val="20"/>
              </w:rPr>
            </w:pPr>
            <w:r w:rsidRPr="00C63A98">
              <w:rPr>
                <w:rFonts w:ascii="Calibri" w:hAnsi="Calibri" w:cs="Calibri"/>
                <w:sz w:val="20"/>
              </w:rPr>
              <w:t>20</w:t>
            </w:r>
          </w:p>
        </w:tc>
      </w:tr>
      <w:tr w:rsidR="00C63A98" w:rsidRPr="00C63A98" w14:paraId="3F9740FA" w14:textId="77777777" w:rsidTr="3F0C403B">
        <w:trPr>
          <w:cantSplit/>
        </w:trPr>
        <w:tc>
          <w:tcPr>
            <w:tcW w:w="2716" w:type="dxa"/>
          </w:tcPr>
          <w:p w14:paraId="24A83EDE" w14:textId="380C2868" w:rsidR="00C63A98" w:rsidRPr="00C63A98" w:rsidRDefault="00C63A98" w:rsidP="00AA30D8">
            <w:pPr>
              <w:pStyle w:val="Tabletext"/>
              <w:keepNext/>
              <w:rPr>
                <w:rFonts w:ascii="Calibri" w:hAnsi="Calibri" w:cs="Calibri"/>
                <w:sz w:val="20"/>
              </w:rPr>
            </w:pPr>
            <w:r w:rsidRPr="00C63A98">
              <w:rPr>
                <w:rFonts w:ascii="Calibri" w:hAnsi="Calibri" w:cs="Calibri"/>
                <w:sz w:val="20"/>
              </w:rPr>
              <w:t>8 Dec</w:t>
            </w:r>
          </w:p>
        </w:tc>
        <w:tc>
          <w:tcPr>
            <w:tcW w:w="2710" w:type="dxa"/>
          </w:tcPr>
          <w:p w14:paraId="6580A011" w14:textId="7DE43901" w:rsidR="00C63A98" w:rsidRPr="00C63A98" w:rsidRDefault="00C63A98" w:rsidP="00AA30D8">
            <w:pPr>
              <w:pStyle w:val="Tabletext"/>
              <w:keepNext/>
              <w:rPr>
                <w:rFonts w:ascii="Calibri" w:hAnsi="Calibri" w:cs="Calibri"/>
                <w:sz w:val="20"/>
              </w:rPr>
            </w:pPr>
            <w:r w:rsidRPr="00C63A98">
              <w:rPr>
                <w:rFonts w:ascii="Calibri" w:hAnsi="Calibri" w:cs="Calibri"/>
                <w:sz w:val="20"/>
              </w:rPr>
              <w:t>18</w:t>
            </w:r>
          </w:p>
        </w:tc>
        <w:tc>
          <w:tcPr>
            <w:tcW w:w="3934" w:type="dxa"/>
          </w:tcPr>
          <w:p w14:paraId="128988B7" w14:textId="3C5DC341" w:rsidR="00C63A98" w:rsidRPr="00C63A98" w:rsidRDefault="00C63A98" w:rsidP="00AA30D8">
            <w:pPr>
              <w:pStyle w:val="Tabletext"/>
              <w:keepNext/>
              <w:rPr>
                <w:rFonts w:ascii="Calibri" w:hAnsi="Calibri" w:cs="Calibri"/>
                <w:sz w:val="20"/>
              </w:rPr>
            </w:pPr>
            <w:r w:rsidRPr="00C63A98">
              <w:rPr>
                <w:rFonts w:ascii="Calibri" w:hAnsi="Calibri" w:cs="Calibri"/>
                <w:sz w:val="20"/>
              </w:rPr>
              <w:t>18</w:t>
            </w:r>
          </w:p>
        </w:tc>
      </w:tr>
      <w:tr w:rsidR="00C63A98" w:rsidRPr="00C63A98" w14:paraId="16EBE5BF" w14:textId="77777777" w:rsidTr="3F0C403B">
        <w:trPr>
          <w:cantSplit/>
        </w:trPr>
        <w:tc>
          <w:tcPr>
            <w:tcW w:w="2716" w:type="dxa"/>
          </w:tcPr>
          <w:p w14:paraId="28A49D40" w14:textId="69CAB8DE" w:rsidR="00C63A98" w:rsidRPr="00C63A98" w:rsidRDefault="00C63A98" w:rsidP="00AA30D8">
            <w:pPr>
              <w:pStyle w:val="Tabletext"/>
              <w:keepNext/>
              <w:rPr>
                <w:rFonts w:ascii="Calibri" w:hAnsi="Calibri" w:cs="Calibri"/>
                <w:sz w:val="20"/>
              </w:rPr>
            </w:pPr>
            <w:r w:rsidRPr="00C63A98">
              <w:rPr>
                <w:rFonts w:ascii="Calibri" w:hAnsi="Calibri" w:cs="Calibri"/>
                <w:sz w:val="20"/>
              </w:rPr>
              <w:t>9 Dec</w:t>
            </w:r>
          </w:p>
        </w:tc>
        <w:tc>
          <w:tcPr>
            <w:tcW w:w="2710" w:type="dxa"/>
          </w:tcPr>
          <w:p w14:paraId="4E315F57" w14:textId="5A9DEE4C" w:rsidR="00C63A98" w:rsidRPr="00C63A98" w:rsidRDefault="00C63A98" w:rsidP="00AA30D8">
            <w:pPr>
              <w:pStyle w:val="Tabletext"/>
              <w:keepNext/>
              <w:rPr>
                <w:rFonts w:ascii="Calibri" w:hAnsi="Calibri" w:cs="Calibri"/>
                <w:sz w:val="20"/>
              </w:rPr>
            </w:pPr>
            <w:r w:rsidRPr="00C63A98">
              <w:rPr>
                <w:rFonts w:ascii="Calibri" w:hAnsi="Calibri" w:cs="Calibri"/>
                <w:sz w:val="20"/>
              </w:rPr>
              <w:t>No price</w:t>
            </w:r>
          </w:p>
        </w:tc>
        <w:tc>
          <w:tcPr>
            <w:tcW w:w="3934" w:type="dxa"/>
          </w:tcPr>
          <w:p w14:paraId="57236432" w14:textId="5F8FF357" w:rsidR="00C63A98" w:rsidRPr="00C63A98" w:rsidRDefault="00C63A98" w:rsidP="00AA30D8">
            <w:pPr>
              <w:pStyle w:val="Tabletext"/>
              <w:keepNext/>
              <w:rPr>
                <w:rFonts w:ascii="Calibri" w:hAnsi="Calibri" w:cs="Calibri"/>
                <w:sz w:val="20"/>
              </w:rPr>
            </w:pPr>
            <w:r w:rsidRPr="00C63A98">
              <w:rPr>
                <w:rFonts w:ascii="Calibri" w:hAnsi="Calibri" w:cs="Calibri"/>
                <w:sz w:val="20"/>
              </w:rPr>
              <w:t>18 (from 8 Dec)</w:t>
            </w:r>
          </w:p>
        </w:tc>
      </w:tr>
      <w:tr w:rsidR="00C63A98" w:rsidRPr="00C63A98" w14:paraId="29DF1414" w14:textId="77777777" w:rsidTr="3F0C403B">
        <w:trPr>
          <w:cantSplit/>
        </w:trPr>
        <w:tc>
          <w:tcPr>
            <w:tcW w:w="2716" w:type="dxa"/>
          </w:tcPr>
          <w:p w14:paraId="72D992B2" w14:textId="6978887E" w:rsidR="00C63A98" w:rsidRPr="00C63A98" w:rsidRDefault="00C63A98" w:rsidP="00AA30D8">
            <w:pPr>
              <w:pStyle w:val="Tabletext"/>
              <w:keepNext/>
              <w:rPr>
                <w:rFonts w:ascii="Calibri" w:hAnsi="Calibri" w:cs="Calibri"/>
                <w:sz w:val="20"/>
              </w:rPr>
            </w:pPr>
            <w:r w:rsidRPr="00C63A98">
              <w:rPr>
                <w:rFonts w:ascii="Calibri" w:hAnsi="Calibri" w:cs="Calibri"/>
                <w:sz w:val="20"/>
              </w:rPr>
              <w:t>10 Dec</w:t>
            </w:r>
          </w:p>
        </w:tc>
        <w:tc>
          <w:tcPr>
            <w:tcW w:w="2710" w:type="dxa"/>
          </w:tcPr>
          <w:p w14:paraId="1FDDAD5A" w14:textId="74BF12EC" w:rsidR="00C63A98" w:rsidRPr="00C63A98" w:rsidRDefault="00C63A98" w:rsidP="00AA30D8">
            <w:pPr>
              <w:pStyle w:val="Tabletext"/>
              <w:keepNext/>
              <w:rPr>
                <w:rFonts w:ascii="Calibri" w:hAnsi="Calibri" w:cs="Calibri"/>
                <w:sz w:val="20"/>
              </w:rPr>
            </w:pPr>
            <w:r w:rsidRPr="00C63A98">
              <w:rPr>
                <w:rFonts w:ascii="Calibri" w:hAnsi="Calibri" w:cs="Calibri"/>
                <w:sz w:val="20"/>
              </w:rPr>
              <w:t>No price</w:t>
            </w:r>
          </w:p>
        </w:tc>
        <w:tc>
          <w:tcPr>
            <w:tcW w:w="3934" w:type="dxa"/>
          </w:tcPr>
          <w:p w14:paraId="165024BF" w14:textId="4EFFD50B" w:rsidR="00C63A98" w:rsidRPr="00C63A98" w:rsidRDefault="00C63A98" w:rsidP="00AA30D8">
            <w:pPr>
              <w:pStyle w:val="Tabletext"/>
              <w:keepNext/>
              <w:rPr>
                <w:rFonts w:ascii="Calibri" w:hAnsi="Calibri" w:cs="Calibri"/>
                <w:sz w:val="20"/>
              </w:rPr>
            </w:pPr>
            <w:r w:rsidRPr="00C63A98">
              <w:rPr>
                <w:rFonts w:ascii="Calibri" w:hAnsi="Calibri" w:cs="Calibri"/>
                <w:sz w:val="20"/>
              </w:rPr>
              <w:t>18 (from 8 Dec)</w:t>
            </w:r>
          </w:p>
        </w:tc>
      </w:tr>
      <w:tr w:rsidR="00C63A98" w:rsidRPr="00C63A98" w14:paraId="3D177E84" w14:textId="77777777" w:rsidTr="3F0C403B">
        <w:trPr>
          <w:cantSplit/>
        </w:trPr>
        <w:tc>
          <w:tcPr>
            <w:tcW w:w="2716" w:type="dxa"/>
          </w:tcPr>
          <w:p w14:paraId="6E121768" w14:textId="66847945" w:rsidR="00C63A98" w:rsidRPr="00C63A98" w:rsidRDefault="00C63A98" w:rsidP="00AA30D8">
            <w:pPr>
              <w:pStyle w:val="Tabletext"/>
              <w:keepNext/>
              <w:rPr>
                <w:rFonts w:ascii="Calibri" w:hAnsi="Calibri" w:cs="Calibri"/>
                <w:sz w:val="20"/>
              </w:rPr>
            </w:pPr>
            <w:r w:rsidRPr="00C63A98">
              <w:rPr>
                <w:rFonts w:ascii="Calibri" w:hAnsi="Calibri" w:cs="Calibri"/>
                <w:sz w:val="20"/>
              </w:rPr>
              <w:t>11 Dec</w:t>
            </w:r>
          </w:p>
        </w:tc>
        <w:tc>
          <w:tcPr>
            <w:tcW w:w="2710" w:type="dxa"/>
          </w:tcPr>
          <w:p w14:paraId="4718F04F" w14:textId="76E5DD82" w:rsidR="00C63A98" w:rsidRPr="00C63A98" w:rsidRDefault="00C63A98" w:rsidP="00AA30D8">
            <w:pPr>
              <w:pStyle w:val="Tabletext"/>
              <w:keepNext/>
              <w:rPr>
                <w:rFonts w:ascii="Calibri" w:hAnsi="Calibri" w:cs="Calibri"/>
                <w:sz w:val="20"/>
              </w:rPr>
            </w:pPr>
            <w:r w:rsidRPr="00C63A98">
              <w:rPr>
                <w:rFonts w:ascii="Calibri" w:hAnsi="Calibri" w:cs="Calibri"/>
                <w:sz w:val="20"/>
              </w:rPr>
              <w:t>20</w:t>
            </w:r>
          </w:p>
        </w:tc>
        <w:tc>
          <w:tcPr>
            <w:tcW w:w="3934" w:type="dxa"/>
          </w:tcPr>
          <w:p w14:paraId="22C7E689" w14:textId="3AA72F03" w:rsidR="00C63A98" w:rsidRPr="00C63A98" w:rsidRDefault="00C63A98" w:rsidP="00AA30D8">
            <w:pPr>
              <w:pStyle w:val="Tabletext"/>
              <w:keepNext/>
              <w:rPr>
                <w:rFonts w:ascii="Calibri" w:hAnsi="Calibri" w:cs="Calibri"/>
                <w:sz w:val="20"/>
              </w:rPr>
            </w:pPr>
            <w:r w:rsidRPr="00C63A98">
              <w:rPr>
                <w:rFonts w:ascii="Calibri" w:hAnsi="Calibri" w:cs="Calibri"/>
                <w:sz w:val="20"/>
              </w:rPr>
              <w:t>20</w:t>
            </w:r>
          </w:p>
        </w:tc>
      </w:tr>
      <w:tr w:rsidR="00C63A98" w:rsidRPr="00C63A98" w14:paraId="5326CE17" w14:textId="77777777" w:rsidTr="3F0C403B">
        <w:trPr>
          <w:cantSplit/>
        </w:trPr>
        <w:tc>
          <w:tcPr>
            <w:tcW w:w="2716" w:type="dxa"/>
          </w:tcPr>
          <w:p w14:paraId="495D72E2" w14:textId="7391C726" w:rsidR="00C63A98" w:rsidRPr="00C63A98" w:rsidRDefault="00C63A98" w:rsidP="00AA30D8">
            <w:pPr>
              <w:pStyle w:val="Tabletext"/>
              <w:keepNext/>
              <w:rPr>
                <w:rFonts w:ascii="Calibri" w:hAnsi="Calibri" w:cs="Calibri"/>
                <w:sz w:val="20"/>
              </w:rPr>
            </w:pPr>
            <w:r w:rsidRPr="00C63A98">
              <w:rPr>
                <w:rFonts w:ascii="Calibri" w:hAnsi="Calibri" w:cs="Calibri"/>
                <w:sz w:val="20"/>
              </w:rPr>
              <w:t>12 Dec</w:t>
            </w:r>
          </w:p>
        </w:tc>
        <w:tc>
          <w:tcPr>
            <w:tcW w:w="2710" w:type="dxa"/>
          </w:tcPr>
          <w:p w14:paraId="210D1548" w14:textId="0B9E9EC1" w:rsidR="00C63A98" w:rsidRPr="00C63A98" w:rsidRDefault="00C63A98" w:rsidP="00AA30D8">
            <w:pPr>
              <w:pStyle w:val="Tabletext"/>
              <w:keepNext/>
              <w:rPr>
                <w:rFonts w:ascii="Calibri" w:hAnsi="Calibri" w:cs="Calibri"/>
                <w:sz w:val="20"/>
              </w:rPr>
            </w:pPr>
            <w:r w:rsidRPr="00C63A98">
              <w:rPr>
                <w:rFonts w:ascii="Calibri" w:hAnsi="Calibri" w:cs="Calibri"/>
                <w:sz w:val="20"/>
              </w:rPr>
              <w:t>No price</w:t>
            </w:r>
          </w:p>
        </w:tc>
        <w:tc>
          <w:tcPr>
            <w:tcW w:w="3934" w:type="dxa"/>
          </w:tcPr>
          <w:p w14:paraId="0DF62215" w14:textId="45F4C208" w:rsidR="00C63A98" w:rsidRPr="00C63A98" w:rsidRDefault="00C63A98" w:rsidP="00AA30D8">
            <w:pPr>
              <w:pStyle w:val="Tabletext"/>
              <w:keepNext/>
              <w:rPr>
                <w:rFonts w:ascii="Calibri" w:hAnsi="Calibri" w:cs="Calibri"/>
                <w:sz w:val="20"/>
              </w:rPr>
            </w:pPr>
            <w:r w:rsidRPr="00C63A98">
              <w:rPr>
                <w:rFonts w:ascii="Calibri" w:hAnsi="Calibri" w:cs="Calibri"/>
                <w:sz w:val="20"/>
              </w:rPr>
              <w:t>20 (from 11 Dec)</w:t>
            </w:r>
          </w:p>
        </w:tc>
      </w:tr>
      <w:tr w:rsidR="00C63A98" w:rsidRPr="00C63A98" w14:paraId="5DB6A189" w14:textId="77777777" w:rsidTr="3F0C403B">
        <w:trPr>
          <w:cantSplit/>
        </w:trPr>
        <w:tc>
          <w:tcPr>
            <w:tcW w:w="2716" w:type="dxa"/>
          </w:tcPr>
          <w:p w14:paraId="12BD31EF" w14:textId="64667410" w:rsidR="00C63A98" w:rsidRPr="00C63A98" w:rsidRDefault="00C63A98" w:rsidP="00AA30D8">
            <w:pPr>
              <w:pStyle w:val="Tabletext"/>
              <w:keepNext/>
              <w:rPr>
                <w:rFonts w:ascii="Calibri" w:hAnsi="Calibri" w:cs="Calibri"/>
                <w:sz w:val="20"/>
              </w:rPr>
            </w:pPr>
            <w:r w:rsidRPr="00C63A98">
              <w:rPr>
                <w:rFonts w:ascii="Calibri" w:hAnsi="Calibri" w:cs="Calibri"/>
                <w:sz w:val="20"/>
              </w:rPr>
              <w:t>13 Dec</w:t>
            </w:r>
          </w:p>
        </w:tc>
        <w:tc>
          <w:tcPr>
            <w:tcW w:w="2710" w:type="dxa"/>
          </w:tcPr>
          <w:p w14:paraId="7F314EAD" w14:textId="3C0CB691" w:rsidR="00C63A98" w:rsidRPr="00C63A98" w:rsidRDefault="00C63A98" w:rsidP="00AA30D8">
            <w:pPr>
              <w:pStyle w:val="Tabletext"/>
              <w:keepNext/>
              <w:rPr>
                <w:rFonts w:ascii="Calibri" w:hAnsi="Calibri" w:cs="Calibri"/>
                <w:sz w:val="20"/>
              </w:rPr>
            </w:pPr>
            <w:r w:rsidRPr="00C63A98">
              <w:rPr>
                <w:rFonts w:ascii="Calibri" w:hAnsi="Calibri" w:cs="Calibri"/>
                <w:sz w:val="20"/>
              </w:rPr>
              <w:t>18</w:t>
            </w:r>
          </w:p>
        </w:tc>
        <w:tc>
          <w:tcPr>
            <w:tcW w:w="3934" w:type="dxa"/>
          </w:tcPr>
          <w:p w14:paraId="21A42D2C" w14:textId="6A072EE0" w:rsidR="00C63A98" w:rsidRPr="00C63A98" w:rsidRDefault="00C63A98" w:rsidP="00AA30D8">
            <w:pPr>
              <w:pStyle w:val="Tabletext"/>
              <w:keepNext/>
              <w:rPr>
                <w:rFonts w:ascii="Calibri" w:hAnsi="Calibri" w:cs="Calibri"/>
                <w:sz w:val="20"/>
              </w:rPr>
            </w:pPr>
            <w:r w:rsidRPr="00C63A98">
              <w:rPr>
                <w:rFonts w:ascii="Calibri" w:hAnsi="Calibri" w:cs="Calibri"/>
                <w:sz w:val="20"/>
              </w:rPr>
              <w:t>18</w:t>
            </w:r>
          </w:p>
        </w:tc>
      </w:tr>
      <w:tr w:rsidR="00C63A98" w:rsidRPr="00C63A98" w14:paraId="41A65FC9" w14:textId="77777777" w:rsidTr="3F0C403B">
        <w:trPr>
          <w:cantSplit/>
        </w:trPr>
        <w:tc>
          <w:tcPr>
            <w:tcW w:w="2716" w:type="dxa"/>
          </w:tcPr>
          <w:p w14:paraId="425FEFC4" w14:textId="3F58968A" w:rsidR="00C63A98" w:rsidRPr="00C63A98" w:rsidRDefault="00C63A98" w:rsidP="00C63A98">
            <w:pPr>
              <w:pStyle w:val="Tabletext"/>
              <w:keepNext/>
              <w:rPr>
                <w:rFonts w:ascii="Calibri" w:hAnsi="Calibri" w:cs="Calibri"/>
                <w:sz w:val="20"/>
              </w:rPr>
            </w:pPr>
            <w:r w:rsidRPr="00C63A98">
              <w:rPr>
                <w:rFonts w:ascii="Calibri" w:hAnsi="Calibri" w:cs="Calibri"/>
                <w:sz w:val="20"/>
              </w:rPr>
              <w:t>Average</w:t>
            </w:r>
          </w:p>
        </w:tc>
        <w:tc>
          <w:tcPr>
            <w:tcW w:w="2710" w:type="dxa"/>
          </w:tcPr>
          <w:p w14:paraId="757E1ABA" w14:textId="60023AEC" w:rsidR="00C63A98" w:rsidRPr="00C63A98" w:rsidRDefault="00FA3AEE" w:rsidP="00C63A98">
            <w:pPr>
              <w:pStyle w:val="Tabletext"/>
              <w:keepNext/>
            </w:pPr>
            <w:r>
              <w:rPr>
                <w:rFonts w:ascii="Calibri" w:hAnsi="Calibri" w:cs="Calibri"/>
                <w:sz w:val="20"/>
              </w:rPr>
              <w:t>76 / 4 = 19</w:t>
            </w:r>
          </w:p>
        </w:tc>
        <w:tc>
          <w:tcPr>
            <w:tcW w:w="3934" w:type="dxa"/>
          </w:tcPr>
          <w:p w14:paraId="01D43A53" w14:textId="489A69B3" w:rsidR="00C63A98" w:rsidRPr="00C63A98" w:rsidRDefault="00C63A98" w:rsidP="00C63A98">
            <w:pPr>
              <w:pStyle w:val="Tabletext"/>
              <w:keepNext/>
              <w:rPr>
                <w:rFonts w:ascii="Calibri" w:hAnsi="Calibri" w:cs="Calibri"/>
                <w:sz w:val="20"/>
              </w:rPr>
            </w:pPr>
            <w:r w:rsidRPr="00C63A98">
              <w:rPr>
                <w:rFonts w:ascii="Calibri" w:hAnsi="Calibri" w:cs="Calibri"/>
                <w:sz w:val="20"/>
              </w:rPr>
              <w:t>132 / 7 = 18.86</w:t>
            </w:r>
          </w:p>
        </w:tc>
      </w:tr>
    </w:tbl>
    <w:p w14:paraId="6B9B9316" w14:textId="471D3F02" w:rsidR="00C63A98" w:rsidRDefault="00C63A98" w:rsidP="00C63A98">
      <w:pPr>
        <w:pStyle w:val="Caption"/>
      </w:pPr>
      <w:bookmarkStart w:id="211" w:name="_Toc241311449"/>
      <w:bookmarkStart w:id="212" w:name="_Toc241574605"/>
      <w:bookmarkStart w:id="213" w:name="_Toc242554022"/>
      <w:r>
        <w:t xml:space="preserve">Table </w:t>
      </w:r>
      <w:bookmarkStart w:id="214" w:name="_Ref917260957"/>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24</w:t>
      </w:r>
      <w:r>
        <w:fldChar w:fldCharType="end"/>
      </w:r>
      <w:bookmarkEnd w:id="214"/>
      <w:r>
        <w:t xml:space="preserve">: </w:t>
      </w:r>
      <w:r w:rsidR="00AA30D8">
        <w:t xml:space="preserve">Actual Pricing data of products and blend components - </w:t>
      </w:r>
      <w:r>
        <w:t>Worked Example of the Average Price</w:t>
      </w:r>
      <w:bookmarkEnd w:id="211"/>
      <w:bookmarkEnd w:id="212"/>
      <w:bookmarkEnd w:id="213"/>
    </w:p>
    <w:p w14:paraId="2B77B86E" w14:textId="295E48A7" w:rsidR="004639A1" w:rsidRPr="00AA30D8" w:rsidRDefault="004639A1" w:rsidP="00AA30D8">
      <w:pPr>
        <w:pStyle w:val="Heading5"/>
        <w:rPr>
          <w:rFonts w:ascii="Calibri" w:hAnsi="Calibri" w:cs="Calibri"/>
          <w:sz w:val="20"/>
        </w:rPr>
      </w:pPr>
      <w:bookmarkStart w:id="215" w:name="_Ref917260926"/>
      <w:r w:rsidRPr="00AA30D8">
        <w:rPr>
          <w:rFonts w:ascii="Calibri" w:hAnsi="Calibri" w:cs="Calibri"/>
          <w:sz w:val="20"/>
        </w:rPr>
        <w:t>Master Data Entity</w:t>
      </w:r>
      <w:bookmarkEnd w:id="215"/>
    </w:p>
    <w:p w14:paraId="3BB5EC2C" w14:textId="40667136" w:rsidR="00C63A98" w:rsidRDefault="00794AE6" w:rsidP="00FC42E7">
      <w:pPr>
        <w:keepNext/>
        <w:jc w:val="left"/>
      </w:pPr>
      <w:r>
        <w:t>The pricing integration shall use the master data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43"/>
        <w:gridCol w:w="2294"/>
        <w:gridCol w:w="1270"/>
        <w:gridCol w:w="4253"/>
      </w:tblGrid>
      <w:tr w:rsidR="00C63A98" w:rsidRPr="00C63A98" w14:paraId="5BC0013D" w14:textId="77777777" w:rsidTr="00C63A98">
        <w:trPr>
          <w:cantSplit/>
          <w:tblHeader/>
        </w:trPr>
        <w:tc>
          <w:tcPr>
            <w:tcW w:w="1543" w:type="dxa"/>
            <w:shd w:val="clear" w:color="auto" w:fill="2F5597"/>
          </w:tcPr>
          <w:p w14:paraId="563FF595" w14:textId="7A227384" w:rsidR="00C63A98" w:rsidRPr="00C63A98" w:rsidRDefault="00C63A98" w:rsidP="00AA30D8">
            <w:pPr>
              <w:pStyle w:val="Tablehead1"/>
              <w:rPr>
                <w:rFonts w:ascii="Calibri" w:hAnsi="Calibri" w:cs="Calibri"/>
                <w:sz w:val="20"/>
              </w:rPr>
            </w:pPr>
            <w:r w:rsidRPr="00C63A98">
              <w:rPr>
                <w:rFonts w:ascii="Calibri" w:hAnsi="Calibri" w:cs="Calibri"/>
                <w:sz w:val="20"/>
              </w:rPr>
              <w:t>Master Data</w:t>
            </w:r>
          </w:p>
        </w:tc>
        <w:tc>
          <w:tcPr>
            <w:tcW w:w="2294" w:type="dxa"/>
            <w:shd w:val="clear" w:color="auto" w:fill="2F5597"/>
          </w:tcPr>
          <w:p w14:paraId="6EBD2AEB" w14:textId="75485BB8"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c>
          <w:tcPr>
            <w:tcW w:w="1270" w:type="dxa"/>
            <w:shd w:val="clear" w:color="auto" w:fill="2F5597"/>
          </w:tcPr>
          <w:p w14:paraId="6A2478BF" w14:textId="64B09746" w:rsidR="00C63A98" w:rsidRPr="00C63A98" w:rsidRDefault="00C63A98" w:rsidP="00AA30D8">
            <w:pPr>
              <w:pStyle w:val="Tablehead1"/>
              <w:rPr>
                <w:rFonts w:ascii="Calibri" w:hAnsi="Calibri" w:cs="Calibri"/>
                <w:sz w:val="20"/>
              </w:rPr>
            </w:pPr>
            <w:r w:rsidRPr="00C63A98">
              <w:rPr>
                <w:rFonts w:ascii="Calibri" w:hAnsi="Calibri" w:cs="Calibri"/>
                <w:sz w:val="20"/>
              </w:rPr>
              <w:t>Mapping Required</w:t>
            </w:r>
          </w:p>
        </w:tc>
        <w:tc>
          <w:tcPr>
            <w:tcW w:w="4253" w:type="dxa"/>
            <w:shd w:val="clear" w:color="auto" w:fill="2F5597"/>
          </w:tcPr>
          <w:p w14:paraId="14392F80" w14:textId="0412AAE9" w:rsidR="00C63A98" w:rsidRPr="00C63A98" w:rsidRDefault="00C63A98" w:rsidP="00AA30D8">
            <w:pPr>
              <w:pStyle w:val="Tablehead1"/>
              <w:rPr>
                <w:rFonts w:ascii="Calibri" w:hAnsi="Calibri" w:cs="Calibri"/>
                <w:sz w:val="20"/>
              </w:rPr>
            </w:pPr>
            <w:r w:rsidRPr="00C63A98">
              <w:rPr>
                <w:rFonts w:ascii="Calibri" w:hAnsi="Calibri" w:cs="Calibri"/>
                <w:sz w:val="20"/>
              </w:rPr>
              <w:t>Comments</w:t>
            </w:r>
          </w:p>
        </w:tc>
      </w:tr>
      <w:tr w:rsidR="00C63A98" w:rsidRPr="00C63A98" w14:paraId="0AA27335" w14:textId="77777777" w:rsidTr="00C63A98">
        <w:trPr>
          <w:cantSplit/>
        </w:trPr>
        <w:tc>
          <w:tcPr>
            <w:tcW w:w="1543" w:type="dxa"/>
          </w:tcPr>
          <w:p w14:paraId="6FFC73B9" w14:textId="2562B745" w:rsidR="00C63A98" w:rsidRPr="00C63A98" w:rsidRDefault="00CE45AF" w:rsidP="00AA30D8">
            <w:pPr>
              <w:pStyle w:val="Tabletext"/>
              <w:keepNext/>
              <w:rPr>
                <w:rFonts w:ascii="Calibri" w:hAnsi="Calibri" w:cs="Calibri"/>
                <w:sz w:val="20"/>
              </w:rPr>
            </w:pPr>
            <w:r>
              <w:rPr>
                <w:rFonts w:ascii="Calibri" w:hAnsi="Calibri" w:cs="Calibri"/>
                <w:sz w:val="20"/>
              </w:rPr>
              <w:t>MPR Tag XREF</w:t>
            </w:r>
          </w:p>
        </w:tc>
        <w:tc>
          <w:tcPr>
            <w:tcW w:w="2294" w:type="dxa"/>
          </w:tcPr>
          <w:p w14:paraId="42F075FF" w14:textId="21F27DD5" w:rsidR="00C63A98" w:rsidRPr="00C63A98" w:rsidRDefault="00C63A98" w:rsidP="00AA30D8">
            <w:pPr>
              <w:pStyle w:val="Tabletext"/>
              <w:keepNext/>
              <w:rPr>
                <w:rFonts w:ascii="Calibri" w:hAnsi="Calibri" w:cs="Calibri"/>
                <w:sz w:val="20"/>
              </w:rPr>
            </w:pPr>
            <w:r w:rsidRPr="00C63A98">
              <w:rPr>
                <w:rFonts w:ascii="Calibri" w:hAnsi="Calibri" w:cs="Calibri"/>
                <w:sz w:val="20"/>
              </w:rPr>
              <w:t xml:space="preserve">MPR tags mapped to products. </w:t>
            </w:r>
            <w:r w:rsidR="00CE45AF">
              <w:rPr>
                <w:rFonts w:ascii="Calibri" w:hAnsi="Calibri" w:cs="Calibri"/>
                <w:sz w:val="20"/>
              </w:rPr>
              <w:t>Each tag carries its category, price or cost</w:t>
            </w:r>
          </w:p>
        </w:tc>
        <w:tc>
          <w:tcPr>
            <w:tcW w:w="1270" w:type="dxa"/>
          </w:tcPr>
          <w:p w14:paraId="1DEB7FCC" w14:textId="169BA462" w:rsidR="00C63A98" w:rsidRPr="00C63A98" w:rsidRDefault="00C63A98" w:rsidP="00AA30D8">
            <w:pPr>
              <w:pStyle w:val="Tabletext"/>
              <w:keepNext/>
              <w:rPr>
                <w:rFonts w:ascii="Calibri" w:hAnsi="Calibri" w:cs="Calibri"/>
                <w:sz w:val="20"/>
              </w:rPr>
            </w:pPr>
            <w:r w:rsidRPr="00C63A98">
              <w:rPr>
                <w:rFonts w:ascii="Calibri" w:hAnsi="Calibri" w:cs="Calibri"/>
                <w:sz w:val="20"/>
              </w:rPr>
              <w:t>Yes</w:t>
            </w:r>
          </w:p>
        </w:tc>
        <w:tc>
          <w:tcPr>
            <w:tcW w:w="4253" w:type="dxa"/>
          </w:tcPr>
          <w:p w14:paraId="6E926583" w14:textId="3CFE9274" w:rsidR="00C63A98" w:rsidRPr="00C63A98" w:rsidRDefault="00794AE6" w:rsidP="00AA30D8">
            <w:pPr>
              <w:pStyle w:val="Tabletext"/>
              <w:keepNext/>
              <w:rPr>
                <w:rFonts w:ascii="Calibri" w:hAnsi="Calibri" w:cs="Calibri"/>
                <w:sz w:val="20"/>
              </w:rPr>
            </w:pPr>
            <w:r>
              <w:rPr>
                <w:rFonts w:ascii="Calibri" w:hAnsi="Calibri" w:cs="Calibri"/>
                <w:sz w:val="20"/>
              </w:rPr>
              <w:t xml:space="preserve">Gasoline 11566 and 13067 (price); butane 859 (cost); ethanol 16749 and 10960 (cost); </w:t>
            </w:r>
            <w:r w:rsidR="00F80961">
              <w:rPr>
                <w:rFonts w:ascii="Calibri" w:hAnsi="Calibri" w:cs="Calibri"/>
                <w:sz w:val="20"/>
              </w:rPr>
              <w:t>transmix 15094 and 15100 (price); ULSD, Jet, Kerosene and Biodiesel (price) for the Distillate KPI Dashboard.</w:t>
            </w:r>
            <w:r>
              <w:rPr>
                <w:rFonts w:ascii="Calibri" w:hAnsi="Calibri" w:cs="Calibri"/>
                <w:sz w:val="20"/>
              </w:rPr>
              <w:t xml:space="preserve"> Held in Profisee. Every tag shall exist in MPR and in Profisee.</w:t>
            </w:r>
          </w:p>
        </w:tc>
      </w:tr>
      <w:tr w:rsidR="00C63A98" w:rsidRPr="00C63A98" w14:paraId="3EC35E03" w14:textId="77777777" w:rsidTr="00C63A98">
        <w:trPr>
          <w:cantSplit/>
        </w:trPr>
        <w:tc>
          <w:tcPr>
            <w:tcW w:w="1543" w:type="dxa"/>
          </w:tcPr>
          <w:p w14:paraId="1BF6B670" w14:textId="799812C0" w:rsidR="00C63A98" w:rsidRPr="00C63A98" w:rsidRDefault="00C63A98" w:rsidP="00C63A98">
            <w:pPr>
              <w:pStyle w:val="Tabletext"/>
              <w:keepNext/>
              <w:rPr>
                <w:rFonts w:ascii="Calibri" w:hAnsi="Calibri" w:cs="Calibri"/>
                <w:sz w:val="20"/>
              </w:rPr>
            </w:pPr>
            <w:r w:rsidRPr="00C63A98">
              <w:rPr>
                <w:rFonts w:ascii="Calibri" w:hAnsi="Calibri" w:cs="Calibri"/>
                <w:sz w:val="20"/>
              </w:rPr>
              <w:t>UOM</w:t>
            </w:r>
          </w:p>
        </w:tc>
        <w:tc>
          <w:tcPr>
            <w:tcW w:w="2294" w:type="dxa"/>
          </w:tcPr>
          <w:p w14:paraId="62C196B7" w14:textId="5896D206" w:rsidR="00C63A98" w:rsidRPr="00C63A98" w:rsidRDefault="00C63A98" w:rsidP="00C63A98">
            <w:pPr>
              <w:pStyle w:val="Tabletext"/>
              <w:keepNext/>
              <w:rPr>
                <w:rFonts w:ascii="Calibri" w:hAnsi="Calibri" w:cs="Calibri"/>
                <w:sz w:val="20"/>
              </w:rPr>
            </w:pPr>
            <w:r w:rsidRPr="00C63A98">
              <w:rPr>
                <w:rFonts w:ascii="Calibri" w:hAnsi="Calibri" w:cs="Calibri"/>
                <w:sz w:val="20"/>
              </w:rPr>
              <w:t>Unit of the price</w:t>
            </w:r>
          </w:p>
        </w:tc>
        <w:tc>
          <w:tcPr>
            <w:tcW w:w="1270" w:type="dxa"/>
          </w:tcPr>
          <w:p w14:paraId="37BFD4E1" w14:textId="112BFA88" w:rsidR="00C63A98" w:rsidRPr="00C63A98" w:rsidRDefault="00C63A98" w:rsidP="00C63A98">
            <w:pPr>
              <w:pStyle w:val="Tabletext"/>
              <w:keepNext/>
              <w:rPr>
                <w:rFonts w:ascii="Calibri" w:hAnsi="Calibri" w:cs="Calibri"/>
                <w:sz w:val="20"/>
              </w:rPr>
            </w:pPr>
            <w:r w:rsidRPr="00C63A98">
              <w:rPr>
                <w:rFonts w:ascii="Calibri" w:hAnsi="Calibri" w:cs="Calibri"/>
                <w:sz w:val="20"/>
              </w:rPr>
              <w:t>Yes</w:t>
            </w:r>
          </w:p>
        </w:tc>
        <w:tc>
          <w:tcPr>
            <w:tcW w:w="4253" w:type="dxa"/>
          </w:tcPr>
          <w:p w14:paraId="555692E1" w14:textId="21962650" w:rsidR="00C63A98" w:rsidRPr="00C63A98" w:rsidRDefault="004812A6" w:rsidP="00C63A98">
            <w:pPr>
              <w:pStyle w:val="Tabletext"/>
              <w:keepNext/>
              <w:rPr>
                <w:rFonts w:ascii="Calibri" w:hAnsi="Calibri" w:cs="Calibri"/>
                <w:sz w:val="20"/>
              </w:rPr>
            </w:pPr>
            <w:r>
              <w:rPr>
                <w:rFonts w:ascii="Calibri" w:hAnsi="Calibri" w:cs="Calibri"/>
                <w:sz w:val="20"/>
              </w:rPr>
              <w:t>Each price shall come in the unit held for it in MPR.</w:t>
            </w:r>
            <w:r w:rsidR="00AA30D8">
              <w:rPr>
                <w:rFonts w:ascii="Calibri" w:hAnsi="Calibri" w:cs="Calibri"/>
                <w:sz w:val="20"/>
              </w:rPr>
              <w:t xml:space="preserve"> </w:t>
            </w:r>
            <w:r w:rsidR="00F80961">
              <w:rPr>
                <w:rFonts w:ascii="Calibri" w:hAnsi="Calibri" w:cs="Calibri"/>
                <w:sz w:val="20"/>
              </w:rPr>
              <w:t>The price service shall convert short-ton prices, in dollars or cents, to dollars per barrel. A price per short ton shall be divided by 5.520013 to give the price per barrel. A price in cents shall be divided by 100 to give dollars.</w:t>
            </w:r>
            <w:r w:rsidR="00873A53">
              <w:rPr>
                <w:rFonts w:ascii="Calibri" w:hAnsi="Calibri" w:cs="Calibri"/>
                <w:sz w:val="20"/>
              </w:rPr>
              <w:t xml:space="preserve"> </w:t>
            </w:r>
            <w:r w:rsidR="0023739F">
              <w:rPr>
                <w:rFonts w:ascii="Calibri" w:hAnsi="Calibri" w:cs="Calibri"/>
                <w:sz w:val="20"/>
              </w:rPr>
              <w:t xml:space="preserve">The price service shall translate the unit and the currency into Profisee codes through the Semantic Service. </w:t>
            </w:r>
            <w:r>
              <w:rPr>
                <w:rFonts w:ascii="Calibri" w:hAnsi="Calibri" w:cs="Calibri"/>
                <w:sz w:val="20"/>
              </w:rPr>
              <w:t>The Price Response Service shall not convert units.</w:t>
            </w:r>
            <w:r w:rsidR="00140DC0">
              <w:rPr>
                <w:rFonts w:ascii="Calibri" w:hAnsi="Calibri" w:cs="Calibri"/>
                <w:sz w:val="20"/>
              </w:rPr>
              <w:t xml:space="preserve"> Any other unit shall be returned as it is,</w:t>
            </w:r>
            <w:r>
              <w:rPr>
                <w:rFonts w:ascii="Calibri" w:hAnsi="Calibri" w:cs="Calibri"/>
                <w:sz w:val="20"/>
              </w:rPr>
              <w:t xml:space="preserve"> and the dashboard shall convert it as it needs.</w:t>
            </w:r>
          </w:p>
        </w:tc>
      </w:tr>
    </w:tbl>
    <w:p w14:paraId="525BDEFF" w14:textId="7A4F8E72" w:rsidR="00C63A98" w:rsidRDefault="00C63A98" w:rsidP="00C63A98">
      <w:pPr>
        <w:pStyle w:val="Caption"/>
      </w:pPr>
      <w:bookmarkStart w:id="216" w:name="_Toc241311450"/>
      <w:bookmarkStart w:id="217" w:name="_Toc241574606"/>
      <w:bookmarkStart w:id="218" w:name="_Toc242554023"/>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25</w:t>
      </w:r>
      <w:r>
        <w:fldChar w:fldCharType="end"/>
      </w:r>
      <w:r>
        <w:t xml:space="preserve">: </w:t>
      </w:r>
      <w:bookmarkEnd w:id="216"/>
      <w:bookmarkEnd w:id="217"/>
      <w:r w:rsidR="00AA30D8">
        <w:t>Master Data Entity - Actual Pricing data of products and blend components</w:t>
      </w:r>
      <w:bookmarkEnd w:id="218"/>
    </w:p>
    <w:p w14:paraId="64C2254C" w14:textId="77777777" w:rsidR="0081216E" w:rsidRDefault="00AA30D8" w:rsidP="00AA30D8">
      <w:pPr>
        <w:pStyle w:val="Heading5"/>
        <w:rPr>
          <w:rFonts w:ascii="Calibri" w:hAnsi="Calibri" w:cs="Calibri"/>
          <w:sz w:val="20"/>
        </w:rPr>
      </w:pPr>
      <w:r w:rsidRPr="6855FDF4">
        <w:rPr>
          <w:rFonts w:ascii="Calibri" w:hAnsi="Calibri" w:cs="Calibri"/>
          <w:sz w:val="20"/>
          <w:szCs w:val="20"/>
        </w:rPr>
        <w:t>In</w:t>
      </w:r>
      <w:commentRangeStart w:id="219"/>
      <w:r w:rsidRPr="6855FDF4">
        <w:rPr>
          <w:rFonts w:ascii="Calibri" w:hAnsi="Calibri" w:cs="Calibri"/>
          <w:sz w:val="20"/>
          <w:szCs w:val="20"/>
        </w:rPr>
        <w:t>tegration</w:t>
      </w:r>
      <w:r w:rsidR="00682619" w:rsidRPr="6855FDF4">
        <w:rPr>
          <w:rFonts w:ascii="Calibri" w:hAnsi="Calibri" w:cs="Calibri"/>
          <w:sz w:val="20"/>
          <w:szCs w:val="20"/>
        </w:rPr>
        <w:t xml:space="preserve"> Configuration</w:t>
      </w:r>
      <w:commentRangeEnd w:id="219"/>
      <w:r>
        <w:rPr>
          <w:rStyle w:val="CommentReference"/>
          <w:rFonts w:ascii="Calibri" w:hAnsi="Calibri" w:cs="Calibri"/>
          <w:sz w:val="20"/>
          <w:szCs w:val="22"/>
        </w:rPr>
        <w:commentReference w:id="219"/>
      </w:r>
    </w:p>
    <w:p w14:paraId="02DBF3EA" w14:textId="7E79DEF0" w:rsidR="00FC42E7" w:rsidRPr="00EC3682" w:rsidRDefault="00FC42E7" w:rsidP="00FC42E7">
      <w:pPr>
        <w:pStyle w:val="ListParagraph"/>
        <w:numPr>
          <w:ilvl w:val="0"/>
          <w:numId w:val="4"/>
        </w:numPr>
        <w:jc w:val="left"/>
        <w:rPr>
          <w:rFonts w:ascii="Calibri" w:hAnsi="Calibri" w:cs="Calibri"/>
        </w:rPr>
      </w:pPr>
      <w:r>
        <w:t>All the settings shall be app settings: the price read offset, the service addresses, the values sent to the Semantic Service and the batch size.</w:t>
      </w:r>
    </w:p>
    <w:p w14:paraId="32DA1DF9" w14:textId="2678B5DB" w:rsidR="00682619" w:rsidRPr="0081216E" w:rsidRDefault="00FC42E7" w:rsidP="00FC42E7">
      <w:pPr>
        <w:keepNext/>
        <w:jc w:val="left"/>
        <w:rPr>
          <w:rFonts w:ascii="Calibri" w:hAnsi="Calibri" w:cs="Calibri"/>
          <w:bCs/>
        </w:rPr>
      </w:pPr>
      <w:r>
        <w:rPr>
          <w:rFonts w:ascii="Calibri" w:hAnsi="Calibri" w:cs="Calibri"/>
        </w:rPr>
        <w:t>The pricing integration shall use the settings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0"/>
        <w:gridCol w:w="3556"/>
        <w:gridCol w:w="2434"/>
        <w:gridCol w:w="1310"/>
      </w:tblGrid>
      <w:tr w:rsidR="00C63A98" w:rsidRPr="00C63A98" w14:paraId="40E60E01" w14:textId="77777777" w:rsidTr="00FA3AEE">
        <w:trPr>
          <w:cantSplit/>
          <w:tblHeader/>
        </w:trPr>
        <w:tc>
          <w:tcPr>
            <w:tcW w:w="2060" w:type="dxa"/>
            <w:shd w:val="clear" w:color="auto" w:fill="2F5597"/>
          </w:tcPr>
          <w:p w14:paraId="0214CD88" w14:textId="4DF7A48F" w:rsidR="00C63A98" w:rsidRPr="00C63A98" w:rsidRDefault="00C63A98" w:rsidP="00FA3AEE">
            <w:pPr>
              <w:pStyle w:val="Tablehead1"/>
              <w:keepNext w:val="0"/>
              <w:rPr>
                <w:rFonts w:ascii="Calibri" w:hAnsi="Calibri" w:cs="Calibri"/>
                <w:sz w:val="20"/>
              </w:rPr>
            </w:pPr>
            <w:r w:rsidRPr="00C63A98">
              <w:rPr>
                <w:rFonts w:ascii="Calibri" w:hAnsi="Calibri" w:cs="Calibri"/>
                <w:sz w:val="20"/>
              </w:rPr>
              <w:t>Configuration</w:t>
            </w:r>
          </w:p>
        </w:tc>
        <w:tc>
          <w:tcPr>
            <w:tcW w:w="3556" w:type="dxa"/>
            <w:shd w:val="clear" w:color="auto" w:fill="2F5597"/>
          </w:tcPr>
          <w:p w14:paraId="731D7A3F" w14:textId="77F6E029" w:rsidR="00C63A98" w:rsidRPr="00C63A98" w:rsidRDefault="00C63A98" w:rsidP="00FA3AEE">
            <w:pPr>
              <w:pStyle w:val="Tablehead1"/>
              <w:keepNext w:val="0"/>
              <w:rPr>
                <w:rFonts w:ascii="Calibri" w:hAnsi="Calibri" w:cs="Calibri"/>
                <w:sz w:val="20"/>
              </w:rPr>
            </w:pPr>
            <w:r w:rsidRPr="00C63A98">
              <w:rPr>
                <w:rFonts w:ascii="Calibri" w:hAnsi="Calibri" w:cs="Calibri"/>
                <w:sz w:val="20"/>
              </w:rPr>
              <w:t>Value</w:t>
            </w:r>
          </w:p>
        </w:tc>
        <w:tc>
          <w:tcPr>
            <w:tcW w:w="2434" w:type="dxa"/>
            <w:shd w:val="clear" w:color="auto" w:fill="2F5597"/>
          </w:tcPr>
          <w:p w14:paraId="4CE7CAA9" w14:textId="59ED221B" w:rsidR="00C63A98" w:rsidRPr="00C63A98" w:rsidRDefault="00C63A98" w:rsidP="00FA3AEE">
            <w:pPr>
              <w:pStyle w:val="Tablehead1"/>
              <w:keepNext w:val="0"/>
              <w:rPr>
                <w:rFonts w:ascii="Calibri" w:hAnsi="Calibri" w:cs="Calibri"/>
                <w:sz w:val="20"/>
              </w:rPr>
            </w:pPr>
            <w:r w:rsidRPr="00C63A98">
              <w:rPr>
                <w:rFonts w:ascii="Calibri" w:hAnsi="Calibri" w:cs="Calibri"/>
                <w:sz w:val="20"/>
              </w:rPr>
              <w:t>Description</w:t>
            </w:r>
          </w:p>
        </w:tc>
        <w:tc>
          <w:tcPr>
            <w:tcW w:w="1310" w:type="dxa"/>
            <w:shd w:val="clear" w:color="auto" w:fill="2F5597"/>
          </w:tcPr>
          <w:p w14:paraId="7356850A" w14:textId="7E232E61" w:rsidR="00C63A98" w:rsidRPr="00C63A98" w:rsidRDefault="00C63A98" w:rsidP="00FA3AEE">
            <w:pPr>
              <w:pStyle w:val="Tablehead1"/>
              <w:keepNext w:val="0"/>
              <w:rPr>
                <w:rFonts w:ascii="Calibri" w:hAnsi="Calibri" w:cs="Calibri"/>
                <w:sz w:val="20"/>
              </w:rPr>
            </w:pPr>
            <w:r w:rsidRPr="00C63A98">
              <w:rPr>
                <w:rFonts w:ascii="Calibri" w:hAnsi="Calibri" w:cs="Calibri"/>
                <w:sz w:val="20"/>
              </w:rPr>
              <w:t>Location</w:t>
            </w:r>
          </w:p>
        </w:tc>
      </w:tr>
      <w:tr w:rsidR="00C63A98" w:rsidRPr="00C63A98" w14:paraId="1500E4F7" w14:textId="77777777" w:rsidTr="00FA3AEE">
        <w:trPr>
          <w:cantSplit/>
        </w:trPr>
        <w:tc>
          <w:tcPr>
            <w:tcW w:w="2060" w:type="dxa"/>
          </w:tcPr>
          <w:p w14:paraId="54B40BF0" w14:textId="66EC2EEE" w:rsidR="00C63A98" w:rsidRPr="00C63A98" w:rsidRDefault="00CE45AF" w:rsidP="00FA3AEE">
            <w:pPr>
              <w:pStyle w:val="Tabletext"/>
              <w:rPr>
                <w:rFonts w:ascii="Calibri" w:hAnsi="Calibri" w:cs="Calibri"/>
                <w:sz w:val="20"/>
              </w:rPr>
            </w:pPr>
            <w:r>
              <w:rPr>
                <w:rFonts w:ascii="Calibri" w:hAnsi="Calibri" w:cs="Calibri"/>
                <w:sz w:val="20"/>
              </w:rPr>
              <w:t>Price Read Offset (days)</w:t>
            </w:r>
          </w:p>
        </w:tc>
        <w:tc>
          <w:tcPr>
            <w:tcW w:w="3556" w:type="dxa"/>
          </w:tcPr>
          <w:p w14:paraId="1A3ACC48" w14:textId="0D34D802" w:rsidR="00C63A98" w:rsidRPr="00C63A98" w:rsidRDefault="00C63A98" w:rsidP="00FA3AEE">
            <w:pPr>
              <w:pStyle w:val="Tabletext"/>
              <w:rPr>
                <w:rFonts w:ascii="Calibri" w:hAnsi="Calibri" w:cs="Calibri"/>
                <w:sz w:val="20"/>
              </w:rPr>
            </w:pPr>
            <w:r w:rsidRPr="00C63A98">
              <w:rPr>
                <w:rFonts w:ascii="Calibri" w:hAnsi="Calibri" w:cs="Calibri"/>
                <w:sz w:val="20"/>
              </w:rPr>
              <w:t>2</w:t>
            </w:r>
          </w:p>
        </w:tc>
        <w:tc>
          <w:tcPr>
            <w:tcW w:w="2434" w:type="dxa"/>
          </w:tcPr>
          <w:p w14:paraId="5CBBB4AE" w14:textId="16169C12" w:rsidR="00C63A98" w:rsidRPr="00C63A98" w:rsidRDefault="00794AE6" w:rsidP="00FA3AEE">
            <w:pPr>
              <w:pStyle w:val="Tabletext"/>
              <w:rPr>
                <w:rFonts w:ascii="Calibri" w:hAnsi="Calibri" w:cs="Calibri"/>
                <w:sz w:val="20"/>
              </w:rPr>
            </w:pPr>
            <w:r>
              <w:rPr>
                <w:rFonts w:ascii="Calibri" w:hAnsi="Calibri" w:cs="Calibri"/>
                <w:sz w:val="20"/>
              </w:rPr>
              <w:t>Number of days before the first day of the period from which the settled prices are read</w:t>
            </w:r>
          </w:p>
        </w:tc>
        <w:tc>
          <w:tcPr>
            <w:tcW w:w="1310" w:type="dxa"/>
          </w:tcPr>
          <w:p w14:paraId="280F5ED7" w14:textId="12D2220F" w:rsidR="00C63A98" w:rsidRPr="00C63A98" w:rsidRDefault="00C63A98" w:rsidP="00FA3AEE">
            <w:pPr>
              <w:pStyle w:val="Tabletext"/>
              <w:rPr>
                <w:rFonts w:ascii="Calibri" w:hAnsi="Calibri" w:cs="Calibri"/>
                <w:sz w:val="20"/>
              </w:rPr>
            </w:pPr>
            <w:r w:rsidRPr="00C63A98">
              <w:rPr>
                <w:rFonts w:ascii="Calibri" w:hAnsi="Calibri" w:cs="Calibri"/>
                <w:sz w:val="20"/>
              </w:rPr>
              <w:t>AppSettings</w:t>
            </w:r>
          </w:p>
        </w:tc>
      </w:tr>
      <w:tr w:rsidR="00772610" w:rsidRPr="00C63A98" w14:paraId="4D177DC7" w14:textId="77777777" w:rsidTr="00FA3AEE">
        <w:trPr>
          <w:cantSplit/>
        </w:trPr>
        <w:tc>
          <w:tcPr>
            <w:tcW w:w="2060" w:type="dxa"/>
          </w:tcPr>
          <w:p w14:paraId="7D959BD9" w14:textId="2F320816" w:rsidR="00772610" w:rsidRPr="00C63A98" w:rsidRDefault="00CE45AF" w:rsidP="00FA3AEE">
            <w:pPr>
              <w:pStyle w:val="Tabletext"/>
              <w:rPr>
                <w:rFonts w:ascii="Calibri" w:hAnsi="Calibri" w:cs="Calibri"/>
                <w:sz w:val="20"/>
              </w:rPr>
            </w:pPr>
            <w:r>
              <w:rPr>
                <w:rFonts w:ascii="Calibri" w:hAnsi="Calibri" w:cs="Calibri"/>
                <w:sz w:val="20"/>
              </w:rPr>
              <w:t>Semantic Service Base URL</w:t>
            </w:r>
          </w:p>
        </w:tc>
        <w:tc>
          <w:tcPr>
            <w:tcW w:w="3556" w:type="dxa"/>
          </w:tcPr>
          <w:p w14:paraId="6F88D887" w14:textId="72081D2F" w:rsidR="00772610" w:rsidRPr="00C63A98" w:rsidRDefault="00772610" w:rsidP="00FA3AEE">
            <w:pPr>
              <w:pStyle w:val="Tabletext"/>
              <w:rPr>
                <w:rFonts w:ascii="Calibri" w:hAnsi="Calibri" w:cs="Calibri"/>
                <w:sz w:val="20"/>
              </w:rPr>
            </w:pPr>
            <w:r>
              <w:rPr>
                <w:rFonts w:ascii="Calibri" w:hAnsi="Calibri" w:cs="Calibri"/>
                <w:sz w:val="20"/>
              </w:rPr>
              <w:t>AppSettings:SemanticServiceBaseUrl</w:t>
            </w:r>
          </w:p>
        </w:tc>
        <w:tc>
          <w:tcPr>
            <w:tcW w:w="2434" w:type="dxa"/>
          </w:tcPr>
          <w:p w14:paraId="6FE7A741" w14:textId="3C5480DF" w:rsidR="00772610" w:rsidRPr="00C63A98" w:rsidRDefault="00772610" w:rsidP="00FA3AEE">
            <w:pPr>
              <w:pStyle w:val="Tabletext"/>
              <w:rPr>
                <w:rFonts w:ascii="Calibri" w:hAnsi="Calibri" w:cs="Calibri"/>
                <w:sz w:val="20"/>
              </w:rPr>
            </w:pPr>
            <w:r>
              <w:rPr>
                <w:rFonts w:ascii="Calibri" w:hAnsi="Calibri" w:cs="Calibri"/>
                <w:sz w:val="20"/>
              </w:rPr>
              <w:t>Base address of the Semantic Service</w:t>
            </w:r>
          </w:p>
        </w:tc>
        <w:tc>
          <w:tcPr>
            <w:tcW w:w="1310" w:type="dxa"/>
          </w:tcPr>
          <w:p w14:paraId="25085E54" w14:textId="10E0BAF7" w:rsidR="00772610" w:rsidRPr="00C63A98" w:rsidRDefault="00772610" w:rsidP="00FA3AEE">
            <w:pPr>
              <w:pStyle w:val="Tabletext"/>
              <w:rPr>
                <w:rFonts w:ascii="Calibri" w:hAnsi="Calibri" w:cs="Calibri"/>
                <w:sz w:val="20"/>
              </w:rPr>
            </w:pPr>
            <w:r>
              <w:rPr>
                <w:rFonts w:ascii="Calibri" w:hAnsi="Calibri" w:cs="Calibri"/>
                <w:sz w:val="20"/>
              </w:rPr>
              <w:t>AppSettings</w:t>
            </w:r>
          </w:p>
        </w:tc>
      </w:tr>
      <w:tr w:rsidR="00772610" w:rsidRPr="00C63A98" w14:paraId="0648745F" w14:textId="77777777" w:rsidTr="00FA3AEE">
        <w:trPr>
          <w:cantSplit/>
        </w:trPr>
        <w:tc>
          <w:tcPr>
            <w:tcW w:w="2060" w:type="dxa"/>
          </w:tcPr>
          <w:p w14:paraId="5F73CB2C" w14:textId="4817FFD3" w:rsidR="00772610" w:rsidRDefault="00CE45AF" w:rsidP="00FA3AEE">
            <w:pPr>
              <w:pStyle w:val="Tabletext"/>
              <w:rPr>
                <w:rFonts w:ascii="Calibri" w:hAnsi="Calibri" w:cs="Calibri"/>
                <w:sz w:val="20"/>
              </w:rPr>
            </w:pPr>
            <w:r>
              <w:rPr>
                <w:rFonts w:ascii="Calibri" w:hAnsi="Calibri" w:cs="Calibri"/>
                <w:sz w:val="20"/>
              </w:rPr>
              <w:t>Price Service Base URL</w:t>
            </w:r>
          </w:p>
        </w:tc>
        <w:tc>
          <w:tcPr>
            <w:tcW w:w="3556" w:type="dxa"/>
          </w:tcPr>
          <w:p w14:paraId="78464D25" w14:textId="6BA0A6B8" w:rsidR="00772610" w:rsidRDefault="00772610" w:rsidP="00FA3AEE">
            <w:pPr>
              <w:pStyle w:val="Tabletext"/>
              <w:rPr>
                <w:rFonts w:ascii="Calibri" w:hAnsi="Calibri" w:cs="Calibri"/>
                <w:sz w:val="20"/>
              </w:rPr>
            </w:pPr>
            <w:r>
              <w:rPr>
                <w:rFonts w:ascii="Calibri" w:hAnsi="Calibri" w:cs="Calibri"/>
                <w:sz w:val="20"/>
              </w:rPr>
              <w:t>AppSettings:PriceCostServiceBaseUrl</w:t>
            </w:r>
          </w:p>
        </w:tc>
        <w:tc>
          <w:tcPr>
            <w:tcW w:w="2434" w:type="dxa"/>
          </w:tcPr>
          <w:p w14:paraId="3C0A6F71" w14:textId="0D28CB05" w:rsidR="00772610" w:rsidRDefault="00772610" w:rsidP="00FA3AEE">
            <w:pPr>
              <w:pStyle w:val="Tabletext"/>
              <w:rPr>
                <w:rFonts w:ascii="Calibri" w:hAnsi="Calibri" w:cs="Calibri"/>
                <w:sz w:val="20"/>
              </w:rPr>
            </w:pPr>
            <w:r>
              <w:rPr>
                <w:rFonts w:ascii="Calibri" w:hAnsi="Calibri" w:cs="Calibri"/>
                <w:sz w:val="20"/>
              </w:rPr>
              <w:t>Base address of the price service</w:t>
            </w:r>
          </w:p>
        </w:tc>
        <w:tc>
          <w:tcPr>
            <w:tcW w:w="1310" w:type="dxa"/>
          </w:tcPr>
          <w:p w14:paraId="77620436" w14:textId="71014120" w:rsidR="00772610" w:rsidRDefault="00772610" w:rsidP="00FA3AEE">
            <w:pPr>
              <w:pStyle w:val="Tabletext"/>
              <w:rPr>
                <w:rFonts w:ascii="Calibri" w:hAnsi="Calibri" w:cs="Calibri"/>
                <w:sz w:val="20"/>
              </w:rPr>
            </w:pPr>
            <w:r>
              <w:rPr>
                <w:rFonts w:ascii="Calibri" w:hAnsi="Calibri" w:cs="Calibri"/>
                <w:sz w:val="20"/>
              </w:rPr>
              <w:t>AppSettings</w:t>
            </w:r>
          </w:p>
        </w:tc>
      </w:tr>
      <w:tr w:rsidR="00772610" w:rsidRPr="00C63A98" w14:paraId="6BF6B8FF" w14:textId="77777777" w:rsidTr="00FA3AEE">
        <w:trPr>
          <w:cantSplit/>
        </w:trPr>
        <w:tc>
          <w:tcPr>
            <w:tcW w:w="2060" w:type="dxa"/>
          </w:tcPr>
          <w:p w14:paraId="157857FE" w14:textId="73240E16" w:rsidR="00772610" w:rsidRDefault="00772610" w:rsidP="00FA3AEE">
            <w:pPr>
              <w:pStyle w:val="Tabletext"/>
              <w:rPr>
                <w:rFonts w:ascii="Calibri" w:hAnsi="Calibri" w:cs="Calibri"/>
                <w:sz w:val="20"/>
              </w:rPr>
            </w:pPr>
            <w:r>
              <w:rPr>
                <w:rFonts w:ascii="Calibri" w:hAnsi="Calibri" w:cs="Calibri"/>
                <w:sz w:val="20"/>
              </w:rPr>
              <w:t>Region</w:t>
            </w:r>
          </w:p>
        </w:tc>
        <w:tc>
          <w:tcPr>
            <w:tcW w:w="3556" w:type="dxa"/>
          </w:tcPr>
          <w:p w14:paraId="44D46019" w14:textId="493D6125" w:rsidR="00772610" w:rsidRDefault="00772610" w:rsidP="00FA3AEE">
            <w:pPr>
              <w:pStyle w:val="Tabletext"/>
              <w:rPr>
                <w:rFonts w:ascii="Calibri" w:hAnsi="Calibri" w:cs="Calibri"/>
                <w:sz w:val="20"/>
              </w:rPr>
            </w:pPr>
            <w:r>
              <w:rPr>
                <w:rFonts w:ascii="Calibri" w:hAnsi="Calibri" w:cs="Calibri"/>
                <w:sz w:val="20"/>
              </w:rPr>
              <w:t>North Zone</w:t>
            </w:r>
          </w:p>
        </w:tc>
        <w:tc>
          <w:tcPr>
            <w:tcW w:w="2434" w:type="dxa"/>
          </w:tcPr>
          <w:p w14:paraId="22777B19" w14:textId="52C4ABB8" w:rsidR="00772610" w:rsidRDefault="00772610" w:rsidP="00FA3AEE">
            <w:pPr>
              <w:pStyle w:val="Tabletext"/>
              <w:rPr>
                <w:rFonts w:ascii="Calibri" w:hAnsi="Calibri" w:cs="Calibri"/>
                <w:sz w:val="20"/>
              </w:rPr>
            </w:pPr>
            <w:r>
              <w:rPr>
                <w:rFonts w:ascii="Calibri" w:hAnsi="Calibri" w:cs="Calibri"/>
                <w:sz w:val="20"/>
              </w:rPr>
              <w:t>Region sent to the Semantic Service</w:t>
            </w:r>
          </w:p>
        </w:tc>
        <w:tc>
          <w:tcPr>
            <w:tcW w:w="1310" w:type="dxa"/>
          </w:tcPr>
          <w:p w14:paraId="5CBA23A8" w14:textId="5DFCA588" w:rsidR="00772610" w:rsidRDefault="00772610" w:rsidP="00FA3AEE">
            <w:pPr>
              <w:pStyle w:val="Tabletext"/>
              <w:rPr>
                <w:rFonts w:ascii="Calibri" w:hAnsi="Calibri" w:cs="Calibri"/>
                <w:sz w:val="20"/>
              </w:rPr>
            </w:pPr>
            <w:r>
              <w:rPr>
                <w:rFonts w:ascii="Calibri" w:hAnsi="Calibri" w:cs="Calibri"/>
                <w:sz w:val="20"/>
              </w:rPr>
              <w:t>AppSettings</w:t>
            </w:r>
          </w:p>
        </w:tc>
      </w:tr>
      <w:tr w:rsidR="00772610" w:rsidRPr="00C63A98" w14:paraId="135CE104" w14:textId="77777777" w:rsidTr="00FA3AEE">
        <w:trPr>
          <w:cantSplit/>
        </w:trPr>
        <w:tc>
          <w:tcPr>
            <w:tcW w:w="2060" w:type="dxa"/>
          </w:tcPr>
          <w:p w14:paraId="487FF4BD" w14:textId="6D310F9F" w:rsidR="00772610" w:rsidRDefault="00772610" w:rsidP="00FA3AEE">
            <w:pPr>
              <w:pStyle w:val="Tabletext"/>
              <w:rPr>
                <w:rFonts w:ascii="Calibri" w:hAnsi="Calibri" w:cs="Calibri"/>
                <w:sz w:val="20"/>
              </w:rPr>
            </w:pPr>
            <w:r>
              <w:rPr>
                <w:rFonts w:ascii="Calibri" w:hAnsi="Calibri" w:cs="Calibri"/>
                <w:sz w:val="20"/>
              </w:rPr>
              <w:t>Model</w:t>
            </w:r>
          </w:p>
        </w:tc>
        <w:tc>
          <w:tcPr>
            <w:tcW w:w="3556" w:type="dxa"/>
          </w:tcPr>
          <w:p w14:paraId="6FDCD19F" w14:textId="0E31374F" w:rsidR="00772610" w:rsidRDefault="00772610" w:rsidP="00FA3AEE">
            <w:pPr>
              <w:pStyle w:val="Tabletext"/>
              <w:rPr>
                <w:rFonts w:ascii="Calibri" w:hAnsi="Calibri" w:cs="Calibri"/>
                <w:sz w:val="20"/>
              </w:rPr>
            </w:pPr>
            <w:r>
              <w:rPr>
                <w:rFonts w:ascii="Calibri" w:hAnsi="Calibri" w:cs="Calibri"/>
                <w:sz w:val="20"/>
              </w:rPr>
              <w:t>VCB North region model dashboard</w:t>
            </w:r>
          </w:p>
        </w:tc>
        <w:tc>
          <w:tcPr>
            <w:tcW w:w="2434" w:type="dxa"/>
          </w:tcPr>
          <w:p w14:paraId="0562AE3C" w14:textId="11237E96" w:rsidR="00772610" w:rsidRDefault="00772610" w:rsidP="00FA3AEE">
            <w:pPr>
              <w:pStyle w:val="Tabletext"/>
              <w:rPr>
                <w:rFonts w:ascii="Calibri" w:hAnsi="Calibri" w:cs="Calibri"/>
                <w:sz w:val="20"/>
              </w:rPr>
            </w:pPr>
            <w:r>
              <w:rPr>
                <w:rFonts w:ascii="Calibri" w:hAnsi="Calibri" w:cs="Calibri"/>
                <w:sz w:val="20"/>
              </w:rPr>
              <w:t>Model sent to the Semantic Service</w:t>
            </w:r>
          </w:p>
        </w:tc>
        <w:tc>
          <w:tcPr>
            <w:tcW w:w="1310" w:type="dxa"/>
          </w:tcPr>
          <w:p w14:paraId="35C2F5CF" w14:textId="19BBEC67" w:rsidR="00772610" w:rsidRDefault="00772610" w:rsidP="00FA3AEE">
            <w:pPr>
              <w:pStyle w:val="Tabletext"/>
              <w:rPr>
                <w:rFonts w:ascii="Calibri" w:hAnsi="Calibri" w:cs="Calibri"/>
                <w:sz w:val="20"/>
              </w:rPr>
            </w:pPr>
            <w:r>
              <w:rPr>
                <w:rFonts w:ascii="Calibri" w:hAnsi="Calibri" w:cs="Calibri"/>
                <w:sz w:val="20"/>
              </w:rPr>
              <w:t>AppSettings</w:t>
            </w:r>
          </w:p>
        </w:tc>
      </w:tr>
      <w:tr w:rsidR="00772610" w:rsidRPr="00C63A98" w14:paraId="5FB008C0" w14:textId="77777777" w:rsidTr="00FA3AEE">
        <w:trPr>
          <w:cantSplit/>
        </w:trPr>
        <w:tc>
          <w:tcPr>
            <w:tcW w:w="2060" w:type="dxa"/>
          </w:tcPr>
          <w:p w14:paraId="71BE8C0C" w14:textId="7F4CA602" w:rsidR="00772610" w:rsidRDefault="00772610" w:rsidP="00FA3AEE">
            <w:pPr>
              <w:pStyle w:val="Tabletext"/>
              <w:rPr>
                <w:rFonts w:ascii="Calibri" w:hAnsi="Calibri" w:cs="Calibri"/>
                <w:sz w:val="20"/>
              </w:rPr>
            </w:pPr>
            <w:r>
              <w:rPr>
                <w:rFonts w:ascii="Calibri" w:hAnsi="Calibri" w:cs="Calibri"/>
                <w:sz w:val="20"/>
              </w:rPr>
              <w:t>Source Domain</w:t>
            </w:r>
          </w:p>
        </w:tc>
        <w:tc>
          <w:tcPr>
            <w:tcW w:w="3556" w:type="dxa"/>
          </w:tcPr>
          <w:p w14:paraId="360F8BDD" w14:textId="3A898906" w:rsidR="00772610" w:rsidRDefault="00772610" w:rsidP="00FA3AEE">
            <w:pPr>
              <w:pStyle w:val="Tabletext"/>
              <w:rPr>
                <w:rFonts w:ascii="Calibri" w:hAnsi="Calibri" w:cs="Calibri"/>
                <w:sz w:val="20"/>
              </w:rPr>
            </w:pPr>
            <w:r>
              <w:rPr>
                <w:rFonts w:ascii="Calibri" w:hAnsi="Calibri" w:cs="Calibri"/>
                <w:sz w:val="20"/>
              </w:rPr>
              <w:t>MarathonPetroleumRepository</w:t>
            </w:r>
          </w:p>
        </w:tc>
        <w:tc>
          <w:tcPr>
            <w:tcW w:w="2434" w:type="dxa"/>
          </w:tcPr>
          <w:p w14:paraId="0D757F85" w14:textId="495A6D0B" w:rsidR="00772610" w:rsidRDefault="00772610" w:rsidP="00FA3AEE">
            <w:pPr>
              <w:pStyle w:val="Tabletext"/>
              <w:rPr>
                <w:rFonts w:ascii="Calibri" w:hAnsi="Calibri" w:cs="Calibri"/>
                <w:sz w:val="20"/>
              </w:rPr>
            </w:pPr>
            <w:r>
              <w:rPr>
                <w:rFonts w:ascii="Calibri" w:hAnsi="Calibri" w:cs="Calibri"/>
                <w:sz w:val="20"/>
              </w:rPr>
              <w:t>Source domain of the MPR tags in Profisee</w:t>
            </w:r>
          </w:p>
        </w:tc>
        <w:tc>
          <w:tcPr>
            <w:tcW w:w="1310" w:type="dxa"/>
          </w:tcPr>
          <w:p w14:paraId="6FA9C9CF" w14:textId="2D160BE0" w:rsidR="00772610" w:rsidRDefault="00772610" w:rsidP="00FA3AEE">
            <w:pPr>
              <w:pStyle w:val="Tabletext"/>
              <w:rPr>
                <w:rFonts w:ascii="Calibri" w:hAnsi="Calibri" w:cs="Calibri"/>
                <w:sz w:val="20"/>
              </w:rPr>
            </w:pPr>
            <w:r>
              <w:rPr>
                <w:rFonts w:ascii="Calibri" w:hAnsi="Calibri" w:cs="Calibri"/>
                <w:sz w:val="20"/>
              </w:rPr>
              <w:t>AppSettings</w:t>
            </w:r>
          </w:p>
        </w:tc>
      </w:tr>
      <w:tr w:rsidR="00772610" w:rsidRPr="00C63A98" w14:paraId="701CA71F" w14:textId="77777777" w:rsidTr="00FA3AEE">
        <w:trPr>
          <w:cantSplit/>
        </w:trPr>
        <w:tc>
          <w:tcPr>
            <w:tcW w:w="2060" w:type="dxa"/>
          </w:tcPr>
          <w:p w14:paraId="1F66E44F" w14:textId="16444E12" w:rsidR="00772610" w:rsidRDefault="00772610" w:rsidP="00FA3AEE">
            <w:pPr>
              <w:pStyle w:val="Tabletext"/>
              <w:rPr>
                <w:rFonts w:ascii="Calibri" w:hAnsi="Calibri" w:cs="Calibri"/>
                <w:sz w:val="20"/>
              </w:rPr>
            </w:pPr>
            <w:r>
              <w:rPr>
                <w:rFonts w:ascii="Calibri" w:hAnsi="Calibri" w:cs="Calibri"/>
                <w:sz w:val="20"/>
              </w:rPr>
              <w:t>Target Domain</w:t>
            </w:r>
          </w:p>
        </w:tc>
        <w:tc>
          <w:tcPr>
            <w:tcW w:w="3556" w:type="dxa"/>
          </w:tcPr>
          <w:p w14:paraId="49517A7F" w14:textId="5573BB1D" w:rsidR="00772610" w:rsidRDefault="00772610" w:rsidP="00FA3AEE">
            <w:pPr>
              <w:pStyle w:val="Tabletext"/>
              <w:rPr>
                <w:rFonts w:ascii="Calibri" w:hAnsi="Calibri" w:cs="Calibri"/>
                <w:sz w:val="20"/>
              </w:rPr>
            </w:pPr>
            <w:r>
              <w:rPr>
                <w:rFonts w:ascii="Calibri" w:hAnsi="Calibri" w:cs="Calibri"/>
                <w:sz w:val="20"/>
              </w:rPr>
              <w:t>VCB North</w:t>
            </w:r>
          </w:p>
        </w:tc>
        <w:tc>
          <w:tcPr>
            <w:tcW w:w="2434" w:type="dxa"/>
          </w:tcPr>
          <w:p w14:paraId="55D54522" w14:textId="53DE38AD" w:rsidR="00772610" w:rsidRDefault="00772610" w:rsidP="00FA3AEE">
            <w:pPr>
              <w:pStyle w:val="Tabletext"/>
              <w:rPr>
                <w:rFonts w:ascii="Calibri" w:hAnsi="Calibri" w:cs="Calibri"/>
                <w:sz w:val="20"/>
              </w:rPr>
            </w:pPr>
            <w:r>
              <w:rPr>
                <w:rFonts w:ascii="Calibri" w:hAnsi="Calibri" w:cs="Calibri"/>
                <w:sz w:val="20"/>
              </w:rPr>
              <w:t>Target domain of the MPR tags in Profisee</w:t>
            </w:r>
          </w:p>
        </w:tc>
        <w:tc>
          <w:tcPr>
            <w:tcW w:w="1310" w:type="dxa"/>
          </w:tcPr>
          <w:p w14:paraId="71CA11E0" w14:textId="0F312954" w:rsidR="00772610" w:rsidRDefault="00772610" w:rsidP="00FA3AEE">
            <w:pPr>
              <w:pStyle w:val="Tabletext"/>
              <w:rPr>
                <w:rFonts w:ascii="Calibri" w:hAnsi="Calibri" w:cs="Calibri"/>
                <w:sz w:val="20"/>
              </w:rPr>
            </w:pPr>
            <w:r>
              <w:rPr>
                <w:rFonts w:ascii="Calibri" w:hAnsi="Calibri" w:cs="Calibri"/>
                <w:sz w:val="20"/>
              </w:rPr>
              <w:t>AppSettings</w:t>
            </w:r>
          </w:p>
        </w:tc>
      </w:tr>
      <w:tr w:rsidR="00772610" w:rsidRPr="00C63A98" w14:paraId="27E2FC6D" w14:textId="77777777" w:rsidTr="00FA3AEE">
        <w:trPr>
          <w:cantSplit/>
        </w:trPr>
        <w:tc>
          <w:tcPr>
            <w:tcW w:w="2060" w:type="dxa"/>
          </w:tcPr>
          <w:p w14:paraId="22FE248D" w14:textId="49FABC8F" w:rsidR="00772610" w:rsidRDefault="00772610" w:rsidP="00FA3AEE">
            <w:pPr>
              <w:pStyle w:val="Tabletext"/>
              <w:rPr>
                <w:rFonts w:ascii="Calibri" w:hAnsi="Calibri" w:cs="Calibri"/>
                <w:sz w:val="20"/>
              </w:rPr>
            </w:pPr>
            <w:r>
              <w:rPr>
                <w:rFonts w:ascii="Calibri" w:hAnsi="Calibri" w:cs="Calibri"/>
                <w:sz w:val="20"/>
              </w:rPr>
              <w:t>Entity</w:t>
            </w:r>
          </w:p>
        </w:tc>
        <w:tc>
          <w:tcPr>
            <w:tcW w:w="3556" w:type="dxa"/>
          </w:tcPr>
          <w:p w14:paraId="0ACCED93" w14:textId="3320A76C" w:rsidR="00772610" w:rsidRDefault="00772610" w:rsidP="00FA3AEE">
            <w:pPr>
              <w:pStyle w:val="Tabletext"/>
              <w:rPr>
                <w:rFonts w:ascii="Calibri" w:hAnsi="Calibri" w:cs="Calibri"/>
                <w:sz w:val="20"/>
              </w:rPr>
            </w:pPr>
            <w:r>
              <w:rPr>
                <w:rFonts w:ascii="Calibri" w:hAnsi="Calibri" w:cs="Calibri"/>
                <w:sz w:val="20"/>
              </w:rPr>
              <w:t>Price</w:t>
            </w:r>
          </w:p>
        </w:tc>
        <w:tc>
          <w:tcPr>
            <w:tcW w:w="2434" w:type="dxa"/>
          </w:tcPr>
          <w:p w14:paraId="72C2C44A" w14:textId="06C39C2D" w:rsidR="00772610" w:rsidRDefault="00772610" w:rsidP="00FA3AEE">
            <w:pPr>
              <w:pStyle w:val="Tabletext"/>
              <w:rPr>
                <w:rFonts w:ascii="Calibri" w:hAnsi="Calibri" w:cs="Calibri"/>
                <w:sz w:val="20"/>
              </w:rPr>
            </w:pPr>
            <w:r>
              <w:rPr>
                <w:rFonts w:ascii="Calibri" w:hAnsi="Calibri" w:cs="Calibri"/>
                <w:sz w:val="20"/>
              </w:rPr>
              <w:t>Profisee entity of the MPR tags</w:t>
            </w:r>
          </w:p>
        </w:tc>
        <w:tc>
          <w:tcPr>
            <w:tcW w:w="1310" w:type="dxa"/>
          </w:tcPr>
          <w:p w14:paraId="34F14B50" w14:textId="194B17D5" w:rsidR="00772610" w:rsidRDefault="00772610" w:rsidP="00FA3AEE">
            <w:pPr>
              <w:pStyle w:val="Tabletext"/>
              <w:rPr>
                <w:rFonts w:ascii="Calibri" w:hAnsi="Calibri" w:cs="Calibri"/>
                <w:sz w:val="20"/>
              </w:rPr>
            </w:pPr>
            <w:r>
              <w:rPr>
                <w:rFonts w:ascii="Calibri" w:hAnsi="Calibri" w:cs="Calibri"/>
                <w:sz w:val="20"/>
              </w:rPr>
              <w:t>AppSettings</w:t>
            </w:r>
          </w:p>
        </w:tc>
      </w:tr>
      <w:tr w:rsidR="00772610" w:rsidRPr="00C63A98" w14:paraId="093706D4" w14:textId="77777777" w:rsidTr="00FA3AEE">
        <w:trPr>
          <w:cantSplit/>
        </w:trPr>
        <w:tc>
          <w:tcPr>
            <w:tcW w:w="2060" w:type="dxa"/>
          </w:tcPr>
          <w:p w14:paraId="188906B9" w14:textId="1F0DABD0" w:rsidR="00772610" w:rsidRDefault="00772610" w:rsidP="00FA3AEE">
            <w:pPr>
              <w:pStyle w:val="Tabletext"/>
              <w:keepNext/>
              <w:rPr>
                <w:rFonts w:ascii="Calibri" w:hAnsi="Calibri" w:cs="Calibri"/>
                <w:sz w:val="20"/>
              </w:rPr>
            </w:pPr>
            <w:r>
              <w:rPr>
                <w:rFonts w:ascii="Calibri" w:hAnsi="Calibri" w:cs="Calibri"/>
                <w:sz w:val="20"/>
              </w:rPr>
              <w:t>Price Batch Size</w:t>
            </w:r>
          </w:p>
        </w:tc>
        <w:tc>
          <w:tcPr>
            <w:tcW w:w="3556" w:type="dxa"/>
          </w:tcPr>
          <w:p w14:paraId="5BD3A5B2" w14:textId="6A851843" w:rsidR="00772610" w:rsidRDefault="00772610" w:rsidP="00FA3AEE">
            <w:pPr>
              <w:pStyle w:val="Tabletext"/>
              <w:keepNext/>
              <w:rPr>
                <w:rFonts w:ascii="Calibri" w:hAnsi="Calibri" w:cs="Calibri"/>
                <w:sz w:val="20"/>
              </w:rPr>
            </w:pPr>
            <w:r>
              <w:rPr>
                <w:rFonts w:ascii="Calibri" w:hAnsi="Calibri" w:cs="Calibri"/>
                <w:sz w:val="20"/>
              </w:rPr>
              <w:t>100</w:t>
            </w:r>
          </w:p>
        </w:tc>
        <w:tc>
          <w:tcPr>
            <w:tcW w:w="2434" w:type="dxa"/>
          </w:tcPr>
          <w:p w14:paraId="61888A3C" w14:textId="0F00AA0B" w:rsidR="00772610" w:rsidRDefault="00772610" w:rsidP="00FA3AEE">
            <w:pPr>
              <w:pStyle w:val="Tabletext"/>
              <w:keepNext/>
              <w:rPr>
                <w:rFonts w:ascii="Calibri" w:hAnsi="Calibri" w:cs="Calibri"/>
                <w:sz w:val="20"/>
              </w:rPr>
            </w:pPr>
            <w:r>
              <w:rPr>
                <w:rFonts w:ascii="Calibri" w:hAnsi="Calibri" w:cs="Calibri"/>
                <w:sz w:val="20"/>
              </w:rPr>
              <w:t>Number of MPR tags sent to the price service in one call</w:t>
            </w:r>
          </w:p>
        </w:tc>
        <w:tc>
          <w:tcPr>
            <w:tcW w:w="1310" w:type="dxa"/>
          </w:tcPr>
          <w:p w14:paraId="4E2C0134" w14:textId="27882A76" w:rsidR="00772610" w:rsidRDefault="00772610" w:rsidP="00FA3AEE">
            <w:pPr>
              <w:pStyle w:val="Tabletext"/>
              <w:keepNext/>
              <w:rPr>
                <w:rFonts w:ascii="Calibri" w:hAnsi="Calibri" w:cs="Calibri"/>
                <w:sz w:val="20"/>
              </w:rPr>
            </w:pPr>
            <w:r>
              <w:rPr>
                <w:rFonts w:ascii="Calibri" w:hAnsi="Calibri" w:cs="Calibri"/>
                <w:sz w:val="20"/>
              </w:rPr>
              <w:t>AppSettings</w:t>
            </w:r>
          </w:p>
        </w:tc>
      </w:tr>
    </w:tbl>
    <w:p w14:paraId="6D768D54" w14:textId="190B0420" w:rsidR="00C63A98" w:rsidRDefault="00C63A98" w:rsidP="00C63A98">
      <w:pPr>
        <w:pStyle w:val="Caption"/>
      </w:pPr>
      <w:bookmarkStart w:id="220" w:name="_Toc241311451"/>
      <w:bookmarkStart w:id="221" w:name="_Toc241574607"/>
      <w:bookmarkStart w:id="222" w:name="_Toc242554024"/>
      <w:r>
        <w:t xml:space="preserve">Table </w:t>
      </w:r>
      <w:bookmarkStart w:id="223" w:name="_Ref917260956"/>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26</w:t>
      </w:r>
      <w:r>
        <w:fldChar w:fldCharType="end"/>
      </w:r>
      <w:bookmarkEnd w:id="223"/>
      <w:r>
        <w:t xml:space="preserve">: </w:t>
      </w:r>
      <w:r w:rsidR="00AA30D8">
        <w:t>Actual Pricing data of products and blend components - Integration</w:t>
      </w:r>
      <w:r>
        <w:t xml:space="preserve"> Configuration</w:t>
      </w:r>
      <w:bookmarkEnd w:id="220"/>
      <w:bookmarkEnd w:id="221"/>
      <w:bookmarkEnd w:id="222"/>
    </w:p>
    <w:p w14:paraId="539F6BF6" w14:textId="77777777" w:rsidR="00AA30D8" w:rsidRPr="00AA30D8" w:rsidRDefault="00AA30D8" w:rsidP="00AA30D8">
      <w:pPr>
        <w:pStyle w:val="Heading4"/>
        <w:rPr>
          <w:rFonts w:ascii="Calibri" w:hAnsi="Calibri" w:cs="Calibri"/>
          <w:b/>
          <w:sz w:val="20"/>
        </w:rPr>
      </w:pPr>
      <w:bookmarkStart w:id="224" w:name="_Ref917260943"/>
      <w:bookmarkStart w:id="225" w:name="_Toc241574305"/>
      <w:bookmarkStart w:id="226" w:name="_Toc209799476"/>
      <w:bookmarkEnd w:id="94"/>
      <w:bookmarkEnd w:id="95"/>
      <w:bookmarkEnd w:id="96"/>
      <w:r w:rsidRPr="00AA30D8">
        <w:rPr>
          <w:rFonts w:ascii="Calibri" w:hAnsi="Calibri" w:cs="Calibri"/>
          <w:b/>
          <w:sz w:val="20"/>
        </w:rPr>
        <w:t>Blend component Movements at Terminals (Kittyhawk transaction upload)</w:t>
      </w:r>
      <w:bookmarkEnd w:id="224"/>
    </w:p>
    <w:p w14:paraId="1DF84830" w14:textId="752E9E16" w:rsidR="00FC42E7" w:rsidRPr="00EC3682" w:rsidRDefault="00FC42E7" w:rsidP="00FC42E7">
      <w:pPr>
        <w:pStyle w:val="ListParagraph"/>
        <w:numPr>
          <w:ilvl w:val="0"/>
          <w:numId w:val="4"/>
        </w:numPr>
        <w:jc w:val="left"/>
        <w:rPr>
          <w:rFonts w:ascii="Calibri" w:hAnsi="Calibri" w:cs="Calibri"/>
        </w:rPr>
      </w:pPr>
      <w:r>
        <w:t>This integration shall carry the blend component movements at the terminals from the Kittyhawk transaction upload.</w:t>
      </w:r>
    </w:p>
    <w:p w14:paraId="290F3F58" w14:textId="4E9E07F3" w:rsidR="00FC42E7" w:rsidRPr="00EC3682" w:rsidRDefault="00FC42E7" w:rsidP="00FC42E7">
      <w:pPr>
        <w:pStyle w:val="ListParagraph"/>
        <w:numPr>
          <w:ilvl w:val="0"/>
          <w:numId w:val="4"/>
        </w:numPr>
        <w:jc w:val="left"/>
        <w:rPr>
          <w:rFonts w:ascii="Calibri" w:hAnsi="Calibri" w:cs="Calibri"/>
        </w:rPr>
      </w:pPr>
      <w:r>
        <w:t>Each movement shall be a rack load or a blend in a tank, and shall carry its origin, destination, product, component and gross and net quantities.</w:t>
      </w:r>
    </w:p>
    <w:p w14:paraId="25FDA558" w14:textId="6D2A8297" w:rsidR="00AA30D8" w:rsidRDefault="00FC42E7" w:rsidP="00FC42E7">
      <w:pPr>
        <w:pStyle w:val="ListParagraph"/>
        <w:numPr>
          <w:ilvl w:val="0"/>
          <w:numId w:val="4"/>
        </w:numPr>
        <w:jc w:val="left"/>
      </w:pPr>
      <w:r>
        <w:t>The integration shall read the blend component movements of the active North Region terminals of type Terminal-MPC LP.</w:t>
      </w:r>
    </w:p>
    <w:p w14:paraId="1793AF1A" w14:textId="02259777" w:rsidR="00FC42E7" w:rsidRPr="00EC3682" w:rsidRDefault="00FC42E7" w:rsidP="00FC42E7">
      <w:pPr>
        <w:pStyle w:val="ListParagraph"/>
        <w:numPr>
          <w:ilvl w:val="0"/>
          <w:numId w:val="4"/>
        </w:numPr>
        <w:jc w:val="left"/>
        <w:rPr>
          <w:rFonts w:ascii="Calibri" w:hAnsi="Calibri" w:cs="Calibri"/>
        </w:rPr>
      </w:pPr>
      <w:r>
        <w:t>This integration shall read the transaction upload every day at a specified time and turn the Kittyhawk codes into Profisee codes.</w:t>
      </w:r>
    </w:p>
    <w:p w14:paraId="13998905" w14:textId="6689FB34" w:rsidR="00FC42E7" w:rsidRPr="00EC3682" w:rsidRDefault="00FC42E7" w:rsidP="00FC42E7">
      <w:pPr>
        <w:pStyle w:val="ListParagraph"/>
        <w:numPr>
          <w:ilvl w:val="0"/>
          <w:numId w:val="4"/>
        </w:numPr>
        <w:jc w:val="left"/>
        <w:rPr>
          <w:rFonts w:ascii="Calibri" w:hAnsi="Calibri" w:cs="Calibri"/>
        </w:rPr>
      </w:pPr>
      <w:r>
        <w:t>The integration shall save the data in the VCB table of the IQDM database.</w:t>
      </w:r>
    </w:p>
    <w:p w14:paraId="0EBCE6CE" w14:textId="2B8DD19A" w:rsidR="00AA30D8" w:rsidRDefault="00FC42E7" w:rsidP="00FC42E7">
      <w:pPr>
        <w:pStyle w:val="ListParagraph"/>
        <w:numPr>
          <w:ilvl w:val="0"/>
          <w:numId w:val="4"/>
        </w:numPr>
        <w:jc w:val="left"/>
      </w:pPr>
      <w:r>
        <w:t>The dashboards shall read the data from the VCB table of the IQDM database.</w:t>
      </w:r>
    </w:p>
    <w:p w14:paraId="6E1C3BD5" w14:textId="77777777" w:rsidR="006958CC" w:rsidRPr="006958CC" w:rsidRDefault="006958CC" w:rsidP="006958CC">
      <w:pPr>
        <w:pStyle w:val="Heading5"/>
        <w:rPr>
          <w:rFonts w:ascii="Calibri" w:hAnsi="Calibri" w:cs="Calibri"/>
          <w:sz w:val="20"/>
        </w:rPr>
      </w:pPr>
      <w:r w:rsidRPr="006958CC">
        <w:rPr>
          <w:rFonts w:ascii="Calibri" w:hAnsi="Calibri" w:cs="Calibri"/>
          <w:sz w:val="20"/>
        </w:rPr>
        <w:t>High Level Technical Design Diagram</w:t>
      </w:r>
    </w:p>
    <w:p w14:paraId="06C20412" w14:textId="420106E2" w:rsidR="00FC42E7" w:rsidRPr="00EC3682" w:rsidRDefault="00FC42E7" w:rsidP="00FC42E7">
      <w:pPr>
        <w:pStyle w:val="ListParagraph"/>
        <w:numPr>
          <w:ilvl w:val="0"/>
          <w:numId w:val="4"/>
        </w:numPr>
        <w:jc w:val="left"/>
        <w:rPr>
          <w:rFonts w:ascii="Calibri" w:hAnsi="Calibri" w:cs="Calibri"/>
        </w:rPr>
      </w:pPr>
      <w:r>
        <w:t>The services shall run in the CIP Transfer domain API, and the durable functions shall run in the function app of the Transfer domain.</w:t>
      </w:r>
    </w:p>
    <w:p w14:paraId="18EB0336" w14:textId="75C0808D" w:rsidR="006958CC" w:rsidRPr="006958CC" w:rsidRDefault="00FC42E7" w:rsidP="00FC42E7">
      <w:pPr>
        <w:keepNext/>
        <w:keepLines/>
        <w:jc w:val="left"/>
        <w:rPr>
          <w:rFonts w:ascii="Calibri" w:hAnsi="Calibri" w:cs="Calibri"/>
        </w:rPr>
      </w:pPr>
      <w:r>
        <w:rPr>
          <w:rFonts w:ascii="Calibri" w:hAnsi="Calibri" w:cs="Calibri"/>
        </w:rPr>
        <w:t>The figure below shows how the blend component movements (each rack load and each blend of a blend component at a terminal) travel from Kittyhawk (transaction upload table) to the IQDM database.</w:t>
      </w:r>
    </w:p>
    <w:p w14:paraId="48365C36" w14:textId="548D8BDC" w:rsidR="006958CC" w:rsidRPr="006958CC" w:rsidRDefault="008F2422" w:rsidP="006958CC">
      <w:pPr>
        <w:keepNext/>
        <w:spacing w:after="40"/>
        <w:jc w:val="center"/>
      </w:pPr>
      <w:r>
        <w:rPr>
          <w:noProof/>
        </w:rPr>
        <w:drawing>
          <wp:inline distT="0" distB="0" distL="0" distR="0" wp14:anchorId="553B564E" wp14:editId="3F9DF45A">
            <wp:extent cx="5943600" cy="2466340"/>
            <wp:effectExtent l="0" t="0" r="0" b="0"/>
            <wp:docPr id="1974315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1544" name=""/>
                    <pic:cNvPicPr/>
                  </pic:nvPicPr>
                  <pic:blipFill>
                    <a:blip r:embed="rId36"/>
                    <a:stretch>
                      <a:fillRect/>
                    </a:stretch>
                  </pic:blipFill>
                  <pic:spPr>
                    <a:xfrm>
                      <a:off x="0" y="0"/>
                      <a:ext cx="5943600" cy="2466340"/>
                    </a:xfrm>
                    <a:prstGeom prst="rect">
                      <a:avLst/>
                    </a:prstGeom>
                  </pic:spPr>
                </pic:pic>
              </a:graphicData>
            </a:graphic>
          </wp:inline>
        </w:drawing>
      </w:r>
    </w:p>
    <w:p w14:paraId="39EAB7EF" w14:textId="1AD7F030" w:rsidR="006958CC" w:rsidRPr="006958CC" w:rsidRDefault="006958CC" w:rsidP="006958CC">
      <w:pPr>
        <w:pStyle w:val="Caption"/>
        <w:rPr>
          <w:rFonts w:ascii="Calibri" w:hAnsi="Calibri" w:cs="Calibri"/>
        </w:rPr>
      </w:pPr>
      <w:bookmarkStart w:id="227" w:name="_Toc242554149"/>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13</w:t>
      </w:r>
      <w:r w:rsidRPr="006958CC">
        <w:rPr>
          <w:rFonts w:ascii="Calibri" w:hAnsi="Calibri" w:cs="Calibri"/>
        </w:rPr>
        <w:fldChar w:fldCharType="end"/>
      </w:r>
      <w:r w:rsidRPr="006958CC">
        <w:rPr>
          <w:rFonts w:ascii="Calibri" w:hAnsi="Calibri" w:cs="Calibri"/>
        </w:rPr>
        <w:t>: Blend Component Movement Integration High Level Technical Design Diagram (CIP Approach)</w:t>
      </w:r>
      <w:bookmarkEnd w:id="227"/>
    </w:p>
    <w:p w14:paraId="751E3E77" w14:textId="7845B6A3" w:rsidR="00FC42E7" w:rsidRPr="00EC3682" w:rsidRDefault="00FC42E7" w:rsidP="00FC42E7">
      <w:pPr>
        <w:pStyle w:val="ListParagraph"/>
        <w:numPr>
          <w:ilvl w:val="0"/>
          <w:numId w:val="4"/>
        </w:numPr>
        <w:jc w:val="left"/>
        <w:rPr>
          <w:rFonts w:ascii="Calibri" w:hAnsi="Calibri" w:cs="Calibri"/>
        </w:rPr>
      </w:pPr>
      <w:r>
        <w:t xml:space="preserve">The figure names the components by their role; their full names shall start with Blend Component Movement, as in Table </w:t>
      </w:r>
      <w:r>
        <w:fldChar w:fldCharType="begin"/>
      </w:r>
      <w:r>
        <w:instrText xml:space="preserve"> REF _Ref917260932 \h \* MERGEFORMAT </w:instrText>
      </w:r>
      <w:r>
        <w:fldChar w:fldCharType="separate"/>
      </w:r>
      <w:r w:rsidRPr="00FC42E7">
        <w:rPr>
          <w:noProof/>
          <w:color w:val="0563C1"/>
          <w:u w:val="single"/>
        </w:rPr>
        <w:t>2-27</w:t>
      </w:r>
      <w:r>
        <w:fldChar w:fldCharType="end"/>
      </w:r>
      <w:r>
        <w:t>, for example Blend Component Movement Request Service.</w:t>
      </w:r>
    </w:p>
    <w:p w14:paraId="1927AEB1" w14:textId="0222ACDD" w:rsidR="00FC42E7" w:rsidRPr="00EC3682" w:rsidRDefault="00FC42E7" w:rsidP="00FC42E7">
      <w:pPr>
        <w:pStyle w:val="ListParagraph"/>
        <w:numPr>
          <w:ilvl w:val="0"/>
          <w:numId w:val="4"/>
        </w:numPr>
        <w:jc w:val="left"/>
        <w:rPr>
          <w:rFonts w:ascii="Calibri" w:hAnsi="Calibri" w:cs="Calibri"/>
        </w:rPr>
      </w:pPr>
      <w:r>
        <w:t xml:space="preserve">The figure follows the common integration pattern (section </w:t>
      </w:r>
      <w:r>
        <w:fldChar w:fldCharType="begin"/>
      </w:r>
      <w:r>
        <w:instrText xml:space="preserve"> REF _Ref917260909 \w \h \* MERGEFORMAT </w:instrText>
      </w:r>
      <w:r>
        <w:fldChar w:fldCharType="separate"/>
      </w:r>
      <w:r w:rsidRPr="00FC42E7">
        <w:rPr>
          <w:color w:val="0563C1"/>
          <w:u w:val="single"/>
        </w:rPr>
        <w:t>2.3.1</w:t>
      </w:r>
      <w:r>
        <w:fldChar w:fldCharType="end"/>
      </w:r>
      <w:r>
        <w:t xml:space="preserve">), and its steps are numbered as in section </w:t>
      </w:r>
      <w:r>
        <w:fldChar w:fldCharType="begin"/>
      </w:r>
      <w:r>
        <w:instrText xml:space="preserve"> REF _Ref917260947 \w \h \* MERGEFORMAT </w:instrText>
      </w:r>
      <w:r>
        <w:fldChar w:fldCharType="separate"/>
      </w:r>
      <w:r w:rsidRPr="00FC42E7">
        <w:rPr>
          <w:color w:val="0563C1"/>
          <w:u w:val="single"/>
        </w:rPr>
        <w:t>2.3.3.1.1</w:t>
      </w:r>
      <w:r>
        <w:fldChar w:fldCharType="end"/>
      </w:r>
      <w:r>
        <w:t>.</w:t>
      </w:r>
    </w:p>
    <w:p w14:paraId="435BB1F9" w14:textId="01C6F8B2" w:rsidR="00FC42E7" w:rsidRPr="00EC3682" w:rsidRDefault="00FC42E7" w:rsidP="00FC42E7">
      <w:pPr>
        <w:keepNext/>
        <w:jc w:val="left"/>
        <w:rPr>
          <w:rFonts w:ascii="Calibri" w:hAnsi="Calibri" w:cs="Calibri"/>
        </w:rPr>
      </w:pPr>
      <w:r w:rsidRPr="00FC42E7">
        <w:rPr>
          <w:rFonts w:ascii="Calibri" w:hAnsi="Calibri" w:cs="Calibri"/>
        </w:rPr>
        <w:t>For the movements, steps 8.1 and 8.2 shall differ from the common integration pattern:</w:t>
      </w:r>
    </w:p>
    <w:p w14:paraId="2C418B97" w14:textId="0E622B35" w:rsidR="00FC42E7" w:rsidRPr="00EC3682" w:rsidRDefault="00FC42E7" w:rsidP="00FC42E7">
      <w:pPr>
        <w:pStyle w:val="ListParagraph"/>
        <w:numPr>
          <w:ilvl w:val="0"/>
          <w:numId w:val="4"/>
        </w:numPr>
        <w:jc w:val="left"/>
        <w:rPr>
          <w:rFonts w:ascii="Calibri" w:hAnsi="Calibri" w:cs="Calibri"/>
        </w:rPr>
      </w:pPr>
      <w:r>
        <w:t>In steps 8.1 and 8.2, the Response Service shall send the Blend Component Movement Request for Kittyhawk.</w:t>
      </w:r>
    </w:p>
    <w:p w14:paraId="5E17D47B" w14:textId="4010EF36" w:rsidR="00FC42E7" w:rsidRPr="00EC3682" w:rsidRDefault="00FC42E7" w:rsidP="00FC42E7">
      <w:pPr>
        <w:pStyle w:val="ListParagraph"/>
        <w:numPr>
          <w:ilvl w:val="0"/>
          <w:numId w:val="4"/>
        </w:numPr>
        <w:jc w:val="left"/>
        <w:rPr>
          <w:rFonts w:ascii="Calibri" w:hAnsi="Calibri" w:cs="Calibri"/>
        </w:rPr>
      </w:pPr>
      <w:r>
        <w:t>The Response Service shall read the transaction upload rows of the period through the Kittyhawk OData service.</w:t>
      </w:r>
    </w:p>
    <w:p w14:paraId="414D6272" w14:textId="3B8DB6AC" w:rsidR="006958CC" w:rsidRPr="00FC42E7" w:rsidRDefault="00FC42E7" w:rsidP="00FC42E7">
      <w:pPr>
        <w:pStyle w:val="ListParagraph"/>
        <w:numPr>
          <w:ilvl w:val="0"/>
          <w:numId w:val="4"/>
        </w:numPr>
        <w:jc w:val="left"/>
      </w:pPr>
      <w:r w:rsidRPr="00FC42E7">
        <w:t xml:space="preserve">The logging, notification and Azure services shall be those described in section </w:t>
      </w:r>
      <w:r>
        <w:fldChar w:fldCharType="begin"/>
      </w:r>
      <w:r>
        <w:instrText xml:space="preserve"> REF _Ref917260947 \w \h \* MERGEFORMAT </w:instrText>
      </w:r>
      <w:r>
        <w:fldChar w:fldCharType="separate"/>
      </w:r>
      <w:r w:rsidRPr="00FC42E7">
        <w:rPr>
          <w:color w:val="0563C1"/>
          <w:u w:val="single"/>
        </w:rPr>
        <w:t>2.3.3.1.1</w:t>
      </w:r>
      <w:r>
        <w:fldChar w:fldCharType="end"/>
      </w:r>
      <w:r w:rsidRPr="00FC42E7">
        <w:t>.</w:t>
      </w:r>
    </w:p>
    <w:p w14:paraId="73F712AC" w14:textId="6B48E3B7" w:rsidR="006958CC" w:rsidRPr="006958CC" w:rsidRDefault="006958CC" w:rsidP="006958CC">
      <w:pPr>
        <w:pStyle w:val="Heading5"/>
        <w:rPr>
          <w:rFonts w:ascii="Calibri" w:hAnsi="Calibri" w:cs="Calibri"/>
          <w:sz w:val="20"/>
        </w:rPr>
      </w:pPr>
      <w:r w:rsidRPr="006958CC">
        <w:rPr>
          <w:rFonts w:ascii="Calibri" w:hAnsi="Calibri" w:cs="Calibri"/>
          <w:sz w:val="20"/>
        </w:rPr>
        <w:t>Detailed Technical Design Diagram</w:t>
      </w:r>
    </w:p>
    <w:p w14:paraId="69616DE8" w14:textId="58DD7ADF" w:rsidR="006958CC" w:rsidRPr="006958CC" w:rsidRDefault="00FC42E7" w:rsidP="00FC42E7">
      <w:pPr>
        <w:keepNext/>
        <w:keepLines/>
        <w:jc w:val="left"/>
        <w:rPr>
          <w:rFonts w:ascii="Calibri" w:hAnsi="Calibri" w:cs="Calibri"/>
        </w:rPr>
      </w:pPr>
      <w:r>
        <w:rPr>
          <w:rFonts w:ascii="Calibri" w:hAnsi="Calibri" w:cs="Calibri"/>
        </w:rPr>
        <w:t>The figure below shows the activities inside the two durable functions of the Blend Component Movement Integration.</w:t>
      </w:r>
    </w:p>
    <w:p w14:paraId="716FCDCD" w14:textId="797684A8" w:rsidR="006958CC" w:rsidRPr="006958CC" w:rsidRDefault="008F2422" w:rsidP="006958CC">
      <w:pPr>
        <w:keepNext/>
        <w:spacing w:after="40"/>
        <w:jc w:val="center"/>
      </w:pPr>
      <w:r>
        <w:rPr>
          <w:noProof/>
        </w:rPr>
        <w:drawing>
          <wp:inline distT="0" distB="0" distL="0" distR="0" wp14:anchorId="52CC12B2" wp14:editId="3D43AF60">
            <wp:extent cx="5943600" cy="2173605"/>
            <wp:effectExtent l="0" t="0" r="0" b="0"/>
            <wp:docPr id="10751265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26536" name=""/>
                    <pic:cNvPicPr/>
                  </pic:nvPicPr>
                  <pic:blipFill>
                    <a:blip r:embed="rId37"/>
                    <a:stretch>
                      <a:fillRect/>
                    </a:stretch>
                  </pic:blipFill>
                  <pic:spPr>
                    <a:xfrm>
                      <a:off x="0" y="0"/>
                      <a:ext cx="5943600" cy="2173605"/>
                    </a:xfrm>
                    <a:prstGeom prst="rect">
                      <a:avLst/>
                    </a:prstGeom>
                  </pic:spPr>
                </pic:pic>
              </a:graphicData>
            </a:graphic>
          </wp:inline>
        </w:drawing>
      </w:r>
    </w:p>
    <w:p w14:paraId="04FA791A" w14:textId="3ABE0508" w:rsidR="006958CC" w:rsidRPr="006958CC" w:rsidRDefault="006958CC" w:rsidP="006958CC">
      <w:pPr>
        <w:pStyle w:val="Caption"/>
        <w:rPr>
          <w:rFonts w:ascii="Calibri" w:hAnsi="Calibri" w:cs="Calibri"/>
        </w:rPr>
      </w:pPr>
      <w:bookmarkStart w:id="228" w:name="_Toc242554150"/>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14</w:t>
      </w:r>
      <w:r w:rsidRPr="006958CC">
        <w:rPr>
          <w:rFonts w:ascii="Calibri" w:hAnsi="Calibri" w:cs="Calibri"/>
        </w:rPr>
        <w:fldChar w:fldCharType="end"/>
      </w:r>
      <w:r w:rsidRPr="006958CC">
        <w:rPr>
          <w:rFonts w:ascii="Calibri" w:hAnsi="Calibri" w:cs="Calibri"/>
        </w:rPr>
        <w:t>: Blend Component Movement Integration Detailed Technical Design Diagram</w:t>
      </w:r>
      <w:bookmarkEnd w:id="228"/>
    </w:p>
    <w:p w14:paraId="6649570E" w14:textId="77777777" w:rsidR="00FC42E7" w:rsidRPr="00EC3682" w:rsidRDefault="00FC42E7" w:rsidP="00FC42E7">
      <w:pPr>
        <w:pStyle w:val="ListParagraph"/>
        <w:numPr>
          <w:ilvl w:val="0"/>
          <w:numId w:val="4"/>
        </w:numPr>
        <w:jc w:val="left"/>
        <w:rPr>
          <w:rFonts w:ascii="Calibri" w:hAnsi="Calibri" w:cs="Calibri"/>
        </w:rPr>
      </w:pPr>
      <w:r>
        <w:t>The flow starts from the Trigger Request to Extract Blend Component Movements (IsImport = false).</w:t>
      </w:r>
    </w:p>
    <w:p w14:paraId="0803D01F" w14:textId="77777777" w:rsidR="00FC42E7" w:rsidRPr="00EC3682" w:rsidRDefault="00FC42E7" w:rsidP="00FC42E7">
      <w:pPr>
        <w:pStyle w:val="ListParagraph"/>
        <w:numPr>
          <w:ilvl w:val="0"/>
          <w:numId w:val="4"/>
        </w:numPr>
        <w:jc w:val="left"/>
        <w:rPr>
          <w:rFonts w:ascii="Calibri" w:hAnsi="Calibri" w:cs="Calibri"/>
        </w:rPr>
      </w:pPr>
      <w:r>
        <w:t>Steps 4 to 11 are drawn in more detail; the other steps are those of the high-level figure above.</w:t>
      </w:r>
    </w:p>
    <w:p w14:paraId="6AFBF74D" w14:textId="42ED7F8A" w:rsidR="006958CC" w:rsidRPr="00FC42E7" w:rsidRDefault="00873A53" w:rsidP="00FC42E7">
      <w:pPr>
        <w:pStyle w:val="ListParagraph"/>
        <w:numPr>
          <w:ilvl w:val="0"/>
          <w:numId w:val="4"/>
        </w:numPr>
        <w:jc w:val="left"/>
      </w:pPr>
      <w:r w:rsidRPr="00FC42E7">
        <w:t xml:space="preserve">The activities inside the durable functions shall be those of the common integration pattern (section </w:t>
      </w:r>
      <w:r w:rsidR="00FC42E7">
        <w:fldChar w:fldCharType="begin"/>
      </w:r>
      <w:r w:rsidR="00FC42E7">
        <w:instrText xml:space="preserve"> REF _Ref917260914 \w \h \* MERGEFORMAT </w:instrText>
      </w:r>
      <w:r w:rsidR="00FC42E7">
        <w:fldChar w:fldCharType="separate"/>
      </w:r>
      <w:r w:rsidR="00FC42E7" w:rsidRPr="00FC42E7">
        <w:rPr>
          <w:color w:val="0563C1"/>
          <w:u w:val="single"/>
        </w:rPr>
        <w:t>2.3.1.2.1</w:t>
      </w:r>
      <w:r w:rsidR="00FC42E7">
        <w:fldChar w:fldCharType="end"/>
      </w:r>
      <w:r w:rsidRPr="00FC42E7">
        <w:t>), with the movements read from Kittyhawk (transaction upload table) in steps 8.1 and 8.2.</w:t>
      </w:r>
    </w:p>
    <w:p w14:paraId="79EA8B58" w14:textId="38F84D7C" w:rsidR="0081216E" w:rsidRDefault="00AA30D8" w:rsidP="00AA30D8">
      <w:pPr>
        <w:pStyle w:val="Heading5"/>
        <w:rPr>
          <w:rFonts w:ascii="Calibri" w:hAnsi="Calibri" w:cs="Calibri"/>
          <w:sz w:val="20"/>
        </w:rPr>
      </w:pPr>
      <w:r w:rsidRPr="00AA30D8">
        <w:rPr>
          <w:rFonts w:ascii="Calibri" w:hAnsi="Calibri" w:cs="Calibri"/>
          <w:sz w:val="20"/>
        </w:rPr>
        <w:t>Integration Specifics</w:t>
      </w:r>
    </w:p>
    <w:p w14:paraId="1BBFD030" w14:textId="28305930" w:rsidR="00AA30D8" w:rsidRPr="0081216E" w:rsidRDefault="00FC42E7" w:rsidP="00FC42E7">
      <w:pPr>
        <w:keepNext/>
        <w:jc w:val="left"/>
        <w:rPr>
          <w:rFonts w:ascii="Calibri" w:hAnsi="Calibri" w:cs="Calibri"/>
        </w:rPr>
      </w:pPr>
      <w:r>
        <w:rPr>
          <w:rFonts w:ascii="Calibri" w:hAnsi="Calibri" w:cs="Calibri"/>
        </w:rPr>
        <w:t>The table below gives where the transaction upload is held, how this integration reaches it, which blend components it carries and the functions and services of the integration.</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94"/>
        <w:gridCol w:w="2877"/>
        <w:gridCol w:w="4889"/>
      </w:tblGrid>
      <w:tr w:rsidR="00AA30D8" w:rsidRPr="00C63A98" w14:paraId="2C173668" w14:textId="77777777" w:rsidTr="00520418">
        <w:trPr>
          <w:cantSplit/>
          <w:tblHeader/>
        </w:trPr>
        <w:tc>
          <w:tcPr>
            <w:tcW w:w="1594" w:type="dxa"/>
            <w:shd w:val="clear" w:color="auto" w:fill="2F5597"/>
          </w:tcPr>
          <w:p w14:paraId="1560DB99" w14:textId="77777777" w:rsidR="00AA30D8" w:rsidRPr="00C63A98" w:rsidRDefault="00AA30D8" w:rsidP="006958CC">
            <w:pPr>
              <w:pStyle w:val="Tablehead1"/>
              <w:rPr>
                <w:rFonts w:ascii="Calibri" w:hAnsi="Calibri" w:cs="Calibri"/>
                <w:sz w:val="20"/>
              </w:rPr>
            </w:pPr>
            <w:r w:rsidRPr="00C63A98">
              <w:rPr>
                <w:rFonts w:ascii="Calibri" w:hAnsi="Calibri" w:cs="Calibri"/>
                <w:sz w:val="20"/>
              </w:rPr>
              <w:t>Component</w:t>
            </w:r>
          </w:p>
        </w:tc>
        <w:tc>
          <w:tcPr>
            <w:tcW w:w="2877" w:type="dxa"/>
            <w:shd w:val="clear" w:color="auto" w:fill="2F5597"/>
          </w:tcPr>
          <w:p w14:paraId="3FD533A8" w14:textId="113F315E" w:rsidR="00AA30D8" w:rsidRPr="00C63A98" w:rsidRDefault="00CE45AF" w:rsidP="006958CC">
            <w:pPr>
              <w:pStyle w:val="Tablehead1"/>
              <w:rPr>
                <w:rFonts w:ascii="Calibri" w:hAnsi="Calibri" w:cs="Calibri"/>
                <w:sz w:val="20"/>
              </w:rPr>
            </w:pPr>
            <w:r>
              <w:rPr>
                <w:rFonts w:ascii="Calibri" w:hAnsi="Calibri" w:cs="Calibri"/>
                <w:sz w:val="20"/>
              </w:rPr>
              <w:t>Name in This Integration</w:t>
            </w:r>
          </w:p>
        </w:tc>
        <w:tc>
          <w:tcPr>
            <w:tcW w:w="4889" w:type="dxa"/>
            <w:shd w:val="clear" w:color="auto" w:fill="2F5597"/>
          </w:tcPr>
          <w:p w14:paraId="712B7AE9" w14:textId="319F65D8" w:rsidR="00AA30D8" w:rsidRPr="00C63A98" w:rsidRDefault="00CE45AF" w:rsidP="006958CC">
            <w:pPr>
              <w:pStyle w:val="Tablehead1"/>
              <w:rPr>
                <w:rFonts w:ascii="Calibri" w:hAnsi="Calibri" w:cs="Calibri"/>
                <w:sz w:val="20"/>
              </w:rPr>
            </w:pPr>
            <w:r>
              <w:rPr>
                <w:rFonts w:ascii="Calibri" w:hAnsi="Calibri" w:cs="Calibri"/>
                <w:sz w:val="20"/>
              </w:rPr>
              <w:t>Specific to This Integration</w:t>
            </w:r>
          </w:p>
        </w:tc>
      </w:tr>
      <w:tr w:rsidR="00AA30D8" w:rsidRPr="00C63A98" w14:paraId="21AC4154" w14:textId="77777777" w:rsidTr="00520418">
        <w:trPr>
          <w:cantSplit/>
        </w:trPr>
        <w:tc>
          <w:tcPr>
            <w:tcW w:w="1594" w:type="dxa"/>
          </w:tcPr>
          <w:p w14:paraId="118EEDB4" w14:textId="77777777" w:rsidR="00AA30D8" w:rsidRPr="00C63A98" w:rsidRDefault="00AA30D8" w:rsidP="006958CC">
            <w:pPr>
              <w:pStyle w:val="Tabletext"/>
              <w:keepNext/>
              <w:rPr>
                <w:rFonts w:ascii="Calibri" w:hAnsi="Calibri" w:cs="Calibri"/>
                <w:sz w:val="20"/>
              </w:rPr>
            </w:pPr>
            <w:r w:rsidRPr="00C63A98">
              <w:rPr>
                <w:rFonts w:ascii="Calibri" w:hAnsi="Calibri" w:cs="Calibri"/>
                <w:sz w:val="20"/>
              </w:rPr>
              <w:t>Data source</w:t>
            </w:r>
          </w:p>
        </w:tc>
        <w:tc>
          <w:tcPr>
            <w:tcW w:w="2877" w:type="dxa"/>
          </w:tcPr>
          <w:p w14:paraId="3341D587" w14:textId="77777777" w:rsidR="00AA30D8" w:rsidRPr="00C63A98" w:rsidRDefault="00AA30D8" w:rsidP="006958CC">
            <w:pPr>
              <w:pStyle w:val="Tabletext"/>
              <w:keepNext/>
              <w:rPr>
                <w:rFonts w:ascii="Calibri" w:hAnsi="Calibri" w:cs="Calibri"/>
                <w:sz w:val="20"/>
              </w:rPr>
            </w:pPr>
            <w:r w:rsidRPr="00C63A98">
              <w:rPr>
                <w:rFonts w:ascii="Calibri" w:hAnsi="Calibri" w:cs="Calibri"/>
                <w:sz w:val="20"/>
              </w:rPr>
              <w:t>Kittyhawk transaction upload (TransactionUpload)</w:t>
            </w:r>
          </w:p>
        </w:tc>
        <w:tc>
          <w:tcPr>
            <w:tcW w:w="4889" w:type="dxa"/>
          </w:tcPr>
          <w:p w14:paraId="7FA96C4A" w14:textId="5153E7A9" w:rsidR="00AA30D8" w:rsidRPr="00C63A98" w:rsidRDefault="00F80961" w:rsidP="006958CC">
            <w:pPr>
              <w:pStyle w:val="Tabletext"/>
              <w:keepNext/>
              <w:rPr>
                <w:rFonts w:ascii="Calibri" w:hAnsi="Calibri" w:cs="Calibri"/>
                <w:sz w:val="20"/>
              </w:rPr>
            </w:pPr>
            <w:r>
              <w:rPr>
                <w:rFonts w:ascii="Calibri" w:hAnsi="Calibri" w:cs="Calibri"/>
                <w:sz w:val="20"/>
              </w:rPr>
              <w:t xml:space="preserve">The transaction upload shall be the TransactionUpload object of Kittyhawk. </w:t>
            </w:r>
            <w:r w:rsidR="004812A6">
              <w:rPr>
                <w:rFonts w:ascii="Calibri" w:hAnsi="Calibri" w:cs="Calibri"/>
                <w:sz w:val="20"/>
              </w:rPr>
              <w:t xml:space="preserve">It shall hold every attribute of Table </w:t>
            </w:r>
            <w:r w:rsidR="00FC42E7">
              <w:rPr>
                <w:rFonts w:ascii="Calibri" w:hAnsi="Calibri" w:cs="Calibri"/>
                <w:sz w:val="20"/>
              </w:rPr>
              <w:fldChar w:fldCharType="begin"/>
            </w:r>
            <w:r w:rsidR="00FC42E7">
              <w:rPr>
                <w:rFonts w:ascii="Calibri" w:hAnsi="Calibri" w:cs="Calibri"/>
                <w:sz w:val="20"/>
              </w:rPr>
              <w:instrText xml:space="preserve"> REF _Ref917260958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2-30</w:t>
            </w:r>
            <w:r w:rsidR="00FC42E7">
              <w:rPr>
                <w:rFonts w:ascii="Calibri" w:hAnsi="Calibri" w:cs="Calibri"/>
                <w:sz w:val="20"/>
              </w:rPr>
              <w:fldChar w:fldCharType="end"/>
            </w:r>
            <w:r w:rsidR="004812A6">
              <w:rPr>
                <w:rFonts w:ascii="Calibri" w:hAnsi="Calibri" w:cs="Calibri"/>
                <w:sz w:val="20"/>
              </w:rPr>
              <w:t xml:space="preserve"> and shall sit in the Kittyhawk SQL Server database.</w:t>
            </w:r>
            <w:r w:rsidR="0023739F">
              <w:rPr>
                <w:rFonts w:ascii="Calibri" w:hAnsi="Calibri" w:cs="Calibri"/>
                <w:sz w:val="20"/>
              </w:rPr>
              <w:t xml:space="preserve"> For security, the integration shall read it only through the Kittyhawk OData service, never through a direct database connection.</w:t>
            </w:r>
          </w:p>
        </w:tc>
      </w:tr>
      <w:tr w:rsidR="00AA30D8" w:rsidRPr="00C63A98" w14:paraId="54E33B9D" w14:textId="77777777" w:rsidTr="00520418">
        <w:trPr>
          <w:cantSplit/>
        </w:trPr>
        <w:tc>
          <w:tcPr>
            <w:tcW w:w="1594" w:type="dxa"/>
          </w:tcPr>
          <w:p w14:paraId="68530376" w14:textId="77777777" w:rsidR="00AA30D8" w:rsidRPr="00C63A98" w:rsidRDefault="00AA30D8" w:rsidP="006958CC">
            <w:pPr>
              <w:pStyle w:val="Tabletext"/>
              <w:keepNext/>
              <w:rPr>
                <w:rFonts w:ascii="Calibri" w:hAnsi="Calibri" w:cs="Calibri"/>
                <w:sz w:val="20"/>
              </w:rPr>
            </w:pPr>
            <w:r w:rsidRPr="00C63A98">
              <w:rPr>
                <w:rFonts w:ascii="Calibri" w:hAnsi="Calibri" w:cs="Calibri"/>
                <w:sz w:val="20"/>
              </w:rPr>
              <w:t>Access</w:t>
            </w:r>
          </w:p>
        </w:tc>
        <w:tc>
          <w:tcPr>
            <w:tcW w:w="2877" w:type="dxa"/>
          </w:tcPr>
          <w:p w14:paraId="53B8BECD" w14:textId="77777777" w:rsidR="00AA30D8" w:rsidRPr="00C63A98" w:rsidRDefault="00AA30D8" w:rsidP="006958CC">
            <w:pPr>
              <w:pStyle w:val="Tabletext"/>
              <w:keepNext/>
              <w:rPr>
                <w:rFonts w:ascii="Calibri" w:hAnsi="Calibri" w:cs="Calibri"/>
                <w:sz w:val="20"/>
              </w:rPr>
            </w:pPr>
            <w:r w:rsidRPr="00C63A98">
              <w:rPr>
                <w:rFonts w:ascii="Calibri" w:hAnsi="Calibri" w:cs="Calibri"/>
                <w:sz w:val="20"/>
              </w:rPr>
              <w:t>Kittyhawk OData service</w:t>
            </w:r>
          </w:p>
        </w:tc>
        <w:tc>
          <w:tcPr>
            <w:tcW w:w="4889" w:type="dxa"/>
          </w:tcPr>
          <w:p w14:paraId="717C9EC1" w14:textId="38C934A5" w:rsidR="00AA30D8" w:rsidRPr="00C63A98" w:rsidRDefault="004812A6" w:rsidP="006958CC">
            <w:pPr>
              <w:pStyle w:val="Tabletext"/>
              <w:keepNext/>
              <w:rPr>
                <w:rFonts w:ascii="Calibri" w:hAnsi="Calibri" w:cs="Calibri"/>
                <w:sz w:val="20"/>
              </w:rPr>
            </w:pPr>
            <w:r>
              <w:rPr>
                <w:rFonts w:ascii="Calibri" w:hAnsi="Calibri" w:cs="Calibri"/>
                <w:sz w:val="20"/>
              </w:rPr>
              <w:t>Shall be read through the same Kittyhawk OData connection that the IQDM integrations use.</w:t>
            </w:r>
          </w:p>
        </w:tc>
      </w:tr>
      <w:tr w:rsidR="00F80961" w:rsidRPr="00C63A98" w14:paraId="3989D02C" w14:textId="77777777" w:rsidTr="00520418">
        <w:trPr>
          <w:cantSplit/>
        </w:trPr>
        <w:tc>
          <w:tcPr>
            <w:tcW w:w="1594" w:type="dxa"/>
          </w:tcPr>
          <w:p w14:paraId="28DA3996" w14:textId="7704062B" w:rsidR="00F80961" w:rsidRPr="00C63A98" w:rsidRDefault="00F80961" w:rsidP="000A106D">
            <w:pPr>
              <w:pStyle w:val="Tabletext"/>
              <w:rPr>
                <w:rFonts w:ascii="Calibri" w:hAnsi="Calibri" w:cs="Calibri"/>
                <w:sz w:val="20"/>
              </w:rPr>
            </w:pPr>
            <w:r>
              <w:rPr>
                <w:rFonts w:ascii="Calibri" w:hAnsi="Calibri" w:cs="Calibri"/>
                <w:sz w:val="20"/>
              </w:rPr>
              <w:t>Read period</w:t>
            </w:r>
          </w:p>
        </w:tc>
        <w:tc>
          <w:tcPr>
            <w:tcW w:w="2877" w:type="dxa"/>
          </w:tcPr>
          <w:p w14:paraId="56E004D6" w14:textId="706D85D2" w:rsidR="00F80961" w:rsidRPr="00C63A98" w:rsidRDefault="00F80961" w:rsidP="000A106D">
            <w:pPr>
              <w:pStyle w:val="Tabletext"/>
              <w:rPr>
                <w:rFonts w:ascii="Calibri" w:hAnsi="Calibri" w:cs="Calibri"/>
                <w:sz w:val="20"/>
              </w:rPr>
            </w:pPr>
            <w:r>
              <w:rPr>
                <w:rFonts w:ascii="Calibri" w:hAnsi="Calibri" w:cs="Calibri"/>
                <w:sz w:val="20"/>
              </w:rPr>
              <w:t>Creation time of the transaction upload row</w:t>
            </w:r>
          </w:p>
        </w:tc>
        <w:tc>
          <w:tcPr>
            <w:tcW w:w="4889" w:type="dxa"/>
          </w:tcPr>
          <w:p w14:paraId="6B265B4F" w14:textId="69FBCDFB" w:rsidR="00F80961" w:rsidRDefault="006B25DD" w:rsidP="000A106D">
            <w:pPr>
              <w:pStyle w:val="Tabletext"/>
              <w:rPr>
                <w:rFonts w:ascii="Calibri" w:hAnsi="Calibri" w:cs="Calibri"/>
                <w:sz w:val="20"/>
              </w:rPr>
            </w:pPr>
            <w:r>
              <w:rPr>
                <w:rFonts w:ascii="Calibri" w:hAnsi="Calibri" w:cs="Calibri"/>
                <w:sz w:val="20"/>
              </w:rPr>
              <w:t>Each scheduled run shall read the rows created on the previous day.</w:t>
            </w:r>
            <w:r w:rsidR="0023739F">
              <w:rPr>
                <w:rFonts w:ascii="Calibri" w:hAnsi="Calibri" w:cs="Calibri"/>
                <w:sz w:val="20"/>
              </w:rPr>
              <w:t xml:space="preserve"> The read shall select the rows by the time each row was created in Kittyhawk, from StartDate up to EndDate. The read shall not select rows by the transfer start or end time alone. </w:t>
            </w:r>
            <w:r>
              <w:rPr>
                <w:rFonts w:ascii="Calibri" w:hAnsi="Calibri" w:cs="Calibri"/>
                <w:sz w:val="20"/>
              </w:rPr>
              <w:t xml:space="preserve">Only the rows in which the blend component went into another product shall be kept: a Load with build type S - Sales or a Non-Movement with build type P - Processing. The rows of the terminal and blend component combinations on the PIAF flow list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Pr>
                <w:rFonts w:ascii="Calibri" w:hAnsi="Calibri" w:cs="Calibri"/>
                <w:sz w:val="20"/>
              </w:rPr>
              <w:t>) shall be left out.</w:t>
            </w:r>
          </w:p>
        </w:tc>
      </w:tr>
      <w:tr w:rsidR="00AA30D8" w:rsidRPr="00C63A98" w14:paraId="164A3106" w14:textId="77777777" w:rsidTr="00520418">
        <w:trPr>
          <w:cantSplit/>
        </w:trPr>
        <w:tc>
          <w:tcPr>
            <w:tcW w:w="1594" w:type="dxa"/>
          </w:tcPr>
          <w:p w14:paraId="2C72C649" w14:textId="77777777" w:rsidR="00AA30D8" w:rsidRPr="00C63A98" w:rsidRDefault="00AA30D8" w:rsidP="000A106D">
            <w:pPr>
              <w:pStyle w:val="Tabletext"/>
              <w:rPr>
                <w:rFonts w:ascii="Calibri" w:hAnsi="Calibri" w:cs="Calibri"/>
                <w:sz w:val="20"/>
              </w:rPr>
            </w:pPr>
            <w:r w:rsidRPr="00C63A98">
              <w:rPr>
                <w:rFonts w:ascii="Calibri" w:hAnsi="Calibri" w:cs="Calibri"/>
                <w:sz w:val="20"/>
              </w:rPr>
              <w:t>Row identifier</w:t>
            </w:r>
          </w:p>
        </w:tc>
        <w:tc>
          <w:tcPr>
            <w:tcW w:w="2877" w:type="dxa"/>
          </w:tcPr>
          <w:p w14:paraId="4A2DA69A" w14:textId="77777777" w:rsidR="00AA30D8" w:rsidRPr="00C63A98" w:rsidRDefault="00AA30D8" w:rsidP="000A106D">
            <w:pPr>
              <w:pStyle w:val="Tabletext"/>
              <w:rPr>
                <w:rFonts w:ascii="Calibri" w:hAnsi="Calibri" w:cs="Calibri"/>
                <w:sz w:val="20"/>
              </w:rPr>
            </w:pPr>
            <w:r w:rsidRPr="00C63A98">
              <w:rPr>
                <w:rFonts w:ascii="Calibri" w:hAnsi="Calibri" w:cs="Calibri"/>
                <w:sz w:val="20"/>
              </w:rPr>
              <w:t>ID of each transaction upload row</w:t>
            </w:r>
          </w:p>
        </w:tc>
        <w:tc>
          <w:tcPr>
            <w:tcW w:w="4889" w:type="dxa"/>
          </w:tcPr>
          <w:p w14:paraId="545D31BE" w14:textId="20CCFA27" w:rsidR="00AA30D8" w:rsidRPr="00C63A98" w:rsidRDefault="00140DC0" w:rsidP="000A106D">
            <w:pPr>
              <w:pStyle w:val="Tabletext"/>
              <w:rPr>
                <w:rFonts w:ascii="Calibri" w:hAnsi="Calibri" w:cs="Calibri"/>
                <w:sz w:val="20"/>
              </w:rPr>
            </w:pPr>
            <w:r>
              <w:rPr>
                <w:rFonts w:ascii="Calibri" w:hAnsi="Calibri" w:cs="Calibri"/>
                <w:sz w:val="20"/>
              </w:rPr>
              <w:t>Shall let the integration tell a row it has read before from a new row.</w:t>
            </w:r>
          </w:p>
        </w:tc>
      </w:tr>
      <w:tr w:rsidR="00520418" w:rsidRPr="00C63A98" w14:paraId="02120DC3" w14:textId="77777777" w:rsidTr="00520418">
        <w:trPr>
          <w:cantSplit/>
        </w:trPr>
        <w:tc>
          <w:tcPr>
            <w:tcW w:w="1594" w:type="dxa"/>
          </w:tcPr>
          <w:p w14:paraId="2CE319DC" w14:textId="70FA1561" w:rsidR="00520418" w:rsidRPr="00C63A98" w:rsidRDefault="00520418" w:rsidP="000A106D">
            <w:pPr>
              <w:pStyle w:val="Tabletext"/>
              <w:rPr>
                <w:rFonts w:ascii="Calibri" w:hAnsi="Calibri" w:cs="Calibri"/>
                <w:sz w:val="20"/>
              </w:rPr>
            </w:pPr>
            <w:r>
              <w:rPr>
                <w:rFonts w:ascii="Calibri" w:hAnsi="Calibri" w:cs="Calibri"/>
                <w:sz w:val="20"/>
              </w:rPr>
              <w:t>Saved row</w:t>
            </w:r>
          </w:p>
        </w:tc>
        <w:tc>
          <w:tcPr>
            <w:tcW w:w="2877" w:type="dxa"/>
          </w:tcPr>
          <w:p w14:paraId="1F63E21E" w14:textId="45131FCD" w:rsidR="00520418" w:rsidRPr="00C63A98" w:rsidRDefault="00520418" w:rsidP="000A106D">
            <w:pPr>
              <w:pStyle w:val="Tabletext"/>
              <w:rPr>
                <w:rFonts w:ascii="Calibri" w:hAnsi="Calibri" w:cs="Calibri"/>
                <w:sz w:val="20"/>
              </w:rPr>
            </w:pPr>
            <w:r>
              <w:rPr>
                <w:rFonts w:ascii="Calibri" w:hAnsi="Calibri" w:cs="Calibri"/>
                <w:sz w:val="20"/>
              </w:rPr>
              <w:t>One row per transaction upload row</w:t>
            </w:r>
          </w:p>
        </w:tc>
        <w:tc>
          <w:tcPr>
            <w:tcW w:w="4889" w:type="dxa"/>
          </w:tcPr>
          <w:p w14:paraId="55E66087" w14:textId="14BD8A47" w:rsidR="00520418" w:rsidRDefault="00873A53" w:rsidP="000A106D">
            <w:pPr>
              <w:pStyle w:val="Tabletext"/>
              <w:rPr>
                <w:rFonts w:ascii="Calibri" w:hAnsi="Calibri" w:cs="Calibri"/>
                <w:sz w:val="20"/>
              </w:rPr>
            </w:pPr>
            <w:r>
              <w:rPr>
                <w:rFonts w:ascii="Calibri" w:hAnsi="Calibri" w:cs="Calibri"/>
                <w:sz w:val="20"/>
              </w:rPr>
              <w:t xml:space="preserve">The composite key of the response model shall be TransactionUploadID, </w:t>
            </w:r>
            <w:r w:rsidR="004812A6">
              <w:rPr>
                <w:rFonts w:ascii="Calibri" w:hAnsi="Calibri" w:cs="Calibri"/>
                <w:sz w:val="20"/>
              </w:rPr>
              <w:t>so only rows with a new TransactionUploadID shall be saved.</w:t>
            </w:r>
            <w:r w:rsidR="00636937">
              <w:rPr>
                <w:rFonts w:ascii="Calibri" w:hAnsi="Calibri" w:cs="Calibri"/>
                <w:sz w:val="20"/>
              </w:rPr>
              <w:t xml:space="preserve"> </w:t>
            </w:r>
            <w:r>
              <w:rPr>
                <w:rFonts w:ascii="Calibri" w:hAnsi="Calibri" w:cs="Calibri"/>
                <w:sz w:val="20"/>
              </w:rPr>
              <w:t xml:space="preserve">Duplicate rows within one response shall be left out (section </w:t>
            </w:r>
            <w:r w:rsidR="00FC42E7">
              <w:rPr>
                <w:rFonts w:ascii="Calibri" w:hAnsi="Calibri" w:cs="Calibri"/>
                <w:sz w:val="20"/>
              </w:rPr>
              <w:fldChar w:fldCharType="begin"/>
            </w:r>
            <w:r w:rsidR="00FC42E7">
              <w:rPr>
                <w:rFonts w:ascii="Calibri" w:hAnsi="Calibri" w:cs="Calibri"/>
                <w:sz w:val="20"/>
              </w:rPr>
              <w:instrText xml:space="preserve"> REF _Ref917260959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2.3.1.2.1.2</w:t>
            </w:r>
            <w:r w:rsidR="00FC42E7">
              <w:rPr>
                <w:rFonts w:ascii="Calibri" w:hAnsi="Calibri" w:cs="Calibri"/>
                <w:sz w:val="20"/>
              </w:rPr>
              <w:fldChar w:fldCharType="end"/>
            </w:r>
            <w:r>
              <w:rPr>
                <w:rFonts w:ascii="Calibri" w:hAnsi="Calibri" w:cs="Calibri"/>
                <w:sz w:val="20"/>
              </w:rPr>
              <w:t>).</w:t>
            </w:r>
          </w:p>
        </w:tc>
      </w:tr>
      <w:tr w:rsidR="00AA30D8" w:rsidRPr="00C63A98" w14:paraId="35AAE4A0" w14:textId="77777777" w:rsidTr="00520418">
        <w:trPr>
          <w:cantSplit/>
        </w:trPr>
        <w:tc>
          <w:tcPr>
            <w:tcW w:w="1594" w:type="dxa"/>
          </w:tcPr>
          <w:p w14:paraId="37477558" w14:textId="77777777" w:rsidR="00AA30D8" w:rsidRPr="00C63A98" w:rsidRDefault="00AA30D8" w:rsidP="000A106D">
            <w:pPr>
              <w:pStyle w:val="Tabletext"/>
              <w:rPr>
                <w:rFonts w:ascii="Calibri" w:hAnsi="Calibri" w:cs="Calibri"/>
                <w:sz w:val="20"/>
              </w:rPr>
            </w:pPr>
            <w:r w:rsidRPr="00C63A98">
              <w:rPr>
                <w:rFonts w:ascii="Calibri" w:hAnsi="Calibri" w:cs="Calibri"/>
                <w:sz w:val="20"/>
              </w:rPr>
              <w:t>Blend components</w:t>
            </w:r>
          </w:p>
        </w:tc>
        <w:tc>
          <w:tcPr>
            <w:tcW w:w="2877" w:type="dxa"/>
          </w:tcPr>
          <w:p w14:paraId="4B6D735B" w14:textId="77777777" w:rsidR="00AA30D8" w:rsidRPr="00C63A98" w:rsidRDefault="00AA30D8" w:rsidP="000A106D">
            <w:pPr>
              <w:pStyle w:val="Tabletext"/>
              <w:rPr>
                <w:rFonts w:ascii="Calibri" w:hAnsi="Calibri" w:cs="Calibri"/>
                <w:sz w:val="20"/>
              </w:rPr>
            </w:pPr>
            <w:r w:rsidRPr="00C63A98">
              <w:rPr>
                <w:rFonts w:ascii="Calibri" w:hAnsi="Calibri" w:cs="Calibri"/>
                <w:sz w:val="20"/>
              </w:rPr>
              <w:t>Ethanol, B99 Biodiesel, Terminal Butane for Blending and Transmix</w:t>
            </w:r>
          </w:p>
        </w:tc>
        <w:tc>
          <w:tcPr>
            <w:tcW w:w="4889" w:type="dxa"/>
          </w:tcPr>
          <w:p w14:paraId="40EF415A" w14:textId="68C916F1" w:rsidR="00AA30D8" w:rsidRPr="00C63A98" w:rsidRDefault="00794AE6" w:rsidP="000A106D">
            <w:pPr>
              <w:pStyle w:val="Tabletext"/>
              <w:rPr>
                <w:rFonts w:ascii="Calibri" w:hAnsi="Calibri" w:cs="Calibri"/>
                <w:sz w:val="20"/>
              </w:rPr>
            </w:pPr>
            <w:r>
              <w:rPr>
                <w:rFonts w:ascii="Calibri" w:hAnsi="Calibri" w:cs="Calibri"/>
                <w:sz w:val="20"/>
              </w:rPr>
              <w:t xml:space="preserve">Ethanol and B99 Biodiesel are blended into products loaded on trucks. Terminal Butane for Blending is blended in the tank (transport mode Tank Blend - In Tank). </w:t>
            </w:r>
            <w:r w:rsidR="00610DB7">
              <w:rPr>
                <w:rFonts w:ascii="Calibri" w:hAnsi="Calibri" w:cs="Calibri"/>
                <w:sz w:val="20"/>
              </w:rPr>
              <w:t>Transmix is blended in the tank as moved product (Tank Blend - Moved Product). Some ethanol is also blended in the tank.</w:t>
            </w:r>
            <w:r>
              <w:rPr>
                <w:rFonts w:ascii="Calibri" w:hAnsi="Calibri" w:cs="Calibri"/>
                <w:sz w:val="20"/>
              </w:rPr>
              <w:t xml:space="preserve"> </w:t>
            </w:r>
            <w:r w:rsidR="004812A6">
              <w:rPr>
                <w:rFonts w:ascii="Calibri" w:hAnsi="Calibri" w:cs="Calibri"/>
                <w:sz w:val="20"/>
              </w:rPr>
              <w:t xml:space="preserve">The Gasoline KPI Dashboard shall use the net quantity of the butane, ethanol and transmix movements, and the Distillate KPI Dashboard shall use the net quantity of the blend component movements. Each dashboard shall read them together with the daily flows from PIAF (section </w:t>
            </w:r>
            <w:r w:rsidR="00FC42E7">
              <w:rPr>
                <w:rFonts w:ascii="Calibri" w:hAnsi="Calibri" w:cs="Calibri"/>
                <w:sz w:val="20"/>
              </w:rPr>
              <w:fldChar w:fldCharType="begin"/>
            </w:r>
            <w:r w:rsidR="00FC42E7">
              <w:rPr>
                <w:rFonts w:ascii="Calibri" w:hAnsi="Calibri" w:cs="Calibri"/>
                <w:sz w:val="20"/>
              </w:rPr>
              <w:instrText xml:space="preserve"> REF _Ref917260945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2.3.3.2</w:t>
            </w:r>
            <w:r w:rsidR="00FC42E7">
              <w:rPr>
                <w:rFonts w:ascii="Calibri" w:hAnsi="Calibri" w:cs="Calibri"/>
                <w:sz w:val="20"/>
              </w:rPr>
              <w:fldChar w:fldCharType="end"/>
            </w:r>
            <w:r w:rsidR="004812A6">
              <w:rPr>
                <w:rFonts w:ascii="Calibri" w:hAnsi="Calibri" w:cs="Calibri"/>
                <w:sz w:val="20"/>
              </w:rPr>
              <w:t>) as the actual component volumes blended at each terminal. The two sources shall never overlap.</w:t>
            </w:r>
          </w:p>
        </w:tc>
      </w:tr>
      <w:tr w:rsidR="00AA30D8" w:rsidRPr="00C63A98" w14:paraId="1F7F95DC" w14:textId="77777777" w:rsidTr="00520418">
        <w:trPr>
          <w:cantSplit/>
        </w:trPr>
        <w:tc>
          <w:tcPr>
            <w:tcW w:w="1594" w:type="dxa"/>
          </w:tcPr>
          <w:p w14:paraId="78119A2D" w14:textId="77777777" w:rsidR="00AA30D8" w:rsidRPr="00C63A98" w:rsidRDefault="00AA30D8" w:rsidP="000A106D">
            <w:pPr>
              <w:pStyle w:val="Tabletext"/>
              <w:rPr>
                <w:rFonts w:ascii="Calibri" w:hAnsi="Calibri" w:cs="Calibri"/>
                <w:sz w:val="20"/>
              </w:rPr>
            </w:pPr>
            <w:r w:rsidRPr="00C63A98">
              <w:rPr>
                <w:rFonts w:ascii="Calibri" w:hAnsi="Calibri" w:cs="Calibri"/>
                <w:sz w:val="20"/>
              </w:rPr>
              <w:t>Units</w:t>
            </w:r>
          </w:p>
        </w:tc>
        <w:tc>
          <w:tcPr>
            <w:tcW w:w="2877" w:type="dxa"/>
          </w:tcPr>
          <w:p w14:paraId="56549832" w14:textId="77777777" w:rsidR="00AA30D8" w:rsidRPr="00C63A98" w:rsidRDefault="00AA30D8" w:rsidP="000A106D">
            <w:pPr>
              <w:pStyle w:val="Tabletext"/>
              <w:rPr>
                <w:rFonts w:ascii="Calibri" w:hAnsi="Calibri" w:cs="Calibri"/>
                <w:sz w:val="20"/>
              </w:rPr>
            </w:pPr>
            <w:r w:rsidRPr="00C63A98">
              <w:rPr>
                <w:rFonts w:ascii="Calibri" w:hAnsi="Calibri" w:cs="Calibri"/>
                <w:sz w:val="20"/>
              </w:rPr>
              <w:t>Unit reported with each quantity</w:t>
            </w:r>
          </w:p>
        </w:tc>
        <w:tc>
          <w:tcPr>
            <w:tcW w:w="4889" w:type="dxa"/>
          </w:tcPr>
          <w:p w14:paraId="065FAD14" w14:textId="6EE27126" w:rsidR="00AA30D8" w:rsidRPr="00C63A98" w:rsidRDefault="009C3F56" w:rsidP="000A106D">
            <w:pPr>
              <w:pStyle w:val="Tabletext"/>
              <w:rPr>
                <w:rFonts w:ascii="Calibri" w:hAnsi="Calibri" w:cs="Calibri"/>
                <w:sz w:val="20"/>
              </w:rPr>
            </w:pPr>
            <w:r>
              <w:rPr>
                <w:rFonts w:ascii="Calibri" w:hAnsi="Calibri" w:cs="Calibri"/>
                <w:sz w:val="20"/>
              </w:rPr>
              <w:t>Gallons and barrels shall both be accepted. A row whose quantity unit has no conversion to barrels shall be left out, and an MDM error notification shall be sent.</w:t>
            </w:r>
          </w:p>
        </w:tc>
      </w:tr>
      <w:tr w:rsidR="00F80961" w:rsidRPr="00C63A98" w14:paraId="06E0D14C" w14:textId="77777777" w:rsidTr="00520418">
        <w:trPr>
          <w:cantSplit/>
        </w:trPr>
        <w:tc>
          <w:tcPr>
            <w:tcW w:w="1594" w:type="dxa"/>
          </w:tcPr>
          <w:p w14:paraId="2D0403C5" w14:textId="60F99677" w:rsidR="00F80961" w:rsidRDefault="00F80961" w:rsidP="000A106D">
            <w:pPr>
              <w:pStyle w:val="Tabletext"/>
              <w:rPr>
                <w:rFonts w:ascii="Calibri" w:hAnsi="Calibri" w:cs="Calibri"/>
                <w:sz w:val="20"/>
              </w:rPr>
            </w:pPr>
            <w:r>
              <w:rPr>
                <w:rFonts w:ascii="Calibri" w:hAnsi="Calibri" w:cs="Calibri"/>
                <w:sz w:val="20"/>
              </w:rPr>
              <w:t>Volume</w:t>
            </w:r>
          </w:p>
        </w:tc>
        <w:tc>
          <w:tcPr>
            <w:tcW w:w="2877" w:type="dxa"/>
          </w:tcPr>
          <w:p w14:paraId="0E1154FE" w14:textId="620E3768" w:rsidR="00F80961" w:rsidRDefault="00F80961" w:rsidP="000A106D">
            <w:pPr>
              <w:pStyle w:val="Tabletext"/>
              <w:rPr>
                <w:rFonts w:ascii="Calibri" w:hAnsi="Calibri" w:cs="Calibri"/>
                <w:sz w:val="20"/>
              </w:rPr>
            </w:pPr>
            <w:r>
              <w:rPr>
                <w:rFonts w:ascii="Calibri" w:hAnsi="Calibri" w:cs="Calibri"/>
                <w:sz w:val="20"/>
              </w:rPr>
              <w:t>About 16,000 rows a day</w:t>
            </w:r>
          </w:p>
        </w:tc>
        <w:tc>
          <w:tcPr>
            <w:tcW w:w="4889" w:type="dxa"/>
          </w:tcPr>
          <w:p w14:paraId="49F63F22" w14:textId="230AA4FA" w:rsidR="00F80961" w:rsidRDefault="009C3F56" w:rsidP="000A106D">
            <w:pPr>
              <w:pStyle w:val="Tabletext"/>
              <w:rPr>
                <w:rFonts w:ascii="Calibri" w:hAnsi="Calibri" w:cs="Calibri"/>
                <w:sz w:val="20"/>
              </w:rPr>
            </w:pPr>
            <w:r>
              <w:rPr>
                <w:rFonts w:ascii="Calibri" w:hAnsi="Calibri" w:cs="Calibri"/>
                <w:sz w:val="20"/>
              </w:rPr>
              <w:t>The read shall request the terminals in groups, as the other Kittyhawk OData reads of the platform do, so that no run exceeds the timeout. A large result shall pass to the next service as a blob storage reference, not inside the queue message.</w:t>
            </w:r>
          </w:p>
        </w:tc>
      </w:tr>
      <w:tr w:rsidR="00FE6CE9" w:rsidRPr="00C63A98" w14:paraId="5D5DEBF8" w14:textId="77777777" w:rsidTr="00520418">
        <w:trPr>
          <w:cantSplit/>
        </w:trPr>
        <w:tc>
          <w:tcPr>
            <w:tcW w:w="1594" w:type="dxa"/>
          </w:tcPr>
          <w:p w14:paraId="193A98E5" w14:textId="27AB5A72" w:rsidR="00FE6CE9" w:rsidRPr="00C63A98" w:rsidRDefault="00FE6CE9" w:rsidP="000A106D">
            <w:pPr>
              <w:pStyle w:val="Tabletext"/>
              <w:rPr>
                <w:rFonts w:ascii="Calibri" w:hAnsi="Calibri" w:cs="Calibri"/>
                <w:sz w:val="20"/>
              </w:rPr>
            </w:pPr>
            <w:r>
              <w:rPr>
                <w:rFonts w:ascii="Calibri" w:hAnsi="Calibri" w:cs="Calibri"/>
                <w:sz w:val="20"/>
              </w:rPr>
              <w:t>Time basis</w:t>
            </w:r>
          </w:p>
        </w:tc>
        <w:tc>
          <w:tcPr>
            <w:tcW w:w="2877" w:type="dxa"/>
          </w:tcPr>
          <w:p w14:paraId="780838C5" w14:textId="73B99C4E" w:rsidR="00FE6CE9" w:rsidRPr="00C63A98" w:rsidRDefault="00FE6CE9" w:rsidP="000A106D">
            <w:pPr>
              <w:pStyle w:val="Tabletext"/>
              <w:rPr>
                <w:rFonts w:ascii="Calibri" w:hAnsi="Calibri" w:cs="Calibri"/>
                <w:sz w:val="20"/>
              </w:rPr>
            </w:pPr>
            <w:r>
              <w:rPr>
                <w:rFonts w:ascii="Calibri" w:hAnsi="Calibri" w:cs="Calibri"/>
                <w:sz w:val="20"/>
              </w:rPr>
              <w:t>Time zone of the terminal, from Profisee</w:t>
            </w:r>
          </w:p>
        </w:tc>
        <w:tc>
          <w:tcPr>
            <w:tcW w:w="4889" w:type="dxa"/>
          </w:tcPr>
          <w:p w14:paraId="6E76C484" w14:textId="10054687" w:rsidR="00FE6CE9" w:rsidRDefault="00873A53" w:rsidP="000A106D">
            <w:pPr>
              <w:pStyle w:val="Tabletext"/>
              <w:rPr>
                <w:rFonts w:ascii="Calibri" w:hAnsi="Calibri" w:cs="Calibri"/>
                <w:sz w:val="20"/>
              </w:rPr>
            </w:pPr>
            <w:r>
              <w:rPr>
                <w:rFonts w:ascii="Calibri" w:hAnsi="Calibri" w:cs="Calibri"/>
                <w:sz w:val="20"/>
              </w:rPr>
              <w:t>Every time stored shall be in UTC: the transaction time and the start and end of the transfer.</w:t>
            </w:r>
            <w:r w:rsidR="00FE6CE9">
              <w:rPr>
                <w:rFonts w:ascii="Calibri" w:hAnsi="Calibri" w:cs="Calibri"/>
                <w:sz w:val="20"/>
              </w:rPr>
              <w:t xml:space="preserve"> </w:t>
            </w:r>
            <w:r>
              <w:rPr>
                <w:rFonts w:ascii="Calibri" w:hAnsi="Calibri" w:cs="Calibri"/>
                <w:sz w:val="20"/>
              </w:rPr>
              <w:t>The time zone of the terminal shall be carried with each row.</w:t>
            </w:r>
          </w:p>
        </w:tc>
      </w:tr>
      <w:tr w:rsidR="00AA30D8" w:rsidRPr="00C63A98" w14:paraId="4E4069A1" w14:textId="77777777" w:rsidTr="00520418">
        <w:trPr>
          <w:cantSplit/>
        </w:trPr>
        <w:tc>
          <w:tcPr>
            <w:tcW w:w="1594" w:type="dxa"/>
          </w:tcPr>
          <w:p w14:paraId="7CA4D83C" w14:textId="77777777" w:rsidR="00AA30D8" w:rsidRPr="00C63A98" w:rsidRDefault="00AA30D8" w:rsidP="000A106D">
            <w:pPr>
              <w:pStyle w:val="Tabletext"/>
              <w:rPr>
                <w:rFonts w:ascii="Calibri" w:hAnsi="Calibri" w:cs="Calibri"/>
                <w:sz w:val="20"/>
              </w:rPr>
            </w:pPr>
            <w:r w:rsidRPr="00C63A98">
              <w:rPr>
                <w:rFonts w:ascii="Calibri" w:hAnsi="Calibri" w:cs="Calibri"/>
                <w:sz w:val="20"/>
              </w:rPr>
              <w:t>Trigger function</w:t>
            </w:r>
          </w:p>
        </w:tc>
        <w:tc>
          <w:tcPr>
            <w:tcW w:w="2877" w:type="dxa"/>
          </w:tcPr>
          <w:p w14:paraId="5B08624B" w14:textId="77777777" w:rsidR="00AA30D8" w:rsidRPr="00C63A98" w:rsidRDefault="00AA30D8" w:rsidP="000A106D">
            <w:pPr>
              <w:pStyle w:val="Tabletext"/>
              <w:rPr>
                <w:rFonts w:ascii="Calibri" w:hAnsi="Calibri" w:cs="Calibri"/>
                <w:sz w:val="20"/>
              </w:rPr>
            </w:pPr>
            <w:r w:rsidRPr="00C63A98">
              <w:rPr>
                <w:rFonts w:ascii="Calibri" w:hAnsi="Calibri" w:cs="Calibri"/>
                <w:sz w:val="20"/>
              </w:rPr>
              <w:t>Blend Component Movement Trigger Function</w:t>
            </w:r>
          </w:p>
        </w:tc>
        <w:tc>
          <w:tcPr>
            <w:tcW w:w="4889" w:type="dxa"/>
          </w:tcPr>
          <w:p w14:paraId="6BAFB1AF" w14:textId="5193EDAB" w:rsidR="00AA30D8" w:rsidRPr="00C63A98" w:rsidRDefault="004812A6" w:rsidP="000A106D">
            <w:pPr>
              <w:pStyle w:val="Tabletext"/>
              <w:rPr>
                <w:rFonts w:ascii="Calibri" w:hAnsi="Calibri" w:cs="Calibri"/>
                <w:sz w:val="20"/>
              </w:rPr>
            </w:pPr>
            <w:r>
              <w:rPr>
                <w:rFonts w:ascii="Calibri" w:hAnsi="Calibri" w:cs="Calibri"/>
                <w:sz w:val="20"/>
              </w:rPr>
              <w:t>Shall be started by a timer every day at a specified time.</w:t>
            </w:r>
            <w:r w:rsidR="00AA30D8">
              <w:rPr>
                <w:rFonts w:ascii="Calibri" w:hAnsi="Calibri" w:cs="Calibri"/>
                <w:sz w:val="20"/>
              </w:rPr>
              <w:t xml:space="preserve"> </w:t>
            </w:r>
            <w:r w:rsidR="00873A53">
              <w:rPr>
                <w:rFonts w:ascii="Calibri" w:hAnsi="Calibri" w:cs="Calibri"/>
                <w:sz w:val="20"/>
              </w:rPr>
              <w:t>It shall also be possible to run it on demand for a past period.</w:t>
            </w:r>
          </w:p>
        </w:tc>
      </w:tr>
      <w:tr w:rsidR="00AA30D8" w:rsidRPr="00C63A98" w14:paraId="51CDC607" w14:textId="77777777" w:rsidTr="00520418">
        <w:trPr>
          <w:cantSplit/>
        </w:trPr>
        <w:tc>
          <w:tcPr>
            <w:tcW w:w="1594" w:type="dxa"/>
          </w:tcPr>
          <w:p w14:paraId="1821246D" w14:textId="77777777" w:rsidR="00AA30D8" w:rsidRPr="00C63A98" w:rsidRDefault="00AA30D8" w:rsidP="000A106D">
            <w:pPr>
              <w:pStyle w:val="Tabletext"/>
              <w:rPr>
                <w:rFonts w:ascii="Calibri" w:hAnsi="Calibri" w:cs="Calibri"/>
                <w:sz w:val="20"/>
              </w:rPr>
            </w:pPr>
            <w:r w:rsidRPr="00C63A98">
              <w:rPr>
                <w:rFonts w:ascii="Calibri" w:hAnsi="Calibri" w:cs="Calibri"/>
                <w:sz w:val="20"/>
              </w:rPr>
              <w:t>Request Service</w:t>
            </w:r>
          </w:p>
        </w:tc>
        <w:tc>
          <w:tcPr>
            <w:tcW w:w="2877" w:type="dxa"/>
          </w:tcPr>
          <w:p w14:paraId="4A7F2265" w14:textId="77777777" w:rsidR="00AA30D8" w:rsidRPr="00C63A98" w:rsidRDefault="00AA30D8" w:rsidP="000A106D">
            <w:pPr>
              <w:pStyle w:val="Tabletext"/>
              <w:rPr>
                <w:rFonts w:ascii="Calibri" w:hAnsi="Calibri" w:cs="Calibri"/>
                <w:sz w:val="20"/>
              </w:rPr>
            </w:pPr>
            <w:r w:rsidRPr="00C63A98">
              <w:rPr>
                <w:rFonts w:ascii="Calibri" w:hAnsi="Calibri" w:cs="Calibri"/>
                <w:sz w:val="20"/>
              </w:rPr>
              <w:t>Blend Component Movement Request Service</w:t>
            </w:r>
          </w:p>
        </w:tc>
        <w:tc>
          <w:tcPr>
            <w:tcW w:w="4889" w:type="dxa"/>
          </w:tcPr>
          <w:p w14:paraId="0A574A65" w14:textId="7185652C" w:rsidR="00AA30D8" w:rsidRPr="00C63A98" w:rsidRDefault="004812A6" w:rsidP="000A106D">
            <w:pPr>
              <w:pStyle w:val="Tabletext"/>
              <w:rPr>
                <w:rFonts w:ascii="Calibri" w:hAnsi="Calibri" w:cs="Calibri"/>
                <w:sz w:val="20"/>
              </w:rPr>
            </w:pPr>
            <w:r>
              <w:rPr>
                <w:rFonts w:ascii="Calibri" w:hAnsi="Calibri" w:cs="Calibri"/>
                <w:sz w:val="20"/>
              </w:rPr>
              <w:t>Shall turn the Profisee codes into IQDM codes, convert the units and save the rows into the VCB table</w:t>
            </w:r>
            <w:r w:rsidR="00F80961">
              <w:rPr>
                <w:rFonts w:ascii="Calibri" w:hAnsi="Calibri" w:cs="Calibri"/>
                <w:sz w:val="20"/>
              </w:rPr>
              <w:t xml:space="preserve"> of the IQDM database through a stored procedure. A row whose origin location, destination location or tank has no Profisee mapping shall be kept, and an MDM error notification shall be sent.</w:t>
            </w:r>
          </w:p>
        </w:tc>
      </w:tr>
      <w:tr w:rsidR="00AA30D8" w:rsidRPr="00C63A98" w14:paraId="1B7C9A12" w14:textId="77777777" w:rsidTr="00520418">
        <w:trPr>
          <w:cantSplit/>
        </w:trPr>
        <w:tc>
          <w:tcPr>
            <w:tcW w:w="1594" w:type="dxa"/>
          </w:tcPr>
          <w:p w14:paraId="5E32E35E" w14:textId="77777777" w:rsidR="00AA30D8" w:rsidRPr="00C63A98" w:rsidRDefault="00AA30D8" w:rsidP="006958CC">
            <w:pPr>
              <w:pStyle w:val="Tabletext"/>
              <w:keepNext/>
              <w:rPr>
                <w:rFonts w:ascii="Calibri" w:hAnsi="Calibri" w:cs="Calibri"/>
                <w:sz w:val="20"/>
              </w:rPr>
            </w:pPr>
            <w:r w:rsidRPr="00C63A98">
              <w:rPr>
                <w:rFonts w:ascii="Calibri" w:hAnsi="Calibri" w:cs="Calibri"/>
                <w:sz w:val="20"/>
              </w:rPr>
              <w:t>Durable functions and queues</w:t>
            </w:r>
          </w:p>
        </w:tc>
        <w:tc>
          <w:tcPr>
            <w:tcW w:w="2877" w:type="dxa"/>
          </w:tcPr>
          <w:p w14:paraId="61496B68" w14:textId="5C2D91F5" w:rsidR="00AA30D8" w:rsidRPr="00C63A98" w:rsidRDefault="00CE45AF" w:rsidP="006958CC">
            <w:pPr>
              <w:pStyle w:val="Tabletext"/>
              <w:keepNext/>
              <w:rPr>
                <w:rFonts w:ascii="Calibri" w:hAnsi="Calibri" w:cs="Calibri"/>
                <w:sz w:val="20"/>
              </w:rPr>
            </w:pPr>
            <w:r>
              <w:rPr>
                <w:rFonts w:ascii="Calibri" w:hAnsi="Calibri" w:cs="Calibri"/>
                <w:sz w:val="20"/>
              </w:rPr>
              <w:t>Blend Component Movement Request Durable Function, Blend Component Movement Request Queue, Blend Component Movement Response Durable Function and Blend Component Movement Response Queue</w:t>
            </w:r>
          </w:p>
        </w:tc>
        <w:tc>
          <w:tcPr>
            <w:tcW w:w="4889" w:type="dxa"/>
          </w:tcPr>
          <w:p w14:paraId="58AA61F3" w14:textId="77777777" w:rsidR="00AA30D8" w:rsidRPr="00C63A98" w:rsidRDefault="00AA30D8" w:rsidP="006958CC">
            <w:pPr>
              <w:pStyle w:val="Tabletext"/>
              <w:keepNext/>
              <w:rPr>
                <w:rFonts w:ascii="Calibri" w:hAnsi="Calibri" w:cs="Calibri"/>
                <w:sz w:val="20"/>
              </w:rPr>
            </w:pPr>
            <w:r w:rsidRPr="00C63A98">
              <w:rPr>
                <w:rFonts w:ascii="Calibri" w:hAnsi="Calibri" w:cs="Calibri"/>
                <w:sz w:val="20"/>
              </w:rPr>
              <w:t>As in the common integration pattern.</w:t>
            </w:r>
          </w:p>
        </w:tc>
      </w:tr>
      <w:tr w:rsidR="00AA30D8" w:rsidRPr="00C63A98" w14:paraId="4AE4F011" w14:textId="77777777" w:rsidTr="00520418">
        <w:trPr>
          <w:cantSplit/>
        </w:trPr>
        <w:tc>
          <w:tcPr>
            <w:tcW w:w="1594" w:type="dxa"/>
          </w:tcPr>
          <w:p w14:paraId="162F6282"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Response Service</w:t>
            </w:r>
          </w:p>
        </w:tc>
        <w:tc>
          <w:tcPr>
            <w:tcW w:w="2877" w:type="dxa"/>
          </w:tcPr>
          <w:p w14:paraId="32E2D105"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Blend Component Movement Response Service</w:t>
            </w:r>
          </w:p>
        </w:tc>
        <w:tc>
          <w:tcPr>
            <w:tcW w:w="4889" w:type="dxa"/>
          </w:tcPr>
          <w:p w14:paraId="427984B5" w14:textId="7216DA84" w:rsidR="00AA30D8" w:rsidRPr="00C63A98" w:rsidRDefault="009C3F56" w:rsidP="00C63A98">
            <w:pPr>
              <w:pStyle w:val="Tabletext"/>
              <w:keepNext/>
              <w:rPr>
                <w:rFonts w:ascii="Calibri" w:hAnsi="Calibri" w:cs="Calibri"/>
                <w:sz w:val="20"/>
              </w:rPr>
            </w:pPr>
            <w:r>
              <w:rPr>
                <w:rFonts w:ascii="Calibri" w:hAnsi="Calibri" w:cs="Calibri"/>
                <w:sz w:val="20"/>
              </w:rPr>
              <w:t>Shall read the transaction upload through the Kittyhawk OData service and add the Profisee codes, descriptions and time zone through the Semantic Service. A row without a facility or a blend component shall be left out, and an MDM error notification shall be sent.</w:t>
            </w:r>
          </w:p>
        </w:tc>
      </w:tr>
    </w:tbl>
    <w:p w14:paraId="4BDA8D9F" w14:textId="540B3D35" w:rsidR="00AA30D8" w:rsidRDefault="00AA30D8" w:rsidP="00AA30D8">
      <w:pPr>
        <w:pStyle w:val="Caption"/>
      </w:pPr>
      <w:bookmarkStart w:id="229" w:name="_Toc242554025"/>
      <w:r>
        <w:t xml:space="preserve">Table </w:t>
      </w:r>
      <w:bookmarkStart w:id="230" w:name="_Ref917260932"/>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27</w:t>
      </w:r>
      <w:r>
        <w:fldChar w:fldCharType="end"/>
      </w:r>
      <w:bookmarkEnd w:id="230"/>
      <w:r>
        <w:t>: Blend component Movements at Terminals (Kittyhawk transaction upload) - Integration Specifics</w:t>
      </w:r>
      <w:bookmarkEnd w:id="229"/>
    </w:p>
    <w:p w14:paraId="66A8E010" w14:textId="164FDEB4" w:rsidR="00AA30D8" w:rsidRPr="00AA30D8" w:rsidRDefault="00AA30D8" w:rsidP="00AA30D8">
      <w:pPr>
        <w:pStyle w:val="Heading5"/>
        <w:rPr>
          <w:rFonts w:ascii="Calibri" w:hAnsi="Calibri" w:cs="Calibri"/>
          <w:sz w:val="20"/>
        </w:rPr>
      </w:pPr>
      <w:r w:rsidRPr="00AA30D8">
        <w:rPr>
          <w:rFonts w:ascii="Calibri" w:hAnsi="Calibri" w:cs="Calibri"/>
          <w:sz w:val="20"/>
        </w:rPr>
        <w:t>API Endpoints</w:t>
      </w:r>
    </w:p>
    <w:p w14:paraId="0F53907F" w14:textId="57E01A9C" w:rsidR="00FC42E7" w:rsidRPr="00EC3682" w:rsidRDefault="00FC42E7" w:rsidP="00FC42E7">
      <w:pPr>
        <w:pStyle w:val="ListParagraph"/>
        <w:numPr>
          <w:ilvl w:val="0"/>
          <w:numId w:val="4"/>
        </w:numPr>
        <w:jc w:val="left"/>
        <w:rPr>
          <w:rFonts w:ascii="Calibri" w:hAnsi="Calibri" w:cs="Calibri"/>
        </w:rPr>
      </w:pPr>
      <w:r>
        <w:t>The Blend Component Movement Request Service shall be the API endpoint that gives the terminal blend component movements from the Kittyhawk transaction upload.</w:t>
      </w:r>
    </w:p>
    <w:p w14:paraId="0762F644" w14:textId="2F009B4A" w:rsidR="00AA30D8" w:rsidRDefault="00FC42E7" w:rsidP="00FC42E7">
      <w:pPr>
        <w:pStyle w:val="ListParagraph"/>
        <w:numPr>
          <w:ilvl w:val="0"/>
          <w:numId w:val="4"/>
        </w:numPr>
        <w:jc w:val="left"/>
      </w:pPr>
      <w:r>
        <w:t>The request and response endpoints shall be POST actions.</w:t>
      </w:r>
    </w:p>
    <w:p w14:paraId="0D97B103" w14:textId="77777777" w:rsidR="00AA30D8" w:rsidRDefault="00AA30D8" w:rsidP="00FC42E7">
      <w:pPr>
        <w:keepNext/>
        <w:jc w:val="left"/>
      </w:pPr>
      <w:r>
        <w:t>Request Parameters: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4443"/>
        <w:gridCol w:w="1423"/>
        <w:gridCol w:w="1491"/>
      </w:tblGrid>
      <w:tr w:rsidR="00AA30D8" w:rsidRPr="00C63A98" w14:paraId="0F28039B" w14:textId="77777777" w:rsidTr="00C63A98">
        <w:trPr>
          <w:cantSplit/>
          <w:tblHeader/>
        </w:trPr>
        <w:tc>
          <w:tcPr>
            <w:tcW w:w="2003" w:type="dxa"/>
            <w:shd w:val="clear" w:color="auto" w:fill="2F5597"/>
          </w:tcPr>
          <w:p w14:paraId="3C462AA3" w14:textId="77777777" w:rsidR="00AA30D8" w:rsidRPr="00C63A98" w:rsidRDefault="00AA30D8" w:rsidP="00AA30D8">
            <w:pPr>
              <w:pStyle w:val="Tablehead1"/>
              <w:rPr>
                <w:rFonts w:ascii="Calibri" w:hAnsi="Calibri" w:cs="Calibri"/>
                <w:sz w:val="20"/>
              </w:rPr>
            </w:pPr>
            <w:r w:rsidRPr="00C63A98">
              <w:rPr>
                <w:rFonts w:ascii="Calibri" w:hAnsi="Calibri" w:cs="Calibri"/>
                <w:sz w:val="20"/>
              </w:rPr>
              <w:t>Parameter</w:t>
            </w:r>
          </w:p>
        </w:tc>
        <w:tc>
          <w:tcPr>
            <w:tcW w:w="4443" w:type="dxa"/>
            <w:shd w:val="clear" w:color="auto" w:fill="2F5597"/>
          </w:tcPr>
          <w:p w14:paraId="6ADE8142" w14:textId="77777777" w:rsidR="00AA30D8" w:rsidRPr="00C63A98" w:rsidRDefault="00AA30D8" w:rsidP="00AA30D8">
            <w:pPr>
              <w:pStyle w:val="Tablehead1"/>
              <w:rPr>
                <w:rFonts w:ascii="Calibri" w:hAnsi="Calibri" w:cs="Calibri"/>
                <w:sz w:val="20"/>
              </w:rPr>
            </w:pPr>
            <w:r w:rsidRPr="00C63A98">
              <w:rPr>
                <w:rFonts w:ascii="Calibri" w:hAnsi="Calibri" w:cs="Calibri"/>
                <w:sz w:val="20"/>
              </w:rPr>
              <w:t>Description</w:t>
            </w:r>
          </w:p>
        </w:tc>
        <w:tc>
          <w:tcPr>
            <w:tcW w:w="1423" w:type="dxa"/>
            <w:shd w:val="clear" w:color="auto" w:fill="2F5597"/>
          </w:tcPr>
          <w:p w14:paraId="7511BD34" w14:textId="77777777" w:rsidR="00AA30D8" w:rsidRPr="00C63A98" w:rsidRDefault="00AA30D8" w:rsidP="00AA30D8">
            <w:pPr>
              <w:pStyle w:val="Tablehead1"/>
              <w:rPr>
                <w:rFonts w:ascii="Calibri" w:hAnsi="Calibri" w:cs="Calibri"/>
                <w:sz w:val="20"/>
              </w:rPr>
            </w:pPr>
            <w:r w:rsidRPr="00C63A98">
              <w:rPr>
                <w:rFonts w:ascii="Calibri" w:hAnsi="Calibri" w:cs="Calibri"/>
                <w:sz w:val="20"/>
              </w:rPr>
              <w:t>Mandatory</w:t>
            </w:r>
          </w:p>
        </w:tc>
        <w:tc>
          <w:tcPr>
            <w:tcW w:w="1491" w:type="dxa"/>
            <w:shd w:val="clear" w:color="auto" w:fill="2F5597"/>
          </w:tcPr>
          <w:p w14:paraId="44947A63" w14:textId="77777777" w:rsidR="00AA30D8" w:rsidRPr="00C63A98" w:rsidRDefault="00AA30D8" w:rsidP="00AA30D8">
            <w:pPr>
              <w:pStyle w:val="Tablehead1"/>
              <w:rPr>
                <w:rFonts w:ascii="Calibri" w:hAnsi="Calibri" w:cs="Calibri"/>
                <w:sz w:val="20"/>
              </w:rPr>
            </w:pPr>
            <w:r w:rsidRPr="00C63A98">
              <w:rPr>
                <w:rFonts w:ascii="Calibri" w:hAnsi="Calibri" w:cs="Calibri"/>
                <w:sz w:val="20"/>
              </w:rPr>
              <w:t>Type</w:t>
            </w:r>
          </w:p>
        </w:tc>
      </w:tr>
      <w:tr w:rsidR="00AA30D8" w:rsidRPr="00C63A98" w14:paraId="18532E79" w14:textId="77777777" w:rsidTr="00C63A98">
        <w:trPr>
          <w:cantSplit/>
        </w:trPr>
        <w:tc>
          <w:tcPr>
            <w:tcW w:w="2003" w:type="dxa"/>
          </w:tcPr>
          <w:p w14:paraId="0D1F0A68"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StartDate</w:t>
            </w:r>
          </w:p>
        </w:tc>
        <w:tc>
          <w:tcPr>
            <w:tcW w:w="4443" w:type="dxa"/>
          </w:tcPr>
          <w:p w14:paraId="7ADEFAFD"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Start of the date range. Not later than EndDate</w:t>
            </w:r>
          </w:p>
        </w:tc>
        <w:tc>
          <w:tcPr>
            <w:tcW w:w="1423" w:type="dxa"/>
          </w:tcPr>
          <w:p w14:paraId="574FB97D"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Yes</w:t>
            </w:r>
          </w:p>
        </w:tc>
        <w:tc>
          <w:tcPr>
            <w:tcW w:w="1491" w:type="dxa"/>
          </w:tcPr>
          <w:p w14:paraId="288BDABC"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DateTime</w:t>
            </w:r>
          </w:p>
        </w:tc>
      </w:tr>
      <w:tr w:rsidR="00AA30D8" w:rsidRPr="00C63A98" w14:paraId="0EE2EA7B" w14:textId="77777777" w:rsidTr="00C63A98">
        <w:trPr>
          <w:cantSplit/>
        </w:trPr>
        <w:tc>
          <w:tcPr>
            <w:tcW w:w="2003" w:type="dxa"/>
          </w:tcPr>
          <w:p w14:paraId="4A2A9912"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EndDate</w:t>
            </w:r>
          </w:p>
        </w:tc>
        <w:tc>
          <w:tcPr>
            <w:tcW w:w="4443" w:type="dxa"/>
          </w:tcPr>
          <w:p w14:paraId="5F3F1B75"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End of the date range</w:t>
            </w:r>
          </w:p>
        </w:tc>
        <w:tc>
          <w:tcPr>
            <w:tcW w:w="1423" w:type="dxa"/>
          </w:tcPr>
          <w:p w14:paraId="130D4221"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Yes</w:t>
            </w:r>
          </w:p>
        </w:tc>
        <w:tc>
          <w:tcPr>
            <w:tcW w:w="1491" w:type="dxa"/>
          </w:tcPr>
          <w:p w14:paraId="7EAEB1AB"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DateTime</w:t>
            </w:r>
          </w:p>
        </w:tc>
      </w:tr>
      <w:tr w:rsidR="00AA30D8" w:rsidRPr="00C63A98" w14:paraId="749787C4" w14:textId="77777777" w:rsidTr="00C63A98">
        <w:trPr>
          <w:cantSplit/>
        </w:trPr>
        <w:tc>
          <w:tcPr>
            <w:tcW w:w="2003" w:type="dxa"/>
          </w:tcPr>
          <w:p w14:paraId="324A1FD1"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State</w:t>
            </w:r>
          </w:p>
        </w:tc>
        <w:tc>
          <w:tcPr>
            <w:tcW w:w="4443" w:type="dxa"/>
          </w:tcPr>
          <w:p w14:paraId="60B35211" w14:textId="326B94C6" w:rsidR="00AA30D8" w:rsidRPr="00C63A98" w:rsidRDefault="008F2422" w:rsidP="00AA30D8">
            <w:pPr>
              <w:pStyle w:val="Tabletext"/>
              <w:keepNext/>
              <w:rPr>
                <w:rFonts w:ascii="Calibri" w:hAnsi="Calibri" w:cs="Calibri"/>
                <w:sz w:val="20"/>
              </w:rPr>
            </w:pPr>
            <w:r>
              <w:rPr>
                <w:rFonts w:ascii="Calibri" w:hAnsi="Calibri" w:cs="Calibri"/>
                <w:sz w:val="20"/>
              </w:rPr>
              <w:t>Data state. This integration shall send Actual</w:t>
            </w:r>
          </w:p>
        </w:tc>
        <w:tc>
          <w:tcPr>
            <w:tcW w:w="1423" w:type="dxa"/>
          </w:tcPr>
          <w:p w14:paraId="5A603868"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Yes</w:t>
            </w:r>
          </w:p>
        </w:tc>
        <w:tc>
          <w:tcPr>
            <w:tcW w:w="1491" w:type="dxa"/>
          </w:tcPr>
          <w:p w14:paraId="3860CCA4"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String</w:t>
            </w:r>
          </w:p>
        </w:tc>
      </w:tr>
      <w:tr w:rsidR="00AA30D8" w:rsidRPr="00C63A98" w14:paraId="5DC76B29" w14:textId="77777777" w:rsidTr="00C63A98">
        <w:trPr>
          <w:cantSplit/>
        </w:trPr>
        <w:tc>
          <w:tcPr>
            <w:tcW w:w="2003" w:type="dxa"/>
          </w:tcPr>
          <w:p w14:paraId="74406263"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LocationType</w:t>
            </w:r>
          </w:p>
        </w:tc>
        <w:tc>
          <w:tcPr>
            <w:tcW w:w="4443" w:type="dxa"/>
          </w:tcPr>
          <w:p w14:paraId="650B574A" w14:textId="68F22124" w:rsidR="00AA30D8" w:rsidRPr="00C63A98" w:rsidRDefault="00AA30D8" w:rsidP="00AA30D8">
            <w:pPr>
              <w:pStyle w:val="Tabletext"/>
              <w:keepNext/>
              <w:rPr>
                <w:rFonts w:ascii="Calibri" w:hAnsi="Calibri" w:cs="Calibri"/>
                <w:sz w:val="20"/>
              </w:rPr>
            </w:pPr>
            <w:r w:rsidRPr="00C63A98">
              <w:rPr>
                <w:rFonts w:ascii="Calibri" w:hAnsi="Calibri" w:cs="Calibri"/>
                <w:sz w:val="20"/>
              </w:rPr>
              <w:t xml:space="preserve">Type of location. </w:t>
            </w:r>
            <w:r w:rsidR="00873A53">
              <w:rPr>
                <w:rFonts w:ascii="Calibri" w:hAnsi="Calibri" w:cs="Calibri"/>
                <w:sz w:val="20"/>
              </w:rPr>
              <w:t>This integration shall send Terminal</w:t>
            </w:r>
          </w:p>
        </w:tc>
        <w:tc>
          <w:tcPr>
            <w:tcW w:w="1423" w:type="dxa"/>
          </w:tcPr>
          <w:p w14:paraId="7F209E4D"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Yes</w:t>
            </w:r>
          </w:p>
        </w:tc>
        <w:tc>
          <w:tcPr>
            <w:tcW w:w="1491" w:type="dxa"/>
          </w:tcPr>
          <w:p w14:paraId="2165E9CF"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String</w:t>
            </w:r>
          </w:p>
        </w:tc>
      </w:tr>
      <w:tr w:rsidR="00AA30D8" w:rsidRPr="00C63A98" w14:paraId="1835C554" w14:textId="77777777" w:rsidTr="00C63A98">
        <w:trPr>
          <w:cantSplit/>
        </w:trPr>
        <w:tc>
          <w:tcPr>
            <w:tcW w:w="2003" w:type="dxa"/>
          </w:tcPr>
          <w:p w14:paraId="4666F03E"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LocationCodes</w:t>
            </w:r>
          </w:p>
        </w:tc>
        <w:tc>
          <w:tcPr>
            <w:tcW w:w="4443" w:type="dxa"/>
          </w:tcPr>
          <w:p w14:paraId="761B4706" w14:textId="33C904BB" w:rsidR="00AA30D8" w:rsidRPr="00C63A98" w:rsidRDefault="006B25DD" w:rsidP="00AA30D8">
            <w:pPr>
              <w:pStyle w:val="Tabletext"/>
              <w:keepNext/>
              <w:rPr>
                <w:rFonts w:ascii="Calibri" w:hAnsi="Calibri" w:cs="Calibri"/>
                <w:sz w:val="20"/>
              </w:rPr>
            </w:pPr>
            <w:r>
              <w:rPr>
                <w:rFonts w:ascii="Calibri" w:hAnsi="Calibri" w:cs="Calibri"/>
                <w:sz w:val="20"/>
              </w:rPr>
              <w:t>Not used for terminals: the active terminals of the region of type Terminal-MPC LP shall be taken from Profisee</w:t>
            </w:r>
          </w:p>
        </w:tc>
        <w:tc>
          <w:tcPr>
            <w:tcW w:w="1423" w:type="dxa"/>
          </w:tcPr>
          <w:p w14:paraId="0F809C7B"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No</w:t>
            </w:r>
          </w:p>
        </w:tc>
        <w:tc>
          <w:tcPr>
            <w:tcW w:w="1491" w:type="dxa"/>
          </w:tcPr>
          <w:p w14:paraId="53FFD25B"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List of String</w:t>
            </w:r>
          </w:p>
        </w:tc>
      </w:tr>
      <w:tr w:rsidR="000A106D" w:rsidRPr="00C63A98" w14:paraId="21A0261F" w14:textId="77777777" w:rsidTr="00C63A98">
        <w:trPr>
          <w:cantSplit/>
        </w:trPr>
        <w:tc>
          <w:tcPr>
            <w:tcW w:w="2003" w:type="dxa"/>
          </w:tcPr>
          <w:p w14:paraId="1980F778" w14:textId="17E32E9C" w:rsidR="000A106D" w:rsidRPr="00C63A98" w:rsidRDefault="000A106D" w:rsidP="00AA30D8">
            <w:pPr>
              <w:pStyle w:val="Tabletext"/>
              <w:keepNext/>
              <w:rPr>
                <w:rFonts w:ascii="Calibri" w:hAnsi="Calibri" w:cs="Calibri"/>
                <w:sz w:val="20"/>
              </w:rPr>
            </w:pPr>
            <w:r>
              <w:rPr>
                <w:rFonts w:ascii="Calibri" w:hAnsi="Calibri" w:cs="Calibri"/>
                <w:sz w:val="20"/>
              </w:rPr>
              <w:t>MovementTypes</w:t>
            </w:r>
          </w:p>
        </w:tc>
        <w:tc>
          <w:tcPr>
            <w:tcW w:w="4443" w:type="dxa"/>
          </w:tcPr>
          <w:p w14:paraId="03A27ED4" w14:textId="017FC4C2" w:rsidR="000A106D" w:rsidRPr="00C63A98" w:rsidRDefault="000A106D" w:rsidP="00AA30D8">
            <w:pPr>
              <w:pStyle w:val="Tabletext"/>
              <w:keepNext/>
              <w:rPr>
                <w:rFonts w:ascii="Calibri" w:hAnsi="Calibri" w:cs="Calibri"/>
                <w:sz w:val="20"/>
              </w:rPr>
            </w:pPr>
            <w:r>
              <w:rPr>
                <w:rFonts w:ascii="Calibri" w:hAnsi="Calibri" w:cs="Calibri"/>
                <w:sz w:val="20"/>
              </w:rPr>
              <w:t>Movement type of the transaction upload, the only type this integration requests</w:t>
            </w:r>
          </w:p>
        </w:tc>
        <w:tc>
          <w:tcPr>
            <w:tcW w:w="1423" w:type="dxa"/>
          </w:tcPr>
          <w:p w14:paraId="0BE84264" w14:textId="1DABEECA" w:rsidR="000A106D" w:rsidRPr="00C63A98" w:rsidRDefault="000A106D" w:rsidP="00AA30D8">
            <w:pPr>
              <w:pStyle w:val="Tabletext"/>
              <w:keepNext/>
              <w:rPr>
                <w:rFonts w:ascii="Calibri" w:hAnsi="Calibri" w:cs="Calibri"/>
                <w:sz w:val="20"/>
              </w:rPr>
            </w:pPr>
            <w:r>
              <w:rPr>
                <w:rFonts w:ascii="Calibri" w:hAnsi="Calibri" w:cs="Calibri"/>
                <w:sz w:val="20"/>
              </w:rPr>
              <w:t>Yes</w:t>
            </w:r>
          </w:p>
        </w:tc>
        <w:tc>
          <w:tcPr>
            <w:tcW w:w="1491" w:type="dxa"/>
          </w:tcPr>
          <w:p w14:paraId="6847B2B8" w14:textId="67F48A95" w:rsidR="000A106D" w:rsidRPr="00C63A98" w:rsidRDefault="000A106D" w:rsidP="00AA30D8">
            <w:pPr>
              <w:pStyle w:val="Tabletext"/>
              <w:keepNext/>
              <w:rPr>
                <w:rFonts w:ascii="Calibri" w:hAnsi="Calibri" w:cs="Calibri"/>
                <w:sz w:val="20"/>
              </w:rPr>
            </w:pPr>
            <w:r>
              <w:rPr>
                <w:rFonts w:ascii="Calibri" w:hAnsi="Calibri" w:cs="Calibri"/>
                <w:sz w:val="20"/>
              </w:rPr>
              <w:t>List of String</w:t>
            </w:r>
          </w:p>
        </w:tc>
      </w:tr>
      <w:tr w:rsidR="00AA30D8" w:rsidRPr="00C63A98" w14:paraId="6B2682E6" w14:textId="77777777" w:rsidTr="00C63A98">
        <w:trPr>
          <w:cantSplit/>
        </w:trPr>
        <w:tc>
          <w:tcPr>
            <w:tcW w:w="2003" w:type="dxa"/>
          </w:tcPr>
          <w:p w14:paraId="61DFD9F1"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Region</w:t>
            </w:r>
          </w:p>
        </w:tc>
        <w:tc>
          <w:tcPr>
            <w:tcW w:w="4443" w:type="dxa"/>
          </w:tcPr>
          <w:p w14:paraId="63B8D5C1" w14:textId="69CE752F" w:rsidR="00AA30D8" w:rsidRPr="00C63A98" w:rsidRDefault="008F2422" w:rsidP="00AA30D8">
            <w:pPr>
              <w:pStyle w:val="Tabletext"/>
              <w:keepNext/>
              <w:rPr>
                <w:rFonts w:ascii="Calibri" w:hAnsi="Calibri" w:cs="Calibri"/>
                <w:sz w:val="20"/>
              </w:rPr>
            </w:pPr>
            <w:r>
              <w:rPr>
                <w:rFonts w:ascii="Calibri" w:hAnsi="Calibri" w:cs="Calibri"/>
                <w:sz w:val="20"/>
              </w:rPr>
              <w:t>Region of the terminals. This integration shall send North</w:t>
            </w:r>
          </w:p>
        </w:tc>
        <w:tc>
          <w:tcPr>
            <w:tcW w:w="1423" w:type="dxa"/>
          </w:tcPr>
          <w:p w14:paraId="44ED39D6"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Yes</w:t>
            </w:r>
          </w:p>
        </w:tc>
        <w:tc>
          <w:tcPr>
            <w:tcW w:w="1491" w:type="dxa"/>
          </w:tcPr>
          <w:p w14:paraId="5BD08FB9"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String</w:t>
            </w:r>
          </w:p>
        </w:tc>
      </w:tr>
      <w:tr w:rsidR="00AA30D8" w:rsidRPr="00C63A98" w14:paraId="21D7E40C" w14:textId="77777777" w:rsidTr="00C63A98">
        <w:trPr>
          <w:cantSplit/>
        </w:trPr>
        <w:tc>
          <w:tcPr>
            <w:tcW w:w="2003" w:type="dxa"/>
          </w:tcPr>
          <w:p w14:paraId="3F789177"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IsImport</w:t>
            </w:r>
          </w:p>
        </w:tc>
        <w:tc>
          <w:tcPr>
            <w:tcW w:w="4443" w:type="dxa"/>
          </w:tcPr>
          <w:p w14:paraId="0F7148E4" w14:textId="31E9F250" w:rsidR="00AA30D8" w:rsidRPr="00C63A98" w:rsidRDefault="00873A53" w:rsidP="00AA30D8">
            <w:pPr>
              <w:pStyle w:val="Tabletext"/>
              <w:keepNext/>
              <w:rPr>
                <w:rFonts w:ascii="Calibri" w:hAnsi="Calibri" w:cs="Calibri"/>
                <w:sz w:val="20"/>
              </w:rPr>
            </w:pPr>
            <w:r>
              <w:rPr>
                <w:rFonts w:ascii="Calibri" w:hAnsi="Calibri" w:cs="Calibri"/>
                <w:sz w:val="20"/>
              </w:rPr>
              <w:t>True: the data shall be returned to the caller.</w:t>
            </w:r>
            <w:r w:rsidR="00CE45AF">
              <w:rPr>
                <w:rFonts w:ascii="Calibri" w:hAnsi="Calibri" w:cs="Calibri"/>
                <w:sz w:val="20"/>
              </w:rPr>
              <w:t xml:space="preserve"> </w:t>
            </w:r>
            <w:r>
              <w:rPr>
                <w:rFonts w:ascii="Calibri" w:hAnsi="Calibri" w:cs="Calibri"/>
                <w:sz w:val="20"/>
              </w:rPr>
              <w:t>False or not sent: the data shall be saved in the VCB table of the IQDM database through a stored procedure</w:t>
            </w:r>
          </w:p>
        </w:tc>
        <w:tc>
          <w:tcPr>
            <w:tcW w:w="1423" w:type="dxa"/>
          </w:tcPr>
          <w:p w14:paraId="08061152"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No</w:t>
            </w:r>
          </w:p>
        </w:tc>
        <w:tc>
          <w:tcPr>
            <w:tcW w:w="1491" w:type="dxa"/>
          </w:tcPr>
          <w:p w14:paraId="6BD33CFF"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Boolean</w:t>
            </w:r>
          </w:p>
        </w:tc>
      </w:tr>
      <w:tr w:rsidR="00AA30D8" w:rsidRPr="00C63A98" w14:paraId="79EDE347" w14:textId="77777777" w:rsidTr="00C63A98">
        <w:trPr>
          <w:cantSplit/>
        </w:trPr>
        <w:tc>
          <w:tcPr>
            <w:tcW w:w="2003" w:type="dxa"/>
          </w:tcPr>
          <w:p w14:paraId="725458ED"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UseServiceBus</w:t>
            </w:r>
          </w:p>
        </w:tc>
        <w:tc>
          <w:tcPr>
            <w:tcW w:w="4443" w:type="dxa"/>
          </w:tcPr>
          <w:p w14:paraId="28E4819F" w14:textId="735778BA" w:rsidR="00AA30D8" w:rsidRPr="00C63A98" w:rsidRDefault="00873A53" w:rsidP="00C63A98">
            <w:pPr>
              <w:pStyle w:val="Tabletext"/>
              <w:keepNext/>
              <w:rPr>
                <w:rFonts w:ascii="Calibri" w:hAnsi="Calibri" w:cs="Calibri"/>
                <w:sz w:val="20"/>
              </w:rPr>
            </w:pPr>
            <w:r>
              <w:rPr>
                <w:rFonts w:ascii="Calibri" w:hAnsi="Calibri" w:cs="Calibri"/>
                <w:sz w:val="20"/>
              </w:rPr>
              <w:t>True or not sent: the request shall go through the durable functions and queues.</w:t>
            </w:r>
            <w:r w:rsidR="000A106D">
              <w:rPr>
                <w:rFonts w:ascii="Calibri" w:hAnsi="Calibri" w:cs="Calibri"/>
                <w:sz w:val="20"/>
              </w:rPr>
              <w:t xml:space="preserve"> </w:t>
            </w:r>
            <w:r>
              <w:rPr>
                <w:rFonts w:ascii="Calibri" w:hAnsi="Calibri" w:cs="Calibri"/>
                <w:sz w:val="20"/>
              </w:rPr>
              <w:t>False: the Response Service shall be called directly</w:t>
            </w:r>
          </w:p>
        </w:tc>
        <w:tc>
          <w:tcPr>
            <w:tcW w:w="1423" w:type="dxa"/>
          </w:tcPr>
          <w:p w14:paraId="614D7E9C"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No</w:t>
            </w:r>
          </w:p>
        </w:tc>
        <w:tc>
          <w:tcPr>
            <w:tcW w:w="1491" w:type="dxa"/>
          </w:tcPr>
          <w:p w14:paraId="74FF1C4E"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Boolean</w:t>
            </w:r>
          </w:p>
        </w:tc>
      </w:tr>
    </w:tbl>
    <w:p w14:paraId="3635203E" w14:textId="0D1BF7DC" w:rsidR="00AA30D8" w:rsidRDefault="00AA30D8" w:rsidP="00AA30D8">
      <w:pPr>
        <w:pStyle w:val="Caption"/>
      </w:pPr>
      <w:bookmarkStart w:id="231" w:name="_Toc242554026"/>
      <w:r>
        <w:t xml:space="preserve">Table </w:t>
      </w:r>
      <w:bookmarkStart w:id="232" w:name="_Ref917260920"/>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28</w:t>
      </w:r>
      <w:r>
        <w:fldChar w:fldCharType="end"/>
      </w:r>
      <w:bookmarkEnd w:id="232"/>
      <w:r>
        <w:t>: Blend component Movements at Terminals (Kittyhawk transaction upload) - API Endpoint - Request Parameters</w:t>
      </w:r>
      <w:bookmarkEnd w:id="231"/>
    </w:p>
    <w:p w14:paraId="7220FC9F" w14:textId="77777777" w:rsidR="00AA30D8" w:rsidRDefault="00AA30D8" w:rsidP="00FC42E7">
      <w:pPr>
        <w:keepNext/>
        <w:jc w:val="left"/>
      </w:pPr>
      <w:r>
        <w:t>Response Model:</w:t>
      </w:r>
    </w:p>
    <w:tbl>
      <w:tblPr>
        <w:tblStyle w:val="TableGrid"/>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06"/>
        <w:gridCol w:w="1590"/>
        <w:gridCol w:w="1216"/>
        <w:gridCol w:w="1216"/>
        <w:gridCol w:w="1122"/>
        <w:gridCol w:w="1404"/>
      </w:tblGrid>
      <w:tr w:rsidR="00AA30D8" w:rsidRPr="00C63A98" w14:paraId="12F3C9B7" w14:textId="77777777" w:rsidTr="00D0687B">
        <w:trPr>
          <w:cantSplit/>
          <w:tblHeader/>
        </w:trPr>
        <w:tc>
          <w:tcPr>
            <w:tcW w:w="2806" w:type="dxa"/>
            <w:shd w:val="clear" w:color="auto" w:fill="2F5597"/>
          </w:tcPr>
          <w:p w14:paraId="60F9D64E" w14:textId="77777777" w:rsidR="00AA30D8" w:rsidRPr="00C63A98" w:rsidRDefault="00AA30D8" w:rsidP="00C63A98">
            <w:pPr>
              <w:pStyle w:val="Tablehead1"/>
              <w:rPr>
                <w:rFonts w:ascii="Calibri" w:hAnsi="Calibri" w:cs="Calibri"/>
                <w:sz w:val="20"/>
              </w:rPr>
            </w:pPr>
            <w:r w:rsidRPr="00C63A98">
              <w:rPr>
                <w:rFonts w:ascii="Calibri" w:hAnsi="Calibri" w:cs="Calibri"/>
                <w:sz w:val="20"/>
              </w:rPr>
              <w:t>Attribute</w:t>
            </w:r>
          </w:p>
        </w:tc>
        <w:tc>
          <w:tcPr>
            <w:tcW w:w="1590" w:type="dxa"/>
            <w:shd w:val="clear" w:color="auto" w:fill="2F5597"/>
          </w:tcPr>
          <w:p w14:paraId="6B9F52AA" w14:textId="77777777" w:rsidR="00AA30D8" w:rsidRPr="00C63A98" w:rsidRDefault="00AA30D8" w:rsidP="00C63A98">
            <w:pPr>
              <w:pStyle w:val="Tablehead1"/>
              <w:rPr>
                <w:rFonts w:ascii="Calibri" w:hAnsi="Calibri" w:cs="Calibri"/>
                <w:sz w:val="20"/>
              </w:rPr>
            </w:pPr>
            <w:r w:rsidRPr="00C63A98">
              <w:rPr>
                <w:rFonts w:ascii="Calibri" w:hAnsi="Calibri" w:cs="Calibri"/>
                <w:sz w:val="20"/>
              </w:rPr>
              <w:t>Description</w:t>
            </w:r>
          </w:p>
        </w:tc>
        <w:tc>
          <w:tcPr>
            <w:tcW w:w="1216" w:type="dxa"/>
            <w:shd w:val="clear" w:color="auto" w:fill="2F5597"/>
          </w:tcPr>
          <w:p w14:paraId="5A3325EA" w14:textId="77777777" w:rsidR="00AA30D8" w:rsidRPr="00C63A98" w:rsidRDefault="00AA30D8" w:rsidP="00C63A98">
            <w:pPr>
              <w:pStyle w:val="Tablehead1"/>
              <w:rPr>
                <w:rFonts w:ascii="Calibri" w:hAnsi="Calibri" w:cs="Calibri"/>
                <w:sz w:val="20"/>
              </w:rPr>
            </w:pPr>
            <w:r w:rsidRPr="00C63A98">
              <w:rPr>
                <w:rFonts w:ascii="Calibri" w:hAnsi="Calibri" w:cs="Calibri"/>
                <w:sz w:val="20"/>
              </w:rPr>
              <w:t>Mandatory</w:t>
            </w:r>
          </w:p>
        </w:tc>
        <w:tc>
          <w:tcPr>
            <w:tcW w:w="1216" w:type="dxa"/>
            <w:shd w:val="clear" w:color="auto" w:fill="2F5597"/>
          </w:tcPr>
          <w:p w14:paraId="77425A0C" w14:textId="77777777" w:rsidR="00AA30D8" w:rsidRPr="00C63A98" w:rsidRDefault="00AA30D8" w:rsidP="00C63A98">
            <w:pPr>
              <w:pStyle w:val="Tablehead1"/>
              <w:rPr>
                <w:rFonts w:ascii="Calibri" w:hAnsi="Calibri" w:cs="Calibri"/>
                <w:sz w:val="20"/>
              </w:rPr>
            </w:pPr>
            <w:r w:rsidRPr="00C63A98">
              <w:rPr>
                <w:rFonts w:ascii="Calibri" w:hAnsi="Calibri" w:cs="Calibri"/>
                <w:sz w:val="20"/>
              </w:rPr>
              <w:t>Composite Key</w:t>
            </w:r>
          </w:p>
        </w:tc>
        <w:tc>
          <w:tcPr>
            <w:tcW w:w="1122" w:type="dxa"/>
            <w:shd w:val="clear" w:color="auto" w:fill="2F5597"/>
          </w:tcPr>
          <w:p w14:paraId="4785689C" w14:textId="77777777" w:rsidR="00AA30D8" w:rsidRPr="00C63A98" w:rsidRDefault="00AA30D8" w:rsidP="00C63A98">
            <w:pPr>
              <w:pStyle w:val="Tablehead1"/>
              <w:rPr>
                <w:rFonts w:ascii="Calibri" w:hAnsi="Calibri" w:cs="Calibri"/>
                <w:sz w:val="20"/>
              </w:rPr>
            </w:pPr>
            <w:r w:rsidRPr="00C63A98">
              <w:rPr>
                <w:rFonts w:ascii="Calibri" w:hAnsi="Calibri" w:cs="Calibri"/>
                <w:sz w:val="20"/>
              </w:rPr>
              <w:t>Type</w:t>
            </w:r>
          </w:p>
        </w:tc>
        <w:tc>
          <w:tcPr>
            <w:tcW w:w="1404" w:type="dxa"/>
            <w:shd w:val="clear" w:color="auto" w:fill="2F5597"/>
          </w:tcPr>
          <w:p w14:paraId="640AF206" w14:textId="77777777" w:rsidR="00AA30D8" w:rsidRPr="00C63A98" w:rsidRDefault="00AA30D8" w:rsidP="00C63A98">
            <w:pPr>
              <w:pStyle w:val="Tablehead1"/>
              <w:rPr>
                <w:rFonts w:ascii="Calibri" w:hAnsi="Calibri" w:cs="Calibri"/>
                <w:sz w:val="20"/>
              </w:rPr>
            </w:pPr>
            <w:r w:rsidRPr="00C63A98">
              <w:rPr>
                <w:rFonts w:ascii="Calibri" w:hAnsi="Calibri" w:cs="Calibri"/>
                <w:sz w:val="20"/>
              </w:rPr>
              <w:t>Example</w:t>
            </w:r>
          </w:p>
        </w:tc>
      </w:tr>
      <w:tr w:rsidR="00AA30D8" w:rsidRPr="00C63A98" w14:paraId="6FCB6549" w14:textId="77777777" w:rsidTr="00D0687B">
        <w:trPr>
          <w:cantSplit/>
        </w:trPr>
        <w:tc>
          <w:tcPr>
            <w:tcW w:w="2806" w:type="dxa"/>
          </w:tcPr>
          <w:p w14:paraId="2D8E3CC9"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TransactionUploadID</w:t>
            </w:r>
          </w:p>
        </w:tc>
        <w:tc>
          <w:tcPr>
            <w:tcW w:w="1590" w:type="dxa"/>
          </w:tcPr>
          <w:p w14:paraId="44BEB38D" w14:textId="77777777" w:rsidR="00AA30D8" w:rsidRPr="00C63A98" w:rsidRDefault="00AA30D8" w:rsidP="00C63A98">
            <w:pPr>
              <w:pStyle w:val="Tabletext"/>
              <w:rPr>
                <w:rFonts w:ascii="Calibri" w:hAnsi="Calibri" w:cs="Calibri"/>
                <w:sz w:val="20"/>
              </w:rPr>
            </w:pPr>
            <w:r w:rsidRPr="00C63A98">
              <w:rPr>
                <w:rFonts w:ascii="Calibri" w:hAnsi="Calibri" w:cs="Calibri"/>
                <w:sz w:val="20"/>
              </w:rPr>
              <w:t>Identifier of the transaction upload row</w:t>
            </w:r>
          </w:p>
        </w:tc>
        <w:tc>
          <w:tcPr>
            <w:tcW w:w="1216" w:type="dxa"/>
          </w:tcPr>
          <w:p w14:paraId="62FAFB77"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518DFCDD"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122" w:type="dxa"/>
          </w:tcPr>
          <w:p w14:paraId="4F2A950F"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2FA53412" w14:textId="77777777" w:rsidR="00AA30D8" w:rsidRPr="00C63A98" w:rsidRDefault="00AA30D8" w:rsidP="00C63A98">
            <w:pPr>
              <w:pStyle w:val="Tabletext"/>
              <w:rPr>
                <w:rFonts w:ascii="Calibri" w:hAnsi="Calibri" w:cs="Calibri"/>
                <w:sz w:val="20"/>
              </w:rPr>
            </w:pPr>
          </w:p>
        </w:tc>
      </w:tr>
      <w:tr w:rsidR="00AA30D8" w:rsidRPr="00C63A98" w14:paraId="328AE1A2" w14:textId="77777777" w:rsidTr="00D0687B">
        <w:trPr>
          <w:cantSplit/>
        </w:trPr>
        <w:tc>
          <w:tcPr>
            <w:tcW w:w="2806" w:type="dxa"/>
          </w:tcPr>
          <w:p w14:paraId="68F99E0C" w14:textId="77777777" w:rsidR="00AA30D8" w:rsidRPr="00C63A98" w:rsidRDefault="00AA30D8" w:rsidP="00C63A98">
            <w:pPr>
              <w:pStyle w:val="Tabletext"/>
              <w:rPr>
                <w:rFonts w:ascii="Calibri" w:hAnsi="Calibri" w:cs="Calibri"/>
                <w:sz w:val="20"/>
              </w:rPr>
            </w:pPr>
            <w:r w:rsidRPr="00C63A98">
              <w:rPr>
                <w:rFonts w:ascii="Calibri" w:hAnsi="Calibri" w:cs="Calibri"/>
                <w:sz w:val="20"/>
              </w:rPr>
              <w:t>BatchIdentifier</w:t>
            </w:r>
          </w:p>
        </w:tc>
        <w:tc>
          <w:tcPr>
            <w:tcW w:w="1590" w:type="dxa"/>
          </w:tcPr>
          <w:p w14:paraId="4B312E5E" w14:textId="77777777" w:rsidR="00AA30D8" w:rsidRPr="00C63A98" w:rsidRDefault="00AA30D8" w:rsidP="00C63A98">
            <w:pPr>
              <w:pStyle w:val="Tabletext"/>
              <w:rPr>
                <w:rFonts w:ascii="Calibri" w:hAnsi="Calibri" w:cs="Calibri"/>
                <w:sz w:val="20"/>
              </w:rPr>
            </w:pPr>
            <w:r w:rsidRPr="00C63A98">
              <w:rPr>
                <w:rFonts w:ascii="Calibri" w:hAnsi="Calibri" w:cs="Calibri"/>
                <w:sz w:val="20"/>
              </w:rPr>
              <w:t>Batch identifier</w:t>
            </w:r>
          </w:p>
        </w:tc>
        <w:tc>
          <w:tcPr>
            <w:tcW w:w="1216" w:type="dxa"/>
          </w:tcPr>
          <w:p w14:paraId="38CC973A"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1BD26610"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71A22D0E"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75A76998" w14:textId="77777777" w:rsidR="00AA30D8" w:rsidRPr="00C63A98" w:rsidRDefault="00AA30D8" w:rsidP="00C63A98">
            <w:pPr>
              <w:pStyle w:val="Tabletext"/>
              <w:rPr>
                <w:rFonts w:ascii="Calibri" w:hAnsi="Calibri" w:cs="Calibri"/>
                <w:sz w:val="20"/>
              </w:rPr>
            </w:pPr>
          </w:p>
        </w:tc>
      </w:tr>
      <w:tr w:rsidR="00AA30D8" w:rsidRPr="00C63A98" w14:paraId="2291415E" w14:textId="77777777" w:rsidTr="00D0687B">
        <w:trPr>
          <w:cantSplit/>
        </w:trPr>
        <w:tc>
          <w:tcPr>
            <w:tcW w:w="2806" w:type="dxa"/>
          </w:tcPr>
          <w:p w14:paraId="14FECF9B"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TransactionType</w:t>
            </w:r>
          </w:p>
        </w:tc>
        <w:tc>
          <w:tcPr>
            <w:tcW w:w="1590" w:type="dxa"/>
          </w:tcPr>
          <w:p w14:paraId="0E6F394A"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 type: Load for a rack load, Non-Movement for blending in the tank</w:t>
            </w:r>
          </w:p>
        </w:tc>
        <w:tc>
          <w:tcPr>
            <w:tcW w:w="1216" w:type="dxa"/>
          </w:tcPr>
          <w:p w14:paraId="5BF58667"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7531F1EF"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81B59D5"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6C520B88"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Load</w:t>
            </w:r>
          </w:p>
        </w:tc>
      </w:tr>
      <w:tr w:rsidR="00AA30D8" w:rsidRPr="00C63A98" w14:paraId="084E1195" w14:textId="77777777" w:rsidTr="00D0687B">
        <w:trPr>
          <w:cantSplit/>
        </w:trPr>
        <w:tc>
          <w:tcPr>
            <w:tcW w:w="2806" w:type="dxa"/>
          </w:tcPr>
          <w:p w14:paraId="3985686C"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TransactionDate</w:t>
            </w:r>
          </w:p>
        </w:tc>
        <w:tc>
          <w:tcPr>
            <w:tcW w:w="1590" w:type="dxa"/>
          </w:tcPr>
          <w:p w14:paraId="4E03D6B1" w14:textId="2191BA8E" w:rsidR="00AA30D8" w:rsidRPr="00C63A98" w:rsidRDefault="00144FA3" w:rsidP="00C63A98">
            <w:pPr>
              <w:pStyle w:val="Tabletext"/>
              <w:rPr>
                <w:rFonts w:ascii="Calibri" w:hAnsi="Calibri" w:cs="Calibri"/>
                <w:sz w:val="20"/>
              </w:rPr>
            </w:pPr>
            <w:r>
              <w:rPr>
                <w:rFonts w:ascii="Calibri" w:hAnsi="Calibri" w:cs="Calibri"/>
                <w:sz w:val="20"/>
              </w:rPr>
              <w:t>Time stamp of the transaction</w:t>
            </w:r>
          </w:p>
        </w:tc>
        <w:tc>
          <w:tcPr>
            <w:tcW w:w="1216" w:type="dxa"/>
          </w:tcPr>
          <w:p w14:paraId="04502DE1"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12FCC198"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059BA82F" w14:textId="77777777" w:rsidR="00AA30D8" w:rsidRPr="00C63A98" w:rsidRDefault="00AA30D8" w:rsidP="00C63A98">
            <w:pPr>
              <w:pStyle w:val="Tabletext"/>
              <w:rPr>
                <w:rFonts w:ascii="Calibri" w:hAnsi="Calibri" w:cs="Calibri"/>
                <w:sz w:val="20"/>
              </w:rPr>
            </w:pPr>
            <w:r w:rsidRPr="00C63A98">
              <w:rPr>
                <w:rFonts w:ascii="Calibri" w:hAnsi="Calibri" w:cs="Calibri"/>
                <w:sz w:val="20"/>
              </w:rPr>
              <w:t>DateTime</w:t>
            </w:r>
          </w:p>
        </w:tc>
        <w:tc>
          <w:tcPr>
            <w:tcW w:w="1404" w:type="dxa"/>
          </w:tcPr>
          <w:p w14:paraId="3F8FBCE2" w14:textId="55BE45EA" w:rsidR="00AA30D8" w:rsidRPr="00C63A98" w:rsidRDefault="00AA30D8" w:rsidP="00C63A98">
            <w:pPr>
              <w:pStyle w:val="Tabletext"/>
              <w:rPr>
                <w:rFonts w:ascii="Calibri" w:hAnsi="Calibri" w:cs="Calibri"/>
                <w:sz w:val="20"/>
              </w:rPr>
            </w:pPr>
          </w:p>
        </w:tc>
      </w:tr>
      <w:tr w:rsidR="00AA30D8" w:rsidRPr="00C63A98" w14:paraId="10CB6F97" w14:textId="77777777" w:rsidTr="00D0687B">
        <w:trPr>
          <w:cantSplit/>
        </w:trPr>
        <w:tc>
          <w:tcPr>
            <w:tcW w:w="2806" w:type="dxa"/>
          </w:tcPr>
          <w:p w14:paraId="36052EB0"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TransOrigin</w:t>
            </w:r>
          </w:p>
        </w:tc>
        <w:tc>
          <w:tcPr>
            <w:tcW w:w="1590" w:type="dxa"/>
          </w:tcPr>
          <w:p w14:paraId="7FDCDA32"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 of the transaction</w:t>
            </w:r>
          </w:p>
        </w:tc>
        <w:tc>
          <w:tcPr>
            <w:tcW w:w="1216" w:type="dxa"/>
          </w:tcPr>
          <w:p w14:paraId="56AB9C36"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10949AC3"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3001E7D5"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5427AAAC" w14:textId="77777777" w:rsidR="00AA30D8" w:rsidRPr="00C63A98" w:rsidRDefault="00AA30D8" w:rsidP="00C63A98">
            <w:pPr>
              <w:pStyle w:val="Tabletext"/>
              <w:rPr>
                <w:rFonts w:ascii="Calibri" w:hAnsi="Calibri" w:cs="Calibri"/>
                <w:sz w:val="20"/>
              </w:rPr>
            </w:pPr>
            <w:r w:rsidRPr="00C63A98">
              <w:rPr>
                <w:rFonts w:ascii="Calibri" w:hAnsi="Calibri" w:cs="Calibri"/>
                <w:sz w:val="20"/>
              </w:rPr>
              <w:t>AUTOMATED TERMINAL</w:t>
            </w:r>
          </w:p>
        </w:tc>
      </w:tr>
      <w:tr w:rsidR="00AA30D8" w:rsidRPr="00C63A98" w14:paraId="58504A79" w14:textId="77777777" w:rsidTr="00D0687B">
        <w:trPr>
          <w:cantSplit/>
        </w:trPr>
        <w:tc>
          <w:tcPr>
            <w:tcW w:w="2806" w:type="dxa"/>
          </w:tcPr>
          <w:p w14:paraId="6784A4EE"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w:t>
            </w:r>
          </w:p>
        </w:tc>
        <w:tc>
          <w:tcPr>
            <w:tcW w:w="1590" w:type="dxa"/>
          </w:tcPr>
          <w:p w14:paraId="66B83DB0"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Product</w:t>
            </w:r>
          </w:p>
        </w:tc>
        <w:tc>
          <w:tcPr>
            <w:tcW w:w="1216" w:type="dxa"/>
          </w:tcPr>
          <w:p w14:paraId="4523731C"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7C03E1C5"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3BF93249"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620AEDC3" w14:textId="77777777" w:rsidR="00AA30D8" w:rsidRPr="00C63A98" w:rsidRDefault="00AA30D8" w:rsidP="00C63A98">
            <w:pPr>
              <w:pStyle w:val="Tabletext"/>
              <w:rPr>
                <w:rFonts w:ascii="Calibri" w:hAnsi="Calibri" w:cs="Calibri"/>
                <w:sz w:val="20"/>
              </w:rPr>
            </w:pPr>
            <w:r w:rsidRPr="00C63A98">
              <w:rPr>
                <w:rFonts w:ascii="Calibri" w:hAnsi="Calibri" w:cs="Calibri"/>
                <w:sz w:val="20"/>
              </w:rPr>
              <w:t>D8990695-8CDB-497F-8422-A8E90124E874</w:t>
            </w:r>
          </w:p>
        </w:tc>
      </w:tr>
      <w:tr w:rsidR="00AA30D8" w:rsidRPr="00C63A98" w14:paraId="0D291414" w14:textId="77777777" w:rsidTr="00D0687B">
        <w:trPr>
          <w:cantSplit/>
        </w:trPr>
        <w:tc>
          <w:tcPr>
            <w:tcW w:w="2806" w:type="dxa"/>
          </w:tcPr>
          <w:p w14:paraId="1B45EEBB"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Material_GlobalCode</w:t>
            </w:r>
          </w:p>
        </w:tc>
        <w:tc>
          <w:tcPr>
            <w:tcW w:w="1590" w:type="dxa"/>
          </w:tcPr>
          <w:p w14:paraId="64E44F8D"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product</w:t>
            </w:r>
          </w:p>
        </w:tc>
        <w:tc>
          <w:tcPr>
            <w:tcW w:w="1216" w:type="dxa"/>
          </w:tcPr>
          <w:p w14:paraId="25CCC956"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3C54BE69"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A1997A4"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62DB2BB8" w14:textId="77777777" w:rsidR="00AA30D8" w:rsidRPr="00C63A98" w:rsidRDefault="00AA30D8" w:rsidP="00C63A98">
            <w:pPr>
              <w:pStyle w:val="Tabletext"/>
              <w:rPr>
                <w:rFonts w:ascii="Calibri" w:hAnsi="Calibri" w:cs="Calibri"/>
                <w:sz w:val="20"/>
              </w:rPr>
            </w:pPr>
          </w:p>
        </w:tc>
      </w:tr>
      <w:tr w:rsidR="00AA30D8" w:rsidRPr="00C63A98" w14:paraId="54E88263" w14:textId="77777777" w:rsidTr="00D0687B">
        <w:trPr>
          <w:cantSplit/>
        </w:trPr>
        <w:tc>
          <w:tcPr>
            <w:tcW w:w="2806" w:type="dxa"/>
          </w:tcPr>
          <w:p w14:paraId="7BF3FBC2"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MaterialGlobalCodeDescription</w:t>
            </w:r>
          </w:p>
        </w:tc>
        <w:tc>
          <w:tcPr>
            <w:tcW w:w="1590" w:type="dxa"/>
          </w:tcPr>
          <w:p w14:paraId="5A0E4007"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product</w:t>
            </w:r>
          </w:p>
        </w:tc>
        <w:tc>
          <w:tcPr>
            <w:tcW w:w="1216" w:type="dxa"/>
          </w:tcPr>
          <w:p w14:paraId="6FBB44CD"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7E4B5AC3"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2BE5F96E"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309EBDEA" w14:textId="77777777" w:rsidR="00AA30D8" w:rsidRPr="00C63A98" w:rsidRDefault="00AA30D8" w:rsidP="00C63A98">
            <w:pPr>
              <w:pStyle w:val="Tabletext"/>
              <w:rPr>
                <w:rFonts w:ascii="Calibri" w:hAnsi="Calibri" w:cs="Calibri"/>
                <w:sz w:val="20"/>
              </w:rPr>
            </w:pPr>
          </w:p>
        </w:tc>
      </w:tr>
      <w:tr w:rsidR="00AA30D8" w:rsidRPr="00C63A98" w14:paraId="72DFE21F" w14:textId="77777777" w:rsidTr="00D0687B">
        <w:trPr>
          <w:cantSplit/>
        </w:trPr>
        <w:tc>
          <w:tcPr>
            <w:tcW w:w="2806" w:type="dxa"/>
          </w:tcPr>
          <w:p w14:paraId="76DEFBA2"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w:t>
            </w:r>
          </w:p>
        </w:tc>
        <w:tc>
          <w:tcPr>
            <w:tcW w:w="1590" w:type="dxa"/>
          </w:tcPr>
          <w:p w14:paraId="636876BA" w14:textId="77777777" w:rsidR="00AA30D8" w:rsidRPr="00C63A98" w:rsidRDefault="00AA30D8" w:rsidP="00C63A98">
            <w:pPr>
              <w:pStyle w:val="Tabletext"/>
              <w:rPr>
                <w:rFonts w:ascii="Calibri" w:hAnsi="Calibri" w:cs="Calibri"/>
                <w:sz w:val="20"/>
              </w:rPr>
            </w:pPr>
            <w:r w:rsidRPr="00C63A98">
              <w:rPr>
                <w:rFonts w:ascii="Calibri" w:hAnsi="Calibri" w:cs="Calibri"/>
                <w:sz w:val="20"/>
              </w:rPr>
              <w:t>Blend component product</w:t>
            </w:r>
          </w:p>
        </w:tc>
        <w:tc>
          <w:tcPr>
            <w:tcW w:w="1216" w:type="dxa"/>
          </w:tcPr>
          <w:p w14:paraId="399FA798"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3CED4CE2"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76AB4BB2"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2483E473" w14:textId="77777777" w:rsidR="00AA30D8" w:rsidRPr="00C63A98" w:rsidRDefault="00AA30D8" w:rsidP="00C63A98">
            <w:pPr>
              <w:pStyle w:val="Tabletext"/>
              <w:rPr>
                <w:rFonts w:ascii="Calibri" w:hAnsi="Calibri" w:cs="Calibri"/>
                <w:sz w:val="20"/>
              </w:rPr>
            </w:pPr>
            <w:r w:rsidRPr="00C63A98">
              <w:rPr>
                <w:rFonts w:ascii="Calibri" w:hAnsi="Calibri" w:cs="Calibri"/>
                <w:sz w:val="20"/>
              </w:rPr>
              <w:t>CB98FD5B-0F3A-4C4B-956E-A59801172057</w:t>
            </w:r>
          </w:p>
        </w:tc>
      </w:tr>
      <w:tr w:rsidR="00AA30D8" w:rsidRPr="00C63A98" w14:paraId="3B1312DF" w14:textId="77777777" w:rsidTr="00D0687B">
        <w:trPr>
          <w:cantSplit/>
        </w:trPr>
        <w:tc>
          <w:tcPr>
            <w:tcW w:w="2806" w:type="dxa"/>
          </w:tcPr>
          <w:p w14:paraId="11F2B102"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Component_GlobalCode</w:t>
            </w:r>
          </w:p>
        </w:tc>
        <w:tc>
          <w:tcPr>
            <w:tcW w:w="1590" w:type="dxa"/>
          </w:tcPr>
          <w:p w14:paraId="267D4304"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blend component</w:t>
            </w:r>
          </w:p>
        </w:tc>
        <w:tc>
          <w:tcPr>
            <w:tcW w:w="1216" w:type="dxa"/>
          </w:tcPr>
          <w:p w14:paraId="2E80A727"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18994D93"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4C41C20A"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11BDD7F8" w14:textId="77777777" w:rsidR="00AA30D8" w:rsidRPr="00C63A98" w:rsidRDefault="00AA30D8" w:rsidP="00C63A98">
            <w:pPr>
              <w:pStyle w:val="Tabletext"/>
              <w:rPr>
                <w:rFonts w:ascii="Calibri" w:hAnsi="Calibri" w:cs="Calibri"/>
                <w:sz w:val="20"/>
              </w:rPr>
            </w:pPr>
          </w:p>
        </w:tc>
      </w:tr>
      <w:tr w:rsidR="00AA30D8" w:rsidRPr="00C63A98" w14:paraId="22B1B765" w14:textId="77777777" w:rsidTr="00D0687B">
        <w:trPr>
          <w:cantSplit/>
        </w:trPr>
        <w:tc>
          <w:tcPr>
            <w:tcW w:w="2806" w:type="dxa"/>
          </w:tcPr>
          <w:p w14:paraId="65C7BD51"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ComponentGlobalCodeDescription</w:t>
            </w:r>
          </w:p>
        </w:tc>
        <w:tc>
          <w:tcPr>
            <w:tcW w:w="1590" w:type="dxa"/>
          </w:tcPr>
          <w:p w14:paraId="3AB6B121"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blend component</w:t>
            </w:r>
          </w:p>
        </w:tc>
        <w:tc>
          <w:tcPr>
            <w:tcW w:w="1216" w:type="dxa"/>
          </w:tcPr>
          <w:p w14:paraId="0DB61DA0"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1E9B466A"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45E90854"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17F164B8" w14:textId="77777777" w:rsidR="00AA30D8" w:rsidRPr="00C63A98" w:rsidRDefault="00AA30D8" w:rsidP="00C63A98">
            <w:pPr>
              <w:pStyle w:val="Tabletext"/>
              <w:rPr>
                <w:rFonts w:ascii="Calibri" w:hAnsi="Calibri" w:cs="Calibri"/>
                <w:sz w:val="20"/>
              </w:rPr>
            </w:pPr>
          </w:p>
        </w:tc>
      </w:tr>
      <w:tr w:rsidR="00AA30D8" w:rsidRPr="00C63A98" w14:paraId="0FE33A4D" w14:textId="77777777" w:rsidTr="00D0687B">
        <w:trPr>
          <w:cantSplit/>
        </w:trPr>
        <w:tc>
          <w:tcPr>
            <w:tcW w:w="2806" w:type="dxa"/>
          </w:tcPr>
          <w:p w14:paraId="16D55B49"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w:t>
            </w:r>
          </w:p>
        </w:tc>
        <w:tc>
          <w:tcPr>
            <w:tcW w:w="1590" w:type="dxa"/>
          </w:tcPr>
          <w:p w14:paraId="121BBED6"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 location</w:t>
            </w:r>
          </w:p>
        </w:tc>
        <w:tc>
          <w:tcPr>
            <w:tcW w:w="1216" w:type="dxa"/>
          </w:tcPr>
          <w:p w14:paraId="4D74DDE0"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1770B4D1"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59D5729E"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6C9AF62E" w14:textId="77777777" w:rsidR="00AA30D8" w:rsidRPr="00C63A98" w:rsidRDefault="00AA30D8" w:rsidP="00C63A98">
            <w:pPr>
              <w:pStyle w:val="Tabletext"/>
              <w:rPr>
                <w:rFonts w:ascii="Calibri" w:hAnsi="Calibri" w:cs="Calibri"/>
                <w:sz w:val="20"/>
              </w:rPr>
            </w:pPr>
            <w:r w:rsidRPr="00C63A98">
              <w:rPr>
                <w:rFonts w:ascii="Calibri" w:hAnsi="Calibri" w:cs="Calibri"/>
                <w:sz w:val="20"/>
              </w:rPr>
              <w:t>A7B22F0F-C47E-4BD0-A387-A09E008C76E5</w:t>
            </w:r>
          </w:p>
        </w:tc>
      </w:tr>
      <w:tr w:rsidR="00AA30D8" w:rsidRPr="00C63A98" w14:paraId="00303273" w14:textId="77777777" w:rsidTr="00D0687B">
        <w:trPr>
          <w:cantSplit/>
        </w:trPr>
        <w:tc>
          <w:tcPr>
            <w:tcW w:w="2806" w:type="dxa"/>
          </w:tcPr>
          <w:p w14:paraId="1B404B8E"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OriginLocation_GlobalCode</w:t>
            </w:r>
          </w:p>
        </w:tc>
        <w:tc>
          <w:tcPr>
            <w:tcW w:w="1590" w:type="dxa"/>
          </w:tcPr>
          <w:p w14:paraId="0C9F472D"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origin location</w:t>
            </w:r>
          </w:p>
        </w:tc>
        <w:tc>
          <w:tcPr>
            <w:tcW w:w="1216" w:type="dxa"/>
          </w:tcPr>
          <w:p w14:paraId="557A52DA"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50C9564D"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5700B165"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50A25F55" w14:textId="77777777" w:rsidR="00AA30D8" w:rsidRPr="00C63A98" w:rsidRDefault="00AA30D8" w:rsidP="00C63A98">
            <w:pPr>
              <w:pStyle w:val="Tabletext"/>
              <w:rPr>
                <w:rFonts w:ascii="Calibri" w:hAnsi="Calibri" w:cs="Calibri"/>
                <w:sz w:val="20"/>
              </w:rPr>
            </w:pPr>
            <w:r w:rsidRPr="00C63A98">
              <w:rPr>
                <w:rFonts w:ascii="Calibri" w:hAnsi="Calibri" w:cs="Calibri"/>
                <w:sz w:val="20"/>
              </w:rPr>
              <w:t>1646</w:t>
            </w:r>
          </w:p>
        </w:tc>
      </w:tr>
      <w:tr w:rsidR="00AA30D8" w:rsidRPr="00C63A98" w14:paraId="3987A245" w14:textId="77777777" w:rsidTr="00D0687B">
        <w:trPr>
          <w:cantSplit/>
        </w:trPr>
        <w:tc>
          <w:tcPr>
            <w:tcW w:w="2806" w:type="dxa"/>
          </w:tcPr>
          <w:p w14:paraId="540C0ED6"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OriginLocationGlobalCodeDescription</w:t>
            </w:r>
          </w:p>
        </w:tc>
        <w:tc>
          <w:tcPr>
            <w:tcW w:w="1590" w:type="dxa"/>
          </w:tcPr>
          <w:p w14:paraId="6DA21643"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origin location</w:t>
            </w:r>
          </w:p>
        </w:tc>
        <w:tc>
          <w:tcPr>
            <w:tcW w:w="1216" w:type="dxa"/>
          </w:tcPr>
          <w:p w14:paraId="7E3CED7D"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026FDD02"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87E4E4D"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408E98C5" w14:textId="77777777" w:rsidR="00AA30D8" w:rsidRPr="00C63A98" w:rsidRDefault="00AA30D8" w:rsidP="00C63A98">
            <w:pPr>
              <w:pStyle w:val="Tabletext"/>
              <w:rPr>
                <w:rFonts w:ascii="Calibri" w:hAnsi="Calibri" w:cs="Calibri"/>
                <w:sz w:val="20"/>
              </w:rPr>
            </w:pPr>
          </w:p>
        </w:tc>
      </w:tr>
      <w:tr w:rsidR="00AA30D8" w:rsidRPr="00C63A98" w14:paraId="49A9A2C9" w14:textId="77777777" w:rsidTr="00D0687B">
        <w:trPr>
          <w:cantSplit/>
        </w:trPr>
        <w:tc>
          <w:tcPr>
            <w:tcW w:w="2806" w:type="dxa"/>
          </w:tcPr>
          <w:p w14:paraId="23690FB4"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w:t>
            </w:r>
          </w:p>
        </w:tc>
        <w:tc>
          <w:tcPr>
            <w:tcW w:w="1590" w:type="dxa"/>
          </w:tcPr>
          <w:p w14:paraId="108C2FAE"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 location</w:t>
            </w:r>
          </w:p>
        </w:tc>
        <w:tc>
          <w:tcPr>
            <w:tcW w:w="1216" w:type="dxa"/>
          </w:tcPr>
          <w:p w14:paraId="6D0DDE08"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480BBF1C"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05AF65B9"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34DE27CD" w14:textId="77777777" w:rsidR="00AA30D8" w:rsidRPr="00C63A98" w:rsidRDefault="00AA30D8" w:rsidP="00C63A98">
            <w:pPr>
              <w:pStyle w:val="Tabletext"/>
              <w:rPr>
                <w:rFonts w:ascii="Calibri" w:hAnsi="Calibri" w:cs="Calibri"/>
                <w:sz w:val="20"/>
              </w:rPr>
            </w:pPr>
          </w:p>
        </w:tc>
      </w:tr>
      <w:tr w:rsidR="00AA30D8" w:rsidRPr="00C63A98" w14:paraId="729B4630" w14:textId="77777777" w:rsidTr="00D0687B">
        <w:trPr>
          <w:cantSplit/>
        </w:trPr>
        <w:tc>
          <w:tcPr>
            <w:tcW w:w="2806" w:type="dxa"/>
          </w:tcPr>
          <w:p w14:paraId="0BD6E585"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DestinationLocation_GlobalCode</w:t>
            </w:r>
          </w:p>
        </w:tc>
        <w:tc>
          <w:tcPr>
            <w:tcW w:w="1590" w:type="dxa"/>
          </w:tcPr>
          <w:p w14:paraId="4E2FD364"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destination location</w:t>
            </w:r>
          </w:p>
        </w:tc>
        <w:tc>
          <w:tcPr>
            <w:tcW w:w="1216" w:type="dxa"/>
          </w:tcPr>
          <w:p w14:paraId="1BCD8663"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36A93C63"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57E7331"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2F15CE62" w14:textId="77777777" w:rsidR="00AA30D8" w:rsidRPr="00C63A98" w:rsidRDefault="00AA30D8" w:rsidP="00C63A98">
            <w:pPr>
              <w:pStyle w:val="Tabletext"/>
              <w:rPr>
                <w:rFonts w:ascii="Calibri" w:hAnsi="Calibri" w:cs="Calibri"/>
                <w:sz w:val="20"/>
              </w:rPr>
            </w:pPr>
          </w:p>
        </w:tc>
      </w:tr>
      <w:tr w:rsidR="00AA30D8" w:rsidRPr="00C63A98" w14:paraId="7D66807E" w14:textId="77777777" w:rsidTr="00D0687B">
        <w:trPr>
          <w:cantSplit/>
        </w:trPr>
        <w:tc>
          <w:tcPr>
            <w:tcW w:w="2806" w:type="dxa"/>
          </w:tcPr>
          <w:p w14:paraId="49E08F4E"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DestinationLocationGlobalCodeDescription</w:t>
            </w:r>
          </w:p>
        </w:tc>
        <w:tc>
          <w:tcPr>
            <w:tcW w:w="1590" w:type="dxa"/>
          </w:tcPr>
          <w:p w14:paraId="46E68485"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destination location</w:t>
            </w:r>
          </w:p>
        </w:tc>
        <w:tc>
          <w:tcPr>
            <w:tcW w:w="1216" w:type="dxa"/>
          </w:tcPr>
          <w:p w14:paraId="1476AC59"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27BE977E"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55C68959"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3C900D99" w14:textId="77777777" w:rsidR="00AA30D8" w:rsidRPr="00C63A98" w:rsidRDefault="00AA30D8" w:rsidP="00C63A98">
            <w:pPr>
              <w:pStyle w:val="Tabletext"/>
              <w:rPr>
                <w:rFonts w:ascii="Calibri" w:hAnsi="Calibri" w:cs="Calibri"/>
                <w:sz w:val="20"/>
              </w:rPr>
            </w:pPr>
          </w:p>
        </w:tc>
      </w:tr>
      <w:tr w:rsidR="00AA30D8" w:rsidRPr="00C63A98" w14:paraId="5A6FFA18" w14:textId="77777777" w:rsidTr="00D0687B">
        <w:trPr>
          <w:cantSplit/>
        </w:trPr>
        <w:tc>
          <w:tcPr>
            <w:tcW w:w="2806" w:type="dxa"/>
          </w:tcPr>
          <w:p w14:paraId="605C60C6"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w:t>
            </w:r>
          </w:p>
        </w:tc>
        <w:tc>
          <w:tcPr>
            <w:tcW w:w="1590" w:type="dxa"/>
          </w:tcPr>
          <w:p w14:paraId="52F987A3"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 tank</w:t>
            </w:r>
          </w:p>
        </w:tc>
        <w:tc>
          <w:tcPr>
            <w:tcW w:w="1216" w:type="dxa"/>
          </w:tcPr>
          <w:p w14:paraId="49D54DC8"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1715DC22"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3CAABC19"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7CFEEA50" w14:textId="77777777" w:rsidR="00AA30D8" w:rsidRPr="00C63A98" w:rsidRDefault="00AA30D8" w:rsidP="00C63A98">
            <w:pPr>
              <w:pStyle w:val="Tabletext"/>
              <w:rPr>
                <w:rFonts w:ascii="Calibri" w:hAnsi="Calibri" w:cs="Calibri"/>
                <w:sz w:val="20"/>
              </w:rPr>
            </w:pPr>
          </w:p>
        </w:tc>
      </w:tr>
      <w:tr w:rsidR="00AA30D8" w:rsidRPr="00C63A98" w14:paraId="15D5FE9A" w14:textId="77777777" w:rsidTr="00D0687B">
        <w:trPr>
          <w:cantSplit/>
        </w:trPr>
        <w:tc>
          <w:tcPr>
            <w:tcW w:w="2806" w:type="dxa"/>
          </w:tcPr>
          <w:p w14:paraId="14DA4E74"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OriginContainer_GlobalCode</w:t>
            </w:r>
          </w:p>
        </w:tc>
        <w:tc>
          <w:tcPr>
            <w:tcW w:w="1590" w:type="dxa"/>
          </w:tcPr>
          <w:p w14:paraId="1600628E"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origin tank</w:t>
            </w:r>
          </w:p>
        </w:tc>
        <w:tc>
          <w:tcPr>
            <w:tcW w:w="1216" w:type="dxa"/>
          </w:tcPr>
          <w:p w14:paraId="27D18DB8"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2D36A529"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246ADD27"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32B2F10B" w14:textId="77777777" w:rsidR="00AA30D8" w:rsidRPr="00C63A98" w:rsidRDefault="00AA30D8" w:rsidP="00C63A98">
            <w:pPr>
              <w:pStyle w:val="Tabletext"/>
              <w:rPr>
                <w:rFonts w:ascii="Calibri" w:hAnsi="Calibri" w:cs="Calibri"/>
                <w:sz w:val="20"/>
              </w:rPr>
            </w:pPr>
          </w:p>
        </w:tc>
      </w:tr>
      <w:tr w:rsidR="00AA30D8" w:rsidRPr="00C63A98" w14:paraId="346B8DFA" w14:textId="77777777" w:rsidTr="00D0687B">
        <w:trPr>
          <w:cantSplit/>
        </w:trPr>
        <w:tc>
          <w:tcPr>
            <w:tcW w:w="2806" w:type="dxa"/>
          </w:tcPr>
          <w:p w14:paraId="4D9517FC"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OriginContainerGlobalCodeDescription</w:t>
            </w:r>
          </w:p>
        </w:tc>
        <w:tc>
          <w:tcPr>
            <w:tcW w:w="1590" w:type="dxa"/>
          </w:tcPr>
          <w:p w14:paraId="6BC607AB"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origin tank</w:t>
            </w:r>
          </w:p>
        </w:tc>
        <w:tc>
          <w:tcPr>
            <w:tcW w:w="1216" w:type="dxa"/>
          </w:tcPr>
          <w:p w14:paraId="27212542"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3D9F0B73"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98716A4"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6E7C5F93" w14:textId="77777777" w:rsidR="00AA30D8" w:rsidRPr="00C63A98" w:rsidRDefault="00AA30D8" w:rsidP="00C63A98">
            <w:pPr>
              <w:pStyle w:val="Tabletext"/>
              <w:rPr>
                <w:rFonts w:ascii="Calibri" w:hAnsi="Calibri" w:cs="Calibri"/>
                <w:sz w:val="20"/>
              </w:rPr>
            </w:pPr>
          </w:p>
        </w:tc>
      </w:tr>
      <w:tr w:rsidR="00AA30D8" w:rsidRPr="00C63A98" w14:paraId="28C9C6A9" w14:textId="77777777" w:rsidTr="00D0687B">
        <w:trPr>
          <w:cantSplit/>
        </w:trPr>
        <w:tc>
          <w:tcPr>
            <w:tcW w:w="2806" w:type="dxa"/>
          </w:tcPr>
          <w:p w14:paraId="1D32882A"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w:t>
            </w:r>
          </w:p>
        </w:tc>
        <w:tc>
          <w:tcPr>
            <w:tcW w:w="1590" w:type="dxa"/>
          </w:tcPr>
          <w:p w14:paraId="369E6CA7"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 tank</w:t>
            </w:r>
          </w:p>
        </w:tc>
        <w:tc>
          <w:tcPr>
            <w:tcW w:w="1216" w:type="dxa"/>
          </w:tcPr>
          <w:p w14:paraId="76BB21C0"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040AAFD9"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2908DD4B"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541E4855" w14:textId="77777777" w:rsidR="00AA30D8" w:rsidRPr="00C63A98" w:rsidRDefault="00AA30D8" w:rsidP="00C63A98">
            <w:pPr>
              <w:pStyle w:val="Tabletext"/>
              <w:rPr>
                <w:rFonts w:ascii="Calibri" w:hAnsi="Calibri" w:cs="Calibri"/>
                <w:sz w:val="20"/>
              </w:rPr>
            </w:pPr>
          </w:p>
        </w:tc>
      </w:tr>
      <w:tr w:rsidR="00AA30D8" w:rsidRPr="00C63A98" w14:paraId="4B1B9E3D" w14:textId="77777777" w:rsidTr="00D0687B">
        <w:trPr>
          <w:cantSplit/>
        </w:trPr>
        <w:tc>
          <w:tcPr>
            <w:tcW w:w="2806" w:type="dxa"/>
          </w:tcPr>
          <w:p w14:paraId="5FD71CCE"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DestinationContainer_GlobalCode</w:t>
            </w:r>
          </w:p>
        </w:tc>
        <w:tc>
          <w:tcPr>
            <w:tcW w:w="1590" w:type="dxa"/>
          </w:tcPr>
          <w:p w14:paraId="5A78FBC0"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destination tank</w:t>
            </w:r>
          </w:p>
        </w:tc>
        <w:tc>
          <w:tcPr>
            <w:tcW w:w="1216" w:type="dxa"/>
          </w:tcPr>
          <w:p w14:paraId="6E5EEAAF"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4A5E3808"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B985982"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3EAE9875" w14:textId="77777777" w:rsidR="00AA30D8" w:rsidRPr="00C63A98" w:rsidRDefault="00AA30D8" w:rsidP="00C63A98">
            <w:pPr>
              <w:pStyle w:val="Tabletext"/>
              <w:rPr>
                <w:rFonts w:ascii="Calibri" w:hAnsi="Calibri" w:cs="Calibri"/>
                <w:sz w:val="20"/>
              </w:rPr>
            </w:pPr>
          </w:p>
        </w:tc>
      </w:tr>
      <w:tr w:rsidR="00AA30D8" w:rsidRPr="00C63A98" w14:paraId="14F14633" w14:textId="77777777" w:rsidTr="00D0687B">
        <w:trPr>
          <w:cantSplit/>
        </w:trPr>
        <w:tc>
          <w:tcPr>
            <w:tcW w:w="2806" w:type="dxa"/>
          </w:tcPr>
          <w:p w14:paraId="7D926CEA"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DestinationContainerGlobalCodeDescription</w:t>
            </w:r>
          </w:p>
        </w:tc>
        <w:tc>
          <w:tcPr>
            <w:tcW w:w="1590" w:type="dxa"/>
          </w:tcPr>
          <w:p w14:paraId="75693647"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destination tank</w:t>
            </w:r>
          </w:p>
        </w:tc>
        <w:tc>
          <w:tcPr>
            <w:tcW w:w="1216" w:type="dxa"/>
          </w:tcPr>
          <w:p w14:paraId="605449F0"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1CA557AD"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0E21595F"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306E5CF7" w14:textId="77777777" w:rsidR="00AA30D8" w:rsidRPr="00C63A98" w:rsidRDefault="00AA30D8" w:rsidP="00C63A98">
            <w:pPr>
              <w:pStyle w:val="Tabletext"/>
              <w:rPr>
                <w:rFonts w:ascii="Calibri" w:hAnsi="Calibri" w:cs="Calibri"/>
                <w:sz w:val="20"/>
              </w:rPr>
            </w:pPr>
          </w:p>
        </w:tc>
      </w:tr>
      <w:tr w:rsidR="00AA30D8" w:rsidRPr="00C63A98" w14:paraId="00ADDED9" w14:textId="77777777" w:rsidTr="00D0687B">
        <w:trPr>
          <w:cantSplit/>
        </w:trPr>
        <w:tc>
          <w:tcPr>
            <w:tcW w:w="2806" w:type="dxa"/>
          </w:tcPr>
          <w:p w14:paraId="071EDD89"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TransportMode</w:t>
            </w:r>
          </w:p>
        </w:tc>
        <w:tc>
          <w:tcPr>
            <w:tcW w:w="1590" w:type="dxa"/>
          </w:tcPr>
          <w:p w14:paraId="46257D6D" w14:textId="30CA277F" w:rsidR="00AA30D8" w:rsidRPr="00C63A98" w:rsidRDefault="00F80961" w:rsidP="00C63A98">
            <w:pPr>
              <w:pStyle w:val="Tabletext"/>
              <w:rPr>
                <w:rFonts w:ascii="Calibri" w:hAnsi="Calibri" w:cs="Calibri"/>
                <w:sz w:val="20"/>
              </w:rPr>
            </w:pPr>
            <w:r>
              <w:rPr>
                <w:rFonts w:ascii="Calibri" w:hAnsi="Calibri" w:cs="Calibri"/>
                <w:sz w:val="20"/>
              </w:rPr>
              <w:t>Mode of transport: Truck, Tank Blend - In Tank or Tank Blend - Moved Product</w:t>
            </w:r>
          </w:p>
        </w:tc>
        <w:tc>
          <w:tcPr>
            <w:tcW w:w="1216" w:type="dxa"/>
          </w:tcPr>
          <w:p w14:paraId="2749A254"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4EE5414A"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4C068661"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315E108E"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Truck</w:t>
            </w:r>
          </w:p>
        </w:tc>
      </w:tr>
      <w:tr w:rsidR="00AA30D8" w:rsidRPr="00C63A98" w14:paraId="41D11475" w14:textId="77777777" w:rsidTr="00D0687B">
        <w:trPr>
          <w:cantSplit/>
        </w:trPr>
        <w:tc>
          <w:tcPr>
            <w:tcW w:w="2806" w:type="dxa"/>
          </w:tcPr>
          <w:p w14:paraId="294AD458"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TransferStart</w:t>
            </w:r>
          </w:p>
        </w:tc>
        <w:tc>
          <w:tcPr>
            <w:tcW w:w="1590" w:type="dxa"/>
          </w:tcPr>
          <w:p w14:paraId="36C0FF93" w14:textId="2A331A9E" w:rsidR="00AA30D8" w:rsidRPr="00C63A98" w:rsidRDefault="00144FA3" w:rsidP="00C63A98">
            <w:pPr>
              <w:pStyle w:val="Tabletext"/>
              <w:rPr>
                <w:rFonts w:ascii="Calibri" w:hAnsi="Calibri" w:cs="Calibri"/>
                <w:sz w:val="20"/>
              </w:rPr>
            </w:pPr>
            <w:r>
              <w:rPr>
                <w:rFonts w:ascii="Calibri" w:hAnsi="Calibri" w:cs="Calibri"/>
                <w:sz w:val="20"/>
              </w:rPr>
              <w:t>Start time of the transfer</w:t>
            </w:r>
          </w:p>
        </w:tc>
        <w:tc>
          <w:tcPr>
            <w:tcW w:w="1216" w:type="dxa"/>
          </w:tcPr>
          <w:p w14:paraId="251973F2"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5C81DC49"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7CECC065" w14:textId="77777777" w:rsidR="00AA30D8" w:rsidRPr="00C63A98" w:rsidRDefault="00AA30D8" w:rsidP="00C63A98">
            <w:pPr>
              <w:pStyle w:val="Tabletext"/>
              <w:rPr>
                <w:rFonts w:ascii="Calibri" w:hAnsi="Calibri" w:cs="Calibri"/>
                <w:sz w:val="20"/>
              </w:rPr>
            </w:pPr>
            <w:r w:rsidRPr="00C63A98">
              <w:rPr>
                <w:rFonts w:ascii="Calibri" w:hAnsi="Calibri" w:cs="Calibri"/>
                <w:sz w:val="20"/>
              </w:rPr>
              <w:t>DateTime</w:t>
            </w:r>
          </w:p>
        </w:tc>
        <w:tc>
          <w:tcPr>
            <w:tcW w:w="1404" w:type="dxa"/>
          </w:tcPr>
          <w:p w14:paraId="219DE7C4" w14:textId="7F8D110C" w:rsidR="00AA30D8" w:rsidRPr="00C63A98" w:rsidRDefault="00AA30D8" w:rsidP="00C63A98">
            <w:pPr>
              <w:pStyle w:val="Tabletext"/>
              <w:rPr>
                <w:rFonts w:ascii="Calibri" w:hAnsi="Calibri" w:cs="Calibri"/>
                <w:sz w:val="20"/>
              </w:rPr>
            </w:pPr>
          </w:p>
        </w:tc>
      </w:tr>
      <w:tr w:rsidR="00AA30D8" w:rsidRPr="00C63A98" w14:paraId="15FB074E" w14:textId="77777777" w:rsidTr="00D0687B">
        <w:trPr>
          <w:cantSplit/>
        </w:trPr>
        <w:tc>
          <w:tcPr>
            <w:tcW w:w="2806" w:type="dxa"/>
          </w:tcPr>
          <w:p w14:paraId="0D0AA692"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TransferEnd</w:t>
            </w:r>
          </w:p>
        </w:tc>
        <w:tc>
          <w:tcPr>
            <w:tcW w:w="1590" w:type="dxa"/>
          </w:tcPr>
          <w:p w14:paraId="6CA4EF40" w14:textId="791C0418" w:rsidR="00AA30D8" w:rsidRPr="00C63A98" w:rsidRDefault="00144FA3" w:rsidP="00C63A98">
            <w:pPr>
              <w:pStyle w:val="Tabletext"/>
              <w:rPr>
                <w:rFonts w:ascii="Calibri" w:hAnsi="Calibri" w:cs="Calibri"/>
                <w:sz w:val="20"/>
              </w:rPr>
            </w:pPr>
            <w:r>
              <w:rPr>
                <w:rFonts w:ascii="Calibri" w:hAnsi="Calibri" w:cs="Calibri"/>
                <w:sz w:val="20"/>
              </w:rPr>
              <w:t>End time of the transfer</w:t>
            </w:r>
          </w:p>
        </w:tc>
        <w:tc>
          <w:tcPr>
            <w:tcW w:w="1216" w:type="dxa"/>
          </w:tcPr>
          <w:p w14:paraId="0E7B5DA5"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2DC42BEE"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59D60AA6" w14:textId="77777777" w:rsidR="00AA30D8" w:rsidRPr="00C63A98" w:rsidRDefault="00AA30D8" w:rsidP="00C63A98">
            <w:pPr>
              <w:pStyle w:val="Tabletext"/>
              <w:rPr>
                <w:rFonts w:ascii="Calibri" w:hAnsi="Calibri" w:cs="Calibri"/>
                <w:sz w:val="20"/>
              </w:rPr>
            </w:pPr>
            <w:r w:rsidRPr="00C63A98">
              <w:rPr>
                <w:rFonts w:ascii="Calibri" w:hAnsi="Calibri" w:cs="Calibri"/>
                <w:sz w:val="20"/>
              </w:rPr>
              <w:t>DateTime</w:t>
            </w:r>
          </w:p>
        </w:tc>
        <w:tc>
          <w:tcPr>
            <w:tcW w:w="1404" w:type="dxa"/>
          </w:tcPr>
          <w:p w14:paraId="03635D32" w14:textId="61D400E7" w:rsidR="00AA30D8" w:rsidRPr="00C63A98" w:rsidRDefault="00AA30D8" w:rsidP="00C63A98">
            <w:pPr>
              <w:pStyle w:val="Tabletext"/>
              <w:rPr>
                <w:rFonts w:ascii="Calibri" w:hAnsi="Calibri" w:cs="Calibri"/>
                <w:sz w:val="20"/>
              </w:rPr>
            </w:pPr>
          </w:p>
        </w:tc>
      </w:tr>
      <w:tr w:rsidR="00AA30D8" w:rsidRPr="00C63A98" w14:paraId="3E3B60BC" w14:textId="77777777" w:rsidTr="00D0687B">
        <w:trPr>
          <w:cantSplit/>
        </w:trPr>
        <w:tc>
          <w:tcPr>
            <w:tcW w:w="2806" w:type="dxa"/>
          </w:tcPr>
          <w:p w14:paraId="5A540165"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w:t>
            </w:r>
          </w:p>
        </w:tc>
        <w:tc>
          <w:tcPr>
            <w:tcW w:w="1590" w:type="dxa"/>
          </w:tcPr>
          <w:p w14:paraId="63C65329"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 quantity</w:t>
            </w:r>
          </w:p>
        </w:tc>
        <w:tc>
          <w:tcPr>
            <w:tcW w:w="1216" w:type="dxa"/>
          </w:tcPr>
          <w:p w14:paraId="4A713312"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73C117F2"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51C09A05"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Decimal (18,2)</w:t>
            </w:r>
          </w:p>
        </w:tc>
        <w:tc>
          <w:tcPr>
            <w:tcW w:w="1404" w:type="dxa"/>
          </w:tcPr>
          <w:p w14:paraId="64E19C70" w14:textId="77777777" w:rsidR="00AA30D8" w:rsidRPr="00C63A98" w:rsidRDefault="00AA30D8" w:rsidP="00C63A98">
            <w:pPr>
              <w:pStyle w:val="Tabletext"/>
              <w:rPr>
                <w:rFonts w:ascii="Calibri" w:hAnsi="Calibri" w:cs="Calibri"/>
                <w:sz w:val="20"/>
              </w:rPr>
            </w:pPr>
            <w:r w:rsidRPr="00C63A98">
              <w:rPr>
                <w:rFonts w:ascii="Calibri" w:hAnsi="Calibri" w:cs="Calibri"/>
                <w:sz w:val="20"/>
              </w:rPr>
              <w:t>787</w:t>
            </w:r>
          </w:p>
        </w:tc>
      </w:tr>
      <w:tr w:rsidR="00AA30D8" w:rsidRPr="00C63A98" w14:paraId="646A6BCB" w14:textId="77777777" w:rsidTr="00D0687B">
        <w:trPr>
          <w:cantSplit/>
        </w:trPr>
        <w:tc>
          <w:tcPr>
            <w:tcW w:w="2806" w:type="dxa"/>
          </w:tcPr>
          <w:p w14:paraId="06FAE34B"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GrossQuantityUOM</w:t>
            </w:r>
          </w:p>
        </w:tc>
        <w:tc>
          <w:tcPr>
            <w:tcW w:w="1590" w:type="dxa"/>
          </w:tcPr>
          <w:p w14:paraId="61EE634D" w14:textId="77777777" w:rsidR="00AA30D8" w:rsidRPr="00C63A98" w:rsidRDefault="00AA30D8" w:rsidP="00C63A98">
            <w:pPr>
              <w:pStyle w:val="Tabletext"/>
              <w:rPr>
                <w:rFonts w:ascii="Calibri" w:hAnsi="Calibri" w:cs="Calibri"/>
                <w:sz w:val="20"/>
              </w:rPr>
            </w:pPr>
            <w:r w:rsidRPr="00C63A98">
              <w:rPr>
                <w:rFonts w:ascii="Calibri" w:hAnsi="Calibri" w:cs="Calibri"/>
                <w:sz w:val="20"/>
              </w:rPr>
              <w:t>Unit of the gross quantity</w:t>
            </w:r>
          </w:p>
        </w:tc>
        <w:tc>
          <w:tcPr>
            <w:tcW w:w="1216" w:type="dxa"/>
          </w:tcPr>
          <w:p w14:paraId="11645D83"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52642A94"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67C24E40"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2440C8F7" w14:textId="77777777" w:rsidR="00AA30D8" w:rsidRPr="00C63A98" w:rsidRDefault="00AA30D8" w:rsidP="00C63A98">
            <w:pPr>
              <w:pStyle w:val="Tabletext"/>
              <w:rPr>
                <w:rFonts w:ascii="Calibri" w:hAnsi="Calibri" w:cs="Calibri"/>
                <w:sz w:val="20"/>
              </w:rPr>
            </w:pPr>
            <w:r w:rsidRPr="00C63A98">
              <w:rPr>
                <w:rFonts w:ascii="Calibri" w:hAnsi="Calibri" w:cs="Calibri"/>
                <w:sz w:val="20"/>
              </w:rPr>
              <w:t>GL</w:t>
            </w:r>
          </w:p>
        </w:tc>
      </w:tr>
      <w:tr w:rsidR="00AA30D8" w:rsidRPr="00C63A98" w14:paraId="43D4D2D6" w14:textId="77777777" w:rsidTr="00D0687B">
        <w:trPr>
          <w:cantSplit/>
        </w:trPr>
        <w:tc>
          <w:tcPr>
            <w:tcW w:w="2806" w:type="dxa"/>
          </w:tcPr>
          <w:p w14:paraId="61B63033"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w:t>
            </w:r>
          </w:p>
        </w:tc>
        <w:tc>
          <w:tcPr>
            <w:tcW w:w="1590" w:type="dxa"/>
          </w:tcPr>
          <w:p w14:paraId="2563EC1F"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 quantity</w:t>
            </w:r>
          </w:p>
        </w:tc>
        <w:tc>
          <w:tcPr>
            <w:tcW w:w="1216" w:type="dxa"/>
          </w:tcPr>
          <w:p w14:paraId="056621B4"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3A27B1F6"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FE2ED5B"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Decimal (18,2)</w:t>
            </w:r>
          </w:p>
        </w:tc>
        <w:tc>
          <w:tcPr>
            <w:tcW w:w="1404" w:type="dxa"/>
          </w:tcPr>
          <w:p w14:paraId="5FB87E5E" w14:textId="77777777" w:rsidR="00AA30D8" w:rsidRPr="00C63A98" w:rsidRDefault="00AA30D8" w:rsidP="00C63A98">
            <w:pPr>
              <w:pStyle w:val="Tabletext"/>
              <w:rPr>
                <w:rFonts w:ascii="Calibri" w:hAnsi="Calibri" w:cs="Calibri"/>
                <w:sz w:val="20"/>
              </w:rPr>
            </w:pPr>
            <w:r w:rsidRPr="00C63A98">
              <w:rPr>
                <w:rFonts w:ascii="Calibri" w:hAnsi="Calibri" w:cs="Calibri"/>
                <w:sz w:val="20"/>
              </w:rPr>
              <w:t>802</w:t>
            </w:r>
          </w:p>
        </w:tc>
      </w:tr>
      <w:tr w:rsidR="00AA30D8" w:rsidRPr="00C63A98" w14:paraId="749F3D8D" w14:textId="77777777" w:rsidTr="00D0687B">
        <w:trPr>
          <w:cantSplit/>
        </w:trPr>
        <w:tc>
          <w:tcPr>
            <w:tcW w:w="2806" w:type="dxa"/>
          </w:tcPr>
          <w:p w14:paraId="56A92ACA"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NetQuantityUOM</w:t>
            </w:r>
          </w:p>
        </w:tc>
        <w:tc>
          <w:tcPr>
            <w:tcW w:w="1590" w:type="dxa"/>
          </w:tcPr>
          <w:p w14:paraId="32DB796D" w14:textId="77777777" w:rsidR="00AA30D8" w:rsidRPr="00C63A98" w:rsidRDefault="00AA30D8" w:rsidP="00C63A98">
            <w:pPr>
              <w:pStyle w:val="Tabletext"/>
              <w:rPr>
                <w:rFonts w:ascii="Calibri" w:hAnsi="Calibri" w:cs="Calibri"/>
                <w:sz w:val="20"/>
              </w:rPr>
            </w:pPr>
            <w:r w:rsidRPr="00C63A98">
              <w:rPr>
                <w:rFonts w:ascii="Calibri" w:hAnsi="Calibri" w:cs="Calibri"/>
                <w:sz w:val="20"/>
              </w:rPr>
              <w:t>Unit of the net quantity</w:t>
            </w:r>
          </w:p>
        </w:tc>
        <w:tc>
          <w:tcPr>
            <w:tcW w:w="1216" w:type="dxa"/>
          </w:tcPr>
          <w:p w14:paraId="28CE0F9C"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04399251"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2FAEDB35"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621C596B" w14:textId="77777777" w:rsidR="00AA30D8" w:rsidRPr="00C63A98" w:rsidRDefault="00AA30D8" w:rsidP="00C63A98">
            <w:pPr>
              <w:pStyle w:val="Tabletext"/>
              <w:rPr>
                <w:rFonts w:ascii="Calibri" w:hAnsi="Calibri" w:cs="Calibri"/>
                <w:sz w:val="20"/>
              </w:rPr>
            </w:pPr>
            <w:r w:rsidRPr="00C63A98">
              <w:rPr>
                <w:rFonts w:ascii="Calibri" w:hAnsi="Calibri" w:cs="Calibri"/>
                <w:sz w:val="20"/>
              </w:rPr>
              <w:t>GL</w:t>
            </w:r>
          </w:p>
        </w:tc>
      </w:tr>
      <w:tr w:rsidR="00AA30D8" w:rsidRPr="00C63A98" w14:paraId="5B3E033A" w14:textId="77777777" w:rsidTr="00D0687B">
        <w:trPr>
          <w:cantSplit/>
        </w:trPr>
        <w:tc>
          <w:tcPr>
            <w:tcW w:w="2806" w:type="dxa"/>
          </w:tcPr>
          <w:p w14:paraId="1C0948B4" w14:textId="77777777" w:rsidR="00AA30D8" w:rsidRPr="00C63A98" w:rsidRDefault="00AA30D8" w:rsidP="00C63A98">
            <w:pPr>
              <w:pStyle w:val="Tabletext"/>
              <w:rPr>
                <w:rFonts w:ascii="Calibri" w:hAnsi="Calibri" w:cs="Calibri"/>
                <w:sz w:val="20"/>
              </w:rPr>
            </w:pPr>
            <w:r w:rsidRPr="00C63A98">
              <w:rPr>
                <w:rFonts w:ascii="Calibri" w:hAnsi="Calibri" w:cs="Calibri"/>
                <w:sz w:val="20"/>
              </w:rPr>
              <w:t>UOM_GlobalCode</w:t>
            </w:r>
          </w:p>
        </w:tc>
        <w:tc>
          <w:tcPr>
            <w:tcW w:w="1590" w:type="dxa"/>
          </w:tcPr>
          <w:p w14:paraId="2B36EC3F"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quantity unit</w:t>
            </w:r>
          </w:p>
        </w:tc>
        <w:tc>
          <w:tcPr>
            <w:tcW w:w="1216" w:type="dxa"/>
          </w:tcPr>
          <w:p w14:paraId="7511F1F8"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4C7CA311"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64889346"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6686C4EF" w14:textId="77777777" w:rsidR="00AA30D8" w:rsidRPr="00C63A98" w:rsidRDefault="00AA30D8" w:rsidP="00C63A98">
            <w:pPr>
              <w:pStyle w:val="Tabletext"/>
              <w:rPr>
                <w:rFonts w:ascii="Calibri" w:hAnsi="Calibri" w:cs="Calibri"/>
                <w:sz w:val="20"/>
              </w:rPr>
            </w:pPr>
          </w:p>
        </w:tc>
      </w:tr>
      <w:tr w:rsidR="00AA30D8" w:rsidRPr="00C63A98" w14:paraId="193C6132" w14:textId="77777777" w:rsidTr="00D0687B">
        <w:trPr>
          <w:cantSplit/>
        </w:trPr>
        <w:tc>
          <w:tcPr>
            <w:tcW w:w="2806" w:type="dxa"/>
          </w:tcPr>
          <w:p w14:paraId="750EB251"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w:t>
            </w:r>
          </w:p>
        </w:tc>
        <w:tc>
          <w:tcPr>
            <w:tcW w:w="1590" w:type="dxa"/>
          </w:tcPr>
          <w:p w14:paraId="4FDBBCFE" w14:textId="77777777" w:rsidR="00AA30D8" w:rsidRPr="00C63A98" w:rsidRDefault="00AA30D8" w:rsidP="00C63A98">
            <w:pPr>
              <w:pStyle w:val="Tabletext"/>
              <w:rPr>
                <w:rFonts w:ascii="Calibri" w:hAnsi="Calibri" w:cs="Calibri"/>
                <w:sz w:val="20"/>
              </w:rPr>
            </w:pPr>
            <w:r w:rsidRPr="00C63A98">
              <w:rPr>
                <w:rFonts w:ascii="Calibri" w:hAnsi="Calibri" w:cs="Calibri"/>
                <w:sz w:val="20"/>
              </w:rPr>
              <w:t>Terminal (facility)</w:t>
            </w:r>
          </w:p>
        </w:tc>
        <w:tc>
          <w:tcPr>
            <w:tcW w:w="1216" w:type="dxa"/>
          </w:tcPr>
          <w:p w14:paraId="3BEE47F2"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3F4AE96E"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37E9E49F"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22F4826D" w14:textId="77777777" w:rsidR="00AA30D8" w:rsidRPr="00C63A98" w:rsidRDefault="00AA30D8" w:rsidP="00C63A98">
            <w:pPr>
              <w:pStyle w:val="Tabletext"/>
              <w:rPr>
                <w:rFonts w:ascii="Calibri" w:hAnsi="Calibri" w:cs="Calibri"/>
                <w:sz w:val="20"/>
              </w:rPr>
            </w:pPr>
            <w:r w:rsidRPr="00C63A98">
              <w:rPr>
                <w:rFonts w:ascii="Calibri" w:hAnsi="Calibri" w:cs="Calibri"/>
                <w:sz w:val="20"/>
              </w:rPr>
              <w:t>A7B22F0F-C47E-4BD0-A387-A09E008C76E5</w:t>
            </w:r>
          </w:p>
        </w:tc>
      </w:tr>
      <w:tr w:rsidR="00AA30D8" w:rsidRPr="00C63A98" w14:paraId="77B2160D" w14:textId="77777777" w:rsidTr="00D0687B">
        <w:trPr>
          <w:cantSplit/>
        </w:trPr>
        <w:tc>
          <w:tcPr>
            <w:tcW w:w="2806" w:type="dxa"/>
          </w:tcPr>
          <w:p w14:paraId="3C698D96"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Location_GlobalCode</w:t>
            </w:r>
          </w:p>
        </w:tc>
        <w:tc>
          <w:tcPr>
            <w:tcW w:w="1590" w:type="dxa"/>
          </w:tcPr>
          <w:p w14:paraId="386985D7"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location</w:t>
            </w:r>
          </w:p>
        </w:tc>
        <w:tc>
          <w:tcPr>
            <w:tcW w:w="1216" w:type="dxa"/>
          </w:tcPr>
          <w:p w14:paraId="4340547C"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15F5E88C"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5E711FD"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5CA9C331" w14:textId="77777777" w:rsidR="00AA30D8" w:rsidRPr="00C63A98" w:rsidRDefault="00AA30D8" w:rsidP="00C63A98">
            <w:pPr>
              <w:pStyle w:val="Tabletext"/>
              <w:rPr>
                <w:rFonts w:ascii="Calibri" w:hAnsi="Calibri" w:cs="Calibri"/>
                <w:sz w:val="20"/>
              </w:rPr>
            </w:pPr>
            <w:r w:rsidRPr="00C63A98">
              <w:rPr>
                <w:rFonts w:ascii="Calibri" w:hAnsi="Calibri" w:cs="Calibri"/>
                <w:sz w:val="20"/>
              </w:rPr>
              <w:t>1646</w:t>
            </w:r>
          </w:p>
        </w:tc>
      </w:tr>
      <w:tr w:rsidR="00AA30D8" w:rsidRPr="00C63A98" w14:paraId="3502A76F" w14:textId="77777777" w:rsidTr="00D0687B">
        <w:trPr>
          <w:cantSplit/>
        </w:trPr>
        <w:tc>
          <w:tcPr>
            <w:tcW w:w="2806" w:type="dxa"/>
          </w:tcPr>
          <w:p w14:paraId="0604D61B"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LocationGlobalCodeDescription</w:t>
            </w:r>
          </w:p>
        </w:tc>
        <w:tc>
          <w:tcPr>
            <w:tcW w:w="1590" w:type="dxa"/>
          </w:tcPr>
          <w:p w14:paraId="02967426" w14:textId="5A18C628" w:rsidR="00AA30D8" w:rsidRPr="00C63A98" w:rsidRDefault="00F80961" w:rsidP="00C63A98">
            <w:pPr>
              <w:pStyle w:val="Tabletext"/>
              <w:rPr>
                <w:rFonts w:ascii="Calibri" w:hAnsi="Calibri" w:cs="Calibri"/>
                <w:sz w:val="20"/>
              </w:rPr>
            </w:pPr>
            <w:r>
              <w:rPr>
                <w:rFonts w:ascii="Calibri" w:hAnsi="Calibri" w:cs="Calibri"/>
                <w:sz w:val="20"/>
              </w:rPr>
              <w:t>Profisee description of the location, for example Lima, OH - MPC Terminal for location A7B22F0F-C47E-4BD0-A387-A09E008C76E5 (key 1646)</w:t>
            </w:r>
          </w:p>
        </w:tc>
        <w:tc>
          <w:tcPr>
            <w:tcW w:w="1216" w:type="dxa"/>
          </w:tcPr>
          <w:p w14:paraId="60F27AF8"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51645988"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11CB944B"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4A04CB93" w14:textId="1D338E63" w:rsidR="00AA30D8" w:rsidRPr="00C63A98" w:rsidRDefault="00AA30D8" w:rsidP="00C63A98">
            <w:pPr>
              <w:pStyle w:val="Tabletext"/>
              <w:rPr>
                <w:rFonts w:ascii="Calibri" w:hAnsi="Calibri" w:cs="Calibri"/>
                <w:sz w:val="20"/>
              </w:rPr>
            </w:pPr>
          </w:p>
        </w:tc>
      </w:tr>
      <w:tr w:rsidR="00AA30D8" w:rsidRPr="00C63A98" w14:paraId="357B4D1C" w14:textId="77777777" w:rsidTr="00D0687B">
        <w:trPr>
          <w:cantSplit/>
        </w:trPr>
        <w:tc>
          <w:tcPr>
            <w:tcW w:w="2806" w:type="dxa"/>
          </w:tcPr>
          <w:p w14:paraId="41DE2FC8" w14:textId="77777777" w:rsidR="00AA30D8" w:rsidRPr="00C63A98" w:rsidRDefault="00AA30D8" w:rsidP="00C63A98">
            <w:pPr>
              <w:pStyle w:val="Tabletext"/>
              <w:rPr>
                <w:rFonts w:ascii="Calibri" w:hAnsi="Calibri" w:cs="Calibri"/>
                <w:sz w:val="20"/>
              </w:rPr>
            </w:pPr>
            <w:r w:rsidRPr="00C63A98">
              <w:rPr>
                <w:rFonts w:ascii="Calibri" w:hAnsi="Calibri" w:cs="Calibri"/>
                <w:sz w:val="20"/>
              </w:rPr>
              <w:t>TimeZone</w:t>
            </w:r>
          </w:p>
        </w:tc>
        <w:tc>
          <w:tcPr>
            <w:tcW w:w="1590" w:type="dxa"/>
          </w:tcPr>
          <w:p w14:paraId="03DBD910" w14:textId="77777777" w:rsidR="00AA30D8" w:rsidRPr="00C63A98" w:rsidRDefault="00AA30D8" w:rsidP="00C63A98">
            <w:pPr>
              <w:pStyle w:val="Tabletext"/>
              <w:rPr>
                <w:rFonts w:ascii="Calibri" w:hAnsi="Calibri" w:cs="Calibri"/>
                <w:sz w:val="20"/>
              </w:rPr>
            </w:pPr>
            <w:r w:rsidRPr="00C63A98">
              <w:rPr>
                <w:rFonts w:ascii="Calibri" w:hAnsi="Calibri" w:cs="Calibri"/>
                <w:sz w:val="20"/>
              </w:rPr>
              <w:t>Time zone of the location</w:t>
            </w:r>
          </w:p>
        </w:tc>
        <w:tc>
          <w:tcPr>
            <w:tcW w:w="1216" w:type="dxa"/>
          </w:tcPr>
          <w:p w14:paraId="2422E047"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6902D6BD"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2CF4ED6C"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4B451D21" w14:textId="77777777" w:rsidR="00AA30D8" w:rsidRPr="00C63A98" w:rsidRDefault="00AA30D8" w:rsidP="00C63A98">
            <w:pPr>
              <w:pStyle w:val="Tabletext"/>
              <w:rPr>
                <w:rFonts w:ascii="Calibri" w:hAnsi="Calibri" w:cs="Calibri"/>
                <w:sz w:val="20"/>
              </w:rPr>
            </w:pPr>
          </w:p>
        </w:tc>
      </w:tr>
      <w:tr w:rsidR="00AA30D8" w:rsidRPr="00C63A98" w14:paraId="7A394BEB" w14:textId="77777777" w:rsidTr="00D0687B">
        <w:trPr>
          <w:cantSplit/>
        </w:trPr>
        <w:tc>
          <w:tcPr>
            <w:tcW w:w="2806" w:type="dxa"/>
          </w:tcPr>
          <w:p w14:paraId="564A0802" w14:textId="77777777" w:rsidR="00AA30D8" w:rsidRPr="00C63A98" w:rsidRDefault="00AA30D8" w:rsidP="00C63A98">
            <w:pPr>
              <w:pStyle w:val="Tabletext"/>
              <w:rPr>
                <w:rFonts w:ascii="Calibri" w:hAnsi="Calibri" w:cs="Calibri"/>
                <w:sz w:val="20"/>
              </w:rPr>
            </w:pPr>
            <w:r w:rsidRPr="00C63A98">
              <w:rPr>
                <w:rFonts w:ascii="Calibri" w:hAnsi="Calibri" w:cs="Calibri"/>
                <w:sz w:val="20"/>
              </w:rPr>
              <w:t>Region</w:t>
            </w:r>
          </w:p>
        </w:tc>
        <w:tc>
          <w:tcPr>
            <w:tcW w:w="1590" w:type="dxa"/>
          </w:tcPr>
          <w:p w14:paraId="71221096" w14:textId="77777777" w:rsidR="00AA30D8" w:rsidRPr="00C63A98" w:rsidRDefault="00AA30D8" w:rsidP="00C63A98">
            <w:pPr>
              <w:pStyle w:val="Tabletext"/>
              <w:rPr>
                <w:rFonts w:ascii="Calibri" w:hAnsi="Calibri" w:cs="Calibri"/>
                <w:sz w:val="20"/>
              </w:rPr>
            </w:pPr>
            <w:r w:rsidRPr="00C63A98">
              <w:rPr>
                <w:rFonts w:ascii="Calibri" w:hAnsi="Calibri" w:cs="Calibri"/>
                <w:sz w:val="20"/>
              </w:rPr>
              <w:t>Region of the location</w:t>
            </w:r>
          </w:p>
        </w:tc>
        <w:tc>
          <w:tcPr>
            <w:tcW w:w="1216" w:type="dxa"/>
          </w:tcPr>
          <w:p w14:paraId="42E33EDB"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216" w:type="dxa"/>
          </w:tcPr>
          <w:p w14:paraId="22EF34D9"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4DCB21C7"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04DBAAEF"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North</w:t>
            </w:r>
          </w:p>
        </w:tc>
      </w:tr>
      <w:tr w:rsidR="00AA30D8" w:rsidRPr="00C63A98" w14:paraId="1FE682C4" w14:textId="77777777" w:rsidTr="00D0687B">
        <w:trPr>
          <w:cantSplit/>
        </w:trPr>
        <w:tc>
          <w:tcPr>
            <w:tcW w:w="2806" w:type="dxa"/>
          </w:tcPr>
          <w:p w14:paraId="03225FF3"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State</w:t>
            </w:r>
          </w:p>
        </w:tc>
        <w:tc>
          <w:tcPr>
            <w:tcW w:w="1590" w:type="dxa"/>
          </w:tcPr>
          <w:p w14:paraId="58C79E34" w14:textId="77777777" w:rsidR="00AA30D8" w:rsidRPr="00C63A98" w:rsidRDefault="00AA30D8" w:rsidP="00C63A98">
            <w:pPr>
              <w:pStyle w:val="Tabletext"/>
              <w:rPr>
                <w:rFonts w:ascii="Calibri" w:hAnsi="Calibri" w:cs="Calibri"/>
                <w:sz w:val="20"/>
              </w:rPr>
            </w:pPr>
            <w:r w:rsidRPr="00C63A98">
              <w:rPr>
                <w:rFonts w:ascii="Calibri" w:hAnsi="Calibri" w:cs="Calibri"/>
                <w:sz w:val="20"/>
              </w:rPr>
              <w:t>Data state</w:t>
            </w:r>
          </w:p>
        </w:tc>
        <w:tc>
          <w:tcPr>
            <w:tcW w:w="1216" w:type="dxa"/>
          </w:tcPr>
          <w:p w14:paraId="7D0D222E" w14:textId="77777777" w:rsidR="00AA30D8" w:rsidRPr="00C63A98" w:rsidRDefault="00AA30D8" w:rsidP="00C63A98">
            <w:pPr>
              <w:pStyle w:val="Tabletext"/>
              <w:rPr>
                <w:rFonts w:ascii="Calibri" w:hAnsi="Calibri" w:cs="Calibri"/>
                <w:sz w:val="20"/>
              </w:rPr>
            </w:pPr>
            <w:r w:rsidRPr="00C63A98">
              <w:rPr>
                <w:rFonts w:ascii="Calibri" w:hAnsi="Calibri" w:cs="Calibri"/>
                <w:sz w:val="20"/>
              </w:rPr>
              <w:t>Yes</w:t>
            </w:r>
          </w:p>
        </w:tc>
        <w:tc>
          <w:tcPr>
            <w:tcW w:w="1216" w:type="dxa"/>
          </w:tcPr>
          <w:p w14:paraId="7BE54820" w14:textId="77777777" w:rsidR="00AA30D8" w:rsidRPr="00C63A98" w:rsidRDefault="00AA30D8" w:rsidP="00C63A98">
            <w:pPr>
              <w:pStyle w:val="Tabletext"/>
              <w:rPr>
                <w:rFonts w:ascii="Calibri" w:hAnsi="Calibri" w:cs="Calibri"/>
                <w:sz w:val="20"/>
              </w:rPr>
            </w:pPr>
            <w:r w:rsidRPr="00C63A98">
              <w:rPr>
                <w:rFonts w:ascii="Calibri" w:hAnsi="Calibri" w:cs="Calibri"/>
                <w:sz w:val="20"/>
              </w:rPr>
              <w:t>No</w:t>
            </w:r>
          </w:p>
        </w:tc>
        <w:tc>
          <w:tcPr>
            <w:tcW w:w="1122" w:type="dxa"/>
          </w:tcPr>
          <w:p w14:paraId="260CF8ED"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String</w:t>
            </w:r>
          </w:p>
        </w:tc>
        <w:tc>
          <w:tcPr>
            <w:tcW w:w="1404" w:type="dxa"/>
          </w:tcPr>
          <w:p w14:paraId="5AB654F8" w14:textId="77777777" w:rsidR="00AA30D8" w:rsidRPr="00C63A98" w:rsidRDefault="00AA30D8" w:rsidP="00C63A98">
            <w:pPr>
              <w:pStyle w:val="Tabletext"/>
              <w:rPr>
                <w:rFonts w:ascii="Calibri" w:hAnsi="Calibri" w:cs="Calibri"/>
                <w:sz w:val="20"/>
              </w:rPr>
            </w:pPr>
            <w:r w:rsidRPr="00C63A98">
              <w:rPr>
                <w:rFonts w:ascii="Calibri" w:hAnsi="Calibri" w:cs="Calibri"/>
                <w:sz w:val="20"/>
              </w:rPr>
              <w:t>Actual</w:t>
            </w:r>
          </w:p>
        </w:tc>
      </w:tr>
      <w:tr w:rsidR="00AA30D8" w:rsidRPr="00C63A98" w14:paraId="225ED7E9" w14:textId="77777777" w:rsidTr="00D0687B">
        <w:trPr>
          <w:cantSplit/>
        </w:trPr>
        <w:tc>
          <w:tcPr>
            <w:tcW w:w="2806" w:type="dxa"/>
          </w:tcPr>
          <w:p w14:paraId="6933566B"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DataSource</w:t>
            </w:r>
          </w:p>
        </w:tc>
        <w:tc>
          <w:tcPr>
            <w:tcW w:w="1590" w:type="dxa"/>
          </w:tcPr>
          <w:p w14:paraId="71873011"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Source system</w:t>
            </w:r>
          </w:p>
        </w:tc>
        <w:tc>
          <w:tcPr>
            <w:tcW w:w="1216" w:type="dxa"/>
          </w:tcPr>
          <w:p w14:paraId="6A4BFD46"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Yes</w:t>
            </w:r>
          </w:p>
        </w:tc>
        <w:tc>
          <w:tcPr>
            <w:tcW w:w="1216" w:type="dxa"/>
          </w:tcPr>
          <w:p w14:paraId="00406570"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No</w:t>
            </w:r>
          </w:p>
        </w:tc>
        <w:tc>
          <w:tcPr>
            <w:tcW w:w="1122" w:type="dxa"/>
          </w:tcPr>
          <w:p w14:paraId="41802898"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String</w:t>
            </w:r>
          </w:p>
        </w:tc>
        <w:tc>
          <w:tcPr>
            <w:tcW w:w="1404" w:type="dxa"/>
          </w:tcPr>
          <w:p w14:paraId="6CA21DD1"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Kittyhawk</w:t>
            </w:r>
          </w:p>
        </w:tc>
      </w:tr>
    </w:tbl>
    <w:p w14:paraId="2B8DB839" w14:textId="3B8C3C22" w:rsidR="00AA30D8" w:rsidRDefault="00AA30D8" w:rsidP="00AA30D8">
      <w:pPr>
        <w:pStyle w:val="Caption"/>
      </w:pPr>
      <w:bookmarkStart w:id="233" w:name="_Toc242554027"/>
      <w:r>
        <w:t xml:space="preserve">Table </w:t>
      </w:r>
      <w:bookmarkStart w:id="234" w:name="_Ref917260924"/>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29</w:t>
      </w:r>
      <w:r>
        <w:fldChar w:fldCharType="end"/>
      </w:r>
      <w:bookmarkEnd w:id="234"/>
      <w:r>
        <w:t>: Blend component Movements at Terminals (Kittyhawk transaction upload) - API Endpoint - Response Model</w:t>
      </w:r>
      <w:bookmarkEnd w:id="233"/>
    </w:p>
    <w:p w14:paraId="0C23204F" w14:textId="77777777" w:rsidR="006958CC" w:rsidRPr="006958CC" w:rsidRDefault="006958CC" w:rsidP="006958CC">
      <w:pPr>
        <w:pStyle w:val="Heading5"/>
        <w:rPr>
          <w:rFonts w:ascii="Calibri" w:hAnsi="Calibri" w:cs="Calibri"/>
          <w:sz w:val="20"/>
        </w:rPr>
      </w:pPr>
      <w:r w:rsidRPr="006958CC">
        <w:rPr>
          <w:rFonts w:ascii="Calibri" w:hAnsi="Calibri" w:cs="Calibri"/>
          <w:sz w:val="20"/>
        </w:rPr>
        <w:t>Sequence Diagram</w:t>
      </w:r>
    </w:p>
    <w:p w14:paraId="73995558" w14:textId="031DFF22" w:rsidR="006958CC" w:rsidRPr="006958CC" w:rsidRDefault="00FC42E7" w:rsidP="00FC42E7">
      <w:pPr>
        <w:keepNext/>
        <w:keepLines/>
        <w:jc w:val="left"/>
        <w:rPr>
          <w:rFonts w:ascii="Calibri" w:hAnsi="Calibri" w:cs="Calibri"/>
        </w:rPr>
      </w:pPr>
      <w:r>
        <w:rPr>
          <w:rFonts w:ascii="Calibri" w:hAnsi="Calibri" w:cs="Calibri"/>
        </w:rPr>
        <w:t>The figure below shows the calls that move the blend component movements in the order they happen, for UseServiceBus = true and for UseServiceBus = false.</w:t>
      </w:r>
    </w:p>
    <w:p w14:paraId="181508C9" w14:textId="33B15E71" w:rsidR="006958CC" w:rsidRPr="006958CC" w:rsidRDefault="00FC42E7" w:rsidP="006958CC">
      <w:pPr>
        <w:keepNext/>
        <w:spacing w:after="40"/>
        <w:jc w:val="center"/>
      </w:pPr>
      <w:r>
        <w:rPr>
          <w:noProof/>
        </w:rPr>
        <w:drawing>
          <wp:inline distT="0" distB="0" distL="0" distR="0" wp14:anchorId="3680E107" wp14:editId="63F96F93">
            <wp:extent cx="5943600" cy="3893185"/>
            <wp:effectExtent l="0" t="0" r="0" b="0"/>
            <wp:docPr id="1336940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4027" name=""/>
                    <pic:cNvPicPr/>
                  </pic:nvPicPr>
                  <pic:blipFill>
                    <a:blip r:embed="rId38"/>
                    <a:stretch>
                      <a:fillRect/>
                    </a:stretch>
                  </pic:blipFill>
                  <pic:spPr>
                    <a:xfrm>
                      <a:off x="0" y="0"/>
                      <a:ext cx="5943600" cy="3893185"/>
                    </a:xfrm>
                    <a:prstGeom prst="rect">
                      <a:avLst/>
                    </a:prstGeom>
                  </pic:spPr>
                </pic:pic>
              </a:graphicData>
            </a:graphic>
          </wp:inline>
        </w:drawing>
      </w:r>
    </w:p>
    <w:p w14:paraId="28881278" w14:textId="470EB05F" w:rsidR="006958CC" w:rsidRPr="006958CC" w:rsidRDefault="006958CC" w:rsidP="006958CC">
      <w:pPr>
        <w:pStyle w:val="Caption"/>
        <w:rPr>
          <w:rFonts w:ascii="Calibri" w:hAnsi="Calibri" w:cs="Calibri"/>
        </w:rPr>
      </w:pPr>
      <w:bookmarkStart w:id="235" w:name="_Toc242554151"/>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15</w:t>
      </w:r>
      <w:r w:rsidRPr="006958CC">
        <w:rPr>
          <w:rFonts w:ascii="Calibri" w:hAnsi="Calibri" w:cs="Calibri"/>
        </w:rPr>
        <w:fldChar w:fldCharType="end"/>
      </w:r>
      <w:r w:rsidRPr="006958CC">
        <w:rPr>
          <w:rFonts w:ascii="Calibri" w:hAnsi="Calibri" w:cs="Calibri"/>
        </w:rPr>
        <w:t>: Blend Component Movement Integration Sequence Diagram</w:t>
      </w:r>
      <w:bookmarkEnd w:id="235"/>
    </w:p>
    <w:p w14:paraId="0CAC0BC7" w14:textId="77777777" w:rsidR="00FC42E7" w:rsidRPr="00EC3682" w:rsidRDefault="00FC42E7" w:rsidP="00FC42E7">
      <w:pPr>
        <w:pStyle w:val="ListParagraph"/>
        <w:numPr>
          <w:ilvl w:val="0"/>
          <w:numId w:val="4"/>
        </w:numPr>
        <w:jc w:val="left"/>
        <w:rPr>
          <w:rFonts w:ascii="Calibri" w:hAnsi="Calibri" w:cs="Calibri"/>
        </w:rPr>
      </w:pPr>
      <w:r>
        <w:t>The Semantic Service calls are drawn in the UseServiceBus = false path; the UseServiceBus = true path shall make them in the same order.</w:t>
      </w:r>
    </w:p>
    <w:p w14:paraId="6B3707FA" w14:textId="176098EB" w:rsidR="00FC42E7" w:rsidRPr="00EC3682" w:rsidRDefault="00FC42E7" w:rsidP="00FC42E7">
      <w:pPr>
        <w:pStyle w:val="ListParagraph"/>
        <w:numPr>
          <w:ilvl w:val="0"/>
          <w:numId w:val="4"/>
        </w:numPr>
        <w:jc w:val="left"/>
        <w:rPr>
          <w:rFonts w:ascii="Calibri" w:hAnsi="Calibri" w:cs="Calibri"/>
        </w:rPr>
      </w:pPr>
      <w:r>
        <w:t xml:space="preserve">The calls shall follow the common integration pattern (section </w:t>
      </w:r>
      <w:r>
        <w:fldChar w:fldCharType="begin"/>
      </w:r>
      <w:r>
        <w:instrText xml:space="preserve"> REF _Ref917260951 \w \h \* MERGEFORMAT </w:instrText>
      </w:r>
      <w:r>
        <w:fldChar w:fldCharType="separate"/>
      </w:r>
      <w:r w:rsidRPr="00FC42E7">
        <w:rPr>
          <w:color w:val="0563C1"/>
          <w:u w:val="single"/>
        </w:rPr>
        <w:t>2.3.1.4</w:t>
      </w:r>
      <w:r>
        <w:fldChar w:fldCharType="end"/>
      </w:r>
      <w:r>
        <w:t xml:space="preserve">), in the order given for the analyzer qualities in section </w:t>
      </w:r>
      <w:r>
        <w:fldChar w:fldCharType="begin"/>
      </w:r>
      <w:r>
        <w:instrText xml:space="preserve"> REF _Ref917260952 \w \h \* MERGEFORMAT </w:instrText>
      </w:r>
      <w:r>
        <w:fldChar w:fldCharType="separate"/>
      </w:r>
      <w:r w:rsidRPr="00FC42E7">
        <w:rPr>
          <w:color w:val="0563C1"/>
          <w:u w:val="single"/>
        </w:rPr>
        <w:t>2.3.3.1.5</w:t>
      </w:r>
      <w:r>
        <w:fldChar w:fldCharType="end"/>
      </w:r>
      <w:r>
        <w:t>.</w:t>
      </w:r>
    </w:p>
    <w:p w14:paraId="5F14D9B2" w14:textId="3B3CB227" w:rsidR="006958CC" w:rsidRPr="00FC42E7" w:rsidRDefault="00FC42E7" w:rsidP="00FC42E7">
      <w:pPr>
        <w:pStyle w:val="ListParagraph"/>
        <w:numPr>
          <w:ilvl w:val="0"/>
          <w:numId w:val="4"/>
        </w:numPr>
        <w:jc w:val="left"/>
      </w:pPr>
      <w:r w:rsidRPr="00FC42E7">
        <w:t>For the movements, the Response Service shall read the transaction upload rows from Kittyhawk and add the Profisee codes, descriptions and time zone through the Semantic Service.</w:t>
      </w:r>
    </w:p>
    <w:p w14:paraId="7EAF182E" w14:textId="37D9AA45" w:rsidR="0081216E" w:rsidRDefault="00AA30D8" w:rsidP="00AA30D8">
      <w:pPr>
        <w:pStyle w:val="Heading5"/>
        <w:rPr>
          <w:rFonts w:ascii="Calibri" w:hAnsi="Calibri" w:cs="Calibri"/>
          <w:sz w:val="20"/>
        </w:rPr>
      </w:pPr>
      <w:r w:rsidRPr="00AA30D8">
        <w:rPr>
          <w:rFonts w:ascii="Calibri" w:hAnsi="Calibri" w:cs="Calibri"/>
          <w:sz w:val="20"/>
        </w:rPr>
        <w:t>Data Entity</w:t>
      </w:r>
    </w:p>
    <w:p w14:paraId="72072962" w14:textId="763B4A0C" w:rsidR="00FC42E7" w:rsidRPr="00EC3682" w:rsidRDefault="00FC42E7" w:rsidP="00FC42E7">
      <w:pPr>
        <w:pStyle w:val="ListParagraph"/>
        <w:numPr>
          <w:ilvl w:val="0"/>
          <w:numId w:val="4"/>
        </w:numPr>
        <w:jc w:val="left"/>
        <w:rPr>
          <w:rFonts w:ascii="Calibri" w:hAnsi="Calibri" w:cs="Calibri"/>
        </w:rPr>
      </w:pPr>
      <w:r>
        <w:t>Each transaction upload row shall be one movement at a terminal.</w:t>
      </w:r>
    </w:p>
    <w:p w14:paraId="71FC7BDA" w14:textId="2201D178" w:rsidR="00FC42E7" w:rsidRPr="00EC3682" w:rsidRDefault="00FC42E7" w:rsidP="00FC42E7">
      <w:pPr>
        <w:pStyle w:val="ListParagraph"/>
        <w:numPr>
          <w:ilvl w:val="0"/>
          <w:numId w:val="4"/>
        </w:numPr>
        <w:jc w:val="left"/>
        <w:rPr>
          <w:rFonts w:ascii="Calibri" w:hAnsi="Calibri" w:cs="Calibri"/>
        </w:rPr>
      </w:pPr>
      <w:r>
        <w:t xml:space="preserve">The integration shall keep only the loads and blends given in Table </w:t>
      </w:r>
      <w:r>
        <w:fldChar w:fldCharType="begin"/>
      </w:r>
      <w:r>
        <w:instrText xml:space="preserve"> REF _Ref917260932 \h \* MERGEFORMAT </w:instrText>
      </w:r>
      <w:r>
        <w:fldChar w:fldCharType="separate"/>
      </w:r>
      <w:r w:rsidRPr="00FC42E7">
        <w:rPr>
          <w:noProof/>
          <w:color w:val="0563C1"/>
          <w:u w:val="single"/>
        </w:rPr>
        <w:t>2-27</w:t>
      </w:r>
      <w:r>
        <w:fldChar w:fldCharType="end"/>
      </w:r>
      <w:r>
        <w:t>.</w:t>
      </w:r>
    </w:p>
    <w:p w14:paraId="08FAC8F2" w14:textId="310946F4" w:rsidR="00AA30D8" w:rsidRPr="00FC42E7" w:rsidRDefault="00FC42E7" w:rsidP="00FC42E7">
      <w:pPr>
        <w:pStyle w:val="ListParagraph"/>
        <w:numPr>
          <w:ilvl w:val="0"/>
          <w:numId w:val="4"/>
        </w:numPr>
        <w:jc w:val="left"/>
      </w:pPr>
      <w:r w:rsidRPr="00FC42E7">
        <w:t>The Kittyhawk integration shall read the transaction upload rows as the Transaction Upload entity.</w:t>
      </w:r>
    </w:p>
    <w:p w14:paraId="44B687DC" w14:textId="77777777" w:rsidR="0081216E" w:rsidRDefault="00AA30D8" w:rsidP="00AA30D8">
      <w:pPr>
        <w:pStyle w:val="Heading6"/>
        <w:rPr>
          <w:rFonts w:ascii="Calibri" w:hAnsi="Calibri" w:cs="Calibri"/>
          <w:sz w:val="20"/>
        </w:rPr>
      </w:pPr>
      <w:r w:rsidRPr="00AA30D8">
        <w:rPr>
          <w:rFonts w:ascii="Calibri" w:hAnsi="Calibri" w:cs="Calibri"/>
          <w:sz w:val="20"/>
        </w:rPr>
        <w:t>Source (Kittyhawk) Data Entity: Transaction Upload</w:t>
      </w:r>
    </w:p>
    <w:p w14:paraId="5E95548B" w14:textId="298BA3F1" w:rsidR="00FC42E7" w:rsidRPr="00EC3682" w:rsidRDefault="00FC42E7" w:rsidP="00FC42E7">
      <w:pPr>
        <w:pStyle w:val="ListParagraph"/>
        <w:numPr>
          <w:ilvl w:val="0"/>
          <w:numId w:val="4"/>
        </w:numPr>
        <w:jc w:val="left"/>
        <w:rPr>
          <w:rFonts w:ascii="Calibri" w:hAnsi="Calibri" w:cs="Calibri"/>
        </w:rPr>
      </w:pPr>
      <w:r>
        <w:t>Locations and products shall be held as Kittyhawk IDs.</w:t>
      </w:r>
    </w:p>
    <w:p w14:paraId="379AD287" w14:textId="138F43BF" w:rsidR="00AA30D8" w:rsidRPr="0081216E" w:rsidRDefault="00FC42E7" w:rsidP="00FC42E7">
      <w:pPr>
        <w:keepNext/>
        <w:jc w:val="left"/>
        <w:rPr>
          <w:rFonts w:ascii="Calibri" w:hAnsi="Calibri" w:cs="Calibri"/>
        </w:rPr>
      </w:pPr>
      <w:r>
        <w:rPr>
          <w:rFonts w:ascii="Calibri" w:hAnsi="Calibri" w:cs="Calibri"/>
        </w:rPr>
        <w:t>The table below gives each attribute of Transaction Upload, with its type and an example.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71"/>
        <w:gridCol w:w="2822"/>
        <w:gridCol w:w="1218"/>
        <w:gridCol w:w="2249"/>
      </w:tblGrid>
      <w:tr w:rsidR="00AA30D8" w:rsidRPr="00C63A98" w14:paraId="3115B8A1" w14:textId="77777777" w:rsidTr="00794AE6">
        <w:trPr>
          <w:cantSplit/>
          <w:tblHeader/>
        </w:trPr>
        <w:tc>
          <w:tcPr>
            <w:tcW w:w="3071" w:type="dxa"/>
            <w:shd w:val="clear" w:color="auto" w:fill="2F5597"/>
          </w:tcPr>
          <w:p w14:paraId="498B4ED9" w14:textId="77777777" w:rsidR="00AA30D8" w:rsidRPr="00C63A98" w:rsidRDefault="00AA30D8" w:rsidP="00C63A98">
            <w:pPr>
              <w:pStyle w:val="Tablehead1"/>
              <w:rPr>
                <w:rFonts w:ascii="Calibri" w:hAnsi="Calibri" w:cs="Calibri"/>
                <w:sz w:val="20"/>
              </w:rPr>
            </w:pPr>
            <w:r w:rsidRPr="00C63A98">
              <w:rPr>
                <w:rFonts w:ascii="Calibri" w:hAnsi="Calibri" w:cs="Calibri"/>
                <w:sz w:val="20"/>
              </w:rPr>
              <w:t>Attribute Name</w:t>
            </w:r>
          </w:p>
        </w:tc>
        <w:tc>
          <w:tcPr>
            <w:tcW w:w="2822" w:type="dxa"/>
            <w:shd w:val="clear" w:color="auto" w:fill="2F5597"/>
          </w:tcPr>
          <w:p w14:paraId="005CB174" w14:textId="77777777" w:rsidR="00AA30D8" w:rsidRPr="00C63A98" w:rsidRDefault="00AA30D8" w:rsidP="00C63A98">
            <w:pPr>
              <w:pStyle w:val="Tablehead1"/>
              <w:rPr>
                <w:rFonts w:ascii="Calibri" w:hAnsi="Calibri" w:cs="Calibri"/>
                <w:sz w:val="20"/>
              </w:rPr>
            </w:pPr>
            <w:r w:rsidRPr="00C63A98">
              <w:rPr>
                <w:rFonts w:ascii="Calibri" w:hAnsi="Calibri" w:cs="Calibri"/>
                <w:sz w:val="20"/>
              </w:rPr>
              <w:t>Description</w:t>
            </w:r>
          </w:p>
        </w:tc>
        <w:tc>
          <w:tcPr>
            <w:tcW w:w="1218" w:type="dxa"/>
            <w:shd w:val="clear" w:color="auto" w:fill="2F5597"/>
          </w:tcPr>
          <w:p w14:paraId="7F1061B7" w14:textId="77777777" w:rsidR="00AA30D8" w:rsidRPr="00C63A98" w:rsidRDefault="00AA30D8" w:rsidP="00C63A98">
            <w:pPr>
              <w:pStyle w:val="Tablehead1"/>
              <w:rPr>
                <w:rFonts w:ascii="Calibri" w:hAnsi="Calibri" w:cs="Calibri"/>
                <w:sz w:val="20"/>
              </w:rPr>
            </w:pPr>
            <w:r w:rsidRPr="00C63A98">
              <w:rPr>
                <w:rFonts w:ascii="Calibri" w:hAnsi="Calibri" w:cs="Calibri"/>
                <w:sz w:val="20"/>
              </w:rPr>
              <w:t>Type</w:t>
            </w:r>
          </w:p>
        </w:tc>
        <w:tc>
          <w:tcPr>
            <w:tcW w:w="2249" w:type="dxa"/>
            <w:shd w:val="clear" w:color="auto" w:fill="2F5597"/>
          </w:tcPr>
          <w:p w14:paraId="32819AA0" w14:textId="77777777" w:rsidR="00AA30D8" w:rsidRPr="00C63A98" w:rsidRDefault="00AA30D8" w:rsidP="00C63A98">
            <w:pPr>
              <w:pStyle w:val="Tablehead1"/>
              <w:rPr>
                <w:rFonts w:ascii="Calibri" w:hAnsi="Calibri" w:cs="Calibri"/>
                <w:sz w:val="20"/>
              </w:rPr>
            </w:pPr>
            <w:r w:rsidRPr="00C63A98">
              <w:rPr>
                <w:rFonts w:ascii="Calibri" w:hAnsi="Calibri" w:cs="Calibri"/>
                <w:sz w:val="20"/>
              </w:rPr>
              <w:t>Example</w:t>
            </w:r>
          </w:p>
        </w:tc>
      </w:tr>
      <w:tr w:rsidR="00794AE6" w:rsidRPr="00C63A98" w14:paraId="3364AD3E" w14:textId="77777777" w:rsidTr="00794AE6">
        <w:trPr>
          <w:cantSplit/>
        </w:trPr>
        <w:tc>
          <w:tcPr>
            <w:tcW w:w="3071" w:type="dxa"/>
          </w:tcPr>
          <w:p w14:paraId="43D16767" w14:textId="3856E1F1" w:rsidR="00794AE6" w:rsidRPr="00C63A98" w:rsidRDefault="00794AE6" w:rsidP="00C63A98">
            <w:pPr>
              <w:pStyle w:val="Tabletext"/>
              <w:rPr>
                <w:rFonts w:ascii="Calibri" w:hAnsi="Calibri" w:cs="Calibri"/>
                <w:sz w:val="20"/>
              </w:rPr>
            </w:pPr>
            <w:r>
              <w:rPr>
                <w:rFonts w:ascii="Calibri" w:hAnsi="Calibri" w:cs="Calibri"/>
                <w:sz w:val="20"/>
              </w:rPr>
              <w:t>ID</w:t>
            </w:r>
          </w:p>
        </w:tc>
        <w:tc>
          <w:tcPr>
            <w:tcW w:w="2822" w:type="dxa"/>
          </w:tcPr>
          <w:p w14:paraId="5378B2E8" w14:textId="7826B0CA" w:rsidR="00794AE6" w:rsidRPr="00C63A98" w:rsidRDefault="00794AE6" w:rsidP="00C63A98">
            <w:pPr>
              <w:pStyle w:val="Tabletext"/>
              <w:rPr>
                <w:rFonts w:ascii="Calibri" w:hAnsi="Calibri" w:cs="Calibri"/>
                <w:sz w:val="20"/>
              </w:rPr>
            </w:pPr>
            <w:r>
              <w:rPr>
                <w:rFonts w:ascii="Calibri" w:hAnsi="Calibri" w:cs="Calibri"/>
                <w:sz w:val="20"/>
              </w:rPr>
              <w:t>Row identifier of the transaction upload</w:t>
            </w:r>
          </w:p>
        </w:tc>
        <w:tc>
          <w:tcPr>
            <w:tcW w:w="1218" w:type="dxa"/>
          </w:tcPr>
          <w:p w14:paraId="58745BFA" w14:textId="1C16B6B9" w:rsidR="00794AE6" w:rsidRDefault="00520418" w:rsidP="00C63A98">
            <w:pPr>
              <w:pStyle w:val="Tabletext"/>
              <w:rPr>
                <w:rFonts w:ascii="Calibri" w:hAnsi="Calibri" w:cs="Calibri"/>
                <w:sz w:val="20"/>
              </w:rPr>
            </w:pPr>
            <w:r>
              <w:rPr>
                <w:rFonts w:ascii="Calibri" w:hAnsi="Calibri" w:cs="Calibri"/>
                <w:sz w:val="20"/>
              </w:rPr>
              <w:t>Varchar</w:t>
            </w:r>
          </w:p>
        </w:tc>
        <w:tc>
          <w:tcPr>
            <w:tcW w:w="2249" w:type="dxa"/>
          </w:tcPr>
          <w:p w14:paraId="02F95CAB" w14:textId="77777777" w:rsidR="00794AE6" w:rsidRDefault="00794AE6" w:rsidP="00C63A98">
            <w:pPr>
              <w:pStyle w:val="Tabletext"/>
              <w:rPr>
                <w:rFonts w:ascii="Calibri" w:hAnsi="Calibri" w:cs="Calibri"/>
                <w:sz w:val="20"/>
              </w:rPr>
            </w:pPr>
          </w:p>
        </w:tc>
      </w:tr>
      <w:tr w:rsidR="00AA30D8" w:rsidRPr="00C63A98" w14:paraId="39AD1954" w14:textId="77777777" w:rsidTr="00794AE6">
        <w:trPr>
          <w:cantSplit/>
        </w:trPr>
        <w:tc>
          <w:tcPr>
            <w:tcW w:w="3071" w:type="dxa"/>
          </w:tcPr>
          <w:p w14:paraId="2958BD6D" w14:textId="77777777" w:rsidR="00AA30D8" w:rsidRPr="00C63A98" w:rsidRDefault="00AA30D8" w:rsidP="00C63A98">
            <w:pPr>
              <w:pStyle w:val="Tabletext"/>
              <w:rPr>
                <w:rFonts w:ascii="Calibri" w:hAnsi="Calibri" w:cs="Calibri"/>
                <w:sz w:val="20"/>
              </w:rPr>
            </w:pPr>
            <w:r w:rsidRPr="00C63A98">
              <w:rPr>
                <w:rFonts w:ascii="Calibri" w:hAnsi="Calibri" w:cs="Calibri"/>
                <w:sz w:val="20"/>
              </w:rPr>
              <w:t>Timestamp</w:t>
            </w:r>
          </w:p>
        </w:tc>
        <w:tc>
          <w:tcPr>
            <w:tcW w:w="2822" w:type="dxa"/>
          </w:tcPr>
          <w:p w14:paraId="4C67B645" w14:textId="3F746ED3" w:rsidR="00AA30D8" w:rsidRPr="00C63A98" w:rsidRDefault="00AA30D8" w:rsidP="00C63A98">
            <w:pPr>
              <w:pStyle w:val="Tabletext"/>
              <w:rPr>
                <w:rFonts w:ascii="Calibri" w:hAnsi="Calibri" w:cs="Calibri"/>
                <w:sz w:val="20"/>
              </w:rPr>
            </w:pPr>
            <w:r w:rsidRPr="00C63A98">
              <w:rPr>
                <w:rFonts w:ascii="Calibri" w:hAnsi="Calibri" w:cs="Calibri"/>
                <w:sz w:val="20"/>
              </w:rPr>
              <w:t xml:space="preserve">Timestamp </w:t>
            </w:r>
            <w:r w:rsidR="00610DB7">
              <w:rPr>
                <w:rFonts w:ascii="Calibri" w:hAnsi="Calibri" w:cs="Calibri"/>
                <w:sz w:val="20"/>
              </w:rPr>
              <w:t>when data is generated</w:t>
            </w:r>
          </w:p>
        </w:tc>
        <w:tc>
          <w:tcPr>
            <w:tcW w:w="1218" w:type="dxa"/>
          </w:tcPr>
          <w:p w14:paraId="41C84D55" w14:textId="1845BEAD" w:rsidR="00AA30D8" w:rsidRPr="00C63A98" w:rsidRDefault="00794AE6" w:rsidP="00C63A98">
            <w:pPr>
              <w:pStyle w:val="Tabletext"/>
              <w:rPr>
                <w:rFonts w:ascii="Calibri" w:hAnsi="Calibri" w:cs="Calibri"/>
                <w:sz w:val="20"/>
              </w:rPr>
            </w:pPr>
            <w:r>
              <w:rPr>
                <w:rFonts w:ascii="Calibri" w:hAnsi="Calibri" w:cs="Calibri"/>
                <w:sz w:val="20"/>
              </w:rPr>
              <w:t>DateTime</w:t>
            </w:r>
          </w:p>
        </w:tc>
        <w:tc>
          <w:tcPr>
            <w:tcW w:w="2249" w:type="dxa"/>
          </w:tcPr>
          <w:p w14:paraId="3C4B8EAB" w14:textId="3B0C7CA4" w:rsidR="00AA30D8" w:rsidRPr="00C63A98" w:rsidRDefault="00610DB7" w:rsidP="00C63A98">
            <w:pPr>
              <w:pStyle w:val="Tabletext"/>
              <w:rPr>
                <w:rFonts w:ascii="Calibri" w:hAnsi="Calibri" w:cs="Calibri"/>
                <w:sz w:val="20"/>
              </w:rPr>
            </w:pPr>
            <w:r>
              <w:rPr>
                <w:rFonts w:ascii="Calibri" w:hAnsi="Calibri" w:cs="Calibri"/>
                <w:sz w:val="20"/>
              </w:rPr>
              <w:t>2026-09-23 00:03:40</w:t>
            </w:r>
          </w:p>
        </w:tc>
      </w:tr>
      <w:tr w:rsidR="008F2422" w:rsidRPr="00C63A98" w14:paraId="5952F0F3" w14:textId="77777777" w:rsidTr="00794AE6">
        <w:trPr>
          <w:cantSplit/>
        </w:trPr>
        <w:tc>
          <w:tcPr>
            <w:tcW w:w="3071" w:type="dxa"/>
          </w:tcPr>
          <w:p w14:paraId="024641C3" w14:textId="08388CFE" w:rsidR="008F2422" w:rsidRDefault="008F2422" w:rsidP="00C63A98">
            <w:pPr>
              <w:pStyle w:val="Tabletext"/>
              <w:rPr>
                <w:rFonts w:ascii="Calibri" w:hAnsi="Calibri" w:cs="Calibri"/>
                <w:sz w:val="20"/>
              </w:rPr>
            </w:pPr>
            <w:r>
              <w:rPr>
                <w:rFonts w:ascii="Calibri" w:hAnsi="Calibri" w:cs="Calibri"/>
                <w:sz w:val="20"/>
              </w:rPr>
              <w:t>TransactionBuildType</w:t>
            </w:r>
          </w:p>
        </w:tc>
        <w:tc>
          <w:tcPr>
            <w:tcW w:w="2822" w:type="dxa"/>
          </w:tcPr>
          <w:p w14:paraId="5C5585CB" w14:textId="7C85B16E" w:rsidR="008F2422" w:rsidRDefault="008F2422" w:rsidP="00C63A98">
            <w:pPr>
              <w:pStyle w:val="Tabletext"/>
              <w:rPr>
                <w:rFonts w:ascii="Calibri" w:hAnsi="Calibri" w:cs="Calibri"/>
                <w:sz w:val="20"/>
              </w:rPr>
            </w:pPr>
            <w:r>
              <w:rPr>
                <w:rFonts w:ascii="Calibri" w:hAnsi="Calibri" w:cs="Calibri"/>
                <w:sz w:val="20"/>
              </w:rPr>
              <w:t>Build type of the row, such as S - Sales or P - Processing</w:t>
            </w:r>
          </w:p>
        </w:tc>
        <w:tc>
          <w:tcPr>
            <w:tcW w:w="1218" w:type="dxa"/>
          </w:tcPr>
          <w:p w14:paraId="57FAA02D" w14:textId="2FF4BBE7" w:rsidR="008F2422" w:rsidRDefault="008F2422" w:rsidP="00C63A98">
            <w:pPr>
              <w:pStyle w:val="Tabletext"/>
              <w:rPr>
                <w:rFonts w:ascii="Calibri" w:hAnsi="Calibri" w:cs="Calibri"/>
                <w:sz w:val="20"/>
              </w:rPr>
            </w:pPr>
            <w:r>
              <w:rPr>
                <w:rFonts w:ascii="Calibri" w:hAnsi="Calibri" w:cs="Calibri"/>
                <w:sz w:val="20"/>
              </w:rPr>
              <w:t>Varchar</w:t>
            </w:r>
          </w:p>
        </w:tc>
        <w:tc>
          <w:tcPr>
            <w:tcW w:w="2249" w:type="dxa"/>
          </w:tcPr>
          <w:p w14:paraId="44DFD09D" w14:textId="5AD958F8" w:rsidR="008F2422" w:rsidRDefault="008F2422" w:rsidP="00C63A98">
            <w:pPr>
              <w:pStyle w:val="Tabletext"/>
              <w:rPr>
                <w:rFonts w:ascii="Calibri" w:hAnsi="Calibri" w:cs="Calibri"/>
                <w:sz w:val="20"/>
              </w:rPr>
            </w:pPr>
            <w:r>
              <w:rPr>
                <w:rFonts w:ascii="Calibri" w:hAnsi="Calibri" w:cs="Calibri"/>
                <w:sz w:val="20"/>
              </w:rPr>
              <w:t>S - Sales</w:t>
            </w:r>
          </w:p>
        </w:tc>
      </w:tr>
      <w:tr w:rsidR="008F2422" w:rsidRPr="00C63A98" w14:paraId="735F2EEA" w14:textId="77777777" w:rsidTr="00794AE6">
        <w:trPr>
          <w:cantSplit/>
        </w:trPr>
        <w:tc>
          <w:tcPr>
            <w:tcW w:w="3071" w:type="dxa"/>
          </w:tcPr>
          <w:p w14:paraId="26E75C7B" w14:textId="6816EACE" w:rsidR="008F2422" w:rsidRPr="00C63A98" w:rsidRDefault="008F2422" w:rsidP="00C63A98">
            <w:pPr>
              <w:pStyle w:val="Tabletext"/>
              <w:rPr>
                <w:rFonts w:ascii="Calibri" w:hAnsi="Calibri" w:cs="Calibri"/>
                <w:sz w:val="20"/>
              </w:rPr>
            </w:pPr>
            <w:r>
              <w:rPr>
                <w:rFonts w:ascii="Calibri" w:hAnsi="Calibri" w:cs="Calibri"/>
                <w:sz w:val="20"/>
              </w:rPr>
              <w:t>CreateDate</w:t>
            </w:r>
          </w:p>
        </w:tc>
        <w:tc>
          <w:tcPr>
            <w:tcW w:w="2822" w:type="dxa"/>
          </w:tcPr>
          <w:p w14:paraId="14D3A192" w14:textId="523AC6F6" w:rsidR="008F2422" w:rsidRDefault="008F2422" w:rsidP="00C63A98">
            <w:pPr>
              <w:pStyle w:val="Tabletext"/>
              <w:rPr>
                <w:rFonts w:ascii="Calibri" w:hAnsi="Calibri" w:cs="Calibri"/>
                <w:sz w:val="20"/>
              </w:rPr>
            </w:pPr>
            <w:r>
              <w:rPr>
                <w:rFonts w:ascii="Calibri" w:hAnsi="Calibri" w:cs="Calibri"/>
                <w:sz w:val="20"/>
              </w:rPr>
              <w:t>Time the row was created in Kittyhawk; the daily read selects rows by it</w:t>
            </w:r>
          </w:p>
        </w:tc>
        <w:tc>
          <w:tcPr>
            <w:tcW w:w="1218" w:type="dxa"/>
          </w:tcPr>
          <w:p w14:paraId="15EA0B13" w14:textId="33EFBB50" w:rsidR="008F2422" w:rsidRPr="00C63A98" w:rsidRDefault="008F2422" w:rsidP="00C63A98">
            <w:pPr>
              <w:pStyle w:val="Tabletext"/>
              <w:rPr>
                <w:rFonts w:ascii="Calibri" w:hAnsi="Calibri" w:cs="Calibri"/>
                <w:sz w:val="20"/>
              </w:rPr>
            </w:pPr>
            <w:r>
              <w:rPr>
                <w:rFonts w:ascii="Calibri" w:hAnsi="Calibri" w:cs="Calibri"/>
                <w:sz w:val="20"/>
              </w:rPr>
              <w:t>DateTime</w:t>
            </w:r>
          </w:p>
        </w:tc>
        <w:tc>
          <w:tcPr>
            <w:tcW w:w="2249" w:type="dxa"/>
          </w:tcPr>
          <w:p w14:paraId="4EB791BF" w14:textId="77777777" w:rsidR="008F2422" w:rsidRDefault="008F2422" w:rsidP="00C63A98">
            <w:pPr>
              <w:pStyle w:val="Tabletext"/>
              <w:rPr>
                <w:rFonts w:ascii="Calibri" w:hAnsi="Calibri" w:cs="Calibri"/>
                <w:sz w:val="20"/>
              </w:rPr>
            </w:pPr>
          </w:p>
        </w:tc>
      </w:tr>
      <w:tr w:rsidR="00AA30D8" w:rsidRPr="00C63A98" w14:paraId="0371EF00" w14:textId="77777777" w:rsidTr="00794AE6">
        <w:trPr>
          <w:cantSplit/>
        </w:trPr>
        <w:tc>
          <w:tcPr>
            <w:tcW w:w="3071" w:type="dxa"/>
          </w:tcPr>
          <w:p w14:paraId="40B171E0"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TransOrigin</w:t>
            </w:r>
          </w:p>
        </w:tc>
        <w:tc>
          <w:tcPr>
            <w:tcW w:w="2822" w:type="dxa"/>
          </w:tcPr>
          <w:p w14:paraId="726A675A" w14:textId="0789F69D" w:rsidR="00AA30D8" w:rsidRPr="00C63A98" w:rsidRDefault="00794AE6" w:rsidP="00C63A98">
            <w:pPr>
              <w:pStyle w:val="Tabletext"/>
              <w:rPr>
                <w:rFonts w:ascii="Calibri" w:hAnsi="Calibri" w:cs="Calibri"/>
                <w:sz w:val="20"/>
              </w:rPr>
            </w:pPr>
            <w:r>
              <w:rPr>
                <w:rFonts w:ascii="Calibri" w:hAnsi="Calibri" w:cs="Calibri"/>
                <w:sz w:val="20"/>
              </w:rPr>
              <w:t>Origin of the transaction</w:t>
            </w:r>
          </w:p>
        </w:tc>
        <w:tc>
          <w:tcPr>
            <w:tcW w:w="1218" w:type="dxa"/>
          </w:tcPr>
          <w:p w14:paraId="770BE4BF"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1E5379BC" w14:textId="1C76A3FB" w:rsidR="00AA30D8" w:rsidRPr="00C63A98" w:rsidRDefault="00610DB7" w:rsidP="00C63A98">
            <w:pPr>
              <w:pStyle w:val="Tabletext"/>
              <w:rPr>
                <w:rFonts w:ascii="Calibri" w:hAnsi="Calibri" w:cs="Calibri"/>
                <w:sz w:val="20"/>
              </w:rPr>
            </w:pPr>
            <w:r>
              <w:rPr>
                <w:rFonts w:ascii="Calibri" w:hAnsi="Calibri" w:cs="Calibri"/>
                <w:sz w:val="20"/>
              </w:rPr>
              <w:t>AUTOMATED TERMINAL</w:t>
            </w:r>
          </w:p>
        </w:tc>
      </w:tr>
      <w:tr w:rsidR="00AA30D8" w:rsidRPr="00C63A98" w14:paraId="06689162" w14:textId="77777777" w:rsidTr="00794AE6">
        <w:trPr>
          <w:cantSplit/>
        </w:trPr>
        <w:tc>
          <w:tcPr>
            <w:tcW w:w="3071" w:type="dxa"/>
          </w:tcPr>
          <w:p w14:paraId="44EA9456" w14:textId="77777777" w:rsidR="00AA30D8" w:rsidRPr="00C63A98" w:rsidRDefault="00AA30D8" w:rsidP="00C63A98">
            <w:pPr>
              <w:pStyle w:val="Tabletext"/>
              <w:rPr>
                <w:rFonts w:ascii="Calibri" w:hAnsi="Calibri" w:cs="Calibri"/>
                <w:sz w:val="20"/>
              </w:rPr>
            </w:pPr>
            <w:r w:rsidRPr="00C63A98">
              <w:rPr>
                <w:rFonts w:ascii="Calibri" w:hAnsi="Calibri" w:cs="Calibri"/>
                <w:sz w:val="20"/>
              </w:rPr>
              <w:t>BatchIdentifier</w:t>
            </w:r>
          </w:p>
        </w:tc>
        <w:tc>
          <w:tcPr>
            <w:tcW w:w="2822" w:type="dxa"/>
          </w:tcPr>
          <w:p w14:paraId="76499010" w14:textId="5404C31E" w:rsidR="00AA30D8" w:rsidRPr="00C63A98" w:rsidRDefault="00CE45AF" w:rsidP="00C63A98">
            <w:pPr>
              <w:pStyle w:val="Tabletext"/>
              <w:rPr>
                <w:rFonts w:ascii="Calibri" w:hAnsi="Calibri" w:cs="Calibri"/>
                <w:sz w:val="20"/>
              </w:rPr>
            </w:pPr>
            <w:r>
              <w:rPr>
                <w:rFonts w:ascii="Calibri" w:hAnsi="Calibri" w:cs="Calibri"/>
                <w:sz w:val="20"/>
              </w:rPr>
              <w:t>Unique identifier of the batch</w:t>
            </w:r>
          </w:p>
        </w:tc>
        <w:tc>
          <w:tcPr>
            <w:tcW w:w="1218" w:type="dxa"/>
          </w:tcPr>
          <w:p w14:paraId="7F28BA6F"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588521A5" w14:textId="0E7D862A" w:rsidR="00AA30D8" w:rsidRPr="00C63A98" w:rsidRDefault="00AA30D8" w:rsidP="00C63A98">
            <w:pPr>
              <w:pStyle w:val="Tabletext"/>
              <w:rPr>
                <w:rFonts w:ascii="Calibri" w:hAnsi="Calibri" w:cs="Calibri"/>
                <w:sz w:val="20"/>
              </w:rPr>
            </w:pPr>
          </w:p>
        </w:tc>
      </w:tr>
      <w:tr w:rsidR="00AA30D8" w:rsidRPr="00C63A98" w14:paraId="77E83F3F" w14:textId="77777777" w:rsidTr="00794AE6">
        <w:trPr>
          <w:cantSplit/>
        </w:trPr>
        <w:tc>
          <w:tcPr>
            <w:tcW w:w="3071" w:type="dxa"/>
          </w:tcPr>
          <w:p w14:paraId="749E194A"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TransactionType</w:t>
            </w:r>
          </w:p>
        </w:tc>
        <w:tc>
          <w:tcPr>
            <w:tcW w:w="2822" w:type="dxa"/>
          </w:tcPr>
          <w:p w14:paraId="703D3107" w14:textId="2665BBD1" w:rsidR="00AA30D8" w:rsidRPr="00C63A98" w:rsidRDefault="00794AE6" w:rsidP="00C63A98">
            <w:pPr>
              <w:pStyle w:val="Tabletext"/>
              <w:rPr>
                <w:rFonts w:ascii="Calibri" w:hAnsi="Calibri" w:cs="Calibri"/>
                <w:sz w:val="20"/>
              </w:rPr>
            </w:pPr>
            <w:r>
              <w:rPr>
                <w:rFonts w:ascii="Calibri" w:hAnsi="Calibri" w:cs="Calibri"/>
                <w:sz w:val="20"/>
              </w:rPr>
              <w:t>Type of the transaction, such as Load or Non-Movement</w:t>
            </w:r>
          </w:p>
        </w:tc>
        <w:tc>
          <w:tcPr>
            <w:tcW w:w="1218" w:type="dxa"/>
          </w:tcPr>
          <w:p w14:paraId="768ED133"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5FFC94E0"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Load</w:t>
            </w:r>
          </w:p>
        </w:tc>
      </w:tr>
      <w:tr w:rsidR="00AA30D8" w:rsidRPr="00C63A98" w14:paraId="75D9FCE6" w14:textId="77777777" w:rsidTr="00794AE6">
        <w:trPr>
          <w:cantSplit/>
        </w:trPr>
        <w:tc>
          <w:tcPr>
            <w:tcW w:w="3071" w:type="dxa"/>
          </w:tcPr>
          <w:p w14:paraId="23CF46FB" w14:textId="77777777" w:rsidR="00AA30D8" w:rsidRPr="00C63A98" w:rsidRDefault="00AA30D8" w:rsidP="00C63A98">
            <w:pPr>
              <w:pStyle w:val="Tabletext"/>
              <w:rPr>
                <w:rFonts w:ascii="Calibri" w:hAnsi="Calibri" w:cs="Calibri"/>
                <w:sz w:val="20"/>
              </w:rPr>
            </w:pPr>
            <w:r w:rsidRPr="00C63A98">
              <w:rPr>
                <w:rFonts w:ascii="Calibri" w:hAnsi="Calibri" w:cs="Calibri"/>
                <w:sz w:val="20"/>
              </w:rPr>
              <w:t>FacilityID</w:t>
            </w:r>
          </w:p>
        </w:tc>
        <w:tc>
          <w:tcPr>
            <w:tcW w:w="2822" w:type="dxa"/>
          </w:tcPr>
          <w:p w14:paraId="61E2BEA8" w14:textId="23239CA0" w:rsidR="00AA30D8" w:rsidRPr="00C63A98" w:rsidRDefault="00FA3AEE" w:rsidP="00C63A98">
            <w:pPr>
              <w:pStyle w:val="Tabletext"/>
              <w:rPr>
                <w:rFonts w:ascii="Calibri" w:hAnsi="Calibri" w:cs="Calibri"/>
                <w:sz w:val="20"/>
              </w:rPr>
            </w:pPr>
            <w:r>
              <w:rPr>
                <w:rFonts w:ascii="Calibri" w:hAnsi="Calibri" w:cs="Calibri"/>
                <w:sz w:val="20"/>
              </w:rPr>
              <w:t>Unique identifier of the facility or location</w:t>
            </w:r>
          </w:p>
        </w:tc>
        <w:tc>
          <w:tcPr>
            <w:tcW w:w="1218" w:type="dxa"/>
          </w:tcPr>
          <w:p w14:paraId="52B92B11"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24B60491" w14:textId="4A228FC0" w:rsidR="00AA30D8" w:rsidRPr="00C63A98" w:rsidRDefault="00610DB7" w:rsidP="00C63A98">
            <w:pPr>
              <w:pStyle w:val="Tabletext"/>
              <w:rPr>
                <w:rFonts w:ascii="Calibri" w:hAnsi="Calibri" w:cs="Calibri"/>
                <w:sz w:val="20"/>
              </w:rPr>
            </w:pPr>
            <w:r>
              <w:rPr>
                <w:rFonts w:ascii="Calibri" w:hAnsi="Calibri" w:cs="Calibri"/>
                <w:sz w:val="20"/>
              </w:rPr>
              <w:t>A7B22F0F-C47E-4BD0-A387-A09E008C76E5</w:t>
            </w:r>
          </w:p>
        </w:tc>
      </w:tr>
      <w:tr w:rsidR="00AA30D8" w:rsidRPr="00C63A98" w14:paraId="1190A34D" w14:textId="77777777" w:rsidTr="00794AE6">
        <w:trPr>
          <w:cantSplit/>
        </w:trPr>
        <w:tc>
          <w:tcPr>
            <w:tcW w:w="3071" w:type="dxa"/>
          </w:tcPr>
          <w:p w14:paraId="46C7F5AC"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OriginID</w:t>
            </w:r>
          </w:p>
        </w:tc>
        <w:tc>
          <w:tcPr>
            <w:tcW w:w="2822" w:type="dxa"/>
          </w:tcPr>
          <w:p w14:paraId="0028938A" w14:textId="77777777" w:rsidR="00AA30D8" w:rsidRPr="00C63A98" w:rsidRDefault="00AA30D8" w:rsidP="00C63A98">
            <w:pPr>
              <w:pStyle w:val="Tabletext"/>
              <w:rPr>
                <w:rFonts w:ascii="Calibri" w:hAnsi="Calibri" w:cs="Calibri"/>
                <w:sz w:val="20"/>
              </w:rPr>
            </w:pPr>
            <w:r w:rsidRPr="00C63A98">
              <w:rPr>
                <w:rFonts w:ascii="Calibri" w:hAnsi="Calibri" w:cs="Calibri"/>
                <w:sz w:val="20"/>
              </w:rPr>
              <w:t>Unique identifier of the source location</w:t>
            </w:r>
          </w:p>
        </w:tc>
        <w:tc>
          <w:tcPr>
            <w:tcW w:w="1218" w:type="dxa"/>
          </w:tcPr>
          <w:p w14:paraId="2FB0D69F"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2E26622A" w14:textId="137446C2" w:rsidR="00AA30D8" w:rsidRPr="00C63A98" w:rsidRDefault="00610DB7" w:rsidP="00C63A98">
            <w:pPr>
              <w:pStyle w:val="Tabletext"/>
              <w:rPr>
                <w:rFonts w:ascii="Calibri" w:hAnsi="Calibri" w:cs="Calibri"/>
                <w:sz w:val="20"/>
              </w:rPr>
            </w:pPr>
            <w:r>
              <w:rPr>
                <w:rFonts w:ascii="Calibri" w:hAnsi="Calibri" w:cs="Calibri"/>
                <w:sz w:val="20"/>
              </w:rPr>
              <w:t>A7B22F0F-C47E-4BD0-A387-A09E008C76E5</w:t>
            </w:r>
          </w:p>
        </w:tc>
      </w:tr>
      <w:tr w:rsidR="00AA30D8" w:rsidRPr="00C63A98" w14:paraId="190B18A5" w14:textId="77777777" w:rsidTr="00794AE6">
        <w:trPr>
          <w:cantSplit/>
        </w:trPr>
        <w:tc>
          <w:tcPr>
            <w:tcW w:w="3071" w:type="dxa"/>
          </w:tcPr>
          <w:p w14:paraId="74D583BB"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DestinationID</w:t>
            </w:r>
          </w:p>
        </w:tc>
        <w:tc>
          <w:tcPr>
            <w:tcW w:w="2822" w:type="dxa"/>
          </w:tcPr>
          <w:p w14:paraId="3E2B9711" w14:textId="313198FE" w:rsidR="00AA30D8" w:rsidRPr="00C63A98" w:rsidRDefault="00FA3AEE" w:rsidP="00C63A98">
            <w:pPr>
              <w:pStyle w:val="Tabletext"/>
              <w:rPr>
                <w:rFonts w:ascii="Calibri" w:hAnsi="Calibri" w:cs="Calibri"/>
                <w:sz w:val="20"/>
              </w:rPr>
            </w:pPr>
            <w:r>
              <w:rPr>
                <w:rFonts w:ascii="Calibri" w:hAnsi="Calibri" w:cs="Calibri"/>
                <w:sz w:val="20"/>
              </w:rPr>
              <w:t>Unique identifier of the destination location</w:t>
            </w:r>
          </w:p>
        </w:tc>
        <w:tc>
          <w:tcPr>
            <w:tcW w:w="1218" w:type="dxa"/>
          </w:tcPr>
          <w:p w14:paraId="294F4403"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60F102F3" w14:textId="6ECB3A8B" w:rsidR="00AA30D8" w:rsidRPr="00C63A98" w:rsidRDefault="00AA30D8" w:rsidP="00C63A98">
            <w:pPr>
              <w:pStyle w:val="Tabletext"/>
              <w:rPr>
                <w:rFonts w:ascii="Calibri" w:hAnsi="Calibri" w:cs="Calibri"/>
                <w:sz w:val="20"/>
              </w:rPr>
            </w:pPr>
          </w:p>
        </w:tc>
      </w:tr>
      <w:tr w:rsidR="00AA30D8" w:rsidRPr="00C63A98" w14:paraId="12F3C3A9" w14:textId="77777777" w:rsidTr="00794AE6">
        <w:trPr>
          <w:cantSplit/>
        </w:trPr>
        <w:tc>
          <w:tcPr>
            <w:tcW w:w="3071" w:type="dxa"/>
          </w:tcPr>
          <w:p w14:paraId="59BD28CA"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ProductID</w:t>
            </w:r>
          </w:p>
        </w:tc>
        <w:tc>
          <w:tcPr>
            <w:tcW w:w="2822" w:type="dxa"/>
          </w:tcPr>
          <w:p w14:paraId="48D2A5B9" w14:textId="30CAC054" w:rsidR="00AA30D8" w:rsidRPr="00C63A98" w:rsidRDefault="00FA3AEE" w:rsidP="00C63A98">
            <w:pPr>
              <w:pStyle w:val="Tabletext"/>
              <w:rPr>
                <w:rFonts w:ascii="Calibri" w:hAnsi="Calibri" w:cs="Calibri"/>
                <w:sz w:val="20"/>
              </w:rPr>
            </w:pPr>
            <w:r>
              <w:rPr>
                <w:rFonts w:ascii="Calibri" w:hAnsi="Calibri" w:cs="Calibri"/>
                <w:sz w:val="20"/>
              </w:rPr>
              <w:t>Product ID stored in the tank</w:t>
            </w:r>
          </w:p>
        </w:tc>
        <w:tc>
          <w:tcPr>
            <w:tcW w:w="1218" w:type="dxa"/>
          </w:tcPr>
          <w:p w14:paraId="542C89F7"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4BB5A7D0" w14:textId="47FBE1FB" w:rsidR="00AA30D8" w:rsidRPr="00C63A98" w:rsidRDefault="00610DB7" w:rsidP="00C63A98">
            <w:pPr>
              <w:pStyle w:val="Tabletext"/>
              <w:rPr>
                <w:rFonts w:ascii="Calibri" w:hAnsi="Calibri" w:cs="Calibri"/>
                <w:sz w:val="20"/>
              </w:rPr>
            </w:pPr>
            <w:r>
              <w:rPr>
                <w:rFonts w:ascii="Calibri" w:hAnsi="Calibri" w:cs="Calibri"/>
                <w:sz w:val="20"/>
              </w:rPr>
              <w:t>D8990695-8CDB-497F-8422-A8E90124E874</w:t>
            </w:r>
          </w:p>
        </w:tc>
      </w:tr>
      <w:tr w:rsidR="00AA30D8" w:rsidRPr="00C63A98" w14:paraId="1A2FF330" w14:textId="77777777" w:rsidTr="00794AE6">
        <w:trPr>
          <w:cantSplit/>
        </w:trPr>
        <w:tc>
          <w:tcPr>
            <w:tcW w:w="3071" w:type="dxa"/>
          </w:tcPr>
          <w:p w14:paraId="2CA5EFDB"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ComponentProductID</w:t>
            </w:r>
          </w:p>
        </w:tc>
        <w:tc>
          <w:tcPr>
            <w:tcW w:w="2822" w:type="dxa"/>
          </w:tcPr>
          <w:p w14:paraId="74EF66A4" w14:textId="778FF43F" w:rsidR="00AA30D8" w:rsidRPr="00C63A98" w:rsidRDefault="00FA3AEE" w:rsidP="00C63A98">
            <w:pPr>
              <w:pStyle w:val="Tabletext"/>
              <w:rPr>
                <w:rFonts w:ascii="Calibri" w:hAnsi="Calibri" w:cs="Calibri"/>
                <w:sz w:val="20"/>
              </w:rPr>
            </w:pPr>
            <w:r>
              <w:rPr>
                <w:rFonts w:ascii="Calibri" w:hAnsi="Calibri" w:cs="Calibri"/>
                <w:sz w:val="20"/>
              </w:rPr>
              <w:t>Component product ID stored in the tank</w:t>
            </w:r>
          </w:p>
        </w:tc>
        <w:tc>
          <w:tcPr>
            <w:tcW w:w="1218" w:type="dxa"/>
          </w:tcPr>
          <w:p w14:paraId="1F41A9BA"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3518F9B2" w14:textId="77777777" w:rsidR="00AA30D8" w:rsidRPr="00C63A98" w:rsidRDefault="00AA30D8" w:rsidP="00C63A98">
            <w:pPr>
              <w:pStyle w:val="Tabletext"/>
              <w:rPr>
                <w:rFonts w:ascii="Calibri" w:hAnsi="Calibri" w:cs="Calibri"/>
                <w:sz w:val="20"/>
              </w:rPr>
            </w:pPr>
            <w:r w:rsidRPr="00C63A98">
              <w:rPr>
                <w:rFonts w:ascii="Calibri" w:hAnsi="Calibri" w:cs="Calibri"/>
                <w:sz w:val="20"/>
              </w:rPr>
              <w:t>CB98FD5B-0F3A-4C4B-956E-A59801172057</w:t>
            </w:r>
          </w:p>
        </w:tc>
      </w:tr>
      <w:tr w:rsidR="00AA30D8" w:rsidRPr="00C63A98" w14:paraId="26D184D1" w14:textId="77777777" w:rsidTr="00794AE6">
        <w:trPr>
          <w:cantSplit/>
        </w:trPr>
        <w:tc>
          <w:tcPr>
            <w:tcW w:w="3071" w:type="dxa"/>
          </w:tcPr>
          <w:p w14:paraId="3C9143E4"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OriginContainerCode</w:t>
            </w:r>
          </w:p>
        </w:tc>
        <w:tc>
          <w:tcPr>
            <w:tcW w:w="2822" w:type="dxa"/>
          </w:tcPr>
          <w:p w14:paraId="2BE6584C" w14:textId="4D057434" w:rsidR="00AA30D8" w:rsidRPr="00C63A98" w:rsidRDefault="00794AE6" w:rsidP="00C63A98">
            <w:pPr>
              <w:pStyle w:val="Tabletext"/>
              <w:rPr>
                <w:rFonts w:ascii="Calibri" w:hAnsi="Calibri" w:cs="Calibri"/>
                <w:sz w:val="20"/>
              </w:rPr>
            </w:pPr>
            <w:r>
              <w:rPr>
                <w:rFonts w:ascii="Calibri" w:hAnsi="Calibri" w:cs="Calibri"/>
                <w:sz w:val="20"/>
              </w:rPr>
              <w:t>Code of the origin tank</w:t>
            </w:r>
          </w:p>
        </w:tc>
        <w:tc>
          <w:tcPr>
            <w:tcW w:w="1218" w:type="dxa"/>
          </w:tcPr>
          <w:p w14:paraId="3ED6269D"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3894280E" w14:textId="251930F4" w:rsidR="00AA30D8" w:rsidRPr="00C63A98" w:rsidRDefault="00AA30D8" w:rsidP="00C63A98">
            <w:pPr>
              <w:pStyle w:val="Tabletext"/>
              <w:rPr>
                <w:rFonts w:ascii="Calibri" w:hAnsi="Calibri" w:cs="Calibri"/>
                <w:sz w:val="20"/>
              </w:rPr>
            </w:pPr>
          </w:p>
        </w:tc>
      </w:tr>
      <w:tr w:rsidR="00AA30D8" w:rsidRPr="00C63A98" w14:paraId="32614E11" w14:textId="77777777" w:rsidTr="00794AE6">
        <w:trPr>
          <w:cantSplit/>
        </w:trPr>
        <w:tc>
          <w:tcPr>
            <w:tcW w:w="3071" w:type="dxa"/>
          </w:tcPr>
          <w:p w14:paraId="4EE116B3"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DestinationContainerCode</w:t>
            </w:r>
          </w:p>
        </w:tc>
        <w:tc>
          <w:tcPr>
            <w:tcW w:w="2822" w:type="dxa"/>
          </w:tcPr>
          <w:p w14:paraId="2C30A386" w14:textId="101FE643" w:rsidR="00AA30D8" w:rsidRPr="00C63A98" w:rsidRDefault="00794AE6" w:rsidP="00C63A98">
            <w:pPr>
              <w:pStyle w:val="Tabletext"/>
              <w:rPr>
                <w:rFonts w:ascii="Calibri" w:hAnsi="Calibri" w:cs="Calibri"/>
                <w:sz w:val="20"/>
              </w:rPr>
            </w:pPr>
            <w:r>
              <w:rPr>
                <w:rFonts w:ascii="Calibri" w:hAnsi="Calibri" w:cs="Calibri"/>
                <w:sz w:val="20"/>
              </w:rPr>
              <w:t>Code of the destination tank</w:t>
            </w:r>
          </w:p>
        </w:tc>
        <w:tc>
          <w:tcPr>
            <w:tcW w:w="1218" w:type="dxa"/>
          </w:tcPr>
          <w:p w14:paraId="60FE24FE"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10DE11E6" w14:textId="5277C127" w:rsidR="00AA30D8" w:rsidRPr="00C63A98" w:rsidRDefault="00AA30D8" w:rsidP="00C63A98">
            <w:pPr>
              <w:pStyle w:val="Tabletext"/>
              <w:rPr>
                <w:rFonts w:ascii="Calibri" w:hAnsi="Calibri" w:cs="Calibri"/>
                <w:sz w:val="20"/>
              </w:rPr>
            </w:pPr>
          </w:p>
        </w:tc>
      </w:tr>
      <w:tr w:rsidR="00AA30D8" w:rsidRPr="00C63A98" w14:paraId="3E6F91DB" w14:textId="77777777" w:rsidTr="00794AE6">
        <w:trPr>
          <w:cantSplit/>
        </w:trPr>
        <w:tc>
          <w:tcPr>
            <w:tcW w:w="3071" w:type="dxa"/>
          </w:tcPr>
          <w:p w14:paraId="59FCADC7"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TransportMode</w:t>
            </w:r>
          </w:p>
        </w:tc>
        <w:tc>
          <w:tcPr>
            <w:tcW w:w="2822" w:type="dxa"/>
          </w:tcPr>
          <w:p w14:paraId="4DA38FB2" w14:textId="77777777" w:rsidR="00AA30D8" w:rsidRPr="00C63A98" w:rsidRDefault="00AA30D8" w:rsidP="00C63A98">
            <w:pPr>
              <w:pStyle w:val="Tabletext"/>
              <w:rPr>
                <w:rFonts w:ascii="Calibri" w:hAnsi="Calibri" w:cs="Calibri"/>
                <w:sz w:val="20"/>
              </w:rPr>
            </w:pPr>
            <w:r w:rsidRPr="00C63A98">
              <w:rPr>
                <w:rFonts w:ascii="Calibri" w:hAnsi="Calibri" w:cs="Calibri"/>
                <w:sz w:val="20"/>
              </w:rPr>
              <w:t>Mode of transport</w:t>
            </w:r>
          </w:p>
        </w:tc>
        <w:tc>
          <w:tcPr>
            <w:tcW w:w="1218" w:type="dxa"/>
          </w:tcPr>
          <w:p w14:paraId="16CC88CB"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3FA88127"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Truck</w:t>
            </w:r>
          </w:p>
        </w:tc>
      </w:tr>
      <w:tr w:rsidR="00AA30D8" w:rsidRPr="00C63A98" w14:paraId="0C32C04E" w14:textId="77777777" w:rsidTr="00794AE6">
        <w:trPr>
          <w:cantSplit/>
        </w:trPr>
        <w:tc>
          <w:tcPr>
            <w:tcW w:w="3071" w:type="dxa"/>
          </w:tcPr>
          <w:p w14:paraId="593B4C7C"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TransferStart</w:t>
            </w:r>
          </w:p>
        </w:tc>
        <w:tc>
          <w:tcPr>
            <w:tcW w:w="2822" w:type="dxa"/>
          </w:tcPr>
          <w:p w14:paraId="52F2074A"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Start time of the transfer</w:t>
            </w:r>
          </w:p>
        </w:tc>
        <w:tc>
          <w:tcPr>
            <w:tcW w:w="1218" w:type="dxa"/>
          </w:tcPr>
          <w:p w14:paraId="2A0E7E59" w14:textId="04EBED2B" w:rsidR="00AA30D8" w:rsidRPr="00C63A98" w:rsidRDefault="00794AE6" w:rsidP="00C63A98">
            <w:pPr>
              <w:pStyle w:val="Tabletext"/>
              <w:rPr>
                <w:rFonts w:ascii="Calibri" w:hAnsi="Calibri" w:cs="Calibri"/>
                <w:sz w:val="20"/>
              </w:rPr>
            </w:pPr>
            <w:r>
              <w:rPr>
                <w:rFonts w:ascii="Calibri" w:hAnsi="Calibri" w:cs="Calibri"/>
                <w:sz w:val="20"/>
              </w:rPr>
              <w:t>DateTime</w:t>
            </w:r>
          </w:p>
        </w:tc>
        <w:tc>
          <w:tcPr>
            <w:tcW w:w="2249" w:type="dxa"/>
          </w:tcPr>
          <w:p w14:paraId="0911D55B" w14:textId="62091767" w:rsidR="00AA30D8" w:rsidRPr="00C63A98" w:rsidRDefault="00610DB7" w:rsidP="00C63A98">
            <w:pPr>
              <w:pStyle w:val="Tabletext"/>
              <w:rPr>
                <w:rFonts w:ascii="Calibri" w:hAnsi="Calibri" w:cs="Calibri"/>
                <w:sz w:val="20"/>
              </w:rPr>
            </w:pPr>
            <w:r>
              <w:rPr>
                <w:rFonts w:ascii="Calibri" w:hAnsi="Calibri" w:cs="Calibri"/>
                <w:sz w:val="20"/>
              </w:rPr>
              <w:t>2026-09-22 23:43:00</w:t>
            </w:r>
          </w:p>
        </w:tc>
      </w:tr>
      <w:tr w:rsidR="00AA30D8" w:rsidRPr="00C63A98" w14:paraId="05F30EE5" w14:textId="77777777" w:rsidTr="00794AE6">
        <w:trPr>
          <w:cantSplit/>
        </w:trPr>
        <w:tc>
          <w:tcPr>
            <w:tcW w:w="3071" w:type="dxa"/>
          </w:tcPr>
          <w:p w14:paraId="12082550"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TransferEnd</w:t>
            </w:r>
          </w:p>
        </w:tc>
        <w:tc>
          <w:tcPr>
            <w:tcW w:w="2822" w:type="dxa"/>
          </w:tcPr>
          <w:p w14:paraId="5D8C31A5" w14:textId="797B6CDC" w:rsidR="00AA30D8" w:rsidRPr="00C63A98" w:rsidRDefault="00FA3AEE" w:rsidP="00C63A98">
            <w:pPr>
              <w:pStyle w:val="Tabletext"/>
              <w:rPr>
                <w:rFonts w:ascii="Calibri" w:hAnsi="Calibri" w:cs="Calibri"/>
                <w:sz w:val="20"/>
              </w:rPr>
            </w:pPr>
            <w:r>
              <w:rPr>
                <w:rFonts w:ascii="Calibri" w:hAnsi="Calibri" w:cs="Calibri"/>
                <w:sz w:val="20"/>
              </w:rPr>
              <w:t>End time of the transfer</w:t>
            </w:r>
          </w:p>
        </w:tc>
        <w:tc>
          <w:tcPr>
            <w:tcW w:w="1218" w:type="dxa"/>
          </w:tcPr>
          <w:p w14:paraId="665980FF" w14:textId="27DE4990" w:rsidR="00AA30D8" w:rsidRPr="00C63A98" w:rsidRDefault="00794AE6" w:rsidP="00C63A98">
            <w:pPr>
              <w:pStyle w:val="Tabletext"/>
              <w:rPr>
                <w:rFonts w:ascii="Calibri" w:hAnsi="Calibri" w:cs="Calibri"/>
                <w:sz w:val="20"/>
              </w:rPr>
            </w:pPr>
            <w:r>
              <w:rPr>
                <w:rFonts w:ascii="Calibri" w:hAnsi="Calibri" w:cs="Calibri"/>
                <w:sz w:val="20"/>
              </w:rPr>
              <w:t>DateTime</w:t>
            </w:r>
          </w:p>
        </w:tc>
        <w:tc>
          <w:tcPr>
            <w:tcW w:w="2249" w:type="dxa"/>
          </w:tcPr>
          <w:p w14:paraId="12B6B2B9" w14:textId="0198CF66" w:rsidR="00AA30D8" w:rsidRPr="00C63A98" w:rsidRDefault="00610DB7" w:rsidP="00C63A98">
            <w:pPr>
              <w:pStyle w:val="Tabletext"/>
              <w:rPr>
                <w:rFonts w:ascii="Calibri" w:hAnsi="Calibri" w:cs="Calibri"/>
                <w:sz w:val="20"/>
              </w:rPr>
            </w:pPr>
            <w:r>
              <w:rPr>
                <w:rFonts w:ascii="Calibri" w:hAnsi="Calibri" w:cs="Calibri"/>
                <w:sz w:val="20"/>
              </w:rPr>
              <w:t>2026-09-22 23:55:00</w:t>
            </w:r>
          </w:p>
        </w:tc>
      </w:tr>
      <w:tr w:rsidR="00AA30D8" w:rsidRPr="00C63A98" w14:paraId="54774AD2" w14:textId="77777777" w:rsidTr="00794AE6">
        <w:trPr>
          <w:cantSplit/>
        </w:trPr>
        <w:tc>
          <w:tcPr>
            <w:tcW w:w="3071" w:type="dxa"/>
          </w:tcPr>
          <w:p w14:paraId="588F16B2"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w:t>
            </w:r>
          </w:p>
        </w:tc>
        <w:tc>
          <w:tcPr>
            <w:tcW w:w="2822" w:type="dxa"/>
          </w:tcPr>
          <w:p w14:paraId="04668AA7" w14:textId="7382EEC5" w:rsidR="00AA30D8" w:rsidRPr="00C63A98" w:rsidRDefault="00794AE6" w:rsidP="00C63A98">
            <w:pPr>
              <w:pStyle w:val="Tabletext"/>
              <w:rPr>
                <w:rFonts w:ascii="Calibri" w:hAnsi="Calibri" w:cs="Calibri"/>
                <w:sz w:val="20"/>
              </w:rPr>
            </w:pPr>
            <w:r>
              <w:rPr>
                <w:rFonts w:ascii="Calibri" w:hAnsi="Calibri" w:cs="Calibri"/>
                <w:sz w:val="20"/>
              </w:rPr>
              <w:t>Gross quantity of the transaction</w:t>
            </w:r>
          </w:p>
        </w:tc>
        <w:tc>
          <w:tcPr>
            <w:tcW w:w="1218" w:type="dxa"/>
          </w:tcPr>
          <w:p w14:paraId="6CE1CFEE" w14:textId="77777777" w:rsidR="00AA30D8" w:rsidRPr="00C63A98" w:rsidRDefault="00AA30D8" w:rsidP="00C63A98">
            <w:pPr>
              <w:pStyle w:val="Tabletext"/>
              <w:rPr>
                <w:rFonts w:ascii="Calibri" w:hAnsi="Calibri" w:cs="Calibri"/>
                <w:sz w:val="20"/>
              </w:rPr>
            </w:pPr>
            <w:r w:rsidRPr="00C63A98">
              <w:rPr>
                <w:rFonts w:ascii="Calibri" w:hAnsi="Calibri" w:cs="Calibri"/>
                <w:sz w:val="20"/>
              </w:rPr>
              <w:t>Float</w:t>
            </w:r>
          </w:p>
        </w:tc>
        <w:tc>
          <w:tcPr>
            <w:tcW w:w="2249" w:type="dxa"/>
          </w:tcPr>
          <w:p w14:paraId="2DF2BE32" w14:textId="1F8C9A0E" w:rsidR="00AA30D8" w:rsidRPr="00C63A98" w:rsidRDefault="00610DB7" w:rsidP="00C63A98">
            <w:pPr>
              <w:pStyle w:val="Tabletext"/>
              <w:rPr>
                <w:rFonts w:ascii="Calibri" w:hAnsi="Calibri" w:cs="Calibri"/>
                <w:sz w:val="20"/>
              </w:rPr>
            </w:pPr>
            <w:r>
              <w:rPr>
                <w:rFonts w:ascii="Calibri" w:hAnsi="Calibri" w:cs="Calibri"/>
                <w:sz w:val="20"/>
              </w:rPr>
              <w:t>787</w:t>
            </w:r>
          </w:p>
        </w:tc>
      </w:tr>
      <w:tr w:rsidR="00AA30D8" w:rsidRPr="00C63A98" w14:paraId="669839C5" w14:textId="77777777" w:rsidTr="00794AE6">
        <w:trPr>
          <w:cantSplit/>
        </w:trPr>
        <w:tc>
          <w:tcPr>
            <w:tcW w:w="3071" w:type="dxa"/>
          </w:tcPr>
          <w:p w14:paraId="7F7E3F24"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GrossQuantityUnit</w:t>
            </w:r>
          </w:p>
        </w:tc>
        <w:tc>
          <w:tcPr>
            <w:tcW w:w="2822" w:type="dxa"/>
          </w:tcPr>
          <w:p w14:paraId="294934A7" w14:textId="6C525801" w:rsidR="00AA30D8" w:rsidRPr="00C63A98" w:rsidRDefault="00794AE6" w:rsidP="00C63A98">
            <w:pPr>
              <w:pStyle w:val="Tabletext"/>
              <w:rPr>
                <w:rFonts w:ascii="Calibri" w:hAnsi="Calibri" w:cs="Calibri"/>
                <w:sz w:val="20"/>
              </w:rPr>
            </w:pPr>
            <w:r>
              <w:rPr>
                <w:rFonts w:ascii="Calibri" w:hAnsi="Calibri" w:cs="Calibri"/>
                <w:sz w:val="20"/>
              </w:rPr>
              <w:t>Unit of the gross quantity</w:t>
            </w:r>
          </w:p>
        </w:tc>
        <w:tc>
          <w:tcPr>
            <w:tcW w:w="1218" w:type="dxa"/>
          </w:tcPr>
          <w:p w14:paraId="7875A5C9" w14:textId="77777777" w:rsidR="00AA30D8" w:rsidRPr="00C63A98" w:rsidRDefault="00AA30D8" w:rsidP="00C63A98">
            <w:pPr>
              <w:pStyle w:val="Tabletext"/>
              <w:rPr>
                <w:rFonts w:ascii="Calibri" w:hAnsi="Calibri" w:cs="Calibri"/>
                <w:sz w:val="20"/>
              </w:rPr>
            </w:pPr>
            <w:r w:rsidRPr="00C63A98">
              <w:rPr>
                <w:rFonts w:ascii="Calibri" w:hAnsi="Calibri" w:cs="Calibri"/>
                <w:sz w:val="20"/>
              </w:rPr>
              <w:t>Varchar</w:t>
            </w:r>
          </w:p>
        </w:tc>
        <w:tc>
          <w:tcPr>
            <w:tcW w:w="2249" w:type="dxa"/>
          </w:tcPr>
          <w:p w14:paraId="5465F5EC" w14:textId="77777777" w:rsidR="00AA30D8" w:rsidRPr="00C63A98" w:rsidRDefault="00AA30D8" w:rsidP="00C63A98">
            <w:pPr>
              <w:pStyle w:val="Tabletext"/>
              <w:rPr>
                <w:rFonts w:ascii="Calibri" w:hAnsi="Calibri" w:cs="Calibri"/>
                <w:sz w:val="20"/>
              </w:rPr>
            </w:pPr>
            <w:r w:rsidRPr="00C63A98">
              <w:rPr>
                <w:rFonts w:ascii="Calibri" w:hAnsi="Calibri" w:cs="Calibri"/>
                <w:sz w:val="20"/>
              </w:rPr>
              <w:t>GL</w:t>
            </w:r>
          </w:p>
        </w:tc>
      </w:tr>
      <w:tr w:rsidR="00AA30D8" w:rsidRPr="00C63A98" w14:paraId="5D68E17D" w14:textId="77777777" w:rsidTr="00794AE6">
        <w:trPr>
          <w:cantSplit/>
        </w:trPr>
        <w:tc>
          <w:tcPr>
            <w:tcW w:w="3071" w:type="dxa"/>
          </w:tcPr>
          <w:p w14:paraId="78ED2F00"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w:t>
            </w:r>
          </w:p>
        </w:tc>
        <w:tc>
          <w:tcPr>
            <w:tcW w:w="2822" w:type="dxa"/>
          </w:tcPr>
          <w:p w14:paraId="3E311D8B" w14:textId="32AA76AF" w:rsidR="00AA30D8" w:rsidRPr="00C63A98" w:rsidRDefault="00794AE6" w:rsidP="00C63A98">
            <w:pPr>
              <w:pStyle w:val="Tabletext"/>
              <w:rPr>
                <w:rFonts w:ascii="Calibri" w:hAnsi="Calibri" w:cs="Calibri"/>
                <w:sz w:val="20"/>
              </w:rPr>
            </w:pPr>
            <w:r>
              <w:rPr>
                <w:rFonts w:ascii="Calibri" w:hAnsi="Calibri" w:cs="Calibri"/>
                <w:sz w:val="20"/>
              </w:rPr>
              <w:t>Net quantity of the transaction</w:t>
            </w:r>
          </w:p>
        </w:tc>
        <w:tc>
          <w:tcPr>
            <w:tcW w:w="1218" w:type="dxa"/>
          </w:tcPr>
          <w:p w14:paraId="7D4731C9" w14:textId="77777777" w:rsidR="00AA30D8" w:rsidRPr="00C63A98" w:rsidRDefault="00AA30D8" w:rsidP="00C63A98">
            <w:pPr>
              <w:pStyle w:val="Tabletext"/>
              <w:rPr>
                <w:rFonts w:ascii="Calibri" w:hAnsi="Calibri" w:cs="Calibri"/>
                <w:sz w:val="20"/>
              </w:rPr>
            </w:pPr>
            <w:r w:rsidRPr="00C63A98">
              <w:rPr>
                <w:rFonts w:ascii="Calibri" w:hAnsi="Calibri" w:cs="Calibri"/>
                <w:sz w:val="20"/>
              </w:rPr>
              <w:t>Float</w:t>
            </w:r>
          </w:p>
        </w:tc>
        <w:tc>
          <w:tcPr>
            <w:tcW w:w="2249" w:type="dxa"/>
          </w:tcPr>
          <w:p w14:paraId="2F4DF97C" w14:textId="1C965854" w:rsidR="00AA30D8" w:rsidRPr="00C63A98" w:rsidRDefault="00610DB7" w:rsidP="00C63A98">
            <w:pPr>
              <w:pStyle w:val="Tabletext"/>
              <w:rPr>
                <w:rFonts w:ascii="Calibri" w:hAnsi="Calibri" w:cs="Calibri"/>
                <w:sz w:val="20"/>
              </w:rPr>
            </w:pPr>
            <w:r>
              <w:rPr>
                <w:rFonts w:ascii="Calibri" w:hAnsi="Calibri" w:cs="Calibri"/>
                <w:sz w:val="20"/>
              </w:rPr>
              <w:t>802</w:t>
            </w:r>
          </w:p>
        </w:tc>
      </w:tr>
      <w:tr w:rsidR="00AA30D8" w:rsidRPr="00C63A98" w14:paraId="59534526" w14:textId="77777777" w:rsidTr="00794AE6">
        <w:trPr>
          <w:cantSplit/>
        </w:trPr>
        <w:tc>
          <w:tcPr>
            <w:tcW w:w="3071" w:type="dxa"/>
          </w:tcPr>
          <w:p w14:paraId="1B9F5147"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NetQuantityUnit</w:t>
            </w:r>
          </w:p>
        </w:tc>
        <w:tc>
          <w:tcPr>
            <w:tcW w:w="2822" w:type="dxa"/>
          </w:tcPr>
          <w:p w14:paraId="49FDD49A" w14:textId="5E7ABD0B" w:rsidR="00AA30D8" w:rsidRPr="00C63A98" w:rsidRDefault="00794AE6" w:rsidP="00C63A98">
            <w:pPr>
              <w:pStyle w:val="Tabletext"/>
              <w:keepNext/>
              <w:rPr>
                <w:rFonts w:ascii="Calibri" w:hAnsi="Calibri" w:cs="Calibri"/>
                <w:sz w:val="20"/>
              </w:rPr>
            </w:pPr>
            <w:r>
              <w:rPr>
                <w:rFonts w:ascii="Calibri" w:hAnsi="Calibri" w:cs="Calibri"/>
                <w:sz w:val="20"/>
              </w:rPr>
              <w:t>Unit of the net quantity</w:t>
            </w:r>
          </w:p>
        </w:tc>
        <w:tc>
          <w:tcPr>
            <w:tcW w:w="1218" w:type="dxa"/>
          </w:tcPr>
          <w:p w14:paraId="29D2008C"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Varchar</w:t>
            </w:r>
          </w:p>
        </w:tc>
        <w:tc>
          <w:tcPr>
            <w:tcW w:w="2249" w:type="dxa"/>
          </w:tcPr>
          <w:p w14:paraId="786BC436"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GL</w:t>
            </w:r>
          </w:p>
        </w:tc>
      </w:tr>
    </w:tbl>
    <w:p w14:paraId="6A90B49E" w14:textId="1D8EDC35" w:rsidR="00AA30D8" w:rsidRDefault="00AA30D8" w:rsidP="00AA30D8">
      <w:pPr>
        <w:pStyle w:val="Caption"/>
      </w:pPr>
      <w:bookmarkStart w:id="236" w:name="_Toc242554028"/>
      <w:r>
        <w:t xml:space="preserve">Table </w:t>
      </w:r>
      <w:bookmarkStart w:id="237" w:name="_Ref917260958"/>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30</w:t>
      </w:r>
      <w:r>
        <w:fldChar w:fldCharType="end"/>
      </w:r>
      <w:bookmarkEnd w:id="237"/>
      <w:r>
        <w:t>: Source (Kittyhawk) Data Entity: Transaction Upload</w:t>
      </w:r>
      <w:bookmarkEnd w:id="236"/>
    </w:p>
    <w:p w14:paraId="2EC7009E" w14:textId="77777777" w:rsidR="0081216E" w:rsidRDefault="00AA30D8" w:rsidP="00AA30D8">
      <w:pPr>
        <w:pStyle w:val="Heading5"/>
        <w:rPr>
          <w:rFonts w:ascii="Calibri" w:hAnsi="Calibri" w:cs="Calibri"/>
          <w:sz w:val="20"/>
        </w:rPr>
      </w:pPr>
      <w:r w:rsidRPr="00AA30D8">
        <w:rPr>
          <w:rFonts w:ascii="Calibri" w:hAnsi="Calibri" w:cs="Calibri"/>
          <w:sz w:val="20"/>
        </w:rPr>
        <w:t>Source to Response Model Mapping</w:t>
      </w:r>
    </w:p>
    <w:p w14:paraId="0DE19A47" w14:textId="50BAC6CF" w:rsidR="00AA30D8" w:rsidRPr="00FC42E7" w:rsidRDefault="00610DB7" w:rsidP="00FC42E7">
      <w:pPr>
        <w:pStyle w:val="ListParagraph"/>
        <w:numPr>
          <w:ilvl w:val="0"/>
          <w:numId w:val="4"/>
        </w:numPr>
        <w:jc w:val="left"/>
      </w:pPr>
      <w:r w:rsidRPr="00FC42E7">
        <w:t>The response model shall carry the fields of Transaction Upload, with the Profisee codes and descriptions added for the product, component, locations, tanks and unit.</w:t>
      </w:r>
    </w:p>
    <w:p w14:paraId="09294C0F" w14:textId="77777777" w:rsidR="0081216E" w:rsidRDefault="00AA30D8" w:rsidP="00AA30D8">
      <w:pPr>
        <w:pStyle w:val="Heading6"/>
        <w:rPr>
          <w:rFonts w:ascii="Calibri" w:hAnsi="Calibri" w:cs="Calibri"/>
          <w:sz w:val="20"/>
        </w:rPr>
      </w:pPr>
      <w:r w:rsidRPr="00AA30D8">
        <w:rPr>
          <w:rFonts w:ascii="Calibri" w:hAnsi="Calibri" w:cs="Calibri"/>
          <w:sz w:val="20"/>
        </w:rPr>
        <w:t>Kittyhawk (Transaction Upload) to Response Model Mapping</w:t>
      </w:r>
    </w:p>
    <w:p w14:paraId="3701E3F6" w14:textId="4C3B9D23" w:rsidR="00FC42E7" w:rsidRPr="00EC3682" w:rsidRDefault="00FC42E7" w:rsidP="00FC42E7">
      <w:pPr>
        <w:pStyle w:val="ListParagraph"/>
        <w:numPr>
          <w:ilvl w:val="0"/>
          <w:numId w:val="4"/>
        </w:numPr>
        <w:jc w:val="left"/>
        <w:rPr>
          <w:rFonts w:ascii="Calibri" w:hAnsi="Calibri" w:cs="Calibri"/>
        </w:rPr>
      </w:pPr>
      <w:r>
        <w:t>The state and the data source shall be fixed values, and the region shall come from the request.</w:t>
      </w:r>
    </w:p>
    <w:p w14:paraId="3524B870" w14:textId="215DD1DD" w:rsidR="00AA30D8" w:rsidRPr="0081216E" w:rsidRDefault="00FC42E7" w:rsidP="00FC42E7">
      <w:pPr>
        <w:keepNext/>
        <w:jc w:val="left"/>
        <w:rPr>
          <w:rFonts w:ascii="Calibri" w:hAnsi="Calibri" w:cs="Calibri"/>
        </w:rPr>
      </w:pPr>
      <w:r>
        <w:rPr>
          <w:rFonts w:ascii="Calibri" w:hAnsi="Calibri" w:cs="Calibri"/>
        </w:rPr>
        <w:t>The table below gives the Transaction Upload field or Profisee table that each attribute of the response model comes from.</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08"/>
        <w:gridCol w:w="2060"/>
        <w:gridCol w:w="2808"/>
        <w:gridCol w:w="1684"/>
      </w:tblGrid>
      <w:tr w:rsidR="00AA30D8" w:rsidRPr="00C63A98" w14:paraId="4B41D913" w14:textId="77777777" w:rsidTr="00D0687B">
        <w:trPr>
          <w:cantSplit/>
          <w:tblHeader/>
        </w:trPr>
        <w:tc>
          <w:tcPr>
            <w:tcW w:w="2808" w:type="dxa"/>
            <w:shd w:val="clear" w:color="auto" w:fill="2F5597"/>
          </w:tcPr>
          <w:p w14:paraId="5CC473B5" w14:textId="77777777" w:rsidR="00AA30D8" w:rsidRPr="00C63A98" w:rsidRDefault="00AA30D8" w:rsidP="00C63A98">
            <w:pPr>
              <w:pStyle w:val="Tablehead1"/>
              <w:rPr>
                <w:rFonts w:ascii="Calibri" w:hAnsi="Calibri" w:cs="Calibri"/>
                <w:sz w:val="20"/>
              </w:rPr>
            </w:pPr>
            <w:r w:rsidRPr="00C63A98">
              <w:rPr>
                <w:rFonts w:ascii="Calibri" w:hAnsi="Calibri" w:cs="Calibri"/>
                <w:sz w:val="20"/>
              </w:rPr>
              <w:t>Response Model</w:t>
            </w:r>
          </w:p>
        </w:tc>
        <w:tc>
          <w:tcPr>
            <w:tcW w:w="2060" w:type="dxa"/>
            <w:shd w:val="clear" w:color="auto" w:fill="2F5597"/>
          </w:tcPr>
          <w:p w14:paraId="7797CA7B" w14:textId="77777777" w:rsidR="00AA30D8" w:rsidRPr="00C63A98" w:rsidRDefault="00AA30D8" w:rsidP="00C63A98">
            <w:pPr>
              <w:pStyle w:val="Tablehead1"/>
              <w:rPr>
                <w:rFonts w:ascii="Calibri" w:hAnsi="Calibri" w:cs="Calibri"/>
                <w:sz w:val="20"/>
              </w:rPr>
            </w:pPr>
            <w:r w:rsidRPr="00C63A98">
              <w:rPr>
                <w:rFonts w:ascii="Calibri" w:hAnsi="Calibri" w:cs="Calibri"/>
                <w:sz w:val="20"/>
              </w:rPr>
              <w:t>Source Field</w:t>
            </w:r>
          </w:p>
        </w:tc>
        <w:tc>
          <w:tcPr>
            <w:tcW w:w="2808" w:type="dxa"/>
            <w:shd w:val="clear" w:color="auto" w:fill="2F5597"/>
          </w:tcPr>
          <w:p w14:paraId="153FC7D3" w14:textId="77777777" w:rsidR="00AA30D8" w:rsidRPr="00C63A98" w:rsidRDefault="00AA30D8" w:rsidP="00C63A98">
            <w:pPr>
              <w:pStyle w:val="Tablehead1"/>
              <w:rPr>
                <w:rFonts w:ascii="Calibri" w:hAnsi="Calibri" w:cs="Calibri"/>
                <w:sz w:val="20"/>
              </w:rPr>
            </w:pPr>
            <w:r w:rsidRPr="00C63A98">
              <w:rPr>
                <w:rFonts w:ascii="Calibri" w:hAnsi="Calibri" w:cs="Calibri"/>
                <w:sz w:val="20"/>
              </w:rPr>
              <w:t>Attribute</w:t>
            </w:r>
          </w:p>
        </w:tc>
        <w:tc>
          <w:tcPr>
            <w:tcW w:w="1684" w:type="dxa"/>
            <w:shd w:val="clear" w:color="auto" w:fill="2F5597"/>
          </w:tcPr>
          <w:p w14:paraId="4AE195EF" w14:textId="77777777" w:rsidR="00AA30D8" w:rsidRPr="00C63A98" w:rsidRDefault="00AA30D8" w:rsidP="00C63A98">
            <w:pPr>
              <w:pStyle w:val="Tablehead1"/>
              <w:rPr>
                <w:rFonts w:ascii="Calibri" w:hAnsi="Calibri" w:cs="Calibri"/>
                <w:sz w:val="20"/>
              </w:rPr>
            </w:pPr>
            <w:r w:rsidRPr="00C63A98">
              <w:rPr>
                <w:rFonts w:ascii="Calibri" w:hAnsi="Calibri" w:cs="Calibri"/>
                <w:sz w:val="20"/>
              </w:rPr>
              <w:t>Description</w:t>
            </w:r>
          </w:p>
        </w:tc>
      </w:tr>
      <w:tr w:rsidR="00AA30D8" w:rsidRPr="00C63A98" w14:paraId="11E321A5" w14:textId="77777777" w:rsidTr="00D0687B">
        <w:trPr>
          <w:cantSplit/>
        </w:trPr>
        <w:tc>
          <w:tcPr>
            <w:tcW w:w="2808" w:type="dxa"/>
          </w:tcPr>
          <w:p w14:paraId="38319348"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transactionUploadId</w:t>
            </w:r>
          </w:p>
        </w:tc>
        <w:tc>
          <w:tcPr>
            <w:tcW w:w="2060" w:type="dxa"/>
          </w:tcPr>
          <w:p w14:paraId="60EC01C7" w14:textId="77777777" w:rsidR="00AA30D8" w:rsidRPr="00C63A98" w:rsidRDefault="00AA30D8" w:rsidP="00C63A98">
            <w:pPr>
              <w:pStyle w:val="Tabletext"/>
              <w:rPr>
                <w:rFonts w:ascii="Calibri" w:hAnsi="Calibri" w:cs="Calibri"/>
                <w:sz w:val="20"/>
              </w:rPr>
            </w:pPr>
            <w:r w:rsidRPr="00C63A98">
              <w:rPr>
                <w:rFonts w:ascii="Calibri" w:hAnsi="Calibri" w:cs="Calibri"/>
                <w:sz w:val="20"/>
              </w:rPr>
              <w:t>ID (row identifier of the transaction upload)</w:t>
            </w:r>
          </w:p>
        </w:tc>
        <w:tc>
          <w:tcPr>
            <w:tcW w:w="2808" w:type="dxa"/>
          </w:tcPr>
          <w:p w14:paraId="590D1A37"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TransactionUploadID</w:t>
            </w:r>
          </w:p>
        </w:tc>
        <w:tc>
          <w:tcPr>
            <w:tcW w:w="1684" w:type="dxa"/>
          </w:tcPr>
          <w:p w14:paraId="66B39189" w14:textId="77777777" w:rsidR="00AA30D8" w:rsidRPr="00C63A98" w:rsidRDefault="00AA30D8" w:rsidP="00C63A98">
            <w:pPr>
              <w:pStyle w:val="Tabletext"/>
              <w:rPr>
                <w:rFonts w:ascii="Calibri" w:hAnsi="Calibri" w:cs="Calibri"/>
                <w:sz w:val="20"/>
              </w:rPr>
            </w:pPr>
            <w:r w:rsidRPr="00C63A98">
              <w:rPr>
                <w:rFonts w:ascii="Calibri" w:hAnsi="Calibri" w:cs="Calibri"/>
                <w:sz w:val="20"/>
              </w:rPr>
              <w:t>Identifier of the row</w:t>
            </w:r>
          </w:p>
        </w:tc>
      </w:tr>
      <w:tr w:rsidR="00AA30D8" w:rsidRPr="00C63A98" w14:paraId="0AC96DAB" w14:textId="77777777" w:rsidTr="00D0687B">
        <w:trPr>
          <w:cantSplit/>
        </w:trPr>
        <w:tc>
          <w:tcPr>
            <w:tcW w:w="2808" w:type="dxa"/>
          </w:tcPr>
          <w:p w14:paraId="518E677F" w14:textId="77777777" w:rsidR="00AA30D8" w:rsidRPr="00C63A98" w:rsidRDefault="00AA30D8" w:rsidP="00C63A98">
            <w:pPr>
              <w:pStyle w:val="Tabletext"/>
              <w:rPr>
                <w:rFonts w:ascii="Calibri" w:hAnsi="Calibri" w:cs="Calibri"/>
                <w:sz w:val="20"/>
              </w:rPr>
            </w:pPr>
            <w:r w:rsidRPr="00C63A98">
              <w:rPr>
                <w:rFonts w:ascii="Calibri" w:hAnsi="Calibri" w:cs="Calibri"/>
                <w:sz w:val="20"/>
              </w:rPr>
              <w:t>batchIdentifier</w:t>
            </w:r>
          </w:p>
        </w:tc>
        <w:tc>
          <w:tcPr>
            <w:tcW w:w="2060" w:type="dxa"/>
          </w:tcPr>
          <w:p w14:paraId="5F254196" w14:textId="77777777" w:rsidR="00AA30D8" w:rsidRPr="00C63A98" w:rsidRDefault="00AA30D8" w:rsidP="00C63A98">
            <w:pPr>
              <w:pStyle w:val="Tabletext"/>
              <w:rPr>
                <w:rFonts w:ascii="Calibri" w:hAnsi="Calibri" w:cs="Calibri"/>
                <w:sz w:val="20"/>
              </w:rPr>
            </w:pPr>
            <w:r w:rsidRPr="00C63A98">
              <w:rPr>
                <w:rFonts w:ascii="Calibri" w:hAnsi="Calibri" w:cs="Calibri"/>
                <w:sz w:val="20"/>
              </w:rPr>
              <w:t>BatchIdentifier</w:t>
            </w:r>
          </w:p>
        </w:tc>
        <w:tc>
          <w:tcPr>
            <w:tcW w:w="2808" w:type="dxa"/>
          </w:tcPr>
          <w:p w14:paraId="3351F827" w14:textId="77777777" w:rsidR="00AA30D8" w:rsidRPr="00C63A98" w:rsidRDefault="00AA30D8" w:rsidP="00C63A98">
            <w:pPr>
              <w:pStyle w:val="Tabletext"/>
              <w:rPr>
                <w:rFonts w:ascii="Calibri" w:hAnsi="Calibri" w:cs="Calibri"/>
                <w:sz w:val="20"/>
              </w:rPr>
            </w:pPr>
            <w:r w:rsidRPr="00C63A98">
              <w:rPr>
                <w:rFonts w:ascii="Calibri" w:hAnsi="Calibri" w:cs="Calibri"/>
                <w:sz w:val="20"/>
              </w:rPr>
              <w:t>BatchIdentifier</w:t>
            </w:r>
          </w:p>
        </w:tc>
        <w:tc>
          <w:tcPr>
            <w:tcW w:w="1684" w:type="dxa"/>
          </w:tcPr>
          <w:p w14:paraId="6AA9AFC8" w14:textId="77777777" w:rsidR="00AA30D8" w:rsidRPr="00C63A98" w:rsidRDefault="00AA30D8" w:rsidP="00C63A98">
            <w:pPr>
              <w:pStyle w:val="Tabletext"/>
              <w:rPr>
                <w:rFonts w:ascii="Calibri" w:hAnsi="Calibri" w:cs="Calibri"/>
                <w:sz w:val="20"/>
              </w:rPr>
            </w:pPr>
            <w:r w:rsidRPr="00C63A98">
              <w:rPr>
                <w:rFonts w:ascii="Calibri" w:hAnsi="Calibri" w:cs="Calibri"/>
                <w:sz w:val="20"/>
              </w:rPr>
              <w:t>Batch identifier</w:t>
            </w:r>
          </w:p>
        </w:tc>
      </w:tr>
      <w:tr w:rsidR="00AA30D8" w:rsidRPr="00C63A98" w14:paraId="2BC1802A" w14:textId="77777777" w:rsidTr="00D0687B">
        <w:trPr>
          <w:cantSplit/>
        </w:trPr>
        <w:tc>
          <w:tcPr>
            <w:tcW w:w="2808" w:type="dxa"/>
          </w:tcPr>
          <w:p w14:paraId="6C80DCB6"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transactionType</w:t>
            </w:r>
          </w:p>
        </w:tc>
        <w:tc>
          <w:tcPr>
            <w:tcW w:w="2060" w:type="dxa"/>
          </w:tcPr>
          <w:p w14:paraId="26A016AC"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TransactionType</w:t>
            </w:r>
          </w:p>
        </w:tc>
        <w:tc>
          <w:tcPr>
            <w:tcW w:w="2808" w:type="dxa"/>
          </w:tcPr>
          <w:p w14:paraId="66929554"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TransactionType</w:t>
            </w:r>
          </w:p>
        </w:tc>
        <w:tc>
          <w:tcPr>
            <w:tcW w:w="1684" w:type="dxa"/>
          </w:tcPr>
          <w:p w14:paraId="2077B758"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 type</w:t>
            </w:r>
          </w:p>
        </w:tc>
      </w:tr>
      <w:tr w:rsidR="00AA30D8" w:rsidRPr="00C63A98" w14:paraId="47FF782F" w14:textId="77777777" w:rsidTr="00D0687B">
        <w:trPr>
          <w:cantSplit/>
        </w:trPr>
        <w:tc>
          <w:tcPr>
            <w:tcW w:w="2808" w:type="dxa"/>
          </w:tcPr>
          <w:p w14:paraId="395E92E4"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transactionDate</w:t>
            </w:r>
          </w:p>
        </w:tc>
        <w:tc>
          <w:tcPr>
            <w:tcW w:w="2060" w:type="dxa"/>
          </w:tcPr>
          <w:p w14:paraId="7C36012D" w14:textId="77777777" w:rsidR="00AA30D8" w:rsidRPr="00C63A98" w:rsidRDefault="00AA30D8" w:rsidP="00C63A98">
            <w:pPr>
              <w:pStyle w:val="Tabletext"/>
              <w:rPr>
                <w:rFonts w:ascii="Calibri" w:hAnsi="Calibri" w:cs="Calibri"/>
                <w:sz w:val="20"/>
              </w:rPr>
            </w:pPr>
            <w:r w:rsidRPr="00C63A98">
              <w:rPr>
                <w:rFonts w:ascii="Calibri" w:hAnsi="Calibri" w:cs="Calibri"/>
                <w:sz w:val="20"/>
              </w:rPr>
              <w:t>Timestamp</w:t>
            </w:r>
          </w:p>
        </w:tc>
        <w:tc>
          <w:tcPr>
            <w:tcW w:w="2808" w:type="dxa"/>
          </w:tcPr>
          <w:p w14:paraId="3ED81F12"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TransactionDate</w:t>
            </w:r>
          </w:p>
        </w:tc>
        <w:tc>
          <w:tcPr>
            <w:tcW w:w="1684" w:type="dxa"/>
          </w:tcPr>
          <w:p w14:paraId="042CDBF8" w14:textId="77777777" w:rsidR="00AA30D8" w:rsidRPr="00C63A98" w:rsidRDefault="00AA30D8" w:rsidP="00C63A98">
            <w:pPr>
              <w:pStyle w:val="Tabletext"/>
              <w:rPr>
                <w:rFonts w:ascii="Calibri" w:hAnsi="Calibri" w:cs="Calibri"/>
                <w:sz w:val="20"/>
              </w:rPr>
            </w:pPr>
            <w:r w:rsidRPr="00C63A98">
              <w:rPr>
                <w:rFonts w:ascii="Calibri" w:hAnsi="Calibri" w:cs="Calibri"/>
                <w:sz w:val="20"/>
              </w:rPr>
              <w:t>Time stamp of the transaction</w:t>
            </w:r>
          </w:p>
        </w:tc>
      </w:tr>
      <w:tr w:rsidR="00AA30D8" w:rsidRPr="00C63A98" w14:paraId="4BB532AB" w14:textId="77777777" w:rsidTr="00D0687B">
        <w:trPr>
          <w:cantSplit/>
        </w:trPr>
        <w:tc>
          <w:tcPr>
            <w:tcW w:w="2808" w:type="dxa"/>
          </w:tcPr>
          <w:p w14:paraId="2EB27AAB"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transOrigin</w:t>
            </w:r>
          </w:p>
        </w:tc>
        <w:tc>
          <w:tcPr>
            <w:tcW w:w="2060" w:type="dxa"/>
          </w:tcPr>
          <w:p w14:paraId="1018B290"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TransOrigin</w:t>
            </w:r>
          </w:p>
        </w:tc>
        <w:tc>
          <w:tcPr>
            <w:tcW w:w="2808" w:type="dxa"/>
          </w:tcPr>
          <w:p w14:paraId="1E86F9E2"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TransOrigin</w:t>
            </w:r>
          </w:p>
        </w:tc>
        <w:tc>
          <w:tcPr>
            <w:tcW w:w="1684" w:type="dxa"/>
          </w:tcPr>
          <w:p w14:paraId="3B2D1617"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 of the transaction</w:t>
            </w:r>
          </w:p>
        </w:tc>
      </w:tr>
      <w:tr w:rsidR="00AA30D8" w:rsidRPr="00C63A98" w14:paraId="6AF588DB" w14:textId="77777777" w:rsidTr="00D0687B">
        <w:trPr>
          <w:cantSplit/>
        </w:trPr>
        <w:tc>
          <w:tcPr>
            <w:tcW w:w="2808" w:type="dxa"/>
          </w:tcPr>
          <w:p w14:paraId="01659A73"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materialCode</w:t>
            </w:r>
          </w:p>
        </w:tc>
        <w:tc>
          <w:tcPr>
            <w:tcW w:w="2060" w:type="dxa"/>
          </w:tcPr>
          <w:p w14:paraId="31E2D677"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ProductID</w:t>
            </w:r>
          </w:p>
        </w:tc>
        <w:tc>
          <w:tcPr>
            <w:tcW w:w="2808" w:type="dxa"/>
          </w:tcPr>
          <w:p w14:paraId="664A5EE8"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w:t>
            </w:r>
          </w:p>
        </w:tc>
        <w:tc>
          <w:tcPr>
            <w:tcW w:w="1684" w:type="dxa"/>
          </w:tcPr>
          <w:p w14:paraId="4E27E128"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Product</w:t>
            </w:r>
          </w:p>
        </w:tc>
      </w:tr>
      <w:tr w:rsidR="00AA30D8" w:rsidRPr="00C63A98" w14:paraId="2A976C86" w14:textId="77777777" w:rsidTr="00D0687B">
        <w:trPr>
          <w:cantSplit/>
        </w:trPr>
        <w:tc>
          <w:tcPr>
            <w:tcW w:w="2808" w:type="dxa"/>
          </w:tcPr>
          <w:p w14:paraId="689024C7"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materialGlobalCode</w:t>
            </w:r>
          </w:p>
        </w:tc>
        <w:tc>
          <w:tcPr>
            <w:tcW w:w="2060" w:type="dxa"/>
          </w:tcPr>
          <w:p w14:paraId="7CDFE3CB"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(Product XREF)</w:t>
            </w:r>
          </w:p>
        </w:tc>
        <w:tc>
          <w:tcPr>
            <w:tcW w:w="2808" w:type="dxa"/>
          </w:tcPr>
          <w:p w14:paraId="3432EC77"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Material_GlobalCode</w:t>
            </w:r>
          </w:p>
        </w:tc>
        <w:tc>
          <w:tcPr>
            <w:tcW w:w="1684" w:type="dxa"/>
          </w:tcPr>
          <w:p w14:paraId="20A665AD"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product</w:t>
            </w:r>
          </w:p>
        </w:tc>
      </w:tr>
      <w:tr w:rsidR="00AA30D8" w:rsidRPr="00C63A98" w14:paraId="6D961208" w14:textId="77777777" w:rsidTr="00D0687B">
        <w:trPr>
          <w:cantSplit/>
        </w:trPr>
        <w:tc>
          <w:tcPr>
            <w:tcW w:w="2808" w:type="dxa"/>
          </w:tcPr>
          <w:p w14:paraId="0E2B1FE2"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materialGlobalCodeDescription</w:t>
            </w:r>
          </w:p>
        </w:tc>
        <w:tc>
          <w:tcPr>
            <w:tcW w:w="2060" w:type="dxa"/>
          </w:tcPr>
          <w:p w14:paraId="2772D45B"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(Product XREF)</w:t>
            </w:r>
          </w:p>
        </w:tc>
        <w:tc>
          <w:tcPr>
            <w:tcW w:w="2808" w:type="dxa"/>
          </w:tcPr>
          <w:p w14:paraId="7B4963D2" w14:textId="77777777" w:rsidR="00AA30D8" w:rsidRPr="00C63A98" w:rsidRDefault="00AA30D8" w:rsidP="00C63A98">
            <w:pPr>
              <w:pStyle w:val="Tabletext"/>
              <w:rPr>
                <w:rFonts w:ascii="Calibri" w:hAnsi="Calibri" w:cs="Calibri"/>
                <w:sz w:val="20"/>
              </w:rPr>
            </w:pPr>
            <w:r w:rsidRPr="00C63A98">
              <w:rPr>
                <w:rFonts w:ascii="Calibri" w:hAnsi="Calibri" w:cs="Calibri"/>
                <w:sz w:val="20"/>
              </w:rPr>
              <w:t>MaterialGlobalCodeDescription</w:t>
            </w:r>
          </w:p>
        </w:tc>
        <w:tc>
          <w:tcPr>
            <w:tcW w:w="1684" w:type="dxa"/>
          </w:tcPr>
          <w:p w14:paraId="49877B68"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product</w:t>
            </w:r>
          </w:p>
        </w:tc>
      </w:tr>
      <w:tr w:rsidR="00AA30D8" w:rsidRPr="00C63A98" w14:paraId="4261CA54" w14:textId="77777777" w:rsidTr="00D0687B">
        <w:trPr>
          <w:cantSplit/>
        </w:trPr>
        <w:tc>
          <w:tcPr>
            <w:tcW w:w="2808" w:type="dxa"/>
          </w:tcPr>
          <w:p w14:paraId="313EA129"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componentCode</w:t>
            </w:r>
          </w:p>
        </w:tc>
        <w:tc>
          <w:tcPr>
            <w:tcW w:w="2060" w:type="dxa"/>
          </w:tcPr>
          <w:p w14:paraId="4AB97D3B"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ComponentProductID</w:t>
            </w:r>
          </w:p>
        </w:tc>
        <w:tc>
          <w:tcPr>
            <w:tcW w:w="2808" w:type="dxa"/>
          </w:tcPr>
          <w:p w14:paraId="49062A62"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w:t>
            </w:r>
          </w:p>
        </w:tc>
        <w:tc>
          <w:tcPr>
            <w:tcW w:w="1684" w:type="dxa"/>
          </w:tcPr>
          <w:p w14:paraId="0C94C54D" w14:textId="77777777" w:rsidR="00AA30D8" w:rsidRPr="00C63A98" w:rsidRDefault="00AA30D8" w:rsidP="00C63A98">
            <w:pPr>
              <w:pStyle w:val="Tabletext"/>
              <w:rPr>
                <w:rFonts w:ascii="Calibri" w:hAnsi="Calibri" w:cs="Calibri"/>
                <w:sz w:val="20"/>
              </w:rPr>
            </w:pPr>
            <w:r w:rsidRPr="00C63A98">
              <w:rPr>
                <w:rFonts w:ascii="Calibri" w:hAnsi="Calibri" w:cs="Calibri"/>
                <w:sz w:val="20"/>
              </w:rPr>
              <w:t>Blend component</w:t>
            </w:r>
          </w:p>
        </w:tc>
      </w:tr>
      <w:tr w:rsidR="00AA30D8" w:rsidRPr="00C63A98" w14:paraId="1CB6299E" w14:textId="77777777" w:rsidTr="00D0687B">
        <w:trPr>
          <w:cantSplit/>
        </w:trPr>
        <w:tc>
          <w:tcPr>
            <w:tcW w:w="2808" w:type="dxa"/>
          </w:tcPr>
          <w:p w14:paraId="3C9BCA90"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componentGlobalCode</w:t>
            </w:r>
          </w:p>
        </w:tc>
        <w:tc>
          <w:tcPr>
            <w:tcW w:w="2060" w:type="dxa"/>
          </w:tcPr>
          <w:p w14:paraId="3FB6CC2E"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(Product XREF)</w:t>
            </w:r>
          </w:p>
        </w:tc>
        <w:tc>
          <w:tcPr>
            <w:tcW w:w="2808" w:type="dxa"/>
          </w:tcPr>
          <w:p w14:paraId="62C3E0B1"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Component_GlobalCode</w:t>
            </w:r>
          </w:p>
        </w:tc>
        <w:tc>
          <w:tcPr>
            <w:tcW w:w="1684" w:type="dxa"/>
          </w:tcPr>
          <w:p w14:paraId="0F8FDA4B"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blend component</w:t>
            </w:r>
          </w:p>
        </w:tc>
      </w:tr>
      <w:tr w:rsidR="00AA30D8" w:rsidRPr="00C63A98" w14:paraId="4AF801AB" w14:textId="77777777" w:rsidTr="00D0687B">
        <w:trPr>
          <w:cantSplit/>
        </w:trPr>
        <w:tc>
          <w:tcPr>
            <w:tcW w:w="2808" w:type="dxa"/>
          </w:tcPr>
          <w:p w14:paraId="136758FC"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componentGlobalCodeDescription</w:t>
            </w:r>
          </w:p>
        </w:tc>
        <w:tc>
          <w:tcPr>
            <w:tcW w:w="2060" w:type="dxa"/>
          </w:tcPr>
          <w:p w14:paraId="7ECD7311"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(Product XREF)</w:t>
            </w:r>
          </w:p>
        </w:tc>
        <w:tc>
          <w:tcPr>
            <w:tcW w:w="2808" w:type="dxa"/>
          </w:tcPr>
          <w:p w14:paraId="2AC443DF" w14:textId="77777777" w:rsidR="00AA30D8" w:rsidRPr="00C63A98" w:rsidRDefault="00AA30D8" w:rsidP="00C63A98">
            <w:pPr>
              <w:pStyle w:val="Tabletext"/>
              <w:rPr>
                <w:rFonts w:ascii="Calibri" w:hAnsi="Calibri" w:cs="Calibri"/>
                <w:sz w:val="20"/>
              </w:rPr>
            </w:pPr>
            <w:r w:rsidRPr="00C63A98">
              <w:rPr>
                <w:rFonts w:ascii="Calibri" w:hAnsi="Calibri" w:cs="Calibri"/>
                <w:sz w:val="20"/>
              </w:rPr>
              <w:t>ComponentGlobalCodeDescription</w:t>
            </w:r>
          </w:p>
        </w:tc>
        <w:tc>
          <w:tcPr>
            <w:tcW w:w="1684" w:type="dxa"/>
          </w:tcPr>
          <w:p w14:paraId="466C7CAE"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blend component</w:t>
            </w:r>
          </w:p>
        </w:tc>
      </w:tr>
      <w:tr w:rsidR="00AA30D8" w:rsidRPr="00C63A98" w14:paraId="79992047" w14:textId="77777777" w:rsidTr="00D0687B">
        <w:trPr>
          <w:cantSplit/>
        </w:trPr>
        <w:tc>
          <w:tcPr>
            <w:tcW w:w="2808" w:type="dxa"/>
          </w:tcPr>
          <w:p w14:paraId="2764CA86"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originLocationCode</w:t>
            </w:r>
          </w:p>
        </w:tc>
        <w:tc>
          <w:tcPr>
            <w:tcW w:w="2060" w:type="dxa"/>
          </w:tcPr>
          <w:p w14:paraId="60BA4281"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OriginID</w:t>
            </w:r>
          </w:p>
        </w:tc>
        <w:tc>
          <w:tcPr>
            <w:tcW w:w="2808" w:type="dxa"/>
          </w:tcPr>
          <w:p w14:paraId="6496482C"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w:t>
            </w:r>
          </w:p>
        </w:tc>
        <w:tc>
          <w:tcPr>
            <w:tcW w:w="1684" w:type="dxa"/>
          </w:tcPr>
          <w:p w14:paraId="745B9CBE"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 location</w:t>
            </w:r>
          </w:p>
        </w:tc>
      </w:tr>
      <w:tr w:rsidR="00AA30D8" w:rsidRPr="00C63A98" w14:paraId="51E863BE" w14:textId="77777777" w:rsidTr="00D0687B">
        <w:trPr>
          <w:cantSplit/>
        </w:trPr>
        <w:tc>
          <w:tcPr>
            <w:tcW w:w="2808" w:type="dxa"/>
          </w:tcPr>
          <w:p w14:paraId="02783C5B"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originLocationGlobalCode</w:t>
            </w:r>
          </w:p>
        </w:tc>
        <w:tc>
          <w:tcPr>
            <w:tcW w:w="2060" w:type="dxa"/>
          </w:tcPr>
          <w:p w14:paraId="59B02C93"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(Location XREF)</w:t>
            </w:r>
          </w:p>
        </w:tc>
        <w:tc>
          <w:tcPr>
            <w:tcW w:w="2808" w:type="dxa"/>
          </w:tcPr>
          <w:p w14:paraId="56AAE21D"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OriginLocation_GlobalCode</w:t>
            </w:r>
          </w:p>
        </w:tc>
        <w:tc>
          <w:tcPr>
            <w:tcW w:w="1684" w:type="dxa"/>
          </w:tcPr>
          <w:p w14:paraId="74B153CA"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origin location</w:t>
            </w:r>
          </w:p>
        </w:tc>
      </w:tr>
      <w:tr w:rsidR="00AA30D8" w:rsidRPr="00C63A98" w14:paraId="6CB8A46E" w14:textId="77777777" w:rsidTr="00D0687B">
        <w:trPr>
          <w:cantSplit/>
        </w:trPr>
        <w:tc>
          <w:tcPr>
            <w:tcW w:w="2808" w:type="dxa"/>
          </w:tcPr>
          <w:p w14:paraId="5B475780"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originLocationGlobalCodeDescription</w:t>
            </w:r>
          </w:p>
        </w:tc>
        <w:tc>
          <w:tcPr>
            <w:tcW w:w="2060" w:type="dxa"/>
          </w:tcPr>
          <w:p w14:paraId="5AF49D6B"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(Location XREF)</w:t>
            </w:r>
          </w:p>
        </w:tc>
        <w:tc>
          <w:tcPr>
            <w:tcW w:w="2808" w:type="dxa"/>
          </w:tcPr>
          <w:p w14:paraId="7547FC7E"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OriginLocationGlobalCodeDescription</w:t>
            </w:r>
          </w:p>
        </w:tc>
        <w:tc>
          <w:tcPr>
            <w:tcW w:w="1684" w:type="dxa"/>
          </w:tcPr>
          <w:p w14:paraId="65AE59D1"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origin location</w:t>
            </w:r>
          </w:p>
        </w:tc>
      </w:tr>
      <w:tr w:rsidR="00AA30D8" w:rsidRPr="00C63A98" w14:paraId="74229AA0" w14:textId="77777777" w:rsidTr="00D0687B">
        <w:trPr>
          <w:cantSplit/>
        </w:trPr>
        <w:tc>
          <w:tcPr>
            <w:tcW w:w="2808" w:type="dxa"/>
          </w:tcPr>
          <w:p w14:paraId="0288F352"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destinationLocationCode</w:t>
            </w:r>
          </w:p>
        </w:tc>
        <w:tc>
          <w:tcPr>
            <w:tcW w:w="2060" w:type="dxa"/>
          </w:tcPr>
          <w:p w14:paraId="5AEB3EDE"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DestinationID</w:t>
            </w:r>
          </w:p>
        </w:tc>
        <w:tc>
          <w:tcPr>
            <w:tcW w:w="2808" w:type="dxa"/>
          </w:tcPr>
          <w:p w14:paraId="0DD7BFB1"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w:t>
            </w:r>
          </w:p>
        </w:tc>
        <w:tc>
          <w:tcPr>
            <w:tcW w:w="1684" w:type="dxa"/>
          </w:tcPr>
          <w:p w14:paraId="28E1A924"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 location</w:t>
            </w:r>
          </w:p>
        </w:tc>
      </w:tr>
      <w:tr w:rsidR="00AA30D8" w:rsidRPr="00C63A98" w14:paraId="49DEEB76" w14:textId="77777777" w:rsidTr="00D0687B">
        <w:trPr>
          <w:cantSplit/>
        </w:trPr>
        <w:tc>
          <w:tcPr>
            <w:tcW w:w="2808" w:type="dxa"/>
          </w:tcPr>
          <w:p w14:paraId="6E92D014"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destinationLocationGlobalCode</w:t>
            </w:r>
          </w:p>
        </w:tc>
        <w:tc>
          <w:tcPr>
            <w:tcW w:w="2060" w:type="dxa"/>
          </w:tcPr>
          <w:p w14:paraId="11457519"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(Location XREF)</w:t>
            </w:r>
          </w:p>
        </w:tc>
        <w:tc>
          <w:tcPr>
            <w:tcW w:w="2808" w:type="dxa"/>
          </w:tcPr>
          <w:p w14:paraId="30A9EDDD"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DestinationLocation_GlobalCode</w:t>
            </w:r>
          </w:p>
        </w:tc>
        <w:tc>
          <w:tcPr>
            <w:tcW w:w="1684" w:type="dxa"/>
          </w:tcPr>
          <w:p w14:paraId="02171074"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destination location</w:t>
            </w:r>
          </w:p>
        </w:tc>
      </w:tr>
      <w:tr w:rsidR="00AA30D8" w:rsidRPr="00C63A98" w14:paraId="2467213B" w14:textId="77777777" w:rsidTr="00D0687B">
        <w:trPr>
          <w:cantSplit/>
        </w:trPr>
        <w:tc>
          <w:tcPr>
            <w:tcW w:w="2808" w:type="dxa"/>
          </w:tcPr>
          <w:p w14:paraId="07FBE5FD"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destinationLocationGlobalCodeDescription</w:t>
            </w:r>
          </w:p>
        </w:tc>
        <w:tc>
          <w:tcPr>
            <w:tcW w:w="2060" w:type="dxa"/>
          </w:tcPr>
          <w:p w14:paraId="65B2D667"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(Location XREF)</w:t>
            </w:r>
          </w:p>
        </w:tc>
        <w:tc>
          <w:tcPr>
            <w:tcW w:w="2808" w:type="dxa"/>
          </w:tcPr>
          <w:p w14:paraId="18D80FCD"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DestinationLocationGlobalCodeDescription</w:t>
            </w:r>
          </w:p>
        </w:tc>
        <w:tc>
          <w:tcPr>
            <w:tcW w:w="1684" w:type="dxa"/>
          </w:tcPr>
          <w:p w14:paraId="33E2F1E8"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destination location</w:t>
            </w:r>
          </w:p>
        </w:tc>
      </w:tr>
      <w:tr w:rsidR="00AA30D8" w:rsidRPr="00C63A98" w14:paraId="2DE130AB" w14:textId="77777777" w:rsidTr="00D0687B">
        <w:trPr>
          <w:cantSplit/>
        </w:trPr>
        <w:tc>
          <w:tcPr>
            <w:tcW w:w="2808" w:type="dxa"/>
          </w:tcPr>
          <w:p w14:paraId="2372A702"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originContainerCode</w:t>
            </w:r>
          </w:p>
        </w:tc>
        <w:tc>
          <w:tcPr>
            <w:tcW w:w="2060" w:type="dxa"/>
          </w:tcPr>
          <w:p w14:paraId="007DB1A6"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OriginContainerCode</w:t>
            </w:r>
          </w:p>
        </w:tc>
        <w:tc>
          <w:tcPr>
            <w:tcW w:w="2808" w:type="dxa"/>
          </w:tcPr>
          <w:p w14:paraId="7114F070"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w:t>
            </w:r>
          </w:p>
        </w:tc>
        <w:tc>
          <w:tcPr>
            <w:tcW w:w="1684" w:type="dxa"/>
          </w:tcPr>
          <w:p w14:paraId="4B58EF4D"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 tank</w:t>
            </w:r>
          </w:p>
        </w:tc>
      </w:tr>
      <w:tr w:rsidR="00AA30D8" w:rsidRPr="00C63A98" w14:paraId="1BBB053E" w14:textId="77777777" w:rsidTr="00D0687B">
        <w:trPr>
          <w:cantSplit/>
        </w:trPr>
        <w:tc>
          <w:tcPr>
            <w:tcW w:w="2808" w:type="dxa"/>
          </w:tcPr>
          <w:p w14:paraId="3314E5D7"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originContainerGlobalCode</w:t>
            </w:r>
          </w:p>
        </w:tc>
        <w:tc>
          <w:tcPr>
            <w:tcW w:w="2060" w:type="dxa"/>
          </w:tcPr>
          <w:p w14:paraId="43C23B27"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(Tank XREF)</w:t>
            </w:r>
          </w:p>
        </w:tc>
        <w:tc>
          <w:tcPr>
            <w:tcW w:w="2808" w:type="dxa"/>
          </w:tcPr>
          <w:p w14:paraId="0D641D0A"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OriginContainer_GlobalCode</w:t>
            </w:r>
          </w:p>
        </w:tc>
        <w:tc>
          <w:tcPr>
            <w:tcW w:w="1684" w:type="dxa"/>
          </w:tcPr>
          <w:p w14:paraId="54BAC240"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origin tank</w:t>
            </w:r>
          </w:p>
        </w:tc>
      </w:tr>
      <w:tr w:rsidR="00AA30D8" w:rsidRPr="00C63A98" w14:paraId="7EA4876C" w14:textId="77777777" w:rsidTr="00D0687B">
        <w:trPr>
          <w:cantSplit/>
        </w:trPr>
        <w:tc>
          <w:tcPr>
            <w:tcW w:w="2808" w:type="dxa"/>
          </w:tcPr>
          <w:p w14:paraId="70C4D5E4"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originContainerGlobalCodeDescription</w:t>
            </w:r>
          </w:p>
        </w:tc>
        <w:tc>
          <w:tcPr>
            <w:tcW w:w="2060" w:type="dxa"/>
          </w:tcPr>
          <w:p w14:paraId="4A4E78C6"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(Tank XREF)</w:t>
            </w:r>
          </w:p>
        </w:tc>
        <w:tc>
          <w:tcPr>
            <w:tcW w:w="2808" w:type="dxa"/>
          </w:tcPr>
          <w:p w14:paraId="3F7C21F7" w14:textId="77777777" w:rsidR="00AA30D8" w:rsidRPr="00C63A98" w:rsidRDefault="00AA30D8" w:rsidP="00C63A98">
            <w:pPr>
              <w:pStyle w:val="Tabletext"/>
              <w:rPr>
                <w:rFonts w:ascii="Calibri" w:hAnsi="Calibri" w:cs="Calibri"/>
                <w:sz w:val="20"/>
              </w:rPr>
            </w:pPr>
            <w:r w:rsidRPr="00C63A98">
              <w:rPr>
                <w:rFonts w:ascii="Calibri" w:hAnsi="Calibri" w:cs="Calibri"/>
                <w:sz w:val="20"/>
              </w:rPr>
              <w:t>OriginContainerGlobalCodeDescription</w:t>
            </w:r>
          </w:p>
        </w:tc>
        <w:tc>
          <w:tcPr>
            <w:tcW w:w="1684" w:type="dxa"/>
          </w:tcPr>
          <w:p w14:paraId="182FD900"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origin tank</w:t>
            </w:r>
          </w:p>
        </w:tc>
      </w:tr>
      <w:tr w:rsidR="00AA30D8" w:rsidRPr="00C63A98" w14:paraId="3741FD01" w14:textId="77777777" w:rsidTr="00D0687B">
        <w:trPr>
          <w:cantSplit/>
        </w:trPr>
        <w:tc>
          <w:tcPr>
            <w:tcW w:w="2808" w:type="dxa"/>
          </w:tcPr>
          <w:p w14:paraId="08EC43CE"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destinationContainerCode</w:t>
            </w:r>
          </w:p>
        </w:tc>
        <w:tc>
          <w:tcPr>
            <w:tcW w:w="2060" w:type="dxa"/>
          </w:tcPr>
          <w:p w14:paraId="6AF1FC31"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DestinationContainerCode</w:t>
            </w:r>
          </w:p>
        </w:tc>
        <w:tc>
          <w:tcPr>
            <w:tcW w:w="2808" w:type="dxa"/>
          </w:tcPr>
          <w:p w14:paraId="6064D325"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w:t>
            </w:r>
          </w:p>
        </w:tc>
        <w:tc>
          <w:tcPr>
            <w:tcW w:w="1684" w:type="dxa"/>
          </w:tcPr>
          <w:p w14:paraId="17050949"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 tank</w:t>
            </w:r>
          </w:p>
        </w:tc>
      </w:tr>
      <w:tr w:rsidR="00AA30D8" w:rsidRPr="00C63A98" w14:paraId="0B75B51A" w14:textId="77777777" w:rsidTr="00D0687B">
        <w:trPr>
          <w:cantSplit/>
        </w:trPr>
        <w:tc>
          <w:tcPr>
            <w:tcW w:w="2808" w:type="dxa"/>
          </w:tcPr>
          <w:p w14:paraId="7993CDC6"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destinationContainerGlobalCode</w:t>
            </w:r>
          </w:p>
        </w:tc>
        <w:tc>
          <w:tcPr>
            <w:tcW w:w="2060" w:type="dxa"/>
          </w:tcPr>
          <w:p w14:paraId="364A30E6"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(Tank XREF)</w:t>
            </w:r>
          </w:p>
        </w:tc>
        <w:tc>
          <w:tcPr>
            <w:tcW w:w="2808" w:type="dxa"/>
          </w:tcPr>
          <w:p w14:paraId="5742A6B8"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DestinationContainer_GlobalCode</w:t>
            </w:r>
          </w:p>
        </w:tc>
        <w:tc>
          <w:tcPr>
            <w:tcW w:w="1684" w:type="dxa"/>
          </w:tcPr>
          <w:p w14:paraId="3302BF68"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destination tank</w:t>
            </w:r>
          </w:p>
        </w:tc>
      </w:tr>
      <w:tr w:rsidR="00AA30D8" w:rsidRPr="00C63A98" w14:paraId="19CBBD12" w14:textId="77777777" w:rsidTr="00D0687B">
        <w:trPr>
          <w:cantSplit/>
        </w:trPr>
        <w:tc>
          <w:tcPr>
            <w:tcW w:w="2808" w:type="dxa"/>
          </w:tcPr>
          <w:p w14:paraId="3DB16263"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destinationContainerGlobalCodeDescription</w:t>
            </w:r>
          </w:p>
        </w:tc>
        <w:tc>
          <w:tcPr>
            <w:tcW w:w="2060" w:type="dxa"/>
          </w:tcPr>
          <w:p w14:paraId="591855CB"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(Tank XREF)</w:t>
            </w:r>
          </w:p>
        </w:tc>
        <w:tc>
          <w:tcPr>
            <w:tcW w:w="2808" w:type="dxa"/>
          </w:tcPr>
          <w:p w14:paraId="15A020D2" w14:textId="77777777" w:rsidR="00AA30D8" w:rsidRPr="00C63A98" w:rsidRDefault="00AA30D8" w:rsidP="00C63A98">
            <w:pPr>
              <w:pStyle w:val="Tabletext"/>
              <w:rPr>
                <w:rFonts w:ascii="Calibri" w:hAnsi="Calibri" w:cs="Calibri"/>
                <w:sz w:val="20"/>
              </w:rPr>
            </w:pPr>
            <w:r w:rsidRPr="00C63A98">
              <w:rPr>
                <w:rFonts w:ascii="Calibri" w:hAnsi="Calibri" w:cs="Calibri"/>
                <w:sz w:val="20"/>
              </w:rPr>
              <w:t>DestinationContainerGlobalCodeDescription</w:t>
            </w:r>
          </w:p>
        </w:tc>
        <w:tc>
          <w:tcPr>
            <w:tcW w:w="1684" w:type="dxa"/>
          </w:tcPr>
          <w:p w14:paraId="3B17C41F"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destination tank</w:t>
            </w:r>
          </w:p>
        </w:tc>
      </w:tr>
      <w:tr w:rsidR="00AA30D8" w:rsidRPr="00C63A98" w14:paraId="49449EA2" w14:textId="77777777" w:rsidTr="00D0687B">
        <w:trPr>
          <w:cantSplit/>
        </w:trPr>
        <w:tc>
          <w:tcPr>
            <w:tcW w:w="2808" w:type="dxa"/>
          </w:tcPr>
          <w:p w14:paraId="38210CEB"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transportMode</w:t>
            </w:r>
          </w:p>
        </w:tc>
        <w:tc>
          <w:tcPr>
            <w:tcW w:w="2060" w:type="dxa"/>
          </w:tcPr>
          <w:p w14:paraId="66F961BE"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TransportMode</w:t>
            </w:r>
          </w:p>
        </w:tc>
        <w:tc>
          <w:tcPr>
            <w:tcW w:w="2808" w:type="dxa"/>
          </w:tcPr>
          <w:p w14:paraId="0827B614"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TransportMode</w:t>
            </w:r>
          </w:p>
        </w:tc>
        <w:tc>
          <w:tcPr>
            <w:tcW w:w="1684" w:type="dxa"/>
          </w:tcPr>
          <w:p w14:paraId="7680E0FF" w14:textId="77777777" w:rsidR="00AA30D8" w:rsidRPr="00C63A98" w:rsidRDefault="00AA30D8" w:rsidP="00C63A98">
            <w:pPr>
              <w:pStyle w:val="Tabletext"/>
              <w:rPr>
                <w:rFonts w:ascii="Calibri" w:hAnsi="Calibri" w:cs="Calibri"/>
                <w:sz w:val="20"/>
              </w:rPr>
            </w:pPr>
            <w:r w:rsidRPr="00C63A98">
              <w:rPr>
                <w:rFonts w:ascii="Calibri" w:hAnsi="Calibri" w:cs="Calibri"/>
                <w:sz w:val="20"/>
              </w:rPr>
              <w:t>Mode of transport</w:t>
            </w:r>
          </w:p>
        </w:tc>
      </w:tr>
      <w:tr w:rsidR="00AA30D8" w:rsidRPr="00C63A98" w14:paraId="1DEF83B0" w14:textId="77777777" w:rsidTr="00D0687B">
        <w:trPr>
          <w:cantSplit/>
        </w:trPr>
        <w:tc>
          <w:tcPr>
            <w:tcW w:w="2808" w:type="dxa"/>
          </w:tcPr>
          <w:p w14:paraId="68867A66"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transferStart</w:t>
            </w:r>
          </w:p>
        </w:tc>
        <w:tc>
          <w:tcPr>
            <w:tcW w:w="2060" w:type="dxa"/>
          </w:tcPr>
          <w:p w14:paraId="0A129B30"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TransferStart</w:t>
            </w:r>
          </w:p>
        </w:tc>
        <w:tc>
          <w:tcPr>
            <w:tcW w:w="2808" w:type="dxa"/>
          </w:tcPr>
          <w:p w14:paraId="06D824C8"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TransferStart</w:t>
            </w:r>
          </w:p>
        </w:tc>
        <w:tc>
          <w:tcPr>
            <w:tcW w:w="1684" w:type="dxa"/>
          </w:tcPr>
          <w:p w14:paraId="2D07C3CE"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Start time of the transfer</w:t>
            </w:r>
          </w:p>
        </w:tc>
      </w:tr>
      <w:tr w:rsidR="00AA30D8" w:rsidRPr="00C63A98" w14:paraId="56533322" w14:textId="77777777" w:rsidTr="00D0687B">
        <w:trPr>
          <w:cantSplit/>
        </w:trPr>
        <w:tc>
          <w:tcPr>
            <w:tcW w:w="2808" w:type="dxa"/>
          </w:tcPr>
          <w:p w14:paraId="089BC637"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transferEnd</w:t>
            </w:r>
          </w:p>
        </w:tc>
        <w:tc>
          <w:tcPr>
            <w:tcW w:w="2060" w:type="dxa"/>
          </w:tcPr>
          <w:p w14:paraId="5B0FE633"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TransferEnd</w:t>
            </w:r>
          </w:p>
        </w:tc>
        <w:tc>
          <w:tcPr>
            <w:tcW w:w="2808" w:type="dxa"/>
          </w:tcPr>
          <w:p w14:paraId="0BFF118A" w14:textId="77777777" w:rsidR="00AA30D8" w:rsidRPr="00C63A98" w:rsidRDefault="00AA30D8" w:rsidP="00C63A98">
            <w:pPr>
              <w:pStyle w:val="Tabletext"/>
              <w:rPr>
                <w:rFonts w:ascii="Calibri" w:hAnsi="Calibri" w:cs="Calibri"/>
                <w:sz w:val="20"/>
              </w:rPr>
            </w:pPr>
            <w:r w:rsidRPr="00C63A98">
              <w:rPr>
                <w:rFonts w:ascii="Calibri" w:hAnsi="Calibri" w:cs="Calibri"/>
                <w:sz w:val="20"/>
              </w:rPr>
              <w:t>TransferEnd</w:t>
            </w:r>
          </w:p>
        </w:tc>
        <w:tc>
          <w:tcPr>
            <w:tcW w:w="1684" w:type="dxa"/>
          </w:tcPr>
          <w:p w14:paraId="53509AE5" w14:textId="77777777" w:rsidR="00AA30D8" w:rsidRPr="00C63A98" w:rsidRDefault="00AA30D8" w:rsidP="00C63A98">
            <w:pPr>
              <w:pStyle w:val="Tabletext"/>
              <w:rPr>
                <w:rFonts w:ascii="Calibri" w:hAnsi="Calibri" w:cs="Calibri"/>
                <w:sz w:val="20"/>
              </w:rPr>
            </w:pPr>
            <w:r w:rsidRPr="00C63A98">
              <w:rPr>
                <w:rFonts w:ascii="Calibri" w:hAnsi="Calibri" w:cs="Calibri"/>
                <w:sz w:val="20"/>
              </w:rPr>
              <w:t>End time of the transfer</w:t>
            </w:r>
          </w:p>
        </w:tc>
      </w:tr>
      <w:tr w:rsidR="00AA30D8" w:rsidRPr="00C63A98" w14:paraId="02E6CED1" w14:textId="77777777" w:rsidTr="00D0687B">
        <w:trPr>
          <w:cantSplit/>
        </w:trPr>
        <w:tc>
          <w:tcPr>
            <w:tcW w:w="2808" w:type="dxa"/>
          </w:tcPr>
          <w:p w14:paraId="50DD876D"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w:t>
            </w:r>
          </w:p>
        </w:tc>
        <w:tc>
          <w:tcPr>
            <w:tcW w:w="2060" w:type="dxa"/>
          </w:tcPr>
          <w:p w14:paraId="5DA145E6"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w:t>
            </w:r>
          </w:p>
        </w:tc>
        <w:tc>
          <w:tcPr>
            <w:tcW w:w="2808" w:type="dxa"/>
          </w:tcPr>
          <w:p w14:paraId="0F037893"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w:t>
            </w:r>
          </w:p>
        </w:tc>
        <w:tc>
          <w:tcPr>
            <w:tcW w:w="1684" w:type="dxa"/>
          </w:tcPr>
          <w:p w14:paraId="13356816"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 quantity</w:t>
            </w:r>
          </w:p>
        </w:tc>
      </w:tr>
      <w:tr w:rsidR="00AA30D8" w:rsidRPr="00C63A98" w14:paraId="08A5585E" w14:textId="77777777" w:rsidTr="00D0687B">
        <w:trPr>
          <w:cantSplit/>
        </w:trPr>
        <w:tc>
          <w:tcPr>
            <w:tcW w:w="2808" w:type="dxa"/>
          </w:tcPr>
          <w:p w14:paraId="6B98CB97"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grossQuantityUom</w:t>
            </w:r>
          </w:p>
        </w:tc>
        <w:tc>
          <w:tcPr>
            <w:tcW w:w="2060" w:type="dxa"/>
          </w:tcPr>
          <w:p w14:paraId="5FC74B61"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GrossQuantityUnit</w:t>
            </w:r>
          </w:p>
        </w:tc>
        <w:tc>
          <w:tcPr>
            <w:tcW w:w="2808" w:type="dxa"/>
          </w:tcPr>
          <w:p w14:paraId="7BA3ABD1" w14:textId="77777777" w:rsidR="00AA30D8" w:rsidRPr="00C63A98" w:rsidRDefault="00AA30D8" w:rsidP="00C63A98">
            <w:pPr>
              <w:pStyle w:val="Tabletext"/>
              <w:rPr>
                <w:rFonts w:ascii="Calibri" w:hAnsi="Calibri" w:cs="Calibri"/>
                <w:sz w:val="20"/>
              </w:rPr>
            </w:pPr>
            <w:r w:rsidRPr="00C63A98">
              <w:rPr>
                <w:rFonts w:ascii="Calibri" w:hAnsi="Calibri" w:cs="Calibri"/>
                <w:sz w:val="20"/>
              </w:rPr>
              <w:t>GrossQuantityUOM</w:t>
            </w:r>
          </w:p>
        </w:tc>
        <w:tc>
          <w:tcPr>
            <w:tcW w:w="1684" w:type="dxa"/>
          </w:tcPr>
          <w:p w14:paraId="51035A20" w14:textId="77777777" w:rsidR="00AA30D8" w:rsidRPr="00C63A98" w:rsidRDefault="00AA30D8" w:rsidP="00C63A98">
            <w:pPr>
              <w:pStyle w:val="Tabletext"/>
              <w:rPr>
                <w:rFonts w:ascii="Calibri" w:hAnsi="Calibri" w:cs="Calibri"/>
                <w:sz w:val="20"/>
              </w:rPr>
            </w:pPr>
            <w:r w:rsidRPr="00C63A98">
              <w:rPr>
                <w:rFonts w:ascii="Calibri" w:hAnsi="Calibri" w:cs="Calibri"/>
                <w:sz w:val="20"/>
              </w:rPr>
              <w:t>Unit of the gross quantity</w:t>
            </w:r>
          </w:p>
        </w:tc>
      </w:tr>
      <w:tr w:rsidR="00AA30D8" w:rsidRPr="00C63A98" w14:paraId="5956750D" w14:textId="77777777" w:rsidTr="00D0687B">
        <w:trPr>
          <w:cantSplit/>
        </w:trPr>
        <w:tc>
          <w:tcPr>
            <w:tcW w:w="2808" w:type="dxa"/>
          </w:tcPr>
          <w:p w14:paraId="4A3BC05A"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w:t>
            </w:r>
          </w:p>
        </w:tc>
        <w:tc>
          <w:tcPr>
            <w:tcW w:w="2060" w:type="dxa"/>
          </w:tcPr>
          <w:p w14:paraId="714F0AFE"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w:t>
            </w:r>
          </w:p>
        </w:tc>
        <w:tc>
          <w:tcPr>
            <w:tcW w:w="2808" w:type="dxa"/>
          </w:tcPr>
          <w:p w14:paraId="0065AB5D"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w:t>
            </w:r>
          </w:p>
        </w:tc>
        <w:tc>
          <w:tcPr>
            <w:tcW w:w="1684" w:type="dxa"/>
          </w:tcPr>
          <w:p w14:paraId="576BB047"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 quantity</w:t>
            </w:r>
          </w:p>
        </w:tc>
      </w:tr>
      <w:tr w:rsidR="00AA30D8" w:rsidRPr="00C63A98" w14:paraId="292BD291" w14:textId="77777777" w:rsidTr="00D0687B">
        <w:trPr>
          <w:cantSplit/>
        </w:trPr>
        <w:tc>
          <w:tcPr>
            <w:tcW w:w="2808" w:type="dxa"/>
          </w:tcPr>
          <w:p w14:paraId="64D5531B"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netQuantityUom</w:t>
            </w:r>
          </w:p>
        </w:tc>
        <w:tc>
          <w:tcPr>
            <w:tcW w:w="2060" w:type="dxa"/>
          </w:tcPr>
          <w:p w14:paraId="66E2156A"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NetQuantityUnit</w:t>
            </w:r>
          </w:p>
        </w:tc>
        <w:tc>
          <w:tcPr>
            <w:tcW w:w="2808" w:type="dxa"/>
          </w:tcPr>
          <w:p w14:paraId="0A5C5ED9" w14:textId="77777777" w:rsidR="00AA30D8" w:rsidRPr="00C63A98" w:rsidRDefault="00AA30D8" w:rsidP="00C63A98">
            <w:pPr>
              <w:pStyle w:val="Tabletext"/>
              <w:rPr>
                <w:rFonts w:ascii="Calibri" w:hAnsi="Calibri" w:cs="Calibri"/>
                <w:sz w:val="20"/>
              </w:rPr>
            </w:pPr>
            <w:r w:rsidRPr="00C63A98">
              <w:rPr>
                <w:rFonts w:ascii="Calibri" w:hAnsi="Calibri" w:cs="Calibri"/>
                <w:sz w:val="20"/>
              </w:rPr>
              <w:t>NetQuantityUOM</w:t>
            </w:r>
          </w:p>
        </w:tc>
        <w:tc>
          <w:tcPr>
            <w:tcW w:w="1684" w:type="dxa"/>
          </w:tcPr>
          <w:p w14:paraId="14AF6E6C" w14:textId="77777777" w:rsidR="00AA30D8" w:rsidRPr="00C63A98" w:rsidRDefault="00AA30D8" w:rsidP="00C63A98">
            <w:pPr>
              <w:pStyle w:val="Tabletext"/>
              <w:rPr>
                <w:rFonts w:ascii="Calibri" w:hAnsi="Calibri" w:cs="Calibri"/>
                <w:sz w:val="20"/>
              </w:rPr>
            </w:pPr>
            <w:r w:rsidRPr="00C63A98">
              <w:rPr>
                <w:rFonts w:ascii="Calibri" w:hAnsi="Calibri" w:cs="Calibri"/>
                <w:sz w:val="20"/>
              </w:rPr>
              <w:t>Unit of the net quantity</w:t>
            </w:r>
          </w:p>
        </w:tc>
      </w:tr>
      <w:tr w:rsidR="00AA30D8" w:rsidRPr="00C63A98" w14:paraId="7F118EFB" w14:textId="77777777" w:rsidTr="00D0687B">
        <w:trPr>
          <w:cantSplit/>
        </w:trPr>
        <w:tc>
          <w:tcPr>
            <w:tcW w:w="2808" w:type="dxa"/>
          </w:tcPr>
          <w:p w14:paraId="1139DA66" w14:textId="77777777" w:rsidR="00AA30D8" w:rsidRPr="00C63A98" w:rsidRDefault="00AA30D8" w:rsidP="00C63A98">
            <w:pPr>
              <w:pStyle w:val="Tabletext"/>
              <w:rPr>
                <w:rFonts w:ascii="Calibri" w:hAnsi="Calibri" w:cs="Calibri"/>
                <w:sz w:val="20"/>
              </w:rPr>
            </w:pPr>
            <w:r w:rsidRPr="00C63A98">
              <w:rPr>
                <w:rFonts w:ascii="Calibri" w:hAnsi="Calibri" w:cs="Calibri"/>
                <w:sz w:val="20"/>
              </w:rPr>
              <w:t>unitOfMeasureGlobalCode</w:t>
            </w:r>
          </w:p>
        </w:tc>
        <w:tc>
          <w:tcPr>
            <w:tcW w:w="2060" w:type="dxa"/>
          </w:tcPr>
          <w:p w14:paraId="737C26BC"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(UOM)</w:t>
            </w:r>
          </w:p>
        </w:tc>
        <w:tc>
          <w:tcPr>
            <w:tcW w:w="2808" w:type="dxa"/>
          </w:tcPr>
          <w:p w14:paraId="7CE6F686" w14:textId="77777777" w:rsidR="00AA30D8" w:rsidRPr="00C63A98" w:rsidRDefault="00AA30D8" w:rsidP="00C63A98">
            <w:pPr>
              <w:pStyle w:val="Tabletext"/>
              <w:rPr>
                <w:rFonts w:ascii="Calibri" w:hAnsi="Calibri" w:cs="Calibri"/>
                <w:sz w:val="20"/>
              </w:rPr>
            </w:pPr>
            <w:r w:rsidRPr="00C63A98">
              <w:rPr>
                <w:rFonts w:ascii="Calibri" w:hAnsi="Calibri" w:cs="Calibri"/>
                <w:sz w:val="20"/>
              </w:rPr>
              <w:t>UOM_GlobalCode</w:t>
            </w:r>
          </w:p>
        </w:tc>
        <w:tc>
          <w:tcPr>
            <w:tcW w:w="1684" w:type="dxa"/>
          </w:tcPr>
          <w:p w14:paraId="438C792D"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quantity unit</w:t>
            </w:r>
          </w:p>
        </w:tc>
      </w:tr>
      <w:tr w:rsidR="00AA30D8" w:rsidRPr="00C63A98" w14:paraId="5B19D0AD" w14:textId="77777777" w:rsidTr="00D0687B">
        <w:trPr>
          <w:cantSplit/>
        </w:trPr>
        <w:tc>
          <w:tcPr>
            <w:tcW w:w="2808" w:type="dxa"/>
          </w:tcPr>
          <w:p w14:paraId="5FA73901"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locationCode</w:t>
            </w:r>
          </w:p>
        </w:tc>
        <w:tc>
          <w:tcPr>
            <w:tcW w:w="2060" w:type="dxa"/>
          </w:tcPr>
          <w:p w14:paraId="2D42C517" w14:textId="77777777" w:rsidR="00AA30D8" w:rsidRPr="00C63A98" w:rsidRDefault="00AA30D8" w:rsidP="00C63A98">
            <w:pPr>
              <w:pStyle w:val="Tabletext"/>
              <w:rPr>
                <w:rFonts w:ascii="Calibri" w:hAnsi="Calibri" w:cs="Calibri"/>
                <w:sz w:val="20"/>
              </w:rPr>
            </w:pPr>
            <w:r w:rsidRPr="00C63A98">
              <w:rPr>
                <w:rFonts w:ascii="Calibri" w:hAnsi="Calibri" w:cs="Calibri"/>
                <w:sz w:val="20"/>
              </w:rPr>
              <w:t>FacilityID</w:t>
            </w:r>
          </w:p>
        </w:tc>
        <w:tc>
          <w:tcPr>
            <w:tcW w:w="2808" w:type="dxa"/>
          </w:tcPr>
          <w:p w14:paraId="758FC224"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w:t>
            </w:r>
          </w:p>
        </w:tc>
        <w:tc>
          <w:tcPr>
            <w:tcW w:w="1684" w:type="dxa"/>
          </w:tcPr>
          <w:p w14:paraId="2717E786" w14:textId="77777777" w:rsidR="00AA30D8" w:rsidRPr="00C63A98" w:rsidRDefault="00AA30D8" w:rsidP="00C63A98">
            <w:pPr>
              <w:pStyle w:val="Tabletext"/>
              <w:rPr>
                <w:rFonts w:ascii="Calibri" w:hAnsi="Calibri" w:cs="Calibri"/>
                <w:sz w:val="20"/>
              </w:rPr>
            </w:pPr>
            <w:r w:rsidRPr="00C63A98">
              <w:rPr>
                <w:rFonts w:ascii="Calibri" w:hAnsi="Calibri" w:cs="Calibri"/>
                <w:sz w:val="20"/>
              </w:rPr>
              <w:t>Terminal (facility)</w:t>
            </w:r>
          </w:p>
        </w:tc>
      </w:tr>
      <w:tr w:rsidR="00AA30D8" w:rsidRPr="00C63A98" w14:paraId="6E4B35A3" w14:textId="77777777" w:rsidTr="00D0687B">
        <w:trPr>
          <w:cantSplit/>
        </w:trPr>
        <w:tc>
          <w:tcPr>
            <w:tcW w:w="2808" w:type="dxa"/>
          </w:tcPr>
          <w:p w14:paraId="08676441"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locationGlobalCode</w:t>
            </w:r>
          </w:p>
        </w:tc>
        <w:tc>
          <w:tcPr>
            <w:tcW w:w="2060" w:type="dxa"/>
          </w:tcPr>
          <w:p w14:paraId="017DB835"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(Location XREF)</w:t>
            </w:r>
          </w:p>
        </w:tc>
        <w:tc>
          <w:tcPr>
            <w:tcW w:w="2808" w:type="dxa"/>
          </w:tcPr>
          <w:p w14:paraId="4F106B45"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Location_GlobalCode</w:t>
            </w:r>
          </w:p>
        </w:tc>
        <w:tc>
          <w:tcPr>
            <w:tcW w:w="1684" w:type="dxa"/>
          </w:tcPr>
          <w:p w14:paraId="43F021BD"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code of the location</w:t>
            </w:r>
          </w:p>
        </w:tc>
      </w:tr>
      <w:tr w:rsidR="00AA30D8" w:rsidRPr="00C63A98" w14:paraId="3121B75A" w14:textId="77777777" w:rsidTr="00D0687B">
        <w:trPr>
          <w:cantSplit/>
        </w:trPr>
        <w:tc>
          <w:tcPr>
            <w:tcW w:w="2808" w:type="dxa"/>
          </w:tcPr>
          <w:p w14:paraId="56559038"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locationGlobalCodeDescription</w:t>
            </w:r>
          </w:p>
        </w:tc>
        <w:tc>
          <w:tcPr>
            <w:tcW w:w="2060" w:type="dxa"/>
          </w:tcPr>
          <w:p w14:paraId="2B8AA4AA"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(Location XREF)</w:t>
            </w:r>
          </w:p>
        </w:tc>
        <w:tc>
          <w:tcPr>
            <w:tcW w:w="2808" w:type="dxa"/>
          </w:tcPr>
          <w:p w14:paraId="00DBCBF4"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LocationGlobalCodeDescription</w:t>
            </w:r>
          </w:p>
        </w:tc>
        <w:tc>
          <w:tcPr>
            <w:tcW w:w="1684" w:type="dxa"/>
          </w:tcPr>
          <w:p w14:paraId="0B2BF9FB"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description of the location</w:t>
            </w:r>
          </w:p>
        </w:tc>
      </w:tr>
      <w:tr w:rsidR="00AA30D8" w:rsidRPr="00C63A98" w14:paraId="14EE7B6C" w14:textId="77777777" w:rsidTr="00D0687B">
        <w:trPr>
          <w:cantSplit/>
        </w:trPr>
        <w:tc>
          <w:tcPr>
            <w:tcW w:w="2808" w:type="dxa"/>
          </w:tcPr>
          <w:p w14:paraId="7583BA44" w14:textId="77777777" w:rsidR="00AA30D8" w:rsidRPr="00C63A98" w:rsidRDefault="00AA30D8" w:rsidP="00C63A98">
            <w:pPr>
              <w:pStyle w:val="Tabletext"/>
              <w:rPr>
                <w:rFonts w:ascii="Calibri" w:hAnsi="Calibri" w:cs="Calibri"/>
                <w:sz w:val="20"/>
              </w:rPr>
            </w:pPr>
            <w:r w:rsidRPr="00C63A98">
              <w:rPr>
                <w:rFonts w:ascii="Calibri" w:hAnsi="Calibri" w:cs="Calibri"/>
                <w:sz w:val="20"/>
              </w:rPr>
              <w:t>locationTimezone</w:t>
            </w:r>
          </w:p>
        </w:tc>
        <w:tc>
          <w:tcPr>
            <w:tcW w:w="2060" w:type="dxa"/>
          </w:tcPr>
          <w:p w14:paraId="598DBE99" w14:textId="77777777" w:rsidR="00AA30D8" w:rsidRPr="00C63A98" w:rsidRDefault="00AA30D8" w:rsidP="00C63A98">
            <w:pPr>
              <w:pStyle w:val="Tabletext"/>
              <w:rPr>
                <w:rFonts w:ascii="Calibri" w:hAnsi="Calibri" w:cs="Calibri"/>
                <w:sz w:val="20"/>
              </w:rPr>
            </w:pPr>
            <w:r w:rsidRPr="00C63A98">
              <w:rPr>
                <w:rFonts w:ascii="Calibri" w:hAnsi="Calibri" w:cs="Calibri"/>
                <w:sz w:val="20"/>
              </w:rPr>
              <w:t>Profisee (Location XREF)</w:t>
            </w:r>
          </w:p>
        </w:tc>
        <w:tc>
          <w:tcPr>
            <w:tcW w:w="2808" w:type="dxa"/>
          </w:tcPr>
          <w:p w14:paraId="2DD5C76E" w14:textId="77777777" w:rsidR="00AA30D8" w:rsidRPr="00C63A98" w:rsidRDefault="00AA30D8" w:rsidP="00C63A98">
            <w:pPr>
              <w:pStyle w:val="Tabletext"/>
              <w:rPr>
                <w:rFonts w:ascii="Calibri" w:hAnsi="Calibri" w:cs="Calibri"/>
                <w:sz w:val="20"/>
              </w:rPr>
            </w:pPr>
            <w:r w:rsidRPr="00C63A98">
              <w:rPr>
                <w:rFonts w:ascii="Calibri" w:hAnsi="Calibri" w:cs="Calibri"/>
                <w:sz w:val="20"/>
              </w:rPr>
              <w:t>TimeZone</w:t>
            </w:r>
          </w:p>
        </w:tc>
        <w:tc>
          <w:tcPr>
            <w:tcW w:w="1684" w:type="dxa"/>
          </w:tcPr>
          <w:p w14:paraId="7D508440" w14:textId="77777777" w:rsidR="00AA30D8" w:rsidRPr="00C63A98" w:rsidRDefault="00AA30D8" w:rsidP="00C63A98">
            <w:pPr>
              <w:pStyle w:val="Tabletext"/>
              <w:rPr>
                <w:rFonts w:ascii="Calibri" w:hAnsi="Calibri" w:cs="Calibri"/>
                <w:sz w:val="20"/>
              </w:rPr>
            </w:pPr>
            <w:r w:rsidRPr="00C63A98">
              <w:rPr>
                <w:rFonts w:ascii="Calibri" w:hAnsi="Calibri" w:cs="Calibri"/>
                <w:sz w:val="20"/>
              </w:rPr>
              <w:t>Time zone of the location</w:t>
            </w:r>
          </w:p>
        </w:tc>
      </w:tr>
      <w:tr w:rsidR="00AA30D8" w:rsidRPr="00C63A98" w14:paraId="2A993FCA" w14:textId="77777777" w:rsidTr="00D0687B">
        <w:trPr>
          <w:cantSplit/>
        </w:trPr>
        <w:tc>
          <w:tcPr>
            <w:tcW w:w="2808" w:type="dxa"/>
          </w:tcPr>
          <w:p w14:paraId="1C018E91"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state</w:t>
            </w:r>
          </w:p>
        </w:tc>
        <w:tc>
          <w:tcPr>
            <w:tcW w:w="2060" w:type="dxa"/>
          </w:tcPr>
          <w:p w14:paraId="02C70A3A" w14:textId="77777777" w:rsidR="00AA30D8" w:rsidRPr="00C63A98" w:rsidRDefault="00AA30D8" w:rsidP="00C63A98">
            <w:pPr>
              <w:pStyle w:val="Tabletext"/>
              <w:rPr>
                <w:rFonts w:ascii="Calibri" w:hAnsi="Calibri" w:cs="Calibri"/>
                <w:sz w:val="20"/>
              </w:rPr>
            </w:pPr>
            <w:r w:rsidRPr="00C63A98">
              <w:rPr>
                <w:rFonts w:ascii="Calibri" w:hAnsi="Calibri" w:cs="Calibri"/>
                <w:sz w:val="20"/>
              </w:rPr>
              <w:t>Fixed value (Actual)</w:t>
            </w:r>
          </w:p>
        </w:tc>
        <w:tc>
          <w:tcPr>
            <w:tcW w:w="2808" w:type="dxa"/>
          </w:tcPr>
          <w:p w14:paraId="28DFF35E" w14:textId="77777777" w:rsidR="00AA30D8" w:rsidRPr="00C63A98" w:rsidRDefault="00AA30D8" w:rsidP="00C63A98">
            <w:pPr>
              <w:pStyle w:val="Tabletext"/>
              <w:rPr>
                <w:rFonts w:ascii="Calibri" w:hAnsi="Calibri" w:cs="Calibri"/>
                <w:sz w:val="20"/>
              </w:rPr>
            </w:pPr>
            <w:r w:rsidRPr="00C63A98">
              <w:rPr>
                <w:rFonts w:ascii="Calibri" w:hAnsi="Calibri" w:cs="Calibri"/>
                <w:sz w:val="20"/>
              </w:rPr>
              <w:t>State</w:t>
            </w:r>
          </w:p>
        </w:tc>
        <w:tc>
          <w:tcPr>
            <w:tcW w:w="1684" w:type="dxa"/>
          </w:tcPr>
          <w:p w14:paraId="32881BA4" w14:textId="77777777" w:rsidR="00AA30D8" w:rsidRPr="00C63A98" w:rsidRDefault="00AA30D8" w:rsidP="00C63A98">
            <w:pPr>
              <w:pStyle w:val="Tabletext"/>
              <w:rPr>
                <w:rFonts w:ascii="Calibri" w:hAnsi="Calibri" w:cs="Calibri"/>
                <w:sz w:val="20"/>
              </w:rPr>
            </w:pPr>
            <w:r w:rsidRPr="00C63A98">
              <w:rPr>
                <w:rFonts w:ascii="Calibri" w:hAnsi="Calibri" w:cs="Calibri"/>
                <w:sz w:val="20"/>
              </w:rPr>
              <w:t>Data state</w:t>
            </w:r>
          </w:p>
        </w:tc>
      </w:tr>
      <w:tr w:rsidR="00AA30D8" w:rsidRPr="00C63A98" w14:paraId="4B4E1AB9" w14:textId="77777777" w:rsidTr="00D0687B">
        <w:trPr>
          <w:cantSplit/>
        </w:trPr>
        <w:tc>
          <w:tcPr>
            <w:tcW w:w="2808" w:type="dxa"/>
          </w:tcPr>
          <w:p w14:paraId="543100B9" w14:textId="77777777" w:rsidR="00AA30D8" w:rsidRPr="00C63A98" w:rsidRDefault="00AA30D8" w:rsidP="00C63A98">
            <w:pPr>
              <w:pStyle w:val="Tabletext"/>
              <w:rPr>
                <w:rFonts w:ascii="Calibri" w:hAnsi="Calibri" w:cs="Calibri"/>
                <w:sz w:val="20"/>
              </w:rPr>
            </w:pPr>
            <w:r w:rsidRPr="00C63A98">
              <w:rPr>
                <w:rFonts w:ascii="Calibri" w:hAnsi="Calibri" w:cs="Calibri"/>
                <w:sz w:val="20"/>
              </w:rPr>
              <w:t>dataSource</w:t>
            </w:r>
          </w:p>
        </w:tc>
        <w:tc>
          <w:tcPr>
            <w:tcW w:w="2060" w:type="dxa"/>
          </w:tcPr>
          <w:p w14:paraId="76F598F6" w14:textId="77777777" w:rsidR="00AA30D8" w:rsidRPr="00C63A98" w:rsidRDefault="00AA30D8" w:rsidP="00C63A98">
            <w:pPr>
              <w:pStyle w:val="Tabletext"/>
              <w:rPr>
                <w:rFonts w:ascii="Calibri" w:hAnsi="Calibri" w:cs="Calibri"/>
                <w:sz w:val="20"/>
              </w:rPr>
            </w:pPr>
            <w:r w:rsidRPr="00C63A98">
              <w:rPr>
                <w:rFonts w:ascii="Calibri" w:hAnsi="Calibri" w:cs="Calibri"/>
                <w:sz w:val="20"/>
              </w:rPr>
              <w:t>Fixed value (Kittyhawk)</w:t>
            </w:r>
          </w:p>
        </w:tc>
        <w:tc>
          <w:tcPr>
            <w:tcW w:w="2808" w:type="dxa"/>
          </w:tcPr>
          <w:p w14:paraId="46FA1AD0" w14:textId="77777777" w:rsidR="00AA30D8" w:rsidRPr="00C63A98" w:rsidRDefault="00AA30D8" w:rsidP="00C63A98">
            <w:pPr>
              <w:pStyle w:val="Tabletext"/>
              <w:rPr>
                <w:rFonts w:ascii="Calibri" w:hAnsi="Calibri" w:cs="Calibri"/>
                <w:sz w:val="20"/>
              </w:rPr>
            </w:pPr>
            <w:r w:rsidRPr="00C63A98">
              <w:rPr>
                <w:rFonts w:ascii="Calibri" w:hAnsi="Calibri" w:cs="Calibri"/>
                <w:sz w:val="20"/>
              </w:rPr>
              <w:t>DataSource</w:t>
            </w:r>
          </w:p>
        </w:tc>
        <w:tc>
          <w:tcPr>
            <w:tcW w:w="1684" w:type="dxa"/>
          </w:tcPr>
          <w:p w14:paraId="03E38ABD" w14:textId="77777777" w:rsidR="00AA30D8" w:rsidRPr="00C63A98" w:rsidRDefault="00AA30D8" w:rsidP="00C63A98">
            <w:pPr>
              <w:pStyle w:val="Tabletext"/>
              <w:rPr>
                <w:rFonts w:ascii="Calibri" w:hAnsi="Calibri" w:cs="Calibri"/>
                <w:sz w:val="20"/>
              </w:rPr>
            </w:pPr>
            <w:r w:rsidRPr="00C63A98">
              <w:rPr>
                <w:rFonts w:ascii="Calibri" w:hAnsi="Calibri" w:cs="Calibri"/>
                <w:sz w:val="20"/>
              </w:rPr>
              <w:t>Source system</w:t>
            </w:r>
          </w:p>
        </w:tc>
      </w:tr>
      <w:tr w:rsidR="00AA30D8" w:rsidRPr="00C63A98" w14:paraId="057A0928" w14:textId="77777777" w:rsidTr="00D0687B">
        <w:trPr>
          <w:cantSplit/>
        </w:trPr>
        <w:tc>
          <w:tcPr>
            <w:tcW w:w="2808" w:type="dxa"/>
          </w:tcPr>
          <w:p w14:paraId="0E640F8A"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region</w:t>
            </w:r>
          </w:p>
        </w:tc>
        <w:tc>
          <w:tcPr>
            <w:tcW w:w="2060" w:type="dxa"/>
          </w:tcPr>
          <w:p w14:paraId="2FB4DCED"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Request (Region)</w:t>
            </w:r>
          </w:p>
        </w:tc>
        <w:tc>
          <w:tcPr>
            <w:tcW w:w="2808" w:type="dxa"/>
          </w:tcPr>
          <w:p w14:paraId="488C47FD"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Region</w:t>
            </w:r>
          </w:p>
        </w:tc>
        <w:tc>
          <w:tcPr>
            <w:tcW w:w="1684" w:type="dxa"/>
          </w:tcPr>
          <w:p w14:paraId="48B29139"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Region of the location</w:t>
            </w:r>
          </w:p>
        </w:tc>
      </w:tr>
    </w:tbl>
    <w:p w14:paraId="35BE0804" w14:textId="0CBBFAF9" w:rsidR="00AA30D8" w:rsidRDefault="00AA30D8" w:rsidP="00AA30D8">
      <w:pPr>
        <w:pStyle w:val="Caption"/>
      </w:pPr>
      <w:bookmarkStart w:id="238" w:name="_Toc242554029"/>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31</w:t>
      </w:r>
      <w:r>
        <w:fldChar w:fldCharType="end"/>
      </w:r>
      <w:r>
        <w:t>: Kittyhawk (Transaction Upload) to Response Model Mapping</w:t>
      </w:r>
      <w:bookmarkEnd w:id="238"/>
    </w:p>
    <w:p w14:paraId="64135709" w14:textId="1681C3A7" w:rsidR="00AA30D8" w:rsidRPr="00AA30D8" w:rsidRDefault="00AA30D8" w:rsidP="00AA30D8">
      <w:pPr>
        <w:pStyle w:val="Heading5"/>
        <w:rPr>
          <w:rFonts w:ascii="Calibri" w:hAnsi="Calibri" w:cs="Calibri"/>
          <w:sz w:val="20"/>
        </w:rPr>
      </w:pPr>
      <w:r w:rsidRPr="00AA30D8">
        <w:rPr>
          <w:rFonts w:ascii="Calibri" w:hAnsi="Calibri" w:cs="Calibri"/>
          <w:sz w:val="20"/>
        </w:rPr>
        <w:t>Master Data Entity</w:t>
      </w:r>
    </w:p>
    <w:p w14:paraId="6445DC9F" w14:textId="28D31E84" w:rsidR="00AA30D8" w:rsidRDefault="00610DB7" w:rsidP="00FC42E7">
      <w:pPr>
        <w:keepNext/>
        <w:jc w:val="left"/>
      </w:pPr>
      <w:r>
        <w:t>The Kittyhawk integration shall use the master data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59"/>
        <w:gridCol w:w="3915"/>
        <w:gridCol w:w="1216"/>
        <w:gridCol w:w="2970"/>
      </w:tblGrid>
      <w:tr w:rsidR="00AA30D8" w:rsidRPr="00C63A98" w14:paraId="43A5641D" w14:textId="77777777" w:rsidTr="00C63A98">
        <w:trPr>
          <w:cantSplit/>
          <w:tblHeader/>
        </w:trPr>
        <w:tc>
          <w:tcPr>
            <w:tcW w:w="1260" w:type="dxa"/>
            <w:shd w:val="clear" w:color="auto" w:fill="2F5597"/>
          </w:tcPr>
          <w:p w14:paraId="672DBCAA" w14:textId="77777777" w:rsidR="00AA30D8" w:rsidRPr="00C63A98" w:rsidRDefault="00AA30D8" w:rsidP="00AA30D8">
            <w:pPr>
              <w:pStyle w:val="Tablehead1"/>
              <w:rPr>
                <w:rFonts w:ascii="Calibri" w:hAnsi="Calibri" w:cs="Calibri"/>
                <w:sz w:val="20"/>
              </w:rPr>
            </w:pPr>
            <w:r w:rsidRPr="00C63A98">
              <w:rPr>
                <w:rFonts w:ascii="Calibri" w:hAnsi="Calibri" w:cs="Calibri"/>
                <w:sz w:val="20"/>
              </w:rPr>
              <w:t>Master Data</w:t>
            </w:r>
          </w:p>
        </w:tc>
        <w:tc>
          <w:tcPr>
            <w:tcW w:w="3915" w:type="dxa"/>
            <w:shd w:val="clear" w:color="auto" w:fill="2F5597"/>
          </w:tcPr>
          <w:p w14:paraId="60ABBE17" w14:textId="77777777" w:rsidR="00AA30D8" w:rsidRPr="00C63A98" w:rsidRDefault="00AA30D8" w:rsidP="00AA30D8">
            <w:pPr>
              <w:pStyle w:val="Tablehead1"/>
              <w:rPr>
                <w:rFonts w:ascii="Calibri" w:hAnsi="Calibri" w:cs="Calibri"/>
                <w:sz w:val="20"/>
              </w:rPr>
            </w:pPr>
            <w:r w:rsidRPr="00C63A98">
              <w:rPr>
                <w:rFonts w:ascii="Calibri" w:hAnsi="Calibri" w:cs="Calibri"/>
                <w:sz w:val="20"/>
              </w:rPr>
              <w:t>Description</w:t>
            </w:r>
          </w:p>
        </w:tc>
        <w:tc>
          <w:tcPr>
            <w:tcW w:w="1216" w:type="dxa"/>
            <w:shd w:val="clear" w:color="auto" w:fill="2F5597"/>
          </w:tcPr>
          <w:p w14:paraId="37A86D9E" w14:textId="77777777" w:rsidR="00AA30D8" w:rsidRPr="00C63A98" w:rsidRDefault="00AA30D8" w:rsidP="00AA30D8">
            <w:pPr>
              <w:pStyle w:val="Tablehead1"/>
              <w:rPr>
                <w:rFonts w:ascii="Calibri" w:hAnsi="Calibri" w:cs="Calibri"/>
                <w:sz w:val="20"/>
              </w:rPr>
            </w:pPr>
            <w:r w:rsidRPr="00C63A98">
              <w:rPr>
                <w:rFonts w:ascii="Calibri" w:hAnsi="Calibri" w:cs="Calibri"/>
                <w:sz w:val="20"/>
              </w:rPr>
              <w:t>Mapping Required</w:t>
            </w:r>
          </w:p>
        </w:tc>
        <w:tc>
          <w:tcPr>
            <w:tcW w:w="2970" w:type="dxa"/>
            <w:shd w:val="clear" w:color="auto" w:fill="2F5597"/>
          </w:tcPr>
          <w:p w14:paraId="53822A80" w14:textId="77777777" w:rsidR="00AA30D8" w:rsidRPr="00C63A98" w:rsidRDefault="00AA30D8" w:rsidP="00AA30D8">
            <w:pPr>
              <w:pStyle w:val="Tablehead1"/>
              <w:rPr>
                <w:rFonts w:ascii="Calibri" w:hAnsi="Calibri" w:cs="Calibri"/>
                <w:sz w:val="20"/>
              </w:rPr>
            </w:pPr>
            <w:r w:rsidRPr="00C63A98">
              <w:rPr>
                <w:rFonts w:ascii="Calibri" w:hAnsi="Calibri" w:cs="Calibri"/>
                <w:sz w:val="20"/>
              </w:rPr>
              <w:t>Comments</w:t>
            </w:r>
          </w:p>
        </w:tc>
      </w:tr>
      <w:tr w:rsidR="00AA30D8" w:rsidRPr="00C63A98" w14:paraId="4785935D" w14:textId="77777777" w:rsidTr="00C63A98">
        <w:trPr>
          <w:cantSplit/>
        </w:trPr>
        <w:tc>
          <w:tcPr>
            <w:tcW w:w="1260" w:type="dxa"/>
          </w:tcPr>
          <w:p w14:paraId="3AFE90CA"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Product XREF</w:t>
            </w:r>
          </w:p>
        </w:tc>
        <w:tc>
          <w:tcPr>
            <w:tcW w:w="3915" w:type="dxa"/>
          </w:tcPr>
          <w:p w14:paraId="53057092"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Product and blend component (ProductID, ComponentProductID)</w:t>
            </w:r>
          </w:p>
        </w:tc>
        <w:tc>
          <w:tcPr>
            <w:tcW w:w="1216" w:type="dxa"/>
          </w:tcPr>
          <w:p w14:paraId="12BC6D0E"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Yes</w:t>
            </w:r>
          </w:p>
        </w:tc>
        <w:tc>
          <w:tcPr>
            <w:tcW w:w="2970" w:type="dxa"/>
          </w:tcPr>
          <w:p w14:paraId="61B067A8" w14:textId="53CE1DC4" w:rsidR="00AA30D8" w:rsidRPr="00C63A98" w:rsidRDefault="00F80961" w:rsidP="00AA30D8">
            <w:pPr>
              <w:pStyle w:val="Tabletext"/>
              <w:keepNext/>
              <w:rPr>
                <w:rFonts w:ascii="Calibri" w:hAnsi="Calibri" w:cs="Calibri"/>
                <w:sz w:val="20"/>
              </w:rPr>
            </w:pPr>
            <w:r>
              <w:rPr>
                <w:rFonts w:ascii="Calibri" w:hAnsi="Calibri" w:cs="Calibri"/>
                <w:sz w:val="20"/>
              </w:rPr>
              <w:t>The read shall take the product key of ProductID and ComponentProductID from the Kittyhawk product data, and that key shall be matched to the Profisee product code.</w:t>
            </w:r>
          </w:p>
        </w:tc>
      </w:tr>
      <w:tr w:rsidR="00AA30D8" w:rsidRPr="00C63A98" w14:paraId="02A6F7A3" w14:textId="77777777" w:rsidTr="00C63A98">
        <w:trPr>
          <w:cantSplit/>
        </w:trPr>
        <w:tc>
          <w:tcPr>
            <w:tcW w:w="1260" w:type="dxa"/>
          </w:tcPr>
          <w:p w14:paraId="6A732FDF"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Location XREF</w:t>
            </w:r>
          </w:p>
        </w:tc>
        <w:tc>
          <w:tcPr>
            <w:tcW w:w="3915" w:type="dxa"/>
          </w:tcPr>
          <w:p w14:paraId="60007D17"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Facility, origin and destination (FacilityID, OriginID, DestinationID)</w:t>
            </w:r>
          </w:p>
        </w:tc>
        <w:tc>
          <w:tcPr>
            <w:tcW w:w="1216" w:type="dxa"/>
          </w:tcPr>
          <w:p w14:paraId="0DCBB798"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Yes</w:t>
            </w:r>
          </w:p>
        </w:tc>
        <w:tc>
          <w:tcPr>
            <w:tcW w:w="2970" w:type="dxa"/>
          </w:tcPr>
          <w:p w14:paraId="5B4F0CB2" w14:textId="4E928075" w:rsidR="00AA30D8" w:rsidRPr="00C63A98" w:rsidRDefault="00F80961" w:rsidP="00AA30D8">
            <w:pPr>
              <w:pStyle w:val="Tabletext"/>
              <w:keepNext/>
              <w:rPr>
                <w:rFonts w:ascii="Calibri" w:hAnsi="Calibri" w:cs="Calibri"/>
                <w:sz w:val="20"/>
              </w:rPr>
            </w:pPr>
            <w:r>
              <w:rPr>
                <w:rFonts w:ascii="Calibri" w:hAnsi="Calibri" w:cs="Calibri"/>
                <w:sz w:val="20"/>
              </w:rPr>
              <w:t>Each ID is a Kittyhawk location ID. The read shall take the location key of each ID from the Kittyhawk location data, and that key shall be matched to the Profisee location code, for example 1646 for the Lima terminal.</w:t>
            </w:r>
          </w:p>
        </w:tc>
      </w:tr>
      <w:tr w:rsidR="00AA30D8" w:rsidRPr="00C63A98" w14:paraId="13F7127C" w14:textId="77777777" w:rsidTr="00C63A98">
        <w:trPr>
          <w:cantSplit/>
        </w:trPr>
        <w:tc>
          <w:tcPr>
            <w:tcW w:w="1260" w:type="dxa"/>
          </w:tcPr>
          <w:p w14:paraId="5A76DC10"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Tank XREF</w:t>
            </w:r>
          </w:p>
        </w:tc>
        <w:tc>
          <w:tcPr>
            <w:tcW w:w="3915" w:type="dxa"/>
          </w:tcPr>
          <w:p w14:paraId="1CE54655"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Origin and destination tanks (OriginContainerCode, DestinationContainerCode)</w:t>
            </w:r>
          </w:p>
        </w:tc>
        <w:tc>
          <w:tcPr>
            <w:tcW w:w="1216" w:type="dxa"/>
          </w:tcPr>
          <w:p w14:paraId="22C7E04E" w14:textId="77777777" w:rsidR="00AA30D8" w:rsidRPr="00C63A98" w:rsidRDefault="00AA30D8" w:rsidP="00AA30D8">
            <w:pPr>
              <w:pStyle w:val="Tabletext"/>
              <w:keepNext/>
              <w:rPr>
                <w:rFonts w:ascii="Calibri" w:hAnsi="Calibri" w:cs="Calibri"/>
                <w:sz w:val="20"/>
              </w:rPr>
            </w:pPr>
            <w:r w:rsidRPr="00C63A98">
              <w:rPr>
                <w:rFonts w:ascii="Calibri" w:hAnsi="Calibri" w:cs="Calibri"/>
                <w:sz w:val="20"/>
              </w:rPr>
              <w:t>Yes</w:t>
            </w:r>
          </w:p>
        </w:tc>
        <w:tc>
          <w:tcPr>
            <w:tcW w:w="2970" w:type="dxa"/>
          </w:tcPr>
          <w:p w14:paraId="68F4D75E" w14:textId="2CDADEE2" w:rsidR="00AA30D8" w:rsidRPr="00C63A98" w:rsidRDefault="008F2422" w:rsidP="00AA30D8">
            <w:pPr>
              <w:pStyle w:val="Tabletext"/>
              <w:keepNext/>
              <w:rPr>
                <w:rFonts w:ascii="Calibri" w:hAnsi="Calibri" w:cs="Calibri"/>
                <w:sz w:val="20"/>
              </w:rPr>
            </w:pPr>
            <w:r>
              <w:rPr>
                <w:rFonts w:ascii="Calibri" w:hAnsi="Calibri" w:cs="Calibri"/>
                <w:sz w:val="20"/>
              </w:rPr>
              <w:t>The Kittyhawk container code of each tank shall be matched to the Profisee tank code.</w:t>
            </w:r>
          </w:p>
        </w:tc>
      </w:tr>
      <w:tr w:rsidR="00AA30D8" w:rsidRPr="00C63A98" w14:paraId="420B0FF2" w14:textId="77777777" w:rsidTr="00C63A98">
        <w:trPr>
          <w:cantSplit/>
        </w:trPr>
        <w:tc>
          <w:tcPr>
            <w:tcW w:w="1260" w:type="dxa"/>
          </w:tcPr>
          <w:p w14:paraId="088CD0A7"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UOM</w:t>
            </w:r>
          </w:p>
        </w:tc>
        <w:tc>
          <w:tcPr>
            <w:tcW w:w="3915" w:type="dxa"/>
          </w:tcPr>
          <w:p w14:paraId="1D2D5396"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Gross and net quantity units</w:t>
            </w:r>
          </w:p>
        </w:tc>
        <w:tc>
          <w:tcPr>
            <w:tcW w:w="1216" w:type="dxa"/>
          </w:tcPr>
          <w:p w14:paraId="6EEC6ED1" w14:textId="77777777" w:rsidR="00AA30D8" w:rsidRPr="00C63A98" w:rsidRDefault="00AA30D8" w:rsidP="00C63A98">
            <w:pPr>
              <w:pStyle w:val="Tabletext"/>
              <w:keepNext/>
              <w:rPr>
                <w:rFonts w:ascii="Calibri" w:hAnsi="Calibri" w:cs="Calibri"/>
                <w:sz w:val="20"/>
              </w:rPr>
            </w:pPr>
            <w:r w:rsidRPr="00C63A98">
              <w:rPr>
                <w:rFonts w:ascii="Calibri" w:hAnsi="Calibri" w:cs="Calibri"/>
                <w:sz w:val="20"/>
              </w:rPr>
              <w:t>Yes</w:t>
            </w:r>
          </w:p>
        </w:tc>
        <w:tc>
          <w:tcPr>
            <w:tcW w:w="2970" w:type="dxa"/>
          </w:tcPr>
          <w:p w14:paraId="7F643325" w14:textId="41F49310" w:rsidR="00AA30D8" w:rsidRPr="00C63A98" w:rsidRDefault="00F80961" w:rsidP="00C63A98">
            <w:pPr>
              <w:pStyle w:val="Tabletext"/>
              <w:keepNext/>
              <w:rPr>
                <w:rFonts w:ascii="Calibri" w:hAnsi="Calibri" w:cs="Calibri"/>
                <w:sz w:val="20"/>
              </w:rPr>
            </w:pPr>
            <w:r>
              <w:rPr>
                <w:rFonts w:ascii="Calibri" w:hAnsi="Calibri" w:cs="Calibri"/>
                <w:sz w:val="20"/>
              </w:rPr>
              <w:t xml:space="preserve">Gallons (GL) and barrels (BL) both occur. The gross and net quantities shall be converted to barrels (bbl), the IQDM default unit, with the conversion factors of the Profisee UOM master data. </w:t>
            </w:r>
            <w:r w:rsidR="009C3F56">
              <w:rPr>
                <w:rFonts w:ascii="Calibri" w:hAnsi="Calibri" w:cs="Calibri"/>
                <w:sz w:val="20"/>
              </w:rPr>
              <w:t>UOM_GlobalCode shall carry the unit after conversion. A row whose quantity unit has no conversion to barrels shall be left out, and an MDM error notification shall be sent.</w:t>
            </w:r>
          </w:p>
        </w:tc>
      </w:tr>
    </w:tbl>
    <w:p w14:paraId="3D6F9A58" w14:textId="3417243B" w:rsidR="00AA30D8" w:rsidRDefault="00AA30D8" w:rsidP="00AA30D8">
      <w:pPr>
        <w:pStyle w:val="Caption"/>
      </w:pPr>
      <w:bookmarkStart w:id="239" w:name="_Toc242554030"/>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32</w:t>
      </w:r>
      <w:r>
        <w:fldChar w:fldCharType="end"/>
      </w:r>
      <w:r>
        <w:t>: Master Data Entity - Blend component Movements at Terminals (Kittyhawk transaction upload)</w:t>
      </w:r>
      <w:bookmarkEnd w:id="239"/>
    </w:p>
    <w:p w14:paraId="1C4838EC" w14:textId="77777777" w:rsidR="0081216E" w:rsidRDefault="00AA30D8" w:rsidP="00AA30D8">
      <w:pPr>
        <w:pStyle w:val="Heading5"/>
        <w:rPr>
          <w:rFonts w:ascii="Calibri" w:hAnsi="Calibri" w:cs="Calibri"/>
          <w:sz w:val="20"/>
        </w:rPr>
      </w:pPr>
      <w:r w:rsidRPr="6855FDF4">
        <w:rPr>
          <w:rFonts w:ascii="Calibri" w:hAnsi="Calibri" w:cs="Calibri"/>
          <w:sz w:val="20"/>
          <w:szCs w:val="20"/>
        </w:rPr>
        <w:t>In</w:t>
      </w:r>
      <w:commentRangeStart w:id="240"/>
      <w:r w:rsidRPr="6855FDF4">
        <w:rPr>
          <w:rFonts w:ascii="Calibri" w:hAnsi="Calibri" w:cs="Calibri"/>
          <w:sz w:val="20"/>
          <w:szCs w:val="20"/>
        </w:rPr>
        <w:t>tegration Configuration</w:t>
      </w:r>
      <w:commentRangeEnd w:id="240"/>
      <w:r>
        <w:rPr>
          <w:rStyle w:val="CommentReference"/>
          <w:rFonts w:ascii="Calibri" w:hAnsi="Calibri" w:cs="Calibri"/>
          <w:sz w:val="20"/>
          <w:szCs w:val="22"/>
        </w:rPr>
        <w:commentReference w:id="240"/>
      </w:r>
    </w:p>
    <w:p w14:paraId="2EB97A45" w14:textId="05A0304A" w:rsidR="00FC42E7" w:rsidRPr="00EC3682" w:rsidRDefault="00FC42E7" w:rsidP="00FC42E7">
      <w:pPr>
        <w:pStyle w:val="ListParagraph"/>
        <w:numPr>
          <w:ilvl w:val="0"/>
          <w:numId w:val="4"/>
        </w:numPr>
        <w:jc w:val="left"/>
        <w:rPr>
          <w:rFonts w:ascii="Calibri" w:hAnsi="Calibri" w:cs="Calibri"/>
        </w:rPr>
      </w:pPr>
      <w:r>
        <w:t>The run settings shall be held in the configuration file in the blob container, and the schedule and the function app settings shall be app settings.</w:t>
      </w:r>
    </w:p>
    <w:p w14:paraId="780AB770" w14:textId="10D3EEFF" w:rsidR="00FC42E7" w:rsidRPr="00EC3682" w:rsidRDefault="00FC42E7" w:rsidP="00FC42E7">
      <w:pPr>
        <w:pStyle w:val="ListParagraph"/>
        <w:numPr>
          <w:ilvl w:val="0"/>
          <w:numId w:val="4"/>
        </w:numPr>
        <w:jc w:val="left"/>
        <w:rPr>
          <w:rFonts w:ascii="Calibri" w:hAnsi="Calibri" w:cs="Calibri"/>
        </w:rPr>
      </w:pPr>
      <w:r>
        <w:t>The offsets shall make each run read from the day before the run date up to the run date.</w:t>
      </w:r>
    </w:p>
    <w:p w14:paraId="7D80FD3A" w14:textId="4A14ADF5" w:rsidR="00AA30D8" w:rsidRPr="0081216E" w:rsidRDefault="00FC42E7" w:rsidP="00FC42E7">
      <w:pPr>
        <w:keepNext/>
        <w:jc w:val="left"/>
        <w:rPr>
          <w:rFonts w:ascii="Calibri" w:hAnsi="Calibri" w:cs="Calibri"/>
          <w:bCs/>
        </w:rPr>
      </w:pPr>
      <w:r>
        <w:rPr>
          <w:rFonts w:ascii="Calibri" w:hAnsi="Calibri" w:cs="Calibri"/>
        </w:rPr>
        <w:t>The Kittyhawk integration shall use the settings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0"/>
        <w:gridCol w:w="2808"/>
        <w:gridCol w:w="2808"/>
        <w:gridCol w:w="1404"/>
      </w:tblGrid>
      <w:tr w:rsidR="00AA30D8" w:rsidRPr="00C63A98" w14:paraId="5F465F11" w14:textId="77777777" w:rsidTr="00FA3AEE">
        <w:trPr>
          <w:cantSplit/>
          <w:tblHeader/>
        </w:trPr>
        <w:tc>
          <w:tcPr>
            <w:tcW w:w="2340" w:type="dxa"/>
            <w:shd w:val="clear" w:color="auto" w:fill="2F5597"/>
          </w:tcPr>
          <w:p w14:paraId="587FA36A" w14:textId="77777777" w:rsidR="00AA30D8" w:rsidRPr="00C63A98" w:rsidRDefault="00AA30D8" w:rsidP="00772610">
            <w:pPr>
              <w:pStyle w:val="Tablehead1"/>
              <w:keepNext w:val="0"/>
              <w:rPr>
                <w:rFonts w:ascii="Calibri" w:hAnsi="Calibri" w:cs="Calibri"/>
                <w:sz w:val="20"/>
              </w:rPr>
            </w:pPr>
            <w:r w:rsidRPr="00C63A98">
              <w:rPr>
                <w:rFonts w:ascii="Calibri" w:hAnsi="Calibri" w:cs="Calibri"/>
                <w:sz w:val="20"/>
              </w:rPr>
              <w:t>Configuration</w:t>
            </w:r>
          </w:p>
        </w:tc>
        <w:tc>
          <w:tcPr>
            <w:tcW w:w="2808" w:type="dxa"/>
            <w:shd w:val="clear" w:color="auto" w:fill="2F5597"/>
          </w:tcPr>
          <w:p w14:paraId="33ACF166" w14:textId="77777777" w:rsidR="00AA30D8" w:rsidRPr="00C63A98" w:rsidRDefault="00AA30D8" w:rsidP="00772610">
            <w:pPr>
              <w:pStyle w:val="Tablehead1"/>
              <w:keepNext w:val="0"/>
              <w:rPr>
                <w:rFonts w:ascii="Calibri" w:hAnsi="Calibri" w:cs="Calibri"/>
                <w:sz w:val="20"/>
              </w:rPr>
            </w:pPr>
            <w:r w:rsidRPr="00C63A98">
              <w:rPr>
                <w:rFonts w:ascii="Calibri" w:hAnsi="Calibri" w:cs="Calibri"/>
                <w:sz w:val="20"/>
              </w:rPr>
              <w:t>Value</w:t>
            </w:r>
          </w:p>
        </w:tc>
        <w:tc>
          <w:tcPr>
            <w:tcW w:w="2808" w:type="dxa"/>
            <w:shd w:val="clear" w:color="auto" w:fill="2F5597"/>
          </w:tcPr>
          <w:p w14:paraId="0CB5B25F" w14:textId="77777777" w:rsidR="00AA30D8" w:rsidRPr="00C63A98" w:rsidRDefault="00AA30D8" w:rsidP="00772610">
            <w:pPr>
              <w:pStyle w:val="Tablehead1"/>
              <w:keepNext w:val="0"/>
              <w:rPr>
                <w:rFonts w:ascii="Calibri" w:hAnsi="Calibri" w:cs="Calibri"/>
                <w:sz w:val="20"/>
              </w:rPr>
            </w:pPr>
            <w:r w:rsidRPr="00C63A98">
              <w:rPr>
                <w:rFonts w:ascii="Calibri" w:hAnsi="Calibri" w:cs="Calibri"/>
                <w:sz w:val="20"/>
              </w:rPr>
              <w:t>Description</w:t>
            </w:r>
          </w:p>
        </w:tc>
        <w:tc>
          <w:tcPr>
            <w:tcW w:w="1404" w:type="dxa"/>
            <w:shd w:val="clear" w:color="auto" w:fill="2F5597"/>
          </w:tcPr>
          <w:p w14:paraId="31889199" w14:textId="77777777" w:rsidR="00AA30D8" w:rsidRPr="00C63A98" w:rsidRDefault="00AA30D8" w:rsidP="00772610">
            <w:pPr>
              <w:pStyle w:val="Tablehead1"/>
              <w:keepNext w:val="0"/>
              <w:rPr>
                <w:rFonts w:ascii="Calibri" w:hAnsi="Calibri" w:cs="Calibri"/>
                <w:sz w:val="20"/>
              </w:rPr>
            </w:pPr>
            <w:r w:rsidRPr="00C63A98">
              <w:rPr>
                <w:rFonts w:ascii="Calibri" w:hAnsi="Calibri" w:cs="Calibri"/>
                <w:sz w:val="20"/>
              </w:rPr>
              <w:t>Location</w:t>
            </w:r>
          </w:p>
        </w:tc>
      </w:tr>
      <w:tr w:rsidR="00AA30D8" w:rsidRPr="00C63A98" w14:paraId="42A490A7" w14:textId="77777777" w:rsidTr="00FA3AEE">
        <w:trPr>
          <w:cantSplit/>
        </w:trPr>
        <w:tc>
          <w:tcPr>
            <w:tcW w:w="2340" w:type="dxa"/>
          </w:tcPr>
          <w:p w14:paraId="29B9E9C4" w14:textId="77777777" w:rsidR="00AA30D8" w:rsidRPr="00C63A98" w:rsidRDefault="00AA30D8" w:rsidP="00772610">
            <w:pPr>
              <w:pStyle w:val="Tabletext"/>
              <w:rPr>
                <w:rFonts w:ascii="Calibri" w:hAnsi="Calibri" w:cs="Calibri"/>
                <w:sz w:val="20"/>
              </w:rPr>
            </w:pPr>
            <w:r w:rsidRPr="00C63A98">
              <w:rPr>
                <w:rFonts w:ascii="Calibri" w:hAnsi="Calibri" w:cs="Calibri"/>
                <w:sz w:val="20"/>
              </w:rPr>
              <w:t>Schedule</w:t>
            </w:r>
          </w:p>
        </w:tc>
        <w:tc>
          <w:tcPr>
            <w:tcW w:w="2808" w:type="dxa"/>
          </w:tcPr>
          <w:p w14:paraId="5C49CED5" w14:textId="77777777" w:rsidR="00AA30D8" w:rsidRPr="00C63A98" w:rsidRDefault="00AA30D8" w:rsidP="00772610">
            <w:pPr>
              <w:pStyle w:val="Tabletext"/>
              <w:rPr>
                <w:rFonts w:ascii="Calibri" w:hAnsi="Calibri" w:cs="Calibri"/>
                <w:sz w:val="20"/>
              </w:rPr>
            </w:pPr>
            <w:r>
              <w:rPr>
                <w:rFonts w:ascii="Calibri" w:hAnsi="Calibri" w:cs="Calibri"/>
                <w:sz w:val="20"/>
              </w:rPr>
              <w:t>0 0 0 * * *</w:t>
            </w:r>
          </w:p>
        </w:tc>
        <w:tc>
          <w:tcPr>
            <w:tcW w:w="2808" w:type="dxa"/>
          </w:tcPr>
          <w:p w14:paraId="169097ED" w14:textId="7F37D2DD" w:rsidR="00AA30D8" w:rsidRPr="00C63A98" w:rsidRDefault="004812A6" w:rsidP="00772610">
            <w:pPr>
              <w:pStyle w:val="Tabletext"/>
              <w:rPr>
                <w:rFonts w:ascii="Calibri" w:hAnsi="Calibri" w:cs="Calibri"/>
                <w:sz w:val="20"/>
              </w:rPr>
            </w:pPr>
            <w:r>
              <w:rPr>
                <w:rFonts w:ascii="Calibri" w:hAnsi="Calibri" w:cs="Calibri"/>
                <w:sz w:val="20"/>
              </w:rPr>
              <w:t>How often the trigger function runs: every day at a specified time. The schedule shall be given in UTC.</w:t>
            </w:r>
          </w:p>
        </w:tc>
        <w:tc>
          <w:tcPr>
            <w:tcW w:w="1404" w:type="dxa"/>
          </w:tcPr>
          <w:p w14:paraId="44210AB5" w14:textId="77777777" w:rsidR="00AA30D8" w:rsidRPr="00C63A98" w:rsidRDefault="00AA30D8" w:rsidP="00772610">
            <w:pPr>
              <w:pStyle w:val="Tabletext"/>
              <w:rPr>
                <w:rFonts w:ascii="Calibri" w:hAnsi="Calibri" w:cs="Calibri"/>
                <w:sz w:val="20"/>
              </w:rPr>
            </w:pPr>
            <w:r w:rsidRPr="00C63A98">
              <w:rPr>
                <w:rFonts w:ascii="Calibri" w:hAnsi="Calibri" w:cs="Calibri"/>
                <w:sz w:val="20"/>
              </w:rPr>
              <w:t>AppSettings</w:t>
            </w:r>
          </w:p>
        </w:tc>
      </w:tr>
      <w:tr w:rsidR="00AA30D8" w:rsidRPr="00C63A98" w14:paraId="01017863" w14:textId="77777777" w:rsidTr="00FA3AEE">
        <w:trPr>
          <w:cantSplit/>
        </w:trPr>
        <w:tc>
          <w:tcPr>
            <w:tcW w:w="2340" w:type="dxa"/>
          </w:tcPr>
          <w:p w14:paraId="3E4E3AC6" w14:textId="77777777" w:rsidR="00AA30D8" w:rsidRDefault="00AA30D8" w:rsidP="00772610">
            <w:pPr>
              <w:pStyle w:val="Tabletext"/>
              <w:rPr>
                <w:rFonts w:ascii="Calibri" w:hAnsi="Calibri" w:cs="Calibri"/>
                <w:sz w:val="20"/>
              </w:rPr>
            </w:pPr>
            <w:r>
              <w:rPr>
                <w:rFonts w:ascii="Calibri" w:hAnsi="Calibri" w:cs="Calibri"/>
                <w:sz w:val="20"/>
              </w:rPr>
              <w:t>Blob Container</w:t>
            </w:r>
          </w:p>
        </w:tc>
        <w:tc>
          <w:tcPr>
            <w:tcW w:w="2808" w:type="dxa"/>
          </w:tcPr>
          <w:p w14:paraId="5A318B2E" w14:textId="6DB3C7C2" w:rsidR="00AA30D8" w:rsidRDefault="00AA30D8" w:rsidP="00772610">
            <w:pPr>
              <w:pStyle w:val="Tabletext"/>
              <w:rPr>
                <w:rFonts w:ascii="Calibri" w:hAnsi="Calibri" w:cs="Calibri"/>
                <w:sz w:val="20"/>
              </w:rPr>
            </w:pPr>
          </w:p>
        </w:tc>
        <w:tc>
          <w:tcPr>
            <w:tcW w:w="2808" w:type="dxa"/>
          </w:tcPr>
          <w:p w14:paraId="39B547F7" w14:textId="77777777" w:rsidR="00AA30D8" w:rsidRDefault="00AA30D8" w:rsidP="00772610">
            <w:pPr>
              <w:pStyle w:val="Tabletext"/>
              <w:rPr>
                <w:rFonts w:ascii="Calibri" w:hAnsi="Calibri" w:cs="Calibri"/>
                <w:sz w:val="20"/>
              </w:rPr>
            </w:pPr>
            <w:r>
              <w:rPr>
                <w:rFonts w:ascii="Calibri" w:hAnsi="Calibri" w:cs="Calibri"/>
                <w:sz w:val="20"/>
              </w:rPr>
              <w:t>Container that holds the configuration file</w:t>
            </w:r>
          </w:p>
        </w:tc>
        <w:tc>
          <w:tcPr>
            <w:tcW w:w="1404" w:type="dxa"/>
          </w:tcPr>
          <w:p w14:paraId="7A96A9EA" w14:textId="77777777" w:rsidR="00AA30D8" w:rsidRDefault="00AA30D8" w:rsidP="00772610">
            <w:pPr>
              <w:pStyle w:val="Tabletext"/>
              <w:rPr>
                <w:rFonts w:ascii="Calibri" w:hAnsi="Calibri" w:cs="Calibri"/>
                <w:sz w:val="20"/>
              </w:rPr>
            </w:pPr>
            <w:r>
              <w:rPr>
                <w:rFonts w:ascii="Calibri" w:hAnsi="Calibri" w:cs="Calibri"/>
                <w:sz w:val="20"/>
              </w:rPr>
              <w:t>Azure</w:t>
            </w:r>
          </w:p>
        </w:tc>
      </w:tr>
      <w:tr w:rsidR="00AA30D8" w:rsidRPr="00C63A98" w14:paraId="400C6F4F" w14:textId="77777777" w:rsidTr="00FA3AEE">
        <w:trPr>
          <w:cantSplit/>
        </w:trPr>
        <w:tc>
          <w:tcPr>
            <w:tcW w:w="2340" w:type="dxa"/>
          </w:tcPr>
          <w:p w14:paraId="3074238A" w14:textId="77777777" w:rsidR="00AA30D8" w:rsidRPr="00C63A98" w:rsidRDefault="00AA30D8" w:rsidP="00772610">
            <w:pPr>
              <w:pStyle w:val="Tabletext"/>
              <w:rPr>
                <w:rFonts w:ascii="Calibri" w:hAnsi="Calibri" w:cs="Calibri"/>
                <w:sz w:val="20"/>
              </w:rPr>
            </w:pPr>
            <w:r>
              <w:rPr>
                <w:rFonts w:ascii="Calibri" w:hAnsi="Calibri" w:cs="Calibri"/>
                <w:sz w:val="20"/>
              </w:rPr>
              <w:t>Configuration File</w:t>
            </w:r>
          </w:p>
        </w:tc>
        <w:tc>
          <w:tcPr>
            <w:tcW w:w="2808" w:type="dxa"/>
          </w:tcPr>
          <w:p w14:paraId="72843A1A" w14:textId="77777777" w:rsidR="00AA30D8" w:rsidRPr="00C63A98" w:rsidRDefault="00AA30D8" w:rsidP="00772610">
            <w:pPr>
              <w:pStyle w:val="Tabletext"/>
              <w:rPr>
                <w:rFonts w:ascii="Calibri" w:hAnsi="Calibri" w:cs="Calibri"/>
                <w:sz w:val="20"/>
              </w:rPr>
            </w:pPr>
            <w:r>
              <w:rPr>
                <w:rFonts w:ascii="Calibri" w:hAnsi="Calibri" w:cs="Calibri"/>
                <w:sz w:val="20"/>
              </w:rPr>
              <w:t>VcbBlendComponentMovementRequestConfiguration.json</w:t>
            </w:r>
          </w:p>
        </w:tc>
        <w:tc>
          <w:tcPr>
            <w:tcW w:w="2808" w:type="dxa"/>
          </w:tcPr>
          <w:p w14:paraId="55B5DC09" w14:textId="11FE2B7D" w:rsidR="00AA30D8" w:rsidRPr="00C63A98" w:rsidRDefault="00AA30D8" w:rsidP="00772610">
            <w:pPr>
              <w:pStyle w:val="Tabletext"/>
              <w:rPr>
                <w:rFonts w:ascii="Calibri" w:hAnsi="Calibri" w:cs="Calibri"/>
                <w:sz w:val="20"/>
              </w:rPr>
            </w:pPr>
            <w:r>
              <w:rPr>
                <w:rFonts w:ascii="Calibri" w:hAnsi="Calibri" w:cs="Calibri"/>
                <w:sz w:val="20"/>
              </w:rPr>
              <w:t xml:space="preserve">File with the run settings. </w:t>
            </w:r>
            <w:r w:rsidR="00873A53">
              <w:rPr>
                <w:rFonts w:ascii="Calibri" w:hAnsi="Calibri" w:cs="Calibri"/>
                <w:sz w:val="20"/>
              </w:rPr>
              <w:t>The trigger function shall read it at every run</w:t>
            </w:r>
          </w:p>
        </w:tc>
        <w:tc>
          <w:tcPr>
            <w:tcW w:w="1404" w:type="dxa"/>
          </w:tcPr>
          <w:p w14:paraId="3CC72CBF" w14:textId="77777777" w:rsidR="00AA30D8" w:rsidRPr="00C63A98" w:rsidRDefault="00AA30D8" w:rsidP="00772610">
            <w:pPr>
              <w:pStyle w:val="Tabletext"/>
              <w:rPr>
                <w:rFonts w:ascii="Calibri" w:hAnsi="Calibri" w:cs="Calibri"/>
                <w:sz w:val="20"/>
              </w:rPr>
            </w:pPr>
            <w:r>
              <w:rPr>
                <w:rFonts w:ascii="Calibri" w:hAnsi="Calibri" w:cs="Calibri"/>
                <w:sz w:val="20"/>
              </w:rPr>
              <w:t>Blob Container</w:t>
            </w:r>
          </w:p>
        </w:tc>
      </w:tr>
      <w:tr w:rsidR="00AA30D8" w:rsidRPr="00C63A98" w14:paraId="5ED86E17" w14:textId="77777777" w:rsidTr="00FA3AEE">
        <w:trPr>
          <w:cantSplit/>
        </w:trPr>
        <w:tc>
          <w:tcPr>
            <w:tcW w:w="2340" w:type="dxa"/>
          </w:tcPr>
          <w:p w14:paraId="3816EDF6" w14:textId="5DBF5135" w:rsidR="00AA30D8" w:rsidRDefault="000A106D" w:rsidP="00772610">
            <w:pPr>
              <w:pStyle w:val="Tabletext"/>
              <w:rPr>
                <w:rFonts w:ascii="Calibri" w:hAnsi="Calibri" w:cs="Calibri"/>
                <w:sz w:val="20"/>
              </w:rPr>
            </w:pPr>
            <w:r>
              <w:rPr>
                <w:rFonts w:ascii="Calibri" w:hAnsi="Calibri" w:cs="Calibri"/>
                <w:sz w:val="20"/>
              </w:rPr>
              <w:t>Integration Configuration</w:t>
            </w:r>
          </w:p>
        </w:tc>
        <w:tc>
          <w:tcPr>
            <w:tcW w:w="2808" w:type="dxa"/>
          </w:tcPr>
          <w:p w14:paraId="62B3BC0C" w14:textId="77777777" w:rsidR="00AA30D8" w:rsidRDefault="00AA30D8" w:rsidP="00772610">
            <w:pPr>
              <w:pStyle w:val="Tabletext"/>
              <w:rPr>
                <w:rFonts w:ascii="Calibri" w:hAnsi="Calibri" w:cs="Calibri"/>
                <w:sz w:val="20"/>
              </w:rPr>
            </w:pPr>
            <w:r>
              <w:rPr>
                <w:rFonts w:ascii="Calibri" w:hAnsi="Calibri" w:cs="Calibri"/>
                <w:sz w:val="20"/>
              </w:rPr>
              <w:t>ActualKittyHawk</w:t>
            </w:r>
          </w:p>
        </w:tc>
        <w:tc>
          <w:tcPr>
            <w:tcW w:w="2808" w:type="dxa"/>
          </w:tcPr>
          <w:p w14:paraId="244215B7" w14:textId="228FC9DC" w:rsidR="00AA30D8" w:rsidRDefault="00AA30D8" w:rsidP="00772610">
            <w:pPr>
              <w:pStyle w:val="Tabletext"/>
              <w:rPr>
                <w:rFonts w:ascii="Calibri" w:hAnsi="Calibri" w:cs="Calibri"/>
                <w:sz w:val="20"/>
              </w:rPr>
            </w:pPr>
            <w:r>
              <w:rPr>
                <w:rFonts w:ascii="Calibri" w:hAnsi="Calibri" w:cs="Calibri"/>
                <w:sz w:val="20"/>
              </w:rPr>
              <w:t>Name of this integration's settings in the configuration file</w:t>
            </w:r>
          </w:p>
        </w:tc>
        <w:tc>
          <w:tcPr>
            <w:tcW w:w="1404" w:type="dxa"/>
          </w:tcPr>
          <w:p w14:paraId="1647E2E7"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AA30D8" w:rsidRPr="00C63A98" w14:paraId="6C9CF637" w14:textId="77777777" w:rsidTr="00FA3AEE">
        <w:trPr>
          <w:cantSplit/>
        </w:trPr>
        <w:tc>
          <w:tcPr>
            <w:tcW w:w="2340" w:type="dxa"/>
          </w:tcPr>
          <w:p w14:paraId="30044EB5" w14:textId="77777777" w:rsidR="00AA30D8" w:rsidRDefault="00AA30D8" w:rsidP="00772610">
            <w:pPr>
              <w:pStyle w:val="Tabletext"/>
              <w:rPr>
                <w:rFonts w:ascii="Calibri" w:hAnsi="Calibri" w:cs="Calibri"/>
                <w:sz w:val="20"/>
              </w:rPr>
            </w:pPr>
            <w:r>
              <w:rPr>
                <w:rFonts w:ascii="Calibri" w:hAnsi="Calibri" w:cs="Calibri"/>
                <w:sz w:val="20"/>
              </w:rPr>
              <w:t>Locations</w:t>
            </w:r>
          </w:p>
        </w:tc>
        <w:tc>
          <w:tcPr>
            <w:tcW w:w="2808" w:type="dxa"/>
          </w:tcPr>
          <w:p w14:paraId="304C543D" w14:textId="77777777" w:rsidR="00AA30D8" w:rsidRDefault="00AA30D8" w:rsidP="00772610">
            <w:pPr>
              <w:pStyle w:val="Tabletext"/>
              <w:rPr>
                <w:rFonts w:ascii="Calibri" w:hAnsi="Calibri" w:cs="Calibri"/>
                <w:sz w:val="20"/>
              </w:rPr>
            </w:pPr>
            <w:r>
              <w:rPr>
                <w:rFonts w:ascii="Calibri" w:hAnsi="Calibri" w:cs="Calibri"/>
                <w:sz w:val="20"/>
              </w:rPr>
              <w:t>[]</w:t>
            </w:r>
          </w:p>
        </w:tc>
        <w:tc>
          <w:tcPr>
            <w:tcW w:w="2808" w:type="dxa"/>
          </w:tcPr>
          <w:p w14:paraId="7B4883DE" w14:textId="321020CB" w:rsidR="00AA30D8" w:rsidRDefault="006B25DD" w:rsidP="00772610">
            <w:pPr>
              <w:pStyle w:val="Tabletext"/>
              <w:rPr>
                <w:rFonts w:ascii="Calibri" w:hAnsi="Calibri" w:cs="Calibri"/>
                <w:sz w:val="20"/>
              </w:rPr>
            </w:pPr>
            <w:r>
              <w:rPr>
                <w:rFonts w:ascii="Calibri" w:hAnsi="Calibri" w:cs="Calibri"/>
                <w:sz w:val="20"/>
              </w:rPr>
              <w:t>Not used for terminals: the active terminals of the region of type Terminal-MPC LP shall be taken from Profisee</w:t>
            </w:r>
          </w:p>
        </w:tc>
        <w:tc>
          <w:tcPr>
            <w:tcW w:w="1404" w:type="dxa"/>
          </w:tcPr>
          <w:p w14:paraId="27F7E871"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4812A6" w:rsidRPr="00C63A98" w14:paraId="60B9B65A" w14:textId="77777777" w:rsidTr="00FA3AEE">
        <w:trPr>
          <w:cantSplit/>
        </w:trPr>
        <w:tc>
          <w:tcPr>
            <w:tcW w:w="2340" w:type="dxa"/>
          </w:tcPr>
          <w:p w14:paraId="722FF352" w14:textId="7074693C" w:rsidR="004812A6" w:rsidRDefault="004812A6" w:rsidP="00772610">
            <w:pPr>
              <w:pStyle w:val="Tabletext"/>
              <w:rPr>
                <w:rFonts w:ascii="Calibri" w:hAnsi="Calibri" w:cs="Calibri"/>
                <w:sz w:val="20"/>
              </w:rPr>
            </w:pPr>
            <w:r>
              <w:rPr>
                <w:rFonts w:ascii="Calibri" w:hAnsi="Calibri" w:cs="Calibri"/>
                <w:sz w:val="20"/>
              </w:rPr>
              <w:t>PIAF flow list</w:t>
            </w:r>
          </w:p>
        </w:tc>
        <w:tc>
          <w:tcPr>
            <w:tcW w:w="2808" w:type="dxa"/>
          </w:tcPr>
          <w:p w14:paraId="34968BD3" w14:textId="77777777" w:rsidR="004812A6" w:rsidRDefault="004812A6" w:rsidP="00772610">
            <w:pPr>
              <w:pStyle w:val="Tabletext"/>
              <w:rPr>
                <w:rFonts w:ascii="Calibri" w:hAnsi="Calibri" w:cs="Calibri"/>
                <w:sz w:val="20"/>
              </w:rPr>
            </w:pPr>
          </w:p>
        </w:tc>
        <w:tc>
          <w:tcPr>
            <w:tcW w:w="2808" w:type="dxa"/>
          </w:tcPr>
          <w:p w14:paraId="0E7EDB06" w14:textId="6C60A458" w:rsidR="004812A6" w:rsidRDefault="008F2422" w:rsidP="00772610">
            <w:pPr>
              <w:pStyle w:val="Tabletext"/>
              <w:rPr>
                <w:rFonts w:ascii="Calibri" w:hAnsi="Calibri" w:cs="Calibri"/>
                <w:sz w:val="20"/>
              </w:rPr>
            </w:pPr>
            <w:r>
              <w:rPr>
                <w:rFonts w:ascii="Calibri" w:hAnsi="Calibri" w:cs="Calibri"/>
                <w:sz w:val="20"/>
              </w:rPr>
              <w:t xml:space="preserve">The PIAF flow list of the PIAF configuration file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Pr>
                <w:rFonts w:ascii="Calibri" w:hAnsi="Calibri" w:cs="Calibri"/>
                <w:sz w:val="20"/>
              </w:rPr>
              <w:t xml:space="preserve">); the read shall leave out its terminal and blend component combinations. </w:t>
            </w:r>
            <w:r w:rsidR="009C3F56">
              <w:rPr>
                <w:rFonts w:ascii="Calibri" w:hAnsi="Calibri" w:cs="Calibri"/>
                <w:sz w:val="20"/>
              </w:rPr>
              <w:t>The list shall not be held a second time. When the list cannot be read, the run shall stop, and an IT error notification shall be sent. An empty list shall be allowed.</w:t>
            </w:r>
          </w:p>
        </w:tc>
        <w:tc>
          <w:tcPr>
            <w:tcW w:w="1404" w:type="dxa"/>
          </w:tcPr>
          <w:p w14:paraId="33A51F97" w14:textId="499289C8" w:rsidR="004812A6" w:rsidRDefault="004812A6" w:rsidP="00772610">
            <w:pPr>
              <w:pStyle w:val="Tabletext"/>
              <w:rPr>
                <w:rFonts w:ascii="Calibri" w:hAnsi="Calibri" w:cs="Calibri"/>
                <w:sz w:val="20"/>
              </w:rPr>
            </w:pPr>
            <w:r>
              <w:rPr>
                <w:rFonts w:ascii="Calibri" w:hAnsi="Calibri" w:cs="Calibri"/>
                <w:sz w:val="20"/>
              </w:rPr>
              <w:t>Blob Container</w:t>
            </w:r>
          </w:p>
        </w:tc>
      </w:tr>
      <w:tr w:rsidR="00AA30D8" w:rsidRPr="00C63A98" w14:paraId="7A879DCB" w14:textId="77777777" w:rsidTr="00FA3AEE">
        <w:trPr>
          <w:cantSplit/>
        </w:trPr>
        <w:tc>
          <w:tcPr>
            <w:tcW w:w="2340" w:type="dxa"/>
          </w:tcPr>
          <w:p w14:paraId="5C9E7A8A" w14:textId="77777777" w:rsidR="00AA30D8" w:rsidRDefault="00AA30D8" w:rsidP="00772610">
            <w:pPr>
              <w:pStyle w:val="Tabletext"/>
              <w:rPr>
                <w:rFonts w:ascii="Calibri" w:hAnsi="Calibri" w:cs="Calibri"/>
                <w:sz w:val="20"/>
              </w:rPr>
            </w:pPr>
            <w:r>
              <w:rPr>
                <w:rFonts w:ascii="Calibri" w:hAnsi="Calibri" w:cs="Calibri"/>
                <w:sz w:val="20"/>
              </w:rPr>
              <w:t>Region</w:t>
            </w:r>
          </w:p>
        </w:tc>
        <w:tc>
          <w:tcPr>
            <w:tcW w:w="2808" w:type="dxa"/>
          </w:tcPr>
          <w:p w14:paraId="46CFE2F7" w14:textId="77777777" w:rsidR="00AA30D8" w:rsidRDefault="00AA30D8" w:rsidP="00772610">
            <w:pPr>
              <w:pStyle w:val="Tabletext"/>
              <w:rPr>
                <w:rFonts w:ascii="Calibri" w:hAnsi="Calibri" w:cs="Calibri"/>
                <w:sz w:val="20"/>
              </w:rPr>
            </w:pPr>
            <w:r>
              <w:rPr>
                <w:rFonts w:ascii="Calibri" w:hAnsi="Calibri" w:cs="Calibri"/>
                <w:sz w:val="20"/>
              </w:rPr>
              <w:t>North</w:t>
            </w:r>
          </w:p>
        </w:tc>
        <w:tc>
          <w:tcPr>
            <w:tcW w:w="2808" w:type="dxa"/>
          </w:tcPr>
          <w:p w14:paraId="3042E79C" w14:textId="77777777" w:rsidR="00AA30D8" w:rsidRDefault="00AA30D8" w:rsidP="00772610">
            <w:pPr>
              <w:pStyle w:val="Tabletext"/>
              <w:rPr>
                <w:rFonts w:ascii="Calibri" w:hAnsi="Calibri" w:cs="Calibri"/>
                <w:sz w:val="20"/>
              </w:rPr>
            </w:pPr>
            <w:r>
              <w:rPr>
                <w:rFonts w:ascii="Calibri" w:hAnsi="Calibri" w:cs="Calibri"/>
                <w:sz w:val="20"/>
              </w:rPr>
              <w:t>Region of the terminals</w:t>
            </w:r>
          </w:p>
        </w:tc>
        <w:tc>
          <w:tcPr>
            <w:tcW w:w="1404" w:type="dxa"/>
          </w:tcPr>
          <w:p w14:paraId="11BC2943"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0A106D" w:rsidRPr="00C63A98" w14:paraId="00989182" w14:textId="77777777" w:rsidTr="00FA3AEE">
        <w:trPr>
          <w:cantSplit/>
        </w:trPr>
        <w:tc>
          <w:tcPr>
            <w:tcW w:w="2340" w:type="dxa"/>
          </w:tcPr>
          <w:p w14:paraId="2D2FD51A" w14:textId="7812E37E" w:rsidR="000A106D" w:rsidRDefault="000A106D" w:rsidP="00772610">
            <w:pPr>
              <w:pStyle w:val="Tabletext"/>
              <w:rPr>
                <w:rFonts w:ascii="Calibri" w:hAnsi="Calibri" w:cs="Calibri"/>
                <w:sz w:val="20"/>
              </w:rPr>
            </w:pPr>
            <w:r>
              <w:rPr>
                <w:rFonts w:ascii="Calibri" w:hAnsi="Calibri" w:cs="Calibri"/>
                <w:sz w:val="20"/>
              </w:rPr>
              <w:t>MovementTypes</w:t>
            </w:r>
          </w:p>
        </w:tc>
        <w:tc>
          <w:tcPr>
            <w:tcW w:w="2808" w:type="dxa"/>
          </w:tcPr>
          <w:p w14:paraId="1F0F0756" w14:textId="5381FA65" w:rsidR="000A106D" w:rsidRDefault="009C3F56" w:rsidP="00772610">
            <w:pPr>
              <w:pStyle w:val="Tabletext"/>
              <w:rPr>
                <w:rFonts w:ascii="Calibri" w:hAnsi="Calibri" w:cs="Calibri"/>
                <w:sz w:val="20"/>
              </w:rPr>
            </w:pPr>
            <w:r>
              <w:rPr>
                <w:rFonts w:ascii="Calibri" w:hAnsi="Calibri" w:cs="Calibri"/>
                <w:sz w:val="20"/>
              </w:rPr>
              <w:t>TransactionUpload</w:t>
            </w:r>
          </w:p>
        </w:tc>
        <w:tc>
          <w:tcPr>
            <w:tcW w:w="2808" w:type="dxa"/>
          </w:tcPr>
          <w:p w14:paraId="1E992D42" w14:textId="480B7C29" w:rsidR="000A106D" w:rsidRDefault="00636937" w:rsidP="00772610">
            <w:pPr>
              <w:pStyle w:val="Tabletext"/>
              <w:rPr>
                <w:rFonts w:ascii="Calibri" w:hAnsi="Calibri" w:cs="Calibri"/>
                <w:sz w:val="20"/>
              </w:rPr>
            </w:pPr>
            <w:r>
              <w:rPr>
                <w:rFonts w:ascii="Calibri" w:hAnsi="Calibri" w:cs="Calibri"/>
                <w:sz w:val="20"/>
              </w:rPr>
              <w:t xml:space="preserve">Movement type of the transaction upload, the only type this integration requests. </w:t>
            </w:r>
            <w:r w:rsidR="00873A53">
              <w:rPr>
                <w:rFonts w:ascii="Calibri" w:hAnsi="Calibri" w:cs="Calibri"/>
                <w:sz w:val="20"/>
              </w:rPr>
              <w:t>The run shall stop when the list is empty</w:t>
            </w:r>
          </w:p>
        </w:tc>
        <w:tc>
          <w:tcPr>
            <w:tcW w:w="1404" w:type="dxa"/>
          </w:tcPr>
          <w:p w14:paraId="756A0D99" w14:textId="44BE015F" w:rsidR="000A106D" w:rsidRDefault="000A106D" w:rsidP="00772610">
            <w:pPr>
              <w:pStyle w:val="Tabletext"/>
              <w:rPr>
                <w:rFonts w:ascii="Calibri" w:hAnsi="Calibri" w:cs="Calibri"/>
                <w:sz w:val="20"/>
              </w:rPr>
            </w:pPr>
            <w:r>
              <w:rPr>
                <w:rFonts w:ascii="Calibri" w:hAnsi="Calibri" w:cs="Calibri"/>
                <w:sz w:val="20"/>
              </w:rPr>
              <w:t>Blob Container</w:t>
            </w:r>
          </w:p>
        </w:tc>
      </w:tr>
      <w:tr w:rsidR="00AA30D8" w:rsidRPr="00C63A98" w14:paraId="3415F9F7" w14:textId="77777777" w:rsidTr="00FA3AEE">
        <w:trPr>
          <w:cantSplit/>
        </w:trPr>
        <w:tc>
          <w:tcPr>
            <w:tcW w:w="2340" w:type="dxa"/>
          </w:tcPr>
          <w:p w14:paraId="3FBD6643" w14:textId="77777777" w:rsidR="00AA30D8" w:rsidRDefault="00AA30D8" w:rsidP="00772610">
            <w:pPr>
              <w:pStyle w:val="Tabletext"/>
              <w:rPr>
                <w:rFonts w:ascii="Calibri" w:hAnsi="Calibri" w:cs="Calibri"/>
                <w:sz w:val="20"/>
              </w:rPr>
            </w:pPr>
            <w:r>
              <w:rPr>
                <w:rFonts w:ascii="Calibri" w:hAnsi="Calibri" w:cs="Calibri"/>
                <w:sz w:val="20"/>
              </w:rPr>
              <w:t>IsOnDemandTrigger</w:t>
            </w:r>
          </w:p>
        </w:tc>
        <w:tc>
          <w:tcPr>
            <w:tcW w:w="2808" w:type="dxa"/>
          </w:tcPr>
          <w:p w14:paraId="6008F95F" w14:textId="77777777" w:rsidR="00AA30D8" w:rsidRDefault="00AA30D8" w:rsidP="00772610">
            <w:pPr>
              <w:pStyle w:val="Tabletext"/>
              <w:rPr>
                <w:rFonts w:ascii="Calibri" w:hAnsi="Calibri" w:cs="Calibri"/>
                <w:sz w:val="20"/>
              </w:rPr>
            </w:pPr>
            <w:r>
              <w:rPr>
                <w:rFonts w:ascii="Calibri" w:hAnsi="Calibri" w:cs="Calibri"/>
                <w:sz w:val="20"/>
              </w:rPr>
              <w:t>false</w:t>
            </w:r>
          </w:p>
        </w:tc>
        <w:tc>
          <w:tcPr>
            <w:tcW w:w="2808" w:type="dxa"/>
          </w:tcPr>
          <w:p w14:paraId="535393F7" w14:textId="4D143AA5" w:rsidR="00AA30D8" w:rsidRDefault="00873A53" w:rsidP="00772610">
            <w:pPr>
              <w:pStyle w:val="Tabletext"/>
              <w:rPr>
                <w:rFonts w:ascii="Calibri" w:hAnsi="Calibri" w:cs="Calibri"/>
                <w:sz w:val="20"/>
              </w:rPr>
            </w:pPr>
            <w:r>
              <w:rPr>
                <w:rFonts w:ascii="Calibri" w:hAnsi="Calibri" w:cs="Calibri"/>
                <w:sz w:val="20"/>
              </w:rPr>
              <w:t>True means the run shall use the on-demand dates, not the offsets</w:t>
            </w:r>
          </w:p>
        </w:tc>
        <w:tc>
          <w:tcPr>
            <w:tcW w:w="1404" w:type="dxa"/>
          </w:tcPr>
          <w:p w14:paraId="48605E7F"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AA30D8" w:rsidRPr="00C63A98" w14:paraId="46D60FF2" w14:textId="77777777" w:rsidTr="00FA3AEE">
        <w:trPr>
          <w:cantSplit/>
        </w:trPr>
        <w:tc>
          <w:tcPr>
            <w:tcW w:w="2340" w:type="dxa"/>
          </w:tcPr>
          <w:p w14:paraId="4A234BAD" w14:textId="77777777" w:rsidR="00AA30D8" w:rsidRDefault="00AA30D8" w:rsidP="00772610">
            <w:pPr>
              <w:pStyle w:val="Tabletext"/>
              <w:rPr>
                <w:rFonts w:ascii="Calibri" w:hAnsi="Calibri" w:cs="Calibri"/>
                <w:sz w:val="20"/>
              </w:rPr>
            </w:pPr>
            <w:r>
              <w:rPr>
                <w:rFonts w:ascii="Calibri" w:hAnsi="Calibri" w:cs="Calibri"/>
                <w:sz w:val="20"/>
              </w:rPr>
              <w:t>StartDateOffset</w:t>
            </w:r>
          </w:p>
        </w:tc>
        <w:tc>
          <w:tcPr>
            <w:tcW w:w="2808" w:type="dxa"/>
          </w:tcPr>
          <w:p w14:paraId="471B089C" w14:textId="77777777" w:rsidR="00AA30D8" w:rsidRDefault="00AA30D8" w:rsidP="00772610">
            <w:pPr>
              <w:pStyle w:val="Tabletext"/>
              <w:rPr>
                <w:rFonts w:ascii="Calibri" w:hAnsi="Calibri" w:cs="Calibri"/>
                <w:sz w:val="20"/>
              </w:rPr>
            </w:pPr>
            <w:r>
              <w:rPr>
                <w:rFonts w:ascii="Calibri" w:hAnsi="Calibri" w:cs="Calibri"/>
                <w:sz w:val="20"/>
              </w:rPr>
              <w:t>-1</w:t>
            </w:r>
          </w:p>
        </w:tc>
        <w:tc>
          <w:tcPr>
            <w:tcW w:w="2808" w:type="dxa"/>
          </w:tcPr>
          <w:p w14:paraId="73261D90" w14:textId="77777777" w:rsidR="00AA30D8" w:rsidRDefault="00AA30D8" w:rsidP="00772610">
            <w:pPr>
              <w:pStyle w:val="Tabletext"/>
              <w:rPr>
                <w:rFonts w:ascii="Calibri" w:hAnsi="Calibri" w:cs="Calibri"/>
                <w:sz w:val="20"/>
              </w:rPr>
            </w:pPr>
            <w:r>
              <w:rPr>
                <w:rFonts w:ascii="Calibri" w:hAnsi="Calibri" w:cs="Calibri"/>
                <w:sz w:val="20"/>
              </w:rPr>
              <w:t>Number of days added to the run date to get the start date</w:t>
            </w:r>
          </w:p>
        </w:tc>
        <w:tc>
          <w:tcPr>
            <w:tcW w:w="1404" w:type="dxa"/>
          </w:tcPr>
          <w:p w14:paraId="184915CD"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AA30D8" w:rsidRPr="00C63A98" w14:paraId="732CDA39" w14:textId="77777777" w:rsidTr="00FA3AEE">
        <w:trPr>
          <w:cantSplit/>
        </w:trPr>
        <w:tc>
          <w:tcPr>
            <w:tcW w:w="2340" w:type="dxa"/>
          </w:tcPr>
          <w:p w14:paraId="1D2E92C7" w14:textId="77777777" w:rsidR="00AA30D8" w:rsidRDefault="00AA30D8" w:rsidP="00772610">
            <w:pPr>
              <w:pStyle w:val="Tabletext"/>
              <w:rPr>
                <w:rFonts w:ascii="Calibri" w:hAnsi="Calibri" w:cs="Calibri"/>
                <w:sz w:val="20"/>
              </w:rPr>
            </w:pPr>
            <w:r>
              <w:rPr>
                <w:rFonts w:ascii="Calibri" w:hAnsi="Calibri" w:cs="Calibri"/>
                <w:sz w:val="20"/>
              </w:rPr>
              <w:t>EndDateOffset</w:t>
            </w:r>
          </w:p>
        </w:tc>
        <w:tc>
          <w:tcPr>
            <w:tcW w:w="2808" w:type="dxa"/>
          </w:tcPr>
          <w:p w14:paraId="1EC1AA4C" w14:textId="77777777" w:rsidR="00AA30D8" w:rsidRDefault="00AA30D8" w:rsidP="00772610">
            <w:pPr>
              <w:pStyle w:val="Tabletext"/>
              <w:rPr>
                <w:rFonts w:ascii="Calibri" w:hAnsi="Calibri" w:cs="Calibri"/>
                <w:sz w:val="20"/>
              </w:rPr>
            </w:pPr>
            <w:r>
              <w:rPr>
                <w:rFonts w:ascii="Calibri" w:hAnsi="Calibri" w:cs="Calibri"/>
                <w:sz w:val="20"/>
              </w:rPr>
              <w:t>0</w:t>
            </w:r>
          </w:p>
        </w:tc>
        <w:tc>
          <w:tcPr>
            <w:tcW w:w="2808" w:type="dxa"/>
          </w:tcPr>
          <w:p w14:paraId="06AEDC76" w14:textId="77777777" w:rsidR="00AA30D8" w:rsidRDefault="00AA30D8" w:rsidP="00772610">
            <w:pPr>
              <w:pStyle w:val="Tabletext"/>
              <w:rPr>
                <w:rFonts w:ascii="Calibri" w:hAnsi="Calibri" w:cs="Calibri"/>
                <w:sz w:val="20"/>
              </w:rPr>
            </w:pPr>
            <w:r>
              <w:rPr>
                <w:rFonts w:ascii="Calibri" w:hAnsi="Calibri" w:cs="Calibri"/>
                <w:sz w:val="20"/>
              </w:rPr>
              <w:t>Number of days added to the run date to get the end date</w:t>
            </w:r>
          </w:p>
        </w:tc>
        <w:tc>
          <w:tcPr>
            <w:tcW w:w="1404" w:type="dxa"/>
          </w:tcPr>
          <w:p w14:paraId="7D4C4CD7"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AA30D8" w:rsidRPr="00C63A98" w14:paraId="2E952AB1" w14:textId="77777777" w:rsidTr="00FA3AEE">
        <w:trPr>
          <w:cantSplit/>
        </w:trPr>
        <w:tc>
          <w:tcPr>
            <w:tcW w:w="2340" w:type="dxa"/>
          </w:tcPr>
          <w:p w14:paraId="1ABCC24F" w14:textId="77777777" w:rsidR="00AA30D8" w:rsidRDefault="00AA30D8" w:rsidP="00772610">
            <w:pPr>
              <w:pStyle w:val="Tabletext"/>
              <w:rPr>
                <w:rFonts w:ascii="Calibri" w:hAnsi="Calibri" w:cs="Calibri"/>
                <w:sz w:val="20"/>
              </w:rPr>
            </w:pPr>
            <w:r>
              <w:rPr>
                <w:rFonts w:ascii="Calibri" w:hAnsi="Calibri" w:cs="Calibri"/>
                <w:sz w:val="20"/>
              </w:rPr>
              <w:t>OnDemandStartDateTime</w:t>
            </w:r>
          </w:p>
        </w:tc>
        <w:tc>
          <w:tcPr>
            <w:tcW w:w="2808" w:type="dxa"/>
          </w:tcPr>
          <w:p w14:paraId="5676FF14" w14:textId="0EFD6FB2" w:rsidR="00AA30D8" w:rsidRDefault="00AA30D8" w:rsidP="00772610">
            <w:pPr>
              <w:pStyle w:val="Tabletext"/>
              <w:rPr>
                <w:rFonts w:ascii="Calibri" w:hAnsi="Calibri" w:cs="Calibri"/>
                <w:sz w:val="20"/>
              </w:rPr>
            </w:pPr>
          </w:p>
        </w:tc>
        <w:tc>
          <w:tcPr>
            <w:tcW w:w="2808" w:type="dxa"/>
          </w:tcPr>
          <w:p w14:paraId="2E248CD1" w14:textId="77777777" w:rsidR="00AA30D8" w:rsidRDefault="00AA30D8" w:rsidP="00772610">
            <w:pPr>
              <w:pStyle w:val="Tabletext"/>
              <w:rPr>
                <w:rFonts w:ascii="Calibri" w:hAnsi="Calibri" w:cs="Calibri"/>
                <w:sz w:val="20"/>
              </w:rPr>
            </w:pPr>
            <w:r>
              <w:rPr>
                <w:rFonts w:ascii="Calibri" w:hAnsi="Calibri" w:cs="Calibri"/>
                <w:sz w:val="20"/>
              </w:rPr>
              <w:t>Start of the period of an on-demand run, in UTC</w:t>
            </w:r>
          </w:p>
        </w:tc>
        <w:tc>
          <w:tcPr>
            <w:tcW w:w="1404" w:type="dxa"/>
          </w:tcPr>
          <w:p w14:paraId="4B3AECA4"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AA30D8" w:rsidRPr="00C63A98" w14:paraId="28625279" w14:textId="77777777" w:rsidTr="00FA3AEE">
        <w:trPr>
          <w:cantSplit/>
        </w:trPr>
        <w:tc>
          <w:tcPr>
            <w:tcW w:w="2340" w:type="dxa"/>
          </w:tcPr>
          <w:p w14:paraId="2B939D59" w14:textId="77777777" w:rsidR="00AA30D8" w:rsidRDefault="00AA30D8" w:rsidP="00772610">
            <w:pPr>
              <w:pStyle w:val="Tabletext"/>
              <w:rPr>
                <w:rFonts w:ascii="Calibri" w:hAnsi="Calibri" w:cs="Calibri"/>
                <w:sz w:val="20"/>
              </w:rPr>
            </w:pPr>
            <w:r>
              <w:rPr>
                <w:rFonts w:ascii="Calibri" w:hAnsi="Calibri" w:cs="Calibri"/>
                <w:sz w:val="20"/>
              </w:rPr>
              <w:t>OnDemandEndDateTime</w:t>
            </w:r>
          </w:p>
        </w:tc>
        <w:tc>
          <w:tcPr>
            <w:tcW w:w="2808" w:type="dxa"/>
          </w:tcPr>
          <w:p w14:paraId="59081907" w14:textId="1CEB6E91" w:rsidR="00AA30D8" w:rsidRDefault="00AA30D8" w:rsidP="00772610">
            <w:pPr>
              <w:pStyle w:val="Tabletext"/>
              <w:rPr>
                <w:rFonts w:ascii="Calibri" w:hAnsi="Calibri" w:cs="Calibri"/>
                <w:sz w:val="20"/>
              </w:rPr>
            </w:pPr>
          </w:p>
        </w:tc>
        <w:tc>
          <w:tcPr>
            <w:tcW w:w="2808" w:type="dxa"/>
          </w:tcPr>
          <w:p w14:paraId="26B4F624" w14:textId="77777777" w:rsidR="00AA30D8" w:rsidRDefault="00AA30D8" w:rsidP="00772610">
            <w:pPr>
              <w:pStyle w:val="Tabletext"/>
              <w:rPr>
                <w:rFonts w:ascii="Calibri" w:hAnsi="Calibri" w:cs="Calibri"/>
                <w:sz w:val="20"/>
              </w:rPr>
            </w:pPr>
            <w:r>
              <w:rPr>
                <w:rFonts w:ascii="Calibri" w:hAnsi="Calibri" w:cs="Calibri"/>
                <w:sz w:val="20"/>
              </w:rPr>
              <w:t>End of the period of an on-demand run, in UTC</w:t>
            </w:r>
          </w:p>
        </w:tc>
        <w:tc>
          <w:tcPr>
            <w:tcW w:w="1404" w:type="dxa"/>
          </w:tcPr>
          <w:p w14:paraId="07537954"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AA30D8" w:rsidRPr="00C63A98" w14:paraId="3D12C1D4" w14:textId="77777777" w:rsidTr="00FA3AEE">
        <w:trPr>
          <w:cantSplit/>
        </w:trPr>
        <w:tc>
          <w:tcPr>
            <w:tcW w:w="2340" w:type="dxa"/>
          </w:tcPr>
          <w:p w14:paraId="5F02C652" w14:textId="77777777" w:rsidR="00AA30D8" w:rsidRDefault="00AA30D8" w:rsidP="00772610">
            <w:pPr>
              <w:pStyle w:val="Tabletext"/>
              <w:rPr>
                <w:rFonts w:ascii="Calibri" w:hAnsi="Calibri" w:cs="Calibri"/>
                <w:sz w:val="20"/>
              </w:rPr>
            </w:pPr>
            <w:r>
              <w:rPr>
                <w:rFonts w:ascii="Calibri" w:hAnsi="Calibri" w:cs="Calibri"/>
                <w:sz w:val="20"/>
              </w:rPr>
              <w:t>UseServiceBus</w:t>
            </w:r>
          </w:p>
        </w:tc>
        <w:tc>
          <w:tcPr>
            <w:tcW w:w="2808" w:type="dxa"/>
          </w:tcPr>
          <w:p w14:paraId="087F13E1" w14:textId="77777777" w:rsidR="00AA30D8" w:rsidRDefault="00AA30D8" w:rsidP="00772610">
            <w:pPr>
              <w:pStyle w:val="Tabletext"/>
              <w:rPr>
                <w:rFonts w:ascii="Calibri" w:hAnsi="Calibri" w:cs="Calibri"/>
                <w:sz w:val="20"/>
              </w:rPr>
            </w:pPr>
            <w:r>
              <w:rPr>
                <w:rFonts w:ascii="Calibri" w:hAnsi="Calibri" w:cs="Calibri"/>
                <w:sz w:val="20"/>
              </w:rPr>
              <w:t>true</w:t>
            </w:r>
          </w:p>
        </w:tc>
        <w:tc>
          <w:tcPr>
            <w:tcW w:w="2808" w:type="dxa"/>
          </w:tcPr>
          <w:p w14:paraId="0E2A5B49" w14:textId="144B9103" w:rsidR="00AA30D8" w:rsidRDefault="00873A53" w:rsidP="00772610">
            <w:pPr>
              <w:pStyle w:val="Tabletext"/>
              <w:rPr>
                <w:rFonts w:ascii="Calibri" w:hAnsi="Calibri" w:cs="Calibri"/>
                <w:sz w:val="20"/>
              </w:rPr>
            </w:pPr>
            <w:r>
              <w:rPr>
                <w:rFonts w:ascii="Calibri" w:hAnsi="Calibri" w:cs="Calibri"/>
                <w:sz w:val="20"/>
              </w:rPr>
              <w:t>True means the request shall go through the durable functions and queues</w:t>
            </w:r>
          </w:p>
        </w:tc>
        <w:tc>
          <w:tcPr>
            <w:tcW w:w="1404" w:type="dxa"/>
          </w:tcPr>
          <w:p w14:paraId="09FCAA02" w14:textId="77777777" w:rsidR="00AA30D8" w:rsidRDefault="00AA30D8" w:rsidP="00772610">
            <w:pPr>
              <w:pStyle w:val="Tabletext"/>
              <w:rPr>
                <w:rFonts w:ascii="Calibri" w:hAnsi="Calibri" w:cs="Calibri"/>
                <w:sz w:val="20"/>
              </w:rPr>
            </w:pPr>
            <w:r>
              <w:rPr>
                <w:rFonts w:ascii="Calibri" w:hAnsi="Calibri" w:cs="Calibri"/>
                <w:sz w:val="20"/>
              </w:rPr>
              <w:t>Blob Container</w:t>
            </w:r>
          </w:p>
        </w:tc>
      </w:tr>
      <w:tr w:rsidR="00AA30D8" w:rsidRPr="00C63A98" w14:paraId="77B0A09C" w14:textId="77777777" w:rsidTr="00FA3AEE">
        <w:trPr>
          <w:cantSplit/>
        </w:trPr>
        <w:tc>
          <w:tcPr>
            <w:tcW w:w="2340" w:type="dxa"/>
          </w:tcPr>
          <w:p w14:paraId="13A2B736" w14:textId="77777777" w:rsidR="00AA30D8" w:rsidRDefault="00AA30D8" w:rsidP="00772610">
            <w:pPr>
              <w:pStyle w:val="Tabletext"/>
              <w:rPr>
                <w:rFonts w:ascii="Calibri" w:hAnsi="Calibri" w:cs="Calibri"/>
                <w:sz w:val="20"/>
              </w:rPr>
            </w:pPr>
            <w:r>
              <w:rPr>
                <w:rFonts w:ascii="Calibri" w:hAnsi="Calibri" w:cs="Calibri"/>
                <w:sz w:val="20"/>
              </w:rPr>
              <w:t>Trigger Function</w:t>
            </w:r>
          </w:p>
        </w:tc>
        <w:tc>
          <w:tcPr>
            <w:tcW w:w="2808" w:type="dxa"/>
          </w:tcPr>
          <w:p w14:paraId="645B5A3F" w14:textId="77777777" w:rsidR="00AA30D8" w:rsidRDefault="00AA30D8" w:rsidP="00772610">
            <w:pPr>
              <w:pStyle w:val="Tabletext"/>
              <w:rPr>
                <w:rFonts w:ascii="Calibri" w:hAnsi="Calibri" w:cs="Calibri"/>
                <w:sz w:val="20"/>
              </w:rPr>
            </w:pPr>
            <w:r>
              <w:rPr>
                <w:rFonts w:ascii="Calibri" w:hAnsi="Calibri" w:cs="Calibri"/>
                <w:sz w:val="20"/>
              </w:rPr>
              <w:t>Blend Component Movement Trigger Function</w:t>
            </w:r>
          </w:p>
        </w:tc>
        <w:tc>
          <w:tcPr>
            <w:tcW w:w="2808" w:type="dxa"/>
          </w:tcPr>
          <w:p w14:paraId="1FA2159B" w14:textId="6AE78CF0" w:rsidR="00AA30D8" w:rsidRDefault="00AA30D8" w:rsidP="00772610">
            <w:pPr>
              <w:pStyle w:val="Tabletext"/>
              <w:rPr>
                <w:rFonts w:ascii="Calibri" w:hAnsi="Calibri" w:cs="Calibri"/>
                <w:sz w:val="20"/>
              </w:rPr>
            </w:pPr>
            <w:r>
              <w:rPr>
                <w:rFonts w:ascii="Calibri" w:hAnsi="Calibri" w:cs="Calibri"/>
                <w:sz w:val="20"/>
              </w:rPr>
              <w:t xml:space="preserve">Function started by the timer. </w:t>
            </w:r>
            <w:r w:rsidR="00873A53">
              <w:rPr>
                <w:rFonts w:ascii="Calibri" w:hAnsi="Calibri" w:cs="Calibri"/>
                <w:sz w:val="20"/>
              </w:rPr>
              <w:t>It shall read the configuration file and send the request to the Request Service</w:t>
            </w:r>
          </w:p>
        </w:tc>
        <w:tc>
          <w:tcPr>
            <w:tcW w:w="1404" w:type="dxa"/>
          </w:tcPr>
          <w:p w14:paraId="2823924F" w14:textId="77777777" w:rsidR="00AA30D8" w:rsidRDefault="00AA30D8" w:rsidP="00772610">
            <w:pPr>
              <w:pStyle w:val="Tabletext"/>
              <w:rPr>
                <w:rFonts w:ascii="Calibri" w:hAnsi="Calibri" w:cs="Calibri"/>
                <w:sz w:val="20"/>
              </w:rPr>
            </w:pPr>
            <w:r>
              <w:rPr>
                <w:rFonts w:ascii="Calibri" w:hAnsi="Calibri" w:cs="Calibri"/>
                <w:sz w:val="20"/>
              </w:rPr>
              <w:t>AppSettings</w:t>
            </w:r>
          </w:p>
        </w:tc>
      </w:tr>
      <w:tr w:rsidR="00AA30D8" w:rsidRPr="00C63A98" w14:paraId="6E8B9122" w14:textId="77777777" w:rsidTr="00FA3AEE">
        <w:trPr>
          <w:cantSplit/>
        </w:trPr>
        <w:tc>
          <w:tcPr>
            <w:tcW w:w="2340" w:type="dxa"/>
          </w:tcPr>
          <w:p w14:paraId="4E0E7E8D" w14:textId="77777777" w:rsidR="00AA30D8" w:rsidRDefault="00AA30D8" w:rsidP="00772610">
            <w:pPr>
              <w:pStyle w:val="Tabletext"/>
              <w:rPr>
                <w:rFonts w:ascii="Calibri" w:hAnsi="Calibri" w:cs="Calibri"/>
                <w:sz w:val="20"/>
              </w:rPr>
            </w:pPr>
            <w:r>
              <w:rPr>
                <w:rFonts w:ascii="Calibri" w:hAnsi="Calibri" w:cs="Calibri"/>
                <w:sz w:val="20"/>
              </w:rPr>
              <w:t>Storage Connection</w:t>
            </w:r>
          </w:p>
        </w:tc>
        <w:tc>
          <w:tcPr>
            <w:tcW w:w="2808" w:type="dxa"/>
          </w:tcPr>
          <w:p w14:paraId="1D19C70F" w14:textId="1FD09F9D" w:rsidR="00AA30D8" w:rsidRDefault="00AA30D8" w:rsidP="00772610">
            <w:pPr>
              <w:pStyle w:val="Tabletext"/>
              <w:rPr>
                <w:rFonts w:ascii="Calibri" w:hAnsi="Calibri" w:cs="Calibri"/>
                <w:sz w:val="20"/>
              </w:rPr>
            </w:pPr>
          </w:p>
        </w:tc>
        <w:tc>
          <w:tcPr>
            <w:tcW w:w="2808" w:type="dxa"/>
          </w:tcPr>
          <w:p w14:paraId="00F64A24" w14:textId="0C830840" w:rsidR="00AA30D8" w:rsidRDefault="00794AE6" w:rsidP="00772610">
            <w:pPr>
              <w:pStyle w:val="Tabletext"/>
              <w:rPr>
                <w:rFonts w:ascii="Calibri" w:hAnsi="Calibri" w:cs="Calibri"/>
                <w:sz w:val="20"/>
              </w:rPr>
            </w:pPr>
            <w:r>
              <w:rPr>
                <w:rFonts w:ascii="Calibri" w:hAnsi="Calibri" w:cs="Calibri"/>
                <w:sz w:val="20"/>
              </w:rPr>
              <w:t>Storage account of the function app</w:t>
            </w:r>
          </w:p>
        </w:tc>
        <w:tc>
          <w:tcPr>
            <w:tcW w:w="1404" w:type="dxa"/>
          </w:tcPr>
          <w:p w14:paraId="038709B2" w14:textId="77777777" w:rsidR="00AA30D8" w:rsidRDefault="00AA30D8" w:rsidP="00772610">
            <w:pPr>
              <w:pStyle w:val="Tabletext"/>
              <w:rPr>
                <w:rFonts w:ascii="Calibri" w:hAnsi="Calibri" w:cs="Calibri"/>
                <w:sz w:val="20"/>
              </w:rPr>
            </w:pPr>
            <w:r>
              <w:rPr>
                <w:rFonts w:ascii="Calibri" w:hAnsi="Calibri" w:cs="Calibri"/>
                <w:sz w:val="20"/>
              </w:rPr>
              <w:t>AppSettings</w:t>
            </w:r>
          </w:p>
        </w:tc>
      </w:tr>
      <w:tr w:rsidR="008F2422" w:rsidRPr="00C63A98" w14:paraId="54B96613" w14:textId="77777777" w:rsidTr="00FA3AEE">
        <w:trPr>
          <w:cantSplit/>
        </w:trPr>
        <w:tc>
          <w:tcPr>
            <w:tcW w:w="2340" w:type="dxa"/>
          </w:tcPr>
          <w:p w14:paraId="6DDD19FA" w14:textId="14C4B88F" w:rsidR="008F2422" w:rsidRDefault="008F2422" w:rsidP="00772610">
            <w:pPr>
              <w:pStyle w:val="Tabletext"/>
              <w:keepNext/>
              <w:rPr>
                <w:rFonts w:ascii="Calibri" w:hAnsi="Calibri" w:cs="Calibri"/>
                <w:sz w:val="20"/>
              </w:rPr>
            </w:pPr>
            <w:r>
              <w:rPr>
                <w:rFonts w:ascii="Calibri" w:hAnsi="Calibri" w:cs="Calibri"/>
                <w:sz w:val="20"/>
              </w:rPr>
              <w:t>Kittyhawk OData Connection</w:t>
            </w:r>
          </w:p>
        </w:tc>
        <w:tc>
          <w:tcPr>
            <w:tcW w:w="2808" w:type="dxa"/>
          </w:tcPr>
          <w:p w14:paraId="563A8581" w14:textId="59E91572" w:rsidR="008F2422" w:rsidRDefault="008F2422" w:rsidP="00772610">
            <w:pPr>
              <w:pStyle w:val="Tabletext"/>
              <w:keepNext/>
              <w:rPr>
                <w:rFonts w:ascii="Calibri" w:hAnsi="Calibri" w:cs="Calibri"/>
                <w:sz w:val="20"/>
              </w:rPr>
            </w:pPr>
            <w:r>
              <w:rPr>
                <w:rFonts w:ascii="Calibri" w:hAnsi="Calibri" w:cs="Calibri"/>
                <w:sz w:val="20"/>
              </w:rPr>
              <w:t>KittyHawkODataConnection</w:t>
            </w:r>
          </w:p>
        </w:tc>
        <w:tc>
          <w:tcPr>
            <w:tcW w:w="2808" w:type="dxa"/>
          </w:tcPr>
          <w:p w14:paraId="1E207F1B" w14:textId="5DE8ABE6" w:rsidR="008F2422" w:rsidRDefault="008F2422" w:rsidP="00772610">
            <w:pPr>
              <w:pStyle w:val="Tabletext"/>
              <w:keepNext/>
              <w:rPr>
                <w:rFonts w:ascii="Calibri" w:hAnsi="Calibri" w:cs="Calibri"/>
                <w:sz w:val="20"/>
              </w:rPr>
            </w:pPr>
            <w:r>
              <w:rPr>
                <w:rFonts w:ascii="Calibri" w:hAnsi="Calibri" w:cs="Calibri"/>
                <w:sz w:val="20"/>
              </w:rPr>
              <w:t>Address of the Kittyhawk OData service, the same connection the IQDM integrations use</w:t>
            </w:r>
          </w:p>
        </w:tc>
        <w:tc>
          <w:tcPr>
            <w:tcW w:w="1404" w:type="dxa"/>
          </w:tcPr>
          <w:p w14:paraId="5FB8EF18" w14:textId="42178F90" w:rsidR="008F2422" w:rsidRDefault="008F2422" w:rsidP="00772610">
            <w:pPr>
              <w:pStyle w:val="Tabletext"/>
              <w:keepNext/>
              <w:rPr>
                <w:rFonts w:ascii="Calibri" w:hAnsi="Calibri" w:cs="Calibri"/>
                <w:sz w:val="20"/>
              </w:rPr>
            </w:pPr>
            <w:r>
              <w:rPr>
                <w:rFonts w:ascii="Calibri" w:hAnsi="Calibri" w:cs="Calibri"/>
                <w:sz w:val="20"/>
              </w:rPr>
              <w:t>AppSettings</w:t>
            </w:r>
          </w:p>
        </w:tc>
      </w:tr>
      <w:tr w:rsidR="00AA30D8" w:rsidRPr="00C63A98" w14:paraId="655C2826" w14:textId="77777777" w:rsidTr="00FA3AEE">
        <w:trPr>
          <w:cantSplit/>
        </w:trPr>
        <w:tc>
          <w:tcPr>
            <w:tcW w:w="2340" w:type="dxa"/>
          </w:tcPr>
          <w:p w14:paraId="7B4BB5C6" w14:textId="77777777" w:rsidR="00AA30D8" w:rsidRDefault="00AA30D8" w:rsidP="00772610">
            <w:pPr>
              <w:pStyle w:val="Tabletext"/>
              <w:keepNext/>
              <w:rPr>
                <w:rFonts w:ascii="Calibri" w:hAnsi="Calibri" w:cs="Calibri"/>
                <w:sz w:val="20"/>
              </w:rPr>
            </w:pPr>
            <w:r>
              <w:rPr>
                <w:rFonts w:ascii="Calibri" w:hAnsi="Calibri" w:cs="Calibri"/>
                <w:sz w:val="20"/>
              </w:rPr>
              <w:t>Function App</w:t>
            </w:r>
          </w:p>
        </w:tc>
        <w:tc>
          <w:tcPr>
            <w:tcW w:w="2808" w:type="dxa"/>
          </w:tcPr>
          <w:p w14:paraId="22896797" w14:textId="4E1B024A" w:rsidR="00AA30D8" w:rsidRDefault="00AA30D8" w:rsidP="00772610">
            <w:pPr>
              <w:pStyle w:val="Tabletext"/>
              <w:keepNext/>
              <w:rPr>
                <w:rFonts w:ascii="Calibri" w:hAnsi="Calibri" w:cs="Calibri"/>
                <w:sz w:val="20"/>
              </w:rPr>
            </w:pPr>
          </w:p>
        </w:tc>
        <w:tc>
          <w:tcPr>
            <w:tcW w:w="2808" w:type="dxa"/>
          </w:tcPr>
          <w:p w14:paraId="0C57CCAC" w14:textId="77777777" w:rsidR="00AA30D8" w:rsidRDefault="00AA30D8" w:rsidP="00772610">
            <w:pPr>
              <w:pStyle w:val="Tabletext"/>
              <w:keepNext/>
              <w:rPr>
                <w:rFonts w:ascii="Calibri" w:hAnsi="Calibri" w:cs="Calibri"/>
                <w:sz w:val="20"/>
              </w:rPr>
            </w:pPr>
            <w:r>
              <w:rPr>
                <w:rFonts w:ascii="Calibri" w:hAnsi="Calibri" w:cs="Calibri"/>
                <w:sz w:val="20"/>
              </w:rPr>
              <w:t>Azure Function App that hosts the trigger function</w:t>
            </w:r>
          </w:p>
        </w:tc>
        <w:tc>
          <w:tcPr>
            <w:tcW w:w="1404" w:type="dxa"/>
          </w:tcPr>
          <w:p w14:paraId="1F539A88" w14:textId="77777777" w:rsidR="00AA30D8" w:rsidRDefault="00AA30D8" w:rsidP="00772610">
            <w:pPr>
              <w:pStyle w:val="Tabletext"/>
              <w:keepNext/>
              <w:rPr>
                <w:rFonts w:ascii="Calibri" w:hAnsi="Calibri" w:cs="Calibri"/>
                <w:sz w:val="20"/>
              </w:rPr>
            </w:pPr>
            <w:r>
              <w:rPr>
                <w:rFonts w:ascii="Calibri" w:hAnsi="Calibri" w:cs="Calibri"/>
                <w:sz w:val="20"/>
              </w:rPr>
              <w:t>AppSettings</w:t>
            </w:r>
          </w:p>
        </w:tc>
      </w:tr>
      <w:tr w:rsidR="004812A6" w:rsidRPr="00C63A98" w14:paraId="407A8426" w14:textId="77777777" w:rsidTr="00FA3AEE">
        <w:trPr>
          <w:cantSplit/>
        </w:trPr>
        <w:tc>
          <w:tcPr>
            <w:tcW w:w="2340" w:type="dxa"/>
          </w:tcPr>
          <w:p w14:paraId="1C74A5EE" w14:textId="011FE990" w:rsidR="004812A6" w:rsidRDefault="004812A6" w:rsidP="00772610">
            <w:pPr>
              <w:pStyle w:val="Tabletext"/>
              <w:keepNext/>
              <w:rPr>
                <w:rFonts w:ascii="Calibri" w:hAnsi="Calibri" w:cs="Calibri"/>
                <w:sz w:val="20"/>
              </w:rPr>
            </w:pPr>
            <w:r>
              <w:rPr>
                <w:rFonts w:ascii="Calibri" w:hAnsi="Calibri" w:cs="Calibri"/>
                <w:sz w:val="20"/>
              </w:rPr>
              <w:t>Save Stored Procedure</w:t>
            </w:r>
          </w:p>
        </w:tc>
        <w:tc>
          <w:tcPr>
            <w:tcW w:w="2808" w:type="dxa"/>
          </w:tcPr>
          <w:p w14:paraId="420E56FE" w14:textId="77777777" w:rsidR="004812A6" w:rsidRDefault="004812A6" w:rsidP="00772610">
            <w:pPr>
              <w:pStyle w:val="Tabletext"/>
              <w:keepNext/>
              <w:rPr>
                <w:rFonts w:ascii="Calibri" w:hAnsi="Calibri" w:cs="Calibri"/>
                <w:sz w:val="20"/>
              </w:rPr>
            </w:pPr>
          </w:p>
        </w:tc>
        <w:tc>
          <w:tcPr>
            <w:tcW w:w="2808" w:type="dxa"/>
          </w:tcPr>
          <w:p w14:paraId="3B2C20F5" w14:textId="404FDBDB" w:rsidR="004812A6" w:rsidRDefault="004812A6" w:rsidP="00772610">
            <w:pPr>
              <w:pStyle w:val="Tabletext"/>
              <w:keepNext/>
              <w:rPr>
                <w:rFonts w:ascii="Calibri" w:hAnsi="Calibri" w:cs="Calibri"/>
                <w:sz w:val="20"/>
              </w:rPr>
            </w:pPr>
            <w:r>
              <w:rPr>
                <w:rFonts w:ascii="Calibri" w:hAnsi="Calibri" w:cs="Calibri"/>
                <w:sz w:val="20"/>
              </w:rPr>
              <w:t>Stored procedure that saves the rows in the VCB table of the IQDM database</w:t>
            </w:r>
          </w:p>
        </w:tc>
        <w:tc>
          <w:tcPr>
            <w:tcW w:w="1404" w:type="dxa"/>
          </w:tcPr>
          <w:p w14:paraId="26F92E86" w14:textId="52B23048" w:rsidR="004812A6" w:rsidRDefault="004812A6" w:rsidP="00772610">
            <w:pPr>
              <w:pStyle w:val="Tabletext"/>
              <w:keepNext/>
              <w:rPr>
                <w:rFonts w:ascii="Calibri" w:hAnsi="Calibri" w:cs="Calibri"/>
                <w:sz w:val="20"/>
              </w:rPr>
            </w:pPr>
            <w:r>
              <w:rPr>
                <w:rFonts w:ascii="Calibri" w:hAnsi="Calibri" w:cs="Calibri"/>
                <w:sz w:val="20"/>
              </w:rPr>
              <w:t>AppSettings</w:t>
            </w:r>
          </w:p>
        </w:tc>
      </w:tr>
    </w:tbl>
    <w:p w14:paraId="07F3D5FE" w14:textId="32C0C3C9" w:rsidR="000A106D" w:rsidRDefault="00AA30D8" w:rsidP="00AA30D8">
      <w:pPr>
        <w:pStyle w:val="Caption"/>
      </w:pPr>
      <w:bookmarkStart w:id="241" w:name="_Toc242554031"/>
      <w:r>
        <w:t xml:space="preserve">Table </w:t>
      </w:r>
      <w:bookmarkStart w:id="242" w:name="_Ref917260933"/>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33</w:t>
      </w:r>
      <w:r>
        <w:fldChar w:fldCharType="end"/>
      </w:r>
      <w:bookmarkEnd w:id="242"/>
      <w:r>
        <w:t>: Blend component Movements at Terminals (Kittyhawk transaction upload) - Integration Configuration</w:t>
      </w:r>
      <w:bookmarkEnd w:id="241"/>
    </w:p>
    <w:p w14:paraId="6859A17D" w14:textId="5F4BAE86" w:rsidR="00873A53" w:rsidRPr="00AA30D8" w:rsidRDefault="00873A53" w:rsidP="00873A53">
      <w:pPr>
        <w:pStyle w:val="Heading4"/>
        <w:rPr>
          <w:rFonts w:ascii="Calibri" w:hAnsi="Calibri" w:cs="Calibri"/>
          <w:b/>
          <w:sz w:val="20"/>
        </w:rPr>
      </w:pPr>
      <w:bookmarkStart w:id="243" w:name="_Ref917260944"/>
      <w:r>
        <w:rPr>
          <w:rFonts w:ascii="Calibri" w:hAnsi="Calibri" w:cs="Calibri"/>
          <w:b/>
          <w:sz w:val="20"/>
        </w:rPr>
        <w:t>Waiver Selection</w:t>
      </w:r>
      <w:bookmarkEnd w:id="243"/>
    </w:p>
    <w:p w14:paraId="621534F4" w14:textId="4A429A8D" w:rsidR="00FC42E7" w:rsidRDefault="00FC42E7" w:rsidP="00FC42E7">
      <w:pPr>
        <w:keepNext/>
        <w:jc w:val="left"/>
      </w:pPr>
      <w:r>
        <w:t>From VCB Release 2, the waiver selection shall work as follows:</w:t>
      </w:r>
    </w:p>
    <w:p w14:paraId="61083798" w14:textId="0F1F01A2" w:rsidR="00FC42E7" w:rsidRPr="00EC3682" w:rsidRDefault="00FC42E7" w:rsidP="00FC42E7">
      <w:pPr>
        <w:pStyle w:val="ListParagraph"/>
        <w:numPr>
          <w:ilvl w:val="0"/>
          <w:numId w:val="4"/>
        </w:numPr>
        <w:jc w:val="left"/>
        <w:rPr>
          <w:rFonts w:ascii="Calibri" w:hAnsi="Calibri" w:cs="Calibri"/>
        </w:rPr>
      </w:pPr>
      <w:r>
        <w:t>The Corporate PQ/Quality Advisor team shall override the minimum and maximum of a specification already held in the IQDM database, either for a state (terminal and grade) or for a batch, from approved waivers.</w:t>
      </w:r>
    </w:p>
    <w:p w14:paraId="7A061D2A" w14:textId="400EABEE" w:rsidR="00FC42E7" w:rsidRPr="00EC3682" w:rsidRDefault="00FC42E7" w:rsidP="00FC42E7">
      <w:pPr>
        <w:pStyle w:val="ListParagraph"/>
        <w:numPr>
          <w:ilvl w:val="0"/>
          <w:numId w:val="4"/>
        </w:numPr>
        <w:jc w:val="left"/>
        <w:rPr>
          <w:rFonts w:ascii="Calibri" w:hAnsi="Calibri" w:cs="Calibri"/>
        </w:rPr>
      </w:pPr>
      <w:r>
        <w:t>The user shall enter the revised values on a UI page.</w:t>
      </w:r>
    </w:p>
    <w:p w14:paraId="6313BE27" w14:textId="5A31B20E" w:rsidR="00FC42E7" w:rsidRPr="00EC3682" w:rsidRDefault="00FC42E7" w:rsidP="00FC42E7">
      <w:pPr>
        <w:pStyle w:val="ListParagraph"/>
        <w:numPr>
          <w:ilvl w:val="0"/>
          <w:numId w:val="4"/>
        </w:numPr>
        <w:jc w:val="left"/>
        <w:rPr>
          <w:rFonts w:ascii="Calibri" w:hAnsi="Calibri" w:cs="Calibri"/>
        </w:rPr>
      </w:pPr>
      <w:r>
        <w:t>The revised values shall be saved in the IQDM database through a stored procedure of the database team.</w:t>
      </w:r>
    </w:p>
    <w:p w14:paraId="7B966C9D" w14:textId="0D4D3792" w:rsidR="00FC42E7" w:rsidRPr="00EC3682" w:rsidRDefault="00FC42E7" w:rsidP="00FC42E7">
      <w:pPr>
        <w:pStyle w:val="ListParagraph"/>
        <w:numPr>
          <w:ilvl w:val="0"/>
          <w:numId w:val="4"/>
        </w:numPr>
        <w:jc w:val="left"/>
        <w:rPr>
          <w:rFonts w:ascii="Calibri" w:hAnsi="Calibri" w:cs="Calibri"/>
        </w:rPr>
      </w:pPr>
      <w:r>
        <w:t>The product_specification rows shall not be changed.</w:t>
      </w:r>
    </w:p>
    <w:p w14:paraId="1456B2F7" w14:textId="263CCF3F" w:rsidR="00FC42E7" w:rsidRPr="00EC3682" w:rsidRDefault="00FC42E7" w:rsidP="00FC42E7">
      <w:pPr>
        <w:pStyle w:val="ListParagraph"/>
        <w:numPr>
          <w:ilvl w:val="0"/>
          <w:numId w:val="4"/>
        </w:numPr>
        <w:jc w:val="left"/>
        <w:rPr>
          <w:rFonts w:ascii="Calibri" w:hAnsi="Calibri" w:cs="Calibri"/>
        </w:rPr>
      </w:pPr>
      <w:r>
        <w:t>The VCB dashboards shall use the revised values as the target specification.</w:t>
      </w:r>
    </w:p>
    <w:p w14:paraId="4AB16B7C" w14:textId="19674A8A" w:rsidR="00FC42E7" w:rsidRDefault="00FC42E7" w:rsidP="00FC42E7">
      <w:pPr>
        <w:keepNext/>
        <w:jc w:val="left"/>
      </w:pPr>
      <w:r>
        <w:t>The waiver selection shall have two parts:</w:t>
      </w:r>
    </w:p>
    <w:p w14:paraId="57C6C26A" w14:textId="42FDE7D0" w:rsidR="00FC42E7" w:rsidRPr="00EC3682" w:rsidRDefault="00FC42E7" w:rsidP="00FC42E7">
      <w:pPr>
        <w:pStyle w:val="ListParagraph"/>
        <w:numPr>
          <w:ilvl w:val="0"/>
          <w:numId w:val="4"/>
        </w:numPr>
        <w:jc w:val="left"/>
        <w:rPr>
          <w:rFonts w:ascii="Calibri" w:hAnsi="Calibri" w:cs="Calibri"/>
        </w:rPr>
      </w:pPr>
      <w:r>
        <w:t xml:space="preserve">Waiver Selection UI: users shall enter the waivers (section </w:t>
      </w:r>
      <w:r>
        <w:fldChar w:fldCharType="begin"/>
      </w:r>
      <w:r>
        <w:instrText xml:space="preserve"> REF _Ref917260960 \w \h \* MERGEFORMAT </w:instrText>
      </w:r>
      <w:r>
        <w:fldChar w:fldCharType="separate"/>
      </w:r>
      <w:r w:rsidRPr="00FC42E7">
        <w:rPr>
          <w:color w:val="0563C1"/>
          <w:u w:val="single"/>
        </w:rPr>
        <w:t>2.3.3.5.1</w:t>
      </w:r>
      <w:r>
        <w:fldChar w:fldCharType="end"/>
      </w:r>
      <w:r>
        <w:t>).</w:t>
      </w:r>
    </w:p>
    <w:p w14:paraId="6C6FA722" w14:textId="757B3B0D" w:rsidR="00FC42E7" w:rsidRPr="00EC3682" w:rsidRDefault="00FC42E7" w:rsidP="00FC42E7">
      <w:pPr>
        <w:pStyle w:val="ListParagraph"/>
        <w:numPr>
          <w:ilvl w:val="0"/>
          <w:numId w:val="4"/>
        </w:numPr>
        <w:jc w:val="left"/>
        <w:rPr>
          <w:rFonts w:ascii="Calibri" w:hAnsi="Calibri" w:cs="Calibri"/>
        </w:rPr>
      </w:pPr>
      <w:r>
        <w:t xml:space="preserve">Profisee Data Mapping: it shall load the Terminals Specsheet Master Data that the waiver selection shall use (section </w:t>
      </w:r>
      <w:r>
        <w:fldChar w:fldCharType="begin"/>
      </w:r>
      <w:r>
        <w:instrText xml:space="preserve"> REF _Ref917260916 \w \h \* MERGEFORMAT </w:instrText>
      </w:r>
      <w:r>
        <w:fldChar w:fldCharType="separate"/>
      </w:r>
      <w:r w:rsidRPr="00FC42E7">
        <w:rPr>
          <w:color w:val="0563C1"/>
          <w:u w:val="single"/>
        </w:rPr>
        <w:t>2.3.3.5.2</w:t>
      </w:r>
      <w:r>
        <w:fldChar w:fldCharType="end"/>
      </w:r>
      <w:r>
        <w:t>).</w:t>
      </w:r>
    </w:p>
    <w:p w14:paraId="63BAEAA0" w14:textId="54B83040" w:rsidR="00687F84" w:rsidRDefault="00687F84" w:rsidP="00687F84">
      <w:pPr>
        <w:pStyle w:val="Heading5"/>
        <w:rPr>
          <w:rFonts w:ascii="Calibri" w:hAnsi="Calibri" w:cs="Calibri"/>
          <w:sz w:val="20"/>
        </w:rPr>
      </w:pPr>
      <w:bookmarkStart w:id="244" w:name="_Ref917260960"/>
      <w:r>
        <w:rPr>
          <w:rFonts w:ascii="Calibri" w:hAnsi="Calibri" w:cs="Calibri"/>
          <w:sz w:val="20"/>
        </w:rPr>
        <w:t>Waiver Selection UI</w:t>
      </w:r>
      <w:bookmarkEnd w:id="244"/>
    </w:p>
    <w:p w14:paraId="78D658C1" w14:textId="760412C2" w:rsidR="00687F84" w:rsidRDefault="00687F84" w:rsidP="00687F84">
      <w:pPr>
        <w:pStyle w:val="Heading6"/>
        <w:rPr>
          <w:rFonts w:ascii="Calibri" w:hAnsi="Calibri" w:cs="Calibri"/>
          <w:sz w:val="20"/>
        </w:rPr>
      </w:pPr>
      <w:r>
        <w:rPr>
          <w:rFonts w:ascii="Calibri" w:hAnsi="Calibri" w:cs="Calibri"/>
          <w:sz w:val="20"/>
        </w:rPr>
        <w:t>High Level Technical Design Diagram</w:t>
      </w:r>
    </w:p>
    <w:p w14:paraId="1361A4D1" w14:textId="77777777" w:rsidR="00FC42E7" w:rsidRPr="00EC3682" w:rsidRDefault="00FC42E7" w:rsidP="00FC42E7">
      <w:pPr>
        <w:pStyle w:val="ListParagraph"/>
        <w:numPr>
          <w:ilvl w:val="0"/>
          <w:numId w:val="4"/>
        </w:numPr>
        <w:jc w:val="left"/>
        <w:rPr>
          <w:rFonts w:ascii="Calibri" w:hAnsi="Calibri" w:cs="Calibri"/>
        </w:rPr>
      </w:pPr>
      <w:r>
        <w:t>The request and response services, orchestrators and queues of the waiver selection shall carry the name Waiver.</w:t>
      </w:r>
    </w:p>
    <w:p w14:paraId="2D22AFC1" w14:textId="77777777" w:rsidR="00FC42E7" w:rsidRPr="00EC3682" w:rsidRDefault="00FC42E7" w:rsidP="00FC42E7">
      <w:pPr>
        <w:pStyle w:val="ListParagraph"/>
        <w:numPr>
          <w:ilvl w:val="0"/>
          <w:numId w:val="4"/>
        </w:numPr>
        <w:jc w:val="left"/>
        <w:rPr>
          <w:rFonts w:ascii="Calibri" w:hAnsi="Calibri" w:cs="Calibri"/>
        </w:rPr>
      </w:pPr>
      <w:r>
        <w:t>The services shall run in the CIP Quality domain API.</w:t>
      </w:r>
    </w:p>
    <w:p w14:paraId="47750C8C" w14:textId="77777777" w:rsidR="00FC42E7" w:rsidRPr="00EC3682" w:rsidRDefault="00FC42E7" w:rsidP="00FC42E7">
      <w:pPr>
        <w:pStyle w:val="ListParagraph"/>
        <w:numPr>
          <w:ilvl w:val="0"/>
          <w:numId w:val="4"/>
        </w:numPr>
        <w:jc w:val="left"/>
        <w:rPr>
          <w:rFonts w:ascii="Calibri" w:hAnsi="Calibri" w:cs="Calibri"/>
        </w:rPr>
      </w:pPr>
      <w:r>
        <w:t>The durable functions shall run in the function app of the Quality domain.</w:t>
      </w:r>
    </w:p>
    <w:p w14:paraId="5A27BC7C" w14:textId="072AF741" w:rsidR="00FC42E7" w:rsidRPr="006958CC" w:rsidRDefault="00FC42E7" w:rsidP="00FC42E7">
      <w:pPr>
        <w:keepNext/>
        <w:keepLines/>
        <w:jc w:val="left"/>
        <w:rPr>
          <w:rFonts w:ascii="Calibri" w:hAnsi="Calibri" w:cs="Calibri"/>
        </w:rPr>
      </w:pPr>
      <w:r>
        <w:rPr>
          <w:rFonts w:ascii="Calibri" w:hAnsi="Calibri" w:cs="Calibri"/>
        </w:rPr>
        <w:t>The figure below shows how the Default Min, the Default Max and the waivers travel between the Waiver Selection page of the Core Capabilities UI and the IQDM database.</w:t>
      </w:r>
    </w:p>
    <w:p w14:paraId="519EEB75" w14:textId="5F2AF8E1" w:rsidR="00873A53" w:rsidRPr="006958CC" w:rsidRDefault="00144FA3" w:rsidP="00873A53">
      <w:pPr>
        <w:keepNext/>
        <w:spacing w:after="40"/>
        <w:jc w:val="center"/>
      </w:pPr>
      <w:r>
        <w:rPr>
          <w:noProof/>
        </w:rPr>
        <w:drawing>
          <wp:inline distT="0" distB="0" distL="0" distR="0" wp14:anchorId="0E9ABE90" wp14:editId="47BC0B38">
            <wp:extent cx="5943600" cy="2466340"/>
            <wp:effectExtent l="0" t="0" r="0" b="0"/>
            <wp:docPr id="165258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8103" name=""/>
                    <pic:cNvPicPr/>
                  </pic:nvPicPr>
                  <pic:blipFill>
                    <a:blip r:embed="rId39"/>
                    <a:stretch>
                      <a:fillRect/>
                    </a:stretch>
                  </pic:blipFill>
                  <pic:spPr>
                    <a:xfrm>
                      <a:off x="0" y="0"/>
                      <a:ext cx="5943600" cy="2466340"/>
                    </a:xfrm>
                    <a:prstGeom prst="rect">
                      <a:avLst/>
                    </a:prstGeom>
                  </pic:spPr>
                </pic:pic>
              </a:graphicData>
            </a:graphic>
          </wp:inline>
        </w:drawing>
      </w:r>
    </w:p>
    <w:p w14:paraId="14F60DB1" w14:textId="6CBCBCA0" w:rsidR="00873A53" w:rsidRPr="006958CC" w:rsidRDefault="00873A53" w:rsidP="00873A53">
      <w:pPr>
        <w:pStyle w:val="Caption"/>
        <w:rPr>
          <w:rFonts w:ascii="Calibri" w:hAnsi="Calibri" w:cs="Calibri"/>
        </w:rPr>
      </w:pPr>
      <w:bookmarkStart w:id="245" w:name="_Toc242554152"/>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16</w:t>
      </w:r>
      <w:r w:rsidRPr="006958CC">
        <w:rPr>
          <w:rFonts w:ascii="Calibri" w:hAnsi="Calibri" w:cs="Calibri"/>
        </w:rPr>
        <w:fldChar w:fldCharType="end"/>
      </w:r>
      <w:r w:rsidRPr="006958CC">
        <w:rPr>
          <w:rFonts w:ascii="Calibri" w:hAnsi="Calibri" w:cs="Calibri"/>
        </w:rPr>
        <w:t xml:space="preserve">: </w:t>
      </w:r>
      <w:r w:rsidR="00140DC0">
        <w:rPr>
          <w:rFonts w:ascii="Calibri" w:hAnsi="Calibri" w:cs="Calibri"/>
        </w:rPr>
        <w:t>Waiver Selection High Level Technical Design Diagram (CIP Approach)</w:t>
      </w:r>
      <w:bookmarkEnd w:id="245"/>
    </w:p>
    <w:p w14:paraId="317072BB" w14:textId="22E39DE7" w:rsidR="00FC42E7" w:rsidRPr="00EC3682" w:rsidRDefault="00FC42E7" w:rsidP="00FC42E7">
      <w:pPr>
        <w:pStyle w:val="ListParagraph"/>
        <w:numPr>
          <w:ilvl w:val="0"/>
          <w:numId w:val="4"/>
        </w:numPr>
        <w:jc w:val="left"/>
        <w:rPr>
          <w:rFonts w:ascii="Calibri" w:hAnsi="Calibri" w:cs="Calibri"/>
        </w:rPr>
      </w:pPr>
      <w:r>
        <w:t xml:space="preserve">The waiver selection shall follow the common integration pattern (section </w:t>
      </w:r>
      <w:r>
        <w:fldChar w:fldCharType="begin"/>
      </w:r>
      <w:r>
        <w:instrText xml:space="preserve"> REF _Ref917260909 \w \h \* MERGEFORMAT </w:instrText>
      </w:r>
      <w:r>
        <w:fldChar w:fldCharType="separate"/>
      </w:r>
      <w:r w:rsidRPr="00FC42E7">
        <w:rPr>
          <w:color w:val="0563C1"/>
          <w:u w:val="single"/>
        </w:rPr>
        <w:t>2.3.1</w:t>
      </w:r>
      <w:r>
        <w:fldChar w:fldCharType="end"/>
      </w:r>
      <w:r>
        <w:t xml:space="preserve">), with the Waiver services, orchestrators and queues, and the steps of the figure shall be numbered as in section </w:t>
      </w:r>
      <w:r>
        <w:fldChar w:fldCharType="begin"/>
      </w:r>
      <w:r>
        <w:instrText xml:space="preserve"> REF _Ref917260947 \w \h \* MERGEFORMAT </w:instrText>
      </w:r>
      <w:r>
        <w:fldChar w:fldCharType="separate"/>
      </w:r>
      <w:r w:rsidRPr="00FC42E7">
        <w:rPr>
          <w:color w:val="0563C1"/>
          <w:u w:val="single"/>
        </w:rPr>
        <w:t>2.3.3.1.1</w:t>
      </w:r>
      <w:r>
        <w:fldChar w:fldCharType="end"/>
      </w:r>
      <w:r>
        <w:t>.</w:t>
      </w:r>
    </w:p>
    <w:p w14:paraId="2E668A3F" w14:textId="227DFCCC" w:rsidR="00F80961" w:rsidRPr="006958CC" w:rsidRDefault="00FC42E7" w:rsidP="00FC42E7">
      <w:pPr>
        <w:keepNext/>
        <w:jc w:val="left"/>
        <w:rPr>
          <w:rFonts w:ascii="Calibri" w:hAnsi="Calibri" w:cs="Calibri"/>
        </w:rPr>
      </w:pPr>
      <w:r>
        <w:rPr>
          <w:rFonts w:ascii="Calibri" w:hAnsi="Calibri" w:cs="Calibri"/>
        </w:rPr>
        <w:t>For the waivers, these steps shall differ from the common integration pattern:</w:t>
      </w:r>
    </w:p>
    <w:p w14:paraId="7C3C5AB9" w14:textId="4E594F1A" w:rsidR="00FC42E7" w:rsidRPr="00FC42E7" w:rsidRDefault="00FC42E7" w:rsidP="00FC42E7">
      <w:pPr>
        <w:pStyle w:val="ListParagraph"/>
        <w:numPr>
          <w:ilvl w:val="0"/>
          <w:numId w:val="4"/>
        </w:numPr>
        <w:jc w:val="left"/>
      </w:pPr>
      <w:r w:rsidRPr="00FC42E7">
        <w:t xml:space="preserve">The Core Capabilities UI shall send the Waiver Request on demand to the Waiver Request Service (step 1) as one of the calls of Table </w:t>
      </w:r>
      <w:r>
        <w:fldChar w:fldCharType="begin"/>
      </w:r>
      <w:r>
        <w:instrText xml:space="preserve"> REF _Ref917260961 \h \* MERGEFORMAT </w:instrText>
      </w:r>
      <w:r>
        <w:fldChar w:fldCharType="separate"/>
      </w:r>
      <w:r w:rsidRPr="00FC42E7">
        <w:rPr>
          <w:noProof/>
          <w:color w:val="0563C1"/>
          <w:u w:val="single"/>
        </w:rPr>
        <w:t>2-34</w:t>
      </w:r>
      <w:r>
        <w:fldChar w:fldCharType="end"/>
      </w:r>
      <w:r w:rsidRPr="00FC42E7">
        <w:t>: to get a list, to get the specification or to save the waivers.</w:t>
      </w:r>
    </w:p>
    <w:p w14:paraId="290B7F66" w14:textId="6028584F" w:rsidR="00F80961" w:rsidRPr="00FC42E7" w:rsidRDefault="00FC42E7" w:rsidP="00FC42E7">
      <w:pPr>
        <w:pStyle w:val="ListParagraph"/>
        <w:numPr>
          <w:ilvl w:val="0"/>
          <w:numId w:val="4"/>
        </w:numPr>
        <w:jc w:val="left"/>
      </w:pPr>
      <w:r w:rsidRPr="00FC42E7">
        <w:t>The waiver selection shall have no timer.</w:t>
      </w:r>
    </w:p>
    <w:p w14:paraId="1ED9DD6D" w14:textId="23710AA3" w:rsidR="00F80961" w:rsidRPr="00FC42E7" w:rsidRDefault="00F80961" w:rsidP="00FC42E7">
      <w:pPr>
        <w:pStyle w:val="ListParagraph"/>
        <w:numPr>
          <w:ilvl w:val="0"/>
          <w:numId w:val="4"/>
        </w:numPr>
        <w:jc w:val="left"/>
      </w:pPr>
      <w:r w:rsidRPr="00FC42E7">
        <w:t xml:space="preserve">The Waiver Response Orchestrator shall ask the Waiver Response Service, </w:t>
      </w:r>
      <w:r w:rsidR="00144FA3" w:rsidRPr="00FC42E7">
        <w:t>which shall read from the IQDM database the lists, or the specification rows for the Default Min and Default Max (steps 8.1 and 8.2).</w:t>
      </w:r>
    </w:p>
    <w:p w14:paraId="18784262" w14:textId="45868FA6" w:rsidR="00FC42E7" w:rsidRPr="00FC42E7" w:rsidRDefault="00FC42E7" w:rsidP="00FC42E7">
      <w:pPr>
        <w:pStyle w:val="ListParagraph"/>
        <w:numPr>
          <w:ilvl w:val="0"/>
          <w:numId w:val="4"/>
        </w:numPr>
        <w:jc w:val="left"/>
      </w:pPr>
      <w:r w:rsidRPr="00FC42E7">
        <w:t>The Waiver Request Service shall return the list, or with IsImport = true the Default Min and Default Max, to the Core Capabilities UI.</w:t>
      </w:r>
    </w:p>
    <w:p w14:paraId="2FD01F4C" w14:textId="5C0F46ED" w:rsidR="00FC42E7" w:rsidRPr="00FC42E7" w:rsidRDefault="00FC42E7" w:rsidP="00FC42E7">
      <w:pPr>
        <w:pStyle w:val="ListParagraph"/>
        <w:numPr>
          <w:ilvl w:val="0"/>
          <w:numId w:val="4"/>
        </w:numPr>
        <w:jc w:val="left"/>
      </w:pPr>
      <w:r w:rsidRPr="00FC42E7">
        <w:t>With IsImport = false, the Waiver Request Service shall save the waivers in the IQDM database through the stored procedure.</w:t>
      </w:r>
    </w:p>
    <w:p w14:paraId="44CC6B93" w14:textId="7319DDE6" w:rsidR="00F80961" w:rsidRPr="00FC42E7" w:rsidRDefault="00FC42E7" w:rsidP="00FC42E7">
      <w:pPr>
        <w:pStyle w:val="ListParagraph"/>
        <w:numPr>
          <w:ilvl w:val="0"/>
          <w:numId w:val="4"/>
        </w:numPr>
        <w:jc w:val="left"/>
      </w:pPr>
      <w:r w:rsidRPr="00FC42E7">
        <w:t>The Waiver Response, with the list, the Default Min and Default Max or the save status, shall go back to the Core Capabilities UI (step 12).</w:t>
      </w:r>
    </w:p>
    <w:p w14:paraId="6B6DB637" w14:textId="3AA9B272" w:rsidR="00FC42E7" w:rsidRPr="00EC3682" w:rsidRDefault="00FC42E7" w:rsidP="00FC42E7">
      <w:pPr>
        <w:pStyle w:val="ListParagraph"/>
        <w:numPr>
          <w:ilvl w:val="0"/>
          <w:numId w:val="4"/>
        </w:numPr>
        <w:jc w:val="left"/>
        <w:rPr>
          <w:rFonts w:ascii="Calibri" w:hAnsi="Calibri" w:cs="Calibri"/>
        </w:rPr>
      </w:pPr>
      <w:r>
        <w:t>In steps 3 and 7, the waiver services shall call the Semantic Service, which shall take the master data of Profisee (MDM) through APIM.</w:t>
      </w:r>
    </w:p>
    <w:p w14:paraId="0C5C212F" w14:textId="4F790F6D" w:rsidR="00FC42E7" w:rsidRPr="00EC3682" w:rsidRDefault="00FC42E7" w:rsidP="00FC42E7">
      <w:pPr>
        <w:pStyle w:val="ListParagraph"/>
        <w:numPr>
          <w:ilvl w:val="0"/>
          <w:numId w:val="4"/>
        </w:numPr>
        <w:jc w:val="left"/>
        <w:rPr>
          <w:rFonts w:ascii="Calibri" w:hAnsi="Calibri" w:cs="Calibri"/>
        </w:rPr>
      </w:pPr>
      <w:r>
        <w:t xml:space="preserve">The logging, notification and Azure services of the waiver selection shall be those described in section </w:t>
      </w:r>
      <w:r>
        <w:fldChar w:fldCharType="begin"/>
      </w:r>
      <w:r>
        <w:instrText xml:space="preserve"> REF _Ref917260947 \w \h \* MERGEFORMAT </w:instrText>
      </w:r>
      <w:r>
        <w:fldChar w:fldCharType="separate"/>
      </w:r>
      <w:r w:rsidRPr="00FC42E7">
        <w:rPr>
          <w:color w:val="0563C1"/>
          <w:u w:val="single"/>
        </w:rPr>
        <w:t>2.3.3.1.1</w:t>
      </w:r>
      <w:r>
        <w:fldChar w:fldCharType="end"/>
      </w:r>
      <w:r>
        <w:t>.</w:t>
      </w:r>
    </w:p>
    <w:p w14:paraId="33B94FA9" w14:textId="7BD0D95E" w:rsidR="00687F84" w:rsidRDefault="00687F84" w:rsidP="00687F84">
      <w:pPr>
        <w:pStyle w:val="Heading6"/>
        <w:rPr>
          <w:rFonts w:ascii="Calibri" w:hAnsi="Calibri" w:cs="Calibri"/>
          <w:sz w:val="20"/>
        </w:rPr>
      </w:pPr>
      <w:r>
        <w:rPr>
          <w:rFonts w:ascii="Calibri" w:hAnsi="Calibri" w:cs="Calibri"/>
          <w:sz w:val="20"/>
        </w:rPr>
        <w:t>Detailed Technical Design Diagram</w:t>
      </w:r>
    </w:p>
    <w:p w14:paraId="71D71F0E" w14:textId="77777777" w:rsidR="00FC42E7" w:rsidRPr="00EC3682" w:rsidRDefault="00FC42E7" w:rsidP="00FC42E7">
      <w:pPr>
        <w:pStyle w:val="ListParagraph"/>
        <w:numPr>
          <w:ilvl w:val="0"/>
          <w:numId w:val="4"/>
        </w:numPr>
        <w:jc w:val="left"/>
        <w:rPr>
          <w:rFonts w:ascii="Calibri" w:hAnsi="Calibri" w:cs="Calibri"/>
        </w:rPr>
      </w:pPr>
      <w:r>
        <w:t>The flow shall start from the Waiver Request that the Core Capabilities UI shall send on demand.</w:t>
      </w:r>
    </w:p>
    <w:p w14:paraId="2DCC6DD6" w14:textId="578839DF" w:rsidR="00FC42E7" w:rsidRPr="006958CC" w:rsidRDefault="00FC42E7" w:rsidP="00FC42E7">
      <w:pPr>
        <w:keepNext/>
        <w:keepLines/>
        <w:jc w:val="left"/>
        <w:rPr>
          <w:rFonts w:ascii="Calibri" w:hAnsi="Calibri" w:cs="Calibri"/>
        </w:rPr>
      </w:pPr>
      <w:r>
        <w:rPr>
          <w:rFonts w:ascii="Calibri" w:hAnsi="Calibri" w:cs="Calibri"/>
        </w:rPr>
        <w:t>The figure below shows the activities inside the two durable functions of the waiver selection.</w:t>
      </w:r>
    </w:p>
    <w:p w14:paraId="025DE5C8" w14:textId="188B94CE" w:rsidR="00873A53" w:rsidRPr="006958CC" w:rsidRDefault="00144FA3" w:rsidP="00873A53">
      <w:pPr>
        <w:keepNext/>
        <w:spacing w:after="40"/>
        <w:jc w:val="center"/>
      </w:pPr>
      <w:r>
        <w:rPr>
          <w:noProof/>
        </w:rPr>
        <w:drawing>
          <wp:inline distT="0" distB="0" distL="0" distR="0" wp14:anchorId="3DD84FA5" wp14:editId="4CC2162B">
            <wp:extent cx="5943600" cy="2173605"/>
            <wp:effectExtent l="0" t="0" r="0" b="0"/>
            <wp:docPr id="838231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1744" name=""/>
                    <pic:cNvPicPr/>
                  </pic:nvPicPr>
                  <pic:blipFill>
                    <a:blip r:embed="rId40"/>
                    <a:stretch>
                      <a:fillRect/>
                    </a:stretch>
                  </pic:blipFill>
                  <pic:spPr>
                    <a:xfrm>
                      <a:off x="0" y="0"/>
                      <a:ext cx="5943600" cy="2173605"/>
                    </a:xfrm>
                    <a:prstGeom prst="rect">
                      <a:avLst/>
                    </a:prstGeom>
                  </pic:spPr>
                </pic:pic>
              </a:graphicData>
            </a:graphic>
          </wp:inline>
        </w:drawing>
      </w:r>
    </w:p>
    <w:p w14:paraId="0DEBDBF8" w14:textId="6E0B061C" w:rsidR="00873A53" w:rsidRPr="006958CC" w:rsidRDefault="00873A53" w:rsidP="00873A53">
      <w:pPr>
        <w:pStyle w:val="Caption"/>
        <w:rPr>
          <w:rFonts w:ascii="Calibri" w:hAnsi="Calibri" w:cs="Calibri"/>
        </w:rPr>
      </w:pPr>
      <w:bookmarkStart w:id="246" w:name="_Toc242554153"/>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17</w:t>
      </w:r>
      <w:r w:rsidRPr="006958CC">
        <w:rPr>
          <w:rFonts w:ascii="Calibri" w:hAnsi="Calibri" w:cs="Calibri"/>
        </w:rPr>
        <w:fldChar w:fldCharType="end"/>
      </w:r>
      <w:r w:rsidRPr="006958CC">
        <w:rPr>
          <w:rFonts w:ascii="Calibri" w:hAnsi="Calibri" w:cs="Calibri"/>
        </w:rPr>
        <w:t xml:space="preserve">: </w:t>
      </w:r>
      <w:r w:rsidR="00140DC0">
        <w:rPr>
          <w:rFonts w:ascii="Calibri" w:hAnsi="Calibri" w:cs="Calibri"/>
        </w:rPr>
        <w:t>Waiver Selection Detailed Technical Design Diagram</w:t>
      </w:r>
      <w:bookmarkEnd w:id="246"/>
    </w:p>
    <w:p w14:paraId="02A6EE1D" w14:textId="77777777" w:rsidR="00FC42E7" w:rsidRPr="00EC3682" w:rsidRDefault="00FC42E7" w:rsidP="00FC42E7">
      <w:pPr>
        <w:pStyle w:val="ListParagraph"/>
        <w:numPr>
          <w:ilvl w:val="0"/>
          <w:numId w:val="4"/>
        </w:numPr>
        <w:jc w:val="left"/>
        <w:rPr>
          <w:rFonts w:ascii="Calibri" w:hAnsi="Calibri" w:cs="Calibri"/>
        </w:rPr>
      </w:pPr>
      <w:r>
        <w:t>Steps 4 to 11 are drawn in more detail; the other steps are those of the high-level figure above.</w:t>
      </w:r>
    </w:p>
    <w:p w14:paraId="4B96FB5E" w14:textId="65AC6B86" w:rsidR="00FC42E7" w:rsidRPr="006958CC" w:rsidRDefault="00FC42E7" w:rsidP="00FC42E7">
      <w:pPr>
        <w:keepNext/>
        <w:jc w:val="left"/>
        <w:rPr>
          <w:rFonts w:ascii="Calibri" w:hAnsi="Calibri" w:cs="Calibri"/>
        </w:rPr>
      </w:pPr>
      <w:r>
        <w:rPr>
          <w:rFonts w:ascii="Calibri" w:hAnsi="Calibri" w:cs="Calibri"/>
        </w:rPr>
        <w:t xml:space="preserve">The activities inside the durable functions shall be those of the common integration pattern (section </w:t>
      </w:r>
      <w:r>
        <w:rPr>
          <w:rFonts w:ascii="Calibri" w:hAnsi="Calibri" w:cs="Calibri"/>
        </w:rPr>
        <w:fldChar w:fldCharType="begin"/>
      </w:r>
      <w:r>
        <w:rPr>
          <w:rFonts w:ascii="Calibri" w:hAnsi="Calibri" w:cs="Calibri"/>
        </w:rPr>
        <w:instrText xml:space="preserve"> REF _Ref917260914 \w \h \* MERGEFORMAT </w:instrText>
      </w:r>
      <w:r>
        <w:rPr>
          <w:rFonts w:ascii="Calibri" w:hAnsi="Calibri" w:cs="Calibri"/>
        </w:rPr>
      </w:r>
      <w:r>
        <w:rPr>
          <w:rFonts w:ascii="Calibri" w:hAnsi="Calibri" w:cs="Calibri"/>
        </w:rPr>
        <w:fldChar w:fldCharType="separate"/>
      </w:r>
      <w:r w:rsidRPr="00FC42E7">
        <w:rPr>
          <w:rFonts w:ascii="Calibri" w:hAnsi="Calibri" w:cs="Calibri"/>
          <w:color w:val="0563C1"/>
          <w:u w:val="single"/>
        </w:rPr>
        <w:t>2.3.1.2.1</w:t>
      </w:r>
      <w:r>
        <w:rPr>
          <w:rFonts w:ascii="Calibri" w:hAnsi="Calibri" w:cs="Calibri"/>
        </w:rPr>
        <w:fldChar w:fldCharType="end"/>
      </w:r>
      <w:r>
        <w:rPr>
          <w:rFonts w:ascii="Calibri" w:hAnsi="Calibri" w:cs="Calibri"/>
        </w:rPr>
        <w:t>), with these points:</w:t>
      </w:r>
    </w:p>
    <w:p w14:paraId="5FF435A8" w14:textId="4AB83C90" w:rsidR="00FC42E7" w:rsidRPr="00EC3682" w:rsidRDefault="00FC42E7" w:rsidP="00FC42E7">
      <w:pPr>
        <w:pStyle w:val="ListParagraph"/>
        <w:numPr>
          <w:ilvl w:val="0"/>
          <w:numId w:val="4"/>
        </w:numPr>
        <w:jc w:val="left"/>
        <w:rPr>
          <w:rFonts w:ascii="Calibri" w:hAnsi="Calibri" w:cs="Calibri"/>
        </w:rPr>
      </w:pPr>
      <w:r>
        <w:t>The activities shall use the Waiver orchestrators and queues.</w:t>
      </w:r>
    </w:p>
    <w:p w14:paraId="046BCC66" w14:textId="5C71BC68" w:rsidR="00FC42E7" w:rsidRPr="00EC3682" w:rsidRDefault="00FC42E7" w:rsidP="00FC42E7">
      <w:pPr>
        <w:pStyle w:val="ListParagraph"/>
        <w:numPr>
          <w:ilvl w:val="0"/>
          <w:numId w:val="4"/>
        </w:numPr>
        <w:jc w:val="left"/>
        <w:rPr>
          <w:rFonts w:ascii="Calibri" w:hAnsi="Calibri" w:cs="Calibri"/>
        </w:rPr>
      </w:pPr>
      <w:r>
        <w:t>In steps 8.1 and 8.2, the Waiver Response Service shall read the lists or the specification rows in the IQDM database.</w:t>
      </w:r>
    </w:p>
    <w:p w14:paraId="347438B8" w14:textId="3ABE9E8B" w:rsidR="00687F84" w:rsidRDefault="00687F84" w:rsidP="00687F84">
      <w:pPr>
        <w:pStyle w:val="Heading6"/>
        <w:rPr>
          <w:rFonts w:ascii="Calibri" w:hAnsi="Calibri" w:cs="Calibri"/>
          <w:sz w:val="20"/>
        </w:rPr>
      </w:pPr>
      <w:r>
        <w:rPr>
          <w:rFonts w:ascii="Calibri" w:hAnsi="Calibri" w:cs="Calibri"/>
          <w:sz w:val="20"/>
        </w:rPr>
        <w:t>Waiver Selection Specifics</w:t>
      </w:r>
    </w:p>
    <w:p w14:paraId="65A9BAFB" w14:textId="63AFD9AC" w:rsidR="00F80961" w:rsidRPr="0081216E" w:rsidRDefault="00F80961" w:rsidP="00FC42E7">
      <w:pPr>
        <w:keepNext/>
        <w:jc w:val="left"/>
        <w:rPr>
          <w:rFonts w:ascii="Calibri" w:hAnsi="Calibri" w:cs="Calibri"/>
        </w:rPr>
      </w:pPr>
      <w:r>
        <w:rPr>
          <w:rFonts w:ascii="Calibri" w:hAnsi="Calibri" w:cs="Calibri"/>
        </w:rPr>
        <w:t>The table below names each component of the waiver selection and what is specific to it.</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0"/>
        <w:gridCol w:w="2196"/>
        <w:gridCol w:w="5504"/>
      </w:tblGrid>
      <w:tr w:rsidR="00F80961" w:rsidRPr="00C63A98" w14:paraId="5C351811" w14:textId="77777777" w:rsidTr="00C63A98">
        <w:trPr>
          <w:cantSplit/>
          <w:tblHeader/>
        </w:trPr>
        <w:tc>
          <w:tcPr>
            <w:tcW w:w="1660" w:type="dxa"/>
            <w:shd w:val="clear" w:color="auto" w:fill="2F5597"/>
          </w:tcPr>
          <w:p w14:paraId="662D4C8B" w14:textId="77777777" w:rsidR="00F80961" w:rsidRPr="00C63A98" w:rsidRDefault="00F80961" w:rsidP="006958CC">
            <w:pPr>
              <w:pStyle w:val="Tablehead1"/>
              <w:rPr>
                <w:rFonts w:ascii="Calibri" w:hAnsi="Calibri" w:cs="Calibri"/>
                <w:sz w:val="20"/>
              </w:rPr>
            </w:pPr>
            <w:r w:rsidRPr="00C63A98">
              <w:rPr>
                <w:rFonts w:ascii="Calibri" w:hAnsi="Calibri" w:cs="Calibri"/>
                <w:sz w:val="20"/>
              </w:rPr>
              <w:t>Component</w:t>
            </w:r>
          </w:p>
        </w:tc>
        <w:tc>
          <w:tcPr>
            <w:tcW w:w="2196" w:type="dxa"/>
            <w:shd w:val="clear" w:color="auto" w:fill="2F5597"/>
          </w:tcPr>
          <w:p w14:paraId="72DE6CE0" w14:textId="0A867B3E" w:rsidR="00F80961" w:rsidRPr="00C63A98" w:rsidRDefault="00140DC0" w:rsidP="006958CC">
            <w:pPr>
              <w:pStyle w:val="Tablehead1"/>
              <w:rPr>
                <w:rFonts w:ascii="Calibri" w:hAnsi="Calibri" w:cs="Calibri"/>
                <w:sz w:val="20"/>
              </w:rPr>
            </w:pPr>
            <w:r>
              <w:rPr>
                <w:rFonts w:ascii="Calibri" w:hAnsi="Calibri" w:cs="Calibri"/>
                <w:sz w:val="20"/>
              </w:rPr>
              <w:t>Name in the Waiver Selection</w:t>
            </w:r>
          </w:p>
        </w:tc>
        <w:tc>
          <w:tcPr>
            <w:tcW w:w="5504" w:type="dxa"/>
            <w:shd w:val="clear" w:color="auto" w:fill="2F5597"/>
          </w:tcPr>
          <w:p w14:paraId="5A03BB4B" w14:textId="019F1689" w:rsidR="00F80961" w:rsidRPr="00C63A98" w:rsidRDefault="00140DC0" w:rsidP="006958CC">
            <w:pPr>
              <w:pStyle w:val="Tablehead1"/>
              <w:rPr>
                <w:rFonts w:ascii="Calibri" w:hAnsi="Calibri" w:cs="Calibri"/>
                <w:sz w:val="20"/>
              </w:rPr>
            </w:pPr>
            <w:r>
              <w:rPr>
                <w:rFonts w:ascii="Calibri" w:hAnsi="Calibri" w:cs="Calibri"/>
                <w:sz w:val="20"/>
              </w:rPr>
              <w:t>Specific to the Waiver Selection</w:t>
            </w:r>
          </w:p>
        </w:tc>
      </w:tr>
      <w:tr w:rsidR="00F80961" w:rsidRPr="00C63A98" w14:paraId="519DE916" w14:textId="77777777" w:rsidTr="00C63A98">
        <w:trPr>
          <w:cantSplit/>
        </w:trPr>
        <w:tc>
          <w:tcPr>
            <w:tcW w:w="1660" w:type="dxa"/>
          </w:tcPr>
          <w:p w14:paraId="7BE92C9F" w14:textId="2DA74919" w:rsidR="00F80961" w:rsidRPr="00C63A98" w:rsidRDefault="00F80961" w:rsidP="006958CC">
            <w:pPr>
              <w:pStyle w:val="Tabletext"/>
              <w:keepNext/>
              <w:rPr>
                <w:rFonts w:ascii="Calibri" w:hAnsi="Calibri" w:cs="Calibri"/>
                <w:sz w:val="20"/>
              </w:rPr>
            </w:pPr>
            <w:r>
              <w:rPr>
                <w:rFonts w:ascii="Calibri" w:hAnsi="Calibri" w:cs="Calibri"/>
                <w:sz w:val="20"/>
              </w:rPr>
              <w:t>Caller</w:t>
            </w:r>
          </w:p>
        </w:tc>
        <w:tc>
          <w:tcPr>
            <w:tcW w:w="2196" w:type="dxa"/>
          </w:tcPr>
          <w:p w14:paraId="3B61D7E8" w14:textId="37BF9000" w:rsidR="00F80961" w:rsidRPr="00C63A98" w:rsidRDefault="00F80961" w:rsidP="006958CC">
            <w:pPr>
              <w:pStyle w:val="Tabletext"/>
              <w:keepNext/>
              <w:rPr>
                <w:rFonts w:ascii="Calibri" w:hAnsi="Calibri" w:cs="Calibri"/>
                <w:sz w:val="20"/>
              </w:rPr>
            </w:pPr>
            <w:r>
              <w:rPr>
                <w:rFonts w:ascii="Calibri" w:hAnsi="Calibri" w:cs="Calibri"/>
                <w:sz w:val="20"/>
              </w:rPr>
              <w:t>Waiver Selection page of the Core Capabilities UI (Blazor)</w:t>
            </w:r>
          </w:p>
        </w:tc>
        <w:tc>
          <w:tcPr>
            <w:tcW w:w="5504" w:type="dxa"/>
          </w:tcPr>
          <w:p w14:paraId="33A4BAC5" w14:textId="1E229B25" w:rsidR="00F80961" w:rsidRPr="00C63A98" w:rsidRDefault="00140DC0" w:rsidP="006958CC">
            <w:pPr>
              <w:pStyle w:val="Tabletext"/>
              <w:keepNext/>
              <w:rPr>
                <w:rFonts w:ascii="Calibri" w:hAnsi="Calibri" w:cs="Calibri"/>
                <w:sz w:val="20"/>
              </w:rPr>
            </w:pPr>
            <w:r>
              <w:rPr>
                <w:rFonts w:ascii="Calibri" w:hAnsi="Calibri" w:cs="Calibri"/>
                <w:sz w:val="20"/>
              </w:rPr>
              <w:t>Shall call the Waiver Request Service on demand, once for each call listed below: the lists, the specification and the save.</w:t>
            </w:r>
          </w:p>
        </w:tc>
      </w:tr>
      <w:tr w:rsidR="00F80961" w:rsidRPr="00C63A98" w14:paraId="0FA9DAA6" w14:textId="77777777" w:rsidTr="00C63A98">
        <w:trPr>
          <w:cantSplit/>
        </w:trPr>
        <w:tc>
          <w:tcPr>
            <w:tcW w:w="1660" w:type="dxa"/>
          </w:tcPr>
          <w:p w14:paraId="3203E2CF" w14:textId="280BF569" w:rsidR="00F80961" w:rsidRPr="00C63A98" w:rsidRDefault="00F80961" w:rsidP="006958CC">
            <w:pPr>
              <w:pStyle w:val="Tabletext"/>
              <w:keepNext/>
              <w:rPr>
                <w:rFonts w:ascii="Calibri" w:hAnsi="Calibri" w:cs="Calibri"/>
                <w:sz w:val="20"/>
              </w:rPr>
            </w:pPr>
            <w:r>
              <w:rPr>
                <w:rFonts w:ascii="Calibri" w:hAnsi="Calibri" w:cs="Calibri"/>
                <w:sz w:val="20"/>
              </w:rPr>
              <w:t>Data source</w:t>
            </w:r>
          </w:p>
        </w:tc>
        <w:tc>
          <w:tcPr>
            <w:tcW w:w="2196" w:type="dxa"/>
          </w:tcPr>
          <w:p w14:paraId="5A20F5AA" w14:textId="72625757" w:rsidR="00F80961" w:rsidRPr="00C63A98" w:rsidRDefault="00144FA3" w:rsidP="006958CC">
            <w:pPr>
              <w:pStyle w:val="Tabletext"/>
              <w:keepNext/>
              <w:rPr>
                <w:rFonts w:ascii="Calibri" w:hAnsi="Calibri" w:cs="Calibri"/>
                <w:sz w:val="20"/>
              </w:rPr>
            </w:pPr>
            <w:r>
              <w:rPr>
                <w:rFonts w:ascii="Calibri" w:hAnsi="Calibri" w:cs="Calibri"/>
                <w:sz w:val="20"/>
              </w:rPr>
              <w:t>IQDM database: product_specification, the PQ Spec Shop master lists and the movement data</w:t>
            </w:r>
          </w:p>
        </w:tc>
        <w:tc>
          <w:tcPr>
            <w:tcW w:w="5504" w:type="dxa"/>
          </w:tcPr>
          <w:p w14:paraId="3D7D6C20" w14:textId="21E4816A" w:rsidR="00F80961" w:rsidRPr="00C63A98" w:rsidRDefault="00F80961" w:rsidP="006958CC">
            <w:pPr>
              <w:pStyle w:val="Tabletext"/>
              <w:keepNext/>
              <w:rPr>
                <w:rFonts w:ascii="Calibri" w:hAnsi="Calibri" w:cs="Calibri"/>
                <w:sz w:val="20"/>
              </w:rPr>
            </w:pPr>
            <w:r>
              <w:rPr>
                <w:rFonts w:ascii="Calibri" w:hAnsi="Calibri" w:cs="Calibri"/>
                <w:sz w:val="20"/>
              </w:rPr>
              <w:t xml:space="preserve">The specification rows shall be read for the Default Min and Default Max, selected as in section </w:t>
            </w:r>
            <w:r w:rsidR="00FC42E7">
              <w:rPr>
                <w:rFonts w:ascii="Calibri" w:hAnsi="Calibri" w:cs="Calibri"/>
                <w:sz w:val="20"/>
              </w:rPr>
              <w:fldChar w:fldCharType="begin"/>
            </w:r>
            <w:r w:rsidR="00FC42E7">
              <w:rPr>
                <w:rFonts w:ascii="Calibri" w:hAnsi="Calibri" w:cs="Calibri"/>
                <w:sz w:val="20"/>
              </w:rPr>
              <w:instrText xml:space="preserve"> REF _Ref917260939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2.3.2.9</w:t>
            </w:r>
            <w:r w:rsidR="00FC42E7">
              <w:rPr>
                <w:rFonts w:ascii="Calibri" w:hAnsi="Calibri" w:cs="Calibri"/>
                <w:sz w:val="20"/>
              </w:rPr>
              <w:fldChar w:fldCharType="end"/>
            </w:r>
            <w:r>
              <w:rPr>
                <w:rFonts w:ascii="Calibri" w:hAnsi="Calibri" w:cs="Calibri"/>
                <w:sz w:val="20"/>
              </w:rPr>
              <w:t>.</w:t>
            </w:r>
          </w:p>
        </w:tc>
      </w:tr>
      <w:tr w:rsidR="00F80961" w:rsidRPr="00C63A98" w14:paraId="7AEFCA45" w14:textId="77777777" w:rsidTr="00C63A98">
        <w:trPr>
          <w:cantSplit/>
        </w:trPr>
        <w:tc>
          <w:tcPr>
            <w:tcW w:w="1660" w:type="dxa"/>
          </w:tcPr>
          <w:p w14:paraId="0235CFAD" w14:textId="435B2049" w:rsidR="00F80961" w:rsidRDefault="00F80961" w:rsidP="00FA3AEE">
            <w:pPr>
              <w:pStyle w:val="Tabletext"/>
              <w:rPr>
                <w:rFonts w:ascii="Calibri" w:hAnsi="Calibri" w:cs="Calibri"/>
                <w:sz w:val="20"/>
              </w:rPr>
            </w:pPr>
            <w:r>
              <w:rPr>
                <w:rFonts w:ascii="Calibri" w:hAnsi="Calibri" w:cs="Calibri"/>
                <w:sz w:val="20"/>
              </w:rPr>
              <w:t>Destination</w:t>
            </w:r>
          </w:p>
        </w:tc>
        <w:tc>
          <w:tcPr>
            <w:tcW w:w="2196" w:type="dxa"/>
          </w:tcPr>
          <w:p w14:paraId="656CCA41" w14:textId="1B4CA1B2" w:rsidR="00F80961" w:rsidRDefault="00144FA3" w:rsidP="00FA3AEE">
            <w:pPr>
              <w:pStyle w:val="Tabletext"/>
              <w:rPr>
                <w:rFonts w:ascii="Calibri" w:hAnsi="Calibri" w:cs="Calibri"/>
                <w:sz w:val="20"/>
              </w:rPr>
            </w:pPr>
            <w:r>
              <w:rPr>
                <w:rFonts w:ascii="Calibri" w:hAnsi="Calibri" w:cs="Calibri"/>
                <w:sz w:val="20"/>
              </w:rPr>
              <w:t>IQDM database</w:t>
            </w:r>
          </w:p>
        </w:tc>
        <w:tc>
          <w:tcPr>
            <w:tcW w:w="5504" w:type="dxa"/>
          </w:tcPr>
          <w:p w14:paraId="1998187A" w14:textId="699A32A4" w:rsidR="00F80961" w:rsidRDefault="00F80961" w:rsidP="00FA3AEE">
            <w:pPr>
              <w:pStyle w:val="Tabletext"/>
              <w:rPr>
                <w:rFonts w:ascii="Calibri" w:hAnsi="Calibri" w:cs="Calibri"/>
                <w:sz w:val="20"/>
              </w:rPr>
            </w:pPr>
            <w:r>
              <w:rPr>
                <w:rFonts w:ascii="Calibri" w:hAnsi="Calibri" w:cs="Calibri"/>
                <w:sz w:val="20"/>
              </w:rPr>
              <w:t>The waivers shall be saved through a stored procedure of the database team.</w:t>
            </w:r>
          </w:p>
        </w:tc>
      </w:tr>
      <w:tr w:rsidR="00F80961" w:rsidRPr="00C63A98" w14:paraId="0FE662BA" w14:textId="77777777" w:rsidTr="00C63A98">
        <w:trPr>
          <w:cantSplit/>
        </w:trPr>
        <w:tc>
          <w:tcPr>
            <w:tcW w:w="1660" w:type="dxa"/>
          </w:tcPr>
          <w:p w14:paraId="5C2FC3FB" w14:textId="15D02AAF" w:rsidR="00F80961" w:rsidRDefault="00F80961" w:rsidP="00FA3AEE">
            <w:pPr>
              <w:pStyle w:val="Tabletext"/>
              <w:rPr>
                <w:rFonts w:ascii="Calibri" w:hAnsi="Calibri" w:cs="Calibri"/>
                <w:sz w:val="20"/>
              </w:rPr>
            </w:pPr>
            <w:r>
              <w:rPr>
                <w:rFonts w:ascii="Calibri" w:hAnsi="Calibri" w:cs="Calibri"/>
                <w:sz w:val="20"/>
              </w:rPr>
              <w:t>Trigger</w:t>
            </w:r>
          </w:p>
        </w:tc>
        <w:tc>
          <w:tcPr>
            <w:tcW w:w="2196" w:type="dxa"/>
          </w:tcPr>
          <w:p w14:paraId="2F7E6B65" w14:textId="64A019B8" w:rsidR="00F80961" w:rsidRDefault="00F80961" w:rsidP="00FA3AEE">
            <w:pPr>
              <w:pStyle w:val="Tabletext"/>
              <w:rPr>
                <w:rFonts w:ascii="Calibri" w:hAnsi="Calibri" w:cs="Calibri"/>
                <w:sz w:val="20"/>
              </w:rPr>
            </w:pPr>
            <w:r>
              <w:rPr>
                <w:rFonts w:ascii="Calibri" w:hAnsi="Calibri" w:cs="Calibri"/>
                <w:sz w:val="20"/>
              </w:rPr>
              <w:t>None</w:t>
            </w:r>
          </w:p>
        </w:tc>
        <w:tc>
          <w:tcPr>
            <w:tcW w:w="5504" w:type="dxa"/>
          </w:tcPr>
          <w:p w14:paraId="1FEADB28" w14:textId="2FD642D6" w:rsidR="00F80961" w:rsidRDefault="00140DC0" w:rsidP="00FA3AEE">
            <w:pPr>
              <w:pStyle w:val="Tabletext"/>
              <w:rPr>
                <w:rFonts w:ascii="Calibri" w:hAnsi="Calibri" w:cs="Calibri"/>
                <w:sz w:val="20"/>
              </w:rPr>
            </w:pPr>
            <w:r>
              <w:rPr>
                <w:rFonts w:ascii="Calibri" w:hAnsi="Calibri" w:cs="Calibri"/>
                <w:sz w:val="20"/>
              </w:rPr>
              <w:t>The waiver selection shall run only on demand.</w:t>
            </w:r>
          </w:p>
        </w:tc>
      </w:tr>
      <w:tr w:rsidR="00F80961" w:rsidRPr="00C63A98" w14:paraId="3771C361" w14:textId="77777777" w:rsidTr="00C63A98">
        <w:trPr>
          <w:cantSplit/>
        </w:trPr>
        <w:tc>
          <w:tcPr>
            <w:tcW w:w="1660" w:type="dxa"/>
          </w:tcPr>
          <w:p w14:paraId="14664134" w14:textId="009A1B78" w:rsidR="00F80961" w:rsidRDefault="00F80961" w:rsidP="00FA3AEE">
            <w:pPr>
              <w:pStyle w:val="Tabletext"/>
              <w:rPr>
                <w:rFonts w:ascii="Calibri" w:hAnsi="Calibri" w:cs="Calibri"/>
                <w:sz w:val="20"/>
              </w:rPr>
            </w:pPr>
            <w:r>
              <w:rPr>
                <w:rFonts w:ascii="Calibri" w:hAnsi="Calibri" w:cs="Calibri"/>
                <w:sz w:val="20"/>
              </w:rPr>
              <w:t>Request Service</w:t>
            </w:r>
          </w:p>
        </w:tc>
        <w:tc>
          <w:tcPr>
            <w:tcW w:w="2196" w:type="dxa"/>
          </w:tcPr>
          <w:p w14:paraId="31E0343E" w14:textId="67A74401" w:rsidR="00F80961" w:rsidRDefault="00F80961" w:rsidP="00FA3AEE">
            <w:pPr>
              <w:pStyle w:val="Tabletext"/>
              <w:rPr>
                <w:rFonts w:ascii="Calibri" w:hAnsi="Calibri" w:cs="Calibri"/>
                <w:sz w:val="20"/>
              </w:rPr>
            </w:pPr>
            <w:r>
              <w:rPr>
                <w:rFonts w:ascii="Calibri" w:hAnsi="Calibri" w:cs="Calibri"/>
                <w:sz w:val="20"/>
              </w:rPr>
              <w:t>Waiver Request Service, CIP Quality domain API</w:t>
            </w:r>
          </w:p>
        </w:tc>
        <w:tc>
          <w:tcPr>
            <w:tcW w:w="5504" w:type="dxa"/>
          </w:tcPr>
          <w:p w14:paraId="01410BE3" w14:textId="75D684EE" w:rsidR="00F80961" w:rsidRDefault="00F80961" w:rsidP="00FA3AEE">
            <w:pPr>
              <w:pStyle w:val="Tabletext"/>
              <w:rPr>
                <w:rFonts w:ascii="Calibri" w:hAnsi="Calibri" w:cs="Calibri"/>
                <w:sz w:val="20"/>
              </w:rPr>
            </w:pPr>
            <w:r>
              <w:rPr>
                <w:rFonts w:ascii="Calibri" w:hAnsi="Calibri" w:cs="Calibri"/>
                <w:sz w:val="20"/>
              </w:rPr>
              <w:t xml:space="preserve">Shall check the header and the body. </w:t>
            </w:r>
            <w:r w:rsidR="008F2422">
              <w:rPr>
                <w:rFonts w:ascii="Calibri" w:hAnsi="Calibri" w:cs="Calibri"/>
                <w:sz w:val="20"/>
              </w:rPr>
              <w:t>It shall return the list, or with IsImport = true the Default Min and Default Max; with IsImport = false it shall save the waivers.</w:t>
            </w:r>
          </w:p>
        </w:tc>
      </w:tr>
      <w:tr w:rsidR="00F80961" w:rsidRPr="00C63A98" w14:paraId="47C690FA" w14:textId="77777777" w:rsidTr="00C63A98">
        <w:trPr>
          <w:cantSplit/>
        </w:trPr>
        <w:tc>
          <w:tcPr>
            <w:tcW w:w="1660" w:type="dxa"/>
          </w:tcPr>
          <w:p w14:paraId="226137C2" w14:textId="621FBB52" w:rsidR="00F80961" w:rsidRPr="00C63A98" w:rsidRDefault="00F80961" w:rsidP="00FA3AEE">
            <w:pPr>
              <w:pStyle w:val="Tabletext"/>
              <w:rPr>
                <w:rFonts w:ascii="Calibri" w:hAnsi="Calibri" w:cs="Calibri"/>
                <w:sz w:val="20"/>
              </w:rPr>
            </w:pPr>
            <w:r>
              <w:rPr>
                <w:rFonts w:ascii="Calibri" w:hAnsi="Calibri" w:cs="Calibri"/>
                <w:sz w:val="20"/>
              </w:rPr>
              <w:t>Request Orchestrator and Request Queue</w:t>
            </w:r>
          </w:p>
        </w:tc>
        <w:tc>
          <w:tcPr>
            <w:tcW w:w="2196" w:type="dxa"/>
          </w:tcPr>
          <w:p w14:paraId="06A4D26A" w14:textId="2F0672E8" w:rsidR="00F80961" w:rsidRPr="00C63A98" w:rsidRDefault="00F80961" w:rsidP="00FA3AEE">
            <w:pPr>
              <w:pStyle w:val="Tabletext"/>
              <w:rPr>
                <w:rFonts w:ascii="Calibri" w:hAnsi="Calibri" w:cs="Calibri"/>
                <w:sz w:val="20"/>
              </w:rPr>
            </w:pPr>
            <w:r>
              <w:rPr>
                <w:rFonts w:ascii="Calibri" w:hAnsi="Calibri" w:cs="Calibri"/>
                <w:sz w:val="20"/>
              </w:rPr>
              <w:t>Waiver Request Orchestrator and Waiver Request Queue, function app of the Quality domain</w:t>
            </w:r>
          </w:p>
        </w:tc>
        <w:tc>
          <w:tcPr>
            <w:tcW w:w="5504" w:type="dxa"/>
          </w:tcPr>
          <w:p w14:paraId="7C28E42D" w14:textId="5C5248C6" w:rsidR="00F80961" w:rsidRPr="00C63A98" w:rsidRDefault="00140DC0" w:rsidP="00FA3AEE">
            <w:pPr>
              <w:pStyle w:val="Tabletext"/>
              <w:rPr>
                <w:rFonts w:ascii="Calibri" w:hAnsi="Calibri" w:cs="Calibri"/>
                <w:sz w:val="20"/>
              </w:rPr>
            </w:pPr>
            <w:r>
              <w:rPr>
                <w:rFonts w:ascii="Calibri" w:hAnsi="Calibri" w:cs="Calibri"/>
                <w:sz w:val="20"/>
              </w:rPr>
              <w:t xml:space="preserve">As in </w:t>
            </w:r>
            <w:r w:rsidR="00FC42E7">
              <w:rPr>
                <w:rFonts w:ascii="Calibri" w:hAnsi="Calibri" w:cs="Calibri"/>
                <w:sz w:val="20"/>
              </w:rPr>
              <w:t>the common integration pattern</w:t>
            </w:r>
            <w:r>
              <w:rPr>
                <w:rFonts w:ascii="Calibri" w:hAnsi="Calibri" w:cs="Calibri"/>
                <w:sz w:val="20"/>
              </w:rPr>
              <w:t>; each request shall have its own Service Bus session.</w:t>
            </w:r>
          </w:p>
        </w:tc>
      </w:tr>
      <w:tr w:rsidR="00F80961" w:rsidRPr="00C63A98" w14:paraId="69EFA477" w14:textId="77777777" w:rsidTr="00C63A98">
        <w:trPr>
          <w:cantSplit/>
        </w:trPr>
        <w:tc>
          <w:tcPr>
            <w:tcW w:w="1660" w:type="dxa"/>
          </w:tcPr>
          <w:p w14:paraId="27B49FC3" w14:textId="40FD1F6A" w:rsidR="00F80961" w:rsidRPr="00C63A98" w:rsidRDefault="00F80961" w:rsidP="00FA3AEE">
            <w:pPr>
              <w:pStyle w:val="Tabletext"/>
              <w:rPr>
                <w:rFonts w:ascii="Calibri" w:hAnsi="Calibri" w:cs="Calibri"/>
                <w:sz w:val="20"/>
              </w:rPr>
            </w:pPr>
            <w:r>
              <w:rPr>
                <w:rFonts w:ascii="Calibri" w:hAnsi="Calibri" w:cs="Calibri"/>
                <w:sz w:val="20"/>
              </w:rPr>
              <w:t>Response Orchestrator and Response Queue</w:t>
            </w:r>
          </w:p>
        </w:tc>
        <w:tc>
          <w:tcPr>
            <w:tcW w:w="2196" w:type="dxa"/>
          </w:tcPr>
          <w:p w14:paraId="5761C69E" w14:textId="3E2A20FD" w:rsidR="00F80961" w:rsidRPr="00C63A98" w:rsidRDefault="00F80961" w:rsidP="00FA3AEE">
            <w:pPr>
              <w:pStyle w:val="Tabletext"/>
              <w:rPr>
                <w:rFonts w:ascii="Calibri" w:hAnsi="Calibri" w:cs="Calibri"/>
                <w:sz w:val="20"/>
              </w:rPr>
            </w:pPr>
            <w:r>
              <w:rPr>
                <w:rFonts w:ascii="Calibri" w:hAnsi="Calibri" w:cs="Calibri"/>
                <w:sz w:val="20"/>
              </w:rPr>
              <w:t>Waiver Response Orchestrator and Waiver Response Queue, function app of the Quality domain</w:t>
            </w:r>
          </w:p>
        </w:tc>
        <w:tc>
          <w:tcPr>
            <w:tcW w:w="5504" w:type="dxa"/>
          </w:tcPr>
          <w:p w14:paraId="5D0D7FE0" w14:textId="420277DA" w:rsidR="00F80961" w:rsidRPr="00C63A98" w:rsidRDefault="00140DC0" w:rsidP="00FA3AEE">
            <w:pPr>
              <w:pStyle w:val="Tabletext"/>
              <w:rPr>
                <w:rFonts w:ascii="Calibri" w:hAnsi="Calibri" w:cs="Calibri"/>
                <w:sz w:val="20"/>
              </w:rPr>
            </w:pPr>
            <w:r>
              <w:rPr>
                <w:rFonts w:ascii="Calibri" w:hAnsi="Calibri" w:cs="Calibri"/>
                <w:sz w:val="20"/>
              </w:rPr>
              <w:t xml:space="preserve">As in </w:t>
            </w:r>
            <w:r w:rsidR="00FC42E7">
              <w:rPr>
                <w:rFonts w:ascii="Calibri" w:hAnsi="Calibri" w:cs="Calibri"/>
                <w:sz w:val="20"/>
              </w:rPr>
              <w:t>the common integration pattern</w:t>
            </w:r>
            <w:r>
              <w:rPr>
                <w:rFonts w:ascii="Calibri" w:hAnsi="Calibri" w:cs="Calibri"/>
                <w:sz w:val="20"/>
              </w:rPr>
              <w:t>, with the Waiver secondary request queue.</w:t>
            </w:r>
          </w:p>
        </w:tc>
      </w:tr>
      <w:tr w:rsidR="00F80961" w:rsidRPr="00C63A98" w14:paraId="3A196744" w14:textId="77777777" w:rsidTr="00C63A98">
        <w:trPr>
          <w:cantSplit/>
        </w:trPr>
        <w:tc>
          <w:tcPr>
            <w:tcW w:w="1660" w:type="dxa"/>
          </w:tcPr>
          <w:p w14:paraId="29855F3F" w14:textId="37CB080C" w:rsidR="00F80961" w:rsidRDefault="00F80961" w:rsidP="00FA3AEE">
            <w:pPr>
              <w:pStyle w:val="Tabletext"/>
              <w:rPr>
                <w:rFonts w:ascii="Calibri" w:hAnsi="Calibri" w:cs="Calibri"/>
                <w:sz w:val="20"/>
              </w:rPr>
            </w:pPr>
            <w:r>
              <w:rPr>
                <w:rFonts w:ascii="Calibri" w:hAnsi="Calibri" w:cs="Calibri"/>
                <w:sz w:val="20"/>
              </w:rPr>
              <w:t>Response Service</w:t>
            </w:r>
          </w:p>
        </w:tc>
        <w:tc>
          <w:tcPr>
            <w:tcW w:w="2196" w:type="dxa"/>
          </w:tcPr>
          <w:p w14:paraId="7CA3AA95" w14:textId="4573622F" w:rsidR="00F80961" w:rsidRDefault="00F80961" w:rsidP="00FA3AEE">
            <w:pPr>
              <w:pStyle w:val="Tabletext"/>
              <w:rPr>
                <w:rFonts w:ascii="Calibri" w:hAnsi="Calibri" w:cs="Calibri"/>
                <w:sz w:val="20"/>
              </w:rPr>
            </w:pPr>
            <w:r>
              <w:rPr>
                <w:rFonts w:ascii="Calibri" w:hAnsi="Calibri" w:cs="Calibri"/>
                <w:sz w:val="20"/>
              </w:rPr>
              <w:t>Waiver Response Service, CIP Quality domain API</w:t>
            </w:r>
          </w:p>
        </w:tc>
        <w:tc>
          <w:tcPr>
            <w:tcW w:w="5504" w:type="dxa"/>
          </w:tcPr>
          <w:p w14:paraId="2DD406E6" w14:textId="5B9C5E28" w:rsidR="00F80961" w:rsidRDefault="008F2422" w:rsidP="00FA3AEE">
            <w:pPr>
              <w:pStyle w:val="Tabletext"/>
              <w:rPr>
                <w:rFonts w:ascii="Calibri" w:hAnsi="Calibri" w:cs="Calibri"/>
                <w:sz w:val="20"/>
              </w:rPr>
            </w:pPr>
            <w:r>
              <w:rPr>
                <w:rFonts w:ascii="Calibri" w:hAnsi="Calibri" w:cs="Calibri"/>
                <w:sz w:val="20"/>
              </w:rPr>
              <w:t xml:space="preserve">Shall read the applicable specification rows and work out the Default Min (highest minimum) and the Default Max (lowest maximum). </w:t>
            </w:r>
            <w:r w:rsidR="009C3F56">
              <w:rPr>
                <w:rFonts w:ascii="Calibri" w:hAnsi="Calibri" w:cs="Calibri"/>
                <w:sz w:val="20"/>
              </w:rPr>
              <w:t>It shall also read the terminal and product lists of the PQ Spec Shop data and the batch IDs of the movement data, all held in the IQDM database. It shall read the lists, the batch details and the specification rows through the read stored procedures of the database team. A specification value that cannot be used shall be left out of the Default Min and Default Max, and one business error notification shall be sent for each request.</w:t>
            </w:r>
          </w:p>
        </w:tc>
      </w:tr>
      <w:tr w:rsidR="00F80961" w:rsidRPr="00C63A98" w14:paraId="123AEE36" w14:textId="77777777" w:rsidTr="00C63A98">
        <w:trPr>
          <w:cantSplit/>
        </w:trPr>
        <w:tc>
          <w:tcPr>
            <w:tcW w:w="1660" w:type="dxa"/>
          </w:tcPr>
          <w:p w14:paraId="7B9B8101" w14:textId="51827C6E" w:rsidR="00F80961" w:rsidRDefault="00F80961" w:rsidP="00FA3AEE">
            <w:pPr>
              <w:pStyle w:val="Tabletext"/>
              <w:rPr>
                <w:rFonts w:ascii="Calibri" w:hAnsi="Calibri" w:cs="Calibri"/>
                <w:sz w:val="20"/>
              </w:rPr>
            </w:pPr>
            <w:r>
              <w:rPr>
                <w:rFonts w:ascii="Calibri" w:hAnsi="Calibri" w:cs="Calibri"/>
                <w:sz w:val="20"/>
              </w:rPr>
              <w:t>Semantic Service</w:t>
            </w:r>
          </w:p>
        </w:tc>
        <w:tc>
          <w:tcPr>
            <w:tcW w:w="2196" w:type="dxa"/>
          </w:tcPr>
          <w:p w14:paraId="17B0F362" w14:textId="27235626" w:rsidR="00F80961" w:rsidRDefault="00F80961" w:rsidP="00FA3AEE">
            <w:pPr>
              <w:pStyle w:val="Tabletext"/>
              <w:rPr>
                <w:rFonts w:ascii="Calibri" w:hAnsi="Calibri" w:cs="Calibri"/>
                <w:sz w:val="20"/>
              </w:rPr>
            </w:pPr>
            <w:r>
              <w:rPr>
                <w:rFonts w:ascii="Calibri" w:hAnsi="Calibri" w:cs="Calibri"/>
                <w:sz w:val="20"/>
              </w:rPr>
              <w:t>Profisee codes of the terminal, the grade and the quality</w:t>
            </w:r>
          </w:p>
        </w:tc>
        <w:tc>
          <w:tcPr>
            <w:tcW w:w="5504" w:type="dxa"/>
          </w:tcPr>
          <w:p w14:paraId="7A75BF5B" w14:textId="2995F516" w:rsidR="00F80961" w:rsidRDefault="00F80961" w:rsidP="00FA3AEE">
            <w:pPr>
              <w:pStyle w:val="Tabletext"/>
              <w:rPr>
                <w:rFonts w:ascii="Calibri" w:hAnsi="Calibri" w:cs="Calibri"/>
                <w:sz w:val="20"/>
              </w:rPr>
            </w:pPr>
            <w:r>
              <w:rPr>
                <w:rFonts w:ascii="Calibri" w:hAnsi="Calibri" w:cs="Calibri"/>
                <w:sz w:val="20"/>
              </w:rPr>
              <w:t>Shall translate and validate the codes.</w:t>
            </w:r>
          </w:p>
        </w:tc>
      </w:tr>
      <w:tr w:rsidR="00F80961" w:rsidRPr="00C63A98" w14:paraId="2AD9B32C" w14:textId="77777777" w:rsidTr="00C63A98">
        <w:trPr>
          <w:cantSplit/>
        </w:trPr>
        <w:tc>
          <w:tcPr>
            <w:tcW w:w="1660" w:type="dxa"/>
          </w:tcPr>
          <w:p w14:paraId="79D153AC" w14:textId="24FD4D57" w:rsidR="00F80961" w:rsidRPr="00C63A98" w:rsidRDefault="00140DC0" w:rsidP="00FA3AEE">
            <w:pPr>
              <w:pStyle w:val="Tabletext"/>
              <w:rPr>
                <w:rFonts w:ascii="Calibri" w:hAnsi="Calibri" w:cs="Calibri"/>
                <w:sz w:val="20"/>
              </w:rPr>
            </w:pPr>
            <w:r>
              <w:rPr>
                <w:rFonts w:ascii="Calibri" w:hAnsi="Calibri" w:cs="Calibri"/>
                <w:sz w:val="20"/>
              </w:rPr>
              <w:t>Get Terminals</w:t>
            </w:r>
          </w:p>
        </w:tc>
        <w:tc>
          <w:tcPr>
            <w:tcW w:w="2196" w:type="dxa"/>
          </w:tcPr>
          <w:p w14:paraId="6E83E751" w14:textId="4A2B7C02" w:rsidR="00F80961" w:rsidRPr="00C63A98" w:rsidRDefault="00140DC0" w:rsidP="00FA3AEE">
            <w:pPr>
              <w:pStyle w:val="Tabletext"/>
              <w:rPr>
                <w:rFonts w:ascii="Calibri" w:hAnsi="Calibri" w:cs="Calibri"/>
                <w:sz w:val="20"/>
              </w:rPr>
            </w:pPr>
            <w:r>
              <w:rPr>
                <w:rFonts w:ascii="Calibri" w:hAnsi="Calibri" w:cs="Calibri"/>
                <w:sz w:val="20"/>
              </w:rPr>
              <w:t>POST api/v1/Waiver/GetTerminals</w:t>
            </w:r>
          </w:p>
        </w:tc>
        <w:tc>
          <w:tcPr>
            <w:tcW w:w="5504" w:type="dxa"/>
          </w:tcPr>
          <w:p w14:paraId="554DF5C0" w14:textId="3F8AFBD6" w:rsidR="00F80961" w:rsidRDefault="00140DC0" w:rsidP="00FA3AEE">
            <w:pPr>
              <w:pStyle w:val="Tabletext"/>
              <w:rPr>
                <w:rFonts w:ascii="Calibri" w:hAnsi="Calibri" w:cs="Calibri"/>
                <w:sz w:val="20"/>
              </w:rPr>
            </w:pPr>
            <w:r>
              <w:rPr>
                <w:rFonts w:ascii="Calibri" w:hAnsi="Calibri" w:cs="Calibri"/>
                <w:sz w:val="20"/>
              </w:rPr>
              <w:t>Shall return the terminals of the PQ Spec Shop terminal master list. The page shall call it when the state-wise section opens.</w:t>
            </w:r>
          </w:p>
        </w:tc>
      </w:tr>
      <w:tr w:rsidR="00140DC0" w:rsidRPr="00C63A98" w14:paraId="297CF330" w14:textId="77777777" w:rsidTr="00C63A98">
        <w:trPr>
          <w:cantSplit/>
        </w:trPr>
        <w:tc>
          <w:tcPr>
            <w:tcW w:w="1660" w:type="dxa"/>
          </w:tcPr>
          <w:p w14:paraId="16F1AE93" w14:textId="51EC194F" w:rsidR="00140DC0" w:rsidRDefault="00140DC0" w:rsidP="00D87FC6">
            <w:pPr>
              <w:pStyle w:val="Tabletext"/>
              <w:rPr>
                <w:rFonts w:ascii="Calibri" w:hAnsi="Calibri" w:cs="Calibri"/>
                <w:sz w:val="20"/>
              </w:rPr>
            </w:pPr>
            <w:r>
              <w:rPr>
                <w:rFonts w:ascii="Calibri" w:hAnsi="Calibri" w:cs="Calibri"/>
                <w:sz w:val="20"/>
              </w:rPr>
              <w:t>Get Grades</w:t>
            </w:r>
          </w:p>
        </w:tc>
        <w:tc>
          <w:tcPr>
            <w:tcW w:w="2196" w:type="dxa"/>
          </w:tcPr>
          <w:p w14:paraId="50C307BB" w14:textId="6993C576" w:rsidR="00140DC0" w:rsidRDefault="00140DC0" w:rsidP="00D87FC6">
            <w:pPr>
              <w:pStyle w:val="Tabletext"/>
              <w:rPr>
                <w:rFonts w:ascii="Calibri" w:hAnsi="Calibri" w:cs="Calibri"/>
                <w:sz w:val="20"/>
              </w:rPr>
            </w:pPr>
            <w:r>
              <w:rPr>
                <w:rFonts w:ascii="Calibri" w:hAnsi="Calibri" w:cs="Calibri"/>
                <w:sz w:val="20"/>
              </w:rPr>
              <w:t>POST api/v1/Waiver/GetGrades</w:t>
            </w:r>
          </w:p>
        </w:tc>
        <w:tc>
          <w:tcPr>
            <w:tcW w:w="5504" w:type="dxa"/>
          </w:tcPr>
          <w:p w14:paraId="650C71F7" w14:textId="650B30EF" w:rsidR="00140DC0" w:rsidRDefault="00140DC0" w:rsidP="00D87FC6">
            <w:pPr>
              <w:pStyle w:val="Tabletext"/>
              <w:rPr>
                <w:rFonts w:ascii="Calibri" w:hAnsi="Calibri" w:cs="Calibri"/>
                <w:sz w:val="20"/>
              </w:rPr>
            </w:pPr>
            <w:r>
              <w:rPr>
                <w:rFonts w:ascii="Calibri" w:hAnsi="Calibri" w:cs="Calibri"/>
                <w:sz w:val="20"/>
              </w:rPr>
              <w:t>Shall return the grades of the PQ Spec Shop product master list. The page shall call it when a terminal is picked.</w:t>
            </w:r>
          </w:p>
        </w:tc>
      </w:tr>
      <w:tr w:rsidR="00140DC0" w:rsidRPr="00C63A98" w14:paraId="69B0C494" w14:textId="77777777" w:rsidTr="00C63A98">
        <w:trPr>
          <w:cantSplit/>
        </w:trPr>
        <w:tc>
          <w:tcPr>
            <w:tcW w:w="1660" w:type="dxa"/>
          </w:tcPr>
          <w:p w14:paraId="0A903B11" w14:textId="79611E55" w:rsidR="00140DC0" w:rsidRDefault="00140DC0" w:rsidP="00D87FC6">
            <w:pPr>
              <w:pStyle w:val="Tabletext"/>
              <w:rPr>
                <w:rFonts w:ascii="Calibri" w:hAnsi="Calibri" w:cs="Calibri"/>
                <w:sz w:val="20"/>
              </w:rPr>
            </w:pPr>
            <w:r>
              <w:rPr>
                <w:rFonts w:ascii="Calibri" w:hAnsi="Calibri" w:cs="Calibri"/>
                <w:sz w:val="20"/>
              </w:rPr>
              <w:t>Get Specification</w:t>
            </w:r>
          </w:p>
        </w:tc>
        <w:tc>
          <w:tcPr>
            <w:tcW w:w="2196" w:type="dxa"/>
          </w:tcPr>
          <w:p w14:paraId="5A36BE03" w14:textId="1DD59718" w:rsidR="00140DC0" w:rsidRDefault="00140DC0" w:rsidP="00D87FC6">
            <w:pPr>
              <w:pStyle w:val="Tabletext"/>
              <w:rPr>
                <w:rFonts w:ascii="Calibri" w:hAnsi="Calibri" w:cs="Calibri"/>
                <w:sz w:val="20"/>
              </w:rPr>
            </w:pPr>
            <w:r>
              <w:rPr>
                <w:rFonts w:ascii="Calibri" w:hAnsi="Calibri" w:cs="Calibri"/>
                <w:sz w:val="20"/>
              </w:rPr>
              <w:t>POST api/v1/Waiver/GetSpecification</w:t>
            </w:r>
          </w:p>
        </w:tc>
        <w:tc>
          <w:tcPr>
            <w:tcW w:w="5504" w:type="dxa"/>
          </w:tcPr>
          <w:p w14:paraId="012453D5" w14:textId="044CC4CD" w:rsidR="00140DC0" w:rsidRDefault="008D4A8B" w:rsidP="00D87FC6">
            <w:pPr>
              <w:pStyle w:val="Tabletext"/>
              <w:rPr>
                <w:rFonts w:ascii="Calibri" w:hAnsi="Calibri" w:cs="Calibri"/>
                <w:sz w:val="20"/>
              </w:rPr>
            </w:pPr>
            <w:r>
              <w:rPr>
                <w:rFonts w:ascii="Calibri" w:hAnsi="Calibri" w:cs="Calibri"/>
                <w:sz w:val="20"/>
              </w:rPr>
              <w:t>Shall return every quality that has a specification for the terminal and grade picked. Once the From Date is picked, each quality shall carry its Default Min and Default Max for that date. The page shall call it when the terminal and the grade are picked, and again when the From Date is picked or changed. The page shall fill the Quality list from the answer and show the Default Min and Default Max of the quality picked.</w:t>
            </w:r>
          </w:p>
        </w:tc>
      </w:tr>
      <w:tr w:rsidR="00140DC0" w:rsidRPr="00C63A98" w14:paraId="2271F642" w14:textId="77777777" w:rsidTr="00C63A98">
        <w:trPr>
          <w:cantSplit/>
        </w:trPr>
        <w:tc>
          <w:tcPr>
            <w:tcW w:w="1660" w:type="dxa"/>
          </w:tcPr>
          <w:p w14:paraId="3F0B9994" w14:textId="17A51C76" w:rsidR="00140DC0" w:rsidRDefault="00140DC0" w:rsidP="00D87FC6">
            <w:pPr>
              <w:pStyle w:val="Tabletext"/>
              <w:rPr>
                <w:rFonts w:ascii="Calibri" w:hAnsi="Calibri" w:cs="Calibri"/>
                <w:sz w:val="20"/>
              </w:rPr>
            </w:pPr>
            <w:r>
              <w:rPr>
                <w:rFonts w:ascii="Calibri" w:hAnsi="Calibri" w:cs="Calibri"/>
                <w:sz w:val="20"/>
              </w:rPr>
              <w:t>Get Batch IDs</w:t>
            </w:r>
          </w:p>
        </w:tc>
        <w:tc>
          <w:tcPr>
            <w:tcW w:w="2196" w:type="dxa"/>
          </w:tcPr>
          <w:p w14:paraId="3B0F93EA" w14:textId="34419B02" w:rsidR="00140DC0" w:rsidRDefault="00140DC0" w:rsidP="00D87FC6">
            <w:pPr>
              <w:pStyle w:val="Tabletext"/>
              <w:rPr>
                <w:rFonts w:ascii="Calibri" w:hAnsi="Calibri" w:cs="Calibri"/>
                <w:sz w:val="20"/>
              </w:rPr>
            </w:pPr>
            <w:r>
              <w:rPr>
                <w:rFonts w:ascii="Calibri" w:hAnsi="Calibri" w:cs="Calibri"/>
                <w:sz w:val="20"/>
              </w:rPr>
              <w:t>POST api/v1/Waiver/GetBatchIds</w:t>
            </w:r>
          </w:p>
        </w:tc>
        <w:tc>
          <w:tcPr>
            <w:tcW w:w="5504" w:type="dxa"/>
          </w:tcPr>
          <w:p w14:paraId="5FAA46FB" w14:textId="53E461C9" w:rsidR="00140DC0" w:rsidRDefault="00140DC0" w:rsidP="00D87FC6">
            <w:pPr>
              <w:pStyle w:val="Tabletext"/>
              <w:rPr>
                <w:rFonts w:ascii="Calibri" w:hAnsi="Calibri" w:cs="Calibri"/>
                <w:sz w:val="20"/>
              </w:rPr>
            </w:pPr>
            <w:r>
              <w:rPr>
                <w:rFonts w:ascii="Calibri" w:hAnsi="Calibri" w:cs="Calibri"/>
                <w:sz w:val="20"/>
              </w:rPr>
              <w:t>Shall return the distinct batch IDs of the IQDM movement data. The page shall call it when the batch-wise section opens.</w:t>
            </w:r>
          </w:p>
        </w:tc>
      </w:tr>
      <w:tr w:rsidR="00140DC0" w:rsidRPr="00C63A98" w14:paraId="2B624389" w14:textId="77777777" w:rsidTr="00C63A98">
        <w:trPr>
          <w:cantSplit/>
        </w:trPr>
        <w:tc>
          <w:tcPr>
            <w:tcW w:w="1660" w:type="dxa"/>
          </w:tcPr>
          <w:p w14:paraId="3E3571E4" w14:textId="7B882F7D" w:rsidR="00140DC0" w:rsidRDefault="00140DC0" w:rsidP="00D87FC6">
            <w:pPr>
              <w:pStyle w:val="Tabletext"/>
              <w:rPr>
                <w:rFonts w:ascii="Calibri" w:hAnsi="Calibri" w:cs="Calibri"/>
                <w:sz w:val="20"/>
              </w:rPr>
            </w:pPr>
            <w:r>
              <w:rPr>
                <w:rFonts w:ascii="Calibri" w:hAnsi="Calibri" w:cs="Calibri"/>
                <w:sz w:val="20"/>
              </w:rPr>
              <w:t>Get Batch Specification</w:t>
            </w:r>
          </w:p>
        </w:tc>
        <w:tc>
          <w:tcPr>
            <w:tcW w:w="2196" w:type="dxa"/>
          </w:tcPr>
          <w:p w14:paraId="235F1DBC" w14:textId="3292B596" w:rsidR="00140DC0" w:rsidRDefault="00140DC0" w:rsidP="00D87FC6">
            <w:pPr>
              <w:pStyle w:val="Tabletext"/>
              <w:rPr>
                <w:rFonts w:ascii="Calibri" w:hAnsi="Calibri" w:cs="Calibri"/>
                <w:sz w:val="20"/>
              </w:rPr>
            </w:pPr>
            <w:r>
              <w:rPr>
                <w:rFonts w:ascii="Calibri" w:hAnsi="Calibri" w:cs="Calibri"/>
                <w:sz w:val="20"/>
              </w:rPr>
              <w:t>POST api/v1/Waiver/GetBatchSpecification</w:t>
            </w:r>
          </w:p>
        </w:tc>
        <w:tc>
          <w:tcPr>
            <w:tcW w:w="5504" w:type="dxa"/>
          </w:tcPr>
          <w:p w14:paraId="130469F9" w14:textId="6ABA9F39" w:rsidR="00140DC0" w:rsidRDefault="008D4A8B" w:rsidP="00D87FC6">
            <w:pPr>
              <w:pStyle w:val="Tabletext"/>
              <w:rPr>
                <w:rFonts w:ascii="Calibri" w:hAnsi="Calibri" w:cs="Calibri"/>
                <w:sz w:val="20"/>
              </w:rPr>
            </w:pPr>
            <w:r>
              <w:rPr>
                <w:rFonts w:ascii="Calibri" w:hAnsi="Calibri" w:cs="Calibri"/>
                <w:sz w:val="20"/>
              </w:rPr>
              <w:t xml:space="preserve">Shall return the grade of the batch picked and every quality that has a specification for the batch, each with its Default Min and Default Max for the source refinery, the destination terminal and the ETA of the batch (section </w:t>
            </w:r>
            <w:r w:rsidR="00FC42E7">
              <w:rPr>
                <w:rFonts w:ascii="Calibri" w:hAnsi="Calibri" w:cs="Calibri"/>
                <w:sz w:val="20"/>
              </w:rPr>
              <w:fldChar w:fldCharType="begin"/>
            </w:r>
            <w:r w:rsidR="00FC42E7">
              <w:rPr>
                <w:rFonts w:ascii="Calibri" w:hAnsi="Calibri" w:cs="Calibri"/>
                <w:sz w:val="20"/>
              </w:rPr>
              <w:instrText xml:space="preserve"> REF _Ref917260939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2.3.2.9</w:t>
            </w:r>
            <w:r w:rsidR="00FC42E7">
              <w:rPr>
                <w:rFonts w:ascii="Calibri" w:hAnsi="Calibri" w:cs="Calibri"/>
                <w:sz w:val="20"/>
              </w:rPr>
              <w:fldChar w:fldCharType="end"/>
            </w:r>
            <w:r>
              <w:rPr>
                <w:rFonts w:ascii="Calibri" w:hAnsi="Calibri" w:cs="Calibri"/>
                <w:sz w:val="20"/>
              </w:rPr>
              <w:t>). The page shall call it when a Batch ID is picked. The page shall fill the Quality list from the answer and show the Default Min and Default Max of the quality picked.</w:t>
            </w:r>
          </w:p>
        </w:tc>
      </w:tr>
      <w:tr w:rsidR="00140DC0" w:rsidRPr="00C63A98" w14:paraId="1B20F839" w14:textId="77777777" w:rsidTr="00C63A98">
        <w:trPr>
          <w:cantSplit/>
        </w:trPr>
        <w:tc>
          <w:tcPr>
            <w:tcW w:w="1660" w:type="dxa"/>
          </w:tcPr>
          <w:p w14:paraId="32E5622E" w14:textId="45EA6788" w:rsidR="00140DC0" w:rsidRDefault="00140DC0" w:rsidP="00D87FC6">
            <w:pPr>
              <w:pStyle w:val="Tabletext"/>
              <w:rPr>
                <w:rFonts w:ascii="Calibri" w:hAnsi="Calibri" w:cs="Calibri"/>
                <w:sz w:val="20"/>
              </w:rPr>
            </w:pPr>
            <w:r>
              <w:rPr>
                <w:rFonts w:ascii="Calibri" w:hAnsi="Calibri" w:cs="Calibri"/>
                <w:sz w:val="20"/>
              </w:rPr>
              <w:t>Save Waivers</w:t>
            </w:r>
          </w:p>
        </w:tc>
        <w:tc>
          <w:tcPr>
            <w:tcW w:w="2196" w:type="dxa"/>
          </w:tcPr>
          <w:p w14:paraId="24F4576E" w14:textId="4C92B2D5" w:rsidR="00140DC0" w:rsidRDefault="00140DC0" w:rsidP="00D87FC6">
            <w:pPr>
              <w:pStyle w:val="Tabletext"/>
              <w:rPr>
                <w:rFonts w:ascii="Calibri" w:hAnsi="Calibri" w:cs="Calibri"/>
                <w:sz w:val="20"/>
              </w:rPr>
            </w:pPr>
            <w:r>
              <w:rPr>
                <w:rFonts w:ascii="Calibri" w:hAnsi="Calibri" w:cs="Calibri"/>
                <w:sz w:val="20"/>
              </w:rPr>
              <w:t>POST api/v1/Waiver/SaveWaivers</w:t>
            </w:r>
          </w:p>
        </w:tc>
        <w:tc>
          <w:tcPr>
            <w:tcW w:w="5504" w:type="dxa"/>
          </w:tcPr>
          <w:p w14:paraId="4CCACCD5" w14:textId="74C1AC57" w:rsidR="00140DC0" w:rsidRDefault="00140DC0" w:rsidP="00D87FC6">
            <w:pPr>
              <w:pStyle w:val="Tabletext"/>
              <w:rPr>
                <w:rFonts w:ascii="Calibri" w:hAnsi="Calibri" w:cs="Calibri"/>
                <w:sz w:val="20"/>
              </w:rPr>
            </w:pPr>
            <w:r>
              <w:rPr>
                <w:rFonts w:ascii="Calibri" w:hAnsi="Calibri" w:cs="Calibri"/>
                <w:sz w:val="20"/>
              </w:rPr>
              <w:t xml:space="preserve">Shall check the rows again and </w:t>
            </w:r>
            <w:r w:rsidR="00144FA3">
              <w:rPr>
                <w:rFonts w:ascii="Calibri" w:hAnsi="Calibri" w:cs="Calibri"/>
                <w:sz w:val="20"/>
              </w:rPr>
              <w:t>save the waivers in the IQDM database through the stored procedure of the database team.</w:t>
            </w:r>
            <w:r>
              <w:rPr>
                <w:rFonts w:ascii="Calibri" w:hAnsi="Calibri" w:cs="Calibri"/>
                <w:sz w:val="20"/>
              </w:rPr>
              <w:t xml:space="preserve"> </w:t>
            </w:r>
            <w:r w:rsidR="009C3F56">
              <w:rPr>
                <w:rFonts w:ascii="Calibri" w:hAnsi="Calibri" w:cs="Calibri"/>
                <w:sz w:val="20"/>
              </w:rPr>
              <w:t>A row whose quality has no specification for its terminal and grade, or for its batch, shall be left out, and an MDM error notification shall be sent. The page shall call it when Submit waivers is pressed.</w:t>
            </w:r>
          </w:p>
        </w:tc>
      </w:tr>
      <w:tr w:rsidR="00F80961" w:rsidRPr="00C63A98" w14:paraId="1DD0AE5C" w14:textId="77777777" w:rsidTr="00C63A98">
        <w:trPr>
          <w:cantSplit/>
        </w:trPr>
        <w:tc>
          <w:tcPr>
            <w:tcW w:w="1660" w:type="dxa"/>
          </w:tcPr>
          <w:p w14:paraId="7CBB7273" w14:textId="215BE15C" w:rsidR="00F80961" w:rsidRPr="00C63A98" w:rsidRDefault="00F80961" w:rsidP="006958CC">
            <w:pPr>
              <w:pStyle w:val="Tabletext"/>
              <w:keepNext/>
              <w:rPr>
                <w:rFonts w:ascii="Calibri" w:hAnsi="Calibri" w:cs="Calibri"/>
                <w:sz w:val="20"/>
              </w:rPr>
            </w:pPr>
            <w:r>
              <w:rPr>
                <w:rFonts w:ascii="Calibri" w:hAnsi="Calibri" w:cs="Calibri"/>
                <w:sz w:val="20"/>
              </w:rPr>
              <w:t>Permissions</w:t>
            </w:r>
          </w:p>
        </w:tc>
        <w:tc>
          <w:tcPr>
            <w:tcW w:w="2196" w:type="dxa"/>
          </w:tcPr>
          <w:p w14:paraId="3E22B351" w14:textId="4BACEDBB" w:rsidR="00F80961" w:rsidRPr="00C63A98" w:rsidRDefault="00F80961" w:rsidP="006958CC">
            <w:pPr>
              <w:pStyle w:val="Tabletext"/>
              <w:keepNext/>
              <w:rPr>
                <w:rFonts w:ascii="Calibri" w:hAnsi="Calibri" w:cs="Calibri"/>
                <w:sz w:val="20"/>
              </w:rPr>
            </w:pPr>
            <w:r>
              <w:rPr>
                <w:rFonts w:ascii="Calibri" w:hAnsi="Calibri" w:cs="Calibri"/>
                <w:sz w:val="20"/>
              </w:rPr>
              <w:t>Read quality for the default values; modify quality for the save</w:t>
            </w:r>
          </w:p>
        </w:tc>
        <w:tc>
          <w:tcPr>
            <w:tcW w:w="5504" w:type="dxa"/>
          </w:tcPr>
          <w:p w14:paraId="544608E9" w14:textId="0D87E305" w:rsidR="00F80961" w:rsidRPr="00C63A98" w:rsidRDefault="008F2422" w:rsidP="006958CC">
            <w:pPr>
              <w:pStyle w:val="Tabletext"/>
              <w:keepNext/>
              <w:rPr>
                <w:rFonts w:ascii="Calibri" w:hAnsi="Calibri" w:cs="Calibri"/>
                <w:sz w:val="20"/>
              </w:rPr>
            </w:pPr>
            <w:r>
              <w:rPr>
                <w:rFonts w:ascii="Calibri" w:hAnsi="Calibri" w:cs="Calibri"/>
                <w:sz w:val="20"/>
              </w:rPr>
              <w:t>The calls shall use the existing permissions of the CIP Quality domain API.</w:t>
            </w:r>
          </w:p>
        </w:tc>
      </w:tr>
    </w:tbl>
    <w:p w14:paraId="007B3C77" w14:textId="449ED9D9" w:rsidR="00F80961" w:rsidRDefault="00F80961" w:rsidP="00F80961">
      <w:pPr>
        <w:pStyle w:val="Caption"/>
      </w:pPr>
      <w:bookmarkStart w:id="247" w:name="_Toc242554032"/>
      <w:r>
        <w:t xml:space="preserve">Table </w:t>
      </w:r>
      <w:bookmarkStart w:id="248" w:name="_Ref917260961"/>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34</w:t>
      </w:r>
      <w:r>
        <w:fldChar w:fldCharType="end"/>
      </w:r>
      <w:bookmarkEnd w:id="248"/>
      <w:r>
        <w:t xml:space="preserve">: </w:t>
      </w:r>
      <w:r w:rsidR="00140DC0">
        <w:t>Waiver Selection - Specifics</w:t>
      </w:r>
      <w:bookmarkEnd w:id="247"/>
    </w:p>
    <w:p w14:paraId="3CAF0374" w14:textId="5D04E1FA" w:rsidR="00873A53" w:rsidRDefault="00FC42E7" w:rsidP="00FC42E7">
      <w:pPr>
        <w:keepNext/>
        <w:jc w:val="left"/>
      </w:pPr>
      <w:r>
        <w:t>The Waiver Selection page shall work as follows:</w:t>
      </w:r>
    </w:p>
    <w:p w14:paraId="0FCA99DB" w14:textId="5FC9557F" w:rsidR="00FC42E7" w:rsidRPr="00EC3682" w:rsidRDefault="00FC42E7" w:rsidP="00FC42E7">
      <w:pPr>
        <w:pStyle w:val="ListParagraph"/>
        <w:numPr>
          <w:ilvl w:val="0"/>
          <w:numId w:val="4"/>
        </w:numPr>
        <w:jc w:val="left"/>
        <w:rPr>
          <w:rFonts w:ascii="Calibri" w:hAnsi="Calibri" w:cs="Calibri"/>
        </w:rPr>
      </w:pPr>
      <w:r>
        <w:t>Screen: the user shall enter the waivers on the Waiver Selection page of the Core Capabilities UI (Blazor).</w:t>
      </w:r>
    </w:p>
    <w:p w14:paraId="764C539E" w14:textId="0F3F61CE" w:rsidR="00FC42E7" w:rsidRPr="00EC3682" w:rsidRDefault="00FC42E7" w:rsidP="00FC42E7">
      <w:pPr>
        <w:pStyle w:val="ListParagraph"/>
        <w:numPr>
          <w:ilvl w:val="0"/>
          <w:numId w:val="4"/>
        </w:numPr>
        <w:jc w:val="left"/>
        <w:rPr>
          <w:rFonts w:ascii="Calibri" w:hAnsi="Calibri" w:cs="Calibri"/>
        </w:rPr>
      </w:pPr>
      <w:r>
        <w:t>Screen: the VCB Power BI dashboard shall show the waivers read-only and shall carry a link that opens this page.</w:t>
      </w:r>
    </w:p>
    <w:p w14:paraId="497E3993" w14:textId="0D9FCDFC" w:rsidR="00FC42E7" w:rsidRPr="00EC3682" w:rsidRDefault="00FC42E7" w:rsidP="00FC42E7">
      <w:pPr>
        <w:pStyle w:val="ListParagraph"/>
        <w:numPr>
          <w:ilvl w:val="0"/>
          <w:numId w:val="4"/>
        </w:numPr>
        <w:jc w:val="left"/>
        <w:rPr>
          <w:rFonts w:ascii="Calibri" w:hAnsi="Calibri" w:cs="Calibri"/>
        </w:rPr>
      </w:pPr>
      <w:r>
        <w:t>Service: the page shall call the Waiver Request Service of the CIP Quality domain API.</w:t>
      </w:r>
    </w:p>
    <w:p w14:paraId="1C4DABCA" w14:textId="03B997B9" w:rsidR="00FC42E7" w:rsidRPr="00EC3682" w:rsidRDefault="00FC42E7" w:rsidP="00FC42E7">
      <w:pPr>
        <w:pStyle w:val="ListParagraph"/>
        <w:numPr>
          <w:ilvl w:val="0"/>
          <w:numId w:val="4"/>
        </w:numPr>
        <w:jc w:val="left"/>
        <w:rPr>
          <w:rFonts w:ascii="Calibri" w:hAnsi="Calibri" w:cs="Calibri"/>
        </w:rPr>
      </w:pPr>
      <w:r>
        <w:t>Service: the Waiver Response Service shall read the default values from the IQDM database, and the Waiver Request Service shall save the waivers there.</w:t>
      </w:r>
    </w:p>
    <w:p w14:paraId="116D2921" w14:textId="32709261" w:rsidR="00FC42E7" w:rsidRPr="00EC3682" w:rsidRDefault="00FC42E7" w:rsidP="00FC42E7">
      <w:pPr>
        <w:pStyle w:val="ListParagraph"/>
        <w:numPr>
          <w:ilvl w:val="0"/>
          <w:numId w:val="4"/>
        </w:numPr>
        <w:jc w:val="left"/>
        <w:rPr>
          <w:rFonts w:ascii="Calibri" w:hAnsi="Calibri" w:cs="Calibri"/>
        </w:rPr>
      </w:pPr>
      <w:r>
        <w:t xml:space="preserve">Service: the six calls of Table </w:t>
      </w:r>
      <w:r>
        <w:fldChar w:fldCharType="begin"/>
      </w:r>
      <w:r>
        <w:instrText xml:space="preserve"> REF _Ref917260961 \h \* MERGEFORMAT </w:instrText>
      </w:r>
      <w:r>
        <w:fldChar w:fldCharType="separate"/>
      </w:r>
      <w:r w:rsidRPr="00FC42E7">
        <w:rPr>
          <w:noProof/>
          <w:color w:val="0563C1"/>
          <w:u w:val="single"/>
        </w:rPr>
        <w:t>2-34</w:t>
      </w:r>
      <w:r>
        <w:fldChar w:fldCharType="end"/>
      </w:r>
      <w:r>
        <w:t xml:space="preserve"> shall be added to this API as new endpoints, under its existing read quality and modify quality permissions.</w:t>
      </w:r>
    </w:p>
    <w:p w14:paraId="624D73A2" w14:textId="2872B0ED" w:rsidR="00FC42E7" w:rsidRPr="00EC3682" w:rsidRDefault="00FC42E7" w:rsidP="00FC42E7">
      <w:pPr>
        <w:pStyle w:val="ListParagraph"/>
        <w:numPr>
          <w:ilvl w:val="0"/>
          <w:numId w:val="4"/>
        </w:numPr>
        <w:jc w:val="left"/>
        <w:rPr>
          <w:rFonts w:ascii="Calibri" w:hAnsi="Calibri" w:cs="Calibri"/>
        </w:rPr>
      </w:pPr>
      <w:r>
        <w:t>Sections: the page shall have two sections, State-wise and Batch-wise, which shall be edited independently.</w:t>
      </w:r>
    </w:p>
    <w:p w14:paraId="64314887" w14:textId="24A294AA" w:rsidR="00FC42E7" w:rsidRPr="00EC3682" w:rsidRDefault="00FC42E7" w:rsidP="00FC42E7">
      <w:pPr>
        <w:pStyle w:val="ListParagraph"/>
        <w:numPr>
          <w:ilvl w:val="0"/>
          <w:numId w:val="4"/>
        </w:numPr>
        <w:jc w:val="left"/>
        <w:rPr>
          <w:rFonts w:ascii="Calibri" w:hAnsi="Calibri" w:cs="Calibri"/>
        </w:rPr>
      </w:pPr>
      <w:r>
        <w:t>Sections: the Submit waivers button at the top of the page shall submit the waivers entered in both sections.</w:t>
      </w:r>
    </w:p>
    <w:p w14:paraId="3B90D76A" w14:textId="55C678EA" w:rsidR="00FC42E7" w:rsidRPr="00EC3682" w:rsidRDefault="00FC42E7" w:rsidP="00FC42E7">
      <w:pPr>
        <w:pStyle w:val="ListParagraph"/>
        <w:numPr>
          <w:ilvl w:val="0"/>
          <w:numId w:val="4"/>
        </w:numPr>
        <w:jc w:val="left"/>
        <w:rPr>
          <w:rFonts w:ascii="Calibri" w:hAnsi="Calibri" w:cs="Calibri"/>
        </w:rPr>
      </w:pPr>
      <w:r>
        <w:t>State-wise: each row shall hold the Terminal, the Grade, the From Date, the To Date, the Quality, the Default Min, the Default Max, the Revised Min and the Revised Max.</w:t>
      </w:r>
    </w:p>
    <w:p w14:paraId="033E6829" w14:textId="70C3111A" w:rsidR="00FC42E7" w:rsidRPr="00EC3682" w:rsidRDefault="00FC42E7" w:rsidP="00FC42E7">
      <w:pPr>
        <w:pStyle w:val="ListParagraph"/>
        <w:numPr>
          <w:ilvl w:val="0"/>
          <w:numId w:val="4"/>
        </w:numPr>
        <w:jc w:val="left"/>
        <w:rPr>
          <w:rFonts w:ascii="Calibri" w:hAnsi="Calibri" w:cs="Calibri"/>
        </w:rPr>
      </w:pPr>
      <w:r>
        <w:t>State-wise: the user shall pick the Terminal and the Grade from the PQ Spec Shop terminal and product master lists, and then the Quality from the qualities that have a specification for the terminal and grade picked.</w:t>
      </w:r>
    </w:p>
    <w:p w14:paraId="2BA31B25" w14:textId="7D50B082" w:rsidR="00FC42E7" w:rsidRPr="00EC3682" w:rsidRDefault="00FC42E7" w:rsidP="00FC42E7">
      <w:pPr>
        <w:pStyle w:val="ListParagraph"/>
        <w:numPr>
          <w:ilvl w:val="0"/>
          <w:numId w:val="4"/>
        </w:numPr>
        <w:jc w:val="left"/>
        <w:rPr>
          <w:rFonts w:ascii="Calibri" w:hAnsi="Calibri" w:cs="Calibri"/>
        </w:rPr>
      </w:pPr>
      <w:r>
        <w:t>State-wise: the user shall pick the From Date and the To Date from a calendar and enter the Revised Min and the Revised Max.</w:t>
      </w:r>
    </w:p>
    <w:p w14:paraId="0D9316DA" w14:textId="630A84BA" w:rsidR="00FC42E7" w:rsidRPr="00EC3682" w:rsidRDefault="00FC42E7" w:rsidP="00FC42E7">
      <w:pPr>
        <w:pStyle w:val="ListParagraph"/>
        <w:numPr>
          <w:ilvl w:val="0"/>
          <w:numId w:val="4"/>
        </w:numPr>
        <w:jc w:val="left"/>
        <w:rPr>
          <w:rFonts w:ascii="Calibri" w:hAnsi="Calibri" w:cs="Calibri"/>
        </w:rPr>
      </w:pPr>
      <w:r>
        <w:t>State-wise: the Waiver Response Service shall fill in the Default Min and the Default Max for the From Date, as described below.</w:t>
      </w:r>
    </w:p>
    <w:p w14:paraId="4C606AD0" w14:textId="3CAB24AA" w:rsidR="00FC42E7" w:rsidRPr="00EC3682" w:rsidRDefault="00FC42E7" w:rsidP="00FC42E7">
      <w:pPr>
        <w:pStyle w:val="ListParagraph"/>
        <w:numPr>
          <w:ilvl w:val="0"/>
          <w:numId w:val="4"/>
        </w:numPr>
        <w:jc w:val="left"/>
        <w:rPr>
          <w:rFonts w:ascii="Calibri" w:hAnsi="Calibri" w:cs="Calibri"/>
        </w:rPr>
      </w:pPr>
      <w:r>
        <w:t>Batch-wise: each row shall hold the Batch ID, the Grade, the Quality, the Default Min, the Default Max, the Revised Min and the Revised Max.</w:t>
      </w:r>
    </w:p>
    <w:p w14:paraId="7CDFD215" w14:textId="4DBB4B36" w:rsidR="00FC42E7" w:rsidRPr="00EC3682" w:rsidRDefault="00FC42E7" w:rsidP="00FC42E7">
      <w:pPr>
        <w:pStyle w:val="ListParagraph"/>
        <w:numPr>
          <w:ilvl w:val="0"/>
          <w:numId w:val="4"/>
        </w:numPr>
        <w:jc w:val="left"/>
        <w:rPr>
          <w:rFonts w:ascii="Calibri" w:hAnsi="Calibri" w:cs="Calibri"/>
        </w:rPr>
      </w:pPr>
      <w:r>
        <w:t>Batch-wise: the user shall pick the Batch ID from the batches in the IQDM database, and the Grade of the batch shall then be filled in and shown read-only.</w:t>
      </w:r>
    </w:p>
    <w:p w14:paraId="516E245B" w14:textId="7F27AF02" w:rsidR="00FC42E7" w:rsidRPr="00EC3682" w:rsidRDefault="00FC42E7" w:rsidP="00FC42E7">
      <w:pPr>
        <w:pStyle w:val="ListParagraph"/>
        <w:numPr>
          <w:ilvl w:val="0"/>
          <w:numId w:val="4"/>
        </w:numPr>
        <w:jc w:val="left"/>
        <w:rPr>
          <w:rFonts w:ascii="Calibri" w:hAnsi="Calibri" w:cs="Calibri"/>
        </w:rPr>
      </w:pPr>
      <w:r>
        <w:t>Batch-wise: the user shall pick the Quality from the qualities that have a specification for the batch picked and enter the Revised Min and the Revised Max.</w:t>
      </w:r>
    </w:p>
    <w:p w14:paraId="18CB801D" w14:textId="2F7EA78B" w:rsidR="00FC42E7" w:rsidRPr="00EC3682" w:rsidRDefault="00FC42E7" w:rsidP="00FC42E7">
      <w:pPr>
        <w:pStyle w:val="ListParagraph"/>
        <w:numPr>
          <w:ilvl w:val="0"/>
          <w:numId w:val="4"/>
        </w:numPr>
        <w:jc w:val="left"/>
        <w:rPr>
          <w:rFonts w:ascii="Calibri" w:hAnsi="Calibri" w:cs="Calibri"/>
        </w:rPr>
      </w:pPr>
      <w:r>
        <w:t>Batch-wise: the Waiver Response Service shall fill in the Default Min and the Default Max for the batch, as described below.</w:t>
      </w:r>
    </w:p>
    <w:p w14:paraId="04BBF759" w14:textId="17D2C045" w:rsidR="00F80961" w:rsidRPr="00EC3682" w:rsidRDefault="00F80961" w:rsidP="00F80961">
      <w:pPr>
        <w:pStyle w:val="ListParagraph"/>
        <w:numPr>
          <w:ilvl w:val="0"/>
          <w:numId w:val="4"/>
        </w:numPr>
        <w:jc w:val="left"/>
        <w:rPr>
          <w:rFonts w:ascii="Calibri" w:hAnsi="Calibri" w:cs="Calibri"/>
        </w:rPr>
      </w:pPr>
      <w:r>
        <w:t>Rows: in each section, the user shall add a row with the + Add row button and remove a row with its Delete icon.</w:t>
      </w:r>
    </w:p>
    <w:p w14:paraId="67E22BBC" w14:textId="304F7475" w:rsidR="00FC42E7" w:rsidRPr="00EC3682" w:rsidRDefault="00FC42E7" w:rsidP="00FC42E7">
      <w:pPr>
        <w:pStyle w:val="ListParagraph"/>
        <w:numPr>
          <w:ilvl w:val="0"/>
          <w:numId w:val="4"/>
        </w:numPr>
        <w:jc w:val="left"/>
        <w:rPr>
          <w:rFonts w:ascii="Calibri" w:hAnsi="Calibri" w:cs="Calibri"/>
        </w:rPr>
      </w:pPr>
      <w:r>
        <w:t>Entry: the Terminal, the Grade, the Quality and the Batch ID shall be picked from dropdowns, and the From Date and the To Date from a calendar.</w:t>
      </w:r>
    </w:p>
    <w:p w14:paraId="16602190" w14:textId="482E2836" w:rsidR="00FC42E7" w:rsidRPr="00EC3682" w:rsidRDefault="00FC42E7" w:rsidP="00FC42E7">
      <w:pPr>
        <w:pStyle w:val="ListParagraph"/>
        <w:numPr>
          <w:ilvl w:val="0"/>
          <w:numId w:val="4"/>
        </w:numPr>
        <w:jc w:val="left"/>
        <w:rPr>
          <w:rFonts w:ascii="Calibri" w:hAnsi="Calibri" w:cs="Calibri"/>
        </w:rPr>
      </w:pPr>
      <w:r>
        <w:t>Entry: the Terminal, the Grade, the Quality, the Batch ID and the dates shall never be typed as free text.</w:t>
      </w:r>
    </w:p>
    <w:p w14:paraId="16C9CA44" w14:textId="6BE82EBA" w:rsidR="00140DC0" w:rsidRPr="00EC3682" w:rsidRDefault="00140DC0" w:rsidP="00140DC0">
      <w:pPr>
        <w:pStyle w:val="ListParagraph"/>
        <w:numPr>
          <w:ilvl w:val="0"/>
          <w:numId w:val="4"/>
        </w:numPr>
        <w:jc w:val="left"/>
        <w:rPr>
          <w:rFonts w:ascii="Calibri" w:hAnsi="Calibri" w:cs="Calibri"/>
        </w:rPr>
      </w:pPr>
      <w:r>
        <w:t>Validation: before the save, the page shall check that the Revised Min and the Revised Max are numbers, and the Waiver Request Service shall run the same check again.</w:t>
      </w:r>
    </w:p>
    <w:p w14:paraId="40A5CE23" w14:textId="7C182FE9" w:rsidR="00FC42E7" w:rsidRPr="00EC3682" w:rsidRDefault="00FC42E7" w:rsidP="00FC42E7">
      <w:pPr>
        <w:pStyle w:val="ListParagraph"/>
        <w:numPr>
          <w:ilvl w:val="0"/>
          <w:numId w:val="4"/>
        </w:numPr>
        <w:jc w:val="left"/>
        <w:rPr>
          <w:rFonts w:ascii="Calibri" w:hAnsi="Calibri" w:cs="Calibri"/>
        </w:rPr>
      </w:pPr>
      <w:r>
        <w:t>Default Min and Default Max: the Waiver Response Service shall read the specification rows in the product_specification table of the IQDM database that apply to the waiver row (terminal or batch, grade, quality and date).</w:t>
      </w:r>
    </w:p>
    <w:p w14:paraId="7254C756" w14:textId="11AE6F0D" w:rsidR="00FC42E7" w:rsidRPr="00EC3682" w:rsidRDefault="00FC42E7" w:rsidP="00FC42E7">
      <w:pPr>
        <w:pStyle w:val="ListParagraph"/>
        <w:numPr>
          <w:ilvl w:val="0"/>
          <w:numId w:val="4"/>
        </w:numPr>
        <w:jc w:val="left"/>
        <w:rPr>
          <w:rFonts w:ascii="Calibri" w:hAnsi="Calibri" w:cs="Calibri"/>
        </w:rPr>
      </w:pPr>
      <w:r>
        <w:t xml:space="preserve">Default Min and Default Max: the rows shall be selected as in section </w:t>
      </w:r>
      <w:r>
        <w:fldChar w:fldCharType="begin"/>
      </w:r>
      <w:r>
        <w:instrText xml:space="preserve"> REF _Ref917260939 \w \h \* MERGEFORMAT </w:instrText>
      </w:r>
      <w:r>
        <w:fldChar w:fldCharType="separate"/>
      </w:r>
      <w:r w:rsidRPr="00FC42E7">
        <w:rPr>
          <w:color w:val="0563C1"/>
          <w:u w:val="single"/>
        </w:rPr>
        <w:t>2.3.2.9</w:t>
      </w:r>
      <w:r>
        <w:fldChar w:fldCharType="end"/>
      </w:r>
      <w:r>
        <w:t>.</w:t>
      </w:r>
    </w:p>
    <w:p w14:paraId="10AD44F9" w14:textId="2B9874A1" w:rsidR="00873A53" w:rsidRPr="00EC3682" w:rsidRDefault="00873A53" w:rsidP="00873A53">
      <w:pPr>
        <w:pStyle w:val="ListParagraph"/>
        <w:numPr>
          <w:ilvl w:val="0"/>
          <w:numId w:val="4"/>
        </w:numPr>
        <w:jc w:val="left"/>
        <w:rPr>
          <w:rFonts w:ascii="Calibri" w:hAnsi="Calibri" w:cs="Calibri"/>
        </w:rPr>
      </w:pPr>
      <w:r>
        <w:t>When more than one row applies, the Default Min shall be the highest of their minimum values and the Default Max shall be the lowest of their maximum values.</w:t>
      </w:r>
    </w:p>
    <w:p w14:paraId="493A8B58" w14:textId="3B6557B4" w:rsidR="00873A53" w:rsidRPr="00EC3682" w:rsidRDefault="00873A53" w:rsidP="00873A53">
      <w:pPr>
        <w:pStyle w:val="ListParagraph"/>
        <w:numPr>
          <w:ilvl w:val="0"/>
          <w:numId w:val="4"/>
        </w:numPr>
        <w:jc w:val="left"/>
        <w:rPr>
          <w:rFonts w:ascii="Calibri" w:hAnsi="Calibri" w:cs="Calibri"/>
        </w:rPr>
      </w:pPr>
      <w:r>
        <w:t>Example: if two rows give the minimums 9.0 and 9.5 and the maximums 11.5 and 12.0, the Default Min shall be 9.5 and the Default Max shall be 11.5.</w:t>
      </w:r>
    </w:p>
    <w:p w14:paraId="5035EAB5" w14:textId="45BE7E81" w:rsidR="00FC42E7" w:rsidRPr="00EC3682" w:rsidRDefault="00FC42E7" w:rsidP="00FC42E7">
      <w:pPr>
        <w:pStyle w:val="ListParagraph"/>
        <w:numPr>
          <w:ilvl w:val="0"/>
          <w:numId w:val="4"/>
        </w:numPr>
        <w:jc w:val="left"/>
        <w:rPr>
          <w:rFonts w:ascii="Calibri" w:hAnsi="Calibri" w:cs="Calibri"/>
        </w:rPr>
      </w:pPr>
      <w:r>
        <w:t>The gold source of the specifications shall be PQ Spec Shop.</w:t>
      </w:r>
    </w:p>
    <w:p w14:paraId="26BBD29D" w14:textId="1B728FBA" w:rsidR="00FC42E7" w:rsidRPr="00EC3682" w:rsidRDefault="00FC42E7" w:rsidP="00FC42E7">
      <w:pPr>
        <w:pStyle w:val="ListParagraph"/>
        <w:numPr>
          <w:ilvl w:val="0"/>
          <w:numId w:val="4"/>
        </w:numPr>
        <w:jc w:val="left"/>
        <w:rPr>
          <w:rFonts w:ascii="Calibri" w:hAnsi="Calibri" w:cs="Calibri"/>
        </w:rPr>
      </w:pPr>
      <w:r>
        <w:t>The database team shall set up the storage of the waivers in the IQDM database and make it final in IQDM Release 5.</w:t>
      </w:r>
    </w:p>
    <w:p w14:paraId="06714737" w14:textId="36AAC860" w:rsidR="00FC42E7" w:rsidRPr="00EC3682" w:rsidRDefault="00FC42E7" w:rsidP="00FC42E7">
      <w:pPr>
        <w:pStyle w:val="ListParagraph"/>
        <w:numPr>
          <w:ilvl w:val="0"/>
          <w:numId w:val="4"/>
        </w:numPr>
        <w:jc w:val="left"/>
        <w:rPr>
          <w:rFonts w:ascii="Calibri" w:hAnsi="Calibri" w:cs="Calibri"/>
        </w:rPr>
      </w:pPr>
      <w:r>
        <w:t>Every terminal and grade, and every batch, on the Waiver Selection page shall be assumed to have its qualities in the product specifications, so the Quality list of the page shall never be empty.</w:t>
      </w:r>
    </w:p>
    <w:p w14:paraId="539D0768" w14:textId="7DEF0ED2" w:rsidR="00687F84" w:rsidRDefault="00687F84" w:rsidP="00687F84">
      <w:pPr>
        <w:pStyle w:val="Heading6"/>
        <w:rPr>
          <w:rFonts w:ascii="Calibri" w:hAnsi="Calibri" w:cs="Calibri"/>
          <w:sz w:val="20"/>
        </w:rPr>
      </w:pPr>
      <w:r>
        <w:rPr>
          <w:rFonts w:ascii="Calibri" w:hAnsi="Calibri" w:cs="Calibri"/>
          <w:sz w:val="20"/>
        </w:rPr>
        <w:t>API Endpoints</w:t>
      </w:r>
    </w:p>
    <w:p w14:paraId="02B3C31A" w14:textId="27AF535F" w:rsidR="00FC42E7" w:rsidRPr="00FC42E7" w:rsidRDefault="00FC42E7" w:rsidP="00FC42E7">
      <w:pPr>
        <w:pStyle w:val="ListParagraph"/>
        <w:numPr>
          <w:ilvl w:val="0"/>
          <w:numId w:val="4"/>
        </w:numPr>
        <w:jc w:val="left"/>
      </w:pPr>
      <w:r w:rsidRPr="00FC42E7">
        <w:t>The Waiver Request Service of the CIP Quality domain API shall be the API endpoint of the waiver selection.</w:t>
      </w:r>
    </w:p>
    <w:p w14:paraId="5E7293B5" w14:textId="565753A5" w:rsidR="00FC42E7" w:rsidRPr="00EC3682" w:rsidRDefault="00FC42E7" w:rsidP="00FC42E7">
      <w:pPr>
        <w:pStyle w:val="ListParagraph"/>
        <w:numPr>
          <w:ilvl w:val="0"/>
          <w:numId w:val="4"/>
        </w:numPr>
        <w:jc w:val="left"/>
        <w:rPr>
          <w:rFonts w:ascii="Calibri" w:hAnsi="Calibri" w:cs="Calibri"/>
        </w:rPr>
      </w:pPr>
      <w:r>
        <w:t>The request and response endpoints shall be POST actions.</w:t>
      </w:r>
    </w:p>
    <w:p w14:paraId="3BCAD8B5" w14:textId="29C2FC8C" w:rsidR="00FC42E7" w:rsidRPr="00EC3682" w:rsidRDefault="00FC42E7" w:rsidP="00FC42E7">
      <w:pPr>
        <w:pStyle w:val="ListParagraph"/>
        <w:numPr>
          <w:ilvl w:val="0"/>
          <w:numId w:val="4"/>
        </w:numPr>
        <w:jc w:val="left"/>
        <w:rPr>
          <w:rFonts w:ascii="Calibri" w:hAnsi="Calibri" w:cs="Calibri"/>
        </w:rPr>
      </w:pPr>
      <w:r>
        <w:t xml:space="preserve">The request header shall be that of Table </w:t>
      </w:r>
      <w:r>
        <w:fldChar w:fldCharType="begin"/>
      </w:r>
      <w:r>
        <w:instrText xml:space="preserve"> REF _Ref917260927 \h \* MERGEFORMAT </w:instrText>
      </w:r>
      <w:r>
        <w:fldChar w:fldCharType="separate"/>
      </w:r>
      <w:r w:rsidRPr="00FC42E7">
        <w:rPr>
          <w:noProof/>
          <w:color w:val="0563C1"/>
          <w:u w:val="single"/>
        </w:rPr>
        <w:t>2-5</w:t>
      </w:r>
      <w:r>
        <w:fldChar w:fldCharType="end"/>
      </w:r>
      <w:r>
        <w:t>.</w:t>
      </w:r>
    </w:p>
    <w:p w14:paraId="446171B0" w14:textId="3BAF47E1" w:rsidR="00FC42E7" w:rsidRPr="00EC3682" w:rsidRDefault="00FC42E7" w:rsidP="00FC42E7">
      <w:pPr>
        <w:pStyle w:val="ListParagraph"/>
        <w:numPr>
          <w:ilvl w:val="0"/>
          <w:numId w:val="4"/>
        </w:numPr>
        <w:jc w:val="left"/>
        <w:rPr>
          <w:rFonts w:ascii="Calibri" w:hAnsi="Calibri" w:cs="Calibri"/>
        </w:rPr>
      </w:pPr>
      <w:r>
        <w:t>Get Terminals, Get Grades and Get Batch IDs shall take no body parameter.</w:t>
      </w:r>
    </w:p>
    <w:p w14:paraId="1F5E854E" w14:textId="38D901F0" w:rsidR="00FC42E7" w:rsidRPr="00EC3682" w:rsidRDefault="00FC42E7" w:rsidP="00FC42E7">
      <w:pPr>
        <w:pStyle w:val="ListParagraph"/>
        <w:numPr>
          <w:ilvl w:val="0"/>
          <w:numId w:val="4"/>
        </w:numPr>
        <w:jc w:val="left"/>
        <w:rPr>
          <w:rFonts w:ascii="Calibri" w:hAnsi="Calibri" w:cs="Calibri"/>
        </w:rPr>
      </w:pPr>
      <w:r>
        <w:t>The body parameters shall apply to Get Specification, Get Batch Specification and Save Waivers.</w:t>
      </w:r>
    </w:p>
    <w:p w14:paraId="6C9837D7" w14:textId="51E314BB" w:rsidR="00F80961" w:rsidRPr="0081216E" w:rsidRDefault="00FC42E7" w:rsidP="00FC42E7">
      <w:pPr>
        <w:keepNext/>
        <w:jc w:val="left"/>
        <w:rPr>
          <w:rFonts w:ascii="Calibri" w:hAnsi="Calibri" w:cs="Calibri"/>
        </w:rPr>
      </w:pPr>
      <w:r>
        <w:rPr>
          <w:rFonts w:ascii="Calibri" w:hAnsi="Calibri" w:cs="Calibri"/>
        </w:rPr>
        <w:t>The table below gives the body parameters of the Waiver Request.</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87"/>
        <w:gridCol w:w="4168"/>
        <w:gridCol w:w="1492"/>
        <w:gridCol w:w="1613"/>
      </w:tblGrid>
      <w:tr w:rsidR="00F80961" w:rsidRPr="00C63A98" w14:paraId="5B035E89" w14:textId="77777777" w:rsidTr="00C63A98">
        <w:trPr>
          <w:cantSplit/>
          <w:tblHeader/>
        </w:trPr>
        <w:tc>
          <w:tcPr>
            <w:tcW w:w="2087" w:type="dxa"/>
            <w:shd w:val="clear" w:color="auto" w:fill="2F5597"/>
          </w:tcPr>
          <w:p w14:paraId="411D4E2D" w14:textId="77777777" w:rsidR="00F80961" w:rsidRPr="00C63A98" w:rsidRDefault="00F80961" w:rsidP="00AA30D8">
            <w:pPr>
              <w:pStyle w:val="Tablehead1"/>
              <w:rPr>
                <w:rFonts w:ascii="Calibri" w:hAnsi="Calibri" w:cs="Calibri"/>
                <w:sz w:val="20"/>
              </w:rPr>
            </w:pPr>
            <w:r w:rsidRPr="00C63A98">
              <w:rPr>
                <w:rFonts w:ascii="Calibri" w:hAnsi="Calibri" w:cs="Calibri"/>
                <w:sz w:val="20"/>
              </w:rPr>
              <w:t>Parameter</w:t>
            </w:r>
          </w:p>
        </w:tc>
        <w:tc>
          <w:tcPr>
            <w:tcW w:w="4168" w:type="dxa"/>
            <w:shd w:val="clear" w:color="auto" w:fill="2F5597"/>
          </w:tcPr>
          <w:p w14:paraId="1C4CFE73" w14:textId="77777777" w:rsidR="00F80961" w:rsidRPr="00C63A98" w:rsidRDefault="00F80961" w:rsidP="00AA30D8">
            <w:pPr>
              <w:pStyle w:val="Tablehead1"/>
              <w:rPr>
                <w:rFonts w:ascii="Calibri" w:hAnsi="Calibri" w:cs="Calibri"/>
                <w:sz w:val="20"/>
              </w:rPr>
            </w:pPr>
            <w:r w:rsidRPr="00C63A98">
              <w:rPr>
                <w:rFonts w:ascii="Calibri" w:hAnsi="Calibri" w:cs="Calibri"/>
                <w:sz w:val="20"/>
              </w:rPr>
              <w:t>Description</w:t>
            </w:r>
          </w:p>
        </w:tc>
        <w:tc>
          <w:tcPr>
            <w:tcW w:w="1492" w:type="dxa"/>
            <w:shd w:val="clear" w:color="auto" w:fill="2F5597"/>
          </w:tcPr>
          <w:p w14:paraId="50CA3D0C" w14:textId="77777777" w:rsidR="00F80961" w:rsidRPr="00C63A98" w:rsidRDefault="00F80961" w:rsidP="00AA30D8">
            <w:pPr>
              <w:pStyle w:val="Tablehead1"/>
              <w:rPr>
                <w:rFonts w:ascii="Calibri" w:hAnsi="Calibri" w:cs="Calibri"/>
                <w:sz w:val="20"/>
              </w:rPr>
            </w:pPr>
            <w:r w:rsidRPr="00C63A98">
              <w:rPr>
                <w:rFonts w:ascii="Calibri" w:hAnsi="Calibri" w:cs="Calibri"/>
                <w:sz w:val="20"/>
              </w:rPr>
              <w:t>Mandatory</w:t>
            </w:r>
          </w:p>
        </w:tc>
        <w:tc>
          <w:tcPr>
            <w:tcW w:w="1613" w:type="dxa"/>
            <w:shd w:val="clear" w:color="auto" w:fill="2F5597"/>
          </w:tcPr>
          <w:p w14:paraId="7994C2D5" w14:textId="77777777" w:rsidR="00F80961" w:rsidRPr="00C63A98" w:rsidRDefault="00F80961" w:rsidP="00AA30D8">
            <w:pPr>
              <w:pStyle w:val="Tablehead1"/>
              <w:rPr>
                <w:rFonts w:ascii="Calibri" w:hAnsi="Calibri" w:cs="Calibri"/>
                <w:sz w:val="20"/>
              </w:rPr>
            </w:pPr>
            <w:r w:rsidRPr="00C63A98">
              <w:rPr>
                <w:rFonts w:ascii="Calibri" w:hAnsi="Calibri" w:cs="Calibri"/>
                <w:sz w:val="20"/>
              </w:rPr>
              <w:t>Type</w:t>
            </w:r>
          </w:p>
        </w:tc>
      </w:tr>
      <w:tr w:rsidR="00F80961" w:rsidRPr="00C63A98" w14:paraId="41227838" w14:textId="77777777" w:rsidTr="00C63A98">
        <w:trPr>
          <w:cantSplit/>
        </w:trPr>
        <w:tc>
          <w:tcPr>
            <w:tcW w:w="2087" w:type="dxa"/>
          </w:tcPr>
          <w:p w14:paraId="6E54307A" w14:textId="7ADFE616" w:rsidR="00F80961" w:rsidRPr="00C63A98" w:rsidRDefault="00F80961" w:rsidP="00AA30D8">
            <w:pPr>
              <w:pStyle w:val="Tabletext"/>
              <w:keepNext/>
              <w:rPr>
                <w:rFonts w:ascii="Calibri" w:hAnsi="Calibri" w:cs="Calibri"/>
                <w:sz w:val="20"/>
              </w:rPr>
            </w:pPr>
            <w:r>
              <w:rPr>
                <w:rFonts w:ascii="Calibri" w:hAnsi="Calibri" w:cs="Calibri"/>
                <w:sz w:val="20"/>
              </w:rPr>
              <w:t>Waivers</w:t>
            </w:r>
          </w:p>
        </w:tc>
        <w:tc>
          <w:tcPr>
            <w:tcW w:w="4168" w:type="dxa"/>
          </w:tcPr>
          <w:p w14:paraId="2ED4BB85" w14:textId="5C9B20D2" w:rsidR="00F80961" w:rsidRPr="00C63A98" w:rsidRDefault="009C3F56" w:rsidP="00AA30D8">
            <w:pPr>
              <w:pStyle w:val="Tabletext"/>
              <w:keepNext/>
              <w:rPr>
                <w:rFonts w:ascii="Calibri" w:hAnsi="Calibri" w:cs="Calibri"/>
                <w:sz w:val="20"/>
              </w:rPr>
            </w:pPr>
            <w:r>
              <w:rPr>
                <w:rFonts w:ascii="Calibri" w:hAnsi="Calibri" w:cs="Calibri"/>
                <w:sz w:val="20"/>
              </w:rPr>
              <w:t>List of the waiver rows, of either or both sections, each with its Section and the attributes of the response model below. Get Specification shall take exactly one State-wise row, and Get Batch Specification exactly one Batch-wise row. Each State-wise row of Save Waivers shall carry FromDate and ToDate</w:t>
            </w:r>
          </w:p>
        </w:tc>
        <w:tc>
          <w:tcPr>
            <w:tcW w:w="1492" w:type="dxa"/>
          </w:tcPr>
          <w:p w14:paraId="322AB941" w14:textId="44ACC7D1" w:rsidR="00F80961" w:rsidRPr="00C63A98" w:rsidRDefault="00F80961" w:rsidP="00AA30D8">
            <w:pPr>
              <w:pStyle w:val="Tabletext"/>
              <w:keepNext/>
              <w:rPr>
                <w:rFonts w:ascii="Calibri" w:hAnsi="Calibri" w:cs="Calibri"/>
                <w:sz w:val="20"/>
              </w:rPr>
            </w:pPr>
            <w:r>
              <w:rPr>
                <w:rFonts w:ascii="Calibri" w:hAnsi="Calibri" w:cs="Calibri"/>
                <w:sz w:val="20"/>
              </w:rPr>
              <w:t>Yes</w:t>
            </w:r>
          </w:p>
        </w:tc>
        <w:tc>
          <w:tcPr>
            <w:tcW w:w="1613" w:type="dxa"/>
          </w:tcPr>
          <w:p w14:paraId="2C11C795" w14:textId="79EF089C" w:rsidR="00F80961" w:rsidRPr="00C63A98" w:rsidRDefault="00F80961" w:rsidP="00AA30D8">
            <w:pPr>
              <w:pStyle w:val="Tabletext"/>
              <w:keepNext/>
              <w:rPr>
                <w:rFonts w:ascii="Calibri" w:hAnsi="Calibri" w:cs="Calibri"/>
                <w:sz w:val="20"/>
              </w:rPr>
            </w:pPr>
            <w:r>
              <w:rPr>
                <w:rFonts w:ascii="Calibri" w:hAnsi="Calibri" w:cs="Calibri"/>
                <w:sz w:val="20"/>
              </w:rPr>
              <w:t>Array</w:t>
            </w:r>
          </w:p>
        </w:tc>
      </w:tr>
      <w:tr w:rsidR="00F80961" w:rsidRPr="00C63A98" w14:paraId="57AD7588" w14:textId="77777777" w:rsidTr="00C63A98">
        <w:trPr>
          <w:cantSplit/>
        </w:trPr>
        <w:tc>
          <w:tcPr>
            <w:tcW w:w="2087" w:type="dxa"/>
          </w:tcPr>
          <w:p w14:paraId="626AD50F" w14:textId="0794553B" w:rsidR="00F80961" w:rsidRPr="00C63A98" w:rsidRDefault="00F80961" w:rsidP="00AA30D8">
            <w:pPr>
              <w:pStyle w:val="Tabletext"/>
              <w:keepNext/>
              <w:rPr>
                <w:rFonts w:ascii="Calibri" w:hAnsi="Calibri" w:cs="Calibri"/>
                <w:sz w:val="20"/>
              </w:rPr>
            </w:pPr>
            <w:r>
              <w:rPr>
                <w:rFonts w:ascii="Calibri" w:hAnsi="Calibri" w:cs="Calibri"/>
                <w:sz w:val="20"/>
              </w:rPr>
              <w:t>IsImport</w:t>
            </w:r>
          </w:p>
        </w:tc>
        <w:tc>
          <w:tcPr>
            <w:tcW w:w="4168" w:type="dxa"/>
          </w:tcPr>
          <w:p w14:paraId="377C7CB0" w14:textId="2A1175AE" w:rsidR="00F80961" w:rsidRPr="00C63A98" w:rsidRDefault="008F2422" w:rsidP="00AA30D8">
            <w:pPr>
              <w:pStyle w:val="Tabletext"/>
              <w:keepNext/>
              <w:rPr>
                <w:rFonts w:ascii="Calibri" w:hAnsi="Calibri" w:cs="Calibri"/>
                <w:sz w:val="20"/>
              </w:rPr>
            </w:pPr>
            <w:r>
              <w:rPr>
                <w:rFonts w:ascii="Calibri" w:hAnsi="Calibri" w:cs="Calibri"/>
                <w:sz w:val="20"/>
              </w:rPr>
              <w:t xml:space="preserve">True: the Default Min and Default Max shall be returned (Get Specification, Get Batch Specification). </w:t>
            </w:r>
            <w:r w:rsidR="009C3F56">
              <w:rPr>
                <w:rFonts w:ascii="Calibri" w:hAnsi="Calibri" w:cs="Calibri"/>
                <w:sz w:val="20"/>
              </w:rPr>
              <w:t>False: the waivers shall be saved in the IQDM database (Save Waivers). IsImport shall be true for Get Specification and Get Batch Specification, and false for Save Waivers</w:t>
            </w:r>
          </w:p>
        </w:tc>
        <w:tc>
          <w:tcPr>
            <w:tcW w:w="1492" w:type="dxa"/>
          </w:tcPr>
          <w:p w14:paraId="3DC8366B" w14:textId="57B4AA86" w:rsidR="00F80961" w:rsidRPr="00C63A98" w:rsidRDefault="00F80961" w:rsidP="00AA30D8">
            <w:pPr>
              <w:pStyle w:val="Tabletext"/>
              <w:keepNext/>
              <w:rPr>
                <w:rFonts w:ascii="Calibri" w:hAnsi="Calibri" w:cs="Calibri"/>
                <w:sz w:val="20"/>
              </w:rPr>
            </w:pPr>
            <w:r>
              <w:rPr>
                <w:rFonts w:ascii="Calibri" w:hAnsi="Calibri" w:cs="Calibri"/>
                <w:sz w:val="20"/>
              </w:rPr>
              <w:t>Yes</w:t>
            </w:r>
          </w:p>
        </w:tc>
        <w:tc>
          <w:tcPr>
            <w:tcW w:w="1613" w:type="dxa"/>
          </w:tcPr>
          <w:p w14:paraId="44DC6F7A" w14:textId="6F2B1FF3" w:rsidR="00F80961" w:rsidRPr="00C63A98" w:rsidRDefault="00F80961" w:rsidP="00AA30D8">
            <w:pPr>
              <w:pStyle w:val="Tabletext"/>
              <w:keepNext/>
              <w:rPr>
                <w:rFonts w:ascii="Calibri" w:hAnsi="Calibri" w:cs="Calibri"/>
                <w:sz w:val="20"/>
              </w:rPr>
            </w:pPr>
            <w:r>
              <w:rPr>
                <w:rFonts w:ascii="Calibri" w:hAnsi="Calibri" w:cs="Calibri"/>
                <w:sz w:val="20"/>
              </w:rPr>
              <w:t>Boolean</w:t>
            </w:r>
          </w:p>
        </w:tc>
      </w:tr>
      <w:tr w:rsidR="00F80961" w:rsidRPr="00C63A98" w14:paraId="5FD8D67E" w14:textId="77777777" w:rsidTr="00C63A98">
        <w:trPr>
          <w:cantSplit/>
        </w:trPr>
        <w:tc>
          <w:tcPr>
            <w:tcW w:w="2087" w:type="dxa"/>
          </w:tcPr>
          <w:p w14:paraId="3482D6EC" w14:textId="0FA46F6B" w:rsidR="00F80961" w:rsidRDefault="00F80961" w:rsidP="00AA30D8">
            <w:pPr>
              <w:pStyle w:val="Tabletext"/>
              <w:keepNext/>
              <w:rPr>
                <w:rFonts w:ascii="Calibri" w:hAnsi="Calibri" w:cs="Calibri"/>
                <w:sz w:val="20"/>
              </w:rPr>
            </w:pPr>
            <w:r>
              <w:rPr>
                <w:rFonts w:ascii="Calibri" w:hAnsi="Calibri" w:cs="Calibri"/>
                <w:sz w:val="20"/>
              </w:rPr>
              <w:t>UseServiceBus</w:t>
            </w:r>
          </w:p>
        </w:tc>
        <w:tc>
          <w:tcPr>
            <w:tcW w:w="4168" w:type="dxa"/>
          </w:tcPr>
          <w:p w14:paraId="1A7BE085" w14:textId="39FBDE6C" w:rsidR="00F80961" w:rsidRDefault="00F80961" w:rsidP="00AA30D8">
            <w:pPr>
              <w:pStyle w:val="Tabletext"/>
              <w:keepNext/>
              <w:rPr>
                <w:rFonts w:ascii="Calibri" w:hAnsi="Calibri" w:cs="Calibri"/>
                <w:sz w:val="20"/>
              </w:rPr>
            </w:pPr>
            <w:r>
              <w:rPr>
                <w:rFonts w:ascii="Calibri" w:hAnsi="Calibri" w:cs="Calibri"/>
                <w:sz w:val="20"/>
              </w:rPr>
              <w:t>True or not sent: the request shall go through the durable functions and queues. False: the Waiver Response Service shall be called directly</w:t>
            </w:r>
          </w:p>
        </w:tc>
        <w:tc>
          <w:tcPr>
            <w:tcW w:w="1492" w:type="dxa"/>
          </w:tcPr>
          <w:p w14:paraId="1D611E6B" w14:textId="61064D26" w:rsidR="00F80961" w:rsidRDefault="00F80961" w:rsidP="00AA30D8">
            <w:pPr>
              <w:pStyle w:val="Tabletext"/>
              <w:keepNext/>
              <w:rPr>
                <w:rFonts w:ascii="Calibri" w:hAnsi="Calibri" w:cs="Calibri"/>
                <w:sz w:val="20"/>
              </w:rPr>
            </w:pPr>
            <w:r>
              <w:rPr>
                <w:rFonts w:ascii="Calibri" w:hAnsi="Calibri" w:cs="Calibri"/>
                <w:sz w:val="20"/>
              </w:rPr>
              <w:t>No</w:t>
            </w:r>
          </w:p>
        </w:tc>
        <w:tc>
          <w:tcPr>
            <w:tcW w:w="1613" w:type="dxa"/>
          </w:tcPr>
          <w:p w14:paraId="31D8A904" w14:textId="7B4C48B8" w:rsidR="00F80961" w:rsidRDefault="00F80961" w:rsidP="00AA30D8">
            <w:pPr>
              <w:pStyle w:val="Tabletext"/>
              <w:keepNext/>
              <w:rPr>
                <w:rFonts w:ascii="Calibri" w:hAnsi="Calibri" w:cs="Calibri"/>
                <w:sz w:val="20"/>
              </w:rPr>
            </w:pPr>
            <w:r>
              <w:rPr>
                <w:rFonts w:ascii="Calibri" w:hAnsi="Calibri" w:cs="Calibri"/>
                <w:sz w:val="20"/>
              </w:rPr>
              <w:t>Boolean</w:t>
            </w:r>
          </w:p>
        </w:tc>
      </w:tr>
    </w:tbl>
    <w:p w14:paraId="50C213DD" w14:textId="5952301C" w:rsidR="00F80961" w:rsidRDefault="00F80961" w:rsidP="00F80961">
      <w:pPr>
        <w:pStyle w:val="Caption"/>
      </w:pPr>
      <w:bookmarkStart w:id="249" w:name="_Toc242554033"/>
      <w:r>
        <w:t xml:space="preserve">Table </w:t>
      </w:r>
      <w:bookmarkStart w:id="250" w:name="_Ref917260922"/>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35</w:t>
      </w:r>
      <w:r>
        <w:fldChar w:fldCharType="end"/>
      </w:r>
      <w:bookmarkEnd w:id="250"/>
      <w:r>
        <w:t>: Waiver Selection - API Endpoint - Request Parameters</w:t>
      </w:r>
      <w:bookmarkEnd w:id="249"/>
    </w:p>
    <w:p w14:paraId="5D0CDC1F" w14:textId="3E9BEA26" w:rsidR="00F80961" w:rsidRPr="0081216E" w:rsidRDefault="00F80961" w:rsidP="00FC42E7">
      <w:pPr>
        <w:keepNext/>
        <w:jc w:val="left"/>
        <w:rPr>
          <w:rFonts w:ascii="Calibri" w:hAnsi="Calibri" w:cs="Calibri"/>
        </w:rPr>
      </w:pPr>
      <w:r>
        <w:rPr>
          <w:rFonts w:ascii="Calibri" w:hAnsi="Calibri" w:cs="Calibri"/>
        </w:rPr>
        <w:t>The table below gives each attribute of a waiver row in the Waiver Response.</w:t>
      </w:r>
    </w:p>
    <w:tbl>
      <w:tblPr>
        <w:tblStyle w:val="TableGrid"/>
        <w:tblW w:w="93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2"/>
        <w:gridCol w:w="2060"/>
        <w:gridCol w:w="1216"/>
        <w:gridCol w:w="1216"/>
        <w:gridCol w:w="1124"/>
        <w:gridCol w:w="1876"/>
      </w:tblGrid>
      <w:tr w:rsidR="00F80961" w:rsidRPr="00C63A98" w14:paraId="3354C215" w14:textId="77777777" w:rsidTr="000A106D">
        <w:trPr>
          <w:cantSplit/>
          <w:tblHeader/>
        </w:trPr>
        <w:tc>
          <w:tcPr>
            <w:tcW w:w="1872" w:type="dxa"/>
            <w:shd w:val="clear" w:color="auto" w:fill="2F5597"/>
          </w:tcPr>
          <w:p w14:paraId="6F735E05" w14:textId="77777777" w:rsidR="00F80961" w:rsidRPr="00C63A98" w:rsidRDefault="00F80961" w:rsidP="00C63A98">
            <w:pPr>
              <w:pStyle w:val="Tablehead1"/>
              <w:rPr>
                <w:rFonts w:ascii="Calibri" w:hAnsi="Calibri" w:cs="Calibri"/>
                <w:sz w:val="20"/>
              </w:rPr>
            </w:pPr>
            <w:r>
              <w:rPr>
                <w:rFonts w:ascii="Calibri" w:hAnsi="Calibri" w:cs="Calibri"/>
                <w:sz w:val="20"/>
              </w:rPr>
              <w:t>Attribute</w:t>
            </w:r>
          </w:p>
        </w:tc>
        <w:tc>
          <w:tcPr>
            <w:tcW w:w="2060" w:type="dxa"/>
            <w:shd w:val="clear" w:color="auto" w:fill="2F5597"/>
          </w:tcPr>
          <w:p w14:paraId="37EAEB90" w14:textId="77777777" w:rsidR="00F80961" w:rsidRPr="00C63A98" w:rsidRDefault="00F80961" w:rsidP="00C63A98">
            <w:pPr>
              <w:pStyle w:val="Tablehead1"/>
              <w:rPr>
                <w:rFonts w:ascii="Calibri" w:hAnsi="Calibri" w:cs="Calibri"/>
                <w:sz w:val="20"/>
              </w:rPr>
            </w:pPr>
            <w:r>
              <w:rPr>
                <w:rFonts w:ascii="Calibri" w:hAnsi="Calibri" w:cs="Calibri"/>
                <w:sz w:val="20"/>
              </w:rPr>
              <w:t>Description</w:t>
            </w:r>
          </w:p>
        </w:tc>
        <w:tc>
          <w:tcPr>
            <w:tcW w:w="1216" w:type="dxa"/>
            <w:shd w:val="clear" w:color="auto" w:fill="2F5597"/>
          </w:tcPr>
          <w:p w14:paraId="4A5BD5FE" w14:textId="77777777" w:rsidR="00F80961" w:rsidRPr="00C63A98" w:rsidRDefault="00F80961" w:rsidP="00C63A98">
            <w:pPr>
              <w:pStyle w:val="Tablehead1"/>
              <w:rPr>
                <w:rFonts w:ascii="Calibri" w:hAnsi="Calibri" w:cs="Calibri"/>
                <w:sz w:val="20"/>
              </w:rPr>
            </w:pPr>
            <w:r>
              <w:rPr>
                <w:rFonts w:ascii="Calibri" w:hAnsi="Calibri" w:cs="Calibri"/>
                <w:sz w:val="20"/>
              </w:rPr>
              <w:t>Mandatory</w:t>
            </w:r>
          </w:p>
        </w:tc>
        <w:tc>
          <w:tcPr>
            <w:tcW w:w="1216" w:type="dxa"/>
            <w:shd w:val="clear" w:color="auto" w:fill="2F5597"/>
          </w:tcPr>
          <w:p w14:paraId="402D5394" w14:textId="77777777" w:rsidR="00F80961" w:rsidRPr="00C63A98" w:rsidRDefault="00F80961" w:rsidP="00C63A98">
            <w:pPr>
              <w:pStyle w:val="Tablehead1"/>
              <w:rPr>
                <w:rFonts w:ascii="Calibri" w:hAnsi="Calibri" w:cs="Calibri"/>
                <w:sz w:val="20"/>
              </w:rPr>
            </w:pPr>
            <w:r>
              <w:rPr>
                <w:rFonts w:ascii="Calibri" w:hAnsi="Calibri" w:cs="Calibri"/>
                <w:sz w:val="20"/>
              </w:rPr>
              <w:t>Composite Key</w:t>
            </w:r>
          </w:p>
        </w:tc>
        <w:tc>
          <w:tcPr>
            <w:tcW w:w="1124" w:type="dxa"/>
            <w:shd w:val="clear" w:color="auto" w:fill="2F5597"/>
          </w:tcPr>
          <w:p w14:paraId="25EC3A98" w14:textId="77777777" w:rsidR="00F80961" w:rsidRPr="00C63A98" w:rsidRDefault="00F80961" w:rsidP="00C63A98">
            <w:pPr>
              <w:pStyle w:val="Tablehead1"/>
              <w:rPr>
                <w:rFonts w:ascii="Calibri" w:hAnsi="Calibri" w:cs="Calibri"/>
                <w:sz w:val="20"/>
              </w:rPr>
            </w:pPr>
            <w:r>
              <w:rPr>
                <w:rFonts w:ascii="Calibri" w:hAnsi="Calibri" w:cs="Calibri"/>
                <w:sz w:val="20"/>
              </w:rPr>
              <w:t>Type</w:t>
            </w:r>
          </w:p>
        </w:tc>
        <w:tc>
          <w:tcPr>
            <w:tcW w:w="1876" w:type="dxa"/>
            <w:shd w:val="clear" w:color="auto" w:fill="2F5597"/>
          </w:tcPr>
          <w:p w14:paraId="7290AD49" w14:textId="77777777" w:rsidR="00F80961" w:rsidRPr="00C63A98" w:rsidRDefault="00F80961" w:rsidP="00C63A98">
            <w:pPr>
              <w:pStyle w:val="Tablehead1"/>
              <w:rPr>
                <w:rFonts w:ascii="Calibri" w:hAnsi="Calibri" w:cs="Calibri"/>
                <w:sz w:val="20"/>
              </w:rPr>
            </w:pPr>
            <w:r>
              <w:rPr>
                <w:rFonts w:ascii="Calibri" w:hAnsi="Calibri" w:cs="Calibri"/>
                <w:sz w:val="20"/>
              </w:rPr>
              <w:t>Example</w:t>
            </w:r>
          </w:p>
        </w:tc>
      </w:tr>
      <w:tr w:rsidR="00F80961" w:rsidRPr="00C63A98" w14:paraId="4A7D8A73" w14:textId="77777777" w:rsidTr="000A106D">
        <w:trPr>
          <w:cantSplit/>
        </w:trPr>
        <w:tc>
          <w:tcPr>
            <w:tcW w:w="1872" w:type="dxa"/>
          </w:tcPr>
          <w:p w14:paraId="55A65D25" w14:textId="6EDF4545" w:rsidR="00F80961" w:rsidRPr="00C63A98" w:rsidRDefault="00F80961" w:rsidP="00C63A98">
            <w:pPr>
              <w:pStyle w:val="Tabletext"/>
              <w:rPr>
                <w:rFonts w:ascii="Calibri" w:hAnsi="Calibri" w:cs="Calibri"/>
                <w:sz w:val="20"/>
              </w:rPr>
            </w:pPr>
            <w:r>
              <w:rPr>
                <w:rFonts w:ascii="Calibri" w:hAnsi="Calibri" w:cs="Calibri"/>
                <w:sz w:val="20"/>
              </w:rPr>
              <w:t>Section</w:t>
            </w:r>
          </w:p>
        </w:tc>
        <w:tc>
          <w:tcPr>
            <w:tcW w:w="2060" w:type="dxa"/>
          </w:tcPr>
          <w:p w14:paraId="6A503326" w14:textId="450DCF98" w:rsidR="00F80961" w:rsidRPr="00C63A98" w:rsidRDefault="00F80961" w:rsidP="00C63A98">
            <w:pPr>
              <w:pStyle w:val="Tabletext"/>
              <w:rPr>
                <w:rFonts w:ascii="Calibri" w:hAnsi="Calibri" w:cs="Calibri"/>
                <w:sz w:val="20"/>
              </w:rPr>
            </w:pPr>
            <w:r>
              <w:rPr>
                <w:rFonts w:ascii="Calibri" w:hAnsi="Calibri" w:cs="Calibri"/>
                <w:sz w:val="20"/>
              </w:rPr>
              <w:t>State-wise or Batch-wise</w:t>
            </w:r>
          </w:p>
        </w:tc>
        <w:tc>
          <w:tcPr>
            <w:tcW w:w="1216" w:type="dxa"/>
          </w:tcPr>
          <w:p w14:paraId="21C7296D" w14:textId="1A0D0695" w:rsidR="00F80961" w:rsidRPr="00C63A98" w:rsidRDefault="00F80961" w:rsidP="00C63A98">
            <w:pPr>
              <w:pStyle w:val="Tabletext"/>
              <w:rPr>
                <w:rFonts w:ascii="Calibri" w:hAnsi="Calibri" w:cs="Calibri"/>
                <w:sz w:val="20"/>
              </w:rPr>
            </w:pPr>
            <w:r>
              <w:rPr>
                <w:rFonts w:ascii="Calibri" w:hAnsi="Calibri" w:cs="Calibri"/>
                <w:sz w:val="20"/>
              </w:rPr>
              <w:t>Yes</w:t>
            </w:r>
          </w:p>
        </w:tc>
        <w:tc>
          <w:tcPr>
            <w:tcW w:w="1216" w:type="dxa"/>
          </w:tcPr>
          <w:p w14:paraId="708CEE4C" w14:textId="28E2C29D" w:rsidR="00F80961" w:rsidRPr="00C63A98" w:rsidRDefault="009C3F56" w:rsidP="00C63A98">
            <w:pPr>
              <w:pStyle w:val="Tabletext"/>
              <w:rPr>
                <w:rFonts w:ascii="Calibri" w:hAnsi="Calibri" w:cs="Calibri"/>
                <w:sz w:val="20"/>
              </w:rPr>
            </w:pPr>
            <w:r>
              <w:rPr>
                <w:rFonts w:ascii="Calibri" w:hAnsi="Calibri" w:cs="Calibri"/>
                <w:sz w:val="20"/>
              </w:rPr>
              <w:t>Yes</w:t>
            </w:r>
          </w:p>
        </w:tc>
        <w:tc>
          <w:tcPr>
            <w:tcW w:w="1124" w:type="dxa"/>
          </w:tcPr>
          <w:p w14:paraId="699EC02F" w14:textId="426D0DFC" w:rsidR="00F80961" w:rsidRPr="00C63A98" w:rsidRDefault="00F80961" w:rsidP="00C63A98">
            <w:pPr>
              <w:pStyle w:val="Tabletext"/>
              <w:rPr>
                <w:rFonts w:ascii="Calibri" w:hAnsi="Calibri" w:cs="Calibri"/>
                <w:sz w:val="20"/>
              </w:rPr>
            </w:pPr>
            <w:r>
              <w:rPr>
                <w:rFonts w:ascii="Calibri" w:hAnsi="Calibri" w:cs="Calibri"/>
                <w:sz w:val="20"/>
              </w:rPr>
              <w:t>String</w:t>
            </w:r>
          </w:p>
        </w:tc>
        <w:tc>
          <w:tcPr>
            <w:tcW w:w="1876" w:type="dxa"/>
          </w:tcPr>
          <w:p w14:paraId="0A3FBE8B" w14:textId="5F384C4A" w:rsidR="00F80961" w:rsidRPr="00C63A98" w:rsidRDefault="00F80961" w:rsidP="00C63A98">
            <w:pPr>
              <w:pStyle w:val="Tabletext"/>
              <w:rPr>
                <w:rFonts w:ascii="Calibri" w:hAnsi="Calibri" w:cs="Calibri"/>
                <w:sz w:val="20"/>
              </w:rPr>
            </w:pPr>
            <w:r>
              <w:rPr>
                <w:rFonts w:ascii="Calibri" w:hAnsi="Calibri" w:cs="Calibri"/>
                <w:sz w:val="20"/>
              </w:rPr>
              <w:t>State-wise</w:t>
            </w:r>
          </w:p>
        </w:tc>
      </w:tr>
      <w:tr w:rsidR="00F80961" w:rsidRPr="00C63A98" w14:paraId="4AABEA98" w14:textId="77777777" w:rsidTr="000A106D">
        <w:trPr>
          <w:cantSplit/>
        </w:trPr>
        <w:tc>
          <w:tcPr>
            <w:tcW w:w="1872" w:type="dxa"/>
          </w:tcPr>
          <w:p w14:paraId="4D354135" w14:textId="076E6B05" w:rsidR="00F80961" w:rsidRDefault="00F80961" w:rsidP="00C63A98">
            <w:pPr>
              <w:pStyle w:val="Tabletext"/>
              <w:rPr>
                <w:rFonts w:ascii="Calibri" w:hAnsi="Calibri" w:cs="Calibri"/>
                <w:sz w:val="20"/>
              </w:rPr>
            </w:pPr>
            <w:r>
              <w:rPr>
                <w:rFonts w:ascii="Calibri" w:hAnsi="Calibri" w:cs="Calibri"/>
                <w:sz w:val="20"/>
              </w:rPr>
              <w:t>TerminalCode</w:t>
            </w:r>
          </w:p>
        </w:tc>
        <w:tc>
          <w:tcPr>
            <w:tcW w:w="2060" w:type="dxa"/>
          </w:tcPr>
          <w:p w14:paraId="0F136985" w14:textId="20307CBA" w:rsidR="00F80961" w:rsidRDefault="00F80961" w:rsidP="00C63A98">
            <w:pPr>
              <w:pStyle w:val="Tabletext"/>
              <w:rPr>
                <w:rFonts w:ascii="Calibri" w:hAnsi="Calibri" w:cs="Calibri"/>
                <w:sz w:val="20"/>
              </w:rPr>
            </w:pPr>
            <w:r>
              <w:rPr>
                <w:rFonts w:ascii="Calibri" w:hAnsi="Calibri" w:cs="Calibri"/>
                <w:sz w:val="20"/>
              </w:rPr>
              <w:t>Profisee code of the terminal (state-wise rows)</w:t>
            </w:r>
          </w:p>
        </w:tc>
        <w:tc>
          <w:tcPr>
            <w:tcW w:w="1216" w:type="dxa"/>
          </w:tcPr>
          <w:p w14:paraId="76C3CFEE" w14:textId="1782BB45"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510CDBA4" w14:textId="6047F1C8" w:rsidR="00F80961" w:rsidRPr="00C63A98" w:rsidRDefault="00F80961" w:rsidP="00C63A98">
            <w:pPr>
              <w:pStyle w:val="Tabletext"/>
              <w:rPr>
                <w:rFonts w:ascii="Calibri" w:hAnsi="Calibri" w:cs="Calibri"/>
                <w:sz w:val="20"/>
              </w:rPr>
            </w:pPr>
            <w:r>
              <w:rPr>
                <w:rFonts w:ascii="Calibri" w:hAnsi="Calibri" w:cs="Calibri"/>
                <w:sz w:val="20"/>
              </w:rPr>
              <w:t>Yes</w:t>
            </w:r>
          </w:p>
        </w:tc>
        <w:tc>
          <w:tcPr>
            <w:tcW w:w="1124" w:type="dxa"/>
          </w:tcPr>
          <w:p w14:paraId="7552F7EB" w14:textId="5CC9F433" w:rsidR="00F80961" w:rsidRDefault="00F80961" w:rsidP="00C63A98">
            <w:pPr>
              <w:pStyle w:val="Tabletext"/>
              <w:rPr>
                <w:rFonts w:ascii="Calibri" w:hAnsi="Calibri" w:cs="Calibri"/>
                <w:sz w:val="20"/>
              </w:rPr>
            </w:pPr>
            <w:r>
              <w:rPr>
                <w:rFonts w:ascii="Calibri" w:hAnsi="Calibri" w:cs="Calibri"/>
                <w:sz w:val="20"/>
              </w:rPr>
              <w:t>String</w:t>
            </w:r>
          </w:p>
        </w:tc>
        <w:tc>
          <w:tcPr>
            <w:tcW w:w="1876" w:type="dxa"/>
          </w:tcPr>
          <w:p w14:paraId="0AFDEE4E" w14:textId="77777777" w:rsidR="00F80961" w:rsidRPr="00C63A98" w:rsidRDefault="00F80961" w:rsidP="00C63A98">
            <w:pPr>
              <w:pStyle w:val="Tabletext"/>
              <w:rPr>
                <w:rFonts w:ascii="Calibri" w:hAnsi="Calibri" w:cs="Calibri"/>
                <w:sz w:val="20"/>
              </w:rPr>
            </w:pPr>
          </w:p>
        </w:tc>
      </w:tr>
      <w:tr w:rsidR="00F80961" w:rsidRPr="00C63A98" w14:paraId="67F78A3E" w14:textId="77777777" w:rsidTr="000A106D">
        <w:trPr>
          <w:cantSplit/>
        </w:trPr>
        <w:tc>
          <w:tcPr>
            <w:tcW w:w="1872" w:type="dxa"/>
          </w:tcPr>
          <w:p w14:paraId="4053B544" w14:textId="7D70B0BF" w:rsidR="00F80961" w:rsidRDefault="00F80961" w:rsidP="00C63A98">
            <w:pPr>
              <w:pStyle w:val="Tabletext"/>
              <w:rPr>
                <w:rFonts w:ascii="Calibri" w:hAnsi="Calibri" w:cs="Calibri"/>
                <w:sz w:val="20"/>
              </w:rPr>
            </w:pPr>
            <w:r>
              <w:rPr>
                <w:rFonts w:ascii="Calibri" w:hAnsi="Calibri" w:cs="Calibri"/>
                <w:sz w:val="20"/>
              </w:rPr>
              <w:t>BatchId</w:t>
            </w:r>
          </w:p>
        </w:tc>
        <w:tc>
          <w:tcPr>
            <w:tcW w:w="2060" w:type="dxa"/>
          </w:tcPr>
          <w:p w14:paraId="665DC8B1" w14:textId="252CB247" w:rsidR="00F80961" w:rsidRDefault="00F80961" w:rsidP="00C63A98">
            <w:pPr>
              <w:pStyle w:val="Tabletext"/>
              <w:rPr>
                <w:rFonts w:ascii="Calibri" w:hAnsi="Calibri" w:cs="Calibri"/>
                <w:sz w:val="20"/>
              </w:rPr>
            </w:pPr>
            <w:r>
              <w:rPr>
                <w:rFonts w:ascii="Calibri" w:hAnsi="Calibri" w:cs="Calibri"/>
                <w:sz w:val="20"/>
              </w:rPr>
              <w:t>Batch ID from the IQDM database (batch-wise rows)</w:t>
            </w:r>
          </w:p>
        </w:tc>
        <w:tc>
          <w:tcPr>
            <w:tcW w:w="1216" w:type="dxa"/>
          </w:tcPr>
          <w:p w14:paraId="36E92A15" w14:textId="6AFFB791"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2A00442B" w14:textId="7236027C" w:rsidR="00F80961" w:rsidRPr="00C63A98" w:rsidRDefault="00F80961" w:rsidP="00C63A98">
            <w:pPr>
              <w:pStyle w:val="Tabletext"/>
              <w:rPr>
                <w:rFonts w:ascii="Calibri" w:hAnsi="Calibri" w:cs="Calibri"/>
                <w:sz w:val="20"/>
              </w:rPr>
            </w:pPr>
            <w:r>
              <w:rPr>
                <w:rFonts w:ascii="Calibri" w:hAnsi="Calibri" w:cs="Calibri"/>
                <w:sz w:val="20"/>
              </w:rPr>
              <w:t>Yes</w:t>
            </w:r>
          </w:p>
        </w:tc>
        <w:tc>
          <w:tcPr>
            <w:tcW w:w="1124" w:type="dxa"/>
          </w:tcPr>
          <w:p w14:paraId="6743E59C" w14:textId="2B1CCF36" w:rsidR="00F80961" w:rsidRDefault="00F80961" w:rsidP="00C63A98">
            <w:pPr>
              <w:pStyle w:val="Tabletext"/>
              <w:rPr>
                <w:rFonts w:ascii="Calibri" w:hAnsi="Calibri" w:cs="Calibri"/>
                <w:sz w:val="20"/>
              </w:rPr>
            </w:pPr>
            <w:r>
              <w:rPr>
                <w:rFonts w:ascii="Calibri" w:hAnsi="Calibri" w:cs="Calibri"/>
                <w:sz w:val="20"/>
              </w:rPr>
              <w:t>String</w:t>
            </w:r>
          </w:p>
        </w:tc>
        <w:tc>
          <w:tcPr>
            <w:tcW w:w="1876" w:type="dxa"/>
          </w:tcPr>
          <w:p w14:paraId="32CC7028" w14:textId="0B46194C" w:rsidR="00F80961" w:rsidRPr="00C63A98" w:rsidRDefault="00F80961" w:rsidP="00C63A98">
            <w:pPr>
              <w:pStyle w:val="Tabletext"/>
              <w:rPr>
                <w:rFonts w:ascii="Calibri" w:hAnsi="Calibri" w:cs="Calibri"/>
                <w:sz w:val="20"/>
              </w:rPr>
            </w:pPr>
          </w:p>
        </w:tc>
      </w:tr>
      <w:tr w:rsidR="00F80961" w:rsidRPr="00C63A98" w14:paraId="7F5B9146" w14:textId="77777777" w:rsidTr="000A106D">
        <w:trPr>
          <w:cantSplit/>
        </w:trPr>
        <w:tc>
          <w:tcPr>
            <w:tcW w:w="1872" w:type="dxa"/>
          </w:tcPr>
          <w:p w14:paraId="1E7F52F4" w14:textId="4620EC07" w:rsidR="00F80961" w:rsidRDefault="00F80961" w:rsidP="00C63A98">
            <w:pPr>
              <w:pStyle w:val="Tabletext"/>
              <w:rPr>
                <w:rFonts w:ascii="Calibri" w:hAnsi="Calibri" w:cs="Calibri"/>
                <w:sz w:val="20"/>
              </w:rPr>
            </w:pPr>
            <w:r>
              <w:rPr>
                <w:rFonts w:ascii="Calibri" w:hAnsi="Calibri" w:cs="Calibri"/>
                <w:sz w:val="20"/>
              </w:rPr>
              <w:t>GradeCode</w:t>
            </w:r>
          </w:p>
        </w:tc>
        <w:tc>
          <w:tcPr>
            <w:tcW w:w="2060" w:type="dxa"/>
          </w:tcPr>
          <w:p w14:paraId="159E19BC" w14:textId="72C5CB3C" w:rsidR="00F80961" w:rsidRDefault="00F80961" w:rsidP="00C63A98">
            <w:pPr>
              <w:pStyle w:val="Tabletext"/>
              <w:rPr>
                <w:rFonts w:ascii="Calibri" w:hAnsi="Calibri" w:cs="Calibri"/>
                <w:sz w:val="20"/>
              </w:rPr>
            </w:pPr>
            <w:r>
              <w:rPr>
                <w:rFonts w:ascii="Calibri" w:hAnsi="Calibri" w:cs="Calibri"/>
                <w:sz w:val="20"/>
              </w:rPr>
              <w:t>Profisee code of the grade; for a batch-wise row, the grade of the batch</w:t>
            </w:r>
          </w:p>
        </w:tc>
        <w:tc>
          <w:tcPr>
            <w:tcW w:w="1216" w:type="dxa"/>
          </w:tcPr>
          <w:p w14:paraId="6D4DF286" w14:textId="4D069079" w:rsidR="00F80961" w:rsidRDefault="00F80961" w:rsidP="00C63A98">
            <w:pPr>
              <w:pStyle w:val="Tabletext"/>
              <w:rPr>
                <w:rFonts w:ascii="Calibri" w:hAnsi="Calibri" w:cs="Calibri"/>
                <w:sz w:val="20"/>
              </w:rPr>
            </w:pPr>
            <w:r>
              <w:rPr>
                <w:rFonts w:ascii="Calibri" w:hAnsi="Calibri" w:cs="Calibri"/>
                <w:sz w:val="20"/>
              </w:rPr>
              <w:t>Yes</w:t>
            </w:r>
          </w:p>
        </w:tc>
        <w:tc>
          <w:tcPr>
            <w:tcW w:w="1216" w:type="dxa"/>
          </w:tcPr>
          <w:p w14:paraId="625DE57B" w14:textId="5264B46D" w:rsidR="00F80961" w:rsidRPr="00C63A98" w:rsidRDefault="00F80961" w:rsidP="00C63A98">
            <w:pPr>
              <w:pStyle w:val="Tabletext"/>
              <w:rPr>
                <w:rFonts w:ascii="Calibri" w:hAnsi="Calibri" w:cs="Calibri"/>
                <w:sz w:val="20"/>
              </w:rPr>
            </w:pPr>
            <w:r>
              <w:rPr>
                <w:rFonts w:ascii="Calibri" w:hAnsi="Calibri" w:cs="Calibri"/>
                <w:sz w:val="20"/>
              </w:rPr>
              <w:t>Yes</w:t>
            </w:r>
          </w:p>
        </w:tc>
        <w:tc>
          <w:tcPr>
            <w:tcW w:w="1124" w:type="dxa"/>
          </w:tcPr>
          <w:p w14:paraId="4739819D" w14:textId="2005DD18" w:rsidR="00F80961" w:rsidRDefault="00F80961" w:rsidP="00C63A98">
            <w:pPr>
              <w:pStyle w:val="Tabletext"/>
              <w:rPr>
                <w:rFonts w:ascii="Calibri" w:hAnsi="Calibri" w:cs="Calibri"/>
                <w:sz w:val="20"/>
              </w:rPr>
            </w:pPr>
            <w:r>
              <w:rPr>
                <w:rFonts w:ascii="Calibri" w:hAnsi="Calibri" w:cs="Calibri"/>
                <w:sz w:val="20"/>
              </w:rPr>
              <w:t>String</w:t>
            </w:r>
          </w:p>
        </w:tc>
        <w:tc>
          <w:tcPr>
            <w:tcW w:w="1876" w:type="dxa"/>
          </w:tcPr>
          <w:p w14:paraId="042E4D63" w14:textId="1BFFA648" w:rsidR="00F80961" w:rsidRPr="00C63A98" w:rsidRDefault="00F80961" w:rsidP="00C63A98">
            <w:pPr>
              <w:pStyle w:val="Tabletext"/>
              <w:rPr>
                <w:rFonts w:ascii="Calibri" w:hAnsi="Calibri" w:cs="Calibri"/>
                <w:sz w:val="20"/>
              </w:rPr>
            </w:pPr>
          </w:p>
        </w:tc>
      </w:tr>
      <w:tr w:rsidR="00F80961" w:rsidRPr="00C63A98" w14:paraId="6FF355D1" w14:textId="77777777" w:rsidTr="000A106D">
        <w:trPr>
          <w:cantSplit/>
        </w:trPr>
        <w:tc>
          <w:tcPr>
            <w:tcW w:w="1872" w:type="dxa"/>
          </w:tcPr>
          <w:p w14:paraId="76E1211D" w14:textId="03AAEA35" w:rsidR="00F80961" w:rsidRDefault="00F80961" w:rsidP="00C63A98">
            <w:pPr>
              <w:pStyle w:val="Tabletext"/>
              <w:rPr>
                <w:rFonts w:ascii="Calibri" w:hAnsi="Calibri" w:cs="Calibri"/>
                <w:sz w:val="20"/>
              </w:rPr>
            </w:pPr>
            <w:r>
              <w:rPr>
                <w:rFonts w:ascii="Calibri" w:hAnsi="Calibri" w:cs="Calibri"/>
                <w:sz w:val="20"/>
              </w:rPr>
              <w:t>QualityCode</w:t>
            </w:r>
          </w:p>
        </w:tc>
        <w:tc>
          <w:tcPr>
            <w:tcW w:w="2060" w:type="dxa"/>
          </w:tcPr>
          <w:p w14:paraId="35C04AF3" w14:textId="27840AA7" w:rsidR="00F80961" w:rsidRDefault="00F80961" w:rsidP="00C63A98">
            <w:pPr>
              <w:pStyle w:val="Tabletext"/>
              <w:rPr>
                <w:rFonts w:ascii="Calibri" w:hAnsi="Calibri" w:cs="Calibri"/>
                <w:sz w:val="20"/>
              </w:rPr>
            </w:pPr>
            <w:r>
              <w:rPr>
                <w:rFonts w:ascii="Calibri" w:hAnsi="Calibri" w:cs="Calibri"/>
                <w:sz w:val="20"/>
              </w:rPr>
              <w:t>Profisee code of the quality (property)</w:t>
            </w:r>
          </w:p>
        </w:tc>
        <w:tc>
          <w:tcPr>
            <w:tcW w:w="1216" w:type="dxa"/>
          </w:tcPr>
          <w:p w14:paraId="2D081808" w14:textId="0A765D59" w:rsidR="00F80961" w:rsidRDefault="00F80961" w:rsidP="00C63A98">
            <w:pPr>
              <w:pStyle w:val="Tabletext"/>
              <w:rPr>
                <w:rFonts w:ascii="Calibri" w:hAnsi="Calibri" w:cs="Calibri"/>
                <w:sz w:val="20"/>
              </w:rPr>
            </w:pPr>
            <w:r>
              <w:rPr>
                <w:rFonts w:ascii="Calibri" w:hAnsi="Calibri" w:cs="Calibri"/>
                <w:sz w:val="20"/>
              </w:rPr>
              <w:t>Yes</w:t>
            </w:r>
          </w:p>
        </w:tc>
        <w:tc>
          <w:tcPr>
            <w:tcW w:w="1216" w:type="dxa"/>
          </w:tcPr>
          <w:p w14:paraId="2A8EB6E3" w14:textId="4EC872C6" w:rsidR="00F80961" w:rsidRPr="00C63A98" w:rsidRDefault="00F80961" w:rsidP="00C63A98">
            <w:pPr>
              <w:pStyle w:val="Tabletext"/>
              <w:rPr>
                <w:rFonts w:ascii="Calibri" w:hAnsi="Calibri" w:cs="Calibri"/>
                <w:sz w:val="20"/>
              </w:rPr>
            </w:pPr>
            <w:r>
              <w:rPr>
                <w:rFonts w:ascii="Calibri" w:hAnsi="Calibri" w:cs="Calibri"/>
                <w:sz w:val="20"/>
              </w:rPr>
              <w:t>Yes</w:t>
            </w:r>
          </w:p>
        </w:tc>
        <w:tc>
          <w:tcPr>
            <w:tcW w:w="1124" w:type="dxa"/>
          </w:tcPr>
          <w:p w14:paraId="400ADCFC" w14:textId="3084179E" w:rsidR="00F80961" w:rsidRDefault="00F80961" w:rsidP="00C63A98">
            <w:pPr>
              <w:pStyle w:val="Tabletext"/>
              <w:rPr>
                <w:rFonts w:ascii="Calibri" w:hAnsi="Calibri" w:cs="Calibri"/>
                <w:sz w:val="20"/>
              </w:rPr>
            </w:pPr>
            <w:r>
              <w:rPr>
                <w:rFonts w:ascii="Calibri" w:hAnsi="Calibri" w:cs="Calibri"/>
                <w:sz w:val="20"/>
              </w:rPr>
              <w:t>String</w:t>
            </w:r>
          </w:p>
        </w:tc>
        <w:tc>
          <w:tcPr>
            <w:tcW w:w="1876" w:type="dxa"/>
          </w:tcPr>
          <w:p w14:paraId="7BCC8410" w14:textId="568ACFF4" w:rsidR="00F80961" w:rsidRPr="00C63A98" w:rsidRDefault="00F80961" w:rsidP="00C63A98">
            <w:pPr>
              <w:pStyle w:val="Tabletext"/>
              <w:rPr>
                <w:rFonts w:ascii="Calibri" w:hAnsi="Calibri" w:cs="Calibri"/>
                <w:sz w:val="20"/>
              </w:rPr>
            </w:pPr>
            <w:r>
              <w:rPr>
                <w:rFonts w:ascii="Calibri" w:hAnsi="Calibri" w:cs="Calibri"/>
                <w:sz w:val="20"/>
              </w:rPr>
              <w:t>RVP</w:t>
            </w:r>
          </w:p>
        </w:tc>
      </w:tr>
      <w:tr w:rsidR="00F80961" w:rsidRPr="00C63A98" w14:paraId="5E2BF788" w14:textId="77777777" w:rsidTr="000A106D">
        <w:trPr>
          <w:cantSplit/>
        </w:trPr>
        <w:tc>
          <w:tcPr>
            <w:tcW w:w="1872" w:type="dxa"/>
          </w:tcPr>
          <w:p w14:paraId="65302471" w14:textId="334D4A73" w:rsidR="00F80961" w:rsidRDefault="00F80961" w:rsidP="00C63A98">
            <w:pPr>
              <w:pStyle w:val="Tabletext"/>
              <w:rPr>
                <w:rFonts w:ascii="Calibri" w:hAnsi="Calibri" w:cs="Calibri"/>
                <w:sz w:val="20"/>
              </w:rPr>
            </w:pPr>
            <w:r>
              <w:rPr>
                <w:rFonts w:ascii="Calibri" w:hAnsi="Calibri" w:cs="Calibri"/>
                <w:sz w:val="20"/>
              </w:rPr>
              <w:t>FromDate</w:t>
            </w:r>
          </w:p>
        </w:tc>
        <w:tc>
          <w:tcPr>
            <w:tcW w:w="2060" w:type="dxa"/>
          </w:tcPr>
          <w:p w14:paraId="02F2E416" w14:textId="75904776" w:rsidR="00F80961" w:rsidRDefault="00F80961" w:rsidP="00C63A98">
            <w:pPr>
              <w:pStyle w:val="Tabletext"/>
              <w:rPr>
                <w:rFonts w:ascii="Calibri" w:hAnsi="Calibri" w:cs="Calibri"/>
                <w:sz w:val="20"/>
              </w:rPr>
            </w:pPr>
            <w:r>
              <w:rPr>
                <w:rFonts w:ascii="Calibri" w:hAnsi="Calibri" w:cs="Calibri"/>
                <w:sz w:val="20"/>
              </w:rPr>
              <w:t>Start of the waiver validity (state-wise rows)</w:t>
            </w:r>
          </w:p>
        </w:tc>
        <w:tc>
          <w:tcPr>
            <w:tcW w:w="1216" w:type="dxa"/>
          </w:tcPr>
          <w:p w14:paraId="3B24DC16" w14:textId="4D1E8AAA"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101C0566" w14:textId="387D51E6" w:rsidR="00F80961" w:rsidRPr="00C63A98" w:rsidRDefault="00F80961" w:rsidP="00C63A98">
            <w:pPr>
              <w:pStyle w:val="Tabletext"/>
              <w:rPr>
                <w:rFonts w:ascii="Calibri" w:hAnsi="Calibri" w:cs="Calibri"/>
                <w:sz w:val="20"/>
              </w:rPr>
            </w:pPr>
            <w:r>
              <w:rPr>
                <w:rFonts w:ascii="Calibri" w:hAnsi="Calibri" w:cs="Calibri"/>
                <w:sz w:val="20"/>
              </w:rPr>
              <w:t>Yes</w:t>
            </w:r>
          </w:p>
        </w:tc>
        <w:tc>
          <w:tcPr>
            <w:tcW w:w="1124" w:type="dxa"/>
          </w:tcPr>
          <w:p w14:paraId="1E07D686" w14:textId="4FE2D618" w:rsidR="00F80961" w:rsidRDefault="00F80961" w:rsidP="00C63A98">
            <w:pPr>
              <w:pStyle w:val="Tabletext"/>
              <w:rPr>
                <w:rFonts w:ascii="Calibri" w:hAnsi="Calibri" w:cs="Calibri"/>
                <w:sz w:val="20"/>
              </w:rPr>
            </w:pPr>
            <w:r>
              <w:rPr>
                <w:rFonts w:ascii="Calibri" w:hAnsi="Calibri" w:cs="Calibri"/>
                <w:sz w:val="20"/>
              </w:rPr>
              <w:t>Date</w:t>
            </w:r>
          </w:p>
        </w:tc>
        <w:tc>
          <w:tcPr>
            <w:tcW w:w="1876" w:type="dxa"/>
          </w:tcPr>
          <w:p w14:paraId="2DBD9C8F" w14:textId="4C3C4191" w:rsidR="00F80961" w:rsidRPr="00C63A98" w:rsidRDefault="00F80961" w:rsidP="00C63A98">
            <w:pPr>
              <w:pStyle w:val="Tabletext"/>
              <w:rPr>
                <w:rFonts w:ascii="Calibri" w:hAnsi="Calibri" w:cs="Calibri"/>
                <w:sz w:val="20"/>
              </w:rPr>
            </w:pPr>
          </w:p>
        </w:tc>
      </w:tr>
      <w:tr w:rsidR="00F80961" w:rsidRPr="00C63A98" w14:paraId="0BD64936" w14:textId="77777777" w:rsidTr="000A106D">
        <w:trPr>
          <w:cantSplit/>
        </w:trPr>
        <w:tc>
          <w:tcPr>
            <w:tcW w:w="1872" w:type="dxa"/>
          </w:tcPr>
          <w:p w14:paraId="57C41796" w14:textId="6F112554" w:rsidR="00F80961" w:rsidRDefault="00F80961" w:rsidP="00C63A98">
            <w:pPr>
              <w:pStyle w:val="Tabletext"/>
              <w:rPr>
                <w:rFonts w:ascii="Calibri" w:hAnsi="Calibri" w:cs="Calibri"/>
                <w:sz w:val="20"/>
              </w:rPr>
            </w:pPr>
            <w:r>
              <w:rPr>
                <w:rFonts w:ascii="Calibri" w:hAnsi="Calibri" w:cs="Calibri"/>
                <w:sz w:val="20"/>
              </w:rPr>
              <w:t>ToDate</w:t>
            </w:r>
          </w:p>
        </w:tc>
        <w:tc>
          <w:tcPr>
            <w:tcW w:w="2060" w:type="dxa"/>
          </w:tcPr>
          <w:p w14:paraId="18C9C703" w14:textId="37007548" w:rsidR="00F80961" w:rsidRDefault="00F80961" w:rsidP="00C63A98">
            <w:pPr>
              <w:pStyle w:val="Tabletext"/>
              <w:rPr>
                <w:rFonts w:ascii="Calibri" w:hAnsi="Calibri" w:cs="Calibri"/>
                <w:sz w:val="20"/>
              </w:rPr>
            </w:pPr>
            <w:r>
              <w:rPr>
                <w:rFonts w:ascii="Calibri" w:hAnsi="Calibri" w:cs="Calibri"/>
                <w:sz w:val="20"/>
              </w:rPr>
              <w:t>End of the waiver validity (state-wise rows)</w:t>
            </w:r>
          </w:p>
        </w:tc>
        <w:tc>
          <w:tcPr>
            <w:tcW w:w="1216" w:type="dxa"/>
          </w:tcPr>
          <w:p w14:paraId="0FE478B0" w14:textId="4522A309"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4AF6AD10" w14:textId="7FE1E208" w:rsidR="00F80961" w:rsidRPr="00C63A98" w:rsidRDefault="00F80961" w:rsidP="00C63A98">
            <w:pPr>
              <w:pStyle w:val="Tabletext"/>
              <w:rPr>
                <w:rFonts w:ascii="Calibri" w:hAnsi="Calibri" w:cs="Calibri"/>
                <w:sz w:val="20"/>
              </w:rPr>
            </w:pPr>
            <w:r>
              <w:rPr>
                <w:rFonts w:ascii="Calibri" w:hAnsi="Calibri" w:cs="Calibri"/>
                <w:sz w:val="20"/>
              </w:rPr>
              <w:t>No</w:t>
            </w:r>
          </w:p>
        </w:tc>
        <w:tc>
          <w:tcPr>
            <w:tcW w:w="1124" w:type="dxa"/>
          </w:tcPr>
          <w:p w14:paraId="745A1055" w14:textId="5755E205" w:rsidR="00F80961" w:rsidRDefault="00F80961" w:rsidP="00C63A98">
            <w:pPr>
              <w:pStyle w:val="Tabletext"/>
              <w:rPr>
                <w:rFonts w:ascii="Calibri" w:hAnsi="Calibri" w:cs="Calibri"/>
                <w:sz w:val="20"/>
              </w:rPr>
            </w:pPr>
            <w:r>
              <w:rPr>
                <w:rFonts w:ascii="Calibri" w:hAnsi="Calibri" w:cs="Calibri"/>
                <w:sz w:val="20"/>
              </w:rPr>
              <w:t>Date</w:t>
            </w:r>
          </w:p>
        </w:tc>
        <w:tc>
          <w:tcPr>
            <w:tcW w:w="1876" w:type="dxa"/>
          </w:tcPr>
          <w:p w14:paraId="3E317EB2" w14:textId="14CCACFD" w:rsidR="00F80961" w:rsidRPr="00C63A98" w:rsidRDefault="00F80961" w:rsidP="00C63A98">
            <w:pPr>
              <w:pStyle w:val="Tabletext"/>
              <w:rPr>
                <w:rFonts w:ascii="Calibri" w:hAnsi="Calibri" w:cs="Calibri"/>
                <w:sz w:val="20"/>
              </w:rPr>
            </w:pPr>
          </w:p>
        </w:tc>
      </w:tr>
      <w:tr w:rsidR="00F80961" w:rsidRPr="00C63A98" w14:paraId="76EE8A5F" w14:textId="77777777" w:rsidTr="000A106D">
        <w:trPr>
          <w:cantSplit/>
        </w:trPr>
        <w:tc>
          <w:tcPr>
            <w:tcW w:w="1872" w:type="dxa"/>
          </w:tcPr>
          <w:p w14:paraId="36C3483A" w14:textId="470DD383" w:rsidR="00F80961" w:rsidRDefault="00F80961" w:rsidP="00C63A98">
            <w:pPr>
              <w:pStyle w:val="Tabletext"/>
              <w:rPr>
                <w:rFonts w:ascii="Calibri" w:hAnsi="Calibri" w:cs="Calibri"/>
                <w:sz w:val="20"/>
              </w:rPr>
            </w:pPr>
            <w:r>
              <w:rPr>
                <w:rFonts w:ascii="Calibri" w:hAnsi="Calibri" w:cs="Calibri"/>
                <w:sz w:val="20"/>
              </w:rPr>
              <w:t>DefaultMin</w:t>
            </w:r>
          </w:p>
        </w:tc>
        <w:tc>
          <w:tcPr>
            <w:tcW w:w="2060" w:type="dxa"/>
          </w:tcPr>
          <w:p w14:paraId="7CB6A7F7" w14:textId="32D0B304" w:rsidR="00F80961" w:rsidRDefault="00F80961" w:rsidP="00C63A98">
            <w:pPr>
              <w:pStyle w:val="Tabletext"/>
              <w:rPr>
                <w:rFonts w:ascii="Calibri" w:hAnsi="Calibri" w:cs="Calibri"/>
                <w:sz w:val="20"/>
              </w:rPr>
            </w:pPr>
            <w:r>
              <w:rPr>
                <w:rFonts w:ascii="Calibri" w:hAnsi="Calibri" w:cs="Calibri"/>
                <w:sz w:val="20"/>
              </w:rPr>
              <w:t>Highest of the applicable minimums</w:t>
            </w:r>
          </w:p>
        </w:tc>
        <w:tc>
          <w:tcPr>
            <w:tcW w:w="1216" w:type="dxa"/>
          </w:tcPr>
          <w:p w14:paraId="0656B934" w14:textId="71E005A5"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480BA6C7" w14:textId="16123D8F" w:rsidR="00F80961" w:rsidRPr="00C63A98" w:rsidRDefault="00F80961" w:rsidP="00C63A98">
            <w:pPr>
              <w:pStyle w:val="Tabletext"/>
              <w:rPr>
                <w:rFonts w:ascii="Calibri" w:hAnsi="Calibri" w:cs="Calibri"/>
                <w:sz w:val="20"/>
              </w:rPr>
            </w:pPr>
            <w:r>
              <w:rPr>
                <w:rFonts w:ascii="Calibri" w:hAnsi="Calibri" w:cs="Calibri"/>
                <w:sz w:val="20"/>
              </w:rPr>
              <w:t>No</w:t>
            </w:r>
          </w:p>
        </w:tc>
        <w:tc>
          <w:tcPr>
            <w:tcW w:w="1124" w:type="dxa"/>
          </w:tcPr>
          <w:p w14:paraId="020A048D" w14:textId="551A70E6" w:rsidR="00F80961" w:rsidRDefault="00F80961" w:rsidP="00C63A98">
            <w:pPr>
              <w:pStyle w:val="Tabletext"/>
              <w:rPr>
                <w:rFonts w:ascii="Calibri" w:hAnsi="Calibri" w:cs="Calibri"/>
                <w:sz w:val="20"/>
              </w:rPr>
            </w:pPr>
            <w:r>
              <w:rPr>
                <w:rFonts w:ascii="Calibri" w:hAnsi="Calibri" w:cs="Calibri"/>
                <w:sz w:val="20"/>
              </w:rPr>
              <w:t>Decimal</w:t>
            </w:r>
          </w:p>
        </w:tc>
        <w:tc>
          <w:tcPr>
            <w:tcW w:w="1876" w:type="dxa"/>
          </w:tcPr>
          <w:p w14:paraId="555D4A0C" w14:textId="726A0DE7" w:rsidR="00F80961" w:rsidRPr="00C63A98" w:rsidRDefault="00F80961" w:rsidP="00C63A98">
            <w:pPr>
              <w:pStyle w:val="Tabletext"/>
              <w:rPr>
                <w:rFonts w:ascii="Calibri" w:hAnsi="Calibri" w:cs="Calibri"/>
                <w:sz w:val="20"/>
              </w:rPr>
            </w:pPr>
            <w:r>
              <w:rPr>
                <w:rFonts w:ascii="Calibri" w:hAnsi="Calibri" w:cs="Calibri"/>
                <w:sz w:val="20"/>
              </w:rPr>
              <w:t>9.5</w:t>
            </w:r>
          </w:p>
        </w:tc>
      </w:tr>
      <w:tr w:rsidR="00F80961" w:rsidRPr="00C63A98" w14:paraId="2E1742FF" w14:textId="77777777" w:rsidTr="000A106D">
        <w:trPr>
          <w:cantSplit/>
        </w:trPr>
        <w:tc>
          <w:tcPr>
            <w:tcW w:w="1872" w:type="dxa"/>
          </w:tcPr>
          <w:p w14:paraId="383F5174" w14:textId="616149FD" w:rsidR="00F80961" w:rsidRDefault="00F80961" w:rsidP="00C63A98">
            <w:pPr>
              <w:pStyle w:val="Tabletext"/>
              <w:rPr>
                <w:rFonts w:ascii="Calibri" w:hAnsi="Calibri" w:cs="Calibri"/>
                <w:sz w:val="20"/>
              </w:rPr>
            </w:pPr>
            <w:r>
              <w:rPr>
                <w:rFonts w:ascii="Calibri" w:hAnsi="Calibri" w:cs="Calibri"/>
                <w:sz w:val="20"/>
              </w:rPr>
              <w:t>DefaultMax</w:t>
            </w:r>
          </w:p>
        </w:tc>
        <w:tc>
          <w:tcPr>
            <w:tcW w:w="2060" w:type="dxa"/>
          </w:tcPr>
          <w:p w14:paraId="70249B31" w14:textId="47C1FDAB" w:rsidR="00F80961" w:rsidRDefault="00F80961" w:rsidP="00C63A98">
            <w:pPr>
              <w:pStyle w:val="Tabletext"/>
              <w:rPr>
                <w:rFonts w:ascii="Calibri" w:hAnsi="Calibri" w:cs="Calibri"/>
                <w:sz w:val="20"/>
              </w:rPr>
            </w:pPr>
            <w:r>
              <w:rPr>
                <w:rFonts w:ascii="Calibri" w:hAnsi="Calibri" w:cs="Calibri"/>
                <w:sz w:val="20"/>
              </w:rPr>
              <w:t>Lowest of the applicable maximums</w:t>
            </w:r>
          </w:p>
        </w:tc>
        <w:tc>
          <w:tcPr>
            <w:tcW w:w="1216" w:type="dxa"/>
          </w:tcPr>
          <w:p w14:paraId="47628EA7" w14:textId="7FF54C24"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2B076D38" w14:textId="6E00955A" w:rsidR="00F80961" w:rsidRPr="00C63A98" w:rsidRDefault="00F80961" w:rsidP="00C63A98">
            <w:pPr>
              <w:pStyle w:val="Tabletext"/>
              <w:rPr>
                <w:rFonts w:ascii="Calibri" w:hAnsi="Calibri" w:cs="Calibri"/>
                <w:sz w:val="20"/>
              </w:rPr>
            </w:pPr>
            <w:r>
              <w:rPr>
                <w:rFonts w:ascii="Calibri" w:hAnsi="Calibri" w:cs="Calibri"/>
                <w:sz w:val="20"/>
              </w:rPr>
              <w:t>No</w:t>
            </w:r>
          </w:p>
        </w:tc>
        <w:tc>
          <w:tcPr>
            <w:tcW w:w="1124" w:type="dxa"/>
          </w:tcPr>
          <w:p w14:paraId="56F5BAEF" w14:textId="588A0AD4" w:rsidR="00F80961" w:rsidRDefault="00F80961" w:rsidP="00C63A98">
            <w:pPr>
              <w:pStyle w:val="Tabletext"/>
              <w:rPr>
                <w:rFonts w:ascii="Calibri" w:hAnsi="Calibri" w:cs="Calibri"/>
                <w:sz w:val="20"/>
              </w:rPr>
            </w:pPr>
            <w:r>
              <w:rPr>
                <w:rFonts w:ascii="Calibri" w:hAnsi="Calibri" w:cs="Calibri"/>
                <w:sz w:val="20"/>
              </w:rPr>
              <w:t>Decimal</w:t>
            </w:r>
          </w:p>
        </w:tc>
        <w:tc>
          <w:tcPr>
            <w:tcW w:w="1876" w:type="dxa"/>
          </w:tcPr>
          <w:p w14:paraId="2C114881" w14:textId="7C840FC6" w:rsidR="00F80961" w:rsidRPr="00C63A98" w:rsidRDefault="00F80961" w:rsidP="00C63A98">
            <w:pPr>
              <w:pStyle w:val="Tabletext"/>
              <w:rPr>
                <w:rFonts w:ascii="Calibri" w:hAnsi="Calibri" w:cs="Calibri"/>
                <w:sz w:val="20"/>
              </w:rPr>
            </w:pPr>
            <w:r>
              <w:rPr>
                <w:rFonts w:ascii="Calibri" w:hAnsi="Calibri" w:cs="Calibri"/>
                <w:sz w:val="20"/>
              </w:rPr>
              <w:t>11.5</w:t>
            </w:r>
          </w:p>
        </w:tc>
      </w:tr>
      <w:tr w:rsidR="00F80961" w:rsidRPr="00C63A98" w14:paraId="66812F8B" w14:textId="77777777" w:rsidTr="000A106D">
        <w:trPr>
          <w:cantSplit/>
        </w:trPr>
        <w:tc>
          <w:tcPr>
            <w:tcW w:w="1872" w:type="dxa"/>
          </w:tcPr>
          <w:p w14:paraId="4D720B13" w14:textId="3F763436" w:rsidR="00F80961" w:rsidRDefault="00F80961" w:rsidP="00C63A98">
            <w:pPr>
              <w:pStyle w:val="Tabletext"/>
              <w:rPr>
                <w:rFonts w:ascii="Calibri" w:hAnsi="Calibri" w:cs="Calibri"/>
                <w:sz w:val="20"/>
              </w:rPr>
            </w:pPr>
            <w:r>
              <w:rPr>
                <w:rFonts w:ascii="Calibri" w:hAnsi="Calibri" w:cs="Calibri"/>
                <w:sz w:val="20"/>
              </w:rPr>
              <w:t>RevisedMin</w:t>
            </w:r>
          </w:p>
        </w:tc>
        <w:tc>
          <w:tcPr>
            <w:tcW w:w="2060" w:type="dxa"/>
          </w:tcPr>
          <w:p w14:paraId="2B1FBAF6" w14:textId="6F0C59B2" w:rsidR="00F80961" w:rsidRDefault="00F80961" w:rsidP="00C63A98">
            <w:pPr>
              <w:pStyle w:val="Tabletext"/>
              <w:rPr>
                <w:rFonts w:ascii="Calibri" w:hAnsi="Calibri" w:cs="Calibri"/>
                <w:sz w:val="20"/>
              </w:rPr>
            </w:pPr>
            <w:r>
              <w:rPr>
                <w:rFonts w:ascii="Calibri" w:hAnsi="Calibri" w:cs="Calibri"/>
                <w:sz w:val="20"/>
              </w:rPr>
              <w:t>Revised minimum entered by the user</w:t>
            </w:r>
          </w:p>
        </w:tc>
        <w:tc>
          <w:tcPr>
            <w:tcW w:w="1216" w:type="dxa"/>
          </w:tcPr>
          <w:p w14:paraId="7B5427C9" w14:textId="0DBADF1C"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6687419A" w14:textId="14633A4B" w:rsidR="00F80961" w:rsidRPr="00C63A98" w:rsidRDefault="00F80961" w:rsidP="00C63A98">
            <w:pPr>
              <w:pStyle w:val="Tabletext"/>
              <w:rPr>
                <w:rFonts w:ascii="Calibri" w:hAnsi="Calibri" w:cs="Calibri"/>
                <w:sz w:val="20"/>
              </w:rPr>
            </w:pPr>
            <w:r>
              <w:rPr>
                <w:rFonts w:ascii="Calibri" w:hAnsi="Calibri" w:cs="Calibri"/>
                <w:sz w:val="20"/>
              </w:rPr>
              <w:t>No</w:t>
            </w:r>
          </w:p>
        </w:tc>
        <w:tc>
          <w:tcPr>
            <w:tcW w:w="1124" w:type="dxa"/>
          </w:tcPr>
          <w:p w14:paraId="6DECAD40" w14:textId="0E0F3886" w:rsidR="00F80961" w:rsidRDefault="00F80961" w:rsidP="00C63A98">
            <w:pPr>
              <w:pStyle w:val="Tabletext"/>
              <w:rPr>
                <w:rFonts w:ascii="Calibri" w:hAnsi="Calibri" w:cs="Calibri"/>
                <w:sz w:val="20"/>
              </w:rPr>
            </w:pPr>
            <w:r>
              <w:rPr>
                <w:rFonts w:ascii="Calibri" w:hAnsi="Calibri" w:cs="Calibri"/>
                <w:sz w:val="20"/>
              </w:rPr>
              <w:t>Decimal</w:t>
            </w:r>
          </w:p>
        </w:tc>
        <w:tc>
          <w:tcPr>
            <w:tcW w:w="1876" w:type="dxa"/>
          </w:tcPr>
          <w:p w14:paraId="2BBF5734" w14:textId="78F8259F" w:rsidR="00F80961" w:rsidRPr="00C63A98" w:rsidRDefault="00F80961" w:rsidP="00C63A98">
            <w:pPr>
              <w:pStyle w:val="Tabletext"/>
              <w:rPr>
                <w:rFonts w:ascii="Calibri" w:hAnsi="Calibri" w:cs="Calibri"/>
                <w:sz w:val="20"/>
              </w:rPr>
            </w:pPr>
          </w:p>
        </w:tc>
      </w:tr>
      <w:tr w:rsidR="00F80961" w:rsidRPr="00C63A98" w14:paraId="207B355C" w14:textId="77777777" w:rsidTr="000A106D">
        <w:trPr>
          <w:cantSplit/>
        </w:trPr>
        <w:tc>
          <w:tcPr>
            <w:tcW w:w="1872" w:type="dxa"/>
          </w:tcPr>
          <w:p w14:paraId="0509D68B" w14:textId="384F8660" w:rsidR="00F80961" w:rsidRDefault="00F80961" w:rsidP="00C63A98">
            <w:pPr>
              <w:pStyle w:val="Tabletext"/>
              <w:rPr>
                <w:rFonts w:ascii="Calibri" w:hAnsi="Calibri" w:cs="Calibri"/>
                <w:sz w:val="20"/>
              </w:rPr>
            </w:pPr>
            <w:r>
              <w:rPr>
                <w:rFonts w:ascii="Calibri" w:hAnsi="Calibri" w:cs="Calibri"/>
                <w:sz w:val="20"/>
              </w:rPr>
              <w:t>RevisedMax</w:t>
            </w:r>
          </w:p>
        </w:tc>
        <w:tc>
          <w:tcPr>
            <w:tcW w:w="2060" w:type="dxa"/>
          </w:tcPr>
          <w:p w14:paraId="65784D50" w14:textId="62FA7B2E" w:rsidR="00F80961" w:rsidRDefault="00F80961" w:rsidP="00C63A98">
            <w:pPr>
              <w:pStyle w:val="Tabletext"/>
              <w:rPr>
                <w:rFonts w:ascii="Calibri" w:hAnsi="Calibri" w:cs="Calibri"/>
                <w:sz w:val="20"/>
              </w:rPr>
            </w:pPr>
            <w:r>
              <w:rPr>
                <w:rFonts w:ascii="Calibri" w:hAnsi="Calibri" w:cs="Calibri"/>
                <w:sz w:val="20"/>
              </w:rPr>
              <w:t>Revised maximum entered by the user</w:t>
            </w:r>
          </w:p>
        </w:tc>
        <w:tc>
          <w:tcPr>
            <w:tcW w:w="1216" w:type="dxa"/>
          </w:tcPr>
          <w:p w14:paraId="533AE674" w14:textId="4A824ECC"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15A7DBAA" w14:textId="50B304FA" w:rsidR="00F80961" w:rsidRPr="00C63A98" w:rsidRDefault="00F80961" w:rsidP="00C63A98">
            <w:pPr>
              <w:pStyle w:val="Tabletext"/>
              <w:rPr>
                <w:rFonts w:ascii="Calibri" w:hAnsi="Calibri" w:cs="Calibri"/>
                <w:sz w:val="20"/>
              </w:rPr>
            </w:pPr>
            <w:r>
              <w:rPr>
                <w:rFonts w:ascii="Calibri" w:hAnsi="Calibri" w:cs="Calibri"/>
                <w:sz w:val="20"/>
              </w:rPr>
              <w:t>No</w:t>
            </w:r>
          </w:p>
        </w:tc>
        <w:tc>
          <w:tcPr>
            <w:tcW w:w="1124" w:type="dxa"/>
          </w:tcPr>
          <w:p w14:paraId="63A2D555" w14:textId="76AFBA7C" w:rsidR="00F80961" w:rsidRDefault="00F80961" w:rsidP="00C63A98">
            <w:pPr>
              <w:pStyle w:val="Tabletext"/>
              <w:rPr>
                <w:rFonts w:ascii="Calibri" w:hAnsi="Calibri" w:cs="Calibri"/>
                <w:sz w:val="20"/>
              </w:rPr>
            </w:pPr>
            <w:r>
              <w:rPr>
                <w:rFonts w:ascii="Calibri" w:hAnsi="Calibri" w:cs="Calibri"/>
                <w:sz w:val="20"/>
              </w:rPr>
              <w:t>Decimal</w:t>
            </w:r>
          </w:p>
        </w:tc>
        <w:tc>
          <w:tcPr>
            <w:tcW w:w="1876" w:type="dxa"/>
          </w:tcPr>
          <w:p w14:paraId="78DF1024" w14:textId="4E922DD8" w:rsidR="00F80961" w:rsidRPr="00C63A98" w:rsidRDefault="00F80961" w:rsidP="00C63A98">
            <w:pPr>
              <w:pStyle w:val="Tabletext"/>
              <w:rPr>
                <w:rFonts w:ascii="Calibri" w:hAnsi="Calibri" w:cs="Calibri"/>
                <w:sz w:val="20"/>
              </w:rPr>
            </w:pPr>
          </w:p>
        </w:tc>
      </w:tr>
      <w:tr w:rsidR="00F80961" w:rsidRPr="00C63A98" w14:paraId="008C713D" w14:textId="77777777" w:rsidTr="000A106D">
        <w:trPr>
          <w:cantSplit/>
        </w:trPr>
        <w:tc>
          <w:tcPr>
            <w:tcW w:w="1872" w:type="dxa"/>
          </w:tcPr>
          <w:p w14:paraId="31BABCB3" w14:textId="5E86E45F" w:rsidR="00F80961" w:rsidRDefault="00F80961" w:rsidP="00C63A98">
            <w:pPr>
              <w:pStyle w:val="Tabletext"/>
              <w:rPr>
                <w:rFonts w:ascii="Calibri" w:hAnsi="Calibri" w:cs="Calibri"/>
                <w:sz w:val="20"/>
              </w:rPr>
            </w:pPr>
            <w:r>
              <w:rPr>
                <w:rFonts w:ascii="Calibri" w:hAnsi="Calibri" w:cs="Calibri"/>
                <w:sz w:val="20"/>
              </w:rPr>
              <w:t>UOM</w:t>
            </w:r>
          </w:p>
        </w:tc>
        <w:tc>
          <w:tcPr>
            <w:tcW w:w="2060" w:type="dxa"/>
          </w:tcPr>
          <w:p w14:paraId="63E5F44B" w14:textId="6607729F" w:rsidR="00F80961" w:rsidRDefault="00F80961" w:rsidP="00C63A98">
            <w:pPr>
              <w:pStyle w:val="Tabletext"/>
              <w:rPr>
                <w:rFonts w:ascii="Calibri" w:hAnsi="Calibri" w:cs="Calibri"/>
                <w:sz w:val="20"/>
              </w:rPr>
            </w:pPr>
            <w:r>
              <w:rPr>
                <w:rFonts w:ascii="Calibri" w:hAnsi="Calibri" w:cs="Calibri"/>
                <w:sz w:val="20"/>
              </w:rPr>
              <w:t>Unit of the quality, as held in the specification</w:t>
            </w:r>
          </w:p>
        </w:tc>
        <w:tc>
          <w:tcPr>
            <w:tcW w:w="1216" w:type="dxa"/>
          </w:tcPr>
          <w:p w14:paraId="07D9D637" w14:textId="13C52DFF" w:rsidR="00F80961" w:rsidRDefault="00F80961" w:rsidP="00C63A98">
            <w:pPr>
              <w:pStyle w:val="Tabletext"/>
              <w:rPr>
                <w:rFonts w:ascii="Calibri" w:hAnsi="Calibri" w:cs="Calibri"/>
                <w:sz w:val="20"/>
              </w:rPr>
            </w:pPr>
            <w:r>
              <w:rPr>
                <w:rFonts w:ascii="Calibri" w:hAnsi="Calibri" w:cs="Calibri"/>
                <w:sz w:val="20"/>
              </w:rPr>
              <w:t>No</w:t>
            </w:r>
          </w:p>
        </w:tc>
        <w:tc>
          <w:tcPr>
            <w:tcW w:w="1216" w:type="dxa"/>
          </w:tcPr>
          <w:p w14:paraId="4AFB9DD9" w14:textId="39521ECF" w:rsidR="00F80961" w:rsidRPr="00C63A98" w:rsidRDefault="00F80961" w:rsidP="00C63A98">
            <w:pPr>
              <w:pStyle w:val="Tabletext"/>
              <w:rPr>
                <w:rFonts w:ascii="Calibri" w:hAnsi="Calibri" w:cs="Calibri"/>
                <w:sz w:val="20"/>
              </w:rPr>
            </w:pPr>
            <w:r>
              <w:rPr>
                <w:rFonts w:ascii="Calibri" w:hAnsi="Calibri" w:cs="Calibri"/>
                <w:sz w:val="20"/>
              </w:rPr>
              <w:t>No</w:t>
            </w:r>
          </w:p>
        </w:tc>
        <w:tc>
          <w:tcPr>
            <w:tcW w:w="1124" w:type="dxa"/>
          </w:tcPr>
          <w:p w14:paraId="31E36B92" w14:textId="7D598919" w:rsidR="00F80961" w:rsidRDefault="00F80961" w:rsidP="00C63A98">
            <w:pPr>
              <w:pStyle w:val="Tabletext"/>
              <w:rPr>
                <w:rFonts w:ascii="Calibri" w:hAnsi="Calibri" w:cs="Calibri"/>
                <w:sz w:val="20"/>
              </w:rPr>
            </w:pPr>
            <w:r>
              <w:rPr>
                <w:rFonts w:ascii="Calibri" w:hAnsi="Calibri" w:cs="Calibri"/>
                <w:sz w:val="20"/>
              </w:rPr>
              <w:t>String</w:t>
            </w:r>
          </w:p>
        </w:tc>
        <w:tc>
          <w:tcPr>
            <w:tcW w:w="1876" w:type="dxa"/>
          </w:tcPr>
          <w:p w14:paraId="7CA27C6E" w14:textId="6EED8C86" w:rsidR="00F80961" w:rsidRPr="00C63A98" w:rsidRDefault="00F80961" w:rsidP="00C63A98">
            <w:pPr>
              <w:pStyle w:val="Tabletext"/>
              <w:rPr>
                <w:rFonts w:ascii="Calibri" w:hAnsi="Calibri" w:cs="Calibri"/>
                <w:sz w:val="20"/>
              </w:rPr>
            </w:pPr>
          </w:p>
        </w:tc>
      </w:tr>
    </w:tbl>
    <w:p w14:paraId="2B5A2E7A" w14:textId="0EDE9612" w:rsidR="00F80961" w:rsidRDefault="00F80961" w:rsidP="00F80961">
      <w:pPr>
        <w:pStyle w:val="Caption"/>
      </w:pPr>
      <w:bookmarkStart w:id="251" w:name="_Toc242554034"/>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36</w:t>
      </w:r>
      <w:r>
        <w:fldChar w:fldCharType="end"/>
      </w:r>
      <w:r>
        <w:t>: Waiver Selection - API Endpoint - Response Model</w:t>
      </w:r>
      <w:bookmarkEnd w:id="251"/>
    </w:p>
    <w:p w14:paraId="336364F6" w14:textId="30F85B46" w:rsidR="00687F84" w:rsidRDefault="00687F84" w:rsidP="00687F84">
      <w:pPr>
        <w:pStyle w:val="Heading6"/>
        <w:rPr>
          <w:rFonts w:ascii="Calibri" w:hAnsi="Calibri" w:cs="Calibri"/>
          <w:sz w:val="20"/>
        </w:rPr>
      </w:pPr>
      <w:r>
        <w:rPr>
          <w:rFonts w:ascii="Calibri" w:hAnsi="Calibri" w:cs="Calibri"/>
          <w:sz w:val="20"/>
        </w:rPr>
        <w:t>Sequence Diagram</w:t>
      </w:r>
    </w:p>
    <w:p w14:paraId="3E706E04" w14:textId="77777777" w:rsidR="008F2422" w:rsidRPr="006958CC" w:rsidRDefault="008F2422" w:rsidP="00FC42E7">
      <w:pPr>
        <w:keepNext/>
        <w:keepLines/>
        <w:jc w:val="left"/>
        <w:rPr>
          <w:rFonts w:ascii="Calibri" w:hAnsi="Calibri" w:cs="Calibri"/>
        </w:rPr>
      </w:pPr>
      <w:r>
        <w:rPr>
          <w:rFonts w:ascii="Calibri" w:hAnsi="Calibri" w:cs="Calibri"/>
        </w:rPr>
        <w:t>The figure below shows the calls that move the waiver data in the order they happen.</w:t>
      </w:r>
    </w:p>
    <w:p w14:paraId="7A3966D1" w14:textId="10687ECC" w:rsidR="008F2422" w:rsidRPr="006958CC" w:rsidRDefault="00144FA3" w:rsidP="008F2422">
      <w:pPr>
        <w:keepNext/>
        <w:spacing w:after="40"/>
        <w:jc w:val="center"/>
      </w:pPr>
      <w:r>
        <w:rPr>
          <w:noProof/>
        </w:rPr>
        <w:drawing>
          <wp:inline distT="0" distB="0" distL="0" distR="0" wp14:anchorId="13D5236A" wp14:editId="7657C8E7">
            <wp:extent cx="5943600" cy="3618865"/>
            <wp:effectExtent l="0" t="0" r="0" b="635"/>
            <wp:docPr id="1847043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43862" name=""/>
                    <pic:cNvPicPr/>
                  </pic:nvPicPr>
                  <pic:blipFill>
                    <a:blip r:embed="rId41"/>
                    <a:stretch>
                      <a:fillRect/>
                    </a:stretch>
                  </pic:blipFill>
                  <pic:spPr>
                    <a:xfrm>
                      <a:off x="0" y="0"/>
                      <a:ext cx="5943600" cy="3618865"/>
                    </a:xfrm>
                    <a:prstGeom prst="rect">
                      <a:avLst/>
                    </a:prstGeom>
                  </pic:spPr>
                </pic:pic>
              </a:graphicData>
            </a:graphic>
          </wp:inline>
        </w:drawing>
      </w:r>
    </w:p>
    <w:p w14:paraId="072A5831" w14:textId="57E54E52" w:rsidR="008F2422" w:rsidRPr="006958CC" w:rsidRDefault="008F2422" w:rsidP="008F2422">
      <w:pPr>
        <w:pStyle w:val="Caption"/>
        <w:rPr>
          <w:rFonts w:ascii="Calibri" w:hAnsi="Calibri" w:cs="Calibri"/>
        </w:rPr>
      </w:pPr>
      <w:bookmarkStart w:id="252" w:name="_Toc242554154"/>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18</w:t>
      </w:r>
      <w:r w:rsidRPr="006958CC">
        <w:rPr>
          <w:rFonts w:ascii="Calibri" w:hAnsi="Calibri" w:cs="Calibri"/>
        </w:rPr>
        <w:fldChar w:fldCharType="end"/>
      </w:r>
      <w:r w:rsidRPr="006958CC">
        <w:rPr>
          <w:rFonts w:ascii="Calibri" w:hAnsi="Calibri" w:cs="Calibri"/>
        </w:rPr>
        <w:t xml:space="preserve">: </w:t>
      </w:r>
      <w:r>
        <w:rPr>
          <w:rFonts w:ascii="Calibri" w:hAnsi="Calibri" w:cs="Calibri"/>
        </w:rPr>
        <w:t>Waiver Selection Sequence Diagram</w:t>
      </w:r>
      <w:bookmarkEnd w:id="252"/>
    </w:p>
    <w:p w14:paraId="00DABD82" w14:textId="7E4BC182" w:rsidR="00FC42E7" w:rsidRPr="00EC3682" w:rsidRDefault="00FC42E7" w:rsidP="00FC42E7">
      <w:pPr>
        <w:pStyle w:val="ListParagraph"/>
        <w:numPr>
          <w:ilvl w:val="0"/>
          <w:numId w:val="4"/>
        </w:numPr>
        <w:jc w:val="left"/>
        <w:rPr>
          <w:rFonts w:ascii="Calibri" w:hAnsi="Calibri" w:cs="Calibri"/>
        </w:rPr>
      </w:pPr>
      <w:r>
        <w:t xml:space="preserve">The calls shall follow the common integration pattern (section </w:t>
      </w:r>
      <w:r>
        <w:fldChar w:fldCharType="begin"/>
      </w:r>
      <w:r>
        <w:instrText xml:space="preserve"> REF _Ref917260951 \w \h \* MERGEFORMAT </w:instrText>
      </w:r>
      <w:r>
        <w:fldChar w:fldCharType="separate"/>
      </w:r>
      <w:r w:rsidRPr="00FC42E7">
        <w:rPr>
          <w:color w:val="0563C1"/>
          <w:u w:val="single"/>
        </w:rPr>
        <w:t>2.3.1.4</w:t>
      </w:r>
      <w:r>
        <w:fldChar w:fldCharType="end"/>
      </w:r>
      <w:r>
        <w:t>), with the Waiver services, orchestrators and queues.</w:t>
      </w:r>
    </w:p>
    <w:p w14:paraId="7E85F171" w14:textId="0703E023" w:rsidR="008F2422" w:rsidRPr="006958CC" w:rsidRDefault="00FC42E7" w:rsidP="00FC42E7">
      <w:pPr>
        <w:keepNext/>
        <w:jc w:val="left"/>
        <w:rPr>
          <w:rFonts w:ascii="Calibri" w:hAnsi="Calibri" w:cs="Calibri"/>
        </w:rPr>
      </w:pPr>
      <w:r>
        <w:rPr>
          <w:rFonts w:ascii="Calibri" w:hAnsi="Calibri" w:cs="Calibri"/>
        </w:rPr>
        <w:t>For the waivers, these calls shall differ from the common integration pattern:</w:t>
      </w:r>
    </w:p>
    <w:p w14:paraId="738C6B3E" w14:textId="77777777" w:rsidR="008F2422" w:rsidRPr="00FC42E7" w:rsidRDefault="008F2422" w:rsidP="00FC42E7">
      <w:pPr>
        <w:pStyle w:val="ListParagraph"/>
        <w:numPr>
          <w:ilvl w:val="0"/>
          <w:numId w:val="4"/>
        </w:numPr>
        <w:jc w:val="left"/>
      </w:pPr>
      <w:r w:rsidRPr="00FC42E7">
        <w:t>The Core Capabilities UI shall send the Waiver Request on demand to the Waiver Request Service.</w:t>
      </w:r>
    </w:p>
    <w:p w14:paraId="40433F93" w14:textId="419F375D" w:rsidR="00FC42E7" w:rsidRPr="00FC42E7" w:rsidRDefault="00FC42E7" w:rsidP="00FC42E7">
      <w:pPr>
        <w:pStyle w:val="ListParagraph"/>
        <w:numPr>
          <w:ilvl w:val="0"/>
          <w:numId w:val="4"/>
        </w:numPr>
        <w:jc w:val="left"/>
      </w:pPr>
      <w:r w:rsidRPr="00FC42E7">
        <w:t>The Waiver Response Service shall read the lists, or the Default Min and Default Max, from the IQDM database and return them through the Waiver Response Queue.</w:t>
      </w:r>
    </w:p>
    <w:p w14:paraId="6CFB18A4" w14:textId="0A6F677D" w:rsidR="008F2422" w:rsidRPr="00FC42E7" w:rsidRDefault="00FC42E7" w:rsidP="00FC42E7">
      <w:pPr>
        <w:pStyle w:val="ListParagraph"/>
        <w:numPr>
          <w:ilvl w:val="0"/>
          <w:numId w:val="4"/>
        </w:numPr>
        <w:jc w:val="left"/>
      </w:pPr>
      <w:r w:rsidRPr="00FC42E7">
        <w:t>With IsImport = false, the Waiver Request Service shall save the waivers through the stored procedure.</w:t>
      </w:r>
    </w:p>
    <w:p w14:paraId="0744E118" w14:textId="4831E394" w:rsidR="00687F84" w:rsidRDefault="00687F84" w:rsidP="00687F84">
      <w:pPr>
        <w:pStyle w:val="Heading6"/>
        <w:rPr>
          <w:rFonts w:ascii="Calibri" w:hAnsi="Calibri" w:cs="Calibri"/>
          <w:sz w:val="20"/>
        </w:rPr>
      </w:pPr>
      <w:r>
        <w:rPr>
          <w:rFonts w:ascii="Calibri" w:hAnsi="Calibri" w:cs="Calibri"/>
          <w:sz w:val="20"/>
        </w:rPr>
        <w:t>Data Entity</w:t>
      </w:r>
    </w:p>
    <w:p w14:paraId="67EDE581" w14:textId="546683F9" w:rsidR="00687F84" w:rsidRPr="00AA30D8" w:rsidRDefault="00687F84" w:rsidP="00687F84">
      <w:pPr>
        <w:pStyle w:val="Heading7"/>
        <w:rPr>
          <w:rFonts w:ascii="Calibri" w:hAnsi="Calibri" w:cs="Calibri"/>
          <w:b/>
          <w:sz w:val="20"/>
        </w:rPr>
      </w:pPr>
      <w:r>
        <w:rPr>
          <w:rFonts w:ascii="Calibri" w:hAnsi="Calibri" w:cs="Calibri"/>
          <w:b/>
          <w:sz w:val="20"/>
        </w:rPr>
        <w:t>Source (IQDM) Data Entity: product_specification</w:t>
      </w:r>
    </w:p>
    <w:p w14:paraId="433A7709" w14:textId="77335248" w:rsidR="00FC42E7" w:rsidRPr="00EC3682" w:rsidRDefault="00FC42E7" w:rsidP="00FC42E7">
      <w:pPr>
        <w:pStyle w:val="ListParagraph"/>
        <w:numPr>
          <w:ilvl w:val="0"/>
          <w:numId w:val="4"/>
        </w:numPr>
        <w:jc w:val="left"/>
        <w:rPr>
          <w:rFonts w:ascii="Calibri" w:hAnsi="Calibri" w:cs="Calibri"/>
        </w:rPr>
      </w:pPr>
      <w:r>
        <w:t xml:space="preserve">The Waiver Response Service shall read the specification rows from the product_specification table of the IQDM database (Table </w:t>
      </w:r>
      <w:hyperlink w:anchor="_Toc415885907" w:history="1">
        <w:r w:rsidRPr="00FC42E7">
          <w:rPr>
            <w:color w:val="0563C1"/>
            <w:u w:val="single"/>
          </w:rPr>
          <w:t>3-9</w:t>
        </w:r>
      </w:hyperlink>
      <w:r>
        <w:t>).</w:t>
      </w:r>
    </w:p>
    <w:p w14:paraId="05998536" w14:textId="0202ACA4" w:rsidR="00F80961" w:rsidRPr="0081216E" w:rsidRDefault="00FC42E7" w:rsidP="00FC42E7">
      <w:pPr>
        <w:keepNext/>
        <w:jc w:val="left"/>
        <w:rPr>
          <w:rFonts w:ascii="Calibri" w:hAnsi="Calibri" w:cs="Calibri"/>
        </w:rPr>
      </w:pPr>
      <w:r>
        <w:rPr>
          <w:rFonts w:ascii="Calibri" w:hAnsi="Calibri" w:cs="Calibri"/>
        </w:rPr>
        <w:t xml:space="preserve">The table below gives the attributes of the product_specification table by their source column names, as in Table </w:t>
      </w:r>
      <w:hyperlink w:anchor="_Toc415885907" w:history="1">
        <w:r w:rsidRPr="00FC42E7">
          <w:rPr>
            <w:color w:val="0563C1"/>
            <w:u w:val="single"/>
          </w:rPr>
          <w:t>3-9</w:t>
        </w:r>
      </w:hyperlink>
      <w:r>
        <w:rPr>
          <w:rFonts w:ascii="Calibri" w:hAnsi="Calibri" w:cs="Calibri"/>
        </w:rPr>
        <w:t>.</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1"/>
        <w:gridCol w:w="4154"/>
        <w:gridCol w:w="1436"/>
        <w:gridCol w:w="1549"/>
      </w:tblGrid>
      <w:tr w:rsidR="00F80961" w:rsidRPr="00C63A98" w14:paraId="1214620B" w14:textId="77777777" w:rsidTr="00C63A98">
        <w:trPr>
          <w:cantSplit/>
          <w:tblHeader/>
        </w:trPr>
        <w:tc>
          <w:tcPr>
            <w:tcW w:w="2221" w:type="dxa"/>
            <w:shd w:val="clear" w:color="auto" w:fill="2F5597"/>
          </w:tcPr>
          <w:p w14:paraId="0D1F3BA5" w14:textId="77777777" w:rsidR="00F80961" w:rsidRPr="00C63A98" w:rsidRDefault="00F80961" w:rsidP="00AA30D8">
            <w:pPr>
              <w:pStyle w:val="Tablehead1"/>
              <w:rPr>
                <w:rFonts w:ascii="Calibri" w:hAnsi="Calibri" w:cs="Calibri"/>
                <w:sz w:val="20"/>
              </w:rPr>
            </w:pPr>
            <w:r w:rsidRPr="00C63A98">
              <w:rPr>
                <w:rFonts w:ascii="Calibri" w:hAnsi="Calibri" w:cs="Calibri"/>
                <w:sz w:val="20"/>
              </w:rPr>
              <w:t>Attribute Name</w:t>
            </w:r>
          </w:p>
        </w:tc>
        <w:tc>
          <w:tcPr>
            <w:tcW w:w="4154" w:type="dxa"/>
            <w:shd w:val="clear" w:color="auto" w:fill="2F5597"/>
          </w:tcPr>
          <w:p w14:paraId="023FE5CA" w14:textId="77777777" w:rsidR="00F80961" w:rsidRPr="00C63A98" w:rsidRDefault="00F80961" w:rsidP="00AA30D8">
            <w:pPr>
              <w:pStyle w:val="Tablehead1"/>
              <w:rPr>
                <w:rFonts w:ascii="Calibri" w:hAnsi="Calibri" w:cs="Calibri"/>
                <w:sz w:val="20"/>
              </w:rPr>
            </w:pPr>
            <w:r w:rsidRPr="00C63A98">
              <w:rPr>
                <w:rFonts w:ascii="Calibri" w:hAnsi="Calibri" w:cs="Calibri"/>
                <w:sz w:val="20"/>
              </w:rPr>
              <w:t>Description</w:t>
            </w:r>
          </w:p>
        </w:tc>
        <w:tc>
          <w:tcPr>
            <w:tcW w:w="1436" w:type="dxa"/>
            <w:shd w:val="clear" w:color="auto" w:fill="2F5597"/>
          </w:tcPr>
          <w:p w14:paraId="685F1660" w14:textId="77777777" w:rsidR="00F80961" w:rsidRPr="00C63A98" w:rsidRDefault="00F80961" w:rsidP="00AA30D8">
            <w:pPr>
              <w:pStyle w:val="Tablehead1"/>
              <w:rPr>
                <w:rFonts w:ascii="Calibri" w:hAnsi="Calibri" w:cs="Calibri"/>
                <w:sz w:val="20"/>
              </w:rPr>
            </w:pPr>
            <w:r w:rsidRPr="00C63A98">
              <w:rPr>
                <w:rFonts w:ascii="Calibri" w:hAnsi="Calibri" w:cs="Calibri"/>
                <w:sz w:val="20"/>
              </w:rPr>
              <w:t>Type</w:t>
            </w:r>
          </w:p>
        </w:tc>
        <w:tc>
          <w:tcPr>
            <w:tcW w:w="1549" w:type="dxa"/>
            <w:shd w:val="clear" w:color="auto" w:fill="2F5597"/>
          </w:tcPr>
          <w:p w14:paraId="22EA5039" w14:textId="77777777" w:rsidR="00F80961" w:rsidRPr="00C63A98" w:rsidRDefault="00F80961" w:rsidP="00AA30D8">
            <w:pPr>
              <w:pStyle w:val="Tablehead1"/>
              <w:rPr>
                <w:rFonts w:ascii="Calibri" w:hAnsi="Calibri" w:cs="Calibri"/>
                <w:sz w:val="20"/>
              </w:rPr>
            </w:pPr>
            <w:r w:rsidRPr="00C63A98">
              <w:rPr>
                <w:rFonts w:ascii="Calibri" w:hAnsi="Calibri" w:cs="Calibri"/>
                <w:sz w:val="20"/>
              </w:rPr>
              <w:t>Example</w:t>
            </w:r>
          </w:p>
        </w:tc>
      </w:tr>
      <w:tr w:rsidR="00F80961" w:rsidRPr="00C63A98" w14:paraId="0862FC99" w14:textId="77777777" w:rsidTr="00C63A98">
        <w:trPr>
          <w:cantSplit/>
        </w:trPr>
        <w:tc>
          <w:tcPr>
            <w:tcW w:w="2221" w:type="dxa"/>
          </w:tcPr>
          <w:p w14:paraId="3301F07A" w14:textId="4DF19B74" w:rsidR="00F80961" w:rsidRPr="00C63A98" w:rsidRDefault="00F80961" w:rsidP="00AA30D8">
            <w:pPr>
              <w:pStyle w:val="Tabletext"/>
              <w:keepNext/>
              <w:rPr>
                <w:rFonts w:ascii="Calibri" w:hAnsi="Calibri" w:cs="Calibri"/>
                <w:sz w:val="20"/>
              </w:rPr>
            </w:pPr>
            <w:r>
              <w:rPr>
                <w:rFonts w:ascii="Calibri" w:hAnsi="Calibri" w:cs="Calibri"/>
                <w:sz w:val="20"/>
              </w:rPr>
              <w:t>Source Location Name</w:t>
            </w:r>
          </w:p>
        </w:tc>
        <w:tc>
          <w:tcPr>
            <w:tcW w:w="4154" w:type="dxa"/>
          </w:tcPr>
          <w:p w14:paraId="6C733FCD" w14:textId="75B7B1F4" w:rsidR="00F80961" w:rsidRPr="00C63A98" w:rsidRDefault="008F2422" w:rsidP="00AA30D8">
            <w:pPr>
              <w:pStyle w:val="Tabletext"/>
              <w:keepNext/>
              <w:rPr>
                <w:rFonts w:ascii="Calibri" w:hAnsi="Calibri" w:cs="Calibri"/>
                <w:sz w:val="20"/>
              </w:rPr>
            </w:pPr>
            <w:r>
              <w:rPr>
                <w:rFonts w:ascii="Calibri" w:hAnsi="Calibri" w:cs="Calibri"/>
                <w:sz w:val="20"/>
              </w:rPr>
              <w:t>Source refinery the specification applies to</w:t>
            </w:r>
          </w:p>
        </w:tc>
        <w:tc>
          <w:tcPr>
            <w:tcW w:w="1436" w:type="dxa"/>
          </w:tcPr>
          <w:p w14:paraId="1C638041" w14:textId="6D1FC9C3" w:rsidR="00F80961" w:rsidRPr="00C63A98" w:rsidRDefault="00F80961" w:rsidP="00AA30D8">
            <w:pPr>
              <w:pStyle w:val="Tabletext"/>
              <w:keepNext/>
              <w:rPr>
                <w:rFonts w:ascii="Calibri" w:hAnsi="Calibri" w:cs="Calibri"/>
                <w:sz w:val="20"/>
              </w:rPr>
            </w:pPr>
            <w:r>
              <w:rPr>
                <w:rFonts w:ascii="Calibri" w:hAnsi="Calibri" w:cs="Calibri"/>
                <w:sz w:val="20"/>
              </w:rPr>
              <w:t>String</w:t>
            </w:r>
          </w:p>
        </w:tc>
        <w:tc>
          <w:tcPr>
            <w:tcW w:w="1549" w:type="dxa"/>
          </w:tcPr>
          <w:p w14:paraId="303BFCEE" w14:textId="778C3DBD" w:rsidR="00F80961" w:rsidRPr="00C63A98" w:rsidRDefault="00F80961" w:rsidP="00AA30D8">
            <w:pPr>
              <w:pStyle w:val="Tabletext"/>
              <w:keepNext/>
              <w:rPr>
                <w:rFonts w:ascii="Calibri" w:hAnsi="Calibri" w:cs="Calibri"/>
                <w:sz w:val="20"/>
              </w:rPr>
            </w:pPr>
          </w:p>
        </w:tc>
      </w:tr>
      <w:tr w:rsidR="00F80961" w:rsidRPr="00C63A98" w14:paraId="2154BBC5" w14:textId="77777777" w:rsidTr="00C63A98">
        <w:trPr>
          <w:cantSplit/>
        </w:trPr>
        <w:tc>
          <w:tcPr>
            <w:tcW w:w="2221" w:type="dxa"/>
          </w:tcPr>
          <w:p w14:paraId="58812DA8" w14:textId="04DD9AE6" w:rsidR="00F80961" w:rsidRPr="00C63A98" w:rsidRDefault="00F80961" w:rsidP="00AA30D8">
            <w:pPr>
              <w:pStyle w:val="Tabletext"/>
              <w:keepNext/>
              <w:rPr>
                <w:rFonts w:ascii="Calibri" w:hAnsi="Calibri" w:cs="Calibri"/>
                <w:sz w:val="20"/>
              </w:rPr>
            </w:pPr>
            <w:r>
              <w:rPr>
                <w:rFonts w:ascii="Calibri" w:hAnsi="Calibri" w:cs="Calibri"/>
                <w:sz w:val="20"/>
              </w:rPr>
              <w:t>Terminal Location Name</w:t>
            </w:r>
          </w:p>
        </w:tc>
        <w:tc>
          <w:tcPr>
            <w:tcW w:w="4154" w:type="dxa"/>
          </w:tcPr>
          <w:p w14:paraId="6EC16915" w14:textId="5F669819" w:rsidR="00F80961" w:rsidRPr="00C63A98" w:rsidRDefault="008F2422" w:rsidP="00AA30D8">
            <w:pPr>
              <w:pStyle w:val="Tabletext"/>
              <w:keepNext/>
              <w:rPr>
                <w:rFonts w:ascii="Calibri" w:hAnsi="Calibri" w:cs="Calibri"/>
                <w:sz w:val="20"/>
              </w:rPr>
            </w:pPr>
            <w:r>
              <w:rPr>
                <w:rFonts w:ascii="Calibri" w:hAnsi="Calibri" w:cs="Calibri"/>
                <w:sz w:val="20"/>
              </w:rPr>
              <w:t>Destination terminal the specification applies to</w:t>
            </w:r>
          </w:p>
        </w:tc>
        <w:tc>
          <w:tcPr>
            <w:tcW w:w="1436" w:type="dxa"/>
          </w:tcPr>
          <w:p w14:paraId="0CE94FC8" w14:textId="2D5920FB" w:rsidR="00F80961" w:rsidRPr="00C63A98" w:rsidRDefault="00F80961" w:rsidP="00AA30D8">
            <w:pPr>
              <w:pStyle w:val="Tabletext"/>
              <w:keepNext/>
              <w:rPr>
                <w:rFonts w:ascii="Calibri" w:hAnsi="Calibri" w:cs="Calibri"/>
                <w:sz w:val="20"/>
              </w:rPr>
            </w:pPr>
            <w:r>
              <w:rPr>
                <w:rFonts w:ascii="Calibri" w:hAnsi="Calibri" w:cs="Calibri"/>
                <w:sz w:val="20"/>
              </w:rPr>
              <w:t>String</w:t>
            </w:r>
          </w:p>
        </w:tc>
        <w:tc>
          <w:tcPr>
            <w:tcW w:w="1549" w:type="dxa"/>
          </w:tcPr>
          <w:p w14:paraId="6DA65696" w14:textId="4F52F8AD" w:rsidR="00F80961" w:rsidRPr="00C63A98" w:rsidRDefault="00F80961" w:rsidP="00AA30D8">
            <w:pPr>
              <w:pStyle w:val="Tabletext"/>
              <w:keepNext/>
              <w:rPr>
                <w:rFonts w:ascii="Calibri" w:hAnsi="Calibri" w:cs="Calibri"/>
                <w:sz w:val="20"/>
              </w:rPr>
            </w:pPr>
          </w:p>
        </w:tc>
      </w:tr>
      <w:tr w:rsidR="00F80961" w:rsidRPr="00C63A98" w14:paraId="43CD40D4" w14:textId="77777777" w:rsidTr="00C63A98">
        <w:trPr>
          <w:cantSplit/>
        </w:trPr>
        <w:tc>
          <w:tcPr>
            <w:tcW w:w="2221" w:type="dxa"/>
          </w:tcPr>
          <w:p w14:paraId="4AB43109" w14:textId="4C2588DE" w:rsidR="00F80961" w:rsidRPr="00C63A98" w:rsidRDefault="00F80961" w:rsidP="00AA30D8">
            <w:pPr>
              <w:pStyle w:val="Tabletext"/>
              <w:keepNext/>
              <w:rPr>
                <w:rFonts w:ascii="Calibri" w:hAnsi="Calibri" w:cs="Calibri"/>
                <w:sz w:val="20"/>
              </w:rPr>
            </w:pPr>
            <w:r>
              <w:rPr>
                <w:rFonts w:ascii="Calibri" w:hAnsi="Calibri" w:cs="Calibri"/>
                <w:sz w:val="20"/>
              </w:rPr>
              <w:t>State</w:t>
            </w:r>
          </w:p>
        </w:tc>
        <w:tc>
          <w:tcPr>
            <w:tcW w:w="4154" w:type="dxa"/>
          </w:tcPr>
          <w:p w14:paraId="7DC9F025" w14:textId="48B8CC27" w:rsidR="00F80961" w:rsidRPr="00C63A98" w:rsidRDefault="00F80961" w:rsidP="00AA30D8">
            <w:pPr>
              <w:pStyle w:val="Tabletext"/>
              <w:keepNext/>
              <w:rPr>
                <w:rFonts w:ascii="Calibri" w:hAnsi="Calibri" w:cs="Calibri"/>
                <w:sz w:val="20"/>
              </w:rPr>
            </w:pPr>
            <w:r>
              <w:rPr>
                <w:rFonts w:ascii="Calibri" w:hAnsi="Calibri" w:cs="Calibri"/>
                <w:sz w:val="20"/>
              </w:rPr>
              <w:t>State of the destination terminal</w:t>
            </w:r>
          </w:p>
        </w:tc>
        <w:tc>
          <w:tcPr>
            <w:tcW w:w="1436" w:type="dxa"/>
          </w:tcPr>
          <w:p w14:paraId="470EBF64" w14:textId="73EF2946" w:rsidR="00F80961" w:rsidRPr="00C63A98" w:rsidRDefault="00F80961" w:rsidP="00AA30D8">
            <w:pPr>
              <w:pStyle w:val="Tabletext"/>
              <w:keepNext/>
              <w:rPr>
                <w:rFonts w:ascii="Calibri" w:hAnsi="Calibri" w:cs="Calibri"/>
                <w:sz w:val="20"/>
              </w:rPr>
            </w:pPr>
            <w:r>
              <w:rPr>
                <w:rFonts w:ascii="Calibri" w:hAnsi="Calibri" w:cs="Calibri"/>
                <w:sz w:val="20"/>
              </w:rPr>
              <w:t>String</w:t>
            </w:r>
          </w:p>
        </w:tc>
        <w:tc>
          <w:tcPr>
            <w:tcW w:w="1549" w:type="dxa"/>
          </w:tcPr>
          <w:p w14:paraId="1BD13439" w14:textId="390F590B" w:rsidR="00F80961" w:rsidRPr="00C63A98" w:rsidRDefault="00F80961" w:rsidP="00AA30D8">
            <w:pPr>
              <w:pStyle w:val="Tabletext"/>
              <w:keepNext/>
              <w:rPr>
                <w:rFonts w:ascii="Calibri" w:hAnsi="Calibri" w:cs="Calibri"/>
                <w:sz w:val="20"/>
              </w:rPr>
            </w:pPr>
          </w:p>
        </w:tc>
      </w:tr>
      <w:tr w:rsidR="00F80961" w:rsidRPr="00C63A98" w14:paraId="1DB20341" w14:textId="77777777" w:rsidTr="00C63A98">
        <w:trPr>
          <w:cantSplit/>
        </w:trPr>
        <w:tc>
          <w:tcPr>
            <w:tcW w:w="2221" w:type="dxa"/>
          </w:tcPr>
          <w:p w14:paraId="343CE1DA" w14:textId="1C6685F0" w:rsidR="00F80961" w:rsidRPr="00C63A98" w:rsidRDefault="00F80961" w:rsidP="00C63A98">
            <w:pPr>
              <w:pStyle w:val="Tabletext"/>
              <w:keepNext/>
              <w:rPr>
                <w:rFonts w:ascii="Calibri" w:hAnsi="Calibri" w:cs="Calibri"/>
                <w:sz w:val="20"/>
              </w:rPr>
            </w:pPr>
            <w:r>
              <w:rPr>
                <w:rFonts w:ascii="Calibri" w:hAnsi="Calibri" w:cs="Calibri"/>
                <w:sz w:val="20"/>
              </w:rPr>
              <w:t>Area</w:t>
            </w:r>
          </w:p>
        </w:tc>
        <w:tc>
          <w:tcPr>
            <w:tcW w:w="4154" w:type="dxa"/>
          </w:tcPr>
          <w:p w14:paraId="1EB1440F" w14:textId="6EB3A3ED" w:rsidR="00F80961" w:rsidRPr="00C63A98" w:rsidRDefault="00F80961" w:rsidP="00C63A98">
            <w:pPr>
              <w:pStyle w:val="Tabletext"/>
              <w:keepNext/>
              <w:rPr>
                <w:rFonts w:ascii="Calibri" w:hAnsi="Calibri" w:cs="Calibri"/>
                <w:sz w:val="20"/>
              </w:rPr>
            </w:pPr>
            <w:r>
              <w:rPr>
                <w:rFonts w:ascii="Calibri" w:hAnsi="Calibri" w:cs="Calibri"/>
                <w:sz w:val="20"/>
              </w:rPr>
              <w:t>Area as given in the master Excel workbook</w:t>
            </w:r>
          </w:p>
        </w:tc>
        <w:tc>
          <w:tcPr>
            <w:tcW w:w="1436" w:type="dxa"/>
          </w:tcPr>
          <w:p w14:paraId="118CC174" w14:textId="52A77947"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5FE635FD" w14:textId="7DE46CA2" w:rsidR="00F80961" w:rsidRPr="00C63A98" w:rsidRDefault="00F80961" w:rsidP="00C63A98">
            <w:pPr>
              <w:pStyle w:val="Tabletext"/>
              <w:keepNext/>
              <w:rPr>
                <w:rFonts w:ascii="Calibri" w:hAnsi="Calibri" w:cs="Calibri"/>
                <w:sz w:val="20"/>
              </w:rPr>
            </w:pPr>
          </w:p>
        </w:tc>
      </w:tr>
      <w:tr w:rsidR="00F80961" w:rsidRPr="00C63A98" w14:paraId="146B1813" w14:textId="77777777" w:rsidTr="00C63A98">
        <w:trPr>
          <w:cantSplit/>
        </w:trPr>
        <w:tc>
          <w:tcPr>
            <w:tcW w:w="2221" w:type="dxa"/>
          </w:tcPr>
          <w:p w14:paraId="10327C0F" w14:textId="3F288CDF" w:rsidR="00F80961" w:rsidRPr="00C63A98" w:rsidRDefault="00F80961" w:rsidP="00C63A98">
            <w:pPr>
              <w:pStyle w:val="Tabletext"/>
              <w:keepNext/>
              <w:rPr>
                <w:rFonts w:ascii="Calibri" w:hAnsi="Calibri" w:cs="Calibri"/>
                <w:sz w:val="20"/>
              </w:rPr>
            </w:pPr>
            <w:r>
              <w:rPr>
                <w:rFonts w:ascii="Calibri" w:hAnsi="Calibri" w:cs="Calibri"/>
                <w:sz w:val="20"/>
              </w:rPr>
              <w:t>Product Name</w:t>
            </w:r>
          </w:p>
        </w:tc>
        <w:tc>
          <w:tcPr>
            <w:tcW w:w="4154" w:type="dxa"/>
          </w:tcPr>
          <w:p w14:paraId="7BCE0E6F" w14:textId="11B110F8" w:rsidR="00F80961" w:rsidRPr="00C63A98" w:rsidRDefault="00F80961" w:rsidP="00C63A98">
            <w:pPr>
              <w:pStyle w:val="Tabletext"/>
              <w:keepNext/>
              <w:rPr>
                <w:rFonts w:ascii="Calibri" w:hAnsi="Calibri" w:cs="Calibri"/>
                <w:sz w:val="20"/>
              </w:rPr>
            </w:pPr>
            <w:r>
              <w:rPr>
                <w:rFonts w:ascii="Calibri" w:hAnsi="Calibri" w:cs="Calibri"/>
                <w:sz w:val="20"/>
              </w:rPr>
              <w:t>Product the specification applies to</w:t>
            </w:r>
          </w:p>
        </w:tc>
        <w:tc>
          <w:tcPr>
            <w:tcW w:w="1436" w:type="dxa"/>
          </w:tcPr>
          <w:p w14:paraId="2B0CA100" w14:textId="50E4B849"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1E894D67" w14:textId="77777777" w:rsidR="00F80961" w:rsidRDefault="00F80961" w:rsidP="00C63A98">
            <w:pPr>
              <w:pStyle w:val="Tabletext"/>
              <w:keepNext/>
              <w:rPr>
                <w:rFonts w:ascii="Calibri" w:hAnsi="Calibri" w:cs="Calibri"/>
                <w:sz w:val="20"/>
              </w:rPr>
            </w:pPr>
          </w:p>
        </w:tc>
      </w:tr>
      <w:tr w:rsidR="00F80961" w:rsidRPr="00C63A98" w14:paraId="0FA0C9A5" w14:textId="77777777" w:rsidTr="00C63A98">
        <w:trPr>
          <w:cantSplit/>
        </w:trPr>
        <w:tc>
          <w:tcPr>
            <w:tcW w:w="2221" w:type="dxa"/>
          </w:tcPr>
          <w:p w14:paraId="55D67ACE" w14:textId="717E9937" w:rsidR="00F80961" w:rsidRPr="00C63A98" w:rsidRDefault="00F80961" w:rsidP="00C63A98">
            <w:pPr>
              <w:pStyle w:val="Tabletext"/>
              <w:keepNext/>
              <w:rPr>
                <w:rFonts w:ascii="Calibri" w:hAnsi="Calibri" w:cs="Calibri"/>
                <w:sz w:val="20"/>
              </w:rPr>
            </w:pPr>
            <w:r>
              <w:rPr>
                <w:rFonts w:ascii="Calibri" w:hAnsi="Calibri" w:cs="Calibri"/>
                <w:sz w:val="20"/>
              </w:rPr>
              <w:t>Season</w:t>
            </w:r>
          </w:p>
        </w:tc>
        <w:tc>
          <w:tcPr>
            <w:tcW w:w="4154" w:type="dxa"/>
          </w:tcPr>
          <w:p w14:paraId="20321CA9" w14:textId="20C8C4E0" w:rsidR="00F80961" w:rsidRPr="00C63A98" w:rsidRDefault="00F80961" w:rsidP="00C63A98">
            <w:pPr>
              <w:pStyle w:val="Tabletext"/>
              <w:keepNext/>
              <w:rPr>
                <w:rFonts w:ascii="Calibri" w:hAnsi="Calibri" w:cs="Calibri"/>
                <w:sz w:val="20"/>
              </w:rPr>
            </w:pPr>
            <w:r>
              <w:rPr>
                <w:rFonts w:ascii="Calibri" w:hAnsi="Calibri" w:cs="Calibri"/>
                <w:sz w:val="20"/>
              </w:rPr>
              <w:t>Season the specification applies to</w:t>
            </w:r>
          </w:p>
        </w:tc>
        <w:tc>
          <w:tcPr>
            <w:tcW w:w="1436" w:type="dxa"/>
          </w:tcPr>
          <w:p w14:paraId="3D82417B" w14:textId="51357C72"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4916ED77" w14:textId="77777777" w:rsidR="00F80961" w:rsidRDefault="00F80961" w:rsidP="00C63A98">
            <w:pPr>
              <w:pStyle w:val="Tabletext"/>
              <w:keepNext/>
              <w:rPr>
                <w:rFonts w:ascii="Calibri" w:hAnsi="Calibri" w:cs="Calibri"/>
                <w:sz w:val="20"/>
              </w:rPr>
            </w:pPr>
          </w:p>
        </w:tc>
      </w:tr>
      <w:tr w:rsidR="00F80961" w:rsidRPr="00C63A98" w14:paraId="445338EE" w14:textId="77777777" w:rsidTr="00C63A98">
        <w:trPr>
          <w:cantSplit/>
        </w:trPr>
        <w:tc>
          <w:tcPr>
            <w:tcW w:w="2221" w:type="dxa"/>
          </w:tcPr>
          <w:p w14:paraId="021EB2D5" w14:textId="0BF40EAA" w:rsidR="00F80961" w:rsidRPr="00C63A98" w:rsidRDefault="00F80961" w:rsidP="00C63A98">
            <w:pPr>
              <w:pStyle w:val="Tabletext"/>
              <w:keepNext/>
              <w:rPr>
                <w:rFonts w:ascii="Calibri" w:hAnsi="Calibri" w:cs="Calibri"/>
                <w:sz w:val="20"/>
              </w:rPr>
            </w:pPr>
            <w:r>
              <w:rPr>
                <w:rFonts w:ascii="Calibri" w:hAnsi="Calibri" w:cs="Calibri"/>
                <w:sz w:val="20"/>
              </w:rPr>
              <w:t>Specification Name (MIN/MAX)</w:t>
            </w:r>
          </w:p>
        </w:tc>
        <w:tc>
          <w:tcPr>
            <w:tcW w:w="4154" w:type="dxa"/>
          </w:tcPr>
          <w:p w14:paraId="6EBF3765" w14:textId="2CE33CCB" w:rsidR="00F80961" w:rsidRPr="00C63A98" w:rsidRDefault="00F80961" w:rsidP="00C63A98">
            <w:pPr>
              <w:pStyle w:val="Tabletext"/>
              <w:keepNext/>
              <w:rPr>
                <w:rFonts w:ascii="Calibri" w:hAnsi="Calibri" w:cs="Calibri"/>
                <w:sz w:val="20"/>
              </w:rPr>
            </w:pPr>
            <w:r>
              <w:rPr>
                <w:rFonts w:ascii="Calibri" w:hAnsi="Calibri" w:cs="Calibri"/>
                <w:sz w:val="20"/>
              </w:rPr>
              <w:t>Name of the specification and its limit type, MIN or MAX</w:t>
            </w:r>
          </w:p>
        </w:tc>
        <w:tc>
          <w:tcPr>
            <w:tcW w:w="1436" w:type="dxa"/>
          </w:tcPr>
          <w:p w14:paraId="38BD095E" w14:textId="249FF198"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471D264D" w14:textId="27041063" w:rsidR="00F80961" w:rsidRDefault="00F80961" w:rsidP="00C63A98">
            <w:pPr>
              <w:pStyle w:val="Tabletext"/>
              <w:keepNext/>
              <w:rPr>
                <w:rFonts w:ascii="Calibri" w:hAnsi="Calibri" w:cs="Calibri"/>
                <w:sz w:val="20"/>
              </w:rPr>
            </w:pPr>
            <w:r>
              <w:rPr>
                <w:rFonts w:ascii="Calibri" w:hAnsi="Calibri" w:cs="Calibri"/>
                <w:sz w:val="20"/>
              </w:rPr>
              <w:t>MAX</w:t>
            </w:r>
          </w:p>
        </w:tc>
      </w:tr>
      <w:tr w:rsidR="00F80961" w:rsidRPr="00C63A98" w14:paraId="14D1F4BF" w14:textId="77777777" w:rsidTr="00C63A98">
        <w:trPr>
          <w:cantSplit/>
        </w:trPr>
        <w:tc>
          <w:tcPr>
            <w:tcW w:w="2221" w:type="dxa"/>
          </w:tcPr>
          <w:p w14:paraId="37858B36" w14:textId="61F57A55" w:rsidR="00F80961" w:rsidRPr="00C63A98" w:rsidRDefault="00F80961" w:rsidP="00C63A98">
            <w:pPr>
              <w:pStyle w:val="Tabletext"/>
              <w:keepNext/>
              <w:rPr>
                <w:rFonts w:ascii="Calibri" w:hAnsi="Calibri" w:cs="Calibri"/>
                <w:sz w:val="20"/>
              </w:rPr>
            </w:pPr>
            <w:r>
              <w:rPr>
                <w:rFonts w:ascii="Calibri" w:hAnsi="Calibri" w:cs="Calibri"/>
                <w:sz w:val="20"/>
              </w:rPr>
              <w:t>Test</w:t>
            </w:r>
          </w:p>
        </w:tc>
        <w:tc>
          <w:tcPr>
            <w:tcW w:w="4154" w:type="dxa"/>
          </w:tcPr>
          <w:p w14:paraId="193A7002" w14:textId="2162FCF3" w:rsidR="00F80961" w:rsidRPr="00C63A98" w:rsidRDefault="00F80961" w:rsidP="00C63A98">
            <w:pPr>
              <w:pStyle w:val="Tabletext"/>
              <w:keepNext/>
              <w:rPr>
                <w:rFonts w:ascii="Calibri" w:hAnsi="Calibri" w:cs="Calibri"/>
                <w:sz w:val="20"/>
              </w:rPr>
            </w:pPr>
            <w:r>
              <w:rPr>
                <w:rFonts w:ascii="Calibri" w:hAnsi="Calibri" w:cs="Calibri"/>
                <w:sz w:val="20"/>
              </w:rPr>
              <w:t>Quality property the specification applies to</w:t>
            </w:r>
          </w:p>
        </w:tc>
        <w:tc>
          <w:tcPr>
            <w:tcW w:w="1436" w:type="dxa"/>
          </w:tcPr>
          <w:p w14:paraId="71E7CAF3" w14:textId="6D8EC998"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6461BE64" w14:textId="19D8CBD3" w:rsidR="00F80961" w:rsidRDefault="00F80961" w:rsidP="00C63A98">
            <w:pPr>
              <w:pStyle w:val="Tabletext"/>
              <w:keepNext/>
              <w:rPr>
                <w:rFonts w:ascii="Calibri" w:hAnsi="Calibri" w:cs="Calibri"/>
                <w:sz w:val="20"/>
              </w:rPr>
            </w:pPr>
            <w:r>
              <w:rPr>
                <w:rFonts w:ascii="Calibri" w:hAnsi="Calibri" w:cs="Calibri"/>
                <w:sz w:val="20"/>
              </w:rPr>
              <w:t>RVP</w:t>
            </w:r>
          </w:p>
        </w:tc>
      </w:tr>
      <w:tr w:rsidR="00F80961" w:rsidRPr="00C63A98" w14:paraId="5530C654" w14:textId="77777777" w:rsidTr="00C63A98">
        <w:trPr>
          <w:cantSplit/>
        </w:trPr>
        <w:tc>
          <w:tcPr>
            <w:tcW w:w="2221" w:type="dxa"/>
          </w:tcPr>
          <w:p w14:paraId="2A86165D" w14:textId="2D101E04" w:rsidR="00F80961" w:rsidRPr="00C63A98" w:rsidRDefault="00F80961" w:rsidP="00C63A98">
            <w:pPr>
              <w:pStyle w:val="Tabletext"/>
              <w:keepNext/>
              <w:rPr>
                <w:rFonts w:ascii="Calibri" w:hAnsi="Calibri" w:cs="Calibri"/>
                <w:sz w:val="20"/>
              </w:rPr>
            </w:pPr>
            <w:r>
              <w:rPr>
                <w:rFonts w:ascii="Calibri" w:hAnsi="Calibri" w:cs="Calibri"/>
                <w:sz w:val="20"/>
              </w:rPr>
              <w:t>UOM</w:t>
            </w:r>
          </w:p>
        </w:tc>
        <w:tc>
          <w:tcPr>
            <w:tcW w:w="4154" w:type="dxa"/>
          </w:tcPr>
          <w:p w14:paraId="7514A694" w14:textId="5E5C5A6A" w:rsidR="00F80961" w:rsidRPr="00C63A98" w:rsidRDefault="00F80961" w:rsidP="00C63A98">
            <w:pPr>
              <w:pStyle w:val="Tabletext"/>
              <w:keepNext/>
              <w:rPr>
                <w:rFonts w:ascii="Calibri" w:hAnsi="Calibri" w:cs="Calibri"/>
                <w:sz w:val="20"/>
              </w:rPr>
            </w:pPr>
            <w:r>
              <w:rPr>
                <w:rFonts w:ascii="Calibri" w:hAnsi="Calibri" w:cs="Calibri"/>
                <w:sz w:val="20"/>
              </w:rPr>
              <w:t>Unit of measure of the specification value</w:t>
            </w:r>
          </w:p>
        </w:tc>
        <w:tc>
          <w:tcPr>
            <w:tcW w:w="1436" w:type="dxa"/>
          </w:tcPr>
          <w:p w14:paraId="34477B55" w14:textId="180581FB"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35533BFA" w14:textId="77777777" w:rsidR="00F80961" w:rsidRDefault="00F80961" w:rsidP="00C63A98">
            <w:pPr>
              <w:pStyle w:val="Tabletext"/>
              <w:keepNext/>
              <w:rPr>
                <w:rFonts w:ascii="Calibri" w:hAnsi="Calibri" w:cs="Calibri"/>
                <w:sz w:val="20"/>
              </w:rPr>
            </w:pPr>
          </w:p>
        </w:tc>
      </w:tr>
      <w:tr w:rsidR="00F80961" w:rsidRPr="00C63A98" w14:paraId="4E444346" w14:textId="77777777" w:rsidTr="00C63A98">
        <w:trPr>
          <w:cantSplit/>
        </w:trPr>
        <w:tc>
          <w:tcPr>
            <w:tcW w:w="2221" w:type="dxa"/>
          </w:tcPr>
          <w:p w14:paraId="0390EC05" w14:textId="26583C1F" w:rsidR="00F80961" w:rsidRPr="00C63A98" w:rsidRDefault="00F80961" w:rsidP="00C63A98">
            <w:pPr>
              <w:pStyle w:val="Tabletext"/>
              <w:keepNext/>
              <w:rPr>
                <w:rFonts w:ascii="Calibri" w:hAnsi="Calibri" w:cs="Calibri"/>
                <w:sz w:val="20"/>
              </w:rPr>
            </w:pPr>
            <w:r>
              <w:rPr>
                <w:rFonts w:ascii="Calibri" w:hAnsi="Calibri" w:cs="Calibri"/>
                <w:sz w:val="20"/>
              </w:rPr>
              <w:t>Spec_Value_Text</w:t>
            </w:r>
          </w:p>
        </w:tc>
        <w:tc>
          <w:tcPr>
            <w:tcW w:w="4154" w:type="dxa"/>
          </w:tcPr>
          <w:p w14:paraId="69BB24A6" w14:textId="2207451C" w:rsidR="00F80961" w:rsidRPr="00C63A98" w:rsidRDefault="00F80961" w:rsidP="00C63A98">
            <w:pPr>
              <w:pStyle w:val="Tabletext"/>
              <w:keepNext/>
              <w:rPr>
                <w:rFonts w:ascii="Calibri" w:hAnsi="Calibri" w:cs="Calibri"/>
                <w:sz w:val="20"/>
              </w:rPr>
            </w:pPr>
            <w:r>
              <w:rPr>
                <w:rFonts w:ascii="Calibri" w:hAnsi="Calibri" w:cs="Calibri"/>
                <w:sz w:val="20"/>
              </w:rPr>
              <w:t>Specification value</w:t>
            </w:r>
          </w:p>
        </w:tc>
        <w:tc>
          <w:tcPr>
            <w:tcW w:w="1436" w:type="dxa"/>
          </w:tcPr>
          <w:p w14:paraId="4B79F448" w14:textId="0BF30077"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209D514A" w14:textId="77777777" w:rsidR="00F80961" w:rsidRDefault="00F80961" w:rsidP="00C63A98">
            <w:pPr>
              <w:pStyle w:val="Tabletext"/>
              <w:keepNext/>
              <w:rPr>
                <w:rFonts w:ascii="Calibri" w:hAnsi="Calibri" w:cs="Calibri"/>
                <w:sz w:val="20"/>
              </w:rPr>
            </w:pPr>
          </w:p>
        </w:tc>
      </w:tr>
      <w:tr w:rsidR="00F80961" w:rsidRPr="00C63A98" w14:paraId="4BC85F40" w14:textId="77777777" w:rsidTr="00C63A98">
        <w:trPr>
          <w:cantSplit/>
        </w:trPr>
        <w:tc>
          <w:tcPr>
            <w:tcW w:w="2221" w:type="dxa"/>
          </w:tcPr>
          <w:p w14:paraId="7DF0CE09" w14:textId="04659F0A" w:rsidR="00F80961" w:rsidRPr="00C63A98" w:rsidRDefault="00F80961" w:rsidP="00C63A98">
            <w:pPr>
              <w:pStyle w:val="Tabletext"/>
              <w:keepNext/>
              <w:rPr>
                <w:rFonts w:ascii="Calibri" w:hAnsi="Calibri" w:cs="Calibri"/>
                <w:sz w:val="20"/>
              </w:rPr>
            </w:pPr>
            <w:r>
              <w:rPr>
                <w:rFonts w:ascii="Calibri" w:hAnsi="Calibri" w:cs="Calibri"/>
                <w:sz w:val="20"/>
              </w:rPr>
              <w:t>Version</w:t>
            </w:r>
          </w:p>
        </w:tc>
        <w:tc>
          <w:tcPr>
            <w:tcW w:w="4154" w:type="dxa"/>
          </w:tcPr>
          <w:p w14:paraId="1A1D22F6" w14:textId="4992F2E3" w:rsidR="00F80961" w:rsidRPr="00C63A98" w:rsidRDefault="00F80961" w:rsidP="00C63A98">
            <w:pPr>
              <w:pStyle w:val="Tabletext"/>
              <w:keepNext/>
              <w:rPr>
                <w:rFonts w:ascii="Calibri" w:hAnsi="Calibri" w:cs="Calibri"/>
                <w:sz w:val="20"/>
              </w:rPr>
            </w:pPr>
            <w:r>
              <w:rPr>
                <w:rFonts w:ascii="Calibri" w:hAnsi="Calibri" w:cs="Calibri"/>
                <w:sz w:val="20"/>
              </w:rPr>
              <w:t>Version of the specification</w:t>
            </w:r>
          </w:p>
        </w:tc>
        <w:tc>
          <w:tcPr>
            <w:tcW w:w="1436" w:type="dxa"/>
          </w:tcPr>
          <w:p w14:paraId="6AD2FC39" w14:textId="257CC768"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3B231423" w14:textId="77777777" w:rsidR="00F80961" w:rsidRDefault="00F80961" w:rsidP="00C63A98">
            <w:pPr>
              <w:pStyle w:val="Tabletext"/>
              <w:keepNext/>
              <w:rPr>
                <w:rFonts w:ascii="Calibri" w:hAnsi="Calibri" w:cs="Calibri"/>
                <w:sz w:val="20"/>
              </w:rPr>
            </w:pPr>
          </w:p>
        </w:tc>
      </w:tr>
    </w:tbl>
    <w:p w14:paraId="51338E02" w14:textId="30ECC4E5" w:rsidR="00F80961" w:rsidRDefault="00F80961" w:rsidP="00F80961">
      <w:pPr>
        <w:pStyle w:val="Caption"/>
      </w:pPr>
      <w:bookmarkStart w:id="253" w:name="_Toc242554035"/>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37</w:t>
      </w:r>
      <w:r>
        <w:fldChar w:fldCharType="end"/>
      </w:r>
      <w:r>
        <w:t xml:space="preserve">: </w:t>
      </w:r>
      <w:r w:rsidR="00144FA3">
        <w:t>Source (IQDM) Data Entity: product_specification</w:t>
      </w:r>
      <w:bookmarkEnd w:id="253"/>
    </w:p>
    <w:p w14:paraId="2D984A5C" w14:textId="578C3FA2" w:rsidR="00687F84" w:rsidRPr="00AA30D8" w:rsidRDefault="00687F84" w:rsidP="00687F84">
      <w:pPr>
        <w:pStyle w:val="Heading7"/>
        <w:rPr>
          <w:rFonts w:ascii="Calibri" w:hAnsi="Calibri" w:cs="Calibri"/>
          <w:b/>
          <w:sz w:val="20"/>
        </w:rPr>
      </w:pPr>
      <w:r>
        <w:rPr>
          <w:rFonts w:ascii="Calibri" w:hAnsi="Calibri" w:cs="Calibri"/>
          <w:b/>
          <w:sz w:val="20"/>
        </w:rPr>
        <w:t>Destination (IQDM) Data Entity: Quality Waivers</w:t>
      </w:r>
    </w:p>
    <w:p w14:paraId="71942032" w14:textId="2945399B" w:rsidR="00F80961" w:rsidRPr="00FC42E7" w:rsidRDefault="00144FA3" w:rsidP="00FC42E7">
      <w:pPr>
        <w:pStyle w:val="ListParagraph"/>
        <w:numPr>
          <w:ilvl w:val="0"/>
          <w:numId w:val="4"/>
        </w:numPr>
        <w:jc w:val="left"/>
      </w:pPr>
      <w:r w:rsidRPr="00FC42E7">
        <w:t>The Waiver Request Service shall pass each submitted waiver row to the stored procedure of the database team, which shall save it in the IQDM database.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1"/>
        <w:gridCol w:w="4154"/>
        <w:gridCol w:w="1436"/>
        <w:gridCol w:w="1549"/>
      </w:tblGrid>
      <w:tr w:rsidR="00F80961" w:rsidRPr="00C63A98" w14:paraId="5F6896A1" w14:textId="77777777" w:rsidTr="00C63A98">
        <w:trPr>
          <w:cantSplit/>
          <w:tblHeader/>
        </w:trPr>
        <w:tc>
          <w:tcPr>
            <w:tcW w:w="2221" w:type="dxa"/>
            <w:shd w:val="clear" w:color="auto" w:fill="2F5597"/>
          </w:tcPr>
          <w:p w14:paraId="09F2E8BA" w14:textId="77777777" w:rsidR="00F80961" w:rsidRPr="00C63A98" w:rsidRDefault="00F80961" w:rsidP="00AA30D8">
            <w:pPr>
              <w:pStyle w:val="Tablehead1"/>
              <w:rPr>
                <w:rFonts w:ascii="Calibri" w:hAnsi="Calibri" w:cs="Calibri"/>
                <w:sz w:val="20"/>
              </w:rPr>
            </w:pPr>
            <w:r w:rsidRPr="00C63A98">
              <w:rPr>
                <w:rFonts w:ascii="Calibri" w:hAnsi="Calibri" w:cs="Calibri"/>
                <w:sz w:val="20"/>
              </w:rPr>
              <w:t>Attribute Name</w:t>
            </w:r>
          </w:p>
        </w:tc>
        <w:tc>
          <w:tcPr>
            <w:tcW w:w="4154" w:type="dxa"/>
            <w:shd w:val="clear" w:color="auto" w:fill="2F5597"/>
          </w:tcPr>
          <w:p w14:paraId="46D6CAB6" w14:textId="77777777" w:rsidR="00F80961" w:rsidRPr="00C63A98" w:rsidRDefault="00F80961" w:rsidP="00AA30D8">
            <w:pPr>
              <w:pStyle w:val="Tablehead1"/>
              <w:rPr>
                <w:rFonts w:ascii="Calibri" w:hAnsi="Calibri" w:cs="Calibri"/>
                <w:sz w:val="20"/>
              </w:rPr>
            </w:pPr>
            <w:r w:rsidRPr="00C63A98">
              <w:rPr>
                <w:rFonts w:ascii="Calibri" w:hAnsi="Calibri" w:cs="Calibri"/>
                <w:sz w:val="20"/>
              </w:rPr>
              <w:t>Description</w:t>
            </w:r>
          </w:p>
        </w:tc>
        <w:tc>
          <w:tcPr>
            <w:tcW w:w="1436" w:type="dxa"/>
            <w:shd w:val="clear" w:color="auto" w:fill="2F5597"/>
          </w:tcPr>
          <w:p w14:paraId="392B893A" w14:textId="77777777" w:rsidR="00F80961" w:rsidRPr="00C63A98" w:rsidRDefault="00F80961" w:rsidP="00AA30D8">
            <w:pPr>
              <w:pStyle w:val="Tablehead1"/>
              <w:rPr>
                <w:rFonts w:ascii="Calibri" w:hAnsi="Calibri" w:cs="Calibri"/>
                <w:sz w:val="20"/>
              </w:rPr>
            </w:pPr>
            <w:r w:rsidRPr="00C63A98">
              <w:rPr>
                <w:rFonts w:ascii="Calibri" w:hAnsi="Calibri" w:cs="Calibri"/>
                <w:sz w:val="20"/>
              </w:rPr>
              <w:t>Type</w:t>
            </w:r>
          </w:p>
        </w:tc>
        <w:tc>
          <w:tcPr>
            <w:tcW w:w="1549" w:type="dxa"/>
            <w:shd w:val="clear" w:color="auto" w:fill="2F5597"/>
          </w:tcPr>
          <w:p w14:paraId="563C3921" w14:textId="77777777" w:rsidR="00F80961" w:rsidRPr="00C63A98" w:rsidRDefault="00F80961" w:rsidP="00AA30D8">
            <w:pPr>
              <w:pStyle w:val="Tablehead1"/>
              <w:rPr>
                <w:rFonts w:ascii="Calibri" w:hAnsi="Calibri" w:cs="Calibri"/>
                <w:sz w:val="20"/>
              </w:rPr>
            </w:pPr>
            <w:r w:rsidRPr="00C63A98">
              <w:rPr>
                <w:rFonts w:ascii="Calibri" w:hAnsi="Calibri" w:cs="Calibri"/>
                <w:sz w:val="20"/>
              </w:rPr>
              <w:t>Example</w:t>
            </w:r>
          </w:p>
        </w:tc>
      </w:tr>
      <w:tr w:rsidR="00F80961" w:rsidRPr="00C63A98" w14:paraId="200D0E0D" w14:textId="77777777" w:rsidTr="00C63A98">
        <w:trPr>
          <w:cantSplit/>
        </w:trPr>
        <w:tc>
          <w:tcPr>
            <w:tcW w:w="2221" w:type="dxa"/>
          </w:tcPr>
          <w:p w14:paraId="4A67910E" w14:textId="6C9AD2A7" w:rsidR="00F80961" w:rsidRPr="00C63A98" w:rsidRDefault="00F80961" w:rsidP="00AA30D8">
            <w:pPr>
              <w:pStyle w:val="Tabletext"/>
              <w:keepNext/>
              <w:rPr>
                <w:rFonts w:ascii="Calibri" w:hAnsi="Calibri" w:cs="Calibri"/>
                <w:sz w:val="20"/>
              </w:rPr>
            </w:pPr>
            <w:r>
              <w:rPr>
                <w:rFonts w:ascii="Calibri" w:hAnsi="Calibri" w:cs="Calibri"/>
                <w:sz w:val="20"/>
              </w:rPr>
              <w:t>Section</w:t>
            </w:r>
          </w:p>
        </w:tc>
        <w:tc>
          <w:tcPr>
            <w:tcW w:w="4154" w:type="dxa"/>
          </w:tcPr>
          <w:p w14:paraId="02349584" w14:textId="5B54D57C" w:rsidR="00F80961" w:rsidRPr="00C63A98" w:rsidRDefault="00F80961" w:rsidP="00AA30D8">
            <w:pPr>
              <w:pStyle w:val="Tabletext"/>
              <w:keepNext/>
              <w:rPr>
                <w:rFonts w:ascii="Calibri" w:hAnsi="Calibri" w:cs="Calibri"/>
                <w:sz w:val="20"/>
              </w:rPr>
            </w:pPr>
            <w:r>
              <w:rPr>
                <w:rFonts w:ascii="Calibri" w:hAnsi="Calibri" w:cs="Calibri"/>
                <w:sz w:val="20"/>
              </w:rPr>
              <w:t>State-wise or Batch-wise</w:t>
            </w:r>
          </w:p>
        </w:tc>
        <w:tc>
          <w:tcPr>
            <w:tcW w:w="1436" w:type="dxa"/>
          </w:tcPr>
          <w:p w14:paraId="36588ABF" w14:textId="65873E12" w:rsidR="00F80961" w:rsidRPr="00C63A98" w:rsidRDefault="00F80961" w:rsidP="00AA30D8">
            <w:pPr>
              <w:pStyle w:val="Tabletext"/>
              <w:keepNext/>
              <w:rPr>
                <w:rFonts w:ascii="Calibri" w:hAnsi="Calibri" w:cs="Calibri"/>
                <w:sz w:val="20"/>
              </w:rPr>
            </w:pPr>
            <w:r>
              <w:rPr>
                <w:rFonts w:ascii="Calibri" w:hAnsi="Calibri" w:cs="Calibri"/>
                <w:sz w:val="20"/>
              </w:rPr>
              <w:t>String</w:t>
            </w:r>
          </w:p>
        </w:tc>
        <w:tc>
          <w:tcPr>
            <w:tcW w:w="1549" w:type="dxa"/>
          </w:tcPr>
          <w:p w14:paraId="7DCF9827" w14:textId="11BDF68F" w:rsidR="00F80961" w:rsidRPr="00C63A98" w:rsidRDefault="00F80961" w:rsidP="00AA30D8">
            <w:pPr>
              <w:pStyle w:val="Tabletext"/>
              <w:keepNext/>
              <w:rPr>
                <w:rFonts w:ascii="Calibri" w:hAnsi="Calibri" w:cs="Calibri"/>
                <w:sz w:val="20"/>
              </w:rPr>
            </w:pPr>
            <w:r>
              <w:rPr>
                <w:rFonts w:ascii="Calibri" w:hAnsi="Calibri" w:cs="Calibri"/>
                <w:sz w:val="20"/>
              </w:rPr>
              <w:t>State-wise</w:t>
            </w:r>
          </w:p>
        </w:tc>
      </w:tr>
      <w:tr w:rsidR="00F80961" w:rsidRPr="00C63A98" w14:paraId="1CA9C6DB" w14:textId="77777777" w:rsidTr="00C63A98">
        <w:trPr>
          <w:cantSplit/>
        </w:trPr>
        <w:tc>
          <w:tcPr>
            <w:tcW w:w="2221" w:type="dxa"/>
          </w:tcPr>
          <w:p w14:paraId="2FE0C232" w14:textId="3E8C2601" w:rsidR="00F80961" w:rsidRPr="00C63A98" w:rsidRDefault="00F80961" w:rsidP="00AA30D8">
            <w:pPr>
              <w:pStyle w:val="Tabletext"/>
              <w:keepNext/>
              <w:rPr>
                <w:rFonts w:ascii="Calibri" w:hAnsi="Calibri" w:cs="Calibri"/>
                <w:sz w:val="20"/>
              </w:rPr>
            </w:pPr>
            <w:r>
              <w:rPr>
                <w:rFonts w:ascii="Calibri" w:hAnsi="Calibri" w:cs="Calibri"/>
                <w:sz w:val="20"/>
              </w:rPr>
              <w:t>Terminal</w:t>
            </w:r>
          </w:p>
        </w:tc>
        <w:tc>
          <w:tcPr>
            <w:tcW w:w="4154" w:type="dxa"/>
          </w:tcPr>
          <w:p w14:paraId="5C86B7DA" w14:textId="47B2376C" w:rsidR="00F80961" w:rsidRPr="00C63A98" w:rsidRDefault="00F80961" w:rsidP="00AA30D8">
            <w:pPr>
              <w:pStyle w:val="Tabletext"/>
              <w:keepNext/>
              <w:rPr>
                <w:rFonts w:ascii="Calibri" w:hAnsi="Calibri" w:cs="Calibri"/>
                <w:sz w:val="20"/>
              </w:rPr>
            </w:pPr>
            <w:r>
              <w:rPr>
                <w:rFonts w:ascii="Calibri" w:hAnsi="Calibri" w:cs="Calibri"/>
                <w:sz w:val="20"/>
              </w:rPr>
              <w:t>Terminal of a state-wise waiver</w:t>
            </w:r>
          </w:p>
        </w:tc>
        <w:tc>
          <w:tcPr>
            <w:tcW w:w="1436" w:type="dxa"/>
          </w:tcPr>
          <w:p w14:paraId="37480F2C" w14:textId="283298D4" w:rsidR="00F80961" w:rsidRPr="00C63A98" w:rsidRDefault="00F80961" w:rsidP="00AA30D8">
            <w:pPr>
              <w:pStyle w:val="Tabletext"/>
              <w:keepNext/>
              <w:rPr>
                <w:rFonts w:ascii="Calibri" w:hAnsi="Calibri" w:cs="Calibri"/>
                <w:sz w:val="20"/>
              </w:rPr>
            </w:pPr>
            <w:r>
              <w:rPr>
                <w:rFonts w:ascii="Calibri" w:hAnsi="Calibri" w:cs="Calibri"/>
                <w:sz w:val="20"/>
              </w:rPr>
              <w:t>String</w:t>
            </w:r>
          </w:p>
        </w:tc>
        <w:tc>
          <w:tcPr>
            <w:tcW w:w="1549" w:type="dxa"/>
          </w:tcPr>
          <w:p w14:paraId="627AD0D1" w14:textId="381DCEFD" w:rsidR="00F80961" w:rsidRPr="00C63A98" w:rsidRDefault="00F80961" w:rsidP="00AA30D8">
            <w:pPr>
              <w:pStyle w:val="Tabletext"/>
              <w:keepNext/>
              <w:rPr>
                <w:rFonts w:ascii="Calibri" w:hAnsi="Calibri" w:cs="Calibri"/>
                <w:sz w:val="20"/>
              </w:rPr>
            </w:pPr>
          </w:p>
        </w:tc>
      </w:tr>
      <w:tr w:rsidR="00F80961" w:rsidRPr="00C63A98" w14:paraId="4AB9679C" w14:textId="77777777" w:rsidTr="00C63A98">
        <w:trPr>
          <w:cantSplit/>
        </w:trPr>
        <w:tc>
          <w:tcPr>
            <w:tcW w:w="2221" w:type="dxa"/>
          </w:tcPr>
          <w:p w14:paraId="383E8CBC" w14:textId="46657F4E" w:rsidR="00F80961" w:rsidRPr="00C63A98" w:rsidRDefault="00F80961" w:rsidP="00AA30D8">
            <w:pPr>
              <w:pStyle w:val="Tabletext"/>
              <w:keepNext/>
              <w:rPr>
                <w:rFonts w:ascii="Calibri" w:hAnsi="Calibri" w:cs="Calibri"/>
                <w:sz w:val="20"/>
              </w:rPr>
            </w:pPr>
            <w:r>
              <w:rPr>
                <w:rFonts w:ascii="Calibri" w:hAnsi="Calibri" w:cs="Calibri"/>
                <w:sz w:val="20"/>
              </w:rPr>
              <w:t>Batch ID</w:t>
            </w:r>
          </w:p>
        </w:tc>
        <w:tc>
          <w:tcPr>
            <w:tcW w:w="4154" w:type="dxa"/>
          </w:tcPr>
          <w:p w14:paraId="52A9E595" w14:textId="0B0A7EC0" w:rsidR="00F80961" w:rsidRPr="00C63A98" w:rsidRDefault="00F80961" w:rsidP="00AA30D8">
            <w:pPr>
              <w:pStyle w:val="Tabletext"/>
              <w:keepNext/>
              <w:rPr>
                <w:rFonts w:ascii="Calibri" w:hAnsi="Calibri" w:cs="Calibri"/>
                <w:sz w:val="20"/>
              </w:rPr>
            </w:pPr>
            <w:r>
              <w:rPr>
                <w:rFonts w:ascii="Calibri" w:hAnsi="Calibri" w:cs="Calibri"/>
                <w:sz w:val="20"/>
              </w:rPr>
              <w:t>Batch of a batch-wise waiver</w:t>
            </w:r>
          </w:p>
        </w:tc>
        <w:tc>
          <w:tcPr>
            <w:tcW w:w="1436" w:type="dxa"/>
          </w:tcPr>
          <w:p w14:paraId="5AD96470" w14:textId="0D93236B" w:rsidR="00F80961" w:rsidRPr="00C63A98" w:rsidRDefault="00F80961" w:rsidP="00AA30D8">
            <w:pPr>
              <w:pStyle w:val="Tabletext"/>
              <w:keepNext/>
              <w:rPr>
                <w:rFonts w:ascii="Calibri" w:hAnsi="Calibri" w:cs="Calibri"/>
                <w:sz w:val="20"/>
              </w:rPr>
            </w:pPr>
            <w:r>
              <w:rPr>
                <w:rFonts w:ascii="Calibri" w:hAnsi="Calibri" w:cs="Calibri"/>
                <w:sz w:val="20"/>
              </w:rPr>
              <w:t>String</w:t>
            </w:r>
          </w:p>
        </w:tc>
        <w:tc>
          <w:tcPr>
            <w:tcW w:w="1549" w:type="dxa"/>
          </w:tcPr>
          <w:p w14:paraId="60EEF853" w14:textId="60C27571" w:rsidR="00F80961" w:rsidRPr="00C63A98" w:rsidRDefault="00F80961" w:rsidP="00AA30D8">
            <w:pPr>
              <w:pStyle w:val="Tabletext"/>
              <w:keepNext/>
              <w:rPr>
                <w:rFonts w:ascii="Calibri" w:hAnsi="Calibri" w:cs="Calibri"/>
                <w:sz w:val="20"/>
              </w:rPr>
            </w:pPr>
          </w:p>
        </w:tc>
      </w:tr>
      <w:tr w:rsidR="00F80961" w:rsidRPr="00C63A98" w14:paraId="7D8BCF22" w14:textId="77777777" w:rsidTr="00C63A98">
        <w:trPr>
          <w:cantSplit/>
        </w:trPr>
        <w:tc>
          <w:tcPr>
            <w:tcW w:w="2221" w:type="dxa"/>
          </w:tcPr>
          <w:p w14:paraId="45C8B53F" w14:textId="39C467B1" w:rsidR="00F80961" w:rsidRPr="00C63A98" w:rsidRDefault="00F80961" w:rsidP="00C63A98">
            <w:pPr>
              <w:pStyle w:val="Tabletext"/>
              <w:keepNext/>
              <w:rPr>
                <w:rFonts w:ascii="Calibri" w:hAnsi="Calibri" w:cs="Calibri"/>
                <w:sz w:val="20"/>
              </w:rPr>
            </w:pPr>
            <w:r>
              <w:rPr>
                <w:rFonts w:ascii="Calibri" w:hAnsi="Calibri" w:cs="Calibri"/>
                <w:sz w:val="20"/>
              </w:rPr>
              <w:t>Grade</w:t>
            </w:r>
          </w:p>
        </w:tc>
        <w:tc>
          <w:tcPr>
            <w:tcW w:w="4154" w:type="dxa"/>
          </w:tcPr>
          <w:p w14:paraId="3FDE091B" w14:textId="04B4D7B2" w:rsidR="00F80961" w:rsidRPr="00C63A98" w:rsidRDefault="00F80961" w:rsidP="00C63A98">
            <w:pPr>
              <w:pStyle w:val="Tabletext"/>
              <w:keepNext/>
              <w:rPr>
                <w:rFonts w:ascii="Calibri" w:hAnsi="Calibri" w:cs="Calibri"/>
                <w:sz w:val="20"/>
              </w:rPr>
            </w:pPr>
            <w:r>
              <w:rPr>
                <w:rFonts w:ascii="Calibri" w:hAnsi="Calibri" w:cs="Calibri"/>
                <w:sz w:val="20"/>
              </w:rPr>
              <w:t>Grade the waiver applies to</w:t>
            </w:r>
          </w:p>
        </w:tc>
        <w:tc>
          <w:tcPr>
            <w:tcW w:w="1436" w:type="dxa"/>
          </w:tcPr>
          <w:p w14:paraId="441014C5" w14:textId="6C0AA042"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37F999BE" w14:textId="6EB3048D" w:rsidR="00F80961" w:rsidRPr="00C63A98" w:rsidRDefault="00F80961" w:rsidP="00C63A98">
            <w:pPr>
              <w:pStyle w:val="Tabletext"/>
              <w:keepNext/>
              <w:rPr>
                <w:rFonts w:ascii="Calibri" w:hAnsi="Calibri" w:cs="Calibri"/>
                <w:sz w:val="20"/>
              </w:rPr>
            </w:pPr>
          </w:p>
        </w:tc>
      </w:tr>
      <w:tr w:rsidR="00F80961" w:rsidRPr="00C63A98" w14:paraId="4B76A370" w14:textId="77777777" w:rsidTr="00C63A98">
        <w:trPr>
          <w:cantSplit/>
        </w:trPr>
        <w:tc>
          <w:tcPr>
            <w:tcW w:w="2221" w:type="dxa"/>
          </w:tcPr>
          <w:p w14:paraId="073DDA11" w14:textId="64C289BC" w:rsidR="00F80961" w:rsidRPr="00C63A98" w:rsidRDefault="00F80961" w:rsidP="00C63A98">
            <w:pPr>
              <w:pStyle w:val="Tabletext"/>
              <w:keepNext/>
              <w:rPr>
                <w:rFonts w:ascii="Calibri" w:hAnsi="Calibri" w:cs="Calibri"/>
                <w:sz w:val="20"/>
              </w:rPr>
            </w:pPr>
            <w:r>
              <w:rPr>
                <w:rFonts w:ascii="Calibri" w:hAnsi="Calibri" w:cs="Calibri"/>
                <w:sz w:val="20"/>
              </w:rPr>
              <w:t>Quality</w:t>
            </w:r>
          </w:p>
        </w:tc>
        <w:tc>
          <w:tcPr>
            <w:tcW w:w="4154" w:type="dxa"/>
          </w:tcPr>
          <w:p w14:paraId="6AE35FC7" w14:textId="162ADC86" w:rsidR="00F80961" w:rsidRPr="00C63A98" w:rsidRDefault="00F80961" w:rsidP="00C63A98">
            <w:pPr>
              <w:pStyle w:val="Tabletext"/>
              <w:keepNext/>
              <w:rPr>
                <w:rFonts w:ascii="Calibri" w:hAnsi="Calibri" w:cs="Calibri"/>
                <w:sz w:val="20"/>
              </w:rPr>
            </w:pPr>
            <w:r>
              <w:rPr>
                <w:rFonts w:ascii="Calibri" w:hAnsi="Calibri" w:cs="Calibri"/>
                <w:sz w:val="20"/>
              </w:rPr>
              <w:t>Quality the waiver applies to</w:t>
            </w:r>
          </w:p>
        </w:tc>
        <w:tc>
          <w:tcPr>
            <w:tcW w:w="1436" w:type="dxa"/>
          </w:tcPr>
          <w:p w14:paraId="2FDE542F" w14:textId="055AB163" w:rsidR="00F80961" w:rsidRPr="00C63A98" w:rsidRDefault="00F80961" w:rsidP="00C63A98">
            <w:pPr>
              <w:pStyle w:val="Tabletext"/>
              <w:keepNext/>
              <w:rPr>
                <w:rFonts w:ascii="Calibri" w:hAnsi="Calibri" w:cs="Calibri"/>
                <w:sz w:val="20"/>
              </w:rPr>
            </w:pPr>
            <w:r>
              <w:rPr>
                <w:rFonts w:ascii="Calibri" w:hAnsi="Calibri" w:cs="Calibri"/>
                <w:sz w:val="20"/>
              </w:rPr>
              <w:t>String</w:t>
            </w:r>
          </w:p>
        </w:tc>
        <w:tc>
          <w:tcPr>
            <w:tcW w:w="1549" w:type="dxa"/>
          </w:tcPr>
          <w:p w14:paraId="7F506D1B" w14:textId="0353D8FE" w:rsidR="00F80961" w:rsidRDefault="00F80961" w:rsidP="00C63A98">
            <w:pPr>
              <w:pStyle w:val="Tabletext"/>
              <w:keepNext/>
              <w:rPr>
                <w:rFonts w:ascii="Calibri" w:hAnsi="Calibri" w:cs="Calibri"/>
                <w:sz w:val="20"/>
              </w:rPr>
            </w:pPr>
            <w:r>
              <w:rPr>
                <w:rFonts w:ascii="Calibri" w:hAnsi="Calibri" w:cs="Calibri"/>
                <w:sz w:val="20"/>
              </w:rPr>
              <w:t>RVP</w:t>
            </w:r>
          </w:p>
        </w:tc>
      </w:tr>
      <w:tr w:rsidR="00F80961" w:rsidRPr="00C63A98" w14:paraId="45BF6E6A" w14:textId="77777777" w:rsidTr="00C63A98">
        <w:trPr>
          <w:cantSplit/>
        </w:trPr>
        <w:tc>
          <w:tcPr>
            <w:tcW w:w="2221" w:type="dxa"/>
          </w:tcPr>
          <w:p w14:paraId="1DD0667F" w14:textId="42B83A53" w:rsidR="00F80961" w:rsidRPr="00C63A98" w:rsidRDefault="00F80961" w:rsidP="00C63A98">
            <w:pPr>
              <w:pStyle w:val="Tabletext"/>
              <w:keepNext/>
              <w:rPr>
                <w:rFonts w:ascii="Calibri" w:hAnsi="Calibri" w:cs="Calibri"/>
                <w:sz w:val="20"/>
              </w:rPr>
            </w:pPr>
            <w:r>
              <w:rPr>
                <w:rFonts w:ascii="Calibri" w:hAnsi="Calibri" w:cs="Calibri"/>
                <w:sz w:val="20"/>
              </w:rPr>
              <w:t>From Date</w:t>
            </w:r>
          </w:p>
        </w:tc>
        <w:tc>
          <w:tcPr>
            <w:tcW w:w="4154" w:type="dxa"/>
          </w:tcPr>
          <w:p w14:paraId="5EF8CD95" w14:textId="30A268E2" w:rsidR="00F80961" w:rsidRPr="00C63A98" w:rsidRDefault="00F80961" w:rsidP="00C63A98">
            <w:pPr>
              <w:pStyle w:val="Tabletext"/>
              <w:keepNext/>
              <w:rPr>
                <w:rFonts w:ascii="Calibri" w:hAnsi="Calibri" w:cs="Calibri"/>
                <w:sz w:val="20"/>
              </w:rPr>
            </w:pPr>
            <w:r>
              <w:rPr>
                <w:rFonts w:ascii="Calibri" w:hAnsi="Calibri" w:cs="Calibri"/>
                <w:sz w:val="20"/>
              </w:rPr>
              <w:t>Start of the waiver validity</w:t>
            </w:r>
          </w:p>
        </w:tc>
        <w:tc>
          <w:tcPr>
            <w:tcW w:w="1436" w:type="dxa"/>
          </w:tcPr>
          <w:p w14:paraId="09F3B6DB" w14:textId="619E71B4" w:rsidR="00F80961" w:rsidRPr="00C63A98" w:rsidRDefault="00F80961" w:rsidP="00C63A98">
            <w:pPr>
              <w:pStyle w:val="Tabletext"/>
              <w:keepNext/>
              <w:rPr>
                <w:rFonts w:ascii="Calibri" w:hAnsi="Calibri" w:cs="Calibri"/>
                <w:sz w:val="20"/>
              </w:rPr>
            </w:pPr>
            <w:r>
              <w:rPr>
                <w:rFonts w:ascii="Calibri" w:hAnsi="Calibri" w:cs="Calibri"/>
                <w:sz w:val="20"/>
              </w:rPr>
              <w:t>Date</w:t>
            </w:r>
          </w:p>
        </w:tc>
        <w:tc>
          <w:tcPr>
            <w:tcW w:w="1549" w:type="dxa"/>
          </w:tcPr>
          <w:p w14:paraId="65BAAE59" w14:textId="77777777" w:rsidR="00F80961" w:rsidRDefault="00F80961" w:rsidP="00C63A98">
            <w:pPr>
              <w:pStyle w:val="Tabletext"/>
              <w:keepNext/>
              <w:rPr>
                <w:rFonts w:ascii="Calibri" w:hAnsi="Calibri" w:cs="Calibri"/>
                <w:sz w:val="20"/>
              </w:rPr>
            </w:pPr>
          </w:p>
        </w:tc>
      </w:tr>
      <w:tr w:rsidR="00F80961" w:rsidRPr="00C63A98" w14:paraId="4610A42D" w14:textId="77777777" w:rsidTr="00C63A98">
        <w:trPr>
          <w:cantSplit/>
        </w:trPr>
        <w:tc>
          <w:tcPr>
            <w:tcW w:w="2221" w:type="dxa"/>
          </w:tcPr>
          <w:p w14:paraId="1A0CFE78" w14:textId="167CEACC" w:rsidR="00F80961" w:rsidRPr="00C63A98" w:rsidRDefault="00F80961" w:rsidP="00C63A98">
            <w:pPr>
              <w:pStyle w:val="Tabletext"/>
              <w:keepNext/>
              <w:rPr>
                <w:rFonts w:ascii="Calibri" w:hAnsi="Calibri" w:cs="Calibri"/>
                <w:sz w:val="20"/>
              </w:rPr>
            </w:pPr>
            <w:r>
              <w:rPr>
                <w:rFonts w:ascii="Calibri" w:hAnsi="Calibri" w:cs="Calibri"/>
                <w:sz w:val="20"/>
              </w:rPr>
              <w:t>To Date</w:t>
            </w:r>
          </w:p>
        </w:tc>
        <w:tc>
          <w:tcPr>
            <w:tcW w:w="4154" w:type="dxa"/>
          </w:tcPr>
          <w:p w14:paraId="7F8B1270" w14:textId="514856DF" w:rsidR="00F80961" w:rsidRPr="00C63A98" w:rsidRDefault="00F80961" w:rsidP="00C63A98">
            <w:pPr>
              <w:pStyle w:val="Tabletext"/>
              <w:keepNext/>
              <w:rPr>
                <w:rFonts w:ascii="Calibri" w:hAnsi="Calibri" w:cs="Calibri"/>
                <w:sz w:val="20"/>
              </w:rPr>
            </w:pPr>
            <w:r>
              <w:rPr>
                <w:rFonts w:ascii="Calibri" w:hAnsi="Calibri" w:cs="Calibri"/>
                <w:sz w:val="20"/>
              </w:rPr>
              <w:t>End of the waiver validity</w:t>
            </w:r>
          </w:p>
        </w:tc>
        <w:tc>
          <w:tcPr>
            <w:tcW w:w="1436" w:type="dxa"/>
          </w:tcPr>
          <w:p w14:paraId="154F5285" w14:textId="5F397CC8" w:rsidR="00F80961" w:rsidRPr="00C63A98" w:rsidRDefault="00F80961" w:rsidP="00C63A98">
            <w:pPr>
              <w:pStyle w:val="Tabletext"/>
              <w:keepNext/>
              <w:rPr>
                <w:rFonts w:ascii="Calibri" w:hAnsi="Calibri" w:cs="Calibri"/>
                <w:sz w:val="20"/>
              </w:rPr>
            </w:pPr>
            <w:r>
              <w:rPr>
                <w:rFonts w:ascii="Calibri" w:hAnsi="Calibri" w:cs="Calibri"/>
                <w:sz w:val="20"/>
              </w:rPr>
              <w:t>Date</w:t>
            </w:r>
          </w:p>
        </w:tc>
        <w:tc>
          <w:tcPr>
            <w:tcW w:w="1549" w:type="dxa"/>
          </w:tcPr>
          <w:p w14:paraId="1F1D674C" w14:textId="77777777" w:rsidR="00F80961" w:rsidRDefault="00F80961" w:rsidP="00C63A98">
            <w:pPr>
              <w:pStyle w:val="Tabletext"/>
              <w:keepNext/>
              <w:rPr>
                <w:rFonts w:ascii="Calibri" w:hAnsi="Calibri" w:cs="Calibri"/>
                <w:sz w:val="20"/>
              </w:rPr>
            </w:pPr>
          </w:p>
        </w:tc>
      </w:tr>
      <w:tr w:rsidR="00F80961" w:rsidRPr="00C63A98" w14:paraId="416A87D4" w14:textId="77777777" w:rsidTr="00C63A98">
        <w:trPr>
          <w:cantSplit/>
        </w:trPr>
        <w:tc>
          <w:tcPr>
            <w:tcW w:w="2221" w:type="dxa"/>
          </w:tcPr>
          <w:p w14:paraId="6319A214" w14:textId="3B74E158" w:rsidR="00F80961" w:rsidRPr="00C63A98" w:rsidRDefault="00F80961" w:rsidP="00C63A98">
            <w:pPr>
              <w:pStyle w:val="Tabletext"/>
              <w:keepNext/>
              <w:rPr>
                <w:rFonts w:ascii="Calibri" w:hAnsi="Calibri" w:cs="Calibri"/>
                <w:sz w:val="20"/>
              </w:rPr>
            </w:pPr>
            <w:r>
              <w:rPr>
                <w:rFonts w:ascii="Calibri" w:hAnsi="Calibri" w:cs="Calibri"/>
                <w:sz w:val="20"/>
              </w:rPr>
              <w:t>Default Min</w:t>
            </w:r>
          </w:p>
        </w:tc>
        <w:tc>
          <w:tcPr>
            <w:tcW w:w="4154" w:type="dxa"/>
          </w:tcPr>
          <w:p w14:paraId="696BC0AA" w14:textId="0DF5BAE6" w:rsidR="00F80961" w:rsidRPr="00C63A98" w:rsidRDefault="00F80961" w:rsidP="00C63A98">
            <w:pPr>
              <w:pStyle w:val="Tabletext"/>
              <w:keepNext/>
              <w:rPr>
                <w:rFonts w:ascii="Calibri" w:hAnsi="Calibri" w:cs="Calibri"/>
                <w:sz w:val="20"/>
              </w:rPr>
            </w:pPr>
            <w:r>
              <w:rPr>
                <w:rFonts w:ascii="Calibri" w:hAnsi="Calibri" w:cs="Calibri"/>
                <w:sz w:val="20"/>
              </w:rPr>
              <w:t>Default minimum shown when the waiver was entered</w:t>
            </w:r>
          </w:p>
        </w:tc>
        <w:tc>
          <w:tcPr>
            <w:tcW w:w="1436" w:type="dxa"/>
          </w:tcPr>
          <w:p w14:paraId="65CB2D12" w14:textId="270FB970" w:rsidR="00F80961" w:rsidRPr="00C63A98" w:rsidRDefault="00F80961" w:rsidP="00C63A98">
            <w:pPr>
              <w:pStyle w:val="Tabletext"/>
              <w:keepNext/>
              <w:rPr>
                <w:rFonts w:ascii="Calibri" w:hAnsi="Calibri" w:cs="Calibri"/>
                <w:sz w:val="20"/>
              </w:rPr>
            </w:pPr>
            <w:r>
              <w:rPr>
                <w:rFonts w:ascii="Calibri" w:hAnsi="Calibri" w:cs="Calibri"/>
                <w:sz w:val="20"/>
              </w:rPr>
              <w:t>Decimal</w:t>
            </w:r>
          </w:p>
        </w:tc>
        <w:tc>
          <w:tcPr>
            <w:tcW w:w="1549" w:type="dxa"/>
          </w:tcPr>
          <w:p w14:paraId="3E8CFA49" w14:textId="2149B3CA" w:rsidR="00F80961" w:rsidRDefault="00F80961" w:rsidP="00C63A98">
            <w:pPr>
              <w:pStyle w:val="Tabletext"/>
              <w:keepNext/>
              <w:rPr>
                <w:rFonts w:ascii="Calibri" w:hAnsi="Calibri" w:cs="Calibri"/>
                <w:sz w:val="20"/>
              </w:rPr>
            </w:pPr>
            <w:r>
              <w:rPr>
                <w:rFonts w:ascii="Calibri" w:hAnsi="Calibri" w:cs="Calibri"/>
                <w:sz w:val="20"/>
              </w:rPr>
              <w:t>9.5</w:t>
            </w:r>
          </w:p>
        </w:tc>
      </w:tr>
      <w:tr w:rsidR="00F80961" w:rsidRPr="00C63A98" w14:paraId="39A72005" w14:textId="77777777" w:rsidTr="00C63A98">
        <w:trPr>
          <w:cantSplit/>
        </w:trPr>
        <w:tc>
          <w:tcPr>
            <w:tcW w:w="2221" w:type="dxa"/>
          </w:tcPr>
          <w:p w14:paraId="05408EE3" w14:textId="23830568" w:rsidR="00F80961" w:rsidRPr="00C63A98" w:rsidRDefault="00F80961" w:rsidP="00C63A98">
            <w:pPr>
              <w:pStyle w:val="Tabletext"/>
              <w:keepNext/>
              <w:rPr>
                <w:rFonts w:ascii="Calibri" w:hAnsi="Calibri" w:cs="Calibri"/>
                <w:sz w:val="20"/>
              </w:rPr>
            </w:pPr>
            <w:r>
              <w:rPr>
                <w:rFonts w:ascii="Calibri" w:hAnsi="Calibri" w:cs="Calibri"/>
                <w:sz w:val="20"/>
              </w:rPr>
              <w:t>Default Max</w:t>
            </w:r>
          </w:p>
        </w:tc>
        <w:tc>
          <w:tcPr>
            <w:tcW w:w="4154" w:type="dxa"/>
          </w:tcPr>
          <w:p w14:paraId="18B65656" w14:textId="74732305" w:rsidR="00F80961" w:rsidRPr="00C63A98" w:rsidRDefault="00F80961" w:rsidP="00C63A98">
            <w:pPr>
              <w:pStyle w:val="Tabletext"/>
              <w:keepNext/>
              <w:rPr>
                <w:rFonts w:ascii="Calibri" w:hAnsi="Calibri" w:cs="Calibri"/>
                <w:sz w:val="20"/>
              </w:rPr>
            </w:pPr>
            <w:r>
              <w:rPr>
                <w:rFonts w:ascii="Calibri" w:hAnsi="Calibri" w:cs="Calibri"/>
                <w:sz w:val="20"/>
              </w:rPr>
              <w:t>Default maximum shown when the waiver was entered</w:t>
            </w:r>
          </w:p>
        </w:tc>
        <w:tc>
          <w:tcPr>
            <w:tcW w:w="1436" w:type="dxa"/>
          </w:tcPr>
          <w:p w14:paraId="261AD9BD" w14:textId="00137886" w:rsidR="00F80961" w:rsidRPr="00C63A98" w:rsidRDefault="00F80961" w:rsidP="00C63A98">
            <w:pPr>
              <w:pStyle w:val="Tabletext"/>
              <w:keepNext/>
              <w:rPr>
                <w:rFonts w:ascii="Calibri" w:hAnsi="Calibri" w:cs="Calibri"/>
                <w:sz w:val="20"/>
              </w:rPr>
            </w:pPr>
            <w:r>
              <w:rPr>
                <w:rFonts w:ascii="Calibri" w:hAnsi="Calibri" w:cs="Calibri"/>
                <w:sz w:val="20"/>
              </w:rPr>
              <w:t>Decimal</w:t>
            </w:r>
          </w:p>
        </w:tc>
        <w:tc>
          <w:tcPr>
            <w:tcW w:w="1549" w:type="dxa"/>
          </w:tcPr>
          <w:p w14:paraId="6F1FFFD9" w14:textId="060349FB" w:rsidR="00F80961" w:rsidRDefault="00F80961" w:rsidP="00C63A98">
            <w:pPr>
              <w:pStyle w:val="Tabletext"/>
              <w:keepNext/>
              <w:rPr>
                <w:rFonts w:ascii="Calibri" w:hAnsi="Calibri" w:cs="Calibri"/>
                <w:sz w:val="20"/>
              </w:rPr>
            </w:pPr>
            <w:r>
              <w:rPr>
                <w:rFonts w:ascii="Calibri" w:hAnsi="Calibri" w:cs="Calibri"/>
                <w:sz w:val="20"/>
              </w:rPr>
              <w:t>11.5</w:t>
            </w:r>
          </w:p>
        </w:tc>
      </w:tr>
      <w:tr w:rsidR="00F80961" w:rsidRPr="00C63A98" w14:paraId="1119480A" w14:textId="77777777" w:rsidTr="00C63A98">
        <w:trPr>
          <w:cantSplit/>
        </w:trPr>
        <w:tc>
          <w:tcPr>
            <w:tcW w:w="2221" w:type="dxa"/>
          </w:tcPr>
          <w:p w14:paraId="361EA202" w14:textId="4739D67C" w:rsidR="00F80961" w:rsidRPr="00C63A98" w:rsidRDefault="00F80961" w:rsidP="00C63A98">
            <w:pPr>
              <w:pStyle w:val="Tabletext"/>
              <w:keepNext/>
              <w:rPr>
                <w:rFonts w:ascii="Calibri" w:hAnsi="Calibri" w:cs="Calibri"/>
                <w:sz w:val="20"/>
              </w:rPr>
            </w:pPr>
            <w:r>
              <w:rPr>
                <w:rFonts w:ascii="Calibri" w:hAnsi="Calibri" w:cs="Calibri"/>
                <w:sz w:val="20"/>
              </w:rPr>
              <w:t>Revised Min</w:t>
            </w:r>
          </w:p>
        </w:tc>
        <w:tc>
          <w:tcPr>
            <w:tcW w:w="4154" w:type="dxa"/>
          </w:tcPr>
          <w:p w14:paraId="5039FB3F" w14:textId="10E6324D" w:rsidR="00F80961" w:rsidRPr="00C63A98" w:rsidRDefault="00F80961" w:rsidP="00C63A98">
            <w:pPr>
              <w:pStyle w:val="Tabletext"/>
              <w:keepNext/>
              <w:rPr>
                <w:rFonts w:ascii="Calibri" w:hAnsi="Calibri" w:cs="Calibri"/>
                <w:sz w:val="20"/>
              </w:rPr>
            </w:pPr>
            <w:r>
              <w:rPr>
                <w:rFonts w:ascii="Calibri" w:hAnsi="Calibri" w:cs="Calibri"/>
                <w:sz w:val="20"/>
              </w:rPr>
              <w:t>Revised minimum entered by the user</w:t>
            </w:r>
          </w:p>
        </w:tc>
        <w:tc>
          <w:tcPr>
            <w:tcW w:w="1436" w:type="dxa"/>
          </w:tcPr>
          <w:p w14:paraId="5B687587" w14:textId="6A2480C6" w:rsidR="00F80961" w:rsidRPr="00C63A98" w:rsidRDefault="00F80961" w:rsidP="00C63A98">
            <w:pPr>
              <w:pStyle w:val="Tabletext"/>
              <w:keepNext/>
              <w:rPr>
                <w:rFonts w:ascii="Calibri" w:hAnsi="Calibri" w:cs="Calibri"/>
                <w:sz w:val="20"/>
              </w:rPr>
            </w:pPr>
            <w:r>
              <w:rPr>
                <w:rFonts w:ascii="Calibri" w:hAnsi="Calibri" w:cs="Calibri"/>
                <w:sz w:val="20"/>
              </w:rPr>
              <w:t>Decimal</w:t>
            </w:r>
          </w:p>
        </w:tc>
        <w:tc>
          <w:tcPr>
            <w:tcW w:w="1549" w:type="dxa"/>
          </w:tcPr>
          <w:p w14:paraId="5171AD7C" w14:textId="77777777" w:rsidR="00F80961" w:rsidRDefault="00F80961" w:rsidP="00C63A98">
            <w:pPr>
              <w:pStyle w:val="Tabletext"/>
              <w:keepNext/>
              <w:rPr>
                <w:rFonts w:ascii="Calibri" w:hAnsi="Calibri" w:cs="Calibri"/>
                <w:sz w:val="20"/>
              </w:rPr>
            </w:pPr>
          </w:p>
        </w:tc>
      </w:tr>
      <w:tr w:rsidR="00F80961" w:rsidRPr="00C63A98" w14:paraId="36527E03" w14:textId="77777777" w:rsidTr="00C63A98">
        <w:trPr>
          <w:cantSplit/>
        </w:trPr>
        <w:tc>
          <w:tcPr>
            <w:tcW w:w="2221" w:type="dxa"/>
          </w:tcPr>
          <w:p w14:paraId="1866D9A1" w14:textId="156D0CBD" w:rsidR="00F80961" w:rsidRPr="00C63A98" w:rsidRDefault="00F80961" w:rsidP="00C63A98">
            <w:pPr>
              <w:pStyle w:val="Tabletext"/>
              <w:keepNext/>
              <w:rPr>
                <w:rFonts w:ascii="Calibri" w:hAnsi="Calibri" w:cs="Calibri"/>
                <w:sz w:val="20"/>
              </w:rPr>
            </w:pPr>
            <w:r>
              <w:rPr>
                <w:rFonts w:ascii="Calibri" w:hAnsi="Calibri" w:cs="Calibri"/>
                <w:sz w:val="20"/>
              </w:rPr>
              <w:t>Revised Max</w:t>
            </w:r>
          </w:p>
        </w:tc>
        <w:tc>
          <w:tcPr>
            <w:tcW w:w="4154" w:type="dxa"/>
          </w:tcPr>
          <w:p w14:paraId="3CB7ADFC" w14:textId="138E7C37" w:rsidR="00F80961" w:rsidRPr="00C63A98" w:rsidRDefault="00F80961" w:rsidP="00C63A98">
            <w:pPr>
              <w:pStyle w:val="Tabletext"/>
              <w:keepNext/>
              <w:rPr>
                <w:rFonts w:ascii="Calibri" w:hAnsi="Calibri" w:cs="Calibri"/>
                <w:sz w:val="20"/>
              </w:rPr>
            </w:pPr>
            <w:r>
              <w:rPr>
                <w:rFonts w:ascii="Calibri" w:hAnsi="Calibri" w:cs="Calibri"/>
                <w:sz w:val="20"/>
              </w:rPr>
              <w:t>Revised maximum entered by the user</w:t>
            </w:r>
          </w:p>
        </w:tc>
        <w:tc>
          <w:tcPr>
            <w:tcW w:w="1436" w:type="dxa"/>
          </w:tcPr>
          <w:p w14:paraId="6D9A74BC" w14:textId="5C3FFD61" w:rsidR="00F80961" w:rsidRPr="00C63A98" w:rsidRDefault="00F80961" w:rsidP="00C63A98">
            <w:pPr>
              <w:pStyle w:val="Tabletext"/>
              <w:keepNext/>
              <w:rPr>
                <w:rFonts w:ascii="Calibri" w:hAnsi="Calibri" w:cs="Calibri"/>
                <w:sz w:val="20"/>
              </w:rPr>
            </w:pPr>
            <w:r>
              <w:rPr>
                <w:rFonts w:ascii="Calibri" w:hAnsi="Calibri" w:cs="Calibri"/>
                <w:sz w:val="20"/>
              </w:rPr>
              <w:t>Decimal</w:t>
            </w:r>
          </w:p>
        </w:tc>
        <w:tc>
          <w:tcPr>
            <w:tcW w:w="1549" w:type="dxa"/>
          </w:tcPr>
          <w:p w14:paraId="597D487B" w14:textId="77777777" w:rsidR="00F80961" w:rsidRDefault="00F80961" w:rsidP="00C63A98">
            <w:pPr>
              <w:pStyle w:val="Tabletext"/>
              <w:keepNext/>
              <w:rPr>
                <w:rFonts w:ascii="Calibri" w:hAnsi="Calibri" w:cs="Calibri"/>
                <w:sz w:val="20"/>
              </w:rPr>
            </w:pPr>
          </w:p>
        </w:tc>
      </w:tr>
    </w:tbl>
    <w:p w14:paraId="779645A2" w14:textId="7BD77FC1" w:rsidR="00F80961" w:rsidRDefault="00F80961" w:rsidP="00F80961">
      <w:pPr>
        <w:pStyle w:val="Caption"/>
      </w:pPr>
      <w:bookmarkStart w:id="254" w:name="_Toc242554036"/>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38</w:t>
      </w:r>
      <w:r>
        <w:fldChar w:fldCharType="end"/>
      </w:r>
      <w:r>
        <w:t xml:space="preserve">: </w:t>
      </w:r>
      <w:r w:rsidR="00144FA3">
        <w:t>Destination (IQDM) Data Entity: Quality Waivers</w:t>
      </w:r>
      <w:bookmarkEnd w:id="254"/>
    </w:p>
    <w:p w14:paraId="21B99CAA" w14:textId="0933685A" w:rsidR="00687F84" w:rsidRDefault="00687F84" w:rsidP="00687F84">
      <w:pPr>
        <w:pStyle w:val="Heading6"/>
        <w:rPr>
          <w:rFonts w:ascii="Calibri" w:hAnsi="Calibri" w:cs="Calibri"/>
          <w:sz w:val="20"/>
        </w:rPr>
      </w:pPr>
      <w:r>
        <w:rPr>
          <w:rFonts w:ascii="Calibri" w:hAnsi="Calibri" w:cs="Calibri"/>
          <w:sz w:val="20"/>
        </w:rPr>
        <w:t>Source to Response Model Mapping</w:t>
      </w:r>
    </w:p>
    <w:p w14:paraId="0E289661" w14:textId="0117678C" w:rsidR="00F80961" w:rsidRPr="0081216E" w:rsidRDefault="00F80961" w:rsidP="00FC42E7">
      <w:pPr>
        <w:keepNext/>
        <w:jc w:val="left"/>
        <w:rPr>
          <w:rFonts w:ascii="Calibri" w:hAnsi="Calibri" w:cs="Calibri"/>
        </w:rPr>
      </w:pPr>
      <w:r>
        <w:rPr>
          <w:rFonts w:ascii="Calibri" w:hAnsi="Calibri" w:cs="Calibri"/>
        </w:rPr>
        <w:t>The table below gives the source field that each attribute of the response model comes from.</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0"/>
        <w:gridCol w:w="2340"/>
        <w:gridCol w:w="2340"/>
        <w:gridCol w:w="2340"/>
      </w:tblGrid>
      <w:tr w:rsidR="00F80961" w:rsidRPr="00C63A98" w14:paraId="0764A9E7" w14:textId="77777777" w:rsidTr="00D0687B">
        <w:trPr>
          <w:cantSplit/>
          <w:tblHeader/>
        </w:trPr>
        <w:tc>
          <w:tcPr>
            <w:tcW w:w="2340" w:type="dxa"/>
            <w:shd w:val="clear" w:color="auto" w:fill="2F5597"/>
          </w:tcPr>
          <w:p w14:paraId="72C0EBDA" w14:textId="77777777" w:rsidR="00F80961" w:rsidRPr="00C63A98" w:rsidRDefault="00F80961" w:rsidP="00C63A98">
            <w:pPr>
              <w:pStyle w:val="Tablehead1"/>
              <w:rPr>
                <w:rFonts w:ascii="Calibri" w:hAnsi="Calibri" w:cs="Calibri"/>
                <w:sz w:val="20"/>
              </w:rPr>
            </w:pPr>
            <w:r>
              <w:rPr>
                <w:rFonts w:ascii="Calibri" w:hAnsi="Calibri" w:cs="Calibri"/>
                <w:sz w:val="20"/>
              </w:rPr>
              <w:t>Response Model</w:t>
            </w:r>
          </w:p>
        </w:tc>
        <w:tc>
          <w:tcPr>
            <w:tcW w:w="2340" w:type="dxa"/>
            <w:shd w:val="clear" w:color="auto" w:fill="2F5597"/>
          </w:tcPr>
          <w:p w14:paraId="6E250107" w14:textId="77777777" w:rsidR="00F80961" w:rsidRPr="00C63A98" w:rsidRDefault="00F80961" w:rsidP="00C63A98">
            <w:pPr>
              <w:pStyle w:val="Tablehead1"/>
              <w:rPr>
                <w:rFonts w:ascii="Calibri" w:hAnsi="Calibri" w:cs="Calibri"/>
                <w:sz w:val="20"/>
              </w:rPr>
            </w:pPr>
            <w:r>
              <w:rPr>
                <w:rFonts w:ascii="Calibri" w:hAnsi="Calibri" w:cs="Calibri"/>
                <w:sz w:val="20"/>
              </w:rPr>
              <w:t>Source Field</w:t>
            </w:r>
          </w:p>
        </w:tc>
        <w:tc>
          <w:tcPr>
            <w:tcW w:w="2340" w:type="dxa"/>
            <w:shd w:val="clear" w:color="auto" w:fill="2F5597"/>
          </w:tcPr>
          <w:p w14:paraId="1CA56D0B" w14:textId="77777777" w:rsidR="00F80961" w:rsidRPr="00C63A98" w:rsidRDefault="00F80961" w:rsidP="00C63A98">
            <w:pPr>
              <w:pStyle w:val="Tablehead1"/>
              <w:rPr>
                <w:rFonts w:ascii="Calibri" w:hAnsi="Calibri" w:cs="Calibri"/>
                <w:sz w:val="20"/>
              </w:rPr>
            </w:pPr>
            <w:r>
              <w:rPr>
                <w:rFonts w:ascii="Calibri" w:hAnsi="Calibri" w:cs="Calibri"/>
                <w:sz w:val="20"/>
              </w:rPr>
              <w:t>Attribute</w:t>
            </w:r>
          </w:p>
        </w:tc>
        <w:tc>
          <w:tcPr>
            <w:tcW w:w="2340" w:type="dxa"/>
            <w:shd w:val="clear" w:color="auto" w:fill="2F5597"/>
          </w:tcPr>
          <w:p w14:paraId="11551072" w14:textId="77777777" w:rsidR="00F80961" w:rsidRPr="00C63A98" w:rsidRDefault="00F80961" w:rsidP="00C63A98">
            <w:pPr>
              <w:pStyle w:val="Tablehead1"/>
              <w:rPr>
                <w:rFonts w:ascii="Calibri" w:hAnsi="Calibri" w:cs="Calibri"/>
                <w:sz w:val="20"/>
              </w:rPr>
            </w:pPr>
            <w:r>
              <w:rPr>
                <w:rFonts w:ascii="Calibri" w:hAnsi="Calibri" w:cs="Calibri"/>
                <w:sz w:val="20"/>
              </w:rPr>
              <w:t>Description</w:t>
            </w:r>
          </w:p>
        </w:tc>
      </w:tr>
      <w:tr w:rsidR="00F80961" w:rsidRPr="00C63A98" w14:paraId="176A43D9" w14:textId="77777777" w:rsidTr="00D0687B">
        <w:trPr>
          <w:cantSplit/>
        </w:trPr>
        <w:tc>
          <w:tcPr>
            <w:tcW w:w="2340" w:type="dxa"/>
          </w:tcPr>
          <w:p w14:paraId="3BD6B725" w14:textId="5E283AC9" w:rsidR="00F80961" w:rsidRPr="00C63A98" w:rsidRDefault="00144FA3" w:rsidP="00C63A98">
            <w:pPr>
              <w:pStyle w:val="Tabletext"/>
              <w:rPr>
                <w:rFonts w:ascii="Calibri" w:hAnsi="Calibri" w:cs="Calibri"/>
                <w:sz w:val="20"/>
              </w:rPr>
            </w:pPr>
            <w:r>
              <w:rPr>
                <w:rFonts w:ascii="Calibri" w:hAnsi="Calibri" w:cs="Calibri"/>
                <w:sz w:val="20"/>
              </w:rPr>
              <w:t>terminalCode</w:t>
            </w:r>
          </w:p>
        </w:tc>
        <w:tc>
          <w:tcPr>
            <w:tcW w:w="2340" w:type="dxa"/>
          </w:tcPr>
          <w:p w14:paraId="373CD112" w14:textId="205153EF" w:rsidR="00F80961" w:rsidRPr="00C63A98" w:rsidRDefault="00F80961" w:rsidP="00C63A98">
            <w:pPr>
              <w:pStyle w:val="Tabletext"/>
              <w:rPr>
                <w:rFonts w:ascii="Calibri" w:hAnsi="Calibri" w:cs="Calibri"/>
                <w:sz w:val="20"/>
              </w:rPr>
            </w:pPr>
            <w:r>
              <w:rPr>
                <w:rFonts w:ascii="Calibri" w:hAnsi="Calibri" w:cs="Calibri"/>
                <w:sz w:val="20"/>
              </w:rPr>
              <w:t>Terminal Location Name</w:t>
            </w:r>
          </w:p>
        </w:tc>
        <w:tc>
          <w:tcPr>
            <w:tcW w:w="2340" w:type="dxa"/>
          </w:tcPr>
          <w:p w14:paraId="332D7615" w14:textId="3F97A544" w:rsidR="00F80961" w:rsidRPr="00C63A98" w:rsidRDefault="00144FA3" w:rsidP="00C63A98">
            <w:pPr>
              <w:pStyle w:val="Tabletext"/>
              <w:rPr>
                <w:rFonts w:ascii="Calibri" w:hAnsi="Calibri" w:cs="Calibri"/>
                <w:sz w:val="20"/>
              </w:rPr>
            </w:pPr>
            <w:r>
              <w:rPr>
                <w:rFonts w:ascii="Calibri" w:hAnsi="Calibri" w:cs="Calibri"/>
                <w:sz w:val="20"/>
              </w:rPr>
              <w:t>TerminalCode</w:t>
            </w:r>
          </w:p>
        </w:tc>
        <w:tc>
          <w:tcPr>
            <w:tcW w:w="2340" w:type="dxa"/>
          </w:tcPr>
          <w:p w14:paraId="7217D599" w14:textId="72E4FC65" w:rsidR="00F80961" w:rsidRPr="00C63A98" w:rsidRDefault="00F80961" w:rsidP="00C63A98">
            <w:pPr>
              <w:pStyle w:val="Tabletext"/>
              <w:rPr>
                <w:rFonts w:ascii="Calibri" w:hAnsi="Calibri" w:cs="Calibri"/>
                <w:sz w:val="20"/>
              </w:rPr>
            </w:pPr>
            <w:r>
              <w:rPr>
                <w:rFonts w:ascii="Calibri" w:hAnsi="Calibri" w:cs="Calibri"/>
                <w:sz w:val="20"/>
              </w:rPr>
              <w:t>Mapped to the Profisee code through the mapping tables and the Semantic Service</w:t>
            </w:r>
          </w:p>
        </w:tc>
      </w:tr>
      <w:tr w:rsidR="00F80961" w:rsidRPr="00C63A98" w14:paraId="6E8F301D" w14:textId="77777777" w:rsidTr="00D0687B">
        <w:trPr>
          <w:cantSplit/>
        </w:trPr>
        <w:tc>
          <w:tcPr>
            <w:tcW w:w="2340" w:type="dxa"/>
          </w:tcPr>
          <w:p w14:paraId="62B999A5" w14:textId="02137349" w:rsidR="00F80961" w:rsidRDefault="00144FA3" w:rsidP="00C63A98">
            <w:pPr>
              <w:pStyle w:val="Tabletext"/>
              <w:rPr>
                <w:rFonts w:ascii="Calibri" w:hAnsi="Calibri" w:cs="Calibri"/>
                <w:sz w:val="20"/>
              </w:rPr>
            </w:pPr>
            <w:r>
              <w:rPr>
                <w:rFonts w:ascii="Calibri" w:hAnsi="Calibri" w:cs="Calibri"/>
                <w:sz w:val="20"/>
              </w:rPr>
              <w:t>gradeCode</w:t>
            </w:r>
          </w:p>
        </w:tc>
        <w:tc>
          <w:tcPr>
            <w:tcW w:w="2340" w:type="dxa"/>
          </w:tcPr>
          <w:p w14:paraId="05484987" w14:textId="4C0E614A" w:rsidR="00F80961" w:rsidRDefault="00F80961" w:rsidP="00C63A98">
            <w:pPr>
              <w:pStyle w:val="Tabletext"/>
              <w:rPr>
                <w:rFonts w:ascii="Calibri" w:hAnsi="Calibri" w:cs="Calibri"/>
                <w:sz w:val="20"/>
              </w:rPr>
            </w:pPr>
            <w:r>
              <w:rPr>
                <w:rFonts w:ascii="Calibri" w:hAnsi="Calibri" w:cs="Calibri"/>
                <w:sz w:val="20"/>
              </w:rPr>
              <w:t>Product Name</w:t>
            </w:r>
          </w:p>
        </w:tc>
        <w:tc>
          <w:tcPr>
            <w:tcW w:w="2340" w:type="dxa"/>
          </w:tcPr>
          <w:p w14:paraId="413979D0" w14:textId="7CFA09D2" w:rsidR="00F80961" w:rsidRDefault="00144FA3" w:rsidP="00C63A98">
            <w:pPr>
              <w:pStyle w:val="Tabletext"/>
              <w:rPr>
                <w:rFonts w:ascii="Calibri" w:hAnsi="Calibri" w:cs="Calibri"/>
                <w:sz w:val="20"/>
              </w:rPr>
            </w:pPr>
            <w:r>
              <w:rPr>
                <w:rFonts w:ascii="Calibri" w:hAnsi="Calibri" w:cs="Calibri"/>
                <w:sz w:val="20"/>
              </w:rPr>
              <w:t>GradeCode</w:t>
            </w:r>
          </w:p>
        </w:tc>
        <w:tc>
          <w:tcPr>
            <w:tcW w:w="2340" w:type="dxa"/>
          </w:tcPr>
          <w:p w14:paraId="5502FC20" w14:textId="6C0C03CE" w:rsidR="00F80961" w:rsidRDefault="00F80961" w:rsidP="00C63A98">
            <w:pPr>
              <w:pStyle w:val="Tabletext"/>
              <w:rPr>
                <w:rFonts w:ascii="Calibri" w:hAnsi="Calibri" w:cs="Calibri"/>
                <w:sz w:val="20"/>
              </w:rPr>
            </w:pPr>
            <w:r>
              <w:rPr>
                <w:rFonts w:ascii="Calibri" w:hAnsi="Calibri" w:cs="Calibri"/>
                <w:sz w:val="20"/>
              </w:rPr>
              <w:t>Mapped to the Profisee code through the mapping tables and the Semantic Service</w:t>
            </w:r>
          </w:p>
        </w:tc>
      </w:tr>
      <w:tr w:rsidR="00F80961" w:rsidRPr="00C63A98" w14:paraId="1EF16FEF" w14:textId="77777777" w:rsidTr="00D0687B">
        <w:trPr>
          <w:cantSplit/>
        </w:trPr>
        <w:tc>
          <w:tcPr>
            <w:tcW w:w="2340" w:type="dxa"/>
          </w:tcPr>
          <w:p w14:paraId="0635B63C" w14:textId="256B7828" w:rsidR="00F80961" w:rsidRDefault="00144FA3" w:rsidP="00C63A98">
            <w:pPr>
              <w:pStyle w:val="Tabletext"/>
              <w:rPr>
                <w:rFonts w:ascii="Calibri" w:hAnsi="Calibri" w:cs="Calibri"/>
                <w:sz w:val="20"/>
              </w:rPr>
            </w:pPr>
            <w:r>
              <w:rPr>
                <w:rFonts w:ascii="Calibri" w:hAnsi="Calibri" w:cs="Calibri"/>
                <w:sz w:val="20"/>
              </w:rPr>
              <w:t>qualityCode</w:t>
            </w:r>
          </w:p>
        </w:tc>
        <w:tc>
          <w:tcPr>
            <w:tcW w:w="2340" w:type="dxa"/>
          </w:tcPr>
          <w:p w14:paraId="559CCC46" w14:textId="0A4A12FC" w:rsidR="00F80961" w:rsidRDefault="00F80961" w:rsidP="00C63A98">
            <w:pPr>
              <w:pStyle w:val="Tabletext"/>
              <w:rPr>
                <w:rFonts w:ascii="Calibri" w:hAnsi="Calibri" w:cs="Calibri"/>
                <w:sz w:val="20"/>
              </w:rPr>
            </w:pPr>
            <w:r>
              <w:rPr>
                <w:rFonts w:ascii="Calibri" w:hAnsi="Calibri" w:cs="Calibri"/>
                <w:sz w:val="20"/>
              </w:rPr>
              <w:t>Test</w:t>
            </w:r>
          </w:p>
        </w:tc>
        <w:tc>
          <w:tcPr>
            <w:tcW w:w="2340" w:type="dxa"/>
          </w:tcPr>
          <w:p w14:paraId="7B558745" w14:textId="356EF297" w:rsidR="00F80961" w:rsidRDefault="00144FA3" w:rsidP="00C63A98">
            <w:pPr>
              <w:pStyle w:val="Tabletext"/>
              <w:rPr>
                <w:rFonts w:ascii="Calibri" w:hAnsi="Calibri" w:cs="Calibri"/>
                <w:sz w:val="20"/>
              </w:rPr>
            </w:pPr>
            <w:r>
              <w:rPr>
                <w:rFonts w:ascii="Calibri" w:hAnsi="Calibri" w:cs="Calibri"/>
                <w:sz w:val="20"/>
              </w:rPr>
              <w:t>QualityCode</w:t>
            </w:r>
          </w:p>
        </w:tc>
        <w:tc>
          <w:tcPr>
            <w:tcW w:w="2340" w:type="dxa"/>
          </w:tcPr>
          <w:p w14:paraId="1B336D36" w14:textId="579FD459" w:rsidR="00F80961" w:rsidRDefault="00F80961" w:rsidP="00C63A98">
            <w:pPr>
              <w:pStyle w:val="Tabletext"/>
              <w:rPr>
                <w:rFonts w:ascii="Calibri" w:hAnsi="Calibri" w:cs="Calibri"/>
                <w:sz w:val="20"/>
              </w:rPr>
            </w:pPr>
            <w:r>
              <w:rPr>
                <w:rFonts w:ascii="Calibri" w:hAnsi="Calibri" w:cs="Calibri"/>
                <w:sz w:val="20"/>
              </w:rPr>
              <w:t>Mapped to the Profisee quality code through the mapping tables and the Semantic Service</w:t>
            </w:r>
          </w:p>
        </w:tc>
      </w:tr>
      <w:tr w:rsidR="00F80961" w:rsidRPr="00C63A98" w14:paraId="17C48A72" w14:textId="77777777" w:rsidTr="00D0687B">
        <w:trPr>
          <w:cantSplit/>
        </w:trPr>
        <w:tc>
          <w:tcPr>
            <w:tcW w:w="2340" w:type="dxa"/>
          </w:tcPr>
          <w:p w14:paraId="2F5FE9F5" w14:textId="161B904E" w:rsidR="00F80961" w:rsidRDefault="00144FA3" w:rsidP="00C63A98">
            <w:pPr>
              <w:pStyle w:val="Tabletext"/>
              <w:rPr>
                <w:rFonts w:ascii="Calibri" w:hAnsi="Calibri" w:cs="Calibri"/>
                <w:sz w:val="20"/>
              </w:rPr>
            </w:pPr>
            <w:r>
              <w:rPr>
                <w:rFonts w:ascii="Calibri" w:hAnsi="Calibri" w:cs="Calibri"/>
                <w:sz w:val="20"/>
              </w:rPr>
              <w:t>defaultMin</w:t>
            </w:r>
          </w:p>
        </w:tc>
        <w:tc>
          <w:tcPr>
            <w:tcW w:w="2340" w:type="dxa"/>
          </w:tcPr>
          <w:p w14:paraId="0D9F3672" w14:textId="7B2438CA" w:rsidR="00F80961" w:rsidRDefault="00F80961" w:rsidP="00C63A98">
            <w:pPr>
              <w:pStyle w:val="Tabletext"/>
              <w:rPr>
                <w:rFonts w:ascii="Calibri" w:hAnsi="Calibri" w:cs="Calibri"/>
                <w:sz w:val="20"/>
              </w:rPr>
            </w:pPr>
            <w:r>
              <w:rPr>
                <w:rFonts w:ascii="Calibri" w:hAnsi="Calibri" w:cs="Calibri"/>
                <w:sz w:val="20"/>
              </w:rPr>
              <w:t>Spec_Value_Text of the MIN rows</w:t>
            </w:r>
          </w:p>
        </w:tc>
        <w:tc>
          <w:tcPr>
            <w:tcW w:w="2340" w:type="dxa"/>
          </w:tcPr>
          <w:p w14:paraId="2FF8701B" w14:textId="1DE76AD8" w:rsidR="00F80961" w:rsidRDefault="00144FA3" w:rsidP="00C63A98">
            <w:pPr>
              <w:pStyle w:val="Tabletext"/>
              <w:rPr>
                <w:rFonts w:ascii="Calibri" w:hAnsi="Calibri" w:cs="Calibri"/>
                <w:sz w:val="20"/>
              </w:rPr>
            </w:pPr>
            <w:r>
              <w:rPr>
                <w:rFonts w:ascii="Calibri" w:hAnsi="Calibri" w:cs="Calibri"/>
                <w:sz w:val="20"/>
              </w:rPr>
              <w:t>DefaultMin</w:t>
            </w:r>
          </w:p>
        </w:tc>
        <w:tc>
          <w:tcPr>
            <w:tcW w:w="2340" w:type="dxa"/>
          </w:tcPr>
          <w:p w14:paraId="68F19A97" w14:textId="11F781AE" w:rsidR="00F80961" w:rsidRDefault="00F80961" w:rsidP="00C63A98">
            <w:pPr>
              <w:pStyle w:val="Tabletext"/>
              <w:rPr>
                <w:rFonts w:ascii="Calibri" w:hAnsi="Calibri" w:cs="Calibri"/>
                <w:sz w:val="20"/>
              </w:rPr>
            </w:pPr>
            <w:r>
              <w:rPr>
                <w:rFonts w:ascii="Calibri" w:hAnsi="Calibri" w:cs="Calibri"/>
                <w:sz w:val="20"/>
              </w:rPr>
              <w:t>Highest value of the applicable rows, converted from text to a number</w:t>
            </w:r>
          </w:p>
        </w:tc>
      </w:tr>
      <w:tr w:rsidR="00F80961" w:rsidRPr="00C63A98" w14:paraId="77990FA6" w14:textId="77777777" w:rsidTr="00D0687B">
        <w:trPr>
          <w:cantSplit/>
        </w:trPr>
        <w:tc>
          <w:tcPr>
            <w:tcW w:w="2340" w:type="dxa"/>
          </w:tcPr>
          <w:p w14:paraId="69FFE6FE" w14:textId="52D8C336" w:rsidR="00F80961" w:rsidRDefault="00144FA3" w:rsidP="00C63A98">
            <w:pPr>
              <w:pStyle w:val="Tabletext"/>
              <w:rPr>
                <w:rFonts w:ascii="Calibri" w:hAnsi="Calibri" w:cs="Calibri"/>
                <w:sz w:val="20"/>
              </w:rPr>
            </w:pPr>
            <w:r>
              <w:rPr>
                <w:rFonts w:ascii="Calibri" w:hAnsi="Calibri" w:cs="Calibri"/>
                <w:sz w:val="20"/>
              </w:rPr>
              <w:t>defaultMax</w:t>
            </w:r>
          </w:p>
        </w:tc>
        <w:tc>
          <w:tcPr>
            <w:tcW w:w="2340" w:type="dxa"/>
          </w:tcPr>
          <w:p w14:paraId="194D853A" w14:textId="3C11BFF0" w:rsidR="00F80961" w:rsidRDefault="00F80961" w:rsidP="00C63A98">
            <w:pPr>
              <w:pStyle w:val="Tabletext"/>
              <w:rPr>
                <w:rFonts w:ascii="Calibri" w:hAnsi="Calibri" w:cs="Calibri"/>
                <w:sz w:val="20"/>
              </w:rPr>
            </w:pPr>
            <w:r>
              <w:rPr>
                <w:rFonts w:ascii="Calibri" w:hAnsi="Calibri" w:cs="Calibri"/>
                <w:sz w:val="20"/>
              </w:rPr>
              <w:t>Spec_Value_Text of the MAX rows</w:t>
            </w:r>
          </w:p>
        </w:tc>
        <w:tc>
          <w:tcPr>
            <w:tcW w:w="2340" w:type="dxa"/>
          </w:tcPr>
          <w:p w14:paraId="4DFCCB93" w14:textId="3A09974B" w:rsidR="00F80961" w:rsidRDefault="00144FA3" w:rsidP="00C63A98">
            <w:pPr>
              <w:pStyle w:val="Tabletext"/>
              <w:rPr>
                <w:rFonts w:ascii="Calibri" w:hAnsi="Calibri" w:cs="Calibri"/>
                <w:sz w:val="20"/>
              </w:rPr>
            </w:pPr>
            <w:r>
              <w:rPr>
                <w:rFonts w:ascii="Calibri" w:hAnsi="Calibri" w:cs="Calibri"/>
                <w:sz w:val="20"/>
              </w:rPr>
              <w:t>DefaultMax</w:t>
            </w:r>
          </w:p>
        </w:tc>
        <w:tc>
          <w:tcPr>
            <w:tcW w:w="2340" w:type="dxa"/>
          </w:tcPr>
          <w:p w14:paraId="761AA782" w14:textId="5C21C321" w:rsidR="00F80961" w:rsidRDefault="00F80961" w:rsidP="00C63A98">
            <w:pPr>
              <w:pStyle w:val="Tabletext"/>
              <w:rPr>
                <w:rFonts w:ascii="Calibri" w:hAnsi="Calibri" w:cs="Calibri"/>
                <w:sz w:val="20"/>
              </w:rPr>
            </w:pPr>
            <w:r>
              <w:rPr>
                <w:rFonts w:ascii="Calibri" w:hAnsi="Calibri" w:cs="Calibri"/>
                <w:sz w:val="20"/>
              </w:rPr>
              <w:t>Lowest value of the applicable rows, converted from text to a number</w:t>
            </w:r>
          </w:p>
        </w:tc>
      </w:tr>
      <w:tr w:rsidR="00F80961" w:rsidRPr="00C63A98" w14:paraId="2B9F04DB" w14:textId="77777777" w:rsidTr="00D0687B">
        <w:trPr>
          <w:cantSplit/>
        </w:trPr>
        <w:tc>
          <w:tcPr>
            <w:tcW w:w="2340" w:type="dxa"/>
          </w:tcPr>
          <w:p w14:paraId="45FA4306" w14:textId="77FC83C8" w:rsidR="00F80961" w:rsidRDefault="00144FA3" w:rsidP="00C63A98">
            <w:pPr>
              <w:pStyle w:val="Tabletext"/>
              <w:rPr>
                <w:rFonts w:ascii="Calibri" w:hAnsi="Calibri" w:cs="Calibri"/>
                <w:sz w:val="20"/>
              </w:rPr>
            </w:pPr>
            <w:r>
              <w:rPr>
                <w:rFonts w:ascii="Calibri" w:hAnsi="Calibri" w:cs="Calibri"/>
                <w:sz w:val="20"/>
              </w:rPr>
              <w:t>uom</w:t>
            </w:r>
          </w:p>
        </w:tc>
        <w:tc>
          <w:tcPr>
            <w:tcW w:w="2340" w:type="dxa"/>
          </w:tcPr>
          <w:p w14:paraId="2CEA106D" w14:textId="0DA58C32" w:rsidR="00F80961" w:rsidRDefault="00F80961" w:rsidP="00C63A98">
            <w:pPr>
              <w:pStyle w:val="Tabletext"/>
              <w:rPr>
                <w:rFonts w:ascii="Calibri" w:hAnsi="Calibri" w:cs="Calibri"/>
                <w:sz w:val="20"/>
              </w:rPr>
            </w:pPr>
            <w:r>
              <w:rPr>
                <w:rFonts w:ascii="Calibri" w:hAnsi="Calibri" w:cs="Calibri"/>
                <w:sz w:val="20"/>
              </w:rPr>
              <w:t>UOM</w:t>
            </w:r>
          </w:p>
        </w:tc>
        <w:tc>
          <w:tcPr>
            <w:tcW w:w="2340" w:type="dxa"/>
          </w:tcPr>
          <w:p w14:paraId="2A84F7DF" w14:textId="5B64CEA7" w:rsidR="00F80961" w:rsidRDefault="00144FA3" w:rsidP="00C63A98">
            <w:pPr>
              <w:pStyle w:val="Tabletext"/>
              <w:rPr>
                <w:rFonts w:ascii="Calibri" w:hAnsi="Calibri" w:cs="Calibri"/>
                <w:sz w:val="20"/>
              </w:rPr>
            </w:pPr>
            <w:r>
              <w:rPr>
                <w:rFonts w:ascii="Calibri" w:hAnsi="Calibri" w:cs="Calibri"/>
                <w:sz w:val="20"/>
              </w:rPr>
              <w:t>UOM</w:t>
            </w:r>
          </w:p>
        </w:tc>
        <w:tc>
          <w:tcPr>
            <w:tcW w:w="2340" w:type="dxa"/>
          </w:tcPr>
          <w:p w14:paraId="4A25EA6C" w14:textId="55A26CCC" w:rsidR="00F80961" w:rsidRDefault="00F80961" w:rsidP="00C63A98">
            <w:pPr>
              <w:pStyle w:val="Tabletext"/>
              <w:rPr>
                <w:rFonts w:ascii="Calibri" w:hAnsi="Calibri" w:cs="Calibri"/>
                <w:sz w:val="20"/>
              </w:rPr>
            </w:pPr>
            <w:r>
              <w:rPr>
                <w:rFonts w:ascii="Calibri" w:hAnsi="Calibri" w:cs="Calibri"/>
                <w:sz w:val="20"/>
              </w:rPr>
              <w:t>As held in the specification</w:t>
            </w:r>
          </w:p>
        </w:tc>
      </w:tr>
      <w:tr w:rsidR="00F80961" w:rsidRPr="00C63A98" w14:paraId="6C7D785C" w14:textId="77777777" w:rsidTr="00D0687B">
        <w:trPr>
          <w:cantSplit/>
        </w:trPr>
        <w:tc>
          <w:tcPr>
            <w:tcW w:w="2340" w:type="dxa"/>
          </w:tcPr>
          <w:p w14:paraId="0E8A1450" w14:textId="7EB2960C" w:rsidR="00F80961" w:rsidRDefault="00144FA3" w:rsidP="00C63A98">
            <w:pPr>
              <w:pStyle w:val="Tabletext"/>
              <w:rPr>
                <w:rFonts w:ascii="Calibri" w:hAnsi="Calibri" w:cs="Calibri"/>
                <w:sz w:val="20"/>
              </w:rPr>
            </w:pPr>
            <w:r>
              <w:rPr>
                <w:rFonts w:ascii="Calibri" w:hAnsi="Calibri" w:cs="Calibri"/>
                <w:sz w:val="20"/>
              </w:rPr>
              <w:t>batchId</w:t>
            </w:r>
          </w:p>
        </w:tc>
        <w:tc>
          <w:tcPr>
            <w:tcW w:w="2340" w:type="dxa"/>
          </w:tcPr>
          <w:p w14:paraId="6239F0DD" w14:textId="40E87FDD" w:rsidR="00F80961" w:rsidRDefault="00F80961" w:rsidP="00C63A98">
            <w:pPr>
              <w:pStyle w:val="Tabletext"/>
              <w:rPr>
                <w:rFonts w:ascii="Calibri" w:hAnsi="Calibri" w:cs="Calibri"/>
                <w:sz w:val="20"/>
              </w:rPr>
            </w:pPr>
            <w:r>
              <w:rPr>
                <w:rFonts w:ascii="Calibri" w:hAnsi="Calibri" w:cs="Calibri"/>
                <w:sz w:val="20"/>
              </w:rPr>
              <w:t>IQDM movement data</w:t>
            </w:r>
          </w:p>
        </w:tc>
        <w:tc>
          <w:tcPr>
            <w:tcW w:w="2340" w:type="dxa"/>
          </w:tcPr>
          <w:p w14:paraId="63DA4A24" w14:textId="32FA3FC3" w:rsidR="00F80961" w:rsidRDefault="00144FA3" w:rsidP="00C63A98">
            <w:pPr>
              <w:pStyle w:val="Tabletext"/>
              <w:rPr>
                <w:rFonts w:ascii="Calibri" w:hAnsi="Calibri" w:cs="Calibri"/>
                <w:sz w:val="20"/>
              </w:rPr>
            </w:pPr>
            <w:r>
              <w:rPr>
                <w:rFonts w:ascii="Calibri" w:hAnsi="Calibri" w:cs="Calibri"/>
                <w:sz w:val="20"/>
              </w:rPr>
              <w:t>BatchId</w:t>
            </w:r>
          </w:p>
        </w:tc>
        <w:tc>
          <w:tcPr>
            <w:tcW w:w="2340" w:type="dxa"/>
          </w:tcPr>
          <w:p w14:paraId="485B2A95" w14:textId="4271E46C" w:rsidR="00F80961" w:rsidRDefault="00F80961" w:rsidP="00C63A98">
            <w:pPr>
              <w:pStyle w:val="Tabletext"/>
              <w:rPr>
                <w:rFonts w:ascii="Calibri" w:hAnsi="Calibri" w:cs="Calibri"/>
                <w:sz w:val="20"/>
              </w:rPr>
            </w:pPr>
            <w:r>
              <w:rPr>
                <w:rFonts w:ascii="Calibri" w:hAnsi="Calibri" w:cs="Calibri"/>
                <w:sz w:val="20"/>
              </w:rPr>
              <w:t>Batch picked by the user; its grade fills GradeCode</w:t>
            </w:r>
          </w:p>
        </w:tc>
      </w:tr>
    </w:tbl>
    <w:p w14:paraId="6ABC267C" w14:textId="20CDFFE7" w:rsidR="00F80961" w:rsidRDefault="00F80961" w:rsidP="00F80961">
      <w:pPr>
        <w:pStyle w:val="Caption"/>
      </w:pPr>
      <w:bookmarkStart w:id="255" w:name="_Toc242554037"/>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39</w:t>
      </w:r>
      <w:r>
        <w:fldChar w:fldCharType="end"/>
      </w:r>
      <w:r>
        <w:t xml:space="preserve">: </w:t>
      </w:r>
      <w:r w:rsidR="00144FA3">
        <w:t>IQDM (product_specification) to Response Model Mapping</w:t>
      </w:r>
      <w:bookmarkEnd w:id="255"/>
    </w:p>
    <w:p w14:paraId="29E34A34" w14:textId="63BF432A" w:rsidR="00687F84" w:rsidRDefault="00687F84" w:rsidP="00687F84">
      <w:pPr>
        <w:pStyle w:val="Heading6"/>
        <w:rPr>
          <w:rFonts w:ascii="Calibri" w:hAnsi="Calibri" w:cs="Calibri"/>
          <w:sz w:val="20"/>
        </w:rPr>
      </w:pPr>
      <w:r>
        <w:rPr>
          <w:rFonts w:ascii="Calibri" w:hAnsi="Calibri" w:cs="Calibri"/>
          <w:sz w:val="20"/>
        </w:rPr>
        <w:t>Master Data Entity</w:t>
      </w:r>
    </w:p>
    <w:p w14:paraId="07C43F10" w14:textId="2755F1EA" w:rsidR="00F80961" w:rsidRPr="0081216E" w:rsidRDefault="00F80961" w:rsidP="00FC42E7">
      <w:pPr>
        <w:keepNext/>
        <w:jc w:val="left"/>
        <w:rPr>
          <w:rFonts w:ascii="Calibri" w:hAnsi="Calibri" w:cs="Calibri"/>
        </w:rPr>
      </w:pPr>
      <w:r>
        <w:rPr>
          <w:rFonts w:ascii="Calibri" w:hAnsi="Calibri" w:cs="Calibri"/>
        </w:rPr>
        <w:t>The table below gives the master data the waiver selection shall use.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43"/>
        <w:gridCol w:w="2294"/>
        <w:gridCol w:w="1270"/>
        <w:gridCol w:w="4253"/>
      </w:tblGrid>
      <w:tr w:rsidR="00F80961" w:rsidRPr="00C63A98" w14:paraId="3D7F2CB5" w14:textId="77777777" w:rsidTr="00C63A98">
        <w:trPr>
          <w:cantSplit/>
          <w:tblHeader/>
        </w:trPr>
        <w:tc>
          <w:tcPr>
            <w:tcW w:w="1543" w:type="dxa"/>
            <w:shd w:val="clear" w:color="auto" w:fill="2F5597"/>
          </w:tcPr>
          <w:p w14:paraId="57A85049" w14:textId="77777777" w:rsidR="00F80961" w:rsidRPr="00C63A98" w:rsidRDefault="00F80961" w:rsidP="00AA30D8">
            <w:pPr>
              <w:pStyle w:val="Tablehead1"/>
              <w:rPr>
                <w:rFonts w:ascii="Calibri" w:hAnsi="Calibri" w:cs="Calibri"/>
                <w:sz w:val="20"/>
              </w:rPr>
            </w:pPr>
            <w:r w:rsidRPr="00C63A98">
              <w:rPr>
                <w:rFonts w:ascii="Calibri" w:hAnsi="Calibri" w:cs="Calibri"/>
                <w:sz w:val="20"/>
              </w:rPr>
              <w:t>Master Data</w:t>
            </w:r>
          </w:p>
        </w:tc>
        <w:tc>
          <w:tcPr>
            <w:tcW w:w="2294" w:type="dxa"/>
            <w:shd w:val="clear" w:color="auto" w:fill="2F5597"/>
          </w:tcPr>
          <w:p w14:paraId="6F1CF10F" w14:textId="77777777" w:rsidR="00F80961" w:rsidRPr="00C63A98" w:rsidRDefault="00F80961" w:rsidP="00AA30D8">
            <w:pPr>
              <w:pStyle w:val="Tablehead1"/>
              <w:rPr>
                <w:rFonts w:ascii="Calibri" w:hAnsi="Calibri" w:cs="Calibri"/>
                <w:sz w:val="20"/>
              </w:rPr>
            </w:pPr>
            <w:r w:rsidRPr="00C63A98">
              <w:rPr>
                <w:rFonts w:ascii="Calibri" w:hAnsi="Calibri" w:cs="Calibri"/>
                <w:sz w:val="20"/>
              </w:rPr>
              <w:t>Description</w:t>
            </w:r>
          </w:p>
        </w:tc>
        <w:tc>
          <w:tcPr>
            <w:tcW w:w="1270" w:type="dxa"/>
            <w:shd w:val="clear" w:color="auto" w:fill="2F5597"/>
          </w:tcPr>
          <w:p w14:paraId="4458C5E8" w14:textId="77777777" w:rsidR="00F80961" w:rsidRPr="00C63A98" w:rsidRDefault="00F80961" w:rsidP="00AA30D8">
            <w:pPr>
              <w:pStyle w:val="Tablehead1"/>
              <w:rPr>
                <w:rFonts w:ascii="Calibri" w:hAnsi="Calibri" w:cs="Calibri"/>
                <w:sz w:val="20"/>
              </w:rPr>
            </w:pPr>
            <w:r w:rsidRPr="00C63A98">
              <w:rPr>
                <w:rFonts w:ascii="Calibri" w:hAnsi="Calibri" w:cs="Calibri"/>
                <w:sz w:val="20"/>
              </w:rPr>
              <w:t>Mapping Required</w:t>
            </w:r>
          </w:p>
        </w:tc>
        <w:tc>
          <w:tcPr>
            <w:tcW w:w="4253" w:type="dxa"/>
            <w:shd w:val="clear" w:color="auto" w:fill="2F5597"/>
          </w:tcPr>
          <w:p w14:paraId="1CAD400E" w14:textId="77777777" w:rsidR="00F80961" w:rsidRPr="00C63A98" w:rsidRDefault="00F80961" w:rsidP="00AA30D8">
            <w:pPr>
              <w:pStyle w:val="Tablehead1"/>
              <w:rPr>
                <w:rFonts w:ascii="Calibri" w:hAnsi="Calibri" w:cs="Calibri"/>
                <w:sz w:val="20"/>
              </w:rPr>
            </w:pPr>
            <w:r w:rsidRPr="00C63A98">
              <w:rPr>
                <w:rFonts w:ascii="Calibri" w:hAnsi="Calibri" w:cs="Calibri"/>
                <w:sz w:val="20"/>
              </w:rPr>
              <w:t>Comments</w:t>
            </w:r>
          </w:p>
        </w:tc>
      </w:tr>
      <w:tr w:rsidR="00F80961" w:rsidRPr="00C63A98" w14:paraId="0672752F" w14:textId="77777777" w:rsidTr="00C63A98">
        <w:trPr>
          <w:cantSplit/>
        </w:trPr>
        <w:tc>
          <w:tcPr>
            <w:tcW w:w="1543" w:type="dxa"/>
          </w:tcPr>
          <w:p w14:paraId="52E2EA81" w14:textId="75F2E595" w:rsidR="00F80961" w:rsidRPr="00C63A98" w:rsidRDefault="00F80961" w:rsidP="00AA30D8">
            <w:pPr>
              <w:pStyle w:val="Tabletext"/>
              <w:keepNext/>
              <w:rPr>
                <w:rFonts w:ascii="Calibri" w:hAnsi="Calibri" w:cs="Calibri"/>
                <w:sz w:val="20"/>
              </w:rPr>
            </w:pPr>
            <w:r>
              <w:rPr>
                <w:rFonts w:ascii="Calibri" w:hAnsi="Calibri" w:cs="Calibri"/>
                <w:sz w:val="20"/>
              </w:rPr>
              <w:t>Terminal</w:t>
            </w:r>
          </w:p>
        </w:tc>
        <w:tc>
          <w:tcPr>
            <w:tcW w:w="2294" w:type="dxa"/>
          </w:tcPr>
          <w:p w14:paraId="664B2D07" w14:textId="7CCC7B0A" w:rsidR="00F80961" w:rsidRPr="00C63A98" w:rsidRDefault="00F80961" w:rsidP="00AA30D8">
            <w:pPr>
              <w:pStyle w:val="Tabletext"/>
              <w:keepNext/>
              <w:rPr>
                <w:rFonts w:ascii="Calibri" w:hAnsi="Calibri" w:cs="Calibri"/>
                <w:sz w:val="20"/>
              </w:rPr>
            </w:pPr>
            <w:r>
              <w:rPr>
                <w:rFonts w:ascii="Calibri" w:hAnsi="Calibri" w:cs="Calibri"/>
                <w:sz w:val="20"/>
              </w:rPr>
              <w:t>PQ Spec Shop terminal master list</w:t>
            </w:r>
          </w:p>
        </w:tc>
        <w:tc>
          <w:tcPr>
            <w:tcW w:w="1270" w:type="dxa"/>
          </w:tcPr>
          <w:p w14:paraId="6D0B6166" w14:textId="4E53543E" w:rsidR="00F80961" w:rsidRPr="00C63A98" w:rsidRDefault="00F80961" w:rsidP="00AA30D8">
            <w:pPr>
              <w:pStyle w:val="Tabletext"/>
              <w:keepNext/>
              <w:rPr>
                <w:rFonts w:ascii="Calibri" w:hAnsi="Calibri" w:cs="Calibri"/>
                <w:sz w:val="20"/>
              </w:rPr>
            </w:pPr>
            <w:r>
              <w:rPr>
                <w:rFonts w:ascii="Calibri" w:hAnsi="Calibri" w:cs="Calibri"/>
                <w:sz w:val="20"/>
              </w:rPr>
              <w:t>Yes</w:t>
            </w:r>
          </w:p>
        </w:tc>
        <w:tc>
          <w:tcPr>
            <w:tcW w:w="4253" w:type="dxa"/>
          </w:tcPr>
          <w:p w14:paraId="68A4698F" w14:textId="6C36A639" w:rsidR="00F80961" w:rsidRPr="00C63A98" w:rsidRDefault="00F80961" w:rsidP="00AA30D8">
            <w:pPr>
              <w:pStyle w:val="Tabletext"/>
              <w:keepNext/>
              <w:rPr>
                <w:rFonts w:ascii="Calibri" w:hAnsi="Calibri" w:cs="Calibri"/>
                <w:sz w:val="20"/>
              </w:rPr>
            </w:pPr>
            <w:r>
              <w:rPr>
                <w:rFonts w:ascii="Calibri" w:hAnsi="Calibri" w:cs="Calibri"/>
                <w:sz w:val="20"/>
              </w:rPr>
              <w:t>Mapped to the Profisee location code</w:t>
            </w:r>
          </w:p>
        </w:tc>
      </w:tr>
      <w:tr w:rsidR="00F80961" w:rsidRPr="00C63A98" w14:paraId="337EB36D" w14:textId="77777777" w:rsidTr="00C63A98">
        <w:trPr>
          <w:cantSplit/>
        </w:trPr>
        <w:tc>
          <w:tcPr>
            <w:tcW w:w="1543" w:type="dxa"/>
          </w:tcPr>
          <w:p w14:paraId="70064491" w14:textId="49F5E26E" w:rsidR="00F80961" w:rsidRPr="00C63A98" w:rsidRDefault="00F80961" w:rsidP="00C63A98">
            <w:pPr>
              <w:pStyle w:val="Tabletext"/>
              <w:keepNext/>
              <w:rPr>
                <w:rFonts w:ascii="Calibri" w:hAnsi="Calibri" w:cs="Calibri"/>
                <w:sz w:val="20"/>
              </w:rPr>
            </w:pPr>
            <w:r>
              <w:rPr>
                <w:rFonts w:ascii="Calibri" w:hAnsi="Calibri" w:cs="Calibri"/>
                <w:sz w:val="20"/>
              </w:rPr>
              <w:t>Grade</w:t>
            </w:r>
          </w:p>
        </w:tc>
        <w:tc>
          <w:tcPr>
            <w:tcW w:w="2294" w:type="dxa"/>
          </w:tcPr>
          <w:p w14:paraId="3B816D3B" w14:textId="09B861DC" w:rsidR="00F80961" w:rsidRPr="00C63A98" w:rsidRDefault="00F80961" w:rsidP="00C63A98">
            <w:pPr>
              <w:pStyle w:val="Tabletext"/>
              <w:keepNext/>
              <w:rPr>
                <w:rFonts w:ascii="Calibri" w:hAnsi="Calibri" w:cs="Calibri"/>
                <w:sz w:val="20"/>
              </w:rPr>
            </w:pPr>
            <w:r>
              <w:rPr>
                <w:rFonts w:ascii="Calibri" w:hAnsi="Calibri" w:cs="Calibri"/>
                <w:sz w:val="20"/>
              </w:rPr>
              <w:t>PQ Spec Shop product master list</w:t>
            </w:r>
          </w:p>
        </w:tc>
        <w:tc>
          <w:tcPr>
            <w:tcW w:w="1270" w:type="dxa"/>
          </w:tcPr>
          <w:p w14:paraId="6F484254" w14:textId="64538D42" w:rsidR="00F80961" w:rsidRPr="00C63A98" w:rsidRDefault="00F80961" w:rsidP="00C63A98">
            <w:pPr>
              <w:pStyle w:val="Tabletext"/>
              <w:keepNext/>
              <w:rPr>
                <w:rFonts w:ascii="Calibri" w:hAnsi="Calibri" w:cs="Calibri"/>
                <w:sz w:val="20"/>
              </w:rPr>
            </w:pPr>
            <w:r>
              <w:rPr>
                <w:rFonts w:ascii="Calibri" w:hAnsi="Calibri" w:cs="Calibri"/>
                <w:sz w:val="20"/>
              </w:rPr>
              <w:t>Yes</w:t>
            </w:r>
          </w:p>
        </w:tc>
        <w:tc>
          <w:tcPr>
            <w:tcW w:w="4253" w:type="dxa"/>
          </w:tcPr>
          <w:p w14:paraId="42257ECF" w14:textId="7B1582B6" w:rsidR="00F80961" w:rsidRPr="00C63A98" w:rsidRDefault="00F80961" w:rsidP="00C63A98">
            <w:pPr>
              <w:pStyle w:val="Tabletext"/>
              <w:keepNext/>
              <w:rPr>
                <w:rFonts w:ascii="Calibri" w:hAnsi="Calibri" w:cs="Calibri"/>
                <w:sz w:val="20"/>
              </w:rPr>
            </w:pPr>
            <w:r>
              <w:rPr>
                <w:rFonts w:ascii="Calibri" w:hAnsi="Calibri" w:cs="Calibri"/>
                <w:sz w:val="20"/>
              </w:rPr>
              <w:t>Mapped to the Profisee product code</w:t>
            </w:r>
          </w:p>
        </w:tc>
      </w:tr>
      <w:tr w:rsidR="00F80961" w:rsidRPr="00C63A98" w14:paraId="3CB03B1E" w14:textId="77777777" w:rsidTr="00C63A98">
        <w:trPr>
          <w:cantSplit/>
        </w:trPr>
        <w:tc>
          <w:tcPr>
            <w:tcW w:w="1543" w:type="dxa"/>
          </w:tcPr>
          <w:p w14:paraId="1F0B63E1" w14:textId="03448784" w:rsidR="00F80961" w:rsidRPr="00C63A98" w:rsidRDefault="00F80961" w:rsidP="00C63A98">
            <w:pPr>
              <w:pStyle w:val="Tabletext"/>
              <w:keepNext/>
              <w:rPr>
                <w:rFonts w:ascii="Calibri" w:hAnsi="Calibri" w:cs="Calibri"/>
                <w:sz w:val="20"/>
              </w:rPr>
            </w:pPr>
            <w:r>
              <w:rPr>
                <w:rFonts w:ascii="Calibri" w:hAnsi="Calibri" w:cs="Calibri"/>
                <w:sz w:val="20"/>
              </w:rPr>
              <w:t>Quality</w:t>
            </w:r>
          </w:p>
        </w:tc>
        <w:tc>
          <w:tcPr>
            <w:tcW w:w="2294" w:type="dxa"/>
          </w:tcPr>
          <w:p w14:paraId="13037E77" w14:textId="770F8F1E" w:rsidR="00F80961" w:rsidRPr="00C63A98" w:rsidRDefault="00F80961" w:rsidP="00C63A98">
            <w:pPr>
              <w:pStyle w:val="Tabletext"/>
              <w:keepNext/>
              <w:rPr>
                <w:rFonts w:ascii="Calibri" w:hAnsi="Calibri" w:cs="Calibri"/>
                <w:sz w:val="20"/>
              </w:rPr>
            </w:pPr>
            <w:r>
              <w:rPr>
                <w:rFonts w:ascii="Calibri" w:hAnsi="Calibri" w:cs="Calibri"/>
                <w:sz w:val="20"/>
              </w:rPr>
              <w:t>PQ Spec Shop property master list</w:t>
            </w:r>
          </w:p>
        </w:tc>
        <w:tc>
          <w:tcPr>
            <w:tcW w:w="1270" w:type="dxa"/>
          </w:tcPr>
          <w:p w14:paraId="081758E6" w14:textId="2AF26CA3" w:rsidR="00F80961" w:rsidRPr="00C63A98" w:rsidRDefault="00F80961" w:rsidP="00C63A98">
            <w:pPr>
              <w:pStyle w:val="Tabletext"/>
              <w:keepNext/>
              <w:rPr>
                <w:rFonts w:ascii="Calibri" w:hAnsi="Calibri" w:cs="Calibri"/>
                <w:sz w:val="20"/>
              </w:rPr>
            </w:pPr>
            <w:r>
              <w:rPr>
                <w:rFonts w:ascii="Calibri" w:hAnsi="Calibri" w:cs="Calibri"/>
                <w:sz w:val="20"/>
              </w:rPr>
              <w:t>Yes</w:t>
            </w:r>
          </w:p>
        </w:tc>
        <w:tc>
          <w:tcPr>
            <w:tcW w:w="4253" w:type="dxa"/>
          </w:tcPr>
          <w:p w14:paraId="02BA35D7" w14:textId="313E61A3" w:rsidR="00F80961" w:rsidRDefault="00F80961" w:rsidP="00C63A98">
            <w:pPr>
              <w:pStyle w:val="Tabletext"/>
              <w:keepNext/>
              <w:rPr>
                <w:rFonts w:ascii="Calibri" w:hAnsi="Calibri" w:cs="Calibri"/>
                <w:sz w:val="20"/>
              </w:rPr>
            </w:pPr>
            <w:r>
              <w:rPr>
                <w:rFonts w:ascii="Calibri" w:hAnsi="Calibri" w:cs="Calibri"/>
                <w:sz w:val="20"/>
              </w:rPr>
              <w:t>Mapped to the Profisee quality code</w:t>
            </w:r>
          </w:p>
        </w:tc>
      </w:tr>
      <w:tr w:rsidR="00F80961" w:rsidRPr="00C63A98" w14:paraId="2238624B" w14:textId="77777777" w:rsidTr="00C63A98">
        <w:trPr>
          <w:cantSplit/>
        </w:trPr>
        <w:tc>
          <w:tcPr>
            <w:tcW w:w="1543" w:type="dxa"/>
          </w:tcPr>
          <w:p w14:paraId="64CEFE0C" w14:textId="41347B70" w:rsidR="00F80961" w:rsidRPr="00C63A98" w:rsidRDefault="00F80961" w:rsidP="00C63A98">
            <w:pPr>
              <w:pStyle w:val="Tabletext"/>
              <w:keepNext/>
              <w:rPr>
                <w:rFonts w:ascii="Calibri" w:hAnsi="Calibri" w:cs="Calibri"/>
                <w:sz w:val="20"/>
              </w:rPr>
            </w:pPr>
            <w:r>
              <w:rPr>
                <w:rFonts w:ascii="Calibri" w:hAnsi="Calibri" w:cs="Calibri"/>
                <w:sz w:val="20"/>
              </w:rPr>
              <w:t>Batch</w:t>
            </w:r>
          </w:p>
        </w:tc>
        <w:tc>
          <w:tcPr>
            <w:tcW w:w="2294" w:type="dxa"/>
          </w:tcPr>
          <w:p w14:paraId="73F4ECDF" w14:textId="15704DA2" w:rsidR="00F80961" w:rsidRPr="00C63A98" w:rsidRDefault="00F80961" w:rsidP="00C63A98">
            <w:pPr>
              <w:pStyle w:val="Tabletext"/>
              <w:keepNext/>
              <w:rPr>
                <w:rFonts w:ascii="Calibri" w:hAnsi="Calibri" w:cs="Calibri"/>
                <w:sz w:val="20"/>
              </w:rPr>
            </w:pPr>
            <w:r>
              <w:rPr>
                <w:rFonts w:ascii="Calibri" w:hAnsi="Calibri" w:cs="Calibri"/>
                <w:sz w:val="20"/>
              </w:rPr>
              <w:t>Batches in the IQDM movement data</w:t>
            </w:r>
          </w:p>
        </w:tc>
        <w:tc>
          <w:tcPr>
            <w:tcW w:w="1270" w:type="dxa"/>
          </w:tcPr>
          <w:p w14:paraId="1630110A" w14:textId="105F0071" w:rsidR="00F80961" w:rsidRPr="00C63A98" w:rsidRDefault="00F80961" w:rsidP="00C63A98">
            <w:pPr>
              <w:pStyle w:val="Tabletext"/>
              <w:keepNext/>
              <w:rPr>
                <w:rFonts w:ascii="Calibri" w:hAnsi="Calibri" w:cs="Calibri"/>
                <w:sz w:val="20"/>
              </w:rPr>
            </w:pPr>
            <w:r>
              <w:rPr>
                <w:rFonts w:ascii="Calibri" w:hAnsi="Calibri" w:cs="Calibri"/>
                <w:sz w:val="20"/>
              </w:rPr>
              <w:t>No</w:t>
            </w:r>
          </w:p>
        </w:tc>
        <w:tc>
          <w:tcPr>
            <w:tcW w:w="4253" w:type="dxa"/>
          </w:tcPr>
          <w:p w14:paraId="4D0A6102" w14:textId="27A0B88F" w:rsidR="00F80961" w:rsidRDefault="00F80961" w:rsidP="00C63A98">
            <w:pPr>
              <w:pStyle w:val="Tabletext"/>
              <w:keepNext/>
              <w:rPr>
                <w:rFonts w:ascii="Calibri" w:hAnsi="Calibri" w:cs="Calibri"/>
                <w:sz w:val="20"/>
              </w:rPr>
            </w:pPr>
            <w:r>
              <w:rPr>
                <w:rFonts w:ascii="Calibri" w:hAnsi="Calibri" w:cs="Calibri"/>
                <w:sz w:val="20"/>
              </w:rPr>
              <w:t>Read as held in the IQDM database</w:t>
            </w:r>
          </w:p>
        </w:tc>
      </w:tr>
    </w:tbl>
    <w:p w14:paraId="1EB6297A" w14:textId="20B5DC99" w:rsidR="00F80961" w:rsidRDefault="00F80961" w:rsidP="00F80961">
      <w:pPr>
        <w:pStyle w:val="Caption"/>
      </w:pPr>
      <w:bookmarkStart w:id="256" w:name="_Toc242554038"/>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40</w:t>
      </w:r>
      <w:r>
        <w:fldChar w:fldCharType="end"/>
      </w:r>
      <w:r>
        <w:t>: Master Data Entity - Waiver Selection</w:t>
      </w:r>
      <w:bookmarkEnd w:id="256"/>
    </w:p>
    <w:p w14:paraId="4AC7F5E8" w14:textId="2F61920C" w:rsidR="00687F84" w:rsidRDefault="00687F84" w:rsidP="00687F84">
      <w:pPr>
        <w:pStyle w:val="Heading6"/>
        <w:rPr>
          <w:rFonts w:ascii="Calibri" w:hAnsi="Calibri" w:cs="Calibri"/>
          <w:sz w:val="20"/>
        </w:rPr>
      </w:pPr>
      <w:r>
        <w:rPr>
          <w:rFonts w:ascii="Calibri" w:hAnsi="Calibri" w:cs="Calibri"/>
          <w:sz w:val="20"/>
        </w:rPr>
        <w:t>Waiver Selection Configuration</w:t>
      </w:r>
    </w:p>
    <w:p w14:paraId="0E6D602C" w14:textId="01A723AE" w:rsidR="00F80961" w:rsidRPr="0081216E" w:rsidRDefault="00F80961" w:rsidP="00FC42E7">
      <w:pPr>
        <w:keepNext/>
        <w:jc w:val="left"/>
        <w:rPr>
          <w:rFonts w:ascii="Calibri" w:hAnsi="Calibri" w:cs="Calibri"/>
        </w:rPr>
      </w:pPr>
      <w:r>
        <w:rPr>
          <w:rFonts w:ascii="Calibri" w:hAnsi="Calibri" w:cs="Calibri"/>
        </w:rPr>
        <w:t>The table below gives the settings of the waiver selection.</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0"/>
        <w:gridCol w:w="3556"/>
        <w:gridCol w:w="2434"/>
        <w:gridCol w:w="1310"/>
      </w:tblGrid>
      <w:tr w:rsidR="00F80961" w:rsidRPr="00C63A98" w14:paraId="428A32AD" w14:textId="77777777" w:rsidTr="00FA3AEE">
        <w:trPr>
          <w:cantSplit/>
          <w:tblHeader/>
        </w:trPr>
        <w:tc>
          <w:tcPr>
            <w:tcW w:w="2060" w:type="dxa"/>
            <w:shd w:val="clear" w:color="auto" w:fill="2F5597"/>
          </w:tcPr>
          <w:p w14:paraId="5B292A07" w14:textId="77777777" w:rsidR="00F80961" w:rsidRPr="00C63A98" w:rsidRDefault="00F80961" w:rsidP="00FA3AEE">
            <w:pPr>
              <w:pStyle w:val="Tablehead1"/>
              <w:keepNext w:val="0"/>
              <w:rPr>
                <w:rFonts w:ascii="Calibri" w:hAnsi="Calibri" w:cs="Calibri"/>
                <w:sz w:val="20"/>
              </w:rPr>
            </w:pPr>
            <w:r w:rsidRPr="00C63A98">
              <w:rPr>
                <w:rFonts w:ascii="Calibri" w:hAnsi="Calibri" w:cs="Calibri"/>
                <w:sz w:val="20"/>
              </w:rPr>
              <w:t>Configuration</w:t>
            </w:r>
          </w:p>
        </w:tc>
        <w:tc>
          <w:tcPr>
            <w:tcW w:w="3556" w:type="dxa"/>
            <w:shd w:val="clear" w:color="auto" w:fill="2F5597"/>
          </w:tcPr>
          <w:p w14:paraId="553E2755" w14:textId="77777777" w:rsidR="00F80961" w:rsidRPr="00C63A98" w:rsidRDefault="00F80961" w:rsidP="00FA3AEE">
            <w:pPr>
              <w:pStyle w:val="Tablehead1"/>
              <w:keepNext w:val="0"/>
              <w:rPr>
                <w:rFonts w:ascii="Calibri" w:hAnsi="Calibri" w:cs="Calibri"/>
                <w:sz w:val="20"/>
              </w:rPr>
            </w:pPr>
            <w:r w:rsidRPr="00C63A98">
              <w:rPr>
                <w:rFonts w:ascii="Calibri" w:hAnsi="Calibri" w:cs="Calibri"/>
                <w:sz w:val="20"/>
              </w:rPr>
              <w:t>Value</w:t>
            </w:r>
          </w:p>
        </w:tc>
        <w:tc>
          <w:tcPr>
            <w:tcW w:w="2434" w:type="dxa"/>
            <w:shd w:val="clear" w:color="auto" w:fill="2F5597"/>
          </w:tcPr>
          <w:p w14:paraId="4C77CB15" w14:textId="77777777" w:rsidR="00F80961" w:rsidRPr="00C63A98" w:rsidRDefault="00F80961" w:rsidP="00FA3AEE">
            <w:pPr>
              <w:pStyle w:val="Tablehead1"/>
              <w:keepNext w:val="0"/>
              <w:rPr>
                <w:rFonts w:ascii="Calibri" w:hAnsi="Calibri" w:cs="Calibri"/>
                <w:sz w:val="20"/>
              </w:rPr>
            </w:pPr>
            <w:r w:rsidRPr="00C63A98">
              <w:rPr>
                <w:rFonts w:ascii="Calibri" w:hAnsi="Calibri" w:cs="Calibri"/>
                <w:sz w:val="20"/>
              </w:rPr>
              <w:t>Description</w:t>
            </w:r>
          </w:p>
        </w:tc>
        <w:tc>
          <w:tcPr>
            <w:tcW w:w="1310" w:type="dxa"/>
            <w:shd w:val="clear" w:color="auto" w:fill="2F5597"/>
          </w:tcPr>
          <w:p w14:paraId="2AB6D15A" w14:textId="77777777" w:rsidR="00F80961" w:rsidRPr="00C63A98" w:rsidRDefault="00F80961" w:rsidP="00FA3AEE">
            <w:pPr>
              <w:pStyle w:val="Tablehead1"/>
              <w:keepNext w:val="0"/>
              <w:rPr>
                <w:rFonts w:ascii="Calibri" w:hAnsi="Calibri" w:cs="Calibri"/>
                <w:sz w:val="20"/>
              </w:rPr>
            </w:pPr>
            <w:r w:rsidRPr="00C63A98">
              <w:rPr>
                <w:rFonts w:ascii="Calibri" w:hAnsi="Calibri" w:cs="Calibri"/>
                <w:sz w:val="20"/>
              </w:rPr>
              <w:t>Location</w:t>
            </w:r>
          </w:p>
        </w:tc>
      </w:tr>
      <w:tr w:rsidR="00F80961" w:rsidRPr="00C63A98" w14:paraId="0F3248E4" w14:textId="77777777" w:rsidTr="00FA3AEE">
        <w:trPr>
          <w:cantSplit/>
        </w:trPr>
        <w:tc>
          <w:tcPr>
            <w:tcW w:w="2060" w:type="dxa"/>
          </w:tcPr>
          <w:p w14:paraId="4AC6ED8A" w14:textId="4E909B49" w:rsidR="00F80961" w:rsidRPr="00C63A98" w:rsidRDefault="00F80961" w:rsidP="00FA3AEE">
            <w:pPr>
              <w:pStyle w:val="Tabletext"/>
              <w:rPr>
                <w:rFonts w:ascii="Calibri" w:hAnsi="Calibri" w:cs="Calibri"/>
                <w:sz w:val="20"/>
              </w:rPr>
            </w:pPr>
            <w:r>
              <w:rPr>
                <w:rFonts w:ascii="Calibri" w:hAnsi="Calibri" w:cs="Calibri"/>
                <w:sz w:val="20"/>
              </w:rPr>
              <w:t>Waiver Request Service address</w:t>
            </w:r>
          </w:p>
        </w:tc>
        <w:tc>
          <w:tcPr>
            <w:tcW w:w="3556" w:type="dxa"/>
          </w:tcPr>
          <w:p w14:paraId="4C93A70A" w14:textId="1CA20E0C" w:rsidR="00F80961" w:rsidRPr="00C63A98" w:rsidRDefault="00F80961" w:rsidP="00FA3AEE">
            <w:pPr>
              <w:pStyle w:val="Tabletext"/>
              <w:rPr>
                <w:rFonts w:ascii="Calibri" w:hAnsi="Calibri" w:cs="Calibri"/>
                <w:sz w:val="20"/>
              </w:rPr>
            </w:pPr>
          </w:p>
        </w:tc>
        <w:tc>
          <w:tcPr>
            <w:tcW w:w="2434" w:type="dxa"/>
          </w:tcPr>
          <w:p w14:paraId="577C17A7" w14:textId="29EEEC9F" w:rsidR="00F80961" w:rsidRPr="00C63A98" w:rsidRDefault="00F80961" w:rsidP="00FA3AEE">
            <w:pPr>
              <w:pStyle w:val="Tabletext"/>
              <w:rPr>
                <w:rFonts w:ascii="Calibri" w:hAnsi="Calibri" w:cs="Calibri"/>
                <w:sz w:val="20"/>
              </w:rPr>
            </w:pPr>
            <w:r>
              <w:rPr>
                <w:rFonts w:ascii="Calibri" w:hAnsi="Calibri" w:cs="Calibri"/>
                <w:sz w:val="20"/>
              </w:rPr>
              <w:t>Address that the Core Capabilities UI shall call</w:t>
            </w:r>
          </w:p>
        </w:tc>
        <w:tc>
          <w:tcPr>
            <w:tcW w:w="1310" w:type="dxa"/>
          </w:tcPr>
          <w:p w14:paraId="4EA44685" w14:textId="6D3F8125" w:rsidR="00F80961" w:rsidRPr="00C63A98" w:rsidRDefault="004812A6" w:rsidP="00FA3AEE">
            <w:pPr>
              <w:pStyle w:val="Tabletext"/>
              <w:rPr>
                <w:rFonts w:ascii="Calibri" w:hAnsi="Calibri" w:cs="Calibri"/>
                <w:sz w:val="20"/>
              </w:rPr>
            </w:pPr>
            <w:r>
              <w:rPr>
                <w:rFonts w:ascii="Calibri" w:hAnsi="Calibri" w:cs="Calibri"/>
                <w:sz w:val="20"/>
              </w:rPr>
              <w:t>AppSettings of the Core Capabilities UI</w:t>
            </w:r>
          </w:p>
        </w:tc>
      </w:tr>
      <w:tr w:rsidR="00F80961" w:rsidRPr="00C63A98" w14:paraId="79AACEA5" w14:textId="77777777" w:rsidTr="00FA3AEE">
        <w:trPr>
          <w:cantSplit/>
        </w:trPr>
        <w:tc>
          <w:tcPr>
            <w:tcW w:w="2060" w:type="dxa"/>
          </w:tcPr>
          <w:p w14:paraId="17230DE0" w14:textId="0FD0EAE9" w:rsidR="00F80961" w:rsidRPr="00C63A98" w:rsidRDefault="00F80961" w:rsidP="00FA3AEE">
            <w:pPr>
              <w:pStyle w:val="Tabletext"/>
              <w:rPr>
                <w:rFonts w:ascii="Calibri" w:hAnsi="Calibri" w:cs="Calibri"/>
                <w:sz w:val="20"/>
              </w:rPr>
            </w:pPr>
            <w:r>
              <w:rPr>
                <w:rFonts w:ascii="Calibri" w:hAnsi="Calibri" w:cs="Calibri"/>
                <w:sz w:val="20"/>
              </w:rPr>
              <w:t>Waiver Response Service address</w:t>
            </w:r>
          </w:p>
        </w:tc>
        <w:tc>
          <w:tcPr>
            <w:tcW w:w="3556" w:type="dxa"/>
          </w:tcPr>
          <w:p w14:paraId="36D802F2" w14:textId="5CD0A690" w:rsidR="00F80961" w:rsidRPr="00C63A98" w:rsidRDefault="00F80961" w:rsidP="00FA3AEE">
            <w:pPr>
              <w:pStyle w:val="Tabletext"/>
              <w:rPr>
                <w:rFonts w:ascii="Calibri" w:hAnsi="Calibri" w:cs="Calibri"/>
                <w:sz w:val="20"/>
              </w:rPr>
            </w:pPr>
          </w:p>
        </w:tc>
        <w:tc>
          <w:tcPr>
            <w:tcW w:w="2434" w:type="dxa"/>
          </w:tcPr>
          <w:p w14:paraId="17F5DD13" w14:textId="241C9E85" w:rsidR="00F80961" w:rsidRPr="00C63A98" w:rsidRDefault="009C3F56" w:rsidP="00FA3AEE">
            <w:pPr>
              <w:pStyle w:val="Tabletext"/>
              <w:rPr>
                <w:rFonts w:ascii="Calibri" w:hAnsi="Calibri" w:cs="Calibri"/>
                <w:sz w:val="20"/>
              </w:rPr>
            </w:pPr>
            <w:r>
              <w:rPr>
                <w:rFonts w:ascii="Calibri" w:hAnsi="Calibri" w:cs="Calibri"/>
                <w:sz w:val="20"/>
              </w:rPr>
              <w:t>Address of POST api/v1/Waiver/GetWaiverFromSource of the CIP Quality domain API</w:t>
            </w:r>
            <w:r w:rsidR="00D87FC6">
              <w:rPr>
                <w:rFonts w:ascii="Calibri" w:hAnsi="Calibri" w:cs="Calibri"/>
                <w:sz w:val="20"/>
              </w:rPr>
              <w:t>.</w:t>
            </w:r>
          </w:p>
        </w:tc>
        <w:tc>
          <w:tcPr>
            <w:tcW w:w="1310" w:type="dxa"/>
          </w:tcPr>
          <w:p w14:paraId="4E2EEF9A" w14:textId="14DEADD8" w:rsidR="00F80961" w:rsidRPr="00C63A98" w:rsidRDefault="004812A6" w:rsidP="00FA3AEE">
            <w:pPr>
              <w:pStyle w:val="Tabletext"/>
              <w:rPr>
                <w:rFonts w:ascii="Calibri" w:hAnsi="Calibri" w:cs="Calibri"/>
                <w:sz w:val="20"/>
              </w:rPr>
            </w:pPr>
            <w:r>
              <w:rPr>
                <w:rFonts w:ascii="Calibri" w:hAnsi="Calibri" w:cs="Calibri"/>
                <w:sz w:val="20"/>
              </w:rPr>
              <w:t>AppSettings</w:t>
            </w:r>
          </w:p>
        </w:tc>
      </w:tr>
      <w:tr w:rsidR="00F80961" w:rsidRPr="00C63A98" w14:paraId="602FC965" w14:textId="77777777" w:rsidTr="00FA3AEE">
        <w:trPr>
          <w:cantSplit/>
        </w:trPr>
        <w:tc>
          <w:tcPr>
            <w:tcW w:w="2060" w:type="dxa"/>
          </w:tcPr>
          <w:p w14:paraId="7F1F11A1" w14:textId="6B44A2B9" w:rsidR="00F80961" w:rsidRDefault="00140DC0" w:rsidP="00140DC0">
            <w:pPr>
              <w:pStyle w:val="Tabletext"/>
              <w:keepNext/>
              <w:rPr>
                <w:rFonts w:ascii="Calibri" w:hAnsi="Calibri" w:cs="Calibri"/>
                <w:sz w:val="20"/>
              </w:rPr>
            </w:pPr>
            <w:r>
              <w:rPr>
                <w:rFonts w:ascii="Calibri" w:hAnsi="Calibri" w:cs="Calibri"/>
                <w:sz w:val="20"/>
              </w:rPr>
              <w:t>Save Stored Procedure</w:t>
            </w:r>
          </w:p>
        </w:tc>
        <w:tc>
          <w:tcPr>
            <w:tcW w:w="3556" w:type="dxa"/>
          </w:tcPr>
          <w:p w14:paraId="65F43EB4" w14:textId="04EA4BEE" w:rsidR="00F80961" w:rsidRDefault="00F80961" w:rsidP="00140DC0">
            <w:pPr>
              <w:pStyle w:val="Tabletext"/>
              <w:keepNext/>
              <w:rPr>
                <w:rFonts w:ascii="Calibri" w:hAnsi="Calibri" w:cs="Calibri"/>
                <w:sz w:val="20"/>
              </w:rPr>
            </w:pPr>
          </w:p>
        </w:tc>
        <w:tc>
          <w:tcPr>
            <w:tcW w:w="2434" w:type="dxa"/>
          </w:tcPr>
          <w:p w14:paraId="66166AE9" w14:textId="71D94C65" w:rsidR="00F80961" w:rsidRDefault="00F80961" w:rsidP="00140DC0">
            <w:pPr>
              <w:pStyle w:val="Tabletext"/>
              <w:keepNext/>
              <w:rPr>
                <w:rFonts w:ascii="Calibri" w:hAnsi="Calibri" w:cs="Calibri"/>
                <w:sz w:val="20"/>
              </w:rPr>
            </w:pPr>
            <w:r>
              <w:rPr>
                <w:rFonts w:ascii="Calibri" w:hAnsi="Calibri" w:cs="Calibri"/>
                <w:sz w:val="20"/>
              </w:rPr>
              <w:t>Stored procedure of the database team that saves the waivers</w:t>
            </w:r>
          </w:p>
        </w:tc>
        <w:tc>
          <w:tcPr>
            <w:tcW w:w="1310" w:type="dxa"/>
          </w:tcPr>
          <w:p w14:paraId="05105F97" w14:textId="6E15931F" w:rsidR="00F80961" w:rsidRDefault="004812A6" w:rsidP="00140DC0">
            <w:pPr>
              <w:pStyle w:val="Tabletext"/>
              <w:keepNext/>
              <w:rPr>
                <w:rFonts w:ascii="Calibri" w:hAnsi="Calibri" w:cs="Calibri"/>
                <w:sz w:val="20"/>
              </w:rPr>
            </w:pPr>
            <w:r>
              <w:rPr>
                <w:rFonts w:ascii="Calibri" w:hAnsi="Calibri" w:cs="Calibri"/>
                <w:sz w:val="20"/>
              </w:rPr>
              <w:t>AppSettings</w:t>
            </w:r>
          </w:p>
        </w:tc>
      </w:tr>
      <w:tr w:rsidR="009C3F56" w:rsidRPr="00C63A98" w14:paraId="02B4492A" w14:textId="77777777" w:rsidTr="00FA3AEE">
        <w:trPr>
          <w:cantSplit/>
        </w:trPr>
        <w:tc>
          <w:tcPr>
            <w:tcW w:w="2060" w:type="dxa"/>
          </w:tcPr>
          <w:p w14:paraId="37047779" w14:textId="5967896D" w:rsidR="009C3F56" w:rsidRDefault="009C3F56" w:rsidP="00140DC0">
            <w:pPr>
              <w:pStyle w:val="Tabletext"/>
              <w:keepNext/>
              <w:rPr>
                <w:rFonts w:ascii="Calibri" w:hAnsi="Calibri" w:cs="Calibri"/>
                <w:sz w:val="20"/>
              </w:rPr>
            </w:pPr>
            <w:r>
              <w:rPr>
                <w:rFonts w:ascii="Calibri" w:hAnsi="Calibri" w:cs="Calibri"/>
                <w:sz w:val="20"/>
              </w:rPr>
              <w:t>Terminals Read Stored Procedure</w:t>
            </w:r>
          </w:p>
        </w:tc>
        <w:tc>
          <w:tcPr>
            <w:tcW w:w="3556" w:type="dxa"/>
          </w:tcPr>
          <w:p w14:paraId="416840FD" w14:textId="77777777" w:rsidR="009C3F56" w:rsidRDefault="009C3F56" w:rsidP="00140DC0">
            <w:pPr>
              <w:pStyle w:val="Tabletext"/>
              <w:keepNext/>
              <w:rPr>
                <w:rFonts w:ascii="Calibri" w:hAnsi="Calibri" w:cs="Calibri"/>
                <w:sz w:val="20"/>
              </w:rPr>
            </w:pPr>
          </w:p>
        </w:tc>
        <w:tc>
          <w:tcPr>
            <w:tcW w:w="2434" w:type="dxa"/>
          </w:tcPr>
          <w:p w14:paraId="5791F031" w14:textId="74100B24" w:rsidR="009C3F56" w:rsidRDefault="009C3F56" w:rsidP="00140DC0">
            <w:pPr>
              <w:pStyle w:val="Tabletext"/>
              <w:keepNext/>
              <w:rPr>
                <w:rFonts w:ascii="Calibri" w:hAnsi="Calibri" w:cs="Calibri"/>
                <w:sz w:val="20"/>
              </w:rPr>
            </w:pPr>
            <w:r>
              <w:rPr>
                <w:rFonts w:ascii="Calibri" w:hAnsi="Calibri" w:cs="Calibri"/>
                <w:sz w:val="20"/>
              </w:rPr>
              <w:t>Stored procedure of the database team that reads the terminals of the PQ Spec Shop terminal master list</w:t>
            </w:r>
          </w:p>
        </w:tc>
        <w:tc>
          <w:tcPr>
            <w:tcW w:w="1310" w:type="dxa"/>
          </w:tcPr>
          <w:p w14:paraId="14B8702E" w14:textId="26884E2E" w:rsidR="009C3F56" w:rsidRDefault="009C3F56" w:rsidP="00140DC0">
            <w:pPr>
              <w:pStyle w:val="Tabletext"/>
              <w:keepNext/>
              <w:rPr>
                <w:rFonts w:ascii="Calibri" w:hAnsi="Calibri" w:cs="Calibri"/>
                <w:sz w:val="20"/>
              </w:rPr>
            </w:pPr>
            <w:r>
              <w:rPr>
                <w:rFonts w:ascii="Calibri" w:hAnsi="Calibri" w:cs="Calibri"/>
                <w:sz w:val="20"/>
              </w:rPr>
              <w:t>AppSettings</w:t>
            </w:r>
          </w:p>
        </w:tc>
      </w:tr>
      <w:tr w:rsidR="009C3F56" w:rsidRPr="00C63A98" w14:paraId="7D77AE7D" w14:textId="77777777" w:rsidTr="00FA3AEE">
        <w:trPr>
          <w:cantSplit/>
        </w:trPr>
        <w:tc>
          <w:tcPr>
            <w:tcW w:w="2060" w:type="dxa"/>
          </w:tcPr>
          <w:p w14:paraId="36617222" w14:textId="736DF3B5" w:rsidR="009C3F56" w:rsidRDefault="009C3F56" w:rsidP="00140DC0">
            <w:pPr>
              <w:pStyle w:val="Tabletext"/>
              <w:keepNext/>
              <w:rPr>
                <w:rFonts w:ascii="Calibri" w:hAnsi="Calibri" w:cs="Calibri"/>
                <w:sz w:val="20"/>
              </w:rPr>
            </w:pPr>
            <w:r>
              <w:rPr>
                <w:rFonts w:ascii="Calibri" w:hAnsi="Calibri" w:cs="Calibri"/>
                <w:sz w:val="20"/>
              </w:rPr>
              <w:t>Grades Read Stored Procedure</w:t>
            </w:r>
          </w:p>
        </w:tc>
        <w:tc>
          <w:tcPr>
            <w:tcW w:w="3556" w:type="dxa"/>
          </w:tcPr>
          <w:p w14:paraId="53644F9A" w14:textId="77777777" w:rsidR="009C3F56" w:rsidRDefault="009C3F56" w:rsidP="00140DC0">
            <w:pPr>
              <w:pStyle w:val="Tabletext"/>
              <w:keepNext/>
              <w:rPr>
                <w:rFonts w:ascii="Calibri" w:hAnsi="Calibri" w:cs="Calibri"/>
                <w:sz w:val="20"/>
              </w:rPr>
            </w:pPr>
          </w:p>
        </w:tc>
        <w:tc>
          <w:tcPr>
            <w:tcW w:w="2434" w:type="dxa"/>
          </w:tcPr>
          <w:p w14:paraId="4A4EAB33" w14:textId="5C2B6229" w:rsidR="009C3F56" w:rsidRDefault="009C3F56" w:rsidP="00140DC0">
            <w:pPr>
              <w:pStyle w:val="Tabletext"/>
              <w:keepNext/>
              <w:rPr>
                <w:rFonts w:ascii="Calibri" w:hAnsi="Calibri" w:cs="Calibri"/>
                <w:sz w:val="20"/>
              </w:rPr>
            </w:pPr>
            <w:r>
              <w:rPr>
                <w:rFonts w:ascii="Calibri" w:hAnsi="Calibri" w:cs="Calibri"/>
                <w:sz w:val="20"/>
              </w:rPr>
              <w:t>Stored procedure of the database team that reads the grades of the PQ Spec Shop product master list</w:t>
            </w:r>
          </w:p>
        </w:tc>
        <w:tc>
          <w:tcPr>
            <w:tcW w:w="1310" w:type="dxa"/>
          </w:tcPr>
          <w:p w14:paraId="470A9EB7" w14:textId="07619F08" w:rsidR="009C3F56" w:rsidRDefault="009C3F56" w:rsidP="00140DC0">
            <w:pPr>
              <w:pStyle w:val="Tabletext"/>
              <w:keepNext/>
              <w:rPr>
                <w:rFonts w:ascii="Calibri" w:hAnsi="Calibri" w:cs="Calibri"/>
                <w:sz w:val="20"/>
              </w:rPr>
            </w:pPr>
            <w:r>
              <w:rPr>
                <w:rFonts w:ascii="Calibri" w:hAnsi="Calibri" w:cs="Calibri"/>
                <w:sz w:val="20"/>
              </w:rPr>
              <w:t>AppSettings</w:t>
            </w:r>
          </w:p>
        </w:tc>
      </w:tr>
      <w:tr w:rsidR="009C3F56" w:rsidRPr="00C63A98" w14:paraId="6D2CCEA7" w14:textId="77777777" w:rsidTr="00FA3AEE">
        <w:trPr>
          <w:cantSplit/>
        </w:trPr>
        <w:tc>
          <w:tcPr>
            <w:tcW w:w="2060" w:type="dxa"/>
          </w:tcPr>
          <w:p w14:paraId="2C365F32" w14:textId="6B00DEBE" w:rsidR="009C3F56" w:rsidRDefault="009C3F56" w:rsidP="00140DC0">
            <w:pPr>
              <w:pStyle w:val="Tabletext"/>
              <w:keepNext/>
              <w:rPr>
                <w:rFonts w:ascii="Calibri" w:hAnsi="Calibri" w:cs="Calibri"/>
                <w:sz w:val="20"/>
              </w:rPr>
            </w:pPr>
            <w:r>
              <w:rPr>
                <w:rFonts w:ascii="Calibri" w:hAnsi="Calibri" w:cs="Calibri"/>
                <w:sz w:val="20"/>
              </w:rPr>
              <w:t>Batch IDs Read Stored Procedure</w:t>
            </w:r>
          </w:p>
        </w:tc>
        <w:tc>
          <w:tcPr>
            <w:tcW w:w="3556" w:type="dxa"/>
          </w:tcPr>
          <w:p w14:paraId="3CEED695" w14:textId="77777777" w:rsidR="009C3F56" w:rsidRDefault="009C3F56" w:rsidP="00140DC0">
            <w:pPr>
              <w:pStyle w:val="Tabletext"/>
              <w:keepNext/>
              <w:rPr>
                <w:rFonts w:ascii="Calibri" w:hAnsi="Calibri" w:cs="Calibri"/>
                <w:sz w:val="20"/>
              </w:rPr>
            </w:pPr>
          </w:p>
        </w:tc>
        <w:tc>
          <w:tcPr>
            <w:tcW w:w="2434" w:type="dxa"/>
          </w:tcPr>
          <w:p w14:paraId="31AAEEAB" w14:textId="1B6E0574" w:rsidR="009C3F56" w:rsidRDefault="009C3F56" w:rsidP="00140DC0">
            <w:pPr>
              <w:pStyle w:val="Tabletext"/>
              <w:keepNext/>
              <w:rPr>
                <w:rFonts w:ascii="Calibri" w:hAnsi="Calibri" w:cs="Calibri"/>
                <w:sz w:val="20"/>
              </w:rPr>
            </w:pPr>
            <w:r>
              <w:rPr>
                <w:rFonts w:ascii="Calibri" w:hAnsi="Calibri" w:cs="Calibri"/>
                <w:sz w:val="20"/>
              </w:rPr>
              <w:t>Stored procedure of the database team that reads the batch IDs of the IQDM movement data</w:t>
            </w:r>
          </w:p>
        </w:tc>
        <w:tc>
          <w:tcPr>
            <w:tcW w:w="1310" w:type="dxa"/>
          </w:tcPr>
          <w:p w14:paraId="0592D61D" w14:textId="66D3F24E" w:rsidR="009C3F56" w:rsidRDefault="009C3F56" w:rsidP="00140DC0">
            <w:pPr>
              <w:pStyle w:val="Tabletext"/>
              <w:keepNext/>
              <w:rPr>
                <w:rFonts w:ascii="Calibri" w:hAnsi="Calibri" w:cs="Calibri"/>
                <w:sz w:val="20"/>
              </w:rPr>
            </w:pPr>
            <w:r>
              <w:rPr>
                <w:rFonts w:ascii="Calibri" w:hAnsi="Calibri" w:cs="Calibri"/>
                <w:sz w:val="20"/>
              </w:rPr>
              <w:t>AppSettings</w:t>
            </w:r>
          </w:p>
        </w:tc>
      </w:tr>
      <w:tr w:rsidR="009C3F56" w:rsidRPr="00C63A98" w14:paraId="16D31A25" w14:textId="77777777" w:rsidTr="00FA3AEE">
        <w:trPr>
          <w:cantSplit/>
        </w:trPr>
        <w:tc>
          <w:tcPr>
            <w:tcW w:w="2060" w:type="dxa"/>
          </w:tcPr>
          <w:p w14:paraId="16DFAC94" w14:textId="3B9EC586" w:rsidR="009C3F56" w:rsidRDefault="009C3F56" w:rsidP="00140DC0">
            <w:pPr>
              <w:pStyle w:val="Tabletext"/>
              <w:keepNext/>
              <w:rPr>
                <w:rFonts w:ascii="Calibri" w:hAnsi="Calibri" w:cs="Calibri"/>
                <w:sz w:val="20"/>
              </w:rPr>
            </w:pPr>
            <w:r>
              <w:rPr>
                <w:rFonts w:ascii="Calibri" w:hAnsi="Calibri" w:cs="Calibri"/>
                <w:sz w:val="20"/>
              </w:rPr>
              <w:t>Batch Detail Read Stored Procedure</w:t>
            </w:r>
          </w:p>
        </w:tc>
        <w:tc>
          <w:tcPr>
            <w:tcW w:w="3556" w:type="dxa"/>
          </w:tcPr>
          <w:p w14:paraId="1DEC55FA" w14:textId="77777777" w:rsidR="009C3F56" w:rsidRDefault="009C3F56" w:rsidP="00140DC0">
            <w:pPr>
              <w:pStyle w:val="Tabletext"/>
              <w:keepNext/>
              <w:rPr>
                <w:rFonts w:ascii="Calibri" w:hAnsi="Calibri" w:cs="Calibri"/>
                <w:sz w:val="20"/>
              </w:rPr>
            </w:pPr>
          </w:p>
        </w:tc>
        <w:tc>
          <w:tcPr>
            <w:tcW w:w="2434" w:type="dxa"/>
          </w:tcPr>
          <w:p w14:paraId="0EAB11BE" w14:textId="550C757A" w:rsidR="009C3F56" w:rsidRDefault="009C3F56" w:rsidP="00140DC0">
            <w:pPr>
              <w:pStyle w:val="Tabletext"/>
              <w:keepNext/>
              <w:rPr>
                <w:rFonts w:ascii="Calibri" w:hAnsi="Calibri" w:cs="Calibri"/>
                <w:sz w:val="20"/>
              </w:rPr>
            </w:pPr>
            <w:r>
              <w:rPr>
                <w:rFonts w:ascii="Calibri" w:hAnsi="Calibri" w:cs="Calibri"/>
                <w:sz w:val="20"/>
              </w:rPr>
              <w:t>Stored procedure of the database team that reads the grade, source refinery, destination terminal and ETA of a batch</w:t>
            </w:r>
          </w:p>
        </w:tc>
        <w:tc>
          <w:tcPr>
            <w:tcW w:w="1310" w:type="dxa"/>
          </w:tcPr>
          <w:p w14:paraId="53D46929" w14:textId="5A03B451" w:rsidR="009C3F56" w:rsidRDefault="009C3F56" w:rsidP="00140DC0">
            <w:pPr>
              <w:pStyle w:val="Tabletext"/>
              <w:keepNext/>
              <w:rPr>
                <w:rFonts w:ascii="Calibri" w:hAnsi="Calibri" w:cs="Calibri"/>
                <w:sz w:val="20"/>
              </w:rPr>
            </w:pPr>
            <w:r>
              <w:rPr>
                <w:rFonts w:ascii="Calibri" w:hAnsi="Calibri" w:cs="Calibri"/>
                <w:sz w:val="20"/>
              </w:rPr>
              <w:t>AppSettings</w:t>
            </w:r>
          </w:p>
        </w:tc>
      </w:tr>
      <w:tr w:rsidR="009C3F56" w:rsidRPr="00C63A98" w14:paraId="3D75F438" w14:textId="77777777" w:rsidTr="00FA3AEE">
        <w:trPr>
          <w:cantSplit/>
        </w:trPr>
        <w:tc>
          <w:tcPr>
            <w:tcW w:w="2060" w:type="dxa"/>
          </w:tcPr>
          <w:p w14:paraId="70E3F789" w14:textId="7126CA5A" w:rsidR="009C3F56" w:rsidRDefault="009C3F56" w:rsidP="00140DC0">
            <w:pPr>
              <w:pStyle w:val="Tabletext"/>
              <w:keepNext/>
              <w:rPr>
                <w:rFonts w:ascii="Calibri" w:hAnsi="Calibri" w:cs="Calibri"/>
                <w:sz w:val="20"/>
              </w:rPr>
            </w:pPr>
            <w:r>
              <w:rPr>
                <w:rFonts w:ascii="Calibri" w:hAnsi="Calibri" w:cs="Calibri"/>
                <w:sz w:val="20"/>
              </w:rPr>
              <w:t>Specification Read Stored Procedure</w:t>
            </w:r>
          </w:p>
        </w:tc>
        <w:tc>
          <w:tcPr>
            <w:tcW w:w="3556" w:type="dxa"/>
          </w:tcPr>
          <w:p w14:paraId="749C2A9E" w14:textId="77777777" w:rsidR="009C3F56" w:rsidRDefault="009C3F56" w:rsidP="00140DC0">
            <w:pPr>
              <w:pStyle w:val="Tabletext"/>
              <w:keepNext/>
              <w:rPr>
                <w:rFonts w:ascii="Calibri" w:hAnsi="Calibri" w:cs="Calibri"/>
                <w:sz w:val="20"/>
              </w:rPr>
            </w:pPr>
          </w:p>
        </w:tc>
        <w:tc>
          <w:tcPr>
            <w:tcW w:w="2434" w:type="dxa"/>
          </w:tcPr>
          <w:p w14:paraId="261BE650" w14:textId="782DDFDE" w:rsidR="009C3F56" w:rsidRDefault="009C3F56" w:rsidP="00140DC0">
            <w:pPr>
              <w:pStyle w:val="Tabletext"/>
              <w:keepNext/>
              <w:rPr>
                <w:rFonts w:ascii="Calibri" w:hAnsi="Calibri" w:cs="Calibri"/>
                <w:sz w:val="20"/>
              </w:rPr>
            </w:pPr>
            <w:r>
              <w:rPr>
                <w:rFonts w:ascii="Calibri" w:hAnsi="Calibri" w:cs="Calibri"/>
                <w:sz w:val="20"/>
              </w:rPr>
              <w:t>Stored procedure of the database team that reads the specification rows of a terminal and grade, or of a batch</w:t>
            </w:r>
          </w:p>
        </w:tc>
        <w:tc>
          <w:tcPr>
            <w:tcW w:w="1310" w:type="dxa"/>
          </w:tcPr>
          <w:p w14:paraId="175F48BB" w14:textId="12F24D8C" w:rsidR="009C3F56" w:rsidRDefault="009C3F56" w:rsidP="00140DC0">
            <w:pPr>
              <w:pStyle w:val="Tabletext"/>
              <w:keepNext/>
              <w:rPr>
                <w:rFonts w:ascii="Calibri" w:hAnsi="Calibri" w:cs="Calibri"/>
                <w:sz w:val="20"/>
              </w:rPr>
            </w:pPr>
            <w:r>
              <w:rPr>
                <w:rFonts w:ascii="Calibri" w:hAnsi="Calibri" w:cs="Calibri"/>
                <w:sz w:val="20"/>
              </w:rPr>
              <w:t>AppSettings</w:t>
            </w:r>
          </w:p>
        </w:tc>
      </w:tr>
    </w:tbl>
    <w:p w14:paraId="041071F5" w14:textId="199AA0D3" w:rsidR="00F80961" w:rsidRDefault="00F80961" w:rsidP="00F80961">
      <w:pPr>
        <w:pStyle w:val="Caption"/>
      </w:pPr>
      <w:bookmarkStart w:id="257" w:name="_Toc242554039"/>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41</w:t>
      </w:r>
      <w:r>
        <w:fldChar w:fldCharType="end"/>
      </w:r>
      <w:r>
        <w:t xml:space="preserve">: </w:t>
      </w:r>
      <w:r w:rsidR="00140DC0">
        <w:t>Waiver Selection - Configuration</w:t>
      </w:r>
      <w:bookmarkEnd w:id="257"/>
    </w:p>
    <w:p w14:paraId="20A31E60" w14:textId="7E27ECAF" w:rsidR="00EB32E8" w:rsidRDefault="00687F84" w:rsidP="00EB32E8">
      <w:pPr>
        <w:pStyle w:val="Heading5"/>
        <w:rPr>
          <w:rFonts w:ascii="Calibri" w:hAnsi="Calibri" w:cs="Calibri"/>
          <w:sz w:val="20"/>
        </w:rPr>
      </w:pPr>
      <w:bookmarkStart w:id="258" w:name="_Ref917260916"/>
      <w:r>
        <w:rPr>
          <w:rFonts w:ascii="Calibri" w:hAnsi="Calibri" w:cs="Calibri"/>
          <w:sz w:val="20"/>
        </w:rPr>
        <w:t>Profisee Data Mapping</w:t>
      </w:r>
      <w:bookmarkEnd w:id="258"/>
    </w:p>
    <w:p w14:paraId="3EFA473A" w14:textId="53AB5D00" w:rsidR="00FC42E7" w:rsidRPr="0081216E" w:rsidRDefault="00FC42E7" w:rsidP="00FC42E7">
      <w:pPr>
        <w:keepNext/>
        <w:jc w:val="left"/>
        <w:rPr>
          <w:rFonts w:ascii="Calibri" w:hAnsi="Calibri" w:cs="Calibri"/>
        </w:rPr>
      </w:pPr>
      <w:r>
        <w:rPr>
          <w:rFonts w:ascii="Calibri" w:hAnsi="Calibri" w:cs="Calibri"/>
        </w:rPr>
        <w:t>The Profisee data mapping shall carry the Terminals Specsheet Master Data from Profisee into the IQDM database:</w:t>
      </w:r>
    </w:p>
    <w:p w14:paraId="71062F78" w14:textId="6EF47194" w:rsidR="00FC42E7" w:rsidRPr="00EC3682" w:rsidRDefault="00FC42E7" w:rsidP="00FC42E7">
      <w:pPr>
        <w:pStyle w:val="ListParagraph"/>
        <w:numPr>
          <w:ilvl w:val="0"/>
          <w:numId w:val="4"/>
        </w:numPr>
        <w:jc w:val="left"/>
        <w:rPr>
          <w:rFonts w:ascii="Calibri" w:hAnsi="Calibri" w:cs="Calibri"/>
        </w:rPr>
      </w:pPr>
      <w:r>
        <w:t>For each source refinery and product, the data shall name the specification sheet and the destination terminals that the sheet applies to.</w:t>
      </w:r>
    </w:p>
    <w:p w14:paraId="0FF35C9B" w14:textId="2225DD07" w:rsidR="00FC42E7" w:rsidRPr="00EC3682" w:rsidRDefault="00FC42E7" w:rsidP="00FC42E7">
      <w:pPr>
        <w:pStyle w:val="ListParagraph"/>
        <w:numPr>
          <w:ilvl w:val="0"/>
          <w:numId w:val="4"/>
        </w:numPr>
        <w:jc w:val="left"/>
        <w:rPr>
          <w:rFonts w:ascii="Calibri" w:hAnsi="Calibri" w:cs="Calibri"/>
        </w:rPr>
      </w:pPr>
      <w:r>
        <w:t>The waiver selection shall use the data to find the specification sheet for a refinery, a product and a terminal.</w:t>
      </w:r>
    </w:p>
    <w:p w14:paraId="4C567096" w14:textId="060641C7" w:rsidR="00FC42E7" w:rsidRPr="00EC3682" w:rsidRDefault="00FC42E7" w:rsidP="00FC42E7">
      <w:pPr>
        <w:pStyle w:val="ListParagraph"/>
        <w:numPr>
          <w:ilvl w:val="0"/>
          <w:numId w:val="4"/>
        </w:numPr>
        <w:jc w:val="left"/>
        <w:rPr>
          <w:rFonts w:ascii="Calibri" w:hAnsi="Calibri" w:cs="Calibri"/>
        </w:rPr>
      </w:pPr>
      <w:r>
        <w:t>The Profisee data mapping shall run every day at a specified time.</w:t>
      </w:r>
    </w:p>
    <w:p w14:paraId="233A9A7B" w14:textId="679BF522" w:rsidR="00FC42E7" w:rsidRPr="00EC3682" w:rsidRDefault="00FC42E7" w:rsidP="00FC42E7">
      <w:pPr>
        <w:pStyle w:val="ListParagraph"/>
        <w:numPr>
          <w:ilvl w:val="0"/>
          <w:numId w:val="4"/>
        </w:numPr>
        <w:jc w:val="left"/>
        <w:rPr>
          <w:rFonts w:ascii="Calibri" w:hAnsi="Calibri" w:cs="Calibri"/>
        </w:rPr>
      </w:pPr>
      <w:r>
        <w:t>The Profisee data mapping shall also run when a user starts it from the Core Capabilities UI after changing the data in Profisee.</w:t>
      </w:r>
    </w:p>
    <w:p w14:paraId="6596D0EA" w14:textId="67C2B508" w:rsidR="00FC42E7" w:rsidRPr="00EC3682" w:rsidRDefault="00FC42E7" w:rsidP="00FC42E7">
      <w:pPr>
        <w:pStyle w:val="ListParagraph"/>
        <w:numPr>
          <w:ilvl w:val="0"/>
          <w:numId w:val="4"/>
        </w:numPr>
        <w:jc w:val="left"/>
        <w:rPr>
          <w:rFonts w:ascii="Calibri" w:hAnsi="Calibri" w:cs="Calibri"/>
        </w:rPr>
      </w:pPr>
      <w:r>
        <w:t>The Profisee data mapping shall run separately from the waiver calls.</w:t>
      </w:r>
    </w:p>
    <w:p w14:paraId="48E5DA8A" w14:textId="38156EEE" w:rsidR="00FC42E7" w:rsidRPr="00EC3682" w:rsidRDefault="00FC42E7" w:rsidP="00FC42E7">
      <w:pPr>
        <w:pStyle w:val="ListParagraph"/>
        <w:numPr>
          <w:ilvl w:val="0"/>
          <w:numId w:val="4"/>
        </w:numPr>
        <w:jc w:val="left"/>
        <w:rPr>
          <w:rFonts w:ascii="Calibri" w:hAnsi="Calibri" w:cs="Calibri"/>
        </w:rPr>
      </w:pPr>
      <w:r>
        <w:t>The Profisee data mapping shall save the data in the vcb_terminal_specsheet_master table of the IQDM database.</w:t>
      </w:r>
    </w:p>
    <w:p w14:paraId="318F0F9A" w14:textId="1D80505B" w:rsidR="00FC42E7" w:rsidRPr="00EC3682" w:rsidRDefault="00FC42E7" w:rsidP="00FC42E7">
      <w:pPr>
        <w:pStyle w:val="ListParagraph"/>
        <w:numPr>
          <w:ilvl w:val="0"/>
          <w:numId w:val="4"/>
        </w:numPr>
        <w:jc w:val="left"/>
        <w:rPr>
          <w:rFonts w:ascii="Calibri" w:hAnsi="Calibri" w:cs="Calibri"/>
        </w:rPr>
      </w:pPr>
      <w:r>
        <w:t>At the start of each run, the Request Service shall take LastUpdatedOn, the time of the last successful load, from the vcb_terminal_specsheet_master table.</w:t>
      </w:r>
    </w:p>
    <w:p w14:paraId="0C4CAC65" w14:textId="2F9B70D8" w:rsidR="00FC42E7" w:rsidRPr="00EC3682" w:rsidRDefault="00FC42E7" w:rsidP="00FC42E7">
      <w:pPr>
        <w:pStyle w:val="ListParagraph"/>
        <w:numPr>
          <w:ilvl w:val="0"/>
          <w:numId w:val="4"/>
        </w:numPr>
        <w:jc w:val="left"/>
        <w:rPr>
          <w:rFonts w:ascii="Calibri" w:hAnsi="Calibri" w:cs="Calibri"/>
        </w:rPr>
      </w:pPr>
      <w:r>
        <w:t>The Response Service shall send LastUpdatedOn with the Profisee Data Mapping Request and shall first check whether the Terminals Specsheet Master Data has changed in Profisee after that time.</w:t>
      </w:r>
    </w:p>
    <w:p w14:paraId="5FE21ACA" w14:textId="7D5F7A60" w:rsidR="00FC42E7" w:rsidRPr="00EC3682" w:rsidRDefault="00FC42E7" w:rsidP="00FC42E7">
      <w:pPr>
        <w:pStyle w:val="ListParagraph"/>
        <w:numPr>
          <w:ilvl w:val="0"/>
          <w:numId w:val="4"/>
        </w:numPr>
        <w:jc w:val="left"/>
        <w:rPr>
          <w:rFonts w:ascii="Calibri" w:hAnsi="Calibri" w:cs="Calibri"/>
        </w:rPr>
      </w:pPr>
      <w:r>
        <w:t>When nothing has changed, the Response Service shall return no rows, and nothing shall be saved.</w:t>
      </w:r>
    </w:p>
    <w:p w14:paraId="7505FFB1" w14:textId="669468D1" w:rsidR="00FC42E7" w:rsidRPr="00EC3682" w:rsidRDefault="00FC42E7" w:rsidP="00FC42E7">
      <w:pPr>
        <w:pStyle w:val="ListParagraph"/>
        <w:numPr>
          <w:ilvl w:val="0"/>
          <w:numId w:val="4"/>
        </w:numPr>
        <w:jc w:val="left"/>
        <w:rPr>
          <w:rFonts w:ascii="Calibri" w:hAnsi="Calibri" w:cs="Calibri"/>
        </w:rPr>
      </w:pPr>
      <w:r>
        <w:t>When the data has changed, the Response Service shall return the Terminals Specsheet Master Data, and the stored procedure shall merge it and record the time of this load as the new LastUpdatedOn.</w:t>
      </w:r>
    </w:p>
    <w:p w14:paraId="15F3F93E" w14:textId="00EEB771" w:rsidR="009C3F56" w:rsidRPr="00EC3682" w:rsidRDefault="00D87FC6" w:rsidP="009C3F56">
      <w:pPr>
        <w:pStyle w:val="ListParagraph"/>
        <w:numPr>
          <w:ilvl w:val="0"/>
          <w:numId w:val="4"/>
        </w:numPr>
        <w:jc w:val="left"/>
        <w:rPr>
          <w:rFonts w:ascii="Calibri" w:hAnsi="Calibri" w:cs="Calibri"/>
        </w:rPr>
      </w:pPr>
      <w:r>
        <w:t>When the data has changed but Profisee returns no rows at all</w:t>
      </w:r>
      <w:r w:rsidR="009C3F56">
        <w:t>, nothing shall be saved, and a business error notification shall be sent.</w:t>
      </w:r>
    </w:p>
    <w:p w14:paraId="3E59F698" w14:textId="2BD300DA" w:rsidR="00EB32E8" w:rsidRDefault="00EB32E8" w:rsidP="00EB32E8">
      <w:pPr>
        <w:pStyle w:val="Heading6"/>
        <w:rPr>
          <w:rFonts w:ascii="Calibri" w:hAnsi="Calibri" w:cs="Calibri"/>
          <w:sz w:val="20"/>
        </w:rPr>
      </w:pPr>
      <w:r>
        <w:rPr>
          <w:rFonts w:ascii="Calibri" w:hAnsi="Calibri" w:cs="Calibri"/>
          <w:sz w:val="20"/>
        </w:rPr>
        <w:t>High Level Technical Design Diagram</w:t>
      </w:r>
    </w:p>
    <w:p w14:paraId="7A3AB72F" w14:textId="77777777" w:rsidR="00FC42E7" w:rsidRPr="00EC3682" w:rsidRDefault="00FC42E7" w:rsidP="00FC42E7">
      <w:pPr>
        <w:pStyle w:val="ListParagraph"/>
        <w:numPr>
          <w:ilvl w:val="0"/>
          <w:numId w:val="4"/>
        </w:numPr>
        <w:jc w:val="left"/>
        <w:rPr>
          <w:rFonts w:ascii="Calibri" w:hAnsi="Calibri" w:cs="Calibri"/>
        </w:rPr>
      </w:pPr>
      <w:r>
        <w:t>As for the waiver selection, the services shall run in the CIP Quality domain API and the durable functions in the function app of the Quality domain.</w:t>
      </w:r>
    </w:p>
    <w:p w14:paraId="6B30A707" w14:textId="2EAD189F" w:rsidR="00FC42E7" w:rsidRPr="0081216E" w:rsidRDefault="00FC42E7" w:rsidP="00FC42E7">
      <w:pPr>
        <w:keepNext/>
        <w:jc w:val="left"/>
        <w:rPr>
          <w:rFonts w:ascii="Calibri" w:hAnsi="Calibri" w:cs="Calibri"/>
        </w:rPr>
      </w:pPr>
      <w:r>
        <w:rPr>
          <w:rFonts w:ascii="Calibri" w:hAnsi="Calibri" w:cs="Calibri"/>
        </w:rPr>
        <w:t>The figure below shows how the Terminals Specsheet Master Data travels from Profisee to the IQDM database.</w:t>
      </w:r>
    </w:p>
    <w:p w14:paraId="794C51A9" w14:textId="53E82B55" w:rsidR="00EB32E8" w:rsidRPr="006958CC" w:rsidRDefault="00FC42E7" w:rsidP="00EB32E8">
      <w:pPr>
        <w:keepNext/>
        <w:spacing w:after="40"/>
        <w:jc w:val="center"/>
      </w:pPr>
      <w:r>
        <w:rPr>
          <w:noProof/>
        </w:rPr>
        <w:drawing>
          <wp:inline distT="0" distB="0" distL="0" distR="0" wp14:anchorId="0CD35138" wp14:editId="66F4F256">
            <wp:extent cx="5943600" cy="2466340"/>
            <wp:effectExtent l="0" t="0" r="0" b="0"/>
            <wp:docPr id="18680044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04427" name=""/>
                    <pic:cNvPicPr/>
                  </pic:nvPicPr>
                  <pic:blipFill>
                    <a:blip r:embed="rId42"/>
                    <a:stretch>
                      <a:fillRect/>
                    </a:stretch>
                  </pic:blipFill>
                  <pic:spPr>
                    <a:xfrm>
                      <a:off x="0" y="0"/>
                      <a:ext cx="5943600" cy="2466340"/>
                    </a:xfrm>
                    <a:prstGeom prst="rect">
                      <a:avLst/>
                    </a:prstGeom>
                  </pic:spPr>
                </pic:pic>
              </a:graphicData>
            </a:graphic>
          </wp:inline>
        </w:drawing>
      </w:r>
    </w:p>
    <w:p w14:paraId="7FE5AF5C" w14:textId="011F6D61" w:rsidR="00EB32E8" w:rsidRPr="006958CC" w:rsidRDefault="00EB32E8" w:rsidP="00EB32E8">
      <w:pPr>
        <w:pStyle w:val="Caption"/>
        <w:rPr>
          <w:rFonts w:ascii="Calibri" w:hAnsi="Calibri" w:cs="Calibri"/>
        </w:rPr>
      </w:pPr>
      <w:bookmarkStart w:id="259" w:name="_Toc242554155"/>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19</w:t>
      </w:r>
      <w:r w:rsidRPr="006958CC">
        <w:rPr>
          <w:rFonts w:ascii="Calibri" w:hAnsi="Calibri" w:cs="Calibri"/>
        </w:rPr>
        <w:fldChar w:fldCharType="end"/>
      </w:r>
      <w:r w:rsidRPr="006958CC">
        <w:rPr>
          <w:rFonts w:ascii="Calibri" w:hAnsi="Calibri" w:cs="Calibri"/>
        </w:rPr>
        <w:t xml:space="preserve">: </w:t>
      </w:r>
      <w:r w:rsidR="00FC42E7">
        <w:rPr>
          <w:rFonts w:ascii="Calibri" w:hAnsi="Calibri" w:cs="Calibri"/>
        </w:rPr>
        <w:t>Profisee Data Mapping High Level Technical Design Diagram (CIP Approach)</w:t>
      </w:r>
      <w:bookmarkEnd w:id="259"/>
    </w:p>
    <w:p w14:paraId="454482D1" w14:textId="77777777" w:rsidR="00FC42E7" w:rsidRPr="00EC3682" w:rsidRDefault="00FC42E7" w:rsidP="00FC42E7">
      <w:pPr>
        <w:pStyle w:val="ListParagraph"/>
        <w:numPr>
          <w:ilvl w:val="0"/>
          <w:numId w:val="4"/>
        </w:numPr>
        <w:jc w:val="left"/>
        <w:rPr>
          <w:rFonts w:ascii="Calibri" w:hAnsi="Calibri" w:cs="Calibri"/>
        </w:rPr>
      </w:pPr>
      <w:r>
        <w:t>The figure names the components by their role; their full names shall start with Profisee Data Mapping.</w:t>
      </w:r>
    </w:p>
    <w:p w14:paraId="77BD0271" w14:textId="18611348" w:rsidR="00FC42E7" w:rsidRPr="00EC3682" w:rsidRDefault="00FC42E7" w:rsidP="00FC42E7">
      <w:pPr>
        <w:pStyle w:val="ListParagraph"/>
        <w:numPr>
          <w:ilvl w:val="0"/>
          <w:numId w:val="4"/>
        </w:numPr>
        <w:jc w:val="left"/>
        <w:rPr>
          <w:rFonts w:ascii="Calibri" w:hAnsi="Calibri" w:cs="Calibri"/>
        </w:rPr>
      </w:pPr>
      <w:r>
        <w:t xml:space="preserve">The Profisee data mapping shall follow the common integration pattern (section </w:t>
      </w:r>
      <w:r>
        <w:fldChar w:fldCharType="begin"/>
      </w:r>
      <w:r>
        <w:instrText xml:space="preserve"> REF _Ref917260909 \w \h \* MERGEFORMAT </w:instrText>
      </w:r>
      <w:r>
        <w:fldChar w:fldCharType="separate"/>
      </w:r>
      <w:r w:rsidRPr="00FC42E7">
        <w:rPr>
          <w:color w:val="0563C1"/>
          <w:u w:val="single"/>
        </w:rPr>
        <w:t>2.3.1</w:t>
      </w:r>
      <w:r>
        <w:fldChar w:fldCharType="end"/>
      </w:r>
      <w:r>
        <w:t xml:space="preserve">), and the steps of the figure shall be numbered as in section </w:t>
      </w:r>
      <w:r>
        <w:fldChar w:fldCharType="begin"/>
      </w:r>
      <w:r>
        <w:instrText xml:space="preserve"> REF _Ref917260947 \w \h \* MERGEFORMAT </w:instrText>
      </w:r>
      <w:r>
        <w:fldChar w:fldCharType="separate"/>
      </w:r>
      <w:r w:rsidRPr="00FC42E7">
        <w:rPr>
          <w:color w:val="0563C1"/>
          <w:u w:val="single"/>
        </w:rPr>
        <w:t>2.3.3.1.1</w:t>
      </w:r>
      <w:r>
        <w:fldChar w:fldCharType="end"/>
      </w:r>
      <w:r>
        <w:t>.</w:t>
      </w:r>
    </w:p>
    <w:p w14:paraId="3F4898D3" w14:textId="16B9ACF4" w:rsidR="00FC42E7" w:rsidRPr="0081216E" w:rsidRDefault="00FC42E7" w:rsidP="00FC42E7">
      <w:pPr>
        <w:keepNext/>
        <w:jc w:val="left"/>
        <w:rPr>
          <w:rFonts w:ascii="Calibri" w:hAnsi="Calibri" w:cs="Calibri"/>
        </w:rPr>
      </w:pPr>
      <w:r>
        <w:rPr>
          <w:rFonts w:ascii="Calibri" w:hAnsi="Calibri" w:cs="Calibri"/>
        </w:rPr>
        <w:t>For the Profisee data mapping, these steps shall differ from the common integration pattern:</w:t>
      </w:r>
    </w:p>
    <w:p w14:paraId="72E9827B" w14:textId="3CEB6D61" w:rsidR="00FC42E7" w:rsidRPr="00EC3682" w:rsidRDefault="00FC42E7" w:rsidP="00FC42E7">
      <w:pPr>
        <w:pStyle w:val="ListParagraph"/>
        <w:numPr>
          <w:ilvl w:val="0"/>
          <w:numId w:val="4"/>
        </w:numPr>
        <w:jc w:val="left"/>
        <w:rPr>
          <w:rFonts w:ascii="Calibri" w:hAnsi="Calibri" w:cs="Calibri"/>
        </w:rPr>
      </w:pPr>
      <w:r>
        <w:t>Step 1: the trigger function shall send the Profisee Data Mapping Trigger Request every day at a specified time.</w:t>
      </w:r>
    </w:p>
    <w:p w14:paraId="7DC9BFA2" w14:textId="35E6F456" w:rsidR="00FC42E7" w:rsidRPr="00EC3682" w:rsidRDefault="00FC42E7" w:rsidP="00FC42E7">
      <w:pPr>
        <w:pStyle w:val="ListParagraph"/>
        <w:numPr>
          <w:ilvl w:val="0"/>
          <w:numId w:val="4"/>
        </w:numPr>
        <w:jc w:val="left"/>
        <w:rPr>
          <w:rFonts w:ascii="Calibri" w:hAnsi="Calibri" w:cs="Calibri"/>
        </w:rPr>
      </w:pPr>
      <w:r>
        <w:t>Step 1: a user shall send the same request from the Core Capabilities UI after changing the data in Profisee.</w:t>
      </w:r>
    </w:p>
    <w:p w14:paraId="227EBC02" w14:textId="39F9877F" w:rsidR="00FC42E7" w:rsidRPr="00EC3682" w:rsidRDefault="00FC42E7" w:rsidP="00FC42E7">
      <w:pPr>
        <w:pStyle w:val="ListParagraph"/>
        <w:numPr>
          <w:ilvl w:val="0"/>
          <w:numId w:val="4"/>
        </w:numPr>
        <w:jc w:val="left"/>
        <w:rPr>
          <w:rFonts w:ascii="Calibri" w:hAnsi="Calibri" w:cs="Calibri"/>
        </w:rPr>
      </w:pPr>
      <w:r>
        <w:t>Step 1: the request shall carry IsImport = false, so the rows shall be saved in the IQDM database at step 12.</w:t>
      </w:r>
    </w:p>
    <w:p w14:paraId="12CF151E" w14:textId="6F1B5CD7" w:rsidR="00FC42E7" w:rsidRPr="00EC3682" w:rsidRDefault="00FC42E7" w:rsidP="00FC42E7">
      <w:pPr>
        <w:pStyle w:val="ListParagraph"/>
        <w:numPr>
          <w:ilvl w:val="0"/>
          <w:numId w:val="4"/>
        </w:numPr>
        <w:jc w:val="left"/>
        <w:rPr>
          <w:rFonts w:ascii="Calibri" w:hAnsi="Calibri" w:cs="Calibri"/>
        </w:rPr>
      </w:pPr>
      <w:r>
        <w:t>Steps 8.1 and 8.2: the Response Service shall send the Profisee Data Mapping Request with LastUpdatedOn and, when the data has changed, read the Terminals Specsheet Master Data through the Semantic Service.</w:t>
      </w:r>
    </w:p>
    <w:p w14:paraId="5F3730B7" w14:textId="709EAEF1" w:rsidR="00FC42E7" w:rsidRPr="00EC3682" w:rsidRDefault="00FC42E7" w:rsidP="00FC42E7">
      <w:pPr>
        <w:pStyle w:val="ListParagraph"/>
        <w:numPr>
          <w:ilvl w:val="0"/>
          <w:numId w:val="4"/>
        </w:numPr>
        <w:jc w:val="left"/>
        <w:rPr>
          <w:rFonts w:ascii="Calibri" w:hAnsi="Calibri" w:cs="Calibri"/>
        </w:rPr>
      </w:pPr>
      <w:r>
        <w:t>Step 12: the Request Service shall save the rows through the stored procedure of the database team, which shall merge them into the vcb_terminal_specsheet_master table.</w:t>
      </w:r>
    </w:p>
    <w:p w14:paraId="0D9D910D" w14:textId="71EBCA2C" w:rsidR="00FC42E7" w:rsidRPr="00EC3682" w:rsidRDefault="00FC42E7" w:rsidP="00FC42E7">
      <w:pPr>
        <w:pStyle w:val="ListParagraph"/>
        <w:numPr>
          <w:ilvl w:val="0"/>
          <w:numId w:val="4"/>
        </w:numPr>
        <w:jc w:val="left"/>
        <w:rPr>
          <w:rFonts w:ascii="Calibri" w:hAnsi="Calibri" w:cs="Calibri"/>
        </w:rPr>
      </w:pPr>
      <w:r>
        <w:t xml:space="preserve">The logging, notification and Azure services shall be those described in section </w:t>
      </w:r>
      <w:r>
        <w:fldChar w:fldCharType="begin"/>
      </w:r>
      <w:r>
        <w:instrText xml:space="preserve"> REF _Ref917260947 \w \h \* MERGEFORMAT </w:instrText>
      </w:r>
      <w:r>
        <w:fldChar w:fldCharType="separate"/>
      </w:r>
      <w:r w:rsidRPr="00FC42E7">
        <w:rPr>
          <w:color w:val="0563C1"/>
          <w:u w:val="single"/>
        </w:rPr>
        <w:t>2.3.3.1.1</w:t>
      </w:r>
      <w:r>
        <w:fldChar w:fldCharType="end"/>
      </w:r>
      <w:r>
        <w:t>.</w:t>
      </w:r>
    </w:p>
    <w:p w14:paraId="34C71719" w14:textId="7A72A928" w:rsidR="00EB32E8" w:rsidRDefault="00EB32E8" w:rsidP="00EB32E8">
      <w:pPr>
        <w:pStyle w:val="Heading6"/>
        <w:rPr>
          <w:rFonts w:ascii="Calibri" w:hAnsi="Calibri" w:cs="Calibri"/>
          <w:sz w:val="20"/>
        </w:rPr>
      </w:pPr>
      <w:r>
        <w:rPr>
          <w:rFonts w:ascii="Calibri" w:hAnsi="Calibri" w:cs="Calibri"/>
          <w:sz w:val="20"/>
        </w:rPr>
        <w:t>Detailed Technical Design Diagram</w:t>
      </w:r>
    </w:p>
    <w:p w14:paraId="35C634F1" w14:textId="77777777" w:rsidR="00FC42E7" w:rsidRPr="00EC3682" w:rsidRDefault="00FC42E7" w:rsidP="00FC42E7">
      <w:pPr>
        <w:pStyle w:val="ListParagraph"/>
        <w:numPr>
          <w:ilvl w:val="0"/>
          <w:numId w:val="4"/>
        </w:numPr>
        <w:jc w:val="left"/>
        <w:rPr>
          <w:rFonts w:ascii="Calibri" w:hAnsi="Calibri" w:cs="Calibri"/>
        </w:rPr>
      </w:pPr>
      <w:r>
        <w:t>The flow shall start from the Profisee Data Mapping Trigger Request (IsImport = false: data saved in IQDM).</w:t>
      </w:r>
    </w:p>
    <w:p w14:paraId="4BFF5D2B" w14:textId="6509DD6D" w:rsidR="00FC42E7" w:rsidRPr="0081216E" w:rsidRDefault="00FC42E7" w:rsidP="00FC42E7">
      <w:pPr>
        <w:keepNext/>
        <w:jc w:val="left"/>
        <w:rPr>
          <w:rFonts w:ascii="Calibri" w:hAnsi="Calibri" w:cs="Calibri"/>
        </w:rPr>
      </w:pPr>
      <w:r>
        <w:rPr>
          <w:rFonts w:ascii="Calibri" w:hAnsi="Calibri" w:cs="Calibri"/>
        </w:rPr>
        <w:t>The figure below shows the activities inside the two durable functions of the Profisee data mapping.</w:t>
      </w:r>
    </w:p>
    <w:p w14:paraId="33B38975" w14:textId="04504448" w:rsidR="00EB32E8" w:rsidRPr="006958CC" w:rsidRDefault="00FC42E7" w:rsidP="00EB32E8">
      <w:pPr>
        <w:keepNext/>
        <w:spacing w:after="40"/>
        <w:jc w:val="center"/>
      </w:pPr>
      <w:r>
        <w:rPr>
          <w:noProof/>
        </w:rPr>
        <w:drawing>
          <wp:inline distT="0" distB="0" distL="0" distR="0" wp14:anchorId="16583CF3" wp14:editId="786C0AAC">
            <wp:extent cx="5943600" cy="2173605"/>
            <wp:effectExtent l="0" t="0" r="0" b="0"/>
            <wp:docPr id="99586135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61351" name=""/>
                    <pic:cNvPicPr/>
                  </pic:nvPicPr>
                  <pic:blipFill>
                    <a:blip r:embed="rId43"/>
                    <a:stretch>
                      <a:fillRect/>
                    </a:stretch>
                  </pic:blipFill>
                  <pic:spPr>
                    <a:xfrm>
                      <a:off x="0" y="0"/>
                      <a:ext cx="5943600" cy="2173605"/>
                    </a:xfrm>
                    <a:prstGeom prst="rect">
                      <a:avLst/>
                    </a:prstGeom>
                  </pic:spPr>
                </pic:pic>
              </a:graphicData>
            </a:graphic>
          </wp:inline>
        </w:drawing>
      </w:r>
    </w:p>
    <w:p w14:paraId="09AD1EA8" w14:textId="79D7F556" w:rsidR="00EB32E8" w:rsidRPr="006958CC" w:rsidRDefault="00EB32E8" w:rsidP="00EB32E8">
      <w:pPr>
        <w:pStyle w:val="Caption"/>
        <w:rPr>
          <w:rFonts w:ascii="Calibri" w:hAnsi="Calibri" w:cs="Calibri"/>
        </w:rPr>
      </w:pPr>
      <w:bookmarkStart w:id="260" w:name="_Toc242554156"/>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20</w:t>
      </w:r>
      <w:r w:rsidRPr="006958CC">
        <w:rPr>
          <w:rFonts w:ascii="Calibri" w:hAnsi="Calibri" w:cs="Calibri"/>
        </w:rPr>
        <w:fldChar w:fldCharType="end"/>
      </w:r>
      <w:r w:rsidRPr="006958CC">
        <w:rPr>
          <w:rFonts w:ascii="Calibri" w:hAnsi="Calibri" w:cs="Calibri"/>
        </w:rPr>
        <w:t xml:space="preserve">: </w:t>
      </w:r>
      <w:r w:rsidR="00FC42E7">
        <w:rPr>
          <w:rFonts w:ascii="Calibri" w:hAnsi="Calibri" w:cs="Calibri"/>
        </w:rPr>
        <w:t>Profisee Data Mapping Detailed Technical Design Diagram</w:t>
      </w:r>
      <w:bookmarkEnd w:id="260"/>
    </w:p>
    <w:p w14:paraId="16032600" w14:textId="77777777" w:rsidR="00FC42E7" w:rsidRPr="00EC3682" w:rsidRDefault="00FC42E7" w:rsidP="00FC42E7">
      <w:pPr>
        <w:pStyle w:val="ListParagraph"/>
        <w:numPr>
          <w:ilvl w:val="0"/>
          <w:numId w:val="4"/>
        </w:numPr>
        <w:jc w:val="left"/>
        <w:rPr>
          <w:rFonts w:ascii="Calibri" w:hAnsi="Calibri" w:cs="Calibri"/>
        </w:rPr>
      </w:pPr>
      <w:r>
        <w:t>Steps 4 to 11 are drawn in more detail; the other steps are those of the high-level figure above.</w:t>
      </w:r>
    </w:p>
    <w:p w14:paraId="76765389" w14:textId="179E4657" w:rsidR="00EB32E8" w:rsidRPr="00FC42E7" w:rsidRDefault="00EB32E8" w:rsidP="00FC42E7">
      <w:pPr>
        <w:pStyle w:val="ListParagraph"/>
        <w:numPr>
          <w:ilvl w:val="0"/>
          <w:numId w:val="4"/>
        </w:numPr>
        <w:jc w:val="left"/>
      </w:pPr>
      <w:r w:rsidRPr="00FC42E7">
        <w:t xml:space="preserve">The activities inside the durable functions shall be those of the common integration pattern (section </w:t>
      </w:r>
      <w:r w:rsidR="00FC42E7">
        <w:fldChar w:fldCharType="begin"/>
      </w:r>
      <w:r w:rsidR="00FC42E7">
        <w:instrText xml:space="preserve"> REF _Ref917260914 \w \h \* MERGEFORMAT </w:instrText>
      </w:r>
      <w:r w:rsidR="00FC42E7">
        <w:fldChar w:fldCharType="separate"/>
      </w:r>
      <w:r w:rsidR="00FC42E7" w:rsidRPr="00FC42E7">
        <w:rPr>
          <w:color w:val="0563C1"/>
          <w:u w:val="single"/>
        </w:rPr>
        <w:t>2.3.1.2.1</w:t>
      </w:r>
      <w:r w:rsidR="00FC42E7">
        <w:fldChar w:fldCharType="end"/>
      </w:r>
      <w:r w:rsidRPr="00FC42E7">
        <w:t>), with the Terminals Specsheet Master Data read from Profisee in steps 8.1 and 8.2.</w:t>
      </w:r>
    </w:p>
    <w:p w14:paraId="559D29EE" w14:textId="2C317E67" w:rsidR="00EB32E8" w:rsidRDefault="00FC42E7" w:rsidP="00EB32E8">
      <w:pPr>
        <w:pStyle w:val="Heading6"/>
        <w:rPr>
          <w:rFonts w:ascii="Calibri" w:hAnsi="Calibri" w:cs="Calibri"/>
          <w:sz w:val="20"/>
        </w:rPr>
      </w:pPr>
      <w:r>
        <w:rPr>
          <w:rFonts w:ascii="Calibri" w:hAnsi="Calibri" w:cs="Calibri"/>
          <w:sz w:val="20"/>
        </w:rPr>
        <w:t>Profisee Data Mapping Specifics</w:t>
      </w:r>
    </w:p>
    <w:p w14:paraId="6C3F2D4A" w14:textId="45CCBFDC" w:rsidR="00EB32E8" w:rsidRPr="0081216E" w:rsidRDefault="00FC42E7" w:rsidP="00FC42E7">
      <w:pPr>
        <w:keepNext/>
        <w:jc w:val="left"/>
        <w:rPr>
          <w:rFonts w:ascii="Calibri" w:hAnsi="Calibri" w:cs="Calibri"/>
        </w:rPr>
      </w:pPr>
      <w:r>
        <w:rPr>
          <w:rFonts w:ascii="Calibri" w:hAnsi="Calibri" w:cs="Calibri"/>
        </w:rPr>
        <w:t>The table below gives where the Terminals Specsheet Master Data is held, how the Profisee data mapping reaches it and how it is saved, with the functions and services of the Profisee data mapping.</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94"/>
        <w:gridCol w:w="2877"/>
        <w:gridCol w:w="4889"/>
      </w:tblGrid>
      <w:tr w:rsidR="00EB32E8" w:rsidRPr="00C63A98" w14:paraId="7BCDA5F6" w14:textId="77777777" w:rsidTr="00520418">
        <w:trPr>
          <w:cantSplit/>
          <w:tblHeader/>
        </w:trPr>
        <w:tc>
          <w:tcPr>
            <w:tcW w:w="1594" w:type="dxa"/>
            <w:shd w:val="clear" w:color="auto" w:fill="2F5597"/>
          </w:tcPr>
          <w:p w14:paraId="3885BEF0" w14:textId="77777777" w:rsidR="00EB32E8" w:rsidRPr="00C63A98" w:rsidRDefault="00EB32E8" w:rsidP="006958CC">
            <w:pPr>
              <w:pStyle w:val="Tablehead1"/>
              <w:rPr>
                <w:rFonts w:ascii="Calibri" w:hAnsi="Calibri" w:cs="Calibri"/>
                <w:sz w:val="20"/>
              </w:rPr>
            </w:pPr>
            <w:r w:rsidRPr="00C63A98">
              <w:rPr>
                <w:rFonts w:ascii="Calibri" w:hAnsi="Calibri" w:cs="Calibri"/>
                <w:sz w:val="20"/>
              </w:rPr>
              <w:t>Component</w:t>
            </w:r>
          </w:p>
        </w:tc>
        <w:tc>
          <w:tcPr>
            <w:tcW w:w="2877" w:type="dxa"/>
            <w:shd w:val="clear" w:color="auto" w:fill="2F5597"/>
          </w:tcPr>
          <w:p w14:paraId="7DFAD8AC" w14:textId="4415BB9A" w:rsidR="00EB32E8" w:rsidRPr="00C63A98" w:rsidRDefault="00FC42E7" w:rsidP="006958CC">
            <w:pPr>
              <w:pStyle w:val="Tablehead1"/>
              <w:rPr>
                <w:rFonts w:ascii="Calibri" w:hAnsi="Calibri" w:cs="Calibri"/>
                <w:sz w:val="20"/>
              </w:rPr>
            </w:pPr>
            <w:r>
              <w:rPr>
                <w:rFonts w:ascii="Calibri" w:hAnsi="Calibri" w:cs="Calibri"/>
                <w:sz w:val="20"/>
              </w:rPr>
              <w:t>Name in the Profisee Data Mapping</w:t>
            </w:r>
          </w:p>
        </w:tc>
        <w:tc>
          <w:tcPr>
            <w:tcW w:w="4889" w:type="dxa"/>
            <w:shd w:val="clear" w:color="auto" w:fill="2F5597"/>
          </w:tcPr>
          <w:p w14:paraId="1B57365F" w14:textId="572A6D7E" w:rsidR="00EB32E8" w:rsidRPr="00C63A98" w:rsidRDefault="00FC42E7" w:rsidP="006958CC">
            <w:pPr>
              <w:pStyle w:val="Tablehead1"/>
              <w:rPr>
                <w:rFonts w:ascii="Calibri" w:hAnsi="Calibri" w:cs="Calibri"/>
                <w:sz w:val="20"/>
              </w:rPr>
            </w:pPr>
            <w:r>
              <w:rPr>
                <w:rFonts w:ascii="Calibri" w:hAnsi="Calibri" w:cs="Calibri"/>
                <w:sz w:val="20"/>
              </w:rPr>
              <w:t>Specific to the Profisee Data Mapping</w:t>
            </w:r>
          </w:p>
        </w:tc>
      </w:tr>
      <w:tr w:rsidR="00EB32E8" w:rsidRPr="00C63A98" w14:paraId="03000F1D" w14:textId="77777777" w:rsidTr="00520418">
        <w:trPr>
          <w:cantSplit/>
        </w:trPr>
        <w:tc>
          <w:tcPr>
            <w:tcW w:w="1594" w:type="dxa"/>
          </w:tcPr>
          <w:p w14:paraId="1B64CB33" w14:textId="5552BA78" w:rsidR="00EB32E8" w:rsidRPr="00C63A98" w:rsidRDefault="00EB32E8" w:rsidP="006958CC">
            <w:pPr>
              <w:pStyle w:val="Tabletext"/>
              <w:keepNext/>
              <w:rPr>
                <w:rFonts w:ascii="Calibri" w:hAnsi="Calibri" w:cs="Calibri"/>
                <w:sz w:val="20"/>
              </w:rPr>
            </w:pPr>
            <w:r>
              <w:rPr>
                <w:rFonts w:ascii="Calibri" w:hAnsi="Calibri" w:cs="Calibri"/>
                <w:sz w:val="20"/>
              </w:rPr>
              <w:t>Data source</w:t>
            </w:r>
          </w:p>
        </w:tc>
        <w:tc>
          <w:tcPr>
            <w:tcW w:w="2877" w:type="dxa"/>
          </w:tcPr>
          <w:p w14:paraId="04D42EAF" w14:textId="606E5C68" w:rsidR="00EB32E8" w:rsidRPr="00C63A98" w:rsidRDefault="00EB32E8" w:rsidP="006958CC">
            <w:pPr>
              <w:pStyle w:val="Tabletext"/>
              <w:keepNext/>
              <w:rPr>
                <w:rFonts w:ascii="Calibri" w:hAnsi="Calibri" w:cs="Calibri"/>
                <w:sz w:val="20"/>
              </w:rPr>
            </w:pPr>
            <w:r>
              <w:rPr>
                <w:rFonts w:ascii="Calibri" w:hAnsi="Calibri" w:cs="Calibri"/>
                <w:sz w:val="20"/>
              </w:rPr>
              <w:t>Profisee: Terminals Specsheet Master Data</w:t>
            </w:r>
          </w:p>
        </w:tc>
        <w:tc>
          <w:tcPr>
            <w:tcW w:w="4889" w:type="dxa"/>
          </w:tcPr>
          <w:p w14:paraId="5B0FAA2B" w14:textId="06593CD4" w:rsidR="00EB32E8" w:rsidRPr="00C63A98" w:rsidRDefault="00EB32E8" w:rsidP="006958CC">
            <w:pPr>
              <w:pStyle w:val="Tabletext"/>
              <w:keepNext/>
              <w:rPr>
                <w:rFonts w:ascii="Calibri" w:hAnsi="Calibri" w:cs="Calibri"/>
                <w:sz w:val="20"/>
              </w:rPr>
            </w:pPr>
            <w:r>
              <w:rPr>
                <w:rFonts w:ascii="Calibri" w:hAnsi="Calibri" w:cs="Calibri"/>
                <w:sz w:val="20"/>
              </w:rPr>
              <w:t>Shall hold, for each source refinery and product, the specification sheet and the destination terminals it applies to. The business shall keep it up to date in Profisee.</w:t>
            </w:r>
          </w:p>
        </w:tc>
      </w:tr>
      <w:tr w:rsidR="00EB32E8" w:rsidRPr="00C63A98" w14:paraId="27CEC073" w14:textId="77777777" w:rsidTr="00520418">
        <w:trPr>
          <w:cantSplit/>
        </w:trPr>
        <w:tc>
          <w:tcPr>
            <w:tcW w:w="1594" w:type="dxa"/>
          </w:tcPr>
          <w:p w14:paraId="345076B2" w14:textId="344874E5" w:rsidR="00EB32E8" w:rsidRPr="00C63A98" w:rsidRDefault="00EB32E8" w:rsidP="006958CC">
            <w:pPr>
              <w:pStyle w:val="Tabletext"/>
              <w:keepNext/>
              <w:rPr>
                <w:rFonts w:ascii="Calibri" w:hAnsi="Calibri" w:cs="Calibri"/>
                <w:sz w:val="20"/>
              </w:rPr>
            </w:pPr>
            <w:r>
              <w:rPr>
                <w:rFonts w:ascii="Calibri" w:hAnsi="Calibri" w:cs="Calibri"/>
                <w:sz w:val="20"/>
              </w:rPr>
              <w:t>Access</w:t>
            </w:r>
          </w:p>
        </w:tc>
        <w:tc>
          <w:tcPr>
            <w:tcW w:w="2877" w:type="dxa"/>
          </w:tcPr>
          <w:p w14:paraId="0DE6561F" w14:textId="13056CFA" w:rsidR="00EB32E8" w:rsidRPr="00C63A98" w:rsidRDefault="00EB32E8" w:rsidP="006958CC">
            <w:pPr>
              <w:pStyle w:val="Tabletext"/>
              <w:keepNext/>
              <w:rPr>
                <w:rFonts w:ascii="Calibri" w:hAnsi="Calibri" w:cs="Calibri"/>
                <w:sz w:val="20"/>
              </w:rPr>
            </w:pPr>
            <w:r>
              <w:rPr>
                <w:rFonts w:ascii="Calibri" w:hAnsi="Calibri" w:cs="Calibri"/>
                <w:sz w:val="20"/>
              </w:rPr>
              <w:t>APIM and the Semantic Service</w:t>
            </w:r>
          </w:p>
        </w:tc>
        <w:tc>
          <w:tcPr>
            <w:tcW w:w="4889" w:type="dxa"/>
          </w:tcPr>
          <w:p w14:paraId="5882AA5E" w14:textId="7393B761" w:rsidR="00EB32E8" w:rsidRPr="00C63A98" w:rsidRDefault="00EB32E8" w:rsidP="006958CC">
            <w:pPr>
              <w:pStyle w:val="Tabletext"/>
              <w:keepNext/>
              <w:rPr>
                <w:rFonts w:ascii="Calibri" w:hAnsi="Calibri" w:cs="Calibri"/>
                <w:sz w:val="20"/>
              </w:rPr>
            </w:pPr>
            <w:r>
              <w:rPr>
                <w:rFonts w:ascii="Calibri" w:hAnsi="Calibri" w:cs="Calibri"/>
                <w:sz w:val="20"/>
              </w:rPr>
              <w:t>Shall be read through the Semantic Service, which shall take the master data of Profisee (MDM) through APIM.</w:t>
            </w:r>
          </w:p>
        </w:tc>
      </w:tr>
      <w:tr w:rsidR="00EB32E8" w:rsidRPr="00C63A98" w14:paraId="3F12C777" w14:textId="77777777" w:rsidTr="00520418">
        <w:trPr>
          <w:cantSplit/>
        </w:trPr>
        <w:tc>
          <w:tcPr>
            <w:tcW w:w="1594" w:type="dxa"/>
          </w:tcPr>
          <w:p w14:paraId="41B9CF9F" w14:textId="61256DD0" w:rsidR="00EB32E8" w:rsidRPr="00C63A98" w:rsidRDefault="00EB32E8" w:rsidP="000A106D">
            <w:pPr>
              <w:pStyle w:val="Tabletext"/>
              <w:rPr>
                <w:rFonts w:ascii="Calibri" w:hAnsi="Calibri" w:cs="Calibri"/>
                <w:sz w:val="20"/>
              </w:rPr>
            </w:pPr>
            <w:r>
              <w:rPr>
                <w:rFonts w:ascii="Calibri" w:hAnsi="Calibri" w:cs="Calibri"/>
                <w:sz w:val="20"/>
              </w:rPr>
              <w:t>Read</w:t>
            </w:r>
          </w:p>
        </w:tc>
        <w:tc>
          <w:tcPr>
            <w:tcW w:w="2877" w:type="dxa"/>
          </w:tcPr>
          <w:p w14:paraId="105EEA6B" w14:textId="3FD2EEA6" w:rsidR="00EB32E8" w:rsidRPr="00C63A98" w:rsidRDefault="00EB32E8" w:rsidP="000A106D">
            <w:pPr>
              <w:pStyle w:val="Tabletext"/>
              <w:rPr>
                <w:rFonts w:ascii="Calibri" w:hAnsi="Calibri" w:cs="Calibri"/>
                <w:sz w:val="20"/>
              </w:rPr>
            </w:pPr>
            <w:r>
              <w:rPr>
                <w:rFonts w:ascii="Calibri" w:hAnsi="Calibri" w:cs="Calibri"/>
                <w:sz w:val="20"/>
              </w:rPr>
              <w:t>Whole data set</w:t>
            </w:r>
          </w:p>
        </w:tc>
        <w:tc>
          <w:tcPr>
            <w:tcW w:w="4889" w:type="dxa"/>
          </w:tcPr>
          <w:p w14:paraId="2453D4AD" w14:textId="6B8C2E90" w:rsidR="00EB32E8" w:rsidRDefault="00FC42E7" w:rsidP="000A106D">
            <w:pPr>
              <w:pStyle w:val="Tabletext"/>
              <w:rPr>
                <w:rFonts w:ascii="Calibri" w:hAnsi="Calibri" w:cs="Calibri"/>
                <w:sz w:val="20"/>
              </w:rPr>
            </w:pPr>
            <w:r>
              <w:rPr>
                <w:rFonts w:ascii="Calibri" w:hAnsi="Calibri" w:cs="Calibri"/>
                <w:sz w:val="20"/>
              </w:rPr>
              <w:t>When the data has changed since the last load, each run shall read every row of the Terminals Specsheet Master Data. There shall be no read period.</w:t>
            </w:r>
          </w:p>
        </w:tc>
      </w:tr>
      <w:tr w:rsidR="00EB32E8" w:rsidRPr="00C63A98" w14:paraId="3F346B85" w14:textId="77777777" w:rsidTr="00520418">
        <w:trPr>
          <w:cantSplit/>
        </w:trPr>
        <w:tc>
          <w:tcPr>
            <w:tcW w:w="1594" w:type="dxa"/>
          </w:tcPr>
          <w:p w14:paraId="4E7AF92B" w14:textId="2919F3F5" w:rsidR="00EB32E8" w:rsidRPr="00C63A98" w:rsidRDefault="00EB32E8" w:rsidP="000A106D">
            <w:pPr>
              <w:pStyle w:val="Tabletext"/>
              <w:rPr>
                <w:rFonts w:ascii="Calibri" w:hAnsi="Calibri" w:cs="Calibri"/>
                <w:sz w:val="20"/>
              </w:rPr>
            </w:pPr>
            <w:r>
              <w:rPr>
                <w:rFonts w:ascii="Calibri" w:hAnsi="Calibri" w:cs="Calibri"/>
                <w:sz w:val="20"/>
              </w:rPr>
              <w:t>Saved row</w:t>
            </w:r>
          </w:p>
        </w:tc>
        <w:tc>
          <w:tcPr>
            <w:tcW w:w="2877" w:type="dxa"/>
          </w:tcPr>
          <w:p w14:paraId="5EB5D7C3" w14:textId="0F784C1F" w:rsidR="00EB32E8" w:rsidRPr="00C63A98" w:rsidRDefault="00EB32E8" w:rsidP="000A106D">
            <w:pPr>
              <w:pStyle w:val="Tabletext"/>
              <w:rPr>
                <w:rFonts w:ascii="Calibri" w:hAnsi="Calibri" w:cs="Calibri"/>
                <w:sz w:val="20"/>
              </w:rPr>
            </w:pPr>
            <w:r>
              <w:rPr>
                <w:rFonts w:ascii="Calibri" w:hAnsi="Calibri" w:cs="Calibri"/>
                <w:sz w:val="20"/>
              </w:rPr>
              <w:t>One row per source refinery, product, specification sheet and destination terminal</w:t>
            </w:r>
          </w:p>
        </w:tc>
        <w:tc>
          <w:tcPr>
            <w:tcW w:w="4889" w:type="dxa"/>
          </w:tcPr>
          <w:p w14:paraId="01233853" w14:textId="6C7BCC69" w:rsidR="00EB32E8" w:rsidRPr="00C63A98" w:rsidRDefault="00D87FC6" w:rsidP="000A106D">
            <w:pPr>
              <w:pStyle w:val="Tabletext"/>
              <w:rPr>
                <w:rFonts w:ascii="Calibri" w:hAnsi="Calibri" w:cs="Calibri"/>
                <w:sz w:val="20"/>
              </w:rPr>
            </w:pPr>
            <w:r>
              <w:rPr>
                <w:rFonts w:ascii="Calibri" w:hAnsi="Calibri" w:cs="Calibri"/>
                <w:sz w:val="20"/>
              </w:rPr>
              <w:t>The source refinery, product, specification sheet and destination terminal together shall identify a row. A row in which any of these values is blank shall be left out before the merge. Rows that share the same four values shall all be left out before the merge. One business error notification shall be sent for each row or group left out.</w:t>
            </w:r>
          </w:p>
        </w:tc>
      </w:tr>
      <w:tr w:rsidR="00EB32E8" w:rsidRPr="00C63A98" w14:paraId="0B8B6D3B" w14:textId="77777777" w:rsidTr="00520418">
        <w:trPr>
          <w:cantSplit/>
        </w:trPr>
        <w:tc>
          <w:tcPr>
            <w:tcW w:w="1594" w:type="dxa"/>
          </w:tcPr>
          <w:p w14:paraId="590D9CF7" w14:textId="7589C2D4" w:rsidR="00EB32E8" w:rsidRPr="00C63A98" w:rsidRDefault="00EB32E8" w:rsidP="000A106D">
            <w:pPr>
              <w:pStyle w:val="Tabletext"/>
              <w:rPr>
                <w:rFonts w:ascii="Calibri" w:hAnsi="Calibri" w:cs="Calibri"/>
                <w:sz w:val="20"/>
              </w:rPr>
            </w:pPr>
            <w:r>
              <w:rPr>
                <w:rFonts w:ascii="Calibri" w:hAnsi="Calibri" w:cs="Calibri"/>
                <w:sz w:val="20"/>
              </w:rPr>
              <w:t>Merge</w:t>
            </w:r>
          </w:p>
        </w:tc>
        <w:tc>
          <w:tcPr>
            <w:tcW w:w="2877" w:type="dxa"/>
          </w:tcPr>
          <w:p w14:paraId="7A4B9841" w14:textId="26DE1898" w:rsidR="00EB32E8" w:rsidRPr="00C63A98" w:rsidRDefault="00FC42E7" w:rsidP="000A106D">
            <w:pPr>
              <w:pStyle w:val="Tabletext"/>
              <w:rPr>
                <w:rFonts w:ascii="Calibri" w:hAnsi="Calibri" w:cs="Calibri"/>
                <w:sz w:val="20"/>
              </w:rPr>
            </w:pPr>
            <w:r>
              <w:rPr>
                <w:rFonts w:ascii="Calibri" w:hAnsi="Calibri" w:cs="Calibri"/>
                <w:sz w:val="20"/>
              </w:rPr>
              <w:t>vcb_</w:t>
            </w:r>
            <w:r w:rsidR="00EB32E8">
              <w:rPr>
                <w:rFonts w:ascii="Calibri" w:hAnsi="Calibri" w:cs="Calibri"/>
                <w:sz w:val="20"/>
              </w:rPr>
              <w:t>terminal_specsheet_master</w:t>
            </w:r>
          </w:p>
        </w:tc>
        <w:tc>
          <w:tcPr>
            <w:tcW w:w="4889" w:type="dxa"/>
          </w:tcPr>
          <w:p w14:paraId="411CDE5D" w14:textId="40841FB2" w:rsidR="00EB32E8" w:rsidRDefault="00EB32E8" w:rsidP="000A106D">
            <w:pPr>
              <w:pStyle w:val="Tabletext"/>
              <w:rPr>
                <w:rFonts w:ascii="Calibri" w:hAnsi="Calibri" w:cs="Calibri"/>
                <w:sz w:val="20"/>
              </w:rPr>
            </w:pPr>
            <w:r>
              <w:rPr>
                <w:rFonts w:ascii="Calibri" w:hAnsi="Calibri" w:cs="Calibri"/>
                <w:sz w:val="20"/>
              </w:rPr>
              <w:t>Shall be done by the stored procedure of the database team, as described in the destination data entity below. No row shall be deleted.</w:t>
            </w:r>
          </w:p>
        </w:tc>
      </w:tr>
      <w:tr w:rsidR="00EB32E8" w:rsidRPr="00C63A98" w14:paraId="16FBC477" w14:textId="77777777" w:rsidTr="00520418">
        <w:trPr>
          <w:cantSplit/>
        </w:trPr>
        <w:tc>
          <w:tcPr>
            <w:tcW w:w="1594" w:type="dxa"/>
          </w:tcPr>
          <w:p w14:paraId="7EEA22EF" w14:textId="2B4F7C68" w:rsidR="00EB32E8" w:rsidRPr="00C63A98" w:rsidRDefault="00EB32E8" w:rsidP="000A106D">
            <w:pPr>
              <w:pStyle w:val="Tabletext"/>
              <w:rPr>
                <w:rFonts w:ascii="Calibri" w:hAnsi="Calibri" w:cs="Calibri"/>
                <w:sz w:val="20"/>
              </w:rPr>
            </w:pPr>
            <w:r>
              <w:rPr>
                <w:rFonts w:ascii="Calibri" w:hAnsi="Calibri" w:cs="Calibri"/>
                <w:sz w:val="20"/>
              </w:rPr>
              <w:t>Volume</w:t>
            </w:r>
          </w:p>
        </w:tc>
        <w:tc>
          <w:tcPr>
            <w:tcW w:w="2877" w:type="dxa"/>
          </w:tcPr>
          <w:p w14:paraId="774B14FF" w14:textId="5D919AD8" w:rsidR="00EB32E8" w:rsidRPr="00C63A98" w:rsidRDefault="00EB32E8" w:rsidP="000A106D">
            <w:pPr>
              <w:pStyle w:val="Tabletext"/>
              <w:rPr>
                <w:rFonts w:ascii="Calibri" w:hAnsi="Calibri" w:cs="Calibri"/>
                <w:sz w:val="20"/>
              </w:rPr>
            </w:pPr>
            <w:r>
              <w:rPr>
                <w:rFonts w:ascii="Calibri" w:hAnsi="Calibri" w:cs="Calibri"/>
                <w:sz w:val="20"/>
              </w:rPr>
              <w:t>About 270 rows</w:t>
            </w:r>
          </w:p>
        </w:tc>
        <w:tc>
          <w:tcPr>
            <w:tcW w:w="4889" w:type="dxa"/>
          </w:tcPr>
          <w:p w14:paraId="16716350" w14:textId="563EE346" w:rsidR="00EB32E8" w:rsidRPr="00C63A98" w:rsidRDefault="00FC42E7" w:rsidP="000A106D">
            <w:pPr>
              <w:pStyle w:val="Tabletext"/>
              <w:rPr>
                <w:rFonts w:ascii="Calibri" w:hAnsi="Calibri" w:cs="Calibri"/>
                <w:sz w:val="20"/>
              </w:rPr>
            </w:pPr>
            <w:r>
              <w:rPr>
                <w:rFonts w:ascii="Calibri" w:hAnsi="Calibri" w:cs="Calibri"/>
                <w:sz w:val="20"/>
              </w:rPr>
              <w:t>When the data has changed since the last load, the whole data set shall be read and saved in one run.</w:t>
            </w:r>
          </w:p>
        </w:tc>
      </w:tr>
      <w:tr w:rsidR="00EB32E8" w:rsidRPr="00C63A98" w14:paraId="48F558CB" w14:textId="77777777" w:rsidTr="00520418">
        <w:trPr>
          <w:cantSplit/>
        </w:trPr>
        <w:tc>
          <w:tcPr>
            <w:tcW w:w="1594" w:type="dxa"/>
          </w:tcPr>
          <w:p w14:paraId="53ACB8E2" w14:textId="52998BFD" w:rsidR="00EB32E8" w:rsidRPr="00C63A98" w:rsidRDefault="00EB32E8" w:rsidP="000A106D">
            <w:pPr>
              <w:pStyle w:val="Tabletext"/>
              <w:rPr>
                <w:rFonts w:ascii="Calibri" w:hAnsi="Calibri" w:cs="Calibri"/>
                <w:sz w:val="20"/>
              </w:rPr>
            </w:pPr>
            <w:r>
              <w:rPr>
                <w:rFonts w:ascii="Calibri" w:hAnsi="Calibri" w:cs="Calibri"/>
                <w:sz w:val="20"/>
              </w:rPr>
              <w:t>Trigger function</w:t>
            </w:r>
          </w:p>
        </w:tc>
        <w:tc>
          <w:tcPr>
            <w:tcW w:w="2877" w:type="dxa"/>
          </w:tcPr>
          <w:p w14:paraId="243DA406" w14:textId="1688EF82" w:rsidR="00EB32E8" w:rsidRPr="00C63A98" w:rsidRDefault="00FC42E7" w:rsidP="000A106D">
            <w:pPr>
              <w:pStyle w:val="Tabletext"/>
              <w:rPr>
                <w:rFonts w:ascii="Calibri" w:hAnsi="Calibri" w:cs="Calibri"/>
                <w:sz w:val="20"/>
              </w:rPr>
            </w:pPr>
            <w:r>
              <w:rPr>
                <w:rFonts w:ascii="Calibri" w:hAnsi="Calibri" w:cs="Calibri"/>
                <w:sz w:val="20"/>
              </w:rPr>
              <w:t>Profisee Data Mapping Trigger Function</w:t>
            </w:r>
          </w:p>
        </w:tc>
        <w:tc>
          <w:tcPr>
            <w:tcW w:w="4889" w:type="dxa"/>
          </w:tcPr>
          <w:p w14:paraId="6BCA3F90" w14:textId="76F63064" w:rsidR="00EB32E8" w:rsidRPr="00C63A98" w:rsidRDefault="00EB32E8" w:rsidP="000A106D">
            <w:pPr>
              <w:pStyle w:val="Tabletext"/>
              <w:rPr>
                <w:rFonts w:ascii="Calibri" w:hAnsi="Calibri" w:cs="Calibri"/>
                <w:sz w:val="20"/>
              </w:rPr>
            </w:pPr>
            <w:r>
              <w:rPr>
                <w:rFonts w:ascii="Calibri" w:hAnsi="Calibri" w:cs="Calibri"/>
                <w:sz w:val="20"/>
              </w:rPr>
              <w:t>Shall be started by a timer every day at a specified time. A user shall also start a run from the Core Capabilities UI, through its existing component for ad hoc integration runs, which shall send the same request to the Request Service.</w:t>
            </w:r>
          </w:p>
        </w:tc>
      </w:tr>
      <w:tr w:rsidR="00EB32E8" w:rsidRPr="00C63A98" w14:paraId="6C046073" w14:textId="77777777" w:rsidTr="00520418">
        <w:trPr>
          <w:cantSplit/>
        </w:trPr>
        <w:tc>
          <w:tcPr>
            <w:tcW w:w="1594" w:type="dxa"/>
          </w:tcPr>
          <w:p w14:paraId="075C49BA" w14:textId="12A0A40D" w:rsidR="00EB32E8" w:rsidRDefault="00EB32E8" w:rsidP="000A106D">
            <w:pPr>
              <w:pStyle w:val="Tabletext"/>
              <w:rPr>
                <w:rFonts w:ascii="Calibri" w:hAnsi="Calibri" w:cs="Calibri"/>
                <w:sz w:val="20"/>
              </w:rPr>
            </w:pPr>
            <w:r>
              <w:rPr>
                <w:rFonts w:ascii="Calibri" w:hAnsi="Calibri" w:cs="Calibri"/>
                <w:sz w:val="20"/>
              </w:rPr>
              <w:t>Request Service</w:t>
            </w:r>
          </w:p>
        </w:tc>
        <w:tc>
          <w:tcPr>
            <w:tcW w:w="2877" w:type="dxa"/>
          </w:tcPr>
          <w:p w14:paraId="7A852036" w14:textId="242E8CB4" w:rsidR="00EB32E8" w:rsidRDefault="00FC42E7" w:rsidP="000A106D">
            <w:pPr>
              <w:pStyle w:val="Tabletext"/>
              <w:rPr>
                <w:rFonts w:ascii="Calibri" w:hAnsi="Calibri" w:cs="Calibri"/>
                <w:sz w:val="20"/>
              </w:rPr>
            </w:pPr>
            <w:r>
              <w:rPr>
                <w:rFonts w:ascii="Calibri" w:hAnsi="Calibri" w:cs="Calibri"/>
                <w:sz w:val="20"/>
              </w:rPr>
              <w:t>Profisee Data Mapping Request Service</w:t>
            </w:r>
          </w:p>
        </w:tc>
        <w:tc>
          <w:tcPr>
            <w:tcW w:w="4889" w:type="dxa"/>
          </w:tcPr>
          <w:p w14:paraId="6031A7EF" w14:textId="4A24E9B6" w:rsidR="00EB32E8" w:rsidRDefault="00EB32E8" w:rsidP="000A106D">
            <w:pPr>
              <w:pStyle w:val="Tabletext"/>
              <w:rPr>
                <w:rFonts w:ascii="Calibri" w:hAnsi="Calibri" w:cs="Calibri"/>
                <w:sz w:val="20"/>
              </w:rPr>
            </w:pPr>
            <w:r>
              <w:rPr>
                <w:rFonts w:ascii="Calibri" w:hAnsi="Calibri" w:cs="Calibri"/>
                <w:sz w:val="20"/>
              </w:rPr>
              <w:t>Shall pass the rows to the stored procedure of the database team, which shall merge them into the IQDM table.</w:t>
            </w:r>
          </w:p>
        </w:tc>
      </w:tr>
      <w:tr w:rsidR="00EB32E8" w:rsidRPr="00C63A98" w14:paraId="1F9E7D47" w14:textId="77777777" w:rsidTr="00520418">
        <w:trPr>
          <w:cantSplit/>
        </w:trPr>
        <w:tc>
          <w:tcPr>
            <w:tcW w:w="1594" w:type="dxa"/>
          </w:tcPr>
          <w:p w14:paraId="7EF519CE" w14:textId="3CCBE341" w:rsidR="00EB32E8" w:rsidRPr="00C63A98" w:rsidRDefault="00EB32E8" w:rsidP="000A106D">
            <w:pPr>
              <w:pStyle w:val="Tabletext"/>
              <w:rPr>
                <w:rFonts w:ascii="Calibri" w:hAnsi="Calibri" w:cs="Calibri"/>
                <w:sz w:val="20"/>
              </w:rPr>
            </w:pPr>
            <w:r>
              <w:rPr>
                <w:rFonts w:ascii="Calibri" w:hAnsi="Calibri" w:cs="Calibri"/>
                <w:sz w:val="20"/>
              </w:rPr>
              <w:t>Durable functions and queues</w:t>
            </w:r>
          </w:p>
        </w:tc>
        <w:tc>
          <w:tcPr>
            <w:tcW w:w="2877" w:type="dxa"/>
          </w:tcPr>
          <w:p w14:paraId="1BEBE1C2" w14:textId="6B6B022A" w:rsidR="00EB32E8" w:rsidRPr="00C63A98" w:rsidRDefault="00FC42E7" w:rsidP="000A106D">
            <w:pPr>
              <w:pStyle w:val="Tabletext"/>
              <w:rPr>
                <w:rFonts w:ascii="Calibri" w:hAnsi="Calibri" w:cs="Calibri"/>
                <w:sz w:val="20"/>
              </w:rPr>
            </w:pPr>
            <w:r>
              <w:rPr>
                <w:rFonts w:ascii="Calibri" w:hAnsi="Calibri" w:cs="Calibri"/>
                <w:sz w:val="20"/>
              </w:rPr>
              <w:t>Profisee Data Mapping Request Durable Function, Profisee Data Mapping Request Queue, Profisee Data Mapping Response Durable Function and Profisee Data Mapping Response Queue</w:t>
            </w:r>
          </w:p>
        </w:tc>
        <w:tc>
          <w:tcPr>
            <w:tcW w:w="4889" w:type="dxa"/>
          </w:tcPr>
          <w:p w14:paraId="434094EF" w14:textId="0C0D6F0A" w:rsidR="00EB32E8" w:rsidRDefault="00EB32E8" w:rsidP="000A106D">
            <w:pPr>
              <w:pStyle w:val="Tabletext"/>
              <w:rPr>
                <w:rFonts w:ascii="Calibri" w:hAnsi="Calibri" w:cs="Calibri"/>
                <w:sz w:val="20"/>
              </w:rPr>
            </w:pPr>
            <w:r>
              <w:rPr>
                <w:rFonts w:ascii="Calibri" w:hAnsi="Calibri" w:cs="Calibri"/>
                <w:sz w:val="20"/>
              </w:rPr>
              <w:t>As in the common integration pattern.</w:t>
            </w:r>
          </w:p>
        </w:tc>
      </w:tr>
      <w:tr w:rsidR="00EB32E8" w:rsidRPr="00C63A98" w14:paraId="55F71A71" w14:textId="77777777" w:rsidTr="00520418">
        <w:trPr>
          <w:cantSplit/>
        </w:trPr>
        <w:tc>
          <w:tcPr>
            <w:tcW w:w="1594" w:type="dxa"/>
          </w:tcPr>
          <w:p w14:paraId="1E38C837" w14:textId="3FEE3374" w:rsidR="00EB32E8" w:rsidRPr="00C63A98" w:rsidRDefault="00EB32E8" w:rsidP="000A106D">
            <w:pPr>
              <w:pStyle w:val="Tabletext"/>
              <w:rPr>
                <w:rFonts w:ascii="Calibri" w:hAnsi="Calibri" w:cs="Calibri"/>
                <w:sz w:val="20"/>
              </w:rPr>
            </w:pPr>
            <w:r>
              <w:rPr>
                <w:rFonts w:ascii="Calibri" w:hAnsi="Calibri" w:cs="Calibri"/>
                <w:sz w:val="20"/>
              </w:rPr>
              <w:t>Response Service</w:t>
            </w:r>
          </w:p>
        </w:tc>
        <w:tc>
          <w:tcPr>
            <w:tcW w:w="2877" w:type="dxa"/>
          </w:tcPr>
          <w:p w14:paraId="03659B09" w14:textId="546E28F8" w:rsidR="00EB32E8" w:rsidRPr="00C63A98" w:rsidRDefault="00FC42E7" w:rsidP="000A106D">
            <w:pPr>
              <w:pStyle w:val="Tabletext"/>
              <w:rPr>
                <w:rFonts w:ascii="Calibri" w:hAnsi="Calibri" w:cs="Calibri"/>
                <w:sz w:val="20"/>
              </w:rPr>
            </w:pPr>
            <w:r>
              <w:rPr>
                <w:rFonts w:ascii="Calibri" w:hAnsi="Calibri" w:cs="Calibri"/>
                <w:sz w:val="20"/>
              </w:rPr>
              <w:t>Profisee Data Mapping Response Service</w:t>
            </w:r>
          </w:p>
        </w:tc>
        <w:tc>
          <w:tcPr>
            <w:tcW w:w="4889" w:type="dxa"/>
          </w:tcPr>
          <w:p w14:paraId="6BF94C75" w14:textId="6BBD6824" w:rsidR="00EB32E8" w:rsidRPr="00C63A98" w:rsidRDefault="00EB32E8" w:rsidP="000A106D">
            <w:pPr>
              <w:pStyle w:val="Tabletext"/>
              <w:rPr>
                <w:rFonts w:ascii="Calibri" w:hAnsi="Calibri" w:cs="Calibri"/>
                <w:sz w:val="20"/>
              </w:rPr>
            </w:pPr>
            <w:r>
              <w:rPr>
                <w:rFonts w:ascii="Calibri" w:hAnsi="Calibri" w:cs="Calibri"/>
                <w:sz w:val="20"/>
              </w:rPr>
              <w:t>Shall read the Terminals Specsheet Master Data from Profisee through the Semantic Service.</w:t>
            </w:r>
          </w:p>
        </w:tc>
      </w:tr>
    </w:tbl>
    <w:p w14:paraId="099690A3" w14:textId="60F69D99" w:rsidR="00EB32E8" w:rsidRDefault="00EB32E8" w:rsidP="00EB32E8">
      <w:pPr>
        <w:pStyle w:val="Caption"/>
      </w:pPr>
      <w:bookmarkStart w:id="261" w:name="_Toc242554040"/>
      <w:r>
        <w:t xml:space="preserve">Table </w:t>
      </w:r>
      <w:bookmarkStart w:id="262" w:name="_Ref917260934"/>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42</w:t>
      </w:r>
      <w:r>
        <w:fldChar w:fldCharType="end"/>
      </w:r>
      <w:bookmarkEnd w:id="262"/>
      <w:r>
        <w:t xml:space="preserve">: </w:t>
      </w:r>
      <w:r w:rsidR="00FC42E7">
        <w:t>Profisee Data Mapping - Specifics</w:t>
      </w:r>
      <w:bookmarkEnd w:id="261"/>
    </w:p>
    <w:p w14:paraId="5A2CDB4A" w14:textId="4F73189D" w:rsidR="00EB32E8" w:rsidRDefault="00EB32E8" w:rsidP="00EB32E8">
      <w:pPr>
        <w:pStyle w:val="Heading6"/>
        <w:rPr>
          <w:rFonts w:ascii="Calibri" w:hAnsi="Calibri" w:cs="Calibri"/>
          <w:sz w:val="20"/>
        </w:rPr>
      </w:pPr>
      <w:r>
        <w:rPr>
          <w:rFonts w:ascii="Calibri" w:hAnsi="Calibri" w:cs="Calibri"/>
          <w:sz w:val="20"/>
        </w:rPr>
        <w:t>API Endpoints</w:t>
      </w:r>
    </w:p>
    <w:p w14:paraId="2FD7AE2B" w14:textId="686747B2" w:rsidR="00FC42E7" w:rsidRPr="00EC3682" w:rsidRDefault="00FC42E7" w:rsidP="00FC42E7">
      <w:pPr>
        <w:pStyle w:val="ListParagraph"/>
        <w:numPr>
          <w:ilvl w:val="0"/>
          <w:numId w:val="4"/>
        </w:numPr>
        <w:jc w:val="left"/>
        <w:rPr>
          <w:rFonts w:ascii="Calibri" w:hAnsi="Calibri" w:cs="Calibri"/>
        </w:rPr>
      </w:pPr>
      <w:r>
        <w:t>The Profisee Data Mapping Request Service shall be the API endpoint that gives the Terminals Specsheet Master Data from Profisee.</w:t>
      </w:r>
    </w:p>
    <w:p w14:paraId="78363F85" w14:textId="47A5A296" w:rsidR="009C3F56" w:rsidRPr="00EC3682" w:rsidRDefault="009C3F56" w:rsidP="009C3F56">
      <w:pPr>
        <w:pStyle w:val="ListParagraph"/>
        <w:numPr>
          <w:ilvl w:val="0"/>
          <w:numId w:val="4"/>
        </w:numPr>
        <w:jc w:val="left"/>
        <w:rPr>
          <w:rFonts w:ascii="Calibri" w:hAnsi="Calibri" w:cs="Calibri"/>
        </w:rPr>
      </w:pPr>
      <w:r>
        <w:t>The Profisee Data Mapping Request Service shall be called at POST api/v1/ProfiseeDataMapping/GetTerminalSpecsheetMasterData, and the Profisee Data Mapping Response Service at POST api/v1/ProfiseeDataMapping/GetTerminalSpecsheetMasterDataFromSource.</w:t>
      </w:r>
    </w:p>
    <w:p w14:paraId="4F98ADF7" w14:textId="2B733E8D" w:rsidR="00EB32E8" w:rsidRPr="0081216E" w:rsidRDefault="00EB32E8" w:rsidP="00FC42E7">
      <w:pPr>
        <w:keepNext/>
        <w:jc w:val="left"/>
        <w:rPr>
          <w:rFonts w:ascii="Calibri" w:hAnsi="Calibri" w:cs="Calibri"/>
        </w:rPr>
      </w:pPr>
      <w:r>
        <w:rPr>
          <w:rFonts w:ascii="Calibri" w:hAnsi="Calibri" w:cs="Calibri"/>
        </w:rPr>
        <w:t>Request Parameters: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4443"/>
        <w:gridCol w:w="1423"/>
        <w:gridCol w:w="1491"/>
      </w:tblGrid>
      <w:tr w:rsidR="00EB32E8" w:rsidRPr="00C63A98" w14:paraId="3EB94423" w14:textId="77777777" w:rsidTr="00C63A98">
        <w:trPr>
          <w:cantSplit/>
          <w:tblHeader/>
        </w:trPr>
        <w:tc>
          <w:tcPr>
            <w:tcW w:w="2003" w:type="dxa"/>
            <w:shd w:val="clear" w:color="auto" w:fill="2F5597"/>
          </w:tcPr>
          <w:p w14:paraId="2410CDAA" w14:textId="77777777" w:rsidR="00EB32E8" w:rsidRPr="00C63A98" w:rsidRDefault="00EB32E8" w:rsidP="00AA30D8">
            <w:pPr>
              <w:pStyle w:val="Tablehead1"/>
              <w:rPr>
                <w:rFonts w:ascii="Calibri" w:hAnsi="Calibri" w:cs="Calibri"/>
                <w:sz w:val="20"/>
              </w:rPr>
            </w:pPr>
            <w:r w:rsidRPr="00C63A98">
              <w:rPr>
                <w:rFonts w:ascii="Calibri" w:hAnsi="Calibri" w:cs="Calibri"/>
                <w:sz w:val="20"/>
              </w:rPr>
              <w:t>Parameter</w:t>
            </w:r>
          </w:p>
        </w:tc>
        <w:tc>
          <w:tcPr>
            <w:tcW w:w="4443" w:type="dxa"/>
            <w:shd w:val="clear" w:color="auto" w:fill="2F5597"/>
          </w:tcPr>
          <w:p w14:paraId="33AEB585" w14:textId="77777777" w:rsidR="00EB32E8" w:rsidRPr="00C63A98" w:rsidRDefault="00EB32E8" w:rsidP="00AA30D8">
            <w:pPr>
              <w:pStyle w:val="Tablehead1"/>
              <w:rPr>
                <w:rFonts w:ascii="Calibri" w:hAnsi="Calibri" w:cs="Calibri"/>
                <w:sz w:val="20"/>
              </w:rPr>
            </w:pPr>
            <w:r w:rsidRPr="00C63A98">
              <w:rPr>
                <w:rFonts w:ascii="Calibri" w:hAnsi="Calibri" w:cs="Calibri"/>
                <w:sz w:val="20"/>
              </w:rPr>
              <w:t>Description</w:t>
            </w:r>
          </w:p>
        </w:tc>
        <w:tc>
          <w:tcPr>
            <w:tcW w:w="1423" w:type="dxa"/>
            <w:shd w:val="clear" w:color="auto" w:fill="2F5597"/>
          </w:tcPr>
          <w:p w14:paraId="50768316" w14:textId="77777777" w:rsidR="00EB32E8" w:rsidRPr="00C63A98" w:rsidRDefault="00EB32E8" w:rsidP="00AA30D8">
            <w:pPr>
              <w:pStyle w:val="Tablehead1"/>
              <w:rPr>
                <w:rFonts w:ascii="Calibri" w:hAnsi="Calibri" w:cs="Calibri"/>
                <w:sz w:val="20"/>
              </w:rPr>
            </w:pPr>
            <w:r w:rsidRPr="00C63A98">
              <w:rPr>
                <w:rFonts w:ascii="Calibri" w:hAnsi="Calibri" w:cs="Calibri"/>
                <w:sz w:val="20"/>
              </w:rPr>
              <w:t>Mandatory</w:t>
            </w:r>
          </w:p>
        </w:tc>
        <w:tc>
          <w:tcPr>
            <w:tcW w:w="1491" w:type="dxa"/>
            <w:shd w:val="clear" w:color="auto" w:fill="2F5597"/>
          </w:tcPr>
          <w:p w14:paraId="6D8FBFAD" w14:textId="77777777" w:rsidR="00EB32E8" w:rsidRPr="00C63A98" w:rsidRDefault="00EB32E8" w:rsidP="00AA30D8">
            <w:pPr>
              <w:pStyle w:val="Tablehead1"/>
              <w:rPr>
                <w:rFonts w:ascii="Calibri" w:hAnsi="Calibri" w:cs="Calibri"/>
                <w:sz w:val="20"/>
              </w:rPr>
            </w:pPr>
            <w:r w:rsidRPr="00C63A98">
              <w:rPr>
                <w:rFonts w:ascii="Calibri" w:hAnsi="Calibri" w:cs="Calibri"/>
                <w:sz w:val="20"/>
              </w:rPr>
              <w:t>Type</w:t>
            </w:r>
          </w:p>
        </w:tc>
      </w:tr>
      <w:tr w:rsidR="00EB32E8" w:rsidRPr="00C63A98" w14:paraId="44070EEA" w14:textId="77777777" w:rsidTr="00C63A98">
        <w:trPr>
          <w:cantSplit/>
        </w:trPr>
        <w:tc>
          <w:tcPr>
            <w:tcW w:w="2003" w:type="dxa"/>
          </w:tcPr>
          <w:p w14:paraId="6477C8F5" w14:textId="5EE68217" w:rsidR="00EB32E8" w:rsidRPr="00C63A98" w:rsidRDefault="00EB32E8" w:rsidP="00AA30D8">
            <w:pPr>
              <w:pStyle w:val="Tabletext"/>
              <w:keepNext/>
              <w:rPr>
                <w:rFonts w:ascii="Calibri" w:hAnsi="Calibri" w:cs="Calibri"/>
                <w:sz w:val="20"/>
              </w:rPr>
            </w:pPr>
            <w:r>
              <w:rPr>
                <w:rFonts w:ascii="Calibri" w:hAnsi="Calibri" w:cs="Calibri"/>
                <w:sz w:val="20"/>
              </w:rPr>
              <w:t>IsImport</w:t>
            </w:r>
          </w:p>
        </w:tc>
        <w:tc>
          <w:tcPr>
            <w:tcW w:w="4443" w:type="dxa"/>
          </w:tcPr>
          <w:p w14:paraId="62653B77" w14:textId="0DC7751A" w:rsidR="00EB32E8" w:rsidRPr="00C63A98" w:rsidRDefault="00EB32E8" w:rsidP="00AA30D8">
            <w:pPr>
              <w:pStyle w:val="Tabletext"/>
              <w:keepNext/>
              <w:rPr>
                <w:rFonts w:ascii="Calibri" w:hAnsi="Calibri" w:cs="Calibri"/>
                <w:sz w:val="20"/>
              </w:rPr>
            </w:pPr>
            <w:r>
              <w:rPr>
                <w:rFonts w:ascii="Calibri" w:hAnsi="Calibri" w:cs="Calibri"/>
                <w:sz w:val="20"/>
              </w:rPr>
              <w:t>True: the data shall be returned to the caller. False or not sent: the data shall be saved in the IQDM database</w:t>
            </w:r>
          </w:p>
        </w:tc>
        <w:tc>
          <w:tcPr>
            <w:tcW w:w="1423" w:type="dxa"/>
          </w:tcPr>
          <w:p w14:paraId="60A7239D" w14:textId="45A09A73" w:rsidR="00EB32E8" w:rsidRPr="00C63A98" w:rsidRDefault="00EB32E8" w:rsidP="00AA30D8">
            <w:pPr>
              <w:pStyle w:val="Tabletext"/>
              <w:keepNext/>
              <w:rPr>
                <w:rFonts w:ascii="Calibri" w:hAnsi="Calibri" w:cs="Calibri"/>
                <w:sz w:val="20"/>
              </w:rPr>
            </w:pPr>
            <w:r>
              <w:rPr>
                <w:rFonts w:ascii="Calibri" w:hAnsi="Calibri" w:cs="Calibri"/>
                <w:sz w:val="20"/>
              </w:rPr>
              <w:t>No</w:t>
            </w:r>
          </w:p>
        </w:tc>
        <w:tc>
          <w:tcPr>
            <w:tcW w:w="1491" w:type="dxa"/>
          </w:tcPr>
          <w:p w14:paraId="070E20A5" w14:textId="0D5A3CD3" w:rsidR="00EB32E8" w:rsidRPr="00C63A98" w:rsidRDefault="00EB32E8" w:rsidP="00AA30D8">
            <w:pPr>
              <w:pStyle w:val="Tabletext"/>
              <w:keepNext/>
              <w:rPr>
                <w:rFonts w:ascii="Calibri" w:hAnsi="Calibri" w:cs="Calibri"/>
                <w:sz w:val="20"/>
              </w:rPr>
            </w:pPr>
            <w:r>
              <w:rPr>
                <w:rFonts w:ascii="Calibri" w:hAnsi="Calibri" w:cs="Calibri"/>
                <w:sz w:val="20"/>
              </w:rPr>
              <w:t>Boolean</w:t>
            </w:r>
          </w:p>
        </w:tc>
      </w:tr>
      <w:tr w:rsidR="00EB32E8" w:rsidRPr="00C63A98" w14:paraId="77752F31" w14:textId="77777777" w:rsidTr="00C63A98">
        <w:trPr>
          <w:cantSplit/>
        </w:trPr>
        <w:tc>
          <w:tcPr>
            <w:tcW w:w="2003" w:type="dxa"/>
          </w:tcPr>
          <w:p w14:paraId="5DD410F4" w14:textId="6FBB6448" w:rsidR="00EB32E8" w:rsidRPr="00C63A98" w:rsidRDefault="00EB32E8" w:rsidP="00AA30D8">
            <w:pPr>
              <w:pStyle w:val="Tabletext"/>
              <w:keepNext/>
              <w:rPr>
                <w:rFonts w:ascii="Calibri" w:hAnsi="Calibri" w:cs="Calibri"/>
                <w:sz w:val="20"/>
              </w:rPr>
            </w:pPr>
            <w:r>
              <w:rPr>
                <w:rFonts w:ascii="Calibri" w:hAnsi="Calibri" w:cs="Calibri"/>
                <w:sz w:val="20"/>
              </w:rPr>
              <w:t>UseServiceBus</w:t>
            </w:r>
          </w:p>
        </w:tc>
        <w:tc>
          <w:tcPr>
            <w:tcW w:w="4443" w:type="dxa"/>
          </w:tcPr>
          <w:p w14:paraId="2B9B5AB3" w14:textId="295D24FF" w:rsidR="00EB32E8" w:rsidRPr="00C63A98" w:rsidRDefault="00EB32E8" w:rsidP="00AA30D8">
            <w:pPr>
              <w:pStyle w:val="Tabletext"/>
              <w:keepNext/>
              <w:rPr>
                <w:rFonts w:ascii="Calibri" w:hAnsi="Calibri" w:cs="Calibri"/>
                <w:sz w:val="20"/>
              </w:rPr>
            </w:pPr>
            <w:r>
              <w:rPr>
                <w:rFonts w:ascii="Calibri" w:hAnsi="Calibri" w:cs="Calibri"/>
                <w:sz w:val="20"/>
              </w:rPr>
              <w:t>True or not sent: the request shall go through the durable functions and queues. False: the Response Service shall be called directly</w:t>
            </w:r>
          </w:p>
        </w:tc>
        <w:tc>
          <w:tcPr>
            <w:tcW w:w="1423" w:type="dxa"/>
          </w:tcPr>
          <w:p w14:paraId="01F35AC0" w14:textId="27B0884E" w:rsidR="00EB32E8" w:rsidRPr="00C63A98" w:rsidRDefault="00EB32E8" w:rsidP="00AA30D8">
            <w:pPr>
              <w:pStyle w:val="Tabletext"/>
              <w:keepNext/>
              <w:rPr>
                <w:rFonts w:ascii="Calibri" w:hAnsi="Calibri" w:cs="Calibri"/>
                <w:sz w:val="20"/>
              </w:rPr>
            </w:pPr>
            <w:r>
              <w:rPr>
                <w:rFonts w:ascii="Calibri" w:hAnsi="Calibri" w:cs="Calibri"/>
                <w:sz w:val="20"/>
              </w:rPr>
              <w:t>No</w:t>
            </w:r>
          </w:p>
        </w:tc>
        <w:tc>
          <w:tcPr>
            <w:tcW w:w="1491" w:type="dxa"/>
          </w:tcPr>
          <w:p w14:paraId="6FED236E" w14:textId="082FB711" w:rsidR="00EB32E8" w:rsidRPr="00C63A98" w:rsidRDefault="00EB32E8" w:rsidP="00AA30D8">
            <w:pPr>
              <w:pStyle w:val="Tabletext"/>
              <w:keepNext/>
              <w:rPr>
                <w:rFonts w:ascii="Calibri" w:hAnsi="Calibri" w:cs="Calibri"/>
                <w:sz w:val="20"/>
              </w:rPr>
            </w:pPr>
            <w:r>
              <w:rPr>
                <w:rFonts w:ascii="Calibri" w:hAnsi="Calibri" w:cs="Calibri"/>
                <w:sz w:val="20"/>
              </w:rPr>
              <w:t>Boolean</w:t>
            </w:r>
          </w:p>
        </w:tc>
      </w:tr>
      <w:tr w:rsidR="00FC42E7" w:rsidRPr="00C63A98" w14:paraId="45172DFB" w14:textId="77777777" w:rsidTr="00C63A98">
        <w:trPr>
          <w:cantSplit/>
        </w:trPr>
        <w:tc>
          <w:tcPr>
            <w:tcW w:w="2003" w:type="dxa"/>
          </w:tcPr>
          <w:p w14:paraId="044B0671" w14:textId="25FFE70D" w:rsidR="00FC42E7" w:rsidRDefault="00FC42E7" w:rsidP="00AA30D8">
            <w:pPr>
              <w:pStyle w:val="Tabletext"/>
              <w:keepNext/>
              <w:rPr>
                <w:rFonts w:ascii="Calibri" w:hAnsi="Calibri" w:cs="Calibri"/>
                <w:sz w:val="20"/>
              </w:rPr>
            </w:pPr>
            <w:r>
              <w:rPr>
                <w:rFonts w:ascii="Calibri" w:hAnsi="Calibri" w:cs="Calibri"/>
                <w:sz w:val="20"/>
              </w:rPr>
              <w:t>LastUpdatedOn</w:t>
            </w:r>
          </w:p>
        </w:tc>
        <w:tc>
          <w:tcPr>
            <w:tcW w:w="4443" w:type="dxa"/>
          </w:tcPr>
          <w:p w14:paraId="4D42DF36" w14:textId="200BBF28" w:rsidR="00FC42E7" w:rsidRDefault="00FC42E7" w:rsidP="00AA30D8">
            <w:pPr>
              <w:pStyle w:val="Tabletext"/>
              <w:keepNext/>
              <w:rPr>
                <w:rFonts w:ascii="Calibri" w:hAnsi="Calibri" w:cs="Calibri"/>
                <w:sz w:val="20"/>
              </w:rPr>
            </w:pPr>
            <w:r>
              <w:rPr>
                <w:rFonts w:ascii="Calibri" w:hAnsi="Calibri" w:cs="Calibri"/>
                <w:sz w:val="20"/>
              </w:rPr>
              <w:t>Sent by the Request Service: the time of the last successful load, taken from the vcb_terminal_specsheet_master table. The Response Service shall return the data only when it has changed in Profisee after this time. At the first load, LastUpdatedOn shall not be sent and the whole data set shall be returned.</w:t>
            </w:r>
          </w:p>
        </w:tc>
        <w:tc>
          <w:tcPr>
            <w:tcW w:w="1423" w:type="dxa"/>
          </w:tcPr>
          <w:p w14:paraId="197A035F" w14:textId="6B944D57" w:rsidR="00FC42E7" w:rsidRDefault="00FC42E7" w:rsidP="00AA30D8">
            <w:pPr>
              <w:pStyle w:val="Tabletext"/>
              <w:keepNext/>
              <w:rPr>
                <w:rFonts w:ascii="Calibri" w:hAnsi="Calibri" w:cs="Calibri"/>
                <w:sz w:val="20"/>
              </w:rPr>
            </w:pPr>
            <w:r>
              <w:rPr>
                <w:rFonts w:ascii="Calibri" w:hAnsi="Calibri" w:cs="Calibri"/>
                <w:sz w:val="20"/>
              </w:rPr>
              <w:t>No</w:t>
            </w:r>
          </w:p>
        </w:tc>
        <w:tc>
          <w:tcPr>
            <w:tcW w:w="1491" w:type="dxa"/>
          </w:tcPr>
          <w:p w14:paraId="78E00470" w14:textId="3367E3F0" w:rsidR="00FC42E7" w:rsidRDefault="00FC42E7" w:rsidP="00AA30D8">
            <w:pPr>
              <w:pStyle w:val="Tabletext"/>
              <w:keepNext/>
              <w:rPr>
                <w:rFonts w:ascii="Calibri" w:hAnsi="Calibri" w:cs="Calibri"/>
                <w:sz w:val="20"/>
              </w:rPr>
            </w:pPr>
            <w:r>
              <w:rPr>
                <w:rFonts w:ascii="Calibri" w:hAnsi="Calibri" w:cs="Calibri"/>
                <w:sz w:val="20"/>
              </w:rPr>
              <w:t>DateTime</w:t>
            </w:r>
          </w:p>
        </w:tc>
      </w:tr>
    </w:tbl>
    <w:p w14:paraId="736A9348" w14:textId="2313F877" w:rsidR="00EB32E8" w:rsidRDefault="00EB32E8" w:rsidP="00EB32E8">
      <w:pPr>
        <w:pStyle w:val="Caption"/>
      </w:pPr>
      <w:bookmarkStart w:id="263" w:name="_Toc242554041"/>
      <w:r>
        <w:t xml:space="preserve">Table </w:t>
      </w:r>
      <w:bookmarkStart w:id="264" w:name="_Ref917260921"/>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43</w:t>
      </w:r>
      <w:r>
        <w:fldChar w:fldCharType="end"/>
      </w:r>
      <w:bookmarkEnd w:id="264"/>
      <w:r>
        <w:t xml:space="preserve">: </w:t>
      </w:r>
      <w:r w:rsidR="00687F84">
        <w:t>Profisee Data Mapping - API Endpoint - Request Parameters</w:t>
      </w:r>
      <w:bookmarkEnd w:id="263"/>
    </w:p>
    <w:p w14:paraId="4A54D8D3" w14:textId="3CF61A65" w:rsidR="00EB32E8" w:rsidRPr="0081216E" w:rsidRDefault="00EB32E8" w:rsidP="00FC42E7">
      <w:pPr>
        <w:keepNext/>
        <w:jc w:val="left"/>
        <w:rPr>
          <w:rFonts w:ascii="Calibri" w:hAnsi="Calibri" w:cs="Calibri"/>
        </w:rPr>
      </w:pPr>
      <w:r>
        <w:rPr>
          <w:rFonts w:ascii="Calibri" w:hAnsi="Calibri" w:cs="Calibri"/>
        </w:rPr>
        <w:t>Response Model:</w:t>
      </w:r>
    </w:p>
    <w:tbl>
      <w:tblPr>
        <w:tblStyle w:val="TableGrid"/>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06"/>
        <w:gridCol w:w="1590"/>
        <w:gridCol w:w="1216"/>
        <w:gridCol w:w="1216"/>
        <w:gridCol w:w="1122"/>
        <w:gridCol w:w="1404"/>
      </w:tblGrid>
      <w:tr w:rsidR="00EB32E8" w:rsidRPr="00C63A98" w14:paraId="4F0C4625" w14:textId="77777777" w:rsidTr="00D0687B">
        <w:trPr>
          <w:cantSplit/>
          <w:tblHeader/>
        </w:trPr>
        <w:tc>
          <w:tcPr>
            <w:tcW w:w="2806" w:type="dxa"/>
            <w:shd w:val="clear" w:color="auto" w:fill="2F5597"/>
          </w:tcPr>
          <w:p w14:paraId="74DD1397" w14:textId="77777777" w:rsidR="00EB32E8" w:rsidRPr="00C63A98" w:rsidRDefault="00EB32E8" w:rsidP="00C63A98">
            <w:pPr>
              <w:pStyle w:val="Tablehead1"/>
              <w:rPr>
                <w:rFonts w:ascii="Calibri" w:hAnsi="Calibri" w:cs="Calibri"/>
                <w:sz w:val="20"/>
              </w:rPr>
            </w:pPr>
            <w:r w:rsidRPr="00C63A98">
              <w:rPr>
                <w:rFonts w:ascii="Calibri" w:hAnsi="Calibri" w:cs="Calibri"/>
                <w:sz w:val="20"/>
              </w:rPr>
              <w:t>Attribute</w:t>
            </w:r>
          </w:p>
        </w:tc>
        <w:tc>
          <w:tcPr>
            <w:tcW w:w="1590" w:type="dxa"/>
            <w:shd w:val="clear" w:color="auto" w:fill="2F5597"/>
          </w:tcPr>
          <w:p w14:paraId="60458B5A" w14:textId="77777777" w:rsidR="00EB32E8" w:rsidRPr="00C63A98" w:rsidRDefault="00EB32E8" w:rsidP="00C63A98">
            <w:pPr>
              <w:pStyle w:val="Tablehead1"/>
              <w:rPr>
                <w:rFonts w:ascii="Calibri" w:hAnsi="Calibri" w:cs="Calibri"/>
                <w:sz w:val="20"/>
              </w:rPr>
            </w:pPr>
            <w:r w:rsidRPr="00C63A98">
              <w:rPr>
                <w:rFonts w:ascii="Calibri" w:hAnsi="Calibri" w:cs="Calibri"/>
                <w:sz w:val="20"/>
              </w:rPr>
              <w:t>Description</w:t>
            </w:r>
          </w:p>
        </w:tc>
        <w:tc>
          <w:tcPr>
            <w:tcW w:w="1216" w:type="dxa"/>
            <w:shd w:val="clear" w:color="auto" w:fill="2F5597"/>
          </w:tcPr>
          <w:p w14:paraId="66FFF381" w14:textId="77777777" w:rsidR="00EB32E8" w:rsidRPr="00C63A98" w:rsidRDefault="00EB32E8" w:rsidP="00C63A98">
            <w:pPr>
              <w:pStyle w:val="Tablehead1"/>
              <w:rPr>
                <w:rFonts w:ascii="Calibri" w:hAnsi="Calibri" w:cs="Calibri"/>
                <w:sz w:val="20"/>
              </w:rPr>
            </w:pPr>
            <w:r w:rsidRPr="00C63A98">
              <w:rPr>
                <w:rFonts w:ascii="Calibri" w:hAnsi="Calibri" w:cs="Calibri"/>
                <w:sz w:val="20"/>
              </w:rPr>
              <w:t>Mandatory</w:t>
            </w:r>
          </w:p>
        </w:tc>
        <w:tc>
          <w:tcPr>
            <w:tcW w:w="1216" w:type="dxa"/>
            <w:shd w:val="clear" w:color="auto" w:fill="2F5597"/>
          </w:tcPr>
          <w:p w14:paraId="042D86B7" w14:textId="77777777" w:rsidR="00EB32E8" w:rsidRPr="00C63A98" w:rsidRDefault="00EB32E8" w:rsidP="00C63A98">
            <w:pPr>
              <w:pStyle w:val="Tablehead1"/>
              <w:rPr>
                <w:rFonts w:ascii="Calibri" w:hAnsi="Calibri" w:cs="Calibri"/>
                <w:sz w:val="20"/>
              </w:rPr>
            </w:pPr>
            <w:r w:rsidRPr="00C63A98">
              <w:rPr>
                <w:rFonts w:ascii="Calibri" w:hAnsi="Calibri" w:cs="Calibri"/>
                <w:sz w:val="20"/>
              </w:rPr>
              <w:t>Composite Key</w:t>
            </w:r>
          </w:p>
        </w:tc>
        <w:tc>
          <w:tcPr>
            <w:tcW w:w="1122" w:type="dxa"/>
            <w:shd w:val="clear" w:color="auto" w:fill="2F5597"/>
          </w:tcPr>
          <w:p w14:paraId="6195CEB4" w14:textId="77777777" w:rsidR="00EB32E8" w:rsidRPr="00C63A98" w:rsidRDefault="00EB32E8" w:rsidP="00C63A98">
            <w:pPr>
              <w:pStyle w:val="Tablehead1"/>
              <w:rPr>
                <w:rFonts w:ascii="Calibri" w:hAnsi="Calibri" w:cs="Calibri"/>
                <w:sz w:val="20"/>
              </w:rPr>
            </w:pPr>
            <w:r w:rsidRPr="00C63A98">
              <w:rPr>
                <w:rFonts w:ascii="Calibri" w:hAnsi="Calibri" w:cs="Calibri"/>
                <w:sz w:val="20"/>
              </w:rPr>
              <w:t>Type</w:t>
            </w:r>
          </w:p>
        </w:tc>
        <w:tc>
          <w:tcPr>
            <w:tcW w:w="1404" w:type="dxa"/>
            <w:shd w:val="clear" w:color="auto" w:fill="2F5597"/>
          </w:tcPr>
          <w:p w14:paraId="4B27C062" w14:textId="77777777" w:rsidR="00EB32E8" w:rsidRPr="00C63A98" w:rsidRDefault="00EB32E8" w:rsidP="00C63A98">
            <w:pPr>
              <w:pStyle w:val="Tablehead1"/>
              <w:rPr>
                <w:rFonts w:ascii="Calibri" w:hAnsi="Calibri" w:cs="Calibri"/>
                <w:sz w:val="20"/>
              </w:rPr>
            </w:pPr>
            <w:r w:rsidRPr="00C63A98">
              <w:rPr>
                <w:rFonts w:ascii="Calibri" w:hAnsi="Calibri" w:cs="Calibri"/>
                <w:sz w:val="20"/>
              </w:rPr>
              <w:t>Example</w:t>
            </w:r>
          </w:p>
        </w:tc>
      </w:tr>
      <w:tr w:rsidR="00EB32E8" w:rsidRPr="00C63A98" w14:paraId="0B7019CE" w14:textId="77777777" w:rsidTr="00D0687B">
        <w:trPr>
          <w:cantSplit/>
        </w:trPr>
        <w:tc>
          <w:tcPr>
            <w:tcW w:w="2806" w:type="dxa"/>
          </w:tcPr>
          <w:p w14:paraId="24EBCB6A" w14:textId="520C5D67" w:rsidR="00EB32E8" w:rsidRPr="00C63A98" w:rsidRDefault="00EB32E8" w:rsidP="00C63A98">
            <w:pPr>
              <w:pStyle w:val="Tabletext"/>
              <w:rPr>
                <w:rFonts w:ascii="Calibri" w:hAnsi="Calibri" w:cs="Calibri"/>
                <w:sz w:val="20"/>
              </w:rPr>
            </w:pPr>
            <w:r>
              <w:rPr>
                <w:rFonts w:ascii="Calibri" w:hAnsi="Calibri" w:cs="Calibri"/>
                <w:sz w:val="20"/>
              </w:rPr>
              <w:t>Source</w:t>
            </w:r>
          </w:p>
        </w:tc>
        <w:tc>
          <w:tcPr>
            <w:tcW w:w="1590" w:type="dxa"/>
          </w:tcPr>
          <w:p w14:paraId="04E77069" w14:textId="198AFD61" w:rsidR="00EB32E8" w:rsidRPr="00C63A98" w:rsidRDefault="00EB32E8" w:rsidP="00C63A98">
            <w:pPr>
              <w:pStyle w:val="Tabletext"/>
              <w:rPr>
                <w:rFonts w:ascii="Calibri" w:hAnsi="Calibri" w:cs="Calibri"/>
                <w:sz w:val="20"/>
              </w:rPr>
            </w:pPr>
            <w:r>
              <w:rPr>
                <w:rFonts w:ascii="Calibri" w:hAnsi="Calibri" w:cs="Calibri"/>
                <w:sz w:val="20"/>
              </w:rPr>
              <w:t>Source refinery of the specification sheet</w:t>
            </w:r>
          </w:p>
        </w:tc>
        <w:tc>
          <w:tcPr>
            <w:tcW w:w="1216" w:type="dxa"/>
          </w:tcPr>
          <w:p w14:paraId="3DD029E3" w14:textId="6FDE2C9F" w:rsidR="00EB32E8" w:rsidRPr="00C63A98" w:rsidRDefault="00EB32E8" w:rsidP="00C63A98">
            <w:pPr>
              <w:pStyle w:val="Tabletext"/>
              <w:rPr>
                <w:rFonts w:ascii="Calibri" w:hAnsi="Calibri" w:cs="Calibri"/>
                <w:sz w:val="20"/>
              </w:rPr>
            </w:pPr>
            <w:r>
              <w:rPr>
                <w:rFonts w:ascii="Calibri" w:hAnsi="Calibri" w:cs="Calibri"/>
                <w:sz w:val="20"/>
              </w:rPr>
              <w:t>Yes</w:t>
            </w:r>
          </w:p>
        </w:tc>
        <w:tc>
          <w:tcPr>
            <w:tcW w:w="1216" w:type="dxa"/>
          </w:tcPr>
          <w:p w14:paraId="75E3B6B7" w14:textId="1AD49651" w:rsidR="00EB32E8" w:rsidRPr="00C63A98" w:rsidRDefault="00EB32E8" w:rsidP="00C63A98">
            <w:pPr>
              <w:pStyle w:val="Tabletext"/>
              <w:rPr>
                <w:rFonts w:ascii="Calibri" w:hAnsi="Calibri" w:cs="Calibri"/>
                <w:sz w:val="20"/>
              </w:rPr>
            </w:pPr>
            <w:r>
              <w:rPr>
                <w:rFonts w:ascii="Calibri" w:hAnsi="Calibri" w:cs="Calibri"/>
                <w:sz w:val="20"/>
              </w:rPr>
              <w:t>Yes</w:t>
            </w:r>
          </w:p>
        </w:tc>
        <w:tc>
          <w:tcPr>
            <w:tcW w:w="1122" w:type="dxa"/>
          </w:tcPr>
          <w:p w14:paraId="3BE56EBC" w14:textId="11560B72" w:rsidR="00EB32E8" w:rsidRPr="00C63A98" w:rsidRDefault="00EB32E8" w:rsidP="00C63A98">
            <w:pPr>
              <w:pStyle w:val="Tabletext"/>
              <w:rPr>
                <w:rFonts w:ascii="Calibri" w:hAnsi="Calibri" w:cs="Calibri"/>
                <w:sz w:val="20"/>
              </w:rPr>
            </w:pPr>
            <w:r>
              <w:rPr>
                <w:rFonts w:ascii="Calibri" w:hAnsi="Calibri" w:cs="Calibri"/>
                <w:sz w:val="20"/>
              </w:rPr>
              <w:t>String</w:t>
            </w:r>
          </w:p>
        </w:tc>
        <w:tc>
          <w:tcPr>
            <w:tcW w:w="1404" w:type="dxa"/>
          </w:tcPr>
          <w:p w14:paraId="6BD5FDA2" w14:textId="2D01D05C" w:rsidR="00EB32E8" w:rsidRPr="00C63A98" w:rsidRDefault="00EB32E8" w:rsidP="00C63A98">
            <w:pPr>
              <w:pStyle w:val="Tabletext"/>
              <w:rPr>
                <w:rFonts w:ascii="Calibri" w:hAnsi="Calibri" w:cs="Calibri"/>
                <w:sz w:val="20"/>
              </w:rPr>
            </w:pPr>
            <w:r>
              <w:rPr>
                <w:rFonts w:ascii="Calibri" w:hAnsi="Calibri" w:cs="Calibri"/>
                <w:sz w:val="20"/>
              </w:rPr>
              <w:t>Robinson, IL : MPC Refinery</w:t>
            </w:r>
          </w:p>
        </w:tc>
      </w:tr>
      <w:tr w:rsidR="00EB32E8" w:rsidRPr="00C63A98" w14:paraId="10AA1EEB" w14:textId="77777777" w:rsidTr="00D0687B">
        <w:trPr>
          <w:cantSplit/>
        </w:trPr>
        <w:tc>
          <w:tcPr>
            <w:tcW w:w="2806" w:type="dxa"/>
          </w:tcPr>
          <w:p w14:paraId="669AA151" w14:textId="40FE9089" w:rsidR="00EB32E8" w:rsidRPr="00C63A98" w:rsidRDefault="00EB32E8" w:rsidP="00C63A98">
            <w:pPr>
              <w:pStyle w:val="Tabletext"/>
              <w:rPr>
                <w:rFonts w:ascii="Calibri" w:hAnsi="Calibri" w:cs="Calibri"/>
                <w:sz w:val="20"/>
              </w:rPr>
            </w:pPr>
            <w:r>
              <w:rPr>
                <w:rFonts w:ascii="Calibri" w:hAnsi="Calibri" w:cs="Calibri"/>
                <w:sz w:val="20"/>
              </w:rPr>
              <w:t>Product</w:t>
            </w:r>
          </w:p>
        </w:tc>
        <w:tc>
          <w:tcPr>
            <w:tcW w:w="1590" w:type="dxa"/>
          </w:tcPr>
          <w:p w14:paraId="552B8414" w14:textId="51B44C89" w:rsidR="00EB32E8" w:rsidRPr="00C63A98" w:rsidRDefault="00EB32E8" w:rsidP="00C63A98">
            <w:pPr>
              <w:pStyle w:val="Tabletext"/>
              <w:rPr>
                <w:rFonts w:ascii="Calibri" w:hAnsi="Calibri" w:cs="Calibri"/>
                <w:sz w:val="20"/>
              </w:rPr>
            </w:pPr>
            <w:r>
              <w:rPr>
                <w:rFonts w:ascii="Calibri" w:hAnsi="Calibri" w:cs="Calibri"/>
                <w:sz w:val="20"/>
              </w:rPr>
              <w:t>Product of the specification sheet</w:t>
            </w:r>
          </w:p>
        </w:tc>
        <w:tc>
          <w:tcPr>
            <w:tcW w:w="1216" w:type="dxa"/>
          </w:tcPr>
          <w:p w14:paraId="0176E370" w14:textId="6105AA6D" w:rsidR="00EB32E8" w:rsidRPr="00C63A98" w:rsidRDefault="00EB32E8" w:rsidP="00C63A98">
            <w:pPr>
              <w:pStyle w:val="Tabletext"/>
              <w:rPr>
                <w:rFonts w:ascii="Calibri" w:hAnsi="Calibri" w:cs="Calibri"/>
                <w:sz w:val="20"/>
              </w:rPr>
            </w:pPr>
            <w:r>
              <w:rPr>
                <w:rFonts w:ascii="Calibri" w:hAnsi="Calibri" w:cs="Calibri"/>
                <w:sz w:val="20"/>
              </w:rPr>
              <w:t>Yes</w:t>
            </w:r>
          </w:p>
        </w:tc>
        <w:tc>
          <w:tcPr>
            <w:tcW w:w="1216" w:type="dxa"/>
          </w:tcPr>
          <w:p w14:paraId="48FFEFF1" w14:textId="002C933F" w:rsidR="00EB32E8" w:rsidRPr="00C63A98" w:rsidRDefault="00EB32E8" w:rsidP="00C63A98">
            <w:pPr>
              <w:pStyle w:val="Tabletext"/>
              <w:rPr>
                <w:rFonts w:ascii="Calibri" w:hAnsi="Calibri" w:cs="Calibri"/>
                <w:sz w:val="20"/>
              </w:rPr>
            </w:pPr>
            <w:r>
              <w:rPr>
                <w:rFonts w:ascii="Calibri" w:hAnsi="Calibri" w:cs="Calibri"/>
                <w:sz w:val="20"/>
              </w:rPr>
              <w:t>Yes</w:t>
            </w:r>
          </w:p>
        </w:tc>
        <w:tc>
          <w:tcPr>
            <w:tcW w:w="1122" w:type="dxa"/>
          </w:tcPr>
          <w:p w14:paraId="1DA4C97F" w14:textId="7246B480" w:rsidR="00EB32E8" w:rsidRPr="00C63A98" w:rsidRDefault="00EB32E8" w:rsidP="00C63A98">
            <w:pPr>
              <w:pStyle w:val="Tabletext"/>
              <w:rPr>
                <w:rFonts w:ascii="Calibri" w:hAnsi="Calibri" w:cs="Calibri"/>
                <w:sz w:val="20"/>
              </w:rPr>
            </w:pPr>
            <w:r>
              <w:rPr>
                <w:rFonts w:ascii="Calibri" w:hAnsi="Calibri" w:cs="Calibri"/>
                <w:sz w:val="20"/>
              </w:rPr>
              <w:t>String</w:t>
            </w:r>
          </w:p>
        </w:tc>
        <w:tc>
          <w:tcPr>
            <w:tcW w:w="1404" w:type="dxa"/>
          </w:tcPr>
          <w:p w14:paraId="55D2BD04" w14:textId="1D87933B" w:rsidR="00EB32E8" w:rsidRPr="00C63A98" w:rsidRDefault="00EB32E8" w:rsidP="00C63A98">
            <w:pPr>
              <w:pStyle w:val="Tabletext"/>
              <w:rPr>
                <w:rFonts w:ascii="Calibri" w:hAnsi="Calibri" w:cs="Calibri"/>
                <w:sz w:val="20"/>
              </w:rPr>
            </w:pPr>
            <w:r>
              <w:rPr>
                <w:rFonts w:ascii="Calibri" w:hAnsi="Calibri" w:cs="Calibri"/>
                <w:sz w:val="20"/>
              </w:rPr>
              <w:t>84 Blend Grade Conventional</w:t>
            </w:r>
          </w:p>
        </w:tc>
      </w:tr>
      <w:tr w:rsidR="00EB32E8" w:rsidRPr="00C63A98" w14:paraId="224448DE" w14:textId="77777777" w:rsidTr="00D0687B">
        <w:trPr>
          <w:cantSplit/>
        </w:trPr>
        <w:tc>
          <w:tcPr>
            <w:tcW w:w="2806" w:type="dxa"/>
          </w:tcPr>
          <w:p w14:paraId="6970D664" w14:textId="18D4452E" w:rsidR="00EB32E8" w:rsidRPr="00C63A98" w:rsidRDefault="00EB32E8" w:rsidP="00C63A98">
            <w:pPr>
              <w:pStyle w:val="Tabletext"/>
              <w:rPr>
                <w:rFonts w:ascii="Calibri" w:hAnsi="Calibri" w:cs="Calibri"/>
                <w:sz w:val="20"/>
              </w:rPr>
            </w:pPr>
            <w:r>
              <w:rPr>
                <w:rFonts w:ascii="Calibri" w:hAnsi="Calibri" w:cs="Calibri"/>
                <w:sz w:val="20"/>
              </w:rPr>
              <w:t>SpecificationSheet</w:t>
            </w:r>
          </w:p>
        </w:tc>
        <w:tc>
          <w:tcPr>
            <w:tcW w:w="1590" w:type="dxa"/>
          </w:tcPr>
          <w:p w14:paraId="28DD9CEF" w14:textId="0D8DC362" w:rsidR="00EB32E8" w:rsidRPr="00C63A98" w:rsidRDefault="00EB32E8" w:rsidP="00C63A98">
            <w:pPr>
              <w:pStyle w:val="Tabletext"/>
              <w:rPr>
                <w:rFonts w:ascii="Calibri" w:hAnsi="Calibri" w:cs="Calibri"/>
                <w:sz w:val="20"/>
              </w:rPr>
            </w:pPr>
            <w:r>
              <w:rPr>
                <w:rFonts w:ascii="Calibri" w:hAnsi="Calibri" w:cs="Calibri"/>
                <w:sz w:val="20"/>
              </w:rPr>
              <w:t>Name of the specification sheet</w:t>
            </w:r>
          </w:p>
        </w:tc>
        <w:tc>
          <w:tcPr>
            <w:tcW w:w="1216" w:type="dxa"/>
          </w:tcPr>
          <w:p w14:paraId="58DA5829" w14:textId="51BD031F" w:rsidR="00EB32E8" w:rsidRPr="00C63A98" w:rsidRDefault="00EB32E8" w:rsidP="00C63A98">
            <w:pPr>
              <w:pStyle w:val="Tabletext"/>
              <w:rPr>
                <w:rFonts w:ascii="Calibri" w:hAnsi="Calibri" w:cs="Calibri"/>
                <w:sz w:val="20"/>
              </w:rPr>
            </w:pPr>
            <w:r>
              <w:rPr>
                <w:rFonts w:ascii="Calibri" w:hAnsi="Calibri" w:cs="Calibri"/>
                <w:sz w:val="20"/>
              </w:rPr>
              <w:t>Yes</w:t>
            </w:r>
          </w:p>
        </w:tc>
        <w:tc>
          <w:tcPr>
            <w:tcW w:w="1216" w:type="dxa"/>
          </w:tcPr>
          <w:p w14:paraId="4B7506D8" w14:textId="02200FE0" w:rsidR="00EB32E8" w:rsidRPr="00C63A98" w:rsidRDefault="00EB32E8" w:rsidP="00C63A98">
            <w:pPr>
              <w:pStyle w:val="Tabletext"/>
              <w:rPr>
                <w:rFonts w:ascii="Calibri" w:hAnsi="Calibri" w:cs="Calibri"/>
                <w:sz w:val="20"/>
              </w:rPr>
            </w:pPr>
            <w:r>
              <w:rPr>
                <w:rFonts w:ascii="Calibri" w:hAnsi="Calibri" w:cs="Calibri"/>
                <w:sz w:val="20"/>
              </w:rPr>
              <w:t>Yes</w:t>
            </w:r>
          </w:p>
        </w:tc>
        <w:tc>
          <w:tcPr>
            <w:tcW w:w="1122" w:type="dxa"/>
          </w:tcPr>
          <w:p w14:paraId="63946029" w14:textId="609DB481" w:rsidR="00EB32E8" w:rsidRPr="00C63A98" w:rsidRDefault="00EB32E8" w:rsidP="00C63A98">
            <w:pPr>
              <w:pStyle w:val="Tabletext"/>
              <w:rPr>
                <w:rFonts w:ascii="Calibri" w:hAnsi="Calibri" w:cs="Calibri"/>
                <w:sz w:val="20"/>
              </w:rPr>
            </w:pPr>
            <w:r>
              <w:rPr>
                <w:rFonts w:ascii="Calibri" w:hAnsi="Calibri" w:cs="Calibri"/>
                <w:sz w:val="20"/>
              </w:rPr>
              <w:t>String</w:t>
            </w:r>
          </w:p>
        </w:tc>
        <w:tc>
          <w:tcPr>
            <w:tcW w:w="1404" w:type="dxa"/>
          </w:tcPr>
          <w:p w14:paraId="4E3A00FA" w14:textId="56F4C06D" w:rsidR="00EB32E8" w:rsidRPr="00C63A98" w:rsidRDefault="00EB32E8" w:rsidP="00C63A98">
            <w:pPr>
              <w:pStyle w:val="Tabletext"/>
              <w:rPr>
                <w:rFonts w:ascii="Calibri" w:hAnsi="Calibri" w:cs="Calibri"/>
                <w:sz w:val="20"/>
              </w:rPr>
            </w:pPr>
            <w:r>
              <w:rPr>
                <w:rFonts w:ascii="Calibri" w:hAnsi="Calibri" w:cs="Calibri"/>
                <w:sz w:val="20"/>
              </w:rPr>
              <w:t>Illinois, Michigan, Ohio, Wisconsin</w:t>
            </w:r>
          </w:p>
        </w:tc>
      </w:tr>
      <w:tr w:rsidR="00EB32E8" w:rsidRPr="00C63A98" w14:paraId="13D71C29" w14:textId="77777777" w:rsidTr="00D0687B">
        <w:trPr>
          <w:cantSplit/>
        </w:trPr>
        <w:tc>
          <w:tcPr>
            <w:tcW w:w="2806" w:type="dxa"/>
          </w:tcPr>
          <w:p w14:paraId="30AC4284" w14:textId="03263BA5" w:rsidR="00EB32E8" w:rsidRPr="00C63A98" w:rsidRDefault="00EB32E8" w:rsidP="00C63A98">
            <w:pPr>
              <w:pStyle w:val="Tabletext"/>
              <w:rPr>
                <w:rFonts w:ascii="Calibri" w:hAnsi="Calibri" w:cs="Calibri"/>
                <w:sz w:val="20"/>
              </w:rPr>
            </w:pPr>
            <w:r>
              <w:rPr>
                <w:rFonts w:ascii="Calibri" w:hAnsi="Calibri" w:cs="Calibri"/>
                <w:sz w:val="20"/>
              </w:rPr>
              <w:t>DestinationTerminal</w:t>
            </w:r>
          </w:p>
        </w:tc>
        <w:tc>
          <w:tcPr>
            <w:tcW w:w="1590" w:type="dxa"/>
          </w:tcPr>
          <w:p w14:paraId="5B80A1EF" w14:textId="3F065492" w:rsidR="00EB32E8" w:rsidRPr="00C63A98" w:rsidRDefault="00EB32E8" w:rsidP="00C63A98">
            <w:pPr>
              <w:pStyle w:val="Tabletext"/>
              <w:rPr>
                <w:rFonts w:ascii="Calibri" w:hAnsi="Calibri" w:cs="Calibri"/>
                <w:sz w:val="20"/>
              </w:rPr>
            </w:pPr>
            <w:r>
              <w:rPr>
                <w:rFonts w:ascii="Calibri" w:hAnsi="Calibri" w:cs="Calibri"/>
                <w:sz w:val="20"/>
              </w:rPr>
              <w:t>Destination terminal the specification sheet applies to</w:t>
            </w:r>
          </w:p>
        </w:tc>
        <w:tc>
          <w:tcPr>
            <w:tcW w:w="1216" w:type="dxa"/>
          </w:tcPr>
          <w:p w14:paraId="70D141D0" w14:textId="706A262B" w:rsidR="00EB32E8" w:rsidRPr="00C63A98" w:rsidRDefault="00EB32E8" w:rsidP="00C63A98">
            <w:pPr>
              <w:pStyle w:val="Tabletext"/>
              <w:rPr>
                <w:rFonts w:ascii="Calibri" w:hAnsi="Calibri" w:cs="Calibri"/>
                <w:sz w:val="20"/>
              </w:rPr>
            </w:pPr>
            <w:r>
              <w:rPr>
                <w:rFonts w:ascii="Calibri" w:hAnsi="Calibri" w:cs="Calibri"/>
                <w:sz w:val="20"/>
              </w:rPr>
              <w:t>Yes</w:t>
            </w:r>
          </w:p>
        </w:tc>
        <w:tc>
          <w:tcPr>
            <w:tcW w:w="1216" w:type="dxa"/>
          </w:tcPr>
          <w:p w14:paraId="26D6A94C" w14:textId="4ED2DA20" w:rsidR="00EB32E8" w:rsidRPr="00C63A98" w:rsidRDefault="00EB32E8" w:rsidP="00C63A98">
            <w:pPr>
              <w:pStyle w:val="Tabletext"/>
              <w:rPr>
                <w:rFonts w:ascii="Calibri" w:hAnsi="Calibri" w:cs="Calibri"/>
                <w:sz w:val="20"/>
              </w:rPr>
            </w:pPr>
            <w:r>
              <w:rPr>
                <w:rFonts w:ascii="Calibri" w:hAnsi="Calibri" w:cs="Calibri"/>
                <w:sz w:val="20"/>
              </w:rPr>
              <w:t>Yes</w:t>
            </w:r>
          </w:p>
        </w:tc>
        <w:tc>
          <w:tcPr>
            <w:tcW w:w="1122" w:type="dxa"/>
          </w:tcPr>
          <w:p w14:paraId="14298F45" w14:textId="421D7211" w:rsidR="00EB32E8" w:rsidRPr="00C63A98" w:rsidRDefault="00EB32E8" w:rsidP="00C63A98">
            <w:pPr>
              <w:pStyle w:val="Tabletext"/>
              <w:rPr>
                <w:rFonts w:ascii="Calibri" w:hAnsi="Calibri" w:cs="Calibri"/>
                <w:sz w:val="20"/>
              </w:rPr>
            </w:pPr>
            <w:r>
              <w:rPr>
                <w:rFonts w:ascii="Calibri" w:hAnsi="Calibri" w:cs="Calibri"/>
                <w:sz w:val="20"/>
              </w:rPr>
              <w:t>String</w:t>
            </w:r>
          </w:p>
        </w:tc>
        <w:tc>
          <w:tcPr>
            <w:tcW w:w="1404" w:type="dxa"/>
          </w:tcPr>
          <w:p w14:paraId="196A088F" w14:textId="7EADDFF9" w:rsidR="00EB32E8" w:rsidRPr="00C63A98" w:rsidRDefault="00EB32E8" w:rsidP="00C63A98">
            <w:pPr>
              <w:pStyle w:val="Tabletext"/>
              <w:rPr>
                <w:rFonts w:ascii="Calibri" w:hAnsi="Calibri" w:cs="Calibri"/>
                <w:sz w:val="20"/>
              </w:rPr>
            </w:pPr>
            <w:r>
              <w:rPr>
                <w:rFonts w:ascii="Calibri" w:hAnsi="Calibri" w:cs="Calibri"/>
                <w:sz w:val="20"/>
              </w:rPr>
              <w:t>Champaign, IL : TT&amp;R LP Terminal</w:t>
            </w:r>
          </w:p>
        </w:tc>
      </w:tr>
      <w:tr w:rsidR="00EB32E8" w:rsidRPr="00C63A98" w14:paraId="4F4B7533" w14:textId="77777777" w:rsidTr="00D0687B">
        <w:trPr>
          <w:cantSplit/>
        </w:trPr>
        <w:tc>
          <w:tcPr>
            <w:tcW w:w="2806" w:type="dxa"/>
          </w:tcPr>
          <w:p w14:paraId="3E600BF0" w14:textId="2671EECD" w:rsidR="00EB32E8" w:rsidRPr="00C63A98" w:rsidRDefault="00EB32E8" w:rsidP="00C63A98">
            <w:pPr>
              <w:pStyle w:val="Tabletext"/>
              <w:rPr>
                <w:rFonts w:ascii="Calibri" w:hAnsi="Calibri" w:cs="Calibri"/>
                <w:sz w:val="20"/>
              </w:rPr>
            </w:pPr>
            <w:r>
              <w:rPr>
                <w:rFonts w:ascii="Calibri" w:hAnsi="Calibri" w:cs="Calibri"/>
                <w:sz w:val="20"/>
              </w:rPr>
              <w:t>DataSource</w:t>
            </w:r>
          </w:p>
        </w:tc>
        <w:tc>
          <w:tcPr>
            <w:tcW w:w="1590" w:type="dxa"/>
          </w:tcPr>
          <w:p w14:paraId="05B6D520" w14:textId="4F893952" w:rsidR="00EB32E8" w:rsidRPr="00C63A98" w:rsidRDefault="00EB32E8" w:rsidP="00C63A98">
            <w:pPr>
              <w:pStyle w:val="Tabletext"/>
              <w:rPr>
                <w:rFonts w:ascii="Calibri" w:hAnsi="Calibri" w:cs="Calibri"/>
                <w:sz w:val="20"/>
              </w:rPr>
            </w:pPr>
            <w:r>
              <w:rPr>
                <w:rFonts w:ascii="Calibri" w:hAnsi="Calibri" w:cs="Calibri"/>
                <w:sz w:val="20"/>
              </w:rPr>
              <w:t>Source system</w:t>
            </w:r>
          </w:p>
        </w:tc>
        <w:tc>
          <w:tcPr>
            <w:tcW w:w="1216" w:type="dxa"/>
          </w:tcPr>
          <w:p w14:paraId="521AE56B" w14:textId="781A60D8" w:rsidR="00EB32E8" w:rsidRPr="00C63A98" w:rsidRDefault="00EB32E8" w:rsidP="00C63A98">
            <w:pPr>
              <w:pStyle w:val="Tabletext"/>
              <w:rPr>
                <w:rFonts w:ascii="Calibri" w:hAnsi="Calibri" w:cs="Calibri"/>
                <w:sz w:val="20"/>
              </w:rPr>
            </w:pPr>
            <w:r>
              <w:rPr>
                <w:rFonts w:ascii="Calibri" w:hAnsi="Calibri" w:cs="Calibri"/>
                <w:sz w:val="20"/>
              </w:rPr>
              <w:t>Yes</w:t>
            </w:r>
          </w:p>
        </w:tc>
        <w:tc>
          <w:tcPr>
            <w:tcW w:w="1216" w:type="dxa"/>
          </w:tcPr>
          <w:p w14:paraId="6CE02DEF" w14:textId="1DA0CD6C" w:rsidR="00EB32E8" w:rsidRPr="00C63A98" w:rsidRDefault="00EB32E8" w:rsidP="00C63A98">
            <w:pPr>
              <w:pStyle w:val="Tabletext"/>
              <w:rPr>
                <w:rFonts w:ascii="Calibri" w:hAnsi="Calibri" w:cs="Calibri"/>
                <w:sz w:val="20"/>
              </w:rPr>
            </w:pPr>
            <w:r>
              <w:rPr>
                <w:rFonts w:ascii="Calibri" w:hAnsi="Calibri" w:cs="Calibri"/>
                <w:sz w:val="20"/>
              </w:rPr>
              <w:t>No</w:t>
            </w:r>
          </w:p>
        </w:tc>
        <w:tc>
          <w:tcPr>
            <w:tcW w:w="1122" w:type="dxa"/>
          </w:tcPr>
          <w:p w14:paraId="6F4F1186" w14:textId="2CF9F936" w:rsidR="00EB32E8" w:rsidRPr="00C63A98" w:rsidRDefault="00EB32E8" w:rsidP="00C63A98">
            <w:pPr>
              <w:pStyle w:val="Tabletext"/>
              <w:rPr>
                <w:rFonts w:ascii="Calibri" w:hAnsi="Calibri" w:cs="Calibri"/>
                <w:sz w:val="20"/>
              </w:rPr>
            </w:pPr>
            <w:r>
              <w:rPr>
                <w:rFonts w:ascii="Calibri" w:hAnsi="Calibri" w:cs="Calibri"/>
                <w:sz w:val="20"/>
              </w:rPr>
              <w:t>String</w:t>
            </w:r>
          </w:p>
        </w:tc>
        <w:tc>
          <w:tcPr>
            <w:tcW w:w="1404" w:type="dxa"/>
          </w:tcPr>
          <w:p w14:paraId="47602A81" w14:textId="2FED1B72" w:rsidR="00EB32E8" w:rsidRPr="00C63A98" w:rsidRDefault="00EB32E8" w:rsidP="00C63A98">
            <w:pPr>
              <w:pStyle w:val="Tabletext"/>
              <w:rPr>
                <w:rFonts w:ascii="Calibri" w:hAnsi="Calibri" w:cs="Calibri"/>
                <w:sz w:val="20"/>
              </w:rPr>
            </w:pPr>
            <w:r>
              <w:rPr>
                <w:rFonts w:ascii="Calibri" w:hAnsi="Calibri" w:cs="Calibri"/>
                <w:sz w:val="20"/>
              </w:rPr>
              <w:t>Profisee</w:t>
            </w:r>
          </w:p>
        </w:tc>
      </w:tr>
    </w:tbl>
    <w:p w14:paraId="3430D1F7" w14:textId="11A89BC8" w:rsidR="00EB32E8" w:rsidRDefault="00EB32E8" w:rsidP="00EB32E8">
      <w:pPr>
        <w:pStyle w:val="Caption"/>
      </w:pPr>
      <w:bookmarkStart w:id="265" w:name="_Toc242554042"/>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44</w:t>
      </w:r>
      <w:r>
        <w:fldChar w:fldCharType="end"/>
      </w:r>
      <w:r>
        <w:t xml:space="preserve">: </w:t>
      </w:r>
      <w:r w:rsidR="00687F84">
        <w:t>Profisee Data Mapping - API Endpoint - Response Model</w:t>
      </w:r>
      <w:bookmarkEnd w:id="265"/>
    </w:p>
    <w:p w14:paraId="5BCBCA43" w14:textId="14D90A77" w:rsidR="00EB32E8" w:rsidRDefault="00EB32E8" w:rsidP="00EB32E8">
      <w:pPr>
        <w:pStyle w:val="Heading6"/>
        <w:rPr>
          <w:rFonts w:ascii="Calibri" w:hAnsi="Calibri" w:cs="Calibri"/>
          <w:sz w:val="20"/>
        </w:rPr>
      </w:pPr>
      <w:r>
        <w:rPr>
          <w:rFonts w:ascii="Calibri" w:hAnsi="Calibri" w:cs="Calibri"/>
          <w:sz w:val="20"/>
        </w:rPr>
        <w:t>Sequence Diagram</w:t>
      </w:r>
    </w:p>
    <w:p w14:paraId="2AE502FC" w14:textId="3ADF27A0" w:rsidR="00FC42E7" w:rsidRPr="0081216E" w:rsidRDefault="00FC42E7" w:rsidP="00FC42E7">
      <w:pPr>
        <w:keepNext/>
        <w:jc w:val="left"/>
        <w:rPr>
          <w:rFonts w:ascii="Calibri" w:hAnsi="Calibri" w:cs="Calibri"/>
        </w:rPr>
      </w:pPr>
      <w:r>
        <w:rPr>
          <w:rFonts w:ascii="Calibri" w:hAnsi="Calibri" w:cs="Calibri"/>
        </w:rPr>
        <w:t>The figure below shows the calls that move the Terminals Specsheet Master Data in the order they happen, for UseServiceBus = true and for UseServiceBus = false.</w:t>
      </w:r>
    </w:p>
    <w:p w14:paraId="6FD9244A" w14:textId="6FBF1CF4" w:rsidR="00EB32E8" w:rsidRPr="006958CC" w:rsidRDefault="00FC42E7" w:rsidP="00EB32E8">
      <w:pPr>
        <w:keepNext/>
        <w:spacing w:after="40"/>
        <w:jc w:val="center"/>
      </w:pPr>
      <w:r>
        <w:rPr>
          <w:noProof/>
        </w:rPr>
        <w:drawing>
          <wp:inline distT="0" distB="0" distL="0" distR="0" wp14:anchorId="11C6A0AC" wp14:editId="279F6081">
            <wp:extent cx="5943600" cy="3893185"/>
            <wp:effectExtent l="0" t="0" r="0" b="0"/>
            <wp:docPr id="8338121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12120" name=""/>
                    <pic:cNvPicPr/>
                  </pic:nvPicPr>
                  <pic:blipFill>
                    <a:blip r:embed="rId44"/>
                    <a:stretch>
                      <a:fillRect/>
                    </a:stretch>
                  </pic:blipFill>
                  <pic:spPr>
                    <a:xfrm>
                      <a:off x="0" y="0"/>
                      <a:ext cx="5943600" cy="3893185"/>
                    </a:xfrm>
                    <a:prstGeom prst="rect">
                      <a:avLst/>
                    </a:prstGeom>
                  </pic:spPr>
                </pic:pic>
              </a:graphicData>
            </a:graphic>
          </wp:inline>
        </w:drawing>
      </w:r>
    </w:p>
    <w:p w14:paraId="7852108F" w14:textId="3B4130BA" w:rsidR="00EB32E8" w:rsidRPr="006958CC" w:rsidRDefault="00EB32E8" w:rsidP="00EB32E8">
      <w:pPr>
        <w:pStyle w:val="Caption"/>
        <w:rPr>
          <w:rFonts w:ascii="Calibri" w:hAnsi="Calibri" w:cs="Calibri"/>
        </w:rPr>
      </w:pPr>
      <w:bookmarkStart w:id="266" w:name="_Toc242554157"/>
      <w:r w:rsidRPr="006958CC">
        <w:rPr>
          <w:rFonts w:ascii="Calibri" w:hAnsi="Calibri" w:cs="Calibri"/>
        </w:rPr>
        <w:t xml:space="preserve">Figure </w:t>
      </w:r>
      <w:r w:rsidRPr="006958CC">
        <w:rPr>
          <w:rFonts w:ascii="Calibri" w:hAnsi="Calibri" w:cs="Calibri"/>
        </w:rPr>
        <w:fldChar w:fldCharType="begin"/>
      </w:r>
      <w:r w:rsidRPr="006958CC">
        <w:rPr>
          <w:rFonts w:ascii="Calibri" w:hAnsi="Calibri" w:cs="Calibri"/>
        </w:rPr>
        <w:instrText xml:space="preserve"> STYLEREF 1 \s </w:instrText>
      </w:r>
      <w:r w:rsidRPr="006958CC">
        <w:rPr>
          <w:rFonts w:ascii="Calibri" w:hAnsi="Calibri" w:cs="Calibri"/>
        </w:rPr>
        <w:fldChar w:fldCharType="separate"/>
      </w:r>
      <w:r w:rsidR="00FC42E7">
        <w:rPr>
          <w:rFonts w:ascii="Calibri" w:hAnsi="Calibri" w:cs="Calibri"/>
          <w:noProof/>
        </w:rPr>
        <w:t>2</w:t>
      </w:r>
      <w:r w:rsidRPr="006958CC">
        <w:rPr>
          <w:rFonts w:ascii="Calibri" w:hAnsi="Calibri" w:cs="Calibri"/>
        </w:rPr>
        <w:fldChar w:fldCharType="end"/>
      </w:r>
      <w:r w:rsidRPr="006958CC">
        <w:rPr>
          <w:rFonts w:ascii="Calibri" w:hAnsi="Calibri" w:cs="Calibri"/>
        </w:rPr>
        <w:t>-</w:t>
      </w:r>
      <w:r w:rsidRPr="006958CC">
        <w:rPr>
          <w:rFonts w:ascii="Calibri" w:hAnsi="Calibri" w:cs="Calibri"/>
        </w:rPr>
        <w:fldChar w:fldCharType="begin"/>
      </w:r>
      <w:r w:rsidRPr="006958CC">
        <w:rPr>
          <w:rFonts w:ascii="Calibri" w:hAnsi="Calibri" w:cs="Calibri"/>
        </w:rPr>
        <w:instrText xml:space="preserve"> SEQ Figure \* ARABIC \s 1 </w:instrText>
      </w:r>
      <w:r w:rsidRPr="006958CC">
        <w:rPr>
          <w:rFonts w:ascii="Calibri" w:hAnsi="Calibri" w:cs="Calibri"/>
        </w:rPr>
        <w:fldChar w:fldCharType="separate"/>
      </w:r>
      <w:r w:rsidR="00FC42E7">
        <w:rPr>
          <w:rFonts w:ascii="Calibri" w:hAnsi="Calibri" w:cs="Calibri"/>
          <w:noProof/>
        </w:rPr>
        <w:t>21</w:t>
      </w:r>
      <w:r w:rsidRPr="006958CC">
        <w:rPr>
          <w:rFonts w:ascii="Calibri" w:hAnsi="Calibri" w:cs="Calibri"/>
        </w:rPr>
        <w:fldChar w:fldCharType="end"/>
      </w:r>
      <w:r w:rsidRPr="006958CC">
        <w:rPr>
          <w:rFonts w:ascii="Calibri" w:hAnsi="Calibri" w:cs="Calibri"/>
        </w:rPr>
        <w:t xml:space="preserve">: </w:t>
      </w:r>
      <w:r w:rsidR="00FC42E7">
        <w:rPr>
          <w:rFonts w:ascii="Calibri" w:hAnsi="Calibri" w:cs="Calibri"/>
        </w:rPr>
        <w:t>Profisee Data Mapping Sequence Diagram</w:t>
      </w:r>
      <w:bookmarkEnd w:id="266"/>
    </w:p>
    <w:p w14:paraId="166CC7DC" w14:textId="77777777" w:rsidR="00FC42E7" w:rsidRPr="00EC3682" w:rsidRDefault="00FC42E7" w:rsidP="00FC42E7">
      <w:pPr>
        <w:pStyle w:val="ListParagraph"/>
        <w:numPr>
          <w:ilvl w:val="0"/>
          <w:numId w:val="4"/>
        </w:numPr>
        <w:jc w:val="left"/>
        <w:rPr>
          <w:rFonts w:ascii="Calibri" w:hAnsi="Calibri" w:cs="Calibri"/>
        </w:rPr>
      </w:pPr>
      <w:r>
        <w:t>The Semantic Service call is drawn in the UseServiceBus = false path; the UseServiceBus = true path shall make it in the same order.</w:t>
      </w:r>
    </w:p>
    <w:p w14:paraId="06835115" w14:textId="6EADA7AA" w:rsidR="00FC42E7" w:rsidRPr="00FC42E7" w:rsidRDefault="00FC42E7" w:rsidP="00FC42E7">
      <w:pPr>
        <w:pStyle w:val="ListParagraph"/>
        <w:numPr>
          <w:ilvl w:val="0"/>
          <w:numId w:val="4"/>
        </w:numPr>
        <w:jc w:val="left"/>
      </w:pPr>
      <w:r w:rsidRPr="00FC42E7">
        <w:t xml:space="preserve">The calls shall follow the common integration pattern (section </w:t>
      </w:r>
      <w:r w:rsidRPr="00FC42E7">
        <w:fldChar w:fldCharType="begin"/>
      </w:r>
      <w:r w:rsidRPr="00FC42E7">
        <w:instrText xml:space="preserve"> REF _Ref917260951 \w \h \* MERGEFORMAT </w:instrText>
      </w:r>
      <w:r w:rsidRPr="00FC42E7">
        <w:fldChar w:fldCharType="separate"/>
      </w:r>
      <w:r w:rsidRPr="00FC42E7">
        <w:rPr>
          <w:color w:val="0563C1"/>
          <w:u w:val="single"/>
        </w:rPr>
        <w:t>2.3.1.4</w:t>
      </w:r>
      <w:r w:rsidRPr="00FC42E7">
        <w:fldChar w:fldCharType="end"/>
      </w:r>
      <w:r w:rsidRPr="00FC42E7">
        <w:t>), with the Profisee Data Mapping services, orchestrators and queues.</w:t>
      </w:r>
    </w:p>
    <w:p w14:paraId="6A047C19" w14:textId="78DA07DE" w:rsidR="00FC42E7" w:rsidRPr="006958CC" w:rsidRDefault="00FC42E7" w:rsidP="00FC42E7">
      <w:pPr>
        <w:keepNext/>
        <w:jc w:val="left"/>
        <w:rPr>
          <w:rFonts w:ascii="Calibri" w:hAnsi="Calibri" w:cs="Calibri"/>
        </w:rPr>
      </w:pPr>
      <w:r>
        <w:rPr>
          <w:rFonts w:ascii="Calibri" w:hAnsi="Calibri" w:cs="Calibri"/>
        </w:rPr>
        <w:t>For the Profisee data mapping, these calls shall differ from the common integration pattern:</w:t>
      </w:r>
    </w:p>
    <w:p w14:paraId="1DF29F4A" w14:textId="4387DB73" w:rsidR="00FC42E7" w:rsidRPr="00EC3682" w:rsidRDefault="00FC42E7" w:rsidP="00FC42E7">
      <w:pPr>
        <w:pStyle w:val="ListParagraph"/>
        <w:numPr>
          <w:ilvl w:val="0"/>
          <w:numId w:val="4"/>
        </w:numPr>
        <w:jc w:val="left"/>
        <w:rPr>
          <w:rFonts w:ascii="Calibri" w:hAnsi="Calibri" w:cs="Calibri"/>
        </w:rPr>
      </w:pPr>
      <w:r>
        <w:t>The Response Service shall read the Terminals Specsheet Master Data from Profisee through the Semantic Service.</w:t>
      </w:r>
    </w:p>
    <w:p w14:paraId="232E1736" w14:textId="0061B703" w:rsidR="00FC42E7" w:rsidRPr="00EC3682" w:rsidRDefault="00FC42E7" w:rsidP="00FC42E7">
      <w:pPr>
        <w:pStyle w:val="ListParagraph"/>
        <w:numPr>
          <w:ilvl w:val="0"/>
          <w:numId w:val="4"/>
        </w:numPr>
        <w:jc w:val="left"/>
        <w:rPr>
          <w:rFonts w:ascii="Calibri" w:hAnsi="Calibri" w:cs="Calibri"/>
        </w:rPr>
      </w:pPr>
      <w:r>
        <w:t>The Semantic Service shall read the data from Profisee without a code cross-reference or unit conversion, because the data shall be saved with its PQ Spec Shop names.</w:t>
      </w:r>
    </w:p>
    <w:p w14:paraId="7272E5BE" w14:textId="278F10FE" w:rsidR="00EB32E8" w:rsidRDefault="00EB32E8" w:rsidP="00EB32E8">
      <w:pPr>
        <w:pStyle w:val="Heading6"/>
        <w:rPr>
          <w:rFonts w:ascii="Calibri" w:hAnsi="Calibri" w:cs="Calibri"/>
          <w:sz w:val="20"/>
        </w:rPr>
      </w:pPr>
      <w:r>
        <w:rPr>
          <w:rFonts w:ascii="Calibri" w:hAnsi="Calibri" w:cs="Calibri"/>
          <w:sz w:val="20"/>
        </w:rPr>
        <w:t>Data Entity</w:t>
      </w:r>
    </w:p>
    <w:p w14:paraId="2955DD5F" w14:textId="776DED5B" w:rsidR="00EB32E8" w:rsidRPr="00FC42E7" w:rsidRDefault="00FC42E7" w:rsidP="00FC42E7">
      <w:pPr>
        <w:pStyle w:val="ListParagraph"/>
        <w:numPr>
          <w:ilvl w:val="0"/>
          <w:numId w:val="4"/>
        </w:numPr>
        <w:jc w:val="left"/>
      </w:pPr>
      <w:r w:rsidRPr="00FC42E7">
        <w:t>The Profisee data mapping shall read the Terminals Specsheet Master Data as one row for each source refinery, product, specification sheet and destination terminal.</w:t>
      </w:r>
    </w:p>
    <w:p w14:paraId="4A8233B2" w14:textId="01C8507B" w:rsidR="00EB32E8" w:rsidRPr="00AA30D8" w:rsidRDefault="00EB32E8" w:rsidP="00EB32E8">
      <w:pPr>
        <w:pStyle w:val="Heading7"/>
        <w:rPr>
          <w:rFonts w:ascii="Calibri" w:hAnsi="Calibri" w:cs="Calibri"/>
          <w:b/>
          <w:sz w:val="20"/>
        </w:rPr>
      </w:pPr>
      <w:r>
        <w:rPr>
          <w:rFonts w:ascii="Calibri" w:hAnsi="Calibri" w:cs="Calibri"/>
          <w:b/>
          <w:sz w:val="20"/>
        </w:rPr>
        <w:t>Source (Profisee) Data Entity: Terminals Specsheet Master Data</w:t>
      </w:r>
    </w:p>
    <w:p w14:paraId="09FA256E" w14:textId="6797B84A" w:rsidR="00FC42E7" w:rsidRPr="00EC3682" w:rsidRDefault="00FC42E7" w:rsidP="00FC42E7">
      <w:pPr>
        <w:pStyle w:val="ListParagraph"/>
        <w:numPr>
          <w:ilvl w:val="0"/>
          <w:numId w:val="4"/>
        </w:numPr>
        <w:jc w:val="left"/>
        <w:rPr>
          <w:rFonts w:ascii="Calibri" w:hAnsi="Calibri" w:cs="Calibri"/>
        </w:rPr>
      </w:pPr>
      <w:r>
        <w:t>The refineries, products and terminals shall be held by their PQ Spec Shop names.</w:t>
      </w:r>
    </w:p>
    <w:p w14:paraId="0E1E4A37" w14:textId="22FEE109" w:rsidR="00EB32E8" w:rsidRPr="0081216E" w:rsidRDefault="00FC42E7" w:rsidP="00FC42E7">
      <w:pPr>
        <w:keepNext/>
        <w:jc w:val="left"/>
        <w:rPr>
          <w:rFonts w:ascii="Calibri" w:hAnsi="Calibri" w:cs="Calibri"/>
        </w:rPr>
      </w:pPr>
      <w:r>
        <w:rPr>
          <w:rFonts w:ascii="Calibri" w:hAnsi="Calibri" w:cs="Calibri"/>
        </w:rPr>
        <w:t>The table below gives each attribute of Terminals Specsheet Master Data, with its type and an example.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71"/>
        <w:gridCol w:w="2822"/>
        <w:gridCol w:w="1218"/>
        <w:gridCol w:w="2249"/>
      </w:tblGrid>
      <w:tr w:rsidR="00EB32E8" w:rsidRPr="00C63A98" w14:paraId="3DE8CB1A" w14:textId="77777777" w:rsidTr="00794AE6">
        <w:trPr>
          <w:cantSplit/>
          <w:tblHeader/>
        </w:trPr>
        <w:tc>
          <w:tcPr>
            <w:tcW w:w="3071" w:type="dxa"/>
            <w:shd w:val="clear" w:color="auto" w:fill="2F5597"/>
          </w:tcPr>
          <w:p w14:paraId="6AD10325" w14:textId="77777777" w:rsidR="00EB32E8" w:rsidRPr="00C63A98" w:rsidRDefault="00EB32E8" w:rsidP="00C63A98">
            <w:pPr>
              <w:pStyle w:val="Tablehead1"/>
              <w:rPr>
                <w:rFonts w:ascii="Calibri" w:hAnsi="Calibri" w:cs="Calibri"/>
                <w:sz w:val="20"/>
              </w:rPr>
            </w:pPr>
            <w:r w:rsidRPr="00C63A98">
              <w:rPr>
                <w:rFonts w:ascii="Calibri" w:hAnsi="Calibri" w:cs="Calibri"/>
                <w:sz w:val="20"/>
              </w:rPr>
              <w:t>Attribute Name</w:t>
            </w:r>
          </w:p>
        </w:tc>
        <w:tc>
          <w:tcPr>
            <w:tcW w:w="2822" w:type="dxa"/>
            <w:shd w:val="clear" w:color="auto" w:fill="2F5597"/>
          </w:tcPr>
          <w:p w14:paraId="6F728545" w14:textId="77777777" w:rsidR="00EB32E8" w:rsidRPr="00C63A98" w:rsidRDefault="00EB32E8" w:rsidP="00C63A98">
            <w:pPr>
              <w:pStyle w:val="Tablehead1"/>
              <w:rPr>
                <w:rFonts w:ascii="Calibri" w:hAnsi="Calibri" w:cs="Calibri"/>
                <w:sz w:val="20"/>
              </w:rPr>
            </w:pPr>
            <w:r w:rsidRPr="00C63A98">
              <w:rPr>
                <w:rFonts w:ascii="Calibri" w:hAnsi="Calibri" w:cs="Calibri"/>
                <w:sz w:val="20"/>
              </w:rPr>
              <w:t>Description</w:t>
            </w:r>
          </w:p>
        </w:tc>
        <w:tc>
          <w:tcPr>
            <w:tcW w:w="1218" w:type="dxa"/>
            <w:shd w:val="clear" w:color="auto" w:fill="2F5597"/>
          </w:tcPr>
          <w:p w14:paraId="176F9863" w14:textId="77777777" w:rsidR="00EB32E8" w:rsidRPr="00C63A98" w:rsidRDefault="00EB32E8" w:rsidP="00C63A98">
            <w:pPr>
              <w:pStyle w:val="Tablehead1"/>
              <w:rPr>
                <w:rFonts w:ascii="Calibri" w:hAnsi="Calibri" w:cs="Calibri"/>
                <w:sz w:val="20"/>
              </w:rPr>
            </w:pPr>
            <w:r w:rsidRPr="00C63A98">
              <w:rPr>
                <w:rFonts w:ascii="Calibri" w:hAnsi="Calibri" w:cs="Calibri"/>
                <w:sz w:val="20"/>
              </w:rPr>
              <w:t>Type</w:t>
            </w:r>
          </w:p>
        </w:tc>
        <w:tc>
          <w:tcPr>
            <w:tcW w:w="2249" w:type="dxa"/>
            <w:shd w:val="clear" w:color="auto" w:fill="2F5597"/>
          </w:tcPr>
          <w:p w14:paraId="2F35CC3B" w14:textId="77777777" w:rsidR="00EB32E8" w:rsidRPr="00C63A98" w:rsidRDefault="00EB32E8" w:rsidP="00C63A98">
            <w:pPr>
              <w:pStyle w:val="Tablehead1"/>
              <w:rPr>
                <w:rFonts w:ascii="Calibri" w:hAnsi="Calibri" w:cs="Calibri"/>
                <w:sz w:val="20"/>
              </w:rPr>
            </w:pPr>
            <w:r w:rsidRPr="00C63A98">
              <w:rPr>
                <w:rFonts w:ascii="Calibri" w:hAnsi="Calibri" w:cs="Calibri"/>
                <w:sz w:val="20"/>
              </w:rPr>
              <w:t>Example</w:t>
            </w:r>
          </w:p>
        </w:tc>
      </w:tr>
      <w:tr w:rsidR="00EB32E8" w:rsidRPr="00C63A98" w14:paraId="3C9FD286" w14:textId="77777777" w:rsidTr="00794AE6">
        <w:trPr>
          <w:cantSplit/>
        </w:trPr>
        <w:tc>
          <w:tcPr>
            <w:tcW w:w="3071" w:type="dxa"/>
          </w:tcPr>
          <w:p w14:paraId="26C46BDB" w14:textId="6F4FF6B6" w:rsidR="00EB32E8" w:rsidRPr="00C63A98" w:rsidRDefault="00EB32E8" w:rsidP="00C63A98">
            <w:pPr>
              <w:pStyle w:val="Tabletext"/>
              <w:rPr>
                <w:rFonts w:ascii="Calibri" w:hAnsi="Calibri" w:cs="Calibri"/>
                <w:sz w:val="20"/>
              </w:rPr>
            </w:pPr>
            <w:r>
              <w:rPr>
                <w:rFonts w:ascii="Calibri" w:hAnsi="Calibri" w:cs="Calibri"/>
                <w:sz w:val="20"/>
              </w:rPr>
              <w:t>Source</w:t>
            </w:r>
          </w:p>
        </w:tc>
        <w:tc>
          <w:tcPr>
            <w:tcW w:w="2822" w:type="dxa"/>
          </w:tcPr>
          <w:p w14:paraId="586A6801" w14:textId="674060AD" w:rsidR="00EB32E8" w:rsidRPr="00C63A98" w:rsidRDefault="00EB32E8" w:rsidP="00C63A98">
            <w:pPr>
              <w:pStyle w:val="Tabletext"/>
              <w:rPr>
                <w:rFonts w:ascii="Calibri" w:hAnsi="Calibri" w:cs="Calibri"/>
                <w:sz w:val="20"/>
              </w:rPr>
            </w:pPr>
            <w:r>
              <w:rPr>
                <w:rFonts w:ascii="Calibri" w:hAnsi="Calibri" w:cs="Calibri"/>
                <w:sz w:val="20"/>
              </w:rPr>
              <w:t>Source refinery of the specification sheet</w:t>
            </w:r>
          </w:p>
        </w:tc>
        <w:tc>
          <w:tcPr>
            <w:tcW w:w="1218" w:type="dxa"/>
          </w:tcPr>
          <w:p w14:paraId="0524D817" w14:textId="77BDDE0A" w:rsidR="00EB32E8" w:rsidRDefault="00EB32E8" w:rsidP="00C63A98">
            <w:pPr>
              <w:pStyle w:val="Tabletext"/>
              <w:rPr>
                <w:rFonts w:ascii="Calibri" w:hAnsi="Calibri" w:cs="Calibri"/>
                <w:sz w:val="20"/>
              </w:rPr>
            </w:pPr>
            <w:r>
              <w:rPr>
                <w:rFonts w:ascii="Calibri" w:hAnsi="Calibri" w:cs="Calibri"/>
                <w:sz w:val="20"/>
              </w:rPr>
              <w:t>Varchar</w:t>
            </w:r>
          </w:p>
        </w:tc>
        <w:tc>
          <w:tcPr>
            <w:tcW w:w="2249" w:type="dxa"/>
          </w:tcPr>
          <w:p w14:paraId="7182A925" w14:textId="49FC13A1" w:rsidR="00EB32E8" w:rsidRDefault="00EB32E8" w:rsidP="00C63A98">
            <w:pPr>
              <w:pStyle w:val="Tabletext"/>
              <w:rPr>
                <w:rFonts w:ascii="Calibri" w:hAnsi="Calibri" w:cs="Calibri"/>
                <w:sz w:val="20"/>
              </w:rPr>
            </w:pPr>
            <w:r>
              <w:rPr>
                <w:rFonts w:ascii="Calibri" w:hAnsi="Calibri" w:cs="Calibri"/>
                <w:sz w:val="20"/>
              </w:rPr>
              <w:t>Robinson, IL : MPC Refinery</w:t>
            </w:r>
          </w:p>
        </w:tc>
      </w:tr>
      <w:tr w:rsidR="00EB32E8" w:rsidRPr="00C63A98" w14:paraId="3D58B0BD" w14:textId="77777777" w:rsidTr="00794AE6">
        <w:trPr>
          <w:cantSplit/>
        </w:trPr>
        <w:tc>
          <w:tcPr>
            <w:tcW w:w="3071" w:type="dxa"/>
          </w:tcPr>
          <w:p w14:paraId="5A5C2FAD" w14:textId="5090BC77" w:rsidR="00EB32E8" w:rsidRPr="00C63A98" w:rsidRDefault="00EB32E8" w:rsidP="00C63A98">
            <w:pPr>
              <w:pStyle w:val="Tabletext"/>
              <w:rPr>
                <w:rFonts w:ascii="Calibri" w:hAnsi="Calibri" w:cs="Calibri"/>
                <w:sz w:val="20"/>
              </w:rPr>
            </w:pPr>
            <w:r>
              <w:rPr>
                <w:rFonts w:ascii="Calibri" w:hAnsi="Calibri" w:cs="Calibri"/>
                <w:sz w:val="20"/>
              </w:rPr>
              <w:t>Product</w:t>
            </w:r>
          </w:p>
        </w:tc>
        <w:tc>
          <w:tcPr>
            <w:tcW w:w="2822" w:type="dxa"/>
          </w:tcPr>
          <w:p w14:paraId="1D9DE740" w14:textId="657BDDBE" w:rsidR="00EB32E8" w:rsidRPr="00C63A98" w:rsidRDefault="00EB32E8" w:rsidP="00C63A98">
            <w:pPr>
              <w:pStyle w:val="Tabletext"/>
              <w:rPr>
                <w:rFonts w:ascii="Calibri" w:hAnsi="Calibri" w:cs="Calibri"/>
                <w:sz w:val="20"/>
              </w:rPr>
            </w:pPr>
            <w:r>
              <w:rPr>
                <w:rFonts w:ascii="Calibri" w:hAnsi="Calibri" w:cs="Calibri"/>
                <w:sz w:val="20"/>
              </w:rPr>
              <w:t>Product of the specification sheet</w:t>
            </w:r>
          </w:p>
        </w:tc>
        <w:tc>
          <w:tcPr>
            <w:tcW w:w="1218" w:type="dxa"/>
          </w:tcPr>
          <w:p w14:paraId="4DBD4F33" w14:textId="1FAC349D" w:rsidR="00EB32E8" w:rsidRPr="00C63A98" w:rsidRDefault="00EB32E8" w:rsidP="00C63A98">
            <w:pPr>
              <w:pStyle w:val="Tabletext"/>
              <w:rPr>
                <w:rFonts w:ascii="Calibri" w:hAnsi="Calibri" w:cs="Calibri"/>
                <w:sz w:val="20"/>
              </w:rPr>
            </w:pPr>
            <w:r>
              <w:rPr>
                <w:rFonts w:ascii="Calibri" w:hAnsi="Calibri" w:cs="Calibri"/>
                <w:sz w:val="20"/>
              </w:rPr>
              <w:t>Varchar</w:t>
            </w:r>
          </w:p>
        </w:tc>
        <w:tc>
          <w:tcPr>
            <w:tcW w:w="2249" w:type="dxa"/>
          </w:tcPr>
          <w:p w14:paraId="72944645" w14:textId="26C2FF24" w:rsidR="00EB32E8" w:rsidRPr="00C63A98" w:rsidRDefault="00EB32E8" w:rsidP="00C63A98">
            <w:pPr>
              <w:pStyle w:val="Tabletext"/>
              <w:rPr>
                <w:rFonts w:ascii="Calibri" w:hAnsi="Calibri" w:cs="Calibri"/>
                <w:sz w:val="20"/>
              </w:rPr>
            </w:pPr>
            <w:r>
              <w:rPr>
                <w:rFonts w:ascii="Calibri" w:hAnsi="Calibri" w:cs="Calibri"/>
                <w:sz w:val="20"/>
              </w:rPr>
              <w:t>84 Blend Grade Conventional</w:t>
            </w:r>
          </w:p>
        </w:tc>
      </w:tr>
      <w:tr w:rsidR="00EB32E8" w:rsidRPr="00C63A98" w14:paraId="7C7C7CE2" w14:textId="77777777" w:rsidTr="00794AE6">
        <w:trPr>
          <w:cantSplit/>
        </w:trPr>
        <w:tc>
          <w:tcPr>
            <w:tcW w:w="3071" w:type="dxa"/>
          </w:tcPr>
          <w:p w14:paraId="0E811D40" w14:textId="484B751E" w:rsidR="00EB32E8" w:rsidRDefault="00EB32E8" w:rsidP="00C63A98">
            <w:pPr>
              <w:pStyle w:val="Tabletext"/>
              <w:rPr>
                <w:rFonts w:ascii="Calibri" w:hAnsi="Calibri" w:cs="Calibri"/>
                <w:sz w:val="20"/>
              </w:rPr>
            </w:pPr>
            <w:r>
              <w:rPr>
                <w:rFonts w:ascii="Calibri" w:hAnsi="Calibri" w:cs="Calibri"/>
                <w:sz w:val="20"/>
              </w:rPr>
              <w:t>SpecificationSheet</w:t>
            </w:r>
          </w:p>
        </w:tc>
        <w:tc>
          <w:tcPr>
            <w:tcW w:w="2822" w:type="dxa"/>
          </w:tcPr>
          <w:p w14:paraId="0A4BEAE2" w14:textId="47AA3362" w:rsidR="00EB32E8" w:rsidRDefault="00EB32E8" w:rsidP="00C63A98">
            <w:pPr>
              <w:pStyle w:val="Tabletext"/>
              <w:rPr>
                <w:rFonts w:ascii="Calibri" w:hAnsi="Calibri" w:cs="Calibri"/>
                <w:sz w:val="20"/>
              </w:rPr>
            </w:pPr>
            <w:r>
              <w:rPr>
                <w:rFonts w:ascii="Calibri" w:hAnsi="Calibri" w:cs="Calibri"/>
                <w:sz w:val="20"/>
              </w:rPr>
              <w:t>Name of the specification sheet</w:t>
            </w:r>
          </w:p>
        </w:tc>
        <w:tc>
          <w:tcPr>
            <w:tcW w:w="1218" w:type="dxa"/>
          </w:tcPr>
          <w:p w14:paraId="1D7E9048" w14:textId="04028D9F" w:rsidR="00EB32E8" w:rsidRDefault="00EB32E8" w:rsidP="00C63A98">
            <w:pPr>
              <w:pStyle w:val="Tabletext"/>
              <w:rPr>
                <w:rFonts w:ascii="Calibri" w:hAnsi="Calibri" w:cs="Calibri"/>
                <w:sz w:val="20"/>
              </w:rPr>
            </w:pPr>
            <w:r>
              <w:rPr>
                <w:rFonts w:ascii="Calibri" w:hAnsi="Calibri" w:cs="Calibri"/>
                <w:sz w:val="20"/>
              </w:rPr>
              <w:t>Varchar</w:t>
            </w:r>
          </w:p>
        </w:tc>
        <w:tc>
          <w:tcPr>
            <w:tcW w:w="2249" w:type="dxa"/>
          </w:tcPr>
          <w:p w14:paraId="1B71EC21" w14:textId="20DA5AAD" w:rsidR="00EB32E8" w:rsidRDefault="00EB32E8" w:rsidP="00C63A98">
            <w:pPr>
              <w:pStyle w:val="Tabletext"/>
              <w:rPr>
                <w:rFonts w:ascii="Calibri" w:hAnsi="Calibri" w:cs="Calibri"/>
                <w:sz w:val="20"/>
              </w:rPr>
            </w:pPr>
            <w:r>
              <w:rPr>
                <w:rFonts w:ascii="Calibri" w:hAnsi="Calibri" w:cs="Calibri"/>
                <w:sz w:val="20"/>
              </w:rPr>
              <w:t>Illinois, Michigan, Ohio, Wisconsin</w:t>
            </w:r>
          </w:p>
        </w:tc>
      </w:tr>
      <w:tr w:rsidR="00EB32E8" w:rsidRPr="00C63A98" w14:paraId="6C2B3BED" w14:textId="77777777" w:rsidTr="00794AE6">
        <w:trPr>
          <w:cantSplit/>
        </w:trPr>
        <w:tc>
          <w:tcPr>
            <w:tcW w:w="3071" w:type="dxa"/>
          </w:tcPr>
          <w:p w14:paraId="4ECFF492" w14:textId="5C3C6F5F" w:rsidR="00EB32E8" w:rsidRPr="00C63A98" w:rsidRDefault="00EB32E8" w:rsidP="00C63A98">
            <w:pPr>
              <w:pStyle w:val="Tabletext"/>
              <w:rPr>
                <w:rFonts w:ascii="Calibri" w:hAnsi="Calibri" w:cs="Calibri"/>
                <w:sz w:val="20"/>
              </w:rPr>
            </w:pPr>
            <w:r>
              <w:rPr>
                <w:rFonts w:ascii="Calibri" w:hAnsi="Calibri" w:cs="Calibri"/>
                <w:sz w:val="20"/>
              </w:rPr>
              <w:t>Destination</w:t>
            </w:r>
          </w:p>
        </w:tc>
        <w:tc>
          <w:tcPr>
            <w:tcW w:w="2822" w:type="dxa"/>
          </w:tcPr>
          <w:p w14:paraId="1AE6524B" w14:textId="55AC5B92" w:rsidR="00EB32E8" w:rsidRDefault="00EB32E8" w:rsidP="00C63A98">
            <w:pPr>
              <w:pStyle w:val="Tabletext"/>
              <w:rPr>
                <w:rFonts w:ascii="Calibri" w:hAnsi="Calibri" w:cs="Calibri"/>
                <w:sz w:val="20"/>
              </w:rPr>
            </w:pPr>
            <w:r>
              <w:rPr>
                <w:rFonts w:ascii="Calibri" w:hAnsi="Calibri" w:cs="Calibri"/>
                <w:sz w:val="20"/>
              </w:rPr>
              <w:t>Destination terminal the specification sheet applies to</w:t>
            </w:r>
          </w:p>
        </w:tc>
        <w:tc>
          <w:tcPr>
            <w:tcW w:w="1218" w:type="dxa"/>
          </w:tcPr>
          <w:p w14:paraId="10EFC524" w14:textId="08323FAC" w:rsidR="00EB32E8" w:rsidRPr="00C63A98" w:rsidRDefault="00EB32E8" w:rsidP="00C63A98">
            <w:pPr>
              <w:pStyle w:val="Tabletext"/>
              <w:rPr>
                <w:rFonts w:ascii="Calibri" w:hAnsi="Calibri" w:cs="Calibri"/>
                <w:sz w:val="20"/>
              </w:rPr>
            </w:pPr>
            <w:r>
              <w:rPr>
                <w:rFonts w:ascii="Calibri" w:hAnsi="Calibri" w:cs="Calibri"/>
                <w:sz w:val="20"/>
              </w:rPr>
              <w:t>Varchar</w:t>
            </w:r>
          </w:p>
        </w:tc>
        <w:tc>
          <w:tcPr>
            <w:tcW w:w="2249" w:type="dxa"/>
          </w:tcPr>
          <w:p w14:paraId="596AAAE7" w14:textId="0AC15313" w:rsidR="00EB32E8" w:rsidRDefault="00EB32E8" w:rsidP="00C63A98">
            <w:pPr>
              <w:pStyle w:val="Tabletext"/>
              <w:rPr>
                <w:rFonts w:ascii="Calibri" w:hAnsi="Calibri" w:cs="Calibri"/>
                <w:sz w:val="20"/>
              </w:rPr>
            </w:pPr>
            <w:r>
              <w:rPr>
                <w:rFonts w:ascii="Calibri" w:hAnsi="Calibri" w:cs="Calibri"/>
                <w:sz w:val="20"/>
              </w:rPr>
              <w:t>Champaign, IL : TT&amp;R LP Terminal</w:t>
            </w:r>
          </w:p>
        </w:tc>
      </w:tr>
    </w:tbl>
    <w:p w14:paraId="1A18E5D0" w14:textId="3A13C6D5" w:rsidR="00EB32E8" w:rsidRDefault="00EB32E8" w:rsidP="00EB32E8">
      <w:pPr>
        <w:pStyle w:val="Caption"/>
      </w:pPr>
      <w:bookmarkStart w:id="267" w:name="_Toc242554043"/>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45</w:t>
      </w:r>
      <w:r>
        <w:fldChar w:fldCharType="end"/>
      </w:r>
      <w:r>
        <w:t>: Source (Profisee) Data Entity: Terminals Specsheet Master Data</w:t>
      </w:r>
      <w:bookmarkEnd w:id="267"/>
    </w:p>
    <w:p w14:paraId="736920D3" w14:textId="0F93877A" w:rsidR="00EB32E8" w:rsidRPr="00AA30D8" w:rsidRDefault="00EB32E8" w:rsidP="00EB32E8">
      <w:pPr>
        <w:pStyle w:val="Heading7"/>
        <w:rPr>
          <w:rFonts w:ascii="Calibri" w:hAnsi="Calibri" w:cs="Calibri"/>
          <w:b/>
          <w:sz w:val="20"/>
        </w:rPr>
      </w:pPr>
      <w:r>
        <w:rPr>
          <w:rFonts w:ascii="Calibri" w:hAnsi="Calibri" w:cs="Calibri"/>
          <w:b/>
          <w:sz w:val="20"/>
        </w:rPr>
        <w:t xml:space="preserve">Destination (IQDM) Data Entity: </w:t>
      </w:r>
      <w:r w:rsidR="00FC42E7">
        <w:rPr>
          <w:rFonts w:ascii="Calibri" w:hAnsi="Calibri" w:cs="Calibri"/>
          <w:b/>
          <w:sz w:val="20"/>
        </w:rPr>
        <w:t>vcb_</w:t>
      </w:r>
      <w:r>
        <w:rPr>
          <w:rFonts w:ascii="Calibri" w:hAnsi="Calibri" w:cs="Calibri"/>
          <w:b/>
          <w:sz w:val="20"/>
        </w:rPr>
        <w:t>terminal_specsheet_master</w:t>
      </w:r>
    </w:p>
    <w:p w14:paraId="72F3D6B0" w14:textId="6DDB0A05" w:rsidR="00FC42E7" w:rsidRPr="00EC3682" w:rsidRDefault="00FC42E7" w:rsidP="00FC42E7">
      <w:pPr>
        <w:pStyle w:val="ListParagraph"/>
        <w:numPr>
          <w:ilvl w:val="0"/>
          <w:numId w:val="4"/>
        </w:numPr>
        <w:jc w:val="left"/>
        <w:rPr>
          <w:rFonts w:ascii="Calibri" w:hAnsi="Calibri" w:cs="Calibri"/>
        </w:rPr>
      </w:pPr>
      <w:r>
        <w:t>The stored procedure of the database team shall merge the rows into the vcb_terminal_specsheet_master table of the IQDM database.</w:t>
      </w:r>
    </w:p>
    <w:p w14:paraId="787AD0D6" w14:textId="1DD480F2" w:rsidR="00FC42E7" w:rsidRPr="00EC3682" w:rsidRDefault="00FC42E7" w:rsidP="00FC42E7">
      <w:pPr>
        <w:pStyle w:val="ListParagraph"/>
        <w:numPr>
          <w:ilvl w:val="0"/>
          <w:numId w:val="4"/>
        </w:numPr>
        <w:jc w:val="left"/>
        <w:rPr>
          <w:rFonts w:ascii="Calibri" w:hAnsi="Calibri" w:cs="Calibri"/>
        </w:rPr>
      </w:pPr>
      <w:r>
        <w:t>A row already in the table shall be marked active.</w:t>
      </w:r>
    </w:p>
    <w:p w14:paraId="0E66AED3" w14:textId="7C69774C" w:rsidR="00FC42E7" w:rsidRPr="00EC3682" w:rsidRDefault="00FC42E7" w:rsidP="00FC42E7">
      <w:pPr>
        <w:pStyle w:val="ListParagraph"/>
        <w:numPr>
          <w:ilvl w:val="0"/>
          <w:numId w:val="4"/>
        </w:numPr>
        <w:jc w:val="left"/>
        <w:rPr>
          <w:rFonts w:ascii="Calibri" w:hAnsi="Calibri" w:cs="Calibri"/>
        </w:rPr>
      </w:pPr>
      <w:r>
        <w:t>A new row shall be added as active.</w:t>
      </w:r>
    </w:p>
    <w:p w14:paraId="64697A12" w14:textId="7ADEFBBC" w:rsidR="00FC42E7" w:rsidRPr="00EC3682" w:rsidRDefault="00FC42E7" w:rsidP="00FC42E7">
      <w:pPr>
        <w:pStyle w:val="ListParagraph"/>
        <w:numPr>
          <w:ilvl w:val="0"/>
          <w:numId w:val="4"/>
        </w:numPr>
        <w:jc w:val="left"/>
        <w:rPr>
          <w:rFonts w:ascii="Calibri" w:hAnsi="Calibri" w:cs="Calibri"/>
        </w:rPr>
      </w:pPr>
      <w:r>
        <w:t>A row of the table that is no longer in Profisee shall be marked inactive.</w:t>
      </w:r>
    </w:p>
    <w:p w14:paraId="4042219A" w14:textId="644889D3" w:rsidR="00EB32E8" w:rsidRPr="0081216E" w:rsidRDefault="00FC42E7" w:rsidP="00FC42E7">
      <w:pPr>
        <w:keepNext/>
        <w:jc w:val="left"/>
        <w:rPr>
          <w:rFonts w:ascii="Calibri" w:hAnsi="Calibri" w:cs="Calibri"/>
        </w:rPr>
      </w:pPr>
      <w:r>
        <w:rPr>
          <w:rFonts w:ascii="Calibri" w:hAnsi="Calibri" w:cs="Calibri"/>
        </w:rPr>
        <w:t>The table below gives the columns of the vcb_terminal_specsheet_master table.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71"/>
        <w:gridCol w:w="2822"/>
        <w:gridCol w:w="1218"/>
        <w:gridCol w:w="2249"/>
      </w:tblGrid>
      <w:tr w:rsidR="00EB32E8" w:rsidRPr="00C63A98" w14:paraId="282D6BB9" w14:textId="77777777" w:rsidTr="00794AE6">
        <w:trPr>
          <w:cantSplit/>
          <w:tblHeader/>
        </w:trPr>
        <w:tc>
          <w:tcPr>
            <w:tcW w:w="3071" w:type="dxa"/>
            <w:shd w:val="clear" w:color="auto" w:fill="2F5597"/>
          </w:tcPr>
          <w:p w14:paraId="26F1C150" w14:textId="77777777" w:rsidR="00EB32E8" w:rsidRPr="00C63A98" w:rsidRDefault="00EB32E8" w:rsidP="00C63A98">
            <w:pPr>
              <w:pStyle w:val="Tablehead1"/>
              <w:rPr>
                <w:rFonts w:ascii="Calibri" w:hAnsi="Calibri" w:cs="Calibri"/>
                <w:sz w:val="20"/>
              </w:rPr>
            </w:pPr>
            <w:r w:rsidRPr="00C63A98">
              <w:rPr>
                <w:rFonts w:ascii="Calibri" w:hAnsi="Calibri" w:cs="Calibri"/>
                <w:sz w:val="20"/>
              </w:rPr>
              <w:t>Attribute Name</w:t>
            </w:r>
          </w:p>
        </w:tc>
        <w:tc>
          <w:tcPr>
            <w:tcW w:w="2822" w:type="dxa"/>
            <w:shd w:val="clear" w:color="auto" w:fill="2F5597"/>
          </w:tcPr>
          <w:p w14:paraId="2391E3DE" w14:textId="77777777" w:rsidR="00EB32E8" w:rsidRPr="00C63A98" w:rsidRDefault="00EB32E8" w:rsidP="00C63A98">
            <w:pPr>
              <w:pStyle w:val="Tablehead1"/>
              <w:rPr>
                <w:rFonts w:ascii="Calibri" w:hAnsi="Calibri" w:cs="Calibri"/>
                <w:sz w:val="20"/>
              </w:rPr>
            </w:pPr>
            <w:r w:rsidRPr="00C63A98">
              <w:rPr>
                <w:rFonts w:ascii="Calibri" w:hAnsi="Calibri" w:cs="Calibri"/>
                <w:sz w:val="20"/>
              </w:rPr>
              <w:t>Description</w:t>
            </w:r>
          </w:p>
        </w:tc>
        <w:tc>
          <w:tcPr>
            <w:tcW w:w="1218" w:type="dxa"/>
            <w:shd w:val="clear" w:color="auto" w:fill="2F5597"/>
          </w:tcPr>
          <w:p w14:paraId="2EDF9244" w14:textId="77777777" w:rsidR="00EB32E8" w:rsidRPr="00C63A98" w:rsidRDefault="00EB32E8" w:rsidP="00C63A98">
            <w:pPr>
              <w:pStyle w:val="Tablehead1"/>
              <w:rPr>
                <w:rFonts w:ascii="Calibri" w:hAnsi="Calibri" w:cs="Calibri"/>
                <w:sz w:val="20"/>
              </w:rPr>
            </w:pPr>
            <w:r w:rsidRPr="00C63A98">
              <w:rPr>
                <w:rFonts w:ascii="Calibri" w:hAnsi="Calibri" w:cs="Calibri"/>
                <w:sz w:val="20"/>
              </w:rPr>
              <w:t>Type</w:t>
            </w:r>
          </w:p>
        </w:tc>
        <w:tc>
          <w:tcPr>
            <w:tcW w:w="2249" w:type="dxa"/>
            <w:shd w:val="clear" w:color="auto" w:fill="2F5597"/>
          </w:tcPr>
          <w:p w14:paraId="51FB13A4" w14:textId="77777777" w:rsidR="00EB32E8" w:rsidRPr="00C63A98" w:rsidRDefault="00EB32E8" w:rsidP="00C63A98">
            <w:pPr>
              <w:pStyle w:val="Tablehead1"/>
              <w:rPr>
                <w:rFonts w:ascii="Calibri" w:hAnsi="Calibri" w:cs="Calibri"/>
                <w:sz w:val="20"/>
              </w:rPr>
            </w:pPr>
            <w:r w:rsidRPr="00C63A98">
              <w:rPr>
                <w:rFonts w:ascii="Calibri" w:hAnsi="Calibri" w:cs="Calibri"/>
                <w:sz w:val="20"/>
              </w:rPr>
              <w:t>Example</w:t>
            </w:r>
          </w:p>
        </w:tc>
      </w:tr>
      <w:tr w:rsidR="00EB32E8" w:rsidRPr="00C63A98" w14:paraId="5946F7F7" w14:textId="77777777" w:rsidTr="00794AE6">
        <w:trPr>
          <w:cantSplit/>
        </w:trPr>
        <w:tc>
          <w:tcPr>
            <w:tcW w:w="3071" w:type="dxa"/>
          </w:tcPr>
          <w:p w14:paraId="718A5652" w14:textId="1914ED6A" w:rsidR="00EB32E8" w:rsidRPr="00C63A98" w:rsidRDefault="00EB32E8" w:rsidP="00C63A98">
            <w:pPr>
              <w:pStyle w:val="Tabletext"/>
              <w:rPr>
                <w:rFonts w:ascii="Calibri" w:hAnsi="Calibri" w:cs="Calibri"/>
                <w:sz w:val="20"/>
              </w:rPr>
            </w:pPr>
            <w:r>
              <w:rPr>
                <w:rFonts w:ascii="Calibri" w:hAnsi="Calibri" w:cs="Calibri"/>
                <w:sz w:val="20"/>
              </w:rPr>
              <w:t>source</w:t>
            </w:r>
          </w:p>
        </w:tc>
        <w:tc>
          <w:tcPr>
            <w:tcW w:w="2822" w:type="dxa"/>
          </w:tcPr>
          <w:p w14:paraId="631E77E1" w14:textId="294AD488" w:rsidR="00EB32E8" w:rsidRPr="00C63A98" w:rsidRDefault="00EB32E8" w:rsidP="00C63A98">
            <w:pPr>
              <w:pStyle w:val="Tabletext"/>
              <w:rPr>
                <w:rFonts w:ascii="Calibri" w:hAnsi="Calibri" w:cs="Calibri"/>
                <w:sz w:val="20"/>
              </w:rPr>
            </w:pPr>
            <w:r>
              <w:rPr>
                <w:rFonts w:ascii="Calibri" w:hAnsi="Calibri" w:cs="Calibri"/>
                <w:sz w:val="20"/>
              </w:rPr>
              <w:t>Source refinery of the specification sheet</w:t>
            </w:r>
          </w:p>
        </w:tc>
        <w:tc>
          <w:tcPr>
            <w:tcW w:w="1218" w:type="dxa"/>
          </w:tcPr>
          <w:p w14:paraId="22E9E8C1" w14:textId="3996F7EC" w:rsidR="00EB32E8" w:rsidRDefault="00EB32E8" w:rsidP="00C63A98">
            <w:pPr>
              <w:pStyle w:val="Tabletext"/>
              <w:rPr>
                <w:rFonts w:ascii="Calibri" w:hAnsi="Calibri" w:cs="Calibri"/>
                <w:sz w:val="20"/>
              </w:rPr>
            </w:pPr>
            <w:r>
              <w:rPr>
                <w:rFonts w:ascii="Calibri" w:hAnsi="Calibri" w:cs="Calibri"/>
                <w:sz w:val="20"/>
              </w:rPr>
              <w:t>Varchar</w:t>
            </w:r>
          </w:p>
        </w:tc>
        <w:tc>
          <w:tcPr>
            <w:tcW w:w="2249" w:type="dxa"/>
          </w:tcPr>
          <w:p w14:paraId="0292EAD1" w14:textId="6FB1FBDD" w:rsidR="00EB32E8" w:rsidRDefault="00EB32E8" w:rsidP="00C63A98">
            <w:pPr>
              <w:pStyle w:val="Tabletext"/>
              <w:rPr>
                <w:rFonts w:ascii="Calibri" w:hAnsi="Calibri" w:cs="Calibri"/>
                <w:sz w:val="20"/>
              </w:rPr>
            </w:pPr>
            <w:r>
              <w:rPr>
                <w:rFonts w:ascii="Calibri" w:hAnsi="Calibri" w:cs="Calibri"/>
                <w:sz w:val="20"/>
              </w:rPr>
              <w:t>Robinson, IL : MPC Refinery</w:t>
            </w:r>
          </w:p>
        </w:tc>
      </w:tr>
      <w:tr w:rsidR="00EB32E8" w:rsidRPr="00C63A98" w14:paraId="0EC9CAE3" w14:textId="77777777" w:rsidTr="00794AE6">
        <w:trPr>
          <w:cantSplit/>
        </w:trPr>
        <w:tc>
          <w:tcPr>
            <w:tcW w:w="3071" w:type="dxa"/>
          </w:tcPr>
          <w:p w14:paraId="12A3A6BD" w14:textId="2D6AD3E3" w:rsidR="00EB32E8" w:rsidRPr="00C63A98" w:rsidRDefault="00EB32E8" w:rsidP="00C63A98">
            <w:pPr>
              <w:pStyle w:val="Tabletext"/>
              <w:rPr>
                <w:rFonts w:ascii="Calibri" w:hAnsi="Calibri" w:cs="Calibri"/>
                <w:sz w:val="20"/>
              </w:rPr>
            </w:pPr>
            <w:r>
              <w:rPr>
                <w:rFonts w:ascii="Calibri" w:hAnsi="Calibri" w:cs="Calibri"/>
                <w:sz w:val="20"/>
              </w:rPr>
              <w:t>product</w:t>
            </w:r>
          </w:p>
        </w:tc>
        <w:tc>
          <w:tcPr>
            <w:tcW w:w="2822" w:type="dxa"/>
          </w:tcPr>
          <w:p w14:paraId="2B404946" w14:textId="5F89A33F" w:rsidR="00EB32E8" w:rsidRPr="00C63A98" w:rsidRDefault="00EB32E8" w:rsidP="00C63A98">
            <w:pPr>
              <w:pStyle w:val="Tabletext"/>
              <w:rPr>
                <w:rFonts w:ascii="Calibri" w:hAnsi="Calibri" w:cs="Calibri"/>
                <w:sz w:val="20"/>
              </w:rPr>
            </w:pPr>
            <w:r>
              <w:rPr>
                <w:rFonts w:ascii="Calibri" w:hAnsi="Calibri" w:cs="Calibri"/>
                <w:sz w:val="20"/>
              </w:rPr>
              <w:t>Product of the specification sheet</w:t>
            </w:r>
          </w:p>
        </w:tc>
        <w:tc>
          <w:tcPr>
            <w:tcW w:w="1218" w:type="dxa"/>
          </w:tcPr>
          <w:p w14:paraId="5C47C723" w14:textId="7EFBCA5C" w:rsidR="00EB32E8" w:rsidRPr="00C63A98" w:rsidRDefault="00EB32E8" w:rsidP="00C63A98">
            <w:pPr>
              <w:pStyle w:val="Tabletext"/>
              <w:rPr>
                <w:rFonts w:ascii="Calibri" w:hAnsi="Calibri" w:cs="Calibri"/>
                <w:sz w:val="20"/>
              </w:rPr>
            </w:pPr>
            <w:r>
              <w:rPr>
                <w:rFonts w:ascii="Calibri" w:hAnsi="Calibri" w:cs="Calibri"/>
                <w:sz w:val="20"/>
              </w:rPr>
              <w:t>Varchar</w:t>
            </w:r>
          </w:p>
        </w:tc>
        <w:tc>
          <w:tcPr>
            <w:tcW w:w="2249" w:type="dxa"/>
          </w:tcPr>
          <w:p w14:paraId="48AF7935" w14:textId="3A307A64" w:rsidR="00EB32E8" w:rsidRPr="00C63A98" w:rsidRDefault="00EB32E8" w:rsidP="00C63A98">
            <w:pPr>
              <w:pStyle w:val="Tabletext"/>
              <w:rPr>
                <w:rFonts w:ascii="Calibri" w:hAnsi="Calibri" w:cs="Calibri"/>
                <w:sz w:val="20"/>
              </w:rPr>
            </w:pPr>
            <w:r>
              <w:rPr>
                <w:rFonts w:ascii="Calibri" w:hAnsi="Calibri" w:cs="Calibri"/>
                <w:sz w:val="20"/>
              </w:rPr>
              <w:t>84 Blend Grade Conventional</w:t>
            </w:r>
          </w:p>
        </w:tc>
      </w:tr>
      <w:tr w:rsidR="00EB32E8" w:rsidRPr="00C63A98" w14:paraId="075077A5" w14:textId="77777777" w:rsidTr="00794AE6">
        <w:trPr>
          <w:cantSplit/>
        </w:trPr>
        <w:tc>
          <w:tcPr>
            <w:tcW w:w="3071" w:type="dxa"/>
          </w:tcPr>
          <w:p w14:paraId="6E7917C4" w14:textId="166EE749" w:rsidR="00EB32E8" w:rsidRDefault="00EB32E8" w:rsidP="00C63A98">
            <w:pPr>
              <w:pStyle w:val="Tabletext"/>
              <w:rPr>
                <w:rFonts w:ascii="Calibri" w:hAnsi="Calibri" w:cs="Calibri"/>
                <w:sz w:val="20"/>
              </w:rPr>
            </w:pPr>
            <w:r>
              <w:rPr>
                <w:rFonts w:ascii="Calibri" w:hAnsi="Calibri" w:cs="Calibri"/>
                <w:sz w:val="20"/>
              </w:rPr>
              <w:t>specification_sheet</w:t>
            </w:r>
          </w:p>
        </w:tc>
        <w:tc>
          <w:tcPr>
            <w:tcW w:w="2822" w:type="dxa"/>
          </w:tcPr>
          <w:p w14:paraId="3691A7F9" w14:textId="4F653299" w:rsidR="00EB32E8" w:rsidRDefault="00EB32E8" w:rsidP="00C63A98">
            <w:pPr>
              <w:pStyle w:val="Tabletext"/>
              <w:rPr>
                <w:rFonts w:ascii="Calibri" w:hAnsi="Calibri" w:cs="Calibri"/>
                <w:sz w:val="20"/>
              </w:rPr>
            </w:pPr>
            <w:r>
              <w:rPr>
                <w:rFonts w:ascii="Calibri" w:hAnsi="Calibri" w:cs="Calibri"/>
                <w:sz w:val="20"/>
              </w:rPr>
              <w:t>Name of the specification sheet</w:t>
            </w:r>
          </w:p>
        </w:tc>
        <w:tc>
          <w:tcPr>
            <w:tcW w:w="1218" w:type="dxa"/>
          </w:tcPr>
          <w:p w14:paraId="0CE5D958" w14:textId="1F2D231E" w:rsidR="00EB32E8" w:rsidRDefault="00EB32E8" w:rsidP="00C63A98">
            <w:pPr>
              <w:pStyle w:val="Tabletext"/>
              <w:rPr>
                <w:rFonts w:ascii="Calibri" w:hAnsi="Calibri" w:cs="Calibri"/>
                <w:sz w:val="20"/>
              </w:rPr>
            </w:pPr>
            <w:r>
              <w:rPr>
                <w:rFonts w:ascii="Calibri" w:hAnsi="Calibri" w:cs="Calibri"/>
                <w:sz w:val="20"/>
              </w:rPr>
              <w:t>Varchar</w:t>
            </w:r>
          </w:p>
        </w:tc>
        <w:tc>
          <w:tcPr>
            <w:tcW w:w="2249" w:type="dxa"/>
          </w:tcPr>
          <w:p w14:paraId="68CFCF4C" w14:textId="6B8EB132" w:rsidR="00EB32E8" w:rsidRDefault="00EB32E8" w:rsidP="00C63A98">
            <w:pPr>
              <w:pStyle w:val="Tabletext"/>
              <w:rPr>
                <w:rFonts w:ascii="Calibri" w:hAnsi="Calibri" w:cs="Calibri"/>
                <w:sz w:val="20"/>
              </w:rPr>
            </w:pPr>
            <w:r>
              <w:rPr>
                <w:rFonts w:ascii="Calibri" w:hAnsi="Calibri" w:cs="Calibri"/>
                <w:sz w:val="20"/>
              </w:rPr>
              <w:t>Illinois, Michigan, Ohio, Wisconsin</w:t>
            </w:r>
          </w:p>
        </w:tc>
      </w:tr>
      <w:tr w:rsidR="00EB32E8" w:rsidRPr="00C63A98" w14:paraId="7CEB9A7C" w14:textId="77777777" w:rsidTr="00794AE6">
        <w:trPr>
          <w:cantSplit/>
        </w:trPr>
        <w:tc>
          <w:tcPr>
            <w:tcW w:w="3071" w:type="dxa"/>
          </w:tcPr>
          <w:p w14:paraId="350AB109" w14:textId="53EE89D0" w:rsidR="00EB32E8" w:rsidRPr="00C63A98" w:rsidRDefault="00EB32E8" w:rsidP="00C63A98">
            <w:pPr>
              <w:pStyle w:val="Tabletext"/>
              <w:rPr>
                <w:rFonts w:ascii="Calibri" w:hAnsi="Calibri" w:cs="Calibri"/>
                <w:sz w:val="20"/>
              </w:rPr>
            </w:pPr>
            <w:r>
              <w:rPr>
                <w:rFonts w:ascii="Calibri" w:hAnsi="Calibri" w:cs="Calibri"/>
                <w:sz w:val="20"/>
              </w:rPr>
              <w:t>destination_terminal</w:t>
            </w:r>
          </w:p>
        </w:tc>
        <w:tc>
          <w:tcPr>
            <w:tcW w:w="2822" w:type="dxa"/>
          </w:tcPr>
          <w:p w14:paraId="763673AB" w14:textId="3C467795" w:rsidR="00EB32E8" w:rsidRDefault="00EB32E8" w:rsidP="00C63A98">
            <w:pPr>
              <w:pStyle w:val="Tabletext"/>
              <w:rPr>
                <w:rFonts w:ascii="Calibri" w:hAnsi="Calibri" w:cs="Calibri"/>
                <w:sz w:val="20"/>
              </w:rPr>
            </w:pPr>
            <w:r>
              <w:rPr>
                <w:rFonts w:ascii="Calibri" w:hAnsi="Calibri" w:cs="Calibri"/>
                <w:sz w:val="20"/>
              </w:rPr>
              <w:t>Destination terminal the specification sheet applies to</w:t>
            </w:r>
          </w:p>
        </w:tc>
        <w:tc>
          <w:tcPr>
            <w:tcW w:w="1218" w:type="dxa"/>
          </w:tcPr>
          <w:p w14:paraId="22005950" w14:textId="4E8B951F" w:rsidR="00EB32E8" w:rsidRPr="00C63A98" w:rsidRDefault="00EB32E8" w:rsidP="00C63A98">
            <w:pPr>
              <w:pStyle w:val="Tabletext"/>
              <w:rPr>
                <w:rFonts w:ascii="Calibri" w:hAnsi="Calibri" w:cs="Calibri"/>
                <w:sz w:val="20"/>
              </w:rPr>
            </w:pPr>
            <w:r>
              <w:rPr>
                <w:rFonts w:ascii="Calibri" w:hAnsi="Calibri" w:cs="Calibri"/>
                <w:sz w:val="20"/>
              </w:rPr>
              <w:t>Varchar</w:t>
            </w:r>
          </w:p>
        </w:tc>
        <w:tc>
          <w:tcPr>
            <w:tcW w:w="2249" w:type="dxa"/>
          </w:tcPr>
          <w:p w14:paraId="026F2503" w14:textId="5BE4A9FD" w:rsidR="00EB32E8" w:rsidRDefault="00EB32E8" w:rsidP="00C63A98">
            <w:pPr>
              <w:pStyle w:val="Tabletext"/>
              <w:rPr>
                <w:rFonts w:ascii="Calibri" w:hAnsi="Calibri" w:cs="Calibri"/>
                <w:sz w:val="20"/>
              </w:rPr>
            </w:pPr>
            <w:r>
              <w:rPr>
                <w:rFonts w:ascii="Calibri" w:hAnsi="Calibri" w:cs="Calibri"/>
                <w:sz w:val="20"/>
              </w:rPr>
              <w:t>Champaign, IL : TT&amp;R LP Terminal</w:t>
            </w:r>
          </w:p>
        </w:tc>
      </w:tr>
      <w:tr w:rsidR="00EB32E8" w:rsidRPr="00C63A98" w14:paraId="46B28BBC" w14:textId="77777777" w:rsidTr="00794AE6">
        <w:trPr>
          <w:cantSplit/>
        </w:trPr>
        <w:tc>
          <w:tcPr>
            <w:tcW w:w="3071" w:type="dxa"/>
          </w:tcPr>
          <w:p w14:paraId="7592824E" w14:textId="183E0CDC" w:rsidR="00EB32E8" w:rsidRPr="00C63A98" w:rsidRDefault="00EB32E8" w:rsidP="00C63A98">
            <w:pPr>
              <w:pStyle w:val="Tabletext"/>
              <w:rPr>
                <w:rFonts w:ascii="Calibri" w:hAnsi="Calibri" w:cs="Calibri"/>
                <w:sz w:val="20"/>
              </w:rPr>
            </w:pPr>
            <w:r>
              <w:rPr>
                <w:rFonts w:ascii="Calibri" w:hAnsi="Calibri" w:cs="Calibri"/>
                <w:sz w:val="20"/>
              </w:rPr>
              <w:t>Active flag</w:t>
            </w:r>
          </w:p>
        </w:tc>
        <w:tc>
          <w:tcPr>
            <w:tcW w:w="2822" w:type="dxa"/>
          </w:tcPr>
          <w:p w14:paraId="109DD377" w14:textId="0D976682" w:rsidR="00EB32E8" w:rsidRPr="00C63A98" w:rsidRDefault="00EB32E8" w:rsidP="00C63A98">
            <w:pPr>
              <w:pStyle w:val="Tabletext"/>
              <w:rPr>
                <w:rFonts w:ascii="Calibri" w:hAnsi="Calibri" w:cs="Calibri"/>
                <w:sz w:val="20"/>
              </w:rPr>
            </w:pPr>
            <w:r>
              <w:rPr>
                <w:rFonts w:ascii="Calibri" w:hAnsi="Calibri" w:cs="Calibri"/>
                <w:sz w:val="20"/>
              </w:rPr>
              <w:t>Shows whether the row is still in Profisee</w:t>
            </w:r>
          </w:p>
        </w:tc>
        <w:tc>
          <w:tcPr>
            <w:tcW w:w="1218" w:type="dxa"/>
          </w:tcPr>
          <w:p w14:paraId="11C629B7" w14:textId="04442E9F" w:rsidR="00EB32E8" w:rsidRPr="00C63A98" w:rsidRDefault="00EB32E8" w:rsidP="00C63A98">
            <w:pPr>
              <w:pStyle w:val="Tabletext"/>
              <w:rPr>
                <w:rFonts w:ascii="Calibri" w:hAnsi="Calibri" w:cs="Calibri"/>
                <w:sz w:val="20"/>
              </w:rPr>
            </w:pPr>
          </w:p>
        </w:tc>
        <w:tc>
          <w:tcPr>
            <w:tcW w:w="2249" w:type="dxa"/>
          </w:tcPr>
          <w:p w14:paraId="7A3B0EC5" w14:textId="46BD2F60" w:rsidR="00EB32E8" w:rsidRPr="00C63A98" w:rsidRDefault="00EB32E8" w:rsidP="00C63A98">
            <w:pPr>
              <w:pStyle w:val="Tabletext"/>
              <w:rPr>
                <w:rFonts w:ascii="Calibri" w:hAnsi="Calibri" w:cs="Calibri"/>
                <w:sz w:val="20"/>
              </w:rPr>
            </w:pPr>
          </w:p>
        </w:tc>
      </w:tr>
      <w:tr w:rsidR="00FC42E7" w:rsidRPr="00C63A98" w14:paraId="40A3BDE2" w14:textId="77777777" w:rsidTr="00794AE6">
        <w:trPr>
          <w:cantSplit/>
        </w:trPr>
        <w:tc>
          <w:tcPr>
            <w:tcW w:w="3071" w:type="dxa"/>
          </w:tcPr>
          <w:p w14:paraId="5075BC8E" w14:textId="64B8540D" w:rsidR="00FC42E7" w:rsidRDefault="00FC42E7" w:rsidP="00C63A98">
            <w:pPr>
              <w:pStyle w:val="Tabletext"/>
              <w:rPr>
                <w:rFonts w:ascii="Calibri" w:hAnsi="Calibri" w:cs="Calibri"/>
                <w:sz w:val="20"/>
              </w:rPr>
            </w:pPr>
            <w:r>
              <w:rPr>
                <w:rFonts w:ascii="Calibri" w:hAnsi="Calibri" w:cs="Calibri"/>
                <w:sz w:val="20"/>
              </w:rPr>
              <w:t>LastUpdatedOn</w:t>
            </w:r>
          </w:p>
        </w:tc>
        <w:tc>
          <w:tcPr>
            <w:tcW w:w="2822" w:type="dxa"/>
          </w:tcPr>
          <w:p w14:paraId="4FCF81CE" w14:textId="0E7D6578" w:rsidR="00FC42E7" w:rsidRDefault="00FC42E7" w:rsidP="00C63A98">
            <w:pPr>
              <w:pStyle w:val="Tabletext"/>
              <w:rPr>
                <w:rFonts w:ascii="Calibri" w:hAnsi="Calibri" w:cs="Calibri"/>
                <w:sz w:val="20"/>
              </w:rPr>
            </w:pPr>
            <w:r>
              <w:rPr>
                <w:rFonts w:ascii="Calibri" w:hAnsi="Calibri" w:cs="Calibri"/>
                <w:sz w:val="20"/>
              </w:rPr>
              <w:t>Time of the last successful load, recorded by the stored procedure at each load</w:t>
            </w:r>
          </w:p>
        </w:tc>
        <w:tc>
          <w:tcPr>
            <w:tcW w:w="1218" w:type="dxa"/>
          </w:tcPr>
          <w:p w14:paraId="66B39D17" w14:textId="7BAA71E6" w:rsidR="00FC42E7" w:rsidRPr="00C63A98" w:rsidRDefault="00FC42E7" w:rsidP="00C63A98">
            <w:pPr>
              <w:pStyle w:val="Tabletext"/>
              <w:rPr>
                <w:rFonts w:ascii="Calibri" w:hAnsi="Calibri" w:cs="Calibri"/>
                <w:sz w:val="20"/>
              </w:rPr>
            </w:pPr>
            <w:r>
              <w:rPr>
                <w:rFonts w:ascii="Calibri" w:hAnsi="Calibri" w:cs="Calibri"/>
                <w:sz w:val="20"/>
              </w:rPr>
              <w:t>DateTime</w:t>
            </w:r>
          </w:p>
        </w:tc>
        <w:tc>
          <w:tcPr>
            <w:tcW w:w="2249" w:type="dxa"/>
          </w:tcPr>
          <w:p w14:paraId="139E72B8" w14:textId="77777777" w:rsidR="00FC42E7" w:rsidRPr="00C63A98" w:rsidRDefault="00FC42E7" w:rsidP="00C63A98">
            <w:pPr>
              <w:pStyle w:val="Tabletext"/>
              <w:rPr>
                <w:rFonts w:ascii="Calibri" w:hAnsi="Calibri" w:cs="Calibri"/>
                <w:sz w:val="20"/>
              </w:rPr>
            </w:pPr>
          </w:p>
        </w:tc>
      </w:tr>
    </w:tbl>
    <w:p w14:paraId="77199787" w14:textId="16F32825" w:rsidR="00EB32E8" w:rsidRDefault="00EB32E8" w:rsidP="00EB32E8">
      <w:pPr>
        <w:pStyle w:val="Caption"/>
      </w:pPr>
      <w:bookmarkStart w:id="268" w:name="_Toc242554044"/>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46</w:t>
      </w:r>
      <w:r>
        <w:fldChar w:fldCharType="end"/>
      </w:r>
      <w:r>
        <w:t xml:space="preserve">: Destination (IQDM) Data Entity: </w:t>
      </w:r>
      <w:r w:rsidR="00FC42E7">
        <w:t>vcb_</w:t>
      </w:r>
      <w:r>
        <w:t>terminal_specsheet_master</w:t>
      </w:r>
      <w:bookmarkEnd w:id="268"/>
    </w:p>
    <w:p w14:paraId="385B353C" w14:textId="50C1CDA1" w:rsidR="00EB32E8" w:rsidRDefault="00EB32E8" w:rsidP="00EB32E8">
      <w:pPr>
        <w:pStyle w:val="Heading6"/>
        <w:rPr>
          <w:rFonts w:ascii="Calibri" w:hAnsi="Calibri" w:cs="Calibri"/>
          <w:sz w:val="20"/>
        </w:rPr>
      </w:pPr>
      <w:r>
        <w:rPr>
          <w:rFonts w:ascii="Calibri" w:hAnsi="Calibri" w:cs="Calibri"/>
          <w:sz w:val="20"/>
        </w:rPr>
        <w:t>Source to Response Model Mapping</w:t>
      </w:r>
    </w:p>
    <w:p w14:paraId="673DAB9F" w14:textId="277567FC" w:rsidR="00EB32E8" w:rsidRPr="00FC42E7" w:rsidRDefault="00FC42E7" w:rsidP="00FC42E7">
      <w:pPr>
        <w:pStyle w:val="ListParagraph"/>
        <w:numPr>
          <w:ilvl w:val="0"/>
          <w:numId w:val="4"/>
        </w:numPr>
        <w:jc w:val="left"/>
      </w:pPr>
      <w:r w:rsidRPr="00FC42E7">
        <w:t>The response model shall carry the fields of the Terminals Specsheet Master Data, with the data source added.</w:t>
      </w:r>
    </w:p>
    <w:p w14:paraId="3FDC490B" w14:textId="50E95126" w:rsidR="00EB32E8" w:rsidRPr="00AA30D8" w:rsidRDefault="00EB32E8" w:rsidP="00EB32E8">
      <w:pPr>
        <w:pStyle w:val="Heading7"/>
        <w:rPr>
          <w:rFonts w:ascii="Calibri" w:hAnsi="Calibri" w:cs="Calibri"/>
          <w:b/>
          <w:sz w:val="20"/>
        </w:rPr>
      </w:pPr>
      <w:r>
        <w:rPr>
          <w:rFonts w:ascii="Calibri" w:hAnsi="Calibri" w:cs="Calibri"/>
          <w:b/>
          <w:sz w:val="20"/>
        </w:rPr>
        <w:t>Profisee (Terminals Specsheet Master Data) to Response Model Mapping</w:t>
      </w:r>
    </w:p>
    <w:p w14:paraId="417F144A" w14:textId="28B269A7" w:rsidR="00FC42E7" w:rsidRPr="00EC3682" w:rsidRDefault="00FC42E7" w:rsidP="00FC42E7">
      <w:pPr>
        <w:pStyle w:val="ListParagraph"/>
        <w:numPr>
          <w:ilvl w:val="0"/>
          <w:numId w:val="4"/>
        </w:numPr>
        <w:jc w:val="left"/>
        <w:rPr>
          <w:rFonts w:ascii="Calibri" w:hAnsi="Calibri" w:cs="Calibri"/>
        </w:rPr>
      </w:pPr>
      <w:r>
        <w:t>The data source shall be a fixed value.</w:t>
      </w:r>
    </w:p>
    <w:p w14:paraId="6A9B36E4" w14:textId="1546F13E" w:rsidR="00EB32E8" w:rsidRPr="0081216E" w:rsidRDefault="00FC42E7" w:rsidP="00FC42E7">
      <w:pPr>
        <w:keepNext/>
        <w:jc w:val="left"/>
        <w:rPr>
          <w:rFonts w:ascii="Calibri" w:hAnsi="Calibri" w:cs="Calibri"/>
        </w:rPr>
      </w:pPr>
      <w:r>
        <w:rPr>
          <w:rFonts w:ascii="Calibri" w:hAnsi="Calibri" w:cs="Calibri"/>
        </w:rPr>
        <w:t>The table below gives the Terminals Specsheet Master Data field that each attribute of the response model comes from.</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08"/>
        <w:gridCol w:w="2060"/>
        <w:gridCol w:w="2808"/>
        <w:gridCol w:w="1684"/>
      </w:tblGrid>
      <w:tr w:rsidR="00EB32E8" w:rsidRPr="00C63A98" w14:paraId="6D49AA09" w14:textId="77777777" w:rsidTr="00D0687B">
        <w:trPr>
          <w:cantSplit/>
          <w:tblHeader/>
        </w:trPr>
        <w:tc>
          <w:tcPr>
            <w:tcW w:w="2808" w:type="dxa"/>
            <w:shd w:val="clear" w:color="auto" w:fill="2F5597"/>
          </w:tcPr>
          <w:p w14:paraId="120E949C" w14:textId="77777777" w:rsidR="00EB32E8" w:rsidRPr="00C63A98" w:rsidRDefault="00EB32E8" w:rsidP="00C63A98">
            <w:pPr>
              <w:pStyle w:val="Tablehead1"/>
              <w:rPr>
                <w:rFonts w:ascii="Calibri" w:hAnsi="Calibri" w:cs="Calibri"/>
                <w:sz w:val="20"/>
              </w:rPr>
            </w:pPr>
            <w:r w:rsidRPr="00C63A98">
              <w:rPr>
                <w:rFonts w:ascii="Calibri" w:hAnsi="Calibri" w:cs="Calibri"/>
                <w:sz w:val="20"/>
              </w:rPr>
              <w:t>Response Model</w:t>
            </w:r>
          </w:p>
        </w:tc>
        <w:tc>
          <w:tcPr>
            <w:tcW w:w="2060" w:type="dxa"/>
            <w:shd w:val="clear" w:color="auto" w:fill="2F5597"/>
          </w:tcPr>
          <w:p w14:paraId="5467E02A" w14:textId="77777777" w:rsidR="00EB32E8" w:rsidRPr="00C63A98" w:rsidRDefault="00EB32E8" w:rsidP="00C63A98">
            <w:pPr>
              <w:pStyle w:val="Tablehead1"/>
              <w:rPr>
                <w:rFonts w:ascii="Calibri" w:hAnsi="Calibri" w:cs="Calibri"/>
                <w:sz w:val="20"/>
              </w:rPr>
            </w:pPr>
            <w:r w:rsidRPr="00C63A98">
              <w:rPr>
                <w:rFonts w:ascii="Calibri" w:hAnsi="Calibri" w:cs="Calibri"/>
                <w:sz w:val="20"/>
              </w:rPr>
              <w:t>Source Field</w:t>
            </w:r>
          </w:p>
        </w:tc>
        <w:tc>
          <w:tcPr>
            <w:tcW w:w="2808" w:type="dxa"/>
            <w:shd w:val="clear" w:color="auto" w:fill="2F5597"/>
          </w:tcPr>
          <w:p w14:paraId="300F8DA4" w14:textId="77777777" w:rsidR="00EB32E8" w:rsidRPr="00C63A98" w:rsidRDefault="00EB32E8" w:rsidP="00C63A98">
            <w:pPr>
              <w:pStyle w:val="Tablehead1"/>
              <w:rPr>
                <w:rFonts w:ascii="Calibri" w:hAnsi="Calibri" w:cs="Calibri"/>
                <w:sz w:val="20"/>
              </w:rPr>
            </w:pPr>
            <w:r w:rsidRPr="00C63A98">
              <w:rPr>
                <w:rFonts w:ascii="Calibri" w:hAnsi="Calibri" w:cs="Calibri"/>
                <w:sz w:val="20"/>
              </w:rPr>
              <w:t>Attribute</w:t>
            </w:r>
          </w:p>
        </w:tc>
        <w:tc>
          <w:tcPr>
            <w:tcW w:w="1684" w:type="dxa"/>
            <w:shd w:val="clear" w:color="auto" w:fill="2F5597"/>
          </w:tcPr>
          <w:p w14:paraId="5FB99302" w14:textId="77777777" w:rsidR="00EB32E8" w:rsidRPr="00C63A98" w:rsidRDefault="00EB32E8" w:rsidP="00C63A98">
            <w:pPr>
              <w:pStyle w:val="Tablehead1"/>
              <w:rPr>
                <w:rFonts w:ascii="Calibri" w:hAnsi="Calibri" w:cs="Calibri"/>
                <w:sz w:val="20"/>
              </w:rPr>
            </w:pPr>
            <w:r w:rsidRPr="00C63A98">
              <w:rPr>
                <w:rFonts w:ascii="Calibri" w:hAnsi="Calibri" w:cs="Calibri"/>
                <w:sz w:val="20"/>
              </w:rPr>
              <w:t>Description</w:t>
            </w:r>
          </w:p>
        </w:tc>
      </w:tr>
      <w:tr w:rsidR="00EB32E8" w:rsidRPr="00C63A98" w14:paraId="165C7119" w14:textId="77777777" w:rsidTr="00D0687B">
        <w:trPr>
          <w:cantSplit/>
        </w:trPr>
        <w:tc>
          <w:tcPr>
            <w:tcW w:w="2808" w:type="dxa"/>
          </w:tcPr>
          <w:p w14:paraId="3E0D1434" w14:textId="15C6303A" w:rsidR="00EB32E8" w:rsidRPr="00C63A98" w:rsidRDefault="00EB32E8" w:rsidP="00C63A98">
            <w:pPr>
              <w:pStyle w:val="Tabletext"/>
              <w:rPr>
                <w:rFonts w:ascii="Calibri" w:hAnsi="Calibri" w:cs="Calibri"/>
                <w:sz w:val="20"/>
              </w:rPr>
            </w:pPr>
            <w:r>
              <w:rPr>
                <w:rFonts w:ascii="Calibri" w:hAnsi="Calibri" w:cs="Calibri"/>
                <w:sz w:val="20"/>
              </w:rPr>
              <w:t>source</w:t>
            </w:r>
          </w:p>
        </w:tc>
        <w:tc>
          <w:tcPr>
            <w:tcW w:w="2060" w:type="dxa"/>
          </w:tcPr>
          <w:p w14:paraId="16CCEF54" w14:textId="5CE9C111" w:rsidR="00EB32E8" w:rsidRPr="00C63A98" w:rsidRDefault="00EB32E8" w:rsidP="00C63A98">
            <w:pPr>
              <w:pStyle w:val="Tabletext"/>
              <w:rPr>
                <w:rFonts w:ascii="Calibri" w:hAnsi="Calibri" w:cs="Calibri"/>
                <w:sz w:val="20"/>
              </w:rPr>
            </w:pPr>
            <w:r>
              <w:rPr>
                <w:rFonts w:ascii="Calibri" w:hAnsi="Calibri" w:cs="Calibri"/>
                <w:sz w:val="20"/>
              </w:rPr>
              <w:t>Source</w:t>
            </w:r>
          </w:p>
        </w:tc>
        <w:tc>
          <w:tcPr>
            <w:tcW w:w="2808" w:type="dxa"/>
          </w:tcPr>
          <w:p w14:paraId="4F061439" w14:textId="42109C9F" w:rsidR="00EB32E8" w:rsidRPr="00C63A98" w:rsidRDefault="00EB32E8" w:rsidP="00C63A98">
            <w:pPr>
              <w:pStyle w:val="Tabletext"/>
              <w:rPr>
                <w:rFonts w:ascii="Calibri" w:hAnsi="Calibri" w:cs="Calibri"/>
                <w:sz w:val="20"/>
              </w:rPr>
            </w:pPr>
            <w:r>
              <w:rPr>
                <w:rFonts w:ascii="Calibri" w:hAnsi="Calibri" w:cs="Calibri"/>
                <w:sz w:val="20"/>
              </w:rPr>
              <w:t>Source</w:t>
            </w:r>
          </w:p>
        </w:tc>
        <w:tc>
          <w:tcPr>
            <w:tcW w:w="1684" w:type="dxa"/>
          </w:tcPr>
          <w:p w14:paraId="3742BD14" w14:textId="6E69C57A" w:rsidR="00EB32E8" w:rsidRPr="00C63A98" w:rsidRDefault="00EB32E8" w:rsidP="00C63A98">
            <w:pPr>
              <w:pStyle w:val="Tabletext"/>
              <w:rPr>
                <w:rFonts w:ascii="Calibri" w:hAnsi="Calibri" w:cs="Calibri"/>
                <w:sz w:val="20"/>
              </w:rPr>
            </w:pPr>
            <w:r>
              <w:rPr>
                <w:rFonts w:ascii="Calibri" w:hAnsi="Calibri" w:cs="Calibri"/>
                <w:sz w:val="20"/>
              </w:rPr>
              <w:t>Source refinery</w:t>
            </w:r>
          </w:p>
        </w:tc>
      </w:tr>
      <w:tr w:rsidR="00EB32E8" w:rsidRPr="00C63A98" w14:paraId="73C5C785" w14:textId="77777777" w:rsidTr="00D0687B">
        <w:trPr>
          <w:cantSplit/>
        </w:trPr>
        <w:tc>
          <w:tcPr>
            <w:tcW w:w="2808" w:type="dxa"/>
          </w:tcPr>
          <w:p w14:paraId="736B94D6" w14:textId="5CBBFAA6" w:rsidR="00EB32E8" w:rsidRPr="00C63A98" w:rsidRDefault="00EB32E8" w:rsidP="00C63A98">
            <w:pPr>
              <w:pStyle w:val="Tabletext"/>
              <w:rPr>
                <w:rFonts w:ascii="Calibri" w:hAnsi="Calibri" w:cs="Calibri"/>
                <w:sz w:val="20"/>
              </w:rPr>
            </w:pPr>
            <w:r>
              <w:rPr>
                <w:rFonts w:ascii="Calibri" w:hAnsi="Calibri" w:cs="Calibri"/>
                <w:sz w:val="20"/>
              </w:rPr>
              <w:t>product</w:t>
            </w:r>
          </w:p>
        </w:tc>
        <w:tc>
          <w:tcPr>
            <w:tcW w:w="2060" w:type="dxa"/>
          </w:tcPr>
          <w:p w14:paraId="0139BDE6" w14:textId="31945632" w:rsidR="00EB32E8" w:rsidRPr="00C63A98" w:rsidRDefault="00EB32E8" w:rsidP="00C63A98">
            <w:pPr>
              <w:pStyle w:val="Tabletext"/>
              <w:rPr>
                <w:rFonts w:ascii="Calibri" w:hAnsi="Calibri" w:cs="Calibri"/>
                <w:sz w:val="20"/>
              </w:rPr>
            </w:pPr>
            <w:r>
              <w:rPr>
                <w:rFonts w:ascii="Calibri" w:hAnsi="Calibri" w:cs="Calibri"/>
                <w:sz w:val="20"/>
              </w:rPr>
              <w:t>Product</w:t>
            </w:r>
          </w:p>
        </w:tc>
        <w:tc>
          <w:tcPr>
            <w:tcW w:w="2808" w:type="dxa"/>
          </w:tcPr>
          <w:p w14:paraId="1F36C040" w14:textId="115F7713" w:rsidR="00EB32E8" w:rsidRPr="00C63A98" w:rsidRDefault="00EB32E8" w:rsidP="00C63A98">
            <w:pPr>
              <w:pStyle w:val="Tabletext"/>
              <w:rPr>
                <w:rFonts w:ascii="Calibri" w:hAnsi="Calibri" w:cs="Calibri"/>
                <w:sz w:val="20"/>
              </w:rPr>
            </w:pPr>
            <w:r>
              <w:rPr>
                <w:rFonts w:ascii="Calibri" w:hAnsi="Calibri" w:cs="Calibri"/>
                <w:sz w:val="20"/>
              </w:rPr>
              <w:t>Product</w:t>
            </w:r>
          </w:p>
        </w:tc>
        <w:tc>
          <w:tcPr>
            <w:tcW w:w="1684" w:type="dxa"/>
          </w:tcPr>
          <w:p w14:paraId="127A2AB9" w14:textId="25787000" w:rsidR="00EB32E8" w:rsidRPr="00C63A98" w:rsidRDefault="00EB32E8" w:rsidP="00C63A98">
            <w:pPr>
              <w:pStyle w:val="Tabletext"/>
              <w:rPr>
                <w:rFonts w:ascii="Calibri" w:hAnsi="Calibri" w:cs="Calibri"/>
                <w:sz w:val="20"/>
              </w:rPr>
            </w:pPr>
            <w:r>
              <w:rPr>
                <w:rFonts w:ascii="Calibri" w:hAnsi="Calibri" w:cs="Calibri"/>
                <w:sz w:val="20"/>
              </w:rPr>
              <w:t>Product</w:t>
            </w:r>
          </w:p>
        </w:tc>
      </w:tr>
      <w:tr w:rsidR="00EB32E8" w:rsidRPr="00C63A98" w14:paraId="63AAFC9A" w14:textId="77777777" w:rsidTr="00D0687B">
        <w:trPr>
          <w:cantSplit/>
        </w:trPr>
        <w:tc>
          <w:tcPr>
            <w:tcW w:w="2808" w:type="dxa"/>
          </w:tcPr>
          <w:p w14:paraId="05842661" w14:textId="39AA78AE" w:rsidR="00EB32E8" w:rsidRPr="00C63A98" w:rsidRDefault="00EB32E8" w:rsidP="00C63A98">
            <w:pPr>
              <w:pStyle w:val="Tabletext"/>
              <w:rPr>
                <w:rFonts w:ascii="Calibri" w:hAnsi="Calibri" w:cs="Calibri"/>
                <w:sz w:val="20"/>
              </w:rPr>
            </w:pPr>
            <w:r>
              <w:rPr>
                <w:rFonts w:ascii="Calibri" w:hAnsi="Calibri" w:cs="Calibri"/>
                <w:sz w:val="20"/>
              </w:rPr>
              <w:t>specificationSheet</w:t>
            </w:r>
          </w:p>
        </w:tc>
        <w:tc>
          <w:tcPr>
            <w:tcW w:w="2060" w:type="dxa"/>
          </w:tcPr>
          <w:p w14:paraId="39C10612" w14:textId="67A0631A" w:rsidR="00EB32E8" w:rsidRPr="00C63A98" w:rsidRDefault="00EB32E8" w:rsidP="00C63A98">
            <w:pPr>
              <w:pStyle w:val="Tabletext"/>
              <w:rPr>
                <w:rFonts w:ascii="Calibri" w:hAnsi="Calibri" w:cs="Calibri"/>
                <w:sz w:val="20"/>
              </w:rPr>
            </w:pPr>
            <w:r>
              <w:rPr>
                <w:rFonts w:ascii="Calibri" w:hAnsi="Calibri" w:cs="Calibri"/>
                <w:sz w:val="20"/>
              </w:rPr>
              <w:t>SpecificationSheet</w:t>
            </w:r>
          </w:p>
        </w:tc>
        <w:tc>
          <w:tcPr>
            <w:tcW w:w="2808" w:type="dxa"/>
          </w:tcPr>
          <w:p w14:paraId="3D12A82C" w14:textId="11B3C75D" w:rsidR="00EB32E8" w:rsidRPr="00C63A98" w:rsidRDefault="00EB32E8" w:rsidP="00C63A98">
            <w:pPr>
              <w:pStyle w:val="Tabletext"/>
              <w:rPr>
                <w:rFonts w:ascii="Calibri" w:hAnsi="Calibri" w:cs="Calibri"/>
                <w:sz w:val="20"/>
              </w:rPr>
            </w:pPr>
            <w:r>
              <w:rPr>
                <w:rFonts w:ascii="Calibri" w:hAnsi="Calibri" w:cs="Calibri"/>
                <w:sz w:val="20"/>
              </w:rPr>
              <w:t>SpecificationSheet</w:t>
            </w:r>
          </w:p>
        </w:tc>
        <w:tc>
          <w:tcPr>
            <w:tcW w:w="1684" w:type="dxa"/>
          </w:tcPr>
          <w:p w14:paraId="0FCA6C57" w14:textId="031EF9F6" w:rsidR="00EB32E8" w:rsidRPr="00C63A98" w:rsidRDefault="00EB32E8" w:rsidP="00C63A98">
            <w:pPr>
              <w:pStyle w:val="Tabletext"/>
              <w:rPr>
                <w:rFonts w:ascii="Calibri" w:hAnsi="Calibri" w:cs="Calibri"/>
                <w:sz w:val="20"/>
              </w:rPr>
            </w:pPr>
            <w:r>
              <w:rPr>
                <w:rFonts w:ascii="Calibri" w:hAnsi="Calibri" w:cs="Calibri"/>
                <w:sz w:val="20"/>
              </w:rPr>
              <w:t>Specification sheet</w:t>
            </w:r>
          </w:p>
        </w:tc>
      </w:tr>
      <w:tr w:rsidR="00EB32E8" w:rsidRPr="00C63A98" w14:paraId="1D9C420D" w14:textId="77777777" w:rsidTr="00D0687B">
        <w:trPr>
          <w:cantSplit/>
        </w:trPr>
        <w:tc>
          <w:tcPr>
            <w:tcW w:w="2808" w:type="dxa"/>
          </w:tcPr>
          <w:p w14:paraId="31A98639" w14:textId="6FC0809F" w:rsidR="00EB32E8" w:rsidRPr="00C63A98" w:rsidRDefault="00EB32E8" w:rsidP="00C63A98">
            <w:pPr>
              <w:pStyle w:val="Tabletext"/>
              <w:rPr>
                <w:rFonts w:ascii="Calibri" w:hAnsi="Calibri" w:cs="Calibri"/>
                <w:sz w:val="20"/>
              </w:rPr>
            </w:pPr>
            <w:r>
              <w:rPr>
                <w:rFonts w:ascii="Calibri" w:hAnsi="Calibri" w:cs="Calibri"/>
                <w:sz w:val="20"/>
              </w:rPr>
              <w:t>destinationTerminal</w:t>
            </w:r>
          </w:p>
        </w:tc>
        <w:tc>
          <w:tcPr>
            <w:tcW w:w="2060" w:type="dxa"/>
          </w:tcPr>
          <w:p w14:paraId="4F8F1039" w14:textId="4C71D1ED" w:rsidR="00EB32E8" w:rsidRPr="00C63A98" w:rsidRDefault="00EB32E8" w:rsidP="00C63A98">
            <w:pPr>
              <w:pStyle w:val="Tabletext"/>
              <w:rPr>
                <w:rFonts w:ascii="Calibri" w:hAnsi="Calibri" w:cs="Calibri"/>
                <w:sz w:val="20"/>
              </w:rPr>
            </w:pPr>
            <w:r>
              <w:rPr>
                <w:rFonts w:ascii="Calibri" w:hAnsi="Calibri" w:cs="Calibri"/>
                <w:sz w:val="20"/>
              </w:rPr>
              <w:t>Destination</w:t>
            </w:r>
          </w:p>
        </w:tc>
        <w:tc>
          <w:tcPr>
            <w:tcW w:w="2808" w:type="dxa"/>
          </w:tcPr>
          <w:p w14:paraId="3E6E3A8A" w14:textId="26E137DA" w:rsidR="00EB32E8" w:rsidRPr="00C63A98" w:rsidRDefault="00EB32E8" w:rsidP="00C63A98">
            <w:pPr>
              <w:pStyle w:val="Tabletext"/>
              <w:rPr>
                <w:rFonts w:ascii="Calibri" w:hAnsi="Calibri" w:cs="Calibri"/>
                <w:sz w:val="20"/>
              </w:rPr>
            </w:pPr>
            <w:r>
              <w:rPr>
                <w:rFonts w:ascii="Calibri" w:hAnsi="Calibri" w:cs="Calibri"/>
                <w:sz w:val="20"/>
              </w:rPr>
              <w:t>DestinationTerminal</w:t>
            </w:r>
          </w:p>
        </w:tc>
        <w:tc>
          <w:tcPr>
            <w:tcW w:w="1684" w:type="dxa"/>
          </w:tcPr>
          <w:p w14:paraId="25C8A630" w14:textId="0D274019" w:rsidR="00EB32E8" w:rsidRPr="00C63A98" w:rsidRDefault="00EB32E8" w:rsidP="00C63A98">
            <w:pPr>
              <w:pStyle w:val="Tabletext"/>
              <w:rPr>
                <w:rFonts w:ascii="Calibri" w:hAnsi="Calibri" w:cs="Calibri"/>
                <w:sz w:val="20"/>
              </w:rPr>
            </w:pPr>
            <w:r>
              <w:rPr>
                <w:rFonts w:ascii="Calibri" w:hAnsi="Calibri" w:cs="Calibri"/>
                <w:sz w:val="20"/>
              </w:rPr>
              <w:t>Destination terminal</w:t>
            </w:r>
          </w:p>
        </w:tc>
      </w:tr>
      <w:tr w:rsidR="00EB32E8" w:rsidRPr="00C63A98" w14:paraId="221D7A8F" w14:textId="77777777" w:rsidTr="00D0687B">
        <w:trPr>
          <w:cantSplit/>
        </w:trPr>
        <w:tc>
          <w:tcPr>
            <w:tcW w:w="2808" w:type="dxa"/>
          </w:tcPr>
          <w:p w14:paraId="0E9EB28F" w14:textId="6FE50070" w:rsidR="00EB32E8" w:rsidRPr="00C63A98" w:rsidRDefault="00EB32E8" w:rsidP="00C63A98">
            <w:pPr>
              <w:pStyle w:val="Tabletext"/>
              <w:rPr>
                <w:rFonts w:ascii="Calibri" w:hAnsi="Calibri" w:cs="Calibri"/>
                <w:sz w:val="20"/>
              </w:rPr>
            </w:pPr>
            <w:r>
              <w:rPr>
                <w:rFonts w:ascii="Calibri" w:hAnsi="Calibri" w:cs="Calibri"/>
                <w:sz w:val="20"/>
              </w:rPr>
              <w:t>dataSource</w:t>
            </w:r>
          </w:p>
        </w:tc>
        <w:tc>
          <w:tcPr>
            <w:tcW w:w="2060" w:type="dxa"/>
          </w:tcPr>
          <w:p w14:paraId="7934D683" w14:textId="48D1AECA" w:rsidR="00EB32E8" w:rsidRPr="00C63A98" w:rsidRDefault="00EB32E8" w:rsidP="00C63A98">
            <w:pPr>
              <w:pStyle w:val="Tabletext"/>
              <w:rPr>
                <w:rFonts w:ascii="Calibri" w:hAnsi="Calibri" w:cs="Calibri"/>
                <w:sz w:val="20"/>
              </w:rPr>
            </w:pPr>
            <w:r>
              <w:rPr>
                <w:rFonts w:ascii="Calibri" w:hAnsi="Calibri" w:cs="Calibri"/>
                <w:sz w:val="20"/>
              </w:rPr>
              <w:t>Fixed value (Profisee)</w:t>
            </w:r>
          </w:p>
        </w:tc>
        <w:tc>
          <w:tcPr>
            <w:tcW w:w="2808" w:type="dxa"/>
          </w:tcPr>
          <w:p w14:paraId="7B165320" w14:textId="2D1AD5C0" w:rsidR="00EB32E8" w:rsidRPr="00C63A98" w:rsidRDefault="00EB32E8" w:rsidP="00C63A98">
            <w:pPr>
              <w:pStyle w:val="Tabletext"/>
              <w:rPr>
                <w:rFonts w:ascii="Calibri" w:hAnsi="Calibri" w:cs="Calibri"/>
                <w:sz w:val="20"/>
              </w:rPr>
            </w:pPr>
            <w:r>
              <w:rPr>
                <w:rFonts w:ascii="Calibri" w:hAnsi="Calibri" w:cs="Calibri"/>
                <w:sz w:val="20"/>
              </w:rPr>
              <w:t>DataSource</w:t>
            </w:r>
          </w:p>
        </w:tc>
        <w:tc>
          <w:tcPr>
            <w:tcW w:w="1684" w:type="dxa"/>
          </w:tcPr>
          <w:p w14:paraId="227FF66D" w14:textId="492BE9AD" w:rsidR="00EB32E8" w:rsidRPr="00C63A98" w:rsidRDefault="00EB32E8" w:rsidP="00C63A98">
            <w:pPr>
              <w:pStyle w:val="Tabletext"/>
              <w:rPr>
                <w:rFonts w:ascii="Calibri" w:hAnsi="Calibri" w:cs="Calibri"/>
                <w:sz w:val="20"/>
              </w:rPr>
            </w:pPr>
            <w:r>
              <w:rPr>
                <w:rFonts w:ascii="Calibri" w:hAnsi="Calibri" w:cs="Calibri"/>
                <w:sz w:val="20"/>
              </w:rPr>
              <w:t>Source system</w:t>
            </w:r>
          </w:p>
        </w:tc>
      </w:tr>
    </w:tbl>
    <w:p w14:paraId="3929B545" w14:textId="3D779EBD" w:rsidR="00EB32E8" w:rsidRDefault="00EB32E8" w:rsidP="00EB32E8">
      <w:pPr>
        <w:pStyle w:val="Caption"/>
      </w:pPr>
      <w:bookmarkStart w:id="269" w:name="_Toc242554045"/>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47</w:t>
      </w:r>
      <w:r>
        <w:fldChar w:fldCharType="end"/>
      </w:r>
      <w:r>
        <w:t>: Profisee (Terminals Specsheet Master Data) to Response Model Mapping</w:t>
      </w:r>
      <w:bookmarkEnd w:id="269"/>
    </w:p>
    <w:p w14:paraId="2533ECD3" w14:textId="306B763A" w:rsidR="00EB32E8" w:rsidRDefault="00EB32E8" w:rsidP="00EB32E8">
      <w:pPr>
        <w:pStyle w:val="Heading6"/>
        <w:rPr>
          <w:rFonts w:ascii="Calibri" w:hAnsi="Calibri" w:cs="Calibri"/>
          <w:sz w:val="20"/>
        </w:rPr>
      </w:pPr>
      <w:r>
        <w:rPr>
          <w:rFonts w:ascii="Calibri" w:hAnsi="Calibri" w:cs="Calibri"/>
          <w:sz w:val="20"/>
        </w:rPr>
        <w:t>Master Data Entity</w:t>
      </w:r>
    </w:p>
    <w:p w14:paraId="066D21CE" w14:textId="0C67DC47" w:rsidR="00EB32E8" w:rsidRPr="0081216E" w:rsidRDefault="00687F84" w:rsidP="00FC42E7">
      <w:pPr>
        <w:keepNext/>
        <w:jc w:val="left"/>
        <w:rPr>
          <w:rFonts w:ascii="Calibri" w:hAnsi="Calibri" w:cs="Calibri"/>
        </w:rPr>
      </w:pPr>
      <w:r>
        <w:rPr>
          <w:rFonts w:ascii="Calibri" w:hAnsi="Calibri" w:cs="Calibri"/>
        </w:rPr>
        <w:t>The Profisee data mapping shall use the master data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59"/>
        <w:gridCol w:w="3915"/>
        <w:gridCol w:w="1216"/>
        <w:gridCol w:w="2970"/>
      </w:tblGrid>
      <w:tr w:rsidR="00B63412" w:rsidRPr="00C63A98" w14:paraId="259BCC31" w14:textId="77777777" w:rsidTr="00B63412">
        <w:trPr>
          <w:cantSplit/>
          <w:tblHeader/>
        </w:trPr>
        <w:tc>
          <w:tcPr>
            <w:tcW w:w="1259" w:type="dxa"/>
            <w:shd w:val="clear" w:color="auto" w:fill="2F5597"/>
          </w:tcPr>
          <w:p w14:paraId="4218A383" w14:textId="77777777" w:rsidR="00B63412" w:rsidRPr="00C63A98" w:rsidRDefault="00B63412" w:rsidP="00AA30D8">
            <w:pPr>
              <w:pStyle w:val="Tablehead1"/>
              <w:rPr>
                <w:rFonts w:ascii="Calibri" w:hAnsi="Calibri" w:cs="Calibri"/>
                <w:sz w:val="20"/>
              </w:rPr>
            </w:pPr>
            <w:r w:rsidRPr="00C63A98">
              <w:rPr>
                <w:rFonts w:ascii="Calibri" w:hAnsi="Calibri" w:cs="Calibri"/>
                <w:sz w:val="20"/>
              </w:rPr>
              <w:t>Master Data</w:t>
            </w:r>
          </w:p>
        </w:tc>
        <w:tc>
          <w:tcPr>
            <w:tcW w:w="3915" w:type="dxa"/>
            <w:shd w:val="clear" w:color="auto" w:fill="2F5597"/>
          </w:tcPr>
          <w:p w14:paraId="4645AE28" w14:textId="77777777" w:rsidR="00B63412" w:rsidRPr="00C63A98" w:rsidRDefault="00B63412" w:rsidP="00AA30D8">
            <w:pPr>
              <w:pStyle w:val="Tablehead1"/>
              <w:rPr>
                <w:rFonts w:ascii="Calibri" w:hAnsi="Calibri" w:cs="Calibri"/>
                <w:sz w:val="20"/>
              </w:rPr>
            </w:pPr>
            <w:r w:rsidRPr="00C63A98">
              <w:rPr>
                <w:rFonts w:ascii="Calibri" w:hAnsi="Calibri" w:cs="Calibri"/>
                <w:sz w:val="20"/>
              </w:rPr>
              <w:t>Description</w:t>
            </w:r>
          </w:p>
        </w:tc>
        <w:tc>
          <w:tcPr>
            <w:tcW w:w="1216" w:type="dxa"/>
            <w:shd w:val="clear" w:color="auto" w:fill="2F5597"/>
          </w:tcPr>
          <w:p w14:paraId="7A371F00" w14:textId="77777777" w:rsidR="00B63412" w:rsidRPr="00C63A98" w:rsidRDefault="00B63412" w:rsidP="00AA30D8">
            <w:pPr>
              <w:pStyle w:val="Tablehead1"/>
              <w:rPr>
                <w:rFonts w:ascii="Calibri" w:hAnsi="Calibri" w:cs="Calibri"/>
                <w:sz w:val="20"/>
              </w:rPr>
            </w:pPr>
            <w:r w:rsidRPr="00C63A98">
              <w:rPr>
                <w:rFonts w:ascii="Calibri" w:hAnsi="Calibri" w:cs="Calibri"/>
                <w:sz w:val="20"/>
              </w:rPr>
              <w:t>Mapping Required</w:t>
            </w:r>
          </w:p>
        </w:tc>
        <w:tc>
          <w:tcPr>
            <w:tcW w:w="2970" w:type="dxa"/>
            <w:shd w:val="clear" w:color="auto" w:fill="2F5597"/>
          </w:tcPr>
          <w:p w14:paraId="2FAD4779" w14:textId="77777777" w:rsidR="00B63412" w:rsidRPr="00C63A98" w:rsidRDefault="00B63412" w:rsidP="00AA30D8">
            <w:pPr>
              <w:pStyle w:val="Tablehead1"/>
              <w:rPr>
                <w:rFonts w:ascii="Calibri" w:hAnsi="Calibri" w:cs="Calibri"/>
                <w:sz w:val="20"/>
              </w:rPr>
            </w:pPr>
            <w:r w:rsidRPr="00C63A98">
              <w:rPr>
                <w:rFonts w:ascii="Calibri" w:hAnsi="Calibri" w:cs="Calibri"/>
                <w:sz w:val="20"/>
              </w:rPr>
              <w:t>Comments</w:t>
            </w:r>
          </w:p>
        </w:tc>
      </w:tr>
      <w:tr w:rsidR="00B63412" w:rsidRPr="00C63A98" w14:paraId="5BFBA120" w14:textId="77777777" w:rsidTr="00B63412">
        <w:trPr>
          <w:cantSplit/>
        </w:trPr>
        <w:tc>
          <w:tcPr>
            <w:tcW w:w="1259" w:type="dxa"/>
          </w:tcPr>
          <w:p w14:paraId="64F54878" w14:textId="246EA12F" w:rsidR="00B63412" w:rsidRPr="00C63A98" w:rsidRDefault="00B63412" w:rsidP="00AA30D8">
            <w:pPr>
              <w:pStyle w:val="Tabletext"/>
              <w:keepNext/>
              <w:rPr>
                <w:rFonts w:ascii="Calibri" w:hAnsi="Calibri" w:cs="Calibri"/>
                <w:sz w:val="20"/>
              </w:rPr>
            </w:pPr>
            <w:r>
              <w:rPr>
                <w:rFonts w:ascii="Calibri" w:hAnsi="Calibri" w:cs="Calibri"/>
                <w:sz w:val="20"/>
              </w:rPr>
              <w:t>Location</w:t>
            </w:r>
          </w:p>
        </w:tc>
        <w:tc>
          <w:tcPr>
            <w:tcW w:w="3915" w:type="dxa"/>
          </w:tcPr>
          <w:p w14:paraId="30EA072D" w14:textId="4A4ED2F3" w:rsidR="00B63412" w:rsidRPr="00C63A98" w:rsidRDefault="00B63412" w:rsidP="00AA30D8">
            <w:pPr>
              <w:pStyle w:val="Tabletext"/>
              <w:keepNext/>
              <w:rPr>
                <w:rFonts w:ascii="Calibri" w:hAnsi="Calibri" w:cs="Calibri"/>
                <w:sz w:val="20"/>
              </w:rPr>
            </w:pPr>
            <w:r>
              <w:rPr>
                <w:rFonts w:ascii="Calibri" w:hAnsi="Calibri" w:cs="Calibri"/>
                <w:sz w:val="20"/>
              </w:rPr>
              <w:t>Source refinery and destination terminal (Source, Destination)</w:t>
            </w:r>
          </w:p>
        </w:tc>
        <w:tc>
          <w:tcPr>
            <w:tcW w:w="1216" w:type="dxa"/>
          </w:tcPr>
          <w:p w14:paraId="1D220C30" w14:textId="02F346F6" w:rsidR="00B63412" w:rsidRPr="00C63A98" w:rsidRDefault="00B63412" w:rsidP="00AA30D8">
            <w:pPr>
              <w:pStyle w:val="Tabletext"/>
              <w:keepNext/>
              <w:rPr>
                <w:rFonts w:ascii="Calibri" w:hAnsi="Calibri" w:cs="Calibri"/>
                <w:sz w:val="20"/>
              </w:rPr>
            </w:pPr>
            <w:r>
              <w:rPr>
                <w:rFonts w:ascii="Calibri" w:hAnsi="Calibri" w:cs="Calibri"/>
                <w:sz w:val="20"/>
              </w:rPr>
              <w:t>No</w:t>
            </w:r>
          </w:p>
        </w:tc>
        <w:tc>
          <w:tcPr>
            <w:tcW w:w="2970" w:type="dxa"/>
          </w:tcPr>
          <w:p w14:paraId="3E3A41D0" w14:textId="7F078194" w:rsidR="00B63412" w:rsidRPr="00C63A98" w:rsidRDefault="00B63412" w:rsidP="00AA30D8">
            <w:pPr>
              <w:pStyle w:val="Tabletext"/>
              <w:keepNext/>
              <w:rPr>
                <w:rFonts w:ascii="Calibri" w:hAnsi="Calibri" w:cs="Calibri"/>
                <w:sz w:val="20"/>
              </w:rPr>
            </w:pPr>
            <w:r>
              <w:rPr>
                <w:rFonts w:ascii="Calibri" w:hAnsi="Calibri" w:cs="Calibri"/>
                <w:sz w:val="20"/>
              </w:rPr>
              <w:t>Shall be held by their PQ Spec Shop names, as the specification tables of the IQDM database hold them</w:t>
            </w:r>
          </w:p>
        </w:tc>
      </w:tr>
      <w:tr w:rsidR="00B63412" w:rsidRPr="00C63A98" w14:paraId="0ACC80F4" w14:textId="77777777" w:rsidTr="00B63412">
        <w:trPr>
          <w:cantSplit/>
        </w:trPr>
        <w:tc>
          <w:tcPr>
            <w:tcW w:w="1259" w:type="dxa"/>
          </w:tcPr>
          <w:p w14:paraId="5F613D49" w14:textId="32F43E6F" w:rsidR="00B63412" w:rsidRPr="00C63A98" w:rsidRDefault="00B63412" w:rsidP="00AA30D8">
            <w:pPr>
              <w:pStyle w:val="Tabletext"/>
              <w:keepNext/>
              <w:rPr>
                <w:rFonts w:ascii="Calibri" w:hAnsi="Calibri" w:cs="Calibri"/>
                <w:sz w:val="20"/>
              </w:rPr>
            </w:pPr>
            <w:r>
              <w:rPr>
                <w:rFonts w:ascii="Calibri" w:hAnsi="Calibri" w:cs="Calibri"/>
                <w:sz w:val="20"/>
              </w:rPr>
              <w:t>Product</w:t>
            </w:r>
          </w:p>
        </w:tc>
        <w:tc>
          <w:tcPr>
            <w:tcW w:w="3915" w:type="dxa"/>
          </w:tcPr>
          <w:p w14:paraId="3079129B" w14:textId="665DA93C" w:rsidR="00B63412" w:rsidRPr="00C63A98" w:rsidRDefault="00B63412" w:rsidP="00AA30D8">
            <w:pPr>
              <w:pStyle w:val="Tabletext"/>
              <w:keepNext/>
              <w:rPr>
                <w:rFonts w:ascii="Calibri" w:hAnsi="Calibri" w:cs="Calibri"/>
                <w:sz w:val="20"/>
              </w:rPr>
            </w:pPr>
            <w:r>
              <w:rPr>
                <w:rFonts w:ascii="Calibri" w:hAnsi="Calibri" w:cs="Calibri"/>
                <w:sz w:val="20"/>
              </w:rPr>
              <w:t>Product (Product)</w:t>
            </w:r>
          </w:p>
        </w:tc>
        <w:tc>
          <w:tcPr>
            <w:tcW w:w="1216" w:type="dxa"/>
          </w:tcPr>
          <w:p w14:paraId="2FCB8C2B" w14:textId="50C2378B" w:rsidR="00B63412" w:rsidRPr="00C63A98" w:rsidRDefault="00B63412" w:rsidP="00AA30D8">
            <w:pPr>
              <w:pStyle w:val="Tabletext"/>
              <w:keepNext/>
              <w:rPr>
                <w:rFonts w:ascii="Calibri" w:hAnsi="Calibri" w:cs="Calibri"/>
                <w:sz w:val="20"/>
              </w:rPr>
            </w:pPr>
            <w:r>
              <w:rPr>
                <w:rFonts w:ascii="Calibri" w:hAnsi="Calibri" w:cs="Calibri"/>
                <w:sz w:val="20"/>
              </w:rPr>
              <w:t>No</w:t>
            </w:r>
          </w:p>
        </w:tc>
        <w:tc>
          <w:tcPr>
            <w:tcW w:w="2970" w:type="dxa"/>
          </w:tcPr>
          <w:p w14:paraId="2ECD0884" w14:textId="4C392348" w:rsidR="00B63412" w:rsidRPr="00C63A98" w:rsidRDefault="00B63412" w:rsidP="00AA30D8">
            <w:pPr>
              <w:pStyle w:val="Tabletext"/>
              <w:keepNext/>
              <w:rPr>
                <w:rFonts w:ascii="Calibri" w:hAnsi="Calibri" w:cs="Calibri"/>
                <w:sz w:val="20"/>
              </w:rPr>
            </w:pPr>
            <w:r>
              <w:rPr>
                <w:rFonts w:ascii="Calibri" w:hAnsi="Calibri" w:cs="Calibri"/>
                <w:sz w:val="20"/>
              </w:rPr>
              <w:t>Shall be held by its PQ Spec Shop name</w:t>
            </w:r>
          </w:p>
        </w:tc>
      </w:tr>
      <w:tr w:rsidR="00B63412" w:rsidRPr="00C63A98" w14:paraId="65BFC2FA" w14:textId="77777777" w:rsidTr="00B63412">
        <w:trPr>
          <w:cantSplit/>
        </w:trPr>
        <w:tc>
          <w:tcPr>
            <w:tcW w:w="1259" w:type="dxa"/>
          </w:tcPr>
          <w:p w14:paraId="627BD1AD" w14:textId="1AC58DC4" w:rsidR="00B63412" w:rsidRPr="00C63A98" w:rsidRDefault="00B63412" w:rsidP="00AA30D8">
            <w:pPr>
              <w:pStyle w:val="Tabletext"/>
              <w:keepNext/>
              <w:rPr>
                <w:rFonts w:ascii="Calibri" w:hAnsi="Calibri" w:cs="Calibri"/>
                <w:sz w:val="20"/>
              </w:rPr>
            </w:pPr>
            <w:r>
              <w:rPr>
                <w:rFonts w:ascii="Calibri" w:hAnsi="Calibri" w:cs="Calibri"/>
                <w:sz w:val="20"/>
              </w:rPr>
              <w:t>Specification sheet</w:t>
            </w:r>
          </w:p>
        </w:tc>
        <w:tc>
          <w:tcPr>
            <w:tcW w:w="3915" w:type="dxa"/>
          </w:tcPr>
          <w:p w14:paraId="4327CD2A" w14:textId="4C949E40" w:rsidR="00B63412" w:rsidRPr="00C63A98" w:rsidRDefault="00B63412" w:rsidP="00AA30D8">
            <w:pPr>
              <w:pStyle w:val="Tabletext"/>
              <w:keepNext/>
              <w:rPr>
                <w:rFonts w:ascii="Calibri" w:hAnsi="Calibri" w:cs="Calibri"/>
                <w:sz w:val="20"/>
              </w:rPr>
            </w:pPr>
            <w:r>
              <w:rPr>
                <w:rFonts w:ascii="Calibri" w:hAnsi="Calibri" w:cs="Calibri"/>
                <w:sz w:val="20"/>
              </w:rPr>
              <w:t>Specification sheet (SpecificationSheet)</w:t>
            </w:r>
          </w:p>
        </w:tc>
        <w:tc>
          <w:tcPr>
            <w:tcW w:w="1216" w:type="dxa"/>
          </w:tcPr>
          <w:p w14:paraId="68F68CA3" w14:textId="00C3D102" w:rsidR="00B63412" w:rsidRPr="00C63A98" w:rsidRDefault="00B63412" w:rsidP="00AA30D8">
            <w:pPr>
              <w:pStyle w:val="Tabletext"/>
              <w:keepNext/>
              <w:rPr>
                <w:rFonts w:ascii="Calibri" w:hAnsi="Calibri" w:cs="Calibri"/>
                <w:sz w:val="20"/>
              </w:rPr>
            </w:pPr>
            <w:r>
              <w:rPr>
                <w:rFonts w:ascii="Calibri" w:hAnsi="Calibri" w:cs="Calibri"/>
                <w:sz w:val="20"/>
              </w:rPr>
              <w:t>No</w:t>
            </w:r>
          </w:p>
        </w:tc>
        <w:tc>
          <w:tcPr>
            <w:tcW w:w="2970" w:type="dxa"/>
          </w:tcPr>
          <w:p w14:paraId="557E34E3" w14:textId="7666BABC" w:rsidR="00B63412" w:rsidRPr="00C63A98" w:rsidRDefault="00B63412" w:rsidP="00AA30D8">
            <w:pPr>
              <w:pStyle w:val="Tabletext"/>
              <w:keepNext/>
              <w:rPr>
                <w:rFonts w:ascii="Calibri" w:hAnsi="Calibri" w:cs="Calibri"/>
                <w:sz w:val="20"/>
              </w:rPr>
            </w:pPr>
            <w:r>
              <w:rPr>
                <w:rFonts w:ascii="Calibri" w:hAnsi="Calibri" w:cs="Calibri"/>
                <w:sz w:val="20"/>
              </w:rPr>
              <w:t>Shall be held by its PQ Spec Shop name</w:t>
            </w:r>
          </w:p>
        </w:tc>
      </w:tr>
    </w:tbl>
    <w:p w14:paraId="57AD2340" w14:textId="0950ED49" w:rsidR="00B63412" w:rsidRDefault="00B63412" w:rsidP="00B63412">
      <w:pPr>
        <w:pStyle w:val="Caption"/>
      </w:pPr>
      <w:bookmarkStart w:id="270" w:name="_Toc242554046"/>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48</w:t>
      </w:r>
      <w:r>
        <w:fldChar w:fldCharType="end"/>
      </w:r>
      <w:r>
        <w:t xml:space="preserve">: </w:t>
      </w:r>
      <w:r w:rsidR="00687F84">
        <w:t>Master Data Entity - Profisee Data Mapping</w:t>
      </w:r>
      <w:bookmarkEnd w:id="270"/>
    </w:p>
    <w:p w14:paraId="2806F302" w14:textId="57C21AF6" w:rsidR="00B63412" w:rsidRDefault="00FC42E7" w:rsidP="00B63412">
      <w:pPr>
        <w:pStyle w:val="Heading6"/>
        <w:rPr>
          <w:rFonts w:ascii="Calibri" w:hAnsi="Calibri" w:cs="Calibri"/>
          <w:sz w:val="20"/>
        </w:rPr>
      </w:pPr>
      <w:r>
        <w:rPr>
          <w:rFonts w:ascii="Calibri" w:hAnsi="Calibri" w:cs="Calibri"/>
          <w:sz w:val="20"/>
        </w:rPr>
        <w:t>Profisee Data Mapping Configuration</w:t>
      </w:r>
    </w:p>
    <w:p w14:paraId="6F259E73" w14:textId="5D10B816" w:rsidR="00FC42E7" w:rsidRPr="00EC3682" w:rsidRDefault="00FC42E7" w:rsidP="00FC42E7">
      <w:pPr>
        <w:pStyle w:val="ListParagraph"/>
        <w:numPr>
          <w:ilvl w:val="0"/>
          <w:numId w:val="4"/>
        </w:numPr>
        <w:jc w:val="left"/>
        <w:rPr>
          <w:rFonts w:ascii="Calibri" w:hAnsi="Calibri" w:cs="Calibri"/>
        </w:rPr>
      </w:pPr>
      <w:r>
        <w:t>The run settings shall be held in the configuration file in the blob container.</w:t>
      </w:r>
    </w:p>
    <w:p w14:paraId="090A7456" w14:textId="1E20848B" w:rsidR="00FC42E7" w:rsidRPr="00EC3682" w:rsidRDefault="00FC42E7" w:rsidP="00FC42E7">
      <w:pPr>
        <w:pStyle w:val="ListParagraph"/>
        <w:numPr>
          <w:ilvl w:val="0"/>
          <w:numId w:val="4"/>
        </w:numPr>
        <w:jc w:val="left"/>
        <w:rPr>
          <w:rFonts w:ascii="Calibri" w:hAnsi="Calibri" w:cs="Calibri"/>
        </w:rPr>
      </w:pPr>
      <w:r>
        <w:t>The schedule and the function app settings shall be app settings.</w:t>
      </w:r>
    </w:p>
    <w:p w14:paraId="28B0DA5D" w14:textId="15BC0D41" w:rsidR="00B63412" w:rsidRPr="0081216E" w:rsidRDefault="00FC42E7" w:rsidP="00FC42E7">
      <w:pPr>
        <w:keepNext/>
        <w:jc w:val="left"/>
        <w:rPr>
          <w:rFonts w:ascii="Calibri" w:hAnsi="Calibri" w:cs="Calibri"/>
        </w:rPr>
      </w:pPr>
      <w:r>
        <w:rPr>
          <w:rFonts w:ascii="Calibri" w:hAnsi="Calibri" w:cs="Calibri"/>
        </w:rPr>
        <w:t>The table below gives the settings of the Profisee data mapping.</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0"/>
        <w:gridCol w:w="2808"/>
        <w:gridCol w:w="2808"/>
        <w:gridCol w:w="1404"/>
      </w:tblGrid>
      <w:tr w:rsidR="00B63412" w:rsidRPr="00C63A98" w14:paraId="2C1A3E8D" w14:textId="77777777" w:rsidTr="00FA3AEE">
        <w:trPr>
          <w:cantSplit/>
          <w:tblHeader/>
        </w:trPr>
        <w:tc>
          <w:tcPr>
            <w:tcW w:w="2340" w:type="dxa"/>
            <w:shd w:val="clear" w:color="auto" w:fill="2F5597"/>
          </w:tcPr>
          <w:p w14:paraId="33F1C144" w14:textId="77777777" w:rsidR="00B63412" w:rsidRPr="00C63A98" w:rsidRDefault="00B63412" w:rsidP="00772610">
            <w:pPr>
              <w:pStyle w:val="Tablehead1"/>
              <w:keepNext w:val="0"/>
              <w:rPr>
                <w:rFonts w:ascii="Calibri" w:hAnsi="Calibri" w:cs="Calibri"/>
                <w:sz w:val="20"/>
              </w:rPr>
            </w:pPr>
            <w:r w:rsidRPr="00C63A98">
              <w:rPr>
                <w:rFonts w:ascii="Calibri" w:hAnsi="Calibri" w:cs="Calibri"/>
                <w:sz w:val="20"/>
              </w:rPr>
              <w:t>Configuration</w:t>
            </w:r>
          </w:p>
        </w:tc>
        <w:tc>
          <w:tcPr>
            <w:tcW w:w="2808" w:type="dxa"/>
            <w:shd w:val="clear" w:color="auto" w:fill="2F5597"/>
          </w:tcPr>
          <w:p w14:paraId="5C901DA6" w14:textId="77777777" w:rsidR="00B63412" w:rsidRPr="00C63A98" w:rsidRDefault="00B63412" w:rsidP="00772610">
            <w:pPr>
              <w:pStyle w:val="Tablehead1"/>
              <w:keepNext w:val="0"/>
              <w:rPr>
                <w:rFonts w:ascii="Calibri" w:hAnsi="Calibri" w:cs="Calibri"/>
                <w:sz w:val="20"/>
              </w:rPr>
            </w:pPr>
            <w:r w:rsidRPr="00C63A98">
              <w:rPr>
                <w:rFonts w:ascii="Calibri" w:hAnsi="Calibri" w:cs="Calibri"/>
                <w:sz w:val="20"/>
              </w:rPr>
              <w:t>Value</w:t>
            </w:r>
          </w:p>
        </w:tc>
        <w:tc>
          <w:tcPr>
            <w:tcW w:w="2808" w:type="dxa"/>
            <w:shd w:val="clear" w:color="auto" w:fill="2F5597"/>
          </w:tcPr>
          <w:p w14:paraId="1FCE623E" w14:textId="77777777" w:rsidR="00B63412" w:rsidRPr="00C63A98" w:rsidRDefault="00B63412" w:rsidP="00772610">
            <w:pPr>
              <w:pStyle w:val="Tablehead1"/>
              <w:keepNext w:val="0"/>
              <w:rPr>
                <w:rFonts w:ascii="Calibri" w:hAnsi="Calibri" w:cs="Calibri"/>
                <w:sz w:val="20"/>
              </w:rPr>
            </w:pPr>
            <w:r w:rsidRPr="00C63A98">
              <w:rPr>
                <w:rFonts w:ascii="Calibri" w:hAnsi="Calibri" w:cs="Calibri"/>
                <w:sz w:val="20"/>
              </w:rPr>
              <w:t>Description</w:t>
            </w:r>
          </w:p>
        </w:tc>
        <w:tc>
          <w:tcPr>
            <w:tcW w:w="1404" w:type="dxa"/>
            <w:shd w:val="clear" w:color="auto" w:fill="2F5597"/>
          </w:tcPr>
          <w:p w14:paraId="4B9B9E71" w14:textId="77777777" w:rsidR="00B63412" w:rsidRPr="00C63A98" w:rsidRDefault="00B63412" w:rsidP="00772610">
            <w:pPr>
              <w:pStyle w:val="Tablehead1"/>
              <w:keepNext w:val="0"/>
              <w:rPr>
                <w:rFonts w:ascii="Calibri" w:hAnsi="Calibri" w:cs="Calibri"/>
                <w:sz w:val="20"/>
              </w:rPr>
            </w:pPr>
            <w:r w:rsidRPr="00C63A98">
              <w:rPr>
                <w:rFonts w:ascii="Calibri" w:hAnsi="Calibri" w:cs="Calibri"/>
                <w:sz w:val="20"/>
              </w:rPr>
              <w:t>Location</w:t>
            </w:r>
          </w:p>
        </w:tc>
      </w:tr>
      <w:tr w:rsidR="00B63412" w:rsidRPr="00C63A98" w14:paraId="4A7D6D87" w14:textId="77777777" w:rsidTr="00FA3AEE">
        <w:trPr>
          <w:cantSplit/>
        </w:trPr>
        <w:tc>
          <w:tcPr>
            <w:tcW w:w="2340" w:type="dxa"/>
          </w:tcPr>
          <w:p w14:paraId="05DE777A" w14:textId="334B1F38" w:rsidR="00B63412" w:rsidRPr="00C63A98" w:rsidRDefault="00B63412" w:rsidP="00772610">
            <w:pPr>
              <w:pStyle w:val="Tabletext"/>
              <w:rPr>
                <w:rFonts w:ascii="Calibri" w:hAnsi="Calibri" w:cs="Calibri"/>
                <w:sz w:val="20"/>
              </w:rPr>
            </w:pPr>
            <w:r>
              <w:rPr>
                <w:rFonts w:ascii="Calibri" w:hAnsi="Calibri" w:cs="Calibri"/>
                <w:sz w:val="20"/>
              </w:rPr>
              <w:t>Schedule</w:t>
            </w:r>
          </w:p>
        </w:tc>
        <w:tc>
          <w:tcPr>
            <w:tcW w:w="2808" w:type="dxa"/>
          </w:tcPr>
          <w:p w14:paraId="429A250A" w14:textId="63F96648" w:rsidR="00B63412" w:rsidRPr="00C63A98" w:rsidRDefault="00B63412" w:rsidP="00772610">
            <w:pPr>
              <w:pStyle w:val="Tabletext"/>
              <w:rPr>
                <w:rFonts w:ascii="Calibri" w:hAnsi="Calibri" w:cs="Calibri"/>
                <w:sz w:val="20"/>
              </w:rPr>
            </w:pPr>
          </w:p>
        </w:tc>
        <w:tc>
          <w:tcPr>
            <w:tcW w:w="2808" w:type="dxa"/>
          </w:tcPr>
          <w:p w14:paraId="2E8BC06F" w14:textId="316D2F08" w:rsidR="00B63412" w:rsidRPr="00C63A98" w:rsidRDefault="00B63412" w:rsidP="00772610">
            <w:pPr>
              <w:pStyle w:val="Tabletext"/>
              <w:rPr>
                <w:rFonts w:ascii="Calibri" w:hAnsi="Calibri" w:cs="Calibri"/>
                <w:sz w:val="20"/>
              </w:rPr>
            </w:pPr>
            <w:r>
              <w:rPr>
                <w:rFonts w:ascii="Calibri" w:hAnsi="Calibri" w:cs="Calibri"/>
                <w:sz w:val="20"/>
              </w:rPr>
              <w:t>How often the trigger function runs: every day at a specified time. The schedule shall be given in UTC.</w:t>
            </w:r>
          </w:p>
        </w:tc>
        <w:tc>
          <w:tcPr>
            <w:tcW w:w="1404" w:type="dxa"/>
          </w:tcPr>
          <w:p w14:paraId="426226F5" w14:textId="7BD86956" w:rsidR="00B63412" w:rsidRPr="00C63A98" w:rsidRDefault="00B63412" w:rsidP="00772610">
            <w:pPr>
              <w:pStyle w:val="Tabletext"/>
              <w:rPr>
                <w:rFonts w:ascii="Calibri" w:hAnsi="Calibri" w:cs="Calibri"/>
                <w:sz w:val="20"/>
              </w:rPr>
            </w:pPr>
            <w:r>
              <w:rPr>
                <w:rFonts w:ascii="Calibri" w:hAnsi="Calibri" w:cs="Calibri"/>
                <w:sz w:val="20"/>
              </w:rPr>
              <w:t>AppSettings</w:t>
            </w:r>
          </w:p>
        </w:tc>
      </w:tr>
      <w:tr w:rsidR="00B63412" w:rsidRPr="00C63A98" w14:paraId="222E9CA3" w14:textId="77777777" w:rsidTr="00FA3AEE">
        <w:trPr>
          <w:cantSplit/>
        </w:trPr>
        <w:tc>
          <w:tcPr>
            <w:tcW w:w="2340" w:type="dxa"/>
          </w:tcPr>
          <w:p w14:paraId="48DFBCCB" w14:textId="2610FEDE" w:rsidR="00B63412" w:rsidRDefault="00B63412" w:rsidP="00772610">
            <w:pPr>
              <w:pStyle w:val="Tabletext"/>
              <w:rPr>
                <w:rFonts w:ascii="Calibri" w:hAnsi="Calibri" w:cs="Calibri"/>
                <w:sz w:val="20"/>
              </w:rPr>
            </w:pPr>
            <w:r>
              <w:rPr>
                <w:rFonts w:ascii="Calibri" w:hAnsi="Calibri" w:cs="Calibri"/>
                <w:sz w:val="20"/>
              </w:rPr>
              <w:t>Blob Container</w:t>
            </w:r>
          </w:p>
        </w:tc>
        <w:tc>
          <w:tcPr>
            <w:tcW w:w="2808" w:type="dxa"/>
          </w:tcPr>
          <w:p w14:paraId="4A5A8F0A" w14:textId="77777777" w:rsidR="00B63412" w:rsidRDefault="00B63412" w:rsidP="00772610">
            <w:pPr>
              <w:pStyle w:val="Tabletext"/>
              <w:rPr>
                <w:rFonts w:ascii="Calibri" w:hAnsi="Calibri" w:cs="Calibri"/>
                <w:sz w:val="20"/>
              </w:rPr>
            </w:pPr>
          </w:p>
        </w:tc>
        <w:tc>
          <w:tcPr>
            <w:tcW w:w="2808" w:type="dxa"/>
          </w:tcPr>
          <w:p w14:paraId="0F2E3D90" w14:textId="42185944" w:rsidR="00B63412" w:rsidRDefault="00B63412" w:rsidP="00772610">
            <w:pPr>
              <w:pStyle w:val="Tabletext"/>
              <w:rPr>
                <w:rFonts w:ascii="Calibri" w:hAnsi="Calibri" w:cs="Calibri"/>
                <w:sz w:val="20"/>
              </w:rPr>
            </w:pPr>
            <w:r>
              <w:rPr>
                <w:rFonts w:ascii="Calibri" w:hAnsi="Calibri" w:cs="Calibri"/>
                <w:sz w:val="20"/>
              </w:rPr>
              <w:t>Container that holds the configuration file</w:t>
            </w:r>
          </w:p>
        </w:tc>
        <w:tc>
          <w:tcPr>
            <w:tcW w:w="1404" w:type="dxa"/>
          </w:tcPr>
          <w:p w14:paraId="7BFC895D" w14:textId="244223FF" w:rsidR="00B63412" w:rsidRDefault="00B63412" w:rsidP="00772610">
            <w:pPr>
              <w:pStyle w:val="Tabletext"/>
              <w:rPr>
                <w:rFonts w:ascii="Calibri" w:hAnsi="Calibri" w:cs="Calibri"/>
                <w:sz w:val="20"/>
              </w:rPr>
            </w:pPr>
            <w:r>
              <w:rPr>
                <w:rFonts w:ascii="Calibri" w:hAnsi="Calibri" w:cs="Calibri"/>
                <w:sz w:val="20"/>
              </w:rPr>
              <w:t>Azure</w:t>
            </w:r>
          </w:p>
        </w:tc>
      </w:tr>
      <w:tr w:rsidR="00B63412" w:rsidRPr="00C63A98" w14:paraId="1074E128" w14:textId="77777777" w:rsidTr="00FA3AEE">
        <w:trPr>
          <w:cantSplit/>
        </w:trPr>
        <w:tc>
          <w:tcPr>
            <w:tcW w:w="2340" w:type="dxa"/>
          </w:tcPr>
          <w:p w14:paraId="713BE9C3" w14:textId="780A396C" w:rsidR="00B63412" w:rsidRPr="00C63A98" w:rsidRDefault="00B63412" w:rsidP="00772610">
            <w:pPr>
              <w:pStyle w:val="Tabletext"/>
              <w:rPr>
                <w:rFonts w:ascii="Calibri" w:hAnsi="Calibri" w:cs="Calibri"/>
                <w:sz w:val="20"/>
              </w:rPr>
            </w:pPr>
            <w:r>
              <w:rPr>
                <w:rFonts w:ascii="Calibri" w:hAnsi="Calibri" w:cs="Calibri"/>
                <w:sz w:val="20"/>
              </w:rPr>
              <w:t>Configuration File</w:t>
            </w:r>
          </w:p>
        </w:tc>
        <w:tc>
          <w:tcPr>
            <w:tcW w:w="2808" w:type="dxa"/>
          </w:tcPr>
          <w:p w14:paraId="2283C1CC" w14:textId="3B49E2F0" w:rsidR="00B63412" w:rsidRPr="00C63A98" w:rsidRDefault="00B63412" w:rsidP="00772610">
            <w:pPr>
              <w:pStyle w:val="Tabletext"/>
              <w:rPr>
                <w:rFonts w:ascii="Calibri" w:hAnsi="Calibri" w:cs="Calibri"/>
                <w:sz w:val="20"/>
              </w:rPr>
            </w:pPr>
          </w:p>
        </w:tc>
        <w:tc>
          <w:tcPr>
            <w:tcW w:w="2808" w:type="dxa"/>
          </w:tcPr>
          <w:p w14:paraId="33AE6E93" w14:textId="729232DE" w:rsidR="00B63412" w:rsidRPr="00C63A98" w:rsidRDefault="00B63412" w:rsidP="00772610">
            <w:pPr>
              <w:pStyle w:val="Tabletext"/>
              <w:rPr>
                <w:rFonts w:ascii="Calibri" w:hAnsi="Calibri" w:cs="Calibri"/>
                <w:sz w:val="20"/>
              </w:rPr>
            </w:pPr>
            <w:r>
              <w:rPr>
                <w:rFonts w:ascii="Calibri" w:hAnsi="Calibri" w:cs="Calibri"/>
                <w:sz w:val="20"/>
              </w:rPr>
              <w:t>File with the run settings. The trigger function shall read it at every run</w:t>
            </w:r>
          </w:p>
        </w:tc>
        <w:tc>
          <w:tcPr>
            <w:tcW w:w="1404" w:type="dxa"/>
          </w:tcPr>
          <w:p w14:paraId="45D4D179" w14:textId="074C5B09" w:rsidR="00B63412" w:rsidRPr="00C63A98" w:rsidRDefault="00B63412" w:rsidP="00772610">
            <w:pPr>
              <w:pStyle w:val="Tabletext"/>
              <w:rPr>
                <w:rFonts w:ascii="Calibri" w:hAnsi="Calibri" w:cs="Calibri"/>
                <w:sz w:val="20"/>
              </w:rPr>
            </w:pPr>
            <w:r>
              <w:rPr>
                <w:rFonts w:ascii="Calibri" w:hAnsi="Calibri" w:cs="Calibri"/>
                <w:sz w:val="20"/>
              </w:rPr>
              <w:t>Blob Container</w:t>
            </w:r>
          </w:p>
        </w:tc>
      </w:tr>
      <w:tr w:rsidR="00B63412" w:rsidRPr="00C63A98" w14:paraId="10BD0B4D" w14:textId="77777777" w:rsidTr="00FA3AEE">
        <w:trPr>
          <w:cantSplit/>
        </w:trPr>
        <w:tc>
          <w:tcPr>
            <w:tcW w:w="2340" w:type="dxa"/>
          </w:tcPr>
          <w:p w14:paraId="6EEE78F8" w14:textId="3471E197" w:rsidR="00B63412" w:rsidRDefault="00FC42E7" w:rsidP="00772610">
            <w:pPr>
              <w:pStyle w:val="Tabletext"/>
              <w:rPr>
                <w:rFonts w:ascii="Calibri" w:hAnsi="Calibri" w:cs="Calibri"/>
                <w:sz w:val="20"/>
              </w:rPr>
            </w:pPr>
            <w:r>
              <w:rPr>
                <w:rFonts w:ascii="Calibri" w:hAnsi="Calibri" w:cs="Calibri"/>
                <w:sz w:val="20"/>
              </w:rPr>
              <w:t>Profisee Data Mapping Configuration</w:t>
            </w:r>
          </w:p>
        </w:tc>
        <w:tc>
          <w:tcPr>
            <w:tcW w:w="2808" w:type="dxa"/>
          </w:tcPr>
          <w:p w14:paraId="4DA3C033" w14:textId="3BEC7261" w:rsidR="00B63412" w:rsidRDefault="00B63412" w:rsidP="00772610">
            <w:pPr>
              <w:pStyle w:val="Tabletext"/>
              <w:rPr>
                <w:rFonts w:ascii="Calibri" w:hAnsi="Calibri" w:cs="Calibri"/>
                <w:sz w:val="20"/>
              </w:rPr>
            </w:pPr>
          </w:p>
        </w:tc>
        <w:tc>
          <w:tcPr>
            <w:tcW w:w="2808" w:type="dxa"/>
          </w:tcPr>
          <w:p w14:paraId="1E1132FB" w14:textId="1D36B901" w:rsidR="00B63412" w:rsidRDefault="00FC42E7" w:rsidP="00772610">
            <w:pPr>
              <w:pStyle w:val="Tabletext"/>
              <w:rPr>
                <w:rFonts w:ascii="Calibri" w:hAnsi="Calibri" w:cs="Calibri"/>
                <w:sz w:val="20"/>
              </w:rPr>
            </w:pPr>
            <w:r>
              <w:rPr>
                <w:rFonts w:ascii="Calibri" w:hAnsi="Calibri" w:cs="Calibri"/>
                <w:sz w:val="20"/>
              </w:rPr>
              <w:t>Name of the settings of the Profisee data mapping in the configuration file</w:t>
            </w:r>
          </w:p>
        </w:tc>
        <w:tc>
          <w:tcPr>
            <w:tcW w:w="1404" w:type="dxa"/>
          </w:tcPr>
          <w:p w14:paraId="14DD817B" w14:textId="10C17327" w:rsidR="00B63412" w:rsidRDefault="00B63412" w:rsidP="00772610">
            <w:pPr>
              <w:pStyle w:val="Tabletext"/>
              <w:rPr>
                <w:rFonts w:ascii="Calibri" w:hAnsi="Calibri" w:cs="Calibri"/>
                <w:sz w:val="20"/>
              </w:rPr>
            </w:pPr>
            <w:r>
              <w:rPr>
                <w:rFonts w:ascii="Calibri" w:hAnsi="Calibri" w:cs="Calibri"/>
                <w:sz w:val="20"/>
              </w:rPr>
              <w:t>Blob Container</w:t>
            </w:r>
          </w:p>
        </w:tc>
      </w:tr>
      <w:tr w:rsidR="00B63412" w:rsidRPr="00C63A98" w14:paraId="4F50608C" w14:textId="77777777" w:rsidTr="00FA3AEE">
        <w:trPr>
          <w:cantSplit/>
        </w:trPr>
        <w:tc>
          <w:tcPr>
            <w:tcW w:w="2340" w:type="dxa"/>
          </w:tcPr>
          <w:p w14:paraId="3F67449E" w14:textId="7676EAD2" w:rsidR="00B63412" w:rsidRDefault="00B63412" w:rsidP="00772610">
            <w:pPr>
              <w:pStyle w:val="Tabletext"/>
              <w:rPr>
                <w:rFonts w:ascii="Calibri" w:hAnsi="Calibri" w:cs="Calibri"/>
                <w:sz w:val="20"/>
              </w:rPr>
            </w:pPr>
            <w:r>
              <w:rPr>
                <w:rFonts w:ascii="Calibri" w:hAnsi="Calibri" w:cs="Calibri"/>
                <w:sz w:val="20"/>
              </w:rPr>
              <w:t>UseServiceBus</w:t>
            </w:r>
          </w:p>
        </w:tc>
        <w:tc>
          <w:tcPr>
            <w:tcW w:w="2808" w:type="dxa"/>
          </w:tcPr>
          <w:p w14:paraId="77C02B59" w14:textId="75F25FA4" w:rsidR="00B63412" w:rsidRDefault="00B63412" w:rsidP="00772610">
            <w:pPr>
              <w:pStyle w:val="Tabletext"/>
              <w:rPr>
                <w:rFonts w:ascii="Calibri" w:hAnsi="Calibri" w:cs="Calibri"/>
                <w:sz w:val="20"/>
              </w:rPr>
            </w:pPr>
            <w:r>
              <w:rPr>
                <w:rFonts w:ascii="Calibri" w:hAnsi="Calibri" w:cs="Calibri"/>
                <w:sz w:val="20"/>
              </w:rPr>
              <w:t>true</w:t>
            </w:r>
          </w:p>
        </w:tc>
        <w:tc>
          <w:tcPr>
            <w:tcW w:w="2808" w:type="dxa"/>
          </w:tcPr>
          <w:p w14:paraId="224C0040" w14:textId="775230FD" w:rsidR="00B63412" w:rsidRDefault="00B63412" w:rsidP="00772610">
            <w:pPr>
              <w:pStyle w:val="Tabletext"/>
              <w:rPr>
                <w:rFonts w:ascii="Calibri" w:hAnsi="Calibri" w:cs="Calibri"/>
                <w:sz w:val="20"/>
              </w:rPr>
            </w:pPr>
            <w:r>
              <w:rPr>
                <w:rFonts w:ascii="Calibri" w:hAnsi="Calibri" w:cs="Calibri"/>
                <w:sz w:val="20"/>
              </w:rPr>
              <w:t>True means the request shall go through the durable functions and queues</w:t>
            </w:r>
          </w:p>
        </w:tc>
        <w:tc>
          <w:tcPr>
            <w:tcW w:w="1404" w:type="dxa"/>
          </w:tcPr>
          <w:p w14:paraId="58B26819" w14:textId="3957CFDE" w:rsidR="00B63412" w:rsidRDefault="00B63412" w:rsidP="00772610">
            <w:pPr>
              <w:pStyle w:val="Tabletext"/>
              <w:rPr>
                <w:rFonts w:ascii="Calibri" w:hAnsi="Calibri" w:cs="Calibri"/>
                <w:sz w:val="20"/>
              </w:rPr>
            </w:pPr>
            <w:r>
              <w:rPr>
                <w:rFonts w:ascii="Calibri" w:hAnsi="Calibri" w:cs="Calibri"/>
                <w:sz w:val="20"/>
              </w:rPr>
              <w:t>Blob Container</w:t>
            </w:r>
          </w:p>
        </w:tc>
      </w:tr>
      <w:tr w:rsidR="00B63412" w:rsidRPr="00C63A98" w14:paraId="345BB0F5" w14:textId="77777777" w:rsidTr="00FA3AEE">
        <w:trPr>
          <w:cantSplit/>
        </w:trPr>
        <w:tc>
          <w:tcPr>
            <w:tcW w:w="2340" w:type="dxa"/>
          </w:tcPr>
          <w:p w14:paraId="5994B00D" w14:textId="1D472386" w:rsidR="00B63412" w:rsidRDefault="00B63412" w:rsidP="00772610">
            <w:pPr>
              <w:pStyle w:val="Tabletext"/>
              <w:rPr>
                <w:rFonts w:ascii="Calibri" w:hAnsi="Calibri" w:cs="Calibri"/>
                <w:sz w:val="20"/>
              </w:rPr>
            </w:pPr>
            <w:r>
              <w:rPr>
                <w:rFonts w:ascii="Calibri" w:hAnsi="Calibri" w:cs="Calibri"/>
                <w:sz w:val="20"/>
              </w:rPr>
              <w:t>Trigger Function</w:t>
            </w:r>
          </w:p>
        </w:tc>
        <w:tc>
          <w:tcPr>
            <w:tcW w:w="2808" w:type="dxa"/>
          </w:tcPr>
          <w:p w14:paraId="3832D0B8" w14:textId="08294540" w:rsidR="00B63412" w:rsidRDefault="00FC42E7" w:rsidP="00772610">
            <w:pPr>
              <w:pStyle w:val="Tabletext"/>
              <w:rPr>
                <w:rFonts w:ascii="Calibri" w:hAnsi="Calibri" w:cs="Calibri"/>
                <w:sz w:val="20"/>
              </w:rPr>
            </w:pPr>
            <w:r>
              <w:rPr>
                <w:rFonts w:ascii="Calibri" w:hAnsi="Calibri" w:cs="Calibri"/>
                <w:sz w:val="20"/>
              </w:rPr>
              <w:t>Profisee Data Mapping Trigger Function</w:t>
            </w:r>
          </w:p>
        </w:tc>
        <w:tc>
          <w:tcPr>
            <w:tcW w:w="2808" w:type="dxa"/>
          </w:tcPr>
          <w:p w14:paraId="107DEF33" w14:textId="741720B3" w:rsidR="00B63412" w:rsidRDefault="00B63412" w:rsidP="00772610">
            <w:pPr>
              <w:pStyle w:val="Tabletext"/>
              <w:rPr>
                <w:rFonts w:ascii="Calibri" w:hAnsi="Calibri" w:cs="Calibri"/>
                <w:sz w:val="20"/>
              </w:rPr>
            </w:pPr>
            <w:r>
              <w:rPr>
                <w:rFonts w:ascii="Calibri" w:hAnsi="Calibri" w:cs="Calibri"/>
                <w:sz w:val="20"/>
              </w:rPr>
              <w:t>Function started by the timer. It shall read the configuration file and send the request to the Request Service</w:t>
            </w:r>
          </w:p>
        </w:tc>
        <w:tc>
          <w:tcPr>
            <w:tcW w:w="1404" w:type="dxa"/>
          </w:tcPr>
          <w:p w14:paraId="4A4E2E86" w14:textId="79D8797D" w:rsidR="00B63412" w:rsidRDefault="00B63412" w:rsidP="00772610">
            <w:pPr>
              <w:pStyle w:val="Tabletext"/>
              <w:rPr>
                <w:rFonts w:ascii="Calibri" w:hAnsi="Calibri" w:cs="Calibri"/>
                <w:sz w:val="20"/>
              </w:rPr>
            </w:pPr>
            <w:r>
              <w:rPr>
                <w:rFonts w:ascii="Calibri" w:hAnsi="Calibri" w:cs="Calibri"/>
                <w:sz w:val="20"/>
              </w:rPr>
              <w:t>AppSettings</w:t>
            </w:r>
          </w:p>
        </w:tc>
      </w:tr>
      <w:tr w:rsidR="00B63412" w:rsidRPr="00C63A98" w14:paraId="2CC0126C" w14:textId="77777777" w:rsidTr="00FA3AEE">
        <w:trPr>
          <w:cantSplit/>
        </w:trPr>
        <w:tc>
          <w:tcPr>
            <w:tcW w:w="2340" w:type="dxa"/>
          </w:tcPr>
          <w:p w14:paraId="3CA07E85" w14:textId="6E2C6F31" w:rsidR="00B63412" w:rsidRDefault="00B63412" w:rsidP="00772610">
            <w:pPr>
              <w:pStyle w:val="Tabletext"/>
              <w:rPr>
                <w:rFonts w:ascii="Calibri" w:hAnsi="Calibri" w:cs="Calibri"/>
                <w:sz w:val="20"/>
              </w:rPr>
            </w:pPr>
            <w:r>
              <w:rPr>
                <w:rFonts w:ascii="Calibri" w:hAnsi="Calibri" w:cs="Calibri"/>
                <w:sz w:val="20"/>
              </w:rPr>
              <w:t>Storage Connection</w:t>
            </w:r>
          </w:p>
        </w:tc>
        <w:tc>
          <w:tcPr>
            <w:tcW w:w="2808" w:type="dxa"/>
          </w:tcPr>
          <w:p w14:paraId="74229426" w14:textId="39B29C3E" w:rsidR="00B63412" w:rsidRDefault="00B63412" w:rsidP="00772610">
            <w:pPr>
              <w:pStyle w:val="Tabletext"/>
              <w:rPr>
                <w:rFonts w:ascii="Calibri" w:hAnsi="Calibri" w:cs="Calibri"/>
                <w:sz w:val="20"/>
              </w:rPr>
            </w:pPr>
          </w:p>
        </w:tc>
        <w:tc>
          <w:tcPr>
            <w:tcW w:w="2808" w:type="dxa"/>
          </w:tcPr>
          <w:p w14:paraId="6D9A5BDB" w14:textId="4BA6BD48" w:rsidR="00B63412" w:rsidRDefault="00B63412" w:rsidP="00772610">
            <w:pPr>
              <w:pStyle w:val="Tabletext"/>
              <w:rPr>
                <w:rFonts w:ascii="Calibri" w:hAnsi="Calibri" w:cs="Calibri"/>
                <w:sz w:val="20"/>
              </w:rPr>
            </w:pPr>
            <w:r>
              <w:rPr>
                <w:rFonts w:ascii="Calibri" w:hAnsi="Calibri" w:cs="Calibri"/>
                <w:sz w:val="20"/>
              </w:rPr>
              <w:t>Storage account of the function app</w:t>
            </w:r>
          </w:p>
        </w:tc>
        <w:tc>
          <w:tcPr>
            <w:tcW w:w="1404" w:type="dxa"/>
          </w:tcPr>
          <w:p w14:paraId="55C2C9AF" w14:textId="78C1D50C" w:rsidR="00B63412" w:rsidRDefault="00B63412" w:rsidP="00772610">
            <w:pPr>
              <w:pStyle w:val="Tabletext"/>
              <w:rPr>
                <w:rFonts w:ascii="Calibri" w:hAnsi="Calibri" w:cs="Calibri"/>
                <w:sz w:val="20"/>
              </w:rPr>
            </w:pPr>
            <w:r>
              <w:rPr>
                <w:rFonts w:ascii="Calibri" w:hAnsi="Calibri" w:cs="Calibri"/>
                <w:sz w:val="20"/>
              </w:rPr>
              <w:t>AppSettings</w:t>
            </w:r>
          </w:p>
        </w:tc>
      </w:tr>
      <w:tr w:rsidR="00B63412" w:rsidRPr="00C63A98" w14:paraId="3F377E9F" w14:textId="77777777" w:rsidTr="00FA3AEE">
        <w:trPr>
          <w:cantSplit/>
        </w:trPr>
        <w:tc>
          <w:tcPr>
            <w:tcW w:w="2340" w:type="dxa"/>
          </w:tcPr>
          <w:p w14:paraId="5F8F7686" w14:textId="7347EC94" w:rsidR="00B63412" w:rsidRDefault="00B63412" w:rsidP="00772610">
            <w:pPr>
              <w:pStyle w:val="Tabletext"/>
              <w:rPr>
                <w:rFonts w:ascii="Calibri" w:hAnsi="Calibri" w:cs="Calibri"/>
                <w:sz w:val="20"/>
              </w:rPr>
            </w:pPr>
            <w:r>
              <w:rPr>
                <w:rFonts w:ascii="Calibri" w:hAnsi="Calibri" w:cs="Calibri"/>
                <w:sz w:val="20"/>
              </w:rPr>
              <w:t>Function App</w:t>
            </w:r>
          </w:p>
        </w:tc>
        <w:tc>
          <w:tcPr>
            <w:tcW w:w="2808" w:type="dxa"/>
          </w:tcPr>
          <w:p w14:paraId="1DC2E2DA" w14:textId="77777777" w:rsidR="00B63412" w:rsidRDefault="00B63412" w:rsidP="00772610">
            <w:pPr>
              <w:pStyle w:val="Tabletext"/>
              <w:rPr>
                <w:rFonts w:ascii="Calibri" w:hAnsi="Calibri" w:cs="Calibri"/>
                <w:sz w:val="20"/>
              </w:rPr>
            </w:pPr>
          </w:p>
        </w:tc>
        <w:tc>
          <w:tcPr>
            <w:tcW w:w="2808" w:type="dxa"/>
          </w:tcPr>
          <w:p w14:paraId="58857573" w14:textId="6041C214" w:rsidR="00B63412" w:rsidRDefault="00B63412" w:rsidP="00772610">
            <w:pPr>
              <w:pStyle w:val="Tabletext"/>
              <w:rPr>
                <w:rFonts w:ascii="Calibri" w:hAnsi="Calibri" w:cs="Calibri"/>
                <w:sz w:val="20"/>
              </w:rPr>
            </w:pPr>
            <w:r>
              <w:rPr>
                <w:rFonts w:ascii="Calibri" w:hAnsi="Calibri" w:cs="Calibri"/>
                <w:sz w:val="20"/>
              </w:rPr>
              <w:t>Azure Function App that hosts the trigger function</w:t>
            </w:r>
          </w:p>
        </w:tc>
        <w:tc>
          <w:tcPr>
            <w:tcW w:w="1404" w:type="dxa"/>
          </w:tcPr>
          <w:p w14:paraId="12F795B8" w14:textId="29B88F67" w:rsidR="00B63412" w:rsidRDefault="00B63412" w:rsidP="00772610">
            <w:pPr>
              <w:pStyle w:val="Tabletext"/>
              <w:rPr>
                <w:rFonts w:ascii="Calibri" w:hAnsi="Calibri" w:cs="Calibri"/>
                <w:sz w:val="20"/>
              </w:rPr>
            </w:pPr>
            <w:r>
              <w:rPr>
                <w:rFonts w:ascii="Calibri" w:hAnsi="Calibri" w:cs="Calibri"/>
                <w:sz w:val="20"/>
              </w:rPr>
              <w:t>AppSettings</w:t>
            </w:r>
          </w:p>
        </w:tc>
      </w:tr>
      <w:tr w:rsidR="00B63412" w:rsidRPr="00C63A98" w14:paraId="137E1BD3" w14:textId="77777777" w:rsidTr="00FA3AEE">
        <w:trPr>
          <w:cantSplit/>
        </w:trPr>
        <w:tc>
          <w:tcPr>
            <w:tcW w:w="2340" w:type="dxa"/>
          </w:tcPr>
          <w:p w14:paraId="4F017E3D" w14:textId="58AF042D" w:rsidR="00B63412" w:rsidRDefault="00B63412" w:rsidP="00772610">
            <w:pPr>
              <w:pStyle w:val="Tabletext"/>
              <w:rPr>
                <w:rFonts w:ascii="Calibri" w:hAnsi="Calibri" w:cs="Calibri"/>
                <w:sz w:val="20"/>
              </w:rPr>
            </w:pPr>
            <w:r>
              <w:rPr>
                <w:rFonts w:ascii="Calibri" w:hAnsi="Calibri" w:cs="Calibri"/>
                <w:sz w:val="20"/>
              </w:rPr>
              <w:t>Save Stored Procedure</w:t>
            </w:r>
          </w:p>
        </w:tc>
        <w:tc>
          <w:tcPr>
            <w:tcW w:w="2808" w:type="dxa"/>
          </w:tcPr>
          <w:p w14:paraId="0754DA42" w14:textId="4D4025E3" w:rsidR="00B63412" w:rsidRDefault="00B63412" w:rsidP="00772610">
            <w:pPr>
              <w:pStyle w:val="Tabletext"/>
              <w:rPr>
                <w:rFonts w:ascii="Calibri" w:hAnsi="Calibri" w:cs="Calibri"/>
                <w:sz w:val="20"/>
              </w:rPr>
            </w:pPr>
          </w:p>
        </w:tc>
        <w:tc>
          <w:tcPr>
            <w:tcW w:w="2808" w:type="dxa"/>
          </w:tcPr>
          <w:p w14:paraId="5D45BF43" w14:textId="082C0EE6" w:rsidR="00B63412" w:rsidRDefault="00B63412" w:rsidP="00772610">
            <w:pPr>
              <w:pStyle w:val="Tabletext"/>
              <w:rPr>
                <w:rFonts w:ascii="Calibri" w:hAnsi="Calibri" w:cs="Calibri"/>
                <w:sz w:val="20"/>
              </w:rPr>
            </w:pPr>
            <w:r>
              <w:rPr>
                <w:rFonts w:ascii="Calibri" w:hAnsi="Calibri" w:cs="Calibri"/>
                <w:sz w:val="20"/>
              </w:rPr>
              <w:t xml:space="preserve">Stored procedure of the database team that merges the rows into </w:t>
            </w:r>
            <w:r w:rsidR="00FC42E7">
              <w:rPr>
                <w:rFonts w:ascii="Calibri" w:hAnsi="Calibri" w:cs="Calibri"/>
                <w:sz w:val="20"/>
              </w:rPr>
              <w:t>vcb_</w:t>
            </w:r>
            <w:r>
              <w:rPr>
                <w:rFonts w:ascii="Calibri" w:hAnsi="Calibri" w:cs="Calibri"/>
                <w:sz w:val="20"/>
              </w:rPr>
              <w:t>terminal_specsheet_master</w:t>
            </w:r>
          </w:p>
        </w:tc>
        <w:tc>
          <w:tcPr>
            <w:tcW w:w="1404" w:type="dxa"/>
          </w:tcPr>
          <w:p w14:paraId="57C74A66" w14:textId="76062173" w:rsidR="00B63412" w:rsidRDefault="00B63412" w:rsidP="00772610">
            <w:pPr>
              <w:pStyle w:val="Tabletext"/>
              <w:rPr>
                <w:rFonts w:ascii="Calibri" w:hAnsi="Calibri" w:cs="Calibri"/>
                <w:sz w:val="20"/>
              </w:rPr>
            </w:pPr>
            <w:r>
              <w:rPr>
                <w:rFonts w:ascii="Calibri" w:hAnsi="Calibri" w:cs="Calibri"/>
                <w:sz w:val="20"/>
              </w:rPr>
              <w:t>AppSettings</w:t>
            </w:r>
          </w:p>
        </w:tc>
      </w:tr>
    </w:tbl>
    <w:p w14:paraId="47D8E64B" w14:textId="2462CEB7" w:rsidR="00B63412" w:rsidRDefault="00B63412" w:rsidP="00B63412">
      <w:pPr>
        <w:pStyle w:val="Caption"/>
      </w:pPr>
      <w:bookmarkStart w:id="271" w:name="_Toc242554047"/>
      <w:r>
        <w:t xml:space="preserve">Table </w:t>
      </w:r>
      <w:bookmarkStart w:id="272" w:name="_Ref917260935"/>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49</w:t>
      </w:r>
      <w:r>
        <w:fldChar w:fldCharType="end"/>
      </w:r>
      <w:bookmarkEnd w:id="272"/>
      <w:r>
        <w:t xml:space="preserve">: </w:t>
      </w:r>
      <w:r w:rsidR="00FC42E7">
        <w:t>Profisee Data Mapping - Configuration</w:t>
      </w:r>
      <w:bookmarkEnd w:id="271"/>
    </w:p>
    <w:p w14:paraId="3603EB10" w14:textId="77777777" w:rsidR="000A106D" w:rsidRPr="000A106D" w:rsidRDefault="000A106D" w:rsidP="000A106D">
      <w:pPr>
        <w:pStyle w:val="Heading4"/>
        <w:rPr>
          <w:rFonts w:ascii="Calibri" w:hAnsi="Calibri" w:cs="Calibri"/>
          <w:b/>
          <w:sz w:val="20"/>
        </w:rPr>
      </w:pPr>
      <w:bookmarkStart w:id="273" w:name="_Ref917260915"/>
      <w:r w:rsidRPr="000A106D">
        <w:rPr>
          <w:rFonts w:ascii="Calibri" w:hAnsi="Calibri" w:cs="Calibri"/>
          <w:b/>
          <w:sz w:val="20"/>
        </w:rPr>
        <w:t>Platform Changes for the VCB Integrations</w:t>
      </w:r>
      <w:bookmarkEnd w:id="273"/>
    </w:p>
    <w:p w14:paraId="591BAE49" w14:textId="349EA791" w:rsidR="00FC42E7" w:rsidRPr="00EC3682" w:rsidRDefault="00FC42E7" w:rsidP="00FC42E7">
      <w:pPr>
        <w:pStyle w:val="ListParagraph"/>
        <w:numPr>
          <w:ilvl w:val="0"/>
          <w:numId w:val="4"/>
        </w:numPr>
        <w:jc w:val="left"/>
        <w:rPr>
          <w:rFonts w:ascii="Calibri" w:hAnsi="Calibri" w:cs="Calibri"/>
        </w:rPr>
      </w:pPr>
      <w:r>
        <w:t>The PIAF and Kittyhawk integrations shall reuse the existing inventory and movement services of the platform, and each integration shall have its own trigger, durable functions and queues.</w:t>
      </w:r>
    </w:p>
    <w:p w14:paraId="222E6C04" w14:textId="1CEB510D" w:rsidR="00FC42E7" w:rsidRPr="00EC3682" w:rsidRDefault="00FC42E7" w:rsidP="00FC42E7">
      <w:pPr>
        <w:pStyle w:val="ListParagraph"/>
        <w:numPr>
          <w:ilvl w:val="0"/>
          <w:numId w:val="4"/>
        </w:numPr>
        <w:jc w:val="left"/>
        <w:rPr>
          <w:rFonts w:ascii="Calibri" w:hAnsi="Calibri" w:cs="Calibri"/>
        </w:rPr>
      </w:pPr>
      <w:r>
        <w:t>Pricing shall follow the common integration pattern, without a trigger, in the Cost API and shall read MPR through the price service.</w:t>
      </w:r>
    </w:p>
    <w:p w14:paraId="7DCD9856" w14:textId="2F604090" w:rsidR="00FC42E7" w:rsidRPr="00EC3682" w:rsidRDefault="00FC42E7" w:rsidP="00FC42E7">
      <w:pPr>
        <w:pStyle w:val="ListParagraph"/>
        <w:numPr>
          <w:ilvl w:val="0"/>
          <w:numId w:val="4"/>
        </w:numPr>
        <w:jc w:val="left"/>
        <w:rPr>
          <w:rFonts w:ascii="Calibri" w:hAnsi="Calibri" w:cs="Calibri"/>
        </w:rPr>
      </w:pPr>
      <w:r>
        <w:t xml:space="preserve">The response models and the processing of each integration shall be as described in sections </w:t>
      </w:r>
      <w:r>
        <w:fldChar w:fldCharType="begin"/>
      </w:r>
      <w:r>
        <w:instrText xml:space="preserve"> REF _Ref917260942 \w \h \* MERGEFORMAT </w:instrText>
      </w:r>
      <w:r>
        <w:fldChar w:fldCharType="separate"/>
      </w:r>
      <w:r w:rsidRPr="00FC42E7">
        <w:rPr>
          <w:color w:val="0563C1"/>
          <w:u w:val="single"/>
        </w:rPr>
        <w:t>2.3.3.1</w:t>
      </w:r>
      <w:r>
        <w:fldChar w:fldCharType="end"/>
      </w:r>
      <w:r>
        <w:t xml:space="preserve"> to </w:t>
      </w:r>
      <w:r>
        <w:fldChar w:fldCharType="begin"/>
      </w:r>
      <w:r>
        <w:instrText xml:space="preserve"> REF _Ref917260943 \w \h \* MERGEFORMAT </w:instrText>
      </w:r>
      <w:r>
        <w:fldChar w:fldCharType="separate"/>
      </w:r>
      <w:r w:rsidRPr="00FC42E7">
        <w:rPr>
          <w:color w:val="0563C1"/>
          <w:u w:val="single"/>
        </w:rPr>
        <w:t>2.3.3.4</w:t>
      </w:r>
      <w:r>
        <w:fldChar w:fldCharType="end"/>
      </w:r>
      <w:r>
        <w:t>.</w:t>
      </w:r>
    </w:p>
    <w:p w14:paraId="25D37F57" w14:textId="2D78B1CA" w:rsidR="00FC42E7" w:rsidRPr="00EC3682" w:rsidRDefault="00FC42E7" w:rsidP="00FC42E7">
      <w:pPr>
        <w:pStyle w:val="ListParagraph"/>
        <w:numPr>
          <w:ilvl w:val="0"/>
          <w:numId w:val="4"/>
        </w:numPr>
        <w:jc w:val="left"/>
        <w:rPr>
          <w:rFonts w:ascii="Calibri" w:hAnsi="Calibri" w:cs="Calibri"/>
        </w:rPr>
      </w:pPr>
      <w:r>
        <w:t xml:space="preserve">The waiver selection shall add its own calls to the CIP Quality domain API (section </w:t>
      </w:r>
      <w:r>
        <w:fldChar w:fldCharType="begin"/>
      </w:r>
      <w:r>
        <w:instrText xml:space="preserve"> REF _Ref917260960 \w \h \* MERGEFORMAT </w:instrText>
      </w:r>
      <w:r>
        <w:fldChar w:fldCharType="separate"/>
      </w:r>
      <w:r w:rsidRPr="00FC42E7">
        <w:rPr>
          <w:color w:val="0563C1"/>
          <w:u w:val="single"/>
        </w:rPr>
        <w:t>2.3.3.5.1</w:t>
      </w:r>
      <w:r>
        <w:fldChar w:fldCharType="end"/>
      </w:r>
      <w:r>
        <w:t>).</w:t>
      </w:r>
    </w:p>
    <w:p w14:paraId="70A82060" w14:textId="0FEBCE9F" w:rsidR="00FC42E7" w:rsidRPr="00EC3682" w:rsidRDefault="00FC42E7" w:rsidP="00FC42E7">
      <w:pPr>
        <w:pStyle w:val="ListParagraph"/>
        <w:numPr>
          <w:ilvl w:val="0"/>
          <w:numId w:val="4"/>
        </w:numPr>
        <w:jc w:val="left"/>
        <w:rPr>
          <w:rFonts w:ascii="Calibri" w:hAnsi="Calibri" w:cs="Calibri"/>
        </w:rPr>
      </w:pPr>
      <w:r>
        <w:t xml:space="preserve">The Profisee data mapping shall add its own trigger, services, durable functions and queues to the Quality domain (section </w:t>
      </w:r>
      <w:r>
        <w:fldChar w:fldCharType="begin"/>
      </w:r>
      <w:r>
        <w:instrText xml:space="preserve"> REF _Ref917260916 \w \h \* MERGEFORMAT </w:instrText>
      </w:r>
      <w:r>
        <w:fldChar w:fldCharType="separate"/>
      </w:r>
      <w:r w:rsidRPr="00FC42E7">
        <w:rPr>
          <w:color w:val="0563C1"/>
          <w:u w:val="single"/>
        </w:rPr>
        <w:t>2.3.3.5.2</w:t>
      </w:r>
      <w:r>
        <w:fldChar w:fldCharType="end"/>
      </w:r>
      <w:r>
        <w:t>).</w:t>
      </w:r>
    </w:p>
    <w:p w14:paraId="03C14C00" w14:textId="32D01E62" w:rsidR="000A106D" w:rsidRDefault="00FC42E7" w:rsidP="00FC42E7">
      <w:pPr>
        <w:keepNext/>
        <w:jc w:val="left"/>
      </w:pPr>
      <w:r>
        <w:t>The table below gives what the platform shall support for the VCB integrations, the platform component concerned and the VCB need behind each change.</w:t>
      </w:r>
    </w:p>
    <w:tbl>
      <w:tblPr>
        <w:tblStyle w:val="TableGrid"/>
        <w:tblW w:w="500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4"/>
        <w:gridCol w:w="1965"/>
        <w:gridCol w:w="3276"/>
        <w:gridCol w:w="2714"/>
      </w:tblGrid>
      <w:tr w:rsidR="000A106D" w:rsidRPr="00C63A98" w14:paraId="4B2B9093" w14:textId="286E0054" w:rsidTr="000A106D">
        <w:trPr>
          <w:cantSplit/>
          <w:tblHeader/>
        </w:trPr>
        <w:tc>
          <w:tcPr>
            <w:tcW w:w="750" w:type="pct"/>
            <w:shd w:val="clear" w:color="auto" w:fill="2F5597"/>
          </w:tcPr>
          <w:p w14:paraId="2A0C4B71" w14:textId="6DE29B37" w:rsidR="000A106D" w:rsidRPr="00C63A98" w:rsidRDefault="000A106D" w:rsidP="00AA30D8">
            <w:pPr>
              <w:pStyle w:val="Tablehead1"/>
              <w:rPr>
                <w:rFonts w:ascii="Calibri" w:hAnsi="Calibri" w:cs="Calibri"/>
                <w:sz w:val="20"/>
              </w:rPr>
            </w:pPr>
            <w:r>
              <w:rPr>
                <w:rFonts w:ascii="Calibri" w:hAnsi="Calibri" w:cs="Calibri"/>
                <w:sz w:val="20"/>
              </w:rPr>
              <w:t>Integration</w:t>
            </w:r>
          </w:p>
        </w:tc>
        <w:tc>
          <w:tcPr>
            <w:tcW w:w="1050" w:type="pct"/>
            <w:shd w:val="clear" w:color="auto" w:fill="2F5597"/>
          </w:tcPr>
          <w:p w14:paraId="34B703FF" w14:textId="23F84560" w:rsidR="000A106D" w:rsidRPr="00C63A98" w:rsidRDefault="00636937" w:rsidP="00AA30D8">
            <w:pPr>
              <w:pStyle w:val="Tablehead1"/>
              <w:rPr>
                <w:rFonts w:ascii="Calibri" w:hAnsi="Calibri" w:cs="Calibri"/>
                <w:sz w:val="20"/>
              </w:rPr>
            </w:pPr>
            <w:r>
              <w:rPr>
                <w:rFonts w:ascii="Calibri" w:hAnsi="Calibri" w:cs="Calibri"/>
                <w:sz w:val="20"/>
              </w:rPr>
              <w:t>What the Platform Must Support</w:t>
            </w:r>
          </w:p>
        </w:tc>
        <w:tc>
          <w:tcPr>
            <w:tcW w:w="1750" w:type="pct"/>
            <w:shd w:val="clear" w:color="auto" w:fill="2F5597"/>
          </w:tcPr>
          <w:p w14:paraId="6C210E39" w14:textId="6B06FF95" w:rsidR="000A106D" w:rsidRPr="00C63A98" w:rsidRDefault="00636937" w:rsidP="00AA30D8">
            <w:pPr>
              <w:pStyle w:val="Tablehead1"/>
              <w:rPr>
                <w:rFonts w:ascii="Calibri" w:hAnsi="Calibri" w:cs="Calibri"/>
                <w:sz w:val="20"/>
              </w:rPr>
            </w:pPr>
            <w:r>
              <w:rPr>
                <w:rFonts w:ascii="Calibri" w:hAnsi="Calibri" w:cs="Calibri"/>
                <w:sz w:val="20"/>
              </w:rPr>
              <w:t>Platform Component</w:t>
            </w:r>
          </w:p>
        </w:tc>
        <w:tc>
          <w:tcPr>
            <w:tcW w:w="1450" w:type="pct"/>
            <w:shd w:val="clear" w:color="auto" w:fill="2F5597"/>
          </w:tcPr>
          <w:p w14:paraId="1F0F584E" w14:textId="215C81FD" w:rsidR="000A106D" w:rsidRDefault="000A106D" w:rsidP="00AA30D8">
            <w:pPr>
              <w:pStyle w:val="Tablehead1"/>
              <w:rPr>
                <w:rFonts w:ascii="Calibri" w:hAnsi="Calibri" w:cs="Calibri"/>
                <w:sz w:val="20"/>
              </w:rPr>
            </w:pPr>
            <w:r>
              <w:rPr>
                <w:rFonts w:ascii="Calibri" w:hAnsi="Calibri" w:cs="Calibri"/>
                <w:sz w:val="20"/>
              </w:rPr>
              <w:t>Why</w:t>
            </w:r>
          </w:p>
        </w:tc>
      </w:tr>
      <w:tr w:rsidR="000A106D" w:rsidRPr="00C63A98" w14:paraId="54A555AE" w14:textId="3D91F44A" w:rsidTr="000A106D">
        <w:trPr>
          <w:cantSplit/>
        </w:trPr>
        <w:tc>
          <w:tcPr>
            <w:tcW w:w="750" w:type="pct"/>
          </w:tcPr>
          <w:p w14:paraId="61563895" w14:textId="40BE3F2F" w:rsidR="000A106D" w:rsidRPr="00C63A98" w:rsidRDefault="000A106D" w:rsidP="000A106D">
            <w:pPr>
              <w:pStyle w:val="Tabletext"/>
              <w:rPr>
                <w:rFonts w:ascii="Calibri" w:hAnsi="Calibri" w:cs="Calibri"/>
                <w:sz w:val="20"/>
              </w:rPr>
            </w:pPr>
            <w:r>
              <w:rPr>
                <w:rFonts w:ascii="Calibri" w:hAnsi="Calibri" w:cs="Calibri"/>
                <w:sz w:val="20"/>
              </w:rPr>
              <w:t>PIAF</w:t>
            </w:r>
          </w:p>
        </w:tc>
        <w:tc>
          <w:tcPr>
            <w:tcW w:w="1050" w:type="pct"/>
          </w:tcPr>
          <w:p w14:paraId="43C59C85" w14:textId="630BFEDC" w:rsidR="000A106D" w:rsidRPr="00C63A98" w:rsidRDefault="00873A53" w:rsidP="000A106D">
            <w:pPr>
              <w:pStyle w:val="Tabletext"/>
              <w:rPr>
                <w:rFonts w:ascii="Calibri" w:hAnsi="Calibri" w:cs="Calibri"/>
                <w:sz w:val="20"/>
              </w:rPr>
            </w:pPr>
            <w:r>
              <w:rPr>
                <w:rFonts w:ascii="Calibri" w:hAnsi="Calibri" w:cs="Calibri"/>
                <w:sz w:val="20"/>
              </w:rPr>
              <w:t>The inventory request shall accept PIAF as a terminal source and a list of terminals.</w:t>
            </w:r>
          </w:p>
        </w:tc>
        <w:tc>
          <w:tcPr>
            <w:tcW w:w="1750" w:type="pct"/>
          </w:tcPr>
          <w:p w14:paraId="0F1285D8" w14:textId="64C86305" w:rsidR="000A106D" w:rsidRPr="00C63A98" w:rsidRDefault="00636937" w:rsidP="000A106D">
            <w:pPr>
              <w:pStyle w:val="Tabletext"/>
              <w:rPr>
                <w:rFonts w:ascii="Calibri" w:hAnsi="Calibri" w:cs="Calibri"/>
                <w:sz w:val="20"/>
              </w:rPr>
            </w:pPr>
            <w:r>
              <w:rPr>
                <w:rFonts w:ascii="Calibri" w:hAnsi="Calibri" w:cs="Calibri"/>
                <w:sz w:val="20"/>
              </w:rPr>
              <w:t>Inventory request and response services</w:t>
            </w:r>
          </w:p>
        </w:tc>
        <w:tc>
          <w:tcPr>
            <w:tcW w:w="1450" w:type="pct"/>
          </w:tcPr>
          <w:p w14:paraId="2355989F" w14:textId="4750442F" w:rsidR="000A106D" w:rsidRDefault="00144FA3" w:rsidP="000A106D">
            <w:pPr>
              <w:pStyle w:val="Tabletext"/>
              <w:rPr>
                <w:rFonts w:ascii="Calibri" w:hAnsi="Calibri" w:cs="Calibri"/>
                <w:sz w:val="20"/>
              </w:rPr>
            </w:pPr>
            <w:r>
              <w:rPr>
                <w:rFonts w:ascii="Calibri" w:hAnsi="Calibri" w:cs="Calibri"/>
                <w:sz w:val="20"/>
              </w:rPr>
              <w:t>VCB shall read the analyzer qualities and the flows of several terminals in one run.</w:t>
            </w:r>
          </w:p>
        </w:tc>
      </w:tr>
      <w:tr w:rsidR="000A106D" w:rsidRPr="00C63A98" w14:paraId="60FED6FB" w14:textId="77777777" w:rsidTr="000A106D">
        <w:trPr>
          <w:cantSplit/>
        </w:trPr>
        <w:tc>
          <w:tcPr>
            <w:tcW w:w="750" w:type="pct"/>
          </w:tcPr>
          <w:p w14:paraId="0ADCD905" w14:textId="2B8A43DC" w:rsidR="000A106D" w:rsidRDefault="000A106D" w:rsidP="000A106D">
            <w:pPr>
              <w:pStyle w:val="Tabletext"/>
              <w:rPr>
                <w:rFonts w:ascii="Calibri" w:hAnsi="Calibri" w:cs="Calibri"/>
                <w:sz w:val="20"/>
              </w:rPr>
            </w:pPr>
            <w:r>
              <w:rPr>
                <w:rFonts w:ascii="Calibri" w:hAnsi="Calibri" w:cs="Calibri"/>
                <w:sz w:val="20"/>
              </w:rPr>
              <w:t>PIAF</w:t>
            </w:r>
          </w:p>
        </w:tc>
        <w:tc>
          <w:tcPr>
            <w:tcW w:w="1050" w:type="pct"/>
          </w:tcPr>
          <w:p w14:paraId="557E460B" w14:textId="320AD474" w:rsidR="000A106D" w:rsidRDefault="00873A53" w:rsidP="000A106D">
            <w:pPr>
              <w:pStyle w:val="Tabletext"/>
              <w:rPr>
                <w:rFonts w:ascii="Calibri" w:hAnsi="Calibri" w:cs="Calibri"/>
                <w:sz w:val="20"/>
              </w:rPr>
            </w:pPr>
            <w:r>
              <w:rPr>
                <w:rFonts w:ascii="Calibri" w:hAnsi="Calibri" w:cs="Calibri"/>
                <w:sz w:val="20"/>
              </w:rPr>
              <w:t>The inventory response service shall read the terminal PI tags through the PI proxy function of the platform.</w:t>
            </w:r>
          </w:p>
        </w:tc>
        <w:tc>
          <w:tcPr>
            <w:tcW w:w="1750" w:type="pct"/>
          </w:tcPr>
          <w:p w14:paraId="6851FACC" w14:textId="3F6868C8" w:rsidR="000A106D" w:rsidRDefault="00636937" w:rsidP="000A106D">
            <w:pPr>
              <w:pStyle w:val="Tabletext"/>
              <w:rPr>
                <w:rFonts w:ascii="Calibri" w:hAnsi="Calibri" w:cs="Calibri"/>
                <w:sz w:val="20"/>
              </w:rPr>
            </w:pPr>
            <w:r>
              <w:rPr>
                <w:rFonts w:ascii="Calibri" w:hAnsi="Calibri" w:cs="Calibri"/>
                <w:sz w:val="20"/>
              </w:rPr>
              <w:t>Inventory response service</w:t>
            </w:r>
          </w:p>
        </w:tc>
        <w:tc>
          <w:tcPr>
            <w:tcW w:w="1450" w:type="pct"/>
          </w:tcPr>
          <w:p w14:paraId="2C0F460B" w14:textId="500AA080" w:rsidR="000A106D" w:rsidRDefault="00144FA3" w:rsidP="000A106D">
            <w:pPr>
              <w:pStyle w:val="Tabletext"/>
              <w:rPr>
                <w:rFonts w:ascii="Calibri" w:hAnsi="Calibri" w:cs="Calibri"/>
                <w:sz w:val="20"/>
              </w:rPr>
            </w:pPr>
            <w:r>
              <w:rPr>
                <w:rFonts w:ascii="Calibri" w:hAnsi="Calibri" w:cs="Calibri"/>
                <w:sz w:val="20"/>
              </w:rPr>
              <w:t>VCB shall read the PI tags of the terminals.</w:t>
            </w:r>
          </w:p>
        </w:tc>
      </w:tr>
      <w:tr w:rsidR="000A106D" w:rsidRPr="00C63A98" w14:paraId="3083B5B8" w14:textId="77777777" w:rsidTr="000A106D">
        <w:trPr>
          <w:cantSplit/>
        </w:trPr>
        <w:tc>
          <w:tcPr>
            <w:tcW w:w="750" w:type="pct"/>
          </w:tcPr>
          <w:p w14:paraId="36092C13" w14:textId="47DF188E" w:rsidR="000A106D" w:rsidRDefault="000A106D" w:rsidP="000A106D">
            <w:pPr>
              <w:pStyle w:val="Tabletext"/>
              <w:rPr>
                <w:rFonts w:ascii="Calibri" w:hAnsi="Calibri" w:cs="Calibri"/>
                <w:sz w:val="20"/>
              </w:rPr>
            </w:pPr>
            <w:r>
              <w:rPr>
                <w:rFonts w:ascii="Calibri" w:hAnsi="Calibri" w:cs="Calibri"/>
                <w:sz w:val="20"/>
              </w:rPr>
              <w:t>PIAF</w:t>
            </w:r>
          </w:p>
        </w:tc>
        <w:tc>
          <w:tcPr>
            <w:tcW w:w="1050" w:type="pct"/>
          </w:tcPr>
          <w:p w14:paraId="18ECAEE5" w14:textId="0D9E9ED1" w:rsidR="000A106D" w:rsidRDefault="00873A53" w:rsidP="000A106D">
            <w:pPr>
              <w:pStyle w:val="Tabletext"/>
              <w:rPr>
                <w:rFonts w:ascii="Calibri" w:hAnsi="Calibri" w:cs="Calibri"/>
                <w:sz w:val="20"/>
              </w:rPr>
            </w:pPr>
            <w:r>
              <w:rPr>
                <w:rFonts w:ascii="Calibri" w:hAnsi="Calibri" w:cs="Calibri"/>
                <w:sz w:val="20"/>
              </w:rPr>
              <w:t>The Blend Component integration shall have its own integration name in the request header and the notifications.</w:t>
            </w:r>
          </w:p>
        </w:tc>
        <w:tc>
          <w:tcPr>
            <w:tcW w:w="1750" w:type="pct"/>
          </w:tcPr>
          <w:p w14:paraId="4AFE4070" w14:textId="50BE24BB" w:rsidR="000A106D" w:rsidRDefault="00636937" w:rsidP="000A106D">
            <w:pPr>
              <w:pStyle w:val="Tabletext"/>
              <w:rPr>
                <w:rFonts w:ascii="Calibri" w:hAnsi="Calibri" w:cs="Calibri"/>
                <w:sz w:val="20"/>
              </w:rPr>
            </w:pPr>
            <w:r>
              <w:rPr>
                <w:rFonts w:ascii="Calibri" w:hAnsi="Calibri" w:cs="Calibri"/>
                <w:sz w:val="20"/>
              </w:rPr>
              <w:t>Blend Component trigger function</w:t>
            </w:r>
          </w:p>
        </w:tc>
        <w:tc>
          <w:tcPr>
            <w:tcW w:w="1450" w:type="pct"/>
          </w:tcPr>
          <w:p w14:paraId="16FAD9D6" w14:textId="450A1CA9" w:rsidR="000A106D" w:rsidRDefault="00FC42E7" w:rsidP="000A106D">
            <w:pPr>
              <w:pStyle w:val="Tabletext"/>
              <w:rPr>
                <w:rFonts w:ascii="Calibri" w:hAnsi="Calibri" w:cs="Calibri"/>
                <w:sz w:val="20"/>
              </w:rPr>
            </w:pPr>
            <w:r>
              <w:rPr>
                <w:rFonts w:ascii="Calibri" w:hAnsi="Calibri" w:cs="Calibri"/>
                <w:sz w:val="20"/>
              </w:rPr>
              <w:t>The integration name shall identify the integration in the logs and the notifications.</w:t>
            </w:r>
          </w:p>
        </w:tc>
      </w:tr>
      <w:tr w:rsidR="000A106D" w:rsidRPr="00C63A98" w14:paraId="2F42D13A" w14:textId="77777777" w:rsidTr="000A106D">
        <w:trPr>
          <w:cantSplit/>
        </w:trPr>
        <w:tc>
          <w:tcPr>
            <w:tcW w:w="750" w:type="pct"/>
          </w:tcPr>
          <w:p w14:paraId="2C74047F" w14:textId="316162C8" w:rsidR="000A106D" w:rsidRDefault="000A106D" w:rsidP="000A106D">
            <w:pPr>
              <w:pStyle w:val="Tabletext"/>
              <w:rPr>
                <w:rFonts w:ascii="Calibri" w:hAnsi="Calibri" w:cs="Calibri"/>
                <w:sz w:val="20"/>
              </w:rPr>
            </w:pPr>
            <w:r>
              <w:rPr>
                <w:rFonts w:ascii="Calibri" w:hAnsi="Calibri" w:cs="Calibri"/>
                <w:sz w:val="20"/>
              </w:rPr>
              <w:t>PIAF</w:t>
            </w:r>
          </w:p>
        </w:tc>
        <w:tc>
          <w:tcPr>
            <w:tcW w:w="1050" w:type="pct"/>
          </w:tcPr>
          <w:p w14:paraId="79DD4D0E" w14:textId="7091DB32" w:rsidR="000A106D" w:rsidRDefault="00873A53" w:rsidP="000A106D">
            <w:pPr>
              <w:pStyle w:val="Tabletext"/>
              <w:rPr>
                <w:rFonts w:ascii="Calibri" w:hAnsi="Calibri" w:cs="Calibri"/>
                <w:sz w:val="20"/>
              </w:rPr>
            </w:pPr>
            <w:r>
              <w:rPr>
                <w:rFonts w:ascii="Calibri" w:hAnsi="Calibri" w:cs="Calibri"/>
                <w:sz w:val="20"/>
              </w:rPr>
              <w:t xml:space="preserve">The Blend Component trigger shall read its own configuration file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Pr>
                <w:rFonts w:ascii="Calibri" w:hAnsi="Calibri" w:cs="Calibri"/>
                <w:sz w:val="20"/>
              </w:rPr>
              <w:t>).</w:t>
            </w:r>
          </w:p>
        </w:tc>
        <w:tc>
          <w:tcPr>
            <w:tcW w:w="1750" w:type="pct"/>
          </w:tcPr>
          <w:p w14:paraId="39E218E2" w14:textId="1CB1A98B" w:rsidR="000A106D" w:rsidRDefault="00636937" w:rsidP="000A106D">
            <w:pPr>
              <w:pStyle w:val="Tabletext"/>
              <w:rPr>
                <w:rFonts w:ascii="Calibri" w:hAnsi="Calibri" w:cs="Calibri"/>
                <w:sz w:val="20"/>
              </w:rPr>
            </w:pPr>
            <w:r>
              <w:rPr>
                <w:rFonts w:ascii="Calibri" w:hAnsi="Calibri" w:cs="Calibri"/>
                <w:sz w:val="20"/>
              </w:rPr>
              <w:t>Blend Component trigger function</w:t>
            </w:r>
          </w:p>
        </w:tc>
        <w:tc>
          <w:tcPr>
            <w:tcW w:w="1450" w:type="pct"/>
          </w:tcPr>
          <w:p w14:paraId="31E16740" w14:textId="079A8B95" w:rsidR="000A106D" w:rsidRDefault="00144FA3" w:rsidP="000A106D">
            <w:pPr>
              <w:pStyle w:val="Tabletext"/>
              <w:rPr>
                <w:rFonts w:ascii="Calibri" w:hAnsi="Calibri" w:cs="Calibri"/>
                <w:sz w:val="20"/>
              </w:rPr>
            </w:pPr>
            <w:r>
              <w:rPr>
                <w:rFonts w:ascii="Calibri" w:hAnsi="Calibri" w:cs="Calibri"/>
                <w:sz w:val="20"/>
              </w:rPr>
              <w:t>The settings of the Blend Component integration shall be kept apart from those of the other integrations.</w:t>
            </w:r>
          </w:p>
        </w:tc>
      </w:tr>
      <w:tr w:rsidR="000A106D" w:rsidRPr="00C63A98" w14:paraId="42340445" w14:textId="77777777" w:rsidTr="000A106D">
        <w:trPr>
          <w:cantSplit/>
        </w:trPr>
        <w:tc>
          <w:tcPr>
            <w:tcW w:w="750" w:type="pct"/>
          </w:tcPr>
          <w:p w14:paraId="0088C022" w14:textId="6094B4A4" w:rsidR="000A106D" w:rsidRDefault="000A106D" w:rsidP="000A106D">
            <w:pPr>
              <w:pStyle w:val="Tabletext"/>
              <w:rPr>
                <w:rFonts w:ascii="Calibri" w:hAnsi="Calibri" w:cs="Calibri"/>
                <w:sz w:val="20"/>
              </w:rPr>
            </w:pPr>
            <w:r>
              <w:rPr>
                <w:rFonts w:ascii="Calibri" w:hAnsi="Calibri" w:cs="Calibri"/>
                <w:sz w:val="20"/>
              </w:rPr>
              <w:t>PIAF</w:t>
            </w:r>
          </w:p>
        </w:tc>
        <w:tc>
          <w:tcPr>
            <w:tcW w:w="1050" w:type="pct"/>
          </w:tcPr>
          <w:p w14:paraId="193F8C5B" w14:textId="4876D863" w:rsidR="000A106D" w:rsidRDefault="00873A53" w:rsidP="000A106D">
            <w:pPr>
              <w:pStyle w:val="Tabletext"/>
              <w:rPr>
                <w:rFonts w:ascii="Calibri" w:hAnsi="Calibri" w:cs="Calibri"/>
                <w:sz w:val="20"/>
              </w:rPr>
            </w:pPr>
            <w:r>
              <w:rPr>
                <w:rFonts w:ascii="Calibri" w:hAnsi="Calibri" w:cs="Calibri"/>
                <w:sz w:val="20"/>
              </w:rPr>
              <w:t xml:space="preserve">The run shall read the terminals listed in its configuration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Pr>
                <w:rFonts w:ascii="Calibri" w:hAnsi="Calibri" w:cs="Calibri"/>
                <w:sz w:val="20"/>
              </w:rPr>
              <w:t>).</w:t>
            </w:r>
          </w:p>
        </w:tc>
        <w:tc>
          <w:tcPr>
            <w:tcW w:w="1750" w:type="pct"/>
          </w:tcPr>
          <w:p w14:paraId="35F834C9" w14:textId="70EA760A" w:rsidR="000A106D" w:rsidRDefault="00636937" w:rsidP="000A106D">
            <w:pPr>
              <w:pStyle w:val="Tabletext"/>
              <w:rPr>
                <w:rFonts w:ascii="Calibri" w:hAnsi="Calibri" w:cs="Calibri"/>
                <w:sz w:val="20"/>
              </w:rPr>
            </w:pPr>
            <w:r>
              <w:rPr>
                <w:rFonts w:ascii="Calibri" w:hAnsi="Calibri" w:cs="Calibri"/>
                <w:sz w:val="20"/>
              </w:rPr>
              <w:t>Configuration file of the Blend Component integration</w:t>
            </w:r>
          </w:p>
        </w:tc>
        <w:tc>
          <w:tcPr>
            <w:tcW w:w="1450" w:type="pct"/>
          </w:tcPr>
          <w:p w14:paraId="0E0DCB11" w14:textId="78BC757E" w:rsidR="000A106D" w:rsidRDefault="00873A53" w:rsidP="000A106D">
            <w:pPr>
              <w:pStyle w:val="Tabletext"/>
              <w:rPr>
                <w:rFonts w:ascii="Calibri" w:hAnsi="Calibri" w:cs="Calibri"/>
                <w:sz w:val="20"/>
              </w:rPr>
            </w:pPr>
            <w:r>
              <w:rPr>
                <w:rFonts w:ascii="Calibri" w:hAnsi="Calibri" w:cs="Calibri"/>
                <w:sz w:val="20"/>
              </w:rPr>
              <w:t>A PIAF run without a list of terminals shall be stopped.</w:t>
            </w:r>
          </w:p>
        </w:tc>
      </w:tr>
      <w:tr w:rsidR="000A106D" w:rsidRPr="00C63A98" w14:paraId="348F2641" w14:textId="77777777" w:rsidTr="000A106D">
        <w:trPr>
          <w:cantSplit/>
        </w:trPr>
        <w:tc>
          <w:tcPr>
            <w:tcW w:w="750" w:type="pct"/>
          </w:tcPr>
          <w:p w14:paraId="0CC86A9E" w14:textId="72BB568A" w:rsidR="000A106D" w:rsidRDefault="000A106D" w:rsidP="000A106D">
            <w:pPr>
              <w:pStyle w:val="Tabletext"/>
              <w:rPr>
                <w:rFonts w:ascii="Calibri" w:hAnsi="Calibri" w:cs="Calibri"/>
                <w:sz w:val="20"/>
              </w:rPr>
            </w:pPr>
            <w:r>
              <w:rPr>
                <w:rFonts w:ascii="Calibri" w:hAnsi="Calibri" w:cs="Calibri"/>
                <w:sz w:val="20"/>
              </w:rPr>
              <w:t>PIAF</w:t>
            </w:r>
          </w:p>
        </w:tc>
        <w:tc>
          <w:tcPr>
            <w:tcW w:w="1050" w:type="pct"/>
          </w:tcPr>
          <w:p w14:paraId="7FAEDB9A" w14:textId="21609A34" w:rsidR="000A106D" w:rsidRDefault="00873A53" w:rsidP="000A106D">
            <w:pPr>
              <w:pStyle w:val="Tabletext"/>
              <w:rPr>
                <w:rFonts w:ascii="Calibri" w:hAnsi="Calibri" w:cs="Calibri"/>
                <w:sz w:val="20"/>
              </w:rPr>
            </w:pPr>
            <w:r>
              <w:rPr>
                <w:rFonts w:ascii="Calibri" w:hAnsi="Calibri" w:cs="Calibri"/>
                <w:sz w:val="20"/>
              </w:rPr>
              <w:t xml:space="preserve">The start and end of an actual run shall be set in minutes from the run time (Table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Pr>
                <w:rFonts w:ascii="Calibri" w:hAnsi="Calibri" w:cs="Calibri"/>
                <w:sz w:val="20"/>
              </w:rPr>
              <w:t>).</w:t>
            </w:r>
          </w:p>
        </w:tc>
        <w:tc>
          <w:tcPr>
            <w:tcW w:w="1750" w:type="pct"/>
          </w:tcPr>
          <w:p w14:paraId="722BA997" w14:textId="50777B56" w:rsidR="000A106D" w:rsidRDefault="00636937" w:rsidP="000A106D">
            <w:pPr>
              <w:pStyle w:val="Tabletext"/>
              <w:rPr>
                <w:rFonts w:ascii="Calibri" w:hAnsi="Calibri" w:cs="Calibri"/>
                <w:sz w:val="20"/>
              </w:rPr>
            </w:pPr>
            <w:r>
              <w:rPr>
                <w:rFonts w:ascii="Calibri" w:hAnsi="Calibri" w:cs="Calibri"/>
                <w:sz w:val="20"/>
              </w:rPr>
              <w:t>Configuration file of the Blend Component integration</w:t>
            </w:r>
          </w:p>
        </w:tc>
        <w:tc>
          <w:tcPr>
            <w:tcW w:w="1450" w:type="pct"/>
          </w:tcPr>
          <w:p w14:paraId="1015EF6F" w14:textId="75C1AD27" w:rsidR="000A106D" w:rsidRDefault="00140DC0" w:rsidP="000A106D">
            <w:pPr>
              <w:pStyle w:val="Tabletext"/>
              <w:rPr>
                <w:rFonts w:ascii="Calibri" w:hAnsi="Calibri" w:cs="Calibri"/>
                <w:sz w:val="20"/>
              </w:rPr>
            </w:pPr>
            <w:r>
              <w:rPr>
                <w:rFonts w:ascii="Calibri" w:hAnsi="Calibri" w:cs="Calibri"/>
                <w:sz w:val="20"/>
              </w:rPr>
              <w:t>For actual PIAF runs, the platform shall count the offsets in minutes.</w:t>
            </w:r>
          </w:p>
        </w:tc>
      </w:tr>
      <w:tr w:rsidR="000A106D" w:rsidRPr="00C63A98" w14:paraId="550C43CD" w14:textId="77777777" w:rsidTr="000A106D">
        <w:trPr>
          <w:cantSplit/>
        </w:trPr>
        <w:tc>
          <w:tcPr>
            <w:tcW w:w="750" w:type="pct"/>
          </w:tcPr>
          <w:p w14:paraId="0435BF04" w14:textId="5291F3CD" w:rsidR="000A106D" w:rsidRDefault="000A106D" w:rsidP="000A106D">
            <w:pPr>
              <w:pStyle w:val="Tabletext"/>
              <w:rPr>
                <w:rFonts w:ascii="Calibri" w:hAnsi="Calibri" w:cs="Calibri"/>
                <w:sz w:val="20"/>
              </w:rPr>
            </w:pPr>
            <w:r>
              <w:rPr>
                <w:rFonts w:ascii="Calibri" w:hAnsi="Calibri" w:cs="Calibri"/>
                <w:sz w:val="20"/>
              </w:rPr>
              <w:t>PIAF</w:t>
            </w:r>
          </w:p>
        </w:tc>
        <w:tc>
          <w:tcPr>
            <w:tcW w:w="1050" w:type="pct"/>
          </w:tcPr>
          <w:p w14:paraId="1CEDBEEB" w14:textId="4311A178" w:rsidR="000A106D" w:rsidRDefault="00873A53" w:rsidP="000A106D">
            <w:pPr>
              <w:pStyle w:val="Tabletext"/>
              <w:rPr>
                <w:rFonts w:ascii="Calibri" w:hAnsi="Calibri" w:cs="Calibri"/>
                <w:sz w:val="20"/>
              </w:rPr>
            </w:pPr>
            <w:r>
              <w:rPr>
                <w:rFonts w:ascii="Calibri" w:hAnsi="Calibri" w:cs="Calibri"/>
                <w:sz w:val="20"/>
              </w:rPr>
              <w:t xml:space="preserve">The inventory services shall hold the PI Web API address and the AF server of the terminals </w:t>
            </w:r>
            <w:r w:rsidR="004812A6">
              <w:rPr>
                <w:rFonts w:ascii="Calibri" w:hAnsi="Calibri" w:cs="Calibri"/>
                <w:sz w:val="20"/>
              </w:rPr>
              <w:t xml:space="preserve">(Table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sidR="004812A6">
              <w:rPr>
                <w:rFonts w:ascii="Calibri" w:hAnsi="Calibri" w:cs="Calibri"/>
                <w:sz w:val="20"/>
              </w:rPr>
              <w:t>)</w:t>
            </w:r>
            <w:r>
              <w:rPr>
                <w:rFonts w:ascii="Calibri" w:hAnsi="Calibri" w:cs="Calibri"/>
                <w:sz w:val="20"/>
              </w:rPr>
              <w:t>.</w:t>
            </w:r>
          </w:p>
        </w:tc>
        <w:tc>
          <w:tcPr>
            <w:tcW w:w="1750" w:type="pct"/>
          </w:tcPr>
          <w:p w14:paraId="67C1F544" w14:textId="722EF1D5" w:rsidR="000A106D" w:rsidRDefault="00636937" w:rsidP="000A106D">
            <w:pPr>
              <w:pStyle w:val="Tabletext"/>
              <w:rPr>
                <w:rFonts w:ascii="Calibri" w:hAnsi="Calibri" w:cs="Calibri"/>
                <w:sz w:val="20"/>
              </w:rPr>
            </w:pPr>
            <w:r>
              <w:rPr>
                <w:rFonts w:ascii="Calibri" w:hAnsi="Calibri" w:cs="Calibri"/>
                <w:sz w:val="20"/>
              </w:rPr>
              <w:t>PI address and AF server settings of the inventory services</w:t>
            </w:r>
          </w:p>
        </w:tc>
        <w:tc>
          <w:tcPr>
            <w:tcW w:w="1450" w:type="pct"/>
          </w:tcPr>
          <w:p w14:paraId="16EB1EE0" w14:textId="2FF1556E" w:rsidR="000A106D" w:rsidRDefault="00144FA3" w:rsidP="000A106D">
            <w:pPr>
              <w:pStyle w:val="Tabletext"/>
              <w:rPr>
                <w:rFonts w:ascii="Calibri" w:hAnsi="Calibri" w:cs="Calibri"/>
                <w:sz w:val="20"/>
              </w:rPr>
            </w:pPr>
            <w:r>
              <w:rPr>
                <w:rFonts w:ascii="Calibri" w:hAnsi="Calibri" w:cs="Calibri"/>
                <w:sz w:val="20"/>
              </w:rPr>
              <w:t>VCB shall reach the PI Web API and the AF server of the terminals.</w:t>
            </w:r>
          </w:p>
        </w:tc>
      </w:tr>
      <w:tr w:rsidR="000A106D" w:rsidRPr="00C63A98" w14:paraId="2BCE30C8" w14:textId="77777777" w:rsidTr="000A106D">
        <w:trPr>
          <w:cantSplit/>
        </w:trPr>
        <w:tc>
          <w:tcPr>
            <w:tcW w:w="750" w:type="pct"/>
          </w:tcPr>
          <w:p w14:paraId="184A8B4E" w14:textId="2032202E" w:rsidR="000A106D" w:rsidRDefault="000A106D" w:rsidP="000A106D">
            <w:pPr>
              <w:pStyle w:val="Tabletext"/>
              <w:rPr>
                <w:rFonts w:ascii="Calibri" w:hAnsi="Calibri" w:cs="Calibri"/>
                <w:sz w:val="20"/>
              </w:rPr>
            </w:pPr>
            <w:r>
              <w:rPr>
                <w:rFonts w:ascii="Calibri" w:hAnsi="Calibri" w:cs="Calibri"/>
                <w:sz w:val="20"/>
              </w:rPr>
              <w:t>PIAF</w:t>
            </w:r>
          </w:p>
        </w:tc>
        <w:tc>
          <w:tcPr>
            <w:tcW w:w="1050" w:type="pct"/>
          </w:tcPr>
          <w:p w14:paraId="7ECEFD2F" w14:textId="48EB1004" w:rsidR="000A106D" w:rsidRDefault="00873A53" w:rsidP="000A106D">
            <w:pPr>
              <w:pStyle w:val="Tabletext"/>
              <w:rPr>
                <w:rFonts w:ascii="Calibri" w:hAnsi="Calibri" w:cs="Calibri"/>
                <w:sz w:val="20"/>
              </w:rPr>
            </w:pPr>
            <w:r>
              <w:rPr>
                <w:rFonts w:ascii="Calibri" w:hAnsi="Calibri" w:cs="Calibri"/>
                <w:sz w:val="20"/>
              </w:rPr>
              <w:t>The rows of the Blend Component integration shall be saved in the VCB table of the IQDM database.</w:t>
            </w:r>
          </w:p>
        </w:tc>
        <w:tc>
          <w:tcPr>
            <w:tcW w:w="1750" w:type="pct"/>
          </w:tcPr>
          <w:p w14:paraId="65D3E9B6" w14:textId="25131014" w:rsidR="000A106D" w:rsidRDefault="00636937" w:rsidP="000A106D">
            <w:pPr>
              <w:pStyle w:val="Tabletext"/>
              <w:rPr>
                <w:rFonts w:ascii="Calibri" w:hAnsi="Calibri" w:cs="Calibri"/>
                <w:sz w:val="20"/>
              </w:rPr>
            </w:pPr>
            <w:r>
              <w:rPr>
                <w:rFonts w:ascii="Calibri" w:hAnsi="Calibri" w:cs="Calibri"/>
                <w:sz w:val="20"/>
              </w:rPr>
              <w:t>Inventory request service</w:t>
            </w:r>
          </w:p>
        </w:tc>
        <w:tc>
          <w:tcPr>
            <w:tcW w:w="1450" w:type="pct"/>
          </w:tcPr>
          <w:p w14:paraId="0DB9CBDA" w14:textId="304F3A87" w:rsidR="000A106D" w:rsidRDefault="00144FA3" w:rsidP="000A106D">
            <w:pPr>
              <w:pStyle w:val="Tabletext"/>
              <w:rPr>
                <w:rFonts w:ascii="Calibri" w:hAnsi="Calibri" w:cs="Calibri"/>
                <w:sz w:val="20"/>
              </w:rPr>
            </w:pPr>
            <w:r>
              <w:rPr>
                <w:rFonts w:ascii="Calibri" w:hAnsi="Calibri" w:cs="Calibri"/>
                <w:sz w:val="20"/>
              </w:rPr>
              <w:t xml:space="preserve">The rows shall be saved through the stored procedure of </w:t>
            </w:r>
            <w:r w:rsidR="00FC42E7">
              <w:rPr>
                <w:rFonts w:ascii="Calibri" w:hAnsi="Calibri" w:cs="Calibri"/>
                <w:sz w:val="20"/>
              </w:rPr>
              <w:t>the common integration pattern</w:t>
            </w:r>
            <w:r>
              <w:rPr>
                <w:rFonts w:ascii="Calibri" w:hAnsi="Calibri" w:cs="Calibri"/>
                <w:sz w:val="20"/>
              </w:rPr>
              <w:t xml:space="preserve"> (section </w:t>
            </w:r>
            <w:r w:rsidR="00FC42E7">
              <w:rPr>
                <w:rFonts w:ascii="Calibri" w:hAnsi="Calibri" w:cs="Calibri"/>
                <w:sz w:val="20"/>
              </w:rPr>
              <w:fldChar w:fldCharType="begin"/>
            </w:r>
            <w:r w:rsidR="00FC42E7">
              <w:rPr>
                <w:rFonts w:ascii="Calibri" w:hAnsi="Calibri" w:cs="Calibri"/>
                <w:sz w:val="20"/>
              </w:rPr>
              <w:instrText xml:space="preserve"> REF _Ref917260951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2.3.1.4</w:t>
            </w:r>
            <w:r w:rsidR="00FC42E7">
              <w:rPr>
                <w:rFonts w:ascii="Calibri" w:hAnsi="Calibri" w:cs="Calibri"/>
                <w:sz w:val="20"/>
              </w:rPr>
              <w:fldChar w:fldCharType="end"/>
            </w:r>
            <w:r>
              <w:rPr>
                <w:rFonts w:ascii="Calibri" w:hAnsi="Calibri" w:cs="Calibri"/>
                <w:sz w:val="20"/>
              </w:rPr>
              <w:t>).</w:t>
            </w:r>
          </w:p>
        </w:tc>
      </w:tr>
      <w:tr w:rsidR="000A106D" w:rsidRPr="00C63A98" w14:paraId="1E7F50DB" w14:textId="77777777" w:rsidTr="000A106D">
        <w:trPr>
          <w:cantSplit/>
        </w:trPr>
        <w:tc>
          <w:tcPr>
            <w:tcW w:w="750" w:type="pct"/>
          </w:tcPr>
          <w:p w14:paraId="7EB87EC2" w14:textId="154D9ABB" w:rsidR="000A106D" w:rsidRDefault="000A106D" w:rsidP="000A106D">
            <w:pPr>
              <w:pStyle w:val="Tabletext"/>
              <w:rPr>
                <w:rFonts w:ascii="Calibri" w:hAnsi="Calibri" w:cs="Calibri"/>
                <w:sz w:val="20"/>
              </w:rPr>
            </w:pPr>
            <w:r>
              <w:rPr>
                <w:rFonts w:ascii="Calibri" w:hAnsi="Calibri" w:cs="Calibri"/>
                <w:sz w:val="20"/>
              </w:rPr>
              <w:t>Kittyhawk</w:t>
            </w:r>
          </w:p>
        </w:tc>
        <w:tc>
          <w:tcPr>
            <w:tcW w:w="1050" w:type="pct"/>
          </w:tcPr>
          <w:p w14:paraId="06E3CCD8" w14:textId="4BCCC392" w:rsidR="000A106D" w:rsidRDefault="00873A53" w:rsidP="000A106D">
            <w:pPr>
              <w:pStyle w:val="Tabletext"/>
              <w:rPr>
                <w:rFonts w:ascii="Calibri" w:hAnsi="Calibri" w:cs="Calibri"/>
                <w:sz w:val="20"/>
              </w:rPr>
            </w:pPr>
            <w:r>
              <w:rPr>
                <w:rFonts w:ascii="Calibri" w:hAnsi="Calibri" w:cs="Calibri"/>
                <w:sz w:val="20"/>
              </w:rPr>
              <w:t>The movement request shall accept the transaction upload as a new movement type.</w:t>
            </w:r>
          </w:p>
        </w:tc>
        <w:tc>
          <w:tcPr>
            <w:tcW w:w="1750" w:type="pct"/>
          </w:tcPr>
          <w:p w14:paraId="6C363164" w14:textId="1453D8D9" w:rsidR="000A106D" w:rsidRDefault="00636937" w:rsidP="000A106D">
            <w:pPr>
              <w:pStyle w:val="Tabletext"/>
              <w:rPr>
                <w:rFonts w:ascii="Calibri" w:hAnsi="Calibri" w:cs="Calibri"/>
                <w:sz w:val="20"/>
              </w:rPr>
            </w:pPr>
            <w:r>
              <w:rPr>
                <w:rFonts w:ascii="Calibri" w:hAnsi="Calibri" w:cs="Calibri"/>
                <w:sz w:val="20"/>
              </w:rPr>
              <w:t>Movement request and response services</w:t>
            </w:r>
          </w:p>
        </w:tc>
        <w:tc>
          <w:tcPr>
            <w:tcW w:w="1450" w:type="pct"/>
          </w:tcPr>
          <w:p w14:paraId="7611A8A2" w14:textId="42B3612E" w:rsidR="000A106D" w:rsidRDefault="00144FA3" w:rsidP="000A106D">
            <w:pPr>
              <w:pStyle w:val="Tabletext"/>
              <w:rPr>
                <w:rFonts w:ascii="Calibri" w:hAnsi="Calibri" w:cs="Calibri"/>
                <w:sz w:val="20"/>
              </w:rPr>
            </w:pPr>
            <w:r>
              <w:rPr>
                <w:rFonts w:ascii="Calibri" w:hAnsi="Calibri" w:cs="Calibri"/>
                <w:sz w:val="20"/>
              </w:rPr>
              <w:t>The source shall be Kittyhawk, so the Kittyhawk checks and configuration entry of the platform shall be reused.</w:t>
            </w:r>
          </w:p>
        </w:tc>
      </w:tr>
      <w:tr w:rsidR="000A106D" w:rsidRPr="00C63A98" w14:paraId="650F874F" w14:textId="77777777" w:rsidTr="000A106D">
        <w:trPr>
          <w:cantSplit/>
        </w:trPr>
        <w:tc>
          <w:tcPr>
            <w:tcW w:w="750" w:type="pct"/>
          </w:tcPr>
          <w:p w14:paraId="6C4A4FB8" w14:textId="1FC6D0F8" w:rsidR="000A106D" w:rsidRDefault="000A106D" w:rsidP="000A106D">
            <w:pPr>
              <w:pStyle w:val="Tabletext"/>
              <w:rPr>
                <w:rFonts w:ascii="Calibri" w:hAnsi="Calibri" w:cs="Calibri"/>
                <w:sz w:val="20"/>
              </w:rPr>
            </w:pPr>
            <w:r>
              <w:rPr>
                <w:rFonts w:ascii="Calibri" w:hAnsi="Calibri" w:cs="Calibri"/>
                <w:sz w:val="20"/>
              </w:rPr>
              <w:t>Kittyhawk</w:t>
            </w:r>
          </w:p>
        </w:tc>
        <w:tc>
          <w:tcPr>
            <w:tcW w:w="1050" w:type="pct"/>
          </w:tcPr>
          <w:p w14:paraId="79E12633" w14:textId="68192F45" w:rsidR="000A106D" w:rsidRDefault="00873A53" w:rsidP="000A106D">
            <w:pPr>
              <w:pStyle w:val="Tabletext"/>
              <w:rPr>
                <w:rFonts w:ascii="Calibri" w:hAnsi="Calibri" w:cs="Calibri"/>
                <w:sz w:val="20"/>
              </w:rPr>
            </w:pPr>
            <w:r>
              <w:rPr>
                <w:rFonts w:ascii="Calibri" w:hAnsi="Calibri" w:cs="Calibri"/>
                <w:sz w:val="20"/>
              </w:rPr>
              <w:t>The movement request shall accept the state Actual.</w:t>
            </w:r>
          </w:p>
        </w:tc>
        <w:tc>
          <w:tcPr>
            <w:tcW w:w="1750" w:type="pct"/>
          </w:tcPr>
          <w:p w14:paraId="4D836325" w14:textId="639DCFA5" w:rsidR="000A106D" w:rsidRDefault="00636937" w:rsidP="000A106D">
            <w:pPr>
              <w:pStyle w:val="Tabletext"/>
              <w:rPr>
                <w:rFonts w:ascii="Calibri" w:hAnsi="Calibri" w:cs="Calibri"/>
                <w:sz w:val="20"/>
              </w:rPr>
            </w:pPr>
            <w:r>
              <w:rPr>
                <w:rFonts w:ascii="Calibri" w:hAnsi="Calibri" w:cs="Calibri"/>
                <w:sz w:val="20"/>
              </w:rPr>
              <w:t>Movement request service</w:t>
            </w:r>
          </w:p>
        </w:tc>
        <w:tc>
          <w:tcPr>
            <w:tcW w:w="1450" w:type="pct"/>
          </w:tcPr>
          <w:p w14:paraId="447F5C95" w14:textId="1959B2F5" w:rsidR="000A106D" w:rsidRDefault="00144FA3" w:rsidP="000A106D">
            <w:pPr>
              <w:pStyle w:val="Tabletext"/>
              <w:rPr>
                <w:rFonts w:ascii="Calibri" w:hAnsi="Calibri" w:cs="Calibri"/>
                <w:sz w:val="20"/>
              </w:rPr>
            </w:pPr>
            <w:r>
              <w:rPr>
                <w:rFonts w:ascii="Calibri" w:hAnsi="Calibri" w:cs="Calibri"/>
                <w:sz w:val="20"/>
              </w:rPr>
              <w:t>The transaction upload rows shall be actual movements.</w:t>
            </w:r>
          </w:p>
        </w:tc>
      </w:tr>
      <w:tr w:rsidR="000A106D" w:rsidRPr="00C63A98" w14:paraId="4921AD64" w14:textId="77777777" w:rsidTr="000A106D">
        <w:trPr>
          <w:cantSplit/>
        </w:trPr>
        <w:tc>
          <w:tcPr>
            <w:tcW w:w="750" w:type="pct"/>
          </w:tcPr>
          <w:p w14:paraId="3C523098" w14:textId="2C05B35D" w:rsidR="000A106D" w:rsidRDefault="000A106D" w:rsidP="000A106D">
            <w:pPr>
              <w:pStyle w:val="Tabletext"/>
              <w:rPr>
                <w:rFonts w:ascii="Calibri" w:hAnsi="Calibri" w:cs="Calibri"/>
                <w:sz w:val="20"/>
              </w:rPr>
            </w:pPr>
            <w:r>
              <w:rPr>
                <w:rFonts w:ascii="Calibri" w:hAnsi="Calibri" w:cs="Calibri"/>
                <w:sz w:val="20"/>
              </w:rPr>
              <w:t>Kittyhawk</w:t>
            </w:r>
          </w:p>
        </w:tc>
        <w:tc>
          <w:tcPr>
            <w:tcW w:w="1050" w:type="pct"/>
          </w:tcPr>
          <w:p w14:paraId="381F1E8C" w14:textId="2A1F581F" w:rsidR="000A106D" w:rsidRDefault="00873A53" w:rsidP="000A106D">
            <w:pPr>
              <w:pStyle w:val="Tabletext"/>
              <w:rPr>
                <w:rFonts w:ascii="Calibri" w:hAnsi="Calibri" w:cs="Calibri"/>
                <w:sz w:val="20"/>
              </w:rPr>
            </w:pPr>
            <w:r>
              <w:rPr>
                <w:rFonts w:ascii="Calibri" w:hAnsi="Calibri" w:cs="Calibri"/>
                <w:sz w:val="20"/>
              </w:rPr>
              <w:t>The movement response service shall read the transaction upload through the Kittyhawk OData service.</w:t>
            </w:r>
          </w:p>
        </w:tc>
        <w:tc>
          <w:tcPr>
            <w:tcW w:w="1750" w:type="pct"/>
          </w:tcPr>
          <w:p w14:paraId="1CE3A6D8" w14:textId="4419B4A8" w:rsidR="000A106D" w:rsidRDefault="00636937" w:rsidP="000A106D">
            <w:pPr>
              <w:pStyle w:val="Tabletext"/>
              <w:rPr>
                <w:rFonts w:ascii="Calibri" w:hAnsi="Calibri" w:cs="Calibri"/>
                <w:sz w:val="20"/>
              </w:rPr>
            </w:pPr>
            <w:r>
              <w:rPr>
                <w:rFonts w:ascii="Calibri" w:hAnsi="Calibri" w:cs="Calibri"/>
                <w:sz w:val="20"/>
              </w:rPr>
              <w:t>Movement response service</w:t>
            </w:r>
          </w:p>
        </w:tc>
        <w:tc>
          <w:tcPr>
            <w:tcW w:w="1450" w:type="pct"/>
          </w:tcPr>
          <w:p w14:paraId="648478F8" w14:textId="105748BF" w:rsidR="000A106D" w:rsidRDefault="00144FA3" w:rsidP="000A106D">
            <w:pPr>
              <w:pStyle w:val="Tabletext"/>
              <w:rPr>
                <w:rFonts w:ascii="Calibri" w:hAnsi="Calibri" w:cs="Calibri"/>
                <w:sz w:val="20"/>
              </w:rPr>
            </w:pPr>
            <w:r>
              <w:rPr>
                <w:rFonts w:ascii="Calibri" w:hAnsi="Calibri" w:cs="Calibri"/>
                <w:sz w:val="20"/>
              </w:rPr>
              <w:t>VCB shall read the transaction upload of Kittyhawk.</w:t>
            </w:r>
          </w:p>
        </w:tc>
      </w:tr>
      <w:tr w:rsidR="000A106D" w:rsidRPr="00C63A98" w14:paraId="016FBB5E" w14:textId="77777777" w:rsidTr="000A106D">
        <w:trPr>
          <w:cantSplit/>
        </w:trPr>
        <w:tc>
          <w:tcPr>
            <w:tcW w:w="750" w:type="pct"/>
          </w:tcPr>
          <w:p w14:paraId="2115BE0E" w14:textId="3673B999" w:rsidR="000A106D" w:rsidRDefault="000A106D" w:rsidP="000A106D">
            <w:pPr>
              <w:pStyle w:val="Tabletext"/>
              <w:rPr>
                <w:rFonts w:ascii="Calibri" w:hAnsi="Calibri" w:cs="Calibri"/>
                <w:sz w:val="20"/>
              </w:rPr>
            </w:pPr>
            <w:r>
              <w:rPr>
                <w:rFonts w:ascii="Calibri" w:hAnsi="Calibri" w:cs="Calibri"/>
                <w:sz w:val="20"/>
              </w:rPr>
              <w:t>Kittyhawk</w:t>
            </w:r>
          </w:p>
        </w:tc>
        <w:tc>
          <w:tcPr>
            <w:tcW w:w="1050" w:type="pct"/>
          </w:tcPr>
          <w:p w14:paraId="5A28DF73" w14:textId="44F2F387" w:rsidR="000A106D" w:rsidRDefault="00873A53" w:rsidP="000A106D">
            <w:pPr>
              <w:pStyle w:val="Tabletext"/>
              <w:rPr>
                <w:rFonts w:ascii="Calibri" w:hAnsi="Calibri" w:cs="Calibri"/>
                <w:sz w:val="20"/>
              </w:rPr>
            </w:pPr>
            <w:r>
              <w:rPr>
                <w:rFonts w:ascii="Calibri" w:hAnsi="Calibri" w:cs="Calibri"/>
                <w:sz w:val="20"/>
              </w:rPr>
              <w:t>The Blend Component Movement integration shall have its own integration name in the request header and the notifications.</w:t>
            </w:r>
          </w:p>
        </w:tc>
        <w:tc>
          <w:tcPr>
            <w:tcW w:w="1750" w:type="pct"/>
          </w:tcPr>
          <w:p w14:paraId="6D1119BD" w14:textId="4311D3C4" w:rsidR="000A106D" w:rsidRDefault="00636937" w:rsidP="000A106D">
            <w:pPr>
              <w:pStyle w:val="Tabletext"/>
              <w:rPr>
                <w:rFonts w:ascii="Calibri" w:hAnsi="Calibri" w:cs="Calibri"/>
                <w:sz w:val="20"/>
              </w:rPr>
            </w:pPr>
            <w:r>
              <w:rPr>
                <w:rFonts w:ascii="Calibri" w:hAnsi="Calibri" w:cs="Calibri"/>
                <w:sz w:val="20"/>
              </w:rPr>
              <w:t>Blend Component Movement trigger function</w:t>
            </w:r>
          </w:p>
        </w:tc>
        <w:tc>
          <w:tcPr>
            <w:tcW w:w="1450" w:type="pct"/>
          </w:tcPr>
          <w:p w14:paraId="44155521" w14:textId="3357D7CC" w:rsidR="000A106D" w:rsidRDefault="00FC42E7" w:rsidP="000A106D">
            <w:pPr>
              <w:pStyle w:val="Tabletext"/>
              <w:rPr>
                <w:rFonts w:ascii="Calibri" w:hAnsi="Calibri" w:cs="Calibri"/>
                <w:sz w:val="20"/>
              </w:rPr>
            </w:pPr>
            <w:r>
              <w:rPr>
                <w:rFonts w:ascii="Calibri" w:hAnsi="Calibri" w:cs="Calibri"/>
                <w:sz w:val="20"/>
              </w:rPr>
              <w:t>The integration name shall identify the integration in the logs and the notifications.</w:t>
            </w:r>
          </w:p>
        </w:tc>
      </w:tr>
      <w:tr w:rsidR="000A106D" w:rsidRPr="00C63A98" w14:paraId="118B96CA" w14:textId="77777777" w:rsidTr="000A106D">
        <w:trPr>
          <w:cantSplit/>
        </w:trPr>
        <w:tc>
          <w:tcPr>
            <w:tcW w:w="750" w:type="pct"/>
          </w:tcPr>
          <w:p w14:paraId="399912CB" w14:textId="332489E4" w:rsidR="000A106D" w:rsidRDefault="000A106D" w:rsidP="000A106D">
            <w:pPr>
              <w:pStyle w:val="Tabletext"/>
              <w:rPr>
                <w:rFonts w:ascii="Calibri" w:hAnsi="Calibri" w:cs="Calibri"/>
                <w:sz w:val="20"/>
              </w:rPr>
            </w:pPr>
            <w:r>
              <w:rPr>
                <w:rFonts w:ascii="Calibri" w:hAnsi="Calibri" w:cs="Calibri"/>
                <w:sz w:val="20"/>
              </w:rPr>
              <w:t>Kittyhawk</w:t>
            </w:r>
          </w:p>
        </w:tc>
        <w:tc>
          <w:tcPr>
            <w:tcW w:w="1050" w:type="pct"/>
          </w:tcPr>
          <w:p w14:paraId="4072C788" w14:textId="568FA23B" w:rsidR="000A106D" w:rsidRDefault="00873A53" w:rsidP="000A106D">
            <w:pPr>
              <w:pStyle w:val="Tabletext"/>
              <w:rPr>
                <w:rFonts w:ascii="Calibri" w:hAnsi="Calibri" w:cs="Calibri"/>
                <w:sz w:val="20"/>
              </w:rPr>
            </w:pPr>
            <w:r>
              <w:rPr>
                <w:rFonts w:ascii="Calibri" w:hAnsi="Calibri" w:cs="Calibri"/>
                <w:sz w:val="20"/>
              </w:rPr>
              <w:t xml:space="preserve">The Blend Component Movement trigger shall read its own configuration file (Table </w:t>
            </w:r>
            <w:r w:rsidR="00FC42E7">
              <w:rPr>
                <w:rFonts w:ascii="Calibri" w:hAnsi="Calibri" w:cs="Calibri"/>
                <w:sz w:val="20"/>
              </w:rPr>
              <w:fldChar w:fldCharType="begin"/>
            </w:r>
            <w:r w:rsidR="00FC42E7">
              <w:rPr>
                <w:rFonts w:ascii="Calibri" w:hAnsi="Calibri" w:cs="Calibri"/>
                <w:sz w:val="20"/>
              </w:rPr>
              <w:instrText xml:space="preserve"> REF _Ref917260933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2-33</w:t>
            </w:r>
            <w:r w:rsidR="00FC42E7">
              <w:rPr>
                <w:rFonts w:ascii="Calibri" w:hAnsi="Calibri" w:cs="Calibri"/>
                <w:sz w:val="20"/>
              </w:rPr>
              <w:fldChar w:fldCharType="end"/>
            </w:r>
            <w:r>
              <w:rPr>
                <w:rFonts w:ascii="Calibri" w:hAnsi="Calibri" w:cs="Calibri"/>
                <w:sz w:val="20"/>
              </w:rPr>
              <w:t>).</w:t>
            </w:r>
          </w:p>
        </w:tc>
        <w:tc>
          <w:tcPr>
            <w:tcW w:w="1750" w:type="pct"/>
          </w:tcPr>
          <w:p w14:paraId="0E5D7D08" w14:textId="547B61DC" w:rsidR="000A106D" w:rsidRDefault="00636937" w:rsidP="000A106D">
            <w:pPr>
              <w:pStyle w:val="Tabletext"/>
              <w:rPr>
                <w:rFonts w:ascii="Calibri" w:hAnsi="Calibri" w:cs="Calibri"/>
                <w:sz w:val="20"/>
              </w:rPr>
            </w:pPr>
            <w:r>
              <w:rPr>
                <w:rFonts w:ascii="Calibri" w:hAnsi="Calibri" w:cs="Calibri"/>
                <w:sz w:val="20"/>
              </w:rPr>
              <w:t>Blend Component Movement trigger function</w:t>
            </w:r>
          </w:p>
        </w:tc>
        <w:tc>
          <w:tcPr>
            <w:tcW w:w="1450" w:type="pct"/>
          </w:tcPr>
          <w:p w14:paraId="33926077" w14:textId="55853CE0" w:rsidR="000A106D" w:rsidRDefault="00144FA3" w:rsidP="000A106D">
            <w:pPr>
              <w:pStyle w:val="Tabletext"/>
              <w:rPr>
                <w:rFonts w:ascii="Calibri" w:hAnsi="Calibri" w:cs="Calibri"/>
                <w:sz w:val="20"/>
              </w:rPr>
            </w:pPr>
            <w:r>
              <w:rPr>
                <w:rFonts w:ascii="Calibri" w:hAnsi="Calibri" w:cs="Calibri"/>
                <w:sz w:val="20"/>
              </w:rPr>
              <w:t>The settings of the Blend Component Movement integration shall be kept apart from those of the other integrations.</w:t>
            </w:r>
          </w:p>
        </w:tc>
      </w:tr>
      <w:tr w:rsidR="000A106D" w:rsidRPr="00C63A98" w14:paraId="59E5AB0F" w14:textId="77777777" w:rsidTr="000A106D">
        <w:trPr>
          <w:cantSplit/>
        </w:trPr>
        <w:tc>
          <w:tcPr>
            <w:tcW w:w="750" w:type="pct"/>
          </w:tcPr>
          <w:p w14:paraId="7EEE0560" w14:textId="5AE04F24" w:rsidR="000A106D" w:rsidRDefault="000A106D" w:rsidP="000A106D">
            <w:pPr>
              <w:pStyle w:val="Tabletext"/>
              <w:rPr>
                <w:rFonts w:ascii="Calibri" w:hAnsi="Calibri" w:cs="Calibri"/>
                <w:sz w:val="20"/>
              </w:rPr>
            </w:pPr>
            <w:r>
              <w:rPr>
                <w:rFonts w:ascii="Calibri" w:hAnsi="Calibri" w:cs="Calibri"/>
                <w:sz w:val="20"/>
              </w:rPr>
              <w:t>Kittyhawk</w:t>
            </w:r>
          </w:p>
        </w:tc>
        <w:tc>
          <w:tcPr>
            <w:tcW w:w="1050" w:type="pct"/>
          </w:tcPr>
          <w:p w14:paraId="0C5128B1" w14:textId="7CEF0459" w:rsidR="000A106D" w:rsidRDefault="00873A53" w:rsidP="000A106D">
            <w:pPr>
              <w:pStyle w:val="Tabletext"/>
              <w:rPr>
                <w:rFonts w:ascii="Calibri" w:hAnsi="Calibri" w:cs="Calibri"/>
                <w:sz w:val="20"/>
              </w:rPr>
            </w:pPr>
            <w:r>
              <w:rPr>
                <w:rFonts w:ascii="Calibri" w:hAnsi="Calibri" w:cs="Calibri"/>
                <w:sz w:val="20"/>
              </w:rPr>
              <w:t xml:space="preserve">The run shall request the movement types listed in its configuration (Table </w:t>
            </w:r>
            <w:r w:rsidR="00FC42E7">
              <w:rPr>
                <w:rFonts w:ascii="Calibri" w:hAnsi="Calibri" w:cs="Calibri"/>
                <w:sz w:val="20"/>
              </w:rPr>
              <w:fldChar w:fldCharType="begin"/>
            </w:r>
            <w:r w:rsidR="00FC42E7">
              <w:rPr>
                <w:rFonts w:ascii="Calibri" w:hAnsi="Calibri" w:cs="Calibri"/>
                <w:sz w:val="20"/>
              </w:rPr>
              <w:instrText xml:space="preserve"> REF _Ref917260933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2-33</w:t>
            </w:r>
            <w:r w:rsidR="00FC42E7">
              <w:rPr>
                <w:rFonts w:ascii="Calibri" w:hAnsi="Calibri" w:cs="Calibri"/>
                <w:sz w:val="20"/>
              </w:rPr>
              <w:fldChar w:fldCharType="end"/>
            </w:r>
            <w:r>
              <w:rPr>
                <w:rFonts w:ascii="Calibri" w:hAnsi="Calibri" w:cs="Calibri"/>
                <w:sz w:val="20"/>
              </w:rPr>
              <w:t>).</w:t>
            </w:r>
          </w:p>
        </w:tc>
        <w:tc>
          <w:tcPr>
            <w:tcW w:w="1750" w:type="pct"/>
          </w:tcPr>
          <w:p w14:paraId="2092C8AC" w14:textId="748CFBF6" w:rsidR="000A106D" w:rsidRDefault="00636937" w:rsidP="000A106D">
            <w:pPr>
              <w:pStyle w:val="Tabletext"/>
              <w:rPr>
                <w:rFonts w:ascii="Calibri" w:hAnsi="Calibri" w:cs="Calibri"/>
                <w:sz w:val="20"/>
              </w:rPr>
            </w:pPr>
            <w:r>
              <w:rPr>
                <w:rFonts w:ascii="Calibri" w:hAnsi="Calibri" w:cs="Calibri"/>
                <w:sz w:val="20"/>
              </w:rPr>
              <w:t>Configuration file of the Blend Component Movement integration</w:t>
            </w:r>
          </w:p>
        </w:tc>
        <w:tc>
          <w:tcPr>
            <w:tcW w:w="1450" w:type="pct"/>
          </w:tcPr>
          <w:p w14:paraId="3A293511" w14:textId="0D0D69E0" w:rsidR="000A106D" w:rsidRDefault="00873A53" w:rsidP="000A106D">
            <w:pPr>
              <w:pStyle w:val="Tabletext"/>
              <w:rPr>
                <w:rFonts w:ascii="Calibri" w:hAnsi="Calibri" w:cs="Calibri"/>
                <w:sz w:val="20"/>
              </w:rPr>
            </w:pPr>
            <w:r>
              <w:rPr>
                <w:rFonts w:ascii="Calibri" w:hAnsi="Calibri" w:cs="Calibri"/>
                <w:sz w:val="20"/>
              </w:rPr>
              <w:t>A run without movement types shall be stopped.</w:t>
            </w:r>
          </w:p>
        </w:tc>
      </w:tr>
      <w:tr w:rsidR="000A106D" w:rsidRPr="00C63A98" w14:paraId="78BD2FFD" w14:textId="77777777" w:rsidTr="000A106D">
        <w:trPr>
          <w:cantSplit/>
        </w:trPr>
        <w:tc>
          <w:tcPr>
            <w:tcW w:w="750" w:type="pct"/>
          </w:tcPr>
          <w:p w14:paraId="52FA230B" w14:textId="0CE6F852" w:rsidR="000A106D" w:rsidRDefault="000A106D" w:rsidP="000A106D">
            <w:pPr>
              <w:pStyle w:val="Tabletext"/>
              <w:rPr>
                <w:rFonts w:ascii="Calibri" w:hAnsi="Calibri" w:cs="Calibri"/>
                <w:sz w:val="20"/>
              </w:rPr>
            </w:pPr>
            <w:r>
              <w:rPr>
                <w:rFonts w:ascii="Calibri" w:hAnsi="Calibri" w:cs="Calibri"/>
                <w:sz w:val="20"/>
              </w:rPr>
              <w:t>Kittyhawk</w:t>
            </w:r>
          </w:p>
        </w:tc>
        <w:tc>
          <w:tcPr>
            <w:tcW w:w="1050" w:type="pct"/>
          </w:tcPr>
          <w:p w14:paraId="611F31BD" w14:textId="33AB03CF" w:rsidR="000A106D" w:rsidRDefault="00873A53" w:rsidP="000A106D">
            <w:pPr>
              <w:pStyle w:val="Tabletext"/>
              <w:rPr>
                <w:rFonts w:ascii="Calibri" w:hAnsi="Calibri" w:cs="Calibri"/>
                <w:sz w:val="20"/>
              </w:rPr>
            </w:pPr>
            <w:r>
              <w:rPr>
                <w:rFonts w:ascii="Calibri" w:hAnsi="Calibri" w:cs="Calibri"/>
                <w:sz w:val="20"/>
              </w:rPr>
              <w:t>Transaction upload rows shall be checked for duplicates by their row identifier.</w:t>
            </w:r>
          </w:p>
        </w:tc>
        <w:tc>
          <w:tcPr>
            <w:tcW w:w="1750" w:type="pct"/>
          </w:tcPr>
          <w:p w14:paraId="04C40A36" w14:textId="783AF43E" w:rsidR="000A106D" w:rsidRDefault="00636937" w:rsidP="000A106D">
            <w:pPr>
              <w:pStyle w:val="Tabletext"/>
              <w:rPr>
                <w:rFonts w:ascii="Calibri" w:hAnsi="Calibri" w:cs="Calibri"/>
                <w:sz w:val="20"/>
              </w:rPr>
            </w:pPr>
            <w:r>
              <w:rPr>
                <w:rFonts w:ascii="Calibri" w:hAnsi="Calibri" w:cs="Calibri"/>
                <w:sz w:val="20"/>
              </w:rPr>
              <w:t>Movement request service</w:t>
            </w:r>
          </w:p>
        </w:tc>
        <w:tc>
          <w:tcPr>
            <w:tcW w:w="1450" w:type="pct"/>
          </w:tcPr>
          <w:p w14:paraId="6FC87854" w14:textId="628E31DF" w:rsidR="000A106D" w:rsidRDefault="004812A6" w:rsidP="000A106D">
            <w:pPr>
              <w:pStyle w:val="Tabletext"/>
              <w:rPr>
                <w:rFonts w:ascii="Calibri" w:hAnsi="Calibri" w:cs="Calibri"/>
                <w:sz w:val="20"/>
              </w:rPr>
            </w:pPr>
            <w:r>
              <w:rPr>
                <w:rFonts w:ascii="Calibri" w:hAnsi="Calibri" w:cs="Calibri"/>
                <w:sz w:val="20"/>
              </w:rPr>
              <w:t>Each transaction upload row shall carry an identifier. Within one response, all rows that share an identifier shall be left out, as in the common integration pattern.</w:t>
            </w:r>
          </w:p>
        </w:tc>
      </w:tr>
      <w:tr w:rsidR="000A106D" w:rsidRPr="00C63A98" w14:paraId="29F42093" w14:textId="77777777" w:rsidTr="000A106D">
        <w:trPr>
          <w:cantSplit/>
        </w:trPr>
        <w:tc>
          <w:tcPr>
            <w:tcW w:w="750" w:type="pct"/>
          </w:tcPr>
          <w:p w14:paraId="26CBA587" w14:textId="15925EA1" w:rsidR="000A106D" w:rsidRDefault="000A106D" w:rsidP="000A106D">
            <w:pPr>
              <w:pStyle w:val="Tabletext"/>
              <w:rPr>
                <w:rFonts w:ascii="Calibri" w:hAnsi="Calibri" w:cs="Calibri"/>
                <w:sz w:val="20"/>
              </w:rPr>
            </w:pPr>
            <w:r>
              <w:rPr>
                <w:rFonts w:ascii="Calibri" w:hAnsi="Calibri" w:cs="Calibri"/>
                <w:sz w:val="20"/>
              </w:rPr>
              <w:t>Kittyhawk</w:t>
            </w:r>
          </w:p>
        </w:tc>
        <w:tc>
          <w:tcPr>
            <w:tcW w:w="1050" w:type="pct"/>
          </w:tcPr>
          <w:p w14:paraId="6D99EB34" w14:textId="6E315DEA" w:rsidR="000A106D" w:rsidRDefault="00873A53" w:rsidP="000A106D">
            <w:pPr>
              <w:pStyle w:val="Tabletext"/>
              <w:rPr>
                <w:rFonts w:ascii="Calibri" w:hAnsi="Calibri" w:cs="Calibri"/>
                <w:sz w:val="20"/>
              </w:rPr>
            </w:pPr>
            <w:r>
              <w:rPr>
                <w:rFonts w:ascii="Calibri" w:hAnsi="Calibri" w:cs="Calibri"/>
                <w:sz w:val="20"/>
              </w:rPr>
              <w:t>The rows of the Blend Component Movement integration shall be saved in the VCB table of the IQDM database.</w:t>
            </w:r>
          </w:p>
        </w:tc>
        <w:tc>
          <w:tcPr>
            <w:tcW w:w="1750" w:type="pct"/>
          </w:tcPr>
          <w:p w14:paraId="44E12ED0" w14:textId="1DD2ACC8" w:rsidR="000A106D" w:rsidRDefault="00636937" w:rsidP="000A106D">
            <w:pPr>
              <w:pStyle w:val="Tabletext"/>
              <w:rPr>
                <w:rFonts w:ascii="Calibri" w:hAnsi="Calibri" w:cs="Calibri"/>
                <w:sz w:val="20"/>
              </w:rPr>
            </w:pPr>
            <w:r>
              <w:rPr>
                <w:rFonts w:ascii="Calibri" w:hAnsi="Calibri" w:cs="Calibri"/>
                <w:sz w:val="20"/>
              </w:rPr>
              <w:t>Movement request service</w:t>
            </w:r>
          </w:p>
        </w:tc>
        <w:tc>
          <w:tcPr>
            <w:tcW w:w="1450" w:type="pct"/>
          </w:tcPr>
          <w:p w14:paraId="0DCDC465" w14:textId="2608241A" w:rsidR="000A106D" w:rsidRDefault="00144FA3" w:rsidP="000A106D">
            <w:pPr>
              <w:pStyle w:val="Tabletext"/>
              <w:rPr>
                <w:rFonts w:ascii="Calibri" w:hAnsi="Calibri" w:cs="Calibri"/>
                <w:sz w:val="20"/>
              </w:rPr>
            </w:pPr>
            <w:r>
              <w:rPr>
                <w:rFonts w:ascii="Calibri" w:hAnsi="Calibri" w:cs="Calibri"/>
                <w:sz w:val="20"/>
              </w:rPr>
              <w:t xml:space="preserve">The rows shall be saved through the stored procedure of </w:t>
            </w:r>
            <w:r w:rsidR="00FC42E7">
              <w:rPr>
                <w:rFonts w:ascii="Calibri" w:hAnsi="Calibri" w:cs="Calibri"/>
                <w:sz w:val="20"/>
              </w:rPr>
              <w:t>the common integration pattern</w:t>
            </w:r>
            <w:r>
              <w:rPr>
                <w:rFonts w:ascii="Calibri" w:hAnsi="Calibri" w:cs="Calibri"/>
                <w:sz w:val="20"/>
              </w:rPr>
              <w:t xml:space="preserve"> (section </w:t>
            </w:r>
            <w:r w:rsidR="00FC42E7">
              <w:rPr>
                <w:rFonts w:ascii="Calibri" w:hAnsi="Calibri" w:cs="Calibri"/>
                <w:sz w:val="20"/>
              </w:rPr>
              <w:fldChar w:fldCharType="begin"/>
            </w:r>
            <w:r w:rsidR="00FC42E7">
              <w:rPr>
                <w:rFonts w:ascii="Calibri" w:hAnsi="Calibri" w:cs="Calibri"/>
                <w:sz w:val="20"/>
              </w:rPr>
              <w:instrText xml:space="preserve"> REF _Ref917260951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2.3.1.4</w:t>
            </w:r>
            <w:r w:rsidR="00FC42E7">
              <w:rPr>
                <w:rFonts w:ascii="Calibri" w:hAnsi="Calibri" w:cs="Calibri"/>
                <w:sz w:val="20"/>
              </w:rPr>
              <w:fldChar w:fldCharType="end"/>
            </w:r>
            <w:r>
              <w:rPr>
                <w:rFonts w:ascii="Calibri" w:hAnsi="Calibri" w:cs="Calibri"/>
                <w:sz w:val="20"/>
              </w:rPr>
              <w:t>).</w:t>
            </w:r>
          </w:p>
        </w:tc>
      </w:tr>
      <w:tr w:rsidR="000A106D" w:rsidRPr="00C63A98" w14:paraId="7C6E20FE" w14:textId="77777777" w:rsidTr="000A106D">
        <w:trPr>
          <w:cantSplit/>
        </w:trPr>
        <w:tc>
          <w:tcPr>
            <w:tcW w:w="750" w:type="pct"/>
          </w:tcPr>
          <w:p w14:paraId="1521A5D3" w14:textId="27F4AC6E" w:rsidR="000A106D" w:rsidRDefault="000A106D" w:rsidP="000A106D">
            <w:pPr>
              <w:pStyle w:val="Tabletext"/>
              <w:rPr>
                <w:rFonts w:ascii="Calibri" w:hAnsi="Calibri" w:cs="Calibri"/>
                <w:sz w:val="20"/>
              </w:rPr>
            </w:pPr>
            <w:r>
              <w:rPr>
                <w:rFonts w:ascii="Calibri" w:hAnsi="Calibri" w:cs="Calibri"/>
                <w:sz w:val="20"/>
              </w:rPr>
              <w:t>PIAF and Kittyhawk</w:t>
            </w:r>
          </w:p>
        </w:tc>
        <w:tc>
          <w:tcPr>
            <w:tcW w:w="1050" w:type="pct"/>
          </w:tcPr>
          <w:p w14:paraId="46E33C62" w14:textId="50EBAE37" w:rsidR="000A106D" w:rsidRDefault="00873A53" w:rsidP="000A106D">
            <w:pPr>
              <w:pStyle w:val="Tabletext"/>
              <w:rPr>
                <w:rFonts w:ascii="Calibri" w:hAnsi="Calibri" w:cs="Calibri"/>
                <w:sz w:val="20"/>
              </w:rPr>
            </w:pPr>
            <w:r>
              <w:rPr>
                <w:rFonts w:ascii="Calibri" w:hAnsi="Calibri" w:cs="Calibri"/>
                <w:sz w:val="20"/>
              </w:rPr>
              <w:t>Each integration shall have its own timer trigger and schedule.</w:t>
            </w:r>
          </w:p>
        </w:tc>
        <w:tc>
          <w:tcPr>
            <w:tcW w:w="1750" w:type="pct"/>
          </w:tcPr>
          <w:p w14:paraId="1690664D" w14:textId="2659F42F" w:rsidR="000A106D" w:rsidRDefault="00636937" w:rsidP="000A106D">
            <w:pPr>
              <w:pStyle w:val="Tabletext"/>
              <w:rPr>
                <w:rFonts w:ascii="Calibri" w:hAnsi="Calibri" w:cs="Calibri"/>
                <w:sz w:val="20"/>
              </w:rPr>
            </w:pPr>
            <w:r>
              <w:rPr>
                <w:rFonts w:ascii="Calibri" w:hAnsi="Calibri" w:cs="Calibri"/>
                <w:sz w:val="20"/>
              </w:rPr>
              <w:t>Function apps of the platform</w:t>
            </w:r>
          </w:p>
        </w:tc>
        <w:tc>
          <w:tcPr>
            <w:tcW w:w="1450" w:type="pct"/>
          </w:tcPr>
          <w:p w14:paraId="3CB164A0" w14:textId="2AB03687" w:rsidR="000A106D" w:rsidRDefault="00873A53" w:rsidP="000A106D">
            <w:pPr>
              <w:pStyle w:val="Tabletext"/>
              <w:rPr>
                <w:rFonts w:ascii="Calibri" w:hAnsi="Calibri" w:cs="Calibri"/>
                <w:sz w:val="20"/>
              </w:rPr>
            </w:pPr>
            <w:r>
              <w:rPr>
                <w:rFonts w:ascii="Calibri" w:hAnsi="Calibri" w:cs="Calibri"/>
                <w:sz w:val="20"/>
              </w:rPr>
              <w:t>PIAF and Kittyhawk shall run every day</w:t>
            </w:r>
            <w:r w:rsidR="00636937">
              <w:rPr>
                <w:rFonts w:ascii="Calibri" w:hAnsi="Calibri" w:cs="Calibri"/>
                <w:sz w:val="20"/>
              </w:rPr>
              <w:t xml:space="preserve"> at a specified time (Tables </w:t>
            </w:r>
            <w:r w:rsidR="00FC42E7">
              <w:rPr>
                <w:rFonts w:ascii="Calibri" w:hAnsi="Calibri" w:cs="Calibri"/>
                <w:sz w:val="20"/>
              </w:rPr>
              <w:fldChar w:fldCharType="begin"/>
            </w:r>
            <w:r w:rsidR="00FC42E7">
              <w:rPr>
                <w:rFonts w:ascii="Calibri" w:hAnsi="Calibri" w:cs="Calibri"/>
                <w:sz w:val="20"/>
              </w:rPr>
              <w:instrText xml:space="preserve"> REF _Ref917260930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2-17</w:t>
            </w:r>
            <w:r w:rsidR="00FC42E7">
              <w:rPr>
                <w:rFonts w:ascii="Calibri" w:hAnsi="Calibri" w:cs="Calibri"/>
                <w:sz w:val="20"/>
              </w:rPr>
              <w:fldChar w:fldCharType="end"/>
            </w:r>
            <w:r w:rsidR="00636937">
              <w:rPr>
                <w:rFonts w:ascii="Calibri" w:hAnsi="Calibri" w:cs="Calibri"/>
                <w:sz w:val="20"/>
              </w:rPr>
              <w:t xml:space="preserve"> and </w:t>
            </w:r>
            <w:r w:rsidR="00FC42E7">
              <w:rPr>
                <w:rFonts w:ascii="Calibri" w:hAnsi="Calibri" w:cs="Calibri"/>
                <w:sz w:val="20"/>
              </w:rPr>
              <w:fldChar w:fldCharType="begin"/>
            </w:r>
            <w:r w:rsidR="00FC42E7">
              <w:rPr>
                <w:rFonts w:ascii="Calibri" w:hAnsi="Calibri" w:cs="Calibri"/>
                <w:sz w:val="20"/>
              </w:rPr>
              <w:instrText xml:space="preserve"> REF _Ref917260933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2-33</w:t>
            </w:r>
            <w:r w:rsidR="00FC42E7">
              <w:rPr>
                <w:rFonts w:ascii="Calibri" w:hAnsi="Calibri" w:cs="Calibri"/>
                <w:sz w:val="20"/>
              </w:rPr>
              <w:fldChar w:fldCharType="end"/>
            </w:r>
            <w:r w:rsidR="00636937">
              <w:rPr>
                <w:rFonts w:ascii="Calibri" w:hAnsi="Calibri" w:cs="Calibri"/>
                <w:sz w:val="20"/>
              </w:rPr>
              <w:t>).</w:t>
            </w:r>
          </w:p>
        </w:tc>
      </w:tr>
      <w:tr w:rsidR="000A106D" w:rsidRPr="00C63A98" w14:paraId="4873DFCF" w14:textId="77777777" w:rsidTr="000A106D">
        <w:trPr>
          <w:cantSplit/>
        </w:trPr>
        <w:tc>
          <w:tcPr>
            <w:tcW w:w="750" w:type="pct"/>
          </w:tcPr>
          <w:p w14:paraId="4BB5E4FE" w14:textId="205DD168" w:rsidR="000A106D" w:rsidRDefault="000A106D" w:rsidP="000A106D">
            <w:pPr>
              <w:pStyle w:val="Tabletext"/>
              <w:rPr>
                <w:rFonts w:ascii="Calibri" w:hAnsi="Calibri" w:cs="Calibri"/>
                <w:sz w:val="20"/>
              </w:rPr>
            </w:pPr>
            <w:r>
              <w:rPr>
                <w:rFonts w:ascii="Calibri" w:hAnsi="Calibri" w:cs="Calibri"/>
                <w:sz w:val="20"/>
              </w:rPr>
              <w:t>PIAF and Kittyhawk</w:t>
            </w:r>
          </w:p>
        </w:tc>
        <w:tc>
          <w:tcPr>
            <w:tcW w:w="1050" w:type="pct"/>
          </w:tcPr>
          <w:p w14:paraId="1C1EB460" w14:textId="695818D9" w:rsidR="000A106D" w:rsidRDefault="00873A53" w:rsidP="000A106D">
            <w:pPr>
              <w:pStyle w:val="Tabletext"/>
              <w:rPr>
                <w:rFonts w:ascii="Calibri" w:hAnsi="Calibri" w:cs="Calibri"/>
                <w:sz w:val="20"/>
              </w:rPr>
            </w:pPr>
            <w:r>
              <w:rPr>
                <w:rFonts w:ascii="Calibri" w:hAnsi="Calibri" w:cs="Calibri"/>
                <w:sz w:val="20"/>
              </w:rPr>
              <w:t xml:space="preserve">Each integration shall have its own durable functions and session queues, and its requests shall reach only these (Tables </w:t>
            </w:r>
            <w:r w:rsidR="00FC42E7">
              <w:rPr>
                <w:rFonts w:ascii="Calibri" w:hAnsi="Calibri" w:cs="Calibri"/>
                <w:sz w:val="20"/>
              </w:rPr>
              <w:fldChar w:fldCharType="begin"/>
            </w:r>
            <w:r w:rsidR="00FC42E7">
              <w:rPr>
                <w:rFonts w:ascii="Calibri" w:hAnsi="Calibri" w:cs="Calibri"/>
                <w:sz w:val="20"/>
              </w:rPr>
              <w:instrText xml:space="preserve"> REF _Ref917260962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2-7</w:t>
            </w:r>
            <w:r w:rsidR="00FC42E7">
              <w:rPr>
                <w:rFonts w:ascii="Calibri" w:hAnsi="Calibri" w:cs="Calibri"/>
                <w:sz w:val="20"/>
              </w:rPr>
              <w:fldChar w:fldCharType="end"/>
            </w:r>
            <w:r>
              <w:rPr>
                <w:rFonts w:ascii="Calibri" w:hAnsi="Calibri" w:cs="Calibri"/>
                <w:sz w:val="20"/>
              </w:rPr>
              <w:t xml:space="preserve">, </w:t>
            </w:r>
            <w:r w:rsidR="00FC42E7">
              <w:rPr>
                <w:rFonts w:ascii="Calibri" w:hAnsi="Calibri" w:cs="Calibri"/>
                <w:sz w:val="20"/>
              </w:rPr>
              <w:fldChar w:fldCharType="begin"/>
            </w:r>
            <w:r w:rsidR="00FC42E7">
              <w:rPr>
                <w:rFonts w:ascii="Calibri" w:hAnsi="Calibri" w:cs="Calibri"/>
                <w:sz w:val="20"/>
              </w:rPr>
              <w:instrText xml:space="preserve"> REF _Ref917260963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2-8</w:t>
            </w:r>
            <w:r w:rsidR="00FC42E7">
              <w:rPr>
                <w:rFonts w:ascii="Calibri" w:hAnsi="Calibri" w:cs="Calibri"/>
                <w:sz w:val="20"/>
              </w:rPr>
              <w:fldChar w:fldCharType="end"/>
            </w:r>
            <w:r>
              <w:rPr>
                <w:rFonts w:ascii="Calibri" w:hAnsi="Calibri" w:cs="Calibri"/>
                <w:sz w:val="20"/>
              </w:rPr>
              <w:t xml:space="preserve">, </w:t>
            </w:r>
            <w:r w:rsidR="00FC42E7">
              <w:rPr>
                <w:rFonts w:ascii="Calibri" w:hAnsi="Calibri" w:cs="Calibri"/>
                <w:sz w:val="20"/>
              </w:rPr>
              <w:fldChar w:fldCharType="begin"/>
            </w:r>
            <w:r w:rsidR="00FC42E7">
              <w:rPr>
                <w:rFonts w:ascii="Calibri" w:hAnsi="Calibri" w:cs="Calibri"/>
                <w:sz w:val="20"/>
              </w:rPr>
              <w:instrText xml:space="preserve"> REF _Ref917260929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2-10</w:t>
            </w:r>
            <w:r w:rsidR="00FC42E7">
              <w:rPr>
                <w:rFonts w:ascii="Calibri" w:hAnsi="Calibri" w:cs="Calibri"/>
                <w:sz w:val="20"/>
              </w:rPr>
              <w:fldChar w:fldCharType="end"/>
            </w:r>
            <w:r>
              <w:rPr>
                <w:rFonts w:ascii="Calibri" w:hAnsi="Calibri" w:cs="Calibri"/>
                <w:sz w:val="20"/>
              </w:rPr>
              <w:t xml:space="preserve"> and </w:t>
            </w:r>
            <w:r w:rsidR="00FC42E7">
              <w:rPr>
                <w:rFonts w:ascii="Calibri" w:hAnsi="Calibri" w:cs="Calibri"/>
                <w:sz w:val="20"/>
              </w:rPr>
              <w:fldChar w:fldCharType="begin"/>
            </w:r>
            <w:r w:rsidR="00FC42E7">
              <w:rPr>
                <w:rFonts w:ascii="Calibri" w:hAnsi="Calibri" w:cs="Calibri"/>
                <w:sz w:val="20"/>
              </w:rPr>
              <w:instrText xml:space="preserve"> REF _Ref917260932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2-27</w:t>
            </w:r>
            <w:r w:rsidR="00FC42E7">
              <w:rPr>
                <w:rFonts w:ascii="Calibri" w:hAnsi="Calibri" w:cs="Calibri"/>
                <w:sz w:val="20"/>
              </w:rPr>
              <w:fldChar w:fldCharType="end"/>
            </w:r>
            <w:r>
              <w:rPr>
                <w:rFonts w:ascii="Calibri" w:hAnsi="Calibri" w:cs="Calibri"/>
                <w:sz w:val="20"/>
              </w:rPr>
              <w:t>).</w:t>
            </w:r>
          </w:p>
        </w:tc>
        <w:tc>
          <w:tcPr>
            <w:tcW w:w="1750" w:type="pct"/>
          </w:tcPr>
          <w:p w14:paraId="60FA8105" w14:textId="1CBF55FB" w:rsidR="000A106D" w:rsidRDefault="00636937" w:rsidP="000A106D">
            <w:pPr>
              <w:pStyle w:val="Tabletext"/>
              <w:rPr>
                <w:rFonts w:ascii="Calibri" w:hAnsi="Calibri" w:cs="Calibri"/>
                <w:sz w:val="20"/>
              </w:rPr>
            </w:pPr>
            <w:r>
              <w:rPr>
                <w:rFonts w:ascii="Calibri" w:hAnsi="Calibri" w:cs="Calibri"/>
                <w:sz w:val="20"/>
              </w:rPr>
              <w:t>Request service and durable functions of each integration</w:t>
            </w:r>
          </w:p>
        </w:tc>
        <w:tc>
          <w:tcPr>
            <w:tcW w:w="1450" w:type="pct"/>
          </w:tcPr>
          <w:p w14:paraId="053474DC" w14:textId="452F7FC9" w:rsidR="000A106D" w:rsidRDefault="00873A53" w:rsidP="000A106D">
            <w:pPr>
              <w:pStyle w:val="Tabletext"/>
              <w:rPr>
                <w:rFonts w:ascii="Calibri" w:hAnsi="Calibri" w:cs="Calibri"/>
                <w:sz w:val="20"/>
              </w:rPr>
            </w:pPr>
            <w:r>
              <w:rPr>
                <w:rFonts w:ascii="Calibri" w:hAnsi="Calibri" w:cs="Calibri"/>
                <w:sz w:val="20"/>
              </w:rPr>
              <w:t>A failure in one integration shall not stop the others.</w:t>
            </w:r>
          </w:p>
        </w:tc>
      </w:tr>
      <w:tr w:rsidR="00B63412" w:rsidRPr="00C63A98" w14:paraId="66BCCBB0" w14:textId="77777777" w:rsidTr="000A106D">
        <w:trPr>
          <w:cantSplit/>
        </w:trPr>
        <w:tc>
          <w:tcPr>
            <w:tcW w:w="750" w:type="pct"/>
          </w:tcPr>
          <w:p w14:paraId="318FB768" w14:textId="5CA4DCA0" w:rsidR="00B63412" w:rsidRDefault="00FC42E7" w:rsidP="000A106D">
            <w:pPr>
              <w:pStyle w:val="Tabletext"/>
              <w:rPr>
                <w:rFonts w:ascii="Calibri" w:hAnsi="Calibri" w:cs="Calibri"/>
                <w:sz w:val="20"/>
              </w:rPr>
            </w:pPr>
            <w:r>
              <w:rPr>
                <w:rFonts w:ascii="Calibri" w:hAnsi="Calibri" w:cs="Calibri"/>
                <w:sz w:val="20"/>
              </w:rPr>
              <w:t>Profisee Data Mapping</w:t>
            </w:r>
          </w:p>
        </w:tc>
        <w:tc>
          <w:tcPr>
            <w:tcW w:w="1050" w:type="pct"/>
          </w:tcPr>
          <w:p w14:paraId="717BEBD1" w14:textId="40263BF6" w:rsidR="00B63412" w:rsidRDefault="00FC42E7" w:rsidP="000A106D">
            <w:pPr>
              <w:pStyle w:val="Tabletext"/>
              <w:rPr>
                <w:rFonts w:ascii="Calibri" w:hAnsi="Calibri" w:cs="Calibri"/>
                <w:sz w:val="20"/>
              </w:rPr>
            </w:pPr>
            <w:r>
              <w:rPr>
                <w:rFonts w:ascii="Calibri" w:hAnsi="Calibri" w:cs="Calibri"/>
                <w:sz w:val="20"/>
              </w:rPr>
              <w:t>The Profisee Data Mapping trigger, request and response services, durable functions and queues shall be added, with a timer and an ad hoc start from the Core Capabilities UI.</w:t>
            </w:r>
          </w:p>
        </w:tc>
        <w:tc>
          <w:tcPr>
            <w:tcW w:w="1750" w:type="pct"/>
          </w:tcPr>
          <w:p w14:paraId="3A12A55D" w14:textId="2343A6EA" w:rsidR="00B63412" w:rsidRDefault="00B63412" w:rsidP="000A106D">
            <w:pPr>
              <w:pStyle w:val="Tabletext"/>
              <w:rPr>
                <w:rFonts w:ascii="Calibri" w:hAnsi="Calibri" w:cs="Calibri"/>
                <w:sz w:val="20"/>
              </w:rPr>
            </w:pPr>
            <w:r>
              <w:rPr>
                <w:rFonts w:ascii="Calibri" w:hAnsi="Calibri" w:cs="Calibri"/>
                <w:sz w:val="20"/>
              </w:rPr>
              <w:t>CIP Quality domain API and the function app of the Quality domain</w:t>
            </w:r>
          </w:p>
        </w:tc>
        <w:tc>
          <w:tcPr>
            <w:tcW w:w="1450" w:type="pct"/>
          </w:tcPr>
          <w:p w14:paraId="785EC51C" w14:textId="249F49D0" w:rsidR="00B63412" w:rsidRDefault="00687F84" w:rsidP="000A106D">
            <w:pPr>
              <w:pStyle w:val="Tabletext"/>
              <w:rPr>
                <w:rFonts w:ascii="Calibri" w:hAnsi="Calibri" w:cs="Calibri"/>
                <w:sz w:val="20"/>
              </w:rPr>
            </w:pPr>
            <w:r>
              <w:rPr>
                <w:rFonts w:ascii="Calibri" w:hAnsi="Calibri" w:cs="Calibri"/>
                <w:sz w:val="20"/>
              </w:rPr>
              <w:t xml:space="preserve">The Terminals Specsheet Master Data shall be kept up to date in the IQDM database (section </w:t>
            </w:r>
            <w:r w:rsidR="00FC42E7">
              <w:rPr>
                <w:rFonts w:ascii="Calibri" w:hAnsi="Calibri" w:cs="Calibri"/>
                <w:sz w:val="20"/>
              </w:rPr>
              <w:fldChar w:fldCharType="begin"/>
            </w:r>
            <w:r w:rsidR="00FC42E7">
              <w:rPr>
                <w:rFonts w:ascii="Calibri" w:hAnsi="Calibri" w:cs="Calibri"/>
                <w:sz w:val="20"/>
              </w:rPr>
              <w:instrText xml:space="preserve"> REF _Ref917260916 \w \h \* MERGEFORMAT </w:instrText>
            </w:r>
            <w:r w:rsidR="00FC42E7">
              <w:rPr>
                <w:rFonts w:ascii="Calibri" w:hAnsi="Calibri" w:cs="Calibri"/>
                <w:sz w:val="20"/>
              </w:rPr>
            </w:r>
            <w:r w:rsidR="00FC42E7">
              <w:rPr>
                <w:rFonts w:ascii="Calibri" w:hAnsi="Calibri" w:cs="Calibri"/>
                <w:sz w:val="20"/>
              </w:rPr>
              <w:fldChar w:fldCharType="separate"/>
            </w:r>
            <w:r w:rsidR="00FC42E7" w:rsidRPr="00FC42E7">
              <w:rPr>
                <w:rFonts w:ascii="Calibri" w:hAnsi="Calibri" w:cs="Calibri"/>
                <w:color w:val="0563C1"/>
                <w:sz w:val="20"/>
                <w:u w:val="single"/>
              </w:rPr>
              <w:t>2.3.3.5.2</w:t>
            </w:r>
            <w:r w:rsidR="00FC42E7">
              <w:rPr>
                <w:rFonts w:ascii="Calibri" w:hAnsi="Calibri" w:cs="Calibri"/>
                <w:sz w:val="20"/>
              </w:rPr>
              <w:fldChar w:fldCharType="end"/>
            </w:r>
            <w:r>
              <w:rPr>
                <w:rFonts w:ascii="Calibri" w:hAnsi="Calibri" w:cs="Calibri"/>
                <w:sz w:val="20"/>
              </w:rPr>
              <w:t>).</w:t>
            </w:r>
          </w:p>
        </w:tc>
      </w:tr>
      <w:tr w:rsidR="000A106D" w:rsidRPr="00C63A98" w14:paraId="12CA2A29" w14:textId="77777777" w:rsidTr="000A106D">
        <w:trPr>
          <w:cantSplit/>
        </w:trPr>
        <w:tc>
          <w:tcPr>
            <w:tcW w:w="750" w:type="pct"/>
          </w:tcPr>
          <w:p w14:paraId="12765602" w14:textId="70C0101A" w:rsidR="000A106D" w:rsidRDefault="000A106D" w:rsidP="000A106D">
            <w:pPr>
              <w:pStyle w:val="Tabletext"/>
              <w:rPr>
                <w:rFonts w:ascii="Calibri" w:hAnsi="Calibri" w:cs="Calibri"/>
                <w:sz w:val="20"/>
              </w:rPr>
            </w:pPr>
            <w:r>
              <w:rPr>
                <w:rFonts w:ascii="Calibri" w:hAnsi="Calibri" w:cs="Calibri"/>
                <w:sz w:val="20"/>
              </w:rPr>
              <w:t>Pricing</w:t>
            </w:r>
          </w:p>
        </w:tc>
        <w:tc>
          <w:tcPr>
            <w:tcW w:w="1050" w:type="pct"/>
          </w:tcPr>
          <w:p w14:paraId="60CE4CD0" w14:textId="7B728DA4" w:rsidR="000A106D" w:rsidRDefault="00873A53" w:rsidP="000A106D">
            <w:pPr>
              <w:pStyle w:val="Tabletext"/>
              <w:rPr>
                <w:rFonts w:ascii="Calibri" w:hAnsi="Calibri" w:cs="Calibri"/>
                <w:sz w:val="20"/>
              </w:rPr>
            </w:pPr>
            <w:r>
              <w:rPr>
                <w:rFonts w:ascii="Calibri" w:hAnsi="Calibri" w:cs="Calibri"/>
                <w:sz w:val="20"/>
              </w:rPr>
              <w:t xml:space="preserve">The Cost API shall offer a Price Request Service and a Price Response Service, </w:t>
            </w:r>
            <w:r w:rsidR="00FC42E7">
              <w:rPr>
                <w:rFonts w:ascii="Calibri" w:hAnsi="Calibri" w:cs="Calibri"/>
                <w:sz w:val="20"/>
              </w:rPr>
              <w:t>with their own durable functions and queues, built on the common integration pattern.</w:t>
            </w:r>
          </w:p>
        </w:tc>
        <w:tc>
          <w:tcPr>
            <w:tcW w:w="1750" w:type="pct"/>
          </w:tcPr>
          <w:p w14:paraId="6565A958" w14:textId="00812C7B" w:rsidR="000A106D" w:rsidRDefault="00636937" w:rsidP="000A106D">
            <w:pPr>
              <w:pStyle w:val="Tabletext"/>
              <w:rPr>
                <w:rFonts w:ascii="Calibri" w:hAnsi="Calibri" w:cs="Calibri"/>
                <w:sz w:val="20"/>
              </w:rPr>
            </w:pPr>
            <w:r>
              <w:rPr>
                <w:rFonts w:ascii="Calibri" w:hAnsi="Calibri" w:cs="Calibri"/>
                <w:sz w:val="20"/>
              </w:rPr>
              <w:t>Cost API and the function app of the Cost domain</w:t>
            </w:r>
          </w:p>
        </w:tc>
        <w:tc>
          <w:tcPr>
            <w:tcW w:w="1450" w:type="pct"/>
          </w:tcPr>
          <w:p w14:paraId="081E7063" w14:textId="19798D60" w:rsidR="000A106D" w:rsidRDefault="00144FA3" w:rsidP="000A106D">
            <w:pPr>
              <w:pStyle w:val="Tabletext"/>
              <w:rPr>
                <w:rFonts w:ascii="Calibri" w:hAnsi="Calibri" w:cs="Calibri"/>
                <w:sz w:val="20"/>
              </w:rPr>
            </w:pPr>
            <w:r>
              <w:rPr>
                <w:rFonts w:ascii="Calibri" w:hAnsi="Calibri" w:cs="Calibri"/>
                <w:sz w:val="20"/>
              </w:rPr>
              <w:t>The dashboards shall get the actual settled prices on demand through the Cost API.</w:t>
            </w:r>
          </w:p>
        </w:tc>
      </w:tr>
      <w:tr w:rsidR="000A106D" w:rsidRPr="00C63A98" w14:paraId="5FDFDD5B" w14:textId="77777777" w:rsidTr="000A106D">
        <w:trPr>
          <w:cantSplit/>
        </w:trPr>
        <w:tc>
          <w:tcPr>
            <w:tcW w:w="750" w:type="pct"/>
          </w:tcPr>
          <w:p w14:paraId="0A804807" w14:textId="2A3BCDB1" w:rsidR="000A106D" w:rsidRDefault="000A106D" w:rsidP="000A106D">
            <w:pPr>
              <w:pStyle w:val="Tabletext"/>
              <w:rPr>
                <w:rFonts w:ascii="Calibri" w:hAnsi="Calibri" w:cs="Calibri"/>
                <w:sz w:val="20"/>
              </w:rPr>
            </w:pPr>
            <w:r>
              <w:rPr>
                <w:rFonts w:ascii="Calibri" w:hAnsi="Calibri" w:cs="Calibri"/>
                <w:sz w:val="20"/>
              </w:rPr>
              <w:t>Pricing</w:t>
            </w:r>
          </w:p>
        </w:tc>
        <w:tc>
          <w:tcPr>
            <w:tcW w:w="1050" w:type="pct"/>
          </w:tcPr>
          <w:p w14:paraId="7657DCDA" w14:textId="38564CC9" w:rsidR="000A106D" w:rsidRDefault="00873A53" w:rsidP="000A106D">
            <w:pPr>
              <w:pStyle w:val="Tabletext"/>
              <w:rPr>
                <w:rFonts w:ascii="Calibri" w:hAnsi="Calibri" w:cs="Calibri"/>
                <w:sz w:val="20"/>
              </w:rPr>
            </w:pPr>
            <w:r>
              <w:rPr>
                <w:rFonts w:ascii="Calibri" w:hAnsi="Calibri" w:cs="Calibri"/>
                <w:sz w:val="20"/>
              </w:rPr>
              <w:t>The Price Response Service shall read the settled prices through the existing price service.</w:t>
            </w:r>
          </w:p>
        </w:tc>
        <w:tc>
          <w:tcPr>
            <w:tcW w:w="1750" w:type="pct"/>
          </w:tcPr>
          <w:p w14:paraId="23C08CC3" w14:textId="7EC75EAB" w:rsidR="000A106D" w:rsidRDefault="00636937" w:rsidP="000A106D">
            <w:pPr>
              <w:pStyle w:val="Tabletext"/>
              <w:rPr>
                <w:rFonts w:ascii="Calibri" w:hAnsi="Calibri" w:cs="Calibri"/>
                <w:sz w:val="20"/>
              </w:rPr>
            </w:pPr>
            <w:r>
              <w:rPr>
                <w:rFonts w:ascii="Calibri" w:hAnsi="Calibri" w:cs="Calibri"/>
                <w:sz w:val="20"/>
              </w:rPr>
              <w:t>Price Response Service</w:t>
            </w:r>
          </w:p>
        </w:tc>
        <w:tc>
          <w:tcPr>
            <w:tcW w:w="1450" w:type="pct"/>
          </w:tcPr>
          <w:p w14:paraId="2CE4C82B" w14:textId="4C57153D" w:rsidR="000A106D" w:rsidRDefault="00144FA3" w:rsidP="000A106D">
            <w:pPr>
              <w:pStyle w:val="Tabletext"/>
              <w:rPr>
                <w:rFonts w:ascii="Calibri" w:hAnsi="Calibri" w:cs="Calibri"/>
                <w:sz w:val="20"/>
              </w:rPr>
            </w:pPr>
            <w:r>
              <w:rPr>
                <w:rFonts w:ascii="Calibri" w:hAnsi="Calibri" w:cs="Calibri"/>
                <w:sz w:val="20"/>
              </w:rPr>
              <w:t>The price service shall be the only path from VCB to MPR.</w:t>
            </w:r>
          </w:p>
        </w:tc>
      </w:tr>
      <w:tr w:rsidR="000A106D" w:rsidRPr="00C63A98" w14:paraId="4B34ABDB" w14:textId="77777777" w:rsidTr="000A106D">
        <w:trPr>
          <w:cantSplit/>
        </w:trPr>
        <w:tc>
          <w:tcPr>
            <w:tcW w:w="750" w:type="pct"/>
          </w:tcPr>
          <w:p w14:paraId="794FA50B" w14:textId="3EB1D4BD" w:rsidR="000A106D" w:rsidRDefault="000A106D" w:rsidP="000A106D">
            <w:pPr>
              <w:pStyle w:val="Tabletext"/>
              <w:rPr>
                <w:rFonts w:ascii="Calibri" w:hAnsi="Calibri" w:cs="Calibri"/>
                <w:sz w:val="20"/>
              </w:rPr>
            </w:pPr>
            <w:r>
              <w:rPr>
                <w:rFonts w:ascii="Calibri" w:hAnsi="Calibri" w:cs="Calibri"/>
                <w:sz w:val="20"/>
              </w:rPr>
              <w:t>Pricing</w:t>
            </w:r>
          </w:p>
        </w:tc>
        <w:tc>
          <w:tcPr>
            <w:tcW w:w="1050" w:type="pct"/>
          </w:tcPr>
          <w:p w14:paraId="7F7B976B" w14:textId="1F5E29C1" w:rsidR="000A106D" w:rsidRDefault="00873A53" w:rsidP="000A106D">
            <w:pPr>
              <w:pStyle w:val="Tabletext"/>
              <w:rPr>
                <w:rFonts w:ascii="Calibri" w:hAnsi="Calibri" w:cs="Calibri"/>
                <w:sz w:val="20"/>
              </w:rPr>
            </w:pPr>
            <w:r>
              <w:rPr>
                <w:rFonts w:ascii="Calibri" w:hAnsi="Calibri" w:cs="Calibri"/>
                <w:sz w:val="20"/>
              </w:rPr>
              <w:t>The price service shall return the settled price of each MPR tag and day, with its relative period.</w:t>
            </w:r>
          </w:p>
        </w:tc>
        <w:tc>
          <w:tcPr>
            <w:tcW w:w="1750" w:type="pct"/>
          </w:tcPr>
          <w:p w14:paraId="436CF0F6" w14:textId="22DE089B" w:rsidR="000A106D" w:rsidRDefault="00636937" w:rsidP="000A106D">
            <w:pPr>
              <w:pStyle w:val="Tabletext"/>
              <w:rPr>
                <w:rFonts w:ascii="Calibri" w:hAnsi="Calibri" w:cs="Calibri"/>
                <w:sz w:val="20"/>
              </w:rPr>
            </w:pPr>
            <w:r>
              <w:rPr>
                <w:rFonts w:ascii="Calibri" w:hAnsi="Calibri" w:cs="Calibri"/>
                <w:sz w:val="20"/>
              </w:rPr>
              <w:t>Price service</w:t>
            </w:r>
          </w:p>
        </w:tc>
        <w:tc>
          <w:tcPr>
            <w:tcW w:w="1450" w:type="pct"/>
          </w:tcPr>
          <w:p w14:paraId="4564E868" w14:textId="17CB885E" w:rsidR="000A106D" w:rsidRDefault="00FC42E7" w:rsidP="000A106D">
            <w:pPr>
              <w:pStyle w:val="Tabletext"/>
              <w:rPr>
                <w:rFonts w:ascii="Calibri" w:hAnsi="Calibri" w:cs="Calibri"/>
                <w:sz w:val="20"/>
              </w:rPr>
            </w:pPr>
            <w:r>
              <w:rPr>
                <w:rFonts w:ascii="Calibri" w:hAnsi="Calibri" w:cs="Calibri"/>
                <w:sz w:val="20"/>
              </w:rPr>
              <w:t xml:space="preserve">The Price Response Service shall work out the average of the actual settled prices over the dashboard period (Table </w:t>
            </w:r>
            <w:r>
              <w:rPr>
                <w:rFonts w:ascii="Calibri" w:hAnsi="Calibri" w:cs="Calibri"/>
                <w:sz w:val="20"/>
              </w:rPr>
              <w:fldChar w:fldCharType="begin"/>
            </w:r>
            <w:r>
              <w:rPr>
                <w:rFonts w:ascii="Calibri" w:hAnsi="Calibri" w:cs="Calibri"/>
                <w:sz w:val="20"/>
              </w:rPr>
              <w:instrText xml:space="preserve"> REF _Ref917260957 \h \* MERGEFORMAT </w:instrText>
            </w:r>
            <w:r>
              <w:rPr>
                <w:rFonts w:ascii="Calibri" w:hAnsi="Calibri" w:cs="Calibri"/>
                <w:sz w:val="20"/>
              </w:rPr>
            </w:r>
            <w:r>
              <w:rPr>
                <w:rFonts w:ascii="Calibri" w:hAnsi="Calibri" w:cs="Calibri"/>
                <w:sz w:val="20"/>
              </w:rPr>
              <w:fldChar w:fldCharType="separate"/>
            </w:r>
            <w:r w:rsidRPr="00FC42E7">
              <w:rPr>
                <w:noProof/>
                <w:color w:val="0563C1"/>
                <w:u w:val="single"/>
              </w:rPr>
              <w:t>2-24</w:t>
            </w:r>
            <w:r>
              <w:rPr>
                <w:rFonts w:ascii="Calibri" w:hAnsi="Calibri" w:cs="Calibri"/>
                <w:sz w:val="20"/>
              </w:rPr>
              <w:fldChar w:fldCharType="end"/>
            </w:r>
            <w:r>
              <w:rPr>
                <w:rFonts w:ascii="Calibri" w:hAnsi="Calibri" w:cs="Calibri"/>
                <w:sz w:val="20"/>
              </w:rPr>
              <w:t>).</w:t>
            </w:r>
          </w:p>
        </w:tc>
      </w:tr>
      <w:tr w:rsidR="000A106D" w:rsidRPr="00C63A98" w14:paraId="537555E7" w14:textId="77777777" w:rsidTr="000A106D">
        <w:trPr>
          <w:cantSplit/>
        </w:trPr>
        <w:tc>
          <w:tcPr>
            <w:tcW w:w="750" w:type="pct"/>
          </w:tcPr>
          <w:p w14:paraId="540048C3" w14:textId="576D55E9" w:rsidR="000A106D" w:rsidRDefault="000A106D" w:rsidP="000A106D">
            <w:pPr>
              <w:pStyle w:val="Tabletext"/>
              <w:rPr>
                <w:rFonts w:ascii="Calibri" w:hAnsi="Calibri" w:cs="Calibri"/>
                <w:sz w:val="20"/>
              </w:rPr>
            </w:pPr>
            <w:r>
              <w:rPr>
                <w:rFonts w:ascii="Calibri" w:hAnsi="Calibri" w:cs="Calibri"/>
                <w:sz w:val="20"/>
              </w:rPr>
              <w:t>Pricing</w:t>
            </w:r>
          </w:p>
        </w:tc>
        <w:tc>
          <w:tcPr>
            <w:tcW w:w="1050" w:type="pct"/>
          </w:tcPr>
          <w:p w14:paraId="29F44851" w14:textId="6E143315" w:rsidR="000A106D" w:rsidRDefault="00873A53" w:rsidP="000A106D">
            <w:pPr>
              <w:pStyle w:val="Tabletext"/>
              <w:rPr>
                <w:rFonts w:ascii="Calibri" w:hAnsi="Calibri" w:cs="Calibri"/>
                <w:sz w:val="20"/>
              </w:rPr>
            </w:pPr>
            <w:r>
              <w:rPr>
                <w:rFonts w:ascii="Calibri" w:hAnsi="Calibri" w:cs="Calibri"/>
                <w:sz w:val="20"/>
              </w:rPr>
              <w:t>The price service shall give the units and the currency of actual VCB prices and costs as Profisee codes.</w:t>
            </w:r>
          </w:p>
        </w:tc>
        <w:tc>
          <w:tcPr>
            <w:tcW w:w="1750" w:type="pct"/>
          </w:tcPr>
          <w:p w14:paraId="1B871F59" w14:textId="0CF8CF31" w:rsidR="000A106D" w:rsidRDefault="00636937" w:rsidP="000A106D">
            <w:pPr>
              <w:pStyle w:val="Tabletext"/>
              <w:rPr>
                <w:rFonts w:ascii="Calibri" w:hAnsi="Calibri" w:cs="Calibri"/>
                <w:sz w:val="20"/>
              </w:rPr>
            </w:pPr>
            <w:r>
              <w:rPr>
                <w:rFonts w:ascii="Calibri" w:hAnsi="Calibri" w:cs="Calibri"/>
                <w:sz w:val="20"/>
              </w:rPr>
              <w:t>Price service</w:t>
            </w:r>
          </w:p>
        </w:tc>
        <w:tc>
          <w:tcPr>
            <w:tcW w:w="1450" w:type="pct"/>
          </w:tcPr>
          <w:p w14:paraId="29CA5D98" w14:textId="7CCAAF86" w:rsidR="000A106D" w:rsidRDefault="00144FA3" w:rsidP="000A106D">
            <w:pPr>
              <w:pStyle w:val="Tabletext"/>
              <w:rPr>
                <w:rFonts w:ascii="Calibri" w:hAnsi="Calibri" w:cs="Calibri"/>
                <w:sz w:val="20"/>
              </w:rPr>
            </w:pPr>
            <w:r>
              <w:rPr>
                <w:rFonts w:ascii="Calibri" w:hAnsi="Calibri" w:cs="Calibri"/>
                <w:sz w:val="20"/>
              </w:rPr>
              <w:t>VCB shall show the actual settled prices and costs with their units and currency as Profisee codes.</w:t>
            </w:r>
          </w:p>
        </w:tc>
      </w:tr>
      <w:tr w:rsidR="000A106D" w:rsidRPr="00C63A98" w14:paraId="7BEDAEB2" w14:textId="77777777" w:rsidTr="000A106D">
        <w:trPr>
          <w:cantSplit/>
        </w:trPr>
        <w:tc>
          <w:tcPr>
            <w:tcW w:w="750" w:type="pct"/>
          </w:tcPr>
          <w:p w14:paraId="685E0A0F" w14:textId="6853E8DC" w:rsidR="000A106D" w:rsidRDefault="000A106D" w:rsidP="000A106D">
            <w:pPr>
              <w:pStyle w:val="Tabletext"/>
              <w:keepNext/>
              <w:rPr>
                <w:rFonts w:ascii="Calibri" w:hAnsi="Calibri" w:cs="Calibri"/>
                <w:sz w:val="20"/>
              </w:rPr>
            </w:pPr>
            <w:r>
              <w:rPr>
                <w:rFonts w:ascii="Calibri" w:hAnsi="Calibri" w:cs="Calibri"/>
                <w:sz w:val="20"/>
              </w:rPr>
              <w:t>Pricing</w:t>
            </w:r>
          </w:p>
        </w:tc>
        <w:tc>
          <w:tcPr>
            <w:tcW w:w="1050" w:type="pct"/>
          </w:tcPr>
          <w:p w14:paraId="7AB4CB18" w14:textId="298A3803" w:rsidR="000A106D" w:rsidRDefault="00873A53" w:rsidP="000A106D">
            <w:pPr>
              <w:pStyle w:val="Tabletext"/>
              <w:keepNext/>
              <w:rPr>
                <w:rFonts w:ascii="Calibri" w:hAnsi="Calibri" w:cs="Calibri"/>
                <w:sz w:val="20"/>
              </w:rPr>
            </w:pPr>
            <w:r>
              <w:rPr>
                <w:rFonts w:ascii="Calibri" w:hAnsi="Calibri" w:cs="Calibri"/>
                <w:sz w:val="20"/>
              </w:rPr>
              <w:t xml:space="preserve">The price service shall serve actual VCB prices and costs when the category is VCBPrice or VCBCost (Table </w:t>
            </w:r>
            <w:r w:rsidR="00FC42E7">
              <w:rPr>
                <w:rFonts w:ascii="Calibri" w:hAnsi="Calibri" w:cs="Calibri"/>
                <w:sz w:val="20"/>
              </w:rPr>
              <w:fldChar w:fldCharType="begin"/>
            </w:r>
            <w:r w:rsidR="00FC42E7">
              <w:rPr>
                <w:rFonts w:ascii="Calibri" w:hAnsi="Calibri" w:cs="Calibri"/>
                <w:sz w:val="20"/>
              </w:rPr>
              <w:instrText xml:space="preserve"> REF _Ref917260931 \h \* MERGEFORMAT </w:instrText>
            </w:r>
            <w:r w:rsidR="00FC42E7">
              <w:rPr>
                <w:rFonts w:ascii="Calibri" w:hAnsi="Calibri" w:cs="Calibri"/>
                <w:sz w:val="20"/>
              </w:rPr>
            </w:r>
            <w:r w:rsidR="00FC42E7">
              <w:rPr>
                <w:rFonts w:ascii="Calibri" w:hAnsi="Calibri" w:cs="Calibri"/>
                <w:sz w:val="20"/>
              </w:rPr>
              <w:fldChar w:fldCharType="separate"/>
            </w:r>
            <w:r w:rsidR="00FC42E7" w:rsidRPr="00FC42E7">
              <w:rPr>
                <w:noProof/>
                <w:color w:val="0563C1"/>
                <w:u w:val="single"/>
              </w:rPr>
              <w:t>2-19</w:t>
            </w:r>
            <w:r w:rsidR="00FC42E7">
              <w:rPr>
                <w:rFonts w:ascii="Calibri" w:hAnsi="Calibri" w:cs="Calibri"/>
                <w:sz w:val="20"/>
              </w:rPr>
              <w:fldChar w:fldCharType="end"/>
            </w:r>
            <w:r>
              <w:rPr>
                <w:rFonts w:ascii="Calibri" w:hAnsi="Calibri" w:cs="Calibri"/>
                <w:sz w:val="20"/>
              </w:rPr>
              <w:t>).</w:t>
            </w:r>
          </w:p>
        </w:tc>
        <w:tc>
          <w:tcPr>
            <w:tcW w:w="1750" w:type="pct"/>
          </w:tcPr>
          <w:p w14:paraId="04E05C45" w14:textId="29862E49" w:rsidR="000A106D" w:rsidRDefault="00636937" w:rsidP="000A106D">
            <w:pPr>
              <w:pStyle w:val="Tabletext"/>
              <w:keepNext/>
              <w:rPr>
                <w:rFonts w:ascii="Calibri" w:hAnsi="Calibri" w:cs="Calibri"/>
                <w:sz w:val="20"/>
              </w:rPr>
            </w:pPr>
            <w:r>
              <w:rPr>
                <w:rFonts w:ascii="Calibri" w:hAnsi="Calibri" w:cs="Calibri"/>
                <w:sz w:val="20"/>
              </w:rPr>
              <w:t>Price service and Price Response Service</w:t>
            </w:r>
          </w:p>
        </w:tc>
        <w:tc>
          <w:tcPr>
            <w:tcW w:w="1450" w:type="pct"/>
          </w:tcPr>
          <w:p w14:paraId="2E4082FB" w14:textId="2A683006" w:rsidR="000A106D" w:rsidRDefault="00144FA3" w:rsidP="000A106D">
            <w:pPr>
              <w:pStyle w:val="Tabletext"/>
              <w:keepNext/>
              <w:rPr>
                <w:rFonts w:ascii="Calibri" w:hAnsi="Calibri" w:cs="Calibri"/>
                <w:sz w:val="20"/>
              </w:rPr>
            </w:pPr>
            <w:r>
              <w:rPr>
                <w:rFonts w:ascii="Calibri" w:hAnsi="Calibri" w:cs="Calibri"/>
                <w:sz w:val="20"/>
              </w:rPr>
              <w:t>The state Actual and the category shall decide which actual VCB prices or costs are read.</w:t>
            </w:r>
          </w:p>
        </w:tc>
      </w:tr>
      <w:tr w:rsidR="009C3F56" w:rsidRPr="00C63A98" w14:paraId="4B9DCB21" w14:textId="77777777" w:rsidTr="000A106D">
        <w:trPr>
          <w:cantSplit/>
        </w:trPr>
        <w:tc>
          <w:tcPr>
            <w:tcW w:w="750" w:type="pct"/>
          </w:tcPr>
          <w:p w14:paraId="21423B40" w14:textId="7F867E3C" w:rsidR="009C3F56" w:rsidRDefault="009C3F56" w:rsidP="000A106D">
            <w:pPr>
              <w:pStyle w:val="Tabletext"/>
              <w:keepNext/>
              <w:rPr>
                <w:rFonts w:ascii="Calibri" w:hAnsi="Calibri" w:cs="Calibri"/>
                <w:sz w:val="20"/>
              </w:rPr>
            </w:pPr>
            <w:r>
              <w:rPr>
                <w:rFonts w:ascii="Calibri" w:hAnsi="Calibri" w:cs="Calibri"/>
                <w:sz w:val="20"/>
              </w:rPr>
              <w:t>Pricing</w:t>
            </w:r>
          </w:p>
        </w:tc>
        <w:tc>
          <w:tcPr>
            <w:tcW w:w="1050" w:type="pct"/>
          </w:tcPr>
          <w:p w14:paraId="04E7DCCC" w14:textId="65A5CE6A" w:rsidR="009C3F56" w:rsidRDefault="009C3F56" w:rsidP="000A106D">
            <w:pPr>
              <w:pStyle w:val="Tabletext"/>
              <w:keepNext/>
              <w:rPr>
                <w:rFonts w:ascii="Calibri" w:hAnsi="Calibri" w:cs="Calibri"/>
                <w:sz w:val="20"/>
              </w:rPr>
            </w:pPr>
            <w:r>
              <w:rPr>
                <w:rFonts w:ascii="Calibri" w:hAnsi="Calibri" w:cs="Calibri"/>
                <w:sz w:val="20"/>
              </w:rPr>
              <w:t>The price service shall start the read of the price overrides at effectiveDate for actual VCB prices.</w:t>
            </w:r>
          </w:p>
        </w:tc>
        <w:tc>
          <w:tcPr>
            <w:tcW w:w="1750" w:type="pct"/>
          </w:tcPr>
          <w:p w14:paraId="4E0E29B8" w14:textId="24EC93D9" w:rsidR="009C3F56" w:rsidRDefault="009C3F56" w:rsidP="000A106D">
            <w:pPr>
              <w:pStyle w:val="Tabletext"/>
              <w:keepNext/>
              <w:rPr>
                <w:rFonts w:ascii="Calibri" w:hAnsi="Calibri" w:cs="Calibri"/>
                <w:sz w:val="20"/>
              </w:rPr>
            </w:pPr>
            <w:r>
              <w:rPr>
                <w:rFonts w:ascii="Calibri" w:hAnsi="Calibri" w:cs="Calibri"/>
                <w:sz w:val="20"/>
              </w:rPr>
              <w:t>Price service</w:t>
            </w:r>
          </w:p>
        </w:tc>
        <w:tc>
          <w:tcPr>
            <w:tcW w:w="1450" w:type="pct"/>
          </w:tcPr>
          <w:p w14:paraId="106346BF" w14:textId="22F0AF6B" w:rsidR="009C3F56" w:rsidRDefault="009C3F56" w:rsidP="000A106D">
            <w:pPr>
              <w:pStyle w:val="Tabletext"/>
              <w:keepNext/>
              <w:rPr>
                <w:rFonts w:ascii="Calibri" w:hAnsi="Calibri" w:cs="Calibri"/>
                <w:sz w:val="20"/>
              </w:rPr>
            </w:pPr>
            <w:r>
              <w:rPr>
                <w:rFonts w:ascii="Calibri" w:hAnsi="Calibri" w:cs="Calibri"/>
                <w:sz w:val="20"/>
              </w:rPr>
              <w:t>Only the price overrides entered in the dashboard period shall count for priceOverride.</w:t>
            </w:r>
          </w:p>
        </w:tc>
      </w:tr>
      <w:tr w:rsidR="009C3F56" w:rsidRPr="00C63A98" w14:paraId="4F5693FD" w14:textId="77777777" w:rsidTr="000A106D">
        <w:trPr>
          <w:cantSplit/>
        </w:trPr>
        <w:tc>
          <w:tcPr>
            <w:tcW w:w="750" w:type="pct"/>
          </w:tcPr>
          <w:p w14:paraId="37A44308" w14:textId="47782F2B" w:rsidR="009C3F56" w:rsidRDefault="009C3F56" w:rsidP="000A106D">
            <w:pPr>
              <w:pStyle w:val="Tabletext"/>
              <w:keepNext/>
              <w:rPr>
                <w:rFonts w:ascii="Calibri" w:hAnsi="Calibri" w:cs="Calibri"/>
                <w:sz w:val="20"/>
              </w:rPr>
            </w:pPr>
            <w:r>
              <w:rPr>
                <w:rFonts w:ascii="Calibri" w:hAnsi="Calibri" w:cs="Calibri"/>
                <w:sz w:val="20"/>
              </w:rPr>
              <w:t>Pricing</w:t>
            </w:r>
          </w:p>
        </w:tc>
        <w:tc>
          <w:tcPr>
            <w:tcW w:w="1050" w:type="pct"/>
          </w:tcPr>
          <w:p w14:paraId="33AC4DB8" w14:textId="68B671CA" w:rsidR="009C3F56" w:rsidRDefault="009C3F56" w:rsidP="000A106D">
            <w:pPr>
              <w:pStyle w:val="Tabletext"/>
              <w:keepNext/>
              <w:rPr>
                <w:rFonts w:ascii="Calibri" w:hAnsi="Calibri" w:cs="Calibri"/>
                <w:sz w:val="20"/>
              </w:rPr>
            </w:pPr>
            <w:r>
              <w:rPr>
                <w:rFonts w:ascii="Calibri" w:hAnsi="Calibri" w:cs="Calibri"/>
                <w:sz w:val="20"/>
              </w:rPr>
              <w:t>The Semantic Service shall return the MPR tags held in Profisee for a target domain, a period, a model and a region.</w:t>
            </w:r>
          </w:p>
        </w:tc>
        <w:tc>
          <w:tcPr>
            <w:tcW w:w="1750" w:type="pct"/>
          </w:tcPr>
          <w:p w14:paraId="742E598B" w14:textId="3A38452C" w:rsidR="009C3F56" w:rsidRDefault="009C3F56" w:rsidP="000A106D">
            <w:pPr>
              <w:pStyle w:val="Tabletext"/>
              <w:keepNext/>
              <w:rPr>
                <w:rFonts w:ascii="Calibri" w:hAnsi="Calibri" w:cs="Calibri"/>
                <w:sz w:val="20"/>
              </w:rPr>
            </w:pPr>
            <w:r>
              <w:rPr>
                <w:rFonts w:ascii="Calibri" w:hAnsi="Calibri" w:cs="Calibri"/>
                <w:sz w:val="20"/>
              </w:rPr>
              <w:t>Semantic Service</w:t>
            </w:r>
          </w:p>
        </w:tc>
        <w:tc>
          <w:tcPr>
            <w:tcW w:w="1450" w:type="pct"/>
          </w:tcPr>
          <w:p w14:paraId="312E1133" w14:textId="1BC28D51" w:rsidR="009C3F56" w:rsidRDefault="009C3F56" w:rsidP="000A106D">
            <w:pPr>
              <w:pStyle w:val="Tabletext"/>
              <w:keepNext/>
              <w:rPr>
                <w:rFonts w:ascii="Calibri" w:hAnsi="Calibri" w:cs="Calibri"/>
                <w:sz w:val="20"/>
              </w:rPr>
            </w:pPr>
            <w:r>
              <w:rPr>
                <w:rFonts w:ascii="Calibri" w:hAnsi="Calibri" w:cs="Calibri"/>
                <w:sz w:val="20"/>
              </w:rPr>
              <w:t>The Price Response Service shall get the MPR tags from Profisee.</w:t>
            </w:r>
          </w:p>
        </w:tc>
      </w:tr>
      <w:tr w:rsidR="009C3F56" w:rsidRPr="00C63A98" w14:paraId="7C90BA26" w14:textId="77777777" w:rsidTr="000A106D">
        <w:trPr>
          <w:cantSplit/>
        </w:trPr>
        <w:tc>
          <w:tcPr>
            <w:tcW w:w="750" w:type="pct"/>
          </w:tcPr>
          <w:p w14:paraId="7ED89D3E" w14:textId="57423971" w:rsidR="009C3F56" w:rsidRDefault="009C3F56" w:rsidP="000A106D">
            <w:pPr>
              <w:pStyle w:val="Tabletext"/>
              <w:keepNext/>
              <w:rPr>
                <w:rFonts w:ascii="Calibri" w:hAnsi="Calibri" w:cs="Calibri"/>
                <w:sz w:val="20"/>
              </w:rPr>
            </w:pPr>
            <w:r>
              <w:rPr>
                <w:rFonts w:ascii="Calibri" w:hAnsi="Calibri" w:cs="Calibri"/>
                <w:sz w:val="20"/>
              </w:rPr>
              <w:t>Profisee Data Mapping</w:t>
            </w:r>
          </w:p>
        </w:tc>
        <w:tc>
          <w:tcPr>
            <w:tcW w:w="1050" w:type="pct"/>
          </w:tcPr>
          <w:p w14:paraId="57155479" w14:textId="22A284C9" w:rsidR="009C3F56" w:rsidRDefault="009C3F56" w:rsidP="000A106D">
            <w:pPr>
              <w:pStyle w:val="Tabletext"/>
              <w:keepNext/>
              <w:rPr>
                <w:rFonts w:ascii="Calibri" w:hAnsi="Calibri" w:cs="Calibri"/>
                <w:sz w:val="20"/>
              </w:rPr>
            </w:pPr>
            <w:r>
              <w:rPr>
                <w:rFonts w:ascii="Calibri" w:hAnsi="Calibri" w:cs="Calibri"/>
                <w:sz w:val="20"/>
              </w:rPr>
              <w:t>The Semantic Service shall return the Terminals Specsheet Master Data, with the time each row was last changed in Profisee.</w:t>
            </w:r>
          </w:p>
        </w:tc>
        <w:tc>
          <w:tcPr>
            <w:tcW w:w="1750" w:type="pct"/>
          </w:tcPr>
          <w:p w14:paraId="68569706" w14:textId="4FCCD99A" w:rsidR="009C3F56" w:rsidRDefault="009C3F56" w:rsidP="000A106D">
            <w:pPr>
              <w:pStyle w:val="Tabletext"/>
              <w:keepNext/>
              <w:rPr>
                <w:rFonts w:ascii="Calibri" w:hAnsi="Calibri" w:cs="Calibri"/>
                <w:sz w:val="20"/>
              </w:rPr>
            </w:pPr>
            <w:r>
              <w:rPr>
                <w:rFonts w:ascii="Calibri" w:hAnsi="Calibri" w:cs="Calibri"/>
                <w:sz w:val="20"/>
              </w:rPr>
              <w:t>Semantic Service</w:t>
            </w:r>
          </w:p>
        </w:tc>
        <w:tc>
          <w:tcPr>
            <w:tcW w:w="1450" w:type="pct"/>
          </w:tcPr>
          <w:p w14:paraId="5CEC9EB0" w14:textId="00C4C6D6" w:rsidR="009C3F56" w:rsidRDefault="009C3F56" w:rsidP="000A106D">
            <w:pPr>
              <w:pStyle w:val="Tabletext"/>
              <w:keepNext/>
              <w:rPr>
                <w:rFonts w:ascii="Calibri" w:hAnsi="Calibri" w:cs="Calibri"/>
                <w:sz w:val="20"/>
              </w:rPr>
            </w:pPr>
            <w:r>
              <w:rPr>
                <w:rFonts w:ascii="Calibri" w:hAnsi="Calibri" w:cs="Calibri"/>
                <w:sz w:val="20"/>
              </w:rPr>
              <w:t>The Profisee Data Mapping Response Service shall check whether the data has changed since the last load.</w:t>
            </w:r>
          </w:p>
        </w:tc>
      </w:tr>
    </w:tbl>
    <w:p w14:paraId="05083738" w14:textId="16748660" w:rsidR="000A106D" w:rsidRDefault="000A106D" w:rsidP="000A106D">
      <w:pPr>
        <w:pStyle w:val="Caption"/>
      </w:pPr>
      <w:bookmarkStart w:id="274" w:name="_Toc242554048"/>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50</w:t>
      </w:r>
      <w:r>
        <w:fldChar w:fldCharType="end"/>
      </w:r>
      <w:r>
        <w:t>: VCB Integrations - Platform Changes</w:t>
      </w:r>
      <w:bookmarkEnd w:id="274"/>
    </w:p>
    <w:p w14:paraId="206898FF" w14:textId="46C18A13" w:rsidR="003127AF" w:rsidRPr="00947205" w:rsidRDefault="007364BC" w:rsidP="00140DC0">
      <w:pPr>
        <w:pStyle w:val="Heading2"/>
        <w:pageBreakBefore/>
        <w:rPr>
          <w:rFonts w:ascii="Calibri" w:hAnsi="Calibri" w:cs="Calibri"/>
          <w:sz w:val="20"/>
        </w:rPr>
      </w:pPr>
      <w:bookmarkStart w:id="275" w:name="_Ref917260912"/>
      <w:bookmarkStart w:id="276" w:name="_Toc242553927"/>
      <w:r w:rsidRPr="00947205">
        <w:rPr>
          <w:rFonts w:ascii="Calibri" w:hAnsi="Calibri" w:cs="Calibri"/>
          <w:sz w:val="20"/>
          <w:lang w:val="en-IN"/>
        </w:rPr>
        <w:t>Monitoring &amp; Error Handling</w:t>
      </w:r>
      <w:bookmarkEnd w:id="225"/>
      <w:bookmarkEnd w:id="275"/>
      <w:bookmarkEnd w:id="276"/>
    </w:p>
    <w:p w14:paraId="7D00674C" w14:textId="2CD2C16E" w:rsidR="00C63A98" w:rsidRDefault="00AA30D8" w:rsidP="00FC42E7">
      <w:pPr>
        <w:keepNext/>
        <w:jc w:val="left"/>
      </w:pPr>
      <w:r>
        <w:t>The platform services shall send a notification in the cases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523"/>
        <w:gridCol w:w="2837"/>
      </w:tblGrid>
      <w:tr w:rsidR="00C63A98" w:rsidRPr="00C63A98" w14:paraId="6536BAE7" w14:textId="77777777" w:rsidTr="00C63A98">
        <w:trPr>
          <w:cantSplit/>
          <w:tblHeader/>
        </w:trPr>
        <w:tc>
          <w:tcPr>
            <w:tcW w:w="6523" w:type="dxa"/>
            <w:shd w:val="clear" w:color="auto" w:fill="2F5597"/>
          </w:tcPr>
          <w:p w14:paraId="77F28438" w14:textId="382C0BDE" w:rsidR="00C63A98" w:rsidRPr="00C63A98" w:rsidRDefault="00C63A98" w:rsidP="00C63A98">
            <w:pPr>
              <w:pStyle w:val="Tablehead1"/>
              <w:rPr>
                <w:rFonts w:ascii="Calibri" w:hAnsi="Calibri" w:cs="Calibri"/>
                <w:sz w:val="20"/>
              </w:rPr>
            </w:pPr>
            <w:r w:rsidRPr="00C63A98">
              <w:rPr>
                <w:rFonts w:ascii="Calibri" w:hAnsi="Calibri" w:cs="Calibri"/>
                <w:sz w:val="20"/>
              </w:rPr>
              <w:t>Case</w:t>
            </w:r>
          </w:p>
        </w:tc>
        <w:tc>
          <w:tcPr>
            <w:tcW w:w="2837" w:type="dxa"/>
            <w:shd w:val="clear" w:color="auto" w:fill="2F5597"/>
          </w:tcPr>
          <w:p w14:paraId="2DC73F26" w14:textId="2589C749" w:rsidR="00C63A98" w:rsidRPr="00C63A98" w:rsidRDefault="00C63A98" w:rsidP="00C63A98">
            <w:pPr>
              <w:pStyle w:val="Tablehead1"/>
              <w:rPr>
                <w:rFonts w:ascii="Calibri" w:hAnsi="Calibri" w:cs="Calibri"/>
                <w:sz w:val="20"/>
              </w:rPr>
            </w:pPr>
            <w:r w:rsidRPr="00C63A98">
              <w:rPr>
                <w:rFonts w:ascii="Calibri" w:hAnsi="Calibri" w:cs="Calibri"/>
                <w:sz w:val="20"/>
              </w:rPr>
              <w:t>Notification</w:t>
            </w:r>
          </w:p>
        </w:tc>
      </w:tr>
      <w:tr w:rsidR="00C63A98" w:rsidRPr="00C63A98" w14:paraId="21330353" w14:textId="77777777" w:rsidTr="00C63A98">
        <w:trPr>
          <w:cantSplit/>
        </w:trPr>
        <w:tc>
          <w:tcPr>
            <w:tcW w:w="6523" w:type="dxa"/>
          </w:tcPr>
          <w:p w14:paraId="7FAD2554" w14:textId="20A8CC13" w:rsidR="00C63A98" w:rsidRPr="00C63A98" w:rsidRDefault="00C63A98" w:rsidP="00C63A98">
            <w:pPr>
              <w:pStyle w:val="Tabletext"/>
              <w:rPr>
                <w:rFonts w:ascii="Calibri" w:hAnsi="Calibri" w:cs="Calibri"/>
                <w:sz w:val="20"/>
              </w:rPr>
            </w:pPr>
            <w:r w:rsidRPr="00C63A98">
              <w:rPr>
                <w:rFonts w:ascii="Calibri" w:hAnsi="Calibri" w:cs="Calibri"/>
                <w:sz w:val="20"/>
              </w:rPr>
              <w:t>The trigger function fails</w:t>
            </w:r>
          </w:p>
        </w:tc>
        <w:tc>
          <w:tcPr>
            <w:tcW w:w="2837" w:type="dxa"/>
          </w:tcPr>
          <w:p w14:paraId="307DF98F" w14:textId="3A844B2C" w:rsidR="00C63A98" w:rsidRPr="00C63A98" w:rsidRDefault="00C63A98" w:rsidP="00C63A98">
            <w:pPr>
              <w:pStyle w:val="Tabletext"/>
              <w:rPr>
                <w:rFonts w:ascii="Calibri" w:hAnsi="Calibri" w:cs="Calibri"/>
                <w:sz w:val="20"/>
              </w:rPr>
            </w:pPr>
            <w:r w:rsidRPr="00C63A98">
              <w:rPr>
                <w:rFonts w:ascii="Calibri" w:hAnsi="Calibri" w:cs="Calibri"/>
                <w:sz w:val="20"/>
              </w:rPr>
              <w:t>IT error</w:t>
            </w:r>
          </w:p>
        </w:tc>
      </w:tr>
      <w:tr w:rsidR="00C63A98" w:rsidRPr="00C63A98" w14:paraId="6BD659F0" w14:textId="77777777" w:rsidTr="00C63A98">
        <w:trPr>
          <w:cantSplit/>
        </w:trPr>
        <w:tc>
          <w:tcPr>
            <w:tcW w:w="6523" w:type="dxa"/>
          </w:tcPr>
          <w:p w14:paraId="3D13578D" w14:textId="647754E3" w:rsidR="00C63A98" w:rsidRPr="00C63A98" w:rsidRDefault="00C63A98" w:rsidP="00C63A98">
            <w:pPr>
              <w:pStyle w:val="Tabletext"/>
              <w:rPr>
                <w:rFonts w:ascii="Calibri" w:hAnsi="Calibri" w:cs="Calibri"/>
                <w:sz w:val="20"/>
              </w:rPr>
            </w:pPr>
            <w:r w:rsidRPr="00C63A98">
              <w:rPr>
                <w:rFonts w:ascii="Calibri" w:hAnsi="Calibri" w:cs="Calibri"/>
                <w:sz w:val="20"/>
              </w:rPr>
              <w:t>The request fails the header and body check</w:t>
            </w:r>
          </w:p>
        </w:tc>
        <w:tc>
          <w:tcPr>
            <w:tcW w:w="2837" w:type="dxa"/>
          </w:tcPr>
          <w:p w14:paraId="2A12923E" w14:textId="172CC5DF" w:rsidR="00C63A98" w:rsidRPr="00C63A98" w:rsidRDefault="00C63A98" w:rsidP="00C63A98">
            <w:pPr>
              <w:pStyle w:val="Tabletext"/>
              <w:rPr>
                <w:rFonts w:ascii="Calibri" w:hAnsi="Calibri" w:cs="Calibri"/>
                <w:sz w:val="20"/>
              </w:rPr>
            </w:pPr>
            <w:r w:rsidRPr="00C63A98">
              <w:rPr>
                <w:rFonts w:ascii="Calibri" w:hAnsi="Calibri" w:cs="Calibri"/>
                <w:sz w:val="20"/>
              </w:rPr>
              <w:t>IT error</w:t>
            </w:r>
          </w:p>
        </w:tc>
      </w:tr>
      <w:tr w:rsidR="00C63A98" w:rsidRPr="00C63A98" w14:paraId="039A2375" w14:textId="77777777" w:rsidTr="00C63A98">
        <w:trPr>
          <w:cantSplit/>
        </w:trPr>
        <w:tc>
          <w:tcPr>
            <w:tcW w:w="6523" w:type="dxa"/>
          </w:tcPr>
          <w:p w14:paraId="19454D97" w14:textId="27F2F8A9" w:rsidR="00C63A98" w:rsidRPr="00C63A98" w:rsidRDefault="00CE45AF" w:rsidP="00C63A98">
            <w:pPr>
              <w:pStyle w:val="Tabletext"/>
              <w:rPr>
                <w:rFonts w:ascii="Calibri" w:hAnsi="Calibri" w:cs="Calibri"/>
                <w:sz w:val="20"/>
              </w:rPr>
            </w:pPr>
            <w:r>
              <w:rPr>
                <w:rFonts w:ascii="Calibri" w:hAnsi="Calibri" w:cs="Calibri"/>
                <w:sz w:val="20"/>
              </w:rPr>
              <w:t>An exception occurs in the Request Trigger</w:t>
            </w:r>
          </w:p>
        </w:tc>
        <w:tc>
          <w:tcPr>
            <w:tcW w:w="2837" w:type="dxa"/>
          </w:tcPr>
          <w:p w14:paraId="12BE6802" w14:textId="2088EBCA" w:rsidR="00C63A98" w:rsidRPr="00C63A98" w:rsidRDefault="00C63A98" w:rsidP="00C63A98">
            <w:pPr>
              <w:pStyle w:val="Tabletext"/>
              <w:rPr>
                <w:rFonts w:ascii="Calibri" w:hAnsi="Calibri" w:cs="Calibri"/>
                <w:sz w:val="20"/>
              </w:rPr>
            </w:pPr>
            <w:r w:rsidRPr="00C63A98">
              <w:rPr>
                <w:rFonts w:ascii="Calibri" w:hAnsi="Calibri" w:cs="Calibri"/>
                <w:sz w:val="20"/>
              </w:rPr>
              <w:t>IT error</w:t>
            </w:r>
          </w:p>
        </w:tc>
      </w:tr>
      <w:tr w:rsidR="00C63A98" w:rsidRPr="00C63A98" w14:paraId="60F877E2" w14:textId="77777777" w:rsidTr="00C63A98">
        <w:trPr>
          <w:cantSplit/>
        </w:trPr>
        <w:tc>
          <w:tcPr>
            <w:tcW w:w="6523" w:type="dxa"/>
          </w:tcPr>
          <w:p w14:paraId="4B4F0363" w14:textId="668AE27B" w:rsidR="00C63A98" w:rsidRPr="00C63A98" w:rsidRDefault="00CE45AF" w:rsidP="00C63A98">
            <w:pPr>
              <w:pStyle w:val="Tabletext"/>
              <w:rPr>
                <w:rFonts w:ascii="Calibri" w:hAnsi="Calibri" w:cs="Calibri"/>
                <w:sz w:val="20"/>
              </w:rPr>
            </w:pPr>
            <w:r>
              <w:rPr>
                <w:rFonts w:ascii="Calibri" w:hAnsi="Calibri" w:cs="Calibri"/>
                <w:sz w:val="20"/>
              </w:rPr>
              <w:t>An exception occurs in either orchestrator</w:t>
            </w:r>
          </w:p>
        </w:tc>
        <w:tc>
          <w:tcPr>
            <w:tcW w:w="2837" w:type="dxa"/>
          </w:tcPr>
          <w:p w14:paraId="3141DC89" w14:textId="743FF295" w:rsidR="00C63A98" w:rsidRPr="00C63A98" w:rsidRDefault="00C63A98" w:rsidP="00C63A98">
            <w:pPr>
              <w:pStyle w:val="Tabletext"/>
              <w:rPr>
                <w:rFonts w:ascii="Calibri" w:hAnsi="Calibri" w:cs="Calibri"/>
                <w:sz w:val="20"/>
              </w:rPr>
            </w:pPr>
            <w:r w:rsidRPr="00C63A98">
              <w:rPr>
                <w:rFonts w:ascii="Calibri" w:hAnsi="Calibri" w:cs="Calibri"/>
                <w:sz w:val="20"/>
              </w:rPr>
              <w:t>IT error</w:t>
            </w:r>
          </w:p>
        </w:tc>
      </w:tr>
      <w:tr w:rsidR="00C63A98" w:rsidRPr="00C63A98" w14:paraId="7D347603" w14:textId="77777777" w:rsidTr="00C63A98">
        <w:trPr>
          <w:cantSplit/>
        </w:trPr>
        <w:tc>
          <w:tcPr>
            <w:tcW w:w="6523" w:type="dxa"/>
          </w:tcPr>
          <w:p w14:paraId="371C14A9" w14:textId="45751072" w:rsidR="00C63A98" w:rsidRPr="00C63A98" w:rsidRDefault="00CE45AF" w:rsidP="00C63A98">
            <w:pPr>
              <w:pStyle w:val="Tabletext"/>
              <w:rPr>
                <w:rFonts w:ascii="Calibri" w:hAnsi="Calibri" w:cs="Calibri"/>
                <w:sz w:val="20"/>
              </w:rPr>
            </w:pPr>
            <w:r>
              <w:rPr>
                <w:rFonts w:ascii="Calibri" w:hAnsi="Calibri" w:cs="Calibri"/>
                <w:sz w:val="20"/>
              </w:rPr>
              <w:t>An exception or a server error occurs in the Get-from-Source Activity</w:t>
            </w:r>
          </w:p>
        </w:tc>
        <w:tc>
          <w:tcPr>
            <w:tcW w:w="2837" w:type="dxa"/>
          </w:tcPr>
          <w:p w14:paraId="4B515F07" w14:textId="5D497753" w:rsidR="00C63A98" w:rsidRPr="00C63A98" w:rsidRDefault="00C63A98" w:rsidP="00C63A98">
            <w:pPr>
              <w:pStyle w:val="Tabletext"/>
              <w:rPr>
                <w:rFonts w:ascii="Calibri" w:hAnsi="Calibri" w:cs="Calibri"/>
                <w:sz w:val="20"/>
              </w:rPr>
            </w:pPr>
            <w:r w:rsidRPr="00C63A98">
              <w:rPr>
                <w:rFonts w:ascii="Calibri" w:hAnsi="Calibri" w:cs="Calibri"/>
                <w:sz w:val="20"/>
              </w:rPr>
              <w:t>IT error</w:t>
            </w:r>
          </w:p>
        </w:tc>
      </w:tr>
      <w:tr w:rsidR="00C63A98" w:rsidRPr="00C63A98" w14:paraId="037C83B3" w14:textId="77777777" w:rsidTr="00C63A98">
        <w:trPr>
          <w:cantSplit/>
        </w:trPr>
        <w:tc>
          <w:tcPr>
            <w:tcW w:w="6523" w:type="dxa"/>
          </w:tcPr>
          <w:p w14:paraId="60A05749" w14:textId="7AFDDC35" w:rsidR="00C63A98" w:rsidRPr="00C63A98" w:rsidRDefault="00C63A98" w:rsidP="00C63A98">
            <w:pPr>
              <w:pStyle w:val="Tabletext"/>
              <w:rPr>
                <w:rFonts w:ascii="Calibri" w:hAnsi="Calibri" w:cs="Calibri"/>
                <w:sz w:val="20"/>
              </w:rPr>
            </w:pPr>
            <w:r w:rsidRPr="00C63A98">
              <w:rPr>
                <w:rFonts w:ascii="Calibri" w:hAnsi="Calibri" w:cs="Calibri"/>
                <w:sz w:val="20"/>
              </w:rPr>
              <w:t>The durable function has not finished within the timeout</w:t>
            </w:r>
          </w:p>
        </w:tc>
        <w:tc>
          <w:tcPr>
            <w:tcW w:w="2837" w:type="dxa"/>
          </w:tcPr>
          <w:p w14:paraId="024171A7" w14:textId="2C019CEA" w:rsidR="00C63A98" w:rsidRPr="00C63A98" w:rsidRDefault="00C63A98" w:rsidP="00C63A98">
            <w:pPr>
              <w:pStyle w:val="Tabletext"/>
              <w:rPr>
                <w:rFonts w:ascii="Calibri" w:hAnsi="Calibri" w:cs="Calibri"/>
                <w:sz w:val="20"/>
              </w:rPr>
            </w:pPr>
            <w:r w:rsidRPr="00C63A98">
              <w:rPr>
                <w:rFonts w:ascii="Calibri" w:hAnsi="Calibri" w:cs="Calibri"/>
                <w:sz w:val="20"/>
              </w:rPr>
              <w:t>IT error</w:t>
            </w:r>
          </w:p>
        </w:tc>
      </w:tr>
      <w:tr w:rsidR="00C63A98" w:rsidRPr="00C63A98" w14:paraId="33789908" w14:textId="77777777" w:rsidTr="00C63A98">
        <w:trPr>
          <w:cantSplit/>
        </w:trPr>
        <w:tc>
          <w:tcPr>
            <w:tcW w:w="6523" w:type="dxa"/>
          </w:tcPr>
          <w:p w14:paraId="5AD51436" w14:textId="361D7E68" w:rsidR="00C63A98" w:rsidRPr="00C63A98" w:rsidRDefault="00C63A98" w:rsidP="00C63A98">
            <w:pPr>
              <w:pStyle w:val="Tabletext"/>
              <w:rPr>
                <w:rFonts w:ascii="Calibri" w:hAnsi="Calibri" w:cs="Calibri"/>
                <w:sz w:val="20"/>
              </w:rPr>
            </w:pPr>
            <w:r w:rsidRPr="00C63A98">
              <w:rPr>
                <w:rFonts w:ascii="Calibri" w:hAnsi="Calibri" w:cs="Calibri"/>
                <w:sz w:val="20"/>
              </w:rPr>
              <w:t>The result is empty</w:t>
            </w:r>
          </w:p>
        </w:tc>
        <w:tc>
          <w:tcPr>
            <w:tcW w:w="2837" w:type="dxa"/>
          </w:tcPr>
          <w:p w14:paraId="3B753F92" w14:textId="70F03424" w:rsidR="00C63A98" w:rsidRPr="00C63A98" w:rsidRDefault="00C63A98" w:rsidP="00C63A98">
            <w:pPr>
              <w:pStyle w:val="Tabletext"/>
              <w:rPr>
                <w:rFonts w:ascii="Calibri" w:hAnsi="Calibri" w:cs="Calibri"/>
                <w:sz w:val="20"/>
              </w:rPr>
            </w:pPr>
            <w:r w:rsidRPr="00C63A98">
              <w:rPr>
                <w:rFonts w:ascii="Calibri" w:hAnsi="Calibri" w:cs="Calibri"/>
                <w:sz w:val="20"/>
              </w:rPr>
              <w:t>IT information</w:t>
            </w:r>
          </w:p>
        </w:tc>
      </w:tr>
      <w:tr w:rsidR="00C63A98" w:rsidRPr="00C63A98" w14:paraId="0E05F666" w14:textId="77777777" w:rsidTr="00C63A98">
        <w:trPr>
          <w:cantSplit/>
        </w:trPr>
        <w:tc>
          <w:tcPr>
            <w:tcW w:w="6523" w:type="dxa"/>
          </w:tcPr>
          <w:p w14:paraId="3493A6B1" w14:textId="1AE19CE8" w:rsidR="00C63A98" w:rsidRPr="00C63A98" w:rsidRDefault="00610DB7" w:rsidP="00C63A98">
            <w:pPr>
              <w:pStyle w:val="Tabletext"/>
              <w:rPr>
                <w:rFonts w:ascii="Calibri" w:hAnsi="Calibri" w:cs="Calibri"/>
                <w:sz w:val="20"/>
              </w:rPr>
            </w:pPr>
            <w:r>
              <w:rPr>
                <w:rFonts w:ascii="Calibri" w:hAnsi="Calibri" w:cs="Calibri"/>
                <w:sz w:val="20"/>
              </w:rPr>
              <w:t>Rows are left out because a material mapping, or for PIAF rows an equipment code, is missing</w:t>
            </w:r>
          </w:p>
        </w:tc>
        <w:tc>
          <w:tcPr>
            <w:tcW w:w="2837" w:type="dxa"/>
          </w:tcPr>
          <w:p w14:paraId="1F6EA586" w14:textId="3EEA1329" w:rsidR="00C63A98" w:rsidRPr="00C63A98" w:rsidRDefault="00C63A98" w:rsidP="00C63A98">
            <w:pPr>
              <w:pStyle w:val="Tabletext"/>
              <w:rPr>
                <w:rFonts w:ascii="Calibri" w:hAnsi="Calibri" w:cs="Calibri"/>
                <w:sz w:val="20"/>
              </w:rPr>
            </w:pPr>
            <w:r w:rsidRPr="00C63A98">
              <w:rPr>
                <w:rFonts w:ascii="Calibri" w:hAnsi="Calibri" w:cs="Calibri"/>
                <w:sz w:val="20"/>
              </w:rPr>
              <w:t>MDM error</w:t>
            </w:r>
          </w:p>
        </w:tc>
      </w:tr>
      <w:tr w:rsidR="008F2422" w:rsidRPr="00C63A98" w14:paraId="6B5C4733" w14:textId="77777777" w:rsidTr="00C63A98">
        <w:trPr>
          <w:cantSplit/>
        </w:trPr>
        <w:tc>
          <w:tcPr>
            <w:tcW w:w="6523" w:type="dxa"/>
          </w:tcPr>
          <w:p w14:paraId="051F4C4F" w14:textId="25274DDF" w:rsidR="008F2422" w:rsidRPr="00C63A98" w:rsidRDefault="008F2422" w:rsidP="00C63A98">
            <w:pPr>
              <w:pStyle w:val="Tabletext"/>
              <w:rPr>
                <w:rFonts w:ascii="Calibri" w:hAnsi="Calibri" w:cs="Calibri"/>
                <w:sz w:val="20"/>
              </w:rPr>
            </w:pPr>
            <w:r>
              <w:rPr>
                <w:rFonts w:ascii="Calibri" w:hAnsi="Calibri" w:cs="Calibri"/>
                <w:sz w:val="20"/>
              </w:rPr>
              <w:t>A row is kept without a location or tank mapping</w:t>
            </w:r>
          </w:p>
        </w:tc>
        <w:tc>
          <w:tcPr>
            <w:tcW w:w="2837" w:type="dxa"/>
          </w:tcPr>
          <w:p w14:paraId="1CBF20DC" w14:textId="6FE33CE0" w:rsidR="008F2422" w:rsidRPr="00C63A98" w:rsidRDefault="008F2422" w:rsidP="00C63A98">
            <w:pPr>
              <w:pStyle w:val="Tabletext"/>
              <w:rPr>
                <w:rFonts w:ascii="Calibri" w:hAnsi="Calibri" w:cs="Calibri"/>
                <w:sz w:val="20"/>
              </w:rPr>
            </w:pPr>
            <w:r>
              <w:rPr>
                <w:rFonts w:ascii="Calibri" w:hAnsi="Calibri" w:cs="Calibri"/>
                <w:sz w:val="20"/>
              </w:rPr>
              <w:t>MDM error</w:t>
            </w:r>
          </w:p>
        </w:tc>
      </w:tr>
      <w:tr w:rsidR="00C63A98" w:rsidRPr="00C63A98" w14:paraId="6BC341BD" w14:textId="77777777" w:rsidTr="00C63A98">
        <w:trPr>
          <w:cantSplit/>
        </w:trPr>
        <w:tc>
          <w:tcPr>
            <w:tcW w:w="6523" w:type="dxa"/>
          </w:tcPr>
          <w:p w14:paraId="15CA61E0" w14:textId="27C3B5C1" w:rsidR="00C63A98" w:rsidRPr="00C63A98" w:rsidRDefault="00C63A98" w:rsidP="00C63A98">
            <w:pPr>
              <w:pStyle w:val="Tabletext"/>
              <w:rPr>
                <w:rFonts w:ascii="Calibri" w:hAnsi="Calibri" w:cs="Calibri"/>
                <w:sz w:val="20"/>
              </w:rPr>
            </w:pPr>
            <w:r w:rsidRPr="00C63A98">
              <w:rPr>
                <w:rFonts w:ascii="Calibri" w:hAnsi="Calibri" w:cs="Calibri"/>
                <w:sz w:val="20"/>
              </w:rPr>
              <w:t>Duplicate rows are left out</w:t>
            </w:r>
          </w:p>
        </w:tc>
        <w:tc>
          <w:tcPr>
            <w:tcW w:w="2837" w:type="dxa"/>
          </w:tcPr>
          <w:p w14:paraId="10199868" w14:textId="6762AFCF" w:rsidR="00C63A98" w:rsidRPr="00C63A98" w:rsidRDefault="00C63A98" w:rsidP="00C63A98">
            <w:pPr>
              <w:pStyle w:val="Tabletext"/>
              <w:rPr>
                <w:rFonts w:ascii="Calibri" w:hAnsi="Calibri" w:cs="Calibri"/>
                <w:sz w:val="20"/>
              </w:rPr>
            </w:pPr>
            <w:r w:rsidRPr="00C63A98">
              <w:rPr>
                <w:rFonts w:ascii="Calibri" w:hAnsi="Calibri" w:cs="Calibri"/>
                <w:sz w:val="20"/>
              </w:rPr>
              <w:t>Business error</w:t>
            </w:r>
          </w:p>
        </w:tc>
      </w:tr>
      <w:tr w:rsidR="008F2422" w:rsidRPr="00C63A98" w14:paraId="2CF4A08C" w14:textId="77777777" w:rsidTr="00C63A98">
        <w:trPr>
          <w:cantSplit/>
        </w:trPr>
        <w:tc>
          <w:tcPr>
            <w:tcW w:w="6523" w:type="dxa"/>
          </w:tcPr>
          <w:p w14:paraId="25356205" w14:textId="27E1BB41" w:rsidR="008F2422" w:rsidRPr="00C63A98" w:rsidRDefault="008F2422" w:rsidP="00C63A98">
            <w:pPr>
              <w:pStyle w:val="Tabletext"/>
              <w:rPr>
                <w:rFonts w:ascii="Calibri" w:hAnsi="Calibri" w:cs="Calibri"/>
                <w:sz w:val="20"/>
              </w:rPr>
            </w:pPr>
            <w:r>
              <w:rPr>
                <w:rFonts w:ascii="Calibri" w:hAnsi="Calibri" w:cs="Calibri"/>
                <w:sz w:val="20"/>
              </w:rPr>
              <w:t>A PIAF tag path is not found, a tag gives no good value in the period, or a totalizer's day total cannot be read</w:t>
            </w:r>
          </w:p>
        </w:tc>
        <w:tc>
          <w:tcPr>
            <w:tcW w:w="2837" w:type="dxa"/>
          </w:tcPr>
          <w:p w14:paraId="0BFE1191" w14:textId="19D973F3" w:rsidR="008F2422" w:rsidRPr="00C63A98" w:rsidRDefault="008F2422" w:rsidP="00C63A98">
            <w:pPr>
              <w:pStyle w:val="Tabletext"/>
              <w:rPr>
                <w:rFonts w:ascii="Calibri" w:hAnsi="Calibri" w:cs="Calibri"/>
                <w:sz w:val="20"/>
              </w:rPr>
            </w:pPr>
            <w:r>
              <w:rPr>
                <w:rFonts w:ascii="Calibri" w:hAnsi="Calibri" w:cs="Calibri"/>
                <w:sz w:val="20"/>
              </w:rPr>
              <w:t>Business error</w:t>
            </w:r>
          </w:p>
        </w:tc>
      </w:tr>
      <w:tr w:rsidR="00C63A98" w:rsidRPr="00C63A98" w14:paraId="5405F921" w14:textId="77777777" w:rsidTr="00C63A98">
        <w:trPr>
          <w:cantSplit/>
        </w:trPr>
        <w:tc>
          <w:tcPr>
            <w:tcW w:w="6523" w:type="dxa"/>
          </w:tcPr>
          <w:p w14:paraId="1E4F8CF6" w14:textId="4FFF8E23" w:rsidR="00C63A98" w:rsidRPr="00C63A98" w:rsidRDefault="00C63A98" w:rsidP="00C63A98">
            <w:pPr>
              <w:pStyle w:val="Tabletext"/>
              <w:rPr>
                <w:rFonts w:ascii="Calibri" w:hAnsi="Calibri" w:cs="Calibri"/>
                <w:sz w:val="20"/>
              </w:rPr>
            </w:pPr>
            <w:r w:rsidRPr="00C63A98">
              <w:rPr>
                <w:rFonts w:ascii="Calibri" w:hAnsi="Calibri" w:cs="Calibri"/>
                <w:sz w:val="20"/>
              </w:rPr>
              <w:t>The save through the stored procedure fails</w:t>
            </w:r>
          </w:p>
        </w:tc>
        <w:tc>
          <w:tcPr>
            <w:tcW w:w="2837" w:type="dxa"/>
          </w:tcPr>
          <w:p w14:paraId="6CDF77DB" w14:textId="19FCAACF" w:rsidR="00C63A98" w:rsidRPr="00C63A98" w:rsidRDefault="00C63A98" w:rsidP="00C63A98">
            <w:pPr>
              <w:pStyle w:val="Tabletext"/>
              <w:rPr>
                <w:rFonts w:ascii="Calibri" w:hAnsi="Calibri" w:cs="Calibri"/>
                <w:sz w:val="20"/>
              </w:rPr>
            </w:pPr>
            <w:r w:rsidRPr="00C63A98">
              <w:rPr>
                <w:rFonts w:ascii="Calibri" w:hAnsi="Calibri" w:cs="Calibri"/>
                <w:sz w:val="20"/>
              </w:rPr>
              <w:t>IT error and business error</w:t>
            </w:r>
          </w:p>
        </w:tc>
      </w:tr>
      <w:tr w:rsidR="00C63A98" w:rsidRPr="00C63A98" w14:paraId="19807B6D" w14:textId="77777777" w:rsidTr="00C63A98">
        <w:trPr>
          <w:cantSplit/>
        </w:trPr>
        <w:tc>
          <w:tcPr>
            <w:tcW w:w="6523" w:type="dxa"/>
          </w:tcPr>
          <w:p w14:paraId="60AB9221" w14:textId="561A40CA" w:rsidR="00C63A98" w:rsidRPr="00C63A98" w:rsidRDefault="00610DB7" w:rsidP="00C63A98">
            <w:pPr>
              <w:pStyle w:val="Tabletext"/>
              <w:keepNext/>
              <w:rPr>
                <w:rFonts w:ascii="Calibri" w:hAnsi="Calibri" w:cs="Calibri"/>
                <w:sz w:val="20"/>
              </w:rPr>
            </w:pPr>
            <w:r>
              <w:rPr>
                <w:rFonts w:ascii="Calibri" w:hAnsi="Calibri" w:cs="Calibri"/>
                <w:sz w:val="20"/>
              </w:rPr>
              <w:t>A requested MPR tag is not found in MPR</w:t>
            </w:r>
          </w:p>
        </w:tc>
        <w:tc>
          <w:tcPr>
            <w:tcW w:w="2837" w:type="dxa"/>
          </w:tcPr>
          <w:p w14:paraId="3111F8BF" w14:textId="4249C1D5" w:rsidR="00C63A98" w:rsidRPr="00C63A98" w:rsidRDefault="00C63A98" w:rsidP="00C63A98">
            <w:pPr>
              <w:pStyle w:val="Tabletext"/>
              <w:keepNext/>
              <w:rPr>
                <w:rFonts w:ascii="Calibri" w:hAnsi="Calibri" w:cs="Calibri"/>
                <w:sz w:val="20"/>
              </w:rPr>
            </w:pPr>
            <w:r w:rsidRPr="00C63A98">
              <w:rPr>
                <w:rFonts w:ascii="Calibri" w:hAnsi="Calibri" w:cs="Calibri"/>
                <w:sz w:val="20"/>
              </w:rPr>
              <w:t>IT error</w:t>
            </w:r>
          </w:p>
        </w:tc>
      </w:tr>
      <w:tr w:rsidR="008F2422" w:rsidRPr="00C63A98" w14:paraId="2B35E9F8" w14:textId="77777777" w:rsidTr="00C63A98">
        <w:trPr>
          <w:cantSplit/>
        </w:trPr>
        <w:tc>
          <w:tcPr>
            <w:tcW w:w="6523" w:type="dxa"/>
          </w:tcPr>
          <w:p w14:paraId="3263DE28" w14:textId="21036455" w:rsidR="008F2422" w:rsidRDefault="008F2422" w:rsidP="00C63A98">
            <w:pPr>
              <w:pStyle w:val="Tabletext"/>
              <w:keepNext/>
              <w:rPr>
                <w:rFonts w:ascii="Calibri" w:hAnsi="Calibri" w:cs="Calibri"/>
                <w:sz w:val="20"/>
              </w:rPr>
            </w:pPr>
            <w:r>
              <w:rPr>
                <w:rFonts w:ascii="Calibri" w:hAnsi="Calibri" w:cs="Calibri"/>
                <w:sz w:val="20"/>
              </w:rPr>
              <w:t>No MPR tag in a price service call has a Profisee code</w:t>
            </w:r>
          </w:p>
        </w:tc>
        <w:tc>
          <w:tcPr>
            <w:tcW w:w="2837" w:type="dxa"/>
          </w:tcPr>
          <w:p w14:paraId="3C4E844A" w14:textId="1A2CC375" w:rsidR="008F2422" w:rsidRPr="00C63A98" w:rsidRDefault="008F2422" w:rsidP="00C63A98">
            <w:pPr>
              <w:pStyle w:val="Tabletext"/>
              <w:keepNext/>
              <w:rPr>
                <w:rFonts w:ascii="Calibri" w:hAnsi="Calibri" w:cs="Calibri"/>
                <w:sz w:val="20"/>
              </w:rPr>
            </w:pPr>
            <w:r>
              <w:rPr>
                <w:rFonts w:ascii="Calibri" w:hAnsi="Calibri" w:cs="Calibri"/>
                <w:sz w:val="20"/>
              </w:rPr>
              <w:t>IT error</w:t>
            </w:r>
          </w:p>
        </w:tc>
      </w:tr>
      <w:tr w:rsidR="009C3F56" w:rsidRPr="00C63A98" w14:paraId="3FAF548E" w14:textId="77777777" w:rsidTr="00C63A98">
        <w:trPr>
          <w:cantSplit/>
        </w:trPr>
        <w:tc>
          <w:tcPr>
            <w:tcW w:w="6523" w:type="dxa"/>
          </w:tcPr>
          <w:p w14:paraId="00613325" w14:textId="444BB430" w:rsidR="009C3F56" w:rsidRDefault="009C3F56" w:rsidP="00C63A98">
            <w:pPr>
              <w:pStyle w:val="Tabletext"/>
              <w:keepNext/>
              <w:rPr>
                <w:rFonts w:ascii="Calibri" w:hAnsi="Calibri" w:cs="Calibri"/>
                <w:sz w:val="20"/>
              </w:rPr>
            </w:pPr>
            <w:r>
              <w:rPr>
                <w:rFonts w:ascii="Calibri" w:hAnsi="Calibri" w:cs="Calibri"/>
                <w:sz w:val="20"/>
              </w:rPr>
              <w:t>The analyzer qualities of a terminal are not stored because the terminal has no time zone in Profisee</w:t>
            </w:r>
          </w:p>
        </w:tc>
        <w:tc>
          <w:tcPr>
            <w:tcW w:w="2837" w:type="dxa"/>
          </w:tcPr>
          <w:p w14:paraId="2BF3B68F" w14:textId="274C5ECB" w:rsidR="009C3F56" w:rsidRDefault="009C3F56" w:rsidP="00C63A98">
            <w:pPr>
              <w:pStyle w:val="Tabletext"/>
              <w:keepNext/>
              <w:rPr>
                <w:rFonts w:ascii="Calibri" w:hAnsi="Calibri" w:cs="Calibri"/>
                <w:sz w:val="20"/>
              </w:rPr>
            </w:pPr>
            <w:r>
              <w:rPr>
                <w:rFonts w:ascii="Calibri" w:hAnsi="Calibri" w:cs="Calibri"/>
                <w:sz w:val="20"/>
              </w:rPr>
              <w:t>MDM error</w:t>
            </w:r>
          </w:p>
        </w:tc>
      </w:tr>
      <w:tr w:rsidR="009C3F56" w:rsidRPr="00C63A98" w14:paraId="52379E51" w14:textId="77777777" w:rsidTr="00C63A98">
        <w:trPr>
          <w:cantSplit/>
        </w:trPr>
        <w:tc>
          <w:tcPr>
            <w:tcW w:w="6523" w:type="dxa"/>
          </w:tcPr>
          <w:p w14:paraId="078AF362" w14:textId="3AC17459" w:rsidR="009C3F56" w:rsidRDefault="009C3F56" w:rsidP="00C63A98">
            <w:pPr>
              <w:pStyle w:val="Tabletext"/>
              <w:keepNext/>
              <w:rPr>
                <w:rFonts w:ascii="Calibri" w:hAnsi="Calibri" w:cs="Calibri"/>
                <w:sz w:val="20"/>
              </w:rPr>
            </w:pPr>
            <w:r>
              <w:rPr>
                <w:rFonts w:ascii="Calibri" w:hAnsi="Calibri" w:cs="Calibri"/>
                <w:sz w:val="20"/>
              </w:rPr>
              <w:t>A Kittyhawk row is left out because its quantity unit has no conversion to barrels</w:t>
            </w:r>
          </w:p>
        </w:tc>
        <w:tc>
          <w:tcPr>
            <w:tcW w:w="2837" w:type="dxa"/>
          </w:tcPr>
          <w:p w14:paraId="78A7A37B" w14:textId="2A995BE4" w:rsidR="009C3F56" w:rsidRDefault="009C3F56" w:rsidP="00C63A98">
            <w:pPr>
              <w:pStyle w:val="Tabletext"/>
              <w:keepNext/>
              <w:rPr>
                <w:rFonts w:ascii="Calibri" w:hAnsi="Calibri" w:cs="Calibri"/>
                <w:sz w:val="20"/>
              </w:rPr>
            </w:pPr>
            <w:r>
              <w:rPr>
                <w:rFonts w:ascii="Calibri" w:hAnsi="Calibri" w:cs="Calibri"/>
                <w:sz w:val="20"/>
              </w:rPr>
              <w:t>MDM error</w:t>
            </w:r>
          </w:p>
        </w:tc>
      </w:tr>
      <w:tr w:rsidR="009C3F56" w:rsidRPr="00C63A98" w14:paraId="6A2C341A" w14:textId="77777777" w:rsidTr="00C63A98">
        <w:trPr>
          <w:cantSplit/>
        </w:trPr>
        <w:tc>
          <w:tcPr>
            <w:tcW w:w="6523" w:type="dxa"/>
          </w:tcPr>
          <w:p w14:paraId="38E68558" w14:textId="3CD7C8C0" w:rsidR="009C3F56" w:rsidRDefault="009C3F56" w:rsidP="00C63A98">
            <w:pPr>
              <w:pStyle w:val="Tabletext"/>
              <w:keepNext/>
              <w:rPr>
                <w:rFonts w:ascii="Calibri" w:hAnsi="Calibri" w:cs="Calibri"/>
                <w:sz w:val="20"/>
              </w:rPr>
            </w:pPr>
            <w:r>
              <w:rPr>
                <w:rFonts w:ascii="Calibri" w:hAnsi="Calibri" w:cs="Calibri"/>
                <w:sz w:val="20"/>
              </w:rPr>
              <w:t>A Kittyhawk row is left out because it has no facility or blend component</w:t>
            </w:r>
          </w:p>
        </w:tc>
        <w:tc>
          <w:tcPr>
            <w:tcW w:w="2837" w:type="dxa"/>
          </w:tcPr>
          <w:p w14:paraId="7E9661A0" w14:textId="3D3D3887" w:rsidR="009C3F56" w:rsidRDefault="009C3F56" w:rsidP="00C63A98">
            <w:pPr>
              <w:pStyle w:val="Tabletext"/>
              <w:keepNext/>
              <w:rPr>
                <w:rFonts w:ascii="Calibri" w:hAnsi="Calibri" w:cs="Calibri"/>
                <w:sz w:val="20"/>
              </w:rPr>
            </w:pPr>
            <w:r>
              <w:rPr>
                <w:rFonts w:ascii="Calibri" w:hAnsi="Calibri" w:cs="Calibri"/>
                <w:sz w:val="20"/>
              </w:rPr>
              <w:t>MDM error</w:t>
            </w:r>
          </w:p>
        </w:tc>
      </w:tr>
      <w:tr w:rsidR="009C3F56" w:rsidRPr="00C63A98" w14:paraId="662219DD" w14:textId="77777777" w:rsidTr="00C63A98">
        <w:trPr>
          <w:cantSplit/>
        </w:trPr>
        <w:tc>
          <w:tcPr>
            <w:tcW w:w="6523" w:type="dxa"/>
          </w:tcPr>
          <w:p w14:paraId="56A72C4F" w14:textId="45471B96" w:rsidR="009C3F56" w:rsidRDefault="009C3F56" w:rsidP="00C63A98">
            <w:pPr>
              <w:pStyle w:val="Tabletext"/>
              <w:keepNext/>
              <w:rPr>
                <w:rFonts w:ascii="Calibri" w:hAnsi="Calibri" w:cs="Calibri"/>
                <w:sz w:val="20"/>
              </w:rPr>
            </w:pPr>
            <w:r>
              <w:rPr>
                <w:rFonts w:ascii="Calibri" w:hAnsi="Calibri" w:cs="Calibri"/>
                <w:sz w:val="20"/>
              </w:rPr>
              <w:t>A specification value is left out of the Default Min and Default Max because it cannot be used (one notification for each request)</w:t>
            </w:r>
          </w:p>
        </w:tc>
        <w:tc>
          <w:tcPr>
            <w:tcW w:w="2837" w:type="dxa"/>
          </w:tcPr>
          <w:p w14:paraId="665BADA9" w14:textId="53FA1D56" w:rsidR="009C3F56" w:rsidRDefault="009C3F56" w:rsidP="00C63A98">
            <w:pPr>
              <w:pStyle w:val="Tabletext"/>
              <w:keepNext/>
              <w:rPr>
                <w:rFonts w:ascii="Calibri" w:hAnsi="Calibri" w:cs="Calibri"/>
                <w:sz w:val="20"/>
              </w:rPr>
            </w:pPr>
            <w:r>
              <w:rPr>
                <w:rFonts w:ascii="Calibri" w:hAnsi="Calibri" w:cs="Calibri"/>
                <w:sz w:val="20"/>
              </w:rPr>
              <w:t>Business error</w:t>
            </w:r>
          </w:p>
        </w:tc>
      </w:tr>
      <w:tr w:rsidR="009C3F56" w:rsidRPr="00C63A98" w14:paraId="46B239CB" w14:textId="77777777" w:rsidTr="00C63A98">
        <w:trPr>
          <w:cantSplit/>
        </w:trPr>
        <w:tc>
          <w:tcPr>
            <w:tcW w:w="6523" w:type="dxa"/>
          </w:tcPr>
          <w:p w14:paraId="78E04409" w14:textId="7B172FFB" w:rsidR="009C3F56" w:rsidRDefault="00D87FC6" w:rsidP="00C63A98">
            <w:pPr>
              <w:pStyle w:val="Tabletext"/>
              <w:keepNext/>
              <w:rPr>
                <w:rFonts w:ascii="Calibri" w:hAnsi="Calibri" w:cs="Calibri"/>
                <w:sz w:val="20"/>
              </w:rPr>
            </w:pPr>
            <w:r>
              <w:rPr>
                <w:rFonts w:ascii="Calibri" w:hAnsi="Calibri" w:cs="Calibri"/>
                <w:sz w:val="20"/>
              </w:rPr>
              <w:t>Profisee data mapping rows are left out before the merge because a key value is blank or the four key values repeat (one notification for each row or group)</w:t>
            </w:r>
          </w:p>
        </w:tc>
        <w:tc>
          <w:tcPr>
            <w:tcW w:w="2837" w:type="dxa"/>
          </w:tcPr>
          <w:p w14:paraId="4E9F0C93" w14:textId="05986196" w:rsidR="009C3F56" w:rsidRDefault="009C3F56" w:rsidP="00C63A98">
            <w:pPr>
              <w:pStyle w:val="Tabletext"/>
              <w:keepNext/>
              <w:rPr>
                <w:rFonts w:ascii="Calibri" w:hAnsi="Calibri" w:cs="Calibri"/>
                <w:sz w:val="20"/>
              </w:rPr>
            </w:pPr>
            <w:r>
              <w:rPr>
                <w:rFonts w:ascii="Calibri" w:hAnsi="Calibri" w:cs="Calibri"/>
                <w:sz w:val="20"/>
              </w:rPr>
              <w:t>Business error</w:t>
            </w:r>
          </w:p>
        </w:tc>
      </w:tr>
      <w:tr w:rsidR="00D87FC6" w:rsidRPr="00C63A98" w14:paraId="1D8413E1" w14:textId="77777777" w:rsidTr="00C63A98">
        <w:trPr>
          <w:cantSplit/>
        </w:trPr>
        <w:tc>
          <w:tcPr>
            <w:tcW w:w="6523" w:type="dxa"/>
          </w:tcPr>
          <w:p w14:paraId="7123F731" w14:textId="1252BB20" w:rsidR="00D87FC6" w:rsidRDefault="00D87FC6" w:rsidP="00C63A98">
            <w:pPr>
              <w:pStyle w:val="Tabletext"/>
              <w:keepNext/>
              <w:rPr>
                <w:rFonts w:ascii="Calibri" w:hAnsi="Calibri" w:cs="Calibri"/>
                <w:sz w:val="20"/>
              </w:rPr>
            </w:pPr>
            <w:r>
              <w:rPr>
                <w:rFonts w:ascii="Calibri" w:hAnsi="Calibri" w:cs="Calibri"/>
                <w:sz w:val="20"/>
              </w:rPr>
              <w:t>A waiver row is left out because its quality has no specification</w:t>
            </w:r>
          </w:p>
        </w:tc>
        <w:tc>
          <w:tcPr>
            <w:tcW w:w="2837" w:type="dxa"/>
          </w:tcPr>
          <w:p w14:paraId="0BCEF470" w14:textId="0AE16E1B" w:rsidR="00D87FC6" w:rsidRDefault="00D87FC6" w:rsidP="00C63A98">
            <w:pPr>
              <w:pStyle w:val="Tabletext"/>
              <w:keepNext/>
              <w:rPr>
                <w:rFonts w:ascii="Calibri" w:hAnsi="Calibri" w:cs="Calibri"/>
                <w:sz w:val="20"/>
              </w:rPr>
            </w:pPr>
            <w:r>
              <w:rPr>
                <w:rFonts w:ascii="Calibri" w:hAnsi="Calibri" w:cs="Calibri"/>
                <w:sz w:val="20"/>
              </w:rPr>
              <w:t>MDM error</w:t>
            </w:r>
          </w:p>
        </w:tc>
      </w:tr>
      <w:tr w:rsidR="00D87FC6" w:rsidRPr="00C63A98" w14:paraId="6C95FB13" w14:textId="77777777" w:rsidTr="00C63A98">
        <w:trPr>
          <w:cantSplit/>
        </w:trPr>
        <w:tc>
          <w:tcPr>
            <w:tcW w:w="6523" w:type="dxa"/>
          </w:tcPr>
          <w:p w14:paraId="2206B21C" w14:textId="50CDE8EF" w:rsidR="00D87FC6" w:rsidRDefault="00D87FC6" w:rsidP="00C63A98">
            <w:pPr>
              <w:pStyle w:val="Tabletext"/>
              <w:keepNext/>
              <w:rPr>
                <w:rFonts w:ascii="Calibri" w:hAnsi="Calibri" w:cs="Calibri"/>
                <w:sz w:val="20"/>
              </w:rPr>
            </w:pPr>
            <w:r>
              <w:rPr>
                <w:rFonts w:ascii="Calibri" w:hAnsi="Calibri" w:cs="Calibri"/>
                <w:sz w:val="20"/>
              </w:rPr>
              <w:t>Profisee returns no rows although its data has changed</w:t>
            </w:r>
          </w:p>
        </w:tc>
        <w:tc>
          <w:tcPr>
            <w:tcW w:w="2837" w:type="dxa"/>
          </w:tcPr>
          <w:p w14:paraId="75EBA7EC" w14:textId="066DFB5C" w:rsidR="00D87FC6" w:rsidRDefault="00D87FC6" w:rsidP="00C63A98">
            <w:pPr>
              <w:pStyle w:val="Tabletext"/>
              <w:keepNext/>
              <w:rPr>
                <w:rFonts w:ascii="Calibri" w:hAnsi="Calibri" w:cs="Calibri"/>
                <w:sz w:val="20"/>
              </w:rPr>
            </w:pPr>
            <w:r>
              <w:rPr>
                <w:rFonts w:ascii="Calibri" w:hAnsi="Calibri" w:cs="Calibri"/>
                <w:sz w:val="20"/>
              </w:rPr>
              <w:t>Business error</w:t>
            </w:r>
          </w:p>
        </w:tc>
      </w:tr>
    </w:tbl>
    <w:p w14:paraId="19224306" w14:textId="7BFCD6AA" w:rsidR="00C63A98" w:rsidRDefault="00C63A98" w:rsidP="00C63A98">
      <w:pPr>
        <w:pStyle w:val="Caption"/>
      </w:pPr>
      <w:bookmarkStart w:id="277" w:name="_Toc241311509"/>
      <w:bookmarkStart w:id="278" w:name="_Toc241574665"/>
      <w:bookmarkStart w:id="279" w:name="_Toc242554049"/>
      <w:r>
        <w:t xml:space="preserve">Table </w:t>
      </w:r>
      <w:bookmarkStart w:id="280" w:name="_Ref917260946"/>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51</w:t>
      </w:r>
      <w:r>
        <w:fldChar w:fldCharType="end"/>
      </w:r>
      <w:bookmarkEnd w:id="280"/>
      <w:r>
        <w:t>: Monitoring &amp; Error Handling - Notifications</w:t>
      </w:r>
      <w:bookmarkEnd w:id="277"/>
      <w:bookmarkEnd w:id="278"/>
      <w:bookmarkEnd w:id="279"/>
    </w:p>
    <w:p w14:paraId="1B0C6D48" w14:textId="12132152" w:rsidR="00C63A98" w:rsidRDefault="00AA30D8" w:rsidP="00FC42E7">
      <w:pPr>
        <w:pStyle w:val="ListParagraph"/>
        <w:numPr>
          <w:ilvl w:val="0"/>
          <w:numId w:val="4"/>
        </w:numPr>
        <w:jc w:val="left"/>
      </w:pPr>
      <w:r>
        <w:t>The functions and services shall also write their progress and errors to the logs.</w:t>
      </w:r>
    </w:p>
    <w:p w14:paraId="22F8E139" w14:textId="12D8EC2E" w:rsidR="00E91390" w:rsidRPr="00947205" w:rsidRDefault="454AFD1F" w:rsidP="00140DC0">
      <w:pPr>
        <w:pStyle w:val="Heading2"/>
        <w:pageBreakBefore/>
        <w:rPr>
          <w:rFonts w:ascii="Calibri" w:hAnsi="Calibri" w:cs="Calibri"/>
          <w:sz w:val="20"/>
          <w:lang w:val="en-IN"/>
        </w:rPr>
      </w:pPr>
      <w:bookmarkStart w:id="281" w:name="_Toc558626741"/>
      <w:bookmarkStart w:id="282" w:name="_Toc2089605661"/>
      <w:bookmarkStart w:id="283" w:name="_Toc241574306"/>
      <w:bookmarkStart w:id="284" w:name="_Ref917260908"/>
      <w:bookmarkStart w:id="285" w:name="_Toc242553928"/>
      <w:r w:rsidRPr="00947205">
        <w:rPr>
          <w:rFonts w:ascii="Calibri" w:hAnsi="Calibri" w:cs="Calibri"/>
          <w:sz w:val="20"/>
          <w:lang w:val="en-IN"/>
        </w:rPr>
        <w:t>Retry Mechanism</w:t>
      </w:r>
      <w:bookmarkEnd w:id="281"/>
      <w:bookmarkEnd w:id="282"/>
      <w:bookmarkEnd w:id="283"/>
      <w:bookmarkEnd w:id="284"/>
      <w:bookmarkEnd w:id="285"/>
    </w:p>
    <w:p w14:paraId="1015DF1E" w14:textId="1DC7BEF3" w:rsidR="00C63A98" w:rsidRDefault="00AA30D8" w:rsidP="00FC42E7">
      <w:pPr>
        <w:keepNext/>
        <w:jc w:val="left"/>
      </w:pPr>
      <w:r>
        <w:t>The system shall retry a set number of times when a failure is temporary, for example when:</w:t>
      </w:r>
    </w:p>
    <w:p w14:paraId="0038B3C4" w14:textId="37EBA53D" w:rsidR="00C63A98" w:rsidRPr="00EC3682" w:rsidRDefault="00AA30D8" w:rsidP="00957267">
      <w:pPr>
        <w:pStyle w:val="ListParagraph"/>
        <w:numPr>
          <w:ilvl w:val="0"/>
          <w:numId w:val="4"/>
        </w:numPr>
        <w:jc w:val="left"/>
        <w:rPr>
          <w:rFonts w:ascii="Calibri" w:hAnsi="Calibri" w:cs="Calibri"/>
        </w:rPr>
      </w:pPr>
      <w:r>
        <w:t>A step of a durable function (an activity) fails. The orchestrator shall retry it according to its retry policy.</w:t>
      </w:r>
    </w:p>
    <w:p w14:paraId="42B4DD58" w14:textId="5F0B5BC7" w:rsidR="00C63A98" w:rsidRPr="00EC3682" w:rsidRDefault="00AA30D8" w:rsidP="00957267">
      <w:pPr>
        <w:pStyle w:val="ListParagraph"/>
        <w:numPr>
          <w:ilvl w:val="0"/>
          <w:numId w:val="4"/>
        </w:numPr>
        <w:jc w:val="left"/>
        <w:rPr>
          <w:rFonts w:ascii="Calibri" w:hAnsi="Calibri" w:cs="Calibri"/>
        </w:rPr>
      </w:pPr>
      <w:r>
        <w:t>Saving to the IQDM database through the stored procedure fails. The save shall be retried, with a wait between attempts.</w:t>
      </w:r>
    </w:p>
    <w:p w14:paraId="60724DDB" w14:textId="4E3489CC" w:rsidR="00981277" w:rsidRPr="00947205" w:rsidRDefault="007364BC" w:rsidP="00140DC0">
      <w:pPr>
        <w:pStyle w:val="Heading2"/>
        <w:pageBreakBefore/>
        <w:rPr>
          <w:rFonts w:ascii="Calibri" w:hAnsi="Calibri" w:cs="Calibri"/>
          <w:sz w:val="20"/>
          <w:lang w:val="en-IN"/>
        </w:rPr>
      </w:pPr>
      <w:bookmarkStart w:id="286" w:name="_Toc241574307"/>
      <w:bookmarkStart w:id="287" w:name="_Toc242553929"/>
      <w:r w:rsidRPr="00947205">
        <w:rPr>
          <w:rFonts w:ascii="Calibri" w:hAnsi="Calibri" w:cs="Calibri"/>
          <w:sz w:val="20"/>
          <w:lang w:val="en-IN"/>
        </w:rPr>
        <w:t>Software and Hardware Details</w:t>
      </w:r>
      <w:bookmarkEnd w:id="286"/>
      <w:bookmarkEnd w:id="287"/>
    </w:p>
    <w:p w14:paraId="71074607" w14:textId="1B72996F" w:rsidR="00C63A98" w:rsidRDefault="00610DB7" w:rsidP="00FC42E7">
      <w:pPr>
        <w:keepNext/>
        <w:jc w:val="left"/>
      </w:pPr>
      <w:r>
        <w:t>The table below gives the software and hardware needed for the integration projects (Azure Functions and web APIs).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6"/>
        <w:gridCol w:w="3362"/>
        <w:gridCol w:w="5282"/>
      </w:tblGrid>
      <w:tr w:rsidR="00C63A98" w:rsidRPr="00C63A98" w14:paraId="733A4D39" w14:textId="77777777" w:rsidTr="00C63A98">
        <w:trPr>
          <w:cantSplit/>
          <w:tblHeader/>
        </w:trPr>
        <w:tc>
          <w:tcPr>
            <w:tcW w:w="716" w:type="dxa"/>
            <w:shd w:val="clear" w:color="auto" w:fill="2F5597"/>
          </w:tcPr>
          <w:p w14:paraId="3C2ECD5A" w14:textId="635764E9" w:rsidR="00C63A98" w:rsidRPr="00C63A98" w:rsidRDefault="00C63A98" w:rsidP="00AA30D8">
            <w:pPr>
              <w:pStyle w:val="Tablehead1"/>
              <w:rPr>
                <w:rFonts w:ascii="Calibri" w:hAnsi="Calibri" w:cs="Calibri"/>
                <w:sz w:val="20"/>
              </w:rPr>
            </w:pPr>
            <w:r w:rsidRPr="00C63A98">
              <w:rPr>
                <w:rFonts w:ascii="Calibri" w:hAnsi="Calibri" w:cs="Calibri"/>
                <w:sz w:val="20"/>
              </w:rPr>
              <w:t>S. No</w:t>
            </w:r>
          </w:p>
        </w:tc>
        <w:tc>
          <w:tcPr>
            <w:tcW w:w="3362" w:type="dxa"/>
            <w:shd w:val="clear" w:color="auto" w:fill="2F5597"/>
          </w:tcPr>
          <w:p w14:paraId="6A88BA8D" w14:textId="38726020" w:rsidR="00C63A98" w:rsidRPr="00C63A98" w:rsidRDefault="00C63A98" w:rsidP="00AA30D8">
            <w:pPr>
              <w:pStyle w:val="Tablehead1"/>
              <w:rPr>
                <w:rFonts w:ascii="Calibri" w:hAnsi="Calibri" w:cs="Calibri"/>
                <w:sz w:val="20"/>
              </w:rPr>
            </w:pPr>
            <w:r w:rsidRPr="00C63A98">
              <w:rPr>
                <w:rFonts w:ascii="Calibri" w:hAnsi="Calibri" w:cs="Calibri"/>
                <w:sz w:val="20"/>
              </w:rPr>
              <w:t>Software/Hardware</w:t>
            </w:r>
          </w:p>
        </w:tc>
        <w:tc>
          <w:tcPr>
            <w:tcW w:w="5282" w:type="dxa"/>
            <w:shd w:val="clear" w:color="auto" w:fill="2F5597"/>
          </w:tcPr>
          <w:p w14:paraId="1A69B0A8" w14:textId="71AD3829" w:rsidR="00C63A98" w:rsidRPr="00C63A98" w:rsidRDefault="00C63A98" w:rsidP="00AA30D8">
            <w:pPr>
              <w:pStyle w:val="Tablehead1"/>
              <w:rPr>
                <w:rFonts w:ascii="Calibri" w:hAnsi="Calibri" w:cs="Calibri"/>
                <w:sz w:val="20"/>
              </w:rPr>
            </w:pPr>
            <w:r w:rsidRPr="00C63A98">
              <w:rPr>
                <w:rFonts w:ascii="Calibri" w:hAnsi="Calibri" w:cs="Calibri"/>
                <w:sz w:val="20"/>
              </w:rPr>
              <w:t>Version</w:t>
            </w:r>
          </w:p>
        </w:tc>
      </w:tr>
      <w:tr w:rsidR="00C63A98" w:rsidRPr="00C63A98" w14:paraId="4132A9EB" w14:textId="77777777" w:rsidTr="00C63A98">
        <w:trPr>
          <w:cantSplit/>
        </w:trPr>
        <w:tc>
          <w:tcPr>
            <w:tcW w:w="716" w:type="dxa"/>
          </w:tcPr>
          <w:p w14:paraId="1EB18509" w14:textId="2F472E98" w:rsidR="00C63A98" w:rsidRPr="00C63A98" w:rsidRDefault="00C63A98" w:rsidP="00AA30D8">
            <w:pPr>
              <w:pStyle w:val="Tabletext"/>
              <w:keepNext/>
              <w:rPr>
                <w:rFonts w:ascii="Calibri" w:hAnsi="Calibri" w:cs="Calibri"/>
                <w:sz w:val="20"/>
              </w:rPr>
            </w:pPr>
            <w:r w:rsidRPr="00C63A98">
              <w:rPr>
                <w:rFonts w:ascii="Calibri" w:hAnsi="Calibri" w:cs="Calibri"/>
                <w:sz w:val="20"/>
              </w:rPr>
              <w:t>1</w:t>
            </w:r>
          </w:p>
        </w:tc>
        <w:tc>
          <w:tcPr>
            <w:tcW w:w="3362" w:type="dxa"/>
          </w:tcPr>
          <w:p w14:paraId="1B497187" w14:textId="3EBCCC40" w:rsidR="00C63A98" w:rsidRPr="00C63A98" w:rsidRDefault="00C63A98" w:rsidP="00AA30D8">
            <w:pPr>
              <w:pStyle w:val="Tabletext"/>
              <w:keepNext/>
              <w:rPr>
                <w:rFonts w:ascii="Calibri" w:hAnsi="Calibri" w:cs="Calibri"/>
                <w:sz w:val="20"/>
              </w:rPr>
            </w:pPr>
            <w:r w:rsidRPr="00C63A98">
              <w:rPr>
                <w:rFonts w:ascii="Calibri" w:hAnsi="Calibri" w:cs="Calibri"/>
                <w:sz w:val="20"/>
              </w:rPr>
              <w:t>.NET</w:t>
            </w:r>
          </w:p>
        </w:tc>
        <w:tc>
          <w:tcPr>
            <w:tcW w:w="5282" w:type="dxa"/>
          </w:tcPr>
          <w:p w14:paraId="6B9517EA" w14:textId="206256B1" w:rsidR="00C63A98" w:rsidRPr="00C63A98" w:rsidRDefault="00C63A98" w:rsidP="00AA30D8">
            <w:pPr>
              <w:pStyle w:val="Tabletext"/>
              <w:keepNext/>
              <w:rPr>
                <w:rFonts w:ascii="Calibri" w:hAnsi="Calibri" w:cs="Calibri"/>
                <w:sz w:val="20"/>
              </w:rPr>
            </w:pPr>
            <w:r w:rsidRPr="00C63A98">
              <w:rPr>
                <w:rFonts w:ascii="Calibri" w:hAnsi="Calibri" w:cs="Calibri"/>
                <w:sz w:val="20"/>
              </w:rPr>
              <w:t>.NET 8.0</w:t>
            </w:r>
          </w:p>
        </w:tc>
      </w:tr>
      <w:tr w:rsidR="00C63A98" w:rsidRPr="00C63A98" w14:paraId="1C2281B9" w14:textId="77777777" w:rsidTr="00C63A98">
        <w:trPr>
          <w:cantSplit/>
        </w:trPr>
        <w:tc>
          <w:tcPr>
            <w:tcW w:w="716" w:type="dxa"/>
          </w:tcPr>
          <w:p w14:paraId="4FAD6C05" w14:textId="7FC12EDA" w:rsidR="00C63A98" w:rsidRPr="00C63A98" w:rsidRDefault="00C63A98" w:rsidP="00AA30D8">
            <w:pPr>
              <w:pStyle w:val="Tabletext"/>
              <w:keepNext/>
              <w:rPr>
                <w:rFonts w:ascii="Calibri" w:hAnsi="Calibri" w:cs="Calibri"/>
                <w:sz w:val="20"/>
              </w:rPr>
            </w:pPr>
            <w:r w:rsidRPr="00C63A98">
              <w:rPr>
                <w:rFonts w:ascii="Calibri" w:hAnsi="Calibri" w:cs="Calibri"/>
                <w:sz w:val="20"/>
              </w:rPr>
              <w:t>2</w:t>
            </w:r>
          </w:p>
        </w:tc>
        <w:tc>
          <w:tcPr>
            <w:tcW w:w="3362" w:type="dxa"/>
          </w:tcPr>
          <w:p w14:paraId="4B15D8E1" w14:textId="01E655BD" w:rsidR="00C63A98" w:rsidRPr="00C63A98" w:rsidRDefault="00C63A98" w:rsidP="00AA30D8">
            <w:pPr>
              <w:pStyle w:val="Tabletext"/>
              <w:keepNext/>
              <w:rPr>
                <w:rFonts w:ascii="Calibri" w:hAnsi="Calibri" w:cs="Calibri"/>
                <w:sz w:val="20"/>
              </w:rPr>
            </w:pPr>
            <w:r w:rsidRPr="00C63A98">
              <w:rPr>
                <w:rFonts w:ascii="Calibri" w:hAnsi="Calibri" w:cs="Calibri"/>
                <w:sz w:val="20"/>
              </w:rPr>
              <w:t>Microsoft Visual Studio</w:t>
            </w:r>
          </w:p>
        </w:tc>
        <w:tc>
          <w:tcPr>
            <w:tcW w:w="5282" w:type="dxa"/>
          </w:tcPr>
          <w:p w14:paraId="202DFA25" w14:textId="024F3FBC" w:rsidR="00C63A98" w:rsidRPr="00C63A98" w:rsidRDefault="00C63A98" w:rsidP="00AA30D8">
            <w:pPr>
              <w:pStyle w:val="Tabletext"/>
              <w:keepNext/>
              <w:rPr>
                <w:rFonts w:ascii="Calibri" w:hAnsi="Calibri" w:cs="Calibri"/>
                <w:sz w:val="20"/>
              </w:rPr>
            </w:pPr>
            <w:r w:rsidRPr="00C63A98">
              <w:rPr>
                <w:rFonts w:ascii="Calibri" w:hAnsi="Calibri" w:cs="Calibri"/>
                <w:sz w:val="20"/>
              </w:rPr>
              <w:t>Microsoft Visual Studio 2022</w:t>
            </w:r>
          </w:p>
        </w:tc>
      </w:tr>
      <w:tr w:rsidR="00C63A98" w:rsidRPr="00C63A98" w14:paraId="6BC65801" w14:textId="77777777" w:rsidTr="00C63A98">
        <w:trPr>
          <w:cantSplit/>
        </w:trPr>
        <w:tc>
          <w:tcPr>
            <w:tcW w:w="716" w:type="dxa"/>
          </w:tcPr>
          <w:p w14:paraId="72D75E83" w14:textId="5B8B869B" w:rsidR="00C63A98" w:rsidRPr="00C63A98" w:rsidRDefault="00C63A98" w:rsidP="00AA30D8">
            <w:pPr>
              <w:pStyle w:val="Tabletext"/>
              <w:keepNext/>
              <w:rPr>
                <w:rFonts w:ascii="Calibri" w:hAnsi="Calibri" w:cs="Calibri"/>
                <w:sz w:val="20"/>
              </w:rPr>
            </w:pPr>
            <w:r w:rsidRPr="00C63A98">
              <w:rPr>
                <w:rFonts w:ascii="Calibri" w:hAnsi="Calibri" w:cs="Calibri"/>
                <w:sz w:val="20"/>
              </w:rPr>
              <w:t>3</w:t>
            </w:r>
          </w:p>
        </w:tc>
        <w:tc>
          <w:tcPr>
            <w:tcW w:w="3362" w:type="dxa"/>
          </w:tcPr>
          <w:p w14:paraId="4B51AC4B" w14:textId="2EE7DA3F" w:rsidR="00C63A98" w:rsidRPr="00C63A98" w:rsidRDefault="00C63A98" w:rsidP="00AA30D8">
            <w:pPr>
              <w:pStyle w:val="Tabletext"/>
              <w:keepNext/>
              <w:rPr>
                <w:rFonts w:ascii="Calibri" w:hAnsi="Calibri" w:cs="Calibri"/>
                <w:sz w:val="20"/>
              </w:rPr>
            </w:pPr>
            <w:r w:rsidRPr="00C63A98">
              <w:rPr>
                <w:rFonts w:ascii="Calibri" w:hAnsi="Calibri" w:cs="Calibri"/>
                <w:sz w:val="20"/>
              </w:rPr>
              <w:t>Processor</w:t>
            </w:r>
          </w:p>
        </w:tc>
        <w:tc>
          <w:tcPr>
            <w:tcW w:w="5282" w:type="dxa"/>
          </w:tcPr>
          <w:p w14:paraId="174B97E2" w14:textId="63378B69" w:rsidR="00C63A98" w:rsidRPr="00C63A98" w:rsidRDefault="00C63A98" w:rsidP="00AA30D8">
            <w:pPr>
              <w:pStyle w:val="Tabletext"/>
              <w:keepNext/>
              <w:rPr>
                <w:rFonts w:ascii="Calibri" w:hAnsi="Calibri" w:cs="Calibri"/>
                <w:sz w:val="20"/>
              </w:rPr>
            </w:pPr>
            <w:r w:rsidRPr="00C63A98">
              <w:rPr>
                <w:rFonts w:ascii="Calibri" w:hAnsi="Calibri" w:cs="Calibri"/>
                <w:sz w:val="20"/>
              </w:rPr>
              <w:t>x64 compatible processor, dual-core CPU or faster</w:t>
            </w:r>
          </w:p>
        </w:tc>
      </w:tr>
      <w:tr w:rsidR="00C63A98" w:rsidRPr="00C63A98" w14:paraId="73602C36" w14:textId="77777777" w:rsidTr="00C63A98">
        <w:trPr>
          <w:cantSplit/>
        </w:trPr>
        <w:tc>
          <w:tcPr>
            <w:tcW w:w="716" w:type="dxa"/>
          </w:tcPr>
          <w:p w14:paraId="332B1547" w14:textId="51DF22D8" w:rsidR="00C63A98" w:rsidRPr="00C63A98" w:rsidRDefault="00C63A98" w:rsidP="00AA30D8">
            <w:pPr>
              <w:pStyle w:val="Tabletext"/>
              <w:keepNext/>
              <w:rPr>
                <w:rFonts w:ascii="Calibri" w:hAnsi="Calibri" w:cs="Calibri"/>
                <w:sz w:val="20"/>
              </w:rPr>
            </w:pPr>
            <w:r w:rsidRPr="00C63A98">
              <w:rPr>
                <w:rFonts w:ascii="Calibri" w:hAnsi="Calibri" w:cs="Calibri"/>
                <w:sz w:val="20"/>
              </w:rPr>
              <w:t>4</w:t>
            </w:r>
          </w:p>
        </w:tc>
        <w:tc>
          <w:tcPr>
            <w:tcW w:w="3362" w:type="dxa"/>
          </w:tcPr>
          <w:p w14:paraId="16DC0276" w14:textId="1574B79B" w:rsidR="00C63A98" w:rsidRPr="00C63A98" w:rsidRDefault="00C63A98" w:rsidP="00AA30D8">
            <w:pPr>
              <w:pStyle w:val="Tabletext"/>
              <w:keepNext/>
              <w:rPr>
                <w:rFonts w:ascii="Calibri" w:hAnsi="Calibri" w:cs="Calibri"/>
                <w:sz w:val="20"/>
              </w:rPr>
            </w:pPr>
            <w:r w:rsidRPr="00C63A98">
              <w:rPr>
                <w:rFonts w:ascii="Calibri" w:hAnsi="Calibri" w:cs="Calibri"/>
                <w:sz w:val="20"/>
              </w:rPr>
              <w:t>RAM</w:t>
            </w:r>
          </w:p>
        </w:tc>
        <w:tc>
          <w:tcPr>
            <w:tcW w:w="5282" w:type="dxa"/>
          </w:tcPr>
          <w:p w14:paraId="11572F27" w14:textId="57BA88FC" w:rsidR="00C63A98" w:rsidRPr="00C63A98" w:rsidRDefault="00C63A98" w:rsidP="00AA30D8">
            <w:pPr>
              <w:pStyle w:val="Tabletext"/>
              <w:keepNext/>
              <w:rPr>
                <w:rFonts w:ascii="Calibri" w:hAnsi="Calibri" w:cs="Calibri"/>
                <w:sz w:val="20"/>
              </w:rPr>
            </w:pPr>
            <w:r w:rsidRPr="00C63A98">
              <w:rPr>
                <w:rFonts w:ascii="Calibri" w:hAnsi="Calibri" w:cs="Calibri"/>
                <w:sz w:val="20"/>
              </w:rPr>
              <w:t>Minimum: 512 MB (for basic runtime) / Recommended for development: 4 GB or more</w:t>
            </w:r>
          </w:p>
        </w:tc>
      </w:tr>
      <w:tr w:rsidR="00C63A98" w:rsidRPr="00C63A98" w14:paraId="0293697F" w14:textId="77777777" w:rsidTr="00C63A98">
        <w:trPr>
          <w:cantSplit/>
        </w:trPr>
        <w:tc>
          <w:tcPr>
            <w:tcW w:w="716" w:type="dxa"/>
          </w:tcPr>
          <w:p w14:paraId="4B8D0429" w14:textId="12ABD5FB" w:rsidR="00C63A98" w:rsidRPr="00C63A98" w:rsidRDefault="00C63A98" w:rsidP="00C63A98">
            <w:pPr>
              <w:pStyle w:val="Tabletext"/>
              <w:keepNext/>
              <w:rPr>
                <w:rFonts w:ascii="Calibri" w:hAnsi="Calibri" w:cs="Calibri"/>
                <w:sz w:val="20"/>
              </w:rPr>
            </w:pPr>
            <w:r w:rsidRPr="00C63A98">
              <w:rPr>
                <w:rFonts w:ascii="Calibri" w:hAnsi="Calibri" w:cs="Calibri"/>
                <w:sz w:val="20"/>
              </w:rPr>
              <w:t>5</w:t>
            </w:r>
          </w:p>
        </w:tc>
        <w:tc>
          <w:tcPr>
            <w:tcW w:w="3362" w:type="dxa"/>
          </w:tcPr>
          <w:p w14:paraId="7BE56C23" w14:textId="659DA4E0" w:rsidR="00C63A98" w:rsidRPr="00C63A98" w:rsidRDefault="00C63A98" w:rsidP="00C63A98">
            <w:pPr>
              <w:pStyle w:val="Tabletext"/>
              <w:keepNext/>
              <w:rPr>
                <w:rFonts w:ascii="Calibri" w:hAnsi="Calibri" w:cs="Calibri"/>
                <w:sz w:val="20"/>
              </w:rPr>
            </w:pPr>
            <w:r w:rsidRPr="00C63A98">
              <w:rPr>
                <w:rFonts w:ascii="Calibri" w:hAnsi="Calibri" w:cs="Calibri"/>
                <w:sz w:val="20"/>
              </w:rPr>
              <w:t>Hard Disk Space</w:t>
            </w:r>
          </w:p>
        </w:tc>
        <w:tc>
          <w:tcPr>
            <w:tcW w:w="5282" w:type="dxa"/>
          </w:tcPr>
          <w:p w14:paraId="2B72735A" w14:textId="279BD182" w:rsidR="00C63A98" w:rsidRPr="00C63A98" w:rsidRDefault="00636937" w:rsidP="00C63A98">
            <w:pPr>
              <w:pStyle w:val="Tabletext"/>
              <w:keepNext/>
              <w:rPr>
                <w:rFonts w:ascii="Calibri" w:hAnsi="Calibri" w:cs="Calibri"/>
                <w:sz w:val="20"/>
              </w:rPr>
            </w:pPr>
            <w:r>
              <w:rPr>
                <w:rFonts w:ascii="Calibri" w:hAnsi="Calibri" w:cs="Calibri"/>
                <w:sz w:val="20"/>
              </w:rPr>
              <w:t>At least 3 GB of free space</w:t>
            </w:r>
          </w:p>
        </w:tc>
      </w:tr>
    </w:tbl>
    <w:p w14:paraId="09EAFE44" w14:textId="3F008368" w:rsidR="00C63A98" w:rsidRDefault="00C63A98" w:rsidP="00C63A98">
      <w:pPr>
        <w:pStyle w:val="Caption"/>
      </w:pPr>
      <w:bookmarkStart w:id="288" w:name="_Toc241311510"/>
      <w:bookmarkStart w:id="289" w:name="_Toc241574666"/>
      <w:bookmarkStart w:id="290" w:name="_Toc242554050"/>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52</w:t>
      </w:r>
      <w:r>
        <w:fldChar w:fldCharType="end"/>
      </w:r>
      <w:r>
        <w:t>: Software and Hardware Details</w:t>
      </w:r>
      <w:bookmarkEnd w:id="288"/>
      <w:bookmarkEnd w:id="289"/>
      <w:bookmarkEnd w:id="290"/>
    </w:p>
    <w:p w14:paraId="18CC7377" w14:textId="772D59EB" w:rsidR="002702B3" w:rsidRPr="00947205" w:rsidRDefault="67A18E66" w:rsidP="00140DC0">
      <w:pPr>
        <w:pStyle w:val="Heading2"/>
        <w:pageBreakBefore/>
        <w:rPr>
          <w:rFonts w:ascii="Calibri" w:hAnsi="Calibri" w:cs="Calibri"/>
          <w:sz w:val="20"/>
          <w:lang w:val="en-IN"/>
        </w:rPr>
      </w:pPr>
      <w:bookmarkStart w:id="291" w:name="_Toc1908595496"/>
      <w:bookmarkStart w:id="292" w:name="_Toc1851217814"/>
      <w:bookmarkStart w:id="293" w:name="_Toc241574308"/>
      <w:bookmarkStart w:id="294" w:name="_Toc242553930"/>
      <w:r w:rsidRPr="00947205">
        <w:rPr>
          <w:rFonts w:ascii="Calibri" w:hAnsi="Calibri" w:cs="Calibri"/>
          <w:sz w:val="20"/>
          <w:lang w:val="en-IN"/>
        </w:rPr>
        <w:t>Azure Resources</w:t>
      </w:r>
      <w:bookmarkEnd w:id="226"/>
      <w:bookmarkEnd w:id="291"/>
      <w:bookmarkEnd w:id="292"/>
      <w:bookmarkEnd w:id="293"/>
      <w:bookmarkEnd w:id="294"/>
    </w:p>
    <w:p w14:paraId="6D6B6DBB" w14:textId="78D9AA05" w:rsidR="00C63A98" w:rsidRDefault="00FC42E7" w:rsidP="00FC42E7">
      <w:pPr>
        <w:keepNext/>
        <w:jc w:val="left"/>
      </w:pPr>
      <w:r>
        <w:t>The VCB integrations and the waiver selection shall run on the Azure resources of the Commercial Integration Platform (CIP), given in the table below.</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26"/>
        <w:gridCol w:w="1348"/>
        <w:gridCol w:w="2552"/>
        <w:gridCol w:w="2552"/>
        <w:gridCol w:w="754"/>
        <w:gridCol w:w="1628"/>
      </w:tblGrid>
      <w:tr w:rsidR="00C63A98" w:rsidRPr="00C63A98" w14:paraId="4299B257" w14:textId="146518F9" w:rsidTr="00636937">
        <w:trPr>
          <w:cantSplit/>
          <w:tblHeader/>
        </w:trPr>
        <w:tc>
          <w:tcPr>
            <w:tcW w:w="526" w:type="dxa"/>
            <w:shd w:val="clear" w:color="auto" w:fill="2F5597"/>
          </w:tcPr>
          <w:p w14:paraId="3DFE72C2" w14:textId="1759DA52" w:rsidR="00C63A98" w:rsidRPr="00C63A98" w:rsidRDefault="00C63A98" w:rsidP="00C63A98">
            <w:pPr>
              <w:pStyle w:val="Tablehead1"/>
              <w:rPr>
                <w:rFonts w:ascii="Calibri" w:hAnsi="Calibri" w:cs="Calibri"/>
                <w:sz w:val="20"/>
              </w:rPr>
            </w:pPr>
            <w:r w:rsidRPr="00C63A98">
              <w:rPr>
                <w:rFonts w:ascii="Calibri" w:hAnsi="Calibri" w:cs="Calibri"/>
                <w:sz w:val="20"/>
              </w:rPr>
              <w:t>S. No</w:t>
            </w:r>
          </w:p>
        </w:tc>
        <w:tc>
          <w:tcPr>
            <w:tcW w:w="1348" w:type="dxa"/>
            <w:shd w:val="clear" w:color="auto" w:fill="2F5597"/>
          </w:tcPr>
          <w:p w14:paraId="65854694" w14:textId="7C08C06C" w:rsidR="00C63A98" w:rsidRPr="00C63A98" w:rsidRDefault="00C63A98" w:rsidP="00C63A98">
            <w:pPr>
              <w:pStyle w:val="Tablehead1"/>
              <w:rPr>
                <w:rFonts w:ascii="Calibri" w:hAnsi="Calibri" w:cs="Calibri"/>
                <w:sz w:val="20"/>
              </w:rPr>
            </w:pPr>
            <w:r w:rsidRPr="00C63A98">
              <w:rPr>
                <w:rFonts w:ascii="Calibri" w:hAnsi="Calibri" w:cs="Calibri"/>
                <w:sz w:val="20"/>
              </w:rPr>
              <w:t>Resource Type</w:t>
            </w:r>
          </w:p>
        </w:tc>
        <w:tc>
          <w:tcPr>
            <w:tcW w:w="2552" w:type="dxa"/>
            <w:shd w:val="clear" w:color="auto" w:fill="2F5597"/>
          </w:tcPr>
          <w:p w14:paraId="44F18E42" w14:textId="7D76B92C" w:rsidR="00C63A98" w:rsidRPr="00C63A98" w:rsidRDefault="00CE45AF" w:rsidP="00C63A98">
            <w:pPr>
              <w:pStyle w:val="Tablehead1"/>
              <w:rPr>
                <w:rFonts w:ascii="Calibri" w:hAnsi="Calibri" w:cs="Calibri"/>
                <w:sz w:val="20"/>
              </w:rPr>
            </w:pPr>
            <w:r>
              <w:rPr>
                <w:rFonts w:ascii="Calibri" w:hAnsi="Calibri" w:cs="Calibri"/>
                <w:sz w:val="20"/>
              </w:rPr>
              <w:t>DEV</w:t>
            </w:r>
          </w:p>
        </w:tc>
        <w:tc>
          <w:tcPr>
            <w:tcW w:w="2552" w:type="dxa"/>
            <w:shd w:val="clear" w:color="auto" w:fill="2F5597"/>
          </w:tcPr>
          <w:p w14:paraId="01EB4270" w14:textId="078633AC" w:rsidR="00C63A98" w:rsidRPr="00C63A98" w:rsidRDefault="00CE45AF" w:rsidP="00C63A98">
            <w:pPr>
              <w:pStyle w:val="Tablehead1"/>
              <w:rPr>
                <w:rFonts w:ascii="Calibri" w:hAnsi="Calibri" w:cs="Calibri"/>
                <w:sz w:val="20"/>
              </w:rPr>
            </w:pPr>
            <w:r>
              <w:rPr>
                <w:rFonts w:ascii="Calibri" w:hAnsi="Calibri" w:cs="Calibri"/>
                <w:sz w:val="20"/>
              </w:rPr>
              <w:t>TEST</w:t>
            </w:r>
          </w:p>
        </w:tc>
        <w:tc>
          <w:tcPr>
            <w:tcW w:w="754" w:type="dxa"/>
            <w:shd w:val="clear" w:color="auto" w:fill="2F5597"/>
          </w:tcPr>
          <w:p w14:paraId="3960689A" w14:textId="35F8DC9F" w:rsidR="00C63A98" w:rsidRPr="00C63A98" w:rsidRDefault="00CE45AF" w:rsidP="00C63A98">
            <w:pPr>
              <w:pStyle w:val="Tablehead1"/>
              <w:rPr>
                <w:rFonts w:ascii="Calibri" w:hAnsi="Calibri" w:cs="Calibri"/>
                <w:sz w:val="20"/>
              </w:rPr>
            </w:pPr>
            <w:r>
              <w:rPr>
                <w:rFonts w:ascii="Calibri" w:hAnsi="Calibri" w:cs="Calibri"/>
                <w:sz w:val="20"/>
              </w:rPr>
              <w:t>PROD</w:t>
            </w:r>
          </w:p>
        </w:tc>
        <w:tc>
          <w:tcPr>
            <w:tcW w:w="1628" w:type="dxa"/>
            <w:shd w:val="clear" w:color="auto" w:fill="2F5597"/>
          </w:tcPr>
          <w:p w14:paraId="057BB5DE" w14:textId="0BC7175E" w:rsidR="00C63A98" w:rsidRPr="00C63A98" w:rsidRDefault="00C63A98" w:rsidP="00C63A98">
            <w:pPr>
              <w:pStyle w:val="Tablehead1"/>
              <w:rPr>
                <w:rFonts w:ascii="Calibri" w:hAnsi="Calibri" w:cs="Calibri"/>
                <w:sz w:val="20"/>
              </w:rPr>
            </w:pPr>
            <w:r w:rsidRPr="00C63A98">
              <w:rPr>
                <w:rFonts w:ascii="Calibri" w:hAnsi="Calibri" w:cs="Calibri"/>
                <w:sz w:val="20"/>
              </w:rPr>
              <w:t>Remarks</w:t>
            </w:r>
          </w:p>
        </w:tc>
      </w:tr>
      <w:tr w:rsidR="00C63A98" w:rsidRPr="00C63A98" w14:paraId="62DDCE0C" w14:textId="2B423ED8" w:rsidTr="00636937">
        <w:trPr>
          <w:cantSplit/>
        </w:trPr>
        <w:tc>
          <w:tcPr>
            <w:tcW w:w="526" w:type="dxa"/>
          </w:tcPr>
          <w:p w14:paraId="1D5B8EA5" w14:textId="5565F8BD" w:rsidR="00C63A98" w:rsidRPr="00C63A98" w:rsidRDefault="00C63A98" w:rsidP="00C63A98">
            <w:pPr>
              <w:pStyle w:val="Tabletext"/>
              <w:rPr>
                <w:rFonts w:ascii="Calibri" w:hAnsi="Calibri" w:cs="Calibri"/>
                <w:sz w:val="20"/>
              </w:rPr>
            </w:pPr>
            <w:r w:rsidRPr="00C63A98">
              <w:rPr>
                <w:rFonts w:ascii="Calibri" w:hAnsi="Calibri" w:cs="Calibri"/>
                <w:sz w:val="20"/>
              </w:rPr>
              <w:t>1</w:t>
            </w:r>
          </w:p>
        </w:tc>
        <w:tc>
          <w:tcPr>
            <w:tcW w:w="1348" w:type="dxa"/>
          </w:tcPr>
          <w:p w14:paraId="5C7C1E04" w14:textId="75E98FF5" w:rsidR="00C63A98" w:rsidRPr="00C63A98" w:rsidRDefault="00C63A98" w:rsidP="00C63A98">
            <w:pPr>
              <w:pStyle w:val="Tabletext"/>
              <w:rPr>
                <w:rFonts w:ascii="Calibri" w:hAnsi="Calibri" w:cs="Calibri"/>
                <w:sz w:val="20"/>
              </w:rPr>
            </w:pPr>
            <w:r w:rsidRPr="00C63A98">
              <w:rPr>
                <w:rFonts w:ascii="Calibri" w:hAnsi="Calibri" w:cs="Calibri"/>
                <w:sz w:val="20"/>
              </w:rPr>
              <w:t>Azure Subscription Name</w:t>
            </w:r>
          </w:p>
        </w:tc>
        <w:tc>
          <w:tcPr>
            <w:tcW w:w="2552" w:type="dxa"/>
          </w:tcPr>
          <w:p w14:paraId="209863A2" w14:textId="10BE4AF4" w:rsidR="00C63A98" w:rsidRPr="00C63A98" w:rsidRDefault="00C63A98" w:rsidP="00C63A98">
            <w:pPr>
              <w:pStyle w:val="Tabletext"/>
              <w:rPr>
                <w:rFonts w:ascii="Calibri" w:hAnsi="Calibri" w:cs="Calibri"/>
                <w:sz w:val="20"/>
              </w:rPr>
            </w:pPr>
            <w:r w:rsidRPr="00C63A98">
              <w:rPr>
                <w:rFonts w:ascii="Calibri" w:hAnsi="Calibri" w:cs="Calibri"/>
                <w:sz w:val="20"/>
              </w:rPr>
              <w:t>MPC-Commercial-Dev</w:t>
            </w:r>
          </w:p>
        </w:tc>
        <w:tc>
          <w:tcPr>
            <w:tcW w:w="2552" w:type="dxa"/>
          </w:tcPr>
          <w:p w14:paraId="11331213" w14:textId="24BCF733" w:rsidR="00C63A98" w:rsidRPr="00C63A98" w:rsidRDefault="00C63A98" w:rsidP="00C63A98">
            <w:pPr>
              <w:pStyle w:val="Tabletext"/>
              <w:rPr>
                <w:rFonts w:ascii="Calibri" w:hAnsi="Calibri" w:cs="Calibri"/>
                <w:sz w:val="20"/>
              </w:rPr>
            </w:pPr>
            <w:r w:rsidRPr="00C63A98">
              <w:rPr>
                <w:rFonts w:ascii="Calibri" w:hAnsi="Calibri" w:cs="Calibri"/>
                <w:sz w:val="20"/>
              </w:rPr>
              <w:t>MPC-Commercial-Test</w:t>
            </w:r>
          </w:p>
        </w:tc>
        <w:tc>
          <w:tcPr>
            <w:tcW w:w="754" w:type="dxa"/>
          </w:tcPr>
          <w:p w14:paraId="6F491CAB" w14:textId="1F36259E" w:rsidR="00C63A98" w:rsidRPr="00C63A98" w:rsidRDefault="00C63A98" w:rsidP="00C63A98">
            <w:pPr>
              <w:pStyle w:val="Tabletext"/>
              <w:rPr>
                <w:rFonts w:ascii="Calibri" w:hAnsi="Calibri" w:cs="Calibri"/>
                <w:sz w:val="20"/>
              </w:rPr>
            </w:pPr>
            <w:r w:rsidRPr="00C63A98">
              <w:rPr>
                <w:rFonts w:ascii="Calibri" w:hAnsi="Calibri" w:cs="Calibri"/>
                <w:sz w:val="20"/>
              </w:rPr>
              <w:t>MPC-Commercial-Prod</w:t>
            </w:r>
          </w:p>
        </w:tc>
        <w:tc>
          <w:tcPr>
            <w:tcW w:w="1628" w:type="dxa"/>
          </w:tcPr>
          <w:p w14:paraId="2771C102" w14:textId="77777777" w:rsidR="00C63A98" w:rsidRPr="00C63A98" w:rsidRDefault="00C63A98" w:rsidP="00C63A98">
            <w:pPr>
              <w:pStyle w:val="Tabletext"/>
              <w:rPr>
                <w:rFonts w:ascii="Calibri" w:hAnsi="Calibri" w:cs="Calibri"/>
                <w:sz w:val="20"/>
              </w:rPr>
            </w:pPr>
          </w:p>
        </w:tc>
      </w:tr>
      <w:tr w:rsidR="00C63A98" w:rsidRPr="00C63A98" w14:paraId="7AE0E19F" w14:textId="7DEBF270" w:rsidTr="00636937">
        <w:trPr>
          <w:cantSplit/>
        </w:trPr>
        <w:tc>
          <w:tcPr>
            <w:tcW w:w="526" w:type="dxa"/>
          </w:tcPr>
          <w:p w14:paraId="72367AFF" w14:textId="75288B08" w:rsidR="00C63A98" w:rsidRPr="00C63A98" w:rsidRDefault="00C63A98" w:rsidP="00C63A98">
            <w:pPr>
              <w:pStyle w:val="Tabletext"/>
              <w:rPr>
                <w:rFonts w:ascii="Calibri" w:hAnsi="Calibri" w:cs="Calibri"/>
                <w:sz w:val="20"/>
              </w:rPr>
            </w:pPr>
            <w:r w:rsidRPr="00C63A98">
              <w:rPr>
                <w:rFonts w:ascii="Calibri" w:hAnsi="Calibri" w:cs="Calibri"/>
                <w:sz w:val="20"/>
              </w:rPr>
              <w:t>2</w:t>
            </w:r>
          </w:p>
        </w:tc>
        <w:tc>
          <w:tcPr>
            <w:tcW w:w="1348" w:type="dxa"/>
          </w:tcPr>
          <w:p w14:paraId="2F198445" w14:textId="29CFBE79" w:rsidR="00C63A98" w:rsidRPr="00C63A98" w:rsidRDefault="00C63A98" w:rsidP="00C63A98">
            <w:pPr>
              <w:pStyle w:val="Tabletext"/>
              <w:rPr>
                <w:rFonts w:ascii="Calibri" w:hAnsi="Calibri" w:cs="Calibri"/>
                <w:sz w:val="20"/>
              </w:rPr>
            </w:pPr>
            <w:r w:rsidRPr="00C63A98">
              <w:rPr>
                <w:rFonts w:ascii="Calibri" w:hAnsi="Calibri" w:cs="Calibri"/>
                <w:sz w:val="20"/>
              </w:rPr>
              <w:t>Azure Resource Group Name</w:t>
            </w:r>
          </w:p>
        </w:tc>
        <w:tc>
          <w:tcPr>
            <w:tcW w:w="2552" w:type="dxa"/>
          </w:tcPr>
          <w:p w14:paraId="00F419D2" w14:textId="039AE616" w:rsidR="00C63A98" w:rsidRPr="00C63A98" w:rsidRDefault="00C63A98" w:rsidP="00C63A98">
            <w:pPr>
              <w:pStyle w:val="Tabletext"/>
              <w:rPr>
                <w:rFonts w:ascii="Calibri" w:hAnsi="Calibri" w:cs="Calibri"/>
                <w:sz w:val="20"/>
              </w:rPr>
            </w:pPr>
            <w:r w:rsidRPr="00C63A98">
              <w:rPr>
                <w:rFonts w:ascii="Calibri" w:hAnsi="Calibri" w:cs="Calibri"/>
                <w:sz w:val="20"/>
              </w:rPr>
              <w:t>com-dev-me2-cip-rg</w:t>
            </w:r>
          </w:p>
        </w:tc>
        <w:tc>
          <w:tcPr>
            <w:tcW w:w="2552" w:type="dxa"/>
          </w:tcPr>
          <w:p w14:paraId="2F8F3D18" w14:textId="1C76CC46" w:rsidR="00C63A98" w:rsidRPr="00C63A98" w:rsidRDefault="00C63A98" w:rsidP="00C63A98">
            <w:pPr>
              <w:pStyle w:val="Tabletext"/>
              <w:rPr>
                <w:rFonts w:ascii="Calibri" w:hAnsi="Calibri" w:cs="Calibri"/>
                <w:sz w:val="20"/>
              </w:rPr>
            </w:pPr>
            <w:r w:rsidRPr="00C63A98">
              <w:rPr>
                <w:rFonts w:ascii="Calibri" w:hAnsi="Calibri" w:cs="Calibri"/>
                <w:sz w:val="20"/>
              </w:rPr>
              <w:t>com-tst-me2-cip-rg</w:t>
            </w:r>
          </w:p>
        </w:tc>
        <w:tc>
          <w:tcPr>
            <w:tcW w:w="754" w:type="dxa"/>
          </w:tcPr>
          <w:p w14:paraId="25279737" w14:textId="14875C1E" w:rsidR="00C63A98" w:rsidRPr="00C63A98" w:rsidRDefault="00C63A98" w:rsidP="00C63A98">
            <w:pPr>
              <w:pStyle w:val="Tabletext"/>
              <w:rPr>
                <w:rFonts w:ascii="Calibri" w:hAnsi="Calibri" w:cs="Calibri"/>
                <w:sz w:val="20"/>
              </w:rPr>
            </w:pPr>
          </w:p>
        </w:tc>
        <w:tc>
          <w:tcPr>
            <w:tcW w:w="1628" w:type="dxa"/>
          </w:tcPr>
          <w:p w14:paraId="5FC0BF7A" w14:textId="77777777" w:rsidR="00C63A98" w:rsidRPr="00C63A98" w:rsidRDefault="00C63A98" w:rsidP="00C63A98">
            <w:pPr>
              <w:pStyle w:val="Tabletext"/>
              <w:rPr>
                <w:rFonts w:ascii="Calibri" w:hAnsi="Calibri" w:cs="Calibri"/>
                <w:sz w:val="20"/>
              </w:rPr>
            </w:pPr>
          </w:p>
        </w:tc>
      </w:tr>
      <w:tr w:rsidR="00C63A98" w:rsidRPr="00C63A98" w14:paraId="23065E5C" w14:textId="7AF9E602" w:rsidTr="00636937">
        <w:trPr>
          <w:cantSplit/>
        </w:trPr>
        <w:tc>
          <w:tcPr>
            <w:tcW w:w="526" w:type="dxa"/>
          </w:tcPr>
          <w:p w14:paraId="203C81A5" w14:textId="32C52ED6" w:rsidR="00C63A98" w:rsidRPr="00C63A98" w:rsidRDefault="00C63A98" w:rsidP="00C63A98">
            <w:pPr>
              <w:pStyle w:val="Tabletext"/>
              <w:rPr>
                <w:rFonts w:ascii="Calibri" w:hAnsi="Calibri" w:cs="Calibri"/>
                <w:sz w:val="20"/>
              </w:rPr>
            </w:pPr>
            <w:r w:rsidRPr="00C63A98">
              <w:rPr>
                <w:rFonts w:ascii="Calibri" w:hAnsi="Calibri" w:cs="Calibri"/>
                <w:sz w:val="20"/>
              </w:rPr>
              <w:t>3</w:t>
            </w:r>
          </w:p>
        </w:tc>
        <w:tc>
          <w:tcPr>
            <w:tcW w:w="1348" w:type="dxa"/>
          </w:tcPr>
          <w:p w14:paraId="4C464FF6" w14:textId="65463802" w:rsidR="00C63A98" w:rsidRPr="00C63A98" w:rsidRDefault="00C63A98" w:rsidP="00C63A98">
            <w:pPr>
              <w:pStyle w:val="Tabletext"/>
              <w:rPr>
                <w:rFonts w:ascii="Calibri" w:hAnsi="Calibri" w:cs="Calibri"/>
                <w:sz w:val="20"/>
              </w:rPr>
            </w:pPr>
            <w:r w:rsidRPr="00C63A98">
              <w:rPr>
                <w:rFonts w:ascii="Calibri" w:hAnsi="Calibri" w:cs="Calibri"/>
                <w:sz w:val="20"/>
              </w:rPr>
              <w:t>AD Group Name</w:t>
            </w:r>
          </w:p>
        </w:tc>
        <w:tc>
          <w:tcPr>
            <w:tcW w:w="2552" w:type="dxa"/>
          </w:tcPr>
          <w:p w14:paraId="407672F9" w14:textId="09826A43" w:rsidR="00C63A98" w:rsidRPr="00C63A98" w:rsidRDefault="00C63A98" w:rsidP="00C63A98">
            <w:pPr>
              <w:pStyle w:val="Tabletext"/>
              <w:rPr>
                <w:rFonts w:ascii="Calibri" w:hAnsi="Calibri" w:cs="Calibri"/>
                <w:sz w:val="20"/>
              </w:rPr>
            </w:pPr>
            <w:r w:rsidRPr="00C63A98">
              <w:rPr>
                <w:rFonts w:ascii="Calibri" w:hAnsi="Calibri" w:cs="Calibri"/>
                <w:sz w:val="20"/>
              </w:rPr>
              <w:t>azure-appdev-npd-cip</w:t>
            </w:r>
          </w:p>
        </w:tc>
        <w:tc>
          <w:tcPr>
            <w:tcW w:w="2552" w:type="dxa"/>
          </w:tcPr>
          <w:p w14:paraId="1B2595CC" w14:textId="26581B4B" w:rsidR="00C63A98" w:rsidRPr="00C63A98" w:rsidRDefault="00C63A98" w:rsidP="00C63A98">
            <w:pPr>
              <w:pStyle w:val="Tabletext"/>
              <w:rPr>
                <w:rFonts w:ascii="Calibri" w:hAnsi="Calibri" w:cs="Calibri"/>
                <w:sz w:val="20"/>
              </w:rPr>
            </w:pPr>
            <w:r w:rsidRPr="00C63A98">
              <w:rPr>
                <w:rFonts w:ascii="Calibri" w:hAnsi="Calibri" w:cs="Calibri"/>
                <w:sz w:val="20"/>
              </w:rPr>
              <w:t>azure-appdev-npd-cip</w:t>
            </w:r>
          </w:p>
        </w:tc>
        <w:tc>
          <w:tcPr>
            <w:tcW w:w="754" w:type="dxa"/>
          </w:tcPr>
          <w:p w14:paraId="0BF076B3" w14:textId="1D1BC69E" w:rsidR="00C63A98" w:rsidRPr="00C63A98" w:rsidRDefault="00C63A98" w:rsidP="00C63A98">
            <w:pPr>
              <w:pStyle w:val="Tabletext"/>
              <w:rPr>
                <w:rFonts w:ascii="Calibri" w:hAnsi="Calibri" w:cs="Calibri"/>
                <w:sz w:val="20"/>
              </w:rPr>
            </w:pPr>
          </w:p>
        </w:tc>
        <w:tc>
          <w:tcPr>
            <w:tcW w:w="1628" w:type="dxa"/>
          </w:tcPr>
          <w:p w14:paraId="5FF9C888" w14:textId="77777777" w:rsidR="00C63A98" w:rsidRPr="00C63A98" w:rsidRDefault="00C63A98" w:rsidP="00C63A98">
            <w:pPr>
              <w:pStyle w:val="Tabletext"/>
              <w:rPr>
                <w:rFonts w:ascii="Calibri" w:hAnsi="Calibri" w:cs="Calibri"/>
                <w:sz w:val="20"/>
              </w:rPr>
            </w:pPr>
          </w:p>
        </w:tc>
      </w:tr>
      <w:tr w:rsidR="00C63A98" w:rsidRPr="00C63A98" w14:paraId="5F7B1C2D" w14:textId="50B6BD6A" w:rsidTr="00636937">
        <w:trPr>
          <w:cantSplit/>
        </w:trPr>
        <w:tc>
          <w:tcPr>
            <w:tcW w:w="526" w:type="dxa"/>
          </w:tcPr>
          <w:p w14:paraId="465EC524" w14:textId="767EB811" w:rsidR="00C63A98" w:rsidRPr="00C63A98" w:rsidRDefault="00C63A98" w:rsidP="00C63A98">
            <w:pPr>
              <w:pStyle w:val="Tabletext"/>
              <w:rPr>
                <w:rFonts w:ascii="Calibri" w:hAnsi="Calibri" w:cs="Calibri"/>
                <w:sz w:val="20"/>
              </w:rPr>
            </w:pPr>
            <w:r w:rsidRPr="00C63A98">
              <w:rPr>
                <w:rFonts w:ascii="Calibri" w:hAnsi="Calibri" w:cs="Calibri"/>
                <w:sz w:val="20"/>
              </w:rPr>
              <w:t>4</w:t>
            </w:r>
          </w:p>
        </w:tc>
        <w:tc>
          <w:tcPr>
            <w:tcW w:w="1348" w:type="dxa"/>
          </w:tcPr>
          <w:p w14:paraId="3CBDC820" w14:textId="1B8CA9AF" w:rsidR="00C63A98" w:rsidRPr="00C63A98" w:rsidRDefault="00C63A98" w:rsidP="00C63A98">
            <w:pPr>
              <w:pStyle w:val="Tabletext"/>
              <w:rPr>
                <w:rFonts w:ascii="Calibri" w:hAnsi="Calibri" w:cs="Calibri"/>
                <w:sz w:val="20"/>
              </w:rPr>
            </w:pPr>
            <w:r w:rsidRPr="00C63A98">
              <w:rPr>
                <w:rFonts w:ascii="Calibri" w:hAnsi="Calibri" w:cs="Calibri"/>
                <w:sz w:val="20"/>
              </w:rPr>
              <w:t>Azure Function App</w:t>
            </w:r>
          </w:p>
        </w:tc>
        <w:tc>
          <w:tcPr>
            <w:tcW w:w="2552" w:type="dxa"/>
          </w:tcPr>
          <w:p w14:paraId="57B3497E" w14:textId="51E3FF64" w:rsidR="00C63A98" w:rsidRPr="00C63A98" w:rsidRDefault="00C63A98" w:rsidP="00C63A98">
            <w:pPr>
              <w:pStyle w:val="Tabletext"/>
              <w:rPr>
                <w:rFonts w:ascii="Calibri" w:hAnsi="Calibri" w:cs="Calibri"/>
                <w:sz w:val="20"/>
              </w:rPr>
            </w:pPr>
            <w:r w:rsidRPr="00C63A98">
              <w:rPr>
                <w:rFonts w:ascii="Calibri" w:hAnsi="Calibri" w:cs="Calibri"/>
                <w:sz w:val="20"/>
              </w:rPr>
              <w:t>cip-qulity-dev-func / cip-invtry-dev-func / cip-trnsfr-dev-func</w:t>
            </w:r>
          </w:p>
        </w:tc>
        <w:tc>
          <w:tcPr>
            <w:tcW w:w="2552" w:type="dxa"/>
          </w:tcPr>
          <w:p w14:paraId="141746C2" w14:textId="7948151D" w:rsidR="00C63A98" w:rsidRPr="00C63A98" w:rsidRDefault="00C63A98" w:rsidP="00C63A98">
            <w:pPr>
              <w:pStyle w:val="Tabletext"/>
              <w:rPr>
                <w:rFonts w:ascii="Calibri" w:hAnsi="Calibri" w:cs="Calibri"/>
                <w:sz w:val="20"/>
              </w:rPr>
            </w:pPr>
            <w:r w:rsidRPr="00C63A98">
              <w:rPr>
                <w:rFonts w:ascii="Calibri" w:hAnsi="Calibri" w:cs="Calibri"/>
                <w:sz w:val="20"/>
              </w:rPr>
              <w:t>cip-qulity-tst-func / cip-invtry-tst-func / cip-trnsfr-tst-func</w:t>
            </w:r>
          </w:p>
        </w:tc>
        <w:tc>
          <w:tcPr>
            <w:tcW w:w="754" w:type="dxa"/>
          </w:tcPr>
          <w:p w14:paraId="5C024E1A" w14:textId="5D5EF0E5" w:rsidR="00C63A98" w:rsidRPr="00C63A98" w:rsidRDefault="00C63A98" w:rsidP="00C63A98">
            <w:pPr>
              <w:pStyle w:val="Tabletext"/>
              <w:rPr>
                <w:rFonts w:ascii="Calibri" w:hAnsi="Calibri" w:cs="Calibri"/>
                <w:sz w:val="20"/>
              </w:rPr>
            </w:pPr>
          </w:p>
        </w:tc>
        <w:tc>
          <w:tcPr>
            <w:tcW w:w="1628" w:type="dxa"/>
          </w:tcPr>
          <w:p w14:paraId="0D8D6C05" w14:textId="25B7C0AF" w:rsidR="00C63A98" w:rsidRPr="00C63A98" w:rsidRDefault="00873A53" w:rsidP="00C63A98">
            <w:pPr>
              <w:pStyle w:val="Tabletext"/>
              <w:rPr>
                <w:rFonts w:ascii="Calibri" w:hAnsi="Calibri" w:cs="Calibri"/>
                <w:sz w:val="20"/>
              </w:rPr>
            </w:pPr>
            <w:r>
              <w:rPr>
                <w:rFonts w:ascii="Calibri" w:hAnsi="Calibri" w:cs="Calibri"/>
                <w:sz w:val="20"/>
              </w:rPr>
              <w:t>The pricing integration shall use the function app of the Cost domain</w:t>
            </w:r>
          </w:p>
        </w:tc>
      </w:tr>
      <w:tr w:rsidR="00C63A98" w:rsidRPr="00C63A98" w14:paraId="76859196" w14:textId="6B00A062" w:rsidTr="00636937">
        <w:trPr>
          <w:cantSplit/>
        </w:trPr>
        <w:tc>
          <w:tcPr>
            <w:tcW w:w="526" w:type="dxa"/>
          </w:tcPr>
          <w:p w14:paraId="10F4D74C" w14:textId="74583C0A" w:rsidR="00C63A98" w:rsidRPr="00C63A98" w:rsidRDefault="00C63A98" w:rsidP="00C63A98">
            <w:pPr>
              <w:pStyle w:val="Tabletext"/>
              <w:rPr>
                <w:rFonts w:ascii="Calibri" w:hAnsi="Calibri" w:cs="Calibri"/>
                <w:sz w:val="20"/>
              </w:rPr>
            </w:pPr>
            <w:r w:rsidRPr="00C63A98">
              <w:rPr>
                <w:rFonts w:ascii="Calibri" w:hAnsi="Calibri" w:cs="Calibri"/>
                <w:sz w:val="20"/>
              </w:rPr>
              <w:t>5</w:t>
            </w:r>
          </w:p>
        </w:tc>
        <w:tc>
          <w:tcPr>
            <w:tcW w:w="1348" w:type="dxa"/>
          </w:tcPr>
          <w:p w14:paraId="1BF43622" w14:textId="54A247BC" w:rsidR="00C63A98" w:rsidRPr="00C63A98" w:rsidRDefault="00C63A98" w:rsidP="00C63A98">
            <w:pPr>
              <w:pStyle w:val="Tabletext"/>
              <w:rPr>
                <w:rFonts w:ascii="Calibri" w:hAnsi="Calibri" w:cs="Calibri"/>
                <w:sz w:val="20"/>
              </w:rPr>
            </w:pPr>
            <w:r w:rsidRPr="00C63A98">
              <w:rPr>
                <w:rFonts w:ascii="Calibri" w:hAnsi="Calibri" w:cs="Calibri"/>
                <w:sz w:val="20"/>
              </w:rPr>
              <w:t>Azure App Service</w:t>
            </w:r>
          </w:p>
        </w:tc>
        <w:tc>
          <w:tcPr>
            <w:tcW w:w="2552" w:type="dxa"/>
          </w:tcPr>
          <w:p w14:paraId="02CD80AF" w14:textId="4B52F625" w:rsidR="00C63A98" w:rsidRPr="00C63A98" w:rsidRDefault="00C63A98" w:rsidP="00C63A98">
            <w:pPr>
              <w:pStyle w:val="Tabletext"/>
              <w:rPr>
                <w:rFonts w:ascii="Calibri" w:hAnsi="Calibri" w:cs="Calibri"/>
                <w:sz w:val="20"/>
              </w:rPr>
            </w:pPr>
            <w:r w:rsidRPr="00C63A98">
              <w:rPr>
                <w:rFonts w:ascii="Calibri" w:hAnsi="Calibri" w:cs="Calibri"/>
                <w:sz w:val="20"/>
              </w:rPr>
              <w:t>cip-qulity-dev-apps / cip-inventry-dev-apps / cip-transfer-dev-apps</w:t>
            </w:r>
          </w:p>
        </w:tc>
        <w:tc>
          <w:tcPr>
            <w:tcW w:w="2552" w:type="dxa"/>
          </w:tcPr>
          <w:p w14:paraId="20CE743F" w14:textId="1962F462" w:rsidR="00C63A98" w:rsidRPr="00C63A98" w:rsidRDefault="00C63A98" w:rsidP="00C63A98">
            <w:pPr>
              <w:pStyle w:val="Tabletext"/>
              <w:rPr>
                <w:rFonts w:ascii="Calibri" w:hAnsi="Calibri" w:cs="Calibri"/>
                <w:sz w:val="20"/>
              </w:rPr>
            </w:pPr>
            <w:r w:rsidRPr="00C63A98">
              <w:rPr>
                <w:rFonts w:ascii="Calibri" w:hAnsi="Calibri" w:cs="Calibri"/>
                <w:sz w:val="20"/>
              </w:rPr>
              <w:t>cip-qulity-tst-apps / cip-inventry-tst-apps / cip-transfer-tst-apps</w:t>
            </w:r>
          </w:p>
        </w:tc>
        <w:tc>
          <w:tcPr>
            <w:tcW w:w="754" w:type="dxa"/>
          </w:tcPr>
          <w:p w14:paraId="2B4E50FC" w14:textId="044611B9" w:rsidR="00C63A98" w:rsidRPr="00C63A98" w:rsidRDefault="00C63A98" w:rsidP="00C63A98">
            <w:pPr>
              <w:pStyle w:val="Tabletext"/>
              <w:rPr>
                <w:rFonts w:ascii="Calibri" w:hAnsi="Calibri" w:cs="Calibri"/>
                <w:sz w:val="20"/>
              </w:rPr>
            </w:pPr>
          </w:p>
        </w:tc>
        <w:tc>
          <w:tcPr>
            <w:tcW w:w="1628" w:type="dxa"/>
          </w:tcPr>
          <w:p w14:paraId="1215BB34" w14:textId="18020843" w:rsidR="00C63A98" w:rsidRPr="00C63A98" w:rsidRDefault="00873A53" w:rsidP="00C63A98">
            <w:pPr>
              <w:pStyle w:val="Tabletext"/>
              <w:rPr>
                <w:rFonts w:ascii="Calibri" w:hAnsi="Calibri" w:cs="Calibri"/>
                <w:sz w:val="20"/>
              </w:rPr>
            </w:pPr>
            <w:r>
              <w:rPr>
                <w:rFonts w:ascii="Calibri" w:hAnsi="Calibri" w:cs="Calibri"/>
                <w:sz w:val="20"/>
              </w:rPr>
              <w:t>The pricing integration shall use the Cost API of the Cost domain</w:t>
            </w:r>
          </w:p>
        </w:tc>
      </w:tr>
      <w:tr w:rsidR="00C63A98" w:rsidRPr="00C63A98" w14:paraId="7F0B152E" w14:textId="1EC312DD" w:rsidTr="00636937">
        <w:trPr>
          <w:cantSplit/>
        </w:trPr>
        <w:tc>
          <w:tcPr>
            <w:tcW w:w="526" w:type="dxa"/>
          </w:tcPr>
          <w:p w14:paraId="7D2F109D" w14:textId="3B049C0D" w:rsidR="00C63A98" w:rsidRPr="00C63A98" w:rsidRDefault="00C63A98" w:rsidP="00C63A98">
            <w:pPr>
              <w:pStyle w:val="Tabletext"/>
              <w:rPr>
                <w:rFonts w:ascii="Calibri" w:hAnsi="Calibri" w:cs="Calibri"/>
                <w:sz w:val="20"/>
              </w:rPr>
            </w:pPr>
            <w:r w:rsidRPr="00C63A98">
              <w:rPr>
                <w:rFonts w:ascii="Calibri" w:hAnsi="Calibri" w:cs="Calibri"/>
                <w:sz w:val="20"/>
              </w:rPr>
              <w:t>6</w:t>
            </w:r>
          </w:p>
        </w:tc>
        <w:tc>
          <w:tcPr>
            <w:tcW w:w="1348" w:type="dxa"/>
          </w:tcPr>
          <w:p w14:paraId="119D513F" w14:textId="4410986C" w:rsidR="00C63A98" w:rsidRPr="00C63A98" w:rsidRDefault="00C63A98" w:rsidP="00C63A98">
            <w:pPr>
              <w:pStyle w:val="Tabletext"/>
              <w:rPr>
                <w:rFonts w:ascii="Calibri" w:hAnsi="Calibri" w:cs="Calibri"/>
                <w:sz w:val="20"/>
              </w:rPr>
            </w:pPr>
            <w:r w:rsidRPr="00C63A98">
              <w:rPr>
                <w:rFonts w:ascii="Calibri" w:hAnsi="Calibri" w:cs="Calibri"/>
                <w:sz w:val="20"/>
              </w:rPr>
              <w:t>Azure Application Insights</w:t>
            </w:r>
          </w:p>
        </w:tc>
        <w:tc>
          <w:tcPr>
            <w:tcW w:w="2552" w:type="dxa"/>
          </w:tcPr>
          <w:p w14:paraId="5B429B40" w14:textId="5F508F21" w:rsidR="00C63A98" w:rsidRPr="00C63A98" w:rsidRDefault="00C63A98" w:rsidP="00C63A98">
            <w:pPr>
              <w:pStyle w:val="Tabletext"/>
              <w:rPr>
                <w:rFonts w:ascii="Calibri" w:hAnsi="Calibri" w:cs="Calibri"/>
                <w:sz w:val="20"/>
              </w:rPr>
            </w:pPr>
            <w:r w:rsidRPr="00C63A98">
              <w:rPr>
                <w:rFonts w:ascii="Calibri" w:hAnsi="Calibri" w:cs="Calibri"/>
                <w:sz w:val="20"/>
              </w:rPr>
              <w:t>com-dev-me2-cip-appiap-appi</w:t>
            </w:r>
          </w:p>
        </w:tc>
        <w:tc>
          <w:tcPr>
            <w:tcW w:w="2552" w:type="dxa"/>
          </w:tcPr>
          <w:p w14:paraId="254ADD63" w14:textId="19898F4C" w:rsidR="00C63A98" w:rsidRPr="00C63A98" w:rsidRDefault="00C63A98" w:rsidP="00C63A98">
            <w:pPr>
              <w:pStyle w:val="Tabletext"/>
              <w:rPr>
                <w:rFonts w:ascii="Calibri" w:hAnsi="Calibri" w:cs="Calibri"/>
                <w:sz w:val="20"/>
              </w:rPr>
            </w:pPr>
            <w:r w:rsidRPr="00C63A98">
              <w:rPr>
                <w:rFonts w:ascii="Calibri" w:hAnsi="Calibri" w:cs="Calibri"/>
                <w:sz w:val="20"/>
              </w:rPr>
              <w:t>com-tst-me2-cip-appiap-appi</w:t>
            </w:r>
          </w:p>
        </w:tc>
        <w:tc>
          <w:tcPr>
            <w:tcW w:w="754" w:type="dxa"/>
          </w:tcPr>
          <w:p w14:paraId="441BF176" w14:textId="4D4B14F3" w:rsidR="00C63A98" w:rsidRPr="00C63A98" w:rsidRDefault="00C63A98" w:rsidP="00C63A98">
            <w:pPr>
              <w:pStyle w:val="Tabletext"/>
              <w:rPr>
                <w:rFonts w:ascii="Calibri" w:hAnsi="Calibri" w:cs="Calibri"/>
                <w:sz w:val="20"/>
              </w:rPr>
            </w:pPr>
          </w:p>
        </w:tc>
        <w:tc>
          <w:tcPr>
            <w:tcW w:w="1628" w:type="dxa"/>
          </w:tcPr>
          <w:p w14:paraId="3CB77D67" w14:textId="77777777" w:rsidR="00C63A98" w:rsidRPr="00C63A98" w:rsidRDefault="00C63A98" w:rsidP="00C63A98">
            <w:pPr>
              <w:pStyle w:val="Tabletext"/>
              <w:rPr>
                <w:rFonts w:ascii="Calibri" w:hAnsi="Calibri" w:cs="Calibri"/>
                <w:sz w:val="20"/>
              </w:rPr>
            </w:pPr>
          </w:p>
        </w:tc>
      </w:tr>
      <w:tr w:rsidR="00C63A98" w:rsidRPr="00C63A98" w14:paraId="1E30A0FE" w14:textId="54040973" w:rsidTr="00636937">
        <w:trPr>
          <w:cantSplit/>
        </w:trPr>
        <w:tc>
          <w:tcPr>
            <w:tcW w:w="526" w:type="dxa"/>
          </w:tcPr>
          <w:p w14:paraId="67387354" w14:textId="567DB04B" w:rsidR="00C63A98" w:rsidRPr="00C63A98" w:rsidRDefault="00C63A98" w:rsidP="00C63A98">
            <w:pPr>
              <w:pStyle w:val="Tabletext"/>
              <w:rPr>
                <w:rFonts w:ascii="Calibri" w:hAnsi="Calibri" w:cs="Calibri"/>
                <w:sz w:val="20"/>
              </w:rPr>
            </w:pPr>
            <w:r w:rsidRPr="00C63A98">
              <w:rPr>
                <w:rFonts w:ascii="Calibri" w:hAnsi="Calibri" w:cs="Calibri"/>
                <w:sz w:val="20"/>
              </w:rPr>
              <w:t>7</w:t>
            </w:r>
          </w:p>
        </w:tc>
        <w:tc>
          <w:tcPr>
            <w:tcW w:w="1348" w:type="dxa"/>
          </w:tcPr>
          <w:p w14:paraId="7BAD53D3" w14:textId="0A80612B" w:rsidR="00C63A98" w:rsidRPr="00C63A98" w:rsidRDefault="00C63A98" w:rsidP="00C63A98">
            <w:pPr>
              <w:pStyle w:val="Tabletext"/>
              <w:rPr>
                <w:rFonts w:ascii="Calibri" w:hAnsi="Calibri" w:cs="Calibri"/>
                <w:sz w:val="20"/>
              </w:rPr>
            </w:pPr>
            <w:r w:rsidRPr="00C63A98">
              <w:rPr>
                <w:rFonts w:ascii="Calibri" w:hAnsi="Calibri" w:cs="Calibri"/>
                <w:sz w:val="20"/>
              </w:rPr>
              <w:t>Azure Storage Account</w:t>
            </w:r>
          </w:p>
        </w:tc>
        <w:tc>
          <w:tcPr>
            <w:tcW w:w="2552" w:type="dxa"/>
          </w:tcPr>
          <w:p w14:paraId="4375BE96" w14:textId="23BF8B1E" w:rsidR="00C63A98" w:rsidRPr="00C63A98" w:rsidRDefault="00CE45AF" w:rsidP="00C63A98">
            <w:pPr>
              <w:pStyle w:val="Tabletext"/>
              <w:rPr>
                <w:rFonts w:ascii="Calibri" w:hAnsi="Calibri" w:cs="Calibri"/>
                <w:sz w:val="20"/>
              </w:rPr>
            </w:pPr>
            <w:r>
              <w:rPr>
                <w:rFonts w:ascii="Calibri" w:hAnsi="Calibri" w:cs="Calibri"/>
                <w:sz w:val="20"/>
              </w:rPr>
              <w:t>mpccomdevme2cipqulitydfs / mpccomdevme2cipinvtrydfs / mpccomdevme2ciptrnsfrdfs</w:t>
            </w:r>
          </w:p>
        </w:tc>
        <w:tc>
          <w:tcPr>
            <w:tcW w:w="2552" w:type="dxa"/>
          </w:tcPr>
          <w:p w14:paraId="171D60ED" w14:textId="2F590F92" w:rsidR="00C63A98" w:rsidRPr="00C63A98" w:rsidRDefault="00CE45AF" w:rsidP="00C63A98">
            <w:pPr>
              <w:pStyle w:val="Tabletext"/>
              <w:rPr>
                <w:rFonts w:ascii="Calibri" w:hAnsi="Calibri" w:cs="Calibri"/>
                <w:sz w:val="20"/>
              </w:rPr>
            </w:pPr>
            <w:r>
              <w:rPr>
                <w:rFonts w:ascii="Calibri" w:hAnsi="Calibri" w:cs="Calibri"/>
                <w:sz w:val="20"/>
              </w:rPr>
              <w:t>mpccomtstme2cipqulitytfs / mpccomtstme2cipinvtrytfs / mpccomtstme2ciptrnsfrtfs</w:t>
            </w:r>
          </w:p>
        </w:tc>
        <w:tc>
          <w:tcPr>
            <w:tcW w:w="754" w:type="dxa"/>
          </w:tcPr>
          <w:p w14:paraId="5D1C352B" w14:textId="0B3CF64A" w:rsidR="00C63A98" w:rsidRPr="00C63A98" w:rsidRDefault="00C63A98" w:rsidP="00C63A98">
            <w:pPr>
              <w:pStyle w:val="Tabletext"/>
              <w:rPr>
                <w:rFonts w:ascii="Calibri" w:hAnsi="Calibri" w:cs="Calibri"/>
                <w:sz w:val="20"/>
              </w:rPr>
            </w:pPr>
          </w:p>
        </w:tc>
        <w:tc>
          <w:tcPr>
            <w:tcW w:w="1628" w:type="dxa"/>
          </w:tcPr>
          <w:p w14:paraId="39EB6A94" w14:textId="77777777" w:rsidR="00C63A98" w:rsidRPr="00C63A98" w:rsidRDefault="00C63A98" w:rsidP="00C63A98">
            <w:pPr>
              <w:pStyle w:val="Tabletext"/>
              <w:rPr>
                <w:rFonts w:ascii="Calibri" w:hAnsi="Calibri" w:cs="Calibri"/>
                <w:sz w:val="20"/>
              </w:rPr>
            </w:pPr>
          </w:p>
        </w:tc>
      </w:tr>
      <w:tr w:rsidR="00C63A98" w:rsidRPr="00C63A98" w14:paraId="51A6C263" w14:textId="2D4A2BE0" w:rsidTr="00636937">
        <w:trPr>
          <w:cantSplit/>
        </w:trPr>
        <w:tc>
          <w:tcPr>
            <w:tcW w:w="526" w:type="dxa"/>
          </w:tcPr>
          <w:p w14:paraId="4A9CF91A" w14:textId="570B5C0D" w:rsidR="00C63A98" w:rsidRPr="00C63A98" w:rsidRDefault="00C63A98" w:rsidP="00C63A98">
            <w:pPr>
              <w:pStyle w:val="Tabletext"/>
              <w:rPr>
                <w:rFonts w:ascii="Calibri" w:hAnsi="Calibri" w:cs="Calibri"/>
                <w:sz w:val="20"/>
              </w:rPr>
            </w:pPr>
            <w:r w:rsidRPr="00C63A98">
              <w:rPr>
                <w:rFonts w:ascii="Calibri" w:hAnsi="Calibri" w:cs="Calibri"/>
                <w:sz w:val="20"/>
              </w:rPr>
              <w:t>8</w:t>
            </w:r>
          </w:p>
        </w:tc>
        <w:tc>
          <w:tcPr>
            <w:tcW w:w="1348" w:type="dxa"/>
          </w:tcPr>
          <w:p w14:paraId="030D4991" w14:textId="04C66E44" w:rsidR="00C63A98" w:rsidRPr="00C63A98" w:rsidRDefault="00C63A98" w:rsidP="00C63A98">
            <w:pPr>
              <w:pStyle w:val="Tabletext"/>
              <w:rPr>
                <w:rFonts w:ascii="Calibri" w:hAnsi="Calibri" w:cs="Calibri"/>
                <w:sz w:val="20"/>
              </w:rPr>
            </w:pPr>
            <w:r w:rsidRPr="00C63A98">
              <w:rPr>
                <w:rFonts w:ascii="Calibri" w:hAnsi="Calibri" w:cs="Calibri"/>
                <w:sz w:val="20"/>
              </w:rPr>
              <w:t>Azure Blob Storage</w:t>
            </w:r>
          </w:p>
        </w:tc>
        <w:tc>
          <w:tcPr>
            <w:tcW w:w="2552" w:type="dxa"/>
          </w:tcPr>
          <w:p w14:paraId="2FCC0177" w14:textId="3CBB3EA9" w:rsidR="00C63A98" w:rsidRPr="00C63A98" w:rsidRDefault="00CE45AF" w:rsidP="00C63A98">
            <w:pPr>
              <w:pStyle w:val="Tabletext"/>
              <w:rPr>
                <w:rFonts w:ascii="Calibri" w:hAnsi="Calibri" w:cs="Calibri"/>
                <w:sz w:val="20"/>
              </w:rPr>
            </w:pPr>
            <w:r>
              <w:rPr>
                <w:rFonts w:ascii="Calibri" w:hAnsi="Calibri" w:cs="Calibri"/>
                <w:sz w:val="20"/>
              </w:rPr>
              <w:t>mpccomdme2cipappsa</w:t>
            </w:r>
          </w:p>
        </w:tc>
        <w:tc>
          <w:tcPr>
            <w:tcW w:w="2552" w:type="dxa"/>
          </w:tcPr>
          <w:p w14:paraId="4060F824" w14:textId="4FB0FEE0" w:rsidR="00C63A98" w:rsidRPr="00C63A98" w:rsidRDefault="00CE45AF" w:rsidP="00C63A98">
            <w:pPr>
              <w:pStyle w:val="Tabletext"/>
              <w:rPr>
                <w:rFonts w:ascii="Calibri" w:hAnsi="Calibri" w:cs="Calibri"/>
                <w:sz w:val="20"/>
              </w:rPr>
            </w:pPr>
            <w:r>
              <w:rPr>
                <w:rFonts w:ascii="Calibri" w:hAnsi="Calibri" w:cs="Calibri"/>
                <w:sz w:val="20"/>
              </w:rPr>
              <w:t>mpccomtme2cipappsa</w:t>
            </w:r>
          </w:p>
        </w:tc>
        <w:tc>
          <w:tcPr>
            <w:tcW w:w="754" w:type="dxa"/>
          </w:tcPr>
          <w:p w14:paraId="631C599D" w14:textId="6B85874D" w:rsidR="00C63A98" w:rsidRPr="00C63A98" w:rsidRDefault="00C63A98" w:rsidP="00C63A98">
            <w:pPr>
              <w:pStyle w:val="Tabletext"/>
              <w:rPr>
                <w:rFonts w:ascii="Calibri" w:hAnsi="Calibri" w:cs="Calibri"/>
                <w:sz w:val="20"/>
              </w:rPr>
            </w:pPr>
          </w:p>
        </w:tc>
        <w:tc>
          <w:tcPr>
            <w:tcW w:w="1628" w:type="dxa"/>
          </w:tcPr>
          <w:p w14:paraId="11820D4A" w14:textId="77777777" w:rsidR="00C63A98" w:rsidRPr="00C63A98" w:rsidRDefault="00C63A98" w:rsidP="00C63A98">
            <w:pPr>
              <w:pStyle w:val="Tabletext"/>
              <w:rPr>
                <w:rFonts w:ascii="Calibri" w:hAnsi="Calibri" w:cs="Calibri"/>
                <w:sz w:val="20"/>
              </w:rPr>
            </w:pPr>
          </w:p>
        </w:tc>
      </w:tr>
      <w:tr w:rsidR="00C63A98" w:rsidRPr="00C63A98" w14:paraId="60CA24EA" w14:textId="4C403EFD" w:rsidTr="00636937">
        <w:trPr>
          <w:cantSplit/>
        </w:trPr>
        <w:tc>
          <w:tcPr>
            <w:tcW w:w="526" w:type="dxa"/>
          </w:tcPr>
          <w:p w14:paraId="057C2E74" w14:textId="4E161276" w:rsidR="00C63A98" w:rsidRPr="00C63A98" w:rsidRDefault="00C63A98" w:rsidP="00C63A98">
            <w:pPr>
              <w:pStyle w:val="Tabletext"/>
              <w:rPr>
                <w:rFonts w:ascii="Calibri" w:hAnsi="Calibri" w:cs="Calibri"/>
                <w:sz w:val="20"/>
              </w:rPr>
            </w:pPr>
            <w:r w:rsidRPr="00C63A98">
              <w:rPr>
                <w:rFonts w:ascii="Calibri" w:hAnsi="Calibri" w:cs="Calibri"/>
                <w:sz w:val="20"/>
              </w:rPr>
              <w:t>9</w:t>
            </w:r>
          </w:p>
        </w:tc>
        <w:tc>
          <w:tcPr>
            <w:tcW w:w="1348" w:type="dxa"/>
          </w:tcPr>
          <w:p w14:paraId="080ECD7E" w14:textId="0566C2EE" w:rsidR="00C63A98" w:rsidRPr="00C63A98" w:rsidRDefault="00C63A98" w:rsidP="00C63A98">
            <w:pPr>
              <w:pStyle w:val="Tabletext"/>
              <w:rPr>
                <w:rFonts w:ascii="Calibri" w:hAnsi="Calibri" w:cs="Calibri"/>
                <w:sz w:val="20"/>
              </w:rPr>
            </w:pPr>
            <w:r w:rsidRPr="00C63A98">
              <w:rPr>
                <w:rFonts w:ascii="Calibri" w:hAnsi="Calibri" w:cs="Calibri"/>
                <w:sz w:val="20"/>
              </w:rPr>
              <w:t>Azure Table Storage</w:t>
            </w:r>
          </w:p>
        </w:tc>
        <w:tc>
          <w:tcPr>
            <w:tcW w:w="2552" w:type="dxa"/>
          </w:tcPr>
          <w:p w14:paraId="3AEE1AD6" w14:textId="1E291E77" w:rsidR="00C63A98" w:rsidRPr="00C63A98" w:rsidRDefault="00CE45AF" w:rsidP="00C63A98">
            <w:pPr>
              <w:pStyle w:val="Tabletext"/>
              <w:rPr>
                <w:rFonts w:ascii="Calibri" w:hAnsi="Calibri" w:cs="Calibri"/>
                <w:sz w:val="20"/>
              </w:rPr>
            </w:pPr>
            <w:r>
              <w:rPr>
                <w:rFonts w:ascii="Calibri" w:hAnsi="Calibri" w:cs="Calibri"/>
                <w:sz w:val="20"/>
              </w:rPr>
              <w:t>quality / transfer / inventory</w:t>
            </w:r>
          </w:p>
        </w:tc>
        <w:tc>
          <w:tcPr>
            <w:tcW w:w="2552" w:type="dxa"/>
          </w:tcPr>
          <w:p w14:paraId="5B886932" w14:textId="6BB246D5" w:rsidR="00C63A98" w:rsidRPr="00C63A98" w:rsidRDefault="00CE45AF" w:rsidP="00C63A98">
            <w:pPr>
              <w:pStyle w:val="Tabletext"/>
              <w:rPr>
                <w:rFonts w:ascii="Calibri" w:hAnsi="Calibri" w:cs="Calibri"/>
                <w:sz w:val="20"/>
              </w:rPr>
            </w:pPr>
            <w:r>
              <w:rPr>
                <w:rFonts w:ascii="Calibri" w:hAnsi="Calibri" w:cs="Calibri"/>
                <w:sz w:val="20"/>
              </w:rPr>
              <w:t>quality / transfer / inventory</w:t>
            </w:r>
          </w:p>
        </w:tc>
        <w:tc>
          <w:tcPr>
            <w:tcW w:w="754" w:type="dxa"/>
          </w:tcPr>
          <w:p w14:paraId="1B387AC2" w14:textId="379462F7" w:rsidR="00C63A98" w:rsidRPr="00C63A98" w:rsidRDefault="00C63A98" w:rsidP="00C63A98">
            <w:pPr>
              <w:pStyle w:val="Tabletext"/>
              <w:rPr>
                <w:rFonts w:ascii="Calibri" w:hAnsi="Calibri" w:cs="Calibri"/>
                <w:sz w:val="20"/>
              </w:rPr>
            </w:pPr>
          </w:p>
        </w:tc>
        <w:tc>
          <w:tcPr>
            <w:tcW w:w="1628" w:type="dxa"/>
          </w:tcPr>
          <w:p w14:paraId="57BD44CE" w14:textId="77777777" w:rsidR="00C63A98" w:rsidRPr="00C63A98" w:rsidRDefault="00C63A98" w:rsidP="00C63A98">
            <w:pPr>
              <w:pStyle w:val="Tabletext"/>
              <w:rPr>
                <w:rFonts w:ascii="Calibri" w:hAnsi="Calibri" w:cs="Calibri"/>
                <w:sz w:val="20"/>
              </w:rPr>
            </w:pPr>
          </w:p>
        </w:tc>
      </w:tr>
      <w:tr w:rsidR="00C63A98" w:rsidRPr="00C63A98" w14:paraId="3C40B50B" w14:textId="77777777" w:rsidTr="00636937">
        <w:trPr>
          <w:cantSplit/>
        </w:trPr>
        <w:tc>
          <w:tcPr>
            <w:tcW w:w="526" w:type="dxa"/>
          </w:tcPr>
          <w:p w14:paraId="1AE55E4B" w14:textId="52A563B6" w:rsidR="00C63A98" w:rsidRPr="00C63A98" w:rsidRDefault="00C63A98" w:rsidP="00C63A98">
            <w:pPr>
              <w:pStyle w:val="Tabletext"/>
              <w:keepNext/>
              <w:rPr>
                <w:rFonts w:ascii="Calibri" w:hAnsi="Calibri" w:cs="Calibri"/>
                <w:sz w:val="20"/>
              </w:rPr>
            </w:pPr>
            <w:r w:rsidRPr="00C63A98">
              <w:rPr>
                <w:rFonts w:ascii="Calibri" w:hAnsi="Calibri" w:cs="Calibri"/>
                <w:sz w:val="20"/>
              </w:rPr>
              <w:t>10</w:t>
            </w:r>
          </w:p>
        </w:tc>
        <w:tc>
          <w:tcPr>
            <w:tcW w:w="1348" w:type="dxa"/>
          </w:tcPr>
          <w:p w14:paraId="6C5F11A0" w14:textId="2DEF2FFC" w:rsidR="00C63A98" w:rsidRPr="00C63A98" w:rsidRDefault="00C63A98" w:rsidP="00C63A98">
            <w:pPr>
              <w:pStyle w:val="Tabletext"/>
              <w:keepNext/>
              <w:rPr>
                <w:rFonts w:ascii="Calibri" w:hAnsi="Calibri" w:cs="Calibri"/>
                <w:sz w:val="20"/>
              </w:rPr>
            </w:pPr>
            <w:r w:rsidRPr="00C63A98">
              <w:rPr>
                <w:rFonts w:ascii="Calibri" w:hAnsi="Calibri" w:cs="Calibri"/>
                <w:sz w:val="20"/>
              </w:rPr>
              <w:t>Azure Key Vault</w:t>
            </w:r>
          </w:p>
        </w:tc>
        <w:tc>
          <w:tcPr>
            <w:tcW w:w="2552" w:type="dxa"/>
          </w:tcPr>
          <w:p w14:paraId="163411AD" w14:textId="4C109B7B" w:rsidR="00C63A98" w:rsidRPr="00C63A98" w:rsidRDefault="00C63A98" w:rsidP="00C63A98">
            <w:pPr>
              <w:pStyle w:val="Tabletext"/>
              <w:keepNext/>
              <w:rPr>
                <w:rFonts w:ascii="Calibri" w:hAnsi="Calibri" w:cs="Calibri"/>
                <w:sz w:val="20"/>
              </w:rPr>
            </w:pPr>
            <w:r w:rsidRPr="00C63A98">
              <w:rPr>
                <w:rFonts w:ascii="Calibri" w:hAnsi="Calibri" w:cs="Calibri"/>
                <w:sz w:val="20"/>
              </w:rPr>
              <w:t>mpccomdme2cipsecretskv</w:t>
            </w:r>
          </w:p>
        </w:tc>
        <w:tc>
          <w:tcPr>
            <w:tcW w:w="2552" w:type="dxa"/>
          </w:tcPr>
          <w:p w14:paraId="6696D8B6" w14:textId="34299BB8" w:rsidR="00C63A98" w:rsidRPr="00C63A98" w:rsidRDefault="00C63A98" w:rsidP="00C63A98">
            <w:pPr>
              <w:pStyle w:val="Tabletext"/>
              <w:keepNext/>
              <w:rPr>
                <w:rFonts w:ascii="Calibri" w:hAnsi="Calibri" w:cs="Calibri"/>
                <w:sz w:val="20"/>
              </w:rPr>
            </w:pPr>
            <w:r w:rsidRPr="00C63A98">
              <w:rPr>
                <w:rFonts w:ascii="Calibri" w:hAnsi="Calibri" w:cs="Calibri"/>
                <w:sz w:val="20"/>
              </w:rPr>
              <w:t>mpccomtme2cipsecretskv</w:t>
            </w:r>
          </w:p>
        </w:tc>
        <w:tc>
          <w:tcPr>
            <w:tcW w:w="754" w:type="dxa"/>
          </w:tcPr>
          <w:p w14:paraId="4404A72B" w14:textId="77777777" w:rsidR="00C63A98" w:rsidRPr="00C63A98" w:rsidRDefault="00C63A98" w:rsidP="00C63A98">
            <w:pPr>
              <w:pStyle w:val="Tabletext"/>
              <w:keepNext/>
              <w:rPr>
                <w:rFonts w:ascii="Calibri" w:hAnsi="Calibri" w:cs="Calibri"/>
                <w:sz w:val="20"/>
              </w:rPr>
            </w:pPr>
          </w:p>
        </w:tc>
        <w:tc>
          <w:tcPr>
            <w:tcW w:w="1628" w:type="dxa"/>
          </w:tcPr>
          <w:p w14:paraId="018DE96D" w14:textId="77777777" w:rsidR="00C63A98" w:rsidRPr="00C63A98" w:rsidRDefault="00C63A98" w:rsidP="00C63A98">
            <w:pPr>
              <w:pStyle w:val="Tabletext"/>
              <w:keepNext/>
              <w:rPr>
                <w:rFonts w:ascii="Calibri" w:hAnsi="Calibri" w:cs="Calibri"/>
                <w:sz w:val="20"/>
              </w:rPr>
            </w:pPr>
          </w:p>
        </w:tc>
      </w:tr>
    </w:tbl>
    <w:p w14:paraId="7D594980" w14:textId="1689B404" w:rsidR="00C63A98" w:rsidRDefault="00C63A98" w:rsidP="00C63A98">
      <w:pPr>
        <w:pStyle w:val="Caption"/>
      </w:pPr>
      <w:bookmarkStart w:id="295" w:name="_Toc241311511"/>
      <w:bookmarkStart w:id="296" w:name="_Toc241574667"/>
      <w:bookmarkStart w:id="297" w:name="_Toc242554051"/>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53</w:t>
      </w:r>
      <w:r>
        <w:fldChar w:fldCharType="end"/>
      </w:r>
      <w:r>
        <w:t>: Azure Resources</w:t>
      </w:r>
      <w:bookmarkEnd w:id="295"/>
      <w:bookmarkEnd w:id="296"/>
      <w:bookmarkEnd w:id="297"/>
    </w:p>
    <w:p w14:paraId="538F00BE" w14:textId="28A80873" w:rsidR="00C63A98" w:rsidRDefault="008F2422" w:rsidP="00FC42E7">
      <w:pPr>
        <w:pStyle w:val="ListParagraph"/>
        <w:numPr>
          <w:ilvl w:val="0"/>
          <w:numId w:val="4"/>
        </w:numPr>
        <w:jc w:val="left"/>
      </w:pPr>
      <w:r>
        <w:t>The queues shall run</w:t>
      </w:r>
      <w:r w:rsidR="00AA30D8">
        <w:t xml:space="preserve"> in the Azure Service Bus namespace of the platform.</w:t>
      </w:r>
    </w:p>
    <w:p w14:paraId="71396EA2" w14:textId="738876F4" w:rsidR="005D49A2" w:rsidRPr="00947205" w:rsidRDefault="1183A835" w:rsidP="00140DC0">
      <w:pPr>
        <w:pStyle w:val="Heading2"/>
        <w:pageBreakBefore/>
        <w:rPr>
          <w:rFonts w:ascii="Calibri" w:hAnsi="Calibri" w:cs="Calibri"/>
          <w:sz w:val="20"/>
          <w:lang w:val="en-IN"/>
        </w:rPr>
      </w:pPr>
      <w:bookmarkStart w:id="298" w:name="_Toc209799477"/>
      <w:bookmarkStart w:id="299" w:name="_Toc1430041085"/>
      <w:bookmarkStart w:id="300" w:name="_Toc232066742"/>
      <w:bookmarkStart w:id="301" w:name="_Toc241574309"/>
      <w:bookmarkStart w:id="302" w:name="_Toc242553931"/>
      <w:r w:rsidRPr="00947205">
        <w:rPr>
          <w:rFonts w:ascii="Calibri" w:hAnsi="Calibri" w:cs="Calibri"/>
          <w:sz w:val="20"/>
          <w:lang w:val="en-IN"/>
        </w:rPr>
        <w:t>External Services</w:t>
      </w:r>
      <w:bookmarkEnd w:id="298"/>
      <w:bookmarkEnd w:id="299"/>
      <w:bookmarkEnd w:id="300"/>
      <w:bookmarkEnd w:id="301"/>
      <w:bookmarkEnd w:id="302"/>
    </w:p>
    <w:p w14:paraId="67B11234" w14:textId="6815E52F" w:rsidR="00C63A98" w:rsidRDefault="00610DB7" w:rsidP="00FC42E7">
      <w:pPr>
        <w:keepNext/>
        <w:jc w:val="left"/>
      </w:pPr>
      <w:r>
        <w:t xml:space="preserve">The table below gives </w:t>
      </w:r>
      <w:r w:rsidR="008F2422">
        <w:t>the external services the integrations and the waiver selection in this chapter use</w:t>
      </w:r>
      <w:r w:rsidR="00AA30D8">
        <w:t>.</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1"/>
        <w:gridCol w:w="1648"/>
        <w:gridCol w:w="2600"/>
        <w:gridCol w:w="4551"/>
      </w:tblGrid>
      <w:tr w:rsidR="00C63A98" w:rsidRPr="00C63A98" w14:paraId="446CD4DA" w14:textId="77777777" w:rsidTr="00AB52BC">
        <w:trPr>
          <w:cantSplit/>
          <w:tblHeader/>
        </w:trPr>
        <w:tc>
          <w:tcPr>
            <w:tcW w:w="561" w:type="dxa"/>
            <w:shd w:val="clear" w:color="auto" w:fill="2F5597"/>
          </w:tcPr>
          <w:p w14:paraId="6F2BA2EE" w14:textId="6F6B1880" w:rsidR="00C63A98" w:rsidRPr="00C63A98" w:rsidRDefault="00C63A98" w:rsidP="00AA30D8">
            <w:pPr>
              <w:pStyle w:val="Tablehead1"/>
              <w:rPr>
                <w:rFonts w:ascii="Calibri" w:hAnsi="Calibri" w:cs="Calibri"/>
                <w:sz w:val="20"/>
              </w:rPr>
            </w:pPr>
            <w:r w:rsidRPr="00C63A98">
              <w:rPr>
                <w:rFonts w:ascii="Calibri" w:hAnsi="Calibri" w:cs="Calibri"/>
                <w:sz w:val="20"/>
              </w:rPr>
              <w:t>S. No</w:t>
            </w:r>
          </w:p>
        </w:tc>
        <w:tc>
          <w:tcPr>
            <w:tcW w:w="1648" w:type="dxa"/>
            <w:shd w:val="clear" w:color="auto" w:fill="2F5597"/>
          </w:tcPr>
          <w:p w14:paraId="781680FD" w14:textId="3154CF4F" w:rsidR="00C63A98" w:rsidRPr="00C63A98" w:rsidRDefault="00C63A98" w:rsidP="00AA30D8">
            <w:pPr>
              <w:pStyle w:val="Tablehead1"/>
              <w:rPr>
                <w:rFonts w:ascii="Calibri" w:hAnsi="Calibri" w:cs="Calibri"/>
                <w:sz w:val="20"/>
              </w:rPr>
            </w:pPr>
            <w:r w:rsidRPr="00C63A98">
              <w:rPr>
                <w:rFonts w:ascii="Calibri" w:hAnsi="Calibri" w:cs="Calibri"/>
                <w:sz w:val="20"/>
              </w:rPr>
              <w:t>Application</w:t>
            </w:r>
          </w:p>
        </w:tc>
        <w:tc>
          <w:tcPr>
            <w:tcW w:w="2600" w:type="dxa"/>
            <w:shd w:val="clear" w:color="auto" w:fill="2F5597"/>
          </w:tcPr>
          <w:p w14:paraId="125F65EB" w14:textId="66AE7649"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c>
          <w:tcPr>
            <w:tcW w:w="4551" w:type="dxa"/>
            <w:shd w:val="clear" w:color="auto" w:fill="2F5597"/>
          </w:tcPr>
          <w:p w14:paraId="70D5B386" w14:textId="280A6E78" w:rsidR="00C63A98" w:rsidRPr="00C63A98" w:rsidRDefault="00636937" w:rsidP="00AA30D8">
            <w:pPr>
              <w:pStyle w:val="Tablehead1"/>
              <w:rPr>
                <w:rFonts w:ascii="Calibri" w:hAnsi="Calibri" w:cs="Calibri"/>
                <w:sz w:val="20"/>
              </w:rPr>
            </w:pPr>
            <w:r>
              <w:rPr>
                <w:rFonts w:ascii="Calibri" w:hAnsi="Calibri" w:cs="Calibri"/>
                <w:sz w:val="20"/>
              </w:rPr>
              <w:t>Setting</w:t>
            </w:r>
          </w:p>
        </w:tc>
      </w:tr>
      <w:tr w:rsidR="00C63A98" w:rsidRPr="00C63A98" w14:paraId="1E270852" w14:textId="77777777" w:rsidTr="00AB52BC">
        <w:trPr>
          <w:cantSplit/>
        </w:trPr>
        <w:tc>
          <w:tcPr>
            <w:tcW w:w="561" w:type="dxa"/>
          </w:tcPr>
          <w:p w14:paraId="1E2E8EA8" w14:textId="500A194A" w:rsidR="00C63A98" w:rsidRPr="00C63A98" w:rsidRDefault="00AB52BC" w:rsidP="000A106D">
            <w:pPr>
              <w:pStyle w:val="Tabletext"/>
              <w:rPr>
                <w:rFonts w:ascii="Calibri" w:hAnsi="Calibri" w:cs="Calibri"/>
                <w:sz w:val="20"/>
              </w:rPr>
            </w:pPr>
            <w:r>
              <w:rPr>
                <w:rFonts w:ascii="Calibri" w:hAnsi="Calibri" w:cs="Calibri"/>
                <w:sz w:val="20"/>
              </w:rPr>
              <w:t>1</w:t>
            </w:r>
          </w:p>
        </w:tc>
        <w:tc>
          <w:tcPr>
            <w:tcW w:w="1648" w:type="dxa"/>
          </w:tcPr>
          <w:p w14:paraId="7B23863D" w14:textId="398A24BA" w:rsidR="00C63A98" w:rsidRPr="00C63A98" w:rsidRDefault="00752CCD" w:rsidP="000A106D">
            <w:pPr>
              <w:pStyle w:val="Tabletext"/>
              <w:rPr>
                <w:rFonts w:ascii="Calibri" w:hAnsi="Calibri" w:cs="Calibri"/>
                <w:sz w:val="20"/>
              </w:rPr>
            </w:pPr>
            <w:r>
              <w:rPr>
                <w:rFonts w:ascii="Calibri" w:hAnsi="Calibri" w:cs="Calibri"/>
                <w:sz w:val="20"/>
              </w:rPr>
              <w:t>Semantic Service</w:t>
            </w:r>
          </w:p>
        </w:tc>
        <w:tc>
          <w:tcPr>
            <w:tcW w:w="2600" w:type="dxa"/>
          </w:tcPr>
          <w:p w14:paraId="1CE1CFBE" w14:textId="2E63A0B7" w:rsidR="00C63A98" w:rsidRPr="00C63A98" w:rsidRDefault="00377585" w:rsidP="000A106D">
            <w:pPr>
              <w:pStyle w:val="Tabletext"/>
              <w:rPr>
                <w:rFonts w:ascii="Calibri" w:hAnsi="Calibri" w:cs="Calibri"/>
                <w:sz w:val="20"/>
              </w:rPr>
            </w:pPr>
            <w:r>
              <w:rPr>
                <w:rFonts w:ascii="Calibri" w:hAnsi="Calibri" w:cs="Calibri"/>
                <w:sz w:val="20"/>
              </w:rPr>
              <w:t>Reads the Profisee cross-references for locations, materials, units and tanks, converts units, and gives the tank, PI tag and property mapping</w:t>
            </w:r>
          </w:p>
        </w:tc>
        <w:tc>
          <w:tcPr>
            <w:tcW w:w="4551" w:type="dxa"/>
          </w:tcPr>
          <w:p w14:paraId="1DEB6FFC" w14:textId="7EA2A2AF" w:rsidR="00C63A98" w:rsidRPr="00C63A98" w:rsidRDefault="00636937" w:rsidP="000A106D">
            <w:pPr>
              <w:pStyle w:val="Tabletext"/>
              <w:rPr>
                <w:rFonts w:ascii="Calibri" w:hAnsi="Calibri" w:cs="Calibri"/>
                <w:sz w:val="20"/>
              </w:rPr>
            </w:pPr>
            <w:r>
              <w:rPr>
                <w:rFonts w:ascii="Calibri" w:hAnsi="Calibri" w:cs="Calibri"/>
                <w:sz w:val="20"/>
              </w:rPr>
              <w:t>AppSettings:SemanticServiceBaseUrl</w:t>
            </w:r>
          </w:p>
        </w:tc>
      </w:tr>
      <w:tr w:rsidR="00C63A98" w:rsidRPr="00C63A98" w14:paraId="7E673775" w14:textId="77777777" w:rsidTr="00AB52BC">
        <w:trPr>
          <w:cantSplit/>
        </w:trPr>
        <w:tc>
          <w:tcPr>
            <w:tcW w:w="561" w:type="dxa"/>
          </w:tcPr>
          <w:p w14:paraId="6DC542B3" w14:textId="725F0D14" w:rsidR="00C63A98" w:rsidRPr="00C63A98" w:rsidRDefault="00AB52BC" w:rsidP="000A106D">
            <w:pPr>
              <w:pStyle w:val="Tabletext"/>
              <w:rPr>
                <w:rFonts w:ascii="Calibri" w:hAnsi="Calibri" w:cs="Calibri"/>
                <w:sz w:val="20"/>
              </w:rPr>
            </w:pPr>
            <w:r>
              <w:rPr>
                <w:rFonts w:ascii="Calibri" w:hAnsi="Calibri" w:cs="Calibri"/>
                <w:sz w:val="20"/>
              </w:rPr>
              <w:t>2</w:t>
            </w:r>
          </w:p>
        </w:tc>
        <w:tc>
          <w:tcPr>
            <w:tcW w:w="1648" w:type="dxa"/>
          </w:tcPr>
          <w:p w14:paraId="439CC104" w14:textId="28EAEC76" w:rsidR="00C63A98" w:rsidRPr="00C63A98" w:rsidRDefault="00C63A98" w:rsidP="000A106D">
            <w:pPr>
              <w:pStyle w:val="Tabletext"/>
              <w:rPr>
                <w:rFonts w:ascii="Calibri" w:hAnsi="Calibri" w:cs="Calibri"/>
                <w:sz w:val="20"/>
              </w:rPr>
            </w:pPr>
            <w:r w:rsidRPr="00C63A98">
              <w:rPr>
                <w:rFonts w:ascii="Calibri" w:hAnsi="Calibri" w:cs="Calibri"/>
                <w:sz w:val="20"/>
              </w:rPr>
              <w:t>PI Web API (terminals)</w:t>
            </w:r>
          </w:p>
        </w:tc>
        <w:tc>
          <w:tcPr>
            <w:tcW w:w="2600" w:type="dxa"/>
          </w:tcPr>
          <w:p w14:paraId="6FA5972F" w14:textId="1D1F7EFA" w:rsidR="00C63A98" w:rsidRPr="00C63A98" w:rsidRDefault="00C63A98" w:rsidP="000A106D">
            <w:pPr>
              <w:pStyle w:val="Tabletext"/>
              <w:rPr>
                <w:rFonts w:ascii="Calibri" w:hAnsi="Calibri" w:cs="Calibri"/>
                <w:sz w:val="20"/>
              </w:rPr>
            </w:pPr>
            <w:r w:rsidRPr="00C63A98">
              <w:rPr>
                <w:rFonts w:ascii="Calibri" w:hAnsi="Calibri" w:cs="Calibri"/>
                <w:sz w:val="20"/>
              </w:rPr>
              <w:t>Terminal PI Asset Framework (PIAF) data, read through the PI proxy function</w:t>
            </w:r>
          </w:p>
        </w:tc>
        <w:tc>
          <w:tcPr>
            <w:tcW w:w="4551" w:type="dxa"/>
          </w:tcPr>
          <w:p w14:paraId="3EA5D305" w14:textId="2D7914CF" w:rsidR="00C63A98" w:rsidRPr="00C63A98" w:rsidRDefault="00636937" w:rsidP="000A106D">
            <w:pPr>
              <w:pStyle w:val="Tabletext"/>
              <w:rPr>
                <w:rFonts w:ascii="Calibri" w:hAnsi="Calibri" w:cs="Calibri"/>
                <w:sz w:val="20"/>
              </w:rPr>
            </w:pPr>
            <w:r>
              <w:rPr>
                <w:rFonts w:ascii="Calibri" w:hAnsi="Calibri" w:cs="Calibri"/>
                <w:sz w:val="20"/>
              </w:rPr>
              <w:t>Aviva_PI_Base_Url</w:t>
            </w:r>
          </w:p>
        </w:tc>
      </w:tr>
      <w:tr w:rsidR="00C63A98" w:rsidRPr="00C63A98" w14:paraId="0B3537B8" w14:textId="77777777" w:rsidTr="00AB52BC">
        <w:trPr>
          <w:cantSplit/>
        </w:trPr>
        <w:tc>
          <w:tcPr>
            <w:tcW w:w="561" w:type="dxa"/>
          </w:tcPr>
          <w:p w14:paraId="58C782CE" w14:textId="77D8353E" w:rsidR="00C63A98" w:rsidRPr="00C63A98" w:rsidRDefault="00AB52BC" w:rsidP="000A106D">
            <w:pPr>
              <w:pStyle w:val="Tabletext"/>
              <w:rPr>
                <w:rFonts w:ascii="Calibri" w:hAnsi="Calibri" w:cs="Calibri"/>
                <w:sz w:val="20"/>
              </w:rPr>
            </w:pPr>
            <w:r>
              <w:rPr>
                <w:rFonts w:ascii="Calibri" w:hAnsi="Calibri" w:cs="Calibri"/>
                <w:sz w:val="20"/>
              </w:rPr>
              <w:t>3</w:t>
            </w:r>
          </w:p>
        </w:tc>
        <w:tc>
          <w:tcPr>
            <w:tcW w:w="1648" w:type="dxa"/>
          </w:tcPr>
          <w:p w14:paraId="78F20A0D" w14:textId="5BC01479" w:rsidR="00C63A98" w:rsidRPr="00C63A98" w:rsidRDefault="00C63A98" w:rsidP="000A106D">
            <w:pPr>
              <w:pStyle w:val="Tabletext"/>
              <w:rPr>
                <w:rFonts w:ascii="Calibri" w:hAnsi="Calibri" w:cs="Calibri"/>
                <w:sz w:val="20"/>
              </w:rPr>
            </w:pPr>
            <w:r w:rsidRPr="00C63A98">
              <w:rPr>
                <w:rFonts w:ascii="Calibri" w:hAnsi="Calibri" w:cs="Calibri"/>
                <w:sz w:val="20"/>
              </w:rPr>
              <w:t>Kittyhawk OData service</w:t>
            </w:r>
          </w:p>
        </w:tc>
        <w:tc>
          <w:tcPr>
            <w:tcW w:w="2600" w:type="dxa"/>
          </w:tcPr>
          <w:p w14:paraId="7878802B" w14:textId="5305E97F" w:rsidR="00C63A98" w:rsidRPr="00C63A98" w:rsidRDefault="00C63A98" w:rsidP="000A106D">
            <w:pPr>
              <w:pStyle w:val="Tabletext"/>
              <w:rPr>
                <w:rFonts w:ascii="Calibri" w:hAnsi="Calibri" w:cs="Calibri"/>
                <w:sz w:val="20"/>
              </w:rPr>
            </w:pPr>
            <w:r w:rsidRPr="00C63A98">
              <w:rPr>
                <w:rFonts w:ascii="Calibri" w:hAnsi="Calibri" w:cs="Calibri"/>
                <w:sz w:val="20"/>
              </w:rPr>
              <w:t>Kittyhawk inventory and movement data, and the transaction upload</w:t>
            </w:r>
          </w:p>
        </w:tc>
        <w:tc>
          <w:tcPr>
            <w:tcW w:w="4551" w:type="dxa"/>
          </w:tcPr>
          <w:p w14:paraId="41D9DDBE" w14:textId="3B8B21FF" w:rsidR="00C63A98" w:rsidRPr="00C63A98" w:rsidRDefault="00636937" w:rsidP="000A106D">
            <w:pPr>
              <w:pStyle w:val="Tabletext"/>
              <w:rPr>
                <w:rFonts w:ascii="Calibri" w:hAnsi="Calibri" w:cs="Calibri"/>
                <w:sz w:val="20"/>
              </w:rPr>
            </w:pPr>
            <w:r>
              <w:rPr>
                <w:rFonts w:ascii="Calibri" w:hAnsi="Calibri" w:cs="Calibri"/>
                <w:sz w:val="20"/>
              </w:rPr>
              <w:t>KittyHawkODataConnection</w:t>
            </w:r>
          </w:p>
        </w:tc>
      </w:tr>
      <w:tr w:rsidR="00C63A98" w:rsidRPr="00C63A98" w14:paraId="254FFD3B" w14:textId="77777777" w:rsidTr="00AB52BC">
        <w:trPr>
          <w:cantSplit/>
        </w:trPr>
        <w:tc>
          <w:tcPr>
            <w:tcW w:w="561" w:type="dxa"/>
          </w:tcPr>
          <w:p w14:paraId="13A74046" w14:textId="03375ADF" w:rsidR="00C63A98" w:rsidRPr="00C63A98" w:rsidRDefault="00AB52BC" w:rsidP="00C63A98">
            <w:pPr>
              <w:pStyle w:val="Tabletext"/>
              <w:keepNext/>
              <w:rPr>
                <w:rFonts w:ascii="Calibri" w:hAnsi="Calibri" w:cs="Calibri"/>
                <w:sz w:val="20"/>
              </w:rPr>
            </w:pPr>
            <w:r>
              <w:rPr>
                <w:rFonts w:ascii="Calibri" w:hAnsi="Calibri" w:cs="Calibri"/>
                <w:sz w:val="20"/>
              </w:rPr>
              <w:t>4</w:t>
            </w:r>
          </w:p>
        </w:tc>
        <w:tc>
          <w:tcPr>
            <w:tcW w:w="1648" w:type="dxa"/>
          </w:tcPr>
          <w:p w14:paraId="12597A46" w14:textId="1A46174C" w:rsidR="00C63A98" w:rsidRPr="00C63A98" w:rsidRDefault="00C63A98" w:rsidP="00C63A98">
            <w:pPr>
              <w:pStyle w:val="Tabletext"/>
              <w:keepNext/>
              <w:rPr>
                <w:rFonts w:ascii="Calibri" w:hAnsi="Calibri" w:cs="Calibri"/>
                <w:sz w:val="20"/>
              </w:rPr>
            </w:pPr>
            <w:r w:rsidRPr="00C63A98">
              <w:rPr>
                <w:rFonts w:ascii="Calibri" w:hAnsi="Calibri" w:cs="Calibri"/>
                <w:sz w:val="20"/>
              </w:rPr>
              <w:t>MPR database</w:t>
            </w:r>
          </w:p>
        </w:tc>
        <w:tc>
          <w:tcPr>
            <w:tcW w:w="2600" w:type="dxa"/>
          </w:tcPr>
          <w:p w14:paraId="0DB495CA" w14:textId="0E33D8B5" w:rsidR="00C63A98" w:rsidRPr="00C63A98" w:rsidRDefault="00451F42" w:rsidP="00C63A98">
            <w:pPr>
              <w:pStyle w:val="Tabletext"/>
              <w:keepNext/>
              <w:rPr>
                <w:rFonts w:ascii="Calibri" w:hAnsi="Calibri" w:cs="Calibri"/>
                <w:sz w:val="20"/>
              </w:rPr>
            </w:pPr>
            <w:r>
              <w:rPr>
                <w:rFonts w:ascii="Calibri" w:hAnsi="Calibri" w:cs="Calibri"/>
                <w:sz w:val="20"/>
              </w:rPr>
              <w:t>Price data, read by the Cost API through the platform price service</w:t>
            </w:r>
          </w:p>
        </w:tc>
        <w:tc>
          <w:tcPr>
            <w:tcW w:w="4551" w:type="dxa"/>
          </w:tcPr>
          <w:p w14:paraId="63E32F5C" w14:textId="47E51CB5" w:rsidR="00C63A98" w:rsidRPr="00C63A98" w:rsidRDefault="00636937" w:rsidP="00C63A98">
            <w:pPr>
              <w:pStyle w:val="Tabletext"/>
              <w:keepNext/>
              <w:rPr>
                <w:rFonts w:ascii="Calibri" w:hAnsi="Calibri" w:cs="Calibri"/>
                <w:sz w:val="20"/>
              </w:rPr>
            </w:pPr>
            <w:r>
              <w:rPr>
                <w:rFonts w:ascii="Calibri" w:hAnsi="Calibri" w:cs="Calibri"/>
                <w:sz w:val="20"/>
              </w:rPr>
              <w:t>AppSettings:PriceCostServiceBaseUrl</w:t>
            </w:r>
          </w:p>
        </w:tc>
      </w:tr>
    </w:tbl>
    <w:p w14:paraId="5CA211FC" w14:textId="649CAF10" w:rsidR="00C63A98" w:rsidRDefault="00C63A98" w:rsidP="00C63A98">
      <w:pPr>
        <w:pStyle w:val="Caption"/>
      </w:pPr>
      <w:bookmarkStart w:id="303" w:name="_Toc241311512"/>
      <w:bookmarkStart w:id="304" w:name="_Toc241574668"/>
      <w:bookmarkStart w:id="305" w:name="_Toc242554052"/>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54</w:t>
      </w:r>
      <w:r>
        <w:fldChar w:fldCharType="end"/>
      </w:r>
      <w:r>
        <w:t>: External Services</w:t>
      </w:r>
      <w:bookmarkEnd w:id="303"/>
      <w:bookmarkEnd w:id="304"/>
      <w:bookmarkEnd w:id="305"/>
    </w:p>
    <w:p w14:paraId="2490F9D0" w14:textId="2CD1E41B" w:rsidR="00992473" w:rsidRPr="00947205" w:rsidRDefault="27B91045" w:rsidP="00140DC0">
      <w:pPr>
        <w:pStyle w:val="Heading2"/>
        <w:pageBreakBefore/>
        <w:rPr>
          <w:rFonts w:ascii="Calibri" w:hAnsi="Calibri" w:cs="Calibri"/>
          <w:sz w:val="20"/>
          <w:lang w:val="en-IN"/>
        </w:rPr>
      </w:pPr>
      <w:bookmarkStart w:id="306" w:name="_Toc209799478"/>
      <w:bookmarkStart w:id="307" w:name="_Toc1892921986"/>
      <w:bookmarkStart w:id="308" w:name="_Toc749392081"/>
      <w:bookmarkStart w:id="309" w:name="_Toc241574310"/>
      <w:bookmarkStart w:id="310" w:name="_Toc242553932"/>
      <w:r w:rsidRPr="00947205">
        <w:rPr>
          <w:rFonts w:ascii="Calibri" w:hAnsi="Calibri" w:cs="Calibri"/>
          <w:sz w:val="20"/>
          <w:lang w:val="en-IN"/>
        </w:rPr>
        <w:t>Deployment</w:t>
      </w:r>
      <w:bookmarkEnd w:id="306"/>
      <w:bookmarkEnd w:id="307"/>
      <w:bookmarkEnd w:id="308"/>
      <w:bookmarkEnd w:id="309"/>
      <w:bookmarkEnd w:id="310"/>
    </w:p>
    <w:p w14:paraId="64930FF5" w14:textId="16D270B2" w:rsidR="00FC42E7" w:rsidRPr="00EC3682" w:rsidRDefault="00FC42E7" w:rsidP="00FC42E7">
      <w:pPr>
        <w:pStyle w:val="ListParagraph"/>
        <w:numPr>
          <w:ilvl w:val="0"/>
          <w:numId w:val="4"/>
        </w:numPr>
        <w:jc w:val="left"/>
        <w:rPr>
          <w:rFonts w:ascii="Calibri" w:hAnsi="Calibri" w:cs="Calibri"/>
        </w:rPr>
      </w:pPr>
      <w:r>
        <w:t>The platform's Azure DevOps (ADO) pipelines shall deploy the projects.</w:t>
      </w:r>
    </w:p>
    <w:p w14:paraId="04E13F5B" w14:textId="2CF0D40E" w:rsidR="00C63A98" w:rsidRDefault="00FC42E7" w:rsidP="00FC42E7">
      <w:pPr>
        <w:pStyle w:val="ListParagraph"/>
        <w:numPr>
          <w:ilvl w:val="0"/>
          <w:numId w:val="4"/>
        </w:numPr>
        <w:jc w:val="left"/>
      </w:pPr>
      <w:r>
        <w:t>A build of the develop branch shall deploy to DEV.</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63"/>
        <w:gridCol w:w="2694"/>
        <w:gridCol w:w="3493"/>
        <w:gridCol w:w="2510"/>
      </w:tblGrid>
      <w:tr w:rsidR="00C63A98" w:rsidRPr="00C63A98" w14:paraId="42E3789F" w14:textId="77777777" w:rsidTr="00C63A98">
        <w:trPr>
          <w:cantSplit/>
          <w:tblHeader/>
        </w:trPr>
        <w:tc>
          <w:tcPr>
            <w:tcW w:w="663" w:type="dxa"/>
            <w:shd w:val="clear" w:color="auto" w:fill="2F5597"/>
          </w:tcPr>
          <w:p w14:paraId="541E1D42" w14:textId="5A863FDE" w:rsidR="00C63A98" w:rsidRPr="00C63A98" w:rsidRDefault="00C63A98" w:rsidP="00AA30D8">
            <w:pPr>
              <w:pStyle w:val="Tablehead1"/>
              <w:rPr>
                <w:rFonts w:ascii="Calibri" w:hAnsi="Calibri" w:cs="Calibri"/>
                <w:sz w:val="20"/>
              </w:rPr>
            </w:pPr>
            <w:r w:rsidRPr="00C63A98">
              <w:rPr>
                <w:rFonts w:ascii="Calibri" w:hAnsi="Calibri" w:cs="Calibri"/>
                <w:sz w:val="20"/>
              </w:rPr>
              <w:t>S. No</w:t>
            </w:r>
          </w:p>
        </w:tc>
        <w:tc>
          <w:tcPr>
            <w:tcW w:w="2694" w:type="dxa"/>
            <w:shd w:val="clear" w:color="auto" w:fill="2F5597"/>
          </w:tcPr>
          <w:p w14:paraId="22555F3F" w14:textId="07A5E2E6" w:rsidR="00C63A98" w:rsidRPr="00C63A98" w:rsidRDefault="00C63A98" w:rsidP="00AA30D8">
            <w:pPr>
              <w:pStyle w:val="Tablehead1"/>
              <w:rPr>
                <w:rFonts w:ascii="Calibri" w:hAnsi="Calibri" w:cs="Calibri"/>
                <w:sz w:val="20"/>
              </w:rPr>
            </w:pPr>
            <w:r w:rsidRPr="00C63A98">
              <w:rPr>
                <w:rFonts w:ascii="Calibri" w:hAnsi="Calibri" w:cs="Calibri"/>
                <w:sz w:val="20"/>
              </w:rPr>
              <w:t>Pipeline Name</w:t>
            </w:r>
          </w:p>
        </w:tc>
        <w:tc>
          <w:tcPr>
            <w:tcW w:w="3493" w:type="dxa"/>
            <w:shd w:val="clear" w:color="auto" w:fill="2F5597"/>
          </w:tcPr>
          <w:p w14:paraId="4033A770" w14:textId="51C03385" w:rsidR="00C63A98" w:rsidRPr="00C63A98" w:rsidRDefault="00636937" w:rsidP="00AA30D8">
            <w:pPr>
              <w:pStyle w:val="Tablehead1"/>
              <w:rPr>
                <w:rFonts w:ascii="Calibri" w:hAnsi="Calibri" w:cs="Calibri"/>
                <w:sz w:val="20"/>
              </w:rPr>
            </w:pPr>
            <w:r>
              <w:rPr>
                <w:rFonts w:ascii="Calibri" w:hAnsi="Calibri" w:cs="Calibri"/>
                <w:sz w:val="20"/>
              </w:rPr>
              <w:t>Environment (DEV/TEST/PROD)</w:t>
            </w:r>
          </w:p>
        </w:tc>
        <w:tc>
          <w:tcPr>
            <w:tcW w:w="2510" w:type="dxa"/>
            <w:shd w:val="clear" w:color="auto" w:fill="2F5597"/>
          </w:tcPr>
          <w:p w14:paraId="18AB4C55" w14:textId="3509B996" w:rsidR="00C63A98" w:rsidRPr="00C63A98" w:rsidRDefault="00C63A98" w:rsidP="00AA30D8">
            <w:pPr>
              <w:pStyle w:val="Tablehead1"/>
              <w:rPr>
                <w:rFonts w:ascii="Calibri" w:hAnsi="Calibri" w:cs="Calibri"/>
                <w:sz w:val="20"/>
              </w:rPr>
            </w:pPr>
            <w:r w:rsidRPr="00C63A98">
              <w:rPr>
                <w:rFonts w:ascii="Calibri" w:hAnsi="Calibri" w:cs="Calibri"/>
                <w:sz w:val="20"/>
              </w:rPr>
              <w:t>Description</w:t>
            </w:r>
          </w:p>
        </w:tc>
      </w:tr>
      <w:tr w:rsidR="00C63A98" w:rsidRPr="00C63A98" w14:paraId="0AB7548C" w14:textId="77777777" w:rsidTr="00C63A98">
        <w:trPr>
          <w:cantSplit/>
        </w:trPr>
        <w:tc>
          <w:tcPr>
            <w:tcW w:w="663" w:type="dxa"/>
          </w:tcPr>
          <w:p w14:paraId="2B973412" w14:textId="0C9BCAB4" w:rsidR="00C63A98" w:rsidRPr="00C63A98" w:rsidRDefault="00C63A98" w:rsidP="00AA30D8">
            <w:pPr>
              <w:pStyle w:val="Tabletext"/>
              <w:keepNext/>
              <w:rPr>
                <w:rFonts w:ascii="Calibri" w:hAnsi="Calibri" w:cs="Calibri"/>
                <w:sz w:val="20"/>
              </w:rPr>
            </w:pPr>
            <w:r w:rsidRPr="00C63A98">
              <w:rPr>
                <w:rFonts w:ascii="Calibri" w:hAnsi="Calibri" w:cs="Calibri"/>
                <w:sz w:val="20"/>
              </w:rPr>
              <w:t>1</w:t>
            </w:r>
          </w:p>
        </w:tc>
        <w:tc>
          <w:tcPr>
            <w:tcW w:w="2694" w:type="dxa"/>
          </w:tcPr>
          <w:p w14:paraId="62B554E1" w14:textId="7DD23DF6" w:rsidR="00C63A98" w:rsidRPr="00C63A98" w:rsidRDefault="00C63A98" w:rsidP="00AA30D8">
            <w:pPr>
              <w:pStyle w:val="Tabletext"/>
              <w:keepNext/>
              <w:rPr>
                <w:rFonts w:ascii="Calibri" w:hAnsi="Calibri" w:cs="Calibri"/>
                <w:sz w:val="20"/>
              </w:rPr>
            </w:pPr>
            <w:r w:rsidRPr="00C63A98">
              <w:rPr>
                <w:rFonts w:ascii="Calibri" w:hAnsi="Calibri" w:cs="Calibri"/>
                <w:sz w:val="20"/>
              </w:rPr>
              <w:t>CI pipeline of each project</w:t>
            </w:r>
          </w:p>
        </w:tc>
        <w:tc>
          <w:tcPr>
            <w:tcW w:w="3493" w:type="dxa"/>
          </w:tcPr>
          <w:p w14:paraId="61861A5F" w14:textId="05A0090C" w:rsidR="00C63A98" w:rsidRPr="00C63A98" w:rsidRDefault="00C63A98" w:rsidP="00AA30D8">
            <w:pPr>
              <w:pStyle w:val="Tabletext"/>
              <w:keepNext/>
              <w:rPr>
                <w:rFonts w:ascii="Calibri" w:hAnsi="Calibri" w:cs="Calibri"/>
                <w:sz w:val="20"/>
              </w:rPr>
            </w:pPr>
          </w:p>
        </w:tc>
        <w:tc>
          <w:tcPr>
            <w:tcW w:w="2510" w:type="dxa"/>
          </w:tcPr>
          <w:p w14:paraId="70AE9828" w14:textId="5D5525E6" w:rsidR="00C63A98" w:rsidRPr="00C63A98" w:rsidRDefault="00C63A98" w:rsidP="00AA30D8">
            <w:pPr>
              <w:pStyle w:val="Tabletext"/>
              <w:keepNext/>
              <w:rPr>
                <w:rFonts w:ascii="Calibri" w:hAnsi="Calibri" w:cs="Calibri"/>
                <w:sz w:val="20"/>
              </w:rPr>
            </w:pPr>
            <w:r w:rsidRPr="00C63A98">
              <w:rPr>
                <w:rFonts w:ascii="Calibri" w:hAnsi="Calibri" w:cs="Calibri"/>
                <w:sz w:val="20"/>
              </w:rPr>
              <w:t>Builds the project</w:t>
            </w:r>
          </w:p>
        </w:tc>
      </w:tr>
      <w:tr w:rsidR="00C63A98" w:rsidRPr="00C63A98" w14:paraId="3430EDCD" w14:textId="77777777" w:rsidTr="00C63A98">
        <w:trPr>
          <w:cantSplit/>
        </w:trPr>
        <w:tc>
          <w:tcPr>
            <w:tcW w:w="663" w:type="dxa"/>
          </w:tcPr>
          <w:p w14:paraId="36333017" w14:textId="409A2D12" w:rsidR="00C63A98" w:rsidRPr="00C63A98" w:rsidRDefault="00C63A98" w:rsidP="00AA30D8">
            <w:pPr>
              <w:pStyle w:val="Tabletext"/>
              <w:keepNext/>
              <w:rPr>
                <w:rFonts w:ascii="Calibri" w:hAnsi="Calibri" w:cs="Calibri"/>
                <w:sz w:val="20"/>
              </w:rPr>
            </w:pPr>
            <w:r w:rsidRPr="00C63A98">
              <w:rPr>
                <w:rFonts w:ascii="Calibri" w:hAnsi="Calibri" w:cs="Calibri"/>
                <w:sz w:val="20"/>
              </w:rPr>
              <w:t>2</w:t>
            </w:r>
          </w:p>
        </w:tc>
        <w:tc>
          <w:tcPr>
            <w:tcW w:w="2694" w:type="dxa"/>
          </w:tcPr>
          <w:p w14:paraId="64C8A2CB" w14:textId="5D511199" w:rsidR="00C63A98" w:rsidRPr="00C63A98" w:rsidRDefault="00C63A98" w:rsidP="00AA30D8">
            <w:pPr>
              <w:pStyle w:val="Tabletext"/>
              <w:keepNext/>
              <w:rPr>
                <w:rFonts w:ascii="Calibri" w:hAnsi="Calibri" w:cs="Calibri"/>
                <w:sz w:val="20"/>
              </w:rPr>
            </w:pPr>
            <w:r w:rsidRPr="00C63A98">
              <w:rPr>
                <w:rFonts w:ascii="Calibri" w:hAnsi="Calibri" w:cs="Calibri"/>
                <w:sz w:val="20"/>
              </w:rPr>
              <w:t>CD pipeline of each web API</w:t>
            </w:r>
          </w:p>
        </w:tc>
        <w:tc>
          <w:tcPr>
            <w:tcW w:w="3493" w:type="dxa"/>
          </w:tcPr>
          <w:p w14:paraId="001A27AE" w14:textId="17FB7551" w:rsidR="00C63A98" w:rsidRPr="00C63A98" w:rsidRDefault="00C63A98" w:rsidP="00AA30D8">
            <w:pPr>
              <w:pStyle w:val="Tabletext"/>
              <w:keepNext/>
              <w:rPr>
                <w:rFonts w:ascii="Calibri" w:hAnsi="Calibri" w:cs="Calibri"/>
                <w:sz w:val="20"/>
              </w:rPr>
            </w:pPr>
            <w:r w:rsidRPr="00C63A98">
              <w:rPr>
                <w:rFonts w:ascii="Calibri" w:hAnsi="Calibri" w:cs="Calibri"/>
                <w:sz w:val="20"/>
              </w:rPr>
              <w:t>One per environment</w:t>
            </w:r>
          </w:p>
        </w:tc>
        <w:tc>
          <w:tcPr>
            <w:tcW w:w="2510" w:type="dxa"/>
          </w:tcPr>
          <w:p w14:paraId="06710133" w14:textId="6A69AC53" w:rsidR="00C63A98" w:rsidRPr="00C63A98" w:rsidRDefault="00C63A98" w:rsidP="00AA30D8">
            <w:pPr>
              <w:pStyle w:val="Tabletext"/>
              <w:keepNext/>
              <w:rPr>
                <w:rFonts w:ascii="Calibri" w:hAnsi="Calibri" w:cs="Calibri"/>
                <w:sz w:val="20"/>
              </w:rPr>
            </w:pPr>
            <w:r w:rsidRPr="00C63A98">
              <w:rPr>
                <w:rFonts w:ascii="Calibri" w:hAnsi="Calibri" w:cs="Calibri"/>
                <w:sz w:val="20"/>
              </w:rPr>
              <w:t>Deploys the web API</w:t>
            </w:r>
          </w:p>
        </w:tc>
      </w:tr>
      <w:tr w:rsidR="00C63A98" w:rsidRPr="00C63A98" w14:paraId="78760B28" w14:textId="77777777" w:rsidTr="00C63A98">
        <w:trPr>
          <w:cantSplit/>
        </w:trPr>
        <w:tc>
          <w:tcPr>
            <w:tcW w:w="663" w:type="dxa"/>
          </w:tcPr>
          <w:p w14:paraId="541FAB3C" w14:textId="1E11BA90" w:rsidR="00C63A98" w:rsidRPr="00C63A98" w:rsidRDefault="00C63A98" w:rsidP="00C63A98">
            <w:pPr>
              <w:pStyle w:val="Tabletext"/>
              <w:keepNext/>
              <w:rPr>
                <w:rFonts w:ascii="Calibri" w:hAnsi="Calibri" w:cs="Calibri"/>
                <w:sz w:val="20"/>
              </w:rPr>
            </w:pPr>
            <w:r w:rsidRPr="00C63A98">
              <w:rPr>
                <w:rFonts w:ascii="Calibri" w:hAnsi="Calibri" w:cs="Calibri"/>
                <w:sz w:val="20"/>
              </w:rPr>
              <w:t>3</w:t>
            </w:r>
          </w:p>
        </w:tc>
        <w:tc>
          <w:tcPr>
            <w:tcW w:w="2694" w:type="dxa"/>
          </w:tcPr>
          <w:p w14:paraId="5DF90DDD" w14:textId="064BE1B6" w:rsidR="00C63A98" w:rsidRPr="00C63A98" w:rsidRDefault="00C63A98" w:rsidP="00C63A98">
            <w:pPr>
              <w:pStyle w:val="Tabletext"/>
              <w:keepNext/>
              <w:rPr>
                <w:rFonts w:ascii="Calibri" w:hAnsi="Calibri" w:cs="Calibri"/>
                <w:sz w:val="20"/>
              </w:rPr>
            </w:pPr>
            <w:r w:rsidRPr="00C63A98">
              <w:rPr>
                <w:rFonts w:ascii="Calibri" w:hAnsi="Calibri" w:cs="Calibri"/>
                <w:sz w:val="20"/>
              </w:rPr>
              <w:t>CD pipeline of each function app</w:t>
            </w:r>
          </w:p>
        </w:tc>
        <w:tc>
          <w:tcPr>
            <w:tcW w:w="3493" w:type="dxa"/>
          </w:tcPr>
          <w:p w14:paraId="3695B4CC" w14:textId="3F945CC4" w:rsidR="00C63A98" w:rsidRPr="00C63A98" w:rsidRDefault="00C63A98" w:rsidP="00C63A98">
            <w:pPr>
              <w:pStyle w:val="Tabletext"/>
              <w:keepNext/>
              <w:rPr>
                <w:rFonts w:ascii="Calibri" w:hAnsi="Calibri" w:cs="Calibri"/>
                <w:sz w:val="20"/>
              </w:rPr>
            </w:pPr>
            <w:r w:rsidRPr="00C63A98">
              <w:rPr>
                <w:rFonts w:ascii="Calibri" w:hAnsi="Calibri" w:cs="Calibri"/>
                <w:sz w:val="20"/>
              </w:rPr>
              <w:t>One per environment</w:t>
            </w:r>
          </w:p>
        </w:tc>
        <w:tc>
          <w:tcPr>
            <w:tcW w:w="2510" w:type="dxa"/>
          </w:tcPr>
          <w:p w14:paraId="2845C3F6" w14:textId="56ECD587" w:rsidR="00C63A98" w:rsidRPr="00C63A98" w:rsidRDefault="00C63A98" w:rsidP="00C63A98">
            <w:pPr>
              <w:pStyle w:val="Tabletext"/>
              <w:keepNext/>
              <w:rPr>
                <w:rFonts w:ascii="Calibri" w:hAnsi="Calibri" w:cs="Calibri"/>
                <w:sz w:val="20"/>
              </w:rPr>
            </w:pPr>
            <w:r w:rsidRPr="00C63A98">
              <w:rPr>
                <w:rFonts w:ascii="Calibri" w:hAnsi="Calibri" w:cs="Calibri"/>
                <w:sz w:val="20"/>
              </w:rPr>
              <w:t>Deploys the function app</w:t>
            </w:r>
          </w:p>
        </w:tc>
      </w:tr>
    </w:tbl>
    <w:p w14:paraId="23DFABBA" w14:textId="6F51E1A2" w:rsidR="00C63A98" w:rsidRDefault="00C63A98" w:rsidP="00C63A98">
      <w:pPr>
        <w:pStyle w:val="Caption"/>
      </w:pPr>
      <w:bookmarkStart w:id="311" w:name="_Toc241311513"/>
      <w:bookmarkStart w:id="312" w:name="_Toc241574669"/>
      <w:bookmarkStart w:id="313" w:name="_Toc242554053"/>
      <w:r>
        <w:t xml:space="preserve">Table </w:t>
      </w:r>
      <w:r>
        <w:fldChar w:fldCharType="begin"/>
      </w:r>
      <w:r>
        <w:instrText>STYLEREF 1 \s</w:instrText>
      </w:r>
      <w:r>
        <w:fldChar w:fldCharType="separate"/>
      </w:r>
      <w:r w:rsidR="00FC42E7">
        <w:rPr>
          <w:noProof/>
        </w:rPr>
        <w:t>2</w:t>
      </w:r>
      <w:r>
        <w:fldChar w:fldCharType="end"/>
      </w:r>
      <w:r>
        <w:t>-</w:t>
      </w:r>
      <w:r>
        <w:fldChar w:fldCharType="begin"/>
      </w:r>
      <w:r>
        <w:instrText>SEQ Table \* ARABIC \s 1</w:instrText>
      </w:r>
      <w:r>
        <w:fldChar w:fldCharType="separate"/>
      </w:r>
      <w:r w:rsidR="00FC42E7">
        <w:rPr>
          <w:noProof/>
        </w:rPr>
        <w:t>55</w:t>
      </w:r>
      <w:r>
        <w:fldChar w:fldCharType="end"/>
      </w:r>
      <w:r>
        <w:t>: Deployment Details</w:t>
      </w:r>
      <w:bookmarkEnd w:id="311"/>
      <w:bookmarkEnd w:id="312"/>
      <w:bookmarkEnd w:id="313"/>
    </w:p>
    <w:p w14:paraId="480E0E79" w14:textId="19EE8ADB" w:rsidR="00FB3D71" w:rsidRPr="00E83BEF" w:rsidRDefault="00FB3D71" w:rsidP="00BE31EA">
      <w:pPr>
        <w:spacing w:after="0" w:line="20" w:lineRule="exact"/>
        <w:rPr>
          <w:rFonts w:cstheme="minorHAnsi"/>
          <w:b/>
          <w:bCs/>
          <w:sz w:val="20"/>
          <w:szCs w:val="20"/>
        </w:rPr>
      </w:pPr>
      <w:r w:rsidRPr="00E83BEF">
        <w:rPr>
          <w:rFonts w:cstheme="minorHAnsi"/>
          <w:sz w:val="20"/>
          <w:szCs w:val="20"/>
        </w:rPr>
        <w:br w:type="page"/>
      </w:r>
    </w:p>
    <w:p w14:paraId="3D29C47C" w14:textId="6A5175D5" w:rsidR="00662729" w:rsidRPr="00E83BEF" w:rsidRDefault="0FE1335B" w:rsidP="00F11547">
      <w:pPr>
        <w:pStyle w:val="Heading1"/>
        <w:jc w:val="left"/>
        <w:rPr>
          <w:rFonts w:asciiTheme="minorHAnsi" w:hAnsiTheme="minorHAnsi" w:cstheme="minorBidi"/>
          <w:sz w:val="20"/>
          <w:szCs w:val="20"/>
        </w:rPr>
      </w:pPr>
      <w:bookmarkStart w:id="314" w:name="_Toc1072462938"/>
      <w:bookmarkStart w:id="315" w:name="_Toc2012545404"/>
      <w:bookmarkStart w:id="316" w:name="_Toc241574311"/>
      <w:bookmarkStart w:id="317" w:name="_Toc242553933"/>
      <w:r w:rsidRPr="7F6E7DEF">
        <w:rPr>
          <w:rFonts w:asciiTheme="minorHAnsi" w:hAnsiTheme="minorHAnsi" w:cstheme="minorBidi"/>
          <w:sz w:val="20"/>
          <w:szCs w:val="20"/>
        </w:rPr>
        <w:t>D</w:t>
      </w:r>
      <w:r w:rsidR="46EEE929" w:rsidRPr="7F6E7DEF">
        <w:rPr>
          <w:rFonts w:asciiTheme="minorHAnsi" w:hAnsiTheme="minorHAnsi" w:cstheme="minorBidi"/>
          <w:sz w:val="20"/>
          <w:szCs w:val="20"/>
        </w:rPr>
        <w:t>a</w:t>
      </w:r>
      <w:r w:rsidR="534F14AF" w:rsidRPr="7F6E7DEF">
        <w:rPr>
          <w:rFonts w:asciiTheme="minorHAnsi" w:hAnsiTheme="minorHAnsi" w:cstheme="minorBidi"/>
          <w:sz w:val="20"/>
          <w:szCs w:val="20"/>
        </w:rPr>
        <w:t>ta Platform</w:t>
      </w:r>
      <w:bookmarkEnd w:id="314"/>
      <w:bookmarkEnd w:id="315"/>
      <w:bookmarkEnd w:id="316"/>
      <w:bookmarkEnd w:id="317"/>
    </w:p>
    <w:p w14:paraId="330E9BD8" w14:textId="77777777" w:rsidR="00672297" w:rsidRDefault="00A16EA3">
      <w:pPr>
        <w:pStyle w:val="Heading2"/>
        <w:rPr>
          <w:rFonts w:asciiTheme="minorHAnsi" w:hAnsiTheme="minorHAnsi" w:cstheme="minorBidi"/>
          <w:sz w:val="20"/>
          <w:szCs w:val="20"/>
        </w:rPr>
      </w:pPr>
      <w:bookmarkStart w:id="318" w:name="_Toc241574312"/>
      <w:bookmarkStart w:id="319" w:name="_Toc242553934"/>
      <w:r>
        <w:rPr>
          <w:rFonts w:asciiTheme="minorHAnsi" w:hAnsiTheme="minorHAnsi" w:cstheme="minorBidi"/>
          <w:sz w:val="20"/>
          <w:szCs w:val="20"/>
        </w:rPr>
        <w:t>Scope</w:t>
      </w:r>
      <w:bookmarkEnd w:id="318"/>
      <w:bookmarkEnd w:id="319"/>
    </w:p>
    <w:p w14:paraId="527D8F66" w14:textId="004FA4F1" w:rsidR="00672297" w:rsidRDefault="00A16EA3">
      <w:pPr>
        <w:rPr>
          <w:rFonts w:cstheme="minorHAnsi"/>
          <w:sz w:val="20"/>
          <w:szCs w:val="20"/>
        </w:rPr>
      </w:pPr>
      <w:r>
        <w:rPr>
          <w:rFonts w:cstheme="minorHAnsi"/>
          <w:sz w:val="20"/>
          <w:szCs w:val="20"/>
        </w:rPr>
        <w:t xml:space="preserve">This chapter defines the data platform of the Value Chain Blending (VCB) solution. VCB has no database of its own: VCB-specific views are created within the IQDM database using IQDM database tables and containing VCB-specific fields required for the VCB dashboards </w:t>
      </w:r>
      <w:r w:rsidR="008F2422">
        <w:rPr>
          <w:rFonts w:cstheme="minorHAnsi"/>
          <w:sz w:val="20"/>
          <w:szCs w:val="20"/>
        </w:rPr>
        <w:t>(chapter 2, section 2.1.1 IQDM Scope)</w:t>
      </w:r>
      <w:r>
        <w:rPr>
          <w:rFonts w:cstheme="minorHAnsi"/>
          <w:sz w:val="20"/>
          <w:szCs w:val="20"/>
        </w:rPr>
        <w:t xml:space="preserve">. The views apply the reporting business rules and serve the VCB Power BI semantic model described in chapter 4. The only VCB tables are the two target tables into which the VCB </w:t>
      </w:r>
      <w:r w:rsidR="000A106D">
        <w:rPr>
          <w:rFonts w:cstheme="minorHAnsi"/>
          <w:sz w:val="20"/>
          <w:szCs w:val="20"/>
        </w:rPr>
        <w:t>PIAF and Kittyhawk transaction upload integrations</w:t>
      </w:r>
      <w:r>
        <w:rPr>
          <w:rFonts w:cstheme="minorHAnsi"/>
          <w:sz w:val="20"/>
          <w:szCs w:val="20"/>
        </w:rPr>
        <w:t xml:space="preserve"> save their data, as defined in chapter 2.</w:t>
      </w:r>
    </w:p>
    <w:p w14:paraId="35F32568" w14:textId="77777777" w:rsidR="00672297" w:rsidRDefault="00A16EA3">
      <w:pPr>
        <w:rPr>
          <w:rFonts w:cstheme="minorHAnsi"/>
          <w:sz w:val="20"/>
          <w:szCs w:val="20"/>
        </w:rPr>
      </w:pPr>
      <w:r>
        <w:rPr>
          <w:rFonts w:cstheme="minorHAnsi"/>
          <w:sz w:val="20"/>
          <w:szCs w:val="20"/>
        </w:rPr>
        <w:t>The platform scope covers:</w:t>
      </w:r>
    </w:p>
    <w:p w14:paraId="4BEEC918"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IQDM domain and master tables that the VCB dashboards read (movements, quality, inventory, location, material, equipment, property, mode of transport, unit of measure and calendar).</w:t>
      </w:r>
    </w:p>
    <w:p w14:paraId="22A56E0B"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product specification table loaded by the database team until IQDM integrates PQ Spec Shop (IQDM Release 5).</w:t>
      </w:r>
    </w:p>
    <w:p w14:paraId="3F7B6B0C" w14:textId="651D38F1" w:rsidR="00672297" w:rsidRDefault="00A16EA3" w:rsidP="00652CF3">
      <w:pPr>
        <w:pStyle w:val="ListParagraph"/>
        <w:numPr>
          <w:ilvl w:val="0"/>
          <w:numId w:val="6"/>
        </w:numPr>
        <w:jc w:val="left"/>
        <w:rPr>
          <w:rFonts w:cstheme="minorHAnsi"/>
          <w:sz w:val="20"/>
          <w:szCs w:val="20"/>
        </w:rPr>
      </w:pPr>
      <w:r>
        <w:rPr>
          <w:rFonts w:cstheme="minorHAnsi"/>
          <w:sz w:val="20"/>
          <w:szCs w:val="20"/>
        </w:rPr>
        <w:t xml:space="preserve">The VCB tables into which </w:t>
      </w:r>
      <w:r w:rsidR="000A106D">
        <w:rPr>
          <w:rFonts w:cstheme="minorHAnsi"/>
          <w:sz w:val="20"/>
          <w:szCs w:val="20"/>
        </w:rPr>
        <w:t>the VCB integrations of chapter 2</w:t>
      </w:r>
      <w:r>
        <w:rPr>
          <w:rFonts w:cstheme="minorHAnsi"/>
          <w:sz w:val="20"/>
          <w:szCs w:val="20"/>
        </w:rPr>
        <w:t xml:space="preserve"> save their data: terminal blend component data from PIAF (VCB </w:t>
      </w:r>
      <w:r w:rsidR="00371C86">
        <w:rPr>
          <w:rFonts w:cstheme="minorHAnsi"/>
          <w:sz w:val="20"/>
          <w:szCs w:val="20"/>
        </w:rPr>
        <w:t>Releases 2 and 3</w:t>
      </w:r>
      <w:r>
        <w:rPr>
          <w:rFonts w:cstheme="minorHAnsi"/>
          <w:sz w:val="20"/>
          <w:szCs w:val="20"/>
        </w:rPr>
        <w:t>) and blend component movements from the Kittyhawk transaction upload (VCB Release 3).</w:t>
      </w:r>
    </w:p>
    <w:p w14:paraId="7CC67709"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calculation inputs that are not held in IQDM (blend potential, waivers, terminal configuration, component blending values and supply action thresholds); their sources are gaps to be confirmed.</w:t>
      </w:r>
    </w:p>
    <w:p w14:paraId="64D17FA4"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six VCB-specific views, created in the IQDM database on IQDM tables, that implement the dashboard business logic: vwRefineryBatchMovementQuality (Refinery-Wide), vwDistillateBlendPotentialQuality (Blending Potential), vwDistillateBatchQuality (Distillate), vwBlendComponentSupplyDemand (Supply), vwGasolineBlendingKPI (Gasoline KPI) and vwDistillateBlendingKPI (Distillate KPI).</w:t>
      </w:r>
    </w:p>
    <w:p w14:paraId="541A9BA8"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Data refresh dependencies, historical retention, archival, housekeeping, data validation and environment configuration.</w:t>
      </w:r>
    </w:p>
    <w:p w14:paraId="1BD25726" w14:textId="77777777" w:rsidR="00672297" w:rsidRDefault="00A16EA3">
      <w:pPr>
        <w:rPr>
          <w:rFonts w:cstheme="minorHAnsi"/>
          <w:sz w:val="20"/>
          <w:szCs w:val="20"/>
        </w:rPr>
      </w:pPr>
      <w:r>
        <w:rPr>
          <w:rFonts w:cstheme="minorHAnsi"/>
          <w:b/>
          <w:bCs/>
          <w:sz w:val="20"/>
          <w:szCs w:val="20"/>
        </w:rPr>
        <w:t>Objectives:</w:t>
      </w:r>
    </w:p>
    <w:p w14:paraId="6F65FB7C"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Build the VCB views on the IQDM domain and master tables, keyed on the Profisee global codes used by IQDM.</w:t>
      </w:r>
    </w:p>
    <w:p w14:paraId="366DA41B"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Provide one reporting view per dashboard for Power BI consumption.</w:t>
      </w:r>
    </w:p>
    <w:p w14:paraId="273D748E"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Implement reporting-specific business rules (batch status, specification resolution, blend potential, supply position, give-away and value loss inputs) in database views so that every dashboard uses the same logic.</w:t>
      </w:r>
    </w:p>
    <w:p w14:paraId="7BAD2FC4"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Keep at least 3 years of history for the data VCB reports on, and implement retention, archival and housekeeping processes.</w:t>
      </w:r>
    </w:p>
    <w:p w14:paraId="3E0E7DA5"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MPR prices are not stored in the IQDM database: Power BI reads them from the MPR API, keeps them in the semantic model only and joins them to vwGasolineBlendingKPI and vwDistillateBlendingKPI on globalCode and productAbbreviation (chapter 4).</w:t>
      </w:r>
    </w:p>
    <w:p w14:paraId="4CF6FE21" w14:textId="77777777" w:rsidR="00672297" w:rsidRDefault="00A16EA3">
      <w:pPr>
        <w:rPr>
          <w:rFonts w:cstheme="minorHAnsi"/>
          <w:sz w:val="20"/>
          <w:szCs w:val="20"/>
        </w:rPr>
      </w:pPr>
      <w:r>
        <w:rPr>
          <w:rFonts w:cstheme="minorHAnsi"/>
          <w:b/>
          <w:bCs/>
          <w:sz w:val="20"/>
          <w:szCs w:val="20"/>
        </w:rPr>
        <w:t>Out of scope:</w:t>
      </w:r>
      <w:r>
        <w:rPr>
          <w:rFonts w:cstheme="minorHAnsi"/>
          <w:sz w:val="20"/>
          <w:szCs w:val="20"/>
        </w:rPr>
        <w:t xml:space="preserve"> the design of the IQDM tables themselves (IQDM Technical Design Document V3.0, chapter Data Platform), the IQDM interfaces, Profisee master-data maintenance and source-system data correction.</w:t>
      </w:r>
    </w:p>
    <w:p w14:paraId="3A801400" w14:textId="77777777" w:rsidR="00672297" w:rsidRDefault="00A16EA3">
      <w:pPr>
        <w:pStyle w:val="Heading2"/>
        <w:rPr>
          <w:rFonts w:asciiTheme="minorHAnsi" w:hAnsiTheme="minorHAnsi" w:cstheme="minorBidi"/>
          <w:sz w:val="20"/>
          <w:szCs w:val="20"/>
        </w:rPr>
      </w:pPr>
      <w:bookmarkStart w:id="320" w:name="_Toc241574313"/>
      <w:bookmarkStart w:id="321" w:name="_Toc242553935"/>
      <w:r>
        <w:rPr>
          <w:rFonts w:asciiTheme="minorHAnsi" w:hAnsiTheme="minorHAnsi" w:cstheme="minorBidi"/>
          <w:sz w:val="20"/>
          <w:szCs w:val="20"/>
        </w:rPr>
        <w:t>Assumptions</w:t>
      </w:r>
      <w:bookmarkEnd w:id="320"/>
      <w:bookmarkEnd w:id="321"/>
    </w:p>
    <w:p w14:paraId="5E8C1FEF" w14:textId="365B0689" w:rsidR="00672297" w:rsidRDefault="00A16EA3" w:rsidP="00652CF3">
      <w:pPr>
        <w:pStyle w:val="ListParagraph"/>
        <w:numPr>
          <w:ilvl w:val="0"/>
          <w:numId w:val="6"/>
        </w:numPr>
        <w:jc w:val="left"/>
        <w:rPr>
          <w:rFonts w:cstheme="minorHAnsi"/>
          <w:sz w:val="20"/>
          <w:szCs w:val="20"/>
        </w:rPr>
      </w:pPr>
      <w:r>
        <w:rPr>
          <w:rFonts w:cstheme="minorHAnsi"/>
          <w:sz w:val="20"/>
          <w:szCs w:val="20"/>
        </w:rPr>
        <w:t xml:space="preserve">Data received from the Integration Layer is curated, standardized and business ready: codes are translated to Profisee global codes, units are converted to the IQDM default unit and duplicate rows and rows without a material mapping are removed by the Request Service before the load </w:t>
      </w:r>
      <w:r w:rsidR="008A4F32">
        <w:rPr>
          <w:rFonts w:cstheme="minorHAnsi"/>
          <w:sz w:val="20"/>
          <w:szCs w:val="20"/>
        </w:rPr>
        <w:t>(chapter 2, VCB Integrations - Common Integration Pattern)</w:t>
      </w:r>
      <w:r>
        <w:rPr>
          <w:rFonts w:cstheme="minorHAnsi"/>
          <w:sz w:val="20"/>
          <w:szCs w:val="20"/>
        </w:rPr>
        <w:t>.</w:t>
      </w:r>
    </w:p>
    <w:p w14:paraId="40B20F28"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Integration Layer (.NET Request Service) loads the VCB tables through stored procedures (IsImport = false). The data platform does not call source systems.</w:t>
      </w:r>
    </w:p>
    <w:p w14:paraId="09FC4AA0"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IQDM domain and master tables keep the structure given in the IQDM Technical Design Document V3.0, chapter Data Platform. Any column that VCB needs in addition is listed in section Release 1 - Data Entity Design as a request to the IQDM database team.</w:t>
      </w:r>
    </w:p>
    <w:p w14:paraId="2EC78E7A"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All timestamps are stored in UTC, as sent by the interfaces. Conversion to the local time of a location uses the time zone held in the location master.</w:t>
      </w:r>
    </w:p>
    <w:p w14:paraId="38B1BA8F"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Reporting-specific calculations, derivations and business rules are implemented in SQL views. Only the price-dependent value-loss calculation is done in the Power BI semantic model, because MPR prices are fetched from the MPR API into Power BI and are not stored in the IQDM database.</w:t>
      </w:r>
    </w:p>
    <w:p w14:paraId="154ECA6E"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Calculation inputs that are not held in IQDM (section Calculation Inputs Not Held in IQDM) are applied in the views with the values of the Wireframes Mock Data until their source is confirmed; no VCB table is created for them.</w:t>
      </w:r>
    </w:p>
    <w:p w14:paraId="0AB8A692"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Historical data retention, archival and purge policies are configurable and executed through scheduled housekeeping jobs. Archival and purge do not run during the dashboard refresh window.</w:t>
      </w:r>
    </w:p>
    <w:p w14:paraId="68DAE2E3" w14:textId="77777777" w:rsidR="00672297" w:rsidRDefault="00A16EA3">
      <w:pPr>
        <w:pStyle w:val="Heading2"/>
        <w:rPr>
          <w:rFonts w:asciiTheme="minorHAnsi" w:hAnsiTheme="minorHAnsi" w:cstheme="minorBidi"/>
          <w:sz w:val="20"/>
          <w:szCs w:val="20"/>
        </w:rPr>
      </w:pPr>
      <w:bookmarkStart w:id="322" w:name="_Toc241574314"/>
      <w:bookmarkStart w:id="323" w:name="_Toc242553936"/>
      <w:r>
        <w:rPr>
          <w:rFonts w:asciiTheme="minorHAnsi" w:hAnsiTheme="minorHAnsi" w:cstheme="minorBidi"/>
          <w:sz w:val="20"/>
          <w:szCs w:val="20"/>
        </w:rPr>
        <w:t>Solution Approach</w:t>
      </w:r>
      <w:bookmarkEnd w:id="322"/>
      <w:bookmarkEnd w:id="323"/>
    </w:p>
    <w:p w14:paraId="303F12FB" w14:textId="77777777" w:rsidR="00672297" w:rsidRDefault="00A16EA3">
      <w:pPr>
        <w:rPr>
          <w:rFonts w:cstheme="minorHAnsi"/>
          <w:sz w:val="20"/>
          <w:szCs w:val="20"/>
        </w:rPr>
      </w:pPr>
      <w:r>
        <w:rPr>
          <w:rFonts w:cstheme="minorHAnsi"/>
          <w:sz w:val="20"/>
          <w:szCs w:val="20"/>
        </w:rPr>
        <w:t>The data platform follows the IQDM layered approach. Source data reaches the IQDM database only through the CIP interfaces (or, for the specification and reference data, through the database team). Domain tables persist the data at the grain delivered by the interfaces; six reporting views, one per dashboard, join them to the master tables, standardize names and units and apply the dashboard business rules; the Power BI semantic model imports the six views and the MPR prices from the MPR API.</w:t>
      </w:r>
    </w:p>
    <w:p w14:paraId="7EC7EBF7" w14:textId="77777777" w:rsidR="00672297" w:rsidRDefault="00A16EA3">
      <w:pPr>
        <w:rPr>
          <w:rFonts w:cstheme="minorHAnsi"/>
          <w:sz w:val="20"/>
          <w:szCs w:val="20"/>
        </w:rPr>
      </w:pPr>
      <w:r>
        <w:rPr>
          <w:rFonts w:cstheme="minorHAnsi"/>
          <w:sz w:val="20"/>
          <w:szCs w:val="20"/>
        </w:rPr>
        <w:t>The IQDM database acts as the single reporting repository for VCB and is responsible for:</w:t>
      </w:r>
    </w:p>
    <w:p w14:paraId="56B45931" w14:textId="12DE4505" w:rsidR="00672297" w:rsidRDefault="00A16EA3" w:rsidP="00652CF3">
      <w:pPr>
        <w:pStyle w:val="ListParagraph"/>
        <w:numPr>
          <w:ilvl w:val="0"/>
          <w:numId w:val="6"/>
        </w:numPr>
        <w:jc w:val="left"/>
        <w:rPr>
          <w:rFonts w:cstheme="minorHAnsi"/>
          <w:sz w:val="20"/>
          <w:szCs w:val="20"/>
        </w:rPr>
      </w:pPr>
      <w:r>
        <w:rPr>
          <w:rFonts w:cstheme="minorHAnsi"/>
          <w:sz w:val="20"/>
          <w:szCs w:val="20"/>
        </w:rPr>
        <w:t xml:space="preserve">Persisting business data in the IQDM domain tables and, for </w:t>
      </w:r>
      <w:r w:rsidR="000A106D">
        <w:rPr>
          <w:rFonts w:cstheme="minorHAnsi"/>
          <w:sz w:val="20"/>
          <w:szCs w:val="20"/>
        </w:rPr>
        <w:t>the VCB integrations of chapter 2</w:t>
      </w:r>
      <w:r>
        <w:rPr>
          <w:rFonts w:cstheme="minorHAnsi"/>
          <w:sz w:val="20"/>
          <w:szCs w:val="20"/>
        </w:rPr>
        <w:t>, in their VCB target tables.</w:t>
      </w:r>
    </w:p>
    <w:p w14:paraId="5FCE8D62"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Managing historical data retention (at least 3 years for VCB).</w:t>
      </w:r>
    </w:p>
    <w:p w14:paraId="1212C79D"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Creating the six dashboard reporting views.</w:t>
      </w:r>
    </w:p>
    <w:p w14:paraId="758091CC"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Applying reporting-specific business logic and calculations.</w:t>
      </w:r>
    </w:p>
    <w:p w14:paraId="60662F0D"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Supporting the Power BI reporting and analytics requirements of chapter 4.</w:t>
      </w:r>
    </w:p>
    <w:p w14:paraId="4B27EDF3" w14:textId="77777777" w:rsidR="00672297" w:rsidRDefault="00A16EA3">
      <w:pPr>
        <w:pStyle w:val="Heading3"/>
        <w:rPr>
          <w:rFonts w:asciiTheme="minorHAnsi" w:hAnsiTheme="minorHAnsi" w:cstheme="minorBidi"/>
          <w:sz w:val="20"/>
          <w:szCs w:val="20"/>
        </w:rPr>
      </w:pPr>
      <w:bookmarkStart w:id="324" w:name="_Toc241574315"/>
      <w:bookmarkStart w:id="325" w:name="_Toc242553937"/>
      <w:r>
        <w:rPr>
          <w:rFonts w:asciiTheme="minorHAnsi" w:hAnsiTheme="minorHAnsi" w:cstheme="minorBidi"/>
          <w:sz w:val="20"/>
          <w:szCs w:val="20"/>
        </w:rPr>
        <w:t>Data Platform Architecture and Layers</w:t>
      </w:r>
      <w:bookmarkEnd w:id="324"/>
      <w:bookmarkEnd w:id="325"/>
    </w:p>
    <w:p w14:paraId="55E05027" w14:textId="77777777" w:rsidR="00672297" w:rsidRDefault="00A16EA3">
      <w:pPr>
        <w:rPr>
          <w:rFonts w:cstheme="minorHAnsi"/>
          <w:sz w:val="20"/>
          <w:szCs w:val="20"/>
        </w:rPr>
      </w:pPr>
      <w:r>
        <w:rPr>
          <w:rFonts w:cstheme="minorHAnsi"/>
          <w:sz w:val="20"/>
          <w:szCs w:val="20"/>
        </w:rPr>
        <w:t>The figure below shows the layers of the VCB data platform, from the source systems to the Power BI dashboards. Components in orange are new for VCB; the others are built and owned by IQDM and reused.</w:t>
      </w:r>
    </w:p>
    <w:p w14:paraId="196FCFF2" w14:textId="77777777" w:rsidR="00672297" w:rsidRDefault="00A16EA3">
      <w:pPr>
        <w:keepNext/>
        <w:jc w:val="center"/>
      </w:pPr>
      <w:r>
        <w:rPr>
          <w:noProof/>
        </w:rPr>
        <w:drawing>
          <wp:inline distT="0" distB="0" distL="0" distR="0" wp14:anchorId="2E1659CA" wp14:editId="2A7F74E6">
            <wp:extent cx="5943600" cy="2345740"/>
            <wp:effectExtent l="0" t="0" r="0" b="0"/>
            <wp:docPr id="5001" name="VCB Fig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vcb_fig_5001.png"/>
                    <pic:cNvPicPr/>
                  </pic:nvPicPr>
                  <pic:blipFill>
                    <a:blip r:embed="rId45"/>
                    <a:stretch>
                      <a:fillRect/>
                    </a:stretch>
                  </pic:blipFill>
                  <pic:spPr>
                    <a:xfrm>
                      <a:off x="0" y="0"/>
                      <a:ext cx="5943600" cy="2345740"/>
                    </a:xfrm>
                    <a:prstGeom prst="rect">
                      <a:avLst/>
                    </a:prstGeom>
                  </pic:spPr>
                </pic:pic>
              </a:graphicData>
            </a:graphic>
          </wp:inline>
        </w:drawing>
      </w:r>
    </w:p>
    <w:p w14:paraId="71894057" w14:textId="28B57014" w:rsidR="00672297" w:rsidRDefault="00A16EA3">
      <w:pPr>
        <w:pStyle w:val="Caption"/>
      </w:pPr>
      <w:bookmarkStart w:id="326" w:name="_Toc900900005"/>
      <w:bookmarkStart w:id="327" w:name="_Toc241574756"/>
      <w:bookmarkStart w:id="328" w:name="_Toc242554158"/>
      <w:r>
        <w:t xml:space="preserve">Figure </w:t>
      </w:r>
      <w:r>
        <w:fldChar w:fldCharType="begin"/>
      </w:r>
      <w:r>
        <w:instrText>STYLEREF 1 \s</w:instrText>
      </w:r>
      <w:r>
        <w:fldChar w:fldCharType="separate"/>
      </w:r>
      <w:r w:rsidR="00FC42E7">
        <w:rPr>
          <w:noProof/>
        </w:rPr>
        <w:t>3</w:t>
      </w:r>
      <w:r>
        <w:fldChar w:fldCharType="end"/>
      </w:r>
      <w:r>
        <w:t>-</w:t>
      </w:r>
      <w:r>
        <w:fldChar w:fldCharType="begin"/>
      </w:r>
      <w:r>
        <w:instrText>SEQ Figure \* ARABIC \s 1</w:instrText>
      </w:r>
      <w:r>
        <w:fldChar w:fldCharType="separate"/>
      </w:r>
      <w:r w:rsidR="00FC42E7">
        <w:rPr>
          <w:noProof/>
        </w:rPr>
        <w:t>1</w:t>
      </w:r>
      <w:r>
        <w:fldChar w:fldCharType="end"/>
      </w:r>
      <w:r>
        <w:t>: VCB Data Platform - Layered Architecture and Data Flow</w:t>
      </w:r>
      <w:bookmarkEnd w:id="326"/>
      <w:bookmarkEnd w:id="327"/>
      <w:bookmarkEnd w:id="328"/>
    </w:p>
    <w:tbl>
      <w:tblPr>
        <w:tblStyle w:val="TableGrid"/>
        <w:tblW w:w="9360" w:type="dxa"/>
        <w:tblLayout w:type="fixed"/>
        <w:tblCellMar>
          <w:left w:w="70" w:type="dxa"/>
          <w:right w:w="70" w:type="dxa"/>
        </w:tblCellMar>
        <w:tblLook w:val="04A0" w:firstRow="1" w:lastRow="0" w:firstColumn="1" w:lastColumn="0" w:noHBand="0" w:noVBand="1"/>
      </w:tblPr>
      <w:tblGrid>
        <w:gridCol w:w="1497"/>
        <w:gridCol w:w="4118"/>
        <w:gridCol w:w="1872"/>
        <w:gridCol w:w="1873"/>
      </w:tblGrid>
      <w:tr w:rsidR="00672297" w14:paraId="48C8875F" w14:textId="77777777">
        <w:trPr>
          <w:cantSplit/>
          <w:tblHeader/>
        </w:trPr>
        <w:tc>
          <w:tcPr>
            <w:tcW w:w="1497" w:type="dxa"/>
            <w:shd w:val="clear" w:color="auto" w:fill="2F5496"/>
            <w:vAlign w:val="center"/>
          </w:tcPr>
          <w:p w14:paraId="39764A1C" w14:textId="77777777" w:rsidR="00672297" w:rsidRDefault="00A16EA3">
            <w:pPr>
              <w:spacing w:before="20" w:after="20"/>
              <w:jc w:val="left"/>
            </w:pPr>
            <w:r>
              <w:rPr>
                <w:rFonts w:cstheme="minorHAnsi"/>
                <w:b/>
                <w:bCs/>
                <w:color w:val="FFFFFF"/>
                <w:sz w:val="20"/>
                <w:szCs w:val="20"/>
              </w:rPr>
              <w:t>Layer</w:t>
            </w:r>
          </w:p>
        </w:tc>
        <w:tc>
          <w:tcPr>
            <w:tcW w:w="4118" w:type="dxa"/>
            <w:shd w:val="clear" w:color="auto" w:fill="2F5496"/>
            <w:vAlign w:val="center"/>
          </w:tcPr>
          <w:p w14:paraId="0A05DB6F" w14:textId="77777777" w:rsidR="00672297" w:rsidRDefault="00A16EA3">
            <w:pPr>
              <w:spacing w:before="20" w:after="20"/>
              <w:jc w:val="left"/>
            </w:pPr>
            <w:r>
              <w:rPr>
                <w:rFonts w:cstheme="minorHAnsi"/>
                <w:b/>
                <w:bCs/>
                <w:color w:val="FFFFFF"/>
                <w:sz w:val="20"/>
                <w:szCs w:val="20"/>
              </w:rPr>
              <w:t>Objects</w:t>
            </w:r>
          </w:p>
        </w:tc>
        <w:tc>
          <w:tcPr>
            <w:tcW w:w="1872" w:type="dxa"/>
            <w:shd w:val="clear" w:color="auto" w:fill="2F5496"/>
            <w:vAlign w:val="center"/>
          </w:tcPr>
          <w:p w14:paraId="1DBFDAD6" w14:textId="77777777" w:rsidR="00672297" w:rsidRDefault="00A16EA3">
            <w:pPr>
              <w:spacing w:before="20" w:after="20"/>
              <w:jc w:val="left"/>
            </w:pPr>
            <w:r>
              <w:rPr>
                <w:rFonts w:cstheme="minorHAnsi"/>
                <w:b/>
                <w:bCs/>
                <w:color w:val="FFFFFF"/>
                <w:sz w:val="20"/>
                <w:szCs w:val="20"/>
              </w:rPr>
              <w:t>Loaded / Built By</w:t>
            </w:r>
          </w:p>
        </w:tc>
        <w:tc>
          <w:tcPr>
            <w:tcW w:w="1873" w:type="dxa"/>
            <w:shd w:val="clear" w:color="auto" w:fill="2F5496"/>
            <w:vAlign w:val="center"/>
          </w:tcPr>
          <w:p w14:paraId="643B0F58" w14:textId="77777777" w:rsidR="00672297" w:rsidRDefault="00A16EA3">
            <w:pPr>
              <w:spacing w:before="20" w:after="20"/>
              <w:jc w:val="left"/>
            </w:pPr>
            <w:r>
              <w:rPr>
                <w:rFonts w:cstheme="minorHAnsi"/>
                <w:b/>
                <w:bCs/>
                <w:color w:val="FFFFFF"/>
                <w:sz w:val="20"/>
                <w:szCs w:val="20"/>
              </w:rPr>
              <w:t>Consumed By</w:t>
            </w:r>
          </w:p>
        </w:tc>
      </w:tr>
      <w:tr w:rsidR="00672297" w14:paraId="3EA45E73" w14:textId="77777777">
        <w:trPr>
          <w:cantSplit/>
        </w:trPr>
        <w:tc>
          <w:tcPr>
            <w:tcW w:w="1497" w:type="dxa"/>
            <w:vAlign w:val="center"/>
          </w:tcPr>
          <w:p w14:paraId="4FFE30A3" w14:textId="77777777" w:rsidR="00672297" w:rsidRDefault="00A16EA3">
            <w:pPr>
              <w:spacing w:before="20" w:after="20"/>
              <w:jc w:val="left"/>
            </w:pPr>
            <w:r>
              <w:rPr>
                <w:rFonts w:cstheme="minorHAnsi"/>
                <w:sz w:val="20"/>
                <w:szCs w:val="20"/>
              </w:rPr>
              <w:t>Source systems</w:t>
            </w:r>
          </w:p>
        </w:tc>
        <w:tc>
          <w:tcPr>
            <w:tcW w:w="4118" w:type="dxa"/>
            <w:vAlign w:val="center"/>
          </w:tcPr>
          <w:p w14:paraId="659CB0FC" w14:textId="77777777" w:rsidR="00672297" w:rsidRDefault="00A16EA3">
            <w:pPr>
              <w:spacing w:before="20" w:after="20"/>
              <w:jc w:val="left"/>
            </w:pPr>
            <w:r>
              <w:rPr>
                <w:rFonts w:cstheme="minorHAnsi"/>
                <w:sz w:val="20"/>
                <w:szCs w:val="20"/>
              </w:rPr>
              <w:t>APS, LIMS, Kittyhawk, Towworks, PQCore, PQ Spec Shop (master Excel), PIAF, Kittyhawk transaction upload, MPR</w:t>
            </w:r>
          </w:p>
        </w:tc>
        <w:tc>
          <w:tcPr>
            <w:tcW w:w="1872" w:type="dxa"/>
            <w:vAlign w:val="center"/>
          </w:tcPr>
          <w:p w14:paraId="473E903C" w14:textId="77777777" w:rsidR="00672297" w:rsidRDefault="00A16EA3">
            <w:pPr>
              <w:spacing w:before="20" w:after="20"/>
              <w:jc w:val="left"/>
            </w:pPr>
            <w:r>
              <w:rPr>
                <w:rFonts w:cstheme="minorHAnsi"/>
                <w:sz w:val="20"/>
                <w:szCs w:val="20"/>
              </w:rPr>
              <w:t>Source system owners</w:t>
            </w:r>
          </w:p>
        </w:tc>
        <w:tc>
          <w:tcPr>
            <w:tcW w:w="1873" w:type="dxa"/>
            <w:vAlign w:val="center"/>
          </w:tcPr>
          <w:p w14:paraId="46301BB9" w14:textId="77777777" w:rsidR="00672297" w:rsidRDefault="00A16EA3">
            <w:pPr>
              <w:spacing w:before="20" w:after="20"/>
              <w:jc w:val="left"/>
            </w:pPr>
            <w:r>
              <w:rPr>
                <w:rFonts w:cstheme="minorHAnsi"/>
                <w:sz w:val="20"/>
                <w:szCs w:val="20"/>
              </w:rPr>
              <w:t>CIP interfaces, database team</w:t>
            </w:r>
          </w:p>
        </w:tc>
      </w:tr>
      <w:tr w:rsidR="00672297" w14:paraId="3086FE9B" w14:textId="77777777">
        <w:trPr>
          <w:cantSplit/>
        </w:trPr>
        <w:tc>
          <w:tcPr>
            <w:tcW w:w="1497" w:type="dxa"/>
            <w:vAlign w:val="center"/>
          </w:tcPr>
          <w:p w14:paraId="42C83E3D" w14:textId="77777777" w:rsidR="00672297" w:rsidRDefault="00A16EA3">
            <w:pPr>
              <w:spacing w:before="20" w:after="20"/>
              <w:jc w:val="left"/>
            </w:pPr>
            <w:r>
              <w:rPr>
                <w:rFonts w:cstheme="minorHAnsi"/>
                <w:sz w:val="20"/>
                <w:szCs w:val="20"/>
              </w:rPr>
              <w:t>Integration layer (CIP)</w:t>
            </w:r>
          </w:p>
        </w:tc>
        <w:tc>
          <w:tcPr>
            <w:tcW w:w="4118" w:type="dxa"/>
            <w:vAlign w:val="center"/>
          </w:tcPr>
          <w:p w14:paraId="1708898C" w14:textId="0C4E236E" w:rsidR="00672297" w:rsidRDefault="00A16EA3">
            <w:pPr>
              <w:spacing w:before="20" w:after="20"/>
              <w:jc w:val="left"/>
            </w:pPr>
            <w:r>
              <w:rPr>
                <w:rFonts w:cstheme="minorHAnsi"/>
                <w:sz w:val="20"/>
                <w:szCs w:val="20"/>
              </w:rPr>
              <w:t xml:space="preserve">IQDM interfaces; VCB Blend Component (PIAF) and Blend Component Movement </w:t>
            </w:r>
            <w:r w:rsidR="000A106D">
              <w:rPr>
                <w:rFonts w:cstheme="minorHAnsi"/>
                <w:sz w:val="20"/>
                <w:szCs w:val="20"/>
              </w:rPr>
              <w:t>(transaction upload) integrations</w:t>
            </w:r>
            <w:r>
              <w:rPr>
                <w:rFonts w:cstheme="minorHAnsi"/>
                <w:sz w:val="20"/>
                <w:szCs w:val="20"/>
              </w:rPr>
              <w:t>; MPR API (Cost API / price service); Semantic Service and Profisee</w:t>
            </w:r>
          </w:p>
        </w:tc>
        <w:tc>
          <w:tcPr>
            <w:tcW w:w="1872" w:type="dxa"/>
            <w:vAlign w:val="center"/>
          </w:tcPr>
          <w:p w14:paraId="3D917C1A" w14:textId="77777777" w:rsidR="00672297" w:rsidRDefault="00A16EA3">
            <w:pPr>
              <w:spacing w:before="20" w:after="20"/>
              <w:jc w:val="left"/>
            </w:pPr>
            <w:r>
              <w:rPr>
                <w:rFonts w:cstheme="minorHAnsi"/>
                <w:sz w:val="20"/>
                <w:szCs w:val="20"/>
              </w:rPr>
              <w:t>Integration team (chapter 2)</w:t>
            </w:r>
          </w:p>
        </w:tc>
        <w:tc>
          <w:tcPr>
            <w:tcW w:w="1873" w:type="dxa"/>
            <w:vAlign w:val="center"/>
          </w:tcPr>
          <w:p w14:paraId="1152CCC9" w14:textId="77777777" w:rsidR="00672297" w:rsidRDefault="00A16EA3">
            <w:pPr>
              <w:spacing w:before="20" w:after="20"/>
              <w:jc w:val="left"/>
            </w:pPr>
            <w:r>
              <w:rPr>
                <w:rFonts w:cstheme="minorHAnsi"/>
                <w:sz w:val="20"/>
                <w:szCs w:val="20"/>
              </w:rPr>
              <w:t>IQDM database (stored procedures); Power BI (MPR prices)</w:t>
            </w:r>
          </w:p>
        </w:tc>
      </w:tr>
      <w:tr w:rsidR="00672297" w14:paraId="08A0359E" w14:textId="77777777">
        <w:trPr>
          <w:cantSplit/>
        </w:trPr>
        <w:tc>
          <w:tcPr>
            <w:tcW w:w="1497" w:type="dxa"/>
            <w:vAlign w:val="center"/>
          </w:tcPr>
          <w:p w14:paraId="45E25401" w14:textId="77777777" w:rsidR="00672297" w:rsidRDefault="00A16EA3">
            <w:pPr>
              <w:spacing w:before="20" w:after="20"/>
              <w:jc w:val="left"/>
            </w:pPr>
            <w:r>
              <w:rPr>
                <w:rFonts w:cstheme="minorHAnsi"/>
                <w:sz w:val="20"/>
                <w:szCs w:val="20"/>
              </w:rPr>
              <w:t>Domain tables - IQDM</w:t>
            </w:r>
          </w:p>
        </w:tc>
        <w:tc>
          <w:tcPr>
            <w:tcW w:w="4118" w:type="dxa"/>
            <w:vAlign w:val="center"/>
          </w:tcPr>
          <w:p w14:paraId="16BD8016" w14:textId="77777777" w:rsidR="00672297" w:rsidRDefault="00A16EA3">
            <w:pPr>
              <w:spacing w:before="20" w:after="20"/>
              <w:jc w:val="left"/>
            </w:pPr>
            <w:r>
              <w:rPr>
                <w:rFonts w:cstheme="minorHAnsi"/>
                <w:sz w:val="20"/>
                <w:szCs w:val="20"/>
              </w:rPr>
              <w:t>transfer_detail, quality_detail, inventory_detail</w:t>
            </w:r>
          </w:p>
        </w:tc>
        <w:tc>
          <w:tcPr>
            <w:tcW w:w="1872" w:type="dxa"/>
            <w:vAlign w:val="center"/>
          </w:tcPr>
          <w:p w14:paraId="7EE777AC" w14:textId="77777777" w:rsidR="00672297" w:rsidRDefault="00A16EA3">
            <w:pPr>
              <w:spacing w:before="20" w:after="20"/>
              <w:jc w:val="left"/>
            </w:pPr>
            <w:r>
              <w:rPr>
                <w:rFonts w:cstheme="minorHAnsi"/>
                <w:sz w:val="20"/>
                <w:szCs w:val="20"/>
              </w:rPr>
              <w:t>IQDM interfaces</w:t>
            </w:r>
          </w:p>
        </w:tc>
        <w:tc>
          <w:tcPr>
            <w:tcW w:w="1873" w:type="dxa"/>
            <w:vAlign w:val="center"/>
          </w:tcPr>
          <w:p w14:paraId="10E6FDB8" w14:textId="77777777" w:rsidR="00672297" w:rsidRDefault="00A16EA3">
            <w:pPr>
              <w:spacing w:before="20" w:after="20"/>
              <w:jc w:val="left"/>
            </w:pPr>
            <w:r>
              <w:rPr>
                <w:rFonts w:cstheme="minorHAnsi"/>
                <w:sz w:val="20"/>
                <w:szCs w:val="20"/>
              </w:rPr>
              <w:t>VCB reporting views</w:t>
            </w:r>
          </w:p>
        </w:tc>
      </w:tr>
      <w:tr w:rsidR="00672297" w14:paraId="39B1F00F" w14:textId="77777777">
        <w:trPr>
          <w:cantSplit/>
        </w:trPr>
        <w:tc>
          <w:tcPr>
            <w:tcW w:w="1497" w:type="dxa"/>
            <w:vAlign w:val="center"/>
          </w:tcPr>
          <w:p w14:paraId="0535A39A" w14:textId="77777777" w:rsidR="00672297" w:rsidRDefault="00A16EA3">
            <w:pPr>
              <w:spacing w:before="20" w:after="20"/>
              <w:jc w:val="left"/>
            </w:pPr>
            <w:r>
              <w:rPr>
                <w:rFonts w:cstheme="minorHAnsi"/>
                <w:sz w:val="20"/>
                <w:szCs w:val="20"/>
              </w:rPr>
              <w:t>Master / reference tables - IQDM</w:t>
            </w:r>
          </w:p>
        </w:tc>
        <w:tc>
          <w:tcPr>
            <w:tcW w:w="4118" w:type="dxa"/>
            <w:vAlign w:val="center"/>
          </w:tcPr>
          <w:p w14:paraId="75D1FD12" w14:textId="77777777" w:rsidR="00672297" w:rsidRDefault="00A16EA3">
            <w:pPr>
              <w:spacing w:before="20" w:after="20"/>
              <w:jc w:val="left"/>
            </w:pPr>
            <w:r>
              <w:rPr>
                <w:rFonts w:cstheme="minorHAnsi"/>
                <w:sz w:val="20"/>
                <w:szCs w:val="20"/>
              </w:rPr>
              <w:t>location, material, equipment_detail, property, mot, uom, day_detail</w:t>
            </w:r>
          </w:p>
        </w:tc>
        <w:tc>
          <w:tcPr>
            <w:tcW w:w="1872" w:type="dxa"/>
            <w:vAlign w:val="center"/>
          </w:tcPr>
          <w:p w14:paraId="13E6893D" w14:textId="77777777" w:rsidR="00672297" w:rsidRDefault="00A16EA3">
            <w:pPr>
              <w:spacing w:before="20" w:after="20"/>
              <w:jc w:val="left"/>
            </w:pPr>
            <w:r>
              <w:rPr>
                <w:rFonts w:cstheme="minorHAnsi"/>
                <w:sz w:val="20"/>
                <w:szCs w:val="20"/>
              </w:rPr>
              <w:t>IQDM interfaces / IQDM database team</w:t>
            </w:r>
          </w:p>
        </w:tc>
        <w:tc>
          <w:tcPr>
            <w:tcW w:w="1873" w:type="dxa"/>
            <w:vAlign w:val="center"/>
          </w:tcPr>
          <w:p w14:paraId="0E2B99A4" w14:textId="77777777" w:rsidR="00672297" w:rsidRDefault="00A16EA3">
            <w:pPr>
              <w:spacing w:before="20" w:after="20"/>
              <w:jc w:val="left"/>
            </w:pPr>
            <w:r>
              <w:rPr>
                <w:rFonts w:cstheme="minorHAnsi"/>
                <w:sz w:val="20"/>
                <w:szCs w:val="20"/>
              </w:rPr>
              <w:t>VCB reporting views; Power BI (day_detail)</w:t>
            </w:r>
          </w:p>
        </w:tc>
      </w:tr>
      <w:tr w:rsidR="00672297" w14:paraId="06CABDFD" w14:textId="77777777">
        <w:trPr>
          <w:cantSplit/>
        </w:trPr>
        <w:tc>
          <w:tcPr>
            <w:tcW w:w="1497" w:type="dxa"/>
            <w:vAlign w:val="center"/>
          </w:tcPr>
          <w:p w14:paraId="7A535439" w14:textId="77777777" w:rsidR="00672297" w:rsidRDefault="00A16EA3">
            <w:pPr>
              <w:spacing w:before="20" w:after="20"/>
              <w:jc w:val="left"/>
            </w:pPr>
            <w:r>
              <w:rPr>
                <w:rFonts w:cstheme="minorHAnsi"/>
                <w:sz w:val="20"/>
                <w:szCs w:val="20"/>
              </w:rPr>
              <w:t>Specification table</w:t>
            </w:r>
          </w:p>
        </w:tc>
        <w:tc>
          <w:tcPr>
            <w:tcW w:w="4118" w:type="dxa"/>
            <w:vAlign w:val="center"/>
          </w:tcPr>
          <w:p w14:paraId="69D31AAC" w14:textId="77777777" w:rsidR="00672297" w:rsidRDefault="00A16EA3">
            <w:pPr>
              <w:spacing w:before="20" w:after="20"/>
              <w:jc w:val="left"/>
            </w:pPr>
            <w:r>
              <w:rPr>
                <w:rFonts w:cstheme="minorHAnsi"/>
                <w:sz w:val="20"/>
                <w:szCs w:val="20"/>
              </w:rPr>
              <w:t>product_specification (IQDM Release 5 structure)</w:t>
            </w:r>
          </w:p>
        </w:tc>
        <w:tc>
          <w:tcPr>
            <w:tcW w:w="1872" w:type="dxa"/>
            <w:vAlign w:val="center"/>
          </w:tcPr>
          <w:p w14:paraId="62B31E03" w14:textId="77777777" w:rsidR="00672297" w:rsidRDefault="00A16EA3">
            <w:pPr>
              <w:spacing w:before="20" w:after="20"/>
              <w:jc w:val="left"/>
            </w:pPr>
            <w:r>
              <w:rPr>
                <w:rFonts w:cstheme="minorHAnsi"/>
                <w:sz w:val="20"/>
                <w:szCs w:val="20"/>
              </w:rPr>
              <w:t>Database team from the master Excel</w:t>
            </w:r>
          </w:p>
        </w:tc>
        <w:tc>
          <w:tcPr>
            <w:tcW w:w="1873" w:type="dxa"/>
            <w:vAlign w:val="center"/>
          </w:tcPr>
          <w:p w14:paraId="0C9337A7" w14:textId="77777777" w:rsidR="00672297" w:rsidRDefault="00A16EA3">
            <w:pPr>
              <w:spacing w:before="20" w:after="20"/>
              <w:jc w:val="left"/>
            </w:pPr>
            <w:r>
              <w:rPr>
                <w:rFonts w:cstheme="minorHAnsi"/>
                <w:sz w:val="20"/>
                <w:szCs w:val="20"/>
              </w:rPr>
              <w:t>Batch quality and KPI views</w:t>
            </w:r>
          </w:p>
        </w:tc>
      </w:tr>
      <w:tr w:rsidR="00672297" w14:paraId="6755AB37" w14:textId="77777777">
        <w:trPr>
          <w:cantSplit/>
        </w:trPr>
        <w:tc>
          <w:tcPr>
            <w:tcW w:w="1497" w:type="dxa"/>
            <w:vAlign w:val="center"/>
          </w:tcPr>
          <w:p w14:paraId="2AE74EDB" w14:textId="3106C37F" w:rsidR="00672297" w:rsidRDefault="000A106D">
            <w:pPr>
              <w:spacing w:before="20" w:after="20"/>
              <w:jc w:val="left"/>
            </w:pPr>
            <w:r>
              <w:rPr>
                <w:rFonts w:cstheme="minorHAnsi"/>
                <w:sz w:val="20"/>
                <w:szCs w:val="20"/>
              </w:rPr>
              <w:t>VCB integration target tables</w:t>
            </w:r>
            <w:r w:rsidR="00A16EA3">
              <w:rPr>
                <w:rFonts w:cstheme="minorHAnsi"/>
                <w:sz w:val="20"/>
                <w:szCs w:val="20"/>
              </w:rPr>
              <w:t xml:space="preserve"> (chapter 2)</w:t>
            </w:r>
          </w:p>
        </w:tc>
        <w:tc>
          <w:tcPr>
            <w:tcW w:w="4118" w:type="dxa"/>
            <w:vAlign w:val="center"/>
          </w:tcPr>
          <w:p w14:paraId="06C8E707" w14:textId="00766E62" w:rsidR="00672297" w:rsidRDefault="00A16EA3">
            <w:pPr>
              <w:spacing w:before="20" w:after="20"/>
              <w:jc w:val="left"/>
            </w:pPr>
            <w:r>
              <w:rPr>
                <w:rFonts w:cstheme="minorHAnsi"/>
                <w:sz w:val="20"/>
                <w:szCs w:val="20"/>
              </w:rPr>
              <w:t xml:space="preserve">VCB_blend_component_detail (PIAF, </w:t>
            </w:r>
            <w:r w:rsidR="00371C86">
              <w:rPr>
                <w:rFonts w:cstheme="minorHAnsi"/>
                <w:sz w:val="20"/>
                <w:szCs w:val="20"/>
              </w:rPr>
              <w:t>Releases 2 and 3</w:t>
            </w:r>
            <w:r>
              <w:rPr>
                <w:rFonts w:cstheme="minorHAnsi"/>
                <w:sz w:val="20"/>
                <w:szCs w:val="20"/>
              </w:rPr>
              <w:t>), VCB_blend_component_movement (Kittyhawk transaction upload, Release 3)</w:t>
            </w:r>
          </w:p>
        </w:tc>
        <w:tc>
          <w:tcPr>
            <w:tcW w:w="1872" w:type="dxa"/>
            <w:vAlign w:val="center"/>
          </w:tcPr>
          <w:p w14:paraId="6453A53F" w14:textId="3E277C47" w:rsidR="00672297" w:rsidRDefault="000A106D">
            <w:pPr>
              <w:spacing w:before="20" w:after="20"/>
              <w:jc w:val="left"/>
            </w:pPr>
            <w:r>
              <w:rPr>
                <w:rFonts w:cstheme="minorHAnsi"/>
                <w:sz w:val="20"/>
                <w:szCs w:val="20"/>
              </w:rPr>
              <w:t>VCB integrations (chapter 2)</w:t>
            </w:r>
          </w:p>
        </w:tc>
        <w:tc>
          <w:tcPr>
            <w:tcW w:w="1873" w:type="dxa"/>
            <w:vAlign w:val="center"/>
          </w:tcPr>
          <w:p w14:paraId="77F75A71" w14:textId="77777777" w:rsidR="00672297" w:rsidRDefault="00A16EA3">
            <w:pPr>
              <w:spacing w:before="20" w:after="20"/>
              <w:jc w:val="left"/>
            </w:pPr>
            <w:r>
              <w:rPr>
                <w:rFonts w:cstheme="minorHAnsi"/>
                <w:sz w:val="20"/>
                <w:szCs w:val="20"/>
              </w:rPr>
              <w:t>VCB views</w:t>
            </w:r>
          </w:p>
        </w:tc>
      </w:tr>
      <w:tr w:rsidR="00672297" w14:paraId="225CBCBD" w14:textId="77777777">
        <w:trPr>
          <w:cantSplit/>
        </w:trPr>
        <w:tc>
          <w:tcPr>
            <w:tcW w:w="1497" w:type="dxa"/>
            <w:vAlign w:val="center"/>
          </w:tcPr>
          <w:p w14:paraId="5C965B15" w14:textId="77777777" w:rsidR="00672297" w:rsidRDefault="00A16EA3">
            <w:pPr>
              <w:spacing w:before="20" w:after="20"/>
              <w:jc w:val="left"/>
            </w:pPr>
            <w:r>
              <w:rPr>
                <w:rFonts w:cstheme="minorHAnsi"/>
                <w:sz w:val="20"/>
                <w:szCs w:val="20"/>
              </w:rPr>
              <w:t>VCB views (in the IQDM database)</w:t>
            </w:r>
          </w:p>
        </w:tc>
        <w:tc>
          <w:tcPr>
            <w:tcW w:w="4118" w:type="dxa"/>
            <w:vAlign w:val="center"/>
          </w:tcPr>
          <w:p w14:paraId="0F31295F" w14:textId="77777777" w:rsidR="00672297" w:rsidRDefault="00A16EA3">
            <w:pPr>
              <w:spacing w:before="20" w:after="20"/>
              <w:jc w:val="left"/>
            </w:pPr>
            <w:r>
              <w:rPr>
                <w:rFonts w:cstheme="minorHAnsi"/>
                <w:sz w:val="20"/>
                <w:szCs w:val="20"/>
              </w:rPr>
              <w:t>vwRefineryBatchMovementQuality, vwDistillateBlendPotentialQuality, vwDistillateBatchQuality, vwBlendComponentSupplyDemand, vwGasolineBlendingKPI, vwDistillateBlendingKPI</w:t>
            </w:r>
          </w:p>
        </w:tc>
        <w:tc>
          <w:tcPr>
            <w:tcW w:w="1872" w:type="dxa"/>
            <w:vAlign w:val="center"/>
          </w:tcPr>
          <w:p w14:paraId="6C0CD4D6" w14:textId="77777777" w:rsidR="00672297" w:rsidRDefault="00A16EA3">
            <w:pPr>
              <w:spacing w:before="20" w:after="20"/>
              <w:jc w:val="left"/>
            </w:pPr>
            <w:r>
              <w:rPr>
                <w:rFonts w:cstheme="minorHAnsi"/>
                <w:sz w:val="20"/>
                <w:szCs w:val="20"/>
              </w:rPr>
              <w:t>Database team</w:t>
            </w:r>
          </w:p>
        </w:tc>
        <w:tc>
          <w:tcPr>
            <w:tcW w:w="1873" w:type="dxa"/>
            <w:vAlign w:val="center"/>
          </w:tcPr>
          <w:p w14:paraId="434DFFD7" w14:textId="77777777" w:rsidR="00672297" w:rsidRDefault="00A16EA3">
            <w:pPr>
              <w:spacing w:before="20" w:after="20"/>
              <w:jc w:val="left"/>
            </w:pPr>
            <w:r>
              <w:rPr>
                <w:rFonts w:cstheme="minorHAnsi"/>
                <w:sz w:val="20"/>
                <w:szCs w:val="20"/>
              </w:rPr>
              <w:t>VCB Power BI semantic model</w:t>
            </w:r>
          </w:p>
        </w:tc>
      </w:tr>
      <w:tr w:rsidR="00672297" w14:paraId="1A185F51" w14:textId="77777777">
        <w:trPr>
          <w:cantSplit/>
        </w:trPr>
        <w:tc>
          <w:tcPr>
            <w:tcW w:w="1497" w:type="dxa"/>
            <w:vAlign w:val="center"/>
          </w:tcPr>
          <w:p w14:paraId="5AC16C22" w14:textId="77777777" w:rsidR="00672297" w:rsidRDefault="00A16EA3">
            <w:pPr>
              <w:spacing w:before="20" w:after="20"/>
              <w:jc w:val="left"/>
            </w:pPr>
            <w:r>
              <w:rPr>
                <w:rFonts w:cstheme="minorHAnsi"/>
                <w:sz w:val="20"/>
                <w:szCs w:val="20"/>
              </w:rPr>
              <w:t>Presentation</w:t>
            </w:r>
          </w:p>
        </w:tc>
        <w:tc>
          <w:tcPr>
            <w:tcW w:w="4118" w:type="dxa"/>
            <w:vAlign w:val="center"/>
          </w:tcPr>
          <w:p w14:paraId="495E4D83" w14:textId="77777777" w:rsidR="00672297" w:rsidRDefault="00A16EA3">
            <w:pPr>
              <w:spacing w:before="20" w:after="20"/>
              <w:jc w:val="left"/>
            </w:pPr>
            <w:r>
              <w:rPr>
                <w:rFonts w:cstheme="minorHAnsi"/>
                <w:sz w:val="20"/>
                <w:szCs w:val="20"/>
              </w:rPr>
              <w:t>VCB semantic model (Import): six views + MPR_Price from the MPR API; the six VCB dashboards</w:t>
            </w:r>
          </w:p>
        </w:tc>
        <w:tc>
          <w:tcPr>
            <w:tcW w:w="1872" w:type="dxa"/>
            <w:vAlign w:val="center"/>
          </w:tcPr>
          <w:p w14:paraId="41D0696A" w14:textId="77777777" w:rsidR="00672297" w:rsidRDefault="00A16EA3">
            <w:pPr>
              <w:spacing w:before="20" w:after="20"/>
              <w:jc w:val="left"/>
            </w:pPr>
            <w:r>
              <w:rPr>
                <w:rFonts w:cstheme="minorHAnsi"/>
                <w:sz w:val="20"/>
                <w:szCs w:val="20"/>
              </w:rPr>
              <w:t>Dashboard team (chapter 4)</w:t>
            </w:r>
          </w:p>
        </w:tc>
        <w:tc>
          <w:tcPr>
            <w:tcW w:w="1873" w:type="dxa"/>
            <w:vAlign w:val="center"/>
          </w:tcPr>
          <w:p w14:paraId="7368E4A4" w14:textId="77777777" w:rsidR="00672297" w:rsidRDefault="00A16EA3">
            <w:pPr>
              <w:spacing w:before="20" w:after="20"/>
              <w:jc w:val="left"/>
            </w:pPr>
            <w:r>
              <w:rPr>
                <w:rFonts w:cstheme="minorHAnsi"/>
                <w:sz w:val="20"/>
                <w:szCs w:val="20"/>
              </w:rPr>
              <w:t>Business users</w:t>
            </w:r>
          </w:p>
        </w:tc>
      </w:tr>
    </w:tbl>
    <w:p w14:paraId="340D6418" w14:textId="132E5E03" w:rsidR="00672297" w:rsidRDefault="00A16EA3">
      <w:pPr>
        <w:pStyle w:val="Caption"/>
      </w:pPr>
      <w:bookmarkStart w:id="329" w:name="_Toc900900006"/>
      <w:bookmarkStart w:id="330" w:name="_Toc241574670"/>
      <w:bookmarkStart w:id="331" w:name="_Toc242554054"/>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w:t>
      </w:r>
      <w:r>
        <w:fldChar w:fldCharType="end"/>
      </w:r>
      <w:r>
        <w:t>: VCB Data Platform Layers</w:t>
      </w:r>
      <w:bookmarkEnd w:id="329"/>
      <w:bookmarkEnd w:id="330"/>
      <w:bookmarkEnd w:id="331"/>
    </w:p>
    <w:p w14:paraId="00C5B301" w14:textId="77777777" w:rsidR="00672297" w:rsidRDefault="00A16EA3">
      <w:pPr>
        <w:pStyle w:val="Heading3"/>
        <w:rPr>
          <w:rFonts w:asciiTheme="minorHAnsi" w:hAnsiTheme="minorHAnsi" w:cstheme="minorBidi"/>
          <w:sz w:val="20"/>
          <w:szCs w:val="20"/>
        </w:rPr>
      </w:pPr>
      <w:bookmarkStart w:id="332" w:name="_Toc241574316"/>
      <w:bookmarkStart w:id="333" w:name="_Toc242553938"/>
      <w:r>
        <w:rPr>
          <w:rFonts w:asciiTheme="minorHAnsi" w:hAnsiTheme="minorHAnsi" w:cstheme="minorBidi"/>
          <w:sz w:val="20"/>
          <w:szCs w:val="20"/>
        </w:rPr>
        <w:t>Data Sources and Source-to-Target Data Flow</w:t>
      </w:r>
      <w:bookmarkEnd w:id="332"/>
      <w:bookmarkEnd w:id="333"/>
    </w:p>
    <w:p w14:paraId="3B70EF60" w14:textId="6415FC8F" w:rsidR="00672297" w:rsidRDefault="00A16EA3">
      <w:pPr>
        <w:rPr>
          <w:rFonts w:cstheme="minorHAnsi"/>
          <w:sz w:val="20"/>
          <w:szCs w:val="20"/>
        </w:rPr>
      </w:pPr>
      <w:r>
        <w:rPr>
          <w:rFonts w:cstheme="minorHAnsi"/>
          <w:sz w:val="20"/>
          <w:szCs w:val="20"/>
        </w:rPr>
        <w:t xml:space="preserve">The table below traces every data entity that the VCB dashboards use from its source to its target object in the IQDM database. The IQDM release (R#) is the release in which IQDM delivers the entity; the VCB release is the release in which </w:t>
      </w:r>
      <w:r w:rsidR="000A106D">
        <w:rPr>
          <w:rFonts w:cstheme="minorHAnsi"/>
          <w:sz w:val="20"/>
          <w:szCs w:val="20"/>
        </w:rPr>
        <w:t>VCB delivers its integration.</w:t>
      </w:r>
    </w:p>
    <w:tbl>
      <w:tblPr>
        <w:tblStyle w:val="TableGrid"/>
        <w:tblW w:w="9360" w:type="dxa"/>
        <w:tblLayout w:type="fixed"/>
        <w:tblCellMar>
          <w:left w:w="70" w:type="dxa"/>
          <w:right w:w="70" w:type="dxa"/>
        </w:tblCellMar>
        <w:tblLook w:val="04A0" w:firstRow="1" w:lastRow="0" w:firstColumn="1" w:lastColumn="0" w:noHBand="0" w:noVBand="1"/>
      </w:tblPr>
      <w:tblGrid>
        <w:gridCol w:w="1778"/>
        <w:gridCol w:w="1310"/>
        <w:gridCol w:w="1591"/>
        <w:gridCol w:w="1684"/>
        <w:gridCol w:w="1123"/>
        <w:gridCol w:w="1029"/>
        <w:gridCol w:w="845"/>
      </w:tblGrid>
      <w:tr w:rsidR="00672297" w14:paraId="4749900D" w14:textId="77777777">
        <w:trPr>
          <w:cantSplit/>
          <w:tblHeader/>
        </w:trPr>
        <w:tc>
          <w:tcPr>
            <w:tcW w:w="1778" w:type="dxa"/>
            <w:shd w:val="clear" w:color="auto" w:fill="2F5496"/>
            <w:vAlign w:val="center"/>
          </w:tcPr>
          <w:p w14:paraId="769C10B0" w14:textId="77777777" w:rsidR="00672297" w:rsidRDefault="00A16EA3">
            <w:pPr>
              <w:spacing w:before="20" w:after="20"/>
              <w:jc w:val="left"/>
            </w:pPr>
            <w:r>
              <w:rPr>
                <w:rFonts w:cstheme="minorHAnsi"/>
                <w:b/>
                <w:bCs/>
                <w:color w:val="FFFFFF"/>
                <w:sz w:val="16"/>
                <w:szCs w:val="16"/>
              </w:rPr>
              <w:t>Data Entity</w:t>
            </w:r>
          </w:p>
        </w:tc>
        <w:tc>
          <w:tcPr>
            <w:tcW w:w="1310" w:type="dxa"/>
            <w:shd w:val="clear" w:color="auto" w:fill="2F5496"/>
            <w:vAlign w:val="center"/>
          </w:tcPr>
          <w:p w14:paraId="5C391AEF" w14:textId="77777777" w:rsidR="00672297" w:rsidRDefault="00A16EA3">
            <w:pPr>
              <w:spacing w:before="20" w:after="20"/>
              <w:jc w:val="left"/>
            </w:pPr>
            <w:r>
              <w:rPr>
                <w:rFonts w:cstheme="minorHAnsi"/>
                <w:b/>
                <w:bCs/>
                <w:color w:val="FFFFFF"/>
                <w:sz w:val="16"/>
                <w:szCs w:val="16"/>
              </w:rPr>
              <w:t>Source System</w:t>
            </w:r>
          </w:p>
        </w:tc>
        <w:tc>
          <w:tcPr>
            <w:tcW w:w="1591" w:type="dxa"/>
            <w:shd w:val="clear" w:color="auto" w:fill="2F5496"/>
            <w:vAlign w:val="center"/>
          </w:tcPr>
          <w:p w14:paraId="15CB2B5A" w14:textId="77777777" w:rsidR="00672297" w:rsidRDefault="00A16EA3">
            <w:pPr>
              <w:spacing w:before="20" w:after="20"/>
              <w:jc w:val="left"/>
            </w:pPr>
            <w:r>
              <w:rPr>
                <w:rFonts w:cstheme="minorHAnsi"/>
                <w:b/>
                <w:bCs/>
                <w:color w:val="FFFFFF"/>
                <w:sz w:val="16"/>
                <w:szCs w:val="16"/>
              </w:rPr>
              <w:t>Ingestion Path</w:t>
            </w:r>
          </w:p>
        </w:tc>
        <w:tc>
          <w:tcPr>
            <w:tcW w:w="1684" w:type="dxa"/>
            <w:shd w:val="clear" w:color="auto" w:fill="2F5496"/>
            <w:vAlign w:val="center"/>
          </w:tcPr>
          <w:p w14:paraId="2E4ADE15" w14:textId="77777777" w:rsidR="00672297" w:rsidRDefault="00A16EA3">
            <w:pPr>
              <w:spacing w:before="20" w:after="20"/>
              <w:jc w:val="left"/>
            </w:pPr>
            <w:r>
              <w:rPr>
                <w:rFonts w:cstheme="minorHAnsi"/>
                <w:b/>
                <w:bCs/>
                <w:color w:val="FFFFFF"/>
                <w:sz w:val="16"/>
                <w:szCs w:val="16"/>
              </w:rPr>
              <w:t>Target Object (IQDM database)</w:t>
            </w:r>
          </w:p>
        </w:tc>
        <w:tc>
          <w:tcPr>
            <w:tcW w:w="1123" w:type="dxa"/>
            <w:shd w:val="clear" w:color="auto" w:fill="2F5496"/>
            <w:vAlign w:val="center"/>
          </w:tcPr>
          <w:p w14:paraId="0936A2ED" w14:textId="77777777" w:rsidR="00672297" w:rsidRDefault="00A16EA3">
            <w:pPr>
              <w:spacing w:before="20" w:after="20"/>
              <w:jc w:val="left"/>
            </w:pPr>
            <w:r>
              <w:rPr>
                <w:rFonts w:cstheme="minorHAnsi"/>
                <w:b/>
                <w:bCs/>
                <w:color w:val="FFFFFF"/>
                <w:sz w:val="16"/>
                <w:szCs w:val="16"/>
              </w:rPr>
              <w:t>Load Pattern</w:t>
            </w:r>
          </w:p>
        </w:tc>
        <w:tc>
          <w:tcPr>
            <w:tcW w:w="1029" w:type="dxa"/>
            <w:shd w:val="clear" w:color="auto" w:fill="2F5496"/>
            <w:vAlign w:val="center"/>
          </w:tcPr>
          <w:p w14:paraId="101502AA" w14:textId="77777777" w:rsidR="00672297" w:rsidRDefault="00A16EA3">
            <w:pPr>
              <w:spacing w:before="20" w:after="20"/>
              <w:jc w:val="left"/>
            </w:pPr>
            <w:r>
              <w:rPr>
                <w:rFonts w:cstheme="minorHAnsi"/>
                <w:b/>
                <w:bCs/>
                <w:color w:val="FFFFFF"/>
                <w:sz w:val="16"/>
                <w:szCs w:val="16"/>
              </w:rPr>
              <w:t>Frequency</w:t>
            </w:r>
          </w:p>
        </w:tc>
        <w:tc>
          <w:tcPr>
            <w:tcW w:w="845" w:type="dxa"/>
            <w:shd w:val="clear" w:color="auto" w:fill="2F5496"/>
            <w:vAlign w:val="center"/>
          </w:tcPr>
          <w:p w14:paraId="1113FFD0" w14:textId="77777777" w:rsidR="00672297" w:rsidRDefault="00A16EA3">
            <w:pPr>
              <w:spacing w:before="20" w:after="20"/>
              <w:jc w:val="left"/>
            </w:pPr>
            <w:r>
              <w:rPr>
                <w:rFonts w:cstheme="minorHAnsi"/>
                <w:b/>
                <w:bCs/>
                <w:color w:val="FFFFFF"/>
                <w:sz w:val="16"/>
                <w:szCs w:val="16"/>
              </w:rPr>
              <w:t>Release</w:t>
            </w:r>
          </w:p>
        </w:tc>
      </w:tr>
      <w:tr w:rsidR="00672297" w14:paraId="6E9A42CC" w14:textId="77777777">
        <w:trPr>
          <w:cantSplit/>
        </w:trPr>
        <w:tc>
          <w:tcPr>
            <w:tcW w:w="1778" w:type="dxa"/>
            <w:vAlign w:val="center"/>
          </w:tcPr>
          <w:p w14:paraId="6C28131E" w14:textId="77777777" w:rsidR="00672297" w:rsidRDefault="00A16EA3">
            <w:pPr>
              <w:spacing w:before="20" w:after="20"/>
              <w:jc w:val="left"/>
            </w:pPr>
            <w:r>
              <w:rPr>
                <w:rFonts w:cstheme="minorHAnsi"/>
                <w:sz w:val="16"/>
                <w:szCs w:val="16"/>
              </w:rPr>
              <w:t>Refinery schedule events - product shipment (event type 15)</w:t>
            </w:r>
          </w:p>
        </w:tc>
        <w:tc>
          <w:tcPr>
            <w:tcW w:w="1310" w:type="dxa"/>
            <w:vAlign w:val="center"/>
          </w:tcPr>
          <w:p w14:paraId="58726247" w14:textId="77777777" w:rsidR="00672297" w:rsidRDefault="00A16EA3">
            <w:pPr>
              <w:spacing w:before="20" w:after="20"/>
              <w:jc w:val="left"/>
            </w:pPr>
            <w:r>
              <w:rPr>
                <w:rFonts w:cstheme="minorHAnsi"/>
                <w:sz w:val="16"/>
                <w:szCs w:val="16"/>
              </w:rPr>
              <w:t>APS (_EVENT)</w:t>
            </w:r>
          </w:p>
        </w:tc>
        <w:tc>
          <w:tcPr>
            <w:tcW w:w="1591" w:type="dxa"/>
            <w:vAlign w:val="center"/>
          </w:tcPr>
          <w:p w14:paraId="37312BB7" w14:textId="77777777" w:rsidR="00672297" w:rsidRDefault="00A16EA3">
            <w:pPr>
              <w:spacing w:before="20" w:after="20"/>
              <w:jc w:val="left"/>
            </w:pPr>
            <w:r>
              <w:rPr>
                <w:rFonts w:cstheme="minorHAnsi"/>
                <w:sz w:val="16"/>
                <w:szCs w:val="16"/>
              </w:rPr>
              <w:t>IQDM Refinery Schedule Events interface</w:t>
            </w:r>
          </w:p>
        </w:tc>
        <w:tc>
          <w:tcPr>
            <w:tcW w:w="1684" w:type="dxa"/>
            <w:vAlign w:val="center"/>
          </w:tcPr>
          <w:p w14:paraId="7466D0DC" w14:textId="77777777" w:rsidR="00672297" w:rsidRDefault="00A16EA3">
            <w:pPr>
              <w:spacing w:before="20" w:after="20"/>
              <w:jc w:val="left"/>
            </w:pPr>
            <w:r>
              <w:rPr>
                <w:rFonts w:cstheme="minorHAnsi"/>
                <w:sz w:val="16"/>
                <w:szCs w:val="16"/>
              </w:rPr>
              <w:t>transfer_detail (data_source = APS, state = Scheduled)</w:t>
            </w:r>
          </w:p>
        </w:tc>
        <w:tc>
          <w:tcPr>
            <w:tcW w:w="1123" w:type="dxa"/>
            <w:vAlign w:val="center"/>
          </w:tcPr>
          <w:p w14:paraId="27678FC5" w14:textId="77777777" w:rsidR="00672297" w:rsidRDefault="00A16EA3">
            <w:pPr>
              <w:spacing w:before="20" w:after="20"/>
              <w:jc w:val="left"/>
            </w:pPr>
            <w:r>
              <w:rPr>
                <w:rFonts w:cstheme="minorHAnsi"/>
                <w:sz w:val="16"/>
                <w:szCs w:val="16"/>
              </w:rPr>
              <w:t>Incremental upsert on composite key</w:t>
            </w:r>
          </w:p>
        </w:tc>
        <w:tc>
          <w:tcPr>
            <w:tcW w:w="1029" w:type="dxa"/>
            <w:vAlign w:val="center"/>
          </w:tcPr>
          <w:p w14:paraId="4B03382E" w14:textId="77777777" w:rsidR="00672297" w:rsidRDefault="00A16EA3">
            <w:pPr>
              <w:spacing w:before="20" w:after="20"/>
              <w:jc w:val="left"/>
            </w:pPr>
            <w:r>
              <w:rPr>
                <w:rFonts w:cstheme="minorHAnsi"/>
                <w:sz w:val="16"/>
                <w:szCs w:val="16"/>
              </w:rPr>
              <w:t>Daily at a specified time</w:t>
            </w:r>
          </w:p>
        </w:tc>
        <w:tc>
          <w:tcPr>
            <w:tcW w:w="845" w:type="dxa"/>
            <w:vAlign w:val="center"/>
          </w:tcPr>
          <w:p w14:paraId="558F1EB7" w14:textId="77777777" w:rsidR="00672297" w:rsidRDefault="00A16EA3">
            <w:pPr>
              <w:spacing w:before="20" w:after="20"/>
              <w:jc w:val="left"/>
            </w:pPr>
            <w:r>
              <w:rPr>
                <w:rFonts w:cstheme="minorHAnsi"/>
                <w:sz w:val="16"/>
                <w:szCs w:val="16"/>
              </w:rPr>
              <w:t>IQDM R1</w:t>
            </w:r>
          </w:p>
        </w:tc>
      </w:tr>
      <w:tr w:rsidR="00672297" w14:paraId="6BEE9FA6" w14:textId="77777777">
        <w:trPr>
          <w:cantSplit/>
        </w:trPr>
        <w:tc>
          <w:tcPr>
            <w:tcW w:w="1778" w:type="dxa"/>
            <w:vAlign w:val="center"/>
          </w:tcPr>
          <w:p w14:paraId="2F0170AA" w14:textId="77777777" w:rsidR="00672297" w:rsidRDefault="00A16EA3">
            <w:pPr>
              <w:spacing w:before="20" w:after="20"/>
              <w:jc w:val="left"/>
            </w:pPr>
            <w:r>
              <w:rPr>
                <w:rFonts w:cstheme="minorHAnsi"/>
                <w:sz w:val="16"/>
                <w:szCs w:val="16"/>
              </w:rPr>
              <w:t>Refinery actual (certified) quality</w:t>
            </w:r>
          </w:p>
        </w:tc>
        <w:tc>
          <w:tcPr>
            <w:tcW w:w="1310" w:type="dxa"/>
            <w:vAlign w:val="center"/>
          </w:tcPr>
          <w:p w14:paraId="654BFA9A" w14:textId="77777777" w:rsidR="00672297" w:rsidRDefault="00A16EA3">
            <w:pPr>
              <w:spacing w:before="20" w:after="20"/>
              <w:jc w:val="left"/>
            </w:pPr>
            <w:r>
              <w:rPr>
                <w:rFonts w:cstheme="minorHAnsi"/>
                <w:sz w:val="16"/>
                <w:szCs w:val="16"/>
              </w:rPr>
              <w:t>LIMS</w:t>
            </w:r>
          </w:p>
        </w:tc>
        <w:tc>
          <w:tcPr>
            <w:tcW w:w="1591" w:type="dxa"/>
            <w:vAlign w:val="center"/>
          </w:tcPr>
          <w:p w14:paraId="2ED9E5C6" w14:textId="77777777" w:rsidR="00672297" w:rsidRDefault="00A16EA3">
            <w:pPr>
              <w:spacing w:before="20" w:after="20"/>
              <w:jc w:val="left"/>
            </w:pPr>
            <w:r>
              <w:rPr>
                <w:rFonts w:cstheme="minorHAnsi"/>
                <w:sz w:val="16"/>
                <w:szCs w:val="16"/>
              </w:rPr>
              <w:t>IQDM Refinery Actual &amp; Scheduled Quality interface</w:t>
            </w:r>
          </w:p>
        </w:tc>
        <w:tc>
          <w:tcPr>
            <w:tcW w:w="1684" w:type="dxa"/>
            <w:vAlign w:val="center"/>
          </w:tcPr>
          <w:p w14:paraId="7850B21F" w14:textId="77777777" w:rsidR="00672297" w:rsidRDefault="00A16EA3">
            <w:pPr>
              <w:spacing w:before="20" w:after="20"/>
              <w:jc w:val="left"/>
            </w:pPr>
            <w:r>
              <w:rPr>
                <w:rFonts w:cstheme="minorHAnsi"/>
                <w:sz w:val="16"/>
                <w:szCs w:val="16"/>
              </w:rPr>
              <w:t>quality_detail (data_source = LIMS, state = Actual)</w:t>
            </w:r>
          </w:p>
        </w:tc>
        <w:tc>
          <w:tcPr>
            <w:tcW w:w="1123" w:type="dxa"/>
            <w:vAlign w:val="center"/>
          </w:tcPr>
          <w:p w14:paraId="4ACE3D42" w14:textId="77777777" w:rsidR="00672297" w:rsidRDefault="00A16EA3">
            <w:pPr>
              <w:spacing w:before="20" w:after="20"/>
              <w:jc w:val="left"/>
            </w:pPr>
            <w:r>
              <w:rPr>
                <w:rFonts w:cstheme="minorHAnsi"/>
                <w:sz w:val="16"/>
                <w:szCs w:val="16"/>
              </w:rPr>
              <w:t>Incremental upsert</w:t>
            </w:r>
          </w:p>
        </w:tc>
        <w:tc>
          <w:tcPr>
            <w:tcW w:w="1029" w:type="dxa"/>
            <w:vAlign w:val="center"/>
          </w:tcPr>
          <w:p w14:paraId="6510D954" w14:textId="77777777" w:rsidR="00672297" w:rsidRDefault="00A16EA3">
            <w:pPr>
              <w:spacing w:before="20" w:after="20"/>
              <w:jc w:val="left"/>
            </w:pPr>
            <w:r>
              <w:rPr>
                <w:rFonts w:cstheme="minorHAnsi"/>
                <w:sz w:val="16"/>
                <w:szCs w:val="16"/>
              </w:rPr>
              <w:t>Near real-time</w:t>
            </w:r>
          </w:p>
        </w:tc>
        <w:tc>
          <w:tcPr>
            <w:tcW w:w="845" w:type="dxa"/>
            <w:vAlign w:val="center"/>
          </w:tcPr>
          <w:p w14:paraId="526E48E0" w14:textId="77777777" w:rsidR="00672297" w:rsidRDefault="00A16EA3">
            <w:pPr>
              <w:spacing w:before="20" w:after="20"/>
              <w:jc w:val="left"/>
            </w:pPr>
            <w:r>
              <w:rPr>
                <w:rFonts w:cstheme="minorHAnsi"/>
                <w:sz w:val="16"/>
                <w:szCs w:val="16"/>
              </w:rPr>
              <w:t>IQDM R1</w:t>
            </w:r>
          </w:p>
        </w:tc>
      </w:tr>
      <w:tr w:rsidR="00672297" w14:paraId="3EAAA453" w14:textId="77777777">
        <w:trPr>
          <w:cantSplit/>
        </w:trPr>
        <w:tc>
          <w:tcPr>
            <w:tcW w:w="1778" w:type="dxa"/>
            <w:vAlign w:val="center"/>
          </w:tcPr>
          <w:p w14:paraId="3C6FA12F" w14:textId="77777777" w:rsidR="00672297" w:rsidRDefault="00A16EA3">
            <w:pPr>
              <w:spacing w:before="20" w:after="20"/>
              <w:jc w:val="left"/>
            </w:pPr>
            <w:r>
              <w:rPr>
                <w:rFonts w:cstheme="minorHAnsi"/>
                <w:sz w:val="16"/>
                <w:szCs w:val="16"/>
              </w:rPr>
              <w:t>Refinery scheduled quality</w:t>
            </w:r>
          </w:p>
        </w:tc>
        <w:tc>
          <w:tcPr>
            <w:tcW w:w="1310" w:type="dxa"/>
            <w:vAlign w:val="center"/>
          </w:tcPr>
          <w:p w14:paraId="218767E9" w14:textId="77777777" w:rsidR="00672297" w:rsidRDefault="00A16EA3">
            <w:pPr>
              <w:spacing w:before="20" w:after="20"/>
              <w:jc w:val="left"/>
            </w:pPr>
            <w:r>
              <w:rPr>
                <w:rFonts w:cstheme="minorHAnsi"/>
                <w:sz w:val="16"/>
                <w:szCs w:val="16"/>
              </w:rPr>
              <w:t>APS</w:t>
            </w:r>
          </w:p>
        </w:tc>
        <w:tc>
          <w:tcPr>
            <w:tcW w:w="1591" w:type="dxa"/>
            <w:vAlign w:val="center"/>
          </w:tcPr>
          <w:p w14:paraId="62AA1555" w14:textId="77777777" w:rsidR="00672297" w:rsidRDefault="00A16EA3">
            <w:pPr>
              <w:spacing w:before="20" w:after="20"/>
              <w:jc w:val="left"/>
            </w:pPr>
            <w:r>
              <w:rPr>
                <w:rFonts w:cstheme="minorHAnsi"/>
                <w:sz w:val="16"/>
                <w:szCs w:val="16"/>
              </w:rPr>
              <w:t>IQDM Refinery Actual &amp; Scheduled Quality interface</w:t>
            </w:r>
          </w:p>
        </w:tc>
        <w:tc>
          <w:tcPr>
            <w:tcW w:w="1684" w:type="dxa"/>
            <w:vAlign w:val="center"/>
          </w:tcPr>
          <w:p w14:paraId="320146DB" w14:textId="77777777" w:rsidR="00672297" w:rsidRDefault="00A16EA3">
            <w:pPr>
              <w:spacing w:before="20" w:after="20"/>
              <w:jc w:val="left"/>
            </w:pPr>
            <w:r>
              <w:rPr>
                <w:rFonts w:cstheme="minorHAnsi"/>
                <w:sz w:val="16"/>
                <w:szCs w:val="16"/>
              </w:rPr>
              <w:t>quality_detail (data_source = APS, state = Scheduled)</w:t>
            </w:r>
          </w:p>
        </w:tc>
        <w:tc>
          <w:tcPr>
            <w:tcW w:w="1123" w:type="dxa"/>
            <w:vAlign w:val="center"/>
          </w:tcPr>
          <w:p w14:paraId="76080564" w14:textId="77777777" w:rsidR="00672297" w:rsidRDefault="00A16EA3">
            <w:pPr>
              <w:spacing w:before="20" w:after="20"/>
              <w:jc w:val="left"/>
            </w:pPr>
            <w:r>
              <w:rPr>
                <w:rFonts w:cstheme="minorHAnsi"/>
                <w:sz w:val="16"/>
                <w:szCs w:val="16"/>
              </w:rPr>
              <w:t>Incremental upsert</w:t>
            </w:r>
          </w:p>
        </w:tc>
        <w:tc>
          <w:tcPr>
            <w:tcW w:w="1029" w:type="dxa"/>
            <w:vAlign w:val="center"/>
          </w:tcPr>
          <w:p w14:paraId="2CC3B242" w14:textId="77777777" w:rsidR="00672297" w:rsidRDefault="00A16EA3">
            <w:pPr>
              <w:spacing w:before="20" w:after="20"/>
              <w:jc w:val="left"/>
            </w:pPr>
            <w:r>
              <w:rPr>
                <w:rFonts w:cstheme="minorHAnsi"/>
                <w:sz w:val="16"/>
                <w:szCs w:val="16"/>
              </w:rPr>
              <w:t>Daily at a specified time</w:t>
            </w:r>
          </w:p>
        </w:tc>
        <w:tc>
          <w:tcPr>
            <w:tcW w:w="845" w:type="dxa"/>
            <w:vAlign w:val="center"/>
          </w:tcPr>
          <w:p w14:paraId="6A9A5B3A" w14:textId="77777777" w:rsidR="00672297" w:rsidRDefault="00A16EA3">
            <w:pPr>
              <w:spacing w:before="20" w:after="20"/>
              <w:jc w:val="left"/>
            </w:pPr>
            <w:r>
              <w:rPr>
                <w:rFonts w:cstheme="minorHAnsi"/>
                <w:sz w:val="16"/>
                <w:szCs w:val="16"/>
              </w:rPr>
              <w:t>IQDM R1</w:t>
            </w:r>
          </w:p>
        </w:tc>
      </w:tr>
      <w:tr w:rsidR="00672297" w14:paraId="3CA3EDDC" w14:textId="77777777">
        <w:trPr>
          <w:cantSplit/>
        </w:trPr>
        <w:tc>
          <w:tcPr>
            <w:tcW w:w="1778" w:type="dxa"/>
            <w:vAlign w:val="center"/>
          </w:tcPr>
          <w:p w14:paraId="336EDF57" w14:textId="77777777" w:rsidR="00672297" w:rsidRDefault="00A16EA3">
            <w:pPr>
              <w:spacing w:before="20" w:after="20"/>
              <w:jc w:val="left"/>
            </w:pPr>
            <w:r>
              <w:rPr>
                <w:rFonts w:cstheme="minorHAnsi"/>
                <w:sz w:val="16"/>
                <w:szCs w:val="16"/>
              </w:rPr>
              <w:t>Terminal in-transit movements - pipeline and barge</w:t>
            </w:r>
          </w:p>
        </w:tc>
        <w:tc>
          <w:tcPr>
            <w:tcW w:w="1310" w:type="dxa"/>
            <w:vAlign w:val="center"/>
          </w:tcPr>
          <w:p w14:paraId="3F7AE89E" w14:textId="77777777" w:rsidR="00672297" w:rsidRDefault="00A16EA3">
            <w:pPr>
              <w:spacing w:before="20" w:after="20"/>
              <w:jc w:val="left"/>
            </w:pPr>
            <w:r>
              <w:rPr>
                <w:rFonts w:cstheme="minorHAnsi"/>
                <w:sz w:val="16"/>
                <w:szCs w:val="16"/>
              </w:rPr>
              <w:t>Kittyhawk (BulkTransfer, Transfer, Order); Towworks</w:t>
            </w:r>
          </w:p>
        </w:tc>
        <w:tc>
          <w:tcPr>
            <w:tcW w:w="1591" w:type="dxa"/>
            <w:vAlign w:val="center"/>
          </w:tcPr>
          <w:p w14:paraId="693AD155" w14:textId="77777777" w:rsidR="00672297" w:rsidRDefault="00A16EA3">
            <w:pPr>
              <w:spacing w:before="20" w:after="20"/>
              <w:jc w:val="left"/>
            </w:pPr>
            <w:r>
              <w:rPr>
                <w:rFonts w:cstheme="minorHAnsi"/>
                <w:sz w:val="16"/>
                <w:szCs w:val="16"/>
              </w:rPr>
              <w:t>IQDM Current In-Transit (Pipeline and Barge) interface</w:t>
            </w:r>
          </w:p>
        </w:tc>
        <w:tc>
          <w:tcPr>
            <w:tcW w:w="1684" w:type="dxa"/>
            <w:vAlign w:val="center"/>
          </w:tcPr>
          <w:p w14:paraId="107DA537" w14:textId="77777777" w:rsidR="00672297" w:rsidRDefault="00A16EA3">
            <w:pPr>
              <w:spacing w:before="20" w:after="20"/>
              <w:jc w:val="left"/>
            </w:pPr>
            <w:r>
              <w:rPr>
                <w:rFonts w:cstheme="minorHAnsi"/>
                <w:sz w:val="16"/>
                <w:szCs w:val="16"/>
              </w:rPr>
              <w:t>transfer_detail (transfer_type = Pipeline In-Transit / Barge In-Transit)</w:t>
            </w:r>
          </w:p>
        </w:tc>
        <w:tc>
          <w:tcPr>
            <w:tcW w:w="1123" w:type="dxa"/>
            <w:vAlign w:val="center"/>
          </w:tcPr>
          <w:p w14:paraId="3F37E1B5" w14:textId="77777777" w:rsidR="00672297" w:rsidRDefault="00A16EA3">
            <w:pPr>
              <w:spacing w:before="20" w:after="20"/>
              <w:jc w:val="left"/>
            </w:pPr>
            <w:r>
              <w:rPr>
                <w:rFonts w:cstheme="minorHAnsi"/>
                <w:sz w:val="16"/>
                <w:szCs w:val="16"/>
              </w:rPr>
              <w:t>Snapshot of current in-transit, upsert</w:t>
            </w:r>
          </w:p>
        </w:tc>
        <w:tc>
          <w:tcPr>
            <w:tcW w:w="1029" w:type="dxa"/>
            <w:vAlign w:val="center"/>
          </w:tcPr>
          <w:p w14:paraId="5DDAB578" w14:textId="77777777" w:rsidR="00672297" w:rsidRDefault="00A16EA3">
            <w:pPr>
              <w:spacing w:before="20" w:after="20"/>
              <w:jc w:val="left"/>
            </w:pPr>
            <w:r>
              <w:rPr>
                <w:rFonts w:cstheme="minorHAnsi"/>
                <w:sz w:val="16"/>
                <w:szCs w:val="16"/>
              </w:rPr>
              <w:t>Daily at a specified time</w:t>
            </w:r>
          </w:p>
        </w:tc>
        <w:tc>
          <w:tcPr>
            <w:tcW w:w="845" w:type="dxa"/>
            <w:vAlign w:val="center"/>
          </w:tcPr>
          <w:p w14:paraId="2A7098D5" w14:textId="77777777" w:rsidR="00672297" w:rsidRDefault="00A16EA3">
            <w:pPr>
              <w:spacing w:before="20" w:after="20"/>
              <w:jc w:val="left"/>
            </w:pPr>
            <w:r>
              <w:rPr>
                <w:rFonts w:cstheme="minorHAnsi"/>
                <w:sz w:val="16"/>
                <w:szCs w:val="16"/>
              </w:rPr>
              <w:t>IQDM R2</w:t>
            </w:r>
          </w:p>
        </w:tc>
      </w:tr>
      <w:tr w:rsidR="00672297" w14:paraId="3CE8402A" w14:textId="77777777">
        <w:trPr>
          <w:cantSplit/>
        </w:trPr>
        <w:tc>
          <w:tcPr>
            <w:tcW w:w="1778" w:type="dxa"/>
            <w:vAlign w:val="center"/>
          </w:tcPr>
          <w:p w14:paraId="77E8D986" w14:textId="77777777" w:rsidR="00672297" w:rsidRDefault="00A16EA3">
            <w:pPr>
              <w:spacing w:before="20" w:after="20"/>
              <w:jc w:val="left"/>
            </w:pPr>
            <w:r>
              <w:rPr>
                <w:rFonts w:cstheme="minorHAnsi"/>
                <w:sz w:val="16"/>
                <w:szCs w:val="16"/>
              </w:rPr>
              <w:t>Terminal in-transit movements - vessel, truck, railcar</w:t>
            </w:r>
          </w:p>
        </w:tc>
        <w:tc>
          <w:tcPr>
            <w:tcW w:w="1310" w:type="dxa"/>
            <w:vAlign w:val="center"/>
          </w:tcPr>
          <w:p w14:paraId="3AEDEA42" w14:textId="77777777" w:rsidR="00672297" w:rsidRDefault="00A16EA3">
            <w:pPr>
              <w:spacing w:before="20" w:after="20"/>
              <w:jc w:val="left"/>
            </w:pPr>
            <w:r>
              <w:rPr>
                <w:rFonts w:cstheme="minorHAnsi"/>
                <w:sz w:val="16"/>
                <w:szCs w:val="16"/>
              </w:rPr>
              <w:t>Kittyhawk</w:t>
            </w:r>
          </w:p>
        </w:tc>
        <w:tc>
          <w:tcPr>
            <w:tcW w:w="1591" w:type="dxa"/>
            <w:vAlign w:val="center"/>
          </w:tcPr>
          <w:p w14:paraId="5440B420" w14:textId="77777777" w:rsidR="00672297" w:rsidRDefault="00A16EA3">
            <w:pPr>
              <w:spacing w:before="20" w:after="20"/>
              <w:jc w:val="left"/>
            </w:pPr>
            <w:r>
              <w:rPr>
                <w:rFonts w:cstheme="minorHAnsi"/>
                <w:sz w:val="16"/>
                <w:szCs w:val="16"/>
              </w:rPr>
              <w:t>IQDM Current In-Transit (Vessel, Truck and Railcar) interface</w:t>
            </w:r>
          </w:p>
        </w:tc>
        <w:tc>
          <w:tcPr>
            <w:tcW w:w="1684" w:type="dxa"/>
            <w:vAlign w:val="center"/>
          </w:tcPr>
          <w:p w14:paraId="514B1AC6" w14:textId="77777777" w:rsidR="00672297" w:rsidRDefault="00A16EA3">
            <w:pPr>
              <w:spacing w:before="20" w:after="20"/>
              <w:jc w:val="left"/>
            </w:pPr>
            <w:r>
              <w:rPr>
                <w:rFonts w:cstheme="minorHAnsi"/>
                <w:sz w:val="16"/>
                <w:szCs w:val="16"/>
              </w:rPr>
              <w:t>transfer_detail</w:t>
            </w:r>
          </w:p>
        </w:tc>
        <w:tc>
          <w:tcPr>
            <w:tcW w:w="1123" w:type="dxa"/>
            <w:vAlign w:val="center"/>
          </w:tcPr>
          <w:p w14:paraId="494EEE07" w14:textId="77777777" w:rsidR="00672297" w:rsidRDefault="00A16EA3">
            <w:pPr>
              <w:spacing w:before="20" w:after="20"/>
              <w:jc w:val="left"/>
            </w:pPr>
            <w:r>
              <w:rPr>
                <w:rFonts w:cstheme="minorHAnsi"/>
                <w:sz w:val="16"/>
                <w:szCs w:val="16"/>
              </w:rPr>
              <w:t>Snapshot, upsert</w:t>
            </w:r>
          </w:p>
        </w:tc>
        <w:tc>
          <w:tcPr>
            <w:tcW w:w="1029" w:type="dxa"/>
            <w:vAlign w:val="center"/>
          </w:tcPr>
          <w:p w14:paraId="740E630C" w14:textId="77777777" w:rsidR="00672297" w:rsidRDefault="00A16EA3">
            <w:pPr>
              <w:spacing w:before="20" w:after="20"/>
              <w:jc w:val="left"/>
            </w:pPr>
            <w:r>
              <w:rPr>
                <w:rFonts w:cstheme="minorHAnsi"/>
                <w:sz w:val="16"/>
                <w:szCs w:val="16"/>
              </w:rPr>
              <w:t>Daily at a specified time</w:t>
            </w:r>
          </w:p>
        </w:tc>
        <w:tc>
          <w:tcPr>
            <w:tcW w:w="845" w:type="dxa"/>
            <w:vAlign w:val="center"/>
          </w:tcPr>
          <w:p w14:paraId="66FAC1C3" w14:textId="77777777" w:rsidR="00672297" w:rsidRDefault="00A16EA3">
            <w:pPr>
              <w:spacing w:before="20" w:after="20"/>
              <w:jc w:val="left"/>
            </w:pPr>
            <w:r>
              <w:rPr>
                <w:rFonts w:cstheme="minorHAnsi"/>
                <w:sz w:val="16"/>
                <w:szCs w:val="16"/>
              </w:rPr>
              <w:t>IQDM R2</w:t>
            </w:r>
          </w:p>
        </w:tc>
      </w:tr>
      <w:tr w:rsidR="00672297" w14:paraId="399F0C61" w14:textId="77777777">
        <w:trPr>
          <w:cantSplit/>
        </w:trPr>
        <w:tc>
          <w:tcPr>
            <w:tcW w:w="1778" w:type="dxa"/>
            <w:vAlign w:val="center"/>
          </w:tcPr>
          <w:p w14:paraId="34F25B6F" w14:textId="77777777" w:rsidR="00672297" w:rsidRDefault="00A16EA3">
            <w:pPr>
              <w:spacing w:before="20" w:after="20"/>
              <w:jc w:val="left"/>
            </w:pPr>
            <w:r>
              <w:rPr>
                <w:rFonts w:cstheme="minorHAnsi"/>
                <w:sz w:val="16"/>
                <w:szCs w:val="16"/>
              </w:rPr>
              <w:t>Terminal scheduled inventory and scheduled movements of blend components</w:t>
            </w:r>
          </w:p>
        </w:tc>
        <w:tc>
          <w:tcPr>
            <w:tcW w:w="1310" w:type="dxa"/>
            <w:vAlign w:val="center"/>
          </w:tcPr>
          <w:p w14:paraId="50AA7270" w14:textId="77777777" w:rsidR="00672297" w:rsidRDefault="00A16EA3">
            <w:pPr>
              <w:spacing w:before="20" w:after="20"/>
              <w:jc w:val="left"/>
            </w:pPr>
            <w:r>
              <w:rPr>
                <w:rFonts w:cstheme="minorHAnsi"/>
                <w:sz w:val="16"/>
                <w:szCs w:val="16"/>
              </w:rPr>
              <w:t>Kittyhawk</w:t>
            </w:r>
          </w:p>
        </w:tc>
        <w:tc>
          <w:tcPr>
            <w:tcW w:w="1591" w:type="dxa"/>
            <w:vAlign w:val="center"/>
          </w:tcPr>
          <w:p w14:paraId="35F5069C" w14:textId="77777777" w:rsidR="00672297" w:rsidRDefault="00A16EA3">
            <w:pPr>
              <w:spacing w:before="20" w:after="20"/>
              <w:jc w:val="left"/>
            </w:pPr>
            <w:r>
              <w:rPr>
                <w:rFonts w:cstheme="minorHAnsi"/>
                <w:sz w:val="16"/>
                <w:szCs w:val="16"/>
              </w:rPr>
              <w:t>IQDM Terminal Scheduled Inventory interface</w:t>
            </w:r>
          </w:p>
        </w:tc>
        <w:tc>
          <w:tcPr>
            <w:tcW w:w="1684" w:type="dxa"/>
            <w:vAlign w:val="center"/>
          </w:tcPr>
          <w:p w14:paraId="140B52EF" w14:textId="77777777" w:rsidR="00672297" w:rsidRDefault="00A16EA3">
            <w:pPr>
              <w:spacing w:before="20" w:after="20"/>
              <w:jc w:val="left"/>
            </w:pPr>
            <w:r>
              <w:rPr>
                <w:rFonts w:cstheme="minorHAnsi"/>
                <w:sz w:val="16"/>
                <w:szCs w:val="16"/>
              </w:rPr>
              <w:t>inventory_detail (state = Scheduled); transfer_detail (scheduled)</w:t>
            </w:r>
          </w:p>
        </w:tc>
        <w:tc>
          <w:tcPr>
            <w:tcW w:w="1123" w:type="dxa"/>
            <w:vAlign w:val="center"/>
          </w:tcPr>
          <w:p w14:paraId="11796083" w14:textId="77777777" w:rsidR="00672297" w:rsidRDefault="00A16EA3">
            <w:pPr>
              <w:spacing w:before="20" w:after="20"/>
              <w:jc w:val="left"/>
            </w:pPr>
            <w:r>
              <w:rPr>
                <w:rFonts w:cstheme="minorHAnsi"/>
                <w:sz w:val="16"/>
                <w:szCs w:val="16"/>
              </w:rPr>
              <w:t>Snapshot, upsert</w:t>
            </w:r>
          </w:p>
        </w:tc>
        <w:tc>
          <w:tcPr>
            <w:tcW w:w="1029" w:type="dxa"/>
            <w:vAlign w:val="center"/>
          </w:tcPr>
          <w:p w14:paraId="78783237" w14:textId="77777777" w:rsidR="00672297" w:rsidRDefault="00A16EA3">
            <w:pPr>
              <w:spacing w:before="20" w:after="20"/>
              <w:jc w:val="left"/>
            </w:pPr>
            <w:r>
              <w:rPr>
                <w:rFonts w:cstheme="minorHAnsi"/>
                <w:sz w:val="16"/>
                <w:szCs w:val="16"/>
              </w:rPr>
              <w:t>Daily at a specified time</w:t>
            </w:r>
          </w:p>
        </w:tc>
        <w:tc>
          <w:tcPr>
            <w:tcW w:w="845" w:type="dxa"/>
            <w:vAlign w:val="center"/>
          </w:tcPr>
          <w:p w14:paraId="362B63C3" w14:textId="77777777" w:rsidR="00672297" w:rsidRDefault="00A16EA3">
            <w:pPr>
              <w:spacing w:before="20" w:after="20"/>
              <w:jc w:val="left"/>
            </w:pPr>
            <w:r>
              <w:rPr>
                <w:rFonts w:cstheme="minorHAnsi"/>
                <w:sz w:val="16"/>
                <w:szCs w:val="16"/>
              </w:rPr>
              <w:t>IQDM R2</w:t>
            </w:r>
          </w:p>
        </w:tc>
      </w:tr>
      <w:tr w:rsidR="00672297" w14:paraId="1458AF3C" w14:textId="77777777">
        <w:trPr>
          <w:cantSplit/>
        </w:trPr>
        <w:tc>
          <w:tcPr>
            <w:tcW w:w="1778" w:type="dxa"/>
            <w:vAlign w:val="center"/>
          </w:tcPr>
          <w:p w14:paraId="25AAA53B" w14:textId="77777777" w:rsidR="00672297" w:rsidRDefault="00A16EA3">
            <w:pPr>
              <w:spacing w:before="20" w:after="20"/>
              <w:jc w:val="left"/>
            </w:pPr>
            <w:r>
              <w:rPr>
                <w:rFonts w:cstheme="minorHAnsi"/>
                <w:sz w:val="16"/>
                <w:szCs w:val="16"/>
              </w:rPr>
              <w:t>Terminal actual quality</w:t>
            </w:r>
          </w:p>
        </w:tc>
        <w:tc>
          <w:tcPr>
            <w:tcW w:w="1310" w:type="dxa"/>
            <w:vAlign w:val="center"/>
          </w:tcPr>
          <w:p w14:paraId="1E91808F" w14:textId="77777777" w:rsidR="00672297" w:rsidRDefault="00A16EA3">
            <w:pPr>
              <w:spacing w:before="20" w:after="20"/>
              <w:jc w:val="left"/>
            </w:pPr>
            <w:r>
              <w:rPr>
                <w:rFonts w:cstheme="minorHAnsi"/>
                <w:sz w:val="16"/>
                <w:szCs w:val="16"/>
              </w:rPr>
              <w:t>PQCore</w:t>
            </w:r>
          </w:p>
        </w:tc>
        <w:tc>
          <w:tcPr>
            <w:tcW w:w="1591" w:type="dxa"/>
            <w:vAlign w:val="center"/>
          </w:tcPr>
          <w:p w14:paraId="4EFDA34C" w14:textId="77777777" w:rsidR="00672297" w:rsidRDefault="00A16EA3">
            <w:pPr>
              <w:spacing w:before="20" w:after="20"/>
              <w:jc w:val="left"/>
            </w:pPr>
            <w:r>
              <w:rPr>
                <w:rFonts w:cstheme="minorHAnsi"/>
                <w:sz w:val="16"/>
                <w:szCs w:val="16"/>
              </w:rPr>
              <w:t>IQDM Terminal Actual Quality interface</w:t>
            </w:r>
          </w:p>
        </w:tc>
        <w:tc>
          <w:tcPr>
            <w:tcW w:w="1684" w:type="dxa"/>
            <w:vAlign w:val="center"/>
          </w:tcPr>
          <w:p w14:paraId="736E8109" w14:textId="77777777" w:rsidR="00672297" w:rsidRDefault="00A16EA3">
            <w:pPr>
              <w:spacing w:before="20" w:after="20"/>
              <w:jc w:val="left"/>
            </w:pPr>
            <w:r>
              <w:rPr>
                <w:rFonts w:cstheme="minorHAnsi"/>
                <w:sz w:val="16"/>
                <w:szCs w:val="16"/>
              </w:rPr>
              <w:t>quality_detail (data_source = PQCore)</w:t>
            </w:r>
          </w:p>
        </w:tc>
        <w:tc>
          <w:tcPr>
            <w:tcW w:w="1123" w:type="dxa"/>
            <w:vAlign w:val="center"/>
          </w:tcPr>
          <w:p w14:paraId="71591BB8" w14:textId="77777777" w:rsidR="00672297" w:rsidRDefault="00A16EA3">
            <w:pPr>
              <w:spacing w:before="20" w:after="20"/>
              <w:jc w:val="left"/>
            </w:pPr>
            <w:r>
              <w:rPr>
                <w:rFonts w:cstheme="minorHAnsi"/>
                <w:sz w:val="16"/>
                <w:szCs w:val="16"/>
              </w:rPr>
              <w:t>Incremental upsert</w:t>
            </w:r>
          </w:p>
        </w:tc>
        <w:tc>
          <w:tcPr>
            <w:tcW w:w="1029" w:type="dxa"/>
            <w:vAlign w:val="center"/>
          </w:tcPr>
          <w:p w14:paraId="02895FF4" w14:textId="77777777" w:rsidR="00672297" w:rsidRDefault="00A16EA3">
            <w:pPr>
              <w:spacing w:before="20" w:after="20"/>
              <w:jc w:val="left"/>
            </w:pPr>
            <w:r>
              <w:rPr>
                <w:rFonts w:cstheme="minorHAnsi"/>
                <w:sz w:val="16"/>
                <w:szCs w:val="16"/>
              </w:rPr>
              <w:t>Near real-time</w:t>
            </w:r>
          </w:p>
        </w:tc>
        <w:tc>
          <w:tcPr>
            <w:tcW w:w="845" w:type="dxa"/>
            <w:vAlign w:val="center"/>
          </w:tcPr>
          <w:p w14:paraId="6B32BBBA" w14:textId="77777777" w:rsidR="00672297" w:rsidRDefault="00A16EA3">
            <w:pPr>
              <w:spacing w:before="20" w:after="20"/>
              <w:jc w:val="left"/>
            </w:pPr>
            <w:r>
              <w:rPr>
                <w:rFonts w:cstheme="minorHAnsi"/>
                <w:sz w:val="16"/>
                <w:szCs w:val="16"/>
              </w:rPr>
              <w:t>IQDM R2</w:t>
            </w:r>
          </w:p>
        </w:tc>
      </w:tr>
      <w:tr w:rsidR="00672297" w14:paraId="43480261" w14:textId="77777777">
        <w:trPr>
          <w:cantSplit/>
        </w:trPr>
        <w:tc>
          <w:tcPr>
            <w:tcW w:w="1778" w:type="dxa"/>
            <w:vAlign w:val="center"/>
          </w:tcPr>
          <w:p w14:paraId="29474121" w14:textId="77777777" w:rsidR="00672297" w:rsidRDefault="00A16EA3">
            <w:pPr>
              <w:spacing w:before="20" w:after="20"/>
              <w:jc w:val="left"/>
            </w:pPr>
            <w:r>
              <w:rPr>
                <w:rFonts w:cstheme="minorHAnsi"/>
                <w:sz w:val="16"/>
                <w:szCs w:val="16"/>
              </w:rPr>
              <w:t>Terminal actual inventory (incl. blend component tanks)</w:t>
            </w:r>
          </w:p>
        </w:tc>
        <w:tc>
          <w:tcPr>
            <w:tcW w:w="1310" w:type="dxa"/>
            <w:vAlign w:val="center"/>
          </w:tcPr>
          <w:p w14:paraId="2D9A4889" w14:textId="77777777" w:rsidR="00672297" w:rsidRDefault="00A16EA3">
            <w:pPr>
              <w:spacing w:before="20" w:after="20"/>
              <w:jc w:val="left"/>
            </w:pPr>
            <w:r>
              <w:rPr>
                <w:rFonts w:cstheme="minorHAnsi"/>
                <w:sz w:val="16"/>
                <w:szCs w:val="16"/>
              </w:rPr>
              <w:t>Kittyhawk</w:t>
            </w:r>
          </w:p>
        </w:tc>
        <w:tc>
          <w:tcPr>
            <w:tcW w:w="1591" w:type="dxa"/>
            <w:vAlign w:val="center"/>
          </w:tcPr>
          <w:p w14:paraId="12DD766E" w14:textId="77777777" w:rsidR="00672297" w:rsidRDefault="00A16EA3">
            <w:pPr>
              <w:spacing w:before="20" w:after="20"/>
              <w:jc w:val="left"/>
            </w:pPr>
            <w:r>
              <w:rPr>
                <w:rFonts w:cstheme="minorHAnsi"/>
                <w:sz w:val="16"/>
                <w:szCs w:val="16"/>
              </w:rPr>
              <w:t>IQDM Terminal Actual Inventory interface</w:t>
            </w:r>
          </w:p>
        </w:tc>
        <w:tc>
          <w:tcPr>
            <w:tcW w:w="1684" w:type="dxa"/>
            <w:vAlign w:val="center"/>
          </w:tcPr>
          <w:p w14:paraId="55151873" w14:textId="77777777" w:rsidR="00672297" w:rsidRDefault="00A16EA3">
            <w:pPr>
              <w:spacing w:before="20" w:after="20"/>
              <w:jc w:val="left"/>
            </w:pPr>
            <w:r>
              <w:rPr>
                <w:rFonts w:cstheme="minorHAnsi"/>
                <w:sz w:val="16"/>
                <w:szCs w:val="16"/>
              </w:rPr>
              <w:t>inventory_detail (state = Actual, data_source = Kittyhawk)</w:t>
            </w:r>
          </w:p>
        </w:tc>
        <w:tc>
          <w:tcPr>
            <w:tcW w:w="1123" w:type="dxa"/>
            <w:vAlign w:val="center"/>
          </w:tcPr>
          <w:p w14:paraId="2557E05A" w14:textId="77777777" w:rsidR="00672297" w:rsidRDefault="00A16EA3">
            <w:pPr>
              <w:spacing w:before="20" w:after="20"/>
              <w:jc w:val="left"/>
            </w:pPr>
            <w:r>
              <w:rPr>
                <w:rFonts w:cstheme="minorHAnsi"/>
                <w:sz w:val="16"/>
                <w:szCs w:val="16"/>
              </w:rPr>
              <w:t>Incremental upsert</w:t>
            </w:r>
          </w:p>
        </w:tc>
        <w:tc>
          <w:tcPr>
            <w:tcW w:w="1029" w:type="dxa"/>
            <w:vAlign w:val="center"/>
          </w:tcPr>
          <w:p w14:paraId="374697BD" w14:textId="77777777" w:rsidR="00672297" w:rsidRDefault="00A16EA3">
            <w:pPr>
              <w:spacing w:before="20" w:after="20"/>
              <w:jc w:val="left"/>
            </w:pPr>
            <w:r>
              <w:rPr>
                <w:rFonts w:cstheme="minorHAnsi"/>
                <w:sz w:val="16"/>
                <w:szCs w:val="16"/>
              </w:rPr>
              <w:t>Daily at a specified time</w:t>
            </w:r>
          </w:p>
        </w:tc>
        <w:tc>
          <w:tcPr>
            <w:tcW w:w="845" w:type="dxa"/>
            <w:vAlign w:val="center"/>
          </w:tcPr>
          <w:p w14:paraId="2A380C99" w14:textId="77777777" w:rsidR="00672297" w:rsidRDefault="00A16EA3">
            <w:pPr>
              <w:spacing w:before="20" w:after="20"/>
              <w:jc w:val="left"/>
            </w:pPr>
            <w:r>
              <w:rPr>
                <w:rFonts w:cstheme="minorHAnsi"/>
                <w:sz w:val="16"/>
                <w:szCs w:val="16"/>
              </w:rPr>
              <w:t>IQDM R4</w:t>
            </w:r>
          </w:p>
        </w:tc>
      </w:tr>
      <w:tr w:rsidR="00672297" w14:paraId="6BFDF9A7" w14:textId="77777777">
        <w:trPr>
          <w:cantSplit/>
        </w:trPr>
        <w:tc>
          <w:tcPr>
            <w:tcW w:w="1778" w:type="dxa"/>
            <w:vAlign w:val="center"/>
          </w:tcPr>
          <w:p w14:paraId="3C9010F1" w14:textId="77777777" w:rsidR="00672297" w:rsidRDefault="00A16EA3">
            <w:pPr>
              <w:spacing w:before="20" w:after="20"/>
              <w:jc w:val="left"/>
            </w:pPr>
            <w:r>
              <w:rPr>
                <w:rFonts w:cstheme="minorHAnsi"/>
                <w:sz w:val="16"/>
                <w:szCs w:val="16"/>
              </w:rPr>
              <w:t>Product specifications at terminals</w:t>
            </w:r>
          </w:p>
        </w:tc>
        <w:tc>
          <w:tcPr>
            <w:tcW w:w="1310" w:type="dxa"/>
            <w:vAlign w:val="center"/>
          </w:tcPr>
          <w:p w14:paraId="7DE6AEE3" w14:textId="77777777" w:rsidR="00672297" w:rsidRDefault="00A16EA3">
            <w:pPr>
              <w:spacing w:before="20" w:after="20"/>
              <w:jc w:val="left"/>
            </w:pPr>
            <w:r>
              <w:rPr>
                <w:rFonts w:cstheme="minorHAnsi"/>
                <w:sz w:val="16"/>
                <w:szCs w:val="16"/>
              </w:rPr>
              <w:t>PQ Spec Shop (master Excel until IQDM R5)</w:t>
            </w:r>
          </w:p>
        </w:tc>
        <w:tc>
          <w:tcPr>
            <w:tcW w:w="1591" w:type="dxa"/>
            <w:vAlign w:val="center"/>
          </w:tcPr>
          <w:p w14:paraId="15D0234B" w14:textId="77777777" w:rsidR="00672297" w:rsidRDefault="00A16EA3">
            <w:pPr>
              <w:spacing w:before="20" w:after="20"/>
              <w:jc w:val="left"/>
            </w:pPr>
            <w:r>
              <w:rPr>
                <w:rFonts w:cstheme="minorHAnsi"/>
                <w:sz w:val="16"/>
                <w:szCs w:val="16"/>
              </w:rPr>
              <w:t>Database team load</w:t>
            </w:r>
          </w:p>
        </w:tc>
        <w:tc>
          <w:tcPr>
            <w:tcW w:w="1684" w:type="dxa"/>
            <w:vAlign w:val="center"/>
          </w:tcPr>
          <w:p w14:paraId="6CE6AC37" w14:textId="77777777" w:rsidR="00672297" w:rsidRDefault="00A16EA3">
            <w:pPr>
              <w:spacing w:before="20" w:after="20"/>
              <w:jc w:val="left"/>
            </w:pPr>
            <w:r>
              <w:rPr>
                <w:rFonts w:cstheme="minorHAnsi"/>
                <w:sz w:val="16"/>
                <w:szCs w:val="16"/>
              </w:rPr>
              <w:t>product_specification</w:t>
            </w:r>
          </w:p>
        </w:tc>
        <w:tc>
          <w:tcPr>
            <w:tcW w:w="1123" w:type="dxa"/>
            <w:vAlign w:val="center"/>
          </w:tcPr>
          <w:p w14:paraId="6869AE1E" w14:textId="77777777" w:rsidR="00672297" w:rsidRDefault="00A16EA3">
            <w:pPr>
              <w:spacing w:before="20" w:after="20"/>
              <w:jc w:val="left"/>
            </w:pPr>
            <w:r>
              <w:rPr>
                <w:rFonts w:cstheme="minorHAnsi"/>
                <w:sz w:val="16"/>
                <w:szCs w:val="16"/>
              </w:rPr>
              <w:t>Full reload per specification version</w:t>
            </w:r>
          </w:p>
        </w:tc>
        <w:tc>
          <w:tcPr>
            <w:tcW w:w="1029" w:type="dxa"/>
            <w:vAlign w:val="center"/>
          </w:tcPr>
          <w:p w14:paraId="3949A3B8" w14:textId="77777777" w:rsidR="00672297" w:rsidRDefault="00A16EA3">
            <w:pPr>
              <w:spacing w:before="20" w:after="20"/>
              <w:jc w:val="left"/>
            </w:pPr>
            <w:r>
              <w:rPr>
                <w:rFonts w:cstheme="minorHAnsi"/>
                <w:sz w:val="16"/>
                <w:szCs w:val="16"/>
              </w:rPr>
              <w:t>On change of the master Excel</w:t>
            </w:r>
          </w:p>
        </w:tc>
        <w:tc>
          <w:tcPr>
            <w:tcW w:w="845" w:type="dxa"/>
            <w:vAlign w:val="center"/>
          </w:tcPr>
          <w:p w14:paraId="591A961F" w14:textId="77777777" w:rsidR="00672297" w:rsidRDefault="00A16EA3">
            <w:pPr>
              <w:spacing w:before="20" w:after="20"/>
              <w:jc w:val="left"/>
            </w:pPr>
            <w:r>
              <w:rPr>
                <w:rFonts w:cstheme="minorHAnsi"/>
                <w:sz w:val="16"/>
                <w:szCs w:val="16"/>
              </w:rPr>
              <w:t>VCB R1 (IQDM R5 takes over)</w:t>
            </w:r>
          </w:p>
        </w:tc>
      </w:tr>
      <w:tr w:rsidR="00672297" w14:paraId="69B076F2" w14:textId="77777777">
        <w:trPr>
          <w:cantSplit/>
        </w:trPr>
        <w:tc>
          <w:tcPr>
            <w:tcW w:w="1778" w:type="dxa"/>
            <w:vAlign w:val="center"/>
          </w:tcPr>
          <w:p w14:paraId="095F6612" w14:textId="77777777" w:rsidR="00672297" w:rsidRDefault="00A16EA3">
            <w:pPr>
              <w:spacing w:before="20" w:after="20"/>
              <w:jc w:val="left"/>
            </w:pPr>
            <w:r>
              <w:rPr>
                <w:rFonts w:cstheme="minorHAnsi"/>
                <w:sz w:val="16"/>
                <w:szCs w:val="16"/>
              </w:rPr>
              <w:t>Blend component inventory, analyzer qualities and flows at terminals</w:t>
            </w:r>
          </w:p>
        </w:tc>
        <w:tc>
          <w:tcPr>
            <w:tcW w:w="1310" w:type="dxa"/>
            <w:vAlign w:val="center"/>
          </w:tcPr>
          <w:p w14:paraId="2BDB7152" w14:textId="77777777" w:rsidR="00672297" w:rsidRDefault="00A16EA3">
            <w:pPr>
              <w:spacing w:before="20" w:after="20"/>
              <w:jc w:val="left"/>
            </w:pPr>
            <w:r>
              <w:rPr>
                <w:rFonts w:cstheme="minorHAnsi"/>
                <w:sz w:val="16"/>
                <w:szCs w:val="16"/>
              </w:rPr>
              <w:t>PIAF (PI Web API)</w:t>
            </w:r>
          </w:p>
        </w:tc>
        <w:tc>
          <w:tcPr>
            <w:tcW w:w="1591" w:type="dxa"/>
            <w:vAlign w:val="center"/>
          </w:tcPr>
          <w:p w14:paraId="1C9713C8" w14:textId="3A656F27" w:rsidR="00672297" w:rsidRDefault="000A106D">
            <w:pPr>
              <w:spacing w:before="20" w:after="20"/>
              <w:jc w:val="left"/>
            </w:pPr>
            <w:r>
              <w:rPr>
                <w:rFonts w:cstheme="minorHAnsi"/>
                <w:sz w:val="16"/>
                <w:szCs w:val="16"/>
              </w:rPr>
              <w:t>VCB Blend Component integration</w:t>
            </w:r>
            <w:r w:rsidR="00A16EA3">
              <w:rPr>
                <w:rFonts w:cstheme="minorHAnsi"/>
                <w:sz w:val="16"/>
                <w:szCs w:val="16"/>
              </w:rPr>
              <w:t xml:space="preserve"> (chapter 2)</w:t>
            </w:r>
          </w:p>
        </w:tc>
        <w:tc>
          <w:tcPr>
            <w:tcW w:w="1684" w:type="dxa"/>
            <w:vAlign w:val="center"/>
          </w:tcPr>
          <w:p w14:paraId="6ADEB3F3" w14:textId="77777777" w:rsidR="00672297" w:rsidRDefault="00A16EA3">
            <w:pPr>
              <w:spacing w:before="20" w:after="20"/>
              <w:jc w:val="left"/>
            </w:pPr>
            <w:r>
              <w:rPr>
                <w:rFonts w:cstheme="minorHAnsi"/>
                <w:sz w:val="16"/>
                <w:szCs w:val="16"/>
              </w:rPr>
              <w:t>VCB_blend_component_detail</w:t>
            </w:r>
          </w:p>
        </w:tc>
        <w:tc>
          <w:tcPr>
            <w:tcW w:w="1123" w:type="dxa"/>
            <w:vAlign w:val="center"/>
          </w:tcPr>
          <w:p w14:paraId="7CAA5860" w14:textId="77777777" w:rsidR="00672297" w:rsidRDefault="00A16EA3">
            <w:pPr>
              <w:spacing w:before="20" w:after="20"/>
              <w:jc w:val="left"/>
            </w:pPr>
            <w:r>
              <w:rPr>
                <w:rFonts w:cstheme="minorHAnsi"/>
                <w:sz w:val="16"/>
                <w:szCs w:val="16"/>
              </w:rPr>
              <w:t>Incremental upsert with catch-up of missed days</w:t>
            </w:r>
          </w:p>
        </w:tc>
        <w:tc>
          <w:tcPr>
            <w:tcW w:w="1029" w:type="dxa"/>
            <w:vAlign w:val="center"/>
          </w:tcPr>
          <w:p w14:paraId="2E0D58AE" w14:textId="3AA84D6E" w:rsidR="00672297" w:rsidRDefault="00371C86">
            <w:pPr>
              <w:spacing w:before="20" w:after="20"/>
              <w:jc w:val="left"/>
            </w:pPr>
            <w:r>
              <w:rPr>
                <w:rFonts w:cstheme="minorHAnsi"/>
                <w:sz w:val="16"/>
                <w:szCs w:val="16"/>
              </w:rPr>
              <w:t>Daily at a specified time</w:t>
            </w:r>
          </w:p>
        </w:tc>
        <w:tc>
          <w:tcPr>
            <w:tcW w:w="845" w:type="dxa"/>
            <w:vAlign w:val="center"/>
          </w:tcPr>
          <w:p w14:paraId="510FE426" w14:textId="11943E77" w:rsidR="00672297" w:rsidRDefault="00371C86">
            <w:pPr>
              <w:spacing w:before="20" w:after="20"/>
              <w:jc w:val="left"/>
            </w:pPr>
            <w:r>
              <w:rPr>
                <w:rFonts w:cstheme="minorHAnsi"/>
                <w:sz w:val="16"/>
                <w:szCs w:val="16"/>
              </w:rPr>
              <w:t>VCB R2 and VCB R3</w:t>
            </w:r>
          </w:p>
        </w:tc>
      </w:tr>
      <w:tr w:rsidR="00672297" w14:paraId="0AE24E66" w14:textId="77777777">
        <w:trPr>
          <w:cantSplit/>
        </w:trPr>
        <w:tc>
          <w:tcPr>
            <w:tcW w:w="1778" w:type="dxa"/>
            <w:vAlign w:val="center"/>
          </w:tcPr>
          <w:p w14:paraId="31D00665" w14:textId="77777777" w:rsidR="00672297" w:rsidRDefault="00A16EA3">
            <w:pPr>
              <w:spacing w:before="20" w:after="20"/>
              <w:jc w:val="left"/>
            </w:pPr>
            <w:r>
              <w:rPr>
                <w:rFonts w:cstheme="minorHAnsi"/>
                <w:sz w:val="16"/>
                <w:szCs w:val="16"/>
              </w:rPr>
              <w:t>Blend component movements at terminals</w:t>
            </w:r>
          </w:p>
        </w:tc>
        <w:tc>
          <w:tcPr>
            <w:tcW w:w="1310" w:type="dxa"/>
            <w:vAlign w:val="center"/>
          </w:tcPr>
          <w:p w14:paraId="14921A6C" w14:textId="77777777" w:rsidR="00672297" w:rsidRDefault="00A16EA3">
            <w:pPr>
              <w:spacing w:before="20" w:after="20"/>
              <w:jc w:val="left"/>
            </w:pPr>
            <w:r>
              <w:rPr>
                <w:rFonts w:cstheme="minorHAnsi"/>
                <w:sz w:val="16"/>
                <w:szCs w:val="16"/>
              </w:rPr>
              <w:t>Kittyhawk transaction upload (mpc.TransactionUpload)</w:t>
            </w:r>
          </w:p>
        </w:tc>
        <w:tc>
          <w:tcPr>
            <w:tcW w:w="1591" w:type="dxa"/>
            <w:vAlign w:val="center"/>
          </w:tcPr>
          <w:p w14:paraId="440C70E2" w14:textId="5E0CA7E7" w:rsidR="00672297" w:rsidRDefault="000A106D">
            <w:pPr>
              <w:spacing w:before="20" w:after="20"/>
              <w:jc w:val="left"/>
            </w:pPr>
            <w:r>
              <w:rPr>
                <w:rFonts w:cstheme="minorHAnsi"/>
                <w:sz w:val="16"/>
                <w:szCs w:val="16"/>
              </w:rPr>
              <w:t>VCB Blend Component Movement integration</w:t>
            </w:r>
            <w:r w:rsidR="00A16EA3">
              <w:rPr>
                <w:rFonts w:cstheme="minorHAnsi"/>
                <w:sz w:val="16"/>
                <w:szCs w:val="16"/>
              </w:rPr>
              <w:t xml:space="preserve"> (chapter 2)</w:t>
            </w:r>
          </w:p>
        </w:tc>
        <w:tc>
          <w:tcPr>
            <w:tcW w:w="1684" w:type="dxa"/>
            <w:vAlign w:val="center"/>
          </w:tcPr>
          <w:p w14:paraId="2C536B2A" w14:textId="77777777" w:rsidR="00672297" w:rsidRDefault="00A16EA3">
            <w:pPr>
              <w:spacing w:before="20" w:after="20"/>
              <w:jc w:val="left"/>
            </w:pPr>
            <w:r>
              <w:rPr>
                <w:rFonts w:cstheme="minorHAnsi"/>
                <w:sz w:val="16"/>
                <w:szCs w:val="16"/>
              </w:rPr>
              <w:t>VCB_blend_component_movement</w:t>
            </w:r>
          </w:p>
        </w:tc>
        <w:tc>
          <w:tcPr>
            <w:tcW w:w="1123" w:type="dxa"/>
            <w:vAlign w:val="center"/>
          </w:tcPr>
          <w:p w14:paraId="1742F4AA" w14:textId="77777777" w:rsidR="00672297" w:rsidRDefault="00A16EA3">
            <w:pPr>
              <w:spacing w:before="20" w:after="20"/>
              <w:jc w:val="left"/>
            </w:pPr>
            <w:r>
              <w:rPr>
                <w:rFonts w:cstheme="minorHAnsi"/>
                <w:sz w:val="16"/>
                <w:szCs w:val="16"/>
              </w:rPr>
              <w:t>Incremental insert of new TransactionUploadID</w:t>
            </w:r>
          </w:p>
        </w:tc>
        <w:tc>
          <w:tcPr>
            <w:tcW w:w="1029" w:type="dxa"/>
            <w:vAlign w:val="center"/>
          </w:tcPr>
          <w:p w14:paraId="7EB0DF64" w14:textId="77777777" w:rsidR="00672297" w:rsidRDefault="00A16EA3">
            <w:pPr>
              <w:spacing w:before="20" w:after="20"/>
              <w:jc w:val="left"/>
            </w:pPr>
            <w:r>
              <w:rPr>
                <w:rFonts w:cstheme="minorHAnsi"/>
                <w:sz w:val="16"/>
                <w:szCs w:val="16"/>
              </w:rPr>
              <w:t>Daily at a specified time</w:t>
            </w:r>
          </w:p>
        </w:tc>
        <w:tc>
          <w:tcPr>
            <w:tcW w:w="845" w:type="dxa"/>
            <w:vAlign w:val="center"/>
          </w:tcPr>
          <w:p w14:paraId="62770406" w14:textId="77777777" w:rsidR="00672297" w:rsidRDefault="00A16EA3">
            <w:pPr>
              <w:spacing w:before="20" w:after="20"/>
              <w:jc w:val="left"/>
            </w:pPr>
            <w:r>
              <w:rPr>
                <w:rFonts w:cstheme="minorHAnsi"/>
                <w:sz w:val="16"/>
                <w:szCs w:val="16"/>
              </w:rPr>
              <w:t>VCB R3</w:t>
            </w:r>
          </w:p>
        </w:tc>
      </w:tr>
      <w:tr w:rsidR="00672297" w14:paraId="52AAAC67" w14:textId="77777777">
        <w:trPr>
          <w:cantSplit/>
        </w:trPr>
        <w:tc>
          <w:tcPr>
            <w:tcW w:w="1778" w:type="dxa"/>
            <w:vAlign w:val="center"/>
          </w:tcPr>
          <w:p w14:paraId="26E647F8" w14:textId="77777777" w:rsidR="00672297" w:rsidRDefault="00A16EA3">
            <w:pPr>
              <w:spacing w:before="20" w:after="20"/>
              <w:jc w:val="left"/>
            </w:pPr>
            <w:r>
              <w:rPr>
                <w:rFonts w:cstheme="minorHAnsi"/>
                <w:sz w:val="16"/>
                <w:szCs w:val="16"/>
              </w:rPr>
              <w:t>Product and blend component prices</w:t>
            </w:r>
          </w:p>
        </w:tc>
        <w:tc>
          <w:tcPr>
            <w:tcW w:w="1310" w:type="dxa"/>
            <w:vAlign w:val="center"/>
          </w:tcPr>
          <w:p w14:paraId="6B63AF50" w14:textId="77777777" w:rsidR="00672297" w:rsidRDefault="00A16EA3">
            <w:pPr>
              <w:spacing w:before="20" w:after="20"/>
              <w:jc w:val="left"/>
            </w:pPr>
            <w:r>
              <w:rPr>
                <w:rFonts w:cstheme="minorHAnsi"/>
                <w:sz w:val="16"/>
                <w:szCs w:val="16"/>
              </w:rPr>
              <w:t>MPR</w:t>
            </w:r>
          </w:p>
        </w:tc>
        <w:tc>
          <w:tcPr>
            <w:tcW w:w="1591" w:type="dxa"/>
            <w:vAlign w:val="center"/>
          </w:tcPr>
          <w:p w14:paraId="6A496F12" w14:textId="0651857E" w:rsidR="00672297" w:rsidRDefault="000A106D">
            <w:pPr>
              <w:spacing w:before="20" w:after="20"/>
              <w:jc w:val="left"/>
            </w:pPr>
            <w:r>
              <w:rPr>
                <w:rFonts w:cstheme="minorHAnsi"/>
                <w:sz w:val="16"/>
                <w:szCs w:val="16"/>
              </w:rPr>
              <w:t>MPR API (Price Request Service of the Cost API, IsImport = true) called by Power BI</w:t>
            </w:r>
          </w:p>
        </w:tc>
        <w:tc>
          <w:tcPr>
            <w:tcW w:w="1684" w:type="dxa"/>
            <w:vAlign w:val="center"/>
          </w:tcPr>
          <w:p w14:paraId="1E36EBAB" w14:textId="77777777" w:rsidR="00672297" w:rsidRDefault="00A16EA3">
            <w:pPr>
              <w:spacing w:before="20" w:after="20"/>
              <w:jc w:val="left"/>
            </w:pPr>
            <w:r>
              <w:rPr>
                <w:rFonts w:cstheme="minorHAnsi"/>
                <w:sz w:val="16"/>
                <w:szCs w:val="16"/>
              </w:rPr>
              <w:t>Not stored in IQDM; MPR_Price table of the Power BI semantic model, joined on globalCode + productAbbreviation</w:t>
            </w:r>
          </w:p>
        </w:tc>
        <w:tc>
          <w:tcPr>
            <w:tcW w:w="1123" w:type="dxa"/>
            <w:vAlign w:val="center"/>
          </w:tcPr>
          <w:p w14:paraId="3BFBC8B4" w14:textId="77777777" w:rsidR="00672297" w:rsidRDefault="00A16EA3">
            <w:pPr>
              <w:spacing w:before="20" w:after="20"/>
              <w:jc w:val="left"/>
            </w:pPr>
            <w:r>
              <w:rPr>
                <w:rFonts w:cstheme="minorHAnsi"/>
                <w:sz w:val="16"/>
                <w:szCs w:val="16"/>
              </w:rPr>
              <w:t>Full replace at each semantic model refresh</w:t>
            </w:r>
          </w:p>
        </w:tc>
        <w:tc>
          <w:tcPr>
            <w:tcW w:w="1029" w:type="dxa"/>
            <w:vAlign w:val="center"/>
          </w:tcPr>
          <w:p w14:paraId="454F631A" w14:textId="77777777" w:rsidR="00672297" w:rsidRDefault="00A16EA3">
            <w:pPr>
              <w:spacing w:before="20" w:after="20"/>
              <w:jc w:val="left"/>
            </w:pPr>
            <w:r>
              <w:rPr>
                <w:rFonts w:cstheme="minorHAnsi"/>
                <w:sz w:val="16"/>
                <w:szCs w:val="16"/>
              </w:rPr>
              <w:t>Each Power BI refresh</w:t>
            </w:r>
          </w:p>
        </w:tc>
        <w:tc>
          <w:tcPr>
            <w:tcW w:w="845" w:type="dxa"/>
            <w:vAlign w:val="center"/>
          </w:tcPr>
          <w:p w14:paraId="1199C1C0" w14:textId="77777777" w:rsidR="00672297" w:rsidRDefault="00A16EA3">
            <w:pPr>
              <w:spacing w:before="20" w:after="20"/>
              <w:jc w:val="left"/>
            </w:pPr>
            <w:r>
              <w:rPr>
                <w:rFonts w:cstheme="minorHAnsi"/>
                <w:sz w:val="16"/>
                <w:szCs w:val="16"/>
              </w:rPr>
              <w:t>VCB R3</w:t>
            </w:r>
          </w:p>
        </w:tc>
      </w:tr>
      <w:tr w:rsidR="00672297" w14:paraId="0E0E260B" w14:textId="77777777">
        <w:trPr>
          <w:cantSplit/>
        </w:trPr>
        <w:tc>
          <w:tcPr>
            <w:tcW w:w="1778" w:type="dxa"/>
            <w:vAlign w:val="center"/>
          </w:tcPr>
          <w:p w14:paraId="78A4DA75" w14:textId="77777777" w:rsidR="00672297" w:rsidRDefault="00A16EA3">
            <w:pPr>
              <w:spacing w:before="20" w:after="20"/>
              <w:jc w:val="left"/>
            </w:pPr>
            <w:r>
              <w:rPr>
                <w:rFonts w:cstheme="minorHAnsi"/>
                <w:sz w:val="16"/>
                <w:szCs w:val="16"/>
              </w:rPr>
              <w:t>Blend potential per batch (component potential, post-blend qualities)</w:t>
            </w:r>
          </w:p>
        </w:tc>
        <w:tc>
          <w:tcPr>
            <w:tcW w:w="1310" w:type="dxa"/>
            <w:vAlign w:val="center"/>
          </w:tcPr>
          <w:p w14:paraId="675DC20C" w14:textId="77777777" w:rsidR="00672297" w:rsidRDefault="00A16EA3">
            <w:pPr>
              <w:spacing w:before="20" w:after="20"/>
              <w:jc w:val="left"/>
            </w:pPr>
            <w:r>
              <w:rPr>
                <w:rFonts w:cstheme="minorHAnsi"/>
                <w:sz w:val="16"/>
                <w:szCs w:val="16"/>
              </w:rPr>
              <w:t>Blend calculator (Seeq calculator named in the functional design)</w:t>
            </w:r>
          </w:p>
        </w:tc>
        <w:tc>
          <w:tcPr>
            <w:tcW w:w="1591" w:type="dxa"/>
            <w:vAlign w:val="center"/>
          </w:tcPr>
          <w:p w14:paraId="12EA36D4" w14:textId="77777777" w:rsidR="00672297" w:rsidRDefault="00A16EA3">
            <w:pPr>
              <w:spacing w:before="20" w:after="20"/>
              <w:jc w:val="left"/>
            </w:pPr>
            <w:r>
              <w:rPr>
                <w:rFonts w:cstheme="minorHAnsi"/>
                <w:sz w:val="16"/>
                <w:szCs w:val="16"/>
              </w:rPr>
              <w:t>Not defined in chapter 2 - see gap DP-07</w:t>
            </w:r>
          </w:p>
        </w:tc>
        <w:tc>
          <w:tcPr>
            <w:tcW w:w="1684" w:type="dxa"/>
            <w:vAlign w:val="center"/>
          </w:tcPr>
          <w:p w14:paraId="3E462F25" w14:textId="77777777" w:rsidR="00672297" w:rsidRDefault="00A16EA3">
            <w:pPr>
              <w:spacing w:before="20" w:after="20"/>
              <w:jc w:val="left"/>
            </w:pPr>
            <w:r>
              <w:rPr>
                <w:rFonts w:cstheme="minorHAnsi"/>
                <w:sz w:val="16"/>
                <w:szCs w:val="16"/>
              </w:rPr>
              <w:t>Not held in IQDM - wireframe values applied in the views until the source is confirmed</w:t>
            </w:r>
          </w:p>
        </w:tc>
        <w:tc>
          <w:tcPr>
            <w:tcW w:w="1123" w:type="dxa"/>
            <w:vAlign w:val="center"/>
          </w:tcPr>
          <w:p w14:paraId="258B66E6" w14:textId="77777777" w:rsidR="00672297" w:rsidRDefault="00A16EA3">
            <w:pPr>
              <w:spacing w:before="20" w:after="20"/>
              <w:jc w:val="left"/>
            </w:pPr>
            <w:r>
              <w:rPr>
                <w:rFonts w:cstheme="minorHAnsi"/>
                <w:sz w:val="16"/>
                <w:szCs w:val="16"/>
              </w:rPr>
              <w:t>Not defined</w:t>
            </w:r>
          </w:p>
        </w:tc>
        <w:tc>
          <w:tcPr>
            <w:tcW w:w="1029" w:type="dxa"/>
            <w:vAlign w:val="center"/>
          </w:tcPr>
          <w:p w14:paraId="6FF751D4" w14:textId="77777777" w:rsidR="00672297" w:rsidRDefault="00A16EA3">
            <w:pPr>
              <w:spacing w:before="20" w:after="20"/>
              <w:jc w:val="left"/>
            </w:pPr>
            <w:r>
              <w:rPr>
                <w:rFonts w:cstheme="minorHAnsi"/>
                <w:sz w:val="16"/>
                <w:szCs w:val="16"/>
              </w:rPr>
              <w:t>Not defined - gap DP-07</w:t>
            </w:r>
          </w:p>
        </w:tc>
        <w:tc>
          <w:tcPr>
            <w:tcW w:w="845" w:type="dxa"/>
            <w:vAlign w:val="center"/>
          </w:tcPr>
          <w:p w14:paraId="7E0B2EC5" w14:textId="77777777" w:rsidR="00672297" w:rsidRDefault="00A16EA3">
            <w:pPr>
              <w:spacing w:before="20" w:after="20"/>
              <w:jc w:val="left"/>
            </w:pPr>
            <w:r>
              <w:rPr>
                <w:rFonts w:cstheme="minorHAnsi"/>
                <w:sz w:val="16"/>
                <w:szCs w:val="16"/>
              </w:rPr>
              <w:t>VCB R1</w:t>
            </w:r>
          </w:p>
        </w:tc>
      </w:tr>
      <w:tr w:rsidR="00672297" w14:paraId="225B4F06" w14:textId="77777777">
        <w:trPr>
          <w:cantSplit/>
        </w:trPr>
        <w:tc>
          <w:tcPr>
            <w:tcW w:w="1778" w:type="dxa"/>
            <w:vAlign w:val="center"/>
          </w:tcPr>
          <w:p w14:paraId="4FD62BD1" w14:textId="77777777" w:rsidR="00672297" w:rsidRDefault="00A16EA3">
            <w:pPr>
              <w:spacing w:before="20" w:after="20"/>
              <w:jc w:val="left"/>
            </w:pPr>
            <w:r>
              <w:rPr>
                <w:rFonts w:cstheme="minorHAnsi"/>
                <w:sz w:val="16"/>
                <w:szCs w:val="16"/>
              </w:rPr>
              <w:t>Quality waivers</w:t>
            </w:r>
          </w:p>
        </w:tc>
        <w:tc>
          <w:tcPr>
            <w:tcW w:w="1310" w:type="dxa"/>
            <w:vAlign w:val="center"/>
          </w:tcPr>
          <w:p w14:paraId="665BD720" w14:textId="77777777" w:rsidR="00672297" w:rsidRDefault="00A16EA3">
            <w:pPr>
              <w:spacing w:before="20" w:after="20"/>
              <w:jc w:val="left"/>
            </w:pPr>
            <w:r>
              <w:rPr>
                <w:rFonts w:cstheme="minorHAnsi"/>
                <w:sz w:val="16"/>
                <w:szCs w:val="16"/>
              </w:rPr>
              <w:t>Waiver Selection Interface (Corporate PQ / Quality Advisor team)</w:t>
            </w:r>
          </w:p>
        </w:tc>
        <w:tc>
          <w:tcPr>
            <w:tcW w:w="1591" w:type="dxa"/>
            <w:vAlign w:val="center"/>
          </w:tcPr>
          <w:p w14:paraId="6C58DD89" w14:textId="77777777" w:rsidR="00672297" w:rsidRDefault="00A16EA3">
            <w:pPr>
              <w:spacing w:before="20" w:after="20"/>
              <w:jc w:val="left"/>
            </w:pPr>
            <w:r>
              <w:rPr>
                <w:rFonts w:cstheme="minorHAnsi"/>
                <w:sz w:val="16"/>
                <w:szCs w:val="16"/>
              </w:rPr>
              <w:t>Blazor Waiver Selection Interface via a backend service layer (section Waiver Selection Interface)</w:t>
            </w:r>
          </w:p>
        </w:tc>
        <w:tc>
          <w:tcPr>
            <w:tcW w:w="1684" w:type="dxa"/>
            <w:vAlign w:val="center"/>
          </w:tcPr>
          <w:p w14:paraId="2837B4BA" w14:textId="77777777" w:rsidR="00672297" w:rsidRDefault="00A16EA3">
            <w:pPr>
              <w:spacing w:before="20" w:after="20"/>
              <w:jc w:val="left"/>
            </w:pPr>
            <w:r>
              <w:rPr>
                <w:rFonts w:cstheme="minorHAnsi"/>
                <w:sz w:val="16"/>
                <w:szCs w:val="16"/>
              </w:rPr>
              <w:t>Specshop_quality_detail (hosting database and structure to be confirmed, gap DP-08)</w:t>
            </w:r>
          </w:p>
        </w:tc>
        <w:tc>
          <w:tcPr>
            <w:tcW w:w="1123" w:type="dxa"/>
            <w:vAlign w:val="center"/>
          </w:tcPr>
          <w:p w14:paraId="7C1D0308" w14:textId="77777777" w:rsidR="00672297" w:rsidRDefault="00A16EA3">
            <w:pPr>
              <w:spacing w:before="20" w:after="20"/>
              <w:jc w:val="left"/>
            </w:pPr>
            <w:r>
              <w:rPr>
                <w:rFonts w:cstheme="minorHAnsi"/>
                <w:sz w:val="16"/>
                <w:szCs w:val="16"/>
              </w:rPr>
              <w:t>Not defined</w:t>
            </w:r>
          </w:p>
        </w:tc>
        <w:tc>
          <w:tcPr>
            <w:tcW w:w="1029" w:type="dxa"/>
            <w:vAlign w:val="center"/>
          </w:tcPr>
          <w:p w14:paraId="000A4458" w14:textId="77777777" w:rsidR="00672297" w:rsidRDefault="00A16EA3">
            <w:pPr>
              <w:spacing w:before="20" w:after="20"/>
              <w:jc w:val="left"/>
            </w:pPr>
            <w:r>
              <w:rPr>
                <w:rFonts w:cstheme="minorHAnsi"/>
                <w:sz w:val="16"/>
                <w:szCs w:val="16"/>
              </w:rPr>
              <w:t>Not defined - gap DP-08</w:t>
            </w:r>
          </w:p>
        </w:tc>
        <w:tc>
          <w:tcPr>
            <w:tcW w:w="845" w:type="dxa"/>
            <w:vAlign w:val="center"/>
          </w:tcPr>
          <w:p w14:paraId="24EC8FF4" w14:textId="77777777" w:rsidR="00672297" w:rsidRDefault="00A16EA3">
            <w:pPr>
              <w:spacing w:before="20" w:after="20"/>
              <w:jc w:val="left"/>
            </w:pPr>
            <w:r>
              <w:rPr>
                <w:rFonts w:cstheme="minorHAnsi"/>
                <w:sz w:val="16"/>
                <w:szCs w:val="16"/>
              </w:rPr>
              <w:t>VCB R1</w:t>
            </w:r>
          </w:p>
        </w:tc>
      </w:tr>
      <w:tr w:rsidR="00672297" w14:paraId="043F07CF" w14:textId="77777777">
        <w:trPr>
          <w:cantSplit/>
        </w:trPr>
        <w:tc>
          <w:tcPr>
            <w:tcW w:w="1778" w:type="dxa"/>
            <w:vAlign w:val="center"/>
          </w:tcPr>
          <w:p w14:paraId="23F34FF4" w14:textId="77777777" w:rsidR="00672297" w:rsidRDefault="00A16EA3">
            <w:pPr>
              <w:spacing w:before="20" w:after="20"/>
              <w:jc w:val="left"/>
            </w:pPr>
            <w:r>
              <w:rPr>
                <w:rFonts w:cstheme="minorHAnsi"/>
                <w:sz w:val="16"/>
                <w:szCs w:val="16"/>
              </w:rPr>
              <w:t>Calculation inputs (terminal configuration, component blending values, supply thresholds)</w:t>
            </w:r>
          </w:p>
        </w:tc>
        <w:tc>
          <w:tcPr>
            <w:tcW w:w="1310" w:type="dxa"/>
            <w:vAlign w:val="center"/>
          </w:tcPr>
          <w:p w14:paraId="484F1503" w14:textId="77777777" w:rsidR="00672297" w:rsidRDefault="00A16EA3">
            <w:pPr>
              <w:spacing w:before="20" w:after="20"/>
              <w:jc w:val="left"/>
            </w:pPr>
            <w:r>
              <w:rPr>
                <w:rFonts w:cstheme="minorHAnsi"/>
                <w:sz w:val="16"/>
                <w:szCs w:val="16"/>
              </w:rPr>
              <w:t>VCB functional team / Wireframes Mock Data</w:t>
            </w:r>
          </w:p>
        </w:tc>
        <w:tc>
          <w:tcPr>
            <w:tcW w:w="1591" w:type="dxa"/>
            <w:vAlign w:val="center"/>
          </w:tcPr>
          <w:p w14:paraId="1CE5F7F9" w14:textId="77777777" w:rsidR="00672297" w:rsidRDefault="00A16EA3">
            <w:pPr>
              <w:spacing w:before="20" w:after="20"/>
              <w:jc w:val="left"/>
            </w:pPr>
            <w:r>
              <w:rPr>
                <w:rFonts w:cstheme="minorHAnsi"/>
                <w:sz w:val="16"/>
                <w:szCs w:val="16"/>
              </w:rPr>
              <w:t>Not defined - gaps DP-09, DP-10, DP-12</w:t>
            </w:r>
          </w:p>
        </w:tc>
        <w:tc>
          <w:tcPr>
            <w:tcW w:w="1684" w:type="dxa"/>
            <w:vAlign w:val="center"/>
          </w:tcPr>
          <w:p w14:paraId="3D66C3CE" w14:textId="77777777" w:rsidR="00672297" w:rsidRDefault="00A16EA3">
            <w:pPr>
              <w:spacing w:before="20" w:after="20"/>
              <w:jc w:val="left"/>
            </w:pPr>
            <w:r>
              <w:rPr>
                <w:rFonts w:cstheme="minorHAnsi"/>
                <w:sz w:val="16"/>
                <w:szCs w:val="16"/>
              </w:rPr>
              <w:t>Not held in IQDM - applied as constants in the views</w:t>
            </w:r>
          </w:p>
        </w:tc>
        <w:tc>
          <w:tcPr>
            <w:tcW w:w="1123" w:type="dxa"/>
            <w:vAlign w:val="center"/>
          </w:tcPr>
          <w:p w14:paraId="2A728017" w14:textId="77777777" w:rsidR="00672297" w:rsidRDefault="00A16EA3">
            <w:pPr>
              <w:spacing w:before="20" w:after="20"/>
              <w:jc w:val="left"/>
            </w:pPr>
            <w:r>
              <w:rPr>
                <w:rFonts w:cstheme="minorHAnsi"/>
                <w:sz w:val="16"/>
                <w:szCs w:val="16"/>
              </w:rPr>
              <w:t>Not applicable</w:t>
            </w:r>
          </w:p>
        </w:tc>
        <w:tc>
          <w:tcPr>
            <w:tcW w:w="1029" w:type="dxa"/>
            <w:vAlign w:val="center"/>
          </w:tcPr>
          <w:p w14:paraId="05A8CC6C" w14:textId="77777777" w:rsidR="00672297" w:rsidRDefault="00A16EA3">
            <w:pPr>
              <w:spacing w:before="20" w:after="20"/>
              <w:jc w:val="left"/>
            </w:pPr>
            <w:r>
              <w:rPr>
                <w:rFonts w:cstheme="minorHAnsi"/>
                <w:sz w:val="16"/>
                <w:szCs w:val="16"/>
              </w:rPr>
              <w:t>On confirmation</w:t>
            </w:r>
          </w:p>
        </w:tc>
        <w:tc>
          <w:tcPr>
            <w:tcW w:w="845" w:type="dxa"/>
            <w:vAlign w:val="center"/>
          </w:tcPr>
          <w:p w14:paraId="37B70B73" w14:textId="77777777" w:rsidR="00672297" w:rsidRDefault="00A16EA3">
            <w:pPr>
              <w:spacing w:before="20" w:after="20"/>
              <w:jc w:val="left"/>
            </w:pPr>
            <w:r>
              <w:rPr>
                <w:rFonts w:cstheme="minorHAnsi"/>
                <w:sz w:val="16"/>
                <w:szCs w:val="16"/>
              </w:rPr>
              <w:t>VCB R1</w:t>
            </w:r>
          </w:p>
        </w:tc>
      </w:tr>
    </w:tbl>
    <w:p w14:paraId="011B3930" w14:textId="1ABD6602" w:rsidR="00672297" w:rsidRDefault="00A16EA3">
      <w:pPr>
        <w:pStyle w:val="Caption"/>
      </w:pPr>
      <w:bookmarkStart w:id="334" w:name="_Toc900900008"/>
      <w:bookmarkStart w:id="335" w:name="_Toc241574671"/>
      <w:bookmarkStart w:id="336" w:name="_Toc242554055"/>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2</w:t>
      </w:r>
      <w:r>
        <w:fldChar w:fldCharType="end"/>
      </w:r>
      <w:r>
        <w:t>: Source-to-Target Data Flow</w:t>
      </w:r>
      <w:bookmarkEnd w:id="334"/>
      <w:bookmarkEnd w:id="335"/>
      <w:bookmarkEnd w:id="336"/>
    </w:p>
    <w:p w14:paraId="0C6DA7A1" w14:textId="77777777" w:rsidR="00672297" w:rsidRDefault="00A16EA3">
      <w:pPr>
        <w:pStyle w:val="Heading3"/>
        <w:rPr>
          <w:rFonts w:asciiTheme="minorHAnsi" w:hAnsiTheme="minorHAnsi" w:cstheme="minorBidi"/>
          <w:sz w:val="20"/>
          <w:szCs w:val="20"/>
        </w:rPr>
      </w:pPr>
      <w:bookmarkStart w:id="337" w:name="_Toc241574317"/>
      <w:bookmarkStart w:id="338" w:name="_Toc242553939"/>
      <w:r>
        <w:rPr>
          <w:rFonts w:asciiTheme="minorHAnsi" w:hAnsiTheme="minorHAnsi" w:cstheme="minorBidi"/>
          <w:sz w:val="20"/>
          <w:szCs w:val="20"/>
        </w:rPr>
        <w:t>Data Ingestion and Load Approach</w:t>
      </w:r>
      <w:bookmarkEnd w:id="337"/>
      <w:bookmarkEnd w:id="338"/>
    </w:p>
    <w:p w14:paraId="65C48003" w14:textId="77777777" w:rsidR="00672297" w:rsidRDefault="00A16EA3">
      <w:pPr>
        <w:rPr>
          <w:rFonts w:cstheme="minorHAnsi"/>
          <w:sz w:val="20"/>
          <w:szCs w:val="20"/>
        </w:rPr>
      </w:pPr>
      <w:r>
        <w:rPr>
          <w:rFonts w:cstheme="minorHAnsi"/>
          <w:sz w:val="20"/>
          <w:szCs w:val="20"/>
        </w:rPr>
        <w:t>The VCB tables are loaded with the same pattern as the IQDM tables:</w:t>
      </w:r>
    </w:p>
    <w:p w14:paraId="3E6FE518" w14:textId="602405C0" w:rsidR="00672297" w:rsidRDefault="008A4F32" w:rsidP="00652CF3">
      <w:pPr>
        <w:pStyle w:val="ListParagraph"/>
        <w:numPr>
          <w:ilvl w:val="0"/>
          <w:numId w:val="6"/>
        </w:numPr>
        <w:jc w:val="left"/>
        <w:rPr>
          <w:rFonts w:cstheme="minorHAnsi"/>
          <w:sz w:val="20"/>
          <w:szCs w:val="20"/>
        </w:rPr>
      </w:pPr>
      <w:r>
        <w:rPr>
          <w:rFonts w:cstheme="minorHAnsi"/>
          <w:sz w:val="20"/>
          <w:szCs w:val="20"/>
        </w:rPr>
        <w:t xml:space="preserve">The trigger function of the </w:t>
      </w:r>
      <w:r w:rsidR="000A106D">
        <w:rPr>
          <w:rFonts w:cstheme="minorHAnsi"/>
          <w:sz w:val="20"/>
          <w:szCs w:val="20"/>
        </w:rPr>
        <w:t>PIAF integration</w:t>
      </w:r>
      <w:r>
        <w:rPr>
          <w:rFonts w:cstheme="minorHAnsi"/>
          <w:sz w:val="20"/>
          <w:szCs w:val="20"/>
        </w:rPr>
        <w:t xml:space="preserve"> starts </w:t>
      </w:r>
      <w:r w:rsidR="00371C86">
        <w:rPr>
          <w:rFonts w:cstheme="minorHAnsi"/>
          <w:sz w:val="20"/>
          <w:szCs w:val="20"/>
        </w:rPr>
        <w:t>every day at a specified time</w:t>
      </w:r>
      <w:r>
        <w:rPr>
          <w:rFonts w:cstheme="minorHAnsi"/>
          <w:sz w:val="20"/>
          <w:szCs w:val="20"/>
        </w:rPr>
        <w:t xml:space="preserve"> and that of the </w:t>
      </w:r>
      <w:r w:rsidR="000A106D">
        <w:rPr>
          <w:rFonts w:cstheme="minorHAnsi"/>
          <w:sz w:val="20"/>
          <w:szCs w:val="20"/>
        </w:rPr>
        <w:t>transaction upload integration</w:t>
      </w:r>
      <w:r>
        <w:rPr>
          <w:rFonts w:cstheme="minorHAnsi"/>
          <w:sz w:val="20"/>
          <w:szCs w:val="20"/>
        </w:rPr>
        <w:t xml:space="preserve"> every day at a specified time (or on demand for a past period), and each calls its Request Service</w:t>
      </w:r>
      <w:r w:rsidR="00A16EA3">
        <w:rPr>
          <w:rFonts w:cstheme="minorHAnsi"/>
          <w:sz w:val="20"/>
          <w:szCs w:val="20"/>
        </w:rPr>
        <w:t xml:space="preserve"> with IsImport = false (chapter 2).</w:t>
      </w:r>
    </w:p>
    <w:p w14:paraId="65B49E63"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Request Service translates the Profisee codes to IQDM codes, converts the units to the IQDM default unit, removes duplicates and rows without a material mapping, and calls one stored procedure per target table.</w:t>
      </w:r>
    </w:p>
    <w:p w14:paraId="5D2D1F8B"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stored procedure resolves the global codes to the surrogate keys of the master tables (location_id, material_id, equipment_id, property_id, uom_id). A row whose global code has no master row is rejected and returned to the Request Service for the run notification; it is never loaded with a NULL foreign key where the key is mandatory.</w:t>
      </w:r>
    </w:p>
    <w:p w14:paraId="272000B2"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stored procedure upserts on the business (unique) key of the table: an existing row is updated and stamped with updated_by / updated_on; a new row is inserted with created_by / created_on. Every row carries the batch_id of the run, so that a run can be traced and, if needed, reversed.</w:t>
      </w:r>
    </w:p>
    <w:p w14:paraId="11C78768"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Re-running a period is idempotent: the unique keys guarantee that the catch-up of missed days (PIAF) and re-reads of the transaction upload do not create duplicates.</w:t>
      </w:r>
    </w:p>
    <w:p w14:paraId="2EA252FC"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product specification table is loaded by the database team with version-controlled scripts. A specification reload replaces the rows of the version being loaded and keeps previous versions (column version).</w:t>
      </w:r>
    </w:p>
    <w:p w14:paraId="24565BD9"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MPR prices are never written to the IQDM database; Power BI fetches them from the MPR API at refresh and stores them in the semantic model only (chapter 4, section Data Sources).</w:t>
      </w:r>
    </w:p>
    <w:p>
      <w:pPr>
        <w:pStyle w:val="Heading3"/>
        <w:rPr>
          <w:rFonts w:asciiTheme="minorHAnsi" w:hAnsiTheme="minorHAnsi" w:cstheme="minorBidi"/>
          <w:sz w:val="20"/>
          <w:szCs w:val="20"/>
        </w:rPr>
      </w:pPr>
      <w:r>
        <w:rPr>
          <w:rFonts w:asciiTheme="minorHAnsi" w:hAnsiTheme="minorHAnsi" w:cstheme="minorBidi"/>
          <w:sz w:val="20"/>
          <w:szCs w:val="20"/>
        </w:rPr>
        <w:t xml:space="preserve">Waiver Selection Interface</w:t>
      </w:r>
    </w:p>
    <w:p>
      <w:pPr>
        <w:rPr>
          <w:rFonts w:cstheme="minorHAnsi"/>
          <w:sz w:val="20"/>
          <w:szCs w:val="20"/>
        </w:rPr>
      </w:pPr>
      <w:r>
        <w:rPr>
          <w:rFonts w:cstheme="minorHAnsi"/>
          <w:sz w:val="20"/>
          <w:szCs w:val="20"/>
        </w:rPr>
        <w:t xml:space="preserve">The Waiver Selection Interface is a user-facing application through which the Corporate PQ / Quality Advisor team records approved quality waivers that override the standard product specification for a specific batch or for a terminal location over a defined validity period (functional design, Waiver Selection Interface). For VCB, the approved waivers determine the target specification and, through it, the blend potential across the North Region value chain; they are the waiver input of the two-stage specification resolution applied in the batch quality and KPI views (section Reporting View Framework). This section documents how the interface interacts with the data platform. The remaining source and structure details are tracked as gap DP-08; until they are confirmed, the views apply the waiver input as described in section Calculation Inputs Not Held in IQDM.</w:t>
      </w:r>
    </w:p>
    <w:p>
      <w:pPr>
        <w:pStyle w:val="Heading4"/>
        <w:rPr>
          <w:rFonts w:asciiTheme="minorHAnsi" w:hAnsiTheme="minorHAnsi" w:cstheme="minorBidi"/>
          <w:sz w:val="20"/>
          <w:szCs w:val="20"/>
        </w:rPr>
      </w:pPr>
      <w:r>
        <w:rPr>
          <w:rFonts w:asciiTheme="minorHAnsi" w:hAnsiTheme="minorHAnsi" w:cstheme="minorBidi"/>
          <w:sz w:val="20"/>
          <w:szCs w:val="20"/>
        </w:rPr>
        <w:t xml:space="preserve">Front-End Technology and Backend Integration</w:t>
      </w:r>
    </w:p>
    <w:p>
      <w:pPr>
        <w:rPr>
          <w:rFonts w:cstheme="minorHAnsi"/>
          <w:sz w:val="20"/>
          <w:szCs w:val="20"/>
        </w:rPr>
      </w:pPr>
      <w:r>
        <w:rPr>
          <w:rFonts w:cstheme="minorHAnsi"/>
          <w:sz w:val="20"/>
          <w:szCs w:val="20"/>
        </w:rPr>
        <w:t xml:space="preserve">The Waiver Selection Interface screens are implemented using Blazor. Consistent with the VCB / IQDM architecture, the Blazor front end does not connect to the database directly: it calls a backend .NET service / API layer, and that layer performs all data access to the waiver table. This follows the same pattern the Integration Layer uses for the IQDM database, where a .NET service reaches the database through stored procedures and no client connects to the database directly (chapter 2; section Data Ingestion and Load Approach). The data flow is:</w:t>
      </w:r>
    </w:p>
    <w:p>
      <w:pPr>
        <w:pStyle w:val="ListParagraph"/>
        <w:numPr>
          <w:ilvl w:val="0"/>
          <w:numId w:val="6"/>
        </w:numPr>
        <w:jc w:val="left"/>
        <w:rPr>
          <w:rFonts w:cstheme="minorHAnsi"/>
          <w:sz w:val="20"/>
          <w:szCs w:val="20"/>
        </w:rPr>
      </w:pPr>
      <w:r>
        <w:rPr>
          <w:rFonts w:cstheme="minorHAnsi"/>
          <w:sz w:val="20"/>
          <w:szCs w:val="20"/>
        </w:rPr>
        <w:t xml:space="preserve">Read path - the Blazor front end requests reference data (Terminal, Grade, Quality and Batch ID master lists) and the current specification limits (Default Min, Default Max) from the backend service layer, which reads them from the PQ Spec Shop specification data and, for Batch ID, from the IQDM database.</w:t>
      </w:r>
    </w:p>
    <w:p>
      <w:pPr>
        <w:pStyle w:val="ListParagraph"/>
        <w:numPr>
          <w:ilvl w:val="0"/>
          <w:numId w:val="6"/>
        </w:numPr>
        <w:jc w:val="left"/>
        <w:rPr>
          <w:rFonts w:cstheme="minorHAnsi"/>
          <w:sz w:val="20"/>
          <w:szCs w:val="20"/>
        </w:rPr>
      </w:pPr>
      <w:r>
        <w:rPr>
          <w:rFonts w:cstheme="minorHAnsi"/>
          <w:sz w:val="20"/>
          <w:szCs w:val="20"/>
        </w:rPr>
        <w:t xml:space="preserve">Write path - on submit, the Blazor front end sends the entered waivers to the backend service layer, which persists them to the Specshop_quality_detail table.</w:t>
      </w:r>
    </w:p>
    <w:p>
      <w:pPr>
        <w:pStyle w:val="ListParagraph"/>
        <w:numPr>
          <w:ilvl w:val="0"/>
          <w:numId w:val="6"/>
        </w:numPr>
        <w:jc w:val="left"/>
        <w:rPr>
          <w:rFonts w:cstheme="minorHAnsi"/>
          <w:sz w:val="20"/>
          <w:szCs w:val="20"/>
        </w:rPr>
      </w:pPr>
      <w:r>
        <w:rPr>
          <w:rFonts w:cstheme="minorHAnsi"/>
          <w:sz w:val="20"/>
          <w:szCs w:val="20"/>
        </w:rPr>
        <w:t xml:space="preserve">Downstream consumption - the VCB batch quality and KPI views read the approved waivers and apply them in the waiver step of specification resolution (after Stage 1 refinery-wide and Stage 2 terminal override), setting the resolved &lt;Property&gt;Min / &lt;Property&gt;Max columns of the batch quality and KPI views.</w:t>
      </w:r>
    </w:p>
    <w:p>
      <w:pPr>
        <w:rPr>
          <w:rFonts w:cstheme="minorHAnsi"/>
          <w:sz w:val="20"/>
          <w:szCs w:val="20"/>
        </w:rPr>
      </w:pPr>
      <w:r>
        <w:rPr>
          <w:rFonts w:cstheme="minorHAnsi"/>
          <w:sz w:val="20"/>
          <w:szCs w:val="20"/>
        </w:rPr>
        <w:t xml:space="preserve">The name, hosting and contract of the backend service / API layer, its endpoints, and the stored procedures or commands it uses to read and write the waiver data are not defined in the provided documents. They follow the established .NET service and stored-procedure pattern but their specifics must be confirmed before build (gap DP-08).</w:t>
      </w:r>
    </w:p>
    <w:p>
      <w:pPr>
        <w:pStyle w:val="Heading4"/>
        <w:rPr>
          <w:rFonts w:asciiTheme="minorHAnsi" w:hAnsiTheme="minorHAnsi" w:cstheme="minorBidi"/>
          <w:sz w:val="20"/>
          <w:szCs w:val="20"/>
        </w:rPr>
      </w:pPr>
      <w:r>
        <w:rPr>
          <w:rFonts w:asciiTheme="minorHAnsi" w:hAnsiTheme="minorHAnsi" w:cstheme="minorBidi"/>
          <w:sz w:val="20"/>
          <w:szCs w:val="20"/>
        </w:rPr>
        <w:t xml:space="preserve">Associated Database Table</w:t>
      </w:r>
    </w:p>
    <w:p>
      <w:pPr>
        <w:rPr>
          <w:rFonts w:cstheme="minorHAnsi"/>
          <w:sz w:val="20"/>
          <w:szCs w:val="20"/>
        </w:rPr>
      </w:pPr>
      <w:r>
        <w:rPr>
          <w:rFonts w:cstheme="minorHAnsi"/>
          <w:sz w:val="20"/>
          <w:szCs w:val="20"/>
        </w:rPr>
        <w:t xml:space="preserve">The database table associated with the Waiver Selection Interface is Specshop_quality_detail. Approved waivers entered in the interface are persisted to this table, and the default specification limits shown in the interface are read from the PQ Spec Shop specification data.</w:t>
      </w:r>
    </w:p>
    <w:p>
      <w:pPr>
        <w:rPr>
          <w:rFonts w:cstheme="minorHAnsi"/>
          <w:sz w:val="20"/>
          <w:szCs w:val="20"/>
        </w:rPr>
      </w:pPr>
      <w:r>
        <w:rPr>
          <w:rFonts w:cstheme="minorHAnsi"/>
          <w:sz w:val="20"/>
          <w:szCs w:val="20"/>
        </w:rPr>
        <w:t xml:space="preserve">Specshop_quality_detail is a PQ Spec Shop quality-detail table. Its hosting database (PQ Spec Shop or the IQDM database), its column structure, keys and audit columns, and its relationship to the product_specification table of section Product Specification Table are not defined in the provided documents. No column definition is given for Specshop_quality_detail in this design, so that an undocumented structure is not assumed; these details must be confirmed before build (gap DP-08).</w:t>
      </w:r>
    </w:p>
    <w:p>
      <w:pPr>
        <w:pStyle w:val="Heading4"/>
        <w:rPr>
          <w:rFonts w:asciiTheme="minorHAnsi" w:hAnsiTheme="minorHAnsi" w:cstheme="minorBidi"/>
          <w:sz w:val="20"/>
          <w:szCs w:val="20"/>
        </w:rPr>
      </w:pPr>
      <w:r>
        <w:rPr>
          <w:rFonts w:asciiTheme="minorHAnsi" w:hAnsiTheme="minorHAnsi" w:cstheme="minorBidi"/>
          <w:sz w:val="20"/>
          <w:szCs w:val="20"/>
        </w:rPr>
        <w:t xml:space="preserve">Data Retrieval and Interface Fields</w:t>
      </w:r>
    </w:p>
    <w:p>
      <w:pPr>
        <w:rPr>
          <w:rFonts w:cstheme="minorHAnsi"/>
          <w:sz w:val="20"/>
          <w:szCs w:val="20"/>
        </w:rPr>
      </w:pPr>
      <w:r>
        <w:rPr>
          <w:rFonts w:cstheme="minorHAnsi"/>
          <w:sz w:val="20"/>
          <w:szCs w:val="20"/>
        </w:rPr>
        <w:t xml:space="preserve">The interface has two independently editable sections - State wise and Batch wise. In both, the user selects values from controlled dropdown lists and the interface auto-populates the current specification limits as read-only values, so that the user enters only the revised limits. The fields and their sources (functional design) are:</w:t>
      </w:r>
    </w:p>
    <w:p>
      <w:pPr>
        <w:rPr>
          <w:rFonts w:cstheme="minorHAnsi"/>
          <w:sz w:val="20"/>
          <w:szCs w:val="20"/>
        </w:rPr>
      </w:pPr>
      <w:r>
        <w:rPr>
          <w:rFonts w:cstheme="minorHAnsi"/>
          <w:b/>
          <w:bCs/>
          <w:sz w:val="20"/>
          <w:szCs w:val="20"/>
        </w:rPr>
        <w:t xml:space="preserve">State wise section:</w:t>
      </w:r>
    </w:p>
    <w:p>
      <w:pPr>
        <w:pStyle w:val="ListParagraph"/>
        <w:numPr>
          <w:ilvl w:val="0"/>
          <w:numId w:val="6"/>
        </w:numPr>
        <w:jc w:val="left"/>
        <w:rPr>
          <w:rFonts w:cstheme="minorHAnsi"/>
          <w:sz w:val="20"/>
          <w:szCs w:val="20"/>
        </w:rPr>
      </w:pPr>
      <w:r>
        <w:rPr>
          <w:rFonts w:cstheme="minorHAnsi"/>
          <w:sz w:val="20"/>
          <w:szCs w:val="20"/>
        </w:rPr>
        <w:t xml:space="preserve">Terminal - PQ Spec Shop Terminal master list (dropdown).</w:t>
      </w:r>
    </w:p>
    <w:p>
      <w:pPr>
        <w:pStyle w:val="ListParagraph"/>
        <w:numPr>
          <w:ilvl w:val="0"/>
          <w:numId w:val="6"/>
        </w:numPr>
        <w:jc w:val="left"/>
        <w:rPr>
          <w:rFonts w:cstheme="minorHAnsi"/>
          <w:sz w:val="20"/>
          <w:szCs w:val="20"/>
        </w:rPr>
      </w:pPr>
      <w:r>
        <w:rPr>
          <w:rFonts w:cstheme="minorHAnsi"/>
          <w:sz w:val="20"/>
          <w:szCs w:val="20"/>
        </w:rPr>
        <w:t xml:space="preserve">Grade - PQ Spec Shop Product master list (dropdown).</w:t>
      </w:r>
    </w:p>
    <w:p>
      <w:pPr>
        <w:pStyle w:val="ListParagraph"/>
        <w:numPr>
          <w:ilvl w:val="0"/>
          <w:numId w:val="6"/>
        </w:numPr>
        <w:jc w:val="left"/>
        <w:rPr>
          <w:rFonts w:cstheme="minorHAnsi"/>
          <w:sz w:val="20"/>
          <w:szCs w:val="20"/>
        </w:rPr>
      </w:pPr>
      <w:r>
        <w:rPr>
          <w:rFonts w:cstheme="minorHAnsi"/>
          <w:sz w:val="20"/>
          <w:szCs w:val="20"/>
        </w:rPr>
        <w:t xml:space="preserve">Quality - PQ Spec Shop Property master list (dropdown).</w:t>
      </w:r>
    </w:p>
    <w:p>
      <w:pPr>
        <w:pStyle w:val="ListParagraph"/>
        <w:numPr>
          <w:ilvl w:val="0"/>
          <w:numId w:val="6"/>
        </w:numPr>
        <w:jc w:val="left"/>
        <w:rPr>
          <w:rFonts w:cstheme="minorHAnsi"/>
          <w:sz w:val="20"/>
          <w:szCs w:val="20"/>
        </w:rPr>
      </w:pPr>
      <w:r>
        <w:rPr>
          <w:rFonts w:cstheme="minorHAnsi"/>
          <w:sz w:val="20"/>
          <w:szCs w:val="20"/>
        </w:rPr>
        <w:t xml:space="preserve">From Date, To Date - user input from a calendar control; they define the waiver validity period.</w:t>
      </w:r>
    </w:p>
    <w:p>
      <w:pPr>
        <w:pStyle w:val="ListParagraph"/>
        <w:numPr>
          <w:ilvl w:val="0"/>
          <w:numId w:val="6"/>
        </w:numPr>
        <w:jc w:val="left"/>
        <w:rPr>
          <w:rFonts w:cstheme="minorHAnsi"/>
          <w:sz w:val="20"/>
          <w:szCs w:val="20"/>
        </w:rPr>
      </w:pPr>
      <w:r>
        <w:rPr>
          <w:rFonts w:cstheme="minorHAnsi"/>
          <w:sz w:val="20"/>
          <w:szCs w:val="20"/>
        </w:rPr>
        <w:t xml:space="preserve">Default Min, Default Max - read-only, auto-populated from the PQ Spec Shop specification for the selected Terminal, Grade and Quality, resolved by the From Date.</w:t>
      </w:r>
    </w:p>
    <w:p>
      <w:pPr>
        <w:pStyle w:val="ListParagraph"/>
        <w:numPr>
          <w:ilvl w:val="0"/>
          <w:numId w:val="6"/>
        </w:numPr>
        <w:jc w:val="left"/>
        <w:rPr>
          <w:rFonts w:cstheme="minorHAnsi"/>
          <w:sz w:val="20"/>
          <w:szCs w:val="20"/>
        </w:rPr>
      </w:pPr>
      <w:r>
        <w:rPr>
          <w:rFonts w:cstheme="minorHAnsi"/>
          <w:sz w:val="20"/>
          <w:szCs w:val="20"/>
        </w:rPr>
        <w:t xml:space="preserve">Revised Min, Revised Max - user input (the waiver limits).</w:t>
      </w:r>
    </w:p>
    <w:p>
      <w:pPr>
        <w:rPr>
          <w:rFonts w:cstheme="minorHAnsi"/>
          <w:sz w:val="20"/>
          <w:szCs w:val="20"/>
        </w:rPr>
      </w:pPr>
      <w:r>
        <w:rPr>
          <w:rFonts w:cstheme="minorHAnsi"/>
          <w:b/>
          <w:bCs/>
          <w:sz w:val="20"/>
          <w:szCs w:val="20"/>
        </w:rPr>
        <w:t xml:space="preserve">Batch wise section:</w:t>
      </w:r>
    </w:p>
    <w:p>
      <w:pPr>
        <w:pStyle w:val="ListParagraph"/>
        <w:numPr>
          <w:ilvl w:val="0"/>
          <w:numId w:val="6"/>
        </w:numPr>
        <w:jc w:val="left"/>
        <w:rPr>
          <w:rFonts w:cstheme="minorHAnsi"/>
          <w:sz w:val="20"/>
          <w:szCs w:val="20"/>
        </w:rPr>
      </w:pPr>
      <w:r>
        <w:rPr>
          <w:rFonts w:cstheme="minorHAnsi"/>
          <w:sz w:val="20"/>
          <w:szCs w:val="20"/>
        </w:rPr>
        <w:t xml:space="preserve">Batch ID - read from the IQDM database (dropdown).</w:t>
      </w:r>
    </w:p>
    <w:p>
      <w:pPr>
        <w:pStyle w:val="ListParagraph"/>
        <w:numPr>
          <w:ilvl w:val="0"/>
          <w:numId w:val="6"/>
        </w:numPr>
        <w:jc w:val="left"/>
        <w:rPr>
          <w:rFonts w:cstheme="minorHAnsi"/>
          <w:sz w:val="20"/>
          <w:szCs w:val="20"/>
        </w:rPr>
      </w:pPr>
      <w:r>
        <w:rPr>
          <w:rFonts w:cstheme="minorHAnsi"/>
          <w:sz w:val="20"/>
          <w:szCs w:val="20"/>
        </w:rPr>
        <w:t xml:space="preserve">Grade - auto-populated as read-only from the selected Batch ID.</w:t>
      </w:r>
    </w:p>
    <w:p>
      <w:pPr>
        <w:pStyle w:val="ListParagraph"/>
        <w:numPr>
          <w:ilvl w:val="0"/>
          <w:numId w:val="6"/>
        </w:numPr>
        <w:jc w:val="left"/>
        <w:rPr>
          <w:rFonts w:cstheme="minorHAnsi"/>
          <w:sz w:val="20"/>
          <w:szCs w:val="20"/>
        </w:rPr>
      </w:pPr>
      <w:r>
        <w:rPr>
          <w:rFonts w:cstheme="minorHAnsi"/>
          <w:sz w:val="20"/>
          <w:szCs w:val="20"/>
        </w:rPr>
        <w:t xml:space="preserve">Quality - PQ Spec Shop Property master list (dropdown).</w:t>
      </w:r>
    </w:p>
    <w:p>
      <w:pPr>
        <w:pStyle w:val="ListParagraph"/>
        <w:numPr>
          <w:ilvl w:val="0"/>
          <w:numId w:val="6"/>
        </w:numPr>
        <w:jc w:val="left"/>
        <w:rPr>
          <w:rFonts w:cstheme="minorHAnsi"/>
          <w:sz w:val="20"/>
          <w:szCs w:val="20"/>
        </w:rPr>
      </w:pPr>
      <w:r>
        <w:rPr>
          <w:rFonts w:cstheme="minorHAnsi"/>
          <w:sz w:val="20"/>
          <w:szCs w:val="20"/>
        </w:rPr>
        <w:t xml:space="preserve">Default Min, Default Max - read-only, auto-populated from the PQ Spec Shop specification for the selected Batch and Quality.</w:t>
      </w:r>
    </w:p>
    <w:p>
      <w:pPr>
        <w:pStyle w:val="ListParagraph"/>
        <w:numPr>
          <w:ilvl w:val="0"/>
          <w:numId w:val="6"/>
        </w:numPr>
        <w:jc w:val="left"/>
        <w:rPr>
          <w:rFonts w:cstheme="minorHAnsi"/>
          <w:sz w:val="20"/>
          <w:szCs w:val="20"/>
        </w:rPr>
      </w:pPr>
      <w:r>
        <w:rPr>
          <w:rFonts w:cstheme="minorHAnsi"/>
          <w:sz w:val="20"/>
          <w:szCs w:val="20"/>
        </w:rPr>
        <w:t xml:space="preserve">Revised Min, Revised Max - user input (the waiver limits).</w:t>
      </w:r>
    </w:p>
    <w:p>
      <w:pPr>
        <w:pStyle w:val="Heading4"/>
        <w:rPr>
          <w:rFonts w:asciiTheme="minorHAnsi" w:hAnsiTheme="minorHAnsi" w:cstheme="minorBidi"/>
          <w:sz w:val="20"/>
          <w:szCs w:val="20"/>
        </w:rPr>
      </w:pPr>
      <w:r>
        <w:rPr>
          <w:rFonts w:asciiTheme="minorHAnsi" w:hAnsiTheme="minorHAnsi" w:cstheme="minorBidi"/>
          <w:sz w:val="20"/>
          <w:szCs w:val="20"/>
        </w:rPr>
        <w:t xml:space="preserve">Data Submission and Persistence</w:t>
      </w:r>
    </w:p>
    <w:p>
      <w:pPr>
        <w:rPr>
          <w:rFonts w:cstheme="minorHAnsi"/>
          <w:sz w:val="20"/>
          <w:szCs w:val="20"/>
        </w:rPr>
      </w:pPr>
      <w:r>
        <w:rPr>
          <w:rFonts w:cstheme="minorHAnsi"/>
          <w:sz w:val="20"/>
          <w:szCs w:val="20"/>
        </w:rPr>
        <w:t xml:space="preserve">The user adds or removes rows in either section (+ Add row / Delete) and enters the Revised Min and Revised Max for each waiver. A single Submit waivers control at the page level submits the waivers entered in both sections together. On submit, the Blazor front end sends the entered waivers to the backend service layer, which persists them to Specshop_quality_detail; the approved waivers are then available across the Value Chain and to the VCB views for specification resolution.</w:t>
      </w:r>
    </w:p>
    <w:p>
      <w:pPr>
        <w:rPr>
          <w:rFonts w:cstheme="minorHAnsi"/>
          <w:sz w:val="20"/>
          <w:szCs w:val="20"/>
        </w:rPr>
      </w:pPr>
      <w:r>
        <w:rPr>
          <w:rFonts w:cstheme="minorHAnsi"/>
          <w:sz w:val="20"/>
          <w:szCs w:val="20"/>
        </w:rPr>
        <w:t xml:space="preserve">The behaviour on resubmission (whether a resubmitted waiver updates the existing row or inserts a new one), the handling of overlapping validity periods for the same Terminal / Grade / Quality or Batch / Quality, the delete behaviour (logical versus physical) and the audit columns written are not defined in the provided documents and must be confirmed (gap DP-08).</w:t>
      </w:r>
    </w:p>
    <w:p>
      <w:pPr>
        <w:pStyle w:val="Heading4"/>
        <w:rPr>
          <w:rFonts w:asciiTheme="minorHAnsi" w:hAnsiTheme="minorHAnsi" w:cstheme="minorBidi"/>
          <w:sz w:val="20"/>
          <w:szCs w:val="20"/>
        </w:rPr>
      </w:pPr>
      <w:r>
        <w:rPr>
          <w:rFonts w:asciiTheme="minorHAnsi" w:hAnsiTheme="minorHAnsi" w:cstheme="minorBidi"/>
          <w:sz w:val="20"/>
          <w:szCs w:val="20"/>
        </w:rPr>
        <w:t xml:space="preserve">Data Validation and Business Rules</w:t>
      </w:r>
    </w:p>
    <w:p>
      <w:pPr>
        <w:rPr>
          <w:rFonts w:cstheme="minorHAnsi"/>
          <w:sz w:val="20"/>
          <w:szCs w:val="20"/>
        </w:rPr>
      </w:pPr>
      <w:r>
        <w:rPr>
          <w:rFonts w:cstheme="minorHAnsi"/>
          <w:sz w:val="20"/>
          <w:szCs w:val="20"/>
        </w:rPr>
        <w:t xml:space="preserve">The interface enforces the following rules (functional design):</w:t>
      </w:r>
    </w:p>
    <w:p>
      <w:pPr>
        <w:pStyle w:val="ListParagraph"/>
        <w:numPr>
          <w:ilvl w:val="0"/>
          <w:numId w:val="6"/>
        </w:numPr>
        <w:jc w:val="left"/>
        <w:rPr>
          <w:rFonts w:cstheme="minorHAnsi"/>
          <w:sz w:val="20"/>
          <w:szCs w:val="20"/>
        </w:rPr>
      </w:pPr>
      <w:r>
        <w:rPr>
          <w:rFonts w:cstheme="minorHAnsi"/>
          <w:sz w:val="20"/>
          <w:szCs w:val="20"/>
        </w:rPr>
        <w:t xml:space="preserve">Terminal, Grade, Quality and Batch ID are selected from dropdowns, not entered as free text, so only valid master-data values are captured.</w:t>
      </w:r>
    </w:p>
    <w:p>
      <w:pPr>
        <w:pStyle w:val="ListParagraph"/>
        <w:numPr>
          <w:ilvl w:val="0"/>
          <w:numId w:val="6"/>
        </w:numPr>
        <w:jc w:val="left"/>
        <w:rPr>
          <w:rFonts w:cstheme="minorHAnsi"/>
          <w:sz w:val="20"/>
          <w:szCs w:val="20"/>
        </w:rPr>
      </w:pPr>
      <w:r>
        <w:rPr>
          <w:rFonts w:cstheme="minorHAnsi"/>
          <w:sz w:val="20"/>
          <w:szCs w:val="20"/>
        </w:rPr>
        <w:t xml:space="preserve">From Date and To Date are selected from a calendar, not entered as free text, and set the waiver validity period.</w:t>
      </w:r>
    </w:p>
    <w:p>
      <w:pPr>
        <w:pStyle w:val="ListParagraph"/>
        <w:numPr>
          <w:ilvl w:val="0"/>
          <w:numId w:val="6"/>
        </w:numPr>
        <w:jc w:val="left"/>
        <w:rPr>
          <w:rFonts w:cstheme="minorHAnsi"/>
          <w:sz w:val="20"/>
          <w:szCs w:val="20"/>
        </w:rPr>
      </w:pPr>
      <w:r>
        <w:rPr>
          <w:rFonts w:cstheme="minorHAnsi"/>
          <w:sz w:val="20"/>
          <w:szCs w:val="20"/>
        </w:rPr>
        <w:t xml:space="preserve">Default Min and Default Max are read-only and come from the PQ Spec Shop specification; the user enters only Revised Min and Revised Max.</w:t>
      </w:r>
    </w:p>
    <w:p>
      <w:pPr>
        <w:pStyle w:val="ListParagraph"/>
        <w:numPr>
          <w:ilvl w:val="0"/>
          <w:numId w:val="6"/>
        </w:numPr>
        <w:jc w:val="left"/>
        <w:rPr>
          <w:rFonts w:cstheme="minorHAnsi"/>
          <w:sz w:val="20"/>
          <w:szCs w:val="20"/>
        </w:rPr>
      </w:pPr>
      <w:r>
        <w:rPr>
          <w:rFonts w:cstheme="minorHAnsi"/>
          <w:sz w:val="20"/>
          <w:szCs w:val="20"/>
        </w:rPr>
        <w:t xml:space="preserve">In the Batch wise section, selecting a Batch ID populates its Grade as read-only.</w:t>
      </w:r>
    </w:p>
    <w:p>
      <w:pPr>
        <w:pStyle w:val="ListParagraph"/>
        <w:numPr>
          <w:ilvl w:val="0"/>
          <w:numId w:val="6"/>
        </w:numPr>
        <w:jc w:val="left"/>
        <w:rPr>
          <w:rFonts w:cstheme="minorHAnsi"/>
          <w:sz w:val="20"/>
          <w:szCs w:val="20"/>
        </w:rPr>
      </w:pPr>
      <w:r>
        <w:rPr>
          <w:rFonts w:cstheme="minorHAnsi"/>
          <w:sz w:val="20"/>
          <w:szCs w:val="20"/>
        </w:rPr>
        <w:t xml:space="preserve">The State wise and Batch wise sections are edited independently; the page-level Submit waivers applies to the waivers entered in both sections.</w:t>
      </w:r>
    </w:p>
    <w:p>
      <w:pPr>
        <w:rPr>
          <w:rFonts w:cstheme="minorHAnsi"/>
          <w:sz w:val="20"/>
          <w:szCs w:val="20"/>
        </w:rPr>
      </w:pPr>
      <w:r>
        <w:rPr>
          <w:rFonts w:cstheme="minorHAnsi"/>
          <w:sz w:val="20"/>
          <w:szCs w:val="20"/>
        </w:rPr>
        <w:t xml:space="preserve">Additional validation that the provided documents do not specify - mandatory-field enforcement on submit, the relationship Revised Min &lt;= Revised Max, prevention of overlapping validity periods for the same key, and the authorization that restricts waiver entry to the Corporate PQ / Quality Advisor team - must be confirmed (gap DP-08).</w:t>
      </w:r>
    </w:p>
    <w:p w14:paraId="200E668E" w14:textId="77777777" w:rsidR="00672297" w:rsidRDefault="00A16EA3">
      <w:pPr>
        <w:pStyle w:val="Heading3"/>
        <w:rPr>
          <w:rFonts w:asciiTheme="minorHAnsi" w:hAnsiTheme="minorHAnsi" w:cstheme="minorBidi"/>
          <w:sz w:val="20"/>
          <w:szCs w:val="20"/>
        </w:rPr>
      </w:pPr>
      <w:bookmarkStart w:id="339" w:name="_Toc241574318"/>
      <w:bookmarkStart w:id="340" w:name="_Toc242553940"/>
      <w:r>
        <w:rPr>
          <w:rFonts w:asciiTheme="minorHAnsi" w:hAnsiTheme="minorHAnsi" w:cstheme="minorBidi"/>
          <w:sz w:val="20"/>
          <w:szCs w:val="20"/>
        </w:rPr>
        <w:t>Reporting View Framework</w:t>
      </w:r>
      <w:bookmarkEnd w:id="339"/>
      <w:bookmarkEnd w:id="340"/>
    </w:p>
    <w:p w14:paraId="63811D71" w14:textId="26AEEEEB" w:rsidR="00672297" w:rsidRDefault="00A16EA3">
      <w:pPr>
        <w:rPr>
          <w:rFonts w:cstheme="minorHAnsi"/>
          <w:sz w:val="20"/>
          <w:szCs w:val="20"/>
        </w:rPr>
      </w:pPr>
      <w:r>
        <w:rPr>
          <w:rFonts w:cstheme="minorHAnsi"/>
          <w:sz w:val="20"/>
          <w:szCs w:val="20"/>
        </w:rPr>
        <w:t xml:space="preserve">The VCB reporting layer consists of six views created in the IQDM database, one per dashboard. VCB-specific views are created within the IQDM database using IQDM database tables and containing VCB-specific fields required for the VCB dashboards. They read the IQDM domain and master tables, the IQDM base views, the product specification table and, for the PIAF and transaction upload data, the two </w:t>
      </w:r>
      <w:r w:rsidR="000A106D">
        <w:rPr>
          <w:rFonts w:cstheme="minorHAnsi"/>
          <w:sz w:val="20"/>
          <w:szCs w:val="20"/>
        </w:rPr>
        <w:t>VCB integration target tables</w:t>
      </w:r>
      <w:r>
        <w:rPr>
          <w:rFonts w:cstheme="minorHAnsi"/>
          <w:sz w:val="20"/>
          <w:szCs w:val="20"/>
        </w:rPr>
        <w:t xml:space="preserve"> of chapter 2, and implement the dashboard business rules so that every report uses the same logic. They are read-only for the Power BI service account and are the only IQDM objects the dashboards import (with the day_detail calendar).</w:t>
      </w:r>
    </w:p>
    <w:p w14:paraId="6B53594E" w14:textId="77777777" w:rsidR="00672297" w:rsidRDefault="00A16EA3">
      <w:pPr>
        <w:pStyle w:val="Heading4"/>
        <w:rPr>
          <w:rFonts w:asciiTheme="minorHAnsi" w:hAnsiTheme="minorHAnsi" w:cstheme="minorBidi"/>
          <w:sz w:val="20"/>
          <w:szCs w:val="20"/>
        </w:rPr>
      </w:pPr>
      <w:bookmarkStart w:id="341" w:name="_Toc900900011"/>
      <w:r>
        <w:rPr>
          <w:rFonts w:asciiTheme="minorHAnsi" w:hAnsiTheme="minorHAnsi" w:cstheme="minorBidi"/>
          <w:sz w:val="20"/>
          <w:szCs w:val="20"/>
        </w:rPr>
        <w:t>Base Views</w:t>
      </w:r>
      <w:bookmarkEnd w:id="341"/>
    </w:p>
    <w:p w14:paraId="7795FCB2" w14:textId="77777777" w:rsidR="00672297" w:rsidRDefault="00A16EA3">
      <w:pPr>
        <w:rPr>
          <w:rFonts w:cstheme="minorHAnsi"/>
          <w:sz w:val="20"/>
          <w:szCs w:val="20"/>
        </w:rPr>
      </w:pPr>
      <w:r>
        <w:rPr>
          <w:rFonts w:cstheme="minorHAnsi"/>
          <w:sz w:val="20"/>
          <w:szCs w:val="20"/>
        </w:rPr>
        <w:t>The VCB views reuse the IQDM base layer: they read the IQDM domain tables through the IQDM base views and master tables, which:</w:t>
      </w:r>
    </w:p>
    <w:p w14:paraId="500C2024"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Join the domain tables to the master tables and resolve business keys and descriptions (Profisee global codes, names, time zones).</w:t>
      </w:r>
    </w:p>
    <w:p w14:paraId="7C39D912"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Standardize column names and convert volumes to barrels (bbl): APS batch volumes in thousand barrels are multiplied by 1,000 (the Wireframes Mock Data shows Batch Volume in Mbbl and Batch volume (BBL) = Batch Volume x 1,000); Kittyhawk tank inventories in gallons are divided by 42.</w:t>
      </w:r>
    </w:p>
    <w:p w14:paraId="52497921"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Apply the common filters: is_active = 1, Region = North, the refineries in scope (Robinson, Catlettsburg, Detroit, Canton) and the North Region terminals.</w:t>
      </w:r>
    </w:p>
    <w:p w14:paraId="67B8CEE9"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Remove exact duplicate movement rows and sum the split rows of the same batch.</w:t>
      </w:r>
    </w:p>
    <w:p w14:paraId="37E6BE60" w14:textId="77777777" w:rsidR="00672297" w:rsidRDefault="00A16EA3">
      <w:pPr>
        <w:pStyle w:val="Heading4"/>
        <w:rPr>
          <w:rFonts w:asciiTheme="minorHAnsi" w:hAnsiTheme="minorHAnsi" w:cstheme="minorBidi"/>
          <w:sz w:val="20"/>
          <w:szCs w:val="20"/>
        </w:rPr>
      </w:pPr>
      <w:bookmarkStart w:id="342" w:name="_Toc900900012"/>
      <w:r>
        <w:rPr>
          <w:rFonts w:asciiTheme="minorHAnsi" w:hAnsiTheme="minorHAnsi" w:cstheme="minorBidi"/>
          <w:sz w:val="20"/>
          <w:szCs w:val="20"/>
        </w:rPr>
        <w:t>Reporting Views</w:t>
      </w:r>
      <w:bookmarkEnd w:id="342"/>
    </w:p>
    <w:p w14:paraId="2A223AC6" w14:textId="77777777" w:rsidR="00672297" w:rsidRDefault="00A16EA3">
      <w:pPr>
        <w:rPr>
          <w:rFonts w:cstheme="minorHAnsi"/>
          <w:sz w:val="20"/>
          <w:szCs w:val="20"/>
        </w:rPr>
      </w:pPr>
      <w:r>
        <w:rPr>
          <w:rFonts w:cstheme="minorHAnsi"/>
          <w:sz w:val="20"/>
          <w:szCs w:val="20"/>
        </w:rPr>
        <w:t>The six VCB reporting views are built on the base layer and implement the dashboard business rules:</w:t>
      </w:r>
    </w:p>
    <w:p w14:paraId="7E3585DB"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Batch status derivation (Scheduled, In-Transit, Delivered) and batch-level aggregation.</w:t>
      </w:r>
    </w:p>
    <w:p w14:paraId="665D3125"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Specification resolution in two stages plus waivers, and Min / Actual / Max and Pre / Post / Spec qualities.</w:t>
      </w:r>
    </w:p>
    <w:p w14:paraId="20334BC2"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Blend potential, volume expansion and post-blend octane (vwDistillateBlendPotentialQuality).</w:t>
      </w:r>
    </w:p>
    <w:p w14:paraId="6AEE19DB"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Daily supply position per terminal and component (vwBlendComponentSupplyDemand).</w:t>
      </w:r>
    </w:p>
    <w:p w14:paraId="4B62D23B"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Potential, actual and delta volumes (vwGasolineBlendingKPI) and give-away delta (vwDistillateBlendingKPI).</w:t>
      </w:r>
    </w:p>
    <w:p w14:paraId="2927FC06"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MPR join columns globalCode and productAbbreviation on vwGasolineBlendingKPI and vwDistillateBlendingKPI, so that Power BI joins them to the MPR prices it imports from the MPR API. The views contain no price and no value-loss column: MPR data is not stored in the IQDM database; the value loss is calculated in Power BI.</w:t>
      </w:r>
    </w:p>
    <w:tbl>
      <w:tblPr>
        <w:tblStyle w:val="TableGrid"/>
        <w:tblW w:w="9360" w:type="dxa"/>
        <w:tblLayout w:type="fixed"/>
        <w:tblCellMar>
          <w:left w:w="70" w:type="dxa"/>
          <w:right w:w="70" w:type="dxa"/>
        </w:tblCellMar>
        <w:tblLook w:val="04A0" w:firstRow="1" w:lastRow="0" w:firstColumn="1" w:lastColumn="0" w:noHBand="0" w:noVBand="1"/>
      </w:tblPr>
      <w:tblGrid>
        <w:gridCol w:w="2059"/>
        <w:gridCol w:w="1684"/>
        <w:gridCol w:w="2059"/>
        <w:gridCol w:w="3558"/>
      </w:tblGrid>
      <w:tr w:rsidR="00672297" w14:paraId="25C003C4" w14:textId="77777777">
        <w:trPr>
          <w:cantSplit/>
          <w:tblHeader/>
        </w:trPr>
        <w:tc>
          <w:tcPr>
            <w:tcW w:w="2059" w:type="dxa"/>
            <w:shd w:val="clear" w:color="auto" w:fill="2F5496"/>
            <w:vAlign w:val="center"/>
          </w:tcPr>
          <w:p w14:paraId="7DFC3CCE" w14:textId="77777777" w:rsidR="00672297" w:rsidRDefault="00A16EA3">
            <w:pPr>
              <w:spacing w:before="20" w:after="20"/>
              <w:jc w:val="left"/>
            </w:pPr>
            <w:r>
              <w:rPr>
                <w:rFonts w:cstheme="minorHAnsi"/>
                <w:b/>
                <w:bCs/>
                <w:color w:val="FFFFFF"/>
                <w:sz w:val="20"/>
                <w:szCs w:val="20"/>
              </w:rPr>
              <w:t>View Name</w:t>
            </w:r>
          </w:p>
        </w:tc>
        <w:tc>
          <w:tcPr>
            <w:tcW w:w="1684" w:type="dxa"/>
            <w:shd w:val="clear" w:color="auto" w:fill="2F5496"/>
            <w:vAlign w:val="center"/>
          </w:tcPr>
          <w:p w14:paraId="50B5A7BE" w14:textId="77777777" w:rsidR="00672297" w:rsidRDefault="00A16EA3">
            <w:pPr>
              <w:spacing w:before="20" w:after="20"/>
              <w:jc w:val="left"/>
            </w:pPr>
            <w:r>
              <w:rPr>
                <w:rFonts w:cstheme="minorHAnsi"/>
                <w:b/>
                <w:bCs/>
                <w:color w:val="FFFFFF"/>
                <w:sz w:val="20"/>
                <w:szCs w:val="20"/>
              </w:rPr>
              <w:t>Dashboard</w:t>
            </w:r>
          </w:p>
        </w:tc>
        <w:tc>
          <w:tcPr>
            <w:tcW w:w="2059" w:type="dxa"/>
            <w:shd w:val="clear" w:color="auto" w:fill="2F5496"/>
            <w:vAlign w:val="center"/>
          </w:tcPr>
          <w:p w14:paraId="63F0F611" w14:textId="77777777" w:rsidR="00672297" w:rsidRDefault="00A16EA3">
            <w:pPr>
              <w:spacing w:before="20" w:after="20"/>
              <w:jc w:val="left"/>
            </w:pPr>
            <w:r>
              <w:rPr>
                <w:rFonts w:cstheme="minorHAnsi"/>
                <w:b/>
                <w:bCs/>
                <w:color w:val="FFFFFF"/>
                <w:sz w:val="20"/>
                <w:szCs w:val="20"/>
              </w:rPr>
              <w:t>Grain</w:t>
            </w:r>
          </w:p>
        </w:tc>
        <w:tc>
          <w:tcPr>
            <w:tcW w:w="3558" w:type="dxa"/>
            <w:shd w:val="clear" w:color="auto" w:fill="2F5496"/>
            <w:vAlign w:val="center"/>
          </w:tcPr>
          <w:p w14:paraId="2E1CE669" w14:textId="77777777" w:rsidR="00672297" w:rsidRDefault="00A16EA3">
            <w:pPr>
              <w:spacing w:before="20" w:after="20"/>
              <w:jc w:val="left"/>
            </w:pPr>
            <w:r>
              <w:rPr>
                <w:rFonts w:cstheme="minorHAnsi"/>
                <w:b/>
                <w:bCs/>
                <w:color w:val="FFFFFF"/>
                <w:sz w:val="20"/>
                <w:szCs w:val="20"/>
              </w:rPr>
              <w:t>Source Tables</w:t>
            </w:r>
          </w:p>
        </w:tc>
      </w:tr>
      <w:tr w:rsidR="00672297" w14:paraId="402DF388" w14:textId="77777777">
        <w:trPr>
          <w:cantSplit/>
        </w:trPr>
        <w:tc>
          <w:tcPr>
            <w:tcW w:w="2059" w:type="dxa"/>
            <w:vAlign w:val="center"/>
          </w:tcPr>
          <w:p w14:paraId="525D43D4" w14:textId="77777777" w:rsidR="00672297" w:rsidRDefault="00A16EA3">
            <w:pPr>
              <w:spacing w:before="20" w:after="20"/>
              <w:jc w:val="left"/>
            </w:pPr>
            <w:r>
              <w:rPr>
                <w:rFonts w:cstheme="minorHAnsi"/>
                <w:sz w:val="20"/>
                <w:szCs w:val="20"/>
              </w:rPr>
              <w:t>vwRefineryBatchMovementQuality</w:t>
            </w:r>
          </w:p>
        </w:tc>
        <w:tc>
          <w:tcPr>
            <w:tcW w:w="1684" w:type="dxa"/>
            <w:vAlign w:val="center"/>
          </w:tcPr>
          <w:p w14:paraId="5EFFFCBF" w14:textId="77777777" w:rsidR="00672297" w:rsidRDefault="00A16EA3">
            <w:pPr>
              <w:spacing w:before="20" w:after="20"/>
              <w:jc w:val="left"/>
            </w:pPr>
            <w:r>
              <w:rPr>
                <w:rFonts w:cstheme="minorHAnsi"/>
                <w:sz w:val="20"/>
                <w:szCs w:val="20"/>
              </w:rPr>
              <w:t>Refinery-Wide Dashboard (Gasoline &amp; Distillate)</w:t>
            </w:r>
          </w:p>
        </w:tc>
        <w:tc>
          <w:tcPr>
            <w:tcW w:w="2059" w:type="dxa"/>
            <w:vAlign w:val="center"/>
          </w:tcPr>
          <w:p w14:paraId="1D901856" w14:textId="77777777" w:rsidR="00672297" w:rsidRDefault="00A16EA3">
            <w:pPr>
              <w:spacing w:before="20" w:after="20"/>
              <w:jc w:val="left"/>
            </w:pPr>
            <w:r>
              <w:rPr>
                <w:rFonts w:cstheme="minorHAnsi"/>
                <w:sz w:val="20"/>
                <w:szCs w:val="20"/>
              </w:rPr>
              <w:t>One row per product batch and destination terminal</w:t>
            </w:r>
          </w:p>
        </w:tc>
        <w:tc>
          <w:tcPr>
            <w:tcW w:w="3558" w:type="dxa"/>
            <w:vAlign w:val="center"/>
          </w:tcPr>
          <w:p w14:paraId="3C0252C4" w14:textId="77777777" w:rsidR="00672297" w:rsidRDefault="00A16EA3">
            <w:pPr>
              <w:spacing w:before="20" w:after="20"/>
              <w:jc w:val="left"/>
            </w:pPr>
            <w:r>
              <w:rPr>
                <w:rFonts w:cstheme="minorHAnsi"/>
                <w:sz w:val="20"/>
                <w:szCs w:val="20"/>
              </w:rPr>
              <w:t>transfer_detail (APS event type 15; Kittyhawk / Towworks terminal legs), quality_detail (LIMS / APS / PQCore), product_specification, location, material, equipment_detail, mot; waivers (gap DP-08)</w:t>
            </w:r>
          </w:p>
        </w:tc>
      </w:tr>
      <w:tr w:rsidR="00672297" w14:paraId="63FAC08E" w14:textId="77777777">
        <w:trPr>
          <w:cantSplit/>
        </w:trPr>
        <w:tc>
          <w:tcPr>
            <w:tcW w:w="2059" w:type="dxa"/>
            <w:vAlign w:val="center"/>
          </w:tcPr>
          <w:p w14:paraId="3DE48970" w14:textId="77777777" w:rsidR="00672297" w:rsidRDefault="00A16EA3">
            <w:pPr>
              <w:spacing w:before="20" w:after="20"/>
              <w:jc w:val="left"/>
            </w:pPr>
            <w:r>
              <w:rPr>
                <w:rFonts w:cstheme="minorHAnsi"/>
                <w:sz w:val="20"/>
                <w:szCs w:val="20"/>
              </w:rPr>
              <w:t>vwDistillateBlendPotentialQuality</w:t>
            </w:r>
          </w:p>
        </w:tc>
        <w:tc>
          <w:tcPr>
            <w:tcW w:w="1684" w:type="dxa"/>
            <w:vAlign w:val="center"/>
          </w:tcPr>
          <w:p w14:paraId="03797026" w14:textId="77777777" w:rsidR="00672297" w:rsidRDefault="00A16EA3">
            <w:pPr>
              <w:spacing w:before="20" w:after="20"/>
              <w:jc w:val="left"/>
            </w:pPr>
            <w:r>
              <w:rPr>
                <w:rFonts w:cstheme="minorHAnsi"/>
                <w:sz w:val="20"/>
                <w:szCs w:val="20"/>
              </w:rPr>
              <w:t>Blending Potential Dashboard</w:t>
            </w:r>
          </w:p>
        </w:tc>
        <w:tc>
          <w:tcPr>
            <w:tcW w:w="2059" w:type="dxa"/>
            <w:vAlign w:val="center"/>
          </w:tcPr>
          <w:p w14:paraId="64D008D7" w14:textId="77777777" w:rsidR="00672297" w:rsidRDefault="00A16EA3">
            <w:pPr>
              <w:spacing w:before="20" w:after="20"/>
              <w:jc w:val="left"/>
            </w:pPr>
            <w:r>
              <w:rPr>
                <w:rFonts w:cstheme="minorHAnsi"/>
                <w:sz w:val="20"/>
                <w:szCs w:val="20"/>
              </w:rPr>
              <w:t>One row per scheduled or in-transit gasoline batch and destination terminal</w:t>
            </w:r>
          </w:p>
        </w:tc>
        <w:tc>
          <w:tcPr>
            <w:tcW w:w="3558" w:type="dxa"/>
            <w:vAlign w:val="center"/>
          </w:tcPr>
          <w:p w14:paraId="1BF0124C" w14:textId="77777777" w:rsidR="00672297" w:rsidRDefault="00A16EA3">
            <w:pPr>
              <w:spacing w:before="20" w:after="20"/>
              <w:jc w:val="left"/>
            </w:pPr>
            <w:r>
              <w:rPr>
                <w:rFonts w:cstheme="minorHAnsi"/>
                <w:sz w:val="20"/>
                <w:szCs w:val="20"/>
              </w:rPr>
              <w:t>transfer_detail, quality_detail, product_specification, location, material; blend potential and component blending values (calculation inputs, gaps DP-07, DP-10)</w:t>
            </w:r>
          </w:p>
        </w:tc>
      </w:tr>
      <w:tr w:rsidR="00672297" w14:paraId="55690313" w14:textId="77777777">
        <w:trPr>
          <w:cantSplit/>
        </w:trPr>
        <w:tc>
          <w:tcPr>
            <w:tcW w:w="2059" w:type="dxa"/>
            <w:vAlign w:val="center"/>
          </w:tcPr>
          <w:p w14:paraId="25B9E459" w14:textId="77777777" w:rsidR="00672297" w:rsidRDefault="00A16EA3">
            <w:pPr>
              <w:spacing w:before="20" w:after="20"/>
              <w:jc w:val="left"/>
            </w:pPr>
            <w:r>
              <w:rPr>
                <w:rFonts w:cstheme="minorHAnsi"/>
                <w:sz w:val="20"/>
                <w:szCs w:val="20"/>
              </w:rPr>
              <w:t>vwDistillateBatchQuality</w:t>
            </w:r>
          </w:p>
        </w:tc>
        <w:tc>
          <w:tcPr>
            <w:tcW w:w="1684" w:type="dxa"/>
            <w:vAlign w:val="center"/>
          </w:tcPr>
          <w:p w14:paraId="6779FF39" w14:textId="77777777" w:rsidR="00672297" w:rsidRDefault="00A16EA3">
            <w:pPr>
              <w:spacing w:before="20" w:after="20"/>
              <w:jc w:val="left"/>
            </w:pPr>
            <w:r>
              <w:rPr>
                <w:rFonts w:cstheme="minorHAnsi"/>
                <w:sz w:val="20"/>
                <w:szCs w:val="20"/>
              </w:rPr>
              <w:t>Distillate Dashboard</w:t>
            </w:r>
          </w:p>
        </w:tc>
        <w:tc>
          <w:tcPr>
            <w:tcW w:w="2059" w:type="dxa"/>
            <w:vAlign w:val="center"/>
          </w:tcPr>
          <w:p w14:paraId="4E412631" w14:textId="77777777" w:rsidR="00672297" w:rsidRDefault="00A16EA3">
            <w:pPr>
              <w:spacing w:before="20" w:after="20"/>
              <w:jc w:val="left"/>
            </w:pPr>
            <w:r>
              <w:rPr>
                <w:rFonts w:cstheme="minorHAnsi"/>
                <w:sz w:val="20"/>
                <w:szCs w:val="20"/>
              </w:rPr>
              <w:t>One row per distillate batch and destination terminal</w:t>
            </w:r>
          </w:p>
        </w:tc>
        <w:tc>
          <w:tcPr>
            <w:tcW w:w="3558" w:type="dxa"/>
            <w:vAlign w:val="center"/>
          </w:tcPr>
          <w:p w14:paraId="346302A3" w14:textId="77777777" w:rsidR="00672297" w:rsidRDefault="00A16EA3">
            <w:pPr>
              <w:spacing w:before="20" w:after="20"/>
              <w:jc w:val="left"/>
            </w:pPr>
            <w:r>
              <w:rPr>
                <w:rFonts w:cstheme="minorHAnsi"/>
                <w:sz w:val="20"/>
                <w:szCs w:val="20"/>
              </w:rPr>
              <w:t>transfer_detail, quality_detail, product_specification, location, material, equipment_detail, mot</w:t>
            </w:r>
          </w:p>
        </w:tc>
      </w:tr>
      <w:tr w:rsidR="00672297" w14:paraId="74A54570" w14:textId="77777777">
        <w:trPr>
          <w:cantSplit/>
        </w:trPr>
        <w:tc>
          <w:tcPr>
            <w:tcW w:w="2059" w:type="dxa"/>
            <w:vAlign w:val="center"/>
          </w:tcPr>
          <w:p w14:paraId="38A7E444" w14:textId="77777777" w:rsidR="00672297" w:rsidRDefault="00A16EA3">
            <w:pPr>
              <w:spacing w:before="20" w:after="20"/>
              <w:jc w:val="left"/>
            </w:pPr>
            <w:r>
              <w:rPr>
                <w:rFonts w:cstheme="minorHAnsi"/>
                <w:sz w:val="20"/>
                <w:szCs w:val="20"/>
              </w:rPr>
              <w:t>vwBlendComponentSupplyDemand</w:t>
            </w:r>
          </w:p>
        </w:tc>
        <w:tc>
          <w:tcPr>
            <w:tcW w:w="1684" w:type="dxa"/>
            <w:vAlign w:val="center"/>
          </w:tcPr>
          <w:p w14:paraId="1BECE1EB" w14:textId="77777777" w:rsidR="00672297" w:rsidRDefault="00A16EA3">
            <w:pPr>
              <w:spacing w:before="20" w:after="20"/>
              <w:jc w:val="left"/>
            </w:pPr>
            <w:r>
              <w:rPr>
                <w:rFonts w:cstheme="minorHAnsi"/>
                <w:sz w:val="20"/>
                <w:szCs w:val="20"/>
              </w:rPr>
              <w:t>Supply Dashboard</w:t>
            </w:r>
          </w:p>
        </w:tc>
        <w:tc>
          <w:tcPr>
            <w:tcW w:w="2059" w:type="dxa"/>
            <w:vAlign w:val="center"/>
          </w:tcPr>
          <w:p w14:paraId="69A3A659" w14:textId="77777777" w:rsidR="00672297" w:rsidRDefault="00A16EA3">
            <w:pPr>
              <w:spacing w:before="20" w:after="20"/>
              <w:jc w:val="left"/>
            </w:pPr>
            <w:r>
              <w:rPr>
                <w:rFonts w:cstheme="minorHAnsi"/>
                <w:sz w:val="20"/>
                <w:szCs w:val="20"/>
              </w:rPr>
              <w:t>One row per terminal, blend component and day</w:t>
            </w:r>
          </w:p>
        </w:tc>
        <w:tc>
          <w:tcPr>
            <w:tcW w:w="3558" w:type="dxa"/>
            <w:vAlign w:val="center"/>
          </w:tcPr>
          <w:p w14:paraId="46318417" w14:textId="77777777" w:rsidR="00672297" w:rsidRDefault="00A16EA3">
            <w:pPr>
              <w:spacing w:before="20" w:after="20"/>
              <w:jc w:val="left"/>
            </w:pPr>
            <w:r>
              <w:rPr>
                <w:rFonts w:cstheme="minorHAnsi"/>
                <w:sz w:val="20"/>
                <w:szCs w:val="20"/>
              </w:rPr>
              <w:t>inventory_detail (Actual / Scheduled), transfer_detail (component receipts), VCB_blend_component_detail (PIAF inventory, chapter 2), location, material; blend potential, terminal configuration and supply thresholds (calculation inputs, gaps DP-07, DP-09, DP-12)</w:t>
            </w:r>
          </w:p>
        </w:tc>
      </w:tr>
      <w:tr w:rsidR="00672297" w14:paraId="5575267C" w14:textId="77777777">
        <w:trPr>
          <w:cantSplit/>
        </w:trPr>
        <w:tc>
          <w:tcPr>
            <w:tcW w:w="2059" w:type="dxa"/>
            <w:vAlign w:val="center"/>
          </w:tcPr>
          <w:p w14:paraId="0365C6CA" w14:textId="77777777" w:rsidR="00672297" w:rsidRDefault="00A16EA3">
            <w:pPr>
              <w:spacing w:before="20" w:after="20"/>
              <w:jc w:val="left"/>
            </w:pPr>
            <w:r>
              <w:rPr>
                <w:rFonts w:cstheme="minorHAnsi"/>
                <w:sz w:val="20"/>
                <w:szCs w:val="20"/>
              </w:rPr>
              <w:t>vwGasolineBlendingKPI</w:t>
            </w:r>
          </w:p>
        </w:tc>
        <w:tc>
          <w:tcPr>
            <w:tcW w:w="1684" w:type="dxa"/>
            <w:vAlign w:val="center"/>
          </w:tcPr>
          <w:p w14:paraId="7287D27A" w14:textId="77777777" w:rsidR="00672297" w:rsidRDefault="00A16EA3">
            <w:pPr>
              <w:spacing w:before="20" w:after="20"/>
              <w:jc w:val="left"/>
            </w:pPr>
            <w:r>
              <w:rPr>
                <w:rFonts w:cstheme="minorHAnsi"/>
                <w:sz w:val="20"/>
                <w:szCs w:val="20"/>
              </w:rPr>
              <w:t>Gasoline KPI Dashboard</w:t>
            </w:r>
          </w:p>
        </w:tc>
        <w:tc>
          <w:tcPr>
            <w:tcW w:w="2059" w:type="dxa"/>
            <w:vAlign w:val="center"/>
          </w:tcPr>
          <w:p w14:paraId="5FA27AC5" w14:textId="77777777" w:rsidR="00672297" w:rsidRDefault="00A16EA3">
            <w:pPr>
              <w:spacing w:before="20" w:after="20"/>
              <w:jc w:val="left"/>
            </w:pPr>
            <w:r>
              <w:rPr>
                <w:rFonts w:cstheme="minorHAnsi"/>
                <w:sz w:val="20"/>
                <w:szCs w:val="20"/>
              </w:rPr>
              <w:t>One row per destination terminal, source refinery, grade and delivery date</w:t>
            </w:r>
          </w:p>
        </w:tc>
        <w:tc>
          <w:tcPr>
            <w:tcW w:w="3558" w:type="dxa"/>
            <w:vAlign w:val="center"/>
          </w:tcPr>
          <w:p w14:paraId="774CB97F" w14:textId="77777777" w:rsidR="00672297" w:rsidRDefault="00A16EA3">
            <w:pPr>
              <w:spacing w:before="20" w:after="20"/>
              <w:jc w:val="left"/>
            </w:pPr>
            <w:r>
              <w:rPr>
                <w:rFonts w:cstheme="minorHAnsi"/>
                <w:sz w:val="20"/>
                <w:szCs w:val="20"/>
              </w:rPr>
              <w:t>transfer_detail (delivered gasoline batches), quality_detail, VCB_blend_component_detail (PIAF flows, chapter 2), VCB_blend_component_movement (transaction upload, chapter 2), location, material; blend potential (calculation input, gap DP-07)</w:t>
            </w:r>
          </w:p>
        </w:tc>
      </w:tr>
      <w:tr w:rsidR="00672297" w14:paraId="277F9AD3" w14:textId="77777777">
        <w:trPr>
          <w:cantSplit/>
        </w:trPr>
        <w:tc>
          <w:tcPr>
            <w:tcW w:w="2059" w:type="dxa"/>
            <w:vAlign w:val="center"/>
          </w:tcPr>
          <w:p w14:paraId="0A524BE0" w14:textId="77777777" w:rsidR="00672297" w:rsidRDefault="00A16EA3">
            <w:pPr>
              <w:spacing w:before="20" w:after="20"/>
              <w:jc w:val="left"/>
            </w:pPr>
            <w:r>
              <w:rPr>
                <w:rFonts w:cstheme="minorHAnsi"/>
                <w:sz w:val="20"/>
                <w:szCs w:val="20"/>
              </w:rPr>
              <w:t>vwDistillateBlendingKPI</w:t>
            </w:r>
          </w:p>
        </w:tc>
        <w:tc>
          <w:tcPr>
            <w:tcW w:w="1684" w:type="dxa"/>
            <w:vAlign w:val="center"/>
          </w:tcPr>
          <w:p w14:paraId="12358846" w14:textId="77777777" w:rsidR="00672297" w:rsidRDefault="00A16EA3">
            <w:pPr>
              <w:spacing w:before="20" w:after="20"/>
              <w:jc w:val="left"/>
            </w:pPr>
            <w:r>
              <w:rPr>
                <w:rFonts w:cstheme="minorHAnsi"/>
                <w:sz w:val="20"/>
                <w:szCs w:val="20"/>
              </w:rPr>
              <w:t>Distillate KPI Dashboard</w:t>
            </w:r>
          </w:p>
        </w:tc>
        <w:tc>
          <w:tcPr>
            <w:tcW w:w="2059" w:type="dxa"/>
            <w:vAlign w:val="center"/>
          </w:tcPr>
          <w:p w14:paraId="2AB9AC3D" w14:textId="77777777" w:rsidR="00672297" w:rsidRDefault="00A16EA3">
            <w:pPr>
              <w:spacing w:before="20" w:after="20"/>
              <w:jc w:val="left"/>
            </w:pPr>
            <w:r>
              <w:rPr>
                <w:rFonts w:cstheme="minorHAnsi"/>
                <w:sz w:val="20"/>
                <w:szCs w:val="20"/>
              </w:rPr>
              <w:t>One row per destination terminal, source refinery, product and delivery date</w:t>
            </w:r>
          </w:p>
        </w:tc>
        <w:tc>
          <w:tcPr>
            <w:tcW w:w="3558" w:type="dxa"/>
            <w:vAlign w:val="center"/>
          </w:tcPr>
          <w:p w14:paraId="30116C97" w14:textId="77777777" w:rsidR="00672297" w:rsidRDefault="00A16EA3">
            <w:pPr>
              <w:spacing w:before="20" w:after="20"/>
              <w:jc w:val="left"/>
            </w:pPr>
            <w:r>
              <w:rPr>
                <w:rFonts w:cstheme="minorHAnsi"/>
                <w:sz w:val="20"/>
                <w:szCs w:val="20"/>
              </w:rPr>
              <w:t>transfer_detail (delivered distillate batches), quality_detail, product_specification, location, material</w:t>
            </w:r>
          </w:p>
        </w:tc>
      </w:tr>
    </w:tbl>
    <w:p w14:paraId="65634C71" w14:textId="27DDB16C" w:rsidR="00672297" w:rsidRDefault="00A16EA3">
      <w:pPr>
        <w:pStyle w:val="Caption"/>
      </w:pPr>
      <w:bookmarkStart w:id="343" w:name="_Toc900900013"/>
      <w:bookmarkStart w:id="344" w:name="_Toc241574672"/>
      <w:bookmarkStart w:id="345" w:name="_Toc242554056"/>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3</w:t>
      </w:r>
      <w:r>
        <w:fldChar w:fldCharType="end"/>
      </w:r>
      <w:r>
        <w:t>: VCB Reporting Views in the IQDM Database</w:t>
      </w:r>
      <w:bookmarkEnd w:id="343"/>
      <w:bookmarkEnd w:id="344"/>
      <w:bookmarkEnd w:id="345"/>
    </w:p>
    <w:p w14:paraId="2D78894E" w14:textId="77777777" w:rsidR="00672297" w:rsidRDefault="00A16EA3">
      <w:pPr>
        <w:pStyle w:val="Heading3"/>
        <w:rPr>
          <w:rFonts w:asciiTheme="minorHAnsi" w:hAnsiTheme="minorHAnsi" w:cstheme="minorBidi"/>
          <w:sz w:val="20"/>
          <w:szCs w:val="20"/>
        </w:rPr>
      </w:pPr>
      <w:bookmarkStart w:id="346" w:name="_Toc241574319"/>
      <w:bookmarkStart w:id="347" w:name="_Toc242553941"/>
      <w:r>
        <w:rPr>
          <w:rFonts w:asciiTheme="minorHAnsi" w:hAnsiTheme="minorHAnsi" w:cstheme="minorBidi"/>
          <w:sz w:val="20"/>
          <w:szCs w:val="20"/>
        </w:rPr>
        <w:t>Data Refresh and Frequency</w:t>
      </w:r>
      <w:bookmarkEnd w:id="346"/>
      <w:bookmarkEnd w:id="347"/>
    </w:p>
    <w:p w14:paraId="043851A7" w14:textId="77777777" w:rsidR="00672297" w:rsidRDefault="00A16EA3">
      <w:pPr>
        <w:rPr>
          <w:rFonts w:cstheme="minorHAnsi"/>
          <w:sz w:val="20"/>
          <w:szCs w:val="20"/>
        </w:rPr>
      </w:pPr>
      <w:r>
        <w:rPr>
          <w:rFonts w:cstheme="minorHAnsi"/>
          <w:sz w:val="20"/>
          <w:szCs w:val="20"/>
        </w:rPr>
        <w:t>The views are not materialized; they are evaluated when the Power BI semantic model refreshes. The refresh of the semantic model must therefore start after the daily loads it depends on. The dependency chain is:</w:t>
      </w:r>
    </w:p>
    <w:tbl>
      <w:tblPr>
        <w:tblStyle w:val="TableGrid"/>
        <w:tblW w:w="9360" w:type="dxa"/>
        <w:tblLayout w:type="fixed"/>
        <w:tblCellMar>
          <w:left w:w="70" w:type="dxa"/>
          <w:right w:w="70" w:type="dxa"/>
        </w:tblCellMar>
        <w:tblLook w:val="04A0" w:firstRow="1" w:lastRow="0" w:firstColumn="1" w:lastColumn="0" w:noHBand="0" w:noVBand="1"/>
      </w:tblPr>
      <w:tblGrid>
        <w:gridCol w:w="2808"/>
        <w:gridCol w:w="2340"/>
        <w:gridCol w:w="2527"/>
        <w:gridCol w:w="1685"/>
      </w:tblGrid>
      <w:tr w:rsidR="00672297" w14:paraId="0EF3C15D" w14:textId="77777777">
        <w:trPr>
          <w:cantSplit/>
          <w:tblHeader/>
        </w:trPr>
        <w:tc>
          <w:tcPr>
            <w:tcW w:w="2808" w:type="dxa"/>
            <w:shd w:val="clear" w:color="auto" w:fill="2F5496"/>
            <w:vAlign w:val="center"/>
          </w:tcPr>
          <w:p w14:paraId="7FA11EC0" w14:textId="77777777" w:rsidR="00672297" w:rsidRDefault="00A16EA3">
            <w:pPr>
              <w:spacing w:before="20" w:after="20"/>
              <w:jc w:val="left"/>
            </w:pPr>
            <w:r>
              <w:rPr>
                <w:rFonts w:cstheme="minorHAnsi"/>
                <w:b/>
                <w:bCs/>
                <w:color w:val="FFFFFF"/>
                <w:sz w:val="20"/>
                <w:szCs w:val="20"/>
              </w:rPr>
              <w:t>Object</w:t>
            </w:r>
          </w:p>
        </w:tc>
        <w:tc>
          <w:tcPr>
            <w:tcW w:w="2340" w:type="dxa"/>
            <w:shd w:val="clear" w:color="auto" w:fill="2F5496"/>
            <w:vAlign w:val="center"/>
          </w:tcPr>
          <w:p w14:paraId="63259699" w14:textId="77777777" w:rsidR="00672297" w:rsidRDefault="00A16EA3">
            <w:pPr>
              <w:spacing w:before="20" w:after="20"/>
              <w:jc w:val="left"/>
            </w:pPr>
            <w:r>
              <w:rPr>
                <w:rFonts w:cstheme="minorHAnsi"/>
                <w:b/>
                <w:bCs/>
                <w:color w:val="FFFFFF"/>
                <w:sz w:val="20"/>
                <w:szCs w:val="20"/>
              </w:rPr>
              <w:t>Loaded By</w:t>
            </w:r>
          </w:p>
        </w:tc>
        <w:tc>
          <w:tcPr>
            <w:tcW w:w="2527" w:type="dxa"/>
            <w:shd w:val="clear" w:color="auto" w:fill="2F5496"/>
            <w:vAlign w:val="center"/>
          </w:tcPr>
          <w:p w14:paraId="340F4652" w14:textId="77777777" w:rsidR="00672297" w:rsidRDefault="00A16EA3">
            <w:pPr>
              <w:spacing w:before="20" w:after="20"/>
              <w:jc w:val="left"/>
            </w:pPr>
            <w:r>
              <w:rPr>
                <w:rFonts w:cstheme="minorHAnsi"/>
                <w:b/>
                <w:bCs/>
                <w:color w:val="FFFFFF"/>
                <w:sz w:val="20"/>
                <w:szCs w:val="20"/>
              </w:rPr>
              <w:t>Frequency</w:t>
            </w:r>
          </w:p>
        </w:tc>
        <w:tc>
          <w:tcPr>
            <w:tcW w:w="1685" w:type="dxa"/>
            <w:shd w:val="clear" w:color="auto" w:fill="2F5496"/>
            <w:vAlign w:val="center"/>
          </w:tcPr>
          <w:p w14:paraId="4909905B" w14:textId="77777777" w:rsidR="00672297" w:rsidRDefault="00A16EA3">
            <w:pPr>
              <w:spacing w:before="20" w:after="20"/>
              <w:jc w:val="left"/>
            </w:pPr>
            <w:r>
              <w:rPr>
                <w:rFonts w:cstheme="minorHAnsi"/>
                <w:b/>
                <w:bCs/>
                <w:color w:val="FFFFFF"/>
                <w:sz w:val="20"/>
                <w:szCs w:val="20"/>
              </w:rPr>
              <w:t>Must Complete Before</w:t>
            </w:r>
          </w:p>
        </w:tc>
      </w:tr>
      <w:tr w:rsidR="00672297" w14:paraId="5C594E57" w14:textId="77777777">
        <w:trPr>
          <w:cantSplit/>
        </w:trPr>
        <w:tc>
          <w:tcPr>
            <w:tcW w:w="2808" w:type="dxa"/>
            <w:vAlign w:val="center"/>
          </w:tcPr>
          <w:p w14:paraId="384DB925" w14:textId="77777777" w:rsidR="00672297" w:rsidRDefault="00A16EA3">
            <w:pPr>
              <w:spacing w:before="20" w:after="20"/>
              <w:jc w:val="left"/>
            </w:pPr>
            <w:r>
              <w:rPr>
                <w:rFonts w:cstheme="minorHAnsi"/>
                <w:sz w:val="20"/>
                <w:szCs w:val="20"/>
              </w:rPr>
              <w:t>transfer_detail, quality_detail, inventory_detail</w:t>
            </w:r>
          </w:p>
        </w:tc>
        <w:tc>
          <w:tcPr>
            <w:tcW w:w="2340" w:type="dxa"/>
            <w:vAlign w:val="center"/>
          </w:tcPr>
          <w:p w14:paraId="18C4884D" w14:textId="77777777" w:rsidR="00672297" w:rsidRDefault="00A16EA3">
            <w:pPr>
              <w:spacing w:before="20" w:after="20"/>
              <w:jc w:val="left"/>
            </w:pPr>
            <w:r>
              <w:rPr>
                <w:rFonts w:cstheme="minorHAnsi"/>
                <w:sz w:val="20"/>
                <w:szCs w:val="20"/>
              </w:rPr>
              <w:t>IQDM interfaces</w:t>
            </w:r>
          </w:p>
        </w:tc>
        <w:tc>
          <w:tcPr>
            <w:tcW w:w="2527" w:type="dxa"/>
            <w:vAlign w:val="center"/>
          </w:tcPr>
          <w:p w14:paraId="46ADACDE" w14:textId="77777777" w:rsidR="00672297" w:rsidRDefault="00A16EA3">
            <w:pPr>
              <w:spacing w:before="20" w:after="20"/>
              <w:jc w:val="left"/>
            </w:pPr>
            <w:r>
              <w:rPr>
                <w:rFonts w:cstheme="minorHAnsi"/>
                <w:sz w:val="20"/>
                <w:szCs w:val="20"/>
              </w:rPr>
              <w:t>Daily at a specified time; quality near real-time</w:t>
            </w:r>
          </w:p>
        </w:tc>
        <w:tc>
          <w:tcPr>
            <w:tcW w:w="1685" w:type="dxa"/>
            <w:vAlign w:val="center"/>
          </w:tcPr>
          <w:p w14:paraId="0FCD91A6" w14:textId="77777777" w:rsidR="00672297" w:rsidRDefault="00A16EA3">
            <w:pPr>
              <w:spacing w:before="20" w:after="20"/>
              <w:jc w:val="left"/>
            </w:pPr>
            <w:r>
              <w:rPr>
                <w:rFonts w:cstheme="minorHAnsi"/>
                <w:sz w:val="20"/>
                <w:szCs w:val="20"/>
              </w:rPr>
              <w:t>Power BI refresh</w:t>
            </w:r>
          </w:p>
        </w:tc>
      </w:tr>
      <w:tr w:rsidR="00672297" w14:paraId="67CFFC2C" w14:textId="77777777">
        <w:trPr>
          <w:cantSplit/>
        </w:trPr>
        <w:tc>
          <w:tcPr>
            <w:tcW w:w="2808" w:type="dxa"/>
            <w:vAlign w:val="center"/>
          </w:tcPr>
          <w:p w14:paraId="691F52EB" w14:textId="77777777" w:rsidR="00672297" w:rsidRDefault="00A16EA3">
            <w:pPr>
              <w:spacing w:before="20" w:after="20"/>
              <w:jc w:val="left"/>
            </w:pPr>
            <w:r>
              <w:rPr>
                <w:rFonts w:cstheme="minorHAnsi"/>
                <w:sz w:val="20"/>
                <w:szCs w:val="20"/>
              </w:rPr>
              <w:t>VCB_blend_component_detail</w:t>
            </w:r>
          </w:p>
        </w:tc>
        <w:tc>
          <w:tcPr>
            <w:tcW w:w="2340" w:type="dxa"/>
            <w:vAlign w:val="center"/>
          </w:tcPr>
          <w:p w14:paraId="71BCF01D" w14:textId="6B369E6F" w:rsidR="00672297" w:rsidRDefault="000A106D">
            <w:pPr>
              <w:spacing w:before="20" w:after="20"/>
              <w:jc w:val="left"/>
            </w:pPr>
            <w:r>
              <w:rPr>
                <w:rFonts w:cstheme="minorHAnsi"/>
                <w:sz w:val="20"/>
                <w:szCs w:val="20"/>
              </w:rPr>
              <w:t>VCB Blend Component integration</w:t>
            </w:r>
          </w:p>
        </w:tc>
        <w:tc>
          <w:tcPr>
            <w:tcW w:w="2527" w:type="dxa"/>
            <w:vAlign w:val="center"/>
          </w:tcPr>
          <w:p w14:paraId="78547434" w14:textId="4F59C0B5" w:rsidR="00672297" w:rsidRDefault="00371C86">
            <w:pPr>
              <w:spacing w:before="20" w:after="20"/>
              <w:jc w:val="left"/>
            </w:pPr>
            <w:r>
              <w:rPr>
                <w:rFonts w:cstheme="minorHAnsi"/>
                <w:sz w:val="20"/>
                <w:szCs w:val="20"/>
              </w:rPr>
              <w:t>Daily at a specified time</w:t>
            </w:r>
          </w:p>
        </w:tc>
        <w:tc>
          <w:tcPr>
            <w:tcW w:w="1685" w:type="dxa"/>
            <w:vAlign w:val="center"/>
          </w:tcPr>
          <w:p w14:paraId="5AFAEFD7" w14:textId="77777777" w:rsidR="00672297" w:rsidRDefault="00A16EA3">
            <w:pPr>
              <w:spacing w:before="20" w:after="20"/>
              <w:jc w:val="left"/>
            </w:pPr>
            <w:r>
              <w:rPr>
                <w:rFonts w:cstheme="minorHAnsi"/>
                <w:sz w:val="20"/>
                <w:szCs w:val="20"/>
              </w:rPr>
              <w:t>Power BI refresh</w:t>
            </w:r>
          </w:p>
        </w:tc>
      </w:tr>
      <w:tr w:rsidR="00672297" w14:paraId="5F45A60A" w14:textId="77777777">
        <w:trPr>
          <w:cantSplit/>
        </w:trPr>
        <w:tc>
          <w:tcPr>
            <w:tcW w:w="2808" w:type="dxa"/>
            <w:vAlign w:val="center"/>
          </w:tcPr>
          <w:p w14:paraId="310A017F" w14:textId="77777777" w:rsidR="00672297" w:rsidRDefault="00A16EA3">
            <w:pPr>
              <w:spacing w:before="20" w:after="20"/>
              <w:jc w:val="left"/>
            </w:pPr>
            <w:r>
              <w:rPr>
                <w:rFonts w:cstheme="minorHAnsi"/>
                <w:sz w:val="20"/>
                <w:szCs w:val="20"/>
              </w:rPr>
              <w:t>VCB_blend_component_movement</w:t>
            </w:r>
          </w:p>
        </w:tc>
        <w:tc>
          <w:tcPr>
            <w:tcW w:w="2340" w:type="dxa"/>
            <w:vAlign w:val="center"/>
          </w:tcPr>
          <w:p w14:paraId="67E832FC" w14:textId="45EC031D" w:rsidR="00672297" w:rsidRDefault="000A106D">
            <w:pPr>
              <w:spacing w:before="20" w:after="20"/>
              <w:jc w:val="left"/>
            </w:pPr>
            <w:r>
              <w:rPr>
                <w:rFonts w:cstheme="minorHAnsi"/>
                <w:sz w:val="20"/>
                <w:szCs w:val="20"/>
              </w:rPr>
              <w:t>VCB Blend Component Movement integration</w:t>
            </w:r>
          </w:p>
        </w:tc>
        <w:tc>
          <w:tcPr>
            <w:tcW w:w="2527" w:type="dxa"/>
            <w:vAlign w:val="center"/>
          </w:tcPr>
          <w:p w14:paraId="51F8E32F" w14:textId="77777777" w:rsidR="00672297" w:rsidRDefault="00A16EA3">
            <w:pPr>
              <w:spacing w:before="20" w:after="20"/>
              <w:jc w:val="left"/>
            </w:pPr>
            <w:r>
              <w:rPr>
                <w:rFonts w:cstheme="minorHAnsi"/>
                <w:sz w:val="20"/>
                <w:szCs w:val="20"/>
              </w:rPr>
              <w:t>Daily at a specified time</w:t>
            </w:r>
          </w:p>
        </w:tc>
        <w:tc>
          <w:tcPr>
            <w:tcW w:w="1685" w:type="dxa"/>
            <w:vAlign w:val="center"/>
          </w:tcPr>
          <w:p w14:paraId="543062A8" w14:textId="77777777" w:rsidR="00672297" w:rsidRDefault="00A16EA3">
            <w:pPr>
              <w:spacing w:before="20" w:after="20"/>
              <w:jc w:val="left"/>
            </w:pPr>
            <w:r>
              <w:rPr>
                <w:rFonts w:cstheme="minorHAnsi"/>
                <w:sz w:val="20"/>
                <w:szCs w:val="20"/>
              </w:rPr>
              <w:t>Power BI refresh</w:t>
            </w:r>
          </w:p>
        </w:tc>
      </w:tr>
      <w:tr w:rsidR="00672297" w14:paraId="2D17B000" w14:textId="77777777">
        <w:trPr>
          <w:cantSplit/>
        </w:trPr>
        <w:tc>
          <w:tcPr>
            <w:tcW w:w="2808" w:type="dxa"/>
            <w:vAlign w:val="center"/>
          </w:tcPr>
          <w:p w14:paraId="0DFFB3C3" w14:textId="77777777" w:rsidR="00672297" w:rsidRDefault="00A16EA3">
            <w:pPr>
              <w:spacing w:before="20" w:after="20"/>
              <w:jc w:val="left"/>
            </w:pPr>
            <w:r>
              <w:rPr>
                <w:rFonts w:cstheme="minorHAnsi"/>
                <w:sz w:val="20"/>
                <w:szCs w:val="20"/>
              </w:rPr>
              <w:t>product_specification</w:t>
            </w:r>
          </w:p>
        </w:tc>
        <w:tc>
          <w:tcPr>
            <w:tcW w:w="2340" w:type="dxa"/>
            <w:vAlign w:val="center"/>
          </w:tcPr>
          <w:p w14:paraId="25A0096C" w14:textId="77777777" w:rsidR="00672297" w:rsidRDefault="00A16EA3">
            <w:pPr>
              <w:spacing w:before="20" w:after="20"/>
              <w:jc w:val="left"/>
            </w:pPr>
            <w:r>
              <w:rPr>
                <w:rFonts w:cstheme="minorHAnsi"/>
                <w:sz w:val="20"/>
                <w:szCs w:val="20"/>
              </w:rPr>
              <w:t>Database team</w:t>
            </w:r>
          </w:p>
        </w:tc>
        <w:tc>
          <w:tcPr>
            <w:tcW w:w="2527" w:type="dxa"/>
            <w:vAlign w:val="center"/>
          </w:tcPr>
          <w:p w14:paraId="079635F3" w14:textId="77777777" w:rsidR="00672297" w:rsidRDefault="00A16EA3">
            <w:pPr>
              <w:spacing w:before="20" w:after="20"/>
              <w:jc w:val="left"/>
            </w:pPr>
            <w:r>
              <w:rPr>
                <w:rFonts w:cstheme="minorHAnsi"/>
                <w:sz w:val="20"/>
                <w:szCs w:val="20"/>
              </w:rPr>
              <w:t>On change</w:t>
            </w:r>
          </w:p>
        </w:tc>
        <w:tc>
          <w:tcPr>
            <w:tcW w:w="1685" w:type="dxa"/>
            <w:vAlign w:val="center"/>
          </w:tcPr>
          <w:p w14:paraId="28A06A38" w14:textId="77777777" w:rsidR="00672297" w:rsidRDefault="00A16EA3">
            <w:pPr>
              <w:spacing w:before="20" w:after="20"/>
              <w:jc w:val="left"/>
            </w:pPr>
            <w:r>
              <w:rPr>
                <w:rFonts w:cstheme="minorHAnsi"/>
                <w:sz w:val="20"/>
                <w:szCs w:val="20"/>
              </w:rPr>
              <w:t>Next Power BI refresh</w:t>
            </w:r>
          </w:p>
        </w:tc>
      </w:tr>
      <w:tr w:rsidR="00672297" w14:paraId="07DE2CE1" w14:textId="77777777">
        <w:trPr>
          <w:cantSplit/>
        </w:trPr>
        <w:tc>
          <w:tcPr>
            <w:tcW w:w="2808" w:type="dxa"/>
            <w:vAlign w:val="center"/>
          </w:tcPr>
          <w:p w14:paraId="00C7B8AF" w14:textId="77777777" w:rsidR="00672297" w:rsidRDefault="00A16EA3">
            <w:pPr>
              <w:spacing w:before="20" w:after="20"/>
              <w:jc w:val="left"/>
            </w:pPr>
            <w:r>
              <w:rPr>
                <w:rFonts w:cstheme="minorHAnsi"/>
                <w:sz w:val="20"/>
                <w:szCs w:val="20"/>
              </w:rPr>
              <w:t>MPR_Price (Power BI)</w:t>
            </w:r>
          </w:p>
        </w:tc>
        <w:tc>
          <w:tcPr>
            <w:tcW w:w="2340" w:type="dxa"/>
            <w:vAlign w:val="center"/>
          </w:tcPr>
          <w:p w14:paraId="0904CC66" w14:textId="77777777" w:rsidR="00672297" w:rsidRDefault="00A16EA3">
            <w:pPr>
              <w:spacing w:before="20" w:after="20"/>
              <w:jc w:val="left"/>
            </w:pPr>
            <w:r>
              <w:rPr>
                <w:rFonts w:cstheme="minorHAnsi"/>
                <w:sz w:val="20"/>
                <w:szCs w:val="20"/>
              </w:rPr>
              <w:t>Power BI refresh - MPR API call</w:t>
            </w:r>
          </w:p>
        </w:tc>
        <w:tc>
          <w:tcPr>
            <w:tcW w:w="2527" w:type="dxa"/>
            <w:vAlign w:val="center"/>
          </w:tcPr>
          <w:p w14:paraId="182208B9" w14:textId="77777777" w:rsidR="00672297" w:rsidRDefault="00A16EA3">
            <w:pPr>
              <w:spacing w:before="20" w:after="20"/>
              <w:jc w:val="left"/>
            </w:pPr>
            <w:r>
              <w:rPr>
                <w:rFonts w:cstheme="minorHAnsi"/>
                <w:sz w:val="20"/>
                <w:szCs w:val="20"/>
              </w:rPr>
              <w:t>Each semantic model refresh</w:t>
            </w:r>
          </w:p>
        </w:tc>
        <w:tc>
          <w:tcPr>
            <w:tcW w:w="1685" w:type="dxa"/>
            <w:vAlign w:val="center"/>
          </w:tcPr>
          <w:p w14:paraId="6CB571DD" w14:textId="77777777" w:rsidR="00672297" w:rsidRDefault="00A16EA3">
            <w:pPr>
              <w:spacing w:before="20" w:after="20"/>
              <w:jc w:val="left"/>
            </w:pPr>
            <w:r>
              <w:rPr>
                <w:rFonts w:cstheme="minorHAnsi"/>
                <w:sz w:val="20"/>
                <w:szCs w:val="20"/>
              </w:rPr>
              <w:t>-</w:t>
            </w:r>
          </w:p>
        </w:tc>
      </w:tr>
      <w:tr w:rsidR="00672297" w14:paraId="3531191D" w14:textId="77777777">
        <w:trPr>
          <w:cantSplit/>
        </w:trPr>
        <w:tc>
          <w:tcPr>
            <w:tcW w:w="2808" w:type="dxa"/>
            <w:vAlign w:val="center"/>
          </w:tcPr>
          <w:p w14:paraId="716C59B9" w14:textId="77777777" w:rsidR="00672297" w:rsidRDefault="00A16EA3">
            <w:pPr>
              <w:spacing w:before="20" w:after="20"/>
              <w:jc w:val="left"/>
            </w:pPr>
            <w:r>
              <w:rPr>
                <w:rFonts w:cstheme="minorHAnsi"/>
                <w:sz w:val="20"/>
                <w:szCs w:val="20"/>
              </w:rPr>
              <w:t>VCB semantic model (Import)</w:t>
            </w:r>
          </w:p>
        </w:tc>
        <w:tc>
          <w:tcPr>
            <w:tcW w:w="2340" w:type="dxa"/>
            <w:vAlign w:val="center"/>
          </w:tcPr>
          <w:p w14:paraId="64BB11EE" w14:textId="77777777" w:rsidR="00672297" w:rsidRDefault="00A16EA3">
            <w:pPr>
              <w:spacing w:before="20" w:after="20"/>
              <w:jc w:val="left"/>
            </w:pPr>
            <w:r>
              <w:rPr>
                <w:rFonts w:cstheme="minorHAnsi"/>
                <w:sz w:val="20"/>
                <w:szCs w:val="20"/>
              </w:rPr>
              <w:t>Power BI Service scheduled refresh through the on-premises data gateway</w:t>
            </w:r>
          </w:p>
        </w:tc>
        <w:tc>
          <w:tcPr>
            <w:tcW w:w="2527" w:type="dxa"/>
            <w:vAlign w:val="center"/>
          </w:tcPr>
          <w:p w14:paraId="77ABBDE3" w14:textId="77777777" w:rsidR="00672297" w:rsidRDefault="00A16EA3">
            <w:pPr>
              <w:spacing w:before="20" w:after="20"/>
              <w:jc w:val="left"/>
            </w:pPr>
            <w:r>
              <w:rPr>
                <w:rFonts w:cstheme="minorHAnsi"/>
                <w:sz w:val="20"/>
                <w:szCs w:val="20"/>
              </w:rPr>
              <w:t>Daily; time open (gap RD-03, chapter 4)</w:t>
            </w:r>
          </w:p>
        </w:tc>
        <w:tc>
          <w:tcPr>
            <w:tcW w:w="1685" w:type="dxa"/>
            <w:vAlign w:val="center"/>
          </w:tcPr>
          <w:p w14:paraId="12A092EC" w14:textId="77777777" w:rsidR="00672297" w:rsidRDefault="00A16EA3">
            <w:pPr>
              <w:spacing w:before="20" w:after="20"/>
              <w:jc w:val="left"/>
            </w:pPr>
            <w:r>
              <w:rPr>
                <w:rFonts w:cstheme="minorHAnsi"/>
                <w:sz w:val="20"/>
                <w:szCs w:val="20"/>
              </w:rPr>
              <w:t>-</w:t>
            </w:r>
          </w:p>
        </w:tc>
      </w:tr>
    </w:tbl>
    <w:p w14:paraId="379D3BE9" w14:textId="2CAB5BF4" w:rsidR="00672297" w:rsidRDefault="00A16EA3">
      <w:pPr>
        <w:pStyle w:val="Caption"/>
      </w:pPr>
      <w:bookmarkStart w:id="348" w:name="_Toc900900015"/>
      <w:bookmarkStart w:id="349" w:name="_Toc241574673"/>
      <w:bookmarkStart w:id="350" w:name="_Toc242554057"/>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4</w:t>
      </w:r>
      <w:r>
        <w:fldChar w:fldCharType="end"/>
      </w:r>
      <w:r>
        <w:t>: Data Refresh Dependencies</w:t>
      </w:r>
      <w:bookmarkEnd w:id="348"/>
      <w:bookmarkEnd w:id="349"/>
      <w:bookmarkEnd w:id="350"/>
    </w:p>
    <w:p w14:paraId="26103356" w14:textId="79EE5352" w:rsidR="00672297" w:rsidRDefault="008A4F32">
      <w:pPr>
        <w:rPr>
          <w:rFonts w:cstheme="minorHAnsi"/>
          <w:sz w:val="20"/>
          <w:szCs w:val="20"/>
        </w:rPr>
      </w:pPr>
      <w:r>
        <w:rPr>
          <w:rFonts w:cstheme="minorHAnsi"/>
          <w:sz w:val="20"/>
          <w:szCs w:val="20"/>
        </w:rPr>
        <w:t xml:space="preserve">The run time of the </w:t>
      </w:r>
      <w:r w:rsidR="000A106D">
        <w:rPr>
          <w:rFonts w:cstheme="minorHAnsi"/>
          <w:sz w:val="20"/>
          <w:szCs w:val="20"/>
        </w:rPr>
        <w:t>transaction upload integration</w:t>
      </w:r>
      <w:r>
        <w:rPr>
          <w:rFonts w:cstheme="minorHAnsi"/>
          <w:sz w:val="20"/>
          <w:szCs w:val="20"/>
        </w:rPr>
        <w:t xml:space="preserve"> ("a specified time" in chapter 2) is held in the Schedule setting of its trigger function and is not yet set; the </w:t>
      </w:r>
      <w:r w:rsidR="000A106D">
        <w:rPr>
          <w:rFonts w:cstheme="minorHAnsi"/>
          <w:sz w:val="20"/>
          <w:szCs w:val="20"/>
        </w:rPr>
        <w:t>PIAF integration</w:t>
      </w:r>
      <w:r>
        <w:rPr>
          <w:rFonts w:cstheme="minorHAnsi"/>
          <w:sz w:val="20"/>
          <w:szCs w:val="20"/>
        </w:rPr>
        <w:t xml:space="preserve"> runs </w:t>
      </w:r>
      <w:r w:rsidR="00371C86">
        <w:rPr>
          <w:rFonts w:cstheme="minorHAnsi"/>
          <w:sz w:val="20"/>
          <w:szCs w:val="20"/>
        </w:rPr>
        <w:t>every day at a specified time</w:t>
      </w:r>
      <w:r>
        <w:rPr>
          <w:rFonts w:cstheme="minorHAnsi"/>
          <w:sz w:val="20"/>
          <w:szCs w:val="20"/>
        </w:rPr>
        <w:t>.</w:t>
      </w:r>
      <w:r w:rsidR="00A16EA3">
        <w:rPr>
          <w:rFonts w:cstheme="minorHAnsi"/>
          <w:sz w:val="20"/>
          <w:szCs w:val="20"/>
        </w:rPr>
        <w:t xml:space="preserve"> The Power BI refresh is scheduled after the latest of these run times; the run times and the refresh time are listed as gaps (DP-17, RD-03).</w:t>
      </w:r>
    </w:p>
    <w:p w14:paraId="568E2DFA" w14:textId="77777777" w:rsidR="00672297" w:rsidRDefault="00A16EA3">
      <w:pPr>
        <w:pStyle w:val="Heading3"/>
        <w:rPr>
          <w:rFonts w:asciiTheme="minorHAnsi" w:hAnsiTheme="minorHAnsi" w:cstheme="minorBidi"/>
          <w:sz w:val="20"/>
          <w:szCs w:val="20"/>
        </w:rPr>
      </w:pPr>
      <w:bookmarkStart w:id="351" w:name="_Toc241574320"/>
      <w:bookmarkStart w:id="352" w:name="_Toc242553942"/>
      <w:r>
        <w:rPr>
          <w:rFonts w:asciiTheme="minorHAnsi" w:hAnsiTheme="minorHAnsi" w:cstheme="minorBidi"/>
          <w:sz w:val="20"/>
          <w:szCs w:val="20"/>
        </w:rPr>
        <w:t>Historical Data Requirements</w:t>
      </w:r>
      <w:bookmarkEnd w:id="351"/>
      <w:bookmarkEnd w:id="352"/>
    </w:p>
    <w:p w14:paraId="2786B174" w14:textId="7FBA04F2" w:rsidR="00672297" w:rsidRDefault="00A16EA3" w:rsidP="00652CF3">
      <w:pPr>
        <w:pStyle w:val="ListParagraph"/>
        <w:numPr>
          <w:ilvl w:val="0"/>
          <w:numId w:val="6"/>
        </w:numPr>
        <w:jc w:val="left"/>
        <w:rPr>
          <w:rFonts w:cstheme="minorHAnsi"/>
          <w:sz w:val="20"/>
          <w:szCs w:val="20"/>
        </w:rPr>
      </w:pPr>
      <w:r>
        <w:rPr>
          <w:rFonts w:cstheme="minorHAnsi"/>
          <w:sz w:val="20"/>
          <w:szCs w:val="20"/>
        </w:rPr>
        <w:t xml:space="preserve">IQDM keeps 3 months of past data for its entities. For VCB, the past data is kept for at least 3 years </w:t>
      </w:r>
      <w:r w:rsidR="008F2422">
        <w:rPr>
          <w:rFonts w:cstheme="minorHAnsi"/>
          <w:sz w:val="20"/>
          <w:szCs w:val="20"/>
        </w:rPr>
        <w:t>(chapter 2, Scope)</w:t>
      </w:r>
      <w:r>
        <w:rPr>
          <w:rFonts w:cstheme="minorHAnsi"/>
          <w:sz w:val="20"/>
          <w:szCs w:val="20"/>
        </w:rPr>
        <w:t>. This applies to the VCB_ domain tables and to the IQDM entities that the VCB KPI dashboards aggregate over time (movements, quality and inventory of delivered batches).</w:t>
      </w:r>
    </w:p>
    <w:p w14:paraId="75527C9D"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mechanism that keeps 3 years of the IQDM-owned entities (extension of the IQDM retention for the VCB-relevant rows, or a VCB history copy) is not decided - gap DP-03.</w:t>
      </w:r>
    </w:p>
    <w:p w14:paraId="78838C31"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The Gasoline KPI and Distillate KPI dashboards report by week and month over the selected date range; the Supply dashboard reports a forward daily position; the Refinery-Wide, Blending Potential and Distillate dashboards report current scheduled and in-transit batches plus recently delivered ones.</w:t>
      </w:r>
    </w:p>
    <w:p w14:paraId="69A62910" w14:textId="77777777" w:rsidR="00672297" w:rsidRDefault="00A16EA3" w:rsidP="00652CF3">
      <w:pPr>
        <w:pStyle w:val="ListParagraph"/>
        <w:numPr>
          <w:ilvl w:val="0"/>
          <w:numId w:val="6"/>
        </w:numPr>
        <w:jc w:val="left"/>
        <w:rPr>
          <w:rFonts w:cstheme="minorHAnsi"/>
          <w:sz w:val="20"/>
          <w:szCs w:val="20"/>
        </w:rPr>
      </w:pPr>
      <w:r>
        <w:rPr>
          <w:rFonts w:cstheme="minorHAnsi"/>
          <w:sz w:val="20"/>
          <w:szCs w:val="20"/>
        </w:rPr>
        <w:t>MPR prices are not stored in the IQDM database; the MPR_Price table of the semantic model is replaced at each refresh, so the history of prices available to the value-loss calculation depends on the periods requested from the MPR API (gap RD-01).</w:t>
      </w:r>
    </w:p>
    <w:p w14:paraId="26822EFE" w14:textId="028CF664" w:rsidR="00672297" w:rsidRDefault="00A16EA3" w:rsidP="00652CF3">
      <w:pPr>
        <w:pStyle w:val="ListParagraph"/>
        <w:numPr>
          <w:ilvl w:val="0"/>
          <w:numId w:val="6"/>
        </w:numPr>
        <w:jc w:val="left"/>
        <w:rPr>
          <w:rFonts w:cstheme="minorHAnsi"/>
          <w:sz w:val="20"/>
          <w:szCs w:val="20"/>
        </w:rPr>
      </w:pPr>
      <w:r>
        <w:rPr>
          <w:rFonts w:cstheme="minorHAnsi"/>
          <w:sz w:val="20"/>
          <w:szCs w:val="20"/>
        </w:rPr>
        <w:t xml:space="preserve">No initial historical backfill is described in the provided material. Whether the VCB tables are backfilled at go-live (PIAF </w:t>
      </w:r>
      <w:r w:rsidR="00BE31EA">
        <w:rPr>
          <w:rFonts w:cstheme="minorHAnsi"/>
          <w:sz w:val="20"/>
          <w:szCs w:val="20"/>
        </w:rPr>
        <w:t>interpolated</w:t>
      </w:r>
      <w:r>
        <w:rPr>
          <w:rFonts w:cstheme="minorHAnsi"/>
          <w:sz w:val="20"/>
          <w:szCs w:val="20"/>
        </w:rPr>
        <w:t xml:space="preserve"> values, past transaction upload rows) is gap DP-18.</w:t>
      </w:r>
    </w:p>
    <w:p w14:paraId="6B519A7E" w14:textId="77777777" w:rsidR="00672297" w:rsidRDefault="00A16EA3">
      <w:pPr>
        <w:pStyle w:val="Heading3"/>
        <w:rPr>
          <w:rFonts w:asciiTheme="minorHAnsi" w:hAnsiTheme="minorHAnsi" w:cstheme="minorBidi"/>
          <w:sz w:val="20"/>
          <w:szCs w:val="20"/>
        </w:rPr>
      </w:pPr>
      <w:bookmarkStart w:id="353" w:name="_Toc241574321"/>
      <w:bookmarkStart w:id="354" w:name="_Toc242553943"/>
      <w:r>
        <w:rPr>
          <w:rFonts w:asciiTheme="minorHAnsi" w:hAnsiTheme="minorHAnsi" w:cstheme="minorBidi"/>
          <w:sz w:val="20"/>
          <w:szCs w:val="20"/>
        </w:rPr>
        <w:t>Data Retention &amp; Archival Framework</w:t>
      </w:r>
      <w:bookmarkEnd w:id="353"/>
      <w:bookmarkEnd w:id="354"/>
    </w:p>
    <w:p w14:paraId="34A0B3E8" w14:textId="77777777" w:rsidR="00672297" w:rsidRDefault="00A16EA3">
      <w:pPr>
        <w:rPr>
          <w:rFonts w:cstheme="minorHAnsi"/>
          <w:sz w:val="20"/>
          <w:szCs w:val="20"/>
        </w:rPr>
      </w:pPr>
      <w:r>
        <w:rPr>
          <w:rFonts w:cstheme="minorHAnsi"/>
          <w:sz w:val="20"/>
          <w:szCs w:val="20"/>
        </w:rPr>
        <w:t>The archival framework ensures performance, storage efficiency and compliance by managing historical data in the IQDM database. Retention and purge policies are configurable; archival and purge are executed through scheduled housekeeping jobs outside the dashboard refresh window.</w:t>
      </w:r>
    </w:p>
    <w:tbl>
      <w:tblPr>
        <w:tblStyle w:val="TableGrid"/>
        <w:tblW w:w="9360" w:type="dxa"/>
        <w:tblLayout w:type="fixed"/>
        <w:tblCellMar>
          <w:left w:w="70" w:type="dxa"/>
          <w:right w:w="70" w:type="dxa"/>
        </w:tblCellMar>
        <w:tblLook w:val="04A0" w:firstRow="1" w:lastRow="0" w:firstColumn="1" w:lastColumn="0" w:noHBand="0" w:noVBand="1"/>
      </w:tblPr>
      <w:tblGrid>
        <w:gridCol w:w="1591"/>
        <w:gridCol w:w="1216"/>
        <w:gridCol w:w="1029"/>
        <w:gridCol w:w="1778"/>
        <w:gridCol w:w="1029"/>
        <w:gridCol w:w="1497"/>
        <w:gridCol w:w="1220"/>
      </w:tblGrid>
      <w:tr w:rsidR="00672297" w14:paraId="41B4801A" w14:textId="77777777">
        <w:trPr>
          <w:cantSplit/>
          <w:tblHeader/>
        </w:trPr>
        <w:tc>
          <w:tcPr>
            <w:tcW w:w="1591" w:type="dxa"/>
            <w:shd w:val="clear" w:color="auto" w:fill="2F5496"/>
            <w:vAlign w:val="center"/>
          </w:tcPr>
          <w:p w14:paraId="1422A6EC" w14:textId="77777777" w:rsidR="00672297" w:rsidRDefault="00A16EA3">
            <w:pPr>
              <w:spacing w:before="20" w:after="20"/>
              <w:jc w:val="left"/>
            </w:pPr>
            <w:r>
              <w:rPr>
                <w:rFonts w:cstheme="minorHAnsi"/>
                <w:b/>
                <w:bCs/>
                <w:color w:val="FFFFFF"/>
                <w:sz w:val="16"/>
                <w:szCs w:val="16"/>
              </w:rPr>
              <w:t>Layer</w:t>
            </w:r>
          </w:p>
        </w:tc>
        <w:tc>
          <w:tcPr>
            <w:tcW w:w="1216" w:type="dxa"/>
            <w:shd w:val="clear" w:color="auto" w:fill="2F5496"/>
            <w:vAlign w:val="center"/>
          </w:tcPr>
          <w:p w14:paraId="106A64D5" w14:textId="77777777" w:rsidR="00672297" w:rsidRDefault="00A16EA3">
            <w:pPr>
              <w:spacing w:before="20" w:after="20"/>
              <w:jc w:val="left"/>
            </w:pPr>
            <w:r>
              <w:rPr>
                <w:rFonts w:cstheme="minorHAnsi"/>
                <w:b/>
                <w:bCs/>
                <w:color w:val="FFFFFF"/>
                <w:sz w:val="16"/>
                <w:szCs w:val="16"/>
              </w:rPr>
              <w:t>Strategy</w:t>
            </w:r>
          </w:p>
        </w:tc>
        <w:tc>
          <w:tcPr>
            <w:tcW w:w="1029" w:type="dxa"/>
            <w:shd w:val="clear" w:color="auto" w:fill="2F5496"/>
            <w:vAlign w:val="center"/>
          </w:tcPr>
          <w:p w14:paraId="5CAB0297" w14:textId="77777777" w:rsidR="00672297" w:rsidRDefault="00A16EA3">
            <w:pPr>
              <w:spacing w:before="20" w:after="20"/>
              <w:jc w:val="left"/>
            </w:pPr>
            <w:r>
              <w:rPr>
                <w:rFonts w:cstheme="minorHAnsi"/>
                <w:b/>
                <w:bCs/>
                <w:color w:val="FFFFFF"/>
                <w:sz w:val="16"/>
                <w:szCs w:val="16"/>
              </w:rPr>
              <w:t>Retention Required</w:t>
            </w:r>
          </w:p>
        </w:tc>
        <w:tc>
          <w:tcPr>
            <w:tcW w:w="1778" w:type="dxa"/>
            <w:shd w:val="clear" w:color="auto" w:fill="2F5496"/>
            <w:vAlign w:val="center"/>
          </w:tcPr>
          <w:p w14:paraId="278F3213" w14:textId="77777777" w:rsidR="00672297" w:rsidRDefault="00A16EA3">
            <w:pPr>
              <w:spacing w:before="20" w:after="20"/>
              <w:jc w:val="left"/>
            </w:pPr>
            <w:r>
              <w:rPr>
                <w:rFonts w:cstheme="minorHAnsi"/>
                <w:b/>
                <w:bCs/>
                <w:color w:val="FFFFFF"/>
                <w:sz w:val="16"/>
                <w:szCs w:val="16"/>
              </w:rPr>
              <w:t>Retention Period</w:t>
            </w:r>
          </w:p>
        </w:tc>
        <w:tc>
          <w:tcPr>
            <w:tcW w:w="1029" w:type="dxa"/>
            <w:shd w:val="clear" w:color="auto" w:fill="2F5496"/>
            <w:vAlign w:val="center"/>
          </w:tcPr>
          <w:p w14:paraId="3B80C6DD" w14:textId="77777777" w:rsidR="00672297" w:rsidRDefault="00A16EA3">
            <w:pPr>
              <w:spacing w:before="20" w:after="20"/>
              <w:jc w:val="left"/>
            </w:pPr>
            <w:r>
              <w:rPr>
                <w:rFonts w:cstheme="minorHAnsi"/>
                <w:b/>
                <w:bCs/>
                <w:color w:val="FFFFFF"/>
                <w:sz w:val="16"/>
                <w:szCs w:val="16"/>
              </w:rPr>
              <w:t>Archival Required</w:t>
            </w:r>
          </w:p>
        </w:tc>
        <w:tc>
          <w:tcPr>
            <w:tcW w:w="1497" w:type="dxa"/>
            <w:shd w:val="clear" w:color="auto" w:fill="2F5496"/>
            <w:vAlign w:val="center"/>
          </w:tcPr>
          <w:p w14:paraId="5659DC75" w14:textId="77777777" w:rsidR="00672297" w:rsidRDefault="00A16EA3">
            <w:pPr>
              <w:spacing w:before="20" w:after="20"/>
              <w:jc w:val="left"/>
            </w:pPr>
            <w:r>
              <w:rPr>
                <w:rFonts w:cstheme="minorHAnsi"/>
                <w:b/>
                <w:bCs/>
                <w:color w:val="FFFFFF"/>
                <w:sz w:val="16"/>
                <w:szCs w:val="16"/>
              </w:rPr>
              <w:t>Purge Strategy</w:t>
            </w:r>
          </w:p>
        </w:tc>
        <w:tc>
          <w:tcPr>
            <w:tcW w:w="1220" w:type="dxa"/>
            <w:shd w:val="clear" w:color="auto" w:fill="2F5496"/>
            <w:vAlign w:val="center"/>
          </w:tcPr>
          <w:p w14:paraId="506B5BFB" w14:textId="77777777" w:rsidR="00672297" w:rsidRDefault="00A16EA3">
            <w:pPr>
              <w:spacing w:before="20" w:after="20"/>
              <w:jc w:val="left"/>
            </w:pPr>
            <w:r>
              <w:rPr>
                <w:rFonts w:cstheme="minorHAnsi"/>
                <w:b/>
                <w:bCs/>
                <w:color w:val="FFFFFF"/>
                <w:sz w:val="16"/>
                <w:szCs w:val="16"/>
              </w:rPr>
              <w:t>Purge Frequency</w:t>
            </w:r>
          </w:p>
        </w:tc>
      </w:tr>
      <w:tr w:rsidR="00672297" w14:paraId="5F13342B" w14:textId="77777777">
        <w:trPr>
          <w:cantSplit/>
        </w:trPr>
        <w:tc>
          <w:tcPr>
            <w:tcW w:w="1591" w:type="dxa"/>
            <w:vAlign w:val="center"/>
          </w:tcPr>
          <w:p w14:paraId="44A35011" w14:textId="77777777" w:rsidR="00672297" w:rsidRDefault="00A16EA3">
            <w:pPr>
              <w:spacing w:before="20" w:after="20"/>
              <w:jc w:val="left"/>
            </w:pPr>
            <w:r>
              <w:rPr>
                <w:rFonts w:cstheme="minorHAnsi"/>
                <w:sz w:val="16"/>
                <w:szCs w:val="16"/>
              </w:rPr>
              <w:t>IQDM domain tables</w:t>
            </w:r>
          </w:p>
        </w:tc>
        <w:tc>
          <w:tcPr>
            <w:tcW w:w="1216" w:type="dxa"/>
            <w:vAlign w:val="center"/>
          </w:tcPr>
          <w:p w14:paraId="48438839" w14:textId="77777777" w:rsidR="00672297" w:rsidRDefault="00A16EA3">
            <w:pPr>
              <w:spacing w:before="20" w:after="20"/>
              <w:jc w:val="left"/>
            </w:pPr>
            <w:r>
              <w:rPr>
                <w:rFonts w:cstheme="minorHAnsi"/>
                <w:sz w:val="16"/>
                <w:szCs w:val="16"/>
              </w:rPr>
              <w:t>Incremental storage</w:t>
            </w:r>
          </w:p>
        </w:tc>
        <w:tc>
          <w:tcPr>
            <w:tcW w:w="1029" w:type="dxa"/>
            <w:vAlign w:val="center"/>
          </w:tcPr>
          <w:p w14:paraId="61CDC9B2" w14:textId="77777777" w:rsidR="00672297" w:rsidRDefault="00A16EA3">
            <w:pPr>
              <w:spacing w:before="20" w:after="20"/>
              <w:jc w:val="left"/>
            </w:pPr>
            <w:r>
              <w:rPr>
                <w:rFonts w:cstheme="minorHAnsi"/>
                <w:sz w:val="16"/>
                <w:szCs w:val="16"/>
              </w:rPr>
              <w:t>Yes</w:t>
            </w:r>
          </w:p>
        </w:tc>
        <w:tc>
          <w:tcPr>
            <w:tcW w:w="1778" w:type="dxa"/>
            <w:vAlign w:val="center"/>
          </w:tcPr>
          <w:p w14:paraId="2EBFAD72" w14:textId="77777777" w:rsidR="00672297" w:rsidRDefault="00A16EA3">
            <w:pPr>
              <w:spacing w:before="20" w:after="20"/>
              <w:jc w:val="left"/>
            </w:pPr>
            <w:r>
              <w:rPr>
                <w:rFonts w:cstheme="minorHAnsi"/>
                <w:sz w:val="16"/>
                <w:szCs w:val="16"/>
              </w:rPr>
              <w:t>3 months (IQDM); VCB-relevant rows at least 3 years (gap DP-03)</w:t>
            </w:r>
          </w:p>
        </w:tc>
        <w:tc>
          <w:tcPr>
            <w:tcW w:w="1029" w:type="dxa"/>
            <w:vAlign w:val="center"/>
          </w:tcPr>
          <w:p w14:paraId="0A6DCAF4" w14:textId="77777777" w:rsidR="00672297" w:rsidRDefault="00A16EA3">
            <w:pPr>
              <w:spacing w:before="20" w:after="20"/>
              <w:jc w:val="left"/>
            </w:pPr>
            <w:r>
              <w:rPr>
                <w:rFonts w:cstheme="minorHAnsi"/>
                <w:sz w:val="16"/>
                <w:szCs w:val="16"/>
              </w:rPr>
              <w:t>Yes</w:t>
            </w:r>
          </w:p>
        </w:tc>
        <w:tc>
          <w:tcPr>
            <w:tcW w:w="1497" w:type="dxa"/>
            <w:vAlign w:val="center"/>
          </w:tcPr>
          <w:p w14:paraId="310FB2A1" w14:textId="77777777" w:rsidR="00672297" w:rsidRDefault="00A16EA3">
            <w:pPr>
              <w:spacing w:before="20" w:after="20"/>
              <w:jc w:val="left"/>
            </w:pPr>
            <w:r>
              <w:rPr>
                <w:rFonts w:cstheme="minorHAnsi"/>
                <w:sz w:val="16"/>
                <w:szCs w:val="16"/>
              </w:rPr>
              <w:t>Based on retention policy</w:t>
            </w:r>
          </w:p>
        </w:tc>
        <w:tc>
          <w:tcPr>
            <w:tcW w:w="1220" w:type="dxa"/>
            <w:vAlign w:val="center"/>
          </w:tcPr>
          <w:p w14:paraId="4244A8F9" w14:textId="77777777" w:rsidR="00672297" w:rsidRDefault="00A16EA3">
            <w:pPr>
              <w:spacing w:before="20" w:after="20"/>
              <w:jc w:val="left"/>
            </w:pPr>
            <w:r>
              <w:rPr>
                <w:rFonts w:cstheme="minorHAnsi"/>
                <w:sz w:val="16"/>
                <w:szCs w:val="16"/>
              </w:rPr>
              <w:t>As per retention configuration</w:t>
            </w:r>
          </w:p>
        </w:tc>
      </w:tr>
      <w:tr w:rsidR="00672297" w14:paraId="1479545A" w14:textId="77777777">
        <w:trPr>
          <w:cantSplit/>
        </w:trPr>
        <w:tc>
          <w:tcPr>
            <w:tcW w:w="1591" w:type="dxa"/>
            <w:vAlign w:val="center"/>
          </w:tcPr>
          <w:p w14:paraId="7EC53C0B" w14:textId="0A0E7036" w:rsidR="00672297" w:rsidRDefault="000A106D">
            <w:pPr>
              <w:spacing w:before="20" w:after="20"/>
              <w:jc w:val="left"/>
            </w:pPr>
            <w:r>
              <w:rPr>
                <w:rFonts w:cstheme="minorHAnsi"/>
                <w:sz w:val="16"/>
                <w:szCs w:val="16"/>
              </w:rPr>
              <w:t>VCB integration target tables</w:t>
            </w:r>
            <w:r w:rsidR="00A16EA3">
              <w:rPr>
                <w:rFonts w:cstheme="minorHAnsi"/>
                <w:sz w:val="16"/>
                <w:szCs w:val="16"/>
              </w:rPr>
              <w:t xml:space="preserve"> (VCB_blend_component_detail, VCB_blend_component_movement)</w:t>
            </w:r>
          </w:p>
        </w:tc>
        <w:tc>
          <w:tcPr>
            <w:tcW w:w="1216" w:type="dxa"/>
            <w:vAlign w:val="center"/>
          </w:tcPr>
          <w:p w14:paraId="6F9D7DCF" w14:textId="77777777" w:rsidR="00672297" w:rsidRDefault="00A16EA3">
            <w:pPr>
              <w:spacing w:before="20" w:after="20"/>
              <w:jc w:val="left"/>
            </w:pPr>
            <w:r>
              <w:rPr>
                <w:rFonts w:cstheme="minorHAnsi"/>
                <w:sz w:val="16"/>
                <w:szCs w:val="16"/>
              </w:rPr>
              <w:t>Incremental storage</w:t>
            </w:r>
          </w:p>
        </w:tc>
        <w:tc>
          <w:tcPr>
            <w:tcW w:w="1029" w:type="dxa"/>
            <w:vAlign w:val="center"/>
          </w:tcPr>
          <w:p w14:paraId="07F06C4F" w14:textId="77777777" w:rsidR="00672297" w:rsidRDefault="00A16EA3">
            <w:pPr>
              <w:spacing w:before="20" w:after="20"/>
              <w:jc w:val="left"/>
            </w:pPr>
            <w:r>
              <w:rPr>
                <w:rFonts w:cstheme="minorHAnsi"/>
                <w:sz w:val="16"/>
                <w:szCs w:val="16"/>
              </w:rPr>
              <w:t>Yes</w:t>
            </w:r>
          </w:p>
        </w:tc>
        <w:tc>
          <w:tcPr>
            <w:tcW w:w="1778" w:type="dxa"/>
            <w:vAlign w:val="center"/>
          </w:tcPr>
          <w:p w14:paraId="2D77BACA" w14:textId="77777777" w:rsidR="00672297" w:rsidRDefault="00A16EA3">
            <w:pPr>
              <w:spacing w:before="20" w:after="20"/>
              <w:jc w:val="left"/>
            </w:pPr>
            <w:r>
              <w:rPr>
                <w:rFonts w:cstheme="minorHAnsi"/>
                <w:sz w:val="16"/>
                <w:szCs w:val="16"/>
              </w:rPr>
              <w:t>At least 3 years</w:t>
            </w:r>
          </w:p>
        </w:tc>
        <w:tc>
          <w:tcPr>
            <w:tcW w:w="1029" w:type="dxa"/>
            <w:vAlign w:val="center"/>
          </w:tcPr>
          <w:p w14:paraId="654591AD" w14:textId="77777777" w:rsidR="00672297" w:rsidRDefault="00A16EA3">
            <w:pPr>
              <w:spacing w:before="20" w:after="20"/>
              <w:jc w:val="left"/>
            </w:pPr>
            <w:r>
              <w:rPr>
                <w:rFonts w:cstheme="minorHAnsi"/>
                <w:sz w:val="16"/>
                <w:szCs w:val="16"/>
              </w:rPr>
              <w:t>Open (gap DP-03)</w:t>
            </w:r>
          </w:p>
        </w:tc>
        <w:tc>
          <w:tcPr>
            <w:tcW w:w="1497" w:type="dxa"/>
            <w:vAlign w:val="center"/>
          </w:tcPr>
          <w:p w14:paraId="38F27FD3" w14:textId="77777777" w:rsidR="00672297" w:rsidRDefault="00A16EA3">
            <w:pPr>
              <w:spacing w:before="20" w:after="20"/>
              <w:jc w:val="left"/>
            </w:pPr>
            <w:r>
              <w:rPr>
                <w:rFonts w:cstheme="minorHAnsi"/>
                <w:sz w:val="16"/>
                <w:szCs w:val="16"/>
              </w:rPr>
              <w:t>Hard delete of rows older than the retention period</w:t>
            </w:r>
          </w:p>
        </w:tc>
        <w:tc>
          <w:tcPr>
            <w:tcW w:w="1220" w:type="dxa"/>
            <w:vAlign w:val="center"/>
          </w:tcPr>
          <w:p w14:paraId="4A1EA3A9" w14:textId="77777777" w:rsidR="00672297" w:rsidRDefault="00A16EA3">
            <w:pPr>
              <w:spacing w:before="20" w:after="20"/>
              <w:jc w:val="left"/>
            </w:pPr>
            <w:r>
              <w:rPr>
                <w:rFonts w:cstheme="minorHAnsi"/>
                <w:sz w:val="16"/>
                <w:szCs w:val="16"/>
              </w:rPr>
              <w:t>Open (gap DP-03)</w:t>
            </w:r>
          </w:p>
        </w:tc>
      </w:tr>
      <w:tr w:rsidR="00672297" w14:paraId="076FF4CE" w14:textId="77777777">
        <w:trPr>
          <w:cantSplit/>
        </w:trPr>
        <w:tc>
          <w:tcPr>
            <w:tcW w:w="1591" w:type="dxa"/>
            <w:vAlign w:val="center"/>
          </w:tcPr>
          <w:p w14:paraId="0DA5BEE4" w14:textId="77777777" w:rsidR="00672297" w:rsidRDefault="00A16EA3">
            <w:pPr>
              <w:spacing w:before="20" w:after="20"/>
              <w:jc w:val="left"/>
            </w:pPr>
            <w:r>
              <w:rPr>
                <w:rFonts w:cstheme="minorHAnsi"/>
                <w:sz w:val="16"/>
                <w:szCs w:val="16"/>
              </w:rPr>
              <w:t>product_specification</w:t>
            </w:r>
          </w:p>
        </w:tc>
        <w:tc>
          <w:tcPr>
            <w:tcW w:w="1216" w:type="dxa"/>
            <w:vAlign w:val="center"/>
          </w:tcPr>
          <w:p w14:paraId="2A98DB2A" w14:textId="77777777" w:rsidR="00672297" w:rsidRDefault="00A16EA3">
            <w:pPr>
              <w:spacing w:before="20" w:after="20"/>
              <w:jc w:val="left"/>
            </w:pPr>
            <w:r>
              <w:rPr>
                <w:rFonts w:cstheme="minorHAnsi"/>
                <w:sz w:val="16"/>
                <w:szCs w:val="16"/>
              </w:rPr>
              <w:t>Versioned full reload</w:t>
            </w:r>
          </w:p>
        </w:tc>
        <w:tc>
          <w:tcPr>
            <w:tcW w:w="1029" w:type="dxa"/>
            <w:vAlign w:val="center"/>
          </w:tcPr>
          <w:p w14:paraId="451CA5C9" w14:textId="77777777" w:rsidR="00672297" w:rsidRDefault="00A16EA3">
            <w:pPr>
              <w:spacing w:before="20" w:after="20"/>
              <w:jc w:val="left"/>
            </w:pPr>
            <w:r>
              <w:rPr>
                <w:rFonts w:cstheme="minorHAnsi"/>
                <w:sz w:val="16"/>
                <w:szCs w:val="16"/>
              </w:rPr>
              <w:t>Yes</w:t>
            </w:r>
          </w:p>
        </w:tc>
        <w:tc>
          <w:tcPr>
            <w:tcW w:w="1778" w:type="dxa"/>
            <w:vAlign w:val="center"/>
          </w:tcPr>
          <w:p w14:paraId="7710ED74" w14:textId="77777777" w:rsidR="00672297" w:rsidRDefault="00A16EA3">
            <w:pPr>
              <w:spacing w:before="20" w:after="20"/>
              <w:jc w:val="left"/>
            </w:pPr>
            <w:r>
              <w:rPr>
                <w:rFonts w:cstheme="minorHAnsi"/>
                <w:sz w:val="16"/>
                <w:szCs w:val="16"/>
              </w:rPr>
              <w:t>All versions kept</w:t>
            </w:r>
          </w:p>
        </w:tc>
        <w:tc>
          <w:tcPr>
            <w:tcW w:w="1029" w:type="dxa"/>
            <w:vAlign w:val="center"/>
          </w:tcPr>
          <w:p w14:paraId="5F726862" w14:textId="77777777" w:rsidR="00672297" w:rsidRDefault="00A16EA3">
            <w:pPr>
              <w:spacing w:before="20" w:after="20"/>
              <w:jc w:val="left"/>
            </w:pPr>
            <w:r>
              <w:rPr>
                <w:rFonts w:cstheme="minorHAnsi"/>
                <w:sz w:val="16"/>
                <w:szCs w:val="16"/>
              </w:rPr>
              <w:t>No</w:t>
            </w:r>
          </w:p>
        </w:tc>
        <w:tc>
          <w:tcPr>
            <w:tcW w:w="1497" w:type="dxa"/>
            <w:vAlign w:val="center"/>
          </w:tcPr>
          <w:p w14:paraId="431B7183" w14:textId="77777777" w:rsidR="00672297" w:rsidRDefault="00A16EA3">
            <w:pPr>
              <w:spacing w:before="20" w:after="20"/>
              <w:jc w:val="left"/>
            </w:pPr>
            <w:r>
              <w:rPr>
                <w:rFonts w:cstheme="minorHAnsi"/>
                <w:sz w:val="16"/>
                <w:szCs w:val="16"/>
              </w:rPr>
              <w:t>None</w:t>
            </w:r>
          </w:p>
        </w:tc>
        <w:tc>
          <w:tcPr>
            <w:tcW w:w="1220" w:type="dxa"/>
            <w:vAlign w:val="center"/>
          </w:tcPr>
          <w:p w14:paraId="0EDE7660" w14:textId="77777777" w:rsidR="00672297" w:rsidRDefault="00A16EA3">
            <w:pPr>
              <w:spacing w:before="20" w:after="20"/>
              <w:jc w:val="left"/>
            </w:pPr>
            <w:r>
              <w:rPr>
                <w:rFonts w:cstheme="minorHAnsi"/>
                <w:sz w:val="16"/>
                <w:szCs w:val="16"/>
              </w:rPr>
              <w:t>None</w:t>
            </w:r>
          </w:p>
        </w:tc>
      </w:tr>
      <w:tr w:rsidR="00672297" w14:paraId="4C1DDE16" w14:textId="77777777">
        <w:trPr>
          <w:cantSplit/>
        </w:trPr>
        <w:tc>
          <w:tcPr>
            <w:tcW w:w="1591" w:type="dxa"/>
            <w:vAlign w:val="center"/>
          </w:tcPr>
          <w:p w14:paraId="6D0F3197" w14:textId="77777777" w:rsidR="00672297" w:rsidRDefault="00A16EA3">
            <w:pPr>
              <w:spacing w:before="20" w:after="20"/>
              <w:jc w:val="left"/>
            </w:pPr>
            <w:r>
              <w:rPr>
                <w:rFonts w:cstheme="minorHAnsi"/>
                <w:sz w:val="16"/>
                <w:szCs w:val="16"/>
              </w:rPr>
              <w:t>Archive tables</w:t>
            </w:r>
          </w:p>
        </w:tc>
        <w:tc>
          <w:tcPr>
            <w:tcW w:w="1216" w:type="dxa"/>
            <w:vAlign w:val="center"/>
          </w:tcPr>
          <w:p w14:paraId="7AEE54E1" w14:textId="77777777" w:rsidR="00672297" w:rsidRDefault="00A16EA3">
            <w:pPr>
              <w:spacing w:before="20" w:after="20"/>
              <w:jc w:val="left"/>
            </w:pPr>
            <w:r>
              <w:rPr>
                <w:rFonts w:cstheme="minorHAnsi"/>
                <w:sz w:val="16"/>
                <w:szCs w:val="16"/>
              </w:rPr>
              <w:t>Historical storage</w:t>
            </w:r>
          </w:p>
        </w:tc>
        <w:tc>
          <w:tcPr>
            <w:tcW w:w="1029" w:type="dxa"/>
            <w:vAlign w:val="center"/>
          </w:tcPr>
          <w:p w14:paraId="243B32A7" w14:textId="77777777" w:rsidR="00672297" w:rsidRDefault="00A16EA3">
            <w:pPr>
              <w:spacing w:before="20" w:after="20"/>
              <w:jc w:val="left"/>
            </w:pPr>
            <w:r>
              <w:rPr>
                <w:rFonts w:cstheme="minorHAnsi"/>
                <w:sz w:val="16"/>
                <w:szCs w:val="16"/>
              </w:rPr>
              <w:t>N/A</w:t>
            </w:r>
          </w:p>
        </w:tc>
        <w:tc>
          <w:tcPr>
            <w:tcW w:w="1778" w:type="dxa"/>
            <w:vAlign w:val="center"/>
          </w:tcPr>
          <w:p w14:paraId="0E12EE56" w14:textId="77777777" w:rsidR="00672297" w:rsidRDefault="00A16EA3">
            <w:pPr>
              <w:spacing w:before="20" w:after="20"/>
              <w:jc w:val="left"/>
            </w:pPr>
            <w:r>
              <w:rPr>
                <w:rFonts w:cstheme="minorHAnsi"/>
                <w:sz w:val="16"/>
                <w:szCs w:val="16"/>
              </w:rPr>
              <w:t>Open (gap DP-03)</w:t>
            </w:r>
          </w:p>
        </w:tc>
        <w:tc>
          <w:tcPr>
            <w:tcW w:w="1029" w:type="dxa"/>
            <w:vAlign w:val="center"/>
          </w:tcPr>
          <w:p w14:paraId="074E1F87" w14:textId="77777777" w:rsidR="00672297" w:rsidRDefault="00A16EA3">
            <w:pPr>
              <w:spacing w:before="20" w:after="20"/>
              <w:jc w:val="left"/>
            </w:pPr>
            <w:r>
              <w:rPr>
                <w:rFonts w:cstheme="minorHAnsi"/>
                <w:sz w:val="16"/>
                <w:szCs w:val="16"/>
              </w:rPr>
              <w:t>N/A</w:t>
            </w:r>
          </w:p>
        </w:tc>
        <w:tc>
          <w:tcPr>
            <w:tcW w:w="1497" w:type="dxa"/>
            <w:vAlign w:val="center"/>
          </w:tcPr>
          <w:p w14:paraId="5B1C400E" w14:textId="77777777" w:rsidR="00672297" w:rsidRDefault="00A16EA3">
            <w:pPr>
              <w:spacing w:before="20" w:after="20"/>
              <w:jc w:val="left"/>
            </w:pPr>
            <w:r>
              <w:rPr>
                <w:rFonts w:cstheme="minorHAnsi"/>
                <w:sz w:val="16"/>
                <w:szCs w:val="16"/>
              </w:rPr>
              <w:t>Hard delete (aged data)</w:t>
            </w:r>
          </w:p>
        </w:tc>
        <w:tc>
          <w:tcPr>
            <w:tcW w:w="1220" w:type="dxa"/>
            <w:vAlign w:val="center"/>
          </w:tcPr>
          <w:p w14:paraId="65D233E6" w14:textId="77777777" w:rsidR="00672297" w:rsidRDefault="00A16EA3">
            <w:pPr>
              <w:spacing w:before="20" w:after="20"/>
              <w:jc w:val="left"/>
            </w:pPr>
            <w:r>
              <w:rPr>
                <w:rFonts w:cstheme="minorHAnsi"/>
                <w:sz w:val="16"/>
                <w:szCs w:val="16"/>
              </w:rPr>
              <w:t>Open (gap DP-03)</w:t>
            </w:r>
          </w:p>
        </w:tc>
      </w:tr>
      <w:tr w:rsidR="00672297" w14:paraId="09A6003C" w14:textId="77777777">
        <w:trPr>
          <w:cantSplit/>
        </w:trPr>
        <w:tc>
          <w:tcPr>
            <w:tcW w:w="1591" w:type="dxa"/>
            <w:vAlign w:val="center"/>
          </w:tcPr>
          <w:p w14:paraId="30DDE289" w14:textId="77777777" w:rsidR="00672297" w:rsidRDefault="00A16EA3">
            <w:pPr>
              <w:spacing w:before="20" w:after="20"/>
              <w:jc w:val="left"/>
            </w:pPr>
            <w:r>
              <w:rPr>
                <w:rFonts w:cstheme="minorHAnsi"/>
                <w:sz w:val="16"/>
                <w:szCs w:val="16"/>
              </w:rPr>
              <w:t>MPR prices</w:t>
            </w:r>
          </w:p>
        </w:tc>
        <w:tc>
          <w:tcPr>
            <w:tcW w:w="1216" w:type="dxa"/>
            <w:vAlign w:val="center"/>
          </w:tcPr>
          <w:p w14:paraId="4B4874DD" w14:textId="77777777" w:rsidR="00672297" w:rsidRDefault="00A16EA3">
            <w:pPr>
              <w:spacing w:before="20" w:after="20"/>
              <w:jc w:val="left"/>
            </w:pPr>
            <w:r>
              <w:rPr>
                <w:rFonts w:cstheme="minorHAnsi"/>
                <w:sz w:val="16"/>
                <w:szCs w:val="16"/>
              </w:rPr>
              <w:t>Not stored in IQDM (Power BI dataset only, replaced at each refresh)</w:t>
            </w:r>
          </w:p>
        </w:tc>
        <w:tc>
          <w:tcPr>
            <w:tcW w:w="1029" w:type="dxa"/>
            <w:vAlign w:val="center"/>
          </w:tcPr>
          <w:p w14:paraId="35B82CFC" w14:textId="77777777" w:rsidR="00672297" w:rsidRDefault="00A16EA3">
            <w:pPr>
              <w:spacing w:before="20" w:after="20"/>
              <w:jc w:val="left"/>
            </w:pPr>
            <w:r>
              <w:rPr>
                <w:rFonts w:cstheme="minorHAnsi"/>
                <w:sz w:val="16"/>
                <w:szCs w:val="16"/>
              </w:rPr>
              <w:t>No</w:t>
            </w:r>
          </w:p>
        </w:tc>
        <w:tc>
          <w:tcPr>
            <w:tcW w:w="1778" w:type="dxa"/>
            <w:vAlign w:val="center"/>
          </w:tcPr>
          <w:p w14:paraId="75A28C32" w14:textId="77777777" w:rsidR="00672297" w:rsidRDefault="00A16EA3">
            <w:pPr>
              <w:spacing w:before="20" w:after="20"/>
              <w:jc w:val="left"/>
            </w:pPr>
            <w:r>
              <w:rPr>
                <w:rFonts w:cstheme="minorHAnsi"/>
                <w:sz w:val="16"/>
                <w:szCs w:val="16"/>
              </w:rPr>
              <w:t>N/A</w:t>
            </w:r>
          </w:p>
        </w:tc>
        <w:tc>
          <w:tcPr>
            <w:tcW w:w="1029" w:type="dxa"/>
            <w:vAlign w:val="center"/>
          </w:tcPr>
          <w:p w14:paraId="77E95365" w14:textId="77777777" w:rsidR="00672297" w:rsidRDefault="00A16EA3">
            <w:pPr>
              <w:spacing w:before="20" w:after="20"/>
              <w:jc w:val="left"/>
            </w:pPr>
            <w:r>
              <w:rPr>
                <w:rFonts w:cstheme="minorHAnsi"/>
                <w:sz w:val="16"/>
                <w:szCs w:val="16"/>
              </w:rPr>
              <w:t>No</w:t>
            </w:r>
          </w:p>
        </w:tc>
        <w:tc>
          <w:tcPr>
            <w:tcW w:w="1497" w:type="dxa"/>
            <w:vAlign w:val="center"/>
          </w:tcPr>
          <w:p w14:paraId="4D3145FF" w14:textId="77777777" w:rsidR="00672297" w:rsidRDefault="00A16EA3">
            <w:pPr>
              <w:spacing w:before="20" w:after="20"/>
              <w:jc w:val="left"/>
            </w:pPr>
            <w:r>
              <w:rPr>
                <w:rFonts w:cstheme="minorHAnsi"/>
                <w:sz w:val="16"/>
                <w:szCs w:val="16"/>
              </w:rPr>
              <w:t>N/A</w:t>
            </w:r>
          </w:p>
        </w:tc>
        <w:tc>
          <w:tcPr>
            <w:tcW w:w="1220" w:type="dxa"/>
            <w:vAlign w:val="center"/>
          </w:tcPr>
          <w:p w14:paraId="76572EA9" w14:textId="77777777" w:rsidR="00672297" w:rsidRDefault="00A16EA3">
            <w:pPr>
              <w:spacing w:before="20" w:after="20"/>
              <w:jc w:val="left"/>
            </w:pPr>
            <w:r>
              <w:rPr>
                <w:rFonts w:cstheme="minorHAnsi"/>
                <w:sz w:val="16"/>
                <w:szCs w:val="16"/>
              </w:rPr>
              <w:t>N/A</w:t>
            </w:r>
          </w:p>
        </w:tc>
      </w:tr>
    </w:tbl>
    <w:p w14:paraId="4063B492" w14:textId="250AB17A" w:rsidR="00672297" w:rsidRDefault="00A16EA3">
      <w:pPr>
        <w:pStyle w:val="Caption"/>
      </w:pPr>
      <w:bookmarkStart w:id="355" w:name="_Toc900900018"/>
      <w:bookmarkStart w:id="356" w:name="_Toc241574674"/>
      <w:bookmarkStart w:id="357" w:name="_Toc242554058"/>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5</w:t>
      </w:r>
      <w:r>
        <w:fldChar w:fldCharType="end"/>
      </w:r>
      <w:r>
        <w:t>: Data Retention and Archival Framework</w:t>
      </w:r>
      <w:bookmarkEnd w:id="355"/>
      <w:bookmarkEnd w:id="356"/>
      <w:bookmarkEnd w:id="357"/>
    </w:p>
    <w:p w14:paraId="4C131669" w14:textId="77777777" w:rsidR="00672297" w:rsidRDefault="00A16EA3">
      <w:pPr>
        <w:pStyle w:val="Heading3"/>
        <w:rPr>
          <w:rFonts w:asciiTheme="minorHAnsi" w:hAnsiTheme="minorHAnsi" w:cstheme="minorBidi"/>
          <w:sz w:val="20"/>
          <w:szCs w:val="20"/>
        </w:rPr>
      </w:pPr>
      <w:bookmarkStart w:id="358" w:name="_Toc241574322"/>
      <w:bookmarkStart w:id="359" w:name="_Toc242553944"/>
      <w:r>
        <w:rPr>
          <w:rFonts w:asciiTheme="minorHAnsi" w:hAnsiTheme="minorHAnsi" w:cstheme="minorBidi"/>
          <w:sz w:val="20"/>
          <w:szCs w:val="20"/>
        </w:rPr>
        <w:t>Housekeeping Framework</w:t>
      </w:r>
      <w:bookmarkEnd w:id="358"/>
      <w:bookmarkEnd w:id="359"/>
    </w:p>
    <w:p w14:paraId="134F9E07" w14:textId="77777777" w:rsidR="00672297" w:rsidRDefault="00A16EA3">
      <w:pPr>
        <w:rPr>
          <w:rFonts w:cstheme="minorHAnsi"/>
          <w:sz w:val="20"/>
          <w:szCs w:val="20"/>
        </w:rPr>
      </w:pPr>
      <w:r>
        <w:rPr>
          <w:rFonts w:cstheme="minorHAnsi"/>
          <w:sz w:val="20"/>
          <w:szCs w:val="20"/>
        </w:rPr>
        <w:t>The housekeeping framework governs ongoing data platform maintenance and lifecycle operations:</w:t>
      </w:r>
    </w:p>
    <w:p w14:paraId="706E2AE3" w14:textId="77777777" w:rsidR="00672297" w:rsidRDefault="00A16EA3" w:rsidP="00652CF3">
      <w:pPr>
        <w:pStyle w:val="ListParagraph"/>
        <w:numPr>
          <w:ilvl w:val="0"/>
          <w:numId w:val="6"/>
        </w:numPr>
        <w:jc w:val="left"/>
        <w:rPr>
          <w:rFonts w:cstheme="minorHAnsi"/>
          <w:sz w:val="20"/>
          <w:szCs w:val="20"/>
        </w:rPr>
      </w:pPr>
      <w:r>
        <w:rPr>
          <w:rFonts w:cstheme="minorHAnsi"/>
          <w:b/>
          <w:bCs/>
          <w:sz w:val="20"/>
          <w:szCs w:val="20"/>
        </w:rPr>
        <w:t>Archival processes:</w:t>
      </w:r>
      <w:r>
        <w:rPr>
          <w:rFonts w:cstheme="minorHAnsi"/>
          <w:sz w:val="20"/>
          <w:szCs w:val="20"/>
        </w:rPr>
        <w:t xml:space="preserve"> movement of aged rows from the domain tables to archive tables according to the retention rules above.</w:t>
      </w:r>
    </w:p>
    <w:p w14:paraId="4D703715" w14:textId="77777777" w:rsidR="00672297" w:rsidRDefault="00A16EA3" w:rsidP="00652CF3">
      <w:pPr>
        <w:pStyle w:val="ListParagraph"/>
        <w:numPr>
          <w:ilvl w:val="0"/>
          <w:numId w:val="6"/>
        </w:numPr>
        <w:jc w:val="left"/>
        <w:rPr>
          <w:rFonts w:cstheme="minorHAnsi"/>
          <w:sz w:val="20"/>
          <w:szCs w:val="20"/>
        </w:rPr>
      </w:pPr>
      <w:r>
        <w:rPr>
          <w:rFonts w:cstheme="minorHAnsi"/>
          <w:b/>
          <w:bCs/>
          <w:sz w:val="20"/>
          <w:szCs w:val="20"/>
        </w:rPr>
        <w:t>Data purge processes:</w:t>
      </w:r>
      <w:r>
        <w:rPr>
          <w:rFonts w:cstheme="minorHAnsi"/>
          <w:sz w:val="20"/>
          <w:szCs w:val="20"/>
        </w:rPr>
        <w:t xml:space="preserve"> deletion of rows from the domain and archive tables after the retention threshold.</w:t>
      </w:r>
    </w:p>
    <w:p w14:paraId="64FDFAC4" w14:textId="3257382D" w:rsidR="00672297" w:rsidRDefault="00A16EA3" w:rsidP="00652CF3">
      <w:pPr>
        <w:pStyle w:val="ListParagraph"/>
        <w:numPr>
          <w:ilvl w:val="0"/>
          <w:numId w:val="6"/>
        </w:numPr>
        <w:jc w:val="left"/>
        <w:rPr>
          <w:rFonts w:cstheme="minorHAnsi"/>
          <w:sz w:val="20"/>
          <w:szCs w:val="20"/>
        </w:rPr>
      </w:pPr>
      <w:r>
        <w:rPr>
          <w:rFonts w:cstheme="minorHAnsi"/>
          <w:b/>
          <w:bCs/>
          <w:sz w:val="20"/>
          <w:szCs w:val="20"/>
        </w:rPr>
        <w:t>Platform maintenance:</w:t>
      </w:r>
      <w:r>
        <w:rPr>
          <w:rFonts w:cstheme="minorHAnsi"/>
          <w:sz w:val="20"/>
          <w:szCs w:val="20"/>
        </w:rPr>
        <w:t xml:space="preserve"> index rebuild / reorganization and statistics update on the IQDM tables used by the VCB views and on the two </w:t>
      </w:r>
      <w:r w:rsidR="000A106D">
        <w:rPr>
          <w:rFonts w:cstheme="minorHAnsi"/>
          <w:sz w:val="20"/>
          <w:szCs w:val="20"/>
        </w:rPr>
        <w:t>VCB integration target tables</w:t>
      </w:r>
      <w:r>
        <w:rPr>
          <w:rFonts w:cstheme="minorHAnsi"/>
          <w:sz w:val="20"/>
          <w:szCs w:val="20"/>
        </w:rPr>
        <w:t>; storage optimization.</w:t>
      </w:r>
    </w:p>
    <w:p w14:paraId="7E8A1EBF" w14:textId="77777777" w:rsidR="00672297" w:rsidRDefault="00A16EA3" w:rsidP="00652CF3">
      <w:pPr>
        <w:pStyle w:val="ListParagraph"/>
        <w:numPr>
          <w:ilvl w:val="0"/>
          <w:numId w:val="6"/>
        </w:numPr>
        <w:jc w:val="left"/>
        <w:rPr>
          <w:rFonts w:cstheme="minorHAnsi"/>
          <w:sz w:val="20"/>
          <w:szCs w:val="20"/>
        </w:rPr>
      </w:pPr>
      <w:r>
        <w:rPr>
          <w:rFonts w:cstheme="minorHAnsi"/>
          <w:b/>
          <w:bCs/>
          <w:sz w:val="20"/>
          <w:szCs w:val="20"/>
        </w:rPr>
        <w:t>Execution strategy:</w:t>
      </w:r>
      <w:r>
        <w:rPr>
          <w:rFonts w:cstheme="minorHAnsi"/>
          <w:sz w:val="20"/>
          <w:szCs w:val="20"/>
        </w:rPr>
        <w:t xml:space="preserve"> weekly jobs for incremental archival and monthly jobs for large-scale archival and index maintenance, scheduled outside the interface load and Power BI refresh windows.</w:t>
      </w:r>
    </w:p>
    <w:p w14:paraId="13CA74A9" w14:textId="77777777" w:rsidR="00672297" w:rsidRDefault="00A16EA3">
      <w:pPr>
        <w:pStyle w:val="Heading3"/>
        <w:rPr>
          <w:rFonts w:asciiTheme="minorHAnsi" w:hAnsiTheme="minorHAnsi" w:cstheme="minorBidi"/>
          <w:sz w:val="20"/>
          <w:szCs w:val="20"/>
        </w:rPr>
      </w:pPr>
      <w:bookmarkStart w:id="360" w:name="_Toc241574323"/>
      <w:bookmarkStart w:id="361" w:name="_Toc242553945"/>
      <w:r>
        <w:rPr>
          <w:rFonts w:asciiTheme="minorHAnsi" w:hAnsiTheme="minorHAnsi" w:cstheme="minorBidi"/>
          <w:sz w:val="20"/>
          <w:szCs w:val="20"/>
        </w:rPr>
        <w:t>Data Validation and Data Quality</w:t>
      </w:r>
      <w:bookmarkEnd w:id="360"/>
      <w:bookmarkEnd w:id="361"/>
    </w:p>
    <w:p w14:paraId="58EA20D4" w14:textId="77777777" w:rsidR="00672297" w:rsidRDefault="00A16EA3">
      <w:pPr>
        <w:rPr>
          <w:rFonts w:cstheme="minorHAnsi"/>
          <w:sz w:val="20"/>
          <w:szCs w:val="20"/>
        </w:rPr>
      </w:pPr>
      <w:r>
        <w:rPr>
          <w:rFonts w:cstheme="minorHAnsi"/>
          <w:sz w:val="20"/>
          <w:szCs w:val="20"/>
        </w:rPr>
        <w:t>The integration layer performs the basic checks listed in chapter 2 and does not correct source data. The data platform adds the following validations; a failed check is reported, it does not stop the load of valid rows.</w:t>
      </w:r>
    </w:p>
    <w:tbl>
      <w:tblPr>
        <w:tblStyle w:val="TableGrid"/>
        <w:tblW w:w="9360" w:type="dxa"/>
        <w:tblLayout w:type="fixed"/>
        <w:tblCellMar>
          <w:left w:w="70" w:type="dxa"/>
          <w:right w:w="70" w:type="dxa"/>
        </w:tblCellMar>
        <w:tblLook w:val="04A0" w:firstRow="1" w:lastRow="0" w:firstColumn="1" w:lastColumn="0" w:noHBand="0" w:noVBand="1"/>
      </w:tblPr>
      <w:tblGrid>
        <w:gridCol w:w="842"/>
        <w:gridCol w:w="2059"/>
        <w:gridCol w:w="4024"/>
        <w:gridCol w:w="2435"/>
      </w:tblGrid>
      <w:tr w:rsidR="00672297" w14:paraId="02AC63FF" w14:textId="77777777">
        <w:trPr>
          <w:cantSplit/>
          <w:tblHeader/>
        </w:trPr>
        <w:tc>
          <w:tcPr>
            <w:tcW w:w="842" w:type="dxa"/>
            <w:shd w:val="clear" w:color="auto" w:fill="2F5496"/>
            <w:vAlign w:val="center"/>
          </w:tcPr>
          <w:p w14:paraId="28FA5004" w14:textId="77777777" w:rsidR="00672297" w:rsidRDefault="00A16EA3">
            <w:pPr>
              <w:spacing w:before="20" w:after="20"/>
              <w:jc w:val="left"/>
            </w:pPr>
            <w:r>
              <w:rPr>
                <w:rFonts w:cstheme="minorHAnsi"/>
                <w:b/>
                <w:bCs/>
                <w:color w:val="FFFFFF"/>
                <w:sz w:val="20"/>
                <w:szCs w:val="20"/>
              </w:rPr>
              <w:t>Rule ID</w:t>
            </w:r>
          </w:p>
        </w:tc>
        <w:tc>
          <w:tcPr>
            <w:tcW w:w="2059" w:type="dxa"/>
            <w:shd w:val="clear" w:color="auto" w:fill="2F5496"/>
            <w:vAlign w:val="center"/>
          </w:tcPr>
          <w:p w14:paraId="25DC6B9E" w14:textId="77777777" w:rsidR="00672297" w:rsidRDefault="00A16EA3">
            <w:pPr>
              <w:spacing w:before="20" w:after="20"/>
              <w:jc w:val="left"/>
            </w:pPr>
            <w:r>
              <w:rPr>
                <w:rFonts w:cstheme="minorHAnsi"/>
                <w:b/>
                <w:bCs/>
                <w:color w:val="FFFFFF"/>
                <w:sz w:val="20"/>
                <w:szCs w:val="20"/>
              </w:rPr>
              <w:t>Object</w:t>
            </w:r>
          </w:p>
        </w:tc>
        <w:tc>
          <w:tcPr>
            <w:tcW w:w="4024" w:type="dxa"/>
            <w:shd w:val="clear" w:color="auto" w:fill="2F5496"/>
            <w:vAlign w:val="center"/>
          </w:tcPr>
          <w:p w14:paraId="14194ECA" w14:textId="77777777" w:rsidR="00672297" w:rsidRDefault="00A16EA3">
            <w:pPr>
              <w:spacing w:before="20" w:after="20"/>
              <w:jc w:val="left"/>
            </w:pPr>
            <w:r>
              <w:rPr>
                <w:rFonts w:cstheme="minorHAnsi"/>
                <w:b/>
                <w:bCs/>
                <w:color w:val="FFFFFF"/>
                <w:sz w:val="20"/>
                <w:szCs w:val="20"/>
              </w:rPr>
              <w:t>Rule</w:t>
            </w:r>
          </w:p>
        </w:tc>
        <w:tc>
          <w:tcPr>
            <w:tcW w:w="2435" w:type="dxa"/>
            <w:shd w:val="clear" w:color="auto" w:fill="2F5496"/>
            <w:vAlign w:val="center"/>
          </w:tcPr>
          <w:p w14:paraId="29F04C50" w14:textId="77777777" w:rsidR="00672297" w:rsidRDefault="00A16EA3">
            <w:pPr>
              <w:spacing w:before="20" w:after="20"/>
              <w:jc w:val="left"/>
            </w:pPr>
            <w:r>
              <w:rPr>
                <w:rFonts w:cstheme="minorHAnsi"/>
                <w:b/>
                <w:bCs/>
                <w:color w:val="FFFFFF"/>
                <w:sz w:val="20"/>
                <w:szCs w:val="20"/>
              </w:rPr>
              <w:t>Action on Failure</w:t>
            </w:r>
          </w:p>
        </w:tc>
      </w:tr>
      <w:tr w:rsidR="00672297" w14:paraId="3258F2EA" w14:textId="77777777">
        <w:trPr>
          <w:cantSplit/>
        </w:trPr>
        <w:tc>
          <w:tcPr>
            <w:tcW w:w="842" w:type="dxa"/>
            <w:vAlign w:val="center"/>
          </w:tcPr>
          <w:p w14:paraId="2A84D354" w14:textId="77777777" w:rsidR="00672297" w:rsidRDefault="00A16EA3">
            <w:pPr>
              <w:spacing w:before="20" w:after="20"/>
              <w:jc w:val="left"/>
            </w:pPr>
            <w:r>
              <w:rPr>
                <w:rFonts w:cstheme="minorHAnsi"/>
                <w:sz w:val="20"/>
                <w:szCs w:val="20"/>
              </w:rPr>
              <w:t>DQ-01</w:t>
            </w:r>
          </w:p>
        </w:tc>
        <w:tc>
          <w:tcPr>
            <w:tcW w:w="2059" w:type="dxa"/>
            <w:vAlign w:val="center"/>
          </w:tcPr>
          <w:p w14:paraId="44ABFF01" w14:textId="45474510" w:rsidR="00672297" w:rsidRDefault="000A106D">
            <w:pPr>
              <w:spacing w:before="20" w:after="20"/>
              <w:jc w:val="left"/>
            </w:pPr>
            <w:r>
              <w:rPr>
                <w:rFonts w:cstheme="minorHAnsi"/>
                <w:sz w:val="20"/>
                <w:szCs w:val="20"/>
              </w:rPr>
              <w:t>VCB integration target tables</w:t>
            </w:r>
          </w:p>
        </w:tc>
        <w:tc>
          <w:tcPr>
            <w:tcW w:w="4024" w:type="dxa"/>
            <w:vAlign w:val="center"/>
          </w:tcPr>
          <w:p w14:paraId="1562B0C4" w14:textId="77777777" w:rsidR="00672297" w:rsidRDefault="00A16EA3">
            <w:pPr>
              <w:spacing w:before="20" w:after="20"/>
              <w:jc w:val="left"/>
            </w:pPr>
            <w:r>
              <w:rPr>
                <w:rFonts w:cstheme="minorHAnsi"/>
                <w:sz w:val="20"/>
                <w:szCs w:val="20"/>
              </w:rPr>
              <w:t>Unique (business) key must not repeat; enforced by a unique constraint.</w:t>
            </w:r>
          </w:p>
        </w:tc>
        <w:tc>
          <w:tcPr>
            <w:tcW w:w="2435" w:type="dxa"/>
            <w:vAlign w:val="center"/>
          </w:tcPr>
          <w:p w14:paraId="06241C29" w14:textId="77777777" w:rsidR="00672297" w:rsidRDefault="00A16EA3">
            <w:pPr>
              <w:spacing w:before="20" w:after="20"/>
              <w:jc w:val="left"/>
            </w:pPr>
            <w:r>
              <w:rPr>
                <w:rFonts w:cstheme="minorHAnsi"/>
                <w:sz w:val="20"/>
                <w:szCs w:val="20"/>
              </w:rPr>
              <w:t>Upsert updates the existing row; no duplicate is created.</w:t>
            </w:r>
          </w:p>
        </w:tc>
      </w:tr>
      <w:tr w:rsidR="00672297" w14:paraId="0B79DFE8" w14:textId="77777777">
        <w:trPr>
          <w:cantSplit/>
        </w:trPr>
        <w:tc>
          <w:tcPr>
            <w:tcW w:w="842" w:type="dxa"/>
            <w:vAlign w:val="center"/>
          </w:tcPr>
          <w:p w14:paraId="196BC052" w14:textId="77777777" w:rsidR="00672297" w:rsidRDefault="00A16EA3">
            <w:pPr>
              <w:spacing w:before="20" w:after="20"/>
              <w:jc w:val="left"/>
            </w:pPr>
            <w:r>
              <w:rPr>
                <w:rFonts w:cstheme="minorHAnsi"/>
                <w:sz w:val="20"/>
                <w:szCs w:val="20"/>
              </w:rPr>
              <w:t>DQ-02</w:t>
            </w:r>
          </w:p>
        </w:tc>
        <w:tc>
          <w:tcPr>
            <w:tcW w:w="2059" w:type="dxa"/>
            <w:vAlign w:val="center"/>
          </w:tcPr>
          <w:p w14:paraId="55BDBDF0" w14:textId="20C80803" w:rsidR="00672297" w:rsidRDefault="000A106D">
            <w:pPr>
              <w:spacing w:before="20" w:after="20"/>
              <w:jc w:val="left"/>
            </w:pPr>
            <w:r>
              <w:rPr>
                <w:rFonts w:cstheme="minorHAnsi"/>
                <w:sz w:val="20"/>
                <w:szCs w:val="20"/>
              </w:rPr>
              <w:t>VCB integration target tables</w:t>
            </w:r>
          </w:p>
        </w:tc>
        <w:tc>
          <w:tcPr>
            <w:tcW w:w="4024" w:type="dxa"/>
            <w:vAlign w:val="center"/>
          </w:tcPr>
          <w:p w14:paraId="6B2C8A35" w14:textId="77777777" w:rsidR="00672297" w:rsidRDefault="00A16EA3">
            <w:pPr>
              <w:spacing w:before="20" w:after="20"/>
              <w:jc w:val="left"/>
            </w:pPr>
            <w:r>
              <w:rPr>
                <w:rFonts w:cstheme="minorHAnsi"/>
                <w:sz w:val="20"/>
                <w:szCs w:val="20"/>
              </w:rPr>
              <w:t>Mandatory columns (Null = No in the table definitions) must be populated.</w:t>
            </w:r>
          </w:p>
        </w:tc>
        <w:tc>
          <w:tcPr>
            <w:tcW w:w="2435" w:type="dxa"/>
            <w:vAlign w:val="center"/>
          </w:tcPr>
          <w:p w14:paraId="26BF1448" w14:textId="77777777" w:rsidR="00672297" w:rsidRDefault="00A16EA3">
            <w:pPr>
              <w:spacing w:before="20" w:after="20"/>
              <w:jc w:val="left"/>
            </w:pPr>
            <w:r>
              <w:rPr>
                <w:rFonts w:cstheme="minorHAnsi"/>
                <w:sz w:val="20"/>
                <w:szCs w:val="20"/>
              </w:rPr>
              <w:t>Row rejected by the stored procedure and listed in the run notification.</w:t>
            </w:r>
          </w:p>
        </w:tc>
      </w:tr>
      <w:tr w:rsidR="00672297" w14:paraId="66C4C62E" w14:textId="77777777">
        <w:trPr>
          <w:cantSplit/>
        </w:trPr>
        <w:tc>
          <w:tcPr>
            <w:tcW w:w="842" w:type="dxa"/>
            <w:vAlign w:val="center"/>
          </w:tcPr>
          <w:p w14:paraId="5D8F8146" w14:textId="77777777" w:rsidR="00672297" w:rsidRDefault="00A16EA3">
            <w:pPr>
              <w:spacing w:before="20" w:after="20"/>
              <w:jc w:val="left"/>
            </w:pPr>
            <w:r>
              <w:rPr>
                <w:rFonts w:cstheme="minorHAnsi"/>
                <w:sz w:val="20"/>
                <w:szCs w:val="20"/>
              </w:rPr>
              <w:t>DQ-03</w:t>
            </w:r>
          </w:p>
        </w:tc>
        <w:tc>
          <w:tcPr>
            <w:tcW w:w="2059" w:type="dxa"/>
            <w:vAlign w:val="center"/>
          </w:tcPr>
          <w:p w14:paraId="655F4AE5" w14:textId="72FEA606" w:rsidR="00672297" w:rsidRDefault="000A106D">
            <w:pPr>
              <w:spacing w:before="20" w:after="20"/>
              <w:jc w:val="left"/>
            </w:pPr>
            <w:r>
              <w:rPr>
                <w:rFonts w:cstheme="minorHAnsi"/>
                <w:sz w:val="20"/>
                <w:szCs w:val="20"/>
              </w:rPr>
              <w:t>VCB integration target tables</w:t>
            </w:r>
          </w:p>
        </w:tc>
        <w:tc>
          <w:tcPr>
            <w:tcW w:w="4024" w:type="dxa"/>
            <w:vAlign w:val="center"/>
          </w:tcPr>
          <w:p w14:paraId="13C925AF" w14:textId="77777777" w:rsidR="00672297" w:rsidRDefault="00A16EA3">
            <w:pPr>
              <w:spacing w:before="20" w:after="20"/>
              <w:jc w:val="left"/>
            </w:pPr>
            <w:r>
              <w:rPr>
                <w:rFonts w:cstheme="minorHAnsi"/>
                <w:sz w:val="20"/>
                <w:szCs w:val="20"/>
              </w:rPr>
              <w:t>Every global code must resolve to a master row (location, material, equipment, property, uom).</w:t>
            </w:r>
          </w:p>
        </w:tc>
        <w:tc>
          <w:tcPr>
            <w:tcW w:w="2435" w:type="dxa"/>
            <w:vAlign w:val="center"/>
          </w:tcPr>
          <w:p w14:paraId="26B77308" w14:textId="77777777" w:rsidR="00672297" w:rsidRDefault="00A16EA3">
            <w:pPr>
              <w:spacing w:before="20" w:after="20"/>
              <w:jc w:val="left"/>
            </w:pPr>
            <w:r>
              <w:rPr>
                <w:rFonts w:cstheme="minorHAnsi"/>
                <w:sz w:val="20"/>
                <w:szCs w:val="20"/>
              </w:rPr>
              <w:t>Row rejected and listed in the run notification (mapping to be added in Profisee).</w:t>
            </w:r>
          </w:p>
        </w:tc>
      </w:tr>
      <w:tr w:rsidR="00672297" w14:paraId="4798F2C3" w14:textId="77777777">
        <w:trPr>
          <w:cantSplit/>
        </w:trPr>
        <w:tc>
          <w:tcPr>
            <w:tcW w:w="842" w:type="dxa"/>
            <w:vAlign w:val="center"/>
          </w:tcPr>
          <w:p w14:paraId="25F3CF78" w14:textId="77777777" w:rsidR="00672297" w:rsidRDefault="00A16EA3">
            <w:pPr>
              <w:spacing w:before="20" w:after="20"/>
              <w:jc w:val="left"/>
            </w:pPr>
            <w:r>
              <w:rPr>
                <w:rFonts w:cstheme="minorHAnsi"/>
                <w:sz w:val="20"/>
                <w:szCs w:val="20"/>
              </w:rPr>
              <w:t>DQ-04</w:t>
            </w:r>
          </w:p>
        </w:tc>
        <w:tc>
          <w:tcPr>
            <w:tcW w:w="2059" w:type="dxa"/>
            <w:vAlign w:val="center"/>
          </w:tcPr>
          <w:p w14:paraId="156AF2A2" w14:textId="77777777" w:rsidR="00672297" w:rsidRDefault="00A16EA3">
            <w:pPr>
              <w:spacing w:before="20" w:after="20"/>
              <w:jc w:val="left"/>
            </w:pPr>
            <w:r>
              <w:rPr>
                <w:rFonts w:cstheme="minorHAnsi"/>
                <w:sz w:val="20"/>
                <w:szCs w:val="20"/>
              </w:rPr>
              <w:t>VCB_blend_component_detail</w:t>
            </w:r>
          </w:p>
        </w:tc>
        <w:tc>
          <w:tcPr>
            <w:tcW w:w="4024" w:type="dxa"/>
            <w:vAlign w:val="center"/>
          </w:tcPr>
          <w:p w14:paraId="42EAE1A1" w14:textId="77777777" w:rsidR="00672297" w:rsidRDefault="00A16EA3">
            <w:pPr>
              <w:spacing w:before="20" w:after="20"/>
              <w:jc w:val="left"/>
            </w:pPr>
            <w:r>
              <w:rPr>
                <w:rFonts w:cstheme="minorHAnsi"/>
                <w:sz w:val="20"/>
                <w:szCs w:val="20"/>
              </w:rPr>
              <w:t>Only values that PI marks good are loaded; system states (No Data) are never stored as zero.</w:t>
            </w:r>
          </w:p>
        </w:tc>
        <w:tc>
          <w:tcPr>
            <w:tcW w:w="2435" w:type="dxa"/>
            <w:vAlign w:val="center"/>
          </w:tcPr>
          <w:p w14:paraId="47DEC0D8" w14:textId="11D1F1F2" w:rsidR="00672297" w:rsidRDefault="008A4F32">
            <w:pPr>
              <w:spacing w:before="20" w:after="20"/>
              <w:jc w:val="left"/>
            </w:pPr>
            <w:r>
              <w:rPr>
                <w:rFonts w:cstheme="minorHAnsi"/>
                <w:sz w:val="20"/>
                <w:szCs w:val="20"/>
              </w:rPr>
              <w:t>Value not stored (chapter 2).</w:t>
            </w:r>
          </w:p>
        </w:tc>
      </w:tr>
      <w:tr w:rsidR="00672297" w14:paraId="63768310" w14:textId="77777777">
        <w:trPr>
          <w:cantSplit/>
        </w:trPr>
        <w:tc>
          <w:tcPr>
            <w:tcW w:w="842" w:type="dxa"/>
            <w:vAlign w:val="center"/>
          </w:tcPr>
          <w:p w14:paraId="51A609F1" w14:textId="77777777" w:rsidR="00672297" w:rsidRDefault="00A16EA3">
            <w:pPr>
              <w:spacing w:before="20" w:after="20"/>
              <w:jc w:val="left"/>
            </w:pPr>
            <w:r>
              <w:rPr>
                <w:rFonts w:cstheme="minorHAnsi"/>
                <w:sz w:val="20"/>
                <w:szCs w:val="20"/>
              </w:rPr>
              <w:t>DQ-05</w:t>
            </w:r>
          </w:p>
        </w:tc>
        <w:tc>
          <w:tcPr>
            <w:tcW w:w="2059" w:type="dxa"/>
            <w:vAlign w:val="center"/>
          </w:tcPr>
          <w:p w14:paraId="69D839FD" w14:textId="77777777" w:rsidR="00672297" w:rsidRDefault="00A16EA3">
            <w:pPr>
              <w:spacing w:before="20" w:after="20"/>
              <w:jc w:val="left"/>
            </w:pPr>
            <w:r>
              <w:rPr>
                <w:rFonts w:cstheme="minorHAnsi"/>
                <w:sz w:val="20"/>
                <w:szCs w:val="20"/>
              </w:rPr>
              <w:t>VCB_blend_component_detail (flows)</w:t>
            </w:r>
          </w:p>
        </w:tc>
        <w:tc>
          <w:tcPr>
            <w:tcW w:w="4024" w:type="dxa"/>
            <w:vAlign w:val="center"/>
          </w:tcPr>
          <w:p w14:paraId="27359E24" w14:textId="77777777" w:rsidR="00672297" w:rsidRDefault="00A16EA3">
            <w:pPr>
              <w:spacing w:before="20" w:after="20"/>
              <w:jc w:val="left"/>
            </w:pPr>
            <w:r>
              <w:rPr>
                <w:rFonts w:cstheme="minorHAnsi"/>
                <w:sz w:val="20"/>
                <w:szCs w:val="20"/>
              </w:rPr>
              <w:t>A daily totalizer must reset exactly once in the day.</w:t>
            </w:r>
          </w:p>
        </w:tc>
        <w:tc>
          <w:tcPr>
            <w:tcW w:w="2435" w:type="dxa"/>
            <w:vAlign w:val="center"/>
          </w:tcPr>
          <w:p w14:paraId="4F008EE3" w14:textId="45181200" w:rsidR="00672297" w:rsidRDefault="008A4F32">
            <w:pPr>
              <w:spacing w:before="20" w:after="20"/>
              <w:jc w:val="left"/>
            </w:pPr>
            <w:r>
              <w:rPr>
                <w:rFonts w:cstheme="minorHAnsi"/>
                <w:sz w:val="20"/>
                <w:szCs w:val="20"/>
              </w:rPr>
              <w:t>Day not stored (chapter 2).</w:t>
            </w:r>
          </w:p>
        </w:tc>
      </w:tr>
      <w:tr w:rsidR="00672297" w14:paraId="012465CA" w14:textId="77777777">
        <w:trPr>
          <w:cantSplit/>
        </w:trPr>
        <w:tc>
          <w:tcPr>
            <w:tcW w:w="842" w:type="dxa"/>
            <w:vAlign w:val="center"/>
          </w:tcPr>
          <w:p w14:paraId="548EEC88" w14:textId="77777777" w:rsidR="00672297" w:rsidRDefault="00A16EA3">
            <w:pPr>
              <w:spacing w:before="20" w:after="20"/>
              <w:jc w:val="left"/>
            </w:pPr>
            <w:r>
              <w:rPr>
                <w:rFonts w:cstheme="minorHAnsi"/>
                <w:sz w:val="20"/>
                <w:szCs w:val="20"/>
              </w:rPr>
              <w:t>DQ-06</w:t>
            </w:r>
          </w:p>
        </w:tc>
        <w:tc>
          <w:tcPr>
            <w:tcW w:w="2059" w:type="dxa"/>
            <w:vAlign w:val="center"/>
          </w:tcPr>
          <w:p w14:paraId="0A14F095" w14:textId="77777777" w:rsidR="00672297" w:rsidRDefault="00A16EA3">
            <w:pPr>
              <w:spacing w:before="20" w:after="20"/>
              <w:jc w:val="left"/>
            </w:pPr>
            <w:r>
              <w:rPr>
                <w:rFonts w:cstheme="minorHAnsi"/>
                <w:sz w:val="20"/>
                <w:szCs w:val="20"/>
              </w:rPr>
              <w:t>VCB_blend_component_movement</w:t>
            </w:r>
          </w:p>
        </w:tc>
        <w:tc>
          <w:tcPr>
            <w:tcW w:w="4024" w:type="dxa"/>
            <w:vAlign w:val="center"/>
          </w:tcPr>
          <w:p w14:paraId="605E2911" w14:textId="77777777" w:rsidR="00672297" w:rsidRDefault="00A16EA3">
            <w:pPr>
              <w:spacing w:before="20" w:after="20"/>
              <w:jc w:val="left"/>
            </w:pPr>
            <w:r>
              <w:rPr>
                <w:rFonts w:cstheme="minorHAnsi"/>
                <w:sz w:val="20"/>
                <w:szCs w:val="20"/>
              </w:rPr>
              <w:t>net_quantity must be greater than zero.</w:t>
            </w:r>
          </w:p>
        </w:tc>
        <w:tc>
          <w:tcPr>
            <w:tcW w:w="2435" w:type="dxa"/>
            <w:vAlign w:val="center"/>
          </w:tcPr>
          <w:p w14:paraId="175A6013" w14:textId="77777777" w:rsidR="00672297" w:rsidRDefault="00A16EA3">
            <w:pPr>
              <w:spacing w:before="20" w:after="20"/>
              <w:jc w:val="left"/>
            </w:pPr>
            <w:r>
              <w:rPr>
                <w:rFonts w:cstheme="minorHAnsi"/>
                <w:sz w:val="20"/>
                <w:szCs w:val="20"/>
              </w:rPr>
              <w:t>Row loaded and flagged in the reconciliation report.</w:t>
            </w:r>
          </w:p>
        </w:tc>
      </w:tr>
      <w:tr w:rsidR="00672297" w14:paraId="581783F6" w14:textId="77777777">
        <w:trPr>
          <w:cantSplit/>
        </w:trPr>
        <w:tc>
          <w:tcPr>
            <w:tcW w:w="842" w:type="dxa"/>
            <w:vAlign w:val="center"/>
          </w:tcPr>
          <w:p w14:paraId="6C61A24A" w14:textId="77777777" w:rsidR="00672297" w:rsidRDefault="00A16EA3">
            <w:pPr>
              <w:spacing w:before="20" w:after="20"/>
              <w:jc w:val="left"/>
            </w:pPr>
            <w:r>
              <w:rPr>
                <w:rFonts w:cstheme="minorHAnsi"/>
                <w:sz w:val="20"/>
                <w:szCs w:val="20"/>
              </w:rPr>
              <w:t>DQ-07</w:t>
            </w:r>
          </w:p>
        </w:tc>
        <w:tc>
          <w:tcPr>
            <w:tcW w:w="2059" w:type="dxa"/>
            <w:vAlign w:val="center"/>
          </w:tcPr>
          <w:p w14:paraId="789BDBA7" w14:textId="77777777" w:rsidR="00672297" w:rsidRDefault="00A16EA3">
            <w:pPr>
              <w:spacing w:before="20" w:after="20"/>
              <w:jc w:val="left"/>
            </w:pPr>
            <w:r>
              <w:rPr>
                <w:rFonts w:cstheme="minorHAnsi"/>
                <w:sz w:val="20"/>
                <w:szCs w:val="20"/>
              </w:rPr>
              <w:t>Batch views</w:t>
            </w:r>
          </w:p>
        </w:tc>
        <w:tc>
          <w:tcPr>
            <w:tcW w:w="4024" w:type="dxa"/>
            <w:vAlign w:val="center"/>
          </w:tcPr>
          <w:p w14:paraId="0E469B45" w14:textId="77777777" w:rsidR="00672297" w:rsidRDefault="00A16EA3">
            <w:pPr>
              <w:spacing w:before="20" w:after="20"/>
              <w:jc w:val="left"/>
            </w:pPr>
            <w:r>
              <w:rPr>
                <w:rFonts w:cstheme="minorHAnsi"/>
                <w:sz w:val="20"/>
                <w:szCs w:val="20"/>
              </w:rPr>
              <w:t>Exact duplicate movement rows (same batch, location, tank, start and volume) are removed; split rows of the same batch with different start times are summed.</w:t>
            </w:r>
          </w:p>
        </w:tc>
        <w:tc>
          <w:tcPr>
            <w:tcW w:w="2435" w:type="dxa"/>
            <w:vAlign w:val="center"/>
          </w:tcPr>
          <w:p w14:paraId="45BF5472" w14:textId="77777777" w:rsidR="00672297" w:rsidRDefault="00A16EA3">
            <w:pPr>
              <w:spacing w:before="20" w:after="20"/>
              <w:jc w:val="left"/>
            </w:pPr>
            <w:r>
              <w:rPr>
                <w:rFonts w:cstheme="minorHAnsi"/>
                <w:sz w:val="20"/>
                <w:szCs w:val="20"/>
              </w:rPr>
              <w:t>Handled in the view.</w:t>
            </w:r>
          </w:p>
        </w:tc>
      </w:tr>
      <w:tr w:rsidR="00672297" w14:paraId="0BF7AC52" w14:textId="77777777">
        <w:trPr>
          <w:cantSplit/>
        </w:trPr>
        <w:tc>
          <w:tcPr>
            <w:tcW w:w="842" w:type="dxa"/>
            <w:vAlign w:val="center"/>
          </w:tcPr>
          <w:p w14:paraId="192E5973" w14:textId="77777777" w:rsidR="00672297" w:rsidRDefault="00A16EA3">
            <w:pPr>
              <w:spacing w:before="20" w:after="20"/>
              <w:jc w:val="left"/>
            </w:pPr>
            <w:r>
              <w:rPr>
                <w:rFonts w:cstheme="minorHAnsi"/>
                <w:sz w:val="20"/>
                <w:szCs w:val="20"/>
              </w:rPr>
              <w:t>DQ-08</w:t>
            </w:r>
          </w:p>
        </w:tc>
        <w:tc>
          <w:tcPr>
            <w:tcW w:w="2059" w:type="dxa"/>
            <w:vAlign w:val="center"/>
          </w:tcPr>
          <w:p w14:paraId="222A4587" w14:textId="77777777" w:rsidR="00672297" w:rsidRDefault="00A16EA3">
            <w:pPr>
              <w:spacing w:before="20" w:after="20"/>
              <w:jc w:val="left"/>
            </w:pPr>
            <w:r>
              <w:rPr>
                <w:rFonts w:cstheme="minorHAnsi"/>
                <w:sz w:val="20"/>
                <w:szCs w:val="20"/>
              </w:rPr>
              <w:t>Batch views</w:t>
            </w:r>
          </w:p>
        </w:tc>
        <w:tc>
          <w:tcPr>
            <w:tcW w:w="4024" w:type="dxa"/>
            <w:vAlign w:val="center"/>
          </w:tcPr>
          <w:p w14:paraId="4ABA2116" w14:textId="77777777" w:rsidR="00672297" w:rsidRDefault="00A16EA3">
            <w:pPr>
              <w:spacing w:before="20" w:after="20"/>
              <w:jc w:val="left"/>
            </w:pPr>
            <w:r>
              <w:rPr>
                <w:rFonts w:cstheme="minorHAnsi"/>
                <w:sz w:val="20"/>
                <w:szCs w:val="20"/>
              </w:rPr>
              <w:t>A quality value of 0 for a property that cannot be zero (for example TV/L, T-50, FBP) is treated as missing (the mock data shows TV/L = 0 for some batches).</w:t>
            </w:r>
          </w:p>
        </w:tc>
        <w:tc>
          <w:tcPr>
            <w:tcW w:w="2435" w:type="dxa"/>
            <w:vAlign w:val="center"/>
          </w:tcPr>
          <w:p w14:paraId="6194290C" w14:textId="77777777" w:rsidR="00672297" w:rsidRDefault="00A16EA3">
            <w:pPr>
              <w:spacing w:before="20" w:after="20"/>
              <w:jc w:val="left"/>
            </w:pPr>
            <w:r>
              <w:rPr>
                <w:rFonts w:cstheme="minorHAnsi"/>
                <w:sz w:val="20"/>
                <w:szCs w:val="20"/>
              </w:rPr>
              <w:t>Shown as blank; batch counted in the missing-quality check.</w:t>
            </w:r>
          </w:p>
        </w:tc>
      </w:tr>
      <w:tr w:rsidR="00672297" w14:paraId="4BFACBDE" w14:textId="77777777">
        <w:trPr>
          <w:cantSplit/>
        </w:trPr>
        <w:tc>
          <w:tcPr>
            <w:tcW w:w="842" w:type="dxa"/>
            <w:vAlign w:val="center"/>
          </w:tcPr>
          <w:p w14:paraId="379A7C0A" w14:textId="77777777" w:rsidR="00672297" w:rsidRDefault="00A16EA3">
            <w:pPr>
              <w:spacing w:before="20" w:after="20"/>
              <w:jc w:val="left"/>
            </w:pPr>
            <w:r>
              <w:rPr>
                <w:rFonts w:cstheme="minorHAnsi"/>
                <w:sz w:val="20"/>
                <w:szCs w:val="20"/>
              </w:rPr>
              <w:t>DQ-09</w:t>
            </w:r>
          </w:p>
        </w:tc>
        <w:tc>
          <w:tcPr>
            <w:tcW w:w="2059" w:type="dxa"/>
            <w:vAlign w:val="center"/>
          </w:tcPr>
          <w:p w14:paraId="3C955297" w14:textId="77777777" w:rsidR="00672297" w:rsidRDefault="00A16EA3">
            <w:pPr>
              <w:spacing w:before="20" w:after="20"/>
              <w:jc w:val="left"/>
            </w:pPr>
            <w:r>
              <w:rPr>
                <w:rFonts w:cstheme="minorHAnsi"/>
                <w:sz w:val="20"/>
                <w:szCs w:val="20"/>
              </w:rPr>
              <w:t>Batch and KPI views (specification resolution)</w:t>
            </w:r>
          </w:p>
        </w:tc>
        <w:tc>
          <w:tcPr>
            <w:tcW w:w="4024" w:type="dxa"/>
            <w:vAlign w:val="center"/>
          </w:tcPr>
          <w:p w14:paraId="478E4538" w14:textId="77777777" w:rsidR="00672297" w:rsidRDefault="00A16EA3">
            <w:pPr>
              <w:spacing w:before="20" w:after="20"/>
              <w:jc w:val="left"/>
            </w:pPr>
            <w:r>
              <w:rPr>
                <w:rFonts w:cstheme="minorHAnsi"/>
                <w:sz w:val="20"/>
                <w:szCs w:val="20"/>
              </w:rPr>
              <w:t>Every batch and displayed property must resolve a specification row; "R" (report only) is a valid result without numeric limits.</w:t>
            </w:r>
          </w:p>
        </w:tc>
        <w:tc>
          <w:tcPr>
            <w:tcW w:w="2435" w:type="dxa"/>
            <w:vAlign w:val="center"/>
          </w:tcPr>
          <w:p w14:paraId="3802516E" w14:textId="77777777" w:rsidR="00672297" w:rsidRDefault="00A16EA3">
            <w:pPr>
              <w:spacing w:before="20" w:after="20"/>
              <w:jc w:val="left"/>
            </w:pPr>
            <w:r>
              <w:rPr>
                <w:rFonts w:cstheme="minorHAnsi"/>
                <w:sz w:val="20"/>
                <w:szCs w:val="20"/>
              </w:rPr>
              <w:t>Spec shown as blank and batch listed in the specification-coverage check.</w:t>
            </w:r>
          </w:p>
        </w:tc>
      </w:tr>
      <w:tr w:rsidR="00672297" w14:paraId="64C94C66" w14:textId="77777777">
        <w:trPr>
          <w:cantSplit/>
        </w:trPr>
        <w:tc>
          <w:tcPr>
            <w:tcW w:w="842" w:type="dxa"/>
            <w:vAlign w:val="center"/>
          </w:tcPr>
          <w:p w14:paraId="6F6BD47E" w14:textId="77777777" w:rsidR="00672297" w:rsidRDefault="00A16EA3">
            <w:pPr>
              <w:spacing w:before="20" w:after="20"/>
              <w:jc w:val="left"/>
            </w:pPr>
            <w:r>
              <w:rPr>
                <w:rFonts w:cstheme="minorHAnsi"/>
                <w:sz w:val="20"/>
                <w:szCs w:val="20"/>
              </w:rPr>
              <w:t>DQ-10</w:t>
            </w:r>
          </w:p>
        </w:tc>
        <w:tc>
          <w:tcPr>
            <w:tcW w:w="2059" w:type="dxa"/>
            <w:vAlign w:val="center"/>
          </w:tcPr>
          <w:p w14:paraId="16C3E59B" w14:textId="77777777" w:rsidR="00672297" w:rsidRDefault="00A16EA3">
            <w:pPr>
              <w:spacing w:before="20" w:after="20"/>
              <w:jc w:val="left"/>
            </w:pPr>
            <w:r>
              <w:rPr>
                <w:rFonts w:cstheme="minorHAnsi"/>
                <w:sz w:val="20"/>
                <w:szCs w:val="20"/>
              </w:rPr>
              <w:t>Calculation inputs (views)</w:t>
            </w:r>
          </w:p>
        </w:tc>
        <w:tc>
          <w:tcPr>
            <w:tcW w:w="4024" w:type="dxa"/>
            <w:vAlign w:val="center"/>
          </w:tcPr>
          <w:p w14:paraId="744C1A49" w14:textId="77777777" w:rsidR="00672297" w:rsidRDefault="00A16EA3">
            <w:pPr>
              <w:spacing w:before="20" w:after="20"/>
              <w:jc w:val="left"/>
            </w:pPr>
            <w:r>
              <w:rPr>
                <w:rFonts w:cstheme="minorHAnsi"/>
                <w:sz w:val="20"/>
                <w:szCs w:val="20"/>
              </w:rPr>
              <w:t>Reference values must exist for every terminal and component in scope (terminal configuration) and for every property used in a calculation (component blending values).</w:t>
            </w:r>
          </w:p>
        </w:tc>
        <w:tc>
          <w:tcPr>
            <w:tcW w:w="2435" w:type="dxa"/>
            <w:vAlign w:val="center"/>
          </w:tcPr>
          <w:p w14:paraId="26995E74" w14:textId="77777777" w:rsidR="00672297" w:rsidRDefault="00A16EA3">
            <w:pPr>
              <w:spacing w:before="20" w:after="20"/>
              <w:jc w:val="left"/>
            </w:pPr>
            <w:r>
              <w:rPr>
                <w:rFonts w:cstheme="minorHAnsi"/>
                <w:sz w:val="20"/>
                <w:szCs w:val="20"/>
              </w:rPr>
              <w:t>Calculation returns blank for the missing combination; listed in the reference-coverage check.</w:t>
            </w:r>
          </w:p>
        </w:tc>
      </w:tr>
      <w:tr w:rsidR="00672297" w14:paraId="704EB965" w14:textId="77777777">
        <w:trPr>
          <w:cantSplit/>
        </w:trPr>
        <w:tc>
          <w:tcPr>
            <w:tcW w:w="842" w:type="dxa"/>
            <w:vAlign w:val="center"/>
          </w:tcPr>
          <w:p w14:paraId="1984D11B" w14:textId="77777777" w:rsidR="00672297" w:rsidRDefault="00A16EA3">
            <w:pPr>
              <w:spacing w:before="20" w:after="20"/>
              <w:jc w:val="left"/>
            </w:pPr>
            <w:r>
              <w:rPr>
                <w:rFonts w:cstheme="minorHAnsi"/>
                <w:sz w:val="20"/>
                <w:szCs w:val="20"/>
              </w:rPr>
              <w:t>DQ-11</w:t>
            </w:r>
          </w:p>
        </w:tc>
        <w:tc>
          <w:tcPr>
            <w:tcW w:w="2059" w:type="dxa"/>
            <w:vAlign w:val="center"/>
          </w:tcPr>
          <w:p w14:paraId="1756A971" w14:textId="77777777" w:rsidR="00672297" w:rsidRDefault="00A16EA3">
            <w:pPr>
              <w:spacing w:before="20" w:after="20"/>
              <w:jc w:val="left"/>
            </w:pPr>
            <w:r>
              <w:rPr>
                <w:rFonts w:cstheme="minorHAnsi"/>
                <w:sz w:val="20"/>
                <w:szCs w:val="20"/>
              </w:rPr>
              <w:t>Reconciliation</w:t>
            </w:r>
          </w:p>
        </w:tc>
        <w:tc>
          <w:tcPr>
            <w:tcW w:w="4024" w:type="dxa"/>
            <w:vAlign w:val="center"/>
          </w:tcPr>
          <w:p w14:paraId="72AF031A" w14:textId="77777777" w:rsidR="00672297" w:rsidRDefault="00A16EA3">
            <w:pPr>
              <w:spacing w:before="20" w:after="20"/>
              <w:jc w:val="left"/>
            </w:pPr>
            <w:r>
              <w:rPr>
                <w:rFonts w:cstheme="minorHAnsi"/>
                <w:sz w:val="20"/>
                <w:szCs w:val="20"/>
              </w:rPr>
              <w:t>Daily row counts and quantity totals per interface run: source (run notification) vs loaded rows.</w:t>
            </w:r>
          </w:p>
        </w:tc>
        <w:tc>
          <w:tcPr>
            <w:tcW w:w="2435" w:type="dxa"/>
            <w:vAlign w:val="center"/>
          </w:tcPr>
          <w:p w14:paraId="3F16FF58" w14:textId="77777777" w:rsidR="00672297" w:rsidRDefault="00A16EA3">
            <w:pPr>
              <w:spacing w:before="20" w:after="20"/>
              <w:jc w:val="left"/>
            </w:pPr>
            <w:r>
              <w:rPr>
                <w:rFonts w:cstheme="minorHAnsi"/>
                <w:sz w:val="20"/>
                <w:szCs w:val="20"/>
              </w:rPr>
              <w:t>Difference reported to the support team.</w:t>
            </w:r>
          </w:p>
        </w:tc>
      </w:tr>
      <w:tr w:rsidR="00672297" w14:paraId="2A863D12" w14:textId="77777777">
        <w:trPr>
          <w:cantSplit/>
        </w:trPr>
        <w:tc>
          <w:tcPr>
            <w:tcW w:w="842" w:type="dxa"/>
            <w:vAlign w:val="center"/>
          </w:tcPr>
          <w:p w14:paraId="172B3D26" w14:textId="77777777" w:rsidR="00672297" w:rsidRDefault="00A16EA3">
            <w:pPr>
              <w:spacing w:before="20" w:after="20"/>
              <w:jc w:val="left"/>
            </w:pPr>
            <w:r>
              <w:rPr>
                <w:rFonts w:cstheme="minorHAnsi"/>
                <w:sz w:val="20"/>
                <w:szCs w:val="20"/>
              </w:rPr>
              <w:t>DQ-12</w:t>
            </w:r>
          </w:p>
        </w:tc>
        <w:tc>
          <w:tcPr>
            <w:tcW w:w="2059" w:type="dxa"/>
            <w:vAlign w:val="center"/>
          </w:tcPr>
          <w:p w14:paraId="70D58C2E" w14:textId="77777777" w:rsidR="00672297" w:rsidRDefault="00A16EA3">
            <w:pPr>
              <w:spacing w:before="20" w:after="20"/>
              <w:jc w:val="left"/>
            </w:pPr>
            <w:r>
              <w:rPr>
                <w:rFonts w:cstheme="minorHAnsi"/>
                <w:sz w:val="20"/>
                <w:szCs w:val="20"/>
              </w:rPr>
              <w:t>Reporting views</w:t>
            </w:r>
          </w:p>
        </w:tc>
        <w:tc>
          <w:tcPr>
            <w:tcW w:w="4024" w:type="dxa"/>
            <w:vAlign w:val="center"/>
          </w:tcPr>
          <w:p w14:paraId="4B6FB573" w14:textId="77777777" w:rsidR="00672297" w:rsidRDefault="00A16EA3">
            <w:pPr>
              <w:spacing w:before="20" w:after="20"/>
              <w:jc w:val="left"/>
            </w:pPr>
            <w:r>
              <w:rPr>
                <w:rFonts w:cstheme="minorHAnsi"/>
                <w:sz w:val="20"/>
                <w:szCs w:val="20"/>
              </w:rPr>
              <w:t>Negative volumes and ETA earlier than the start time are flagged.</w:t>
            </w:r>
          </w:p>
        </w:tc>
        <w:tc>
          <w:tcPr>
            <w:tcW w:w="2435" w:type="dxa"/>
            <w:vAlign w:val="center"/>
          </w:tcPr>
          <w:p w14:paraId="1790D69F" w14:textId="77777777" w:rsidR="00672297" w:rsidRDefault="00A16EA3">
            <w:pPr>
              <w:spacing w:before="20" w:after="20"/>
              <w:jc w:val="left"/>
            </w:pPr>
            <w:r>
              <w:rPr>
                <w:rFonts w:cstheme="minorHAnsi"/>
                <w:sz w:val="20"/>
                <w:szCs w:val="20"/>
              </w:rPr>
              <w:t>Row kept and flagged (DataQualityFlag).</w:t>
            </w:r>
          </w:p>
        </w:tc>
      </w:tr>
      <w:tr w:rsidR="00672297" w14:paraId="0F6E5DAE" w14:textId="77777777">
        <w:trPr>
          <w:cantSplit/>
        </w:trPr>
        <w:tc>
          <w:tcPr>
            <w:tcW w:w="842" w:type="dxa"/>
            <w:vAlign w:val="center"/>
          </w:tcPr>
          <w:p w14:paraId="7AE1B4ED" w14:textId="77777777" w:rsidR="00672297" w:rsidRDefault="00A16EA3">
            <w:pPr>
              <w:spacing w:before="20" w:after="20"/>
              <w:jc w:val="left"/>
            </w:pPr>
            <w:r>
              <w:rPr>
                <w:rFonts w:cstheme="minorHAnsi"/>
                <w:sz w:val="20"/>
                <w:szCs w:val="20"/>
              </w:rPr>
              <w:t>DQ-13</w:t>
            </w:r>
          </w:p>
        </w:tc>
        <w:tc>
          <w:tcPr>
            <w:tcW w:w="2059" w:type="dxa"/>
            <w:vAlign w:val="center"/>
          </w:tcPr>
          <w:p w14:paraId="3FE6DCB0" w14:textId="77777777" w:rsidR="00672297" w:rsidRDefault="00A16EA3">
            <w:pPr>
              <w:spacing w:before="20" w:after="20"/>
              <w:jc w:val="left"/>
            </w:pPr>
            <w:r>
              <w:rPr>
                <w:rFonts w:cstheme="minorHAnsi"/>
                <w:sz w:val="20"/>
                <w:szCs w:val="20"/>
              </w:rPr>
              <w:t>vwGasolineBlendingKPI, vwDistillateBlendingKPI</w:t>
            </w:r>
          </w:p>
        </w:tc>
        <w:tc>
          <w:tcPr>
            <w:tcW w:w="4024" w:type="dxa"/>
            <w:vAlign w:val="center"/>
          </w:tcPr>
          <w:p w14:paraId="16AD17B1" w14:textId="77777777" w:rsidR="00672297" w:rsidRDefault="00A16EA3">
            <w:pPr>
              <w:spacing w:before="20" w:after="20"/>
              <w:jc w:val="left"/>
            </w:pPr>
            <w:r>
              <w:rPr>
                <w:rFonts w:cstheme="minorHAnsi"/>
                <w:sz w:val="20"/>
                <w:szCs w:val="20"/>
              </w:rPr>
              <w:t>globalCode and productAbbreviation must be populated and must exist in the MPR data, otherwise the value loss is blank.</w:t>
            </w:r>
          </w:p>
        </w:tc>
        <w:tc>
          <w:tcPr>
            <w:tcW w:w="2435" w:type="dxa"/>
            <w:vAlign w:val="center"/>
          </w:tcPr>
          <w:p w14:paraId="0972AD48" w14:textId="77777777" w:rsidR="00672297" w:rsidRDefault="00A16EA3">
            <w:pPr>
              <w:spacing w:before="20" w:after="20"/>
              <w:jc w:val="left"/>
            </w:pPr>
            <w:r>
              <w:rPr>
                <w:rFonts w:cstheme="minorHAnsi"/>
                <w:sz w:val="20"/>
                <w:szCs w:val="20"/>
              </w:rPr>
              <w:t>Value loss shown blank for the row; checked in calculation validation (chapter 4, Testing &amp; Validation).</w:t>
            </w:r>
          </w:p>
        </w:tc>
      </w:tr>
    </w:tbl>
    <w:p w14:paraId="180C8A5F" w14:textId="2F061E15" w:rsidR="00672297" w:rsidRDefault="00A16EA3">
      <w:pPr>
        <w:pStyle w:val="Caption"/>
      </w:pPr>
      <w:bookmarkStart w:id="362" w:name="_Toc900900021"/>
      <w:bookmarkStart w:id="363" w:name="_Toc241574675"/>
      <w:bookmarkStart w:id="364" w:name="_Toc242554059"/>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6</w:t>
      </w:r>
      <w:r>
        <w:fldChar w:fldCharType="end"/>
      </w:r>
      <w:r>
        <w:t>: Data Validation and Quality Rules</w:t>
      </w:r>
      <w:bookmarkEnd w:id="362"/>
      <w:bookmarkEnd w:id="363"/>
      <w:bookmarkEnd w:id="364"/>
    </w:p>
    <w:p w14:paraId="34250DCB" w14:textId="77777777" w:rsidR="00672297" w:rsidRDefault="00A16EA3">
      <w:pPr>
        <w:pStyle w:val="Heading3"/>
        <w:rPr>
          <w:rFonts w:asciiTheme="minorHAnsi" w:hAnsiTheme="minorHAnsi" w:cstheme="minorBidi"/>
          <w:sz w:val="20"/>
          <w:szCs w:val="20"/>
        </w:rPr>
      </w:pPr>
      <w:bookmarkStart w:id="365" w:name="_Toc241574324"/>
      <w:bookmarkStart w:id="366" w:name="_Toc242553946"/>
      <w:r>
        <w:rPr>
          <w:rFonts w:asciiTheme="minorHAnsi" w:hAnsiTheme="minorHAnsi" w:cstheme="minorBidi"/>
          <w:sz w:val="20"/>
          <w:szCs w:val="20"/>
        </w:rPr>
        <w:t>Environment Configuration</w:t>
      </w:r>
      <w:bookmarkEnd w:id="365"/>
      <w:bookmarkEnd w:id="366"/>
    </w:p>
    <w:p w14:paraId="0C8EEFD4" w14:textId="77777777" w:rsidR="00672297" w:rsidRDefault="00A16EA3">
      <w:pPr>
        <w:rPr>
          <w:rFonts w:cstheme="minorHAnsi"/>
          <w:sz w:val="20"/>
          <w:szCs w:val="20"/>
        </w:rPr>
      </w:pPr>
      <w:r>
        <w:rPr>
          <w:rFonts w:cstheme="minorHAnsi"/>
          <w:sz w:val="20"/>
          <w:szCs w:val="20"/>
        </w:rPr>
        <w:t>The VCB tables and views are deployed to the IQDM database of each environment. Each environment has a dedicated database instance to ensure isolation and controlled promotion of changes.</w:t>
      </w:r>
    </w:p>
    <w:tbl>
      <w:tblPr>
        <w:tblStyle w:val="TableGrid"/>
        <w:tblW w:w="9360" w:type="dxa"/>
        <w:tblLayout w:type="fixed"/>
        <w:tblCellMar>
          <w:left w:w="70" w:type="dxa"/>
          <w:right w:w="70" w:type="dxa"/>
        </w:tblCellMar>
        <w:tblLook w:val="04A0" w:firstRow="1" w:lastRow="0" w:firstColumn="1" w:lastColumn="0" w:noHBand="0" w:noVBand="1"/>
      </w:tblPr>
      <w:tblGrid>
        <w:gridCol w:w="1123"/>
        <w:gridCol w:w="3744"/>
        <w:gridCol w:w="1872"/>
        <w:gridCol w:w="2621"/>
      </w:tblGrid>
      <w:tr w:rsidR="00672297" w14:paraId="69F6514D" w14:textId="77777777">
        <w:trPr>
          <w:cantSplit/>
          <w:tblHeader/>
        </w:trPr>
        <w:tc>
          <w:tcPr>
            <w:tcW w:w="1123" w:type="dxa"/>
            <w:shd w:val="clear" w:color="auto" w:fill="2F5496"/>
            <w:vAlign w:val="center"/>
          </w:tcPr>
          <w:p w14:paraId="62934BA4" w14:textId="77777777" w:rsidR="00672297" w:rsidRDefault="00A16EA3">
            <w:pPr>
              <w:spacing w:before="20" w:after="20"/>
              <w:jc w:val="left"/>
            </w:pPr>
            <w:r>
              <w:rPr>
                <w:rFonts w:cstheme="minorHAnsi"/>
                <w:b/>
                <w:bCs/>
                <w:color w:val="FFFFFF"/>
                <w:sz w:val="20"/>
                <w:szCs w:val="20"/>
              </w:rPr>
              <w:t>Environment</w:t>
            </w:r>
          </w:p>
        </w:tc>
        <w:tc>
          <w:tcPr>
            <w:tcW w:w="3744" w:type="dxa"/>
            <w:shd w:val="clear" w:color="auto" w:fill="2F5496"/>
            <w:vAlign w:val="center"/>
          </w:tcPr>
          <w:p w14:paraId="47C9B230" w14:textId="77777777" w:rsidR="00672297" w:rsidRDefault="00A16EA3">
            <w:pPr>
              <w:spacing w:before="20" w:after="20"/>
              <w:jc w:val="left"/>
            </w:pPr>
            <w:r>
              <w:rPr>
                <w:rFonts w:cstheme="minorHAnsi"/>
                <w:b/>
                <w:bCs/>
                <w:color w:val="FFFFFF"/>
                <w:sz w:val="20"/>
                <w:szCs w:val="20"/>
              </w:rPr>
              <w:t>Database Server Name</w:t>
            </w:r>
          </w:p>
        </w:tc>
        <w:tc>
          <w:tcPr>
            <w:tcW w:w="1872" w:type="dxa"/>
            <w:shd w:val="clear" w:color="auto" w:fill="2F5496"/>
            <w:vAlign w:val="center"/>
          </w:tcPr>
          <w:p w14:paraId="1FC5AC96" w14:textId="77777777" w:rsidR="00672297" w:rsidRDefault="00A16EA3">
            <w:pPr>
              <w:spacing w:before="20" w:after="20"/>
              <w:jc w:val="left"/>
            </w:pPr>
            <w:r>
              <w:rPr>
                <w:rFonts w:cstheme="minorHAnsi"/>
                <w:b/>
                <w:bCs/>
                <w:color w:val="FFFFFF"/>
                <w:sz w:val="20"/>
                <w:szCs w:val="20"/>
              </w:rPr>
              <w:t>Database Name</w:t>
            </w:r>
          </w:p>
        </w:tc>
        <w:tc>
          <w:tcPr>
            <w:tcW w:w="2621" w:type="dxa"/>
            <w:shd w:val="clear" w:color="auto" w:fill="2F5496"/>
            <w:vAlign w:val="center"/>
          </w:tcPr>
          <w:p w14:paraId="7D7AC577" w14:textId="77777777" w:rsidR="00672297" w:rsidRDefault="00A16EA3">
            <w:pPr>
              <w:spacing w:before="20" w:after="20"/>
              <w:jc w:val="left"/>
            </w:pPr>
            <w:r>
              <w:rPr>
                <w:rFonts w:cstheme="minorHAnsi"/>
                <w:b/>
                <w:bCs/>
                <w:color w:val="FFFFFF"/>
                <w:sz w:val="20"/>
                <w:szCs w:val="20"/>
              </w:rPr>
              <w:t>Purpose</w:t>
            </w:r>
          </w:p>
        </w:tc>
      </w:tr>
      <w:tr w:rsidR="00672297" w14:paraId="7E1F7184" w14:textId="77777777">
        <w:trPr>
          <w:cantSplit/>
        </w:trPr>
        <w:tc>
          <w:tcPr>
            <w:tcW w:w="1123" w:type="dxa"/>
            <w:vAlign w:val="center"/>
          </w:tcPr>
          <w:p w14:paraId="2999E68B" w14:textId="77777777" w:rsidR="00672297" w:rsidRDefault="00A16EA3">
            <w:pPr>
              <w:spacing w:before="20" w:after="20"/>
              <w:jc w:val="left"/>
            </w:pPr>
            <w:r>
              <w:rPr>
                <w:rFonts w:cstheme="minorHAnsi"/>
                <w:sz w:val="20"/>
                <w:szCs w:val="20"/>
              </w:rPr>
              <w:t>DEV</w:t>
            </w:r>
          </w:p>
        </w:tc>
        <w:tc>
          <w:tcPr>
            <w:tcW w:w="3744" w:type="dxa"/>
            <w:vAlign w:val="center"/>
          </w:tcPr>
          <w:p w14:paraId="102E27BC" w14:textId="77777777" w:rsidR="00672297" w:rsidRDefault="00A16EA3">
            <w:pPr>
              <w:spacing w:before="20" w:after="20"/>
              <w:jc w:val="left"/>
            </w:pPr>
            <w:r>
              <w:rPr>
                <w:rFonts w:cstheme="minorHAnsi"/>
                <w:sz w:val="20"/>
                <w:szCs w:val="20"/>
              </w:rPr>
              <w:t>com-dev-me2-com-shared-sql.database.windows.net</w:t>
            </w:r>
          </w:p>
        </w:tc>
        <w:tc>
          <w:tcPr>
            <w:tcW w:w="1872" w:type="dxa"/>
            <w:vAlign w:val="center"/>
          </w:tcPr>
          <w:p w14:paraId="55B7047A" w14:textId="77777777" w:rsidR="00672297" w:rsidRDefault="00A16EA3">
            <w:pPr>
              <w:spacing w:before="20" w:after="20"/>
              <w:jc w:val="left"/>
            </w:pPr>
            <w:r>
              <w:rPr>
                <w:rFonts w:cstheme="minorHAnsi"/>
                <w:sz w:val="20"/>
                <w:szCs w:val="20"/>
              </w:rPr>
              <w:t>iqdmdev</w:t>
            </w:r>
          </w:p>
        </w:tc>
        <w:tc>
          <w:tcPr>
            <w:tcW w:w="2621" w:type="dxa"/>
            <w:vAlign w:val="center"/>
          </w:tcPr>
          <w:p w14:paraId="6933AA76" w14:textId="77777777" w:rsidR="00672297" w:rsidRDefault="00A16EA3">
            <w:pPr>
              <w:spacing w:before="20" w:after="20"/>
              <w:jc w:val="left"/>
            </w:pPr>
            <w:r>
              <w:rPr>
                <w:rFonts w:cstheme="minorHAnsi"/>
                <w:sz w:val="20"/>
                <w:szCs w:val="20"/>
              </w:rPr>
              <w:t>Development and unit testing</w:t>
            </w:r>
          </w:p>
        </w:tc>
      </w:tr>
      <w:tr w:rsidR="00672297" w14:paraId="56226C2E" w14:textId="77777777">
        <w:trPr>
          <w:cantSplit/>
        </w:trPr>
        <w:tc>
          <w:tcPr>
            <w:tcW w:w="1123" w:type="dxa"/>
            <w:vAlign w:val="center"/>
          </w:tcPr>
          <w:p w14:paraId="1752D070" w14:textId="77777777" w:rsidR="00672297" w:rsidRDefault="00A16EA3">
            <w:pPr>
              <w:spacing w:before="20" w:after="20"/>
              <w:jc w:val="left"/>
            </w:pPr>
            <w:r>
              <w:rPr>
                <w:rFonts w:cstheme="minorHAnsi"/>
                <w:sz w:val="20"/>
                <w:szCs w:val="20"/>
              </w:rPr>
              <w:t>QA</w:t>
            </w:r>
          </w:p>
        </w:tc>
        <w:tc>
          <w:tcPr>
            <w:tcW w:w="3744" w:type="dxa"/>
            <w:vAlign w:val="center"/>
          </w:tcPr>
          <w:p w14:paraId="5F131959" w14:textId="77777777" w:rsidR="00672297" w:rsidRDefault="00A16EA3">
            <w:pPr>
              <w:spacing w:before="20" w:after="20"/>
              <w:jc w:val="left"/>
            </w:pPr>
            <w:r>
              <w:rPr>
                <w:rFonts w:cstheme="minorHAnsi"/>
                <w:sz w:val="20"/>
                <w:szCs w:val="20"/>
              </w:rPr>
              <w:t>com-tst-me2-com-shared-sql.database.windows.net</w:t>
            </w:r>
          </w:p>
        </w:tc>
        <w:tc>
          <w:tcPr>
            <w:tcW w:w="1872" w:type="dxa"/>
            <w:vAlign w:val="center"/>
          </w:tcPr>
          <w:p w14:paraId="7AC0622A" w14:textId="77777777" w:rsidR="00672297" w:rsidRDefault="00A16EA3">
            <w:pPr>
              <w:spacing w:before="20" w:after="20"/>
              <w:jc w:val="left"/>
            </w:pPr>
            <w:r>
              <w:rPr>
                <w:rFonts w:cstheme="minorHAnsi"/>
                <w:sz w:val="20"/>
                <w:szCs w:val="20"/>
              </w:rPr>
              <w:t>iqdmqa</w:t>
            </w:r>
          </w:p>
        </w:tc>
        <w:tc>
          <w:tcPr>
            <w:tcW w:w="2621" w:type="dxa"/>
            <w:vAlign w:val="center"/>
          </w:tcPr>
          <w:p w14:paraId="4182E89B" w14:textId="77777777" w:rsidR="00672297" w:rsidRDefault="00A16EA3">
            <w:pPr>
              <w:spacing w:before="20" w:after="20"/>
              <w:jc w:val="left"/>
            </w:pPr>
            <w:r>
              <w:rPr>
                <w:rFonts w:cstheme="minorHAnsi"/>
                <w:sz w:val="20"/>
                <w:szCs w:val="20"/>
              </w:rPr>
              <w:t>Functional and integration testing</w:t>
            </w:r>
          </w:p>
        </w:tc>
      </w:tr>
      <w:tr w:rsidR="00672297" w14:paraId="25E03F59" w14:textId="77777777">
        <w:trPr>
          <w:cantSplit/>
        </w:trPr>
        <w:tc>
          <w:tcPr>
            <w:tcW w:w="1123" w:type="dxa"/>
            <w:vAlign w:val="center"/>
          </w:tcPr>
          <w:p w14:paraId="019D13CE" w14:textId="77777777" w:rsidR="00672297" w:rsidRDefault="00A16EA3">
            <w:pPr>
              <w:spacing w:before="20" w:after="20"/>
              <w:jc w:val="left"/>
            </w:pPr>
            <w:r>
              <w:rPr>
                <w:rFonts w:cstheme="minorHAnsi"/>
                <w:sz w:val="20"/>
                <w:szCs w:val="20"/>
              </w:rPr>
              <w:t>UAT</w:t>
            </w:r>
          </w:p>
        </w:tc>
        <w:tc>
          <w:tcPr>
            <w:tcW w:w="3744" w:type="dxa"/>
            <w:vAlign w:val="center"/>
          </w:tcPr>
          <w:p w14:paraId="020D7951" w14:textId="77777777" w:rsidR="00672297" w:rsidRDefault="00A16EA3">
            <w:pPr>
              <w:spacing w:before="20" w:after="20"/>
              <w:jc w:val="left"/>
            </w:pPr>
            <w:r>
              <w:rPr>
                <w:rFonts w:cstheme="minorHAnsi"/>
                <w:sz w:val="20"/>
                <w:szCs w:val="20"/>
              </w:rPr>
              <w:t>Not provided - gap DP-01</w:t>
            </w:r>
          </w:p>
        </w:tc>
        <w:tc>
          <w:tcPr>
            <w:tcW w:w="1872" w:type="dxa"/>
            <w:vAlign w:val="center"/>
          </w:tcPr>
          <w:p w14:paraId="59F3C3BC" w14:textId="77777777" w:rsidR="00672297" w:rsidRDefault="00A16EA3">
            <w:pPr>
              <w:spacing w:before="20" w:after="20"/>
              <w:jc w:val="left"/>
            </w:pPr>
            <w:r>
              <w:rPr>
                <w:rFonts w:cstheme="minorHAnsi"/>
                <w:sz w:val="20"/>
                <w:szCs w:val="20"/>
              </w:rPr>
              <w:t>Not provided - gap DP-01</w:t>
            </w:r>
          </w:p>
        </w:tc>
        <w:tc>
          <w:tcPr>
            <w:tcW w:w="2621" w:type="dxa"/>
            <w:vAlign w:val="center"/>
          </w:tcPr>
          <w:p w14:paraId="77A8E82F" w14:textId="77777777" w:rsidR="00672297" w:rsidRDefault="00A16EA3">
            <w:pPr>
              <w:spacing w:before="20" w:after="20"/>
              <w:jc w:val="left"/>
            </w:pPr>
            <w:r>
              <w:rPr>
                <w:rFonts w:cstheme="minorHAnsi"/>
                <w:sz w:val="20"/>
                <w:szCs w:val="20"/>
              </w:rPr>
              <w:t>User acceptance testing</w:t>
            </w:r>
          </w:p>
        </w:tc>
      </w:tr>
      <w:tr w:rsidR="00672297" w14:paraId="18D283FE" w14:textId="77777777">
        <w:trPr>
          <w:cantSplit/>
        </w:trPr>
        <w:tc>
          <w:tcPr>
            <w:tcW w:w="1123" w:type="dxa"/>
            <w:vAlign w:val="center"/>
          </w:tcPr>
          <w:p w14:paraId="26EAFEF1" w14:textId="77777777" w:rsidR="00672297" w:rsidRDefault="00A16EA3">
            <w:pPr>
              <w:spacing w:before="20" w:after="20"/>
              <w:jc w:val="left"/>
            </w:pPr>
            <w:r>
              <w:rPr>
                <w:rFonts w:cstheme="minorHAnsi"/>
                <w:sz w:val="20"/>
                <w:szCs w:val="20"/>
              </w:rPr>
              <w:t>PROD</w:t>
            </w:r>
          </w:p>
        </w:tc>
        <w:tc>
          <w:tcPr>
            <w:tcW w:w="3744" w:type="dxa"/>
            <w:vAlign w:val="center"/>
          </w:tcPr>
          <w:p w14:paraId="20433394" w14:textId="77777777" w:rsidR="00672297" w:rsidRDefault="00A16EA3">
            <w:pPr>
              <w:spacing w:before="20" w:after="20"/>
              <w:jc w:val="left"/>
            </w:pPr>
            <w:r>
              <w:rPr>
                <w:rFonts w:cstheme="minorHAnsi"/>
                <w:sz w:val="20"/>
                <w:szCs w:val="20"/>
              </w:rPr>
              <w:t>Not provided - gap DP-01</w:t>
            </w:r>
          </w:p>
        </w:tc>
        <w:tc>
          <w:tcPr>
            <w:tcW w:w="1872" w:type="dxa"/>
            <w:vAlign w:val="center"/>
          </w:tcPr>
          <w:p w14:paraId="4D1E67F1" w14:textId="77777777" w:rsidR="00672297" w:rsidRDefault="00A16EA3">
            <w:pPr>
              <w:spacing w:before="20" w:after="20"/>
              <w:jc w:val="left"/>
            </w:pPr>
            <w:r>
              <w:rPr>
                <w:rFonts w:cstheme="minorHAnsi"/>
                <w:sz w:val="20"/>
                <w:szCs w:val="20"/>
              </w:rPr>
              <w:t>Not provided - gap DP-01</w:t>
            </w:r>
          </w:p>
        </w:tc>
        <w:tc>
          <w:tcPr>
            <w:tcW w:w="2621" w:type="dxa"/>
            <w:vAlign w:val="center"/>
          </w:tcPr>
          <w:p w14:paraId="228664B7" w14:textId="77777777" w:rsidR="00672297" w:rsidRDefault="00A16EA3">
            <w:pPr>
              <w:spacing w:before="20" w:after="20"/>
              <w:jc w:val="left"/>
            </w:pPr>
            <w:r>
              <w:rPr>
                <w:rFonts w:cstheme="minorHAnsi"/>
                <w:sz w:val="20"/>
                <w:szCs w:val="20"/>
              </w:rPr>
              <w:t>Production operations</w:t>
            </w:r>
          </w:p>
        </w:tc>
      </w:tr>
    </w:tbl>
    <w:p w14:paraId="5F1E7400" w14:textId="37432BA4" w:rsidR="00672297" w:rsidRDefault="00A16EA3">
      <w:pPr>
        <w:pStyle w:val="Caption"/>
      </w:pPr>
      <w:bookmarkStart w:id="367" w:name="_Toc900900023"/>
      <w:bookmarkStart w:id="368" w:name="_Toc241574676"/>
      <w:bookmarkStart w:id="369" w:name="_Toc242554060"/>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7</w:t>
      </w:r>
      <w:r>
        <w:fldChar w:fldCharType="end"/>
      </w:r>
      <w:r>
        <w:t>: Environment Configuration</w:t>
      </w:r>
      <w:bookmarkEnd w:id="367"/>
      <w:bookmarkEnd w:id="368"/>
      <w:bookmarkEnd w:id="369"/>
    </w:p>
    <w:p w14:paraId="2E54FDD7" w14:textId="77777777" w:rsidR="00672297" w:rsidRDefault="00A16EA3">
      <w:pPr>
        <w:rPr>
          <w:rFonts w:cstheme="minorHAnsi"/>
          <w:sz w:val="20"/>
          <w:szCs w:val="20"/>
        </w:rPr>
      </w:pPr>
      <w:r>
        <w:rPr>
          <w:rFonts w:cstheme="minorHAnsi"/>
          <w:sz w:val="20"/>
          <w:szCs w:val="20"/>
        </w:rPr>
        <w:t>Users must be members of the ‘</w:t>
      </w:r>
      <w:r>
        <w:rPr>
          <w:rFonts w:cstheme="minorHAnsi"/>
          <w:b/>
          <w:bCs/>
          <w:sz w:val="20"/>
          <w:szCs w:val="20"/>
        </w:rPr>
        <w:t>azure-appdev-npd-cip</w:t>
      </w:r>
      <w:r>
        <w:rPr>
          <w:rFonts w:cstheme="minorHAnsi"/>
          <w:sz w:val="20"/>
          <w:szCs w:val="20"/>
        </w:rPr>
        <w:t>’ AD group to reach the non-production databases. The Power BI gateway connection uses a SQL / service account with read access to the six VCB reporting views and day_detail; the load stored procedures run under the integration SQL account (chapter 2, Dependencies and Prerequisites).</w:t>
      </w:r>
    </w:p>
    <w:p w14:paraId="0D9AF2C8" w14:textId="77777777" w:rsidR="00672297" w:rsidRDefault="00A16EA3">
      <w:pPr>
        <w:pStyle w:val="Heading2"/>
        <w:rPr>
          <w:rFonts w:asciiTheme="minorHAnsi" w:hAnsiTheme="minorHAnsi" w:cstheme="minorBidi"/>
          <w:sz w:val="20"/>
          <w:szCs w:val="20"/>
        </w:rPr>
      </w:pPr>
      <w:bookmarkStart w:id="370" w:name="_Toc241574325"/>
      <w:bookmarkStart w:id="371" w:name="_Toc242553947"/>
      <w:r>
        <w:rPr>
          <w:rFonts w:asciiTheme="minorHAnsi" w:hAnsiTheme="minorHAnsi" w:cstheme="minorBidi"/>
          <w:sz w:val="20"/>
          <w:szCs w:val="20"/>
        </w:rPr>
        <w:t>Release 1 - Data Entity Design (VCB tables in the IQDM database)</w:t>
      </w:r>
      <w:bookmarkEnd w:id="370"/>
      <w:bookmarkEnd w:id="371"/>
    </w:p>
    <w:p w14:paraId="0C6095B0" w14:textId="0201003E" w:rsidR="00672297" w:rsidRDefault="00A16EA3">
      <w:pPr>
        <w:rPr>
          <w:rFonts w:cstheme="minorHAnsi"/>
          <w:sz w:val="20"/>
          <w:szCs w:val="20"/>
        </w:rPr>
      </w:pPr>
      <w:r>
        <w:rPr>
          <w:rFonts w:cstheme="minorHAnsi"/>
          <w:sz w:val="20"/>
          <w:szCs w:val="20"/>
        </w:rPr>
        <w:t xml:space="preserve">The VCB data model consists of the six VCB-specific views created in the IQDM database on the IQDM tables. Release 1 delivers the dashboards on the IQDM entities and the product specifications; the </w:t>
      </w:r>
      <w:r w:rsidR="000A106D">
        <w:rPr>
          <w:rFonts w:cstheme="minorHAnsi"/>
          <w:sz w:val="20"/>
          <w:szCs w:val="20"/>
        </w:rPr>
        <w:t>VCB integration target tables</w:t>
      </w:r>
      <w:r>
        <w:rPr>
          <w:rFonts w:cstheme="minorHAnsi"/>
          <w:sz w:val="20"/>
          <w:szCs w:val="20"/>
        </w:rPr>
        <w:t xml:space="preserve"> of chapter 2 for the PIAF data (</w:t>
      </w:r>
      <w:r w:rsidR="00371C86">
        <w:rPr>
          <w:rFonts w:cstheme="minorHAnsi"/>
          <w:sz w:val="20"/>
          <w:szCs w:val="20"/>
        </w:rPr>
        <w:t>Releases 2 and 3</w:t>
      </w:r>
      <w:r>
        <w:rPr>
          <w:rFonts w:cstheme="minorHAnsi"/>
          <w:sz w:val="20"/>
          <w:szCs w:val="20"/>
        </w:rPr>
        <w:t>) and the transaction upload (Release 3), and the MPR pricing (Release 3, Power BI only), extend it. The logical data model of the tables the views read is shown below; lines are many-to-one foreign keys from the child table to the master table.</w:t>
      </w:r>
    </w:p>
    <w:p w14:paraId="705B28CC" w14:textId="77777777" w:rsidR="00672297" w:rsidRDefault="00A16EA3">
      <w:pPr>
        <w:keepNext/>
        <w:jc w:val="center"/>
      </w:pPr>
      <w:r>
        <w:rPr>
          <w:noProof/>
        </w:rPr>
        <w:drawing>
          <wp:inline distT="0" distB="0" distL="0" distR="0" wp14:anchorId="76B45F36" wp14:editId="00B59BA6">
            <wp:extent cx="5943600" cy="3619500"/>
            <wp:effectExtent l="0" t="0" r="0" b="0"/>
            <wp:docPr id="5002" name="VCB Fig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vcb_fig_5002.png"/>
                    <pic:cNvPicPr/>
                  </pic:nvPicPr>
                  <pic:blipFill>
                    <a:blip r:embed="rId46"/>
                    <a:stretch>
                      <a:fillRect/>
                    </a:stretch>
                  </pic:blipFill>
                  <pic:spPr>
                    <a:xfrm>
                      <a:off x="0" y="0"/>
                      <a:ext cx="5943600" cy="3619500"/>
                    </a:xfrm>
                    <a:prstGeom prst="rect">
                      <a:avLst/>
                    </a:prstGeom>
                  </pic:spPr>
                </pic:pic>
              </a:graphicData>
            </a:graphic>
          </wp:inline>
        </w:drawing>
      </w:r>
    </w:p>
    <w:p w14:paraId="74390C39" w14:textId="6706B0FC" w:rsidR="00672297" w:rsidRDefault="00A16EA3">
      <w:pPr>
        <w:pStyle w:val="Caption"/>
      </w:pPr>
      <w:bookmarkStart w:id="372" w:name="_Toc900900025"/>
      <w:bookmarkStart w:id="373" w:name="_Toc241574757"/>
      <w:bookmarkStart w:id="374" w:name="_Toc242554159"/>
      <w:r>
        <w:t xml:space="preserve">Figure </w:t>
      </w:r>
      <w:r>
        <w:fldChar w:fldCharType="begin"/>
      </w:r>
      <w:r>
        <w:instrText>STYLEREF 1 \s</w:instrText>
      </w:r>
      <w:r>
        <w:fldChar w:fldCharType="separate"/>
      </w:r>
      <w:r w:rsidR="00FC42E7">
        <w:rPr>
          <w:noProof/>
        </w:rPr>
        <w:t>3</w:t>
      </w:r>
      <w:r>
        <w:fldChar w:fldCharType="end"/>
      </w:r>
      <w:r>
        <w:t>-</w:t>
      </w:r>
      <w:r>
        <w:fldChar w:fldCharType="begin"/>
      </w:r>
      <w:r>
        <w:instrText>SEQ Figure \* ARABIC \s 1</w:instrText>
      </w:r>
      <w:r>
        <w:fldChar w:fldCharType="separate"/>
      </w:r>
      <w:r w:rsidR="00FC42E7">
        <w:rPr>
          <w:noProof/>
        </w:rPr>
        <w:t>2</w:t>
      </w:r>
      <w:r>
        <w:fldChar w:fldCharType="end"/>
      </w:r>
      <w:r>
        <w:t xml:space="preserve">: VCB Logical Data Model (IQDM Tables and </w:t>
      </w:r>
      <w:r w:rsidR="000A106D">
        <w:t>VCB Integration Target Tables</w:t>
      </w:r>
      <w:r>
        <w:t>)</w:t>
      </w:r>
      <w:bookmarkEnd w:id="372"/>
      <w:bookmarkEnd w:id="373"/>
      <w:bookmarkEnd w:id="374"/>
    </w:p>
    <w:p w14:paraId="4B96D91F" w14:textId="648E416A" w:rsidR="00672297" w:rsidRDefault="00A16EA3">
      <w:pPr>
        <w:rPr>
          <w:rFonts w:cstheme="minorHAnsi"/>
          <w:sz w:val="20"/>
          <w:szCs w:val="20"/>
        </w:rPr>
      </w:pPr>
      <w:r>
        <w:rPr>
          <w:rFonts w:cstheme="minorHAnsi"/>
          <w:b/>
          <w:bCs/>
          <w:sz w:val="20"/>
          <w:szCs w:val="20"/>
        </w:rPr>
        <w:t>Naming and typing conventions (</w:t>
      </w:r>
      <w:r w:rsidR="000A106D">
        <w:rPr>
          <w:rFonts w:cstheme="minorHAnsi"/>
          <w:b/>
          <w:bCs/>
          <w:sz w:val="20"/>
          <w:szCs w:val="20"/>
        </w:rPr>
        <w:t>VCB integration target tables</w:t>
      </w:r>
      <w:r>
        <w:rPr>
          <w:rFonts w:cstheme="minorHAnsi"/>
          <w:b/>
          <w:bCs/>
          <w:sz w:val="20"/>
          <w:szCs w:val="20"/>
        </w:rPr>
        <w:t>):</w:t>
      </w:r>
      <w:r>
        <w:rPr>
          <w:rFonts w:cstheme="minorHAnsi"/>
          <w:sz w:val="20"/>
          <w:szCs w:val="20"/>
        </w:rPr>
        <w:t xml:space="preserve"> lower snake case with the prefix VCB_; surrogate primary keys are BIGINT or INT IDENTITY columns named &lt;table&gt;_id; foreign keys reference the surrogate key of the IQDM master table and carry the same name; quantities DECIMAL(18,2), measured values DECIMAL(18,4), percentages DECIMAL(9,4) stored as fractions (0.10 = 10 %); timestamps DATETIME in UTC; every table carries the IQDM audit columns (batch_id, is_active, created_by, created_on, updated_by, updated_on).</w:t>
      </w:r>
    </w:p>
    <w:p w14:paraId="7514622F" w14:textId="77777777" w:rsidR="00672297" w:rsidRDefault="00A16EA3">
      <w:pPr>
        <w:pStyle w:val="Heading3"/>
        <w:rPr>
          <w:rFonts w:asciiTheme="minorHAnsi" w:hAnsiTheme="minorHAnsi" w:cstheme="minorBidi"/>
          <w:sz w:val="20"/>
          <w:szCs w:val="20"/>
        </w:rPr>
      </w:pPr>
      <w:bookmarkStart w:id="375" w:name="_Toc241574326"/>
      <w:bookmarkStart w:id="376" w:name="_Toc242553948"/>
      <w:r>
        <w:rPr>
          <w:rFonts w:asciiTheme="minorHAnsi" w:hAnsiTheme="minorHAnsi" w:cstheme="minorBidi"/>
          <w:sz w:val="20"/>
          <w:szCs w:val="20"/>
        </w:rPr>
        <w:t>IQDM Tables Used by VCB</w:t>
      </w:r>
      <w:bookmarkEnd w:id="375"/>
      <w:bookmarkEnd w:id="376"/>
    </w:p>
    <w:p w14:paraId="2A07A2CE" w14:textId="77777777" w:rsidR="00672297" w:rsidRDefault="00A16EA3">
      <w:pPr>
        <w:rPr>
          <w:rFonts w:cstheme="minorHAnsi"/>
          <w:sz w:val="20"/>
          <w:szCs w:val="20"/>
        </w:rPr>
      </w:pPr>
      <w:r>
        <w:rPr>
          <w:rFonts w:cstheme="minorHAnsi"/>
          <w:sz w:val="20"/>
          <w:szCs w:val="20"/>
        </w:rPr>
        <w:t>VCB reads the IQDM tables below without changing their design (IQDM Technical Design Document V3.0, chapter Data Platform). The table lists the columns VCB uses and their keys.</w:t>
      </w:r>
    </w:p>
    <w:tbl>
      <w:tblPr>
        <w:tblStyle w:val="TableGrid"/>
        <w:tblW w:w="9360" w:type="dxa"/>
        <w:tblLayout w:type="fixed"/>
        <w:tblCellMar>
          <w:left w:w="70" w:type="dxa"/>
          <w:right w:w="70" w:type="dxa"/>
        </w:tblCellMar>
        <w:tblLook w:val="04A0" w:firstRow="1" w:lastRow="0" w:firstColumn="1" w:lastColumn="0" w:noHBand="0" w:noVBand="1"/>
      </w:tblPr>
      <w:tblGrid>
        <w:gridCol w:w="1404"/>
        <w:gridCol w:w="1029"/>
        <w:gridCol w:w="2340"/>
        <w:gridCol w:w="2901"/>
        <w:gridCol w:w="1686"/>
      </w:tblGrid>
      <w:tr w:rsidR="00672297" w14:paraId="604F9954" w14:textId="77777777">
        <w:trPr>
          <w:cantSplit/>
          <w:tblHeader/>
        </w:trPr>
        <w:tc>
          <w:tcPr>
            <w:tcW w:w="1404" w:type="dxa"/>
            <w:shd w:val="clear" w:color="auto" w:fill="2F5496"/>
            <w:vAlign w:val="center"/>
          </w:tcPr>
          <w:p w14:paraId="01FD8AE3" w14:textId="77777777" w:rsidR="00672297" w:rsidRDefault="00A16EA3">
            <w:pPr>
              <w:spacing w:before="20" w:after="20"/>
              <w:jc w:val="left"/>
            </w:pPr>
            <w:r>
              <w:rPr>
                <w:rFonts w:cstheme="minorHAnsi"/>
                <w:b/>
                <w:bCs/>
                <w:color w:val="FFFFFF"/>
                <w:sz w:val="18"/>
                <w:szCs w:val="18"/>
              </w:rPr>
              <w:t>IQDM Table</w:t>
            </w:r>
          </w:p>
        </w:tc>
        <w:tc>
          <w:tcPr>
            <w:tcW w:w="1029" w:type="dxa"/>
            <w:shd w:val="clear" w:color="auto" w:fill="2F5496"/>
            <w:vAlign w:val="center"/>
          </w:tcPr>
          <w:p w14:paraId="76C5D5F7" w14:textId="77777777" w:rsidR="00672297" w:rsidRDefault="00A16EA3">
            <w:pPr>
              <w:spacing w:before="20" w:after="20"/>
              <w:jc w:val="left"/>
            </w:pPr>
            <w:r>
              <w:rPr>
                <w:rFonts w:cstheme="minorHAnsi"/>
                <w:b/>
                <w:bCs/>
                <w:color w:val="FFFFFF"/>
                <w:sz w:val="18"/>
                <w:szCs w:val="18"/>
              </w:rPr>
              <w:t>Primary Key</w:t>
            </w:r>
          </w:p>
        </w:tc>
        <w:tc>
          <w:tcPr>
            <w:tcW w:w="2340" w:type="dxa"/>
            <w:shd w:val="clear" w:color="auto" w:fill="2F5496"/>
            <w:vAlign w:val="center"/>
          </w:tcPr>
          <w:p w14:paraId="1EAE6B15" w14:textId="77777777" w:rsidR="00672297" w:rsidRDefault="00A16EA3">
            <w:pPr>
              <w:spacing w:before="20" w:after="20"/>
              <w:jc w:val="left"/>
            </w:pPr>
            <w:r>
              <w:rPr>
                <w:rFonts w:cstheme="minorHAnsi"/>
                <w:b/>
                <w:bCs/>
                <w:color w:val="FFFFFF"/>
                <w:sz w:val="18"/>
                <w:szCs w:val="18"/>
              </w:rPr>
              <w:t>Foreign Keys</w:t>
            </w:r>
          </w:p>
        </w:tc>
        <w:tc>
          <w:tcPr>
            <w:tcW w:w="2901" w:type="dxa"/>
            <w:shd w:val="clear" w:color="auto" w:fill="2F5496"/>
            <w:vAlign w:val="center"/>
          </w:tcPr>
          <w:p w14:paraId="244EC2E5" w14:textId="77777777" w:rsidR="00672297" w:rsidRDefault="00A16EA3">
            <w:pPr>
              <w:spacing w:before="20" w:after="20"/>
              <w:jc w:val="left"/>
            </w:pPr>
            <w:r>
              <w:rPr>
                <w:rFonts w:cstheme="minorHAnsi"/>
                <w:b/>
                <w:bCs/>
                <w:color w:val="FFFFFF"/>
                <w:sz w:val="18"/>
                <w:szCs w:val="18"/>
              </w:rPr>
              <w:t>Columns Used by VCB</w:t>
            </w:r>
          </w:p>
        </w:tc>
        <w:tc>
          <w:tcPr>
            <w:tcW w:w="1686" w:type="dxa"/>
            <w:shd w:val="clear" w:color="auto" w:fill="2F5496"/>
            <w:vAlign w:val="center"/>
          </w:tcPr>
          <w:p w14:paraId="7C97A2DB" w14:textId="77777777" w:rsidR="00672297" w:rsidRDefault="00A16EA3">
            <w:pPr>
              <w:spacing w:before="20" w:after="20"/>
              <w:jc w:val="left"/>
            </w:pPr>
            <w:r>
              <w:rPr>
                <w:rFonts w:cstheme="minorHAnsi"/>
                <w:b/>
                <w:bCs/>
                <w:color w:val="FFFFFF"/>
                <w:sz w:val="18"/>
                <w:szCs w:val="18"/>
              </w:rPr>
              <w:t>Used For</w:t>
            </w:r>
          </w:p>
        </w:tc>
      </w:tr>
      <w:tr w:rsidR="00672297" w14:paraId="71F39AF0" w14:textId="77777777">
        <w:trPr>
          <w:cantSplit/>
        </w:trPr>
        <w:tc>
          <w:tcPr>
            <w:tcW w:w="1404" w:type="dxa"/>
            <w:vAlign w:val="center"/>
          </w:tcPr>
          <w:p w14:paraId="68BA0966" w14:textId="77777777" w:rsidR="00672297" w:rsidRDefault="00A16EA3">
            <w:pPr>
              <w:spacing w:before="20" w:after="20"/>
              <w:jc w:val="left"/>
            </w:pPr>
            <w:r>
              <w:rPr>
                <w:rFonts w:cstheme="minorHAnsi"/>
                <w:sz w:val="18"/>
                <w:szCs w:val="18"/>
              </w:rPr>
              <w:t>transfer_detail</w:t>
            </w:r>
          </w:p>
        </w:tc>
        <w:tc>
          <w:tcPr>
            <w:tcW w:w="1029" w:type="dxa"/>
            <w:vAlign w:val="center"/>
          </w:tcPr>
          <w:p w14:paraId="44077EBF" w14:textId="77777777" w:rsidR="00672297" w:rsidRDefault="00A16EA3">
            <w:pPr>
              <w:spacing w:before="20" w:after="20"/>
              <w:jc w:val="left"/>
            </w:pPr>
            <w:r>
              <w:rPr>
                <w:rFonts w:cstheme="minorHAnsi"/>
                <w:sz w:val="18"/>
                <w:szCs w:val="18"/>
              </w:rPr>
              <w:t>transfer_id</w:t>
            </w:r>
          </w:p>
        </w:tc>
        <w:tc>
          <w:tcPr>
            <w:tcW w:w="2340" w:type="dxa"/>
            <w:vAlign w:val="center"/>
          </w:tcPr>
          <w:p w14:paraId="6E96466B" w14:textId="77777777" w:rsidR="00672297" w:rsidRDefault="00A16EA3">
            <w:pPr>
              <w:spacing w:before="20" w:after="20"/>
              <w:jc w:val="left"/>
            </w:pPr>
            <w:r>
              <w:rPr>
                <w:rFonts w:cstheme="minorHAnsi"/>
                <w:sz w:val="18"/>
                <w:szCs w:val="18"/>
              </w:rPr>
              <w:t>material_id &gt; material; location_id &gt; location; from_equipment_id, to_equipment_id, using_equipment_id &gt; equipment_detail; mot_id &gt; mot; volume_uom_id &gt; uom</w:t>
            </w:r>
          </w:p>
        </w:tc>
        <w:tc>
          <w:tcPr>
            <w:tcW w:w="2901" w:type="dxa"/>
            <w:vAlign w:val="center"/>
          </w:tcPr>
          <w:p w14:paraId="16185954" w14:textId="77777777" w:rsidR="00672297" w:rsidRDefault="00A16EA3">
            <w:pPr>
              <w:spacing w:before="20" w:after="20"/>
              <w:jc w:val="left"/>
            </w:pPr>
            <w:r>
              <w:rPr>
                <w:rFonts w:cstheme="minorHAnsi"/>
                <w:sz w:val="18"/>
                <w:szCs w:val="18"/>
              </w:rPr>
              <w:t>movement_id, movement_type, transfer_type, state, data_source, batch_id (APS BatchID), movement_start_date, movement_end_date, volume, from/to_location_global_code, loaded/unloaded/remaining_quantity_volume, mode_of_transport, status, order_number, record_capture_date</w:t>
            </w:r>
          </w:p>
        </w:tc>
        <w:tc>
          <w:tcPr>
            <w:tcW w:w="1686" w:type="dxa"/>
            <w:vAlign w:val="center"/>
          </w:tcPr>
          <w:p w14:paraId="3F27B911" w14:textId="77777777" w:rsidR="00672297" w:rsidRDefault="00A16EA3">
            <w:pPr>
              <w:spacing w:before="20" w:after="20"/>
              <w:jc w:val="left"/>
            </w:pPr>
            <w:r>
              <w:rPr>
                <w:rFonts w:cstheme="minorHAnsi"/>
                <w:sz w:val="18"/>
                <w:szCs w:val="18"/>
              </w:rPr>
              <w:t>Batch movements (refinery and terminal), in-transit and scheduled component receipts</w:t>
            </w:r>
          </w:p>
        </w:tc>
      </w:tr>
      <w:tr w:rsidR="00672297" w14:paraId="7F3082D9" w14:textId="77777777">
        <w:trPr>
          <w:cantSplit/>
        </w:trPr>
        <w:tc>
          <w:tcPr>
            <w:tcW w:w="1404" w:type="dxa"/>
            <w:vAlign w:val="center"/>
          </w:tcPr>
          <w:p w14:paraId="298BDA42" w14:textId="77777777" w:rsidR="00672297" w:rsidRDefault="00A16EA3">
            <w:pPr>
              <w:spacing w:before="20" w:after="20"/>
              <w:jc w:val="left"/>
            </w:pPr>
            <w:r>
              <w:rPr>
                <w:rFonts w:cstheme="minorHAnsi"/>
                <w:sz w:val="18"/>
                <w:szCs w:val="18"/>
              </w:rPr>
              <w:t>quality_detail</w:t>
            </w:r>
          </w:p>
        </w:tc>
        <w:tc>
          <w:tcPr>
            <w:tcW w:w="1029" w:type="dxa"/>
            <w:vAlign w:val="center"/>
          </w:tcPr>
          <w:p w14:paraId="7540CD32" w14:textId="77777777" w:rsidR="00672297" w:rsidRDefault="00A16EA3">
            <w:pPr>
              <w:spacing w:before="20" w:after="20"/>
              <w:jc w:val="left"/>
            </w:pPr>
            <w:r>
              <w:rPr>
                <w:rFonts w:cstheme="minorHAnsi"/>
                <w:sz w:val="18"/>
                <w:szCs w:val="18"/>
              </w:rPr>
              <w:t>Id</w:t>
            </w:r>
          </w:p>
        </w:tc>
        <w:tc>
          <w:tcPr>
            <w:tcW w:w="2340" w:type="dxa"/>
            <w:vAlign w:val="center"/>
          </w:tcPr>
          <w:p w14:paraId="520CF258" w14:textId="77777777" w:rsidR="00672297" w:rsidRDefault="00A16EA3">
            <w:pPr>
              <w:spacing w:before="20" w:after="20"/>
              <w:jc w:val="left"/>
            </w:pPr>
            <w:r>
              <w:rPr>
                <w:rFonts w:cstheme="minorHAnsi"/>
                <w:sz w:val="18"/>
                <w:szCs w:val="18"/>
              </w:rPr>
              <w:t>equipment_id, material_id, location_id, property_id, uom_id</w:t>
            </w:r>
          </w:p>
        </w:tc>
        <w:tc>
          <w:tcPr>
            <w:tcW w:w="2901" w:type="dxa"/>
            <w:vAlign w:val="center"/>
          </w:tcPr>
          <w:p w14:paraId="55BA0B7C" w14:textId="77777777" w:rsidR="00672297" w:rsidRDefault="00A16EA3">
            <w:pPr>
              <w:spacing w:before="20" w:after="20"/>
              <w:jc w:val="left"/>
            </w:pPr>
            <w:r>
              <w:rPr>
                <w:rFonts w:cstheme="minorHAnsi"/>
                <w:sz w:val="18"/>
                <w:szCs w:val="18"/>
              </w:rPr>
              <w:t>quality_date, actual_captured_date, state, data_source, property_value, lower_limit, upper_limit, is_certified_status, test_result_status</w:t>
            </w:r>
          </w:p>
        </w:tc>
        <w:tc>
          <w:tcPr>
            <w:tcW w:w="1686" w:type="dxa"/>
            <w:vAlign w:val="center"/>
          </w:tcPr>
          <w:p w14:paraId="5D577501" w14:textId="77777777" w:rsidR="00672297" w:rsidRDefault="00A16EA3">
            <w:pPr>
              <w:spacing w:before="20" w:after="20"/>
              <w:jc w:val="left"/>
            </w:pPr>
            <w:r>
              <w:rPr>
                <w:rFonts w:cstheme="minorHAnsi"/>
                <w:sz w:val="18"/>
                <w:szCs w:val="18"/>
              </w:rPr>
              <w:t>Certified batch quality (refinery and terminal)</w:t>
            </w:r>
          </w:p>
        </w:tc>
      </w:tr>
      <w:tr w:rsidR="00672297" w14:paraId="62C76627" w14:textId="77777777">
        <w:trPr>
          <w:cantSplit/>
        </w:trPr>
        <w:tc>
          <w:tcPr>
            <w:tcW w:w="1404" w:type="dxa"/>
            <w:vAlign w:val="center"/>
          </w:tcPr>
          <w:p w14:paraId="0318B6B9" w14:textId="77777777" w:rsidR="00672297" w:rsidRDefault="00A16EA3">
            <w:pPr>
              <w:spacing w:before="20" w:after="20"/>
              <w:jc w:val="left"/>
            </w:pPr>
            <w:r>
              <w:rPr>
                <w:rFonts w:cstheme="minorHAnsi"/>
                <w:sz w:val="18"/>
                <w:szCs w:val="18"/>
              </w:rPr>
              <w:t>inventory_detail</w:t>
            </w:r>
          </w:p>
        </w:tc>
        <w:tc>
          <w:tcPr>
            <w:tcW w:w="1029" w:type="dxa"/>
            <w:vAlign w:val="center"/>
          </w:tcPr>
          <w:p w14:paraId="66267C4B" w14:textId="77777777" w:rsidR="00672297" w:rsidRDefault="00A16EA3">
            <w:pPr>
              <w:spacing w:before="20" w:after="20"/>
              <w:jc w:val="left"/>
            </w:pPr>
            <w:r>
              <w:rPr>
                <w:rFonts w:cstheme="minorHAnsi"/>
                <w:sz w:val="18"/>
                <w:szCs w:val="18"/>
              </w:rPr>
              <w:t>Id</w:t>
            </w:r>
          </w:p>
        </w:tc>
        <w:tc>
          <w:tcPr>
            <w:tcW w:w="2340" w:type="dxa"/>
            <w:vAlign w:val="center"/>
          </w:tcPr>
          <w:p w14:paraId="6D7B4614" w14:textId="77777777" w:rsidR="00672297" w:rsidRDefault="00A16EA3">
            <w:pPr>
              <w:spacing w:before="20" w:after="20"/>
              <w:jc w:val="left"/>
            </w:pPr>
            <w:r>
              <w:rPr>
                <w:rFonts w:cstheme="minorHAnsi"/>
                <w:sz w:val="18"/>
                <w:szCs w:val="18"/>
              </w:rPr>
              <w:t>equipment_id, material_id, location_id, property_id, uom_id</w:t>
            </w:r>
          </w:p>
        </w:tc>
        <w:tc>
          <w:tcPr>
            <w:tcW w:w="2901" w:type="dxa"/>
            <w:vAlign w:val="center"/>
          </w:tcPr>
          <w:p w14:paraId="2D3C4F46" w14:textId="77777777" w:rsidR="00672297" w:rsidRDefault="00A16EA3">
            <w:pPr>
              <w:spacing w:before="20" w:after="20"/>
              <w:jc w:val="left"/>
            </w:pPr>
            <w:r>
              <w:rPr>
                <w:rFonts w:cstheme="minorHAnsi"/>
                <w:sz w:val="18"/>
                <w:szCs w:val="18"/>
              </w:rPr>
              <w:t>inventory_date, state, data_source, inventory_volume, net_volume, available_product</w:t>
            </w:r>
          </w:p>
        </w:tc>
        <w:tc>
          <w:tcPr>
            <w:tcW w:w="1686" w:type="dxa"/>
            <w:vAlign w:val="center"/>
          </w:tcPr>
          <w:p w14:paraId="7DB9FA61" w14:textId="77777777" w:rsidR="00672297" w:rsidRDefault="00A16EA3">
            <w:pPr>
              <w:spacing w:before="20" w:after="20"/>
              <w:jc w:val="left"/>
            </w:pPr>
            <w:r>
              <w:rPr>
                <w:rFonts w:cstheme="minorHAnsi"/>
                <w:sz w:val="18"/>
                <w:szCs w:val="18"/>
              </w:rPr>
              <w:t>Blend component tank inventory (actual and scheduled)</w:t>
            </w:r>
          </w:p>
        </w:tc>
      </w:tr>
      <w:tr w:rsidR="00672297" w14:paraId="2AAFA242" w14:textId="77777777">
        <w:trPr>
          <w:cantSplit/>
        </w:trPr>
        <w:tc>
          <w:tcPr>
            <w:tcW w:w="1404" w:type="dxa"/>
            <w:vAlign w:val="center"/>
          </w:tcPr>
          <w:p w14:paraId="16A6DD62" w14:textId="77777777" w:rsidR="00672297" w:rsidRDefault="00A16EA3">
            <w:pPr>
              <w:spacing w:before="20" w:after="20"/>
              <w:jc w:val="left"/>
            </w:pPr>
            <w:r>
              <w:rPr>
                <w:rFonts w:cstheme="minorHAnsi"/>
                <w:sz w:val="18"/>
                <w:szCs w:val="18"/>
              </w:rPr>
              <w:t>location</w:t>
            </w:r>
          </w:p>
        </w:tc>
        <w:tc>
          <w:tcPr>
            <w:tcW w:w="1029" w:type="dxa"/>
            <w:vAlign w:val="center"/>
          </w:tcPr>
          <w:p w14:paraId="1A87ABB5" w14:textId="77777777" w:rsidR="00672297" w:rsidRDefault="00A16EA3">
            <w:pPr>
              <w:spacing w:before="20" w:after="20"/>
              <w:jc w:val="left"/>
            </w:pPr>
            <w:r>
              <w:rPr>
                <w:rFonts w:cstheme="minorHAnsi"/>
                <w:sz w:val="18"/>
                <w:szCs w:val="18"/>
              </w:rPr>
              <w:t>location_id</w:t>
            </w:r>
          </w:p>
        </w:tc>
        <w:tc>
          <w:tcPr>
            <w:tcW w:w="2340" w:type="dxa"/>
            <w:vAlign w:val="center"/>
          </w:tcPr>
          <w:p w14:paraId="61D2ED95" w14:textId="77777777" w:rsidR="00672297" w:rsidRDefault="00A16EA3">
            <w:pPr>
              <w:spacing w:before="20" w:after="20"/>
              <w:jc w:val="left"/>
            </w:pPr>
            <w:r>
              <w:rPr>
                <w:rFonts w:cstheme="minorHAnsi"/>
                <w:sz w:val="18"/>
                <w:szCs w:val="18"/>
              </w:rPr>
              <w:t>-</w:t>
            </w:r>
          </w:p>
        </w:tc>
        <w:tc>
          <w:tcPr>
            <w:tcW w:w="2901" w:type="dxa"/>
            <w:vAlign w:val="center"/>
          </w:tcPr>
          <w:p w14:paraId="73F15B1F" w14:textId="77777777" w:rsidR="00672297" w:rsidRDefault="00A16EA3">
            <w:pPr>
              <w:spacing w:before="20" w:after="20"/>
              <w:jc w:val="left"/>
            </w:pPr>
            <w:r>
              <w:rPr>
                <w:rFonts w:cstheme="minorHAnsi"/>
                <w:sz w:val="18"/>
                <w:szCs w:val="18"/>
              </w:rPr>
              <w:t>location_global_code, location_name, location_type, location_description, Region, Timezone</w:t>
            </w:r>
          </w:p>
        </w:tc>
        <w:tc>
          <w:tcPr>
            <w:tcW w:w="1686" w:type="dxa"/>
            <w:vAlign w:val="center"/>
          </w:tcPr>
          <w:p w14:paraId="0D41A6FB" w14:textId="77777777" w:rsidR="00672297" w:rsidRDefault="00A16EA3">
            <w:pPr>
              <w:spacing w:before="20" w:after="20"/>
              <w:jc w:val="left"/>
            </w:pPr>
            <w:r>
              <w:rPr>
                <w:rFonts w:cstheme="minorHAnsi"/>
                <w:sz w:val="18"/>
                <w:szCs w:val="18"/>
              </w:rPr>
              <w:t>Refinery / terminal dimension</w:t>
            </w:r>
          </w:p>
        </w:tc>
      </w:tr>
      <w:tr w:rsidR="00672297" w14:paraId="3593DE2A" w14:textId="77777777">
        <w:trPr>
          <w:cantSplit/>
        </w:trPr>
        <w:tc>
          <w:tcPr>
            <w:tcW w:w="1404" w:type="dxa"/>
            <w:vAlign w:val="center"/>
          </w:tcPr>
          <w:p w14:paraId="2EF084DC" w14:textId="77777777" w:rsidR="00672297" w:rsidRDefault="00A16EA3">
            <w:pPr>
              <w:spacing w:before="20" w:after="20"/>
              <w:jc w:val="left"/>
            </w:pPr>
            <w:r>
              <w:rPr>
                <w:rFonts w:cstheme="minorHAnsi"/>
                <w:sz w:val="18"/>
                <w:szCs w:val="18"/>
              </w:rPr>
              <w:t>material</w:t>
            </w:r>
          </w:p>
        </w:tc>
        <w:tc>
          <w:tcPr>
            <w:tcW w:w="1029" w:type="dxa"/>
            <w:vAlign w:val="center"/>
          </w:tcPr>
          <w:p w14:paraId="5C25BF51" w14:textId="77777777" w:rsidR="00672297" w:rsidRDefault="00A16EA3">
            <w:pPr>
              <w:spacing w:before="20" w:after="20"/>
              <w:jc w:val="left"/>
            </w:pPr>
            <w:r>
              <w:rPr>
                <w:rFonts w:cstheme="minorHAnsi"/>
                <w:sz w:val="18"/>
                <w:szCs w:val="18"/>
              </w:rPr>
              <w:t>material_id</w:t>
            </w:r>
          </w:p>
        </w:tc>
        <w:tc>
          <w:tcPr>
            <w:tcW w:w="2340" w:type="dxa"/>
            <w:vAlign w:val="center"/>
          </w:tcPr>
          <w:p w14:paraId="2F2966A3" w14:textId="77777777" w:rsidR="00672297" w:rsidRDefault="00A16EA3">
            <w:pPr>
              <w:spacing w:before="20" w:after="20"/>
              <w:jc w:val="left"/>
            </w:pPr>
            <w:r>
              <w:rPr>
                <w:rFonts w:cstheme="minorHAnsi"/>
                <w:sz w:val="18"/>
                <w:szCs w:val="18"/>
              </w:rPr>
              <w:t>-</w:t>
            </w:r>
          </w:p>
        </w:tc>
        <w:tc>
          <w:tcPr>
            <w:tcW w:w="2901" w:type="dxa"/>
            <w:vAlign w:val="center"/>
          </w:tcPr>
          <w:p w14:paraId="62533761" w14:textId="77777777" w:rsidR="00672297" w:rsidRDefault="00A16EA3">
            <w:pPr>
              <w:spacing w:before="20" w:after="20"/>
              <w:jc w:val="left"/>
            </w:pPr>
            <w:r>
              <w:rPr>
                <w:rFonts w:cstheme="minorHAnsi"/>
                <w:sz w:val="18"/>
                <w:szCs w:val="18"/>
              </w:rPr>
              <w:t>material_global_code, material_name, material_description</w:t>
            </w:r>
          </w:p>
        </w:tc>
        <w:tc>
          <w:tcPr>
            <w:tcW w:w="1686" w:type="dxa"/>
            <w:vAlign w:val="center"/>
          </w:tcPr>
          <w:p w14:paraId="2D807EF9" w14:textId="77777777" w:rsidR="00672297" w:rsidRDefault="00A16EA3">
            <w:pPr>
              <w:spacing w:before="20" w:after="20"/>
              <w:jc w:val="left"/>
            </w:pPr>
            <w:r>
              <w:rPr>
                <w:rFonts w:cstheme="minorHAnsi"/>
                <w:sz w:val="18"/>
                <w:szCs w:val="18"/>
              </w:rPr>
              <w:t>Grade and component dimension</w:t>
            </w:r>
          </w:p>
        </w:tc>
      </w:tr>
      <w:tr w:rsidR="00672297" w14:paraId="28647A3C" w14:textId="77777777">
        <w:trPr>
          <w:cantSplit/>
        </w:trPr>
        <w:tc>
          <w:tcPr>
            <w:tcW w:w="1404" w:type="dxa"/>
            <w:vAlign w:val="center"/>
          </w:tcPr>
          <w:p w14:paraId="04BEC495" w14:textId="77777777" w:rsidR="00672297" w:rsidRDefault="00A16EA3">
            <w:pPr>
              <w:spacing w:before="20" w:after="20"/>
              <w:jc w:val="left"/>
            </w:pPr>
            <w:r>
              <w:rPr>
                <w:rFonts w:cstheme="minorHAnsi"/>
                <w:sz w:val="18"/>
                <w:szCs w:val="18"/>
              </w:rPr>
              <w:t>equipment_detail</w:t>
            </w:r>
          </w:p>
        </w:tc>
        <w:tc>
          <w:tcPr>
            <w:tcW w:w="1029" w:type="dxa"/>
            <w:vAlign w:val="center"/>
          </w:tcPr>
          <w:p w14:paraId="25883B02" w14:textId="77777777" w:rsidR="00672297" w:rsidRDefault="00A16EA3">
            <w:pPr>
              <w:spacing w:before="20" w:after="20"/>
              <w:jc w:val="left"/>
            </w:pPr>
            <w:r>
              <w:rPr>
                <w:rFonts w:cstheme="minorHAnsi"/>
                <w:sz w:val="18"/>
                <w:szCs w:val="18"/>
              </w:rPr>
              <w:t>equipment_id</w:t>
            </w:r>
          </w:p>
        </w:tc>
        <w:tc>
          <w:tcPr>
            <w:tcW w:w="2340" w:type="dxa"/>
            <w:vAlign w:val="center"/>
          </w:tcPr>
          <w:p w14:paraId="764C7C03" w14:textId="77777777" w:rsidR="00672297" w:rsidRDefault="00A16EA3">
            <w:pPr>
              <w:spacing w:before="20" w:after="20"/>
              <w:jc w:val="left"/>
            </w:pPr>
            <w:r>
              <w:rPr>
                <w:rFonts w:cstheme="minorHAnsi"/>
                <w:sz w:val="18"/>
                <w:szCs w:val="18"/>
              </w:rPr>
              <w:t>-</w:t>
            </w:r>
          </w:p>
        </w:tc>
        <w:tc>
          <w:tcPr>
            <w:tcW w:w="2901" w:type="dxa"/>
            <w:vAlign w:val="center"/>
          </w:tcPr>
          <w:p w14:paraId="6F3E7972" w14:textId="77777777" w:rsidR="00672297" w:rsidRDefault="00A16EA3">
            <w:pPr>
              <w:spacing w:before="20" w:after="20"/>
              <w:jc w:val="left"/>
            </w:pPr>
            <w:r>
              <w:rPr>
                <w:rFonts w:cstheme="minorHAnsi"/>
                <w:sz w:val="18"/>
                <w:szCs w:val="18"/>
              </w:rPr>
              <w:t>equipment_global_code, equipment_code, equipment_name, equipment_type</w:t>
            </w:r>
          </w:p>
        </w:tc>
        <w:tc>
          <w:tcPr>
            <w:tcW w:w="1686" w:type="dxa"/>
            <w:vAlign w:val="center"/>
          </w:tcPr>
          <w:p w14:paraId="4AC5FC14" w14:textId="77777777" w:rsidR="00672297" w:rsidRDefault="00A16EA3">
            <w:pPr>
              <w:spacing w:before="20" w:after="20"/>
              <w:jc w:val="left"/>
            </w:pPr>
            <w:r>
              <w:rPr>
                <w:rFonts w:cstheme="minorHAnsi"/>
                <w:sz w:val="18"/>
                <w:szCs w:val="18"/>
              </w:rPr>
              <w:t>Origin / destination tank</w:t>
            </w:r>
          </w:p>
        </w:tc>
      </w:tr>
      <w:tr w:rsidR="00672297" w14:paraId="4FA98370" w14:textId="77777777">
        <w:trPr>
          <w:cantSplit/>
        </w:trPr>
        <w:tc>
          <w:tcPr>
            <w:tcW w:w="1404" w:type="dxa"/>
            <w:vAlign w:val="center"/>
          </w:tcPr>
          <w:p w14:paraId="31B22A03" w14:textId="77777777" w:rsidR="00672297" w:rsidRDefault="00A16EA3">
            <w:pPr>
              <w:spacing w:before="20" w:after="20"/>
              <w:jc w:val="left"/>
            </w:pPr>
            <w:r>
              <w:rPr>
                <w:rFonts w:cstheme="minorHAnsi"/>
                <w:sz w:val="18"/>
                <w:szCs w:val="18"/>
              </w:rPr>
              <w:t>property</w:t>
            </w:r>
          </w:p>
        </w:tc>
        <w:tc>
          <w:tcPr>
            <w:tcW w:w="1029" w:type="dxa"/>
            <w:vAlign w:val="center"/>
          </w:tcPr>
          <w:p w14:paraId="1B02833E" w14:textId="77777777" w:rsidR="00672297" w:rsidRDefault="00A16EA3">
            <w:pPr>
              <w:spacing w:before="20" w:after="20"/>
              <w:jc w:val="left"/>
            </w:pPr>
            <w:r>
              <w:rPr>
                <w:rFonts w:cstheme="minorHAnsi"/>
                <w:sz w:val="18"/>
                <w:szCs w:val="18"/>
              </w:rPr>
              <w:t>property_id</w:t>
            </w:r>
          </w:p>
        </w:tc>
        <w:tc>
          <w:tcPr>
            <w:tcW w:w="2340" w:type="dxa"/>
            <w:vAlign w:val="center"/>
          </w:tcPr>
          <w:p w14:paraId="4A71A64F" w14:textId="77777777" w:rsidR="00672297" w:rsidRDefault="00A16EA3">
            <w:pPr>
              <w:spacing w:before="20" w:after="20"/>
              <w:jc w:val="left"/>
            </w:pPr>
            <w:r>
              <w:rPr>
                <w:rFonts w:cstheme="minorHAnsi"/>
                <w:sz w:val="18"/>
                <w:szCs w:val="18"/>
              </w:rPr>
              <w:t>uom_id &gt; uom</w:t>
            </w:r>
          </w:p>
        </w:tc>
        <w:tc>
          <w:tcPr>
            <w:tcW w:w="2901" w:type="dxa"/>
            <w:vAlign w:val="center"/>
          </w:tcPr>
          <w:p w14:paraId="0505F4CD" w14:textId="77777777" w:rsidR="00672297" w:rsidRDefault="00A16EA3">
            <w:pPr>
              <w:spacing w:before="20" w:after="20"/>
              <w:jc w:val="left"/>
            </w:pPr>
            <w:r>
              <w:rPr>
                <w:rFonts w:cstheme="minorHAnsi"/>
                <w:sz w:val="18"/>
                <w:szCs w:val="18"/>
              </w:rPr>
              <w:t>property_global_code, property_tag, property_name, property_description</w:t>
            </w:r>
          </w:p>
        </w:tc>
        <w:tc>
          <w:tcPr>
            <w:tcW w:w="1686" w:type="dxa"/>
            <w:vAlign w:val="center"/>
          </w:tcPr>
          <w:p w14:paraId="508D169E" w14:textId="77777777" w:rsidR="00672297" w:rsidRDefault="00A16EA3">
            <w:pPr>
              <w:spacing w:before="20" w:after="20"/>
              <w:jc w:val="left"/>
            </w:pPr>
            <w:r>
              <w:rPr>
                <w:rFonts w:cstheme="minorHAnsi"/>
                <w:sz w:val="18"/>
                <w:szCs w:val="18"/>
              </w:rPr>
              <w:t>Quality property dimension</w:t>
            </w:r>
          </w:p>
        </w:tc>
      </w:tr>
      <w:tr w:rsidR="00672297" w14:paraId="7A61977E" w14:textId="77777777">
        <w:trPr>
          <w:cantSplit/>
        </w:trPr>
        <w:tc>
          <w:tcPr>
            <w:tcW w:w="1404" w:type="dxa"/>
            <w:vAlign w:val="center"/>
          </w:tcPr>
          <w:p w14:paraId="352449F0" w14:textId="77777777" w:rsidR="00672297" w:rsidRDefault="00A16EA3">
            <w:pPr>
              <w:spacing w:before="20" w:after="20"/>
              <w:jc w:val="left"/>
            </w:pPr>
            <w:r>
              <w:rPr>
                <w:rFonts w:cstheme="minorHAnsi"/>
                <w:sz w:val="18"/>
                <w:szCs w:val="18"/>
              </w:rPr>
              <w:t>mot</w:t>
            </w:r>
          </w:p>
        </w:tc>
        <w:tc>
          <w:tcPr>
            <w:tcW w:w="1029" w:type="dxa"/>
            <w:vAlign w:val="center"/>
          </w:tcPr>
          <w:p w14:paraId="4C354564" w14:textId="77777777" w:rsidR="00672297" w:rsidRDefault="00A16EA3">
            <w:pPr>
              <w:spacing w:before="20" w:after="20"/>
              <w:jc w:val="left"/>
            </w:pPr>
            <w:r>
              <w:rPr>
                <w:rFonts w:cstheme="minorHAnsi"/>
                <w:sz w:val="18"/>
                <w:szCs w:val="18"/>
              </w:rPr>
              <w:t>mot_id</w:t>
            </w:r>
          </w:p>
        </w:tc>
        <w:tc>
          <w:tcPr>
            <w:tcW w:w="2340" w:type="dxa"/>
            <w:vAlign w:val="center"/>
          </w:tcPr>
          <w:p w14:paraId="32B3F8ED" w14:textId="77777777" w:rsidR="00672297" w:rsidRDefault="00A16EA3">
            <w:pPr>
              <w:spacing w:before="20" w:after="20"/>
              <w:jc w:val="left"/>
            </w:pPr>
            <w:r>
              <w:rPr>
                <w:rFonts w:cstheme="minorHAnsi"/>
                <w:sz w:val="18"/>
                <w:szCs w:val="18"/>
              </w:rPr>
              <w:t>-</w:t>
            </w:r>
          </w:p>
        </w:tc>
        <w:tc>
          <w:tcPr>
            <w:tcW w:w="2901" w:type="dxa"/>
            <w:vAlign w:val="center"/>
          </w:tcPr>
          <w:p w14:paraId="3D616FA5" w14:textId="77777777" w:rsidR="00672297" w:rsidRDefault="00A16EA3">
            <w:pPr>
              <w:spacing w:before="20" w:after="20"/>
              <w:jc w:val="left"/>
            </w:pPr>
            <w:r>
              <w:rPr>
                <w:rFonts w:cstheme="minorHAnsi"/>
                <w:sz w:val="18"/>
                <w:szCs w:val="18"/>
              </w:rPr>
              <w:t>mot_global_code, mot_name, mot_description</w:t>
            </w:r>
          </w:p>
        </w:tc>
        <w:tc>
          <w:tcPr>
            <w:tcW w:w="1686" w:type="dxa"/>
            <w:vAlign w:val="center"/>
          </w:tcPr>
          <w:p w14:paraId="5E04D4B9" w14:textId="77777777" w:rsidR="00672297" w:rsidRDefault="00A16EA3">
            <w:pPr>
              <w:spacing w:before="20" w:after="20"/>
              <w:jc w:val="left"/>
            </w:pPr>
            <w:r>
              <w:rPr>
                <w:rFonts w:cstheme="minorHAnsi"/>
                <w:sz w:val="18"/>
                <w:szCs w:val="18"/>
              </w:rPr>
              <w:t>Mode of transport</w:t>
            </w:r>
          </w:p>
        </w:tc>
      </w:tr>
      <w:tr w:rsidR="00672297" w14:paraId="3259DD47" w14:textId="77777777">
        <w:trPr>
          <w:cantSplit/>
        </w:trPr>
        <w:tc>
          <w:tcPr>
            <w:tcW w:w="1404" w:type="dxa"/>
            <w:vAlign w:val="center"/>
          </w:tcPr>
          <w:p w14:paraId="0CFDB842" w14:textId="77777777" w:rsidR="00672297" w:rsidRDefault="00A16EA3">
            <w:pPr>
              <w:spacing w:before="20" w:after="20"/>
              <w:jc w:val="left"/>
            </w:pPr>
            <w:r>
              <w:rPr>
                <w:rFonts w:cstheme="minorHAnsi"/>
                <w:sz w:val="18"/>
                <w:szCs w:val="18"/>
              </w:rPr>
              <w:t>uom</w:t>
            </w:r>
          </w:p>
        </w:tc>
        <w:tc>
          <w:tcPr>
            <w:tcW w:w="1029" w:type="dxa"/>
            <w:vAlign w:val="center"/>
          </w:tcPr>
          <w:p w14:paraId="7C927CA3" w14:textId="77777777" w:rsidR="00672297" w:rsidRDefault="00A16EA3">
            <w:pPr>
              <w:spacing w:before="20" w:after="20"/>
              <w:jc w:val="left"/>
            </w:pPr>
            <w:r>
              <w:rPr>
                <w:rFonts w:cstheme="minorHAnsi"/>
                <w:sz w:val="18"/>
                <w:szCs w:val="18"/>
              </w:rPr>
              <w:t>uom_id</w:t>
            </w:r>
          </w:p>
        </w:tc>
        <w:tc>
          <w:tcPr>
            <w:tcW w:w="2340" w:type="dxa"/>
            <w:vAlign w:val="center"/>
          </w:tcPr>
          <w:p w14:paraId="1AC4700E" w14:textId="77777777" w:rsidR="00672297" w:rsidRDefault="00A16EA3">
            <w:pPr>
              <w:spacing w:before="20" w:after="20"/>
              <w:jc w:val="left"/>
            </w:pPr>
            <w:r>
              <w:rPr>
                <w:rFonts w:cstheme="minorHAnsi"/>
                <w:sz w:val="18"/>
                <w:szCs w:val="18"/>
              </w:rPr>
              <w:t>-</w:t>
            </w:r>
          </w:p>
        </w:tc>
        <w:tc>
          <w:tcPr>
            <w:tcW w:w="2901" w:type="dxa"/>
            <w:vAlign w:val="center"/>
          </w:tcPr>
          <w:p w14:paraId="7D0B7FDB" w14:textId="77777777" w:rsidR="00672297" w:rsidRDefault="00A16EA3">
            <w:pPr>
              <w:spacing w:before="20" w:after="20"/>
              <w:jc w:val="left"/>
            </w:pPr>
            <w:r>
              <w:rPr>
                <w:rFonts w:cstheme="minorHAnsi"/>
                <w:sz w:val="18"/>
                <w:szCs w:val="18"/>
              </w:rPr>
              <w:t>UOM global code and conversion factor</w:t>
            </w:r>
          </w:p>
        </w:tc>
        <w:tc>
          <w:tcPr>
            <w:tcW w:w="1686" w:type="dxa"/>
            <w:vAlign w:val="center"/>
          </w:tcPr>
          <w:p w14:paraId="3D34EC4B" w14:textId="77777777" w:rsidR="00672297" w:rsidRDefault="00A16EA3">
            <w:pPr>
              <w:spacing w:before="20" w:after="20"/>
              <w:jc w:val="left"/>
            </w:pPr>
            <w:r>
              <w:rPr>
                <w:rFonts w:cstheme="minorHAnsi"/>
                <w:sz w:val="18"/>
                <w:szCs w:val="18"/>
              </w:rPr>
              <w:t>Unit conversion to bbl</w:t>
            </w:r>
          </w:p>
        </w:tc>
      </w:tr>
      <w:tr w:rsidR="00672297" w14:paraId="278E9A67" w14:textId="77777777">
        <w:trPr>
          <w:cantSplit/>
        </w:trPr>
        <w:tc>
          <w:tcPr>
            <w:tcW w:w="1404" w:type="dxa"/>
            <w:vAlign w:val="center"/>
          </w:tcPr>
          <w:p w14:paraId="3C8AB314" w14:textId="77777777" w:rsidR="00672297" w:rsidRDefault="00A16EA3">
            <w:pPr>
              <w:spacing w:before="20" w:after="20"/>
              <w:jc w:val="left"/>
            </w:pPr>
            <w:r>
              <w:rPr>
                <w:rFonts w:cstheme="minorHAnsi"/>
                <w:sz w:val="18"/>
                <w:szCs w:val="18"/>
              </w:rPr>
              <w:t>day_detail</w:t>
            </w:r>
          </w:p>
        </w:tc>
        <w:tc>
          <w:tcPr>
            <w:tcW w:w="1029" w:type="dxa"/>
            <w:vAlign w:val="center"/>
          </w:tcPr>
          <w:p w14:paraId="3004C847" w14:textId="77777777" w:rsidR="00672297" w:rsidRDefault="00A16EA3">
            <w:pPr>
              <w:spacing w:before="20" w:after="20"/>
              <w:jc w:val="left"/>
            </w:pPr>
            <w:r>
              <w:rPr>
                <w:rFonts w:cstheme="minorHAnsi"/>
                <w:sz w:val="18"/>
                <w:szCs w:val="18"/>
              </w:rPr>
              <w:t>W_Date</w:t>
            </w:r>
          </w:p>
        </w:tc>
        <w:tc>
          <w:tcPr>
            <w:tcW w:w="2340" w:type="dxa"/>
            <w:vAlign w:val="center"/>
          </w:tcPr>
          <w:p w14:paraId="4284269B" w14:textId="77777777" w:rsidR="00672297" w:rsidRDefault="00A16EA3">
            <w:pPr>
              <w:spacing w:before="20" w:after="20"/>
              <w:jc w:val="left"/>
            </w:pPr>
            <w:r>
              <w:rPr>
                <w:rFonts w:cstheme="minorHAnsi"/>
                <w:sz w:val="18"/>
                <w:szCs w:val="18"/>
              </w:rPr>
              <w:t>-</w:t>
            </w:r>
          </w:p>
        </w:tc>
        <w:tc>
          <w:tcPr>
            <w:tcW w:w="2901" w:type="dxa"/>
            <w:vAlign w:val="center"/>
          </w:tcPr>
          <w:p w14:paraId="62C9E7D7" w14:textId="77777777" w:rsidR="00672297" w:rsidRDefault="00A16EA3">
            <w:pPr>
              <w:spacing w:before="20" w:after="20"/>
              <w:jc w:val="left"/>
            </w:pPr>
            <w:r>
              <w:rPr>
                <w:rFonts w:cstheme="minorHAnsi"/>
                <w:sz w:val="18"/>
                <w:szCs w:val="18"/>
              </w:rPr>
              <w:t>Calendar attributes (date, week, month, year)</w:t>
            </w:r>
          </w:p>
        </w:tc>
        <w:tc>
          <w:tcPr>
            <w:tcW w:w="1686" w:type="dxa"/>
            <w:vAlign w:val="center"/>
          </w:tcPr>
          <w:p w14:paraId="76D013A5" w14:textId="77777777" w:rsidR="00672297" w:rsidRDefault="00A16EA3">
            <w:pPr>
              <w:spacing w:before="20" w:after="20"/>
              <w:jc w:val="left"/>
            </w:pPr>
            <w:r>
              <w:rPr>
                <w:rFonts w:cstheme="minorHAnsi"/>
                <w:sz w:val="18"/>
                <w:szCs w:val="18"/>
              </w:rPr>
              <w:t>Date dimension of the semantic model</w:t>
            </w:r>
          </w:p>
        </w:tc>
      </w:tr>
    </w:tbl>
    <w:p w14:paraId="24C625D4" w14:textId="5661DE56" w:rsidR="00672297" w:rsidRDefault="00A16EA3">
      <w:pPr>
        <w:pStyle w:val="Caption"/>
      </w:pPr>
      <w:bookmarkStart w:id="377" w:name="_Toc900900027"/>
      <w:bookmarkStart w:id="378" w:name="_Toc241574677"/>
      <w:bookmarkStart w:id="379" w:name="_Toc242554061"/>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8</w:t>
      </w:r>
      <w:r>
        <w:fldChar w:fldCharType="end"/>
      </w:r>
      <w:r>
        <w:t>: IQDM Tables and Columns Used by VCB</w:t>
      </w:r>
      <w:bookmarkEnd w:id="377"/>
      <w:bookmarkEnd w:id="378"/>
      <w:bookmarkEnd w:id="379"/>
    </w:p>
    <w:p w14:paraId="60A609A2" w14:textId="05B72F62" w:rsidR="00672297" w:rsidRDefault="00A16EA3">
      <w:pPr>
        <w:rPr>
          <w:rFonts w:cstheme="minorHAnsi"/>
          <w:sz w:val="20"/>
          <w:szCs w:val="20"/>
        </w:rPr>
      </w:pPr>
      <w:r>
        <w:rPr>
          <w:rFonts w:cstheme="minorHAnsi"/>
          <w:b/>
          <w:bCs/>
          <w:sz w:val="20"/>
          <w:szCs w:val="20"/>
        </w:rPr>
        <w:t>Columns requested from IQDM for VCB (gap DP-04):</w:t>
      </w:r>
      <w:r>
        <w:rPr>
          <w:rFonts w:cstheme="minorHAnsi"/>
          <w:sz w:val="20"/>
          <w:szCs w:val="20"/>
        </w:rPr>
        <w:t xml:space="preserve"> the batch-level join between refinery and terminal data needs the batch number of the terminal records. </w:t>
      </w:r>
      <w:r w:rsidR="008A4F32">
        <w:rPr>
          <w:rFonts w:cstheme="minorHAnsi"/>
          <w:sz w:val="20"/>
          <w:szCs w:val="20"/>
        </w:rPr>
        <w:t>The IQDM response models carry BatchNumber (Current In-Transit) and batchNumber (Terminal Actual Quality) (IQDM Technical Design Document),</w:t>
      </w:r>
      <w:r>
        <w:rPr>
          <w:rFonts w:cstheme="minorHAnsi"/>
          <w:sz w:val="20"/>
          <w:szCs w:val="20"/>
        </w:rPr>
        <w:t xml:space="preserve"> but the IQDM Release 2 table design adds no batch number column to transfer_detail or quality_detail. VCB requests a column batch_number VARCHAR(100) on both tables. </w:t>
      </w:r>
      <w:r w:rsidR="008A4F32">
        <w:rPr>
          <w:rFonts w:cstheme="minorHAnsi"/>
          <w:sz w:val="20"/>
          <w:szCs w:val="20"/>
        </w:rPr>
        <w:t>The IQDM Terminal Scheduled Inventory response model (IQDM Technical Design Document) also carries</w:t>
      </w:r>
      <w:r>
        <w:rPr>
          <w:rFonts w:cstheme="minorHAnsi"/>
          <w:sz w:val="20"/>
          <w:szCs w:val="20"/>
        </w:rPr>
        <w:t xml:space="preserve"> OpeningInventoryVolume, ScheduledMovementIn and ScheduledMovementOut, which the Supply dashboard can use; they are not in the IQDM inventory_detail design either.</w:t>
      </w:r>
    </w:p>
    <w:p w14:paraId="5CCC80F7" w14:textId="77777777" w:rsidR="00672297" w:rsidRDefault="00A16EA3">
      <w:pPr>
        <w:pStyle w:val="Heading3"/>
        <w:rPr>
          <w:rFonts w:asciiTheme="minorHAnsi" w:hAnsiTheme="minorHAnsi" w:cstheme="minorBidi"/>
          <w:sz w:val="20"/>
          <w:szCs w:val="20"/>
        </w:rPr>
      </w:pPr>
      <w:bookmarkStart w:id="380" w:name="_Toc241574327"/>
      <w:bookmarkStart w:id="381" w:name="_Toc242553949"/>
      <w:r>
        <w:rPr>
          <w:rFonts w:asciiTheme="minorHAnsi" w:hAnsiTheme="minorHAnsi" w:cstheme="minorBidi"/>
          <w:sz w:val="20"/>
          <w:szCs w:val="20"/>
        </w:rPr>
        <w:t>Product Specification Table</w:t>
      </w:r>
      <w:bookmarkEnd w:id="380"/>
      <w:bookmarkEnd w:id="381"/>
    </w:p>
    <w:p w14:paraId="2C7C59E6" w14:textId="3A7874B3" w:rsidR="00672297" w:rsidRDefault="00A16EA3">
      <w:pPr>
        <w:rPr>
          <w:rFonts w:cstheme="minorHAnsi"/>
          <w:sz w:val="20"/>
          <w:szCs w:val="20"/>
        </w:rPr>
      </w:pPr>
      <w:r>
        <w:rPr>
          <w:rFonts w:cstheme="minorHAnsi"/>
          <w:sz w:val="20"/>
          <w:szCs w:val="20"/>
        </w:rPr>
        <w:t xml:space="preserve">product_specification: holds the product specifications of the master Excel loaded by the database team </w:t>
      </w:r>
      <w:r w:rsidR="00F80961">
        <w:rPr>
          <w:rFonts w:cstheme="minorHAnsi"/>
          <w:sz w:val="20"/>
          <w:szCs w:val="20"/>
        </w:rPr>
        <w:t>(chapter 2, Specification Selection)</w:t>
      </w:r>
      <w:r>
        <w:rPr>
          <w:rFonts w:cstheme="minorHAnsi"/>
          <w:sz w:val="20"/>
          <w:szCs w:val="20"/>
        </w:rPr>
        <w:t>. One row is one limit (MIN or MAX) of one test for one product, season and source refinery / destination state, optionally overridden for one terminal. The physical name and structure must follow the IQDM Release 5 design (gap DP-02); the logical design is:</w:t>
      </w:r>
    </w:p>
    <w:tbl>
      <w:tblPr>
        <w:tblStyle w:val="TableGrid"/>
        <w:tblW w:w="9360" w:type="dxa"/>
        <w:tblLayout w:type="fixed"/>
        <w:tblCellMar>
          <w:left w:w="70" w:type="dxa"/>
          <w:right w:w="70" w:type="dxa"/>
        </w:tblCellMar>
        <w:tblLook w:val="04A0" w:firstRow="1" w:lastRow="0" w:firstColumn="1" w:lastColumn="0" w:noHBand="0" w:noVBand="1"/>
      </w:tblPr>
      <w:tblGrid>
        <w:gridCol w:w="1872"/>
        <w:gridCol w:w="1029"/>
        <w:gridCol w:w="468"/>
        <w:gridCol w:w="842"/>
        <w:gridCol w:w="2808"/>
        <w:gridCol w:w="2341"/>
      </w:tblGrid>
      <w:tr w:rsidR="00672297" w14:paraId="2E03CF27" w14:textId="77777777">
        <w:trPr>
          <w:cantSplit/>
          <w:tblHeader/>
        </w:trPr>
        <w:tc>
          <w:tcPr>
            <w:tcW w:w="1872" w:type="dxa"/>
            <w:shd w:val="clear" w:color="auto" w:fill="2F5496"/>
            <w:vAlign w:val="center"/>
          </w:tcPr>
          <w:p w14:paraId="3991A20C" w14:textId="77777777" w:rsidR="00672297" w:rsidRDefault="00A16EA3">
            <w:pPr>
              <w:spacing w:before="20" w:after="20"/>
              <w:jc w:val="left"/>
            </w:pPr>
            <w:r>
              <w:rPr>
                <w:rFonts w:cstheme="minorHAnsi"/>
                <w:b/>
                <w:bCs/>
                <w:color w:val="FFFFFF"/>
                <w:sz w:val="18"/>
                <w:szCs w:val="18"/>
              </w:rPr>
              <w:t>Column Name</w:t>
            </w:r>
          </w:p>
        </w:tc>
        <w:tc>
          <w:tcPr>
            <w:tcW w:w="1029" w:type="dxa"/>
            <w:shd w:val="clear" w:color="auto" w:fill="2F5496"/>
            <w:vAlign w:val="center"/>
          </w:tcPr>
          <w:p w14:paraId="230289DE" w14:textId="77777777" w:rsidR="00672297" w:rsidRDefault="00A16EA3">
            <w:pPr>
              <w:spacing w:before="20" w:after="20"/>
              <w:jc w:val="left"/>
            </w:pPr>
            <w:r>
              <w:rPr>
                <w:rFonts w:cstheme="minorHAnsi"/>
                <w:b/>
                <w:bCs/>
                <w:color w:val="FFFFFF"/>
                <w:sz w:val="18"/>
                <w:szCs w:val="18"/>
              </w:rPr>
              <w:t>Data Type</w:t>
            </w:r>
          </w:p>
        </w:tc>
        <w:tc>
          <w:tcPr>
            <w:tcW w:w="468" w:type="dxa"/>
            <w:shd w:val="clear" w:color="auto" w:fill="2F5496"/>
            <w:vAlign w:val="center"/>
          </w:tcPr>
          <w:p w14:paraId="336FC584" w14:textId="77777777" w:rsidR="00672297" w:rsidRDefault="00A16EA3">
            <w:pPr>
              <w:spacing w:before="20" w:after="20"/>
              <w:jc w:val="left"/>
            </w:pPr>
            <w:r>
              <w:rPr>
                <w:rFonts w:cstheme="minorHAnsi"/>
                <w:b/>
                <w:bCs/>
                <w:color w:val="FFFFFF"/>
                <w:sz w:val="18"/>
                <w:szCs w:val="18"/>
              </w:rPr>
              <w:t>Null</w:t>
            </w:r>
          </w:p>
        </w:tc>
        <w:tc>
          <w:tcPr>
            <w:tcW w:w="842" w:type="dxa"/>
            <w:shd w:val="clear" w:color="auto" w:fill="2F5496"/>
            <w:vAlign w:val="center"/>
          </w:tcPr>
          <w:p w14:paraId="61F937D0" w14:textId="77777777" w:rsidR="00672297" w:rsidRDefault="00A16EA3">
            <w:pPr>
              <w:spacing w:before="20" w:after="20"/>
              <w:jc w:val="left"/>
            </w:pPr>
            <w:r>
              <w:rPr>
                <w:rFonts w:cstheme="minorHAnsi"/>
                <w:b/>
                <w:bCs/>
                <w:color w:val="FFFFFF"/>
                <w:sz w:val="18"/>
                <w:szCs w:val="18"/>
              </w:rPr>
              <w:t>Key</w:t>
            </w:r>
          </w:p>
        </w:tc>
        <w:tc>
          <w:tcPr>
            <w:tcW w:w="2808" w:type="dxa"/>
            <w:shd w:val="clear" w:color="auto" w:fill="2F5496"/>
            <w:vAlign w:val="center"/>
          </w:tcPr>
          <w:p w14:paraId="30DEFEC1" w14:textId="77777777" w:rsidR="00672297" w:rsidRDefault="00A16EA3">
            <w:pPr>
              <w:spacing w:before="20" w:after="20"/>
              <w:jc w:val="left"/>
            </w:pPr>
            <w:r>
              <w:rPr>
                <w:rFonts w:cstheme="minorHAnsi"/>
                <w:b/>
                <w:bCs/>
                <w:color w:val="FFFFFF"/>
                <w:sz w:val="18"/>
                <w:szCs w:val="18"/>
              </w:rPr>
              <w:t>Description</w:t>
            </w:r>
          </w:p>
        </w:tc>
        <w:tc>
          <w:tcPr>
            <w:tcW w:w="2341" w:type="dxa"/>
            <w:shd w:val="clear" w:color="auto" w:fill="2F5496"/>
            <w:vAlign w:val="center"/>
          </w:tcPr>
          <w:p w14:paraId="75E003EF" w14:textId="77777777" w:rsidR="00672297" w:rsidRDefault="00A16EA3">
            <w:pPr>
              <w:spacing w:before="20" w:after="20"/>
              <w:jc w:val="left"/>
            </w:pPr>
            <w:r>
              <w:rPr>
                <w:rFonts w:cstheme="minorHAnsi"/>
                <w:b/>
                <w:bCs/>
                <w:color w:val="FFFFFF"/>
                <w:sz w:val="18"/>
                <w:szCs w:val="18"/>
              </w:rPr>
              <w:t>Source Column (API) / Derivation</w:t>
            </w:r>
          </w:p>
        </w:tc>
      </w:tr>
      <w:tr w:rsidR="00672297" w14:paraId="1D8F550A" w14:textId="77777777">
        <w:trPr>
          <w:cantSplit/>
        </w:trPr>
        <w:tc>
          <w:tcPr>
            <w:tcW w:w="1872" w:type="dxa"/>
            <w:vAlign w:val="center"/>
          </w:tcPr>
          <w:p w14:paraId="632ED139" w14:textId="77777777" w:rsidR="00672297" w:rsidRDefault="00A16EA3">
            <w:pPr>
              <w:spacing w:before="20" w:after="20"/>
              <w:jc w:val="left"/>
            </w:pPr>
            <w:r>
              <w:rPr>
                <w:rFonts w:cstheme="minorHAnsi"/>
                <w:sz w:val="18"/>
                <w:szCs w:val="18"/>
              </w:rPr>
              <w:t>specification_id</w:t>
            </w:r>
          </w:p>
        </w:tc>
        <w:tc>
          <w:tcPr>
            <w:tcW w:w="1029" w:type="dxa"/>
            <w:vAlign w:val="center"/>
          </w:tcPr>
          <w:p w14:paraId="161D718B" w14:textId="77777777" w:rsidR="00672297" w:rsidRDefault="00A16EA3">
            <w:pPr>
              <w:spacing w:before="20" w:after="20"/>
              <w:jc w:val="left"/>
            </w:pPr>
            <w:r>
              <w:rPr>
                <w:rFonts w:cstheme="minorHAnsi"/>
                <w:sz w:val="18"/>
                <w:szCs w:val="18"/>
              </w:rPr>
              <w:t>INT IDENTITY</w:t>
            </w:r>
          </w:p>
        </w:tc>
        <w:tc>
          <w:tcPr>
            <w:tcW w:w="468" w:type="dxa"/>
            <w:vAlign w:val="center"/>
          </w:tcPr>
          <w:p w14:paraId="0299A250" w14:textId="77777777" w:rsidR="00672297" w:rsidRDefault="00A16EA3">
            <w:pPr>
              <w:spacing w:before="20" w:after="20"/>
              <w:jc w:val="left"/>
            </w:pPr>
            <w:r>
              <w:rPr>
                <w:rFonts w:cstheme="minorHAnsi"/>
                <w:sz w:val="18"/>
                <w:szCs w:val="18"/>
              </w:rPr>
              <w:t>No</w:t>
            </w:r>
          </w:p>
        </w:tc>
        <w:tc>
          <w:tcPr>
            <w:tcW w:w="842" w:type="dxa"/>
            <w:vAlign w:val="center"/>
          </w:tcPr>
          <w:p w14:paraId="5AF48F1C" w14:textId="77777777" w:rsidR="00672297" w:rsidRDefault="00A16EA3">
            <w:pPr>
              <w:spacing w:before="20" w:after="20"/>
              <w:jc w:val="left"/>
            </w:pPr>
            <w:r>
              <w:rPr>
                <w:rFonts w:cstheme="minorHAnsi"/>
                <w:sz w:val="18"/>
                <w:szCs w:val="18"/>
              </w:rPr>
              <w:t>PK</w:t>
            </w:r>
          </w:p>
        </w:tc>
        <w:tc>
          <w:tcPr>
            <w:tcW w:w="2808" w:type="dxa"/>
            <w:vAlign w:val="center"/>
          </w:tcPr>
          <w:p w14:paraId="7322F9EA" w14:textId="77777777" w:rsidR="00672297" w:rsidRDefault="00A16EA3">
            <w:pPr>
              <w:spacing w:before="20" w:after="20"/>
              <w:jc w:val="left"/>
            </w:pPr>
            <w:r>
              <w:rPr>
                <w:rFonts w:cstheme="minorHAnsi"/>
                <w:sz w:val="18"/>
                <w:szCs w:val="18"/>
              </w:rPr>
              <w:t>Unique ID</w:t>
            </w:r>
          </w:p>
        </w:tc>
        <w:tc>
          <w:tcPr>
            <w:tcW w:w="2341" w:type="dxa"/>
            <w:vAlign w:val="center"/>
          </w:tcPr>
          <w:p w14:paraId="1FDA8790" w14:textId="77777777" w:rsidR="00672297" w:rsidRDefault="00A16EA3">
            <w:pPr>
              <w:spacing w:before="20" w:after="20"/>
              <w:jc w:val="left"/>
            </w:pPr>
            <w:r>
              <w:rPr>
                <w:rFonts w:cstheme="minorHAnsi"/>
                <w:sz w:val="18"/>
                <w:szCs w:val="18"/>
              </w:rPr>
              <w:t>System generated</w:t>
            </w:r>
          </w:p>
        </w:tc>
      </w:tr>
      <w:tr w:rsidR="00672297" w14:paraId="00F39BF8" w14:textId="77777777">
        <w:trPr>
          <w:cantSplit/>
        </w:trPr>
        <w:tc>
          <w:tcPr>
            <w:tcW w:w="1872" w:type="dxa"/>
            <w:vAlign w:val="center"/>
          </w:tcPr>
          <w:p w14:paraId="1EBE1D2D" w14:textId="77777777" w:rsidR="00672297" w:rsidRDefault="00A16EA3">
            <w:pPr>
              <w:spacing w:before="20" w:after="20"/>
              <w:jc w:val="left"/>
            </w:pPr>
            <w:r>
              <w:rPr>
                <w:rFonts w:cstheme="minorHAnsi"/>
                <w:sz w:val="18"/>
                <w:szCs w:val="18"/>
              </w:rPr>
              <w:t>source_location_id</w:t>
            </w:r>
          </w:p>
        </w:tc>
        <w:tc>
          <w:tcPr>
            <w:tcW w:w="1029" w:type="dxa"/>
            <w:vAlign w:val="center"/>
          </w:tcPr>
          <w:p w14:paraId="7E721831" w14:textId="77777777" w:rsidR="00672297" w:rsidRDefault="00A16EA3">
            <w:pPr>
              <w:spacing w:before="20" w:after="20"/>
              <w:jc w:val="left"/>
            </w:pPr>
            <w:r>
              <w:rPr>
                <w:rFonts w:cstheme="minorHAnsi"/>
                <w:sz w:val="18"/>
                <w:szCs w:val="18"/>
              </w:rPr>
              <w:t>INT</w:t>
            </w:r>
          </w:p>
        </w:tc>
        <w:tc>
          <w:tcPr>
            <w:tcW w:w="468" w:type="dxa"/>
            <w:vAlign w:val="center"/>
          </w:tcPr>
          <w:p w14:paraId="7A170FA0" w14:textId="77777777" w:rsidR="00672297" w:rsidRDefault="00A16EA3">
            <w:pPr>
              <w:spacing w:before="20" w:after="20"/>
              <w:jc w:val="left"/>
            </w:pPr>
            <w:r>
              <w:rPr>
                <w:rFonts w:cstheme="minorHAnsi"/>
                <w:sz w:val="18"/>
                <w:szCs w:val="18"/>
              </w:rPr>
              <w:t>No</w:t>
            </w:r>
          </w:p>
        </w:tc>
        <w:tc>
          <w:tcPr>
            <w:tcW w:w="842" w:type="dxa"/>
            <w:vAlign w:val="center"/>
          </w:tcPr>
          <w:p w14:paraId="61BF68D4" w14:textId="77777777" w:rsidR="00672297" w:rsidRDefault="00A16EA3">
            <w:pPr>
              <w:spacing w:before="20" w:after="20"/>
              <w:jc w:val="left"/>
            </w:pPr>
            <w:r>
              <w:rPr>
                <w:rFonts w:cstheme="minorHAnsi"/>
                <w:sz w:val="18"/>
                <w:szCs w:val="18"/>
              </w:rPr>
              <w:t>FK &gt; location</w:t>
            </w:r>
          </w:p>
        </w:tc>
        <w:tc>
          <w:tcPr>
            <w:tcW w:w="2808" w:type="dxa"/>
            <w:vAlign w:val="center"/>
          </w:tcPr>
          <w:p w14:paraId="07258907" w14:textId="77777777" w:rsidR="00672297" w:rsidRDefault="00A16EA3">
            <w:pPr>
              <w:spacing w:before="20" w:after="20"/>
              <w:jc w:val="left"/>
            </w:pPr>
            <w:r>
              <w:rPr>
                <w:rFonts w:cstheme="minorHAnsi"/>
                <w:sz w:val="18"/>
                <w:szCs w:val="18"/>
              </w:rPr>
              <w:t>Refinery the batch comes from</w:t>
            </w:r>
          </w:p>
        </w:tc>
        <w:tc>
          <w:tcPr>
            <w:tcW w:w="2341" w:type="dxa"/>
            <w:vAlign w:val="center"/>
          </w:tcPr>
          <w:p w14:paraId="46067642" w14:textId="77777777" w:rsidR="00672297" w:rsidRDefault="00A16EA3">
            <w:pPr>
              <w:spacing w:before="20" w:after="20"/>
              <w:jc w:val="left"/>
            </w:pPr>
            <w:r>
              <w:rPr>
                <w:rFonts w:cstheme="minorHAnsi"/>
                <w:sz w:val="18"/>
                <w:szCs w:val="18"/>
              </w:rPr>
              <w:t>Source location name</w:t>
            </w:r>
          </w:p>
        </w:tc>
      </w:tr>
      <w:tr w:rsidR="00672297" w14:paraId="317E703F" w14:textId="77777777">
        <w:trPr>
          <w:cantSplit/>
        </w:trPr>
        <w:tc>
          <w:tcPr>
            <w:tcW w:w="1872" w:type="dxa"/>
            <w:vAlign w:val="center"/>
          </w:tcPr>
          <w:p w14:paraId="1CB33257" w14:textId="77777777" w:rsidR="00672297" w:rsidRDefault="00A16EA3">
            <w:pPr>
              <w:spacing w:before="20" w:after="20"/>
              <w:jc w:val="left"/>
            </w:pPr>
            <w:r>
              <w:rPr>
                <w:rFonts w:cstheme="minorHAnsi"/>
                <w:sz w:val="18"/>
                <w:szCs w:val="18"/>
              </w:rPr>
              <w:t>terminal_location_id</w:t>
            </w:r>
          </w:p>
        </w:tc>
        <w:tc>
          <w:tcPr>
            <w:tcW w:w="1029" w:type="dxa"/>
            <w:vAlign w:val="center"/>
          </w:tcPr>
          <w:p w14:paraId="219F04C2" w14:textId="77777777" w:rsidR="00672297" w:rsidRDefault="00A16EA3">
            <w:pPr>
              <w:spacing w:before="20" w:after="20"/>
              <w:jc w:val="left"/>
            </w:pPr>
            <w:r>
              <w:rPr>
                <w:rFonts w:cstheme="minorHAnsi"/>
                <w:sz w:val="18"/>
                <w:szCs w:val="18"/>
              </w:rPr>
              <w:t>INT</w:t>
            </w:r>
          </w:p>
        </w:tc>
        <w:tc>
          <w:tcPr>
            <w:tcW w:w="468" w:type="dxa"/>
            <w:vAlign w:val="center"/>
          </w:tcPr>
          <w:p w14:paraId="6C863A96" w14:textId="77777777" w:rsidR="00672297" w:rsidRDefault="00A16EA3">
            <w:pPr>
              <w:spacing w:before="20" w:after="20"/>
              <w:jc w:val="left"/>
            </w:pPr>
            <w:r>
              <w:rPr>
                <w:rFonts w:cstheme="minorHAnsi"/>
                <w:sz w:val="18"/>
                <w:szCs w:val="18"/>
              </w:rPr>
              <w:t>Yes</w:t>
            </w:r>
          </w:p>
        </w:tc>
        <w:tc>
          <w:tcPr>
            <w:tcW w:w="842" w:type="dxa"/>
            <w:vAlign w:val="center"/>
          </w:tcPr>
          <w:p w14:paraId="74828636" w14:textId="77777777" w:rsidR="00672297" w:rsidRDefault="00A16EA3">
            <w:pPr>
              <w:spacing w:before="20" w:after="20"/>
              <w:jc w:val="left"/>
            </w:pPr>
            <w:r>
              <w:rPr>
                <w:rFonts w:cstheme="minorHAnsi"/>
                <w:sz w:val="18"/>
                <w:szCs w:val="18"/>
              </w:rPr>
              <w:t>FK &gt; location</w:t>
            </w:r>
          </w:p>
        </w:tc>
        <w:tc>
          <w:tcPr>
            <w:tcW w:w="2808" w:type="dxa"/>
            <w:vAlign w:val="center"/>
          </w:tcPr>
          <w:p w14:paraId="4E63B5A2" w14:textId="77777777" w:rsidR="00672297" w:rsidRDefault="00A16EA3">
            <w:pPr>
              <w:spacing w:before="20" w:after="20"/>
              <w:jc w:val="left"/>
            </w:pPr>
            <w:r>
              <w:rPr>
                <w:rFonts w:cstheme="minorHAnsi"/>
                <w:sz w:val="18"/>
                <w:szCs w:val="18"/>
              </w:rPr>
              <w:t>Terminal of a terminal-level override (Stage 2); NULL for a refinery-wide row (Stage 1)</w:t>
            </w:r>
          </w:p>
        </w:tc>
        <w:tc>
          <w:tcPr>
            <w:tcW w:w="2341" w:type="dxa"/>
            <w:vAlign w:val="center"/>
          </w:tcPr>
          <w:p w14:paraId="623BF6F8" w14:textId="77777777" w:rsidR="00672297" w:rsidRDefault="00A16EA3">
            <w:pPr>
              <w:spacing w:before="20" w:after="20"/>
              <w:jc w:val="left"/>
            </w:pPr>
            <w:r>
              <w:rPr>
                <w:rFonts w:cstheme="minorHAnsi"/>
                <w:sz w:val="18"/>
                <w:szCs w:val="18"/>
              </w:rPr>
              <w:t>Terminal Location Name</w:t>
            </w:r>
          </w:p>
        </w:tc>
      </w:tr>
      <w:tr w:rsidR="00672297" w14:paraId="55734185" w14:textId="77777777">
        <w:trPr>
          <w:cantSplit/>
        </w:trPr>
        <w:tc>
          <w:tcPr>
            <w:tcW w:w="1872" w:type="dxa"/>
            <w:vAlign w:val="center"/>
          </w:tcPr>
          <w:p w14:paraId="5AA4E6CB" w14:textId="77777777" w:rsidR="00672297" w:rsidRDefault="00A16EA3">
            <w:pPr>
              <w:spacing w:before="20" w:after="20"/>
              <w:jc w:val="left"/>
            </w:pPr>
            <w:r>
              <w:rPr>
                <w:rFonts w:cstheme="minorHAnsi"/>
                <w:sz w:val="18"/>
                <w:szCs w:val="18"/>
              </w:rPr>
              <w:t>state_code</w:t>
            </w:r>
          </w:p>
        </w:tc>
        <w:tc>
          <w:tcPr>
            <w:tcW w:w="1029" w:type="dxa"/>
            <w:vAlign w:val="center"/>
          </w:tcPr>
          <w:p w14:paraId="0336E5A6" w14:textId="77777777" w:rsidR="00672297" w:rsidRDefault="00A16EA3">
            <w:pPr>
              <w:spacing w:before="20" w:after="20"/>
              <w:jc w:val="left"/>
            </w:pPr>
            <w:r>
              <w:rPr>
                <w:rFonts w:cstheme="minorHAnsi"/>
                <w:sz w:val="18"/>
                <w:szCs w:val="18"/>
              </w:rPr>
              <w:t>VARCHAR(10)</w:t>
            </w:r>
          </w:p>
        </w:tc>
        <w:tc>
          <w:tcPr>
            <w:tcW w:w="468" w:type="dxa"/>
            <w:vAlign w:val="center"/>
          </w:tcPr>
          <w:p w14:paraId="6C14B3FE" w14:textId="77777777" w:rsidR="00672297" w:rsidRDefault="00A16EA3">
            <w:pPr>
              <w:spacing w:before="20" w:after="20"/>
              <w:jc w:val="left"/>
            </w:pPr>
            <w:r>
              <w:rPr>
                <w:rFonts w:cstheme="minorHAnsi"/>
                <w:sz w:val="18"/>
                <w:szCs w:val="18"/>
              </w:rPr>
              <w:t>No</w:t>
            </w:r>
          </w:p>
        </w:tc>
        <w:tc>
          <w:tcPr>
            <w:tcW w:w="842" w:type="dxa"/>
            <w:vAlign w:val="center"/>
          </w:tcPr>
          <w:p w14:paraId="714A1B4C" w14:textId="77777777" w:rsidR="00672297" w:rsidRDefault="00A16EA3">
            <w:pPr>
              <w:spacing w:before="20" w:after="20"/>
              <w:jc w:val="left"/>
            </w:pPr>
            <w:r>
              <w:rPr>
                <w:rFonts w:cstheme="minorHAnsi"/>
                <w:sz w:val="18"/>
                <w:szCs w:val="18"/>
              </w:rPr>
              <w:t>UK</w:t>
            </w:r>
          </w:p>
        </w:tc>
        <w:tc>
          <w:tcPr>
            <w:tcW w:w="2808" w:type="dxa"/>
            <w:vAlign w:val="center"/>
          </w:tcPr>
          <w:p w14:paraId="43062579" w14:textId="77777777" w:rsidR="00672297" w:rsidRDefault="00A16EA3">
            <w:pPr>
              <w:spacing w:before="20" w:after="20"/>
              <w:jc w:val="left"/>
            </w:pPr>
            <w:r>
              <w:rPr>
                <w:rFonts w:cstheme="minorHAnsi"/>
                <w:sz w:val="18"/>
                <w:szCs w:val="18"/>
              </w:rPr>
              <w:t>State of the destination terminal</w:t>
            </w:r>
          </w:p>
        </w:tc>
        <w:tc>
          <w:tcPr>
            <w:tcW w:w="2341" w:type="dxa"/>
            <w:vAlign w:val="center"/>
          </w:tcPr>
          <w:p w14:paraId="5DD87E54" w14:textId="77777777" w:rsidR="00672297" w:rsidRDefault="00A16EA3">
            <w:pPr>
              <w:spacing w:before="20" w:after="20"/>
              <w:jc w:val="left"/>
            </w:pPr>
            <w:r>
              <w:rPr>
                <w:rFonts w:cstheme="minorHAnsi"/>
                <w:sz w:val="18"/>
                <w:szCs w:val="18"/>
              </w:rPr>
              <w:t>State</w:t>
            </w:r>
          </w:p>
        </w:tc>
      </w:tr>
      <w:tr w:rsidR="00672297" w14:paraId="7D8088DD" w14:textId="77777777">
        <w:trPr>
          <w:cantSplit/>
        </w:trPr>
        <w:tc>
          <w:tcPr>
            <w:tcW w:w="1872" w:type="dxa"/>
            <w:vAlign w:val="center"/>
          </w:tcPr>
          <w:p w14:paraId="41A55F76" w14:textId="77777777" w:rsidR="00672297" w:rsidRDefault="00A16EA3">
            <w:pPr>
              <w:spacing w:before="20" w:after="20"/>
              <w:jc w:val="left"/>
            </w:pPr>
            <w:r>
              <w:rPr>
                <w:rFonts w:cstheme="minorHAnsi"/>
                <w:sz w:val="18"/>
                <w:szCs w:val="18"/>
              </w:rPr>
              <w:t>area</w:t>
            </w:r>
          </w:p>
        </w:tc>
        <w:tc>
          <w:tcPr>
            <w:tcW w:w="1029" w:type="dxa"/>
            <w:vAlign w:val="center"/>
          </w:tcPr>
          <w:p w14:paraId="004C0B09" w14:textId="77777777" w:rsidR="00672297" w:rsidRDefault="00A16EA3">
            <w:pPr>
              <w:spacing w:before="20" w:after="20"/>
              <w:jc w:val="left"/>
            </w:pPr>
            <w:r>
              <w:rPr>
                <w:rFonts w:cstheme="minorHAnsi"/>
                <w:sz w:val="18"/>
                <w:szCs w:val="18"/>
              </w:rPr>
              <w:t>VARCHAR(100)</w:t>
            </w:r>
          </w:p>
        </w:tc>
        <w:tc>
          <w:tcPr>
            <w:tcW w:w="468" w:type="dxa"/>
            <w:vAlign w:val="center"/>
          </w:tcPr>
          <w:p w14:paraId="00501198" w14:textId="77777777" w:rsidR="00672297" w:rsidRDefault="00A16EA3">
            <w:pPr>
              <w:spacing w:before="20" w:after="20"/>
              <w:jc w:val="left"/>
            </w:pPr>
            <w:r>
              <w:rPr>
                <w:rFonts w:cstheme="minorHAnsi"/>
                <w:sz w:val="18"/>
                <w:szCs w:val="18"/>
              </w:rPr>
              <w:t>Yes</w:t>
            </w:r>
          </w:p>
        </w:tc>
        <w:tc>
          <w:tcPr>
            <w:tcW w:w="842" w:type="dxa"/>
            <w:vAlign w:val="center"/>
          </w:tcPr>
          <w:p w14:paraId="1ABFA5FA" w14:textId="77777777" w:rsidR="00672297" w:rsidRDefault="00672297">
            <w:pPr>
              <w:spacing w:before="20" w:after="20"/>
              <w:jc w:val="left"/>
            </w:pPr>
          </w:p>
        </w:tc>
        <w:tc>
          <w:tcPr>
            <w:tcW w:w="2808" w:type="dxa"/>
            <w:vAlign w:val="center"/>
          </w:tcPr>
          <w:p w14:paraId="454F1AAF" w14:textId="77777777" w:rsidR="00672297" w:rsidRDefault="00A16EA3">
            <w:pPr>
              <w:spacing w:before="20" w:after="20"/>
              <w:jc w:val="left"/>
            </w:pPr>
            <w:r>
              <w:rPr>
                <w:rFonts w:cstheme="minorHAnsi"/>
                <w:sz w:val="18"/>
                <w:szCs w:val="18"/>
              </w:rPr>
              <w:t>Area as given in the master Excel</w:t>
            </w:r>
          </w:p>
        </w:tc>
        <w:tc>
          <w:tcPr>
            <w:tcW w:w="2341" w:type="dxa"/>
            <w:vAlign w:val="center"/>
          </w:tcPr>
          <w:p w14:paraId="06BF8C93" w14:textId="77777777" w:rsidR="00672297" w:rsidRDefault="00A16EA3">
            <w:pPr>
              <w:spacing w:before="20" w:after="20"/>
              <w:jc w:val="left"/>
            </w:pPr>
            <w:r>
              <w:rPr>
                <w:rFonts w:cstheme="minorHAnsi"/>
                <w:sz w:val="18"/>
                <w:szCs w:val="18"/>
              </w:rPr>
              <w:t>Area</w:t>
            </w:r>
          </w:p>
        </w:tc>
      </w:tr>
      <w:tr w:rsidR="00672297" w14:paraId="417EEF26" w14:textId="77777777">
        <w:trPr>
          <w:cantSplit/>
        </w:trPr>
        <w:tc>
          <w:tcPr>
            <w:tcW w:w="1872" w:type="dxa"/>
            <w:vAlign w:val="center"/>
          </w:tcPr>
          <w:p w14:paraId="470F7F98" w14:textId="77777777" w:rsidR="00672297" w:rsidRDefault="00A16EA3">
            <w:pPr>
              <w:spacing w:before="20" w:after="20"/>
              <w:jc w:val="left"/>
            </w:pPr>
            <w:r>
              <w:rPr>
                <w:rFonts w:cstheme="minorHAnsi"/>
                <w:sz w:val="18"/>
                <w:szCs w:val="18"/>
              </w:rPr>
              <w:t>material_id</w:t>
            </w:r>
          </w:p>
        </w:tc>
        <w:tc>
          <w:tcPr>
            <w:tcW w:w="1029" w:type="dxa"/>
            <w:vAlign w:val="center"/>
          </w:tcPr>
          <w:p w14:paraId="389EC70E" w14:textId="77777777" w:rsidR="00672297" w:rsidRDefault="00A16EA3">
            <w:pPr>
              <w:spacing w:before="20" w:after="20"/>
              <w:jc w:val="left"/>
            </w:pPr>
            <w:r>
              <w:rPr>
                <w:rFonts w:cstheme="minorHAnsi"/>
                <w:sz w:val="18"/>
                <w:szCs w:val="18"/>
              </w:rPr>
              <w:t>INT</w:t>
            </w:r>
          </w:p>
        </w:tc>
        <w:tc>
          <w:tcPr>
            <w:tcW w:w="468" w:type="dxa"/>
            <w:vAlign w:val="center"/>
          </w:tcPr>
          <w:p w14:paraId="3E473FF3" w14:textId="77777777" w:rsidR="00672297" w:rsidRDefault="00A16EA3">
            <w:pPr>
              <w:spacing w:before="20" w:after="20"/>
              <w:jc w:val="left"/>
            </w:pPr>
            <w:r>
              <w:rPr>
                <w:rFonts w:cstheme="minorHAnsi"/>
                <w:sz w:val="18"/>
                <w:szCs w:val="18"/>
              </w:rPr>
              <w:t>No</w:t>
            </w:r>
          </w:p>
        </w:tc>
        <w:tc>
          <w:tcPr>
            <w:tcW w:w="842" w:type="dxa"/>
            <w:vAlign w:val="center"/>
          </w:tcPr>
          <w:p w14:paraId="4E6D1B47" w14:textId="77777777" w:rsidR="00672297" w:rsidRDefault="00A16EA3">
            <w:pPr>
              <w:spacing w:before="20" w:after="20"/>
              <w:jc w:val="left"/>
            </w:pPr>
            <w:r>
              <w:rPr>
                <w:rFonts w:cstheme="minorHAnsi"/>
                <w:sz w:val="18"/>
                <w:szCs w:val="18"/>
              </w:rPr>
              <w:t>FK &gt; material, UK</w:t>
            </w:r>
          </w:p>
        </w:tc>
        <w:tc>
          <w:tcPr>
            <w:tcW w:w="2808" w:type="dxa"/>
            <w:vAlign w:val="center"/>
          </w:tcPr>
          <w:p w14:paraId="4ABC5001" w14:textId="77777777" w:rsidR="00672297" w:rsidRDefault="00A16EA3">
            <w:pPr>
              <w:spacing w:before="20" w:after="20"/>
              <w:jc w:val="left"/>
            </w:pPr>
            <w:r>
              <w:rPr>
                <w:rFonts w:cstheme="minorHAnsi"/>
                <w:sz w:val="18"/>
                <w:szCs w:val="18"/>
              </w:rPr>
              <w:t>Product (grade)</w:t>
            </w:r>
          </w:p>
        </w:tc>
        <w:tc>
          <w:tcPr>
            <w:tcW w:w="2341" w:type="dxa"/>
            <w:vAlign w:val="center"/>
          </w:tcPr>
          <w:p w14:paraId="35560EB4" w14:textId="77777777" w:rsidR="00672297" w:rsidRDefault="00A16EA3">
            <w:pPr>
              <w:spacing w:before="20" w:after="20"/>
              <w:jc w:val="left"/>
            </w:pPr>
            <w:r>
              <w:rPr>
                <w:rFonts w:cstheme="minorHAnsi"/>
                <w:sz w:val="18"/>
                <w:szCs w:val="18"/>
              </w:rPr>
              <w:t>Product Name</w:t>
            </w:r>
          </w:p>
        </w:tc>
      </w:tr>
      <w:tr w:rsidR="00672297" w14:paraId="1DA8ECAD" w14:textId="77777777">
        <w:trPr>
          <w:cantSplit/>
        </w:trPr>
        <w:tc>
          <w:tcPr>
            <w:tcW w:w="1872" w:type="dxa"/>
            <w:vAlign w:val="center"/>
          </w:tcPr>
          <w:p w14:paraId="3DA963E4" w14:textId="77777777" w:rsidR="00672297" w:rsidRDefault="00A16EA3">
            <w:pPr>
              <w:spacing w:before="20" w:after="20"/>
              <w:jc w:val="left"/>
            </w:pPr>
            <w:r>
              <w:rPr>
                <w:rFonts w:cstheme="minorHAnsi"/>
                <w:sz w:val="18"/>
                <w:szCs w:val="18"/>
              </w:rPr>
              <w:t>season</w:t>
            </w:r>
          </w:p>
        </w:tc>
        <w:tc>
          <w:tcPr>
            <w:tcW w:w="1029" w:type="dxa"/>
            <w:vAlign w:val="center"/>
          </w:tcPr>
          <w:p w14:paraId="2669E890" w14:textId="77777777" w:rsidR="00672297" w:rsidRDefault="00A16EA3">
            <w:pPr>
              <w:spacing w:before="20" w:after="20"/>
              <w:jc w:val="left"/>
            </w:pPr>
            <w:r>
              <w:rPr>
                <w:rFonts w:cstheme="minorHAnsi"/>
                <w:sz w:val="18"/>
                <w:szCs w:val="18"/>
              </w:rPr>
              <w:t>VARCHAR(50)</w:t>
            </w:r>
          </w:p>
        </w:tc>
        <w:tc>
          <w:tcPr>
            <w:tcW w:w="468" w:type="dxa"/>
            <w:vAlign w:val="center"/>
          </w:tcPr>
          <w:p w14:paraId="480BA1C5" w14:textId="77777777" w:rsidR="00672297" w:rsidRDefault="00A16EA3">
            <w:pPr>
              <w:spacing w:before="20" w:after="20"/>
              <w:jc w:val="left"/>
            </w:pPr>
            <w:r>
              <w:rPr>
                <w:rFonts w:cstheme="minorHAnsi"/>
                <w:sz w:val="18"/>
                <w:szCs w:val="18"/>
              </w:rPr>
              <w:t>No</w:t>
            </w:r>
          </w:p>
        </w:tc>
        <w:tc>
          <w:tcPr>
            <w:tcW w:w="842" w:type="dxa"/>
            <w:vAlign w:val="center"/>
          </w:tcPr>
          <w:p w14:paraId="0149EB05" w14:textId="77777777" w:rsidR="00672297" w:rsidRDefault="00A16EA3">
            <w:pPr>
              <w:spacing w:before="20" w:after="20"/>
              <w:jc w:val="left"/>
            </w:pPr>
            <w:r>
              <w:rPr>
                <w:rFonts w:cstheme="minorHAnsi"/>
                <w:sz w:val="18"/>
                <w:szCs w:val="18"/>
              </w:rPr>
              <w:t>UK</w:t>
            </w:r>
          </w:p>
        </w:tc>
        <w:tc>
          <w:tcPr>
            <w:tcW w:w="2808" w:type="dxa"/>
            <w:vAlign w:val="center"/>
          </w:tcPr>
          <w:p w14:paraId="0BC9DA3D" w14:textId="77777777" w:rsidR="00672297" w:rsidRDefault="00A16EA3">
            <w:pPr>
              <w:spacing w:before="20" w:after="20"/>
              <w:jc w:val="left"/>
            </w:pPr>
            <w:r>
              <w:rPr>
                <w:rFonts w:cstheme="minorHAnsi"/>
                <w:sz w:val="18"/>
                <w:szCs w:val="18"/>
              </w:rPr>
              <w:t>Season / month class the specification applies to</w:t>
            </w:r>
          </w:p>
        </w:tc>
        <w:tc>
          <w:tcPr>
            <w:tcW w:w="2341" w:type="dxa"/>
            <w:vAlign w:val="center"/>
          </w:tcPr>
          <w:p w14:paraId="59C60B36" w14:textId="77777777" w:rsidR="00672297" w:rsidRDefault="00A16EA3">
            <w:pPr>
              <w:spacing w:before="20" w:after="20"/>
              <w:jc w:val="left"/>
            </w:pPr>
            <w:r>
              <w:rPr>
                <w:rFonts w:cstheme="minorHAnsi"/>
                <w:sz w:val="18"/>
                <w:szCs w:val="18"/>
              </w:rPr>
              <w:t>Season</w:t>
            </w:r>
          </w:p>
        </w:tc>
      </w:tr>
      <w:tr w:rsidR="00672297" w14:paraId="18139CD6" w14:textId="77777777">
        <w:trPr>
          <w:cantSplit/>
        </w:trPr>
        <w:tc>
          <w:tcPr>
            <w:tcW w:w="1872" w:type="dxa"/>
            <w:vAlign w:val="center"/>
          </w:tcPr>
          <w:p w14:paraId="748C60BE" w14:textId="77777777" w:rsidR="00672297" w:rsidRDefault="00A16EA3">
            <w:pPr>
              <w:spacing w:before="20" w:after="20"/>
              <w:jc w:val="left"/>
            </w:pPr>
            <w:r>
              <w:rPr>
                <w:rFonts w:cstheme="minorHAnsi"/>
                <w:sz w:val="18"/>
                <w:szCs w:val="18"/>
              </w:rPr>
              <w:t>limit_type</w:t>
            </w:r>
          </w:p>
        </w:tc>
        <w:tc>
          <w:tcPr>
            <w:tcW w:w="1029" w:type="dxa"/>
            <w:vAlign w:val="center"/>
          </w:tcPr>
          <w:p w14:paraId="48684632" w14:textId="77777777" w:rsidR="00672297" w:rsidRDefault="00A16EA3">
            <w:pPr>
              <w:spacing w:before="20" w:after="20"/>
              <w:jc w:val="left"/>
            </w:pPr>
            <w:r>
              <w:rPr>
                <w:rFonts w:cstheme="minorHAnsi"/>
                <w:sz w:val="18"/>
                <w:szCs w:val="18"/>
              </w:rPr>
              <w:t>VARCHAR(10)</w:t>
            </w:r>
          </w:p>
        </w:tc>
        <w:tc>
          <w:tcPr>
            <w:tcW w:w="468" w:type="dxa"/>
            <w:vAlign w:val="center"/>
          </w:tcPr>
          <w:p w14:paraId="6359B8AA" w14:textId="77777777" w:rsidR="00672297" w:rsidRDefault="00A16EA3">
            <w:pPr>
              <w:spacing w:before="20" w:after="20"/>
              <w:jc w:val="left"/>
            </w:pPr>
            <w:r>
              <w:rPr>
                <w:rFonts w:cstheme="minorHAnsi"/>
                <w:sz w:val="18"/>
                <w:szCs w:val="18"/>
              </w:rPr>
              <w:t>No</w:t>
            </w:r>
          </w:p>
        </w:tc>
        <w:tc>
          <w:tcPr>
            <w:tcW w:w="842" w:type="dxa"/>
            <w:vAlign w:val="center"/>
          </w:tcPr>
          <w:p w14:paraId="040E3D0F" w14:textId="77777777" w:rsidR="00672297" w:rsidRDefault="00A16EA3">
            <w:pPr>
              <w:spacing w:before="20" w:after="20"/>
              <w:jc w:val="left"/>
            </w:pPr>
            <w:r>
              <w:rPr>
                <w:rFonts w:cstheme="minorHAnsi"/>
                <w:sz w:val="18"/>
                <w:szCs w:val="18"/>
              </w:rPr>
              <w:t>UK</w:t>
            </w:r>
          </w:p>
        </w:tc>
        <w:tc>
          <w:tcPr>
            <w:tcW w:w="2808" w:type="dxa"/>
            <w:vAlign w:val="center"/>
          </w:tcPr>
          <w:p w14:paraId="3149201F" w14:textId="77777777" w:rsidR="00672297" w:rsidRDefault="00A16EA3">
            <w:pPr>
              <w:spacing w:before="20" w:after="20"/>
              <w:jc w:val="left"/>
            </w:pPr>
            <w:r>
              <w:rPr>
                <w:rFonts w:cstheme="minorHAnsi"/>
                <w:sz w:val="18"/>
                <w:szCs w:val="18"/>
              </w:rPr>
              <w:t>MIN or MAX</w:t>
            </w:r>
          </w:p>
        </w:tc>
        <w:tc>
          <w:tcPr>
            <w:tcW w:w="2341" w:type="dxa"/>
            <w:vAlign w:val="center"/>
          </w:tcPr>
          <w:p w14:paraId="5D621D87" w14:textId="77777777" w:rsidR="00672297" w:rsidRDefault="00A16EA3">
            <w:pPr>
              <w:spacing w:before="20" w:after="20"/>
              <w:jc w:val="left"/>
            </w:pPr>
            <w:r>
              <w:rPr>
                <w:rFonts w:cstheme="minorHAnsi"/>
                <w:sz w:val="18"/>
                <w:szCs w:val="18"/>
              </w:rPr>
              <w:t>Specification Name (MIN/MAX)</w:t>
            </w:r>
          </w:p>
        </w:tc>
      </w:tr>
      <w:tr w:rsidR="00672297" w14:paraId="69696A05" w14:textId="77777777">
        <w:trPr>
          <w:cantSplit/>
        </w:trPr>
        <w:tc>
          <w:tcPr>
            <w:tcW w:w="1872" w:type="dxa"/>
            <w:vAlign w:val="center"/>
          </w:tcPr>
          <w:p w14:paraId="43747A96" w14:textId="77777777" w:rsidR="00672297" w:rsidRDefault="00A16EA3">
            <w:pPr>
              <w:spacing w:before="20" w:after="20"/>
              <w:jc w:val="left"/>
            </w:pPr>
            <w:r>
              <w:rPr>
                <w:rFonts w:cstheme="minorHAnsi"/>
                <w:sz w:val="18"/>
                <w:szCs w:val="18"/>
              </w:rPr>
              <w:t>property_id</w:t>
            </w:r>
          </w:p>
        </w:tc>
        <w:tc>
          <w:tcPr>
            <w:tcW w:w="1029" w:type="dxa"/>
            <w:vAlign w:val="center"/>
          </w:tcPr>
          <w:p w14:paraId="668F92D9" w14:textId="77777777" w:rsidR="00672297" w:rsidRDefault="00A16EA3">
            <w:pPr>
              <w:spacing w:before="20" w:after="20"/>
              <w:jc w:val="left"/>
            </w:pPr>
            <w:r>
              <w:rPr>
                <w:rFonts w:cstheme="minorHAnsi"/>
                <w:sz w:val="18"/>
                <w:szCs w:val="18"/>
              </w:rPr>
              <w:t>INT</w:t>
            </w:r>
          </w:p>
        </w:tc>
        <w:tc>
          <w:tcPr>
            <w:tcW w:w="468" w:type="dxa"/>
            <w:vAlign w:val="center"/>
          </w:tcPr>
          <w:p w14:paraId="2D017E2D" w14:textId="77777777" w:rsidR="00672297" w:rsidRDefault="00A16EA3">
            <w:pPr>
              <w:spacing w:before="20" w:after="20"/>
              <w:jc w:val="left"/>
            </w:pPr>
            <w:r>
              <w:rPr>
                <w:rFonts w:cstheme="minorHAnsi"/>
                <w:sz w:val="18"/>
                <w:szCs w:val="18"/>
              </w:rPr>
              <w:t>No</w:t>
            </w:r>
          </w:p>
        </w:tc>
        <w:tc>
          <w:tcPr>
            <w:tcW w:w="842" w:type="dxa"/>
            <w:vAlign w:val="center"/>
          </w:tcPr>
          <w:p w14:paraId="2D525B0B" w14:textId="77777777" w:rsidR="00672297" w:rsidRDefault="00A16EA3">
            <w:pPr>
              <w:spacing w:before="20" w:after="20"/>
              <w:jc w:val="left"/>
            </w:pPr>
            <w:r>
              <w:rPr>
                <w:rFonts w:cstheme="minorHAnsi"/>
                <w:sz w:val="18"/>
                <w:szCs w:val="18"/>
              </w:rPr>
              <w:t>FK &gt; property, UK</w:t>
            </w:r>
          </w:p>
        </w:tc>
        <w:tc>
          <w:tcPr>
            <w:tcW w:w="2808" w:type="dxa"/>
            <w:vAlign w:val="center"/>
          </w:tcPr>
          <w:p w14:paraId="4B7B6E8A" w14:textId="77777777" w:rsidR="00672297" w:rsidRDefault="00A16EA3">
            <w:pPr>
              <w:spacing w:before="20" w:after="20"/>
              <w:jc w:val="left"/>
            </w:pPr>
            <w:r>
              <w:rPr>
                <w:rFonts w:cstheme="minorHAnsi"/>
                <w:sz w:val="18"/>
                <w:szCs w:val="18"/>
              </w:rPr>
              <w:t>Test (quality property)</w:t>
            </w:r>
          </w:p>
        </w:tc>
        <w:tc>
          <w:tcPr>
            <w:tcW w:w="2341" w:type="dxa"/>
            <w:vAlign w:val="center"/>
          </w:tcPr>
          <w:p w14:paraId="594C9127" w14:textId="77777777" w:rsidR="00672297" w:rsidRDefault="00A16EA3">
            <w:pPr>
              <w:spacing w:before="20" w:after="20"/>
              <w:jc w:val="left"/>
            </w:pPr>
            <w:r>
              <w:rPr>
                <w:rFonts w:cstheme="minorHAnsi"/>
                <w:sz w:val="18"/>
                <w:szCs w:val="18"/>
              </w:rPr>
              <w:t>Test</w:t>
            </w:r>
          </w:p>
        </w:tc>
      </w:tr>
      <w:tr w:rsidR="00672297" w14:paraId="74595AA3" w14:textId="77777777">
        <w:trPr>
          <w:cantSplit/>
        </w:trPr>
        <w:tc>
          <w:tcPr>
            <w:tcW w:w="1872" w:type="dxa"/>
            <w:vAlign w:val="center"/>
          </w:tcPr>
          <w:p w14:paraId="0C152E64" w14:textId="77777777" w:rsidR="00672297" w:rsidRDefault="00A16EA3">
            <w:pPr>
              <w:spacing w:before="20" w:after="20"/>
              <w:jc w:val="left"/>
            </w:pPr>
            <w:r>
              <w:rPr>
                <w:rFonts w:cstheme="minorHAnsi"/>
                <w:sz w:val="18"/>
                <w:szCs w:val="18"/>
              </w:rPr>
              <w:t>uom_id</w:t>
            </w:r>
          </w:p>
        </w:tc>
        <w:tc>
          <w:tcPr>
            <w:tcW w:w="1029" w:type="dxa"/>
            <w:vAlign w:val="center"/>
          </w:tcPr>
          <w:p w14:paraId="23A16D60" w14:textId="77777777" w:rsidR="00672297" w:rsidRDefault="00A16EA3">
            <w:pPr>
              <w:spacing w:before="20" w:after="20"/>
              <w:jc w:val="left"/>
            </w:pPr>
            <w:r>
              <w:rPr>
                <w:rFonts w:cstheme="minorHAnsi"/>
                <w:sz w:val="18"/>
                <w:szCs w:val="18"/>
              </w:rPr>
              <w:t>INT</w:t>
            </w:r>
          </w:p>
        </w:tc>
        <w:tc>
          <w:tcPr>
            <w:tcW w:w="468" w:type="dxa"/>
            <w:vAlign w:val="center"/>
          </w:tcPr>
          <w:p w14:paraId="02EDB473" w14:textId="77777777" w:rsidR="00672297" w:rsidRDefault="00A16EA3">
            <w:pPr>
              <w:spacing w:before="20" w:after="20"/>
              <w:jc w:val="left"/>
            </w:pPr>
            <w:r>
              <w:rPr>
                <w:rFonts w:cstheme="minorHAnsi"/>
                <w:sz w:val="18"/>
                <w:szCs w:val="18"/>
              </w:rPr>
              <w:t>Yes</w:t>
            </w:r>
          </w:p>
        </w:tc>
        <w:tc>
          <w:tcPr>
            <w:tcW w:w="842" w:type="dxa"/>
            <w:vAlign w:val="center"/>
          </w:tcPr>
          <w:p w14:paraId="74305892" w14:textId="77777777" w:rsidR="00672297" w:rsidRDefault="00A16EA3">
            <w:pPr>
              <w:spacing w:before="20" w:after="20"/>
              <w:jc w:val="left"/>
            </w:pPr>
            <w:r>
              <w:rPr>
                <w:rFonts w:cstheme="minorHAnsi"/>
                <w:sz w:val="18"/>
                <w:szCs w:val="18"/>
              </w:rPr>
              <w:t>FK &gt; uom</w:t>
            </w:r>
          </w:p>
        </w:tc>
        <w:tc>
          <w:tcPr>
            <w:tcW w:w="2808" w:type="dxa"/>
            <w:vAlign w:val="center"/>
          </w:tcPr>
          <w:p w14:paraId="7DC2CD1A" w14:textId="77777777" w:rsidR="00672297" w:rsidRDefault="00A16EA3">
            <w:pPr>
              <w:spacing w:before="20" w:after="20"/>
              <w:jc w:val="left"/>
            </w:pPr>
            <w:r>
              <w:rPr>
                <w:rFonts w:cstheme="minorHAnsi"/>
                <w:sz w:val="18"/>
                <w:szCs w:val="18"/>
              </w:rPr>
              <w:t>Unit of the limit</w:t>
            </w:r>
          </w:p>
        </w:tc>
        <w:tc>
          <w:tcPr>
            <w:tcW w:w="2341" w:type="dxa"/>
            <w:vAlign w:val="center"/>
          </w:tcPr>
          <w:p w14:paraId="35435D26" w14:textId="77777777" w:rsidR="00672297" w:rsidRDefault="00A16EA3">
            <w:pPr>
              <w:spacing w:before="20" w:after="20"/>
              <w:jc w:val="left"/>
            </w:pPr>
            <w:r>
              <w:rPr>
                <w:rFonts w:cstheme="minorHAnsi"/>
                <w:sz w:val="18"/>
                <w:szCs w:val="18"/>
              </w:rPr>
              <w:t>UOM</w:t>
            </w:r>
          </w:p>
        </w:tc>
      </w:tr>
      <w:tr w:rsidR="00672297" w14:paraId="3074A3E6" w14:textId="77777777">
        <w:trPr>
          <w:cantSplit/>
        </w:trPr>
        <w:tc>
          <w:tcPr>
            <w:tcW w:w="1872" w:type="dxa"/>
            <w:vAlign w:val="center"/>
          </w:tcPr>
          <w:p w14:paraId="22F70545" w14:textId="77777777" w:rsidR="00672297" w:rsidRDefault="00A16EA3">
            <w:pPr>
              <w:spacing w:before="20" w:after="20"/>
              <w:jc w:val="left"/>
            </w:pPr>
            <w:r>
              <w:rPr>
                <w:rFonts w:cstheme="minorHAnsi"/>
                <w:sz w:val="18"/>
                <w:szCs w:val="18"/>
              </w:rPr>
              <w:t>spec_value_text</w:t>
            </w:r>
          </w:p>
        </w:tc>
        <w:tc>
          <w:tcPr>
            <w:tcW w:w="1029" w:type="dxa"/>
            <w:vAlign w:val="center"/>
          </w:tcPr>
          <w:p w14:paraId="7991EAD3" w14:textId="77777777" w:rsidR="00672297" w:rsidRDefault="00A16EA3">
            <w:pPr>
              <w:spacing w:before="20" w:after="20"/>
              <w:jc w:val="left"/>
            </w:pPr>
            <w:r>
              <w:rPr>
                <w:rFonts w:cstheme="minorHAnsi"/>
                <w:sz w:val="18"/>
                <w:szCs w:val="18"/>
              </w:rPr>
              <w:t>VARCHAR(100)</w:t>
            </w:r>
          </w:p>
        </w:tc>
        <w:tc>
          <w:tcPr>
            <w:tcW w:w="468" w:type="dxa"/>
            <w:vAlign w:val="center"/>
          </w:tcPr>
          <w:p w14:paraId="6DEA9AC8" w14:textId="77777777" w:rsidR="00672297" w:rsidRDefault="00A16EA3">
            <w:pPr>
              <w:spacing w:before="20" w:after="20"/>
              <w:jc w:val="left"/>
            </w:pPr>
            <w:r>
              <w:rPr>
                <w:rFonts w:cstheme="minorHAnsi"/>
                <w:sz w:val="18"/>
                <w:szCs w:val="18"/>
              </w:rPr>
              <w:t>No</w:t>
            </w:r>
          </w:p>
        </w:tc>
        <w:tc>
          <w:tcPr>
            <w:tcW w:w="842" w:type="dxa"/>
            <w:vAlign w:val="center"/>
          </w:tcPr>
          <w:p w14:paraId="5C40EDDB" w14:textId="77777777" w:rsidR="00672297" w:rsidRDefault="00672297">
            <w:pPr>
              <w:spacing w:before="20" w:after="20"/>
              <w:jc w:val="left"/>
            </w:pPr>
          </w:p>
        </w:tc>
        <w:tc>
          <w:tcPr>
            <w:tcW w:w="2808" w:type="dxa"/>
            <w:vAlign w:val="center"/>
          </w:tcPr>
          <w:p w14:paraId="41F1C67F" w14:textId="77777777" w:rsidR="00672297" w:rsidRDefault="00A16EA3">
            <w:pPr>
              <w:spacing w:before="20" w:after="20"/>
              <w:jc w:val="left"/>
            </w:pPr>
            <w:r>
              <w:rPr>
                <w:rFonts w:cstheme="minorHAnsi"/>
                <w:sz w:val="18"/>
                <w:szCs w:val="18"/>
              </w:rPr>
              <w:t>Limit as text; "R" = report only (no numeric limit), as in the wireframes</w:t>
            </w:r>
          </w:p>
        </w:tc>
        <w:tc>
          <w:tcPr>
            <w:tcW w:w="2341" w:type="dxa"/>
            <w:vAlign w:val="center"/>
          </w:tcPr>
          <w:p w14:paraId="7358CB1A" w14:textId="77777777" w:rsidR="00672297" w:rsidRDefault="00A16EA3">
            <w:pPr>
              <w:spacing w:before="20" w:after="20"/>
              <w:jc w:val="left"/>
            </w:pPr>
            <w:r>
              <w:rPr>
                <w:rFonts w:cstheme="minorHAnsi"/>
                <w:sz w:val="18"/>
                <w:szCs w:val="18"/>
              </w:rPr>
              <w:t>Spec_Value_Text</w:t>
            </w:r>
          </w:p>
        </w:tc>
      </w:tr>
      <w:tr w:rsidR="00672297" w14:paraId="47C8E7F2" w14:textId="77777777">
        <w:trPr>
          <w:cantSplit/>
        </w:trPr>
        <w:tc>
          <w:tcPr>
            <w:tcW w:w="1872" w:type="dxa"/>
            <w:vAlign w:val="center"/>
          </w:tcPr>
          <w:p w14:paraId="05C08759" w14:textId="77777777" w:rsidR="00672297" w:rsidRDefault="00A16EA3">
            <w:pPr>
              <w:spacing w:before="20" w:after="20"/>
              <w:jc w:val="left"/>
            </w:pPr>
            <w:r>
              <w:rPr>
                <w:rFonts w:cstheme="minorHAnsi"/>
                <w:sz w:val="18"/>
                <w:szCs w:val="18"/>
              </w:rPr>
              <w:t>spec_value</w:t>
            </w:r>
          </w:p>
        </w:tc>
        <w:tc>
          <w:tcPr>
            <w:tcW w:w="1029" w:type="dxa"/>
            <w:vAlign w:val="center"/>
          </w:tcPr>
          <w:p w14:paraId="46151E2C" w14:textId="77777777" w:rsidR="00672297" w:rsidRDefault="00A16EA3">
            <w:pPr>
              <w:spacing w:before="20" w:after="20"/>
              <w:jc w:val="left"/>
            </w:pPr>
            <w:r>
              <w:rPr>
                <w:rFonts w:cstheme="minorHAnsi"/>
                <w:sz w:val="18"/>
                <w:szCs w:val="18"/>
              </w:rPr>
              <w:t>DECIMAL(18,4)</w:t>
            </w:r>
          </w:p>
        </w:tc>
        <w:tc>
          <w:tcPr>
            <w:tcW w:w="468" w:type="dxa"/>
            <w:vAlign w:val="center"/>
          </w:tcPr>
          <w:p w14:paraId="33336AB5" w14:textId="77777777" w:rsidR="00672297" w:rsidRDefault="00A16EA3">
            <w:pPr>
              <w:spacing w:before="20" w:after="20"/>
              <w:jc w:val="left"/>
            </w:pPr>
            <w:r>
              <w:rPr>
                <w:rFonts w:cstheme="minorHAnsi"/>
                <w:sz w:val="18"/>
                <w:szCs w:val="18"/>
              </w:rPr>
              <w:t>Yes</w:t>
            </w:r>
          </w:p>
        </w:tc>
        <w:tc>
          <w:tcPr>
            <w:tcW w:w="842" w:type="dxa"/>
            <w:vAlign w:val="center"/>
          </w:tcPr>
          <w:p w14:paraId="56916ABC" w14:textId="77777777" w:rsidR="00672297" w:rsidRDefault="00672297">
            <w:pPr>
              <w:spacing w:before="20" w:after="20"/>
              <w:jc w:val="left"/>
            </w:pPr>
          </w:p>
        </w:tc>
        <w:tc>
          <w:tcPr>
            <w:tcW w:w="2808" w:type="dxa"/>
            <w:vAlign w:val="center"/>
          </w:tcPr>
          <w:p w14:paraId="23B884FE" w14:textId="77777777" w:rsidR="00672297" w:rsidRDefault="00A16EA3">
            <w:pPr>
              <w:spacing w:before="20" w:after="20"/>
              <w:jc w:val="left"/>
            </w:pPr>
            <w:r>
              <w:rPr>
                <w:rFonts w:cstheme="minorHAnsi"/>
                <w:sz w:val="18"/>
                <w:szCs w:val="18"/>
              </w:rPr>
              <w:t>Numeric limit; NULL when spec_value_text is "R" or not numeric</w:t>
            </w:r>
          </w:p>
        </w:tc>
        <w:tc>
          <w:tcPr>
            <w:tcW w:w="2341" w:type="dxa"/>
            <w:vAlign w:val="center"/>
          </w:tcPr>
          <w:p w14:paraId="78D2BDD1" w14:textId="77777777" w:rsidR="00672297" w:rsidRDefault="00A16EA3">
            <w:pPr>
              <w:spacing w:before="20" w:after="20"/>
              <w:jc w:val="left"/>
            </w:pPr>
            <w:r>
              <w:rPr>
                <w:rFonts w:cstheme="minorHAnsi"/>
                <w:sz w:val="18"/>
                <w:szCs w:val="18"/>
              </w:rPr>
              <w:t>Derived: TRY_CAST(Spec_Value_Text)</w:t>
            </w:r>
          </w:p>
        </w:tc>
      </w:tr>
      <w:tr w:rsidR="00672297" w14:paraId="6EB622DD" w14:textId="77777777">
        <w:trPr>
          <w:cantSplit/>
        </w:trPr>
        <w:tc>
          <w:tcPr>
            <w:tcW w:w="1872" w:type="dxa"/>
            <w:vAlign w:val="center"/>
          </w:tcPr>
          <w:p w14:paraId="017713D9" w14:textId="77777777" w:rsidR="00672297" w:rsidRDefault="00A16EA3">
            <w:pPr>
              <w:spacing w:before="20" w:after="20"/>
              <w:jc w:val="left"/>
            </w:pPr>
            <w:r>
              <w:rPr>
                <w:rFonts w:cstheme="minorHAnsi"/>
                <w:sz w:val="18"/>
                <w:szCs w:val="18"/>
              </w:rPr>
              <w:t>spec_level</w:t>
            </w:r>
          </w:p>
        </w:tc>
        <w:tc>
          <w:tcPr>
            <w:tcW w:w="1029" w:type="dxa"/>
            <w:vAlign w:val="center"/>
          </w:tcPr>
          <w:p w14:paraId="504112A5" w14:textId="77777777" w:rsidR="00672297" w:rsidRDefault="00A16EA3">
            <w:pPr>
              <w:spacing w:before="20" w:after="20"/>
              <w:jc w:val="left"/>
            </w:pPr>
            <w:r>
              <w:rPr>
                <w:rFonts w:cstheme="minorHAnsi"/>
                <w:sz w:val="18"/>
                <w:szCs w:val="18"/>
              </w:rPr>
              <w:t>VARCHAR(20)</w:t>
            </w:r>
          </w:p>
        </w:tc>
        <w:tc>
          <w:tcPr>
            <w:tcW w:w="468" w:type="dxa"/>
            <w:vAlign w:val="center"/>
          </w:tcPr>
          <w:p w14:paraId="6B75213A" w14:textId="77777777" w:rsidR="00672297" w:rsidRDefault="00A16EA3">
            <w:pPr>
              <w:spacing w:before="20" w:after="20"/>
              <w:jc w:val="left"/>
            </w:pPr>
            <w:r>
              <w:rPr>
                <w:rFonts w:cstheme="minorHAnsi"/>
                <w:sz w:val="18"/>
                <w:szCs w:val="18"/>
              </w:rPr>
              <w:t>No</w:t>
            </w:r>
          </w:p>
        </w:tc>
        <w:tc>
          <w:tcPr>
            <w:tcW w:w="842" w:type="dxa"/>
            <w:vAlign w:val="center"/>
          </w:tcPr>
          <w:p w14:paraId="078898D9" w14:textId="77777777" w:rsidR="00672297" w:rsidRDefault="00672297">
            <w:pPr>
              <w:spacing w:before="20" w:after="20"/>
              <w:jc w:val="left"/>
            </w:pPr>
          </w:p>
        </w:tc>
        <w:tc>
          <w:tcPr>
            <w:tcW w:w="2808" w:type="dxa"/>
            <w:vAlign w:val="center"/>
          </w:tcPr>
          <w:p w14:paraId="1E5C6A2B" w14:textId="77777777" w:rsidR="00672297" w:rsidRDefault="00A16EA3">
            <w:pPr>
              <w:spacing w:before="20" w:after="20"/>
              <w:jc w:val="left"/>
            </w:pPr>
            <w:r>
              <w:rPr>
                <w:rFonts w:cstheme="minorHAnsi"/>
                <w:sz w:val="18"/>
                <w:szCs w:val="18"/>
              </w:rPr>
              <w:t>Refinery-Wide or Terminal</w:t>
            </w:r>
          </w:p>
        </w:tc>
        <w:tc>
          <w:tcPr>
            <w:tcW w:w="2341" w:type="dxa"/>
            <w:vAlign w:val="center"/>
          </w:tcPr>
          <w:p w14:paraId="5A61A2F9" w14:textId="77777777" w:rsidR="00672297" w:rsidRDefault="00A16EA3">
            <w:pPr>
              <w:spacing w:before="20" w:after="20"/>
              <w:jc w:val="left"/>
            </w:pPr>
            <w:r>
              <w:rPr>
                <w:rFonts w:cstheme="minorHAnsi"/>
                <w:sz w:val="18"/>
                <w:szCs w:val="18"/>
              </w:rPr>
              <w:t>Derived: Terminal when terminal_location_id is populated</w:t>
            </w:r>
          </w:p>
        </w:tc>
      </w:tr>
      <w:tr w:rsidR="00672297" w14:paraId="1DFA1A15" w14:textId="77777777">
        <w:trPr>
          <w:cantSplit/>
        </w:trPr>
        <w:tc>
          <w:tcPr>
            <w:tcW w:w="1872" w:type="dxa"/>
            <w:vAlign w:val="center"/>
          </w:tcPr>
          <w:p w14:paraId="5C647484" w14:textId="77777777" w:rsidR="00672297" w:rsidRDefault="00A16EA3">
            <w:pPr>
              <w:spacing w:before="20" w:after="20"/>
              <w:jc w:val="left"/>
            </w:pPr>
            <w:r>
              <w:rPr>
                <w:rFonts w:cstheme="minorHAnsi"/>
                <w:sz w:val="18"/>
                <w:szCs w:val="18"/>
              </w:rPr>
              <w:t>version</w:t>
            </w:r>
          </w:p>
        </w:tc>
        <w:tc>
          <w:tcPr>
            <w:tcW w:w="1029" w:type="dxa"/>
            <w:vAlign w:val="center"/>
          </w:tcPr>
          <w:p w14:paraId="14D6CC17" w14:textId="77777777" w:rsidR="00672297" w:rsidRDefault="00A16EA3">
            <w:pPr>
              <w:spacing w:before="20" w:after="20"/>
              <w:jc w:val="left"/>
            </w:pPr>
            <w:r>
              <w:rPr>
                <w:rFonts w:cstheme="minorHAnsi"/>
                <w:sz w:val="18"/>
                <w:szCs w:val="18"/>
              </w:rPr>
              <w:t>VARCHAR(50)</w:t>
            </w:r>
          </w:p>
        </w:tc>
        <w:tc>
          <w:tcPr>
            <w:tcW w:w="468" w:type="dxa"/>
            <w:vAlign w:val="center"/>
          </w:tcPr>
          <w:p w14:paraId="0F60438F" w14:textId="77777777" w:rsidR="00672297" w:rsidRDefault="00A16EA3">
            <w:pPr>
              <w:spacing w:before="20" w:after="20"/>
              <w:jc w:val="left"/>
            </w:pPr>
            <w:r>
              <w:rPr>
                <w:rFonts w:cstheme="minorHAnsi"/>
                <w:sz w:val="18"/>
                <w:szCs w:val="18"/>
              </w:rPr>
              <w:t>No</w:t>
            </w:r>
          </w:p>
        </w:tc>
        <w:tc>
          <w:tcPr>
            <w:tcW w:w="842" w:type="dxa"/>
            <w:vAlign w:val="center"/>
          </w:tcPr>
          <w:p w14:paraId="7B0C7713" w14:textId="77777777" w:rsidR="00672297" w:rsidRDefault="00A16EA3">
            <w:pPr>
              <w:spacing w:before="20" w:after="20"/>
              <w:jc w:val="left"/>
            </w:pPr>
            <w:r>
              <w:rPr>
                <w:rFonts w:cstheme="minorHAnsi"/>
                <w:sz w:val="18"/>
                <w:szCs w:val="18"/>
              </w:rPr>
              <w:t>UK</w:t>
            </w:r>
          </w:p>
        </w:tc>
        <w:tc>
          <w:tcPr>
            <w:tcW w:w="2808" w:type="dxa"/>
            <w:vAlign w:val="center"/>
          </w:tcPr>
          <w:p w14:paraId="28410199" w14:textId="77777777" w:rsidR="00672297" w:rsidRDefault="00A16EA3">
            <w:pPr>
              <w:spacing w:before="20" w:after="20"/>
              <w:jc w:val="left"/>
            </w:pPr>
            <w:r>
              <w:rPr>
                <w:rFonts w:cstheme="minorHAnsi"/>
                <w:sz w:val="18"/>
                <w:szCs w:val="18"/>
              </w:rPr>
              <w:t>Specification version</w:t>
            </w:r>
          </w:p>
        </w:tc>
        <w:tc>
          <w:tcPr>
            <w:tcW w:w="2341" w:type="dxa"/>
            <w:vAlign w:val="center"/>
          </w:tcPr>
          <w:p w14:paraId="60E7216C" w14:textId="77777777" w:rsidR="00672297" w:rsidRDefault="00A16EA3">
            <w:pPr>
              <w:spacing w:before="20" w:after="20"/>
              <w:jc w:val="left"/>
            </w:pPr>
            <w:r>
              <w:rPr>
                <w:rFonts w:cstheme="minorHAnsi"/>
                <w:sz w:val="18"/>
                <w:szCs w:val="18"/>
              </w:rPr>
              <w:t>Version</w:t>
            </w:r>
          </w:p>
        </w:tc>
      </w:tr>
      <w:tr w:rsidR="00672297" w14:paraId="552BE46F" w14:textId="77777777">
        <w:trPr>
          <w:cantSplit/>
        </w:trPr>
        <w:tc>
          <w:tcPr>
            <w:tcW w:w="1872" w:type="dxa"/>
            <w:vAlign w:val="center"/>
          </w:tcPr>
          <w:p w14:paraId="1EC7560C" w14:textId="77777777" w:rsidR="00672297" w:rsidRDefault="00A16EA3">
            <w:pPr>
              <w:spacing w:before="20" w:after="20"/>
              <w:jc w:val="left"/>
            </w:pPr>
            <w:r>
              <w:rPr>
                <w:rFonts w:cstheme="minorHAnsi"/>
                <w:sz w:val="18"/>
                <w:szCs w:val="18"/>
              </w:rPr>
              <w:t>batch_id</w:t>
            </w:r>
          </w:p>
        </w:tc>
        <w:tc>
          <w:tcPr>
            <w:tcW w:w="1029" w:type="dxa"/>
            <w:vAlign w:val="center"/>
          </w:tcPr>
          <w:p w14:paraId="603CC999" w14:textId="77777777" w:rsidR="00672297" w:rsidRDefault="00A16EA3">
            <w:pPr>
              <w:spacing w:before="20" w:after="20"/>
              <w:jc w:val="left"/>
            </w:pPr>
            <w:r>
              <w:rPr>
                <w:rFonts w:cstheme="minorHAnsi"/>
                <w:sz w:val="18"/>
                <w:szCs w:val="18"/>
              </w:rPr>
              <w:t>VARCHAR(100)</w:t>
            </w:r>
          </w:p>
        </w:tc>
        <w:tc>
          <w:tcPr>
            <w:tcW w:w="468" w:type="dxa"/>
            <w:vAlign w:val="center"/>
          </w:tcPr>
          <w:p w14:paraId="170ED81D" w14:textId="77777777" w:rsidR="00672297" w:rsidRDefault="00A16EA3">
            <w:pPr>
              <w:spacing w:before="20" w:after="20"/>
              <w:jc w:val="left"/>
            </w:pPr>
            <w:r>
              <w:rPr>
                <w:rFonts w:cstheme="minorHAnsi"/>
                <w:sz w:val="18"/>
                <w:szCs w:val="18"/>
              </w:rPr>
              <w:t>No</w:t>
            </w:r>
          </w:p>
        </w:tc>
        <w:tc>
          <w:tcPr>
            <w:tcW w:w="842" w:type="dxa"/>
            <w:vAlign w:val="center"/>
          </w:tcPr>
          <w:p w14:paraId="2F8588BC" w14:textId="77777777" w:rsidR="00672297" w:rsidRDefault="00672297">
            <w:pPr>
              <w:spacing w:before="20" w:after="20"/>
              <w:jc w:val="left"/>
            </w:pPr>
          </w:p>
        </w:tc>
        <w:tc>
          <w:tcPr>
            <w:tcW w:w="2808" w:type="dxa"/>
            <w:vAlign w:val="center"/>
          </w:tcPr>
          <w:p w14:paraId="30DB509E" w14:textId="77777777" w:rsidR="00672297" w:rsidRDefault="00A16EA3">
            <w:pPr>
              <w:spacing w:before="20" w:after="20"/>
              <w:jc w:val="left"/>
            </w:pPr>
            <w:r>
              <w:rPr>
                <w:rFonts w:cstheme="minorHAnsi"/>
                <w:sz w:val="18"/>
                <w:szCs w:val="18"/>
              </w:rPr>
              <w:t>Load execution identifier; one value per load run (IQDM standard). Not the product batch.</w:t>
            </w:r>
          </w:p>
        </w:tc>
        <w:tc>
          <w:tcPr>
            <w:tcW w:w="2341" w:type="dxa"/>
            <w:vAlign w:val="center"/>
          </w:tcPr>
          <w:p w14:paraId="68B07957" w14:textId="77777777" w:rsidR="00672297" w:rsidRDefault="00A16EA3">
            <w:pPr>
              <w:spacing w:before="20" w:after="20"/>
              <w:jc w:val="left"/>
            </w:pPr>
            <w:r>
              <w:rPr>
                <w:rFonts w:cstheme="minorHAnsi"/>
                <w:sz w:val="18"/>
                <w:szCs w:val="18"/>
              </w:rPr>
              <w:t>Load process (Request Service or database-team load script)</w:t>
            </w:r>
          </w:p>
        </w:tc>
      </w:tr>
      <w:tr w:rsidR="00672297" w14:paraId="43203074" w14:textId="77777777">
        <w:trPr>
          <w:cantSplit/>
        </w:trPr>
        <w:tc>
          <w:tcPr>
            <w:tcW w:w="1872" w:type="dxa"/>
            <w:vAlign w:val="center"/>
          </w:tcPr>
          <w:p w14:paraId="0FE74A66" w14:textId="77777777" w:rsidR="00672297" w:rsidRDefault="00A16EA3">
            <w:pPr>
              <w:spacing w:before="20" w:after="20"/>
              <w:jc w:val="left"/>
            </w:pPr>
            <w:r>
              <w:rPr>
                <w:rFonts w:cstheme="minorHAnsi"/>
                <w:sz w:val="18"/>
                <w:szCs w:val="18"/>
              </w:rPr>
              <w:t>is_active</w:t>
            </w:r>
          </w:p>
        </w:tc>
        <w:tc>
          <w:tcPr>
            <w:tcW w:w="1029" w:type="dxa"/>
            <w:vAlign w:val="center"/>
          </w:tcPr>
          <w:p w14:paraId="371DD6E3" w14:textId="77777777" w:rsidR="00672297" w:rsidRDefault="00A16EA3">
            <w:pPr>
              <w:spacing w:before="20" w:after="20"/>
              <w:jc w:val="left"/>
            </w:pPr>
            <w:r>
              <w:rPr>
                <w:rFonts w:cstheme="minorHAnsi"/>
                <w:sz w:val="18"/>
                <w:szCs w:val="18"/>
              </w:rPr>
              <w:t>SMALLINT</w:t>
            </w:r>
          </w:p>
        </w:tc>
        <w:tc>
          <w:tcPr>
            <w:tcW w:w="468" w:type="dxa"/>
            <w:vAlign w:val="center"/>
          </w:tcPr>
          <w:p w14:paraId="0EC9A646" w14:textId="77777777" w:rsidR="00672297" w:rsidRDefault="00A16EA3">
            <w:pPr>
              <w:spacing w:before="20" w:after="20"/>
              <w:jc w:val="left"/>
            </w:pPr>
            <w:r>
              <w:rPr>
                <w:rFonts w:cstheme="minorHAnsi"/>
                <w:sz w:val="18"/>
                <w:szCs w:val="18"/>
              </w:rPr>
              <w:t>No</w:t>
            </w:r>
          </w:p>
        </w:tc>
        <w:tc>
          <w:tcPr>
            <w:tcW w:w="842" w:type="dxa"/>
            <w:vAlign w:val="center"/>
          </w:tcPr>
          <w:p w14:paraId="68FC7CCE" w14:textId="77777777" w:rsidR="00672297" w:rsidRDefault="00672297">
            <w:pPr>
              <w:spacing w:before="20" w:after="20"/>
              <w:jc w:val="left"/>
            </w:pPr>
          </w:p>
        </w:tc>
        <w:tc>
          <w:tcPr>
            <w:tcW w:w="2808" w:type="dxa"/>
            <w:vAlign w:val="center"/>
          </w:tcPr>
          <w:p w14:paraId="394CDF93" w14:textId="77777777" w:rsidR="00672297" w:rsidRDefault="00A16EA3">
            <w:pPr>
              <w:spacing w:before="20" w:after="20"/>
              <w:jc w:val="left"/>
            </w:pPr>
            <w:r>
              <w:rPr>
                <w:rFonts w:cstheme="minorHAnsi"/>
                <w:sz w:val="18"/>
                <w:szCs w:val="18"/>
              </w:rPr>
              <w:t>Active record flag (1 = active, 0 = logically deleted)</w:t>
            </w:r>
          </w:p>
        </w:tc>
        <w:tc>
          <w:tcPr>
            <w:tcW w:w="2341" w:type="dxa"/>
            <w:vAlign w:val="center"/>
          </w:tcPr>
          <w:p w14:paraId="5529E417" w14:textId="77777777" w:rsidR="00672297" w:rsidRDefault="00A16EA3">
            <w:pPr>
              <w:spacing w:before="20" w:after="20"/>
              <w:jc w:val="left"/>
            </w:pPr>
            <w:r>
              <w:rPr>
                <w:rFonts w:cstheme="minorHAnsi"/>
                <w:sz w:val="18"/>
                <w:szCs w:val="18"/>
              </w:rPr>
              <w:t>System generated</w:t>
            </w:r>
          </w:p>
        </w:tc>
      </w:tr>
      <w:tr w:rsidR="00672297" w14:paraId="00CBD3D3" w14:textId="77777777">
        <w:trPr>
          <w:cantSplit/>
        </w:trPr>
        <w:tc>
          <w:tcPr>
            <w:tcW w:w="1872" w:type="dxa"/>
            <w:vAlign w:val="center"/>
          </w:tcPr>
          <w:p w14:paraId="44EFB3C6" w14:textId="77777777" w:rsidR="00672297" w:rsidRDefault="00A16EA3">
            <w:pPr>
              <w:spacing w:before="20" w:after="20"/>
              <w:jc w:val="left"/>
            </w:pPr>
            <w:r>
              <w:rPr>
                <w:rFonts w:cstheme="minorHAnsi"/>
                <w:sz w:val="18"/>
                <w:szCs w:val="18"/>
              </w:rPr>
              <w:t>created_by</w:t>
            </w:r>
          </w:p>
        </w:tc>
        <w:tc>
          <w:tcPr>
            <w:tcW w:w="1029" w:type="dxa"/>
            <w:vAlign w:val="center"/>
          </w:tcPr>
          <w:p w14:paraId="3AD08068" w14:textId="77777777" w:rsidR="00672297" w:rsidRDefault="00A16EA3">
            <w:pPr>
              <w:spacing w:before="20" w:after="20"/>
              <w:jc w:val="left"/>
            </w:pPr>
            <w:r>
              <w:rPr>
                <w:rFonts w:cstheme="minorHAnsi"/>
                <w:sz w:val="18"/>
                <w:szCs w:val="18"/>
              </w:rPr>
              <w:t>VARCHAR(100)</w:t>
            </w:r>
          </w:p>
        </w:tc>
        <w:tc>
          <w:tcPr>
            <w:tcW w:w="468" w:type="dxa"/>
            <w:vAlign w:val="center"/>
          </w:tcPr>
          <w:p w14:paraId="6BDAE893" w14:textId="77777777" w:rsidR="00672297" w:rsidRDefault="00A16EA3">
            <w:pPr>
              <w:spacing w:before="20" w:after="20"/>
              <w:jc w:val="left"/>
            </w:pPr>
            <w:r>
              <w:rPr>
                <w:rFonts w:cstheme="minorHAnsi"/>
                <w:sz w:val="18"/>
                <w:szCs w:val="18"/>
              </w:rPr>
              <w:t>No</w:t>
            </w:r>
          </w:p>
        </w:tc>
        <w:tc>
          <w:tcPr>
            <w:tcW w:w="842" w:type="dxa"/>
            <w:vAlign w:val="center"/>
          </w:tcPr>
          <w:p w14:paraId="48194497" w14:textId="77777777" w:rsidR="00672297" w:rsidRDefault="00672297">
            <w:pPr>
              <w:spacing w:before="20" w:after="20"/>
              <w:jc w:val="left"/>
            </w:pPr>
          </w:p>
        </w:tc>
        <w:tc>
          <w:tcPr>
            <w:tcW w:w="2808" w:type="dxa"/>
            <w:vAlign w:val="center"/>
          </w:tcPr>
          <w:p w14:paraId="0C6931FF" w14:textId="77777777" w:rsidR="00672297" w:rsidRDefault="00A16EA3">
            <w:pPr>
              <w:spacing w:before="20" w:after="20"/>
              <w:jc w:val="left"/>
            </w:pPr>
            <w:r>
              <w:rPr>
                <w:rFonts w:cstheme="minorHAnsi"/>
                <w:sz w:val="18"/>
                <w:szCs w:val="18"/>
              </w:rPr>
              <w:t>Account that created the record</w:t>
            </w:r>
          </w:p>
        </w:tc>
        <w:tc>
          <w:tcPr>
            <w:tcW w:w="2341" w:type="dxa"/>
            <w:vAlign w:val="center"/>
          </w:tcPr>
          <w:p w14:paraId="3AAFAEA5" w14:textId="77777777" w:rsidR="00672297" w:rsidRDefault="00A16EA3">
            <w:pPr>
              <w:spacing w:before="20" w:after="20"/>
              <w:jc w:val="left"/>
            </w:pPr>
            <w:r>
              <w:rPr>
                <w:rFonts w:cstheme="minorHAnsi"/>
                <w:sz w:val="18"/>
                <w:szCs w:val="18"/>
              </w:rPr>
              <w:t>System generated</w:t>
            </w:r>
          </w:p>
        </w:tc>
      </w:tr>
      <w:tr w:rsidR="00672297" w14:paraId="22FBB87D" w14:textId="77777777">
        <w:trPr>
          <w:cantSplit/>
        </w:trPr>
        <w:tc>
          <w:tcPr>
            <w:tcW w:w="1872" w:type="dxa"/>
            <w:vAlign w:val="center"/>
          </w:tcPr>
          <w:p w14:paraId="2689FE00" w14:textId="77777777" w:rsidR="00672297" w:rsidRDefault="00A16EA3">
            <w:pPr>
              <w:spacing w:before="20" w:after="20"/>
              <w:jc w:val="left"/>
            </w:pPr>
            <w:r>
              <w:rPr>
                <w:rFonts w:cstheme="minorHAnsi"/>
                <w:sz w:val="18"/>
                <w:szCs w:val="18"/>
              </w:rPr>
              <w:t>created_on</w:t>
            </w:r>
          </w:p>
        </w:tc>
        <w:tc>
          <w:tcPr>
            <w:tcW w:w="1029" w:type="dxa"/>
            <w:vAlign w:val="center"/>
          </w:tcPr>
          <w:p w14:paraId="16E21042" w14:textId="77777777" w:rsidR="00672297" w:rsidRDefault="00A16EA3">
            <w:pPr>
              <w:spacing w:before="20" w:after="20"/>
              <w:jc w:val="left"/>
            </w:pPr>
            <w:r>
              <w:rPr>
                <w:rFonts w:cstheme="minorHAnsi"/>
                <w:sz w:val="18"/>
                <w:szCs w:val="18"/>
              </w:rPr>
              <w:t>DATETIME</w:t>
            </w:r>
          </w:p>
        </w:tc>
        <w:tc>
          <w:tcPr>
            <w:tcW w:w="468" w:type="dxa"/>
            <w:vAlign w:val="center"/>
          </w:tcPr>
          <w:p w14:paraId="7996732D" w14:textId="77777777" w:rsidR="00672297" w:rsidRDefault="00A16EA3">
            <w:pPr>
              <w:spacing w:before="20" w:after="20"/>
              <w:jc w:val="left"/>
            </w:pPr>
            <w:r>
              <w:rPr>
                <w:rFonts w:cstheme="minorHAnsi"/>
                <w:sz w:val="18"/>
                <w:szCs w:val="18"/>
              </w:rPr>
              <w:t>No</w:t>
            </w:r>
          </w:p>
        </w:tc>
        <w:tc>
          <w:tcPr>
            <w:tcW w:w="842" w:type="dxa"/>
            <w:vAlign w:val="center"/>
          </w:tcPr>
          <w:p w14:paraId="1BCD7A93" w14:textId="77777777" w:rsidR="00672297" w:rsidRDefault="00672297">
            <w:pPr>
              <w:spacing w:before="20" w:after="20"/>
              <w:jc w:val="left"/>
            </w:pPr>
          </w:p>
        </w:tc>
        <w:tc>
          <w:tcPr>
            <w:tcW w:w="2808" w:type="dxa"/>
            <w:vAlign w:val="center"/>
          </w:tcPr>
          <w:p w14:paraId="34E426F4" w14:textId="77777777" w:rsidR="00672297" w:rsidRDefault="00A16EA3">
            <w:pPr>
              <w:spacing w:before="20" w:after="20"/>
              <w:jc w:val="left"/>
            </w:pPr>
            <w:r>
              <w:rPr>
                <w:rFonts w:cstheme="minorHAnsi"/>
                <w:sz w:val="18"/>
                <w:szCs w:val="18"/>
              </w:rPr>
              <w:t>Record creation timestamp (UTC)</w:t>
            </w:r>
          </w:p>
        </w:tc>
        <w:tc>
          <w:tcPr>
            <w:tcW w:w="2341" w:type="dxa"/>
            <w:vAlign w:val="center"/>
          </w:tcPr>
          <w:p w14:paraId="2FB73868" w14:textId="77777777" w:rsidR="00672297" w:rsidRDefault="00A16EA3">
            <w:pPr>
              <w:spacing w:before="20" w:after="20"/>
              <w:jc w:val="left"/>
            </w:pPr>
            <w:r>
              <w:rPr>
                <w:rFonts w:cstheme="minorHAnsi"/>
                <w:sz w:val="18"/>
                <w:szCs w:val="18"/>
              </w:rPr>
              <w:t>System generated</w:t>
            </w:r>
          </w:p>
        </w:tc>
      </w:tr>
      <w:tr w:rsidR="00672297" w14:paraId="77532BFB" w14:textId="77777777">
        <w:trPr>
          <w:cantSplit/>
        </w:trPr>
        <w:tc>
          <w:tcPr>
            <w:tcW w:w="1872" w:type="dxa"/>
            <w:vAlign w:val="center"/>
          </w:tcPr>
          <w:p w14:paraId="2DE14A8F" w14:textId="77777777" w:rsidR="00672297" w:rsidRDefault="00A16EA3">
            <w:pPr>
              <w:spacing w:before="20" w:after="20"/>
              <w:jc w:val="left"/>
            </w:pPr>
            <w:r>
              <w:rPr>
                <w:rFonts w:cstheme="minorHAnsi"/>
                <w:sz w:val="18"/>
                <w:szCs w:val="18"/>
              </w:rPr>
              <w:t>updated_by</w:t>
            </w:r>
          </w:p>
        </w:tc>
        <w:tc>
          <w:tcPr>
            <w:tcW w:w="1029" w:type="dxa"/>
            <w:vAlign w:val="center"/>
          </w:tcPr>
          <w:p w14:paraId="36F61DCD" w14:textId="77777777" w:rsidR="00672297" w:rsidRDefault="00A16EA3">
            <w:pPr>
              <w:spacing w:before="20" w:after="20"/>
              <w:jc w:val="left"/>
            </w:pPr>
            <w:r>
              <w:rPr>
                <w:rFonts w:cstheme="minorHAnsi"/>
                <w:sz w:val="18"/>
                <w:szCs w:val="18"/>
              </w:rPr>
              <w:t>VARCHAR(100)</w:t>
            </w:r>
          </w:p>
        </w:tc>
        <w:tc>
          <w:tcPr>
            <w:tcW w:w="468" w:type="dxa"/>
            <w:vAlign w:val="center"/>
          </w:tcPr>
          <w:p w14:paraId="1AE210C0" w14:textId="77777777" w:rsidR="00672297" w:rsidRDefault="00A16EA3">
            <w:pPr>
              <w:spacing w:before="20" w:after="20"/>
              <w:jc w:val="left"/>
            </w:pPr>
            <w:r>
              <w:rPr>
                <w:rFonts w:cstheme="minorHAnsi"/>
                <w:sz w:val="18"/>
                <w:szCs w:val="18"/>
              </w:rPr>
              <w:t>Yes</w:t>
            </w:r>
          </w:p>
        </w:tc>
        <w:tc>
          <w:tcPr>
            <w:tcW w:w="842" w:type="dxa"/>
            <w:vAlign w:val="center"/>
          </w:tcPr>
          <w:p w14:paraId="6DA94FF8" w14:textId="77777777" w:rsidR="00672297" w:rsidRDefault="00672297">
            <w:pPr>
              <w:spacing w:before="20" w:after="20"/>
              <w:jc w:val="left"/>
            </w:pPr>
          </w:p>
        </w:tc>
        <w:tc>
          <w:tcPr>
            <w:tcW w:w="2808" w:type="dxa"/>
            <w:vAlign w:val="center"/>
          </w:tcPr>
          <w:p w14:paraId="136DBC1B" w14:textId="77777777" w:rsidR="00672297" w:rsidRDefault="00A16EA3">
            <w:pPr>
              <w:spacing w:before="20" w:after="20"/>
              <w:jc w:val="left"/>
            </w:pPr>
            <w:r>
              <w:rPr>
                <w:rFonts w:cstheme="minorHAnsi"/>
                <w:sz w:val="18"/>
                <w:szCs w:val="18"/>
              </w:rPr>
              <w:t>Account that last updated the record</w:t>
            </w:r>
          </w:p>
        </w:tc>
        <w:tc>
          <w:tcPr>
            <w:tcW w:w="2341" w:type="dxa"/>
            <w:vAlign w:val="center"/>
          </w:tcPr>
          <w:p w14:paraId="73D61792" w14:textId="77777777" w:rsidR="00672297" w:rsidRDefault="00A16EA3">
            <w:pPr>
              <w:spacing w:before="20" w:after="20"/>
              <w:jc w:val="left"/>
            </w:pPr>
            <w:r>
              <w:rPr>
                <w:rFonts w:cstheme="minorHAnsi"/>
                <w:sz w:val="18"/>
                <w:szCs w:val="18"/>
              </w:rPr>
              <w:t>System generated</w:t>
            </w:r>
          </w:p>
        </w:tc>
      </w:tr>
      <w:tr w:rsidR="00672297" w14:paraId="7EA16F64" w14:textId="77777777">
        <w:trPr>
          <w:cantSplit/>
        </w:trPr>
        <w:tc>
          <w:tcPr>
            <w:tcW w:w="1872" w:type="dxa"/>
            <w:vAlign w:val="center"/>
          </w:tcPr>
          <w:p w14:paraId="4CCB2469" w14:textId="77777777" w:rsidR="00672297" w:rsidRDefault="00A16EA3">
            <w:pPr>
              <w:spacing w:before="20" w:after="20"/>
              <w:jc w:val="left"/>
            </w:pPr>
            <w:r>
              <w:rPr>
                <w:rFonts w:cstheme="minorHAnsi"/>
                <w:sz w:val="18"/>
                <w:szCs w:val="18"/>
              </w:rPr>
              <w:t>updated_on</w:t>
            </w:r>
          </w:p>
        </w:tc>
        <w:tc>
          <w:tcPr>
            <w:tcW w:w="1029" w:type="dxa"/>
            <w:vAlign w:val="center"/>
          </w:tcPr>
          <w:p w14:paraId="28409D19" w14:textId="77777777" w:rsidR="00672297" w:rsidRDefault="00A16EA3">
            <w:pPr>
              <w:spacing w:before="20" w:after="20"/>
              <w:jc w:val="left"/>
            </w:pPr>
            <w:r>
              <w:rPr>
                <w:rFonts w:cstheme="minorHAnsi"/>
                <w:sz w:val="18"/>
                <w:szCs w:val="18"/>
              </w:rPr>
              <w:t>DATETIME</w:t>
            </w:r>
          </w:p>
        </w:tc>
        <w:tc>
          <w:tcPr>
            <w:tcW w:w="468" w:type="dxa"/>
            <w:vAlign w:val="center"/>
          </w:tcPr>
          <w:p w14:paraId="51D79076" w14:textId="77777777" w:rsidR="00672297" w:rsidRDefault="00A16EA3">
            <w:pPr>
              <w:spacing w:before="20" w:after="20"/>
              <w:jc w:val="left"/>
            </w:pPr>
            <w:r>
              <w:rPr>
                <w:rFonts w:cstheme="minorHAnsi"/>
                <w:sz w:val="18"/>
                <w:szCs w:val="18"/>
              </w:rPr>
              <w:t>Yes</w:t>
            </w:r>
          </w:p>
        </w:tc>
        <w:tc>
          <w:tcPr>
            <w:tcW w:w="842" w:type="dxa"/>
            <w:vAlign w:val="center"/>
          </w:tcPr>
          <w:p w14:paraId="55CDEA8A" w14:textId="77777777" w:rsidR="00672297" w:rsidRDefault="00672297">
            <w:pPr>
              <w:spacing w:before="20" w:after="20"/>
              <w:jc w:val="left"/>
            </w:pPr>
          </w:p>
        </w:tc>
        <w:tc>
          <w:tcPr>
            <w:tcW w:w="2808" w:type="dxa"/>
            <w:vAlign w:val="center"/>
          </w:tcPr>
          <w:p w14:paraId="57AB8AA5" w14:textId="77777777" w:rsidR="00672297" w:rsidRDefault="00A16EA3">
            <w:pPr>
              <w:spacing w:before="20" w:after="20"/>
              <w:jc w:val="left"/>
            </w:pPr>
            <w:r>
              <w:rPr>
                <w:rFonts w:cstheme="minorHAnsi"/>
                <w:sz w:val="18"/>
                <w:szCs w:val="18"/>
              </w:rPr>
              <w:t>Record last update timestamp (UTC)</w:t>
            </w:r>
          </w:p>
        </w:tc>
        <w:tc>
          <w:tcPr>
            <w:tcW w:w="2341" w:type="dxa"/>
            <w:vAlign w:val="center"/>
          </w:tcPr>
          <w:p w14:paraId="6AF2C5F6" w14:textId="77777777" w:rsidR="00672297" w:rsidRDefault="00A16EA3">
            <w:pPr>
              <w:spacing w:before="20" w:after="20"/>
              <w:jc w:val="left"/>
            </w:pPr>
            <w:r>
              <w:rPr>
                <w:rFonts w:cstheme="minorHAnsi"/>
                <w:sz w:val="18"/>
                <w:szCs w:val="18"/>
              </w:rPr>
              <w:t>System generated</w:t>
            </w:r>
          </w:p>
        </w:tc>
      </w:tr>
    </w:tbl>
    <w:p w14:paraId="123B4771" w14:textId="56CD9631" w:rsidR="00672297" w:rsidRDefault="00A16EA3">
      <w:pPr>
        <w:pStyle w:val="Caption"/>
      </w:pPr>
      <w:bookmarkStart w:id="382" w:name="_Toc900900029"/>
      <w:bookmarkStart w:id="383" w:name="_Toc241574678"/>
      <w:bookmarkStart w:id="384" w:name="_Toc242554062"/>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9</w:t>
      </w:r>
      <w:r>
        <w:fldChar w:fldCharType="end"/>
      </w:r>
      <w:r>
        <w:t>: product_specification Table</w:t>
      </w:r>
      <w:bookmarkEnd w:id="382"/>
      <w:bookmarkEnd w:id="383"/>
      <w:bookmarkEnd w:id="384"/>
    </w:p>
    <w:p w14:paraId="07307420" w14:textId="77777777" w:rsidR="00672297" w:rsidRDefault="00A16EA3">
      <w:pPr>
        <w:rPr>
          <w:rFonts w:cstheme="minorHAnsi"/>
          <w:sz w:val="20"/>
          <w:szCs w:val="20"/>
        </w:rPr>
      </w:pPr>
      <w:r>
        <w:rPr>
          <w:rFonts w:cstheme="minorHAnsi"/>
          <w:sz w:val="20"/>
          <w:szCs w:val="20"/>
        </w:rPr>
        <w:t>Unique key: (source_location_id, terminal_location_id, state_code, material_id, season, property_id, limit_type, version).</w:t>
      </w:r>
    </w:p>
    <w:p w14:paraId="68E39A55" w14:textId="77777777" w:rsidR="00672297" w:rsidRDefault="00A16EA3">
      <w:pPr>
        <w:pStyle w:val="Heading3"/>
        <w:rPr>
          <w:rFonts w:asciiTheme="minorHAnsi" w:hAnsiTheme="minorHAnsi" w:cstheme="minorBidi"/>
          <w:sz w:val="20"/>
          <w:szCs w:val="20"/>
        </w:rPr>
      </w:pPr>
      <w:bookmarkStart w:id="385" w:name="_Toc241574328"/>
      <w:bookmarkStart w:id="386" w:name="_Toc242553950"/>
      <w:r>
        <w:rPr>
          <w:rFonts w:asciiTheme="minorHAnsi" w:hAnsiTheme="minorHAnsi" w:cstheme="minorBidi"/>
          <w:sz w:val="20"/>
          <w:szCs w:val="20"/>
        </w:rPr>
        <w:t>Calculation Inputs Not Held in IQDM</w:t>
      </w:r>
      <w:bookmarkEnd w:id="385"/>
      <w:bookmarkEnd w:id="386"/>
    </w:p>
    <w:p w14:paraId="7EA49D3F" w14:textId="77777777" w:rsidR="00672297" w:rsidRDefault="00A16EA3">
      <w:pPr>
        <w:rPr>
          <w:rFonts w:cstheme="minorHAnsi"/>
          <w:sz w:val="20"/>
          <w:szCs w:val="20"/>
        </w:rPr>
      </w:pPr>
      <w:r>
        <w:rPr>
          <w:rFonts w:cstheme="minorHAnsi"/>
          <w:sz w:val="20"/>
          <w:szCs w:val="20"/>
        </w:rPr>
        <w:t>The VCB views need the inputs below, which are not held in any IQDM table and for which no source or table is defined in the provided documents. No VCB table is created for them in this design. Until the business confirms their source, the values from the Wireframes Mock Data are applied in the views as documented constants; each input is listed as a gap.</w:t>
      </w:r>
    </w:p>
    <w:tbl>
      <w:tblPr>
        <w:tblStyle w:val="TableGrid"/>
        <w:tblW w:w="9360" w:type="dxa"/>
        <w:tblLayout w:type="fixed"/>
        <w:tblCellMar>
          <w:left w:w="70" w:type="dxa"/>
          <w:right w:w="70" w:type="dxa"/>
        </w:tblCellMar>
        <w:tblLook w:val="04A0" w:firstRow="1" w:lastRow="0" w:firstColumn="1" w:lastColumn="0" w:noHBand="0" w:noVBand="1"/>
      </w:tblPr>
      <w:tblGrid>
        <w:gridCol w:w="2433"/>
        <w:gridCol w:w="2995"/>
        <w:gridCol w:w="2808"/>
        <w:gridCol w:w="1124"/>
      </w:tblGrid>
      <w:tr w:rsidR="00672297" w14:paraId="129943B7" w14:textId="77777777">
        <w:trPr>
          <w:cantSplit/>
          <w:tblHeader/>
        </w:trPr>
        <w:tc>
          <w:tcPr>
            <w:tcW w:w="2433" w:type="dxa"/>
            <w:shd w:val="clear" w:color="auto" w:fill="2F5496"/>
            <w:vAlign w:val="center"/>
          </w:tcPr>
          <w:p w14:paraId="0C316915" w14:textId="77777777" w:rsidR="00672297" w:rsidRDefault="00A16EA3">
            <w:pPr>
              <w:spacing w:before="20" w:after="20"/>
              <w:jc w:val="left"/>
            </w:pPr>
            <w:r>
              <w:rPr>
                <w:rFonts w:cstheme="minorHAnsi"/>
                <w:b/>
                <w:bCs/>
                <w:color w:val="FFFFFF"/>
                <w:sz w:val="20"/>
                <w:szCs w:val="20"/>
              </w:rPr>
              <w:t>Input</w:t>
            </w:r>
          </w:p>
        </w:tc>
        <w:tc>
          <w:tcPr>
            <w:tcW w:w="2995" w:type="dxa"/>
            <w:shd w:val="clear" w:color="auto" w:fill="2F5496"/>
            <w:vAlign w:val="center"/>
          </w:tcPr>
          <w:p w14:paraId="5E991362" w14:textId="77777777" w:rsidR="00672297" w:rsidRDefault="00A16EA3">
            <w:pPr>
              <w:spacing w:before="20" w:after="20"/>
              <w:jc w:val="left"/>
            </w:pPr>
            <w:r>
              <w:rPr>
                <w:rFonts w:cstheme="minorHAnsi"/>
                <w:b/>
                <w:bCs/>
                <w:color w:val="FFFFFF"/>
                <w:sz w:val="20"/>
                <w:szCs w:val="20"/>
              </w:rPr>
              <w:t>Used By (View / Column)</w:t>
            </w:r>
          </w:p>
        </w:tc>
        <w:tc>
          <w:tcPr>
            <w:tcW w:w="2808" w:type="dxa"/>
            <w:shd w:val="clear" w:color="auto" w:fill="2F5496"/>
            <w:vAlign w:val="center"/>
          </w:tcPr>
          <w:p w14:paraId="31897EC1" w14:textId="77777777" w:rsidR="00672297" w:rsidRDefault="00A16EA3">
            <w:pPr>
              <w:spacing w:before="20" w:after="20"/>
              <w:jc w:val="left"/>
            </w:pPr>
            <w:r>
              <w:rPr>
                <w:rFonts w:cstheme="minorHAnsi"/>
                <w:b/>
                <w:bCs/>
                <w:color w:val="FFFFFF"/>
                <w:sz w:val="20"/>
                <w:szCs w:val="20"/>
              </w:rPr>
              <w:t>Value in the Wireframes Mock Data</w:t>
            </w:r>
          </w:p>
        </w:tc>
        <w:tc>
          <w:tcPr>
            <w:tcW w:w="1124" w:type="dxa"/>
            <w:shd w:val="clear" w:color="auto" w:fill="2F5496"/>
            <w:vAlign w:val="center"/>
          </w:tcPr>
          <w:p w14:paraId="02D07807" w14:textId="77777777" w:rsidR="00672297" w:rsidRDefault="00A16EA3">
            <w:pPr>
              <w:spacing w:before="20" w:after="20"/>
              <w:jc w:val="left"/>
            </w:pPr>
            <w:r>
              <w:rPr>
                <w:rFonts w:cstheme="minorHAnsi"/>
                <w:b/>
                <w:bCs/>
                <w:color w:val="FFFFFF"/>
                <w:sz w:val="20"/>
                <w:szCs w:val="20"/>
              </w:rPr>
              <w:t>Gap</w:t>
            </w:r>
          </w:p>
        </w:tc>
      </w:tr>
      <w:tr w:rsidR="00672297" w14:paraId="1A9F783D" w14:textId="77777777">
        <w:trPr>
          <w:cantSplit/>
        </w:trPr>
        <w:tc>
          <w:tcPr>
            <w:tcW w:w="2433" w:type="dxa"/>
            <w:vAlign w:val="center"/>
          </w:tcPr>
          <w:p w14:paraId="1CC78C8A" w14:textId="77777777" w:rsidR="00672297" w:rsidRDefault="00A16EA3">
            <w:pPr>
              <w:spacing w:before="20" w:after="20"/>
              <w:jc w:val="left"/>
            </w:pPr>
            <w:r>
              <w:rPr>
                <w:rFonts w:cstheme="minorHAnsi"/>
                <w:sz w:val="20"/>
                <w:szCs w:val="20"/>
              </w:rPr>
              <w:t>Blend potential per batch and component (Seeq blend calculator output) and post-blend qualities other than octane</w:t>
            </w:r>
          </w:p>
        </w:tc>
        <w:tc>
          <w:tcPr>
            <w:tcW w:w="2995" w:type="dxa"/>
            <w:vAlign w:val="center"/>
          </w:tcPr>
          <w:p w14:paraId="2E67586F" w14:textId="77777777" w:rsidR="00672297" w:rsidRDefault="00A16EA3">
            <w:pPr>
              <w:spacing w:before="20" w:after="20"/>
              <w:jc w:val="left"/>
            </w:pPr>
            <w:r>
              <w:rPr>
                <w:rFonts w:cstheme="minorHAnsi"/>
                <w:sz w:val="20"/>
                <w:szCs w:val="20"/>
              </w:rPr>
              <w:t>vwDistillateBlendPotentialQuality (ButanePotentialPct / Bbl, TransmixPotentialPct / Bbl, &lt;Property&gt;Post); vwBlendComponentSupplyDemand (DemandBbl); vwGasolineBlendingKPI (&lt;Component&gt;PotentialBbl)</w:t>
            </w:r>
          </w:p>
        </w:tc>
        <w:tc>
          <w:tcPr>
            <w:tcW w:w="2808" w:type="dxa"/>
            <w:vAlign w:val="center"/>
          </w:tcPr>
          <w:p w14:paraId="4DB86D0B" w14:textId="77777777" w:rsidR="00672297" w:rsidRDefault="00A16EA3">
            <w:pPr>
              <w:spacing w:before="20" w:after="20"/>
              <w:jc w:val="left"/>
            </w:pPr>
            <w:r>
              <w:rPr>
                <w:rFonts w:cstheme="minorHAnsi"/>
                <w:sz w:val="20"/>
                <w:szCs w:val="20"/>
              </w:rPr>
              <w:t>Butane 0.5 % to 1.5 % of batch volume, transmix 0.5 %, per batch</w:t>
            </w:r>
          </w:p>
        </w:tc>
        <w:tc>
          <w:tcPr>
            <w:tcW w:w="1124" w:type="dxa"/>
            <w:vAlign w:val="center"/>
          </w:tcPr>
          <w:p w14:paraId="373C2D37" w14:textId="77777777" w:rsidR="00672297" w:rsidRDefault="00A16EA3">
            <w:pPr>
              <w:spacing w:before="20" w:after="20"/>
              <w:jc w:val="left"/>
            </w:pPr>
            <w:r>
              <w:rPr>
                <w:rFonts w:cstheme="minorHAnsi"/>
                <w:sz w:val="20"/>
                <w:szCs w:val="20"/>
              </w:rPr>
              <w:t>DP-07</w:t>
            </w:r>
          </w:p>
        </w:tc>
      </w:tr>
      <w:tr w:rsidR="00672297" w14:paraId="1A197F29" w14:textId="77777777">
        <w:trPr>
          <w:cantSplit/>
        </w:trPr>
        <w:tc>
          <w:tcPr>
            <w:tcW w:w="2433" w:type="dxa"/>
            <w:vAlign w:val="center"/>
          </w:tcPr>
          <w:p w14:paraId="72D48D28" w14:textId="77777777" w:rsidR="00672297" w:rsidRDefault="00A16EA3">
            <w:pPr>
              <w:spacing w:before="20" w:after="20"/>
              <w:jc w:val="left"/>
            </w:pPr>
            <w:r>
              <w:rPr>
                <w:rFonts w:cstheme="minorHAnsi"/>
                <w:sz w:val="20"/>
                <w:szCs w:val="20"/>
              </w:rPr>
              <w:t>Approved quality waivers (State or Batch level) entered in the Blazor Waiver Selection Interface and persisted to Specshop_quality_detail (section Waiver Selection Interface)</w:t>
            </w:r>
          </w:p>
        </w:tc>
        <w:tc>
          <w:tcPr>
            <w:tcW w:w="2995" w:type="dxa"/>
            <w:vAlign w:val="center"/>
          </w:tcPr>
          <w:p w14:paraId="5F381EEE" w14:textId="77777777" w:rsidR="00672297" w:rsidRDefault="00A16EA3">
            <w:pPr>
              <w:spacing w:before="20" w:after="20"/>
              <w:jc w:val="left"/>
            </w:pPr>
            <w:r>
              <w:rPr>
                <w:rFonts w:cstheme="minorHAnsi"/>
                <w:sz w:val="20"/>
                <w:szCs w:val="20"/>
              </w:rPr>
              <w:t>Specification resolution in the batch quality and KPI views</w:t>
            </w:r>
          </w:p>
        </w:tc>
        <w:tc>
          <w:tcPr>
            <w:tcW w:w="2808" w:type="dxa"/>
            <w:vAlign w:val="center"/>
          </w:tcPr>
          <w:p w14:paraId="070783C8" w14:textId="77777777" w:rsidR="00672297" w:rsidRDefault="00A16EA3">
            <w:pPr>
              <w:spacing w:before="20" w:after="20"/>
              <w:jc w:val="left"/>
            </w:pPr>
            <w:r>
              <w:rPr>
                <w:rFonts w:cstheme="minorHAnsi"/>
                <w:sz w:val="20"/>
                <w:szCs w:val="20"/>
              </w:rPr>
              <w:t>Not in the workbook</w:t>
            </w:r>
          </w:p>
        </w:tc>
        <w:tc>
          <w:tcPr>
            <w:tcW w:w="1124" w:type="dxa"/>
            <w:vAlign w:val="center"/>
          </w:tcPr>
          <w:p w14:paraId="465731AC" w14:textId="77777777" w:rsidR="00672297" w:rsidRDefault="00A16EA3">
            <w:pPr>
              <w:spacing w:before="20" w:after="20"/>
              <w:jc w:val="left"/>
            </w:pPr>
            <w:r>
              <w:rPr>
                <w:rFonts w:cstheme="minorHAnsi"/>
                <w:sz w:val="20"/>
                <w:szCs w:val="20"/>
              </w:rPr>
              <w:t>DP-08</w:t>
            </w:r>
          </w:p>
        </w:tc>
      </w:tr>
      <w:tr w:rsidR="00672297" w14:paraId="63AB5293" w14:textId="77777777">
        <w:trPr>
          <w:cantSplit/>
        </w:trPr>
        <w:tc>
          <w:tcPr>
            <w:tcW w:w="2433" w:type="dxa"/>
            <w:vAlign w:val="center"/>
          </w:tcPr>
          <w:p w14:paraId="5F2FFC0B" w14:textId="77777777" w:rsidR="00672297" w:rsidRDefault="00A16EA3">
            <w:pPr>
              <w:spacing w:before="20" w:after="20"/>
              <w:jc w:val="left"/>
            </w:pPr>
            <w:r>
              <w:rPr>
                <w:rFonts w:cstheme="minorHAnsi"/>
                <w:sz w:val="20"/>
                <w:szCs w:val="20"/>
              </w:rPr>
              <w:t>Terminal blending capability per component and fixed blend percentages</w:t>
            </w:r>
          </w:p>
        </w:tc>
        <w:tc>
          <w:tcPr>
            <w:tcW w:w="2995" w:type="dxa"/>
            <w:vAlign w:val="center"/>
          </w:tcPr>
          <w:p w14:paraId="4EE51C05" w14:textId="77777777" w:rsidR="00672297" w:rsidRDefault="00A16EA3">
            <w:pPr>
              <w:spacing w:before="20" w:after="20"/>
              <w:jc w:val="left"/>
            </w:pPr>
            <w:r>
              <w:rPr>
                <w:rFonts w:cstheme="minorHAnsi"/>
                <w:sz w:val="20"/>
                <w:szCs w:val="20"/>
              </w:rPr>
              <w:t>vwBlendComponentSupplyDemand (BlendingCapableFlag); vwDistillateBlendPotentialQuality (EthanolRequirementPct)</w:t>
            </w:r>
          </w:p>
        </w:tc>
        <w:tc>
          <w:tcPr>
            <w:tcW w:w="2808" w:type="dxa"/>
            <w:vAlign w:val="center"/>
          </w:tcPr>
          <w:p w14:paraId="4670C67B" w14:textId="77777777" w:rsidR="00672297" w:rsidRDefault="00A16EA3">
            <w:pPr>
              <w:spacing w:before="20" w:after="20"/>
              <w:jc w:val="left"/>
            </w:pPr>
            <w:r>
              <w:rPr>
                <w:rFonts w:cstheme="minorHAnsi"/>
                <w:sz w:val="20"/>
                <w:szCs w:val="20"/>
              </w:rPr>
              <w:t>Ethanol 10 % of batch volume; terminals without butane blending shown as "—"</w:t>
            </w:r>
          </w:p>
        </w:tc>
        <w:tc>
          <w:tcPr>
            <w:tcW w:w="1124" w:type="dxa"/>
            <w:vAlign w:val="center"/>
          </w:tcPr>
          <w:p w14:paraId="6F7B2E47" w14:textId="77777777" w:rsidR="00672297" w:rsidRDefault="00A16EA3">
            <w:pPr>
              <w:spacing w:before="20" w:after="20"/>
              <w:jc w:val="left"/>
            </w:pPr>
            <w:r>
              <w:rPr>
                <w:rFonts w:cstheme="minorHAnsi"/>
                <w:sz w:val="20"/>
                <w:szCs w:val="20"/>
              </w:rPr>
              <w:t>DP-09</w:t>
            </w:r>
          </w:p>
        </w:tc>
      </w:tr>
      <w:tr w:rsidR="00672297" w14:paraId="63DBAA57" w14:textId="77777777">
        <w:trPr>
          <w:cantSplit/>
        </w:trPr>
        <w:tc>
          <w:tcPr>
            <w:tcW w:w="2433" w:type="dxa"/>
            <w:vAlign w:val="center"/>
          </w:tcPr>
          <w:p w14:paraId="3E8BCA1D" w14:textId="77777777" w:rsidR="00672297" w:rsidRDefault="00A16EA3">
            <w:pPr>
              <w:spacing w:before="20" w:after="20"/>
              <w:jc w:val="left"/>
            </w:pPr>
            <w:r>
              <w:rPr>
                <w:rFonts w:cstheme="minorHAnsi"/>
                <w:sz w:val="20"/>
                <w:szCs w:val="20"/>
              </w:rPr>
              <w:t>Component blending values for post-blend octane</w:t>
            </w:r>
          </w:p>
        </w:tc>
        <w:tc>
          <w:tcPr>
            <w:tcW w:w="2995" w:type="dxa"/>
            <w:vAlign w:val="center"/>
          </w:tcPr>
          <w:p w14:paraId="13D585EB" w14:textId="77777777" w:rsidR="00672297" w:rsidRDefault="00A16EA3">
            <w:pPr>
              <w:spacing w:before="20" w:after="20"/>
              <w:jc w:val="left"/>
            </w:pPr>
            <w:r>
              <w:rPr>
                <w:rFonts w:cstheme="minorHAnsi"/>
                <w:sz w:val="20"/>
                <w:szCs w:val="20"/>
              </w:rPr>
              <w:t>vwDistillateBlendPotentialQuality (RONPost, MONPost, DONPost)</w:t>
            </w:r>
          </w:p>
        </w:tc>
        <w:tc>
          <w:tcPr>
            <w:tcW w:w="2808" w:type="dxa"/>
            <w:vAlign w:val="center"/>
          </w:tcPr>
          <w:p w14:paraId="017F3183" w14:textId="77777777" w:rsidR="00672297" w:rsidRDefault="00A16EA3">
            <w:pPr>
              <w:spacing w:before="20" w:after="20"/>
              <w:jc w:val="left"/>
            </w:pPr>
            <w:r>
              <w:rPr>
                <w:rFonts w:cstheme="minorHAnsi"/>
                <w:sz w:val="20"/>
                <w:szCs w:val="20"/>
              </w:rPr>
              <w:t>Butane RON 94.8 / MON 89.7; Transmix RON 14.9 / MON 15.8; DON = (RON + MON) / 2</w:t>
            </w:r>
          </w:p>
        </w:tc>
        <w:tc>
          <w:tcPr>
            <w:tcW w:w="1124" w:type="dxa"/>
            <w:vAlign w:val="center"/>
          </w:tcPr>
          <w:p w14:paraId="079B175B" w14:textId="77777777" w:rsidR="00672297" w:rsidRDefault="00A16EA3">
            <w:pPr>
              <w:spacing w:before="20" w:after="20"/>
              <w:jc w:val="left"/>
            </w:pPr>
            <w:r>
              <w:rPr>
                <w:rFonts w:cstheme="minorHAnsi"/>
                <w:sz w:val="20"/>
                <w:szCs w:val="20"/>
              </w:rPr>
              <w:t>DP-10</w:t>
            </w:r>
          </w:p>
        </w:tc>
      </w:tr>
      <w:tr w:rsidR="00672297" w14:paraId="2BAFD0DC" w14:textId="77777777">
        <w:trPr>
          <w:cantSplit/>
        </w:trPr>
        <w:tc>
          <w:tcPr>
            <w:tcW w:w="2433" w:type="dxa"/>
            <w:vAlign w:val="center"/>
          </w:tcPr>
          <w:p w14:paraId="7D22BE5B" w14:textId="77777777" w:rsidR="00672297" w:rsidRDefault="00A16EA3">
            <w:pPr>
              <w:spacing w:before="20" w:after="20"/>
              <w:jc w:val="left"/>
            </w:pPr>
            <w:r>
              <w:rPr>
                <w:rFonts w:cstheme="minorHAnsi"/>
                <w:sz w:val="20"/>
                <w:szCs w:val="20"/>
              </w:rPr>
              <w:t>Supply action thresholds</w:t>
            </w:r>
          </w:p>
        </w:tc>
        <w:tc>
          <w:tcPr>
            <w:tcW w:w="2995" w:type="dxa"/>
            <w:vAlign w:val="center"/>
          </w:tcPr>
          <w:p w14:paraId="38ED9D0C" w14:textId="77777777" w:rsidR="00672297" w:rsidRDefault="00A16EA3">
            <w:pPr>
              <w:spacing w:before="20" w:after="20"/>
              <w:jc w:val="left"/>
            </w:pPr>
            <w:r>
              <w:rPr>
                <w:rFonts w:cstheme="minorHAnsi"/>
                <w:sz w:val="20"/>
                <w:szCs w:val="20"/>
              </w:rPr>
              <w:t>vwBlendComponentSupplyDemand (UrgentThresholdBbl, PlanThresholdBbl)</w:t>
            </w:r>
          </w:p>
        </w:tc>
        <w:tc>
          <w:tcPr>
            <w:tcW w:w="2808" w:type="dxa"/>
            <w:vAlign w:val="center"/>
          </w:tcPr>
          <w:p w14:paraId="0EAEB618" w14:textId="77777777" w:rsidR="00672297" w:rsidRDefault="00A16EA3">
            <w:pPr>
              <w:spacing w:before="20" w:after="20"/>
              <w:jc w:val="left"/>
            </w:pPr>
            <w:r>
              <w:rPr>
                <w:rFonts w:cstheme="minorHAnsi"/>
                <w:sz w:val="20"/>
                <w:szCs w:val="20"/>
              </w:rPr>
              <w:t>Net gap &lt;= -1,000 bbl: Urgent re-supply; &lt; 0: Plan delivery; otherwise OK</w:t>
            </w:r>
          </w:p>
        </w:tc>
        <w:tc>
          <w:tcPr>
            <w:tcW w:w="1124" w:type="dxa"/>
            <w:vAlign w:val="center"/>
          </w:tcPr>
          <w:p w14:paraId="5F8C7D4D" w14:textId="77777777" w:rsidR="00672297" w:rsidRDefault="00A16EA3">
            <w:pPr>
              <w:spacing w:before="20" w:after="20"/>
              <w:jc w:val="left"/>
            </w:pPr>
            <w:r>
              <w:rPr>
                <w:rFonts w:cstheme="minorHAnsi"/>
                <w:sz w:val="20"/>
                <w:szCs w:val="20"/>
              </w:rPr>
              <w:t>DP-12</w:t>
            </w:r>
          </w:p>
        </w:tc>
      </w:tr>
    </w:tbl>
    <w:p w14:paraId="12EC5241" w14:textId="2DAA93E3" w:rsidR="00672297" w:rsidRDefault="00A16EA3">
      <w:pPr>
        <w:pStyle w:val="Caption"/>
      </w:pPr>
      <w:bookmarkStart w:id="387" w:name="_Toc900900031"/>
      <w:bookmarkStart w:id="388" w:name="_Toc241574679"/>
      <w:bookmarkStart w:id="389" w:name="_Toc242554063"/>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10</w:t>
      </w:r>
      <w:r>
        <w:fldChar w:fldCharType="end"/>
      </w:r>
      <w:r>
        <w:t>: Calculation Inputs Not Held in IQDM</w:t>
      </w:r>
      <w:bookmarkEnd w:id="387"/>
      <w:bookmarkEnd w:id="388"/>
      <w:bookmarkEnd w:id="389"/>
    </w:p>
    <w:p w14:paraId="0F1C4249" w14:textId="77777777" w:rsidR="00672297" w:rsidRDefault="00A16EA3">
      <w:pPr>
        <w:pStyle w:val="Heading3"/>
        <w:rPr>
          <w:rFonts w:asciiTheme="minorHAnsi" w:hAnsiTheme="minorHAnsi" w:cstheme="minorBidi"/>
          <w:sz w:val="20"/>
          <w:szCs w:val="20"/>
        </w:rPr>
      </w:pPr>
      <w:bookmarkStart w:id="390" w:name="_Toc241574329"/>
      <w:bookmarkStart w:id="391" w:name="_Toc242553951"/>
      <w:r>
        <w:rPr>
          <w:rFonts w:asciiTheme="minorHAnsi" w:hAnsiTheme="minorHAnsi" w:cstheme="minorBidi"/>
          <w:sz w:val="20"/>
          <w:szCs w:val="20"/>
        </w:rPr>
        <w:t>Reporting View Definitions</w:t>
      </w:r>
      <w:bookmarkEnd w:id="390"/>
      <w:bookmarkEnd w:id="391"/>
    </w:p>
    <w:p w14:paraId="4A27A69D" w14:textId="77777777" w:rsidR="00672297" w:rsidRDefault="00A16EA3">
      <w:pPr>
        <w:rPr>
          <w:rFonts w:cstheme="minorHAnsi"/>
          <w:sz w:val="20"/>
          <w:szCs w:val="20"/>
        </w:rPr>
      </w:pPr>
      <w:r>
        <w:rPr>
          <w:rFonts w:cstheme="minorHAnsi"/>
          <w:sz w:val="20"/>
          <w:szCs w:val="20"/>
        </w:rPr>
        <w:t>The column lists below are the contract between the database team and the dashboard team. Column names follow the wireframe fields; display names are set in the semantic model (chapter 4). Quality columns repeat the pattern &lt;Property&gt;Min / &lt;Property&gt;Actual / &lt;Property&gt;Max (or Pre / Post / SpecMin / SpecMax) for each property listed.</w:t>
      </w:r>
    </w:p>
    <w:p w14:paraId="6E2FA26F" w14:textId="77777777" w:rsidR="00672297" w:rsidRDefault="00A16EA3">
      <w:pPr>
        <w:rPr>
          <w:rFonts w:cstheme="minorHAnsi"/>
          <w:sz w:val="20"/>
          <w:szCs w:val="20"/>
        </w:rPr>
      </w:pPr>
      <w:r>
        <w:rPr>
          <w:rFonts w:cstheme="minorHAnsi"/>
          <w:b/>
          <w:bCs/>
          <w:sz w:val="20"/>
          <w:szCs w:val="20"/>
        </w:rPr>
        <w:t>vwRefineryBatchMovementQuality</w:t>
      </w:r>
      <w:r>
        <w:rPr>
          <w:rFonts w:cstheme="minorHAnsi"/>
          <w:sz w:val="20"/>
          <w:szCs w:val="20"/>
        </w:rPr>
        <w:t xml:space="preserve"> - Refinery-Wide dashboard; one row per batch and destination (Gasoline and Distillate pages filtered on ProductGroup).</w:t>
      </w:r>
    </w:p>
    <w:tbl>
      <w:tblPr>
        <w:tblStyle w:val="TableGrid"/>
        <w:tblW w:w="9360" w:type="dxa"/>
        <w:tblLayout w:type="fixed"/>
        <w:tblCellMar>
          <w:left w:w="70" w:type="dxa"/>
          <w:right w:w="70" w:type="dxa"/>
        </w:tblCellMar>
        <w:tblLook w:val="04A0" w:firstRow="1" w:lastRow="0" w:firstColumn="1" w:lastColumn="0" w:noHBand="0" w:noVBand="1"/>
      </w:tblPr>
      <w:tblGrid>
        <w:gridCol w:w="2246"/>
        <w:gridCol w:w="1216"/>
        <w:gridCol w:w="3088"/>
        <w:gridCol w:w="2810"/>
      </w:tblGrid>
      <w:tr w:rsidR="00672297" w14:paraId="2DDDF7E9" w14:textId="77777777">
        <w:trPr>
          <w:cantSplit/>
          <w:tblHeader/>
        </w:trPr>
        <w:tc>
          <w:tcPr>
            <w:tcW w:w="2246" w:type="dxa"/>
            <w:shd w:val="clear" w:color="auto" w:fill="2F5496"/>
            <w:vAlign w:val="center"/>
          </w:tcPr>
          <w:p w14:paraId="34776E84" w14:textId="77777777" w:rsidR="00672297" w:rsidRDefault="00A16EA3">
            <w:pPr>
              <w:spacing w:before="20" w:after="20"/>
              <w:jc w:val="left"/>
            </w:pPr>
            <w:r>
              <w:rPr>
                <w:rFonts w:cstheme="minorHAnsi"/>
                <w:b/>
                <w:bCs/>
                <w:color w:val="FFFFFF"/>
                <w:sz w:val="20"/>
                <w:szCs w:val="20"/>
              </w:rPr>
              <w:t>Column Name</w:t>
            </w:r>
          </w:p>
        </w:tc>
        <w:tc>
          <w:tcPr>
            <w:tcW w:w="1216" w:type="dxa"/>
            <w:shd w:val="clear" w:color="auto" w:fill="2F5496"/>
            <w:vAlign w:val="center"/>
          </w:tcPr>
          <w:p w14:paraId="64D790E6" w14:textId="77777777" w:rsidR="00672297" w:rsidRDefault="00A16EA3">
            <w:pPr>
              <w:spacing w:before="20" w:after="20"/>
              <w:jc w:val="left"/>
            </w:pPr>
            <w:r>
              <w:rPr>
                <w:rFonts w:cstheme="minorHAnsi"/>
                <w:b/>
                <w:bCs/>
                <w:color w:val="FFFFFF"/>
                <w:sz w:val="20"/>
                <w:szCs w:val="20"/>
              </w:rPr>
              <w:t>Data Type</w:t>
            </w:r>
          </w:p>
        </w:tc>
        <w:tc>
          <w:tcPr>
            <w:tcW w:w="3088" w:type="dxa"/>
            <w:shd w:val="clear" w:color="auto" w:fill="2F5496"/>
            <w:vAlign w:val="center"/>
          </w:tcPr>
          <w:p w14:paraId="3CDEA451" w14:textId="77777777" w:rsidR="00672297" w:rsidRDefault="00A16EA3">
            <w:pPr>
              <w:spacing w:before="20" w:after="20"/>
              <w:jc w:val="left"/>
            </w:pPr>
            <w:r>
              <w:rPr>
                <w:rFonts w:cstheme="minorHAnsi"/>
                <w:b/>
                <w:bCs/>
                <w:color w:val="FFFFFF"/>
                <w:sz w:val="20"/>
                <w:szCs w:val="20"/>
              </w:rPr>
              <w:t>Description</w:t>
            </w:r>
          </w:p>
        </w:tc>
        <w:tc>
          <w:tcPr>
            <w:tcW w:w="2810" w:type="dxa"/>
            <w:shd w:val="clear" w:color="auto" w:fill="2F5496"/>
            <w:vAlign w:val="center"/>
          </w:tcPr>
          <w:p w14:paraId="44528C52" w14:textId="77777777" w:rsidR="00672297" w:rsidRDefault="00A16EA3">
            <w:pPr>
              <w:spacing w:before="20" w:after="20"/>
              <w:jc w:val="left"/>
            </w:pPr>
            <w:r>
              <w:rPr>
                <w:rFonts w:cstheme="minorHAnsi"/>
                <w:b/>
                <w:bCs/>
                <w:color w:val="FFFFFF"/>
                <w:sz w:val="20"/>
                <w:szCs w:val="20"/>
              </w:rPr>
              <w:t>Source Table / Derivation</w:t>
            </w:r>
          </w:p>
        </w:tc>
      </w:tr>
      <w:tr w:rsidR="00672297" w14:paraId="5AE4EDB1" w14:textId="77777777">
        <w:trPr>
          <w:cantSplit/>
        </w:trPr>
        <w:tc>
          <w:tcPr>
            <w:tcW w:w="2246" w:type="dxa"/>
            <w:vAlign w:val="center"/>
          </w:tcPr>
          <w:p w14:paraId="377C827B" w14:textId="77777777" w:rsidR="00672297" w:rsidRDefault="00A16EA3">
            <w:pPr>
              <w:spacing w:before="20" w:after="20"/>
              <w:jc w:val="left"/>
            </w:pPr>
            <w:r>
              <w:rPr>
                <w:rFonts w:cstheme="minorHAnsi"/>
                <w:sz w:val="20"/>
                <w:szCs w:val="20"/>
              </w:rPr>
              <w:t>BatchID</w:t>
            </w:r>
          </w:p>
        </w:tc>
        <w:tc>
          <w:tcPr>
            <w:tcW w:w="1216" w:type="dxa"/>
            <w:vAlign w:val="center"/>
          </w:tcPr>
          <w:p w14:paraId="3EA6848C" w14:textId="77777777" w:rsidR="00672297" w:rsidRDefault="00A16EA3">
            <w:pPr>
              <w:spacing w:before="20" w:after="20"/>
              <w:jc w:val="left"/>
            </w:pPr>
            <w:r>
              <w:rPr>
                <w:rFonts w:cstheme="minorHAnsi"/>
                <w:sz w:val="20"/>
                <w:szCs w:val="20"/>
              </w:rPr>
              <w:t>VARCHAR(100)</w:t>
            </w:r>
          </w:p>
        </w:tc>
        <w:tc>
          <w:tcPr>
            <w:tcW w:w="3088" w:type="dxa"/>
            <w:vAlign w:val="center"/>
          </w:tcPr>
          <w:p w14:paraId="1537BCDD" w14:textId="77777777" w:rsidR="00672297" w:rsidRDefault="00A16EA3">
            <w:pPr>
              <w:spacing w:before="20" w:after="20"/>
              <w:jc w:val="left"/>
            </w:pPr>
            <w:r>
              <w:rPr>
                <w:rFonts w:cstheme="minorHAnsi"/>
                <w:sz w:val="20"/>
                <w:szCs w:val="20"/>
              </w:rPr>
              <w:t>Product batch identifier</w:t>
            </w:r>
          </w:p>
        </w:tc>
        <w:tc>
          <w:tcPr>
            <w:tcW w:w="2810" w:type="dxa"/>
            <w:vAlign w:val="center"/>
          </w:tcPr>
          <w:p w14:paraId="16552123" w14:textId="77777777" w:rsidR="00672297" w:rsidRDefault="00A16EA3">
            <w:pPr>
              <w:spacing w:before="20" w:after="20"/>
              <w:jc w:val="left"/>
            </w:pPr>
            <w:r>
              <w:rPr>
                <w:rFonts w:cstheme="minorHAnsi"/>
                <w:sz w:val="20"/>
                <w:szCs w:val="20"/>
              </w:rPr>
              <w:t>transfer_detail.batch_id (APS BatchID); terminal batch number (gap DP-05)</w:t>
            </w:r>
          </w:p>
        </w:tc>
      </w:tr>
      <w:tr w:rsidR="00672297" w14:paraId="7F46273C" w14:textId="77777777">
        <w:trPr>
          <w:cantSplit/>
        </w:trPr>
        <w:tc>
          <w:tcPr>
            <w:tcW w:w="2246" w:type="dxa"/>
            <w:vAlign w:val="center"/>
          </w:tcPr>
          <w:p w14:paraId="1B7F7F10" w14:textId="77777777" w:rsidR="00672297" w:rsidRDefault="00A16EA3">
            <w:pPr>
              <w:spacing w:before="20" w:after="20"/>
              <w:jc w:val="left"/>
            </w:pPr>
            <w:r>
              <w:rPr>
                <w:rFonts w:cstheme="minorHAnsi"/>
                <w:sz w:val="20"/>
                <w:szCs w:val="20"/>
              </w:rPr>
              <w:t>BatchStatus</w:t>
            </w:r>
          </w:p>
        </w:tc>
        <w:tc>
          <w:tcPr>
            <w:tcW w:w="1216" w:type="dxa"/>
            <w:vAlign w:val="center"/>
          </w:tcPr>
          <w:p w14:paraId="053A418A" w14:textId="77777777" w:rsidR="00672297" w:rsidRDefault="00A16EA3">
            <w:pPr>
              <w:spacing w:before="20" w:after="20"/>
              <w:jc w:val="left"/>
            </w:pPr>
            <w:r>
              <w:rPr>
                <w:rFonts w:cstheme="minorHAnsi"/>
                <w:sz w:val="20"/>
                <w:szCs w:val="20"/>
              </w:rPr>
              <w:t>VARCHAR(20)</w:t>
            </w:r>
          </w:p>
        </w:tc>
        <w:tc>
          <w:tcPr>
            <w:tcW w:w="3088" w:type="dxa"/>
            <w:vAlign w:val="center"/>
          </w:tcPr>
          <w:p w14:paraId="26F0EB81" w14:textId="77777777" w:rsidR="00672297" w:rsidRDefault="00A16EA3">
            <w:pPr>
              <w:spacing w:before="20" w:after="20"/>
              <w:jc w:val="left"/>
            </w:pPr>
            <w:r>
              <w:rPr>
                <w:rFonts w:cstheme="minorHAnsi"/>
                <w:sz w:val="20"/>
                <w:szCs w:val="20"/>
              </w:rPr>
              <w:t>Scheduled, In-Transit or Delivered</w:t>
            </w:r>
          </w:p>
        </w:tc>
        <w:tc>
          <w:tcPr>
            <w:tcW w:w="2810" w:type="dxa"/>
            <w:vAlign w:val="center"/>
          </w:tcPr>
          <w:p w14:paraId="03877953" w14:textId="77777777" w:rsidR="00672297" w:rsidRDefault="00A16EA3">
            <w:pPr>
              <w:spacing w:before="20" w:after="20"/>
              <w:jc w:val="left"/>
            </w:pPr>
            <w:r>
              <w:rPr>
                <w:rFonts w:cstheme="minorHAnsi"/>
                <w:sz w:val="20"/>
                <w:szCs w:val="20"/>
              </w:rPr>
              <w:t>Scheduled: scheduled leg only; In-Transit: transfer_type Pipeline / Barge In-Transit or Kittyhawk in-transit; Delivered: terminal leg actual and unloaded (gap DP-16)</w:t>
            </w:r>
          </w:p>
        </w:tc>
      </w:tr>
      <w:tr w:rsidR="00672297" w14:paraId="72F64516" w14:textId="77777777">
        <w:trPr>
          <w:cantSplit/>
        </w:trPr>
        <w:tc>
          <w:tcPr>
            <w:tcW w:w="2246" w:type="dxa"/>
            <w:vAlign w:val="center"/>
          </w:tcPr>
          <w:p w14:paraId="415C30F1" w14:textId="77777777" w:rsidR="00672297" w:rsidRDefault="00A16EA3">
            <w:pPr>
              <w:spacing w:before="20" w:after="20"/>
              <w:jc w:val="left"/>
            </w:pPr>
            <w:r>
              <w:rPr>
                <w:rFonts w:cstheme="minorHAnsi"/>
                <w:sz w:val="20"/>
                <w:szCs w:val="20"/>
              </w:rPr>
              <w:t>SourceGlobalCode, Source</w:t>
            </w:r>
          </w:p>
        </w:tc>
        <w:tc>
          <w:tcPr>
            <w:tcW w:w="1216" w:type="dxa"/>
            <w:vAlign w:val="center"/>
          </w:tcPr>
          <w:p w14:paraId="08CE690B" w14:textId="77777777" w:rsidR="00672297" w:rsidRDefault="00A16EA3">
            <w:pPr>
              <w:spacing w:before="20" w:after="20"/>
              <w:jc w:val="left"/>
            </w:pPr>
            <w:r>
              <w:rPr>
                <w:rFonts w:cstheme="minorHAnsi"/>
                <w:sz w:val="20"/>
                <w:szCs w:val="20"/>
              </w:rPr>
              <w:t>VARCHAR(100), VARCHAR(255)</w:t>
            </w:r>
          </w:p>
        </w:tc>
        <w:tc>
          <w:tcPr>
            <w:tcW w:w="3088" w:type="dxa"/>
            <w:vAlign w:val="center"/>
          </w:tcPr>
          <w:p w14:paraId="71A07627" w14:textId="77777777" w:rsidR="00672297" w:rsidRDefault="00A16EA3">
            <w:pPr>
              <w:spacing w:before="20" w:after="20"/>
              <w:jc w:val="left"/>
            </w:pPr>
            <w:r>
              <w:rPr>
                <w:rFonts w:cstheme="minorHAnsi"/>
                <w:sz w:val="20"/>
                <w:szCs w:val="20"/>
              </w:rPr>
              <w:t>Origin refinery</w:t>
            </w:r>
          </w:p>
        </w:tc>
        <w:tc>
          <w:tcPr>
            <w:tcW w:w="2810" w:type="dxa"/>
            <w:vAlign w:val="center"/>
          </w:tcPr>
          <w:p w14:paraId="33E1A7FC" w14:textId="77777777" w:rsidR="00672297" w:rsidRDefault="00A16EA3">
            <w:pPr>
              <w:spacing w:before="20" w:after="20"/>
              <w:jc w:val="left"/>
            </w:pPr>
            <w:r>
              <w:rPr>
                <w:rFonts w:cstheme="minorHAnsi"/>
                <w:sz w:val="20"/>
                <w:szCs w:val="20"/>
              </w:rPr>
              <w:t>location of the APS event</w:t>
            </w:r>
          </w:p>
        </w:tc>
      </w:tr>
      <w:tr w:rsidR="00672297" w14:paraId="021B3713" w14:textId="77777777">
        <w:trPr>
          <w:cantSplit/>
        </w:trPr>
        <w:tc>
          <w:tcPr>
            <w:tcW w:w="2246" w:type="dxa"/>
            <w:vAlign w:val="center"/>
          </w:tcPr>
          <w:p w14:paraId="6CC55553" w14:textId="77777777" w:rsidR="00672297" w:rsidRDefault="00A16EA3">
            <w:pPr>
              <w:spacing w:before="20" w:after="20"/>
              <w:jc w:val="left"/>
            </w:pPr>
            <w:r>
              <w:rPr>
                <w:rFonts w:cstheme="minorHAnsi"/>
                <w:sz w:val="20"/>
                <w:szCs w:val="20"/>
              </w:rPr>
              <w:t>OriginTank</w:t>
            </w:r>
          </w:p>
        </w:tc>
        <w:tc>
          <w:tcPr>
            <w:tcW w:w="1216" w:type="dxa"/>
            <w:vAlign w:val="center"/>
          </w:tcPr>
          <w:p w14:paraId="69674690" w14:textId="77777777" w:rsidR="00672297" w:rsidRDefault="00A16EA3">
            <w:pPr>
              <w:spacing w:before="20" w:after="20"/>
              <w:jc w:val="left"/>
            </w:pPr>
            <w:r>
              <w:rPr>
                <w:rFonts w:cstheme="minorHAnsi"/>
                <w:sz w:val="20"/>
                <w:szCs w:val="20"/>
              </w:rPr>
              <w:t>VARCHAR(100)</w:t>
            </w:r>
          </w:p>
        </w:tc>
        <w:tc>
          <w:tcPr>
            <w:tcW w:w="3088" w:type="dxa"/>
            <w:vAlign w:val="center"/>
          </w:tcPr>
          <w:p w14:paraId="3A0AF46E" w14:textId="77777777" w:rsidR="00672297" w:rsidRDefault="00A16EA3">
            <w:pPr>
              <w:spacing w:before="20" w:after="20"/>
              <w:jc w:val="left"/>
            </w:pPr>
            <w:r>
              <w:rPr>
                <w:rFonts w:cstheme="minorHAnsi"/>
                <w:sz w:val="20"/>
                <w:szCs w:val="20"/>
              </w:rPr>
              <w:t>Origin tank</w:t>
            </w:r>
          </w:p>
        </w:tc>
        <w:tc>
          <w:tcPr>
            <w:tcW w:w="2810" w:type="dxa"/>
            <w:vAlign w:val="center"/>
          </w:tcPr>
          <w:p w14:paraId="514FEBF0" w14:textId="77777777" w:rsidR="00672297" w:rsidRDefault="00A16EA3">
            <w:pPr>
              <w:spacing w:before="20" w:after="20"/>
              <w:jc w:val="left"/>
            </w:pPr>
            <w:r>
              <w:rPr>
                <w:rFonts w:cstheme="minorHAnsi"/>
                <w:sz w:val="20"/>
                <w:szCs w:val="20"/>
              </w:rPr>
              <w:t>from_equipment of the APS event (_EVENT.ID1)</w:t>
            </w:r>
          </w:p>
        </w:tc>
      </w:tr>
      <w:tr w:rsidR="00672297" w14:paraId="078C1D21" w14:textId="77777777">
        <w:trPr>
          <w:cantSplit/>
        </w:trPr>
        <w:tc>
          <w:tcPr>
            <w:tcW w:w="2246" w:type="dxa"/>
            <w:vAlign w:val="center"/>
          </w:tcPr>
          <w:p w14:paraId="691C820E" w14:textId="77777777" w:rsidR="00672297" w:rsidRDefault="00A16EA3">
            <w:pPr>
              <w:spacing w:before="20" w:after="20"/>
              <w:jc w:val="left"/>
            </w:pPr>
            <w:r>
              <w:rPr>
                <w:rFonts w:cstheme="minorHAnsi"/>
                <w:sz w:val="20"/>
                <w:szCs w:val="20"/>
              </w:rPr>
              <w:t>DestinationGlobalCode, Destination</w:t>
            </w:r>
          </w:p>
        </w:tc>
        <w:tc>
          <w:tcPr>
            <w:tcW w:w="1216" w:type="dxa"/>
            <w:vAlign w:val="center"/>
          </w:tcPr>
          <w:p w14:paraId="05B64F19" w14:textId="77777777" w:rsidR="00672297" w:rsidRDefault="00A16EA3">
            <w:pPr>
              <w:spacing w:before="20" w:after="20"/>
              <w:jc w:val="left"/>
            </w:pPr>
            <w:r>
              <w:rPr>
                <w:rFonts w:cstheme="minorHAnsi"/>
                <w:sz w:val="20"/>
                <w:szCs w:val="20"/>
              </w:rPr>
              <w:t>VARCHAR(100), VARCHAR(255)</w:t>
            </w:r>
          </w:p>
        </w:tc>
        <w:tc>
          <w:tcPr>
            <w:tcW w:w="3088" w:type="dxa"/>
            <w:vAlign w:val="center"/>
          </w:tcPr>
          <w:p w14:paraId="3E052DCD" w14:textId="77777777" w:rsidR="00672297" w:rsidRDefault="00A16EA3">
            <w:pPr>
              <w:spacing w:before="20" w:after="20"/>
              <w:jc w:val="left"/>
            </w:pPr>
            <w:r>
              <w:rPr>
                <w:rFonts w:cstheme="minorHAnsi"/>
                <w:sz w:val="20"/>
                <w:szCs w:val="20"/>
              </w:rPr>
              <w:t>Destination terminal</w:t>
            </w:r>
          </w:p>
        </w:tc>
        <w:tc>
          <w:tcPr>
            <w:tcW w:w="2810" w:type="dxa"/>
            <w:vAlign w:val="center"/>
          </w:tcPr>
          <w:p w14:paraId="67BAE265" w14:textId="77777777" w:rsidR="00672297" w:rsidRDefault="00A16EA3">
            <w:pPr>
              <w:spacing w:before="20" w:after="20"/>
              <w:jc w:val="left"/>
            </w:pPr>
            <w:r>
              <w:rPr>
                <w:rFonts w:cstheme="minorHAnsi"/>
                <w:sz w:val="20"/>
                <w:szCs w:val="20"/>
              </w:rPr>
              <w:t>to_location of the terminal leg</w:t>
            </w:r>
          </w:p>
        </w:tc>
      </w:tr>
      <w:tr w:rsidR="00672297" w14:paraId="762FB0AD" w14:textId="77777777">
        <w:trPr>
          <w:cantSplit/>
        </w:trPr>
        <w:tc>
          <w:tcPr>
            <w:tcW w:w="2246" w:type="dxa"/>
            <w:vAlign w:val="center"/>
          </w:tcPr>
          <w:p w14:paraId="254625B3" w14:textId="77777777" w:rsidR="00672297" w:rsidRDefault="00A16EA3">
            <w:pPr>
              <w:spacing w:before="20" w:after="20"/>
              <w:jc w:val="left"/>
            </w:pPr>
            <w:r>
              <w:rPr>
                <w:rFonts w:cstheme="minorHAnsi"/>
                <w:sz w:val="20"/>
                <w:szCs w:val="20"/>
              </w:rPr>
              <w:t>DestinationShortName</w:t>
            </w:r>
          </w:p>
        </w:tc>
        <w:tc>
          <w:tcPr>
            <w:tcW w:w="1216" w:type="dxa"/>
            <w:vAlign w:val="center"/>
          </w:tcPr>
          <w:p w14:paraId="0F210C09" w14:textId="77777777" w:rsidR="00672297" w:rsidRDefault="00A16EA3">
            <w:pPr>
              <w:spacing w:before="20" w:after="20"/>
              <w:jc w:val="left"/>
            </w:pPr>
            <w:r>
              <w:rPr>
                <w:rFonts w:cstheme="minorHAnsi"/>
                <w:sz w:val="20"/>
                <w:szCs w:val="20"/>
              </w:rPr>
              <w:t>VARCHAR(100)</w:t>
            </w:r>
          </w:p>
        </w:tc>
        <w:tc>
          <w:tcPr>
            <w:tcW w:w="3088" w:type="dxa"/>
            <w:vAlign w:val="center"/>
          </w:tcPr>
          <w:p w14:paraId="01D77E1B" w14:textId="77777777" w:rsidR="00672297" w:rsidRDefault="00A16EA3">
            <w:pPr>
              <w:spacing w:before="20" w:after="20"/>
              <w:jc w:val="left"/>
            </w:pPr>
            <w:r>
              <w:rPr>
                <w:rFonts w:cstheme="minorHAnsi"/>
                <w:sz w:val="20"/>
                <w:szCs w:val="20"/>
              </w:rPr>
              <w:t>Terminal short name for chart axes</w:t>
            </w:r>
          </w:p>
        </w:tc>
        <w:tc>
          <w:tcPr>
            <w:tcW w:w="2810" w:type="dxa"/>
            <w:vAlign w:val="center"/>
          </w:tcPr>
          <w:p w14:paraId="430D7433" w14:textId="77777777" w:rsidR="00672297" w:rsidRDefault="00A16EA3">
            <w:pPr>
              <w:spacing w:before="20" w:after="20"/>
              <w:jc w:val="left"/>
            </w:pPr>
            <w:r>
              <w:rPr>
                <w:rFonts w:cstheme="minorHAnsi"/>
                <w:sz w:val="20"/>
                <w:szCs w:val="20"/>
              </w:rPr>
              <w:t>Text before the first comma of Destination (for example Mount Vernon)</w:t>
            </w:r>
          </w:p>
        </w:tc>
      </w:tr>
      <w:tr w:rsidR="00672297" w14:paraId="73C47F70" w14:textId="77777777">
        <w:trPr>
          <w:cantSplit/>
        </w:trPr>
        <w:tc>
          <w:tcPr>
            <w:tcW w:w="2246" w:type="dxa"/>
            <w:vAlign w:val="center"/>
          </w:tcPr>
          <w:p w14:paraId="1E99E020" w14:textId="77777777" w:rsidR="00672297" w:rsidRDefault="00A16EA3">
            <w:pPr>
              <w:spacing w:before="20" w:after="20"/>
              <w:jc w:val="left"/>
            </w:pPr>
            <w:r>
              <w:rPr>
                <w:rFonts w:cstheme="minorHAnsi"/>
                <w:sz w:val="20"/>
                <w:szCs w:val="20"/>
              </w:rPr>
              <w:t>DestinationTank</w:t>
            </w:r>
          </w:p>
        </w:tc>
        <w:tc>
          <w:tcPr>
            <w:tcW w:w="1216" w:type="dxa"/>
            <w:vAlign w:val="center"/>
          </w:tcPr>
          <w:p w14:paraId="1037E818" w14:textId="77777777" w:rsidR="00672297" w:rsidRDefault="00A16EA3">
            <w:pPr>
              <w:spacing w:before="20" w:after="20"/>
              <w:jc w:val="left"/>
            </w:pPr>
            <w:r>
              <w:rPr>
                <w:rFonts w:cstheme="minorHAnsi"/>
                <w:sz w:val="20"/>
                <w:szCs w:val="20"/>
              </w:rPr>
              <w:t>VARCHAR(100)</w:t>
            </w:r>
          </w:p>
        </w:tc>
        <w:tc>
          <w:tcPr>
            <w:tcW w:w="3088" w:type="dxa"/>
            <w:vAlign w:val="center"/>
          </w:tcPr>
          <w:p w14:paraId="4BCFAA99" w14:textId="77777777" w:rsidR="00672297" w:rsidRDefault="00A16EA3">
            <w:pPr>
              <w:spacing w:before="20" w:after="20"/>
              <w:jc w:val="left"/>
            </w:pPr>
            <w:r>
              <w:rPr>
                <w:rFonts w:cstheme="minorHAnsi"/>
                <w:sz w:val="20"/>
                <w:szCs w:val="20"/>
              </w:rPr>
              <w:t>Destination tank</w:t>
            </w:r>
          </w:p>
        </w:tc>
        <w:tc>
          <w:tcPr>
            <w:tcW w:w="2810" w:type="dxa"/>
            <w:vAlign w:val="center"/>
          </w:tcPr>
          <w:p w14:paraId="78D08D2A" w14:textId="77777777" w:rsidR="00672297" w:rsidRDefault="00A16EA3">
            <w:pPr>
              <w:spacing w:before="20" w:after="20"/>
              <w:jc w:val="left"/>
            </w:pPr>
            <w:r>
              <w:rPr>
                <w:rFonts w:cstheme="minorHAnsi"/>
                <w:sz w:val="20"/>
                <w:szCs w:val="20"/>
              </w:rPr>
              <w:t>Kittyhawk DestinationContainerCode (to_equipment)</w:t>
            </w:r>
          </w:p>
        </w:tc>
      </w:tr>
      <w:tr w:rsidR="00672297" w14:paraId="6A4E0BCA" w14:textId="77777777">
        <w:trPr>
          <w:cantSplit/>
        </w:trPr>
        <w:tc>
          <w:tcPr>
            <w:tcW w:w="2246" w:type="dxa"/>
            <w:vAlign w:val="center"/>
          </w:tcPr>
          <w:p w14:paraId="5459DD34" w14:textId="77777777" w:rsidR="00672297" w:rsidRDefault="00A16EA3">
            <w:pPr>
              <w:spacing w:before="20" w:after="20"/>
              <w:jc w:val="left"/>
            </w:pPr>
            <w:r>
              <w:rPr>
                <w:rFonts w:cstheme="minorHAnsi"/>
                <w:sz w:val="20"/>
                <w:szCs w:val="20"/>
              </w:rPr>
              <w:t>Region</w:t>
            </w:r>
          </w:p>
        </w:tc>
        <w:tc>
          <w:tcPr>
            <w:tcW w:w="1216" w:type="dxa"/>
            <w:vAlign w:val="center"/>
          </w:tcPr>
          <w:p w14:paraId="1687F4ED" w14:textId="77777777" w:rsidR="00672297" w:rsidRDefault="00A16EA3">
            <w:pPr>
              <w:spacing w:before="20" w:after="20"/>
              <w:jc w:val="left"/>
            </w:pPr>
            <w:r>
              <w:rPr>
                <w:rFonts w:cstheme="minorHAnsi"/>
                <w:sz w:val="20"/>
                <w:szCs w:val="20"/>
              </w:rPr>
              <w:t>VARCHAR(50)</w:t>
            </w:r>
          </w:p>
        </w:tc>
        <w:tc>
          <w:tcPr>
            <w:tcW w:w="3088" w:type="dxa"/>
            <w:vAlign w:val="center"/>
          </w:tcPr>
          <w:p w14:paraId="78CBE430" w14:textId="77777777" w:rsidR="00672297" w:rsidRDefault="00A16EA3">
            <w:pPr>
              <w:spacing w:before="20" w:after="20"/>
              <w:jc w:val="left"/>
            </w:pPr>
            <w:r>
              <w:rPr>
                <w:rFonts w:cstheme="minorHAnsi"/>
                <w:sz w:val="20"/>
                <w:szCs w:val="20"/>
              </w:rPr>
              <w:t>Region (North)</w:t>
            </w:r>
          </w:p>
        </w:tc>
        <w:tc>
          <w:tcPr>
            <w:tcW w:w="2810" w:type="dxa"/>
            <w:vAlign w:val="center"/>
          </w:tcPr>
          <w:p w14:paraId="40FDF934" w14:textId="77777777" w:rsidR="00672297" w:rsidRDefault="00A16EA3">
            <w:pPr>
              <w:spacing w:before="20" w:after="20"/>
              <w:jc w:val="left"/>
            </w:pPr>
            <w:r>
              <w:rPr>
                <w:rFonts w:cstheme="minorHAnsi"/>
                <w:sz w:val="20"/>
                <w:szCs w:val="20"/>
              </w:rPr>
              <w:t>location.Region</w:t>
            </w:r>
          </w:p>
        </w:tc>
      </w:tr>
      <w:tr w:rsidR="00672297" w14:paraId="005C7E88" w14:textId="77777777">
        <w:trPr>
          <w:cantSplit/>
        </w:trPr>
        <w:tc>
          <w:tcPr>
            <w:tcW w:w="2246" w:type="dxa"/>
            <w:vAlign w:val="center"/>
          </w:tcPr>
          <w:p w14:paraId="4F2744A9" w14:textId="77777777" w:rsidR="00672297" w:rsidRDefault="00A16EA3">
            <w:pPr>
              <w:spacing w:before="20" w:after="20"/>
              <w:jc w:val="left"/>
            </w:pPr>
            <w:r>
              <w:rPr>
                <w:rFonts w:cstheme="minorHAnsi"/>
                <w:sz w:val="20"/>
                <w:szCs w:val="20"/>
              </w:rPr>
              <w:t>ProductName (Grade)</w:t>
            </w:r>
          </w:p>
        </w:tc>
        <w:tc>
          <w:tcPr>
            <w:tcW w:w="1216" w:type="dxa"/>
            <w:vAlign w:val="center"/>
          </w:tcPr>
          <w:p w14:paraId="3081E009" w14:textId="77777777" w:rsidR="00672297" w:rsidRDefault="00A16EA3">
            <w:pPr>
              <w:spacing w:before="20" w:after="20"/>
              <w:jc w:val="left"/>
            </w:pPr>
            <w:r>
              <w:rPr>
                <w:rFonts w:cstheme="minorHAnsi"/>
                <w:sz w:val="20"/>
                <w:szCs w:val="20"/>
              </w:rPr>
              <w:t>VARCHAR(100)</w:t>
            </w:r>
          </w:p>
        </w:tc>
        <w:tc>
          <w:tcPr>
            <w:tcW w:w="3088" w:type="dxa"/>
            <w:vAlign w:val="center"/>
          </w:tcPr>
          <w:p w14:paraId="017C8E8B" w14:textId="77777777" w:rsidR="00672297" w:rsidRDefault="00A16EA3">
            <w:pPr>
              <w:spacing w:before="20" w:after="20"/>
              <w:jc w:val="left"/>
            </w:pPr>
            <w:r>
              <w:rPr>
                <w:rFonts w:cstheme="minorHAnsi"/>
                <w:sz w:val="20"/>
                <w:szCs w:val="20"/>
              </w:rPr>
              <w:t>Grade, for example 84 Blendgrade, ULSD No 2</w:t>
            </w:r>
          </w:p>
        </w:tc>
        <w:tc>
          <w:tcPr>
            <w:tcW w:w="2810" w:type="dxa"/>
            <w:vAlign w:val="center"/>
          </w:tcPr>
          <w:p w14:paraId="227512BC" w14:textId="77777777" w:rsidR="00672297" w:rsidRDefault="00A16EA3">
            <w:pPr>
              <w:spacing w:before="20" w:after="20"/>
              <w:jc w:val="left"/>
            </w:pPr>
            <w:r>
              <w:rPr>
                <w:rFonts w:cstheme="minorHAnsi"/>
                <w:sz w:val="20"/>
                <w:szCs w:val="20"/>
              </w:rPr>
              <w:t>material (PRODUCTS.DESCRIPTION)</w:t>
            </w:r>
          </w:p>
        </w:tc>
      </w:tr>
      <w:tr w:rsidR="00672297" w14:paraId="7738515B" w14:textId="77777777">
        <w:trPr>
          <w:cantSplit/>
        </w:trPr>
        <w:tc>
          <w:tcPr>
            <w:tcW w:w="2246" w:type="dxa"/>
            <w:vAlign w:val="center"/>
          </w:tcPr>
          <w:p w14:paraId="776EEA47" w14:textId="77777777" w:rsidR="00672297" w:rsidRDefault="00A16EA3">
            <w:pPr>
              <w:spacing w:before="20" w:after="20"/>
              <w:jc w:val="left"/>
            </w:pPr>
            <w:r>
              <w:rPr>
                <w:rFonts w:cstheme="minorHAnsi"/>
                <w:sz w:val="20"/>
                <w:szCs w:val="20"/>
              </w:rPr>
              <w:t>BatchVolumeBbl</w:t>
            </w:r>
          </w:p>
        </w:tc>
        <w:tc>
          <w:tcPr>
            <w:tcW w:w="1216" w:type="dxa"/>
            <w:vAlign w:val="center"/>
          </w:tcPr>
          <w:p w14:paraId="751E9732" w14:textId="77777777" w:rsidR="00672297" w:rsidRDefault="00A16EA3">
            <w:pPr>
              <w:spacing w:before="20" w:after="20"/>
              <w:jc w:val="left"/>
            </w:pPr>
            <w:r>
              <w:rPr>
                <w:rFonts w:cstheme="minorHAnsi"/>
                <w:sz w:val="20"/>
                <w:szCs w:val="20"/>
              </w:rPr>
              <w:t>DECIMAL(18,2)</w:t>
            </w:r>
          </w:p>
        </w:tc>
        <w:tc>
          <w:tcPr>
            <w:tcW w:w="3088" w:type="dxa"/>
            <w:vAlign w:val="center"/>
          </w:tcPr>
          <w:p w14:paraId="319B5146" w14:textId="77777777" w:rsidR="00672297" w:rsidRDefault="00A16EA3">
            <w:pPr>
              <w:spacing w:before="20" w:after="20"/>
              <w:jc w:val="left"/>
            </w:pPr>
            <w:r>
              <w:rPr>
                <w:rFonts w:cstheme="minorHAnsi"/>
                <w:sz w:val="20"/>
                <w:szCs w:val="20"/>
              </w:rPr>
              <w:t>Batch volume (bbl)</w:t>
            </w:r>
          </w:p>
        </w:tc>
        <w:tc>
          <w:tcPr>
            <w:tcW w:w="2810" w:type="dxa"/>
            <w:vAlign w:val="center"/>
          </w:tcPr>
          <w:p w14:paraId="2E89CADD" w14:textId="77777777" w:rsidR="00672297" w:rsidRDefault="00A16EA3">
            <w:pPr>
              <w:spacing w:before="20" w:after="20"/>
              <w:jc w:val="left"/>
            </w:pPr>
            <w:r>
              <w:rPr>
                <w:rFonts w:cstheme="minorHAnsi"/>
                <w:sz w:val="20"/>
                <w:szCs w:val="20"/>
              </w:rPr>
              <w:t>Sum of the distinct movement rows of the batch; APS volume (Mbbl) x 1,000</w:t>
            </w:r>
          </w:p>
        </w:tc>
      </w:tr>
      <w:tr w:rsidR="00672297" w14:paraId="6D06B7C8" w14:textId="77777777">
        <w:trPr>
          <w:cantSplit/>
        </w:trPr>
        <w:tc>
          <w:tcPr>
            <w:tcW w:w="2246" w:type="dxa"/>
            <w:vAlign w:val="center"/>
          </w:tcPr>
          <w:p w14:paraId="4695FE6E" w14:textId="77777777" w:rsidR="00672297" w:rsidRDefault="00A16EA3">
            <w:pPr>
              <w:spacing w:before="20" w:after="20"/>
              <w:jc w:val="left"/>
            </w:pPr>
            <w:r>
              <w:rPr>
                <w:rFonts w:cstheme="minorHAnsi"/>
                <w:sz w:val="20"/>
                <w:szCs w:val="20"/>
              </w:rPr>
              <w:t>MOT</w:t>
            </w:r>
          </w:p>
        </w:tc>
        <w:tc>
          <w:tcPr>
            <w:tcW w:w="1216" w:type="dxa"/>
            <w:vAlign w:val="center"/>
          </w:tcPr>
          <w:p w14:paraId="034E8ADF" w14:textId="77777777" w:rsidR="00672297" w:rsidRDefault="00A16EA3">
            <w:pPr>
              <w:spacing w:before="20" w:after="20"/>
              <w:jc w:val="left"/>
            </w:pPr>
            <w:r>
              <w:rPr>
                <w:rFonts w:cstheme="minorHAnsi"/>
                <w:sz w:val="20"/>
                <w:szCs w:val="20"/>
              </w:rPr>
              <w:t>VARCHAR(100)</w:t>
            </w:r>
          </w:p>
        </w:tc>
        <w:tc>
          <w:tcPr>
            <w:tcW w:w="3088" w:type="dxa"/>
            <w:vAlign w:val="center"/>
          </w:tcPr>
          <w:p w14:paraId="7732365E" w14:textId="77777777" w:rsidR="00672297" w:rsidRDefault="00A16EA3">
            <w:pPr>
              <w:spacing w:before="20" w:after="20"/>
              <w:jc w:val="left"/>
            </w:pPr>
            <w:r>
              <w:rPr>
                <w:rFonts w:cstheme="minorHAnsi"/>
                <w:sz w:val="20"/>
                <w:szCs w:val="20"/>
              </w:rPr>
              <w:t>Mode of transport</w:t>
            </w:r>
          </w:p>
        </w:tc>
        <w:tc>
          <w:tcPr>
            <w:tcW w:w="2810" w:type="dxa"/>
            <w:vAlign w:val="center"/>
          </w:tcPr>
          <w:p w14:paraId="5C5CBE8B" w14:textId="77777777" w:rsidR="00672297" w:rsidRDefault="00A16EA3">
            <w:pPr>
              <w:spacing w:before="20" w:after="20"/>
              <w:jc w:val="left"/>
            </w:pPr>
            <w:r>
              <w:rPr>
                <w:rFonts w:cstheme="minorHAnsi"/>
                <w:sz w:val="20"/>
                <w:szCs w:val="20"/>
              </w:rPr>
              <w:t>mot / TRAN_MODES.DESCRIPTION</w:t>
            </w:r>
          </w:p>
        </w:tc>
      </w:tr>
      <w:tr w:rsidR="00672297" w14:paraId="23D9D623" w14:textId="77777777">
        <w:trPr>
          <w:cantSplit/>
        </w:trPr>
        <w:tc>
          <w:tcPr>
            <w:tcW w:w="2246" w:type="dxa"/>
            <w:vAlign w:val="center"/>
          </w:tcPr>
          <w:p w14:paraId="35C552F7" w14:textId="77777777" w:rsidR="00672297" w:rsidRDefault="00A16EA3">
            <w:pPr>
              <w:spacing w:before="20" w:after="20"/>
              <w:jc w:val="left"/>
            </w:pPr>
            <w:r>
              <w:rPr>
                <w:rFonts w:cstheme="minorHAnsi"/>
                <w:sz w:val="20"/>
                <w:szCs w:val="20"/>
              </w:rPr>
              <w:t>StartDateTime, StartDate</w:t>
            </w:r>
          </w:p>
        </w:tc>
        <w:tc>
          <w:tcPr>
            <w:tcW w:w="1216" w:type="dxa"/>
            <w:vAlign w:val="center"/>
          </w:tcPr>
          <w:p w14:paraId="6E0CA95E" w14:textId="77777777" w:rsidR="00672297" w:rsidRDefault="00A16EA3">
            <w:pPr>
              <w:spacing w:before="20" w:after="20"/>
              <w:jc w:val="left"/>
            </w:pPr>
            <w:r>
              <w:rPr>
                <w:rFonts w:cstheme="minorHAnsi"/>
                <w:sz w:val="20"/>
                <w:szCs w:val="20"/>
              </w:rPr>
              <w:t>DATETIME, DATE</w:t>
            </w:r>
          </w:p>
        </w:tc>
        <w:tc>
          <w:tcPr>
            <w:tcW w:w="3088" w:type="dxa"/>
            <w:vAlign w:val="center"/>
          </w:tcPr>
          <w:p w14:paraId="76CA5A9B" w14:textId="77777777" w:rsidR="00672297" w:rsidRDefault="00A16EA3">
            <w:pPr>
              <w:spacing w:before="20" w:after="20"/>
              <w:jc w:val="left"/>
            </w:pPr>
            <w:r>
              <w:rPr>
                <w:rFonts w:cstheme="minorHAnsi"/>
                <w:sz w:val="20"/>
                <w:szCs w:val="20"/>
              </w:rPr>
              <w:t>Batch start time and date</w:t>
            </w:r>
          </w:p>
        </w:tc>
        <w:tc>
          <w:tcPr>
            <w:tcW w:w="2810" w:type="dxa"/>
            <w:vAlign w:val="center"/>
          </w:tcPr>
          <w:p w14:paraId="4C02D608" w14:textId="77777777" w:rsidR="00672297" w:rsidRDefault="00A16EA3">
            <w:pPr>
              <w:spacing w:before="20" w:after="20"/>
              <w:jc w:val="left"/>
            </w:pPr>
            <w:r>
              <w:rPr>
                <w:rFonts w:cstheme="minorHAnsi"/>
                <w:sz w:val="20"/>
                <w:szCs w:val="20"/>
              </w:rPr>
              <w:t>APS START_ (earliest movement_start_date)</w:t>
            </w:r>
          </w:p>
        </w:tc>
      </w:tr>
      <w:tr w:rsidR="00672297" w14:paraId="36B10F80" w14:textId="77777777">
        <w:trPr>
          <w:cantSplit/>
        </w:trPr>
        <w:tc>
          <w:tcPr>
            <w:tcW w:w="2246" w:type="dxa"/>
            <w:vAlign w:val="center"/>
          </w:tcPr>
          <w:p w14:paraId="76F8BF66" w14:textId="77777777" w:rsidR="00672297" w:rsidRDefault="00A16EA3">
            <w:pPr>
              <w:spacing w:before="20" w:after="20"/>
              <w:jc w:val="left"/>
            </w:pPr>
            <w:r>
              <w:rPr>
                <w:rFonts w:cstheme="minorHAnsi"/>
                <w:sz w:val="20"/>
                <w:szCs w:val="20"/>
              </w:rPr>
              <w:t>ETADateTime, ETADate</w:t>
            </w:r>
          </w:p>
        </w:tc>
        <w:tc>
          <w:tcPr>
            <w:tcW w:w="1216" w:type="dxa"/>
            <w:vAlign w:val="center"/>
          </w:tcPr>
          <w:p w14:paraId="3FD39F38" w14:textId="77777777" w:rsidR="00672297" w:rsidRDefault="00A16EA3">
            <w:pPr>
              <w:spacing w:before="20" w:after="20"/>
              <w:jc w:val="left"/>
            </w:pPr>
            <w:r>
              <w:rPr>
                <w:rFonts w:cstheme="minorHAnsi"/>
                <w:sz w:val="20"/>
                <w:szCs w:val="20"/>
              </w:rPr>
              <w:t>DATETIME, DATE</w:t>
            </w:r>
          </w:p>
        </w:tc>
        <w:tc>
          <w:tcPr>
            <w:tcW w:w="3088" w:type="dxa"/>
            <w:vAlign w:val="center"/>
          </w:tcPr>
          <w:p w14:paraId="3490083A" w14:textId="77777777" w:rsidR="00672297" w:rsidRDefault="00A16EA3">
            <w:pPr>
              <w:spacing w:before="20" w:after="20"/>
              <w:jc w:val="left"/>
            </w:pPr>
            <w:r>
              <w:rPr>
                <w:rFonts w:cstheme="minorHAnsi"/>
                <w:sz w:val="20"/>
                <w:szCs w:val="20"/>
              </w:rPr>
              <w:t>Estimated time of arrival</w:t>
            </w:r>
          </w:p>
        </w:tc>
        <w:tc>
          <w:tcPr>
            <w:tcW w:w="2810" w:type="dxa"/>
            <w:vAlign w:val="center"/>
          </w:tcPr>
          <w:p w14:paraId="14986D98" w14:textId="77777777" w:rsidR="00672297" w:rsidRDefault="00A16EA3">
            <w:pPr>
              <w:spacing w:before="20" w:after="20"/>
              <w:jc w:val="left"/>
            </w:pPr>
            <w:r>
              <w:rPr>
                <w:rFonts w:cstheme="minorHAnsi"/>
                <w:sz w:val="20"/>
                <w:szCs w:val="20"/>
              </w:rPr>
              <w:t>movement_end_date of the terminal leg</w:t>
            </w:r>
          </w:p>
        </w:tc>
      </w:tr>
      <w:tr w:rsidR="00672297" w14:paraId="485F4608" w14:textId="77777777">
        <w:trPr>
          <w:cantSplit/>
        </w:trPr>
        <w:tc>
          <w:tcPr>
            <w:tcW w:w="2246" w:type="dxa"/>
            <w:vAlign w:val="center"/>
          </w:tcPr>
          <w:p w14:paraId="41AC6C94" w14:textId="77777777" w:rsidR="00672297" w:rsidRDefault="00A16EA3">
            <w:pPr>
              <w:spacing w:before="20" w:after="20"/>
              <w:jc w:val="left"/>
            </w:pPr>
            <w:r>
              <w:rPr>
                <w:rFonts w:cstheme="minorHAnsi"/>
                <w:sz w:val="20"/>
                <w:szCs w:val="20"/>
              </w:rPr>
              <w:t>ProductGroup</w:t>
            </w:r>
          </w:p>
        </w:tc>
        <w:tc>
          <w:tcPr>
            <w:tcW w:w="1216" w:type="dxa"/>
            <w:vAlign w:val="center"/>
          </w:tcPr>
          <w:p w14:paraId="0ECE43C2" w14:textId="77777777" w:rsidR="00672297" w:rsidRDefault="00A16EA3">
            <w:pPr>
              <w:spacing w:before="20" w:after="20"/>
              <w:jc w:val="left"/>
            </w:pPr>
            <w:r>
              <w:rPr>
                <w:rFonts w:cstheme="minorHAnsi"/>
                <w:sz w:val="20"/>
                <w:szCs w:val="20"/>
              </w:rPr>
              <w:t>VARCHAR(20)</w:t>
            </w:r>
          </w:p>
        </w:tc>
        <w:tc>
          <w:tcPr>
            <w:tcW w:w="3088" w:type="dxa"/>
            <w:vAlign w:val="center"/>
          </w:tcPr>
          <w:p w14:paraId="1A0A22B9" w14:textId="77777777" w:rsidR="00672297" w:rsidRDefault="00A16EA3">
            <w:pPr>
              <w:spacing w:before="20" w:after="20"/>
              <w:jc w:val="left"/>
            </w:pPr>
            <w:r>
              <w:rPr>
                <w:rFonts w:cstheme="minorHAnsi"/>
                <w:sz w:val="20"/>
                <w:szCs w:val="20"/>
              </w:rPr>
              <w:t>Gasoline or Distillate</w:t>
            </w:r>
          </w:p>
        </w:tc>
        <w:tc>
          <w:tcPr>
            <w:tcW w:w="2810" w:type="dxa"/>
            <w:vAlign w:val="center"/>
          </w:tcPr>
          <w:p w14:paraId="11E2E45C" w14:textId="77777777" w:rsidR="00672297" w:rsidRDefault="00A16EA3">
            <w:pPr>
              <w:spacing w:before="20" w:after="20"/>
              <w:jc w:val="left"/>
            </w:pPr>
            <w:r>
              <w:rPr>
                <w:rFonts w:cstheme="minorHAnsi"/>
                <w:sz w:val="20"/>
                <w:szCs w:val="20"/>
              </w:rPr>
              <w:t>material classification (gap DP-15)</w:t>
            </w:r>
          </w:p>
        </w:tc>
      </w:tr>
      <w:tr w:rsidR="00672297" w14:paraId="3D6DBC5F" w14:textId="77777777">
        <w:trPr>
          <w:cantSplit/>
        </w:trPr>
        <w:tc>
          <w:tcPr>
            <w:tcW w:w="2246" w:type="dxa"/>
            <w:vAlign w:val="center"/>
          </w:tcPr>
          <w:p w14:paraId="0A0E8BFB" w14:textId="77777777" w:rsidR="00672297" w:rsidRDefault="00A16EA3">
            <w:pPr>
              <w:spacing w:before="20" w:after="20"/>
              <w:jc w:val="left"/>
            </w:pPr>
            <w:r>
              <w:rPr>
                <w:rFonts w:cstheme="minorHAnsi"/>
                <w:sz w:val="20"/>
                <w:szCs w:val="20"/>
              </w:rPr>
              <w:t>EndDateTime</w:t>
            </w:r>
          </w:p>
        </w:tc>
        <w:tc>
          <w:tcPr>
            <w:tcW w:w="1216" w:type="dxa"/>
            <w:vAlign w:val="center"/>
          </w:tcPr>
          <w:p w14:paraId="6B1CE550" w14:textId="77777777" w:rsidR="00672297" w:rsidRDefault="00A16EA3">
            <w:pPr>
              <w:spacing w:before="20" w:after="20"/>
              <w:jc w:val="left"/>
            </w:pPr>
            <w:r>
              <w:rPr>
                <w:rFonts w:cstheme="minorHAnsi"/>
                <w:sz w:val="20"/>
                <w:szCs w:val="20"/>
              </w:rPr>
              <w:t>DATETIME</w:t>
            </w:r>
          </w:p>
        </w:tc>
        <w:tc>
          <w:tcPr>
            <w:tcW w:w="3088" w:type="dxa"/>
            <w:vAlign w:val="center"/>
          </w:tcPr>
          <w:p w14:paraId="4E9612B1" w14:textId="77777777" w:rsidR="00672297" w:rsidRDefault="00A16EA3">
            <w:pPr>
              <w:spacing w:before="20" w:after="20"/>
              <w:jc w:val="left"/>
            </w:pPr>
            <w:r>
              <w:rPr>
                <w:rFonts w:cstheme="minorHAnsi"/>
                <w:sz w:val="20"/>
                <w:szCs w:val="20"/>
              </w:rPr>
              <w:t>End time at the refinery (Gantt bar end; not displayed as a column)</w:t>
            </w:r>
          </w:p>
        </w:tc>
        <w:tc>
          <w:tcPr>
            <w:tcW w:w="2810" w:type="dxa"/>
            <w:vAlign w:val="center"/>
          </w:tcPr>
          <w:p w14:paraId="6E57E80A" w14:textId="77777777" w:rsidR="00672297" w:rsidRDefault="00A16EA3">
            <w:pPr>
              <w:spacing w:before="20" w:after="20"/>
              <w:jc w:val="left"/>
            </w:pPr>
            <w:r>
              <w:rPr>
                <w:rFonts w:cstheme="minorHAnsi"/>
                <w:sz w:val="20"/>
                <w:szCs w:val="20"/>
              </w:rPr>
              <w:t>APS STOP_</w:t>
            </w:r>
          </w:p>
        </w:tc>
      </w:tr>
      <w:tr w:rsidR="00672297" w14:paraId="4C59B01F" w14:textId="77777777">
        <w:trPr>
          <w:cantSplit/>
        </w:trPr>
        <w:tc>
          <w:tcPr>
            <w:tcW w:w="2246" w:type="dxa"/>
            <w:vAlign w:val="center"/>
          </w:tcPr>
          <w:p w14:paraId="35E0625A" w14:textId="77777777" w:rsidR="00672297" w:rsidRDefault="00A16EA3">
            <w:pPr>
              <w:spacing w:before="20" w:after="20"/>
              <w:jc w:val="left"/>
            </w:pPr>
            <w:r>
              <w:rPr>
                <w:rFonts w:cstheme="minorHAnsi"/>
                <w:sz w:val="20"/>
                <w:szCs w:val="20"/>
              </w:rPr>
              <w:t>EventType</w:t>
            </w:r>
          </w:p>
        </w:tc>
        <w:tc>
          <w:tcPr>
            <w:tcW w:w="1216" w:type="dxa"/>
            <w:vAlign w:val="center"/>
          </w:tcPr>
          <w:p w14:paraId="7C29E85D" w14:textId="77777777" w:rsidR="00672297" w:rsidRDefault="00A16EA3">
            <w:pPr>
              <w:spacing w:before="20" w:after="20"/>
              <w:jc w:val="left"/>
            </w:pPr>
            <w:r>
              <w:rPr>
                <w:rFonts w:cstheme="minorHAnsi"/>
                <w:sz w:val="20"/>
                <w:szCs w:val="20"/>
              </w:rPr>
              <w:t>VARCHAR(10)</w:t>
            </w:r>
          </w:p>
        </w:tc>
        <w:tc>
          <w:tcPr>
            <w:tcW w:w="3088" w:type="dxa"/>
            <w:vAlign w:val="center"/>
          </w:tcPr>
          <w:p w14:paraId="6EC43789" w14:textId="77777777" w:rsidR="00672297" w:rsidRDefault="00A16EA3">
            <w:pPr>
              <w:spacing w:before="20" w:after="20"/>
              <w:jc w:val="left"/>
            </w:pPr>
            <w:r>
              <w:rPr>
                <w:rFonts w:cstheme="minorHAnsi"/>
                <w:sz w:val="20"/>
                <w:szCs w:val="20"/>
              </w:rPr>
              <w:t>APS event type (15)</w:t>
            </w:r>
          </w:p>
        </w:tc>
        <w:tc>
          <w:tcPr>
            <w:tcW w:w="2810" w:type="dxa"/>
            <w:vAlign w:val="center"/>
          </w:tcPr>
          <w:p w14:paraId="7893776E" w14:textId="77777777" w:rsidR="00672297" w:rsidRDefault="00A16EA3">
            <w:pPr>
              <w:spacing w:before="20" w:after="20"/>
              <w:jc w:val="left"/>
            </w:pPr>
            <w:r>
              <w:rPr>
                <w:rFonts w:cstheme="minorHAnsi"/>
                <w:sz w:val="20"/>
                <w:szCs w:val="20"/>
              </w:rPr>
              <w:t>transfer_detail.movement_type</w:t>
            </w:r>
          </w:p>
        </w:tc>
      </w:tr>
      <w:tr w:rsidR="00672297" w14:paraId="088DB08E" w14:textId="77777777">
        <w:trPr>
          <w:cantSplit/>
        </w:trPr>
        <w:tc>
          <w:tcPr>
            <w:tcW w:w="2246" w:type="dxa"/>
            <w:vAlign w:val="center"/>
          </w:tcPr>
          <w:p w14:paraId="27C6642A" w14:textId="77777777" w:rsidR="00672297" w:rsidRDefault="00A16EA3">
            <w:pPr>
              <w:spacing w:before="20" w:after="20"/>
              <w:jc w:val="left"/>
            </w:pPr>
            <w:r>
              <w:rPr>
                <w:rFonts w:cstheme="minorHAnsi"/>
                <w:sz w:val="20"/>
                <w:szCs w:val="20"/>
              </w:rPr>
              <w:t>CertificationDate</w:t>
            </w:r>
          </w:p>
        </w:tc>
        <w:tc>
          <w:tcPr>
            <w:tcW w:w="1216" w:type="dxa"/>
            <w:vAlign w:val="center"/>
          </w:tcPr>
          <w:p w14:paraId="00FD5D01" w14:textId="77777777" w:rsidR="00672297" w:rsidRDefault="00A16EA3">
            <w:pPr>
              <w:spacing w:before="20" w:after="20"/>
              <w:jc w:val="left"/>
            </w:pPr>
            <w:r>
              <w:rPr>
                <w:rFonts w:cstheme="minorHAnsi"/>
                <w:sz w:val="20"/>
                <w:szCs w:val="20"/>
              </w:rPr>
              <w:t>DATETIME</w:t>
            </w:r>
          </w:p>
        </w:tc>
        <w:tc>
          <w:tcPr>
            <w:tcW w:w="3088" w:type="dxa"/>
            <w:vAlign w:val="center"/>
          </w:tcPr>
          <w:p w14:paraId="12E59641" w14:textId="77777777" w:rsidR="00672297" w:rsidRDefault="00A16EA3">
            <w:pPr>
              <w:spacing w:before="20" w:after="20"/>
              <w:jc w:val="left"/>
            </w:pPr>
            <w:r>
              <w:rPr>
                <w:rFonts w:cstheme="minorHAnsi"/>
                <w:sz w:val="20"/>
                <w:szCs w:val="20"/>
              </w:rPr>
              <w:t>Certification date of the batch quality</w:t>
            </w:r>
          </w:p>
        </w:tc>
        <w:tc>
          <w:tcPr>
            <w:tcW w:w="2810" w:type="dxa"/>
            <w:vAlign w:val="center"/>
          </w:tcPr>
          <w:p w14:paraId="0CC1F982" w14:textId="77777777" w:rsidR="00672297" w:rsidRDefault="00A16EA3">
            <w:pPr>
              <w:spacing w:before="20" w:after="20"/>
              <w:jc w:val="left"/>
            </w:pPr>
            <w:r>
              <w:rPr>
                <w:rFonts w:cstheme="minorHAnsi"/>
                <w:sz w:val="20"/>
                <w:szCs w:val="20"/>
              </w:rPr>
              <w:t>quality_detail.actual_captured_date</w:t>
            </w:r>
          </w:p>
        </w:tc>
      </w:tr>
      <w:tr w:rsidR="00672297" w14:paraId="7CB1BA1E" w14:textId="77777777">
        <w:trPr>
          <w:cantSplit/>
        </w:trPr>
        <w:tc>
          <w:tcPr>
            <w:tcW w:w="2246" w:type="dxa"/>
            <w:vAlign w:val="center"/>
          </w:tcPr>
          <w:p w14:paraId="3EBAFBE2" w14:textId="77777777" w:rsidR="00672297" w:rsidRDefault="00A16EA3">
            <w:pPr>
              <w:spacing w:before="20" w:after="20"/>
              <w:jc w:val="left"/>
            </w:pPr>
            <w:r>
              <w:rPr>
                <w:rFonts w:cstheme="minorHAnsi"/>
                <w:sz w:val="20"/>
                <w:szCs w:val="20"/>
              </w:rPr>
              <w:t>CertificationStatus</w:t>
            </w:r>
          </w:p>
        </w:tc>
        <w:tc>
          <w:tcPr>
            <w:tcW w:w="1216" w:type="dxa"/>
            <w:vAlign w:val="center"/>
          </w:tcPr>
          <w:p w14:paraId="265DE974" w14:textId="77777777" w:rsidR="00672297" w:rsidRDefault="00A16EA3">
            <w:pPr>
              <w:spacing w:before="20" w:after="20"/>
              <w:jc w:val="left"/>
            </w:pPr>
            <w:r>
              <w:rPr>
                <w:rFonts w:cstheme="minorHAnsi"/>
                <w:sz w:val="20"/>
                <w:szCs w:val="20"/>
              </w:rPr>
              <w:t>VARCHAR(50)</w:t>
            </w:r>
          </w:p>
        </w:tc>
        <w:tc>
          <w:tcPr>
            <w:tcW w:w="3088" w:type="dxa"/>
            <w:vAlign w:val="center"/>
          </w:tcPr>
          <w:p w14:paraId="7BD1C8ED" w14:textId="77777777" w:rsidR="00672297" w:rsidRDefault="00A16EA3">
            <w:pPr>
              <w:spacing w:before="20" w:after="20"/>
              <w:jc w:val="left"/>
            </w:pPr>
            <w:r>
              <w:rPr>
                <w:rFonts w:cstheme="minorHAnsi"/>
                <w:sz w:val="20"/>
                <w:szCs w:val="20"/>
              </w:rPr>
              <w:t>Certification status</w:t>
            </w:r>
          </w:p>
        </w:tc>
        <w:tc>
          <w:tcPr>
            <w:tcW w:w="2810" w:type="dxa"/>
            <w:vAlign w:val="center"/>
          </w:tcPr>
          <w:p w14:paraId="3A16185F" w14:textId="77777777" w:rsidR="00672297" w:rsidRDefault="00A16EA3">
            <w:pPr>
              <w:spacing w:before="20" w:after="20"/>
              <w:jc w:val="left"/>
            </w:pPr>
            <w:r>
              <w:rPr>
                <w:rFonts w:cstheme="minorHAnsi"/>
                <w:sz w:val="20"/>
                <w:szCs w:val="20"/>
              </w:rPr>
              <w:t>IQDM Blend-Transfer validation logic</w:t>
            </w:r>
          </w:p>
        </w:tc>
      </w:tr>
      <w:tr w:rsidR="00672297" w14:paraId="20D94555" w14:textId="77777777">
        <w:trPr>
          <w:cantSplit/>
        </w:trPr>
        <w:tc>
          <w:tcPr>
            <w:tcW w:w="2246" w:type="dxa"/>
            <w:vAlign w:val="center"/>
          </w:tcPr>
          <w:p w14:paraId="493E0749" w14:textId="77777777" w:rsidR="00672297" w:rsidRDefault="00A16EA3">
            <w:pPr>
              <w:spacing w:before="20" w:after="20"/>
              <w:jc w:val="left"/>
            </w:pPr>
            <w:r>
              <w:rPr>
                <w:rFonts w:cstheme="minorHAnsi"/>
                <w:sz w:val="20"/>
                <w:szCs w:val="20"/>
              </w:rPr>
              <w:t>FlashMin</w:t>
            </w:r>
          </w:p>
        </w:tc>
        <w:tc>
          <w:tcPr>
            <w:tcW w:w="1216" w:type="dxa"/>
            <w:vAlign w:val="center"/>
          </w:tcPr>
          <w:p w14:paraId="6BAA550E" w14:textId="77777777" w:rsidR="00672297" w:rsidRDefault="00A16EA3">
            <w:pPr>
              <w:spacing w:before="20" w:after="20"/>
              <w:jc w:val="left"/>
            </w:pPr>
            <w:r>
              <w:rPr>
                <w:rFonts w:cstheme="minorHAnsi"/>
                <w:sz w:val="20"/>
                <w:szCs w:val="20"/>
              </w:rPr>
              <w:t>DECIMAL(18,4)</w:t>
            </w:r>
          </w:p>
        </w:tc>
        <w:tc>
          <w:tcPr>
            <w:tcW w:w="3088" w:type="dxa"/>
            <w:vAlign w:val="center"/>
          </w:tcPr>
          <w:p w14:paraId="008DFC9D" w14:textId="77777777" w:rsidR="00672297" w:rsidRDefault="00A16EA3">
            <w:pPr>
              <w:spacing w:before="20" w:after="20"/>
              <w:jc w:val="left"/>
            </w:pPr>
            <w:r>
              <w:rPr>
                <w:rFonts w:cstheme="minorHAnsi"/>
                <w:sz w:val="20"/>
                <w:szCs w:val="20"/>
              </w:rPr>
              <w:t>Flash resolved specification minimum (°F)</w:t>
            </w:r>
          </w:p>
        </w:tc>
        <w:tc>
          <w:tcPr>
            <w:tcW w:w="2810" w:type="dxa"/>
            <w:vAlign w:val="center"/>
          </w:tcPr>
          <w:p w14:paraId="6220D6B2" w14:textId="77777777" w:rsidR="00672297" w:rsidRDefault="00A16EA3">
            <w:pPr>
              <w:spacing w:before="20" w:after="20"/>
              <w:jc w:val="left"/>
            </w:pPr>
            <w:r>
              <w:rPr>
                <w:rFonts w:cstheme="minorHAnsi"/>
                <w:sz w:val="20"/>
                <w:szCs w:val="20"/>
              </w:rPr>
              <w:t>Specification resolution (Stage 1, Stage 2, waiver); NULL when "R"</w:t>
            </w:r>
          </w:p>
        </w:tc>
      </w:tr>
      <w:tr w:rsidR="00672297" w14:paraId="3802B3DC" w14:textId="77777777">
        <w:trPr>
          <w:cantSplit/>
        </w:trPr>
        <w:tc>
          <w:tcPr>
            <w:tcW w:w="2246" w:type="dxa"/>
            <w:vAlign w:val="center"/>
          </w:tcPr>
          <w:p w14:paraId="4A458494" w14:textId="77777777" w:rsidR="00672297" w:rsidRDefault="00A16EA3">
            <w:pPr>
              <w:spacing w:before="20" w:after="20"/>
              <w:jc w:val="left"/>
            </w:pPr>
            <w:r>
              <w:rPr>
                <w:rFonts w:cstheme="minorHAnsi"/>
                <w:sz w:val="20"/>
                <w:szCs w:val="20"/>
              </w:rPr>
              <w:t>FlashActual</w:t>
            </w:r>
          </w:p>
        </w:tc>
        <w:tc>
          <w:tcPr>
            <w:tcW w:w="1216" w:type="dxa"/>
            <w:vAlign w:val="center"/>
          </w:tcPr>
          <w:p w14:paraId="67FBEC2B" w14:textId="77777777" w:rsidR="00672297" w:rsidRDefault="00A16EA3">
            <w:pPr>
              <w:spacing w:before="20" w:after="20"/>
              <w:jc w:val="left"/>
            </w:pPr>
            <w:r>
              <w:rPr>
                <w:rFonts w:cstheme="minorHAnsi"/>
                <w:sz w:val="20"/>
                <w:szCs w:val="20"/>
              </w:rPr>
              <w:t>DECIMAL(18,4)</w:t>
            </w:r>
          </w:p>
        </w:tc>
        <w:tc>
          <w:tcPr>
            <w:tcW w:w="3088" w:type="dxa"/>
            <w:vAlign w:val="center"/>
          </w:tcPr>
          <w:p w14:paraId="46A0159F" w14:textId="77777777" w:rsidR="00672297" w:rsidRDefault="00A16EA3">
            <w:pPr>
              <w:spacing w:before="20" w:after="20"/>
              <w:jc w:val="left"/>
            </w:pPr>
            <w:r>
              <w:rPr>
                <w:rFonts w:cstheme="minorHAnsi"/>
                <w:sz w:val="20"/>
                <w:szCs w:val="20"/>
              </w:rPr>
              <w:t>Flash certified value (°F)</w:t>
            </w:r>
          </w:p>
        </w:tc>
        <w:tc>
          <w:tcPr>
            <w:tcW w:w="2810" w:type="dxa"/>
            <w:vAlign w:val="center"/>
          </w:tcPr>
          <w:p w14:paraId="066A531A" w14:textId="77777777" w:rsidR="00672297" w:rsidRDefault="00A16EA3">
            <w:pPr>
              <w:spacing w:before="20" w:after="20"/>
              <w:jc w:val="left"/>
            </w:pPr>
            <w:r>
              <w:rPr>
                <w:rFonts w:cstheme="minorHAnsi"/>
                <w:sz w:val="20"/>
                <w:szCs w:val="20"/>
              </w:rPr>
              <w:t>quality_detail (certified sample of the batch)</w:t>
            </w:r>
          </w:p>
        </w:tc>
      </w:tr>
      <w:tr w:rsidR="00672297" w14:paraId="12F0DE8E" w14:textId="77777777">
        <w:trPr>
          <w:cantSplit/>
        </w:trPr>
        <w:tc>
          <w:tcPr>
            <w:tcW w:w="2246" w:type="dxa"/>
            <w:vAlign w:val="center"/>
          </w:tcPr>
          <w:p w14:paraId="5ABAC73A" w14:textId="77777777" w:rsidR="00672297" w:rsidRDefault="00A16EA3">
            <w:pPr>
              <w:spacing w:before="20" w:after="20"/>
              <w:jc w:val="left"/>
            </w:pPr>
            <w:r>
              <w:rPr>
                <w:rFonts w:cstheme="minorHAnsi"/>
                <w:sz w:val="20"/>
                <w:szCs w:val="20"/>
              </w:rPr>
              <w:t>FlashMax</w:t>
            </w:r>
          </w:p>
        </w:tc>
        <w:tc>
          <w:tcPr>
            <w:tcW w:w="1216" w:type="dxa"/>
            <w:vAlign w:val="center"/>
          </w:tcPr>
          <w:p w14:paraId="4A79E0C6" w14:textId="77777777" w:rsidR="00672297" w:rsidRDefault="00A16EA3">
            <w:pPr>
              <w:spacing w:before="20" w:after="20"/>
              <w:jc w:val="left"/>
            </w:pPr>
            <w:r>
              <w:rPr>
                <w:rFonts w:cstheme="minorHAnsi"/>
                <w:sz w:val="20"/>
                <w:szCs w:val="20"/>
              </w:rPr>
              <w:t>DECIMAL(18,4)</w:t>
            </w:r>
          </w:p>
        </w:tc>
        <w:tc>
          <w:tcPr>
            <w:tcW w:w="3088" w:type="dxa"/>
            <w:vAlign w:val="center"/>
          </w:tcPr>
          <w:p w14:paraId="40B0EA90" w14:textId="77777777" w:rsidR="00672297" w:rsidRDefault="00A16EA3">
            <w:pPr>
              <w:spacing w:before="20" w:after="20"/>
              <w:jc w:val="left"/>
            </w:pPr>
            <w:r>
              <w:rPr>
                <w:rFonts w:cstheme="minorHAnsi"/>
                <w:sz w:val="20"/>
                <w:szCs w:val="20"/>
              </w:rPr>
              <w:t>Flash resolved specification maximum (°F)</w:t>
            </w:r>
          </w:p>
        </w:tc>
        <w:tc>
          <w:tcPr>
            <w:tcW w:w="2810" w:type="dxa"/>
            <w:vAlign w:val="center"/>
          </w:tcPr>
          <w:p w14:paraId="5E237FF6" w14:textId="77777777" w:rsidR="00672297" w:rsidRDefault="00A16EA3">
            <w:pPr>
              <w:spacing w:before="20" w:after="20"/>
              <w:jc w:val="left"/>
            </w:pPr>
            <w:r>
              <w:rPr>
                <w:rFonts w:cstheme="minorHAnsi"/>
                <w:sz w:val="20"/>
                <w:szCs w:val="20"/>
              </w:rPr>
              <w:t>Specification resolution; NULL when "R"</w:t>
            </w:r>
          </w:p>
        </w:tc>
      </w:tr>
      <w:tr w:rsidR="00672297" w14:paraId="72C60CB7" w14:textId="77777777">
        <w:trPr>
          <w:cantSplit/>
        </w:trPr>
        <w:tc>
          <w:tcPr>
            <w:tcW w:w="2246" w:type="dxa"/>
            <w:vAlign w:val="center"/>
          </w:tcPr>
          <w:p w14:paraId="3D96AD6D" w14:textId="77777777" w:rsidR="00672297" w:rsidRDefault="00A16EA3">
            <w:pPr>
              <w:spacing w:before="20" w:after="20"/>
              <w:jc w:val="left"/>
            </w:pPr>
            <w:r>
              <w:rPr>
                <w:rFonts w:cstheme="minorHAnsi"/>
                <w:sz w:val="20"/>
                <w:szCs w:val="20"/>
              </w:rPr>
              <w:t>SulphurMin</w:t>
            </w:r>
          </w:p>
        </w:tc>
        <w:tc>
          <w:tcPr>
            <w:tcW w:w="1216" w:type="dxa"/>
            <w:vAlign w:val="center"/>
          </w:tcPr>
          <w:p w14:paraId="5887FF25" w14:textId="77777777" w:rsidR="00672297" w:rsidRDefault="00A16EA3">
            <w:pPr>
              <w:spacing w:before="20" w:after="20"/>
              <w:jc w:val="left"/>
            </w:pPr>
            <w:r>
              <w:rPr>
                <w:rFonts w:cstheme="minorHAnsi"/>
                <w:sz w:val="20"/>
                <w:szCs w:val="20"/>
              </w:rPr>
              <w:t>DECIMAL(18,4)</w:t>
            </w:r>
          </w:p>
        </w:tc>
        <w:tc>
          <w:tcPr>
            <w:tcW w:w="3088" w:type="dxa"/>
            <w:vAlign w:val="center"/>
          </w:tcPr>
          <w:p w14:paraId="74541265" w14:textId="77777777" w:rsidR="00672297" w:rsidRDefault="00A16EA3">
            <w:pPr>
              <w:spacing w:before="20" w:after="20"/>
              <w:jc w:val="left"/>
            </w:pPr>
            <w:r>
              <w:rPr>
                <w:rFonts w:cstheme="minorHAnsi"/>
                <w:sz w:val="20"/>
                <w:szCs w:val="20"/>
              </w:rPr>
              <w:t>Sulphur resolved specification minimum (ppm)</w:t>
            </w:r>
          </w:p>
        </w:tc>
        <w:tc>
          <w:tcPr>
            <w:tcW w:w="2810" w:type="dxa"/>
            <w:vAlign w:val="center"/>
          </w:tcPr>
          <w:p w14:paraId="5852925E" w14:textId="77777777" w:rsidR="00672297" w:rsidRDefault="00A16EA3">
            <w:pPr>
              <w:spacing w:before="20" w:after="20"/>
              <w:jc w:val="left"/>
            </w:pPr>
            <w:r>
              <w:rPr>
                <w:rFonts w:cstheme="minorHAnsi"/>
                <w:sz w:val="20"/>
                <w:szCs w:val="20"/>
              </w:rPr>
              <w:t>Specification resolution (Stage 1, Stage 2, waiver); NULL when "R"</w:t>
            </w:r>
          </w:p>
        </w:tc>
      </w:tr>
      <w:tr w:rsidR="00672297" w14:paraId="5D0D86D6" w14:textId="77777777">
        <w:trPr>
          <w:cantSplit/>
        </w:trPr>
        <w:tc>
          <w:tcPr>
            <w:tcW w:w="2246" w:type="dxa"/>
            <w:vAlign w:val="center"/>
          </w:tcPr>
          <w:p w14:paraId="32E2D040" w14:textId="77777777" w:rsidR="00672297" w:rsidRDefault="00A16EA3">
            <w:pPr>
              <w:spacing w:before="20" w:after="20"/>
              <w:jc w:val="left"/>
            </w:pPr>
            <w:r>
              <w:rPr>
                <w:rFonts w:cstheme="minorHAnsi"/>
                <w:sz w:val="20"/>
                <w:szCs w:val="20"/>
              </w:rPr>
              <w:t>SulphurActual</w:t>
            </w:r>
          </w:p>
        </w:tc>
        <w:tc>
          <w:tcPr>
            <w:tcW w:w="1216" w:type="dxa"/>
            <w:vAlign w:val="center"/>
          </w:tcPr>
          <w:p w14:paraId="425C062F" w14:textId="77777777" w:rsidR="00672297" w:rsidRDefault="00A16EA3">
            <w:pPr>
              <w:spacing w:before="20" w:after="20"/>
              <w:jc w:val="left"/>
            </w:pPr>
            <w:r>
              <w:rPr>
                <w:rFonts w:cstheme="minorHAnsi"/>
                <w:sz w:val="20"/>
                <w:szCs w:val="20"/>
              </w:rPr>
              <w:t>DECIMAL(18,4)</w:t>
            </w:r>
          </w:p>
        </w:tc>
        <w:tc>
          <w:tcPr>
            <w:tcW w:w="3088" w:type="dxa"/>
            <w:vAlign w:val="center"/>
          </w:tcPr>
          <w:p w14:paraId="5F66183B" w14:textId="77777777" w:rsidR="00672297" w:rsidRDefault="00A16EA3">
            <w:pPr>
              <w:spacing w:before="20" w:after="20"/>
              <w:jc w:val="left"/>
            </w:pPr>
            <w:r>
              <w:rPr>
                <w:rFonts w:cstheme="minorHAnsi"/>
                <w:sz w:val="20"/>
                <w:szCs w:val="20"/>
              </w:rPr>
              <w:t>Sulphur certified value (ppm)</w:t>
            </w:r>
          </w:p>
        </w:tc>
        <w:tc>
          <w:tcPr>
            <w:tcW w:w="2810" w:type="dxa"/>
            <w:vAlign w:val="center"/>
          </w:tcPr>
          <w:p w14:paraId="6ABC837F" w14:textId="77777777" w:rsidR="00672297" w:rsidRDefault="00A16EA3">
            <w:pPr>
              <w:spacing w:before="20" w:after="20"/>
              <w:jc w:val="left"/>
            </w:pPr>
            <w:r>
              <w:rPr>
                <w:rFonts w:cstheme="minorHAnsi"/>
                <w:sz w:val="20"/>
                <w:szCs w:val="20"/>
              </w:rPr>
              <w:t>quality_detail (certified sample of the batch)</w:t>
            </w:r>
          </w:p>
        </w:tc>
      </w:tr>
      <w:tr w:rsidR="00672297" w14:paraId="4A0BBA13" w14:textId="77777777">
        <w:trPr>
          <w:cantSplit/>
        </w:trPr>
        <w:tc>
          <w:tcPr>
            <w:tcW w:w="2246" w:type="dxa"/>
            <w:vAlign w:val="center"/>
          </w:tcPr>
          <w:p w14:paraId="6AFAA891" w14:textId="77777777" w:rsidR="00672297" w:rsidRDefault="00A16EA3">
            <w:pPr>
              <w:spacing w:before="20" w:after="20"/>
              <w:jc w:val="left"/>
            </w:pPr>
            <w:r>
              <w:rPr>
                <w:rFonts w:cstheme="minorHAnsi"/>
                <w:sz w:val="20"/>
                <w:szCs w:val="20"/>
              </w:rPr>
              <w:t>SulphurMax</w:t>
            </w:r>
          </w:p>
        </w:tc>
        <w:tc>
          <w:tcPr>
            <w:tcW w:w="1216" w:type="dxa"/>
            <w:vAlign w:val="center"/>
          </w:tcPr>
          <w:p w14:paraId="2D21A0F0" w14:textId="77777777" w:rsidR="00672297" w:rsidRDefault="00A16EA3">
            <w:pPr>
              <w:spacing w:before="20" w:after="20"/>
              <w:jc w:val="left"/>
            </w:pPr>
            <w:r>
              <w:rPr>
                <w:rFonts w:cstheme="minorHAnsi"/>
                <w:sz w:val="20"/>
                <w:szCs w:val="20"/>
              </w:rPr>
              <w:t>DECIMAL(18,4)</w:t>
            </w:r>
          </w:p>
        </w:tc>
        <w:tc>
          <w:tcPr>
            <w:tcW w:w="3088" w:type="dxa"/>
            <w:vAlign w:val="center"/>
          </w:tcPr>
          <w:p w14:paraId="7E27DE24" w14:textId="77777777" w:rsidR="00672297" w:rsidRDefault="00A16EA3">
            <w:pPr>
              <w:spacing w:before="20" w:after="20"/>
              <w:jc w:val="left"/>
            </w:pPr>
            <w:r>
              <w:rPr>
                <w:rFonts w:cstheme="minorHAnsi"/>
                <w:sz w:val="20"/>
                <w:szCs w:val="20"/>
              </w:rPr>
              <w:t>Sulphur resolved specification maximum (ppm)</w:t>
            </w:r>
          </w:p>
        </w:tc>
        <w:tc>
          <w:tcPr>
            <w:tcW w:w="2810" w:type="dxa"/>
            <w:vAlign w:val="center"/>
          </w:tcPr>
          <w:p w14:paraId="5A820BCE" w14:textId="77777777" w:rsidR="00672297" w:rsidRDefault="00A16EA3">
            <w:pPr>
              <w:spacing w:before="20" w:after="20"/>
              <w:jc w:val="left"/>
            </w:pPr>
            <w:r>
              <w:rPr>
                <w:rFonts w:cstheme="minorHAnsi"/>
                <w:sz w:val="20"/>
                <w:szCs w:val="20"/>
              </w:rPr>
              <w:t>Specification resolution; NULL when "R"</w:t>
            </w:r>
          </w:p>
        </w:tc>
      </w:tr>
      <w:tr w:rsidR="00672297" w14:paraId="5676692B" w14:textId="77777777">
        <w:trPr>
          <w:cantSplit/>
        </w:trPr>
        <w:tc>
          <w:tcPr>
            <w:tcW w:w="2246" w:type="dxa"/>
            <w:vAlign w:val="center"/>
          </w:tcPr>
          <w:p w14:paraId="3EEE3562" w14:textId="77777777" w:rsidR="00672297" w:rsidRDefault="00A16EA3">
            <w:pPr>
              <w:spacing w:before="20" w:after="20"/>
              <w:jc w:val="left"/>
            </w:pPr>
            <w:r>
              <w:rPr>
                <w:rFonts w:cstheme="minorHAnsi"/>
                <w:sz w:val="20"/>
                <w:szCs w:val="20"/>
              </w:rPr>
              <w:t>AdjCloudPointMin</w:t>
            </w:r>
          </w:p>
        </w:tc>
        <w:tc>
          <w:tcPr>
            <w:tcW w:w="1216" w:type="dxa"/>
            <w:vAlign w:val="center"/>
          </w:tcPr>
          <w:p w14:paraId="5382B935" w14:textId="77777777" w:rsidR="00672297" w:rsidRDefault="00A16EA3">
            <w:pPr>
              <w:spacing w:before="20" w:after="20"/>
              <w:jc w:val="left"/>
            </w:pPr>
            <w:r>
              <w:rPr>
                <w:rFonts w:cstheme="minorHAnsi"/>
                <w:sz w:val="20"/>
                <w:szCs w:val="20"/>
              </w:rPr>
              <w:t>DECIMAL(18,4)</w:t>
            </w:r>
          </w:p>
        </w:tc>
        <w:tc>
          <w:tcPr>
            <w:tcW w:w="3088" w:type="dxa"/>
            <w:vAlign w:val="center"/>
          </w:tcPr>
          <w:p w14:paraId="59080077" w14:textId="77777777" w:rsidR="00672297" w:rsidRDefault="00A16EA3">
            <w:pPr>
              <w:spacing w:before="20" w:after="20"/>
              <w:jc w:val="left"/>
            </w:pPr>
            <w:r>
              <w:rPr>
                <w:rFonts w:cstheme="minorHAnsi"/>
                <w:sz w:val="20"/>
                <w:szCs w:val="20"/>
              </w:rPr>
              <w:t>AdjCloudPoint resolved specification minimum (°F)</w:t>
            </w:r>
          </w:p>
        </w:tc>
        <w:tc>
          <w:tcPr>
            <w:tcW w:w="2810" w:type="dxa"/>
            <w:vAlign w:val="center"/>
          </w:tcPr>
          <w:p w14:paraId="2306C9BF" w14:textId="77777777" w:rsidR="00672297" w:rsidRDefault="00A16EA3">
            <w:pPr>
              <w:spacing w:before="20" w:after="20"/>
              <w:jc w:val="left"/>
            </w:pPr>
            <w:r>
              <w:rPr>
                <w:rFonts w:cstheme="minorHAnsi"/>
                <w:sz w:val="20"/>
                <w:szCs w:val="20"/>
              </w:rPr>
              <w:t>Specification resolution (Stage 1, Stage 2, waiver); NULL when "R"</w:t>
            </w:r>
          </w:p>
        </w:tc>
      </w:tr>
      <w:tr w:rsidR="00672297" w14:paraId="7AF0D7DC" w14:textId="77777777">
        <w:trPr>
          <w:cantSplit/>
        </w:trPr>
        <w:tc>
          <w:tcPr>
            <w:tcW w:w="2246" w:type="dxa"/>
            <w:vAlign w:val="center"/>
          </w:tcPr>
          <w:p w14:paraId="17AD8D16" w14:textId="77777777" w:rsidR="00672297" w:rsidRDefault="00A16EA3">
            <w:pPr>
              <w:spacing w:before="20" w:after="20"/>
              <w:jc w:val="left"/>
            </w:pPr>
            <w:r>
              <w:rPr>
                <w:rFonts w:cstheme="minorHAnsi"/>
                <w:sz w:val="20"/>
                <w:szCs w:val="20"/>
              </w:rPr>
              <w:t>AdjCloudPointActual</w:t>
            </w:r>
          </w:p>
        </w:tc>
        <w:tc>
          <w:tcPr>
            <w:tcW w:w="1216" w:type="dxa"/>
            <w:vAlign w:val="center"/>
          </w:tcPr>
          <w:p w14:paraId="780A3F22" w14:textId="77777777" w:rsidR="00672297" w:rsidRDefault="00A16EA3">
            <w:pPr>
              <w:spacing w:before="20" w:after="20"/>
              <w:jc w:val="left"/>
            </w:pPr>
            <w:r>
              <w:rPr>
                <w:rFonts w:cstheme="minorHAnsi"/>
                <w:sz w:val="20"/>
                <w:szCs w:val="20"/>
              </w:rPr>
              <w:t>DECIMAL(18,4)</w:t>
            </w:r>
          </w:p>
        </w:tc>
        <w:tc>
          <w:tcPr>
            <w:tcW w:w="3088" w:type="dxa"/>
            <w:vAlign w:val="center"/>
          </w:tcPr>
          <w:p w14:paraId="3C24F9C2" w14:textId="77777777" w:rsidR="00672297" w:rsidRDefault="00A16EA3">
            <w:pPr>
              <w:spacing w:before="20" w:after="20"/>
              <w:jc w:val="left"/>
            </w:pPr>
            <w:r>
              <w:rPr>
                <w:rFonts w:cstheme="minorHAnsi"/>
                <w:sz w:val="20"/>
                <w:szCs w:val="20"/>
              </w:rPr>
              <w:t>AdjCloudPoint certified value (°F)</w:t>
            </w:r>
          </w:p>
        </w:tc>
        <w:tc>
          <w:tcPr>
            <w:tcW w:w="2810" w:type="dxa"/>
            <w:vAlign w:val="center"/>
          </w:tcPr>
          <w:p w14:paraId="718E4B6F" w14:textId="77777777" w:rsidR="00672297" w:rsidRDefault="00A16EA3">
            <w:pPr>
              <w:spacing w:before="20" w:after="20"/>
              <w:jc w:val="left"/>
            </w:pPr>
            <w:r>
              <w:rPr>
                <w:rFonts w:cstheme="minorHAnsi"/>
                <w:sz w:val="20"/>
                <w:szCs w:val="20"/>
              </w:rPr>
              <w:t>quality_detail (certified sample of the batch)</w:t>
            </w:r>
          </w:p>
        </w:tc>
      </w:tr>
      <w:tr w:rsidR="00672297" w14:paraId="39C42AFF" w14:textId="77777777">
        <w:trPr>
          <w:cantSplit/>
        </w:trPr>
        <w:tc>
          <w:tcPr>
            <w:tcW w:w="2246" w:type="dxa"/>
            <w:vAlign w:val="center"/>
          </w:tcPr>
          <w:p w14:paraId="0495FA8D" w14:textId="77777777" w:rsidR="00672297" w:rsidRDefault="00A16EA3">
            <w:pPr>
              <w:spacing w:before="20" w:after="20"/>
              <w:jc w:val="left"/>
            </w:pPr>
            <w:r>
              <w:rPr>
                <w:rFonts w:cstheme="minorHAnsi"/>
                <w:sz w:val="20"/>
                <w:szCs w:val="20"/>
              </w:rPr>
              <w:t>AdjCloudPointMax</w:t>
            </w:r>
          </w:p>
        </w:tc>
        <w:tc>
          <w:tcPr>
            <w:tcW w:w="1216" w:type="dxa"/>
            <w:vAlign w:val="center"/>
          </w:tcPr>
          <w:p w14:paraId="08B9AECB" w14:textId="77777777" w:rsidR="00672297" w:rsidRDefault="00A16EA3">
            <w:pPr>
              <w:spacing w:before="20" w:after="20"/>
              <w:jc w:val="left"/>
            </w:pPr>
            <w:r>
              <w:rPr>
                <w:rFonts w:cstheme="minorHAnsi"/>
                <w:sz w:val="20"/>
                <w:szCs w:val="20"/>
              </w:rPr>
              <w:t>DECIMAL(18,4)</w:t>
            </w:r>
          </w:p>
        </w:tc>
        <w:tc>
          <w:tcPr>
            <w:tcW w:w="3088" w:type="dxa"/>
            <w:vAlign w:val="center"/>
          </w:tcPr>
          <w:p w14:paraId="567364BB" w14:textId="77777777" w:rsidR="00672297" w:rsidRDefault="00A16EA3">
            <w:pPr>
              <w:spacing w:before="20" w:after="20"/>
              <w:jc w:val="left"/>
            </w:pPr>
            <w:r>
              <w:rPr>
                <w:rFonts w:cstheme="minorHAnsi"/>
                <w:sz w:val="20"/>
                <w:szCs w:val="20"/>
              </w:rPr>
              <w:t>AdjCloudPoint resolved specification maximum (°F)</w:t>
            </w:r>
          </w:p>
        </w:tc>
        <w:tc>
          <w:tcPr>
            <w:tcW w:w="2810" w:type="dxa"/>
            <w:vAlign w:val="center"/>
          </w:tcPr>
          <w:p w14:paraId="23EC429C" w14:textId="77777777" w:rsidR="00672297" w:rsidRDefault="00A16EA3">
            <w:pPr>
              <w:spacing w:before="20" w:after="20"/>
              <w:jc w:val="left"/>
            </w:pPr>
            <w:r>
              <w:rPr>
                <w:rFonts w:cstheme="minorHAnsi"/>
                <w:sz w:val="20"/>
                <w:szCs w:val="20"/>
              </w:rPr>
              <w:t>Specification resolution; NULL when "R"</w:t>
            </w:r>
          </w:p>
        </w:tc>
      </w:tr>
      <w:tr w:rsidR="00672297" w14:paraId="77DF9529" w14:textId="77777777">
        <w:trPr>
          <w:cantSplit/>
        </w:trPr>
        <w:tc>
          <w:tcPr>
            <w:tcW w:w="2246" w:type="dxa"/>
            <w:vAlign w:val="center"/>
          </w:tcPr>
          <w:p w14:paraId="35B247B0" w14:textId="77777777" w:rsidR="00672297" w:rsidRDefault="00A16EA3">
            <w:pPr>
              <w:spacing w:before="20" w:after="20"/>
              <w:jc w:val="left"/>
            </w:pPr>
            <w:r>
              <w:rPr>
                <w:rFonts w:cstheme="minorHAnsi"/>
                <w:sz w:val="20"/>
                <w:szCs w:val="20"/>
              </w:rPr>
              <w:t>T90Min</w:t>
            </w:r>
          </w:p>
        </w:tc>
        <w:tc>
          <w:tcPr>
            <w:tcW w:w="1216" w:type="dxa"/>
            <w:vAlign w:val="center"/>
          </w:tcPr>
          <w:p w14:paraId="1374F69E" w14:textId="77777777" w:rsidR="00672297" w:rsidRDefault="00A16EA3">
            <w:pPr>
              <w:spacing w:before="20" w:after="20"/>
              <w:jc w:val="left"/>
            </w:pPr>
            <w:r>
              <w:rPr>
                <w:rFonts w:cstheme="minorHAnsi"/>
                <w:sz w:val="20"/>
                <w:szCs w:val="20"/>
              </w:rPr>
              <w:t>DECIMAL(18,4)</w:t>
            </w:r>
          </w:p>
        </w:tc>
        <w:tc>
          <w:tcPr>
            <w:tcW w:w="3088" w:type="dxa"/>
            <w:vAlign w:val="center"/>
          </w:tcPr>
          <w:p w14:paraId="0925D069" w14:textId="77777777" w:rsidR="00672297" w:rsidRDefault="00A16EA3">
            <w:pPr>
              <w:spacing w:before="20" w:after="20"/>
              <w:jc w:val="left"/>
            </w:pPr>
            <w:r>
              <w:rPr>
                <w:rFonts w:cstheme="minorHAnsi"/>
                <w:sz w:val="20"/>
                <w:szCs w:val="20"/>
              </w:rPr>
              <w:t>T90 resolved specification minimum (°F)</w:t>
            </w:r>
          </w:p>
        </w:tc>
        <w:tc>
          <w:tcPr>
            <w:tcW w:w="2810" w:type="dxa"/>
            <w:vAlign w:val="center"/>
          </w:tcPr>
          <w:p w14:paraId="0AB90ACA" w14:textId="77777777" w:rsidR="00672297" w:rsidRDefault="00A16EA3">
            <w:pPr>
              <w:spacing w:before="20" w:after="20"/>
              <w:jc w:val="left"/>
            </w:pPr>
            <w:r>
              <w:rPr>
                <w:rFonts w:cstheme="minorHAnsi"/>
                <w:sz w:val="20"/>
                <w:szCs w:val="20"/>
              </w:rPr>
              <w:t>Specification resolution (Stage 1, Stage 2, waiver); NULL when "R"</w:t>
            </w:r>
          </w:p>
        </w:tc>
      </w:tr>
      <w:tr w:rsidR="00672297" w14:paraId="32DCA632" w14:textId="77777777">
        <w:trPr>
          <w:cantSplit/>
        </w:trPr>
        <w:tc>
          <w:tcPr>
            <w:tcW w:w="2246" w:type="dxa"/>
            <w:vAlign w:val="center"/>
          </w:tcPr>
          <w:p w14:paraId="576A456C" w14:textId="77777777" w:rsidR="00672297" w:rsidRDefault="00A16EA3">
            <w:pPr>
              <w:spacing w:before="20" w:after="20"/>
              <w:jc w:val="left"/>
            </w:pPr>
            <w:r>
              <w:rPr>
                <w:rFonts w:cstheme="minorHAnsi"/>
                <w:sz w:val="20"/>
                <w:szCs w:val="20"/>
              </w:rPr>
              <w:t>T90Actual</w:t>
            </w:r>
          </w:p>
        </w:tc>
        <w:tc>
          <w:tcPr>
            <w:tcW w:w="1216" w:type="dxa"/>
            <w:vAlign w:val="center"/>
          </w:tcPr>
          <w:p w14:paraId="22F62012" w14:textId="77777777" w:rsidR="00672297" w:rsidRDefault="00A16EA3">
            <w:pPr>
              <w:spacing w:before="20" w:after="20"/>
              <w:jc w:val="left"/>
            </w:pPr>
            <w:r>
              <w:rPr>
                <w:rFonts w:cstheme="minorHAnsi"/>
                <w:sz w:val="20"/>
                <w:szCs w:val="20"/>
              </w:rPr>
              <w:t>DECIMAL(18,4)</w:t>
            </w:r>
          </w:p>
        </w:tc>
        <w:tc>
          <w:tcPr>
            <w:tcW w:w="3088" w:type="dxa"/>
            <w:vAlign w:val="center"/>
          </w:tcPr>
          <w:p w14:paraId="5739123A" w14:textId="77777777" w:rsidR="00672297" w:rsidRDefault="00A16EA3">
            <w:pPr>
              <w:spacing w:before="20" w:after="20"/>
              <w:jc w:val="left"/>
            </w:pPr>
            <w:r>
              <w:rPr>
                <w:rFonts w:cstheme="minorHAnsi"/>
                <w:sz w:val="20"/>
                <w:szCs w:val="20"/>
              </w:rPr>
              <w:t>T90 certified value (°F)</w:t>
            </w:r>
          </w:p>
        </w:tc>
        <w:tc>
          <w:tcPr>
            <w:tcW w:w="2810" w:type="dxa"/>
            <w:vAlign w:val="center"/>
          </w:tcPr>
          <w:p w14:paraId="437D240C" w14:textId="77777777" w:rsidR="00672297" w:rsidRDefault="00A16EA3">
            <w:pPr>
              <w:spacing w:before="20" w:after="20"/>
              <w:jc w:val="left"/>
            </w:pPr>
            <w:r>
              <w:rPr>
                <w:rFonts w:cstheme="minorHAnsi"/>
                <w:sz w:val="20"/>
                <w:szCs w:val="20"/>
              </w:rPr>
              <w:t>quality_detail (certified sample of the batch)</w:t>
            </w:r>
          </w:p>
        </w:tc>
      </w:tr>
      <w:tr w:rsidR="00672297" w14:paraId="0B740234" w14:textId="77777777">
        <w:trPr>
          <w:cantSplit/>
        </w:trPr>
        <w:tc>
          <w:tcPr>
            <w:tcW w:w="2246" w:type="dxa"/>
            <w:vAlign w:val="center"/>
          </w:tcPr>
          <w:p w14:paraId="55E08ABA" w14:textId="77777777" w:rsidR="00672297" w:rsidRDefault="00A16EA3">
            <w:pPr>
              <w:spacing w:before="20" w:after="20"/>
              <w:jc w:val="left"/>
            </w:pPr>
            <w:r>
              <w:rPr>
                <w:rFonts w:cstheme="minorHAnsi"/>
                <w:sz w:val="20"/>
                <w:szCs w:val="20"/>
              </w:rPr>
              <w:t>T90Max</w:t>
            </w:r>
          </w:p>
        </w:tc>
        <w:tc>
          <w:tcPr>
            <w:tcW w:w="1216" w:type="dxa"/>
            <w:vAlign w:val="center"/>
          </w:tcPr>
          <w:p w14:paraId="2236F51D" w14:textId="77777777" w:rsidR="00672297" w:rsidRDefault="00A16EA3">
            <w:pPr>
              <w:spacing w:before="20" w:after="20"/>
              <w:jc w:val="left"/>
            </w:pPr>
            <w:r>
              <w:rPr>
                <w:rFonts w:cstheme="minorHAnsi"/>
                <w:sz w:val="20"/>
                <w:szCs w:val="20"/>
              </w:rPr>
              <w:t>DECIMAL(18,4)</w:t>
            </w:r>
          </w:p>
        </w:tc>
        <w:tc>
          <w:tcPr>
            <w:tcW w:w="3088" w:type="dxa"/>
            <w:vAlign w:val="center"/>
          </w:tcPr>
          <w:p w14:paraId="31661075" w14:textId="77777777" w:rsidR="00672297" w:rsidRDefault="00A16EA3">
            <w:pPr>
              <w:spacing w:before="20" w:after="20"/>
              <w:jc w:val="left"/>
            </w:pPr>
            <w:r>
              <w:rPr>
                <w:rFonts w:cstheme="minorHAnsi"/>
                <w:sz w:val="20"/>
                <w:szCs w:val="20"/>
              </w:rPr>
              <w:t>T90 resolved specification maximum (°F)</w:t>
            </w:r>
          </w:p>
        </w:tc>
        <w:tc>
          <w:tcPr>
            <w:tcW w:w="2810" w:type="dxa"/>
            <w:vAlign w:val="center"/>
          </w:tcPr>
          <w:p w14:paraId="339237D0" w14:textId="77777777" w:rsidR="00672297" w:rsidRDefault="00A16EA3">
            <w:pPr>
              <w:spacing w:before="20" w:after="20"/>
              <w:jc w:val="left"/>
            </w:pPr>
            <w:r>
              <w:rPr>
                <w:rFonts w:cstheme="minorHAnsi"/>
                <w:sz w:val="20"/>
                <w:szCs w:val="20"/>
              </w:rPr>
              <w:t>Specification resolution; NULL when "R"</w:t>
            </w:r>
          </w:p>
        </w:tc>
      </w:tr>
      <w:tr w:rsidR="00672297" w14:paraId="4CEAA801" w14:textId="77777777">
        <w:trPr>
          <w:cantSplit/>
        </w:trPr>
        <w:tc>
          <w:tcPr>
            <w:tcW w:w="2246" w:type="dxa"/>
            <w:vAlign w:val="center"/>
          </w:tcPr>
          <w:p w14:paraId="7C853DFC" w14:textId="77777777" w:rsidR="00672297" w:rsidRDefault="00A16EA3">
            <w:pPr>
              <w:spacing w:before="20" w:after="20"/>
              <w:jc w:val="left"/>
            </w:pPr>
            <w:r>
              <w:rPr>
                <w:rFonts w:cstheme="minorHAnsi"/>
                <w:sz w:val="20"/>
                <w:szCs w:val="20"/>
              </w:rPr>
              <w:t>FBPMin</w:t>
            </w:r>
          </w:p>
        </w:tc>
        <w:tc>
          <w:tcPr>
            <w:tcW w:w="1216" w:type="dxa"/>
            <w:vAlign w:val="center"/>
          </w:tcPr>
          <w:p w14:paraId="1EA7D620" w14:textId="77777777" w:rsidR="00672297" w:rsidRDefault="00A16EA3">
            <w:pPr>
              <w:spacing w:before="20" w:after="20"/>
              <w:jc w:val="left"/>
            </w:pPr>
            <w:r>
              <w:rPr>
                <w:rFonts w:cstheme="minorHAnsi"/>
                <w:sz w:val="20"/>
                <w:szCs w:val="20"/>
              </w:rPr>
              <w:t>DECIMAL(18,4)</w:t>
            </w:r>
          </w:p>
        </w:tc>
        <w:tc>
          <w:tcPr>
            <w:tcW w:w="3088" w:type="dxa"/>
            <w:vAlign w:val="center"/>
          </w:tcPr>
          <w:p w14:paraId="27CE3A8E" w14:textId="77777777" w:rsidR="00672297" w:rsidRDefault="00A16EA3">
            <w:pPr>
              <w:spacing w:before="20" w:after="20"/>
              <w:jc w:val="left"/>
            </w:pPr>
            <w:r>
              <w:rPr>
                <w:rFonts w:cstheme="minorHAnsi"/>
                <w:sz w:val="20"/>
                <w:szCs w:val="20"/>
              </w:rPr>
              <w:t>FBP resolved specification minimum (°F)</w:t>
            </w:r>
          </w:p>
        </w:tc>
        <w:tc>
          <w:tcPr>
            <w:tcW w:w="2810" w:type="dxa"/>
            <w:vAlign w:val="center"/>
          </w:tcPr>
          <w:p w14:paraId="2DA92484" w14:textId="77777777" w:rsidR="00672297" w:rsidRDefault="00A16EA3">
            <w:pPr>
              <w:spacing w:before="20" w:after="20"/>
              <w:jc w:val="left"/>
            </w:pPr>
            <w:r>
              <w:rPr>
                <w:rFonts w:cstheme="minorHAnsi"/>
                <w:sz w:val="20"/>
                <w:szCs w:val="20"/>
              </w:rPr>
              <w:t>Specification resolution (Stage 1, Stage 2, waiver); NULL when "R"</w:t>
            </w:r>
          </w:p>
        </w:tc>
      </w:tr>
      <w:tr w:rsidR="00672297" w14:paraId="01A13F28" w14:textId="77777777">
        <w:trPr>
          <w:cantSplit/>
        </w:trPr>
        <w:tc>
          <w:tcPr>
            <w:tcW w:w="2246" w:type="dxa"/>
            <w:vAlign w:val="center"/>
          </w:tcPr>
          <w:p w14:paraId="613C1636" w14:textId="77777777" w:rsidR="00672297" w:rsidRDefault="00A16EA3">
            <w:pPr>
              <w:spacing w:before="20" w:after="20"/>
              <w:jc w:val="left"/>
            </w:pPr>
            <w:r>
              <w:rPr>
                <w:rFonts w:cstheme="minorHAnsi"/>
                <w:sz w:val="20"/>
                <w:szCs w:val="20"/>
              </w:rPr>
              <w:t>FBPActual</w:t>
            </w:r>
          </w:p>
        </w:tc>
        <w:tc>
          <w:tcPr>
            <w:tcW w:w="1216" w:type="dxa"/>
            <w:vAlign w:val="center"/>
          </w:tcPr>
          <w:p w14:paraId="592D0C61" w14:textId="77777777" w:rsidR="00672297" w:rsidRDefault="00A16EA3">
            <w:pPr>
              <w:spacing w:before="20" w:after="20"/>
              <w:jc w:val="left"/>
            </w:pPr>
            <w:r>
              <w:rPr>
                <w:rFonts w:cstheme="minorHAnsi"/>
                <w:sz w:val="20"/>
                <w:szCs w:val="20"/>
              </w:rPr>
              <w:t>DECIMAL(18,4)</w:t>
            </w:r>
          </w:p>
        </w:tc>
        <w:tc>
          <w:tcPr>
            <w:tcW w:w="3088" w:type="dxa"/>
            <w:vAlign w:val="center"/>
          </w:tcPr>
          <w:p w14:paraId="3040BB42" w14:textId="77777777" w:rsidR="00672297" w:rsidRDefault="00A16EA3">
            <w:pPr>
              <w:spacing w:before="20" w:after="20"/>
              <w:jc w:val="left"/>
            </w:pPr>
            <w:r>
              <w:rPr>
                <w:rFonts w:cstheme="minorHAnsi"/>
                <w:sz w:val="20"/>
                <w:szCs w:val="20"/>
              </w:rPr>
              <w:t>FBP certified value (°F)</w:t>
            </w:r>
          </w:p>
        </w:tc>
        <w:tc>
          <w:tcPr>
            <w:tcW w:w="2810" w:type="dxa"/>
            <w:vAlign w:val="center"/>
          </w:tcPr>
          <w:p w14:paraId="3E5C9A89" w14:textId="77777777" w:rsidR="00672297" w:rsidRDefault="00A16EA3">
            <w:pPr>
              <w:spacing w:before="20" w:after="20"/>
              <w:jc w:val="left"/>
            </w:pPr>
            <w:r>
              <w:rPr>
                <w:rFonts w:cstheme="minorHAnsi"/>
                <w:sz w:val="20"/>
                <w:szCs w:val="20"/>
              </w:rPr>
              <w:t>quality_detail (certified sample of the batch)</w:t>
            </w:r>
          </w:p>
        </w:tc>
      </w:tr>
      <w:tr w:rsidR="00672297" w14:paraId="33501130" w14:textId="77777777">
        <w:trPr>
          <w:cantSplit/>
        </w:trPr>
        <w:tc>
          <w:tcPr>
            <w:tcW w:w="2246" w:type="dxa"/>
            <w:vAlign w:val="center"/>
          </w:tcPr>
          <w:p w14:paraId="22009CA7" w14:textId="77777777" w:rsidR="00672297" w:rsidRDefault="00A16EA3">
            <w:pPr>
              <w:spacing w:before="20" w:after="20"/>
              <w:jc w:val="left"/>
            </w:pPr>
            <w:r>
              <w:rPr>
                <w:rFonts w:cstheme="minorHAnsi"/>
                <w:sz w:val="20"/>
                <w:szCs w:val="20"/>
              </w:rPr>
              <w:t>FBPMax</w:t>
            </w:r>
          </w:p>
        </w:tc>
        <w:tc>
          <w:tcPr>
            <w:tcW w:w="1216" w:type="dxa"/>
            <w:vAlign w:val="center"/>
          </w:tcPr>
          <w:p w14:paraId="0C867236" w14:textId="77777777" w:rsidR="00672297" w:rsidRDefault="00A16EA3">
            <w:pPr>
              <w:spacing w:before="20" w:after="20"/>
              <w:jc w:val="left"/>
            </w:pPr>
            <w:r>
              <w:rPr>
                <w:rFonts w:cstheme="minorHAnsi"/>
                <w:sz w:val="20"/>
                <w:szCs w:val="20"/>
              </w:rPr>
              <w:t>DECIMAL(18,4)</w:t>
            </w:r>
          </w:p>
        </w:tc>
        <w:tc>
          <w:tcPr>
            <w:tcW w:w="3088" w:type="dxa"/>
            <w:vAlign w:val="center"/>
          </w:tcPr>
          <w:p w14:paraId="1CD841CC" w14:textId="77777777" w:rsidR="00672297" w:rsidRDefault="00A16EA3">
            <w:pPr>
              <w:spacing w:before="20" w:after="20"/>
              <w:jc w:val="left"/>
            </w:pPr>
            <w:r>
              <w:rPr>
                <w:rFonts w:cstheme="minorHAnsi"/>
                <w:sz w:val="20"/>
                <w:szCs w:val="20"/>
              </w:rPr>
              <w:t>FBP resolved specification maximum (°F)</w:t>
            </w:r>
          </w:p>
        </w:tc>
        <w:tc>
          <w:tcPr>
            <w:tcW w:w="2810" w:type="dxa"/>
            <w:vAlign w:val="center"/>
          </w:tcPr>
          <w:p w14:paraId="2F60E579" w14:textId="77777777" w:rsidR="00672297" w:rsidRDefault="00A16EA3">
            <w:pPr>
              <w:spacing w:before="20" w:after="20"/>
              <w:jc w:val="left"/>
            </w:pPr>
            <w:r>
              <w:rPr>
                <w:rFonts w:cstheme="minorHAnsi"/>
                <w:sz w:val="20"/>
                <w:szCs w:val="20"/>
              </w:rPr>
              <w:t>Specification resolution; NULL when "R"</w:t>
            </w:r>
          </w:p>
        </w:tc>
      </w:tr>
      <w:tr w:rsidR="00672297" w14:paraId="46F15EDA" w14:textId="77777777">
        <w:trPr>
          <w:cantSplit/>
        </w:trPr>
        <w:tc>
          <w:tcPr>
            <w:tcW w:w="2246" w:type="dxa"/>
            <w:vAlign w:val="center"/>
          </w:tcPr>
          <w:p w14:paraId="21B01F71" w14:textId="77777777" w:rsidR="00672297" w:rsidRDefault="00A16EA3">
            <w:pPr>
              <w:spacing w:before="20" w:after="20"/>
              <w:jc w:val="left"/>
            </w:pPr>
            <w:r>
              <w:rPr>
                <w:rFonts w:cstheme="minorHAnsi"/>
                <w:sz w:val="20"/>
                <w:szCs w:val="20"/>
              </w:rPr>
              <w:t>FreezingPointMin</w:t>
            </w:r>
          </w:p>
        </w:tc>
        <w:tc>
          <w:tcPr>
            <w:tcW w:w="1216" w:type="dxa"/>
            <w:vAlign w:val="center"/>
          </w:tcPr>
          <w:p w14:paraId="7CB2E855" w14:textId="77777777" w:rsidR="00672297" w:rsidRDefault="00A16EA3">
            <w:pPr>
              <w:spacing w:before="20" w:after="20"/>
              <w:jc w:val="left"/>
            </w:pPr>
            <w:r>
              <w:rPr>
                <w:rFonts w:cstheme="minorHAnsi"/>
                <w:sz w:val="20"/>
                <w:szCs w:val="20"/>
              </w:rPr>
              <w:t>DECIMAL(18,4)</w:t>
            </w:r>
          </w:p>
        </w:tc>
        <w:tc>
          <w:tcPr>
            <w:tcW w:w="3088" w:type="dxa"/>
            <w:vAlign w:val="center"/>
          </w:tcPr>
          <w:p w14:paraId="768808DD" w14:textId="77777777" w:rsidR="00672297" w:rsidRDefault="00A16EA3">
            <w:pPr>
              <w:spacing w:before="20" w:after="20"/>
              <w:jc w:val="left"/>
            </w:pPr>
            <w:r>
              <w:rPr>
                <w:rFonts w:cstheme="minorHAnsi"/>
                <w:sz w:val="20"/>
                <w:szCs w:val="20"/>
              </w:rPr>
              <w:t>FreezingPoint resolved specification minimum (°F)</w:t>
            </w:r>
          </w:p>
        </w:tc>
        <w:tc>
          <w:tcPr>
            <w:tcW w:w="2810" w:type="dxa"/>
            <w:vAlign w:val="center"/>
          </w:tcPr>
          <w:p w14:paraId="5BC8F1CE" w14:textId="77777777" w:rsidR="00672297" w:rsidRDefault="00A16EA3">
            <w:pPr>
              <w:spacing w:before="20" w:after="20"/>
              <w:jc w:val="left"/>
            </w:pPr>
            <w:r>
              <w:rPr>
                <w:rFonts w:cstheme="minorHAnsi"/>
                <w:sz w:val="20"/>
                <w:szCs w:val="20"/>
              </w:rPr>
              <w:t>Specification resolution (Stage 1, Stage 2, waiver); NULL when "R"</w:t>
            </w:r>
          </w:p>
        </w:tc>
      </w:tr>
      <w:tr w:rsidR="00672297" w14:paraId="08B252BC" w14:textId="77777777">
        <w:trPr>
          <w:cantSplit/>
        </w:trPr>
        <w:tc>
          <w:tcPr>
            <w:tcW w:w="2246" w:type="dxa"/>
            <w:vAlign w:val="center"/>
          </w:tcPr>
          <w:p w14:paraId="34D0A411" w14:textId="77777777" w:rsidR="00672297" w:rsidRDefault="00A16EA3">
            <w:pPr>
              <w:spacing w:before="20" w:after="20"/>
              <w:jc w:val="left"/>
            </w:pPr>
            <w:r>
              <w:rPr>
                <w:rFonts w:cstheme="minorHAnsi"/>
                <w:sz w:val="20"/>
                <w:szCs w:val="20"/>
              </w:rPr>
              <w:t>FreezingPointActual</w:t>
            </w:r>
          </w:p>
        </w:tc>
        <w:tc>
          <w:tcPr>
            <w:tcW w:w="1216" w:type="dxa"/>
            <w:vAlign w:val="center"/>
          </w:tcPr>
          <w:p w14:paraId="4332F5F8" w14:textId="77777777" w:rsidR="00672297" w:rsidRDefault="00A16EA3">
            <w:pPr>
              <w:spacing w:before="20" w:after="20"/>
              <w:jc w:val="left"/>
            </w:pPr>
            <w:r>
              <w:rPr>
                <w:rFonts w:cstheme="minorHAnsi"/>
                <w:sz w:val="20"/>
                <w:szCs w:val="20"/>
              </w:rPr>
              <w:t>DECIMAL(18,4)</w:t>
            </w:r>
          </w:p>
        </w:tc>
        <w:tc>
          <w:tcPr>
            <w:tcW w:w="3088" w:type="dxa"/>
            <w:vAlign w:val="center"/>
          </w:tcPr>
          <w:p w14:paraId="1513041D" w14:textId="77777777" w:rsidR="00672297" w:rsidRDefault="00A16EA3">
            <w:pPr>
              <w:spacing w:before="20" w:after="20"/>
              <w:jc w:val="left"/>
            </w:pPr>
            <w:r>
              <w:rPr>
                <w:rFonts w:cstheme="minorHAnsi"/>
                <w:sz w:val="20"/>
                <w:szCs w:val="20"/>
              </w:rPr>
              <w:t>FreezingPoint certified value (°F)</w:t>
            </w:r>
          </w:p>
        </w:tc>
        <w:tc>
          <w:tcPr>
            <w:tcW w:w="2810" w:type="dxa"/>
            <w:vAlign w:val="center"/>
          </w:tcPr>
          <w:p w14:paraId="159177EC" w14:textId="77777777" w:rsidR="00672297" w:rsidRDefault="00A16EA3">
            <w:pPr>
              <w:spacing w:before="20" w:after="20"/>
              <w:jc w:val="left"/>
            </w:pPr>
            <w:r>
              <w:rPr>
                <w:rFonts w:cstheme="minorHAnsi"/>
                <w:sz w:val="20"/>
                <w:szCs w:val="20"/>
              </w:rPr>
              <w:t>quality_detail (certified sample of the batch)</w:t>
            </w:r>
          </w:p>
        </w:tc>
      </w:tr>
      <w:tr w:rsidR="00672297" w14:paraId="77D8E7DB" w14:textId="77777777">
        <w:trPr>
          <w:cantSplit/>
        </w:trPr>
        <w:tc>
          <w:tcPr>
            <w:tcW w:w="2246" w:type="dxa"/>
            <w:vAlign w:val="center"/>
          </w:tcPr>
          <w:p w14:paraId="3C1C9A0A" w14:textId="77777777" w:rsidR="00672297" w:rsidRDefault="00A16EA3">
            <w:pPr>
              <w:spacing w:before="20" w:after="20"/>
              <w:jc w:val="left"/>
            </w:pPr>
            <w:r>
              <w:rPr>
                <w:rFonts w:cstheme="minorHAnsi"/>
                <w:sz w:val="20"/>
                <w:szCs w:val="20"/>
              </w:rPr>
              <w:t>FreezingPointMax</w:t>
            </w:r>
          </w:p>
        </w:tc>
        <w:tc>
          <w:tcPr>
            <w:tcW w:w="1216" w:type="dxa"/>
            <w:vAlign w:val="center"/>
          </w:tcPr>
          <w:p w14:paraId="304E3DC3" w14:textId="77777777" w:rsidR="00672297" w:rsidRDefault="00A16EA3">
            <w:pPr>
              <w:spacing w:before="20" w:after="20"/>
              <w:jc w:val="left"/>
            </w:pPr>
            <w:r>
              <w:rPr>
                <w:rFonts w:cstheme="minorHAnsi"/>
                <w:sz w:val="20"/>
                <w:szCs w:val="20"/>
              </w:rPr>
              <w:t>DECIMAL(18,4)</w:t>
            </w:r>
          </w:p>
        </w:tc>
        <w:tc>
          <w:tcPr>
            <w:tcW w:w="3088" w:type="dxa"/>
            <w:vAlign w:val="center"/>
          </w:tcPr>
          <w:p w14:paraId="44A42A4C" w14:textId="77777777" w:rsidR="00672297" w:rsidRDefault="00A16EA3">
            <w:pPr>
              <w:spacing w:before="20" w:after="20"/>
              <w:jc w:val="left"/>
            </w:pPr>
            <w:r>
              <w:rPr>
                <w:rFonts w:cstheme="minorHAnsi"/>
                <w:sz w:val="20"/>
                <w:szCs w:val="20"/>
              </w:rPr>
              <w:t>FreezingPoint resolved specification maximum (°F)</w:t>
            </w:r>
          </w:p>
        </w:tc>
        <w:tc>
          <w:tcPr>
            <w:tcW w:w="2810" w:type="dxa"/>
            <w:vAlign w:val="center"/>
          </w:tcPr>
          <w:p w14:paraId="68F771E2" w14:textId="77777777" w:rsidR="00672297" w:rsidRDefault="00A16EA3">
            <w:pPr>
              <w:spacing w:before="20" w:after="20"/>
              <w:jc w:val="left"/>
            </w:pPr>
            <w:r>
              <w:rPr>
                <w:rFonts w:cstheme="minorHAnsi"/>
                <w:sz w:val="20"/>
                <w:szCs w:val="20"/>
              </w:rPr>
              <w:t>Specification resolution; NULL when "R"</w:t>
            </w:r>
          </w:p>
        </w:tc>
      </w:tr>
      <w:tr w:rsidR="00672297" w14:paraId="589F0E85" w14:textId="77777777">
        <w:trPr>
          <w:cantSplit/>
        </w:trPr>
        <w:tc>
          <w:tcPr>
            <w:tcW w:w="2246" w:type="dxa"/>
            <w:vAlign w:val="center"/>
          </w:tcPr>
          <w:p w14:paraId="5743A6F5" w14:textId="77777777" w:rsidR="00672297" w:rsidRDefault="00A16EA3">
            <w:pPr>
              <w:spacing w:before="20" w:after="20"/>
              <w:jc w:val="left"/>
            </w:pPr>
            <w:r>
              <w:rPr>
                <w:rFonts w:cstheme="minorHAnsi"/>
                <w:sz w:val="20"/>
                <w:szCs w:val="20"/>
              </w:rPr>
              <w:t>ViscosityMin</w:t>
            </w:r>
          </w:p>
        </w:tc>
        <w:tc>
          <w:tcPr>
            <w:tcW w:w="1216" w:type="dxa"/>
            <w:vAlign w:val="center"/>
          </w:tcPr>
          <w:p w14:paraId="5968DC25" w14:textId="77777777" w:rsidR="00672297" w:rsidRDefault="00A16EA3">
            <w:pPr>
              <w:spacing w:before="20" w:after="20"/>
              <w:jc w:val="left"/>
            </w:pPr>
            <w:r>
              <w:rPr>
                <w:rFonts w:cstheme="minorHAnsi"/>
                <w:sz w:val="20"/>
                <w:szCs w:val="20"/>
              </w:rPr>
              <w:t>DECIMAL(18,4)</w:t>
            </w:r>
          </w:p>
        </w:tc>
        <w:tc>
          <w:tcPr>
            <w:tcW w:w="3088" w:type="dxa"/>
            <w:vAlign w:val="center"/>
          </w:tcPr>
          <w:p w14:paraId="26D25ACC" w14:textId="77777777" w:rsidR="00672297" w:rsidRDefault="00A16EA3">
            <w:pPr>
              <w:spacing w:before="20" w:after="20"/>
              <w:jc w:val="left"/>
            </w:pPr>
            <w:r>
              <w:rPr>
                <w:rFonts w:cstheme="minorHAnsi"/>
                <w:sz w:val="20"/>
                <w:szCs w:val="20"/>
              </w:rPr>
              <w:t>Viscosity resolved specification minimum (cSt)</w:t>
            </w:r>
          </w:p>
        </w:tc>
        <w:tc>
          <w:tcPr>
            <w:tcW w:w="2810" w:type="dxa"/>
            <w:vAlign w:val="center"/>
          </w:tcPr>
          <w:p w14:paraId="6EF21867" w14:textId="77777777" w:rsidR="00672297" w:rsidRDefault="00A16EA3">
            <w:pPr>
              <w:spacing w:before="20" w:after="20"/>
              <w:jc w:val="left"/>
            </w:pPr>
            <w:r>
              <w:rPr>
                <w:rFonts w:cstheme="minorHAnsi"/>
                <w:sz w:val="20"/>
                <w:szCs w:val="20"/>
              </w:rPr>
              <w:t>Specification resolution (Stage 1, Stage 2, waiver); NULL when "R"</w:t>
            </w:r>
          </w:p>
        </w:tc>
      </w:tr>
      <w:tr w:rsidR="00672297" w14:paraId="590CD98C" w14:textId="77777777">
        <w:trPr>
          <w:cantSplit/>
        </w:trPr>
        <w:tc>
          <w:tcPr>
            <w:tcW w:w="2246" w:type="dxa"/>
            <w:vAlign w:val="center"/>
          </w:tcPr>
          <w:p w14:paraId="68FCDBC1" w14:textId="77777777" w:rsidR="00672297" w:rsidRDefault="00A16EA3">
            <w:pPr>
              <w:spacing w:before="20" w:after="20"/>
              <w:jc w:val="left"/>
            </w:pPr>
            <w:r>
              <w:rPr>
                <w:rFonts w:cstheme="minorHAnsi"/>
                <w:sz w:val="20"/>
                <w:szCs w:val="20"/>
              </w:rPr>
              <w:t>ViscosityActual</w:t>
            </w:r>
          </w:p>
        </w:tc>
        <w:tc>
          <w:tcPr>
            <w:tcW w:w="1216" w:type="dxa"/>
            <w:vAlign w:val="center"/>
          </w:tcPr>
          <w:p w14:paraId="47877A57" w14:textId="77777777" w:rsidR="00672297" w:rsidRDefault="00A16EA3">
            <w:pPr>
              <w:spacing w:before="20" w:after="20"/>
              <w:jc w:val="left"/>
            </w:pPr>
            <w:r>
              <w:rPr>
                <w:rFonts w:cstheme="minorHAnsi"/>
                <w:sz w:val="20"/>
                <w:szCs w:val="20"/>
              </w:rPr>
              <w:t>DECIMAL(18,4)</w:t>
            </w:r>
          </w:p>
        </w:tc>
        <w:tc>
          <w:tcPr>
            <w:tcW w:w="3088" w:type="dxa"/>
            <w:vAlign w:val="center"/>
          </w:tcPr>
          <w:p w14:paraId="336D45C8" w14:textId="77777777" w:rsidR="00672297" w:rsidRDefault="00A16EA3">
            <w:pPr>
              <w:spacing w:before="20" w:after="20"/>
              <w:jc w:val="left"/>
            </w:pPr>
            <w:r>
              <w:rPr>
                <w:rFonts w:cstheme="minorHAnsi"/>
                <w:sz w:val="20"/>
                <w:szCs w:val="20"/>
              </w:rPr>
              <w:t>Viscosity certified value (cSt)</w:t>
            </w:r>
          </w:p>
        </w:tc>
        <w:tc>
          <w:tcPr>
            <w:tcW w:w="2810" w:type="dxa"/>
            <w:vAlign w:val="center"/>
          </w:tcPr>
          <w:p w14:paraId="021ACBE6" w14:textId="77777777" w:rsidR="00672297" w:rsidRDefault="00A16EA3">
            <w:pPr>
              <w:spacing w:before="20" w:after="20"/>
              <w:jc w:val="left"/>
            </w:pPr>
            <w:r>
              <w:rPr>
                <w:rFonts w:cstheme="minorHAnsi"/>
                <w:sz w:val="20"/>
                <w:szCs w:val="20"/>
              </w:rPr>
              <w:t>quality_detail (certified sample of the batch)</w:t>
            </w:r>
          </w:p>
        </w:tc>
      </w:tr>
      <w:tr w:rsidR="00672297" w14:paraId="20412D3F" w14:textId="77777777">
        <w:trPr>
          <w:cantSplit/>
        </w:trPr>
        <w:tc>
          <w:tcPr>
            <w:tcW w:w="2246" w:type="dxa"/>
            <w:vAlign w:val="center"/>
          </w:tcPr>
          <w:p w14:paraId="5D02A308" w14:textId="77777777" w:rsidR="00672297" w:rsidRDefault="00A16EA3">
            <w:pPr>
              <w:spacing w:before="20" w:after="20"/>
              <w:jc w:val="left"/>
            </w:pPr>
            <w:r>
              <w:rPr>
                <w:rFonts w:cstheme="minorHAnsi"/>
                <w:sz w:val="20"/>
                <w:szCs w:val="20"/>
              </w:rPr>
              <w:t>ViscosityMax</w:t>
            </w:r>
          </w:p>
        </w:tc>
        <w:tc>
          <w:tcPr>
            <w:tcW w:w="1216" w:type="dxa"/>
            <w:vAlign w:val="center"/>
          </w:tcPr>
          <w:p w14:paraId="49354C36" w14:textId="77777777" w:rsidR="00672297" w:rsidRDefault="00A16EA3">
            <w:pPr>
              <w:spacing w:before="20" w:after="20"/>
              <w:jc w:val="left"/>
            </w:pPr>
            <w:r>
              <w:rPr>
                <w:rFonts w:cstheme="minorHAnsi"/>
                <w:sz w:val="20"/>
                <w:szCs w:val="20"/>
              </w:rPr>
              <w:t>DECIMAL(18,4)</w:t>
            </w:r>
          </w:p>
        </w:tc>
        <w:tc>
          <w:tcPr>
            <w:tcW w:w="3088" w:type="dxa"/>
            <w:vAlign w:val="center"/>
          </w:tcPr>
          <w:p w14:paraId="1CB99972" w14:textId="77777777" w:rsidR="00672297" w:rsidRDefault="00A16EA3">
            <w:pPr>
              <w:spacing w:before="20" w:after="20"/>
              <w:jc w:val="left"/>
            </w:pPr>
            <w:r>
              <w:rPr>
                <w:rFonts w:cstheme="minorHAnsi"/>
                <w:sz w:val="20"/>
                <w:szCs w:val="20"/>
              </w:rPr>
              <w:t>Viscosity resolved specification maximum (cSt)</w:t>
            </w:r>
          </w:p>
        </w:tc>
        <w:tc>
          <w:tcPr>
            <w:tcW w:w="2810" w:type="dxa"/>
            <w:vAlign w:val="center"/>
          </w:tcPr>
          <w:p w14:paraId="17407E7D" w14:textId="77777777" w:rsidR="00672297" w:rsidRDefault="00A16EA3">
            <w:pPr>
              <w:spacing w:before="20" w:after="20"/>
              <w:jc w:val="left"/>
            </w:pPr>
            <w:r>
              <w:rPr>
                <w:rFonts w:cstheme="minorHAnsi"/>
                <w:sz w:val="20"/>
                <w:szCs w:val="20"/>
              </w:rPr>
              <w:t>Specification resolution; NULL when "R"</w:t>
            </w:r>
          </w:p>
        </w:tc>
      </w:tr>
      <w:tr w:rsidR="00672297" w14:paraId="47626097" w14:textId="77777777">
        <w:trPr>
          <w:cantSplit/>
        </w:trPr>
        <w:tc>
          <w:tcPr>
            <w:tcW w:w="2246" w:type="dxa"/>
            <w:vAlign w:val="center"/>
          </w:tcPr>
          <w:p w14:paraId="7F718753" w14:textId="77777777" w:rsidR="00672297" w:rsidRDefault="00A16EA3">
            <w:pPr>
              <w:spacing w:before="20" w:after="20"/>
              <w:jc w:val="left"/>
            </w:pPr>
            <w:r>
              <w:rPr>
                <w:rFonts w:cstheme="minorHAnsi"/>
                <w:sz w:val="20"/>
                <w:szCs w:val="20"/>
              </w:rPr>
              <w:t>RVPMin</w:t>
            </w:r>
          </w:p>
        </w:tc>
        <w:tc>
          <w:tcPr>
            <w:tcW w:w="1216" w:type="dxa"/>
            <w:vAlign w:val="center"/>
          </w:tcPr>
          <w:p w14:paraId="41617942" w14:textId="77777777" w:rsidR="00672297" w:rsidRDefault="00A16EA3">
            <w:pPr>
              <w:spacing w:before="20" w:after="20"/>
              <w:jc w:val="left"/>
            </w:pPr>
            <w:r>
              <w:rPr>
                <w:rFonts w:cstheme="minorHAnsi"/>
                <w:sz w:val="20"/>
                <w:szCs w:val="20"/>
              </w:rPr>
              <w:t>DECIMAL(18,4)</w:t>
            </w:r>
          </w:p>
        </w:tc>
        <w:tc>
          <w:tcPr>
            <w:tcW w:w="3088" w:type="dxa"/>
            <w:vAlign w:val="center"/>
          </w:tcPr>
          <w:p w14:paraId="5375A76D" w14:textId="77777777" w:rsidR="00672297" w:rsidRDefault="00A16EA3">
            <w:pPr>
              <w:spacing w:before="20" w:after="20"/>
              <w:jc w:val="left"/>
            </w:pPr>
            <w:r>
              <w:rPr>
                <w:rFonts w:cstheme="minorHAnsi"/>
                <w:sz w:val="20"/>
                <w:szCs w:val="20"/>
              </w:rPr>
              <w:t>RVP resolved specification minimum (psi)</w:t>
            </w:r>
          </w:p>
        </w:tc>
        <w:tc>
          <w:tcPr>
            <w:tcW w:w="2810" w:type="dxa"/>
            <w:vAlign w:val="center"/>
          </w:tcPr>
          <w:p w14:paraId="63A4E141" w14:textId="77777777" w:rsidR="00672297" w:rsidRDefault="00A16EA3">
            <w:pPr>
              <w:spacing w:before="20" w:after="20"/>
              <w:jc w:val="left"/>
            </w:pPr>
            <w:r>
              <w:rPr>
                <w:rFonts w:cstheme="minorHAnsi"/>
                <w:sz w:val="20"/>
                <w:szCs w:val="20"/>
              </w:rPr>
              <w:t>Specification resolution (Stage 1, Stage 2, waiver); NULL when "R"</w:t>
            </w:r>
          </w:p>
        </w:tc>
      </w:tr>
      <w:tr w:rsidR="00672297" w14:paraId="54F7AB3D" w14:textId="77777777">
        <w:trPr>
          <w:cantSplit/>
        </w:trPr>
        <w:tc>
          <w:tcPr>
            <w:tcW w:w="2246" w:type="dxa"/>
            <w:vAlign w:val="center"/>
          </w:tcPr>
          <w:p w14:paraId="242062DD" w14:textId="77777777" w:rsidR="00672297" w:rsidRDefault="00A16EA3">
            <w:pPr>
              <w:spacing w:before="20" w:after="20"/>
              <w:jc w:val="left"/>
            </w:pPr>
            <w:r>
              <w:rPr>
                <w:rFonts w:cstheme="minorHAnsi"/>
                <w:sz w:val="20"/>
                <w:szCs w:val="20"/>
              </w:rPr>
              <w:t>RVPActual</w:t>
            </w:r>
          </w:p>
        </w:tc>
        <w:tc>
          <w:tcPr>
            <w:tcW w:w="1216" w:type="dxa"/>
            <w:vAlign w:val="center"/>
          </w:tcPr>
          <w:p w14:paraId="097D823E" w14:textId="77777777" w:rsidR="00672297" w:rsidRDefault="00A16EA3">
            <w:pPr>
              <w:spacing w:before="20" w:after="20"/>
              <w:jc w:val="left"/>
            </w:pPr>
            <w:r>
              <w:rPr>
                <w:rFonts w:cstheme="minorHAnsi"/>
                <w:sz w:val="20"/>
                <w:szCs w:val="20"/>
              </w:rPr>
              <w:t>DECIMAL(18,4)</w:t>
            </w:r>
          </w:p>
        </w:tc>
        <w:tc>
          <w:tcPr>
            <w:tcW w:w="3088" w:type="dxa"/>
            <w:vAlign w:val="center"/>
          </w:tcPr>
          <w:p w14:paraId="2EFA42B7" w14:textId="77777777" w:rsidR="00672297" w:rsidRDefault="00A16EA3">
            <w:pPr>
              <w:spacing w:before="20" w:after="20"/>
              <w:jc w:val="left"/>
            </w:pPr>
            <w:r>
              <w:rPr>
                <w:rFonts w:cstheme="minorHAnsi"/>
                <w:sz w:val="20"/>
                <w:szCs w:val="20"/>
              </w:rPr>
              <w:t>RVP certified value (psi)</w:t>
            </w:r>
          </w:p>
        </w:tc>
        <w:tc>
          <w:tcPr>
            <w:tcW w:w="2810" w:type="dxa"/>
            <w:vAlign w:val="center"/>
          </w:tcPr>
          <w:p w14:paraId="51DE372D" w14:textId="77777777" w:rsidR="00672297" w:rsidRDefault="00A16EA3">
            <w:pPr>
              <w:spacing w:before="20" w:after="20"/>
              <w:jc w:val="left"/>
            </w:pPr>
            <w:r>
              <w:rPr>
                <w:rFonts w:cstheme="minorHAnsi"/>
                <w:sz w:val="20"/>
                <w:szCs w:val="20"/>
              </w:rPr>
              <w:t>quality_detail (certified sample of the batch)</w:t>
            </w:r>
          </w:p>
        </w:tc>
      </w:tr>
      <w:tr w:rsidR="00672297" w14:paraId="59805D69" w14:textId="77777777">
        <w:trPr>
          <w:cantSplit/>
        </w:trPr>
        <w:tc>
          <w:tcPr>
            <w:tcW w:w="2246" w:type="dxa"/>
            <w:vAlign w:val="center"/>
          </w:tcPr>
          <w:p w14:paraId="3C712099" w14:textId="77777777" w:rsidR="00672297" w:rsidRDefault="00A16EA3">
            <w:pPr>
              <w:spacing w:before="20" w:after="20"/>
              <w:jc w:val="left"/>
            </w:pPr>
            <w:r>
              <w:rPr>
                <w:rFonts w:cstheme="minorHAnsi"/>
                <w:sz w:val="20"/>
                <w:szCs w:val="20"/>
              </w:rPr>
              <w:t>RVPMax</w:t>
            </w:r>
          </w:p>
        </w:tc>
        <w:tc>
          <w:tcPr>
            <w:tcW w:w="1216" w:type="dxa"/>
            <w:vAlign w:val="center"/>
          </w:tcPr>
          <w:p w14:paraId="5AFC5476" w14:textId="77777777" w:rsidR="00672297" w:rsidRDefault="00A16EA3">
            <w:pPr>
              <w:spacing w:before="20" w:after="20"/>
              <w:jc w:val="left"/>
            </w:pPr>
            <w:r>
              <w:rPr>
                <w:rFonts w:cstheme="minorHAnsi"/>
                <w:sz w:val="20"/>
                <w:szCs w:val="20"/>
              </w:rPr>
              <w:t>DECIMAL(18,4)</w:t>
            </w:r>
          </w:p>
        </w:tc>
        <w:tc>
          <w:tcPr>
            <w:tcW w:w="3088" w:type="dxa"/>
            <w:vAlign w:val="center"/>
          </w:tcPr>
          <w:p w14:paraId="1D412CA1" w14:textId="77777777" w:rsidR="00672297" w:rsidRDefault="00A16EA3">
            <w:pPr>
              <w:spacing w:before="20" w:after="20"/>
              <w:jc w:val="left"/>
            </w:pPr>
            <w:r>
              <w:rPr>
                <w:rFonts w:cstheme="minorHAnsi"/>
                <w:sz w:val="20"/>
                <w:szCs w:val="20"/>
              </w:rPr>
              <w:t>RVP resolved specification maximum (psi)</w:t>
            </w:r>
          </w:p>
        </w:tc>
        <w:tc>
          <w:tcPr>
            <w:tcW w:w="2810" w:type="dxa"/>
            <w:vAlign w:val="center"/>
          </w:tcPr>
          <w:p w14:paraId="6859D655" w14:textId="77777777" w:rsidR="00672297" w:rsidRDefault="00A16EA3">
            <w:pPr>
              <w:spacing w:before="20" w:after="20"/>
              <w:jc w:val="left"/>
            </w:pPr>
            <w:r>
              <w:rPr>
                <w:rFonts w:cstheme="minorHAnsi"/>
                <w:sz w:val="20"/>
                <w:szCs w:val="20"/>
              </w:rPr>
              <w:t>Specification resolution; NULL when "R"</w:t>
            </w:r>
          </w:p>
        </w:tc>
      </w:tr>
      <w:tr w:rsidR="00672297" w14:paraId="12C7D480" w14:textId="77777777">
        <w:trPr>
          <w:cantSplit/>
        </w:trPr>
        <w:tc>
          <w:tcPr>
            <w:tcW w:w="2246" w:type="dxa"/>
            <w:vAlign w:val="center"/>
          </w:tcPr>
          <w:p w14:paraId="2C8C5984" w14:textId="77777777" w:rsidR="00672297" w:rsidRDefault="00A16EA3">
            <w:pPr>
              <w:spacing w:before="20" w:after="20"/>
              <w:jc w:val="left"/>
            </w:pPr>
            <w:r>
              <w:rPr>
                <w:rFonts w:cstheme="minorHAnsi"/>
                <w:sz w:val="20"/>
                <w:szCs w:val="20"/>
              </w:rPr>
              <w:t>IBPMin</w:t>
            </w:r>
          </w:p>
        </w:tc>
        <w:tc>
          <w:tcPr>
            <w:tcW w:w="1216" w:type="dxa"/>
            <w:vAlign w:val="center"/>
          </w:tcPr>
          <w:p w14:paraId="1F52E4A9" w14:textId="77777777" w:rsidR="00672297" w:rsidRDefault="00A16EA3">
            <w:pPr>
              <w:spacing w:before="20" w:after="20"/>
              <w:jc w:val="left"/>
            </w:pPr>
            <w:r>
              <w:rPr>
                <w:rFonts w:cstheme="minorHAnsi"/>
                <w:sz w:val="20"/>
                <w:szCs w:val="20"/>
              </w:rPr>
              <w:t>DECIMAL(18,4)</w:t>
            </w:r>
          </w:p>
        </w:tc>
        <w:tc>
          <w:tcPr>
            <w:tcW w:w="3088" w:type="dxa"/>
            <w:vAlign w:val="center"/>
          </w:tcPr>
          <w:p w14:paraId="4A1AFAB7" w14:textId="77777777" w:rsidR="00672297" w:rsidRDefault="00A16EA3">
            <w:pPr>
              <w:spacing w:before="20" w:after="20"/>
              <w:jc w:val="left"/>
            </w:pPr>
            <w:r>
              <w:rPr>
                <w:rFonts w:cstheme="minorHAnsi"/>
                <w:sz w:val="20"/>
                <w:szCs w:val="20"/>
              </w:rPr>
              <w:t>IBP resolved specification minimum (°F)</w:t>
            </w:r>
          </w:p>
        </w:tc>
        <w:tc>
          <w:tcPr>
            <w:tcW w:w="2810" w:type="dxa"/>
            <w:vAlign w:val="center"/>
          </w:tcPr>
          <w:p w14:paraId="081117B9" w14:textId="77777777" w:rsidR="00672297" w:rsidRDefault="00A16EA3">
            <w:pPr>
              <w:spacing w:before="20" w:after="20"/>
              <w:jc w:val="left"/>
            </w:pPr>
            <w:r>
              <w:rPr>
                <w:rFonts w:cstheme="minorHAnsi"/>
                <w:sz w:val="20"/>
                <w:szCs w:val="20"/>
              </w:rPr>
              <w:t>Specification resolution (Stage 1, Stage 2, waiver); NULL when "R"</w:t>
            </w:r>
          </w:p>
        </w:tc>
      </w:tr>
      <w:tr w:rsidR="00672297" w14:paraId="7B350704" w14:textId="77777777">
        <w:trPr>
          <w:cantSplit/>
        </w:trPr>
        <w:tc>
          <w:tcPr>
            <w:tcW w:w="2246" w:type="dxa"/>
            <w:vAlign w:val="center"/>
          </w:tcPr>
          <w:p w14:paraId="172FE022" w14:textId="77777777" w:rsidR="00672297" w:rsidRDefault="00A16EA3">
            <w:pPr>
              <w:spacing w:before="20" w:after="20"/>
              <w:jc w:val="left"/>
            </w:pPr>
            <w:r>
              <w:rPr>
                <w:rFonts w:cstheme="minorHAnsi"/>
                <w:sz w:val="20"/>
                <w:szCs w:val="20"/>
              </w:rPr>
              <w:t>IBPActual</w:t>
            </w:r>
          </w:p>
        </w:tc>
        <w:tc>
          <w:tcPr>
            <w:tcW w:w="1216" w:type="dxa"/>
            <w:vAlign w:val="center"/>
          </w:tcPr>
          <w:p w14:paraId="22B64395" w14:textId="77777777" w:rsidR="00672297" w:rsidRDefault="00A16EA3">
            <w:pPr>
              <w:spacing w:before="20" w:after="20"/>
              <w:jc w:val="left"/>
            </w:pPr>
            <w:r>
              <w:rPr>
                <w:rFonts w:cstheme="minorHAnsi"/>
                <w:sz w:val="20"/>
                <w:szCs w:val="20"/>
              </w:rPr>
              <w:t>DECIMAL(18,4)</w:t>
            </w:r>
          </w:p>
        </w:tc>
        <w:tc>
          <w:tcPr>
            <w:tcW w:w="3088" w:type="dxa"/>
            <w:vAlign w:val="center"/>
          </w:tcPr>
          <w:p w14:paraId="454B6CB1" w14:textId="77777777" w:rsidR="00672297" w:rsidRDefault="00A16EA3">
            <w:pPr>
              <w:spacing w:before="20" w:after="20"/>
              <w:jc w:val="left"/>
            </w:pPr>
            <w:r>
              <w:rPr>
                <w:rFonts w:cstheme="minorHAnsi"/>
                <w:sz w:val="20"/>
                <w:szCs w:val="20"/>
              </w:rPr>
              <w:t>IBP certified value (°F)</w:t>
            </w:r>
          </w:p>
        </w:tc>
        <w:tc>
          <w:tcPr>
            <w:tcW w:w="2810" w:type="dxa"/>
            <w:vAlign w:val="center"/>
          </w:tcPr>
          <w:p w14:paraId="799599AA" w14:textId="77777777" w:rsidR="00672297" w:rsidRDefault="00A16EA3">
            <w:pPr>
              <w:spacing w:before="20" w:after="20"/>
              <w:jc w:val="left"/>
            </w:pPr>
            <w:r>
              <w:rPr>
                <w:rFonts w:cstheme="minorHAnsi"/>
                <w:sz w:val="20"/>
                <w:szCs w:val="20"/>
              </w:rPr>
              <w:t>quality_detail (certified sample of the batch)</w:t>
            </w:r>
          </w:p>
        </w:tc>
      </w:tr>
      <w:tr w:rsidR="00672297" w14:paraId="1540EA3D" w14:textId="77777777">
        <w:trPr>
          <w:cantSplit/>
        </w:trPr>
        <w:tc>
          <w:tcPr>
            <w:tcW w:w="2246" w:type="dxa"/>
            <w:vAlign w:val="center"/>
          </w:tcPr>
          <w:p w14:paraId="3C5B12D3" w14:textId="77777777" w:rsidR="00672297" w:rsidRDefault="00A16EA3">
            <w:pPr>
              <w:spacing w:before="20" w:after="20"/>
              <w:jc w:val="left"/>
            </w:pPr>
            <w:r>
              <w:rPr>
                <w:rFonts w:cstheme="minorHAnsi"/>
                <w:sz w:val="20"/>
                <w:szCs w:val="20"/>
              </w:rPr>
              <w:t>IBPMax</w:t>
            </w:r>
          </w:p>
        </w:tc>
        <w:tc>
          <w:tcPr>
            <w:tcW w:w="1216" w:type="dxa"/>
            <w:vAlign w:val="center"/>
          </w:tcPr>
          <w:p w14:paraId="0CEDF190" w14:textId="77777777" w:rsidR="00672297" w:rsidRDefault="00A16EA3">
            <w:pPr>
              <w:spacing w:before="20" w:after="20"/>
              <w:jc w:val="left"/>
            </w:pPr>
            <w:r>
              <w:rPr>
                <w:rFonts w:cstheme="minorHAnsi"/>
                <w:sz w:val="20"/>
                <w:szCs w:val="20"/>
              </w:rPr>
              <w:t>DECIMAL(18,4)</w:t>
            </w:r>
          </w:p>
        </w:tc>
        <w:tc>
          <w:tcPr>
            <w:tcW w:w="3088" w:type="dxa"/>
            <w:vAlign w:val="center"/>
          </w:tcPr>
          <w:p w14:paraId="1F58CAAD" w14:textId="77777777" w:rsidR="00672297" w:rsidRDefault="00A16EA3">
            <w:pPr>
              <w:spacing w:before="20" w:after="20"/>
              <w:jc w:val="left"/>
            </w:pPr>
            <w:r>
              <w:rPr>
                <w:rFonts w:cstheme="minorHAnsi"/>
                <w:sz w:val="20"/>
                <w:szCs w:val="20"/>
              </w:rPr>
              <w:t>IBP resolved specification maximum (°F)</w:t>
            </w:r>
          </w:p>
        </w:tc>
        <w:tc>
          <w:tcPr>
            <w:tcW w:w="2810" w:type="dxa"/>
            <w:vAlign w:val="center"/>
          </w:tcPr>
          <w:p w14:paraId="2C640C84" w14:textId="77777777" w:rsidR="00672297" w:rsidRDefault="00A16EA3">
            <w:pPr>
              <w:spacing w:before="20" w:after="20"/>
              <w:jc w:val="left"/>
            </w:pPr>
            <w:r>
              <w:rPr>
                <w:rFonts w:cstheme="minorHAnsi"/>
                <w:sz w:val="20"/>
                <w:szCs w:val="20"/>
              </w:rPr>
              <w:t>Specification resolution; NULL when "R"</w:t>
            </w:r>
          </w:p>
        </w:tc>
      </w:tr>
      <w:tr w:rsidR="00672297" w14:paraId="7F9FC75B" w14:textId="77777777">
        <w:trPr>
          <w:cantSplit/>
        </w:trPr>
        <w:tc>
          <w:tcPr>
            <w:tcW w:w="2246" w:type="dxa"/>
            <w:vAlign w:val="center"/>
          </w:tcPr>
          <w:p w14:paraId="7666E82B" w14:textId="77777777" w:rsidR="00672297" w:rsidRDefault="00A16EA3">
            <w:pPr>
              <w:spacing w:before="20" w:after="20"/>
              <w:jc w:val="left"/>
            </w:pPr>
            <w:r>
              <w:rPr>
                <w:rFonts w:cstheme="minorHAnsi"/>
                <w:sz w:val="20"/>
                <w:szCs w:val="20"/>
              </w:rPr>
              <w:t>T10Min</w:t>
            </w:r>
          </w:p>
        </w:tc>
        <w:tc>
          <w:tcPr>
            <w:tcW w:w="1216" w:type="dxa"/>
            <w:vAlign w:val="center"/>
          </w:tcPr>
          <w:p w14:paraId="64E5BACC" w14:textId="77777777" w:rsidR="00672297" w:rsidRDefault="00A16EA3">
            <w:pPr>
              <w:spacing w:before="20" w:after="20"/>
              <w:jc w:val="left"/>
            </w:pPr>
            <w:r>
              <w:rPr>
                <w:rFonts w:cstheme="minorHAnsi"/>
                <w:sz w:val="20"/>
                <w:szCs w:val="20"/>
              </w:rPr>
              <w:t>DECIMAL(18,4)</w:t>
            </w:r>
          </w:p>
        </w:tc>
        <w:tc>
          <w:tcPr>
            <w:tcW w:w="3088" w:type="dxa"/>
            <w:vAlign w:val="center"/>
          </w:tcPr>
          <w:p w14:paraId="5C3C03A4" w14:textId="77777777" w:rsidR="00672297" w:rsidRDefault="00A16EA3">
            <w:pPr>
              <w:spacing w:before="20" w:after="20"/>
              <w:jc w:val="left"/>
            </w:pPr>
            <w:r>
              <w:rPr>
                <w:rFonts w:cstheme="minorHAnsi"/>
                <w:sz w:val="20"/>
                <w:szCs w:val="20"/>
              </w:rPr>
              <w:t>T10 resolved specification minimum (°F)</w:t>
            </w:r>
          </w:p>
        </w:tc>
        <w:tc>
          <w:tcPr>
            <w:tcW w:w="2810" w:type="dxa"/>
            <w:vAlign w:val="center"/>
          </w:tcPr>
          <w:p w14:paraId="05649B20" w14:textId="77777777" w:rsidR="00672297" w:rsidRDefault="00A16EA3">
            <w:pPr>
              <w:spacing w:before="20" w:after="20"/>
              <w:jc w:val="left"/>
            </w:pPr>
            <w:r>
              <w:rPr>
                <w:rFonts w:cstheme="minorHAnsi"/>
                <w:sz w:val="20"/>
                <w:szCs w:val="20"/>
              </w:rPr>
              <w:t>Specification resolution (Stage 1, Stage 2, waiver); NULL when "R"</w:t>
            </w:r>
          </w:p>
        </w:tc>
      </w:tr>
      <w:tr w:rsidR="00672297" w14:paraId="1B61557F" w14:textId="77777777">
        <w:trPr>
          <w:cantSplit/>
        </w:trPr>
        <w:tc>
          <w:tcPr>
            <w:tcW w:w="2246" w:type="dxa"/>
            <w:vAlign w:val="center"/>
          </w:tcPr>
          <w:p w14:paraId="2FAFD8C2" w14:textId="77777777" w:rsidR="00672297" w:rsidRDefault="00A16EA3">
            <w:pPr>
              <w:spacing w:before="20" w:after="20"/>
              <w:jc w:val="left"/>
            </w:pPr>
            <w:r>
              <w:rPr>
                <w:rFonts w:cstheme="minorHAnsi"/>
                <w:sz w:val="20"/>
                <w:szCs w:val="20"/>
              </w:rPr>
              <w:t>T10Actual</w:t>
            </w:r>
          </w:p>
        </w:tc>
        <w:tc>
          <w:tcPr>
            <w:tcW w:w="1216" w:type="dxa"/>
            <w:vAlign w:val="center"/>
          </w:tcPr>
          <w:p w14:paraId="081B5722" w14:textId="77777777" w:rsidR="00672297" w:rsidRDefault="00A16EA3">
            <w:pPr>
              <w:spacing w:before="20" w:after="20"/>
              <w:jc w:val="left"/>
            </w:pPr>
            <w:r>
              <w:rPr>
                <w:rFonts w:cstheme="minorHAnsi"/>
                <w:sz w:val="20"/>
                <w:szCs w:val="20"/>
              </w:rPr>
              <w:t>DECIMAL(18,4)</w:t>
            </w:r>
          </w:p>
        </w:tc>
        <w:tc>
          <w:tcPr>
            <w:tcW w:w="3088" w:type="dxa"/>
            <w:vAlign w:val="center"/>
          </w:tcPr>
          <w:p w14:paraId="1BEA5FDD" w14:textId="77777777" w:rsidR="00672297" w:rsidRDefault="00A16EA3">
            <w:pPr>
              <w:spacing w:before="20" w:after="20"/>
              <w:jc w:val="left"/>
            </w:pPr>
            <w:r>
              <w:rPr>
                <w:rFonts w:cstheme="minorHAnsi"/>
                <w:sz w:val="20"/>
                <w:szCs w:val="20"/>
              </w:rPr>
              <w:t>T10 certified value (°F)</w:t>
            </w:r>
          </w:p>
        </w:tc>
        <w:tc>
          <w:tcPr>
            <w:tcW w:w="2810" w:type="dxa"/>
            <w:vAlign w:val="center"/>
          </w:tcPr>
          <w:p w14:paraId="096C50B8" w14:textId="77777777" w:rsidR="00672297" w:rsidRDefault="00A16EA3">
            <w:pPr>
              <w:spacing w:before="20" w:after="20"/>
              <w:jc w:val="left"/>
            </w:pPr>
            <w:r>
              <w:rPr>
                <w:rFonts w:cstheme="minorHAnsi"/>
                <w:sz w:val="20"/>
                <w:szCs w:val="20"/>
              </w:rPr>
              <w:t>quality_detail (certified sample of the batch)</w:t>
            </w:r>
          </w:p>
        </w:tc>
      </w:tr>
      <w:tr w:rsidR="00672297" w14:paraId="15423F49" w14:textId="77777777">
        <w:trPr>
          <w:cantSplit/>
        </w:trPr>
        <w:tc>
          <w:tcPr>
            <w:tcW w:w="2246" w:type="dxa"/>
            <w:vAlign w:val="center"/>
          </w:tcPr>
          <w:p w14:paraId="0019BAE3" w14:textId="77777777" w:rsidR="00672297" w:rsidRDefault="00A16EA3">
            <w:pPr>
              <w:spacing w:before="20" w:after="20"/>
              <w:jc w:val="left"/>
            </w:pPr>
            <w:r>
              <w:rPr>
                <w:rFonts w:cstheme="minorHAnsi"/>
                <w:sz w:val="20"/>
                <w:szCs w:val="20"/>
              </w:rPr>
              <w:t>T10Max</w:t>
            </w:r>
          </w:p>
        </w:tc>
        <w:tc>
          <w:tcPr>
            <w:tcW w:w="1216" w:type="dxa"/>
            <w:vAlign w:val="center"/>
          </w:tcPr>
          <w:p w14:paraId="76235075" w14:textId="77777777" w:rsidR="00672297" w:rsidRDefault="00A16EA3">
            <w:pPr>
              <w:spacing w:before="20" w:after="20"/>
              <w:jc w:val="left"/>
            </w:pPr>
            <w:r>
              <w:rPr>
                <w:rFonts w:cstheme="minorHAnsi"/>
                <w:sz w:val="20"/>
                <w:szCs w:val="20"/>
              </w:rPr>
              <w:t>DECIMAL(18,4)</w:t>
            </w:r>
          </w:p>
        </w:tc>
        <w:tc>
          <w:tcPr>
            <w:tcW w:w="3088" w:type="dxa"/>
            <w:vAlign w:val="center"/>
          </w:tcPr>
          <w:p w14:paraId="43D288F9" w14:textId="77777777" w:rsidR="00672297" w:rsidRDefault="00A16EA3">
            <w:pPr>
              <w:spacing w:before="20" w:after="20"/>
              <w:jc w:val="left"/>
            </w:pPr>
            <w:r>
              <w:rPr>
                <w:rFonts w:cstheme="minorHAnsi"/>
                <w:sz w:val="20"/>
                <w:szCs w:val="20"/>
              </w:rPr>
              <w:t>T10 resolved specification maximum (°F)</w:t>
            </w:r>
          </w:p>
        </w:tc>
        <w:tc>
          <w:tcPr>
            <w:tcW w:w="2810" w:type="dxa"/>
            <w:vAlign w:val="center"/>
          </w:tcPr>
          <w:p w14:paraId="7EDD924B" w14:textId="77777777" w:rsidR="00672297" w:rsidRDefault="00A16EA3">
            <w:pPr>
              <w:spacing w:before="20" w:after="20"/>
              <w:jc w:val="left"/>
            </w:pPr>
            <w:r>
              <w:rPr>
                <w:rFonts w:cstheme="minorHAnsi"/>
                <w:sz w:val="20"/>
                <w:szCs w:val="20"/>
              </w:rPr>
              <w:t>Specification resolution; NULL when "R"</w:t>
            </w:r>
          </w:p>
        </w:tc>
      </w:tr>
      <w:tr w:rsidR="00672297" w14:paraId="3511C068" w14:textId="77777777">
        <w:trPr>
          <w:cantSplit/>
        </w:trPr>
        <w:tc>
          <w:tcPr>
            <w:tcW w:w="2246" w:type="dxa"/>
            <w:vAlign w:val="center"/>
          </w:tcPr>
          <w:p w14:paraId="298286B2" w14:textId="77777777" w:rsidR="00672297" w:rsidRDefault="00A16EA3">
            <w:pPr>
              <w:spacing w:before="20" w:after="20"/>
              <w:jc w:val="left"/>
            </w:pPr>
            <w:r>
              <w:rPr>
                <w:rFonts w:cstheme="minorHAnsi"/>
                <w:sz w:val="20"/>
                <w:szCs w:val="20"/>
              </w:rPr>
              <w:t>T50Min</w:t>
            </w:r>
          </w:p>
        </w:tc>
        <w:tc>
          <w:tcPr>
            <w:tcW w:w="1216" w:type="dxa"/>
            <w:vAlign w:val="center"/>
          </w:tcPr>
          <w:p w14:paraId="0F7636D4" w14:textId="77777777" w:rsidR="00672297" w:rsidRDefault="00A16EA3">
            <w:pPr>
              <w:spacing w:before="20" w:after="20"/>
              <w:jc w:val="left"/>
            </w:pPr>
            <w:r>
              <w:rPr>
                <w:rFonts w:cstheme="minorHAnsi"/>
                <w:sz w:val="20"/>
                <w:szCs w:val="20"/>
              </w:rPr>
              <w:t>DECIMAL(18,4)</w:t>
            </w:r>
          </w:p>
        </w:tc>
        <w:tc>
          <w:tcPr>
            <w:tcW w:w="3088" w:type="dxa"/>
            <w:vAlign w:val="center"/>
          </w:tcPr>
          <w:p w14:paraId="45222687" w14:textId="77777777" w:rsidR="00672297" w:rsidRDefault="00A16EA3">
            <w:pPr>
              <w:spacing w:before="20" w:after="20"/>
              <w:jc w:val="left"/>
            </w:pPr>
            <w:r>
              <w:rPr>
                <w:rFonts w:cstheme="minorHAnsi"/>
                <w:sz w:val="20"/>
                <w:szCs w:val="20"/>
              </w:rPr>
              <w:t>T50 resolved specification minimum (°F)</w:t>
            </w:r>
          </w:p>
        </w:tc>
        <w:tc>
          <w:tcPr>
            <w:tcW w:w="2810" w:type="dxa"/>
            <w:vAlign w:val="center"/>
          </w:tcPr>
          <w:p w14:paraId="4A2CD5C5" w14:textId="77777777" w:rsidR="00672297" w:rsidRDefault="00A16EA3">
            <w:pPr>
              <w:spacing w:before="20" w:after="20"/>
              <w:jc w:val="left"/>
            </w:pPr>
            <w:r>
              <w:rPr>
                <w:rFonts w:cstheme="minorHAnsi"/>
                <w:sz w:val="20"/>
                <w:szCs w:val="20"/>
              </w:rPr>
              <w:t>Specification resolution (Stage 1, Stage 2, waiver); NULL when "R"</w:t>
            </w:r>
          </w:p>
        </w:tc>
      </w:tr>
      <w:tr w:rsidR="00672297" w14:paraId="36C77549" w14:textId="77777777">
        <w:trPr>
          <w:cantSplit/>
        </w:trPr>
        <w:tc>
          <w:tcPr>
            <w:tcW w:w="2246" w:type="dxa"/>
            <w:vAlign w:val="center"/>
          </w:tcPr>
          <w:p w14:paraId="050F2775" w14:textId="77777777" w:rsidR="00672297" w:rsidRDefault="00A16EA3">
            <w:pPr>
              <w:spacing w:before="20" w:after="20"/>
              <w:jc w:val="left"/>
            </w:pPr>
            <w:r>
              <w:rPr>
                <w:rFonts w:cstheme="minorHAnsi"/>
                <w:sz w:val="20"/>
                <w:szCs w:val="20"/>
              </w:rPr>
              <w:t>T50Actual</w:t>
            </w:r>
          </w:p>
        </w:tc>
        <w:tc>
          <w:tcPr>
            <w:tcW w:w="1216" w:type="dxa"/>
            <w:vAlign w:val="center"/>
          </w:tcPr>
          <w:p w14:paraId="31696688" w14:textId="77777777" w:rsidR="00672297" w:rsidRDefault="00A16EA3">
            <w:pPr>
              <w:spacing w:before="20" w:after="20"/>
              <w:jc w:val="left"/>
            </w:pPr>
            <w:r>
              <w:rPr>
                <w:rFonts w:cstheme="minorHAnsi"/>
                <w:sz w:val="20"/>
                <w:szCs w:val="20"/>
              </w:rPr>
              <w:t>DECIMAL(18,4)</w:t>
            </w:r>
          </w:p>
        </w:tc>
        <w:tc>
          <w:tcPr>
            <w:tcW w:w="3088" w:type="dxa"/>
            <w:vAlign w:val="center"/>
          </w:tcPr>
          <w:p w14:paraId="338F3DA2" w14:textId="77777777" w:rsidR="00672297" w:rsidRDefault="00A16EA3">
            <w:pPr>
              <w:spacing w:before="20" w:after="20"/>
              <w:jc w:val="left"/>
            </w:pPr>
            <w:r>
              <w:rPr>
                <w:rFonts w:cstheme="minorHAnsi"/>
                <w:sz w:val="20"/>
                <w:szCs w:val="20"/>
              </w:rPr>
              <w:t>T50 certified value (°F)</w:t>
            </w:r>
          </w:p>
        </w:tc>
        <w:tc>
          <w:tcPr>
            <w:tcW w:w="2810" w:type="dxa"/>
            <w:vAlign w:val="center"/>
          </w:tcPr>
          <w:p w14:paraId="193C3B9B" w14:textId="77777777" w:rsidR="00672297" w:rsidRDefault="00A16EA3">
            <w:pPr>
              <w:spacing w:before="20" w:after="20"/>
              <w:jc w:val="left"/>
            </w:pPr>
            <w:r>
              <w:rPr>
                <w:rFonts w:cstheme="minorHAnsi"/>
                <w:sz w:val="20"/>
                <w:szCs w:val="20"/>
              </w:rPr>
              <w:t>quality_detail (certified sample of the batch)</w:t>
            </w:r>
          </w:p>
        </w:tc>
      </w:tr>
      <w:tr w:rsidR="00672297" w14:paraId="104DED7F" w14:textId="77777777">
        <w:trPr>
          <w:cantSplit/>
        </w:trPr>
        <w:tc>
          <w:tcPr>
            <w:tcW w:w="2246" w:type="dxa"/>
            <w:vAlign w:val="center"/>
          </w:tcPr>
          <w:p w14:paraId="1CEB5267" w14:textId="77777777" w:rsidR="00672297" w:rsidRDefault="00A16EA3">
            <w:pPr>
              <w:spacing w:before="20" w:after="20"/>
              <w:jc w:val="left"/>
            </w:pPr>
            <w:r>
              <w:rPr>
                <w:rFonts w:cstheme="minorHAnsi"/>
                <w:sz w:val="20"/>
                <w:szCs w:val="20"/>
              </w:rPr>
              <w:t>T50Max</w:t>
            </w:r>
          </w:p>
        </w:tc>
        <w:tc>
          <w:tcPr>
            <w:tcW w:w="1216" w:type="dxa"/>
            <w:vAlign w:val="center"/>
          </w:tcPr>
          <w:p w14:paraId="0AC50DF1" w14:textId="77777777" w:rsidR="00672297" w:rsidRDefault="00A16EA3">
            <w:pPr>
              <w:spacing w:before="20" w:after="20"/>
              <w:jc w:val="left"/>
            </w:pPr>
            <w:r>
              <w:rPr>
                <w:rFonts w:cstheme="minorHAnsi"/>
                <w:sz w:val="20"/>
                <w:szCs w:val="20"/>
              </w:rPr>
              <w:t>DECIMAL(18,4)</w:t>
            </w:r>
          </w:p>
        </w:tc>
        <w:tc>
          <w:tcPr>
            <w:tcW w:w="3088" w:type="dxa"/>
            <w:vAlign w:val="center"/>
          </w:tcPr>
          <w:p w14:paraId="44B485D5" w14:textId="77777777" w:rsidR="00672297" w:rsidRDefault="00A16EA3">
            <w:pPr>
              <w:spacing w:before="20" w:after="20"/>
              <w:jc w:val="left"/>
            </w:pPr>
            <w:r>
              <w:rPr>
                <w:rFonts w:cstheme="minorHAnsi"/>
                <w:sz w:val="20"/>
                <w:szCs w:val="20"/>
              </w:rPr>
              <w:t>T50 resolved specification maximum (°F)</w:t>
            </w:r>
          </w:p>
        </w:tc>
        <w:tc>
          <w:tcPr>
            <w:tcW w:w="2810" w:type="dxa"/>
            <w:vAlign w:val="center"/>
          </w:tcPr>
          <w:p w14:paraId="5C7F0775" w14:textId="77777777" w:rsidR="00672297" w:rsidRDefault="00A16EA3">
            <w:pPr>
              <w:spacing w:before="20" w:after="20"/>
              <w:jc w:val="left"/>
            </w:pPr>
            <w:r>
              <w:rPr>
                <w:rFonts w:cstheme="minorHAnsi"/>
                <w:sz w:val="20"/>
                <w:szCs w:val="20"/>
              </w:rPr>
              <w:t>Specification resolution; NULL when "R"</w:t>
            </w:r>
          </w:p>
        </w:tc>
      </w:tr>
      <w:tr w:rsidR="00672297" w14:paraId="6A69D549" w14:textId="77777777">
        <w:trPr>
          <w:cantSplit/>
        </w:trPr>
        <w:tc>
          <w:tcPr>
            <w:tcW w:w="2246" w:type="dxa"/>
            <w:vAlign w:val="center"/>
          </w:tcPr>
          <w:p w14:paraId="189CDA62" w14:textId="77777777" w:rsidR="00672297" w:rsidRDefault="00A16EA3">
            <w:pPr>
              <w:spacing w:before="20" w:after="20"/>
              <w:jc w:val="left"/>
            </w:pPr>
            <w:r>
              <w:rPr>
                <w:rFonts w:cstheme="minorHAnsi"/>
                <w:sz w:val="20"/>
                <w:szCs w:val="20"/>
              </w:rPr>
              <w:t>VL20Min</w:t>
            </w:r>
          </w:p>
        </w:tc>
        <w:tc>
          <w:tcPr>
            <w:tcW w:w="1216" w:type="dxa"/>
            <w:vAlign w:val="center"/>
          </w:tcPr>
          <w:p w14:paraId="5472B2BF" w14:textId="77777777" w:rsidR="00672297" w:rsidRDefault="00A16EA3">
            <w:pPr>
              <w:spacing w:before="20" w:after="20"/>
              <w:jc w:val="left"/>
            </w:pPr>
            <w:r>
              <w:rPr>
                <w:rFonts w:cstheme="minorHAnsi"/>
                <w:sz w:val="20"/>
                <w:szCs w:val="20"/>
              </w:rPr>
              <w:t>DECIMAL(18,4)</w:t>
            </w:r>
          </w:p>
        </w:tc>
        <w:tc>
          <w:tcPr>
            <w:tcW w:w="3088" w:type="dxa"/>
            <w:vAlign w:val="center"/>
          </w:tcPr>
          <w:p w14:paraId="4F403EB9" w14:textId="77777777" w:rsidR="00672297" w:rsidRDefault="00A16EA3">
            <w:pPr>
              <w:spacing w:before="20" w:after="20"/>
              <w:jc w:val="left"/>
            </w:pPr>
            <w:r>
              <w:rPr>
                <w:rFonts w:cstheme="minorHAnsi"/>
                <w:sz w:val="20"/>
                <w:szCs w:val="20"/>
              </w:rPr>
              <w:t>VL20 resolved specification minimum</w:t>
            </w:r>
          </w:p>
        </w:tc>
        <w:tc>
          <w:tcPr>
            <w:tcW w:w="2810" w:type="dxa"/>
            <w:vAlign w:val="center"/>
          </w:tcPr>
          <w:p w14:paraId="6EB32A47" w14:textId="77777777" w:rsidR="00672297" w:rsidRDefault="00A16EA3">
            <w:pPr>
              <w:spacing w:before="20" w:after="20"/>
              <w:jc w:val="left"/>
            </w:pPr>
            <w:r>
              <w:rPr>
                <w:rFonts w:cstheme="minorHAnsi"/>
                <w:sz w:val="20"/>
                <w:szCs w:val="20"/>
              </w:rPr>
              <w:t>Specification resolution (Stage 1, Stage 2, waiver); NULL when "R"</w:t>
            </w:r>
          </w:p>
        </w:tc>
      </w:tr>
      <w:tr w:rsidR="00672297" w14:paraId="0417B1BA" w14:textId="77777777">
        <w:trPr>
          <w:cantSplit/>
        </w:trPr>
        <w:tc>
          <w:tcPr>
            <w:tcW w:w="2246" w:type="dxa"/>
            <w:vAlign w:val="center"/>
          </w:tcPr>
          <w:p w14:paraId="79283625" w14:textId="77777777" w:rsidR="00672297" w:rsidRDefault="00A16EA3">
            <w:pPr>
              <w:spacing w:before="20" w:after="20"/>
              <w:jc w:val="left"/>
            </w:pPr>
            <w:r>
              <w:rPr>
                <w:rFonts w:cstheme="minorHAnsi"/>
                <w:sz w:val="20"/>
                <w:szCs w:val="20"/>
              </w:rPr>
              <w:t>VL20Actual</w:t>
            </w:r>
          </w:p>
        </w:tc>
        <w:tc>
          <w:tcPr>
            <w:tcW w:w="1216" w:type="dxa"/>
            <w:vAlign w:val="center"/>
          </w:tcPr>
          <w:p w14:paraId="16B22779" w14:textId="77777777" w:rsidR="00672297" w:rsidRDefault="00A16EA3">
            <w:pPr>
              <w:spacing w:before="20" w:after="20"/>
              <w:jc w:val="left"/>
            </w:pPr>
            <w:r>
              <w:rPr>
                <w:rFonts w:cstheme="minorHAnsi"/>
                <w:sz w:val="20"/>
                <w:szCs w:val="20"/>
              </w:rPr>
              <w:t>DECIMAL(18,4)</w:t>
            </w:r>
          </w:p>
        </w:tc>
        <w:tc>
          <w:tcPr>
            <w:tcW w:w="3088" w:type="dxa"/>
            <w:vAlign w:val="center"/>
          </w:tcPr>
          <w:p w14:paraId="4BA11483" w14:textId="77777777" w:rsidR="00672297" w:rsidRDefault="00A16EA3">
            <w:pPr>
              <w:spacing w:before="20" w:after="20"/>
              <w:jc w:val="left"/>
            </w:pPr>
            <w:r>
              <w:rPr>
                <w:rFonts w:cstheme="minorHAnsi"/>
                <w:sz w:val="20"/>
                <w:szCs w:val="20"/>
              </w:rPr>
              <w:t>VL20 certified value</w:t>
            </w:r>
          </w:p>
        </w:tc>
        <w:tc>
          <w:tcPr>
            <w:tcW w:w="2810" w:type="dxa"/>
            <w:vAlign w:val="center"/>
          </w:tcPr>
          <w:p w14:paraId="7D9CD155" w14:textId="77777777" w:rsidR="00672297" w:rsidRDefault="00A16EA3">
            <w:pPr>
              <w:spacing w:before="20" w:after="20"/>
              <w:jc w:val="left"/>
            </w:pPr>
            <w:r>
              <w:rPr>
                <w:rFonts w:cstheme="minorHAnsi"/>
                <w:sz w:val="20"/>
                <w:szCs w:val="20"/>
              </w:rPr>
              <w:t>quality_detail (certified sample of the batch)</w:t>
            </w:r>
          </w:p>
        </w:tc>
      </w:tr>
      <w:tr w:rsidR="00672297" w14:paraId="56D15645" w14:textId="77777777">
        <w:trPr>
          <w:cantSplit/>
        </w:trPr>
        <w:tc>
          <w:tcPr>
            <w:tcW w:w="2246" w:type="dxa"/>
            <w:vAlign w:val="center"/>
          </w:tcPr>
          <w:p w14:paraId="1C09EC30" w14:textId="77777777" w:rsidR="00672297" w:rsidRDefault="00A16EA3">
            <w:pPr>
              <w:spacing w:before="20" w:after="20"/>
              <w:jc w:val="left"/>
            </w:pPr>
            <w:r>
              <w:rPr>
                <w:rFonts w:cstheme="minorHAnsi"/>
                <w:sz w:val="20"/>
                <w:szCs w:val="20"/>
              </w:rPr>
              <w:t>VL20Max</w:t>
            </w:r>
          </w:p>
        </w:tc>
        <w:tc>
          <w:tcPr>
            <w:tcW w:w="1216" w:type="dxa"/>
            <w:vAlign w:val="center"/>
          </w:tcPr>
          <w:p w14:paraId="43B6A915" w14:textId="77777777" w:rsidR="00672297" w:rsidRDefault="00A16EA3">
            <w:pPr>
              <w:spacing w:before="20" w:after="20"/>
              <w:jc w:val="left"/>
            </w:pPr>
            <w:r>
              <w:rPr>
                <w:rFonts w:cstheme="minorHAnsi"/>
                <w:sz w:val="20"/>
                <w:szCs w:val="20"/>
              </w:rPr>
              <w:t>DECIMAL(18,4)</w:t>
            </w:r>
          </w:p>
        </w:tc>
        <w:tc>
          <w:tcPr>
            <w:tcW w:w="3088" w:type="dxa"/>
            <w:vAlign w:val="center"/>
          </w:tcPr>
          <w:p w14:paraId="51815495" w14:textId="77777777" w:rsidR="00672297" w:rsidRDefault="00A16EA3">
            <w:pPr>
              <w:spacing w:before="20" w:after="20"/>
              <w:jc w:val="left"/>
            </w:pPr>
            <w:r>
              <w:rPr>
                <w:rFonts w:cstheme="minorHAnsi"/>
                <w:sz w:val="20"/>
                <w:szCs w:val="20"/>
              </w:rPr>
              <w:t>VL20 resolved specification maximum</w:t>
            </w:r>
          </w:p>
        </w:tc>
        <w:tc>
          <w:tcPr>
            <w:tcW w:w="2810" w:type="dxa"/>
            <w:vAlign w:val="center"/>
          </w:tcPr>
          <w:p w14:paraId="6996BCAE" w14:textId="77777777" w:rsidR="00672297" w:rsidRDefault="00A16EA3">
            <w:pPr>
              <w:spacing w:before="20" w:after="20"/>
              <w:jc w:val="left"/>
            </w:pPr>
            <w:r>
              <w:rPr>
                <w:rFonts w:cstheme="minorHAnsi"/>
                <w:sz w:val="20"/>
                <w:szCs w:val="20"/>
              </w:rPr>
              <w:t>Specification resolution; NULL when "R"</w:t>
            </w:r>
          </w:p>
        </w:tc>
      </w:tr>
      <w:tr w:rsidR="00672297" w14:paraId="42933F8D" w14:textId="77777777">
        <w:trPr>
          <w:cantSplit/>
        </w:trPr>
        <w:tc>
          <w:tcPr>
            <w:tcW w:w="2246" w:type="dxa"/>
            <w:vAlign w:val="center"/>
          </w:tcPr>
          <w:p w14:paraId="37E786F5" w14:textId="77777777" w:rsidR="00672297" w:rsidRDefault="00A16EA3">
            <w:pPr>
              <w:spacing w:before="20" w:after="20"/>
              <w:jc w:val="left"/>
            </w:pPr>
            <w:r>
              <w:rPr>
                <w:rFonts w:cstheme="minorHAnsi"/>
                <w:sz w:val="20"/>
                <w:szCs w:val="20"/>
              </w:rPr>
              <w:t>RONMin</w:t>
            </w:r>
          </w:p>
        </w:tc>
        <w:tc>
          <w:tcPr>
            <w:tcW w:w="1216" w:type="dxa"/>
            <w:vAlign w:val="center"/>
          </w:tcPr>
          <w:p w14:paraId="48314270" w14:textId="77777777" w:rsidR="00672297" w:rsidRDefault="00A16EA3">
            <w:pPr>
              <w:spacing w:before="20" w:after="20"/>
              <w:jc w:val="left"/>
            </w:pPr>
            <w:r>
              <w:rPr>
                <w:rFonts w:cstheme="minorHAnsi"/>
                <w:sz w:val="20"/>
                <w:szCs w:val="20"/>
              </w:rPr>
              <w:t>DECIMAL(18,4)</w:t>
            </w:r>
          </w:p>
        </w:tc>
        <w:tc>
          <w:tcPr>
            <w:tcW w:w="3088" w:type="dxa"/>
            <w:vAlign w:val="center"/>
          </w:tcPr>
          <w:p w14:paraId="24CEAFEF" w14:textId="77777777" w:rsidR="00672297" w:rsidRDefault="00A16EA3">
            <w:pPr>
              <w:spacing w:before="20" w:after="20"/>
              <w:jc w:val="left"/>
            </w:pPr>
            <w:r>
              <w:rPr>
                <w:rFonts w:cstheme="minorHAnsi"/>
                <w:sz w:val="20"/>
                <w:szCs w:val="20"/>
              </w:rPr>
              <w:t>RON resolved specification minimum</w:t>
            </w:r>
          </w:p>
        </w:tc>
        <w:tc>
          <w:tcPr>
            <w:tcW w:w="2810" w:type="dxa"/>
            <w:vAlign w:val="center"/>
          </w:tcPr>
          <w:p w14:paraId="28403739" w14:textId="77777777" w:rsidR="00672297" w:rsidRDefault="00A16EA3">
            <w:pPr>
              <w:spacing w:before="20" w:after="20"/>
              <w:jc w:val="left"/>
            </w:pPr>
            <w:r>
              <w:rPr>
                <w:rFonts w:cstheme="minorHAnsi"/>
                <w:sz w:val="20"/>
                <w:szCs w:val="20"/>
              </w:rPr>
              <w:t>Specification resolution (Stage 1, Stage 2, waiver); NULL when "R"</w:t>
            </w:r>
          </w:p>
        </w:tc>
      </w:tr>
      <w:tr w:rsidR="00672297" w14:paraId="748F806E" w14:textId="77777777">
        <w:trPr>
          <w:cantSplit/>
        </w:trPr>
        <w:tc>
          <w:tcPr>
            <w:tcW w:w="2246" w:type="dxa"/>
            <w:vAlign w:val="center"/>
          </w:tcPr>
          <w:p w14:paraId="25F9E6C1" w14:textId="77777777" w:rsidR="00672297" w:rsidRDefault="00A16EA3">
            <w:pPr>
              <w:spacing w:before="20" w:after="20"/>
              <w:jc w:val="left"/>
            </w:pPr>
            <w:r>
              <w:rPr>
                <w:rFonts w:cstheme="minorHAnsi"/>
                <w:sz w:val="20"/>
                <w:szCs w:val="20"/>
              </w:rPr>
              <w:t>RONActual</w:t>
            </w:r>
          </w:p>
        </w:tc>
        <w:tc>
          <w:tcPr>
            <w:tcW w:w="1216" w:type="dxa"/>
            <w:vAlign w:val="center"/>
          </w:tcPr>
          <w:p w14:paraId="7F164E7B" w14:textId="77777777" w:rsidR="00672297" w:rsidRDefault="00A16EA3">
            <w:pPr>
              <w:spacing w:before="20" w:after="20"/>
              <w:jc w:val="left"/>
            </w:pPr>
            <w:r>
              <w:rPr>
                <w:rFonts w:cstheme="minorHAnsi"/>
                <w:sz w:val="20"/>
                <w:szCs w:val="20"/>
              </w:rPr>
              <w:t>DECIMAL(18,4)</w:t>
            </w:r>
          </w:p>
        </w:tc>
        <w:tc>
          <w:tcPr>
            <w:tcW w:w="3088" w:type="dxa"/>
            <w:vAlign w:val="center"/>
          </w:tcPr>
          <w:p w14:paraId="15CDB2C2" w14:textId="77777777" w:rsidR="00672297" w:rsidRDefault="00A16EA3">
            <w:pPr>
              <w:spacing w:before="20" w:after="20"/>
              <w:jc w:val="left"/>
            </w:pPr>
            <w:r>
              <w:rPr>
                <w:rFonts w:cstheme="minorHAnsi"/>
                <w:sz w:val="20"/>
                <w:szCs w:val="20"/>
              </w:rPr>
              <w:t>RON certified value</w:t>
            </w:r>
          </w:p>
        </w:tc>
        <w:tc>
          <w:tcPr>
            <w:tcW w:w="2810" w:type="dxa"/>
            <w:vAlign w:val="center"/>
          </w:tcPr>
          <w:p w14:paraId="0F4F6983" w14:textId="77777777" w:rsidR="00672297" w:rsidRDefault="00A16EA3">
            <w:pPr>
              <w:spacing w:before="20" w:after="20"/>
              <w:jc w:val="left"/>
            </w:pPr>
            <w:r>
              <w:rPr>
                <w:rFonts w:cstheme="minorHAnsi"/>
                <w:sz w:val="20"/>
                <w:szCs w:val="20"/>
              </w:rPr>
              <w:t>quality_detail (certified sample of the batch)</w:t>
            </w:r>
          </w:p>
        </w:tc>
      </w:tr>
      <w:tr w:rsidR="00672297" w14:paraId="79A2F9FD" w14:textId="77777777">
        <w:trPr>
          <w:cantSplit/>
        </w:trPr>
        <w:tc>
          <w:tcPr>
            <w:tcW w:w="2246" w:type="dxa"/>
            <w:vAlign w:val="center"/>
          </w:tcPr>
          <w:p w14:paraId="403F04DB" w14:textId="77777777" w:rsidR="00672297" w:rsidRDefault="00A16EA3">
            <w:pPr>
              <w:spacing w:before="20" w:after="20"/>
              <w:jc w:val="left"/>
            </w:pPr>
            <w:r>
              <w:rPr>
                <w:rFonts w:cstheme="minorHAnsi"/>
                <w:sz w:val="20"/>
                <w:szCs w:val="20"/>
              </w:rPr>
              <w:t>RONMax</w:t>
            </w:r>
          </w:p>
        </w:tc>
        <w:tc>
          <w:tcPr>
            <w:tcW w:w="1216" w:type="dxa"/>
            <w:vAlign w:val="center"/>
          </w:tcPr>
          <w:p w14:paraId="4CAA1A01" w14:textId="77777777" w:rsidR="00672297" w:rsidRDefault="00A16EA3">
            <w:pPr>
              <w:spacing w:before="20" w:after="20"/>
              <w:jc w:val="left"/>
            </w:pPr>
            <w:r>
              <w:rPr>
                <w:rFonts w:cstheme="minorHAnsi"/>
                <w:sz w:val="20"/>
                <w:szCs w:val="20"/>
              </w:rPr>
              <w:t>DECIMAL(18,4)</w:t>
            </w:r>
          </w:p>
        </w:tc>
        <w:tc>
          <w:tcPr>
            <w:tcW w:w="3088" w:type="dxa"/>
            <w:vAlign w:val="center"/>
          </w:tcPr>
          <w:p w14:paraId="34B4670A" w14:textId="77777777" w:rsidR="00672297" w:rsidRDefault="00A16EA3">
            <w:pPr>
              <w:spacing w:before="20" w:after="20"/>
              <w:jc w:val="left"/>
            </w:pPr>
            <w:r>
              <w:rPr>
                <w:rFonts w:cstheme="minorHAnsi"/>
                <w:sz w:val="20"/>
                <w:szCs w:val="20"/>
              </w:rPr>
              <w:t>RON resolved specification maximum</w:t>
            </w:r>
          </w:p>
        </w:tc>
        <w:tc>
          <w:tcPr>
            <w:tcW w:w="2810" w:type="dxa"/>
            <w:vAlign w:val="center"/>
          </w:tcPr>
          <w:p w14:paraId="07E1B9D6" w14:textId="77777777" w:rsidR="00672297" w:rsidRDefault="00A16EA3">
            <w:pPr>
              <w:spacing w:before="20" w:after="20"/>
              <w:jc w:val="left"/>
            </w:pPr>
            <w:r>
              <w:rPr>
                <w:rFonts w:cstheme="minorHAnsi"/>
                <w:sz w:val="20"/>
                <w:szCs w:val="20"/>
              </w:rPr>
              <w:t>Specification resolution; NULL when "R"</w:t>
            </w:r>
          </w:p>
        </w:tc>
      </w:tr>
      <w:tr w:rsidR="00672297" w14:paraId="0B6EAC3A" w14:textId="77777777">
        <w:trPr>
          <w:cantSplit/>
        </w:trPr>
        <w:tc>
          <w:tcPr>
            <w:tcW w:w="2246" w:type="dxa"/>
            <w:vAlign w:val="center"/>
          </w:tcPr>
          <w:p w14:paraId="7C5D6866" w14:textId="77777777" w:rsidR="00672297" w:rsidRDefault="00A16EA3">
            <w:pPr>
              <w:spacing w:before="20" w:after="20"/>
              <w:jc w:val="left"/>
            </w:pPr>
            <w:r>
              <w:rPr>
                <w:rFonts w:cstheme="minorHAnsi"/>
                <w:sz w:val="20"/>
                <w:szCs w:val="20"/>
              </w:rPr>
              <w:t>DONMin</w:t>
            </w:r>
          </w:p>
        </w:tc>
        <w:tc>
          <w:tcPr>
            <w:tcW w:w="1216" w:type="dxa"/>
            <w:vAlign w:val="center"/>
          </w:tcPr>
          <w:p w14:paraId="267B1D3F" w14:textId="77777777" w:rsidR="00672297" w:rsidRDefault="00A16EA3">
            <w:pPr>
              <w:spacing w:before="20" w:after="20"/>
              <w:jc w:val="left"/>
            </w:pPr>
            <w:r>
              <w:rPr>
                <w:rFonts w:cstheme="minorHAnsi"/>
                <w:sz w:val="20"/>
                <w:szCs w:val="20"/>
              </w:rPr>
              <w:t>DECIMAL(18,4)</w:t>
            </w:r>
          </w:p>
        </w:tc>
        <w:tc>
          <w:tcPr>
            <w:tcW w:w="3088" w:type="dxa"/>
            <w:vAlign w:val="center"/>
          </w:tcPr>
          <w:p w14:paraId="5C1DCE08" w14:textId="77777777" w:rsidR="00672297" w:rsidRDefault="00A16EA3">
            <w:pPr>
              <w:spacing w:before="20" w:after="20"/>
              <w:jc w:val="left"/>
            </w:pPr>
            <w:r>
              <w:rPr>
                <w:rFonts w:cstheme="minorHAnsi"/>
                <w:sz w:val="20"/>
                <w:szCs w:val="20"/>
              </w:rPr>
              <w:t>DON resolved specification minimum</w:t>
            </w:r>
          </w:p>
        </w:tc>
        <w:tc>
          <w:tcPr>
            <w:tcW w:w="2810" w:type="dxa"/>
            <w:vAlign w:val="center"/>
          </w:tcPr>
          <w:p w14:paraId="7E75E211" w14:textId="77777777" w:rsidR="00672297" w:rsidRDefault="00A16EA3">
            <w:pPr>
              <w:spacing w:before="20" w:after="20"/>
              <w:jc w:val="left"/>
            </w:pPr>
            <w:r>
              <w:rPr>
                <w:rFonts w:cstheme="minorHAnsi"/>
                <w:sz w:val="20"/>
                <w:szCs w:val="20"/>
              </w:rPr>
              <w:t>Specification resolution (Stage 1, Stage 2, waiver); NULL when "R"</w:t>
            </w:r>
          </w:p>
        </w:tc>
      </w:tr>
      <w:tr w:rsidR="00672297" w14:paraId="01B272E2" w14:textId="77777777">
        <w:trPr>
          <w:cantSplit/>
        </w:trPr>
        <w:tc>
          <w:tcPr>
            <w:tcW w:w="2246" w:type="dxa"/>
            <w:vAlign w:val="center"/>
          </w:tcPr>
          <w:p w14:paraId="2FD1DEE6" w14:textId="77777777" w:rsidR="00672297" w:rsidRDefault="00A16EA3">
            <w:pPr>
              <w:spacing w:before="20" w:after="20"/>
              <w:jc w:val="left"/>
            </w:pPr>
            <w:r>
              <w:rPr>
                <w:rFonts w:cstheme="minorHAnsi"/>
                <w:sz w:val="20"/>
                <w:szCs w:val="20"/>
              </w:rPr>
              <w:t>DONActual</w:t>
            </w:r>
          </w:p>
        </w:tc>
        <w:tc>
          <w:tcPr>
            <w:tcW w:w="1216" w:type="dxa"/>
            <w:vAlign w:val="center"/>
          </w:tcPr>
          <w:p w14:paraId="2160EF61" w14:textId="77777777" w:rsidR="00672297" w:rsidRDefault="00A16EA3">
            <w:pPr>
              <w:spacing w:before="20" w:after="20"/>
              <w:jc w:val="left"/>
            </w:pPr>
            <w:r>
              <w:rPr>
                <w:rFonts w:cstheme="minorHAnsi"/>
                <w:sz w:val="20"/>
                <w:szCs w:val="20"/>
              </w:rPr>
              <w:t>DECIMAL(18,4)</w:t>
            </w:r>
          </w:p>
        </w:tc>
        <w:tc>
          <w:tcPr>
            <w:tcW w:w="3088" w:type="dxa"/>
            <w:vAlign w:val="center"/>
          </w:tcPr>
          <w:p w14:paraId="1ECC1D34" w14:textId="77777777" w:rsidR="00672297" w:rsidRDefault="00A16EA3">
            <w:pPr>
              <w:spacing w:before="20" w:after="20"/>
              <w:jc w:val="left"/>
            </w:pPr>
            <w:r>
              <w:rPr>
                <w:rFonts w:cstheme="minorHAnsi"/>
                <w:sz w:val="20"/>
                <w:szCs w:val="20"/>
              </w:rPr>
              <w:t>DON certified value</w:t>
            </w:r>
          </w:p>
        </w:tc>
        <w:tc>
          <w:tcPr>
            <w:tcW w:w="2810" w:type="dxa"/>
            <w:vAlign w:val="center"/>
          </w:tcPr>
          <w:p w14:paraId="178919E0" w14:textId="77777777" w:rsidR="00672297" w:rsidRDefault="00A16EA3">
            <w:pPr>
              <w:spacing w:before="20" w:after="20"/>
              <w:jc w:val="left"/>
            </w:pPr>
            <w:r>
              <w:rPr>
                <w:rFonts w:cstheme="minorHAnsi"/>
                <w:sz w:val="20"/>
                <w:szCs w:val="20"/>
              </w:rPr>
              <w:t>quality_detail (certified sample of the batch)</w:t>
            </w:r>
          </w:p>
        </w:tc>
      </w:tr>
      <w:tr w:rsidR="00672297" w14:paraId="097D9A04" w14:textId="77777777">
        <w:trPr>
          <w:cantSplit/>
        </w:trPr>
        <w:tc>
          <w:tcPr>
            <w:tcW w:w="2246" w:type="dxa"/>
            <w:vAlign w:val="center"/>
          </w:tcPr>
          <w:p w14:paraId="35EDE6AC" w14:textId="77777777" w:rsidR="00672297" w:rsidRDefault="00A16EA3">
            <w:pPr>
              <w:spacing w:before="20" w:after="20"/>
              <w:jc w:val="left"/>
            </w:pPr>
            <w:r>
              <w:rPr>
                <w:rFonts w:cstheme="minorHAnsi"/>
                <w:sz w:val="20"/>
                <w:szCs w:val="20"/>
              </w:rPr>
              <w:t>DONMax</w:t>
            </w:r>
          </w:p>
        </w:tc>
        <w:tc>
          <w:tcPr>
            <w:tcW w:w="1216" w:type="dxa"/>
            <w:vAlign w:val="center"/>
          </w:tcPr>
          <w:p w14:paraId="02B73287" w14:textId="77777777" w:rsidR="00672297" w:rsidRDefault="00A16EA3">
            <w:pPr>
              <w:spacing w:before="20" w:after="20"/>
              <w:jc w:val="left"/>
            </w:pPr>
            <w:r>
              <w:rPr>
                <w:rFonts w:cstheme="minorHAnsi"/>
                <w:sz w:val="20"/>
                <w:szCs w:val="20"/>
              </w:rPr>
              <w:t>DECIMAL(18,4)</w:t>
            </w:r>
          </w:p>
        </w:tc>
        <w:tc>
          <w:tcPr>
            <w:tcW w:w="3088" w:type="dxa"/>
            <w:vAlign w:val="center"/>
          </w:tcPr>
          <w:p w14:paraId="491A0796" w14:textId="77777777" w:rsidR="00672297" w:rsidRDefault="00A16EA3">
            <w:pPr>
              <w:spacing w:before="20" w:after="20"/>
              <w:jc w:val="left"/>
            </w:pPr>
            <w:r>
              <w:rPr>
                <w:rFonts w:cstheme="minorHAnsi"/>
                <w:sz w:val="20"/>
                <w:szCs w:val="20"/>
              </w:rPr>
              <w:t>DON resolved specification maximum</w:t>
            </w:r>
          </w:p>
        </w:tc>
        <w:tc>
          <w:tcPr>
            <w:tcW w:w="2810" w:type="dxa"/>
            <w:vAlign w:val="center"/>
          </w:tcPr>
          <w:p w14:paraId="06A1D539" w14:textId="77777777" w:rsidR="00672297" w:rsidRDefault="00A16EA3">
            <w:pPr>
              <w:spacing w:before="20" w:after="20"/>
              <w:jc w:val="left"/>
            </w:pPr>
            <w:r>
              <w:rPr>
                <w:rFonts w:cstheme="minorHAnsi"/>
                <w:sz w:val="20"/>
                <w:szCs w:val="20"/>
              </w:rPr>
              <w:t>Specification resolution; NULL when "R"</w:t>
            </w:r>
          </w:p>
        </w:tc>
      </w:tr>
      <w:tr w:rsidR="00672297" w14:paraId="04F3AED9" w14:textId="77777777">
        <w:trPr>
          <w:cantSplit/>
        </w:trPr>
        <w:tc>
          <w:tcPr>
            <w:tcW w:w="2246" w:type="dxa"/>
            <w:vAlign w:val="center"/>
          </w:tcPr>
          <w:p w14:paraId="328A48AC" w14:textId="77777777" w:rsidR="00672297" w:rsidRDefault="00A16EA3">
            <w:pPr>
              <w:spacing w:before="20" w:after="20"/>
              <w:jc w:val="left"/>
            </w:pPr>
            <w:r>
              <w:rPr>
                <w:rFonts w:cstheme="minorHAnsi"/>
                <w:sz w:val="20"/>
                <w:szCs w:val="20"/>
              </w:rPr>
              <w:t>&lt;Property&gt;WithinSpec</w:t>
            </w:r>
          </w:p>
        </w:tc>
        <w:tc>
          <w:tcPr>
            <w:tcW w:w="1216" w:type="dxa"/>
            <w:vAlign w:val="center"/>
          </w:tcPr>
          <w:p w14:paraId="7E12B151" w14:textId="77777777" w:rsidR="00672297" w:rsidRDefault="00A16EA3">
            <w:pPr>
              <w:spacing w:before="20" w:after="20"/>
              <w:jc w:val="left"/>
            </w:pPr>
            <w:r>
              <w:rPr>
                <w:rFonts w:cstheme="minorHAnsi"/>
                <w:sz w:val="20"/>
                <w:szCs w:val="20"/>
              </w:rPr>
              <w:t>BIT</w:t>
            </w:r>
          </w:p>
        </w:tc>
        <w:tc>
          <w:tcPr>
            <w:tcW w:w="3088" w:type="dxa"/>
            <w:vAlign w:val="center"/>
          </w:tcPr>
          <w:p w14:paraId="2E297187" w14:textId="77777777" w:rsidR="00672297" w:rsidRDefault="00A16EA3">
            <w:pPr>
              <w:spacing w:before="20" w:after="20"/>
              <w:jc w:val="left"/>
            </w:pPr>
            <w:r>
              <w:rPr>
                <w:rFonts w:cstheme="minorHAnsi"/>
                <w:sz w:val="20"/>
                <w:szCs w:val="20"/>
              </w:rPr>
              <w:t>Per property: 1 within spec, 0 off spec, NULL no limit</w:t>
            </w:r>
          </w:p>
        </w:tc>
        <w:tc>
          <w:tcPr>
            <w:tcW w:w="2810" w:type="dxa"/>
            <w:vAlign w:val="center"/>
          </w:tcPr>
          <w:p w14:paraId="06F520B0" w14:textId="77777777" w:rsidR="00672297" w:rsidRDefault="00A16EA3">
            <w:pPr>
              <w:spacing w:before="20" w:after="20"/>
              <w:jc w:val="left"/>
            </w:pPr>
            <w:r>
              <w:rPr>
                <w:rFonts w:cstheme="minorHAnsi"/>
                <w:sz w:val="20"/>
                <w:szCs w:val="20"/>
              </w:rPr>
              <w:t>Derived from Min / Actual / Max</w:t>
            </w:r>
          </w:p>
        </w:tc>
      </w:tr>
      <w:tr w:rsidR="00672297" w14:paraId="0668F4D9" w14:textId="77777777">
        <w:trPr>
          <w:cantSplit/>
        </w:trPr>
        <w:tc>
          <w:tcPr>
            <w:tcW w:w="2246" w:type="dxa"/>
            <w:vAlign w:val="center"/>
          </w:tcPr>
          <w:p w14:paraId="13876312" w14:textId="77777777" w:rsidR="00672297" w:rsidRDefault="00A16EA3">
            <w:pPr>
              <w:spacing w:before="20" w:after="20"/>
              <w:jc w:val="left"/>
            </w:pPr>
            <w:r>
              <w:rPr>
                <w:rFonts w:cstheme="minorHAnsi"/>
                <w:sz w:val="20"/>
                <w:szCs w:val="20"/>
              </w:rPr>
              <w:t>DataQualityFlag</w:t>
            </w:r>
          </w:p>
        </w:tc>
        <w:tc>
          <w:tcPr>
            <w:tcW w:w="1216" w:type="dxa"/>
            <w:vAlign w:val="center"/>
          </w:tcPr>
          <w:p w14:paraId="4BF071C5" w14:textId="77777777" w:rsidR="00672297" w:rsidRDefault="00A16EA3">
            <w:pPr>
              <w:spacing w:before="20" w:after="20"/>
              <w:jc w:val="left"/>
            </w:pPr>
            <w:r>
              <w:rPr>
                <w:rFonts w:cstheme="minorHAnsi"/>
                <w:sz w:val="20"/>
                <w:szCs w:val="20"/>
              </w:rPr>
              <w:t>VARCHAR(100)</w:t>
            </w:r>
          </w:p>
        </w:tc>
        <w:tc>
          <w:tcPr>
            <w:tcW w:w="3088" w:type="dxa"/>
            <w:vAlign w:val="center"/>
          </w:tcPr>
          <w:p w14:paraId="6249704D" w14:textId="77777777" w:rsidR="00672297" w:rsidRDefault="00A16EA3">
            <w:pPr>
              <w:spacing w:before="20" w:after="20"/>
              <w:jc w:val="left"/>
            </w:pPr>
            <w:r>
              <w:rPr>
                <w:rFonts w:cstheme="minorHAnsi"/>
                <w:sz w:val="20"/>
                <w:szCs w:val="20"/>
              </w:rPr>
              <w:t>DQ-12 flags</w:t>
            </w:r>
          </w:p>
        </w:tc>
        <w:tc>
          <w:tcPr>
            <w:tcW w:w="2810" w:type="dxa"/>
            <w:vAlign w:val="center"/>
          </w:tcPr>
          <w:p w14:paraId="36661CBB" w14:textId="77777777" w:rsidR="00672297" w:rsidRDefault="00A16EA3">
            <w:pPr>
              <w:spacing w:before="20" w:after="20"/>
              <w:jc w:val="left"/>
            </w:pPr>
            <w:r>
              <w:rPr>
                <w:rFonts w:cstheme="minorHAnsi"/>
                <w:sz w:val="20"/>
                <w:szCs w:val="20"/>
              </w:rPr>
              <w:t>Derived</w:t>
            </w:r>
          </w:p>
        </w:tc>
      </w:tr>
    </w:tbl>
    <w:p w14:paraId="0385E42E" w14:textId="48F18C53" w:rsidR="00672297" w:rsidRDefault="00A16EA3">
      <w:pPr>
        <w:pStyle w:val="Caption"/>
      </w:pPr>
      <w:bookmarkStart w:id="392" w:name="_Toc900900033"/>
      <w:bookmarkStart w:id="393" w:name="_Toc241574680"/>
      <w:bookmarkStart w:id="394" w:name="_Toc242554064"/>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11</w:t>
      </w:r>
      <w:r>
        <w:fldChar w:fldCharType="end"/>
      </w:r>
      <w:r>
        <w:t>: vwRefineryBatchMovementQuality View</w:t>
      </w:r>
      <w:bookmarkEnd w:id="392"/>
      <w:bookmarkEnd w:id="393"/>
      <w:bookmarkEnd w:id="394"/>
    </w:p>
    <w:p w14:paraId="428F66CB" w14:textId="77777777" w:rsidR="00672297" w:rsidRDefault="00A16EA3">
      <w:pPr>
        <w:rPr>
          <w:rFonts w:cstheme="minorHAnsi"/>
          <w:sz w:val="20"/>
          <w:szCs w:val="20"/>
        </w:rPr>
      </w:pPr>
      <w:r>
        <w:rPr>
          <w:rFonts w:cstheme="minorHAnsi"/>
          <w:b/>
          <w:bCs/>
          <w:sz w:val="20"/>
          <w:szCs w:val="20"/>
        </w:rPr>
        <w:t>vwDistillateBlendPotentialQuality</w:t>
      </w:r>
      <w:r>
        <w:rPr>
          <w:rFonts w:cstheme="minorHAnsi"/>
          <w:sz w:val="20"/>
          <w:szCs w:val="20"/>
        </w:rPr>
        <w:t xml:space="preserve"> - Blending Potential dashboard; one row per scheduled or in-transit gasoline batch and destination.</w:t>
      </w:r>
    </w:p>
    <w:tbl>
      <w:tblPr>
        <w:tblStyle w:val="TableGrid"/>
        <w:tblW w:w="9360" w:type="dxa"/>
        <w:tblLayout w:type="fixed"/>
        <w:tblCellMar>
          <w:left w:w="70" w:type="dxa"/>
          <w:right w:w="70" w:type="dxa"/>
        </w:tblCellMar>
        <w:tblLook w:val="04A0" w:firstRow="1" w:lastRow="0" w:firstColumn="1" w:lastColumn="0" w:noHBand="0" w:noVBand="1"/>
      </w:tblPr>
      <w:tblGrid>
        <w:gridCol w:w="2246"/>
        <w:gridCol w:w="1216"/>
        <w:gridCol w:w="3088"/>
        <w:gridCol w:w="2810"/>
      </w:tblGrid>
      <w:tr w:rsidR="00672297" w14:paraId="2B738C2E" w14:textId="77777777">
        <w:trPr>
          <w:cantSplit/>
          <w:tblHeader/>
        </w:trPr>
        <w:tc>
          <w:tcPr>
            <w:tcW w:w="2246" w:type="dxa"/>
            <w:shd w:val="clear" w:color="auto" w:fill="2F5496"/>
            <w:vAlign w:val="center"/>
          </w:tcPr>
          <w:p w14:paraId="1267486D" w14:textId="77777777" w:rsidR="00672297" w:rsidRDefault="00A16EA3">
            <w:pPr>
              <w:spacing w:before="20" w:after="20"/>
              <w:jc w:val="left"/>
            </w:pPr>
            <w:r>
              <w:rPr>
                <w:rFonts w:cstheme="minorHAnsi"/>
                <w:b/>
                <w:bCs/>
                <w:color w:val="FFFFFF"/>
                <w:sz w:val="20"/>
                <w:szCs w:val="20"/>
              </w:rPr>
              <w:t>Column Name</w:t>
            </w:r>
          </w:p>
        </w:tc>
        <w:tc>
          <w:tcPr>
            <w:tcW w:w="1216" w:type="dxa"/>
            <w:shd w:val="clear" w:color="auto" w:fill="2F5496"/>
            <w:vAlign w:val="center"/>
          </w:tcPr>
          <w:p w14:paraId="1F522670" w14:textId="77777777" w:rsidR="00672297" w:rsidRDefault="00A16EA3">
            <w:pPr>
              <w:spacing w:before="20" w:after="20"/>
              <w:jc w:val="left"/>
            </w:pPr>
            <w:r>
              <w:rPr>
                <w:rFonts w:cstheme="minorHAnsi"/>
                <w:b/>
                <w:bCs/>
                <w:color w:val="FFFFFF"/>
                <w:sz w:val="20"/>
                <w:szCs w:val="20"/>
              </w:rPr>
              <w:t>Data Type</w:t>
            </w:r>
          </w:p>
        </w:tc>
        <w:tc>
          <w:tcPr>
            <w:tcW w:w="3088" w:type="dxa"/>
            <w:shd w:val="clear" w:color="auto" w:fill="2F5496"/>
            <w:vAlign w:val="center"/>
          </w:tcPr>
          <w:p w14:paraId="2D9949F1" w14:textId="77777777" w:rsidR="00672297" w:rsidRDefault="00A16EA3">
            <w:pPr>
              <w:spacing w:before="20" w:after="20"/>
              <w:jc w:val="left"/>
            </w:pPr>
            <w:r>
              <w:rPr>
                <w:rFonts w:cstheme="minorHAnsi"/>
                <w:b/>
                <w:bCs/>
                <w:color w:val="FFFFFF"/>
                <w:sz w:val="20"/>
                <w:szCs w:val="20"/>
              </w:rPr>
              <w:t>Description</w:t>
            </w:r>
          </w:p>
        </w:tc>
        <w:tc>
          <w:tcPr>
            <w:tcW w:w="2810" w:type="dxa"/>
            <w:shd w:val="clear" w:color="auto" w:fill="2F5496"/>
            <w:vAlign w:val="center"/>
          </w:tcPr>
          <w:p w14:paraId="6CB65F51" w14:textId="77777777" w:rsidR="00672297" w:rsidRDefault="00A16EA3">
            <w:pPr>
              <w:spacing w:before="20" w:after="20"/>
              <w:jc w:val="left"/>
            </w:pPr>
            <w:r>
              <w:rPr>
                <w:rFonts w:cstheme="minorHAnsi"/>
                <w:b/>
                <w:bCs/>
                <w:color w:val="FFFFFF"/>
                <w:sz w:val="20"/>
                <w:szCs w:val="20"/>
              </w:rPr>
              <w:t>Source Table / Derivation</w:t>
            </w:r>
          </w:p>
        </w:tc>
      </w:tr>
      <w:tr w:rsidR="00672297" w14:paraId="6078E0D1" w14:textId="77777777">
        <w:trPr>
          <w:cantSplit/>
        </w:trPr>
        <w:tc>
          <w:tcPr>
            <w:tcW w:w="2246" w:type="dxa"/>
            <w:vAlign w:val="center"/>
          </w:tcPr>
          <w:p w14:paraId="0AD58DF7" w14:textId="77777777" w:rsidR="00672297" w:rsidRDefault="00A16EA3">
            <w:pPr>
              <w:spacing w:before="20" w:after="20"/>
              <w:jc w:val="left"/>
            </w:pPr>
            <w:r>
              <w:rPr>
                <w:rFonts w:cstheme="minorHAnsi"/>
                <w:sz w:val="20"/>
                <w:szCs w:val="20"/>
              </w:rPr>
              <w:t>BatchID</w:t>
            </w:r>
          </w:p>
        </w:tc>
        <w:tc>
          <w:tcPr>
            <w:tcW w:w="1216" w:type="dxa"/>
            <w:vAlign w:val="center"/>
          </w:tcPr>
          <w:p w14:paraId="3DB3FA9F" w14:textId="77777777" w:rsidR="00672297" w:rsidRDefault="00A16EA3">
            <w:pPr>
              <w:spacing w:before="20" w:after="20"/>
              <w:jc w:val="left"/>
            </w:pPr>
            <w:r>
              <w:rPr>
                <w:rFonts w:cstheme="minorHAnsi"/>
                <w:sz w:val="20"/>
                <w:szCs w:val="20"/>
              </w:rPr>
              <w:t>VARCHAR(100)</w:t>
            </w:r>
          </w:p>
        </w:tc>
        <w:tc>
          <w:tcPr>
            <w:tcW w:w="3088" w:type="dxa"/>
            <w:vAlign w:val="center"/>
          </w:tcPr>
          <w:p w14:paraId="3CA280F3" w14:textId="77777777" w:rsidR="00672297" w:rsidRDefault="00A16EA3">
            <w:pPr>
              <w:spacing w:before="20" w:after="20"/>
              <w:jc w:val="left"/>
            </w:pPr>
            <w:r>
              <w:rPr>
                <w:rFonts w:cstheme="minorHAnsi"/>
                <w:sz w:val="20"/>
                <w:szCs w:val="20"/>
              </w:rPr>
              <w:t>Product batch identifier</w:t>
            </w:r>
          </w:p>
        </w:tc>
        <w:tc>
          <w:tcPr>
            <w:tcW w:w="2810" w:type="dxa"/>
            <w:vAlign w:val="center"/>
          </w:tcPr>
          <w:p w14:paraId="4139C64A" w14:textId="77777777" w:rsidR="00672297" w:rsidRDefault="00A16EA3">
            <w:pPr>
              <w:spacing w:before="20" w:after="20"/>
              <w:jc w:val="left"/>
            </w:pPr>
            <w:r>
              <w:rPr>
                <w:rFonts w:cstheme="minorHAnsi"/>
                <w:sz w:val="20"/>
                <w:szCs w:val="20"/>
              </w:rPr>
              <w:t>transfer_detail.batch_id (APS BatchID); terminal batch number (gap DP-05)</w:t>
            </w:r>
          </w:p>
        </w:tc>
      </w:tr>
      <w:tr w:rsidR="00672297" w14:paraId="36BF53A8" w14:textId="77777777">
        <w:trPr>
          <w:cantSplit/>
        </w:trPr>
        <w:tc>
          <w:tcPr>
            <w:tcW w:w="2246" w:type="dxa"/>
            <w:vAlign w:val="center"/>
          </w:tcPr>
          <w:p w14:paraId="1855AD43" w14:textId="77777777" w:rsidR="00672297" w:rsidRDefault="00A16EA3">
            <w:pPr>
              <w:spacing w:before="20" w:after="20"/>
              <w:jc w:val="left"/>
            </w:pPr>
            <w:r>
              <w:rPr>
                <w:rFonts w:cstheme="minorHAnsi"/>
                <w:sz w:val="20"/>
                <w:szCs w:val="20"/>
              </w:rPr>
              <w:t>BatchStatus</w:t>
            </w:r>
          </w:p>
        </w:tc>
        <w:tc>
          <w:tcPr>
            <w:tcW w:w="1216" w:type="dxa"/>
            <w:vAlign w:val="center"/>
          </w:tcPr>
          <w:p w14:paraId="29E49611" w14:textId="77777777" w:rsidR="00672297" w:rsidRDefault="00A16EA3">
            <w:pPr>
              <w:spacing w:before="20" w:after="20"/>
              <w:jc w:val="left"/>
            </w:pPr>
            <w:r>
              <w:rPr>
                <w:rFonts w:cstheme="minorHAnsi"/>
                <w:sz w:val="20"/>
                <w:szCs w:val="20"/>
              </w:rPr>
              <w:t>VARCHAR(20)</w:t>
            </w:r>
          </w:p>
        </w:tc>
        <w:tc>
          <w:tcPr>
            <w:tcW w:w="3088" w:type="dxa"/>
            <w:vAlign w:val="center"/>
          </w:tcPr>
          <w:p w14:paraId="415DE2E4" w14:textId="77777777" w:rsidR="00672297" w:rsidRDefault="00A16EA3">
            <w:pPr>
              <w:spacing w:before="20" w:after="20"/>
              <w:jc w:val="left"/>
            </w:pPr>
            <w:r>
              <w:rPr>
                <w:rFonts w:cstheme="minorHAnsi"/>
                <w:sz w:val="20"/>
                <w:szCs w:val="20"/>
              </w:rPr>
              <w:t>Scheduled, In-Transit or Delivered</w:t>
            </w:r>
          </w:p>
        </w:tc>
        <w:tc>
          <w:tcPr>
            <w:tcW w:w="2810" w:type="dxa"/>
            <w:vAlign w:val="center"/>
          </w:tcPr>
          <w:p w14:paraId="49D62111" w14:textId="77777777" w:rsidR="00672297" w:rsidRDefault="00A16EA3">
            <w:pPr>
              <w:spacing w:before="20" w:after="20"/>
              <w:jc w:val="left"/>
            </w:pPr>
            <w:r>
              <w:rPr>
                <w:rFonts w:cstheme="minorHAnsi"/>
                <w:sz w:val="20"/>
                <w:szCs w:val="20"/>
              </w:rPr>
              <w:t>Scheduled: scheduled leg only; In-Transit: transfer_type Pipeline / Barge In-Transit or Kittyhawk in-transit; Delivered: terminal leg actual and unloaded (gap DP-16)</w:t>
            </w:r>
          </w:p>
        </w:tc>
      </w:tr>
      <w:tr w:rsidR="00672297" w14:paraId="7015FBE3" w14:textId="77777777">
        <w:trPr>
          <w:cantSplit/>
        </w:trPr>
        <w:tc>
          <w:tcPr>
            <w:tcW w:w="2246" w:type="dxa"/>
            <w:vAlign w:val="center"/>
          </w:tcPr>
          <w:p w14:paraId="64F91CA3" w14:textId="77777777" w:rsidR="00672297" w:rsidRDefault="00A16EA3">
            <w:pPr>
              <w:spacing w:before="20" w:after="20"/>
              <w:jc w:val="left"/>
            </w:pPr>
            <w:r>
              <w:rPr>
                <w:rFonts w:cstheme="minorHAnsi"/>
                <w:sz w:val="20"/>
                <w:szCs w:val="20"/>
              </w:rPr>
              <w:t>SourceGlobalCode, Source</w:t>
            </w:r>
          </w:p>
        </w:tc>
        <w:tc>
          <w:tcPr>
            <w:tcW w:w="1216" w:type="dxa"/>
            <w:vAlign w:val="center"/>
          </w:tcPr>
          <w:p w14:paraId="43CC736E" w14:textId="77777777" w:rsidR="00672297" w:rsidRDefault="00A16EA3">
            <w:pPr>
              <w:spacing w:before="20" w:after="20"/>
              <w:jc w:val="left"/>
            </w:pPr>
            <w:r>
              <w:rPr>
                <w:rFonts w:cstheme="minorHAnsi"/>
                <w:sz w:val="20"/>
                <w:szCs w:val="20"/>
              </w:rPr>
              <w:t>VARCHAR(100), VARCHAR(255)</w:t>
            </w:r>
          </w:p>
        </w:tc>
        <w:tc>
          <w:tcPr>
            <w:tcW w:w="3088" w:type="dxa"/>
            <w:vAlign w:val="center"/>
          </w:tcPr>
          <w:p w14:paraId="1575111D" w14:textId="77777777" w:rsidR="00672297" w:rsidRDefault="00A16EA3">
            <w:pPr>
              <w:spacing w:before="20" w:after="20"/>
              <w:jc w:val="left"/>
            </w:pPr>
            <w:r>
              <w:rPr>
                <w:rFonts w:cstheme="minorHAnsi"/>
                <w:sz w:val="20"/>
                <w:szCs w:val="20"/>
              </w:rPr>
              <w:t>Origin refinery</w:t>
            </w:r>
          </w:p>
        </w:tc>
        <w:tc>
          <w:tcPr>
            <w:tcW w:w="2810" w:type="dxa"/>
            <w:vAlign w:val="center"/>
          </w:tcPr>
          <w:p w14:paraId="471E4A52" w14:textId="77777777" w:rsidR="00672297" w:rsidRDefault="00A16EA3">
            <w:pPr>
              <w:spacing w:before="20" w:after="20"/>
              <w:jc w:val="left"/>
            </w:pPr>
            <w:r>
              <w:rPr>
                <w:rFonts w:cstheme="minorHAnsi"/>
                <w:sz w:val="20"/>
                <w:szCs w:val="20"/>
              </w:rPr>
              <w:t>location of the APS event</w:t>
            </w:r>
          </w:p>
        </w:tc>
      </w:tr>
      <w:tr w:rsidR="00672297" w14:paraId="3E672CF6" w14:textId="77777777">
        <w:trPr>
          <w:cantSplit/>
        </w:trPr>
        <w:tc>
          <w:tcPr>
            <w:tcW w:w="2246" w:type="dxa"/>
            <w:vAlign w:val="center"/>
          </w:tcPr>
          <w:p w14:paraId="166D13FA" w14:textId="77777777" w:rsidR="00672297" w:rsidRDefault="00A16EA3">
            <w:pPr>
              <w:spacing w:before="20" w:after="20"/>
              <w:jc w:val="left"/>
            </w:pPr>
            <w:r>
              <w:rPr>
                <w:rFonts w:cstheme="minorHAnsi"/>
                <w:sz w:val="20"/>
                <w:szCs w:val="20"/>
              </w:rPr>
              <w:t>DestinationGlobalCode, Destination</w:t>
            </w:r>
          </w:p>
        </w:tc>
        <w:tc>
          <w:tcPr>
            <w:tcW w:w="1216" w:type="dxa"/>
            <w:vAlign w:val="center"/>
          </w:tcPr>
          <w:p w14:paraId="71A40F7F" w14:textId="77777777" w:rsidR="00672297" w:rsidRDefault="00A16EA3">
            <w:pPr>
              <w:spacing w:before="20" w:after="20"/>
              <w:jc w:val="left"/>
            </w:pPr>
            <w:r>
              <w:rPr>
                <w:rFonts w:cstheme="minorHAnsi"/>
                <w:sz w:val="20"/>
                <w:szCs w:val="20"/>
              </w:rPr>
              <w:t>VARCHAR(100), VARCHAR(255)</w:t>
            </w:r>
          </w:p>
        </w:tc>
        <w:tc>
          <w:tcPr>
            <w:tcW w:w="3088" w:type="dxa"/>
            <w:vAlign w:val="center"/>
          </w:tcPr>
          <w:p w14:paraId="3DF36563" w14:textId="77777777" w:rsidR="00672297" w:rsidRDefault="00A16EA3">
            <w:pPr>
              <w:spacing w:before="20" w:after="20"/>
              <w:jc w:val="left"/>
            </w:pPr>
            <w:r>
              <w:rPr>
                <w:rFonts w:cstheme="minorHAnsi"/>
                <w:sz w:val="20"/>
                <w:szCs w:val="20"/>
              </w:rPr>
              <w:t>Destination terminal</w:t>
            </w:r>
          </w:p>
        </w:tc>
        <w:tc>
          <w:tcPr>
            <w:tcW w:w="2810" w:type="dxa"/>
            <w:vAlign w:val="center"/>
          </w:tcPr>
          <w:p w14:paraId="3D855052" w14:textId="77777777" w:rsidR="00672297" w:rsidRDefault="00A16EA3">
            <w:pPr>
              <w:spacing w:before="20" w:after="20"/>
              <w:jc w:val="left"/>
            </w:pPr>
            <w:r>
              <w:rPr>
                <w:rFonts w:cstheme="minorHAnsi"/>
                <w:sz w:val="20"/>
                <w:szCs w:val="20"/>
              </w:rPr>
              <w:t>to_location of the terminal leg</w:t>
            </w:r>
          </w:p>
        </w:tc>
      </w:tr>
      <w:tr w:rsidR="00672297" w14:paraId="39B1BA62" w14:textId="77777777">
        <w:trPr>
          <w:cantSplit/>
        </w:trPr>
        <w:tc>
          <w:tcPr>
            <w:tcW w:w="2246" w:type="dxa"/>
            <w:vAlign w:val="center"/>
          </w:tcPr>
          <w:p w14:paraId="1734A4AC" w14:textId="77777777" w:rsidR="00672297" w:rsidRDefault="00A16EA3">
            <w:pPr>
              <w:spacing w:before="20" w:after="20"/>
              <w:jc w:val="left"/>
            </w:pPr>
            <w:r>
              <w:rPr>
                <w:rFonts w:cstheme="minorHAnsi"/>
                <w:sz w:val="20"/>
                <w:szCs w:val="20"/>
              </w:rPr>
              <w:t>DestinationShortName</w:t>
            </w:r>
          </w:p>
        </w:tc>
        <w:tc>
          <w:tcPr>
            <w:tcW w:w="1216" w:type="dxa"/>
            <w:vAlign w:val="center"/>
          </w:tcPr>
          <w:p w14:paraId="599E2304" w14:textId="77777777" w:rsidR="00672297" w:rsidRDefault="00A16EA3">
            <w:pPr>
              <w:spacing w:before="20" w:after="20"/>
              <w:jc w:val="left"/>
            </w:pPr>
            <w:r>
              <w:rPr>
                <w:rFonts w:cstheme="minorHAnsi"/>
                <w:sz w:val="20"/>
                <w:szCs w:val="20"/>
              </w:rPr>
              <w:t>VARCHAR(100)</w:t>
            </w:r>
          </w:p>
        </w:tc>
        <w:tc>
          <w:tcPr>
            <w:tcW w:w="3088" w:type="dxa"/>
            <w:vAlign w:val="center"/>
          </w:tcPr>
          <w:p w14:paraId="22B223B3" w14:textId="77777777" w:rsidR="00672297" w:rsidRDefault="00A16EA3">
            <w:pPr>
              <w:spacing w:before="20" w:after="20"/>
              <w:jc w:val="left"/>
            </w:pPr>
            <w:r>
              <w:rPr>
                <w:rFonts w:cstheme="minorHAnsi"/>
                <w:sz w:val="20"/>
                <w:szCs w:val="20"/>
              </w:rPr>
              <w:t>Terminal short name for chart axes</w:t>
            </w:r>
          </w:p>
        </w:tc>
        <w:tc>
          <w:tcPr>
            <w:tcW w:w="2810" w:type="dxa"/>
            <w:vAlign w:val="center"/>
          </w:tcPr>
          <w:p w14:paraId="27105C4D" w14:textId="77777777" w:rsidR="00672297" w:rsidRDefault="00A16EA3">
            <w:pPr>
              <w:spacing w:before="20" w:after="20"/>
              <w:jc w:val="left"/>
            </w:pPr>
            <w:r>
              <w:rPr>
                <w:rFonts w:cstheme="minorHAnsi"/>
                <w:sz w:val="20"/>
                <w:szCs w:val="20"/>
              </w:rPr>
              <w:t>Text before the first comma of Destination (for example Mount Vernon)</w:t>
            </w:r>
          </w:p>
        </w:tc>
      </w:tr>
      <w:tr w:rsidR="00672297" w14:paraId="76FDC336" w14:textId="77777777">
        <w:trPr>
          <w:cantSplit/>
        </w:trPr>
        <w:tc>
          <w:tcPr>
            <w:tcW w:w="2246" w:type="dxa"/>
            <w:vAlign w:val="center"/>
          </w:tcPr>
          <w:p w14:paraId="72481538" w14:textId="77777777" w:rsidR="00672297" w:rsidRDefault="00A16EA3">
            <w:pPr>
              <w:spacing w:before="20" w:after="20"/>
              <w:jc w:val="left"/>
            </w:pPr>
            <w:r>
              <w:rPr>
                <w:rFonts w:cstheme="minorHAnsi"/>
                <w:sz w:val="20"/>
                <w:szCs w:val="20"/>
              </w:rPr>
              <w:t>Region</w:t>
            </w:r>
          </w:p>
        </w:tc>
        <w:tc>
          <w:tcPr>
            <w:tcW w:w="1216" w:type="dxa"/>
            <w:vAlign w:val="center"/>
          </w:tcPr>
          <w:p w14:paraId="5262FA75" w14:textId="77777777" w:rsidR="00672297" w:rsidRDefault="00A16EA3">
            <w:pPr>
              <w:spacing w:before="20" w:after="20"/>
              <w:jc w:val="left"/>
            </w:pPr>
            <w:r>
              <w:rPr>
                <w:rFonts w:cstheme="minorHAnsi"/>
                <w:sz w:val="20"/>
                <w:szCs w:val="20"/>
              </w:rPr>
              <w:t>VARCHAR(50)</w:t>
            </w:r>
          </w:p>
        </w:tc>
        <w:tc>
          <w:tcPr>
            <w:tcW w:w="3088" w:type="dxa"/>
            <w:vAlign w:val="center"/>
          </w:tcPr>
          <w:p w14:paraId="3A2F30BF" w14:textId="77777777" w:rsidR="00672297" w:rsidRDefault="00A16EA3">
            <w:pPr>
              <w:spacing w:before="20" w:after="20"/>
              <w:jc w:val="left"/>
            </w:pPr>
            <w:r>
              <w:rPr>
                <w:rFonts w:cstheme="minorHAnsi"/>
                <w:sz w:val="20"/>
                <w:szCs w:val="20"/>
              </w:rPr>
              <w:t>Region (North)</w:t>
            </w:r>
          </w:p>
        </w:tc>
        <w:tc>
          <w:tcPr>
            <w:tcW w:w="2810" w:type="dxa"/>
            <w:vAlign w:val="center"/>
          </w:tcPr>
          <w:p w14:paraId="3F6DEBD9" w14:textId="77777777" w:rsidR="00672297" w:rsidRDefault="00A16EA3">
            <w:pPr>
              <w:spacing w:before="20" w:after="20"/>
              <w:jc w:val="left"/>
            </w:pPr>
            <w:r>
              <w:rPr>
                <w:rFonts w:cstheme="minorHAnsi"/>
                <w:sz w:val="20"/>
                <w:szCs w:val="20"/>
              </w:rPr>
              <w:t>location.Region</w:t>
            </w:r>
          </w:p>
        </w:tc>
      </w:tr>
      <w:tr w:rsidR="00672297" w14:paraId="642E1B7C" w14:textId="77777777">
        <w:trPr>
          <w:cantSplit/>
        </w:trPr>
        <w:tc>
          <w:tcPr>
            <w:tcW w:w="2246" w:type="dxa"/>
            <w:vAlign w:val="center"/>
          </w:tcPr>
          <w:p w14:paraId="0036F797" w14:textId="77777777" w:rsidR="00672297" w:rsidRDefault="00A16EA3">
            <w:pPr>
              <w:spacing w:before="20" w:after="20"/>
              <w:jc w:val="left"/>
            </w:pPr>
            <w:r>
              <w:rPr>
                <w:rFonts w:cstheme="minorHAnsi"/>
                <w:sz w:val="20"/>
                <w:szCs w:val="20"/>
              </w:rPr>
              <w:t>ProductName (Grade)</w:t>
            </w:r>
          </w:p>
        </w:tc>
        <w:tc>
          <w:tcPr>
            <w:tcW w:w="1216" w:type="dxa"/>
            <w:vAlign w:val="center"/>
          </w:tcPr>
          <w:p w14:paraId="57C510D4" w14:textId="77777777" w:rsidR="00672297" w:rsidRDefault="00A16EA3">
            <w:pPr>
              <w:spacing w:before="20" w:after="20"/>
              <w:jc w:val="left"/>
            </w:pPr>
            <w:r>
              <w:rPr>
                <w:rFonts w:cstheme="minorHAnsi"/>
                <w:sz w:val="20"/>
                <w:szCs w:val="20"/>
              </w:rPr>
              <w:t>VARCHAR(100)</w:t>
            </w:r>
          </w:p>
        </w:tc>
        <w:tc>
          <w:tcPr>
            <w:tcW w:w="3088" w:type="dxa"/>
            <w:vAlign w:val="center"/>
          </w:tcPr>
          <w:p w14:paraId="3E237EF7" w14:textId="77777777" w:rsidR="00672297" w:rsidRDefault="00A16EA3">
            <w:pPr>
              <w:spacing w:before="20" w:after="20"/>
              <w:jc w:val="left"/>
            </w:pPr>
            <w:r>
              <w:rPr>
                <w:rFonts w:cstheme="minorHAnsi"/>
                <w:sz w:val="20"/>
                <w:szCs w:val="20"/>
              </w:rPr>
              <w:t>Grade, for example 84 Blendgrade, ULSD No 2</w:t>
            </w:r>
          </w:p>
        </w:tc>
        <w:tc>
          <w:tcPr>
            <w:tcW w:w="2810" w:type="dxa"/>
            <w:vAlign w:val="center"/>
          </w:tcPr>
          <w:p w14:paraId="72CAABCF" w14:textId="77777777" w:rsidR="00672297" w:rsidRDefault="00A16EA3">
            <w:pPr>
              <w:spacing w:before="20" w:after="20"/>
              <w:jc w:val="left"/>
            </w:pPr>
            <w:r>
              <w:rPr>
                <w:rFonts w:cstheme="minorHAnsi"/>
                <w:sz w:val="20"/>
                <w:szCs w:val="20"/>
              </w:rPr>
              <w:t>material (PRODUCTS.DESCRIPTION)</w:t>
            </w:r>
          </w:p>
        </w:tc>
      </w:tr>
      <w:tr w:rsidR="00672297" w14:paraId="3C4B125D" w14:textId="77777777">
        <w:trPr>
          <w:cantSplit/>
        </w:trPr>
        <w:tc>
          <w:tcPr>
            <w:tcW w:w="2246" w:type="dxa"/>
            <w:vAlign w:val="center"/>
          </w:tcPr>
          <w:p w14:paraId="57E1447A" w14:textId="77777777" w:rsidR="00672297" w:rsidRDefault="00A16EA3">
            <w:pPr>
              <w:spacing w:before="20" w:after="20"/>
              <w:jc w:val="left"/>
            </w:pPr>
            <w:r>
              <w:rPr>
                <w:rFonts w:cstheme="minorHAnsi"/>
                <w:sz w:val="20"/>
                <w:szCs w:val="20"/>
              </w:rPr>
              <w:t>BatchVolumeBbl</w:t>
            </w:r>
          </w:p>
        </w:tc>
        <w:tc>
          <w:tcPr>
            <w:tcW w:w="1216" w:type="dxa"/>
            <w:vAlign w:val="center"/>
          </w:tcPr>
          <w:p w14:paraId="780CF3C1" w14:textId="77777777" w:rsidR="00672297" w:rsidRDefault="00A16EA3">
            <w:pPr>
              <w:spacing w:before="20" w:after="20"/>
              <w:jc w:val="left"/>
            </w:pPr>
            <w:r>
              <w:rPr>
                <w:rFonts w:cstheme="minorHAnsi"/>
                <w:sz w:val="20"/>
                <w:szCs w:val="20"/>
              </w:rPr>
              <w:t>DECIMAL(18,2)</w:t>
            </w:r>
          </w:p>
        </w:tc>
        <w:tc>
          <w:tcPr>
            <w:tcW w:w="3088" w:type="dxa"/>
            <w:vAlign w:val="center"/>
          </w:tcPr>
          <w:p w14:paraId="23F0217C" w14:textId="77777777" w:rsidR="00672297" w:rsidRDefault="00A16EA3">
            <w:pPr>
              <w:spacing w:before="20" w:after="20"/>
              <w:jc w:val="left"/>
            </w:pPr>
            <w:r>
              <w:rPr>
                <w:rFonts w:cstheme="minorHAnsi"/>
                <w:sz w:val="20"/>
                <w:szCs w:val="20"/>
              </w:rPr>
              <w:t>Batch volume (bbl)</w:t>
            </w:r>
          </w:p>
        </w:tc>
        <w:tc>
          <w:tcPr>
            <w:tcW w:w="2810" w:type="dxa"/>
            <w:vAlign w:val="center"/>
          </w:tcPr>
          <w:p w14:paraId="4E415AF4" w14:textId="77777777" w:rsidR="00672297" w:rsidRDefault="00A16EA3">
            <w:pPr>
              <w:spacing w:before="20" w:after="20"/>
              <w:jc w:val="left"/>
            </w:pPr>
            <w:r>
              <w:rPr>
                <w:rFonts w:cstheme="minorHAnsi"/>
                <w:sz w:val="20"/>
                <w:szCs w:val="20"/>
              </w:rPr>
              <w:t>Sum of the distinct movement rows of the batch; APS volume (Mbbl) x 1,000</w:t>
            </w:r>
          </w:p>
        </w:tc>
      </w:tr>
      <w:tr w:rsidR="00672297" w14:paraId="407C5E82" w14:textId="77777777">
        <w:trPr>
          <w:cantSplit/>
        </w:trPr>
        <w:tc>
          <w:tcPr>
            <w:tcW w:w="2246" w:type="dxa"/>
            <w:vAlign w:val="center"/>
          </w:tcPr>
          <w:p w14:paraId="270C5DD1" w14:textId="77777777" w:rsidR="00672297" w:rsidRDefault="00A16EA3">
            <w:pPr>
              <w:spacing w:before="20" w:after="20"/>
              <w:jc w:val="left"/>
            </w:pPr>
            <w:r>
              <w:rPr>
                <w:rFonts w:cstheme="minorHAnsi"/>
                <w:sz w:val="20"/>
                <w:szCs w:val="20"/>
              </w:rPr>
              <w:t>StartDateTime, StartDate</w:t>
            </w:r>
          </w:p>
        </w:tc>
        <w:tc>
          <w:tcPr>
            <w:tcW w:w="1216" w:type="dxa"/>
            <w:vAlign w:val="center"/>
          </w:tcPr>
          <w:p w14:paraId="2077E136" w14:textId="77777777" w:rsidR="00672297" w:rsidRDefault="00A16EA3">
            <w:pPr>
              <w:spacing w:before="20" w:after="20"/>
              <w:jc w:val="left"/>
            </w:pPr>
            <w:r>
              <w:rPr>
                <w:rFonts w:cstheme="minorHAnsi"/>
                <w:sz w:val="20"/>
                <w:szCs w:val="20"/>
              </w:rPr>
              <w:t>DATETIME, DATE</w:t>
            </w:r>
          </w:p>
        </w:tc>
        <w:tc>
          <w:tcPr>
            <w:tcW w:w="3088" w:type="dxa"/>
            <w:vAlign w:val="center"/>
          </w:tcPr>
          <w:p w14:paraId="320796A1" w14:textId="77777777" w:rsidR="00672297" w:rsidRDefault="00A16EA3">
            <w:pPr>
              <w:spacing w:before="20" w:after="20"/>
              <w:jc w:val="left"/>
            </w:pPr>
            <w:r>
              <w:rPr>
                <w:rFonts w:cstheme="minorHAnsi"/>
                <w:sz w:val="20"/>
                <w:szCs w:val="20"/>
              </w:rPr>
              <w:t>Batch start time and date</w:t>
            </w:r>
          </w:p>
        </w:tc>
        <w:tc>
          <w:tcPr>
            <w:tcW w:w="2810" w:type="dxa"/>
            <w:vAlign w:val="center"/>
          </w:tcPr>
          <w:p w14:paraId="682A794D" w14:textId="77777777" w:rsidR="00672297" w:rsidRDefault="00A16EA3">
            <w:pPr>
              <w:spacing w:before="20" w:after="20"/>
              <w:jc w:val="left"/>
            </w:pPr>
            <w:r>
              <w:rPr>
                <w:rFonts w:cstheme="minorHAnsi"/>
                <w:sz w:val="20"/>
                <w:szCs w:val="20"/>
              </w:rPr>
              <w:t>APS START_ (earliest movement_start_date)</w:t>
            </w:r>
          </w:p>
        </w:tc>
      </w:tr>
      <w:tr w:rsidR="00672297" w14:paraId="7BB53458" w14:textId="77777777">
        <w:trPr>
          <w:cantSplit/>
        </w:trPr>
        <w:tc>
          <w:tcPr>
            <w:tcW w:w="2246" w:type="dxa"/>
            <w:vAlign w:val="center"/>
          </w:tcPr>
          <w:p w14:paraId="7E426B67" w14:textId="77777777" w:rsidR="00672297" w:rsidRDefault="00A16EA3">
            <w:pPr>
              <w:spacing w:before="20" w:after="20"/>
              <w:jc w:val="left"/>
            </w:pPr>
            <w:r>
              <w:rPr>
                <w:rFonts w:cstheme="minorHAnsi"/>
                <w:sz w:val="20"/>
                <w:szCs w:val="20"/>
              </w:rPr>
              <w:t>ETADateTime, ETADate</w:t>
            </w:r>
          </w:p>
        </w:tc>
        <w:tc>
          <w:tcPr>
            <w:tcW w:w="1216" w:type="dxa"/>
            <w:vAlign w:val="center"/>
          </w:tcPr>
          <w:p w14:paraId="551F47E0" w14:textId="77777777" w:rsidR="00672297" w:rsidRDefault="00A16EA3">
            <w:pPr>
              <w:spacing w:before="20" w:after="20"/>
              <w:jc w:val="left"/>
            </w:pPr>
            <w:r>
              <w:rPr>
                <w:rFonts w:cstheme="minorHAnsi"/>
                <w:sz w:val="20"/>
                <w:szCs w:val="20"/>
              </w:rPr>
              <w:t>DATETIME, DATE</w:t>
            </w:r>
          </w:p>
        </w:tc>
        <w:tc>
          <w:tcPr>
            <w:tcW w:w="3088" w:type="dxa"/>
            <w:vAlign w:val="center"/>
          </w:tcPr>
          <w:p w14:paraId="2C154726" w14:textId="77777777" w:rsidR="00672297" w:rsidRDefault="00A16EA3">
            <w:pPr>
              <w:spacing w:before="20" w:after="20"/>
              <w:jc w:val="left"/>
            </w:pPr>
            <w:r>
              <w:rPr>
                <w:rFonts w:cstheme="minorHAnsi"/>
                <w:sz w:val="20"/>
                <w:szCs w:val="20"/>
              </w:rPr>
              <w:t>Estimated time of arrival</w:t>
            </w:r>
          </w:p>
        </w:tc>
        <w:tc>
          <w:tcPr>
            <w:tcW w:w="2810" w:type="dxa"/>
            <w:vAlign w:val="center"/>
          </w:tcPr>
          <w:p w14:paraId="4757506D" w14:textId="77777777" w:rsidR="00672297" w:rsidRDefault="00A16EA3">
            <w:pPr>
              <w:spacing w:before="20" w:after="20"/>
              <w:jc w:val="left"/>
            </w:pPr>
            <w:r>
              <w:rPr>
                <w:rFonts w:cstheme="minorHAnsi"/>
                <w:sz w:val="20"/>
                <w:szCs w:val="20"/>
              </w:rPr>
              <w:t>movement_end_date of the terminal leg</w:t>
            </w:r>
          </w:p>
        </w:tc>
      </w:tr>
      <w:tr w:rsidR="00672297" w14:paraId="269E4BFD" w14:textId="77777777">
        <w:trPr>
          <w:cantSplit/>
        </w:trPr>
        <w:tc>
          <w:tcPr>
            <w:tcW w:w="2246" w:type="dxa"/>
            <w:vAlign w:val="center"/>
          </w:tcPr>
          <w:p w14:paraId="71A6107F" w14:textId="77777777" w:rsidR="00672297" w:rsidRDefault="00A16EA3">
            <w:pPr>
              <w:spacing w:before="20" w:after="20"/>
              <w:jc w:val="left"/>
            </w:pPr>
            <w:r>
              <w:rPr>
                <w:rFonts w:cstheme="minorHAnsi"/>
                <w:sz w:val="20"/>
                <w:szCs w:val="20"/>
              </w:rPr>
              <w:t>StatusCode</w:t>
            </w:r>
          </w:p>
        </w:tc>
        <w:tc>
          <w:tcPr>
            <w:tcW w:w="1216" w:type="dxa"/>
            <w:vAlign w:val="center"/>
          </w:tcPr>
          <w:p w14:paraId="0AD3D426" w14:textId="77777777" w:rsidR="00672297" w:rsidRDefault="00A16EA3">
            <w:pPr>
              <w:spacing w:before="20" w:after="20"/>
              <w:jc w:val="left"/>
            </w:pPr>
            <w:r>
              <w:rPr>
                <w:rFonts w:cstheme="minorHAnsi"/>
                <w:sz w:val="20"/>
                <w:szCs w:val="20"/>
              </w:rPr>
              <w:t>CHAR(1)</w:t>
            </w:r>
          </w:p>
        </w:tc>
        <w:tc>
          <w:tcPr>
            <w:tcW w:w="3088" w:type="dxa"/>
            <w:vAlign w:val="center"/>
          </w:tcPr>
          <w:p w14:paraId="7B7E5A97" w14:textId="77777777" w:rsidR="00672297" w:rsidRDefault="00A16EA3">
            <w:pPr>
              <w:spacing w:before="20" w:after="20"/>
              <w:jc w:val="left"/>
            </w:pPr>
            <w:r>
              <w:rPr>
                <w:rFonts w:cstheme="minorHAnsi"/>
                <w:sz w:val="20"/>
                <w:szCs w:val="20"/>
              </w:rPr>
              <w:t>T = In-Transit, S = Scheduled</w:t>
            </w:r>
          </w:p>
        </w:tc>
        <w:tc>
          <w:tcPr>
            <w:tcW w:w="2810" w:type="dxa"/>
            <w:vAlign w:val="center"/>
          </w:tcPr>
          <w:p w14:paraId="39665A2D" w14:textId="77777777" w:rsidR="00672297" w:rsidRDefault="00A16EA3">
            <w:pPr>
              <w:spacing w:before="20" w:after="20"/>
              <w:jc w:val="left"/>
            </w:pPr>
            <w:r>
              <w:rPr>
                <w:rFonts w:cstheme="minorHAnsi"/>
                <w:sz w:val="20"/>
                <w:szCs w:val="20"/>
              </w:rPr>
              <w:t>Derived from BatchStatus</w:t>
            </w:r>
          </w:p>
        </w:tc>
      </w:tr>
      <w:tr w:rsidR="00672297" w14:paraId="42982946" w14:textId="77777777">
        <w:trPr>
          <w:cantSplit/>
        </w:trPr>
        <w:tc>
          <w:tcPr>
            <w:tcW w:w="2246" w:type="dxa"/>
            <w:vAlign w:val="center"/>
          </w:tcPr>
          <w:p w14:paraId="21D5E202" w14:textId="77777777" w:rsidR="00672297" w:rsidRDefault="00A16EA3">
            <w:pPr>
              <w:spacing w:before="20" w:after="20"/>
              <w:jc w:val="left"/>
            </w:pPr>
            <w:r>
              <w:rPr>
                <w:rFonts w:cstheme="minorHAnsi"/>
                <w:sz w:val="20"/>
                <w:szCs w:val="20"/>
              </w:rPr>
              <w:t>RVPPre</w:t>
            </w:r>
          </w:p>
        </w:tc>
        <w:tc>
          <w:tcPr>
            <w:tcW w:w="1216" w:type="dxa"/>
            <w:vAlign w:val="center"/>
          </w:tcPr>
          <w:p w14:paraId="254C29F0" w14:textId="77777777" w:rsidR="00672297" w:rsidRDefault="00A16EA3">
            <w:pPr>
              <w:spacing w:before="20" w:after="20"/>
              <w:jc w:val="left"/>
            </w:pPr>
            <w:r>
              <w:rPr>
                <w:rFonts w:cstheme="minorHAnsi"/>
                <w:sz w:val="20"/>
                <w:szCs w:val="20"/>
              </w:rPr>
              <w:t>DECIMAL(18,4)</w:t>
            </w:r>
          </w:p>
        </w:tc>
        <w:tc>
          <w:tcPr>
            <w:tcW w:w="3088" w:type="dxa"/>
            <w:vAlign w:val="center"/>
          </w:tcPr>
          <w:p w14:paraId="75F1B367" w14:textId="77777777" w:rsidR="00672297" w:rsidRDefault="00A16EA3">
            <w:pPr>
              <w:spacing w:before="20" w:after="20"/>
              <w:jc w:val="left"/>
            </w:pPr>
            <w:r>
              <w:rPr>
                <w:rFonts w:cstheme="minorHAnsi"/>
                <w:sz w:val="20"/>
                <w:szCs w:val="20"/>
              </w:rPr>
              <w:t>RVP certified pre-blend value (psi)</w:t>
            </w:r>
          </w:p>
        </w:tc>
        <w:tc>
          <w:tcPr>
            <w:tcW w:w="2810" w:type="dxa"/>
            <w:vAlign w:val="center"/>
          </w:tcPr>
          <w:p w14:paraId="547C60BE" w14:textId="77777777" w:rsidR="00672297" w:rsidRDefault="00A16EA3">
            <w:pPr>
              <w:spacing w:before="20" w:after="20"/>
              <w:jc w:val="left"/>
            </w:pPr>
            <w:r>
              <w:rPr>
                <w:rFonts w:cstheme="minorHAnsi"/>
                <w:sz w:val="20"/>
                <w:szCs w:val="20"/>
              </w:rPr>
              <w:t>quality_detail</w:t>
            </w:r>
          </w:p>
        </w:tc>
      </w:tr>
      <w:tr w:rsidR="00672297" w14:paraId="45B1E394" w14:textId="77777777">
        <w:trPr>
          <w:cantSplit/>
        </w:trPr>
        <w:tc>
          <w:tcPr>
            <w:tcW w:w="2246" w:type="dxa"/>
            <w:vAlign w:val="center"/>
          </w:tcPr>
          <w:p w14:paraId="62742A82" w14:textId="77777777" w:rsidR="00672297" w:rsidRDefault="00A16EA3">
            <w:pPr>
              <w:spacing w:before="20" w:after="20"/>
              <w:jc w:val="left"/>
            </w:pPr>
            <w:r>
              <w:rPr>
                <w:rFonts w:cstheme="minorHAnsi"/>
                <w:sz w:val="20"/>
                <w:szCs w:val="20"/>
              </w:rPr>
              <w:t>RVPPost</w:t>
            </w:r>
          </w:p>
        </w:tc>
        <w:tc>
          <w:tcPr>
            <w:tcW w:w="1216" w:type="dxa"/>
            <w:vAlign w:val="center"/>
          </w:tcPr>
          <w:p w14:paraId="1D8FB364" w14:textId="77777777" w:rsidR="00672297" w:rsidRDefault="00A16EA3">
            <w:pPr>
              <w:spacing w:before="20" w:after="20"/>
              <w:jc w:val="left"/>
            </w:pPr>
            <w:r>
              <w:rPr>
                <w:rFonts w:cstheme="minorHAnsi"/>
                <w:sz w:val="20"/>
                <w:szCs w:val="20"/>
              </w:rPr>
              <w:t>DECIMAL(18,4)</w:t>
            </w:r>
          </w:p>
        </w:tc>
        <w:tc>
          <w:tcPr>
            <w:tcW w:w="3088" w:type="dxa"/>
            <w:vAlign w:val="center"/>
          </w:tcPr>
          <w:p w14:paraId="2CE1C7F7" w14:textId="77777777" w:rsidR="00672297" w:rsidRDefault="00A16EA3">
            <w:pPr>
              <w:spacing w:before="20" w:after="20"/>
              <w:jc w:val="left"/>
            </w:pPr>
            <w:r>
              <w:rPr>
                <w:rFonts w:cstheme="minorHAnsi"/>
                <w:sz w:val="20"/>
                <w:szCs w:val="20"/>
              </w:rPr>
              <w:t>RVP post-blend value (psi)</w:t>
            </w:r>
          </w:p>
        </w:tc>
        <w:tc>
          <w:tcPr>
            <w:tcW w:w="2810" w:type="dxa"/>
            <w:vAlign w:val="center"/>
          </w:tcPr>
          <w:p w14:paraId="6CC110E4"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47251C6F" w14:textId="77777777">
        <w:trPr>
          <w:cantSplit/>
        </w:trPr>
        <w:tc>
          <w:tcPr>
            <w:tcW w:w="2246" w:type="dxa"/>
            <w:vAlign w:val="center"/>
          </w:tcPr>
          <w:p w14:paraId="54747C35" w14:textId="77777777" w:rsidR="00672297" w:rsidRDefault="00A16EA3">
            <w:pPr>
              <w:spacing w:before="20" w:after="20"/>
              <w:jc w:val="left"/>
            </w:pPr>
            <w:r>
              <w:rPr>
                <w:rFonts w:cstheme="minorHAnsi"/>
                <w:sz w:val="20"/>
                <w:szCs w:val="20"/>
              </w:rPr>
              <w:t>RVPSpecMin</w:t>
            </w:r>
          </w:p>
        </w:tc>
        <w:tc>
          <w:tcPr>
            <w:tcW w:w="1216" w:type="dxa"/>
            <w:vAlign w:val="center"/>
          </w:tcPr>
          <w:p w14:paraId="13CDD61F" w14:textId="77777777" w:rsidR="00672297" w:rsidRDefault="00A16EA3">
            <w:pPr>
              <w:spacing w:before="20" w:after="20"/>
              <w:jc w:val="left"/>
            </w:pPr>
            <w:r>
              <w:rPr>
                <w:rFonts w:cstheme="minorHAnsi"/>
                <w:sz w:val="20"/>
                <w:szCs w:val="20"/>
              </w:rPr>
              <w:t>DECIMAL(18,4)</w:t>
            </w:r>
          </w:p>
        </w:tc>
        <w:tc>
          <w:tcPr>
            <w:tcW w:w="3088" w:type="dxa"/>
            <w:vAlign w:val="center"/>
          </w:tcPr>
          <w:p w14:paraId="5A9C2712" w14:textId="77777777" w:rsidR="00672297" w:rsidRDefault="00A16EA3">
            <w:pPr>
              <w:spacing w:before="20" w:after="20"/>
              <w:jc w:val="left"/>
            </w:pPr>
            <w:r>
              <w:rPr>
                <w:rFonts w:cstheme="minorHAnsi"/>
                <w:sz w:val="20"/>
                <w:szCs w:val="20"/>
              </w:rPr>
              <w:t>RVP resolved minimum (psi)</w:t>
            </w:r>
          </w:p>
        </w:tc>
        <w:tc>
          <w:tcPr>
            <w:tcW w:w="2810" w:type="dxa"/>
            <w:vAlign w:val="center"/>
          </w:tcPr>
          <w:p w14:paraId="3393C624" w14:textId="77777777" w:rsidR="00672297" w:rsidRDefault="00A16EA3">
            <w:pPr>
              <w:spacing w:before="20" w:after="20"/>
              <w:jc w:val="left"/>
            </w:pPr>
            <w:r>
              <w:rPr>
                <w:rFonts w:cstheme="minorHAnsi"/>
                <w:sz w:val="20"/>
                <w:szCs w:val="20"/>
              </w:rPr>
              <w:t>Specification resolution</w:t>
            </w:r>
          </w:p>
        </w:tc>
      </w:tr>
      <w:tr w:rsidR="00672297" w14:paraId="70E4E8FB" w14:textId="77777777">
        <w:trPr>
          <w:cantSplit/>
        </w:trPr>
        <w:tc>
          <w:tcPr>
            <w:tcW w:w="2246" w:type="dxa"/>
            <w:vAlign w:val="center"/>
          </w:tcPr>
          <w:p w14:paraId="75C0A17E" w14:textId="77777777" w:rsidR="00672297" w:rsidRDefault="00A16EA3">
            <w:pPr>
              <w:spacing w:before="20" w:after="20"/>
              <w:jc w:val="left"/>
            </w:pPr>
            <w:r>
              <w:rPr>
                <w:rFonts w:cstheme="minorHAnsi"/>
                <w:sz w:val="20"/>
                <w:szCs w:val="20"/>
              </w:rPr>
              <w:t>RVPSpecMax</w:t>
            </w:r>
          </w:p>
        </w:tc>
        <w:tc>
          <w:tcPr>
            <w:tcW w:w="1216" w:type="dxa"/>
            <w:vAlign w:val="center"/>
          </w:tcPr>
          <w:p w14:paraId="7A005070" w14:textId="77777777" w:rsidR="00672297" w:rsidRDefault="00A16EA3">
            <w:pPr>
              <w:spacing w:before="20" w:after="20"/>
              <w:jc w:val="left"/>
            </w:pPr>
            <w:r>
              <w:rPr>
                <w:rFonts w:cstheme="minorHAnsi"/>
                <w:sz w:val="20"/>
                <w:szCs w:val="20"/>
              </w:rPr>
              <w:t>DECIMAL(18,4)</w:t>
            </w:r>
          </w:p>
        </w:tc>
        <w:tc>
          <w:tcPr>
            <w:tcW w:w="3088" w:type="dxa"/>
            <w:vAlign w:val="center"/>
          </w:tcPr>
          <w:p w14:paraId="791AC7A7" w14:textId="77777777" w:rsidR="00672297" w:rsidRDefault="00A16EA3">
            <w:pPr>
              <w:spacing w:before="20" w:after="20"/>
              <w:jc w:val="left"/>
            </w:pPr>
            <w:r>
              <w:rPr>
                <w:rFonts w:cstheme="minorHAnsi"/>
                <w:sz w:val="20"/>
                <w:szCs w:val="20"/>
              </w:rPr>
              <w:t>RVP resolved maximum (psi)</w:t>
            </w:r>
          </w:p>
        </w:tc>
        <w:tc>
          <w:tcPr>
            <w:tcW w:w="2810" w:type="dxa"/>
            <w:vAlign w:val="center"/>
          </w:tcPr>
          <w:p w14:paraId="136A5253" w14:textId="77777777" w:rsidR="00672297" w:rsidRDefault="00A16EA3">
            <w:pPr>
              <w:spacing w:before="20" w:after="20"/>
              <w:jc w:val="left"/>
            </w:pPr>
            <w:r>
              <w:rPr>
                <w:rFonts w:cstheme="minorHAnsi"/>
                <w:sz w:val="20"/>
                <w:szCs w:val="20"/>
              </w:rPr>
              <w:t>Specification resolution</w:t>
            </w:r>
          </w:p>
        </w:tc>
      </w:tr>
      <w:tr w:rsidR="00672297" w14:paraId="5B77FAEE" w14:textId="77777777">
        <w:trPr>
          <w:cantSplit/>
        </w:trPr>
        <w:tc>
          <w:tcPr>
            <w:tcW w:w="2246" w:type="dxa"/>
            <w:vAlign w:val="center"/>
          </w:tcPr>
          <w:p w14:paraId="18CAD32E" w14:textId="77777777" w:rsidR="00672297" w:rsidRDefault="00A16EA3">
            <w:pPr>
              <w:spacing w:before="20" w:after="20"/>
              <w:jc w:val="left"/>
            </w:pPr>
            <w:r>
              <w:rPr>
                <w:rFonts w:cstheme="minorHAnsi"/>
                <w:sz w:val="20"/>
                <w:szCs w:val="20"/>
              </w:rPr>
              <w:t>IBPPre</w:t>
            </w:r>
          </w:p>
        </w:tc>
        <w:tc>
          <w:tcPr>
            <w:tcW w:w="1216" w:type="dxa"/>
            <w:vAlign w:val="center"/>
          </w:tcPr>
          <w:p w14:paraId="38145810" w14:textId="77777777" w:rsidR="00672297" w:rsidRDefault="00A16EA3">
            <w:pPr>
              <w:spacing w:before="20" w:after="20"/>
              <w:jc w:val="left"/>
            </w:pPr>
            <w:r>
              <w:rPr>
                <w:rFonts w:cstheme="minorHAnsi"/>
                <w:sz w:val="20"/>
                <w:szCs w:val="20"/>
              </w:rPr>
              <w:t>DECIMAL(18,4)</w:t>
            </w:r>
          </w:p>
        </w:tc>
        <w:tc>
          <w:tcPr>
            <w:tcW w:w="3088" w:type="dxa"/>
            <w:vAlign w:val="center"/>
          </w:tcPr>
          <w:p w14:paraId="7F833B2B" w14:textId="77777777" w:rsidR="00672297" w:rsidRDefault="00A16EA3">
            <w:pPr>
              <w:spacing w:before="20" w:after="20"/>
              <w:jc w:val="left"/>
            </w:pPr>
            <w:r>
              <w:rPr>
                <w:rFonts w:cstheme="minorHAnsi"/>
                <w:sz w:val="20"/>
                <w:szCs w:val="20"/>
              </w:rPr>
              <w:t>IBP certified pre-blend value (°F)</w:t>
            </w:r>
          </w:p>
        </w:tc>
        <w:tc>
          <w:tcPr>
            <w:tcW w:w="2810" w:type="dxa"/>
            <w:vAlign w:val="center"/>
          </w:tcPr>
          <w:p w14:paraId="6881ED42" w14:textId="77777777" w:rsidR="00672297" w:rsidRDefault="00A16EA3">
            <w:pPr>
              <w:spacing w:before="20" w:after="20"/>
              <w:jc w:val="left"/>
            </w:pPr>
            <w:r>
              <w:rPr>
                <w:rFonts w:cstheme="minorHAnsi"/>
                <w:sz w:val="20"/>
                <w:szCs w:val="20"/>
              </w:rPr>
              <w:t>quality_detail</w:t>
            </w:r>
          </w:p>
        </w:tc>
      </w:tr>
      <w:tr w:rsidR="00672297" w14:paraId="70A74965" w14:textId="77777777">
        <w:trPr>
          <w:cantSplit/>
        </w:trPr>
        <w:tc>
          <w:tcPr>
            <w:tcW w:w="2246" w:type="dxa"/>
            <w:vAlign w:val="center"/>
          </w:tcPr>
          <w:p w14:paraId="24E26344" w14:textId="77777777" w:rsidR="00672297" w:rsidRDefault="00A16EA3">
            <w:pPr>
              <w:spacing w:before="20" w:after="20"/>
              <w:jc w:val="left"/>
            </w:pPr>
            <w:r>
              <w:rPr>
                <w:rFonts w:cstheme="minorHAnsi"/>
                <w:sz w:val="20"/>
                <w:szCs w:val="20"/>
              </w:rPr>
              <w:t>IBPPost</w:t>
            </w:r>
          </w:p>
        </w:tc>
        <w:tc>
          <w:tcPr>
            <w:tcW w:w="1216" w:type="dxa"/>
            <w:vAlign w:val="center"/>
          </w:tcPr>
          <w:p w14:paraId="1C06E346" w14:textId="77777777" w:rsidR="00672297" w:rsidRDefault="00A16EA3">
            <w:pPr>
              <w:spacing w:before="20" w:after="20"/>
              <w:jc w:val="left"/>
            </w:pPr>
            <w:r>
              <w:rPr>
                <w:rFonts w:cstheme="minorHAnsi"/>
                <w:sz w:val="20"/>
                <w:szCs w:val="20"/>
              </w:rPr>
              <w:t>DECIMAL(18,4)</w:t>
            </w:r>
          </w:p>
        </w:tc>
        <w:tc>
          <w:tcPr>
            <w:tcW w:w="3088" w:type="dxa"/>
            <w:vAlign w:val="center"/>
          </w:tcPr>
          <w:p w14:paraId="4F49B76A" w14:textId="77777777" w:rsidR="00672297" w:rsidRDefault="00A16EA3">
            <w:pPr>
              <w:spacing w:before="20" w:after="20"/>
              <w:jc w:val="left"/>
            </w:pPr>
            <w:r>
              <w:rPr>
                <w:rFonts w:cstheme="minorHAnsi"/>
                <w:sz w:val="20"/>
                <w:szCs w:val="20"/>
              </w:rPr>
              <w:t>IBP post-blend value (°F)</w:t>
            </w:r>
          </w:p>
        </w:tc>
        <w:tc>
          <w:tcPr>
            <w:tcW w:w="2810" w:type="dxa"/>
            <w:vAlign w:val="center"/>
          </w:tcPr>
          <w:p w14:paraId="5A0E462E"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66C4AECC" w14:textId="77777777">
        <w:trPr>
          <w:cantSplit/>
        </w:trPr>
        <w:tc>
          <w:tcPr>
            <w:tcW w:w="2246" w:type="dxa"/>
            <w:vAlign w:val="center"/>
          </w:tcPr>
          <w:p w14:paraId="5CB79D1A" w14:textId="77777777" w:rsidR="00672297" w:rsidRDefault="00A16EA3">
            <w:pPr>
              <w:spacing w:before="20" w:after="20"/>
              <w:jc w:val="left"/>
            </w:pPr>
            <w:r>
              <w:rPr>
                <w:rFonts w:cstheme="minorHAnsi"/>
                <w:sz w:val="20"/>
                <w:szCs w:val="20"/>
              </w:rPr>
              <w:t>IBPSpecMin</w:t>
            </w:r>
          </w:p>
        </w:tc>
        <w:tc>
          <w:tcPr>
            <w:tcW w:w="1216" w:type="dxa"/>
            <w:vAlign w:val="center"/>
          </w:tcPr>
          <w:p w14:paraId="0B12E091" w14:textId="77777777" w:rsidR="00672297" w:rsidRDefault="00A16EA3">
            <w:pPr>
              <w:spacing w:before="20" w:after="20"/>
              <w:jc w:val="left"/>
            </w:pPr>
            <w:r>
              <w:rPr>
                <w:rFonts w:cstheme="minorHAnsi"/>
                <w:sz w:val="20"/>
                <w:szCs w:val="20"/>
              </w:rPr>
              <w:t>DECIMAL(18,4)</w:t>
            </w:r>
          </w:p>
        </w:tc>
        <w:tc>
          <w:tcPr>
            <w:tcW w:w="3088" w:type="dxa"/>
            <w:vAlign w:val="center"/>
          </w:tcPr>
          <w:p w14:paraId="6E3DC04A" w14:textId="77777777" w:rsidR="00672297" w:rsidRDefault="00A16EA3">
            <w:pPr>
              <w:spacing w:before="20" w:after="20"/>
              <w:jc w:val="left"/>
            </w:pPr>
            <w:r>
              <w:rPr>
                <w:rFonts w:cstheme="minorHAnsi"/>
                <w:sz w:val="20"/>
                <w:szCs w:val="20"/>
              </w:rPr>
              <w:t>IBP resolved minimum (°F)</w:t>
            </w:r>
          </w:p>
        </w:tc>
        <w:tc>
          <w:tcPr>
            <w:tcW w:w="2810" w:type="dxa"/>
            <w:vAlign w:val="center"/>
          </w:tcPr>
          <w:p w14:paraId="5206B7C4" w14:textId="77777777" w:rsidR="00672297" w:rsidRDefault="00A16EA3">
            <w:pPr>
              <w:spacing w:before="20" w:after="20"/>
              <w:jc w:val="left"/>
            </w:pPr>
            <w:r>
              <w:rPr>
                <w:rFonts w:cstheme="minorHAnsi"/>
                <w:sz w:val="20"/>
                <w:szCs w:val="20"/>
              </w:rPr>
              <w:t>Specification resolution</w:t>
            </w:r>
          </w:p>
        </w:tc>
      </w:tr>
      <w:tr w:rsidR="00672297" w14:paraId="54326BBD" w14:textId="77777777">
        <w:trPr>
          <w:cantSplit/>
        </w:trPr>
        <w:tc>
          <w:tcPr>
            <w:tcW w:w="2246" w:type="dxa"/>
            <w:vAlign w:val="center"/>
          </w:tcPr>
          <w:p w14:paraId="2272A4B9" w14:textId="77777777" w:rsidR="00672297" w:rsidRDefault="00A16EA3">
            <w:pPr>
              <w:spacing w:before="20" w:after="20"/>
              <w:jc w:val="left"/>
            </w:pPr>
            <w:r>
              <w:rPr>
                <w:rFonts w:cstheme="minorHAnsi"/>
                <w:sz w:val="20"/>
                <w:szCs w:val="20"/>
              </w:rPr>
              <w:t>IBPSpecMax</w:t>
            </w:r>
          </w:p>
        </w:tc>
        <w:tc>
          <w:tcPr>
            <w:tcW w:w="1216" w:type="dxa"/>
            <w:vAlign w:val="center"/>
          </w:tcPr>
          <w:p w14:paraId="2326142B" w14:textId="77777777" w:rsidR="00672297" w:rsidRDefault="00A16EA3">
            <w:pPr>
              <w:spacing w:before="20" w:after="20"/>
              <w:jc w:val="left"/>
            </w:pPr>
            <w:r>
              <w:rPr>
                <w:rFonts w:cstheme="minorHAnsi"/>
                <w:sz w:val="20"/>
                <w:szCs w:val="20"/>
              </w:rPr>
              <w:t>DECIMAL(18,4)</w:t>
            </w:r>
          </w:p>
        </w:tc>
        <w:tc>
          <w:tcPr>
            <w:tcW w:w="3088" w:type="dxa"/>
            <w:vAlign w:val="center"/>
          </w:tcPr>
          <w:p w14:paraId="06E069A0" w14:textId="77777777" w:rsidR="00672297" w:rsidRDefault="00A16EA3">
            <w:pPr>
              <w:spacing w:before="20" w:after="20"/>
              <w:jc w:val="left"/>
            </w:pPr>
            <w:r>
              <w:rPr>
                <w:rFonts w:cstheme="minorHAnsi"/>
                <w:sz w:val="20"/>
                <w:szCs w:val="20"/>
              </w:rPr>
              <w:t>IBP resolved maximum (°F)</w:t>
            </w:r>
          </w:p>
        </w:tc>
        <w:tc>
          <w:tcPr>
            <w:tcW w:w="2810" w:type="dxa"/>
            <w:vAlign w:val="center"/>
          </w:tcPr>
          <w:p w14:paraId="6A40D4D9" w14:textId="77777777" w:rsidR="00672297" w:rsidRDefault="00A16EA3">
            <w:pPr>
              <w:spacing w:before="20" w:after="20"/>
              <w:jc w:val="left"/>
            </w:pPr>
            <w:r>
              <w:rPr>
                <w:rFonts w:cstheme="minorHAnsi"/>
                <w:sz w:val="20"/>
                <w:szCs w:val="20"/>
              </w:rPr>
              <w:t>Specification resolution</w:t>
            </w:r>
          </w:p>
        </w:tc>
      </w:tr>
      <w:tr w:rsidR="00672297" w14:paraId="45B53DEB" w14:textId="77777777">
        <w:trPr>
          <w:cantSplit/>
        </w:trPr>
        <w:tc>
          <w:tcPr>
            <w:tcW w:w="2246" w:type="dxa"/>
            <w:vAlign w:val="center"/>
          </w:tcPr>
          <w:p w14:paraId="2D5C0282" w14:textId="77777777" w:rsidR="00672297" w:rsidRDefault="00A16EA3">
            <w:pPr>
              <w:spacing w:before="20" w:after="20"/>
              <w:jc w:val="left"/>
            </w:pPr>
            <w:r>
              <w:rPr>
                <w:rFonts w:cstheme="minorHAnsi"/>
                <w:sz w:val="20"/>
                <w:szCs w:val="20"/>
              </w:rPr>
              <w:t>T10Pre</w:t>
            </w:r>
          </w:p>
        </w:tc>
        <w:tc>
          <w:tcPr>
            <w:tcW w:w="1216" w:type="dxa"/>
            <w:vAlign w:val="center"/>
          </w:tcPr>
          <w:p w14:paraId="3DD90EB1" w14:textId="77777777" w:rsidR="00672297" w:rsidRDefault="00A16EA3">
            <w:pPr>
              <w:spacing w:before="20" w:after="20"/>
              <w:jc w:val="left"/>
            </w:pPr>
            <w:r>
              <w:rPr>
                <w:rFonts w:cstheme="minorHAnsi"/>
                <w:sz w:val="20"/>
                <w:szCs w:val="20"/>
              </w:rPr>
              <w:t>DECIMAL(18,4)</w:t>
            </w:r>
          </w:p>
        </w:tc>
        <w:tc>
          <w:tcPr>
            <w:tcW w:w="3088" w:type="dxa"/>
            <w:vAlign w:val="center"/>
          </w:tcPr>
          <w:p w14:paraId="4B15717E" w14:textId="77777777" w:rsidR="00672297" w:rsidRDefault="00A16EA3">
            <w:pPr>
              <w:spacing w:before="20" w:after="20"/>
              <w:jc w:val="left"/>
            </w:pPr>
            <w:r>
              <w:rPr>
                <w:rFonts w:cstheme="minorHAnsi"/>
                <w:sz w:val="20"/>
                <w:szCs w:val="20"/>
              </w:rPr>
              <w:t>T10 certified pre-blend value (°F)</w:t>
            </w:r>
          </w:p>
        </w:tc>
        <w:tc>
          <w:tcPr>
            <w:tcW w:w="2810" w:type="dxa"/>
            <w:vAlign w:val="center"/>
          </w:tcPr>
          <w:p w14:paraId="10AFDCC5" w14:textId="77777777" w:rsidR="00672297" w:rsidRDefault="00A16EA3">
            <w:pPr>
              <w:spacing w:before="20" w:after="20"/>
              <w:jc w:val="left"/>
            </w:pPr>
            <w:r>
              <w:rPr>
                <w:rFonts w:cstheme="minorHAnsi"/>
                <w:sz w:val="20"/>
                <w:szCs w:val="20"/>
              </w:rPr>
              <w:t>quality_detail</w:t>
            </w:r>
          </w:p>
        </w:tc>
      </w:tr>
      <w:tr w:rsidR="00672297" w14:paraId="4A5C1920" w14:textId="77777777">
        <w:trPr>
          <w:cantSplit/>
        </w:trPr>
        <w:tc>
          <w:tcPr>
            <w:tcW w:w="2246" w:type="dxa"/>
            <w:vAlign w:val="center"/>
          </w:tcPr>
          <w:p w14:paraId="55153DBB" w14:textId="77777777" w:rsidR="00672297" w:rsidRDefault="00A16EA3">
            <w:pPr>
              <w:spacing w:before="20" w:after="20"/>
              <w:jc w:val="left"/>
            </w:pPr>
            <w:r>
              <w:rPr>
                <w:rFonts w:cstheme="minorHAnsi"/>
                <w:sz w:val="20"/>
                <w:szCs w:val="20"/>
              </w:rPr>
              <w:t>T10Post</w:t>
            </w:r>
          </w:p>
        </w:tc>
        <w:tc>
          <w:tcPr>
            <w:tcW w:w="1216" w:type="dxa"/>
            <w:vAlign w:val="center"/>
          </w:tcPr>
          <w:p w14:paraId="2AEE1536" w14:textId="77777777" w:rsidR="00672297" w:rsidRDefault="00A16EA3">
            <w:pPr>
              <w:spacing w:before="20" w:after="20"/>
              <w:jc w:val="left"/>
            </w:pPr>
            <w:r>
              <w:rPr>
                <w:rFonts w:cstheme="minorHAnsi"/>
                <w:sz w:val="20"/>
                <w:szCs w:val="20"/>
              </w:rPr>
              <w:t>DECIMAL(18,4)</w:t>
            </w:r>
          </w:p>
        </w:tc>
        <w:tc>
          <w:tcPr>
            <w:tcW w:w="3088" w:type="dxa"/>
            <w:vAlign w:val="center"/>
          </w:tcPr>
          <w:p w14:paraId="0AB09023" w14:textId="77777777" w:rsidR="00672297" w:rsidRDefault="00A16EA3">
            <w:pPr>
              <w:spacing w:before="20" w:after="20"/>
              <w:jc w:val="left"/>
            </w:pPr>
            <w:r>
              <w:rPr>
                <w:rFonts w:cstheme="minorHAnsi"/>
                <w:sz w:val="20"/>
                <w:szCs w:val="20"/>
              </w:rPr>
              <w:t>T10 post-blend value (°F)</w:t>
            </w:r>
          </w:p>
        </w:tc>
        <w:tc>
          <w:tcPr>
            <w:tcW w:w="2810" w:type="dxa"/>
            <w:vAlign w:val="center"/>
          </w:tcPr>
          <w:p w14:paraId="32964830"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18385B64" w14:textId="77777777">
        <w:trPr>
          <w:cantSplit/>
        </w:trPr>
        <w:tc>
          <w:tcPr>
            <w:tcW w:w="2246" w:type="dxa"/>
            <w:vAlign w:val="center"/>
          </w:tcPr>
          <w:p w14:paraId="4A3CC999" w14:textId="77777777" w:rsidR="00672297" w:rsidRDefault="00A16EA3">
            <w:pPr>
              <w:spacing w:before="20" w:after="20"/>
              <w:jc w:val="left"/>
            </w:pPr>
            <w:r>
              <w:rPr>
                <w:rFonts w:cstheme="minorHAnsi"/>
                <w:sz w:val="20"/>
                <w:szCs w:val="20"/>
              </w:rPr>
              <w:t>T10SpecMin</w:t>
            </w:r>
          </w:p>
        </w:tc>
        <w:tc>
          <w:tcPr>
            <w:tcW w:w="1216" w:type="dxa"/>
            <w:vAlign w:val="center"/>
          </w:tcPr>
          <w:p w14:paraId="190EDEC8" w14:textId="77777777" w:rsidR="00672297" w:rsidRDefault="00A16EA3">
            <w:pPr>
              <w:spacing w:before="20" w:after="20"/>
              <w:jc w:val="left"/>
            </w:pPr>
            <w:r>
              <w:rPr>
                <w:rFonts w:cstheme="minorHAnsi"/>
                <w:sz w:val="20"/>
                <w:szCs w:val="20"/>
              </w:rPr>
              <w:t>DECIMAL(18,4)</w:t>
            </w:r>
          </w:p>
        </w:tc>
        <w:tc>
          <w:tcPr>
            <w:tcW w:w="3088" w:type="dxa"/>
            <w:vAlign w:val="center"/>
          </w:tcPr>
          <w:p w14:paraId="6A855D38" w14:textId="77777777" w:rsidR="00672297" w:rsidRDefault="00A16EA3">
            <w:pPr>
              <w:spacing w:before="20" w:after="20"/>
              <w:jc w:val="left"/>
            </w:pPr>
            <w:r>
              <w:rPr>
                <w:rFonts w:cstheme="minorHAnsi"/>
                <w:sz w:val="20"/>
                <w:szCs w:val="20"/>
              </w:rPr>
              <w:t>T10 resolved minimum (°F)</w:t>
            </w:r>
          </w:p>
        </w:tc>
        <w:tc>
          <w:tcPr>
            <w:tcW w:w="2810" w:type="dxa"/>
            <w:vAlign w:val="center"/>
          </w:tcPr>
          <w:p w14:paraId="195620E3" w14:textId="77777777" w:rsidR="00672297" w:rsidRDefault="00A16EA3">
            <w:pPr>
              <w:spacing w:before="20" w:after="20"/>
              <w:jc w:val="left"/>
            </w:pPr>
            <w:r>
              <w:rPr>
                <w:rFonts w:cstheme="minorHAnsi"/>
                <w:sz w:val="20"/>
                <w:szCs w:val="20"/>
              </w:rPr>
              <w:t>Specification resolution</w:t>
            </w:r>
          </w:p>
        </w:tc>
      </w:tr>
      <w:tr w:rsidR="00672297" w14:paraId="234860D1" w14:textId="77777777">
        <w:trPr>
          <w:cantSplit/>
        </w:trPr>
        <w:tc>
          <w:tcPr>
            <w:tcW w:w="2246" w:type="dxa"/>
            <w:vAlign w:val="center"/>
          </w:tcPr>
          <w:p w14:paraId="4516C446" w14:textId="77777777" w:rsidR="00672297" w:rsidRDefault="00A16EA3">
            <w:pPr>
              <w:spacing w:before="20" w:after="20"/>
              <w:jc w:val="left"/>
            </w:pPr>
            <w:r>
              <w:rPr>
                <w:rFonts w:cstheme="minorHAnsi"/>
                <w:sz w:val="20"/>
                <w:szCs w:val="20"/>
              </w:rPr>
              <w:t>T10SpecMax</w:t>
            </w:r>
          </w:p>
        </w:tc>
        <w:tc>
          <w:tcPr>
            <w:tcW w:w="1216" w:type="dxa"/>
            <w:vAlign w:val="center"/>
          </w:tcPr>
          <w:p w14:paraId="15748D12" w14:textId="77777777" w:rsidR="00672297" w:rsidRDefault="00A16EA3">
            <w:pPr>
              <w:spacing w:before="20" w:after="20"/>
              <w:jc w:val="left"/>
            </w:pPr>
            <w:r>
              <w:rPr>
                <w:rFonts w:cstheme="minorHAnsi"/>
                <w:sz w:val="20"/>
                <w:szCs w:val="20"/>
              </w:rPr>
              <w:t>DECIMAL(18,4)</w:t>
            </w:r>
          </w:p>
        </w:tc>
        <w:tc>
          <w:tcPr>
            <w:tcW w:w="3088" w:type="dxa"/>
            <w:vAlign w:val="center"/>
          </w:tcPr>
          <w:p w14:paraId="3354A4A3" w14:textId="77777777" w:rsidR="00672297" w:rsidRDefault="00A16EA3">
            <w:pPr>
              <w:spacing w:before="20" w:after="20"/>
              <w:jc w:val="left"/>
            </w:pPr>
            <w:r>
              <w:rPr>
                <w:rFonts w:cstheme="minorHAnsi"/>
                <w:sz w:val="20"/>
                <w:szCs w:val="20"/>
              </w:rPr>
              <w:t>T10 resolved maximum (°F)</w:t>
            </w:r>
          </w:p>
        </w:tc>
        <w:tc>
          <w:tcPr>
            <w:tcW w:w="2810" w:type="dxa"/>
            <w:vAlign w:val="center"/>
          </w:tcPr>
          <w:p w14:paraId="513CC46D" w14:textId="77777777" w:rsidR="00672297" w:rsidRDefault="00A16EA3">
            <w:pPr>
              <w:spacing w:before="20" w:after="20"/>
              <w:jc w:val="left"/>
            </w:pPr>
            <w:r>
              <w:rPr>
                <w:rFonts w:cstheme="minorHAnsi"/>
                <w:sz w:val="20"/>
                <w:szCs w:val="20"/>
              </w:rPr>
              <w:t>Specification resolution</w:t>
            </w:r>
          </w:p>
        </w:tc>
      </w:tr>
      <w:tr w:rsidR="00672297" w14:paraId="508B1DF7" w14:textId="77777777">
        <w:trPr>
          <w:cantSplit/>
        </w:trPr>
        <w:tc>
          <w:tcPr>
            <w:tcW w:w="2246" w:type="dxa"/>
            <w:vAlign w:val="center"/>
          </w:tcPr>
          <w:p w14:paraId="2AB6F5E3" w14:textId="77777777" w:rsidR="00672297" w:rsidRDefault="00A16EA3">
            <w:pPr>
              <w:spacing w:before="20" w:after="20"/>
              <w:jc w:val="left"/>
            </w:pPr>
            <w:r>
              <w:rPr>
                <w:rFonts w:cstheme="minorHAnsi"/>
                <w:sz w:val="20"/>
                <w:szCs w:val="20"/>
              </w:rPr>
              <w:t>T50Pre</w:t>
            </w:r>
          </w:p>
        </w:tc>
        <w:tc>
          <w:tcPr>
            <w:tcW w:w="1216" w:type="dxa"/>
            <w:vAlign w:val="center"/>
          </w:tcPr>
          <w:p w14:paraId="4803D5A3" w14:textId="77777777" w:rsidR="00672297" w:rsidRDefault="00A16EA3">
            <w:pPr>
              <w:spacing w:before="20" w:after="20"/>
              <w:jc w:val="left"/>
            </w:pPr>
            <w:r>
              <w:rPr>
                <w:rFonts w:cstheme="minorHAnsi"/>
                <w:sz w:val="20"/>
                <w:szCs w:val="20"/>
              </w:rPr>
              <w:t>DECIMAL(18,4)</w:t>
            </w:r>
          </w:p>
        </w:tc>
        <w:tc>
          <w:tcPr>
            <w:tcW w:w="3088" w:type="dxa"/>
            <w:vAlign w:val="center"/>
          </w:tcPr>
          <w:p w14:paraId="5627B5B1" w14:textId="77777777" w:rsidR="00672297" w:rsidRDefault="00A16EA3">
            <w:pPr>
              <w:spacing w:before="20" w:after="20"/>
              <w:jc w:val="left"/>
            </w:pPr>
            <w:r>
              <w:rPr>
                <w:rFonts w:cstheme="minorHAnsi"/>
                <w:sz w:val="20"/>
                <w:szCs w:val="20"/>
              </w:rPr>
              <w:t>T50 certified pre-blend value (°F)</w:t>
            </w:r>
          </w:p>
        </w:tc>
        <w:tc>
          <w:tcPr>
            <w:tcW w:w="2810" w:type="dxa"/>
            <w:vAlign w:val="center"/>
          </w:tcPr>
          <w:p w14:paraId="4C721B38" w14:textId="77777777" w:rsidR="00672297" w:rsidRDefault="00A16EA3">
            <w:pPr>
              <w:spacing w:before="20" w:after="20"/>
              <w:jc w:val="left"/>
            </w:pPr>
            <w:r>
              <w:rPr>
                <w:rFonts w:cstheme="minorHAnsi"/>
                <w:sz w:val="20"/>
                <w:szCs w:val="20"/>
              </w:rPr>
              <w:t>quality_detail</w:t>
            </w:r>
          </w:p>
        </w:tc>
      </w:tr>
      <w:tr w:rsidR="00672297" w14:paraId="4A3238A2" w14:textId="77777777">
        <w:trPr>
          <w:cantSplit/>
        </w:trPr>
        <w:tc>
          <w:tcPr>
            <w:tcW w:w="2246" w:type="dxa"/>
            <w:vAlign w:val="center"/>
          </w:tcPr>
          <w:p w14:paraId="040978C8" w14:textId="77777777" w:rsidR="00672297" w:rsidRDefault="00A16EA3">
            <w:pPr>
              <w:spacing w:before="20" w:after="20"/>
              <w:jc w:val="left"/>
            </w:pPr>
            <w:r>
              <w:rPr>
                <w:rFonts w:cstheme="minorHAnsi"/>
                <w:sz w:val="20"/>
                <w:szCs w:val="20"/>
              </w:rPr>
              <w:t>T50Post</w:t>
            </w:r>
          </w:p>
        </w:tc>
        <w:tc>
          <w:tcPr>
            <w:tcW w:w="1216" w:type="dxa"/>
            <w:vAlign w:val="center"/>
          </w:tcPr>
          <w:p w14:paraId="7A6B4148" w14:textId="77777777" w:rsidR="00672297" w:rsidRDefault="00A16EA3">
            <w:pPr>
              <w:spacing w:before="20" w:after="20"/>
              <w:jc w:val="left"/>
            </w:pPr>
            <w:r>
              <w:rPr>
                <w:rFonts w:cstheme="minorHAnsi"/>
                <w:sz w:val="20"/>
                <w:szCs w:val="20"/>
              </w:rPr>
              <w:t>DECIMAL(18,4)</w:t>
            </w:r>
          </w:p>
        </w:tc>
        <w:tc>
          <w:tcPr>
            <w:tcW w:w="3088" w:type="dxa"/>
            <w:vAlign w:val="center"/>
          </w:tcPr>
          <w:p w14:paraId="7FB462EF" w14:textId="77777777" w:rsidR="00672297" w:rsidRDefault="00A16EA3">
            <w:pPr>
              <w:spacing w:before="20" w:after="20"/>
              <w:jc w:val="left"/>
            </w:pPr>
            <w:r>
              <w:rPr>
                <w:rFonts w:cstheme="minorHAnsi"/>
                <w:sz w:val="20"/>
                <w:szCs w:val="20"/>
              </w:rPr>
              <w:t>T50 post-blend value (°F)</w:t>
            </w:r>
          </w:p>
        </w:tc>
        <w:tc>
          <w:tcPr>
            <w:tcW w:w="2810" w:type="dxa"/>
            <w:vAlign w:val="center"/>
          </w:tcPr>
          <w:p w14:paraId="46446DB9"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656B7465" w14:textId="77777777">
        <w:trPr>
          <w:cantSplit/>
        </w:trPr>
        <w:tc>
          <w:tcPr>
            <w:tcW w:w="2246" w:type="dxa"/>
            <w:vAlign w:val="center"/>
          </w:tcPr>
          <w:p w14:paraId="03B3844F" w14:textId="77777777" w:rsidR="00672297" w:rsidRDefault="00A16EA3">
            <w:pPr>
              <w:spacing w:before="20" w:after="20"/>
              <w:jc w:val="left"/>
            </w:pPr>
            <w:r>
              <w:rPr>
                <w:rFonts w:cstheme="minorHAnsi"/>
                <w:sz w:val="20"/>
                <w:szCs w:val="20"/>
              </w:rPr>
              <w:t>T50SpecMin</w:t>
            </w:r>
          </w:p>
        </w:tc>
        <w:tc>
          <w:tcPr>
            <w:tcW w:w="1216" w:type="dxa"/>
            <w:vAlign w:val="center"/>
          </w:tcPr>
          <w:p w14:paraId="18E77BEE" w14:textId="77777777" w:rsidR="00672297" w:rsidRDefault="00A16EA3">
            <w:pPr>
              <w:spacing w:before="20" w:after="20"/>
              <w:jc w:val="left"/>
            </w:pPr>
            <w:r>
              <w:rPr>
                <w:rFonts w:cstheme="minorHAnsi"/>
                <w:sz w:val="20"/>
                <w:szCs w:val="20"/>
              </w:rPr>
              <w:t>DECIMAL(18,4)</w:t>
            </w:r>
          </w:p>
        </w:tc>
        <w:tc>
          <w:tcPr>
            <w:tcW w:w="3088" w:type="dxa"/>
            <w:vAlign w:val="center"/>
          </w:tcPr>
          <w:p w14:paraId="038A19E7" w14:textId="77777777" w:rsidR="00672297" w:rsidRDefault="00A16EA3">
            <w:pPr>
              <w:spacing w:before="20" w:after="20"/>
              <w:jc w:val="left"/>
            </w:pPr>
            <w:r>
              <w:rPr>
                <w:rFonts w:cstheme="minorHAnsi"/>
                <w:sz w:val="20"/>
                <w:szCs w:val="20"/>
              </w:rPr>
              <w:t>T50 resolved minimum (°F)</w:t>
            </w:r>
          </w:p>
        </w:tc>
        <w:tc>
          <w:tcPr>
            <w:tcW w:w="2810" w:type="dxa"/>
            <w:vAlign w:val="center"/>
          </w:tcPr>
          <w:p w14:paraId="64106E7C" w14:textId="77777777" w:rsidR="00672297" w:rsidRDefault="00A16EA3">
            <w:pPr>
              <w:spacing w:before="20" w:after="20"/>
              <w:jc w:val="left"/>
            </w:pPr>
            <w:r>
              <w:rPr>
                <w:rFonts w:cstheme="minorHAnsi"/>
                <w:sz w:val="20"/>
                <w:szCs w:val="20"/>
              </w:rPr>
              <w:t>Specification resolution</w:t>
            </w:r>
          </w:p>
        </w:tc>
      </w:tr>
      <w:tr w:rsidR="00672297" w14:paraId="5FD928CA" w14:textId="77777777">
        <w:trPr>
          <w:cantSplit/>
        </w:trPr>
        <w:tc>
          <w:tcPr>
            <w:tcW w:w="2246" w:type="dxa"/>
            <w:vAlign w:val="center"/>
          </w:tcPr>
          <w:p w14:paraId="665D2F5D" w14:textId="77777777" w:rsidR="00672297" w:rsidRDefault="00A16EA3">
            <w:pPr>
              <w:spacing w:before="20" w:after="20"/>
              <w:jc w:val="left"/>
            </w:pPr>
            <w:r>
              <w:rPr>
                <w:rFonts w:cstheme="minorHAnsi"/>
                <w:sz w:val="20"/>
                <w:szCs w:val="20"/>
              </w:rPr>
              <w:t>T50SpecMax</w:t>
            </w:r>
          </w:p>
        </w:tc>
        <w:tc>
          <w:tcPr>
            <w:tcW w:w="1216" w:type="dxa"/>
            <w:vAlign w:val="center"/>
          </w:tcPr>
          <w:p w14:paraId="1FEEF979" w14:textId="77777777" w:rsidR="00672297" w:rsidRDefault="00A16EA3">
            <w:pPr>
              <w:spacing w:before="20" w:after="20"/>
              <w:jc w:val="left"/>
            </w:pPr>
            <w:r>
              <w:rPr>
                <w:rFonts w:cstheme="minorHAnsi"/>
                <w:sz w:val="20"/>
                <w:szCs w:val="20"/>
              </w:rPr>
              <w:t>DECIMAL(18,4)</w:t>
            </w:r>
          </w:p>
        </w:tc>
        <w:tc>
          <w:tcPr>
            <w:tcW w:w="3088" w:type="dxa"/>
            <w:vAlign w:val="center"/>
          </w:tcPr>
          <w:p w14:paraId="2DE56602" w14:textId="77777777" w:rsidR="00672297" w:rsidRDefault="00A16EA3">
            <w:pPr>
              <w:spacing w:before="20" w:after="20"/>
              <w:jc w:val="left"/>
            </w:pPr>
            <w:r>
              <w:rPr>
                <w:rFonts w:cstheme="minorHAnsi"/>
                <w:sz w:val="20"/>
                <w:szCs w:val="20"/>
              </w:rPr>
              <w:t>T50 resolved maximum (°F)</w:t>
            </w:r>
          </w:p>
        </w:tc>
        <w:tc>
          <w:tcPr>
            <w:tcW w:w="2810" w:type="dxa"/>
            <w:vAlign w:val="center"/>
          </w:tcPr>
          <w:p w14:paraId="54872667" w14:textId="77777777" w:rsidR="00672297" w:rsidRDefault="00A16EA3">
            <w:pPr>
              <w:spacing w:before="20" w:after="20"/>
              <w:jc w:val="left"/>
            </w:pPr>
            <w:r>
              <w:rPr>
                <w:rFonts w:cstheme="minorHAnsi"/>
                <w:sz w:val="20"/>
                <w:szCs w:val="20"/>
              </w:rPr>
              <w:t>Specification resolution</w:t>
            </w:r>
          </w:p>
        </w:tc>
      </w:tr>
      <w:tr w:rsidR="00672297" w14:paraId="44C01D37" w14:textId="77777777">
        <w:trPr>
          <w:cantSplit/>
        </w:trPr>
        <w:tc>
          <w:tcPr>
            <w:tcW w:w="2246" w:type="dxa"/>
            <w:vAlign w:val="center"/>
          </w:tcPr>
          <w:p w14:paraId="28FEB263" w14:textId="77777777" w:rsidR="00672297" w:rsidRDefault="00A16EA3">
            <w:pPr>
              <w:spacing w:before="20" w:after="20"/>
              <w:jc w:val="left"/>
            </w:pPr>
            <w:r>
              <w:rPr>
                <w:rFonts w:cstheme="minorHAnsi"/>
                <w:sz w:val="20"/>
                <w:szCs w:val="20"/>
              </w:rPr>
              <w:t>T90Pre</w:t>
            </w:r>
          </w:p>
        </w:tc>
        <w:tc>
          <w:tcPr>
            <w:tcW w:w="1216" w:type="dxa"/>
            <w:vAlign w:val="center"/>
          </w:tcPr>
          <w:p w14:paraId="4E0E541C" w14:textId="77777777" w:rsidR="00672297" w:rsidRDefault="00A16EA3">
            <w:pPr>
              <w:spacing w:before="20" w:after="20"/>
              <w:jc w:val="left"/>
            </w:pPr>
            <w:r>
              <w:rPr>
                <w:rFonts w:cstheme="minorHAnsi"/>
                <w:sz w:val="20"/>
                <w:szCs w:val="20"/>
              </w:rPr>
              <w:t>DECIMAL(18,4)</w:t>
            </w:r>
          </w:p>
        </w:tc>
        <w:tc>
          <w:tcPr>
            <w:tcW w:w="3088" w:type="dxa"/>
            <w:vAlign w:val="center"/>
          </w:tcPr>
          <w:p w14:paraId="16BD8F57" w14:textId="77777777" w:rsidR="00672297" w:rsidRDefault="00A16EA3">
            <w:pPr>
              <w:spacing w:before="20" w:after="20"/>
              <w:jc w:val="left"/>
            </w:pPr>
            <w:r>
              <w:rPr>
                <w:rFonts w:cstheme="minorHAnsi"/>
                <w:sz w:val="20"/>
                <w:szCs w:val="20"/>
              </w:rPr>
              <w:t>T90 certified pre-blend value (°F)</w:t>
            </w:r>
          </w:p>
        </w:tc>
        <w:tc>
          <w:tcPr>
            <w:tcW w:w="2810" w:type="dxa"/>
            <w:vAlign w:val="center"/>
          </w:tcPr>
          <w:p w14:paraId="0130B5EE" w14:textId="77777777" w:rsidR="00672297" w:rsidRDefault="00A16EA3">
            <w:pPr>
              <w:spacing w:before="20" w:after="20"/>
              <w:jc w:val="left"/>
            </w:pPr>
            <w:r>
              <w:rPr>
                <w:rFonts w:cstheme="minorHAnsi"/>
                <w:sz w:val="20"/>
                <w:szCs w:val="20"/>
              </w:rPr>
              <w:t>quality_detail</w:t>
            </w:r>
          </w:p>
        </w:tc>
      </w:tr>
      <w:tr w:rsidR="00672297" w14:paraId="087CC55F" w14:textId="77777777">
        <w:trPr>
          <w:cantSplit/>
        </w:trPr>
        <w:tc>
          <w:tcPr>
            <w:tcW w:w="2246" w:type="dxa"/>
            <w:vAlign w:val="center"/>
          </w:tcPr>
          <w:p w14:paraId="192D91D6" w14:textId="77777777" w:rsidR="00672297" w:rsidRDefault="00A16EA3">
            <w:pPr>
              <w:spacing w:before="20" w:after="20"/>
              <w:jc w:val="left"/>
            </w:pPr>
            <w:r>
              <w:rPr>
                <w:rFonts w:cstheme="minorHAnsi"/>
                <w:sz w:val="20"/>
                <w:szCs w:val="20"/>
              </w:rPr>
              <w:t>T90Post</w:t>
            </w:r>
          </w:p>
        </w:tc>
        <w:tc>
          <w:tcPr>
            <w:tcW w:w="1216" w:type="dxa"/>
            <w:vAlign w:val="center"/>
          </w:tcPr>
          <w:p w14:paraId="04408F4B" w14:textId="77777777" w:rsidR="00672297" w:rsidRDefault="00A16EA3">
            <w:pPr>
              <w:spacing w:before="20" w:after="20"/>
              <w:jc w:val="left"/>
            </w:pPr>
            <w:r>
              <w:rPr>
                <w:rFonts w:cstheme="minorHAnsi"/>
                <w:sz w:val="20"/>
                <w:szCs w:val="20"/>
              </w:rPr>
              <w:t>DECIMAL(18,4)</w:t>
            </w:r>
          </w:p>
        </w:tc>
        <w:tc>
          <w:tcPr>
            <w:tcW w:w="3088" w:type="dxa"/>
            <w:vAlign w:val="center"/>
          </w:tcPr>
          <w:p w14:paraId="3BC5EDD6" w14:textId="77777777" w:rsidR="00672297" w:rsidRDefault="00A16EA3">
            <w:pPr>
              <w:spacing w:before="20" w:after="20"/>
              <w:jc w:val="left"/>
            </w:pPr>
            <w:r>
              <w:rPr>
                <w:rFonts w:cstheme="minorHAnsi"/>
                <w:sz w:val="20"/>
                <w:szCs w:val="20"/>
              </w:rPr>
              <w:t>T90 post-blend value (°F)</w:t>
            </w:r>
          </w:p>
        </w:tc>
        <w:tc>
          <w:tcPr>
            <w:tcW w:w="2810" w:type="dxa"/>
            <w:vAlign w:val="center"/>
          </w:tcPr>
          <w:p w14:paraId="3342106C"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65362333" w14:textId="77777777">
        <w:trPr>
          <w:cantSplit/>
        </w:trPr>
        <w:tc>
          <w:tcPr>
            <w:tcW w:w="2246" w:type="dxa"/>
            <w:vAlign w:val="center"/>
          </w:tcPr>
          <w:p w14:paraId="35AC8196" w14:textId="77777777" w:rsidR="00672297" w:rsidRDefault="00A16EA3">
            <w:pPr>
              <w:spacing w:before="20" w:after="20"/>
              <w:jc w:val="left"/>
            </w:pPr>
            <w:r>
              <w:rPr>
                <w:rFonts w:cstheme="minorHAnsi"/>
                <w:sz w:val="20"/>
                <w:szCs w:val="20"/>
              </w:rPr>
              <w:t>T90SpecMin</w:t>
            </w:r>
          </w:p>
        </w:tc>
        <w:tc>
          <w:tcPr>
            <w:tcW w:w="1216" w:type="dxa"/>
            <w:vAlign w:val="center"/>
          </w:tcPr>
          <w:p w14:paraId="35F43A8C" w14:textId="77777777" w:rsidR="00672297" w:rsidRDefault="00A16EA3">
            <w:pPr>
              <w:spacing w:before="20" w:after="20"/>
              <w:jc w:val="left"/>
            </w:pPr>
            <w:r>
              <w:rPr>
                <w:rFonts w:cstheme="minorHAnsi"/>
                <w:sz w:val="20"/>
                <w:szCs w:val="20"/>
              </w:rPr>
              <w:t>DECIMAL(18,4)</w:t>
            </w:r>
          </w:p>
        </w:tc>
        <w:tc>
          <w:tcPr>
            <w:tcW w:w="3088" w:type="dxa"/>
            <w:vAlign w:val="center"/>
          </w:tcPr>
          <w:p w14:paraId="7576EBA4" w14:textId="77777777" w:rsidR="00672297" w:rsidRDefault="00A16EA3">
            <w:pPr>
              <w:spacing w:before="20" w:after="20"/>
              <w:jc w:val="left"/>
            </w:pPr>
            <w:r>
              <w:rPr>
                <w:rFonts w:cstheme="minorHAnsi"/>
                <w:sz w:val="20"/>
                <w:szCs w:val="20"/>
              </w:rPr>
              <w:t>T90 resolved minimum (°F)</w:t>
            </w:r>
          </w:p>
        </w:tc>
        <w:tc>
          <w:tcPr>
            <w:tcW w:w="2810" w:type="dxa"/>
            <w:vAlign w:val="center"/>
          </w:tcPr>
          <w:p w14:paraId="6E3AEA29" w14:textId="77777777" w:rsidR="00672297" w:rsidRDefault="00A16EA3">
            <w:pPr>
              <w:spacing w:before="20" w:after="20"/>
              <w:jc w:val="left"/>
            </w:pPr>
            <w:r>
              <w:rPr>
                <w:rFonts w:cstheme="minorHAnsi"/>
                <w:sz w:val="20"/>
                <w:szCs w:val="20"/>
              </w:rPr>
              <w:t>Specification resolution</w:t>
            </w:r>
          </w:p>
        </w:tc>
      </w:tr>
      <w:tr w:rsidR="00672297" w14:paraId="130DC363" w14:textId="77777777">
        <w:trPr>
          <w:cantSplit/>
        </w:trPr>
        <w:tc>
          <w:tcPr>
            <w:tcW w:w="2246" w:type="dxa"/>
            <w:vAlign w:val="center"/>
          </w:tcPr>
          <w:p w14:paraId="68F1428D" w14:textId="77777777" w:rsidR="00672297" w:rsidRDefault="00A16EA3">
            <w:pPr>
              <w:spacing w:before="20" w:after="20"/>
              <w:jc w:val="left"/>
            </w:pPr>
            <w:r>
              <w:rPr>
                <w:rFonts w:cstheme="minorHAnsi"/>
                <w:sz w:val="20"/>
                <w:szCs w:val="20"/>
              </w:rPr>
              <w:t>T90SpecMax</w:t>
            </w:r>
          </w:p>
        </w:tc>
        <w:tc>
          <w:tcPr>
            <w:tcW w:w="1216" w:type="dxa"/>
            <w:vAlign w:val="center"/>
          </w:tcPr>
          <w:p w14:paraId="0A931210" w14:textId="77777777" w:rsidR="00672297" w:rsidRDefault="00A16EA3">
            <w:pPr>
              <w:spacing w:before="20" w:after="20"/>
              <w:jc w:val="left"/>
            </w:pPr>
            <w:r>
              <w:rPr>
                <w:rFonts w:cstheme="minorHAnsi"/>
                <w:sz w:val="20"/>
                <w:szCs w:val="20"/>
              </w:rPr>
              <w:t>DECIMAL(18,4)</w:t>
            </w:r>
          </w:p>
        </w:tc>
        <w:tc>
          <w:tcPr>
            <w:tcW w:w="3088" w:type="dxa"/>
            <w:vAlign w:val="center"/>
          </w:tcPr>
          <w:p w14:paraId="4728A66F" w14:textId="77777777" w:rsidR="00672297" w:rsidRDefault="00A16EA3">
            <w:pPr>
              <w:spacing w:before="20" w:after="20"/>
              <w:jc w:val="left"/>
            </w:pPr>
            <w:r>
              <w:rPr>
                <w:rFonts w:cstheme="minorHAnsi"/>
                <w:sz w:val="20"/>
                <w:szCs w:val="20"/>
              </w:rPr>
              <w:t>T90 resolved maximum (°F)</w:t>
            </w:r>
          </w:p>
        </w:tc>
        <w:tc>
          <w:tcPr>
            <w:tcW w:w="2810" w:type="dxa"/>
            <w:vAlign w:val="center"/>
          </w:tcPr>
          <w:p w14:paraId="7D85DA1F" w14:textId="77777777" w:rsidR="00672297" w:rsidRDefault="00A16EA3">
            <w:pPr>
              <w:spacing w:before="20" w:after="20"/>
              <w:jc w:val="left"/>
            </w:pPr>
            <w:r>
              <w:rPr>
                <w:rFonts w:cstheme="minorHAnsi"/>
                <w:sz w:val="20"/>
                <w:szCs w:val="20"/>
              </w:rPr>
              <w:t>Specification resolution</w:t>
            </w:r>
          </w:p>
        </w:tc>
      </w:tr>
      <w:tr w:rsidR="00672297" w14:paraId="10DC9E9E" w14:textId="77777777">
        <w:trPr>
          <w:cantSplit/>
        </w:trPr>
        <w:tc>
          <w:tcPr>
            <w:tcW w:w="2246" w:type="dxa"/>
            <w:vAlign w:val="center"/>
          </w:tcPr>
          <w:p w14:paraId="120D64A4" w14:textId="77777777" w:rsidR="00672297" w:rsidRDefault="00A16EA3">
            <w:pPr>
              <w:spacing w:before="20" w:after="20"/>
              <w:jc w:val="left"/>
            </w:pPr>
            <w:r>
              <w:rPr>
                <w:rFonts w:cstheme="minorHAnsi"/>
                <w:sz w:val="20"/>
                <w:szCs w:val="20"/>
              </w:rPr>
              <w:t>TVLPre</w:t>
            </w:r>
          </w:p>
        </w:tc>
        <w:tc>
          <w:tcPr>
            <w:tcW w:w="1216" w:type="dxa"/>
            <w:vAlign w:val="center"/>
          </w:tcPr>
          <w:p w14:paraId="26DA997B" w14:textId="77777777" w:rsidR="00672297" w:rsidRDefault="00A16EA3">
            <w:pPr>
              <w:spacing w:before="20" w:after="20"/>
              <w:jc w:val="left"/>
            </w:pPr>
            <w:r>
              <w:rPr>
                <w:rFonts w:cstheme="minorHAnsi"/>
                <w:sz w:val="20"/>
                <w:szCs w:val="20"/>
              </w:rPr>
              <w:t>DECIMAL(18,4)</w:t>
            </w:r>
          </w:p>
        </w:tc>
        <w:tc>
          <w:tcPr>
            <w:tcW w:w="3088" w:type="dxa"/>
            <w:vAlign w:val="center"/>
          </w:tcPr>
          <w:p w14:paraId="2B3EDC7A" w14:textId="77777777" w:rsidR="00672297" w:rsidRDefault="00A16EA3">
            <w:pPr>
              <w:spacing w:before="20" w:after="20"/>
              <w:jc w:val="left"/>
            </w:pPr>
            <w:r>
              <w:rPr>
                <w:rFonts w:cstheme="minorHAnsi"/>
                <w:sz w:val="20"/>
                <w:szCs w:val="20"/>
              </w:rPr>
              <w:t>TVL certified pre-blend value</w:t>
            </w:r>
          </w:p>
        </w:tc>
        <w:tc>
          <w:tcPr>
            <w:tcW w:w="2810" w:type="dxa"/>
            <w:vAlign w:val="center"/>
          </w:tcPr>
          <w:p w14:paraId="259CF12A" w14:textId="77777777" w:rsidR="00672297" w:rsidRDefault="00A16EA3">
            <w:pPr>
              <w:spacing w:before="20" w:after="20"/>
              <w:jc w:val="left"/>
            </w:pPr>
            <w:r>
              <w:rPr>
                <w:rFonts w:cstheme="minorHAnsi"/>
                <w:sz w:val="20"/>
                <w:szCs w:val="20"/>
              </w:rPr>
              <w:t>quality_detail</w:t>
            </w:r>
          </w:p>
        </w:tc>
      </w:tr>
      <w:tr w:rsidR="00672297" w14:paraId="58DFA85D" w14:textId="77777777">
        <w:trPr>
          <w:cantSplit/>
        </w:trPr>
        <w:tc>
          <w:tcPr>
            <w:tcW w:w="2246" w:type="dxa"/>
            <w:vAlign w:val="center"/>
          </w:tcPr>
          <w:p w14:paraId="7ABDDC60" w14:textId="77777777" w:rsidR="00672297" w:rsidRDefault="00A16EA3">
            <w:pPr>
              <w:spacing w:before="20" w:after="20"/>
              <w:jc w:val="left"/>
            </w:pPr>
            <w:r>
              <w:rPr>
                <w:rFonts w:cstheme="minorHAnsi"/>
                <w:sz w:val="20"/>
                <w:szCs w:val="20"/>
              </w:rPr>
              <w:t>TVLPost</w:t>
            </w:r>
          </w:p>
        </w:tc>
        <w:tc>
          <w:tcPr>
            <w:tcW w:w="1216" w:type="dxa"/>
            <w:vAlign w:val="center"/>
          </w:tcPr>
          <w:p w14:paraId="60BC4BEE" w14:textId="77777777" w:rsidR="00672297" w:rsidRDefault="00A16EA3">
            <w:pPr>
              <w:spacing w:before="20" w:after="20"/>
              <w:jc w:val="left"/>
            </w:pPr>
            <w:r>
              <w:rPr>
                <w:rFonts w:cstheme="minorHAnsi"/>
                <w:sz w:val="20"/>
                <w:szCs w:val="20"/>
              </w:rPr>
              <w:t>DECIMAL(18,4)</w:t>
            </w:r>
          </w:p>
        </w:tc>
        <w:tc>
          <w:tcPr>
            <w:tcW w:w="3088" w:type="dxa"/>
            <w:vAlign w:val="center"/>
          </w:tcPr>
          <w:p w14:paraId="32B9C972" w14:textId="77777777" w:rsidR="00672297" w:rsidRDefault="00A16EA3">
            <w:pPr>
              <w:spacing w:before="20" w:after="20"/>
              <w:jc w:val="left"/>
            </w:pPr>
            <w:r>
              <w:rPr>
                <w:rFonts w:cstheme="minorHAnsi"/>
                <w:sz w:val="20"/>
                <w:szCs w:val="20"/>
              </w:rPr>
              <w:t>TVL post-blend value</w:t>
            </w:r>
          </w:p>
        </w:tc>
        <w:tc>
          <w:tcPr>
            <w:tcW w:w="2810" w:type="dxa"/>
            <w:vAlign w:val="center"/>
          </w:tcPr>
          <w:p w14:paraId="1C71E80B"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5CF7596A" w14:textId="77777777">
        <w:trPr>
          <w:cantSplit/>
        </w:trPr>
        <w:tc>
          <w:tcPr>
            <w:tcW w:w="2246" w:type="dxa"/>
            <w:vAlign w:val="center"/>
          </w:tcPr>
          <w:p w14:paraId="174AE4BC" w14:textId="77777777" w:rsidR="00672297" w:rsidRDefault="00A16EA3">
            <w:pPr>
              <w:spacing w:before="20" w:after="20"/>
              <w:jc w:val="left"/>
            </w:pPr>
            <w:r>
              <w:rPr>
                <w:rFonts w:cstheme="minorHAnsi"/>
                <w:sz w:val="20"/>
                <w:szCs w:val="20"/>
              </w:rPr>
              <w:t>TVLSpecMin</w:t>
            </w:r>
          </w:p>
        </w:tc>
        <w:tc>
          <w:tcPr>
            <w:tcW w:w="1216" w:type="dxa"/>
            <w:vAlign w:val="center"/>
          </w:tcPr>
          <w:p w14:paraId="2F35B7D2" w14:textId="77777777" w:rsidR="00672297" w:rsidRDefault="00A16EA3">
            <w:pPr>
              <w:spacing w:before="20" w:after="20"/>
              <w:jc w:val="left"/>
            </w:pPr>
            <w:r>
              <w:rPr>
                <w:rFonts w:cstheme="minorHAnsi"/>
                <w:sz w:val="20"/>
                <w:szCs w:val="20"/>
              </w:rPr>
              <w:t>DECIMAL(18,4)</w:t>
            </w:r>
          </w:p>
        </w:tc>
        <w:tc>
          <w:tcPr>
            <w:tcW w:w="3088" w:type="dxa"/>
            <w:vAlign w:val="center"/>
          </w:tcPr>
          <w:p w14:paraId="3AD9BD9E" w14:textId="77777777" w:rsidR="00672297" w:rsidRDefault="00A16EA3">
            <w:pPr>
              <w:spacing w:before="20" w:after="20"/>
              <w:jc w:val="left"/>
            </w:pPr>
            <w:r>
              <w:rPr>
                <w:rFonts w:cstheme="minorHAnsi"/>
                <w:sz w:val="20"/>
                <w:szCs w:val="20"/>
              </w:rPr>
              <w:t>TVL resolved minimum</w:t>
            </w:r>
          </w:p>
        </w:tc>
        <w:tc>
          <w:tcPr>
            <w:tcW w:w="2810" w:type="dxa"/>
            <w:vAlign w:val="center"/>
          </w:tcPr>
          <w:p w14:paraId="4E4C376E" w14:textId="77777777" w:rsidR="00672297" w:rsidRDefault="00A16EA3">
            <w:pPr>
              <w:spacing w:before="20" w:after="20"/>
              <w:jc w:val="left"/>
            </w:pPr>
            <w:r>
              <w:rPr>
                <w:rFonts w:cstheme="minorHAnsi"/>
                <w:sz w:val="20"/>
                <w:szCs w:val="20"/>
              </w:rPr>
              <w:t>Specification resolution</w:t>
            </w:r>
          </w:p>
        </w:tc>
      </w:tr>
      <w:tr w:rsidR="00672297" w14:paraId="0BEE5D09" w14:textId="77777777">
        <w:trPr>
          <w:cantSplit/>
        </w:trPr>
        <w:tc>
          <w:tcPr>
            <w:tcW w:w="2246" w:type="dxa"/>
            <w:vAlign w:val="center"/>
          </w:tcPr>
          <w:p w14:paraId="182E2B46" w14:textId="77777777" w:rsidR="00672297" w:rsidRDefault="00A16EA3">
            <w:pPr>
              <w:spacing w:before="20" w:after="20"/>
              <w:jc w:val="left"/>
            </w:pPr>
            <w:r>
              <w:rPr>
                <w:rFonts w:cstheme="minorHAnsi"/>
                <w:sz w:val="20"/>
                <w:szCs w:val="20"/>
              </w:rPr>
              <w:t>TVLSpecMax</w:t>
            </w:r>
          </w:p>
        </w:tc>
        <w:tc>
          <w:tcPr>
            <w:tcW w:w="1216" w:type="dxa"/>
            <w:vAlign w:val="center"/>
          </w:tcPr>
          <w:p w14:paraId="3E3EE842" w14:textId="77777777" w:rsidR="00672297" w:rsidRDefault="00A16EA3">
            <w:pPr>
              <w:spacing w:before="20" w:after="20"/>
              <w:jc w:val="left"/>
            </w:pPr>
            <w:r>
              <w:rPr>
                <w:rFonts w:cstheme="minorHAnsi"/>
                <w:sz w:val="20"/>
                <w:szCs w:val="20"/>
              </w:rPr>
              <w:t>DECIMAL(18,4)</w:t>
            </w:r>
          </w:p>
        </w:tc>
        <w:tc>
          <w:tcPr>
            <w:tcW w:w="3088" w:type="dxa"/>
            <w:vAlign w:val="center"/>
          </w:tcPr>
          <w:p w14:paraId="0E60FEED" w14:textId="77777777" w:rsidR="00672297" w:rsidRDefault="00A16EA3">
            <w:pPr>
              <w:spacing w:before="20" w:after="20"/>
              <w:jc w:val="left"/>
            </w:pPr>
            <w:r>
              <w:rPr>
                <w:rFonts w:cstheme="minorHAnsi"/>
                <w:sz w:val="20"/>
                <w:szCs w:val="20"/>
              </w:rPr>
              <w:t>TVL resolved maximum</w:t>
            </w:r>
          </w:p>
        </w:tc>
        <w:tc>
          <w:tcPr>
            <w:tcW w:w="2810" w:type="dxa"/>
            <w:vAlign w:val="center"/>
          </w:tcPr>
          <w:p w14:paraId="3A20807F" w14:textId="77777777" w:rsidR="00672297" w:rsidRDefault="00A16EA3">
            <w:pPr>
              <w:spacing w:before="20" w:after="20"/>
              <w:jc w:val="left"/>
            </w:pPr>
            <w:r>
              <w:rPr>
                <w:rFonts w:cstheme="minorHAnsi"/>
                <w:sz w:val="20"/>
                <w:szCs w:val="20"/>
              </w:rPr>
              <w:t>Specification resolution</w:t>
            </w:r>
          </w:p>
        </w:tc>
      </w:tr>
      <w:tr w:rsidR="00672297" w14:paraId="608F01B3" w14:textId="77777777">
        <w:trPr>
          <w:cantSplit/>
        </w:trPr>
        <w:tc>
          <w:tcPr>
            <w:tcW w:w="2246" w:type="dxa"/>
            <w:vAlign w:val="center"/>
          </w:tcPr>
          <w:p w14:paraId="5273CE07" w14:textId="77777777" w:rsidR="00672297" w:rsidRDefault="00A16EA3">
            <w:pPr>
              <w:spacing w:before="20" w:after="20"/>
              <w:jc w:val="left"/>
            </w:pPr>
            <w:r>
              <w:rPr>
                <w:rFonts w:cstheme="minorHAnsi"/>
                <w:sz w:val="20"/>
                <w:szCs w:val="20"/>
              </w:rPr>
              <w:t>RONPre</w:t>
            </w:r>
          </w:p>
        </w:tc>
        <w:tc>
          <w:tcPr>
            <w:tcW w:w="1216" w:type="dxa"/>
            <w:vAlign w:val="center"/>
          </w:tcPr>
          <w:p w14:paraId="3FB3BF61" w14:textId="77777777" w:rsidR="00672297" w:rsidRDefault="00A16EA3">
            <w:pPr>
              <w:spacing w:before="20" w:after="20"/>
              <w:jc w:val="left"/>
            </w:pPr>
            <w:r>
              <w:rPr>
                <w:rFonts w:cstheme="minorHAnsi"/>
                <w:sz w:val="20"/>
                <w:szCs w:val="20"/>
              </w:rPr>
              <w:t>DECIMAL(18,4)</w:t>
            </w:r>
          </w:p>
        </w:tc>
        <w:tc>
          <w:tcPr>
            <w:tcW w:w="3088" w:type="dxa"/>
            <w:vAlign w:val="center"/>
          </w:tcPr>
          <w:p w14:paraId="6DC1C819" w14:textId="77777777" w:rsidR="00672297" w:rsidRDefault="00A16EA3">
            <w:pPr>
              <w:spacing w:before="20" w:after="20"/>
              <w:jc w:val="left"/>
            </w:pPr>
            <w:r>
              <w:rPr>
                <w:rFonts w:cstheme="minorHAnsi"/>
                <w:sz w:val="20"/>
                <w:szCs w:val="20"/>
              </w:rPr>
              <w:t>RON certified pre-blend value</w:t>
            </w:r>
          </w:p>
        </w:tc>
        <w:tc>
          <w:tcPr>
            <w:tcW w:w="2810" w:type="dxa"/>
            <w:vAlign w:val="center"/>
          </w:tcPr>
          <w:p w14:paraId="3E265B72" w14:textId="77777777" w:rsidR="00672297" w:rsidRDefault="00A16EA3">
            <w:pPr>
              <w:spacing w:before="20" w:after="20"/>
              <w:jc w:val="left"/>
            </w:pPr>
            <w:r>
              <w:rPr>
                <w:rFonts w:cstheme="minorHAnsi"/>
                <w:sz w:val="20"/>
                <w:szCs w:val="20"/>
              </w:rPr>
              <w:t>quality_detail</w:t>
            </w:r>
          </w:p>
        </w:tc>
      </w:tr>
      <w:tr w:rsidR="00672297" w14:paraId="1808D89F" w14:textId="77777777">
        <w:trPr>
          <w:cantSplit/>
        </w:trPr>
        <w:tc>
          <w:tcPr>
            <w:tcW w:w="2246" w:type="dxa"/>
            <w:vAlign w:val="center"/>
          </w:tcPr>
          <w:p w14:paraId="69410F55" w14:textId="77777777" w:rsidR="00672297" w:rsidRDefault="00A16EA3">
            <w:pPr>
              <w:spacing w:before="20" w:after="20"/>
              <w:jc w:val="left"/>
            </w:pPr>
            <w:r>
              <w:rPr>
                <w:rFonts w:cstheme="minorHAnsi"/>
                <w:sz w:val="20"/>
                <w:szCs w:val="20"/>
              </w:rPr>
              <w:t>RONPost</w:t>
            </w:r>
          </w:p>
        </w:tc>
        <w:tc>
          <w:tcPr>
            <w:tcW w:w="1216" w:type="dxa"/>
            <w:vAlign w:val="center"/>
          </w:tcPr>
          <w:p w14:paraId="7FF631E0" w14:textId="77777777" w:rsidR="00672297" w:rsidRDefault="00A16EA3">
            <w:pPr>
              <w:spacing w:before="20" w:after="20"/>
              <w:jc w:val="left"/>
            </w:pPr>
            <w:r>
              <w:rPr>
                <w:rFonts w:cstheme="minorHAnsi"/>
                <w:sz w:val="20"/>
                <w:szCs w:val="20"/>
              </w:rPr>
              <w:t>DECIMAL(18,4)</w:t>
            </w:r>
          </w:p>
        </w:tc>
        <w:tc>
          <w:tcPr>
            <w:tcW w:w="3088" w:type="dxa"/>
            <w:vAlign w:val="center"/>
          </w:tcPr>
          <w:p w14:paraId="22E46433" w14:textId="77777777" w:rsidR="00672297" w:rsidRDefault="00A16EA3">
            <w:pPr>
              <w:spacing w:before="20" w:after="20"/>
              <w:jc w:val="left"/>
            </w:pPr>
            <w:r>
              <w:rPr>
                <w:rFonts w:cstheme="minorHAnsi"/>
                <w:sz w:val="20"/>
                <w:szCs w:val="20"/>
              </w:rPr>
              <w:t>RON post-blend value</w:t>
            </w:r>
          </w:p>
        </w:tc>
        <w:tc>
          <w:tcPr>
            <w:tcW w:w="2810" w:type="dxa"/>
            <w:vAlign w:val="center"/>
          </w:tcPr>
          <w:p w14:paraId="2EE4BBE4"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219FA4F6" w14:textId="77777777">
        <w:trPr>
          <w:cantSplit/>
        </w:trPr>
        <w:tc>
          <w:tcPr>
            <w:tcW w:w="2246" w:type="dxa"/>
            <w:vAlign w:val="center"/>
          </w:tcPr>
          <w:p w14:paraId="266B077B" w14:textId="77777777" w:rsidR="00672297" w:rsidRDefault="00A16EA3">
            <w:pPr>
              <w:spacing w:before="20" w:after="20"/>
              <w:jc w:val="left"/>
            </w:pPr>
            <w:r>
              <w:rPr>
                <w:rFonts w:cstheme="minorHAnsi"/>
                <w:sz w:val="20"/>
                <w:szCs w:val="20"/>
              </w:rPr>
              <w:t>RONSpecMin</w:t>
            </w:r>
          </w:p>
        </w:tc>
        <w:tc>
          <w:tcPr>
            <w:tcW w:w="1216" w:type="dxa"/>
            <w:vAlign w:val="center"/>
          </w:tcPr>
          <w:p w14:paraId="730ACA9A" w14:textId="77777777" w:rsidR="00672297" w:rsidRDefault="00A16EA3">
            <w:pPr>
              <w:spacing w:before="20" w:after="20"/>
              <w:jc w:val="left"/>
            </w:pPr>
            <w:r>
              <w:rPr>
                <w:rFonts w:cstheme="minorHAnsi"/>
                <w:sz w:val="20"/>
                <w:szCs w:val="20"/>
              </w:rPr>
              <w:t>DECIMAL(18,4)</w:t>
            </w:r>
          </w:p>
        </w:tc>
        <w:tc>
          <w:tcPr>
            <w:tcW w:w="3088" w:type="dxa"/>
            <w:vAlign w:val="center"/>
          </w:tcPr>
          <w:p w14:paraId="000B7CBF" w14:textId="77777777" w:rsidR="00672297" w:rsidRDefault="00A16EA3">
            <w:pPr>
              <w:spacing w:before="20" w:after="20"/>
              <w:jc w:val="left"/>
            </w:pPr>
            <w:r>
              <w:rPr>
                <w:rFonts w:cstheme="minorHAnsi"/>
                <w:sz w:val="20"/>
                <w:szCs w:val="20"/>
              </w:rPr>
              <w:t>RON resolved minimum</w:t>
            </w:r>
          </w:p>
        </w:tc>
        <w:tc>
          <w:tcPr>
            <w:tcW w:w="2810" w:type="dxa"/>
            <w:vAlign w:val="center"/>
          </w:tcPr>
          <w:p w14:paraId="53BD562B" w14:textId="77777777" w:rsidR="00672297" w:rsidRDefault="00A16EA3">
            <w:pPr>
              <w:spacing w:before="20" w:after="20"/>
              <w:jc w:val="left"/>
            </w:pPr>
            <w:r>
              <w:rPr>
                <w:rFonts w:cstheme="minorHAnsi"/>
                <w:sz w:val="20"/>
                <w:szCs w:val="20"/>
              </w:rPr>
              <w:t>Specification resolution</w:t>
            </w:r>
          </w:p>
        </w:tc>
      </w:tr>
      <w:tr w:rsidR="00672297" w14:paraId="0C2AC6F1" w14:textId="77777777">
        <w:trPr>
          <w:cantSplit/>
        </w:trPr>
        <w:tc>
          <w:tcPr>
            <w:tcW w:w="2246" w:type="dxa"/>
            <w:vAlign w:val="center"/>
          </w:tcPr>
          <w:p w14:paraId="048843B8" w14:textId="77777777" w:rsidR="00672297" w:rsidRDefault="00A16EA3">
            <w:pPr>
              <w:spacing w:before="20" w:after="20"/>
              <w:jc w:val="left"/>
            </w:pPr>
            <w:r>
              <w:rPr>
                <w:rFonts w:cstheme="minorHAnsi"/>
                <w:sz w:val="20"/>
                <w:szCs w:val="20"/>
              </w:rPr>
              <w:t>RONSpecMax</w:t>
            </w:r>
          </w:p>
        </w:tc>
        <w:tc>
          <w:tcPr>
            <w:tcW w:w="1216" w:type="dxa"/>
            <w:vAlign w:val="center"/>
          </w:tcPr>
          <w:p w14:paraId="7A9A8EDB" w14:textId="77777777" w:rsidR="00672297" w:rsidRDefault="00A16EA3">
            <w:pPr>
              <w:spacing w:before="20" w:after="20"/>
              <w:jc w:val="left"/>
            </w:pPr>
            <w:r>
              <w:rPr>
                <w:rFonts w:cstheme="minorHAnsi"/>
                <w:sz w:val="20"/>
                <w:szCs w:val="20"/>
              </w:rPr>
              <w:t>DECIMAL(18,4)</w:t>
            </w:r>
          </w:p>
        </w:tc>
        <w:tc>
          <w:tcPr>
            <w:tcW w:w="3088" w:type="dxa"/>
            <w:vAlign w:val="center"/>
          </w:tcPr>
          <w:p w14:paraId="16675D6C" w14:textId="77777777" w:rsidR="00672297" w:rsidRDefault="00A16EA3">
            <w:pPr>
              <w:spacing w:before="20" w:after="20"/>
              <w:jc w:val="left"/>
            </w:pPr>
            <w:r>
              <w:rPr>
                <w:rFonts w:cstheme="minorHAnsi"/>
                <w:sz w:val="20"/>
                <w:szCs w:val="20"/>
              </w:rPr>
              <w:t>RON resolved maximum</w:t>
            </w:r>
          </w:p>
        </w:tc>
        <w:tc>
          <w:tcPr>
            <w:tcW w:w="2810" w:type="dxa"/>
            <w:vAlign w:val="center"/>
          </w:tcPr>
          <w:p w14:paraId="1677C770" w14:textId="77777777" w:rsidR="00672297" w:rsidRDefault="00A16EA3">
            <w:pPr>
              <w:spacing w:before="20" w:after="20"/>
              <w:jc w:val="left"/>
            </w:pPr>
            <w:r>
              <w:rPr>
                <w:rFonts w:cstheme="minorHAnsi"/>
                <w:sz w:val="20"/>
                <w:szCs w:val="20"/>
              </w:rPr>
              <w:t>Specification resolution</w:t>
            </w:r>
          </w:p>
        </w:tc>
      </w:tr>
      <w:tr w:rsidR="00672297" w14:paraId="3A92662B" w14:textId="77777777">
        <w:trPr>
          <w:cantSplit/>
        </w:trPr>
        <w:tc>
          <w:tcPr>
            <w:tcW w:w="2246" w:type="dxa"/>
            <w:vAlign w:val="center"/>
          </w:tcPr>
          <w:p w14:paraId="601EC851" w14:textId="77777777" w:rsidR="00672297" w:rsidRDefault="00A16EA3">
            <w:pPr>
              <w:spacing w:before="20" w:after="20"/>
              <w:jc w:val="left"/>
            </w:pPr>
            <w:r>
              <w:rPr>
                <w:rFonts w:cstheme="minorHAnsi"/>
                <w:sz w:val="20"/>
                <w:szCs w:val="20"/>
              </w:rPr>
              <w:t>MONPre</w:t>
            </w:r>
          </w:p>
        </w:tc>
        <w:tc>
          <w:tcPr>
            <w:tcW w:w="1216" w:type="dxa"/>
            <w:vAlign w:val="center"/>
          </w:tcPr>
          <w:p w14:paraId="17F7B12E" w14:textId="77777777" w:rsidR="00672297" w:rsidRDefault="00A16EA3">
            <w:pPr>
              <w:spacing w:before="20" w:after="20"/>
              <w:jc w:val="left"/>
            </w:pPr>
            <w:r>
              <w:rPr>
                <w:rFonts w:cstheme="minorHAnsi"/>
                <w:sz w:val="20"/>
                <w:szCs w:val="20"/>
              </w:rPr>
              <w:t>DECIMAL(18,4)</w:t>
            </w:r>
          </w:p>
        </w:tc>
        <w:tc>
          <w:tcPr>
            <w:tcW w:w="3088" w:type="dxa"/>
            <w:vAlign w:val="center"/>
          </w:tcPr>
          <w:p w14:paraId="1454FED1" w14:textId="77777777" w:rsidR="00672297" w:rsidRDefault="00A16EA3">
            <w:pPr>
              <w:spacing w:before="20" w:after="20"/>
              <w:jc w:val="left"/>
            </w:pPr>
            <w:r>
              <w:rPr>
                <w:rFonts w:cstheme="minorHAnsi"/>
                <w:sz w:val="20"/>
                <w:szCs w:val="20"/>
              </w:rPr>
              <w:t>MON certified pre-blend value</w:t>
            </w:r>
          </w:p>
        </w:tc>
        <w:tc>
          <w:tcPr>
            <w:tcW w:w="2810" w:type="dxa"/>
            <w:vAlign w:val="center"/>
          </w:tcPr>
          <w:p w14:paraId="1BC047E2" w14:textId="77777777" w:rsidR="00672297" w:rsidRDefault="00A16EA3">
            <w:pPr>
              <w:spacing w:before="20" w:after="20"/>
              <w:jc w:val="left"/>
            </w:pPr>
            <w:r>
              <w:rPr>
                <w:rFonts w:cstheme="minorHAnsi"/>
                <w:sz w:val="20"/>
                <w:szCs w:val="20"/>
              </w:rPr>
              <w:t>quality_detail</w:t>
            </w:r>
          </w:p>
        </w:tc>
      </w:tr>
      <w:tr w:rsidR="00672297" w14:paraId="4691CE0B" w14:textId="77777777">
        <w:trPr>
          <w:cantSplit/>
        </w:trPr>
        <w:tc>
          <w:tcPr>
            <w:tcW w:w="2246" w:type="dxa"/>
            <w:vAlign w:val="center"/>
          </w:tcPr>
          <w:p w14:paraId="1D665AE3" w14:textId="77777777" w:rsidR="00672297" w:rsidRDefault="00A16EA3">
            <w:pPr>
              <w:spacing w:before="20" w:after="20"/>
              <w:jc w:val="left"/>
            </w:pPr>
            <w:r>
              <w:rPr>
                <w:rFonts w:cstheme="minorHAnsi"/>
                <w:sz w:val="20"/>
                <w:szCs w:val="20"/>
              </w:rPr>
              <w:t>MONPost</w:t>
            </w:r>
          </w:p>
        </w:tc>
        <w:tc>
          <w:tcPr>
            <w:tcW w:w="1216" w:type="dxa"/>
            <w:vAlign w:val="center"/>
          </w:tcPr>
          <w:p w14:paraId="7AB97314" w14:textId="77777777" w:rsidR="00672297" w:rsidRDefault="00A16EA3">
            <w:pPr>
              <w:spacing w:before="20" w:after="20"/>
              <w:jc w:val="left"/>
            </w:pPr>
            <w:r>
              <w:rPr>
                <w:rFonts w:cstheme="minorHAnsi"/>
                <w:sz w:val="20"/>
                <w:szCs w:val="20"/>
              </w:rPr>
              <w:t>DECIMAL(18,4)</w:t>
            </w:r>
          </w:p>
        </w:tc>
        <w:tc>
          <w:tcPr>
            <w:tcW w:w="3088" w:type="dxa"/>
            <w:vAlign w:val="center"/>
          </w:tcPr>
          <w:p w14:paraId="3780C472" w14:textId="77777777" w:rsidR="00672297" w:rsidRDefault="00A16EA3">
            <w:pPr>
              <w:spacing w:before="20" w:after="20"/>
              <w:jc w:val="left"/>
            </w:pPr>
            <w:r>
              <w:rPr>
                <w:rFonts w:cstheme="minorHAnsi"/>
                <w:sz w:val="20"/>
                <w:szCs w:val="20"/>
              </w:rPr>
              <w:t>MON post-blend value</w:t>
            </w:r>
          </w:p>
        </w:tc>
        <w:tc>
          <w:tcPr>
            <w:tcW w:w="2810" w:type="dxa"/>
            <w:vAlign w:val="center"/>
          </w:tcPr>
          <w:p w14:paraId="61FD1EC1"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2E184054" w14:textId="77777777">
        <w:trPr>
          <w:cantSplit/>
        </w:trPr>
        <w:tc>
          <w:tcPr>
            <w:tcW w:w="2246" w:type="dxa"/>
            <w:vAlign w:val="center"/>
          </w:tcPr>
          <w:p w14:paraId="629A6678" w14:textId="77777777" w:rsidR="00672297" w:rsidRDefault="00A16EA3">
            <w:pPr>
              <w:spacing w:before="20" w:after="20"/>
              <w:jc w:val="left"/>
            </w:pPr>
            <w:r>
              <w:rPr>
                <w:rFonts w:cstheme="minorHAnsi"/>
                <w:sz w:val="20"/>
                <w:szCs w:val="20"/>
              </w:rPr>
              <w:t>MONSpecMin</w:t>
            </w:r>
          </w:p>
        </w:tc>
        <w:tc>
          <w:tcPr>
            <w:tcW w:w="1216" w:type="dxa"/>
            <w:vAlign w:val="center"/>
          </w:tcPr>
          <w:p w14:paraId="5859E7B4" w14:textId="77777777" w:rsidR="00672297" w:rsidRDefault="00A16EA3">
            <w:pPr>
              <w:spacing w:before="20" w:after="20"/>
              <w:jc w:val="left"/>
            </w:pPr>
            <w:r>
              <w:rPr>
                <w:rFonts w:cstheme="minorHAnsi"/>
                <w:sz w:val="20"/>
                <w:szCs w:val="20"/>
              </w:rPr>
              <w:t>DECIMAL(18,4)</w:t>
            </w:r>
          </w:p>
        </w:tc>
        <w:tc>
          <w:tcPr>
            <w:tcW w:w="3088" w:type="dxa"/>
            <w:vAlign w:val="center"/>
          </w:tcPr>
          <w:p w14:paraId="0C1AC3A1" w14:textId="77777777" w:rsidR="00672297" w:rsidRDefault="00A16EA3">
            <w:pPr>
              <w:spacing w:before="20" w:after="20"/>
              <w:jc w:val="left"/>
            </w:pPr>
            <w:r>
              <w:rPr>
                <w:rFonts w:cstheme="minorHAnsi"/>
                <w:sz w:val="20"/>
                <w:szCs w:val="20"/>
              </w:rPr>
              <w:t>MON resolved minimum</w:t>
            </w:r>
          </w:p>
        </w:tc>
        <w:tc>
          <w:tcPr>
            <w:tcW w:w="2810" w:type="dxa"/>
            <w:vAlign w:val="center"/>
          </w:tcPr>
          <w:p w14:paraId="79CFA5CA" w14:textId="77777777" w:rsidR="00672297" w:rsidRDefault="00A16EA3">
            <w:pPr>
              <w:spacing w:before="20" w:after="20"/>
              <w:jc w:val="left"/>
            </w:pPr>
            <w:r>
              <w:rPr>
                <w:rFonts w:cstheme="minorHAnsi"/>
                <w:sz w:val="20"/>
                <w:szCs w:val="20"/>
              </w:rPr>
              <w:t>Specification resolution</w:t>
            </w:r>
          </w:p>
        </w:tc>
      </w:tr>
      <w:tr w:rsidR="00672297" w14:paraId="4C5F7714" w14:textId="77777777">
        <w:trPr>
          <w:cantSplit/>
        </w:trPr>
        <w:tc>
          <w:tcPr>
            <w:tcW w:w="2246" w:type="dxa"/>
            <w:vAlign w:val="center"/>
          </w:tcPr>
          <w:p w14:paraId="7368996C" w14:textId="77777777" w:rsidR="00672297" w:rsidRDefault="00A16EA3">
            <w:pPr>
              <w:spacing w:before="20" w:after="20"/>
              <w:jc w:val="left"/>
            </w:pPr>
            <w:r>
              <w:rPr>
                <w:rFonts w:cstheme="minorHAnsi"/>
                <w:sz w:val="20"/>
                <w:szCs w:val="20"/>
              </w:rPr>
              <w:t>MONSpecMax</w:t>
            </w:r>
          </w:p>
        </w:tc>
        <w:tc>
          <w:tcPr>
            <w:tcW w:w="1216" w:type="dxa"/>
            <w:vAlign w:val="center"/>
          </w:tcPr>
          <w:p w14:paraId="0ED2CC4F" w14:textId="77777777" w:rsidR="00672297" w:rsidRDefault="00A16EA3">
            <w:pPr>
              <w:spacing w:before="20" w:after="20"/>
              <w:jc w:val="left"/>
            </w:pPr>
            <w:r>
              <w:rPr>
                <w:rFonts w:cstheme="minorHAnsi"/>
                <w:sz w:val="20"/>
                <w:szCs w:val="20"/>
              </w:rPr>
              <w:t>DECIMAL(18,4)</w:t>
            </w:r>
          </w:p>
        </w:tc>
        <w:tc>
          <w:tcPr>
            <w:tcW w:w="3088" w:type="dxa"/>
            <w:vAlign w:val="center"/>
          </w:tcPr>
          <w:p w14:paraId="47F4A0C8" w14:textId="77777777" w:rsidR="00672297" w:rsidRDefault="00A16EA3">
            <w:pPr>
              <w:spacing w:before="20" w:after="20"/>
              <w:jc w:val="left"/>
            </w:pPr>
            <w:r>
              <w:rPr>
                <w:rFonts w:cstheme="minorHAnsi"/>
                <w:sz w:val="20"/>
                <w:szCs w:val="20"/>
              </w:rPr>
              <w:t>MON resolved maximum</w:t>
            </w:r>
          </w:p>
        </w:tc>
        <w:tc>
          <w:tcPr>
            <w:tcW w:w="2810" w:type="dxa"/>
            <w:vAlign w:val="center"/>
          </w:tcPr>
          <w:p w14:paraId="0EC8E756" w14:textId="77777777" w:rsidR="00672297" w:rsidRDefault="00A16EA3">
            <w:pPr>
              <w:spacing w:before="20" w:after="20"/>
              <w:jc w:val="left"/>
            </w:pPr>
            <w:r>
              <w:rPr>
                <w:rFonts w:cstheme="minorHAnsi"/>
                <w:sz w:val="20"/>
                <w:szCs w:val="20"/>
              </w:rPr>
              <w:t>Specification resolution</w:t>
            </w:r>
          </w:p>
        </w:tc>
      </w:tr>
      <w:tr w:rsidR="00672297" w14:paraId="6F610FA2" w14:textId="77777777">
        <w:trPr>
          <w:cantSplit/>
        </w:trPr>
        <w:tc>
          <w:tcPr>
            <w:tcW w:w="2246" w:type="dxa"/>
            <w:vAlign w:val="center"/>
          </w:tcPr>
          <w:p w14:paraId="056813E2" w14:textId="77777777" w:rsidR="00672297" w:rsidRDefault="00A16EA3">
            <w:pPr>
              <w:spacing w:before="20" w:after="20"/>
              <w:jc w:val="left"/>
            </w:pPr>
            <w:r>
              <w:rPr>
                <w:rFonts w:cstheme="minorHAnsi"/>
                <w:sz w:val="20"/>
                <w:szCs w:val="20"/>
              </w:rPr>
              <w:t>DONPre</w:t>
            </w:r>
          </w:p>
        </w:tc>
        <w:tc>
          <w:tcPr>
            <w:tcW w:w="1216" w:type="dxa"/>
            <w:vAlign w:val="center"/>
          </w:tcPr>
          <w:p w14:paraId="04CF81DF" w14:textId="77777777" w:rsidR="00672297" w:rsidRDefault="00A16EA3">
            <w:pPr>
              <w:spacing w:before="20" w:after="20"/>
              <w:jc w:val="left"/>
            </w:pPr>
            <w:r>
              <w:rPr>
                <w:rFonts w:cstheme="minorHAnsi"/>
                <w:sz w:val="20"/>
                <w:szCs w:val="20"/>
              </w:rPr>
              <w:t>DECIMAL(18,4)</w:t>
            </w:r>
          </w:p>
        </w:tc>
        <w:tc>
          <w:tcPr>
            <w:tcW w:w="3088" w:type="dxa"/>
            <w:vAlign w:val="center"/>
          </w:tcPr>
          <w:p w14:paraId="27B60767" w14:textId="77777777" w:rsidR="00672297" w:rsidRDefault="00A16EA3">
            <w:pPr>
              <w:spacing w:before="20" w:after="20"/>
              <w:jc w:val="left"/>
            </w:pPr>
            <w:r>
              <w:rPr>
                <w:rFonts w:cstheme="minorHAnsi"/>
                <w:sz w:val="20"/>
                <w:szCs w:val="20"/>
              </w:rPr>
              <w:t>DON certified pre-blend value</w:t>
            </w:r>
          </w:p>
        </w:tc>
        <w:tc>
          <w:tcPr>
            <w:tcW w:w="2810" w:type="dxa"/>
            <w:vAlign w:val="center"/>
          </w:tcPr>
          <w:p w14:paraId="0D46C786" w14:textId="77777777" w:rsidR="00672297" w:rsidRDefault="00A16EA3">
            <w:pPr>
              <w:spacing w:before="20" w:after="20"/>
              <w:jc w:val="left"/>
            </w:pPr>
            <w:r>
              <w:rPr>
                <w:rFonts w:cstheme="minorHAnsi"/>
                <w:sz w:val="20"/>
                <w:szCs w:val="20"/>
              </w:rPr>
              <w:t>quality_detail</w:t>
            </w:r>
          </w:p>
        </w:tc>
      </w:tr>
      <w:tr w:rsidR="00672297" w14:paraId="18488288" w14:textId="77777777">
        <w:trPr>
          <w:cantSplit/>
        </w:trPr>
        <w:tc>
          <w:tcPr>
            <w:tcW w:w="2246" w:type="dxa"/>
            <w:vAlign w:val="center"/>
          </w:tcPr>
          <w:p w14:paraId="79A19D47" w14:textId="77777777" w:rsidR="00672297" w:rsidRDefault="00A16EA3">
            <w:pPr>
              <w:spacing w:before="20" w:after="20"/>
              <w:jc w:val="left"/>
            </w:pPr>
            <w:r>
              <w:rPr>
                <w:rFonts w:cstheme="minorHAnsi"/>
                <w:sz w:val="20"/>
                <w:szCs w:val="20"/>
              </w:rPr>
              <w:t>DONPost</w:t>
            </w:r>
          </w:p>
        </w:tc>
        <w:tc>
          <w:tcPr>
            <w:tcW w:w="1216" w:type="dxa"/>
            <w:vAlign w:val="center"/>
          </w:tcPr>
          <w:p w14:paraId="481BAE7E" w14:textId="77777777" w:rsidR="00672297" w:rsidRDefault="00A16EA3">
            <w:pPr>
              <w:spacing w:before="20" w:after="20"/>
              <w:jc w:val="left"/>
            </w:pPr>
            <w:r>
              <w:rPr>
                <w:rFonts w:cstheme="minorHAnsi"/>
                <w:sz w:val="20"/>
                <w:szCs w:val="20"/>
              </w:rPr>
              <w:t>DECIMAL(18,4)</w:t>
            </w:r>
          </w:p>
        </w:tc>
        <w:tc>
          <w:tcPr>
            <w:tcW w:w="3088" w:type="dxa"/>
            <w:vAlign w:val="center"/>
          </w:tcPr>
          <w:p w14:paraId="690201CB" w14:textId="77777777" w:rsidR="00672297" w:rsidRDefault="00A16EA3">
            <w:pPr>
              <w:spacing w:before="20" w:after="20"/>
              <w:jc w:val="left"/>
            </w:pPr>
            <w:r>
              <w:rPr>
                <w:rFonts w:cstheme="minorHAnsi"/>
                <w:sz w:val="20"/>
                <w:szCs w:val="20"/>
              </w:rPr>
              <w:t>DON post-blend value</w:t>
            </w:r>
          </w:p>
        </w:tc>
        <w:tc>
          <w:tcPr>
            <w:tcW w:w="2810" w:type="dxa"/>
            <w:vAlign w:val="center"/>
          </w:tcPr>
          <w:p w14:paraId="0D0BC9C7"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5968196A" w14:textId="77777777">
        <w:trPr>
          <w:cantSplit/>
        </w:trPr>
        <w:tc>
          <w:tcPr>
            <w:tcW w:w="2246" w:type="dxa"/>
            <w:vAlign w:val="center"/>
          </w:tcPr>
          <w:p w14:paraId="30C44777" w14:textId="77777777" w:rsidR="00672297" w:rsidRDefault="00A16EA3">
            <w:pPr>
              <w:spacing w:before="20" w:after="20"/>
              <w:jc w:val="left"/>
            </w:pPr>
            <w:r>
              <w:rPr>
                <w:rFonts w:cstheme="minorHAnsi"/>
                <w:sz w:val="20"/>
                <w:szCs w:val="20"/>
              </w:rPr>
              <w:t>DONSpecMin</w:t>
            </w:r>
          </w:p>
        </w:tc>
        <w:tc>
          <w:tcPr>
            <w:tcW w:w="1216" w:type="dxa"/>
            <w:vAlign w:val="center"/>
          </w:tcPr>
          <w:p w14:paraId="74F67293" w14:textId="77777777" w:rsidR="00672297" w:rsidRDefault="00A16EA3">
            <w:pPr>
              <w:spacing w:before="20" w:after="20"/>
              <w:jc w:val="left"/>
            </w:pPr>
            <w:r>
              <w:rPr>
                <w:rFonts w:cstheme="minorHAnsi"/>
                <w:sz w:val="20"/>
                <w:szCs w:val="20"/>
              </w:rPr>
              <w:t>DECIMAL(18,4)</w:t>
            </w:r>
          </w:p>
        </w:tc>
        <w:tc>
          <w:tcPr>
            <w:tcW w:w="3088" w:type="dxa"/>
            <w:vAlign w:val="center"/>
          </w:tcPr>
          <w:p w14:paraId="2D966325" w14:textId="77777777" w:rsidR="00672297" w:rsidRDefault="00A16EA3">
            <w:pPr>
              <w:spacing w:before="20" w:after="20"/>
              <w:jc w:val="left"/>
            </w:pPr>
            <w:r>
              <w:rPr>
                <w:rFonts w:cstheme="minorHAnsi"/>
                <w:sz w:val="20"/>
                <w:szCs w:val="20"/>
              </w:rPr>
              <w:t>DON resolved minimum</w:t>
            </w:r>
          </w:p>
        </w:tc>
        <w:tc>
          <w:tcPr>
            <w:tcW w:w="2810" w:type="dxa"/>
            <w:vAlign w:val="center"/>
          </w:tcPr>
          <w:p w14:paraId="7D665216" w14:textId="77777777" w:rsidR="00672297" w:rsidRDefault="00A16EA3">
            <w:pPr>
              <w:spacing w:before="20" w:after="20"/>
              <w:jc w:val="left"/>
            </w:pPr>
            <w:r>
              <w:rPr>
                <w:rFonts w:cstheme="minorHAnsi"/>
                <w:sz w:val="20"/>
                <w:szCs w:val="20"/>
              </w:rPr>
              <w:t>Specification resolution</w:t>
            </w:r>
          </w:p>
        </w:tc>
      </w:tr>
      <w:tr w:rsidR="00672297" w14:paraId="117304F5" w14:textId="77777777">
        <w:trPr>
          <w:cantSplit/>
        </w:trPr>
        <w:tc>
          <w:tcPr>
            <w:tcW w:w="2246" w:type="dxa"/>
            <w:vAlign w:val="center"/>
          </w:tcPr>
          <w:p w14:paraId="09A3E86E" w14:textId="77777777" w:rsidR="00672297" w:rsidRDefault="00A16EA3">
            <w:pPr>
              <w:spacing w:before="20" w:after="20"/>
              <w:jc w:val="left"/>
            </w:pPr>
            <w:r>
              <w:rPr>
                <w:rFonts w:cstheme="minorHAnsi"/>
                <w:sz w:val="20"/>
                <w:szCs w:val="20"/>
              </w:rPr>
              <w:t>DONSpecMax</w:t>
            </w:r>
          </w:p>
        </w:tc>
        <w:tc>
          <w:tcPr>
            <w:tcW w:w="1216" w:type="dxa"/>
            <w:vAlign w:val="center"/>
          </w:tcPr>
          <w:p w14:paraId="70186D2B" w14:textId="77777777" w:rsidR="00672297" w:rsidRDefault="00A16EA3">
            <w:pPr>
              <w:spacing w:before="20" w:after="20"/>
              <w:jc w:val="left"/>
            </w:pPr>
            <w:r>
              <w:rPr>
                <w:rFonts w:cstheme="minorHAnsi"/>
                <w:sz w:val="20"/>
                <w:szCs w:val="20"/>
              </w:rPr>
              <w:t>DECIMAL(18,4)</w:t>
            </w:r>
          </w:p>
        </w:tc>
        <w:tc>
          <w:tcPr>
            <w:tcW w:w="3088" w:type="dxa"/>
            <w:vAlign w:val="center"/>
          </w:tcPr>
          <w:p w14:paraId="74210713" w14:textId="77777777" w:rsidR="00672297" w:rsidRDefault="00A16EA3">
            <w:pPr>
              <w:spacing w:before="20" w:after="20"/>
              <w:jc w:val="left"/>
            </w:pPr>
            <w:r>
              <w:rPr>
                <w:rFonts w:cstheme="minorHAnsi"/>
                <w:sz w:val="20"/>
                <w:szCs w:val="20"/>
              </w:rPr>
              <w:t>DON resolved maximum</w:t>
            </w:r>
          </w:p>
        </w:tc>
        <w:tc>
          <w:tcPr>
            <w:tcW w:w="2810" w:type="dxa"/>
            <w:vAlign w:val="center"/>
          </w:tcPr>
          <w:p w14:paraId="321958DE" w14:textId="77777777" w:rsidR="00672297" w:rsidRDefault="00A16EA3">
            <w:pPr>
              <w:spacing w:before="20" w:after="20"/>
              <w:jc w:val="left"/>
            </w:pPr>
            <w:r>
              <w:rPr>
                <w:rFonts w:cstheme="minorHAnsi"/>
                <w:sz w:val="20"/>
                <w:szCs w:val="20"/>
              </w:rPr>
              <w:t>Specification resolution</w:t>
            </w:r>
          </w:p>
        </w:tc>
      </w:tr>
      <w:tr w:rsidR="00672297" w14:paraId="61EE2A6F" w14:textId="77777777">
        <w:trPr>
          <w:cantSplit/>
        </w:trPr>
        <w:tc>
          <w:tcPr>
            <w:tcW w:w="2246" w:type="dxa"/>
            <w:vAlign w:val="center"/>
          </w:tcPr>
          <w:p w14:paraId="0491E959" w14:textId="77777777" w:rsidR="00672297" w:rsidRDefault="00A16EA3">
            <w:pPr>
              <w:spacing w:before="20" w:after="20"/>
              <w:jc w:val="left"/>
            </w:pPr>
            <w:r>
              <w:rPr>
                <w:rFonts w:cstheme="minorHAnsi"/>
                <w:sz w:val="20"/>
                <w:szCs w:val="20"/>
              </w:rPr>
              <w:t>FBPPre</w:t>
            </w:r>
          </w:p>
        </w:tc>
        <w:tc>
          <w:tcPr>
            <w:tcW w:w="1216" w:type="dxa"/>
            <w:vAlign w:val="center"/>
          </w:tcPr>
          <w:p w14:paraId="6CB1B39A" w14:textId="77777777" w:rsidR="00672297" w:rsidRDefault="00A16EA3">
            <w:pPr>
              <w:spacing w:before="20" w:after="20"/>
              <w:jc w:val="left"/>
            </w:pPr>
            <w:r>
              <w:rPr>
                <w:rFonts w:cstheme="minorHAnsi"/>
                <w:sz w:val="20"/>
                <w:szCs w:val="20"/>
              </w:rPr>
              <w:t>DECIMAL(18,4)</w:t>
            </w:r>
          </w:p>
        </w:tc>
        <w:tc>
          <w:tcPr>
            <w:tcW w:w="3088" w:type="dxa"/>
            <w:vAlign w:val="center"/>
          </w:tcPr>
          <w:p w14:paraId="78440497" w14:textId="77777777" w:rsidR="00672297" w:rsidRDefault="00A16EA3">
            <w:pPr>
              <w:spacing w:before="20" w:after="20"/>
              <w:jc w:val="left"/>
            </w:pPr>
            <w:r>
              <w:rPr>
                <w:rFonts w:cstheme="minorHAnsi"/>
                <w:sz w:val="20"/>
                <w:szCs w:val="20"/>
              </w:rPr>
              <w:t>FBP certified pre-blend value (°F)</w:t>
            </w:r>
          </w:p>
        </w:tc>
        <w:tc>
          <w:tcPr>
            <w:tcW w:w="2810" w:type="dxa"/>
            <w:vAlign w:val="center"/>
          </w:tcPr>
          <w:p w14:paraId="6471198D" w14:textId="77777777" w:rsidR="00672297" w:rsidRDefault="00A16EA3">
            <w:pPr>
              <w:spacing w:before="20" w:after="20"/>
              <w:jc w:val="left"/>
            </w:pPr>
            <w:r>
              <w:rPr>
                <w:rFonts w:cstheme="minorHAnsi"/>
                <w:sz w:val="20"/>
                <w:szCs w:val="20"/>
              </w:rPr>
              <w:t>quality_detail</w:t>
            </w:r>
          </w:p>
        </w:tc>
      </w:tr>
      <w:tr w:rsidR="00672297" w14:paraId="620892E2" w14:textId="77777777">
        <w:trPr>
          <w:cantSplit/>
        </w:trPr>
        <w:tc>
          <w:tcPr>
            <w:tcW w:w="2246" w:type="dxa"/>
            <w:vAlign w:val="center"/>
          </w:tcPr>
          <w:p w14:paraId="08DED9F7" w14:textId="77777777" w:rsidR="00672297" w:rsidRDefault="00A16EA3">
            <w:pPr>
              <w:spacing w:before="20" w:after="20"/>
              <w:jc w:val="left"/>
            </w:pPr>
            <w:r>
              <w:rPr>
                <w:rFonts w:cstheme="minorHAnsi"/>
                <w:sz w:val="20"/>
                <w:szCs w:val="20"/>
              </w:rPr>
              <w:t>FBPPost</w:t>
            </w:r>
          </w:p>
        </w:tc>
        <w:tc>
          <w:tcPr>
            <w:tcW w:w="1216" w:type="dxa"/>
            <w:vAlign w:val="center"/>
          </w:tcPr>
          <w:p w14:paraId="685C92F3" w14:textId="77777777" w:rsidR="00672297" w:rsidRDefault="00A16EA3">
            <w:pPr>
              <w:spacing w:before="20" w:after="20"/>
              <w:jc w:val="left"/>
            </w:pPr>
            <w:r>
              <w:rPr>
                <w:rFonts w:cstheme="minorHAnsi"/>
                <w:sz w:val="20"/>
                <w:szCs w:val="20"/>
              </w:rPr>
              <w:t>DECIMAL(18,4)</w:t>
            </w:r>
          </w:p>
        </w:tc>
        <w:tc>
          <w:tcPr>
            <w:tcW w:w="3088" w:type="dxa"/>
            <w:vAlign w:val="center"/>
          </w:tcPr>
          <w:p w14:paraId="427E5349" w14:textId="77777777" w:rsidR="00672297" w:rsidRDefault="00A16EA3">
            <w:pPr>
              <w:spacing w:before="20" w:after="20"/>
              <w:jc w:val="left"/>
            </w:pPr>
            <w:r>
              <w:rPr>
                <w:rFonts w:cstheme="minorHAnsi"/>
                <w:sz w:val="20"/>
                <w:szCs w:val="20"/>
              </w:rPr>
              <w:t>FBP post-blend value (°F)</w:t>
            </w:r>
          </w:p>
        </w:tc>
        <w:tc>
          <w:tcPr>
            <w:tcW w:w="2810" w:type="dxa"/>
            <w:vAlign w:val="center"/>
          </w:tcPr>
          <w:p w14:paraId="034DFDA7" w14:textId="77777777" w:rsidR="00672297" w:rsidRDefault="00A16EA3">
            <w:pPr>
              <w:spacing w:before="20" w:after="20"/>
              <w:jc w:val="left"/>
            </w:pPr>
            <w:r>
              <w:rPr>
                <w:rFonts w:cstheme="minorHAnsi"/>
                <w:sz w:val="20"/>
                <w:szCs w:val="20"/>
              </w:rPr>
              <w:t>RON / MON / DON: (V x Pre + Vb x Pb + Vt x Pt) / (V + Vb + Vt) with the component blending values (calculation input, gap DP-10); other properties: blend calculator / PQCore (gap DP-07)</w:t>
            </w:r>
          </w:p>
        </w:tc>
      </w:tr>
      <w:tr w:rsidR="00672297" w14:paraId="436C0BDA" w14:textId="77777777">
        <w:trPr>
          <w:cantSplit/>
        </w:trPr>
        <w:tc>
          <w:tcPr>
            <w:tcW w:w="2246" w:type="dxa"/>
            <w:vAlign w:val="center"/>
          </w:tcPr>
          <w:p w14:paraId="7DF7D02D" w14:textId="77777777" w:rsidR="00672297" w:rsidRDefault="00A16EA3">
            <w:pPr>
              <w:spacing w:before="20" w:after="20"/>
              <w:jc w:val="left"/>
            </w:pPr>
            <w:r>
              <w:rPr>
                <w:rFonts w:cstheme="minorHAnsi"/>
                <w:sz w:val="20"/>
                <w:szCs w:val="20"/>
              </w:rPr>
              <w:t>FBPSpecMin</w:t>
            </w:r>
          </w:p>
        </w:tc>
        <w:tc>
          <w:tcPr>
            <w:tcW w:w="1216" w:type="dxa"/>
            <w:vAlign w:val="center"/>
          </w:tcPr>
          <w:p w14:paraId="26FA4AA8" w14:textId="77777777" w:rsidR="00672297" w:rsidRDefault="00A16EA3">
            <w:pPr>
              <w:spacing w:before="20" w:after="20"/>
              <w:jc w:val="left"/>
            </w:pPr>
            <w:r>
              <w:rPr>
                <w:rFonts w:cstheme="minorHAnsi"/>
                <w:sz w:val="20"/>
                <w:szCs w:val="20"/>
              </w:rPr>
              <w:t>DECIMAL(18,4)</w:t>
            </w:r>
          </w:p>
        </w:tc>
        <w:tc>
          <w:tcPr>
            <w:tcW w:w="3088" w:type="dxa"/>
            <w:vAlign w:val="center"/>
          </w:tcPr>
          <w:p w14:paraId="6B0ECFB1" w14:textId="77777777" w:rsidR="00672297" w:rsidRDefault="00A16EA3">
            <w:pPr>
              <w:spacing w:before="20" w:after="20"/>
              <w:jc w:val="left"/>
            </w:pPr>
            <w:r>
              <w:rPr>
                <w:rFonts w:cstheme="minorHAnsi"/>
                <w:sz w:val="20"/>
                <w:szCs w:val="20"/>
              </w:rPr>
              <w:t>FBP resolved minimum (°F)</w:t>
            </w:r>
          </w:p>
        </w:tc>
        <w:tc>
          <w:tcPr>
            <w:tcW w:w="2810" w:type="dxa"/>
            <w:vAlign w:val="center"/>
          </w:tcPr>
          <w:p w14:paraId="3242B023" w14:textId="77777777" w:rsidR="00672297" w:rsidRDefault="00A16EA3">
            <w:pPr>
              <w:spacing w:before="20" w:after="20"/>
              <w:jc w:val="left"/>
            </w:pPr>
            <w:r>
              <w:rPr>
                <w:rFonts w:cstheme="minorHAnsi"/>
                <w:sz w:val="20"/>
                <w:szCs w:val="20"/>
              </w:rPr>
              <w:t>Specification resolution</w:t>
            </w:r>
          </w:p>
        </w:tc>
      </w:tr>
      <w:tr w:rsidR="00672297" w14:paraId="6EBFA859" w14:textId="77777777">
        <w:trPr>
          <w:cantSplit/>
        </w:trPr>
        <w:tc>
          <w:tcPr>
            <w:tcW w:w="2246" w:type="dxa"/>
            <w:vAlign w:val="center"/>
          </w:tcPr>
          <w:p w14:paraId="230F7B92" w14:textId="77777777" w:rsidR="00672297" w:rsidRDefault="00A16EA3">
            <w:pPr>
              <w:spacing w:before="20" w:after="20"/>
              <w:jc w:val="left"/>
            </w:pPr>
            <w:r>
              <w:rPr>
                <w:rFonts w:cstheme="minorHAnsi"/>
                <w:sz w:val="20"/>
                <w:szCs w:val="20"/>
              </w:rPr>
              <w:t>FBPSpecMax</w:t>
            </w:r>
          </w:p>
        </w:tc>
        <w:tc>
          <w:tcPr>
            <w:tcW w:w="1216" w:type="dxa"/>
            <w:vAlign w:val="center"/>
          </w:tcPr>
          <w:p w14:paraId="24044D8F" w14:textId="77777777" w:rsidR="00672297" w:rsidRDefault="00A16EA3">
            <w:pPr>
              <w:spacing w:before="20" w:after="20"/>
              <w:jc w:val="left"/>
            </w:pPr>
            <w:r>
              <w:rPr>
                <w:rFonts w:cstheme="minorHAnsi"/>
                <w:sz w:val="20"/>
                <w:szCs w:val="20"/>
              </w:rPr>
              <w:t>DECIMAL(18,4)</w:t>
            </w:r>
          </w:p>
        </w:tc>
        <w:tc>
          <w:tcPr>
            <w:tcW w:w="3088" w:type="dxa"/>
            <w:vAlign w:val="center"/>
          </w:tcPr>
          <w:p w14:paraId="54201F4B" w14:textId="77777777" w:rsidR="00672297" w:rsidRDefault="00A16EA3">
            <w:pPr>
              <w:spacing w:before="20" w:after="20"/>
              <w:jc w:val="left"/>
            </w:pPr>
            <w:r>
              <w:rPr>
                <w:rFonts w:cstheme="minorHAnsi"/>
                <w:sz w:val="20"/>
                <w:szCs w:val="20"/>
              </w:rPr>
              <w:t>FBP resolved maximum (°F)</w:t>
            </w:r>
          </w:p>
        </w:tc>
        <w:tc>
          <w:tcPr>
            <w:tcW w:w="2810" w:type="dxa"/>
            <w:vAlign w:val="center"/>
          </w:tcPr>
          <w:p w14:paraId="6F5D70DC" w14:textId="77777777" w:rsidR="00672297" w:rsidRDefault="00A16EA3">
            <w:pPr>
              <w:spacing w:before="20" w:after="20"/>
              <w:jc w:val="left"/>
            </w:pPr>
            <w:r>
              <w:rPr>
                <w:rFonts w:cstheme="minorHAnsi"/>
                <w:sz w:val="20"/>
                <w:szCs w:val="20"/>
              </w:rPr>
              <w:t>Specification resolution</w:t>
            </w:r>
          </w:p>
        </w:tc>
      </w:tr>
      <w:tr w:rsidR="00672297" w14:paraId="73C2E249" w14:textId="77777777">
        <w:trPr>
          <w:cantSplit/>
        </w:trPr>
        <w:tc>
          <w:tcPr>
            <w:tcW w:w="2246" w:type="dxa"/>
            <w:vAlign w:val="center"/>
          </w:tcPr>
          <w:p w14:paraId="49AA450F" w14:textId="77777777" w:rsidR="00672297" w:rsidRDefault="00A16EA3">
            <w:pPr>
              <w:spacing w:before="20" w:after="20"/>
              <w:jc w:val="left"/>
            </w:pPr>
            <w:r>
              <w:rPr>
                <w:rFonts w:cstheme="minorHAnsi"/>
                <w:sz w:val="20"/>
                <w:szCs w:val="20"/>
              </w:rPr>
              <w:t>ButanePotentialPct, ButanePotentialBbl</w:t>
            </w:r>
          </w:p>
        </w:tc>
        <w:tc>
          <w:tcPr>
            <w:tcW w:w="1216" w:type="dxa"/>
            <w:vAlign w:val="center"/>
          </w:tcPr>
          <w:p w14:paraId="24282B7D" w14:textId="77777777" w:rsidR="00672297" w:rsidRDefault="00A16EA3">
            <w:pPr>
              <w:spacing w:before="20" w:after="20"/>
              <w:jc w:val="left"/>
            </w:pPr>
            <w:r>
              <w:rPr>
                <w:rFonts w:cstheme="minorHAnsi"/>
                <w:sz w:val="20"/>
                <w:szCs w:val="20"/>
              </w:rPr>
              <w:t>DECIMAL(9,4), DECIMAL(18,2)</w:t>
            </w:r>
          </w:p>
        </w:tc>
        <w:tc>
          <w:tcPr>
            <w:tcW w:w="3088" w:type="dxa"/>
            <w:vAlign w:val="center"/>
          </w:tcPr>
          <w:p w14:paraId="3419287D" w14:textId="77777777" w:rsidR="00672297" w:rsidRDefault="00A16EA3">
            <w:pPr>
              <w:spacing w:before="20" w:after="20"/>
              <w:jc w:val="left"/>
            </w:pPr>
            <w:r>
              <w:rPr>
                <w:rFonts w:cstheme="minorHAnsi"/>
                <w:sz w:val="20"/>
                <w:szCs w:val="20"/>
              </w:rPr>
              <w:t>Butane potential (% of batch, bbl)</w:t>
            </w:r>
          </w:p>
        </w:tc>
        <w:tc>
          <w:tcPr>
            <w:tcW w:w="2810" w:type="dxa"/>
            <w:vAlign w:val="center"/>
          </w:tcPr>
          <w:p w14:paraId="4433013A" w14:textId="77777777" w:rsidR="00672297" w:rsidRDefault="00A16EA3">
            <w:pPr>
              <w:spacing w:before="20" w:after="20"/>
              <w:jc w:val="left"/>
            </w:pPr>
            <w:r>
              <w:rPr>
                <w:rFonts w:cstheme="minorHAnsi"/>
                <w:sz w:val="20"/>
                <w:szCs w:val="20"/>
              </w:rPr>
              <w:t>Blend calculator output (calculation input, gap DP-07)</w:t>
            </w:r>
          </w:p>
        </w:tc>
      </w:tr>
      <w:tr w:rsidR="00672297" w14:paraId="41D07A02" w14:textId="77777777">
        <w:trPr>
          <w:cantSplit/>
        </w:trPr>
        <w:tc>
          <w:tcPr>
            <w:tcW w:w="2246" w:type="dxa"/>
            <w:vAlign w:val="center"/>
          </w:tcPr>
          <w:p w14:paraId="16701105" w14:textId="77777777" w:rsidR="00672297" w:rsidRDefault="00A16EA3">
            <w:pPr>
              <w:spacing w:before="20" w:after="20"/>
              <w:jc w:val="left"/>
            </w:pPr>
            <w:r>
              <w:rPr>
                <w:rFonts w:cstheme="minorHAnsi"/>
                <w:sz w:val="20"/>
                <w:szCs w:val="20"/>
              </w:rPr>
              <w:t>TransmixPotentialPct, TransmixPotentialBbl</w:t>
            </w:r>
          </w:p>
        </w:tc>
        <w:tc>
          <w:tcPr>
            <w:tcW w:w="1216" w:type="dxa"/>
            <w:vAlign w:val="center"/>
          </w:tcPr>
          <w:p w14:paraId="6449A217" w14:textId="77777777" w:rsidR="00672297" w:rsidRDefault="00A16EA3">
            <w:pPr>
              <w:spacing w:before="20" w:after="20"/>
              <w:jc w:val="left"/>
            </w:pPr>
            <w:r>
              <w:rPr>
                <w:rFonts w:cstheme="minorHAnsi"/>
                <w:sz w:val="20"/>
                <w:szCs w:val="20"/>
              </w:rPr>
              <w:t>DECIMAL(9,4), DECIMAL(18,2)</w:t>
            </w:r>
          </w:p>
        </w:tc>
        <w:tc>
          <w:tcPr>
            <w:tcW w:w="3088" w:type="dxa"/>
            <w:vAlign w:val="center"/>
          </w:tcPr>
          <w:p w14:paraId="77DC2BD0" w14:textId="77777777" w:rsidR="00672297" w:rsidRDefault="00A16EA3">
            <w:pPr>
              <w:spacing w:before="20" w:after="20"/>
              <w:jc w:val="left"/>
            </w:pPr>
            <w:r>
              <w:rPr>
                <w:rFonts w:cstheme="minorHAnsi"/>
                <w:sz w:val="20"/>
                <w:szCs w:val="20"/>
              </w:rPr>
              <w:t>Transmix potential</w:t>
            </w:r>
          </w:p>
        </w:tc>
        <w:tc>
          <w:tcPr>
            <w:tcW w:w="2810" w:type="dxa"/>
            <w:vAlign w:val="center"/>
          </w:tcPr>
          <w:p w14:paraId="5489B423" w14:textId="77777777" w:rsidR="00672297" w:rsidRDefault="00A16EA3">
            <w:pPr>
              <w:spacing w:before="20" w:after="20"/>
              <w:jc w:val="left"/>
            </w:pPr>
            <w:r>
              <w:rPr>
                <w:rFonts w:cstheme="minorHAnsi"/>
                <w:sz w:val="20"/>
                <w:szCs w:val="20"/>
              </w:rPr>
              <w:t>Blend calculator output (gap DP-07)</w:t>
            </w:r>
          </w:p>
        </w:tc>
      </w:tr>
      <w:tr w:rsidR="00672297" w14:paraId="6E0FF368" w14:textId="77777777">
        <w:trPr>
          <w:cantSplit/>
        </w:trPr>
        <w:tc>
          <w:tcPr>
            <w:tcW w:w="2246" w:type="dxa"/>
            <w:vAlign w:val="center"/>
          </w:tcPr>
          <w:p w14:paraId="75E569A7" w14:textId="77777777" w:rsidR="00672297" w:rsidRDefault="00A16EA3">
            <w:pPr>
              <w:spacing w:before="20" w:after="20"/>
              <w:jc w:val="left"/>
            </w:pPr>
            <w:r>
              <w:rPr>
                <w:rFonts w:cstheme="minorHAnsi"/>
                <w:sz w:val="20"/>
                <w:szCs w:val="20"/>
              </w:rPr>
              <w:t>EthanolRequirementPct, EthanolRequirementBbl</w:t>
            </w:r>
          </w:p>
        </w:tc>
        <w:tc>
          <w:tcPr>
            <w:tcW w:w="1216" w:type="dxa"/>
            <w:vAlign w:val="center"/>
          </w:tcPr>
          <w:p w14:paraId="7D131E14" w14:textId="77777777" w:rsidR="00672297" w:rsidRDefault="00A16EA3">
            <w:pPr>
              <w:spacing w:before="20" w:after="20"/>
              <w:jc w:val="left"/>
            </w:pPr>
            <w:r>
              <w:rPr>
                <w:rFonts w:cstheme="minorHAnsi"/>
                <w:sz w:val="20"/>
                <w:szCs w:val="20"/>
              </w:rPr>
              <w:t>DECIMAL(9,4), DECIMAL(18,2)</w:t>
            </w:r>
          </w:p>
        </w:tc>
        <w:tc>
          <w:tcPr>
            <w:tcW w:w="3088" w:type="dxa"/>
            <w:vAlign w:val="center"/>
          </w:tcPr>
          <w:p w14:paraId="6175F38E" w14:textId="77777777" w:rsidR="00672297" w:rsidRDefault="00A16EA3">
            <w:pPr>
              <w:spacing w:before="20" w:after="20"/>
              <w:jc w:val="left"/>
            </w:pPr>
            <w:r>
              <w:rPr>
                <w:rFonts w:cstheme="minorHAnsi"/>
                <w:sz w:val="20"/>
                <w:szCs w:val="20"/>
              </w:rPr>
              <w:t>Ethanol requirement</w:t>
            </w:r>
          </w:p>
        </w:tc>
        <w:tc>
          <w:tcPr>
            <w:tcW w:w="2810" w:type="dxa"/>
            <w:vAlign w:val="center"/>
          </w:tcPr>
          <w:p w14:paraId="050D6608" w14:textId="77777777" w:rsidR="00672297" w:rsidRDefault="00A16EA3">
            <w:pPr>
              <w:spacing w:before="20" w:after="20"/>
              <w:jc w:val="left"/>
            </w:pPr>
            <w:r>
              <w:rPr>
                <w:rFonts w:cstheme="minorHAnsi"/>
                <w:sz w:val="20"/>
                <w:szCs w:val="20"/>
              </w:rPr>
              <w:t>Blend percentage (wireframe 10 %, gap DP-09) x BatchVolumeBbl</w:t>
            </w:r>
          </w:p>
        </w:tc>
      </w:tr>
      <w:tr w:rsidR="00672297" w14:paraId="3A96800B" w14:textId="77777777">
        <w:trPr>
          <w:cantSplit/>
        </w:trPr>
        <w:tc>
          <w:tcPr>
            <w:tcW w:w="2246" w:type="dxa"/>
            <w:vAlign w:val="center"/>
          </w:tcPr>
          <w:p w14:paraId="74F9C6F4" w14:textId="77777777" w:rsidR="00672297" w:rsidRDefault="00A16EA3">
            <w:pPr>
              <w:spacing w:before="20" w:after="20"/>
              <w:jc w:val="left"/>
            </w:pPr>
            <w:r>
              <w:rPr>
                <w:rFonts w:cstheme="minorHAnsi"/>
                <w:sz w:val="20"/>
                <w:szCs w:val="20"/>
              </w:rPr>
              <w:t>VolumeExpansionBbl</w:t>
            </w:r>
          </w:p>
        </w:tc>
        <w:tc>
          <w:tcPr>
            <w:tcW w:w="1216" w:type="dxa"/>
            <w:vAlign w:val="center"/>
          </w:tcPr>
          <w:p w14:paraId="2D526751" w14:textId="77777777" w:rsidR="00672297" w:rsidRDefault="00A16EA3">
            <w:pPr>
              <w:spacing w:before="20" w:after="20"/>
              <w:jc w:val="left"/>
            </w:pPr>
            <w:r>
              <w:rPr>
                <w:rFonts w:cstheme="minorHAnsi"/>
                <w:sz w:val="20"/>
                <w:szCs w:val="20"/>
              </w:rPr>
              <w:t>DECIMAL(18,2)</w:t>
            </w:r>
          </w:p>
        </w:tc>
        <w:tc>
          <w:tcPr>
            <w:tcW w:w="3088" w:type="dxa"/>
            <w:vAlign w:val="center"/>
          </w:tcPr>
          <w:p w14:paraId="4D525ED3" w14:textId="77777777" w:rsidR="00672297" w:rsidRDefault="00A16EA3">
            <w:pPr>
              <w:spacing w:before="20" w:after="20"/>
              <w:jc w:val="left"/>
            </w:pPr>
            <w:r>
              <w:rPr>
                <w:rFonts w:cstheme="minorHAnsi"/>
                <w:sz w:val="20"/>
                <w:szCs w:val="20"/>
              </w:rPr>
              <w:t>Total volume expansion</w:t>
            </w:r>
          </w:p>
        </w:tc>
        <w:tc>
          <w:tcPr>
            <w:tcW w:w="2810" w:type="dxa"/>
            <w:vAlign w:val="center"/>
          </w:tcPr>
          <w:p w14:paraId="6C0C9AAB" w14:textId="77777777" w:rsidR="00672297" w:rsidRDefault="00A16EA3">
            <w:pPr>
              <w:spacing w:before="20" w:after="20"/>
              <w:jc w:val="left"/>
            </w:pPr>
            <w:r>
              <w:rPr>
                <w:rFonts w:cstheme="minorHAnsi"/>
                <w:sz w:val="20"/>
                <w:szCs w:val="20"/>
              </w:rPr>
              <w:t>ButanePotentialBbl + TransmixPotentialBbl + EthanolRequirementBbl</w:t>
            </w:r>
          </w:p>
        </w:tc>
      </w:tr>
      <w:tr w:rsidR="00672297" w14:paraId="3AC9720B" w14:textId="77777777">
        <w:trPr>
          <w:cantSplit/>
        </w:trPr>
        <w:tc>
          <w:tcPr>
            <w:tcW w:w="2246" w:type="dxa"/>
            <w:vAlign w:val="center"/>
          </w:tcPr>
          <w:p w14:paraId="3ABAEB75" w14:textId="77777777" w:rsidR="00672297" w:rsidRDefault="00A16EA3">
            <w:pPr>
              <w:spacing w:before="20" w:after="20"/>
              <w:jc w:val="left"/>
            </w:pPr>
            <w:r>
              <w:rPr>
                <w:rFonts w:cstheme="minorHAnsi"/>
                <w:sz w:val="20"/>
                <w:szCs w:val="20"/>
              </w:rPr>
              <w:t>VolumeExpansionPct</w:t>
            </w:r>
          </w:p>
        </w:tc>
        <w:tc>
          <w:tcPr>
            <w:tcW w:w="1216" w:type="dxa"/>
            <w:vAlign w:val="center"/>
          </w:tcPr>
          <w:p w14:paraId="2FE7A998" w14:textId="77777777" w:rsidR="00672297" w:rsidRDefault="00A16EA3">
            <w:pPr>
              <w:spacing w:before="20" w:after="20"/>
              <w:jc w:val="left"/>
            </w:pPr>
            <w:r>
              <w:rPr>
                <w:rFonts w:cstheme="minorHAnsi"/>
                <w:sz w:val="20"/>
                <w:szCs w:val="20"/>
              </w:rPr>
              <w:t>DECIMAL(9,4)</w:t>
            </w:r>
          </w:p>
        </w:tc>
        <w:tc>
          <w:tcPr>
            <w:tcW w:w="3088" w:type="dxa"/>
            <w:vAlign w:val="center"/>
          </w:tcPr>
          <w:p w14:paraId="6561E7A3" w14:textId="77777777" w:rsidR="00672297" w:rsidRDefault="00A16EA3">
            <w:pPr>
              <w:spacing w:before="20" w:after="20"/>
              <w:jc w:val="left"/>
            </w:pPr>
            <w:r>
              <w:rPr>
                <w:rFonts w:cstheme="minorHAnsi"/>
                <w:sz w:val="20"/>
                <w:szCs w:val="20"/>
              </w:rPr>
              <w:t>Volume expansion % of the batch</w:t>
            </w:r>
          </w:p>
        </w:tc>
        <w:tc>
          <w:tcPr>
            <w:tcW w:w="2810" w:type="dxa"/>
            <w:vAlign w:val="center"/>
          </w:tcPr>
          <w:p w14:paraId="780033A0" w14:textId="77777777" w:rsidR="00672297" w:rsidRDefault="00A16EA3">
            <w:pPr>
              <w:spacing w:before="20" w:after="20"/>
              <w:jc w:val="left"/>
            </w:pPr>
            <w:r>
              <w:rPr>
                <w:rFonts w:cstheme="minorHAnsi"/>
                <w:sz w:val="20"/>
                <w:szCs w:val="20"/>
              </w:rPr>
              <w:t>VolumeExpansionBbl / BatchVolumeBbl x 100</w:t>
            </w:r>
          </w:p>
        </w:tc>
      </w:tr>
    </w:tbl>
    <w:p w14:paraId="5D28DFA5" w14:textId="7EFF7C64" w:rsidR="00672297" w:rsidRDefault="00A16EA3">
      <w:pPr>
        <w:pStyle w:val="Caption"/>
      </w:pPr>
      <w:bookmarkStart w:id="395" w:name="_Toc900900034"/>
      <w:bookmarkStart w:id="396" w:name="_Toc241574681"/>
      <w:bookmarkStart w:id="397" w:name="_Toc242554065"/>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12</w:t>
      </w:r>
      <w:r>
        <w:fldChar w:fldCharType="end"/>
      </w:r>
      <w:r>
        <w:t>: vwDistillateBlendPotentialQuality View</w:t>
      </w:r>
      <w:bookmarkEnd w:id="395"/>
      <w:bookmarkEnd w:id="396"/>
      <w:bookmarkEnd w:id="397"/>
    </w:p>
    <w:p w14:paraId="04189A02" w14:textId="77777777" w:rsidR="00672297" w:rsidRDefault="00A16EA3">
      <w:pPr>
        <w:rPr>
          <w:rFonts w:cstheme="minorHAnsi"/>
          <w:sz w:val="20"/>
          <w:szCs w:val="20"/>
        </w:rPr>
      </w:pPr>
      <w:r>
        <w:rPr>
          <w:rFonts w:cstheme="minorHAnsi"/>
          <w:b/>
          <w:bCs/>
          <w:sz w:val="20"/>
          <w:szCs w:val="20"/>
        </w:rPr>
        <w:t>vwDistillateBatchQuality</w:t>
      </w:r>
      <w:r>
        <w:rPr>
          <w:rFonts w:cstheme="minorHAnsi"/>
          <w:sz w:val="20"/>
          <w:szCs w:val="20"/>
        </w:rPr>
        <w:t xml:space="preserve"> - Distillate dashboard; one row per distillate batch and destination.</w:t>
      </w:r>
    </w:p>
    <w:tbl>
      <w:tblPr>
        <w:tblStyle w:val="TableGrid"/>
        <w:tblW w:w="9360" w:type="dxa"/>
        <w:tblLayout w:type="fixed"/>
        <w:tblCellMar>
          <w:left w:w="70" w:type="dxa"/>
          <w:right w:w="70" w:type="dxa"/>
        </w:tblCellMar>
        <w:tblLook w:val="04A0" w:firstRow="1" w:lastRow="0" w:firstColumn="1" w:lastColumn="0" w:noHBand="0" w:noVBand="1"/>
      </w:tblPr>
      <w:tblGrid>
        <w:gridCol w:w="2246"/>
        <w:gridCol w:w="1216"/>
        <w:gridCol w:w="3088"/>
        <w:gridCol w:w="2810"/>
      </w:tblGrid>
      <w:tr w:rsidR="00672297" w14:paraId="23F7A924" w14:textId="77777777">
        <w:trPr>
          <w:cantSplit/>
          <w:tblHeader/>
        </w:trPr>
        <w:tc>
          <w:tcPr>
            <w:tcW w:w="2246" w:type="dxa"/>
            <w:shd w:val="clear" w:color="auto" w:fill="2F5496"/>
            <w:vAlign w:val="center"/>
          </w:tcPr>
          <w:p w14:paraId="3ED8E2C4" w14:textId="77777777" w:rsidR="00672297" w:rsidRDefault="00A16EA3">
            <w:pPr>
              <w:spacing w:before="20" w:after="20"/>
              <w:jc w:val="left"/>
            </w:pPr>
            <w:r>
              <w:rPr>
                <w:rFonts w:cstheme="minorHAnsi"/>
                <w:b/>
                <w:bCs/>
                <w:color w:val="FFFFFF"/>
                <w:sz w:val="20"/>
                <w:szCs w:val="20"/>
              </w:rPr>
              <w:t>Column Name</w:t>
            </w:r>
          </w:p>
        </w:tc>
        <w:tc>
          <w:tcPr>
            <w:tcW w:w="1216" w:type="dxa"/>
            <w:shd w:val="clear" w:color="auto" w:fill="2F5496"/>
            <w:vAlign w:val="center"/>
          </w:tcPr>
          <w:p w14:paraId="21806135" w14:textId="77777777" w:rsidR="00672297" w:rsidRDefault="00A16EA3">
            <w:pPr>
              <w:spacing w:before="20" w:after="20"/>
              <w:jc w:val="left"/>
            </w:pPr>
            <w:r>
              <w:rPr>
                <w:rFonts w:cstheme="minorHAnsi"/>
                <w:b/>
                <w:bCs/>
                <w:color w:val="FFFFFF"/>
                <w:sz w:val="20"/>
                <w:szCs w:val="20"/>
              </w:rPr>
              <w:t>Data Type</w:t>
            </w:r>
          </w:p>
        </w:tc>
        <w:tc>
          <w:tcPr>
            <w:tcW w:w="3088" w:type="dxa"/>
            <w:shd w:val="clear" w:color="auto" w:fill="2F5496"/>
            <w:vAlign w:val="center"/>
          </w:tcPr>
          <w:p w14:paraId="551DE639" w14:textId="77777777" w:rsidR="00672297" w:rsidRDefault="00A16EA3">
            <w:pPr>
              <w:spacing w:before="20" w:after="20"/>
              <w:jc w:val="left"/>
            </w:pPr>
            <w:r>
              <w:rPr>
                <w:rFonts w:cstheme="minorHAnsi"/>
                <w:b/>
                <w:bCs/>
                <w:color w:val="FFFFFF"/>
                <w:sz w:val="20"/>
                <w:szCs w:val="20"/>
              </w:rPr>
              <w:t>Description</w:t>
            </w:r>
          </w:p>
        </w:tc>
        <w:tc>
          <w:tcPr>
            <w:tcW w:w="2810" w:type="dxa"/>
            <w:shd w:val="clear" w:color="auto" w:fill="2F5496"/>
            <w:vAlign w:val="center"/>
          </w:tcPr>
          <w:p w14:paraId="77160CD8" w14:textId="77777777" w:rsidR="00672297" w:rsidRDefault="00A16EA3">
            <w:pPr>
              <w:spacing w:before="20" w:after="20"/>
              <w:jc w:val="left"/>
            </w:pPr>
            <w:r>
              <w:rPr>
                <w:rFonts w:cstheme="minorHAnsi"/>
                <w:b/>
                <w:bCs/>
                <w:color w:val="FFFFFF"/>
                <w:sz w:val="20"/>
                <w:szCs w:val="20"/>
              </w:rPr>
              <w:t>Source Table / Derivation</w:t>
            </w:r>
          </w:p>
        </w:tc>
      </w:tr>
      <w:tr w:rsidR="00672297" w14:paraId="7CD9C57F" w14:textId="77777777">
        <w:trPr>
          <w:cantSplit/>
        </w:trPr>
        <w:tc>
          <w:tcPr>
            <w:tcW w:w="2246" w:type="dxa"/>
            <w:vAlign w:val="center"/>
          </w:tcPr>
          <w:p w14:paraId="6F20887E" w14:textId="77777777" w:rsidR="00672297" w:rsidRDefault="00A16EA3">
            <w:pPr>
              <w:spacing w:before="20" w:after="20"/>
              <w:jc w:val="left"/>
            </w:pPr>
            <w:r>
              <w:rPr>
                <w:rFonts w:cstheme="minorHAnsi"/>
                <w:sz w:val="20"/>
                <w:szCs w:val="20"/>
              </w:rPr>
              <w:t>BatchID</w:t>
            </w:r>
          </w:p>
        </w:tc>
        <w:tc>
          <w:tcPr>
            <w:tcW w:w="1216" w:type="dxa"/>
            <w:vAlign w:val="center"/>
          </w:tcPr>
          <w:p w14:paraId="4E212F60" w14:textId="77777777" w:rsidR="00672297" w:rsidRDefault="00A16EA3">
            <w:pPr>
              <w:spacing w:before="20" w:after="20"/>
              <w:jc w:val="left"/>
            </w:pPr>
            <w:r>
              <w:rPr>
                <w:rFonts w:cstheme="minorHAnsi"/>
                <w:sz w:val="20"/>
                <w:szCs w:val="20"/>
              </w:rPr>
              <w:t>VARCHAR(100)</w:t>
            </w:r>
          </w:p>
        </w:tc>
        <w:tc>
          <w:tcPr>
            <w:tcW w:w="3088" w:type="dxa"/>
            <w:vAlign w:val="center"/>
          </w:tcPr>
          <w:p w14:paraId="6A235B67" w14:textId="77777777" w:rsidR="00672297" w:rsidRDefault="00A16EA3">
            <w:pPr>
              <w:spacing w:before="20" w:after="20"/>
              <w:jc w:val="left"/>
            </w:pPr>
            <w:r>
              <w:rPr>
                <w:rFonts w:cstheme="minorHAnsi"/>
                <w:sz w:val="20"/>
                <w:szCs w:val="20"/>
              </w:rPr>
              <w:t>Product batch identifier</w:t>
            </w:r>
          </w:p>
        </w:tc>
        <w:tc>
          <w:tcPr>
            <w:tcW w:w="2810" w:type="dxa"/>
            <w:vAlign w:val="center"/>
          </w:tcPr>
          <w:p w14:paraId="69765CFA" w14:textId="77777777" w:rsidR="00672297" w:rsidRDefault="00A16EA3">
            <w:pPr>
              <w:spacing w:before="20" w:after="20"/>
              <w:jc w:val="left"/>
            </w:pPr>
            <w:r>
              <w:rPr>
                <w:rFonts w:cstheme="minorHAnsi"/>
                <w:sz w:val="20"/>
                <w:szCs w:val="20"/>
              </w:rPr>
              <w:t>transfer_detail.batch_id (APS BatchID); terminal batch number (gap DP-05)</w:t>
            </w:r>
          </w:p>
        </w:tc>
      </w:tr>
      <w:tr w:rsidR="00672297" w14:paraId="5C7C9BE2" w14:textId="77777777">
        <w:trPr>
          <w:cantSplit/>
        </w:trPr>
        <w:tc>
          <w:tcPr>
            <w:tcW w:w="2246" w:type="dxa"/>
            <w:vAlign w:val="center"/>
          </w:tcPr>
          <w:p w14:paraId="497AA1CE" w14:textId="77777777" w:rsidR="00672297" w:rsidRDefault="00A16EA3">
            <w:pPr>
              <w:spacing w:before="20" w:after="20"/>
              <w:jc w:val="left"/>
            </w:pPr>
            <w:r>
              <w:rPr>
                <w:rFonts w:cstheme="minorHAnsi"/>
                <w:sz w:val="20"/>
                <w:szCs w:val="20"/>
              </w:rPr>
              <w:t>BatchStatus</w:t>
            </w:r>
          </w:p>
        </w:tc>
        <w:tc>
          <w:tcPr>
            <w:tcW w:w="1216" w:type="dxa"/>
            <w:vAlign w:val="center"/>
          </w:tcPr>
          <w:p w14:paraId="009E41AB" w14:textId="77777777" w:rsidR="00672297" w:rsidRDefault="00A16EA3">
            <w:pPr>
              <w:spacing w:before="20" w:after="20"/>
              <w:jc w:val="left"/>
            </w:pPr>
            <w:r>
              <w:rPr>
                <w:rFonts w:cstheme="minorHAnsi"/>
                <w:sz w:val="20"/>
                <w:szCs w:val="20"/>
              </w:rPr>
              <w:t>VARCHAR(20)</w:t>
            </w:r>
          </w:p>
        </w:tc>
        <w:tc>
          <w:tcPr>
            <w:tcW w:w="3088" w:type="dxa"/>
            <w:vAlign w:val="center"/>
          </w:tcPr>
          <w:p w14:paraId="5249EAD4" w14:textId="77777777" w:rsidR="00672297" w:rsidRDefault="00A16EA3">
            <w:pPr>
              <w:spacing w:before="20" w:after="20"/>
              <w:jc w:val="left"/>
            </w:pPr>
            <w:r>
              <w:rPr>
                <w:rFonts w:cstheme="minorHAnsi"/>
                <w:sz w:val="20"/>
                <w:szCs w:val="20"/>
              </w:rPr>
              <w:t>Scheduled, In-Transit or Delivered</w:t>
            </w:r>
          </w:p>
        </w:tc>
        <w:tc>
          <w:tcPr>
            <w:tcW w:w="2810" w:type="dxa"/>
            <w:vAlign w:val="center"/>
          </w:tcPr>
          <w:p w14:paraId="78C29936" w14:textId="77777777" w:rsidR="00672297" w:rsidRDefault="00A16EA3">
            <w:pPr>
              <w:spacing w:before="20" w:after="20"/>
              <w:jc w:val="left"/>
            </w:pPr>
            <w:r>
              <w:rPr>
                <w:rFonts w:cstheme="minorHAnsi"/>
                <w:sz w:val="20"/>
                <w:szCs w:val="20"/>
              </w:rPr>
              <w:t>Scheduled: scheduled leg only; In-Transit: transfer_type Pipeline / Barge In-Transit or Kittyhawk in-transit; Delivered: terminal leg actual and unloaded (gap DP-16)</w:t>
            </w:r>
          </w:p>
        </w:tc>
      </w:tr>
      <w:tr w:rsidR="00672297" w14:paraId="70C7F1EE" w14:textId="77777777">
        <w:trPr>
          <w:cantSplit/>
        </w:trPr>
        <w:tc>
          <w:tcPr>
            <w:tcW w:w="2246" w:type="dxa"/>
            <w:vAlign w:val="center"/>
          </w:tcPr>
          <w:p w14:paraId="33752344" w14:textId="77777777" w:rsidR="00672297" w:rsidRDefault="00A16EA3">
            <w:pPr>
              <w:spacing w:before="20" w:after="20"/>
              <w:jc w:val="left"/>
            </w:pPr>
            <w:r>
              <w:rPr>
                <w:rFonts w:cstheme="minorHAnsi"/>
                <w:sz w:val="20"/>
                <w:szCs w:val="20"/>
              </w:rPr>
              <w:t>SourceGlobalCode, Source</w:t>
            </w:r>
          </w:p>
        </w:tc>
        <w:tc>
          <w:tcPr>
            <w:tcW w:w="1216" w:type="dxa"/>
            <w:vAlign w:val="center"/>
          </w:tcPr>
          <w:p w14:paraId="2FD6AC57" w14:textId="77777777" w:rsidR="00672297" w:rsidRDefault="00A16EA3">
            <w:pPr>
              <w:spacing w:before="20" w:after="20"/>
              <w:jc w:val="left"/>
            </w:pPr>
            <w:r>
              <w:rPr>
                <w:rFonts w:cstheme="minorHAnsi"/>
                <w:sz w:val="20"/>
                <w:szCs w:val="20"/>
              </w:rPr>
              <w:t>VARCHAR(100), VARCHAR(255)</w:t>
            </w:r>
          </w:p>
        </w:tc>
        <w:tc>
          <w:tcPr>
            <w:tcW w:w="3088" w:type="dxa"/>
            <w:vAlign w:val="center"/>
          </w:tcPr>
          <w:p w14:paraId="599E47C4" w14:textId="77777777" w:rsidR="00672297" w:rsidRDefault="00A16EA3">
            <w:pPr>
              <w:spacing w:before="20" w:after="20"/>
              <w:jc w:val="left"/>
            </w:pPr>
            <w:r>
              <w:rPr>
                <w:rFonts w:cstheme="minorHAnsi"/>
                <w:sz w:val="20"/>
                <w:szCs w:val="20"/>
              </w:rPr>
              <w:t>Origin refinery</w:t>
            </w:r>
          </w:p>
        </w:tc>
        <w:tc>
          <w:tcPr>
            <w:tcW w:w="2810" w:type="dxa"/>
            <w:vAlign w:val="center"/>
          </w:tcPr>
          <w:p w14:paraId="283412F4" w14:textId="77777777" w:rsidR="00672297" w:rsidRDefault="00A16EA3">
            <w:pPr>
              <w:spacing w:before="20" w:after="20"/>
              <w:jc w:val="left"/>
            </w:pPr>
            <w:r>
              <w:rPr>
                <w:rFonts w:cstheme="minorHAnsi"/>
                <w:sz w:val="20"/>
                <w:szCs w:val="20"/>
              </w:rPr>
              <w:t>location of the APS event</w:t>
            </w:r>
          </w:p>
        </w:tc>
      </w:tr>
      <w:tr w:rsidR="00672297" w14:paraId="6708BC0E" w14:textId="77777777">
        <w:trPr>
          <w:cantSplit/>
        </w:trPr>
        <w:tc>
          <w:tcPr>
            <w:tcW w:w="2246" w:type="dxa"/>
            <w:vAlign w:val="center"/>
          </w:tcPr>
          <w:p w14:paraId="419928C1" w14:textId="77777777" w:rsidR="00672297" w:rsidRDefault="00A16EA3">
            <w:pPr>
              <w:spacing w:before="20" w:after="20"/>
              <w:jc w:val="left"/>
            </w:pPr>
            <w:r>
              <w:rPr>
                <w:rFonts w:cstheme="minorHAnsi"/>
                <w:sz w:val="20"/>
                <w:szCs w:val="20"/>
              </w:rPr>
              <w:t>OriginTank</w:t>
            </w:r>
          </w:p>
        </w:tc>
        <w:tc>
          <w:tcPr>
            <w:tcW w:w="1216" w:type="dxa"/>
            <w:vAlign w:val="center"/>
          </w:tcPr>
          <w:p w14:paraId="2BBD402B" w14:textId="77777777" w:rsidR="00672297" w:rsidRDefault="00A16EA3">
            <w:pPr>
              <w:spacing w:before="20" w:after="20"/>
              <w:jc w:val="left"/>
            </w:pPr>
            <w:r>
              <w:rPr>
                <w:rFonts w:cstheme="minorHAnsi"/>
                <w:sz w:val="20"/>
                <w:szCs w:val="20"/>
              </w:rPr>
              <w:t>VARCHAR(100)</w:t>
            </w:r>
          </w:p>
        </w:tc>
        <w:tc>
          <w:tcPr>
            <w:tcW w:w="3088" w:type="dxa"/>
            <w:vAlign w:val="center"/>
          </w:tcPr>
          <w:p w14:paraId="1653731C" w14:textId="77777777" w:rsidR="00672297" w:rsidRDefault="00A16EA3">
            <w:pPr>
              <w:spacing w:before="20" w:after="20"/>
              <w:jc w:val="left"/>
            </w:pPr>
            <w:r>
              <w:rPr>
                <w:rFonts w:cstheme="minorHAnsi"/>
                <w:sz w:val="20"/>
                <w:szCs w:val="20"/>
              </w:rPr>
              <w:t>Origin tank</w:t>
            </w:r>
          </w:p>
        </w:tc>
        <w:tc>
          <w:tcPr>
            <w:tcW w:w="2810" w:type="dxa"/>
            <w:vAlign w:val="center"/>
          </w:tcPr>
          <w:p w14:paraId="1A73C993" w14:textId="77777777" w:rsidR="00672297" w:rsidRDefault="00A16EA3">
            <w:pPr>
              <w:spacing w:before="20" w:after="20"/>
              <w:jc w:val="left"/>
            </w:pPr>
            <w:r>
              <w:rPr>
                <w:rFonts w:cstheme="minorHAnsi"/>
                <w:sz w:val="20"/>
                <w:szCs w:val="20"/>
              </w:rPr>
              <w:t>from_equipment of the APS event (_EVENT.ID1)</w:t>
            </w:r>
          </w:p>
        </w:tc>
      </w:tr>
      <w:tr w:rsidR="00672297" w14:paraId="4CED8014" w14:textId="77777777">
        <w:trPr>
          <w:cantSplit/>
        </w:trPr>
        <w:tc>
          <w:tcPr>
            <w:tcW w:w="2246" w:type="dxa"/>
            <w:vAlign w:val="center"/>
          </w:tcPr>
          <w:p w14:paraId="55235301" w14:textId="77777777" w:rsidR="00672297" w:rsidRDefault="00A16EA3">
            <w:pPr>
              <w:spacing w:before="20" w:after="20"/>
              <w:jc w:val="left"/>
            </w:pPr>
            <w:r>
              <w:rPr>
                <w:rFonts w:cstheme="minorHAnsi"/>
                <w:sz w:val="20"/>
                <w:szCs w:val="20"/>
              </w:rPr>
              <w:t>DestinationGlobalCode, Destination</w:t>
            </w:r>
          </w:p>
        </w:tc>
        <w:tc>
          <w:tcPr>
            <w:tcW w:w="1216" w:type="dxa"/>
            <w:vAlign w:val="center"/>
          </w:tcPr>
          <w:p w14:paraId="4734391C" w14:textId="77777777" w:rsidR="00672297" w:rsidRDefault="00A16EA3">
            <w:pPr>
              <w:spacing w:before="20" w:after="20"/>
              <w:jc w:val="left"/>
            </w:pPr>
            <w:r>
              <w:rPr>
                <w:rFonts w:cstheme="minorHAnsi"/>
                <w:sz w:val="20"/>
                <w:szCs w:val="20"/>
              </w:rPr>
              <w:t>VARCHAR(100), VARCHAR(255)</w:t>
            </w:r>
          </w:p>
        </w:tc>
        <w:tc>
          <w:tcPr>
            <w:tcW w:w="3088" w:type="dxa"/>
            <w:vAlign w:val="center"/>
          </w:tcPr>
          <w:p w14:paraId="397FC8A8" w14:textId="77777777" w:rsidR="00672297" w:rsidRDefault="00A16EA3">
            <w:pPr>
              <w:spacing w:before="20" w:after="20"/>
              <w:jc w:val="left"/>
            </w:pPr>
            <w:r>
              <w:rPr>
                <w:rFonts w:cstheme="minorHAnsi"/>
                <w:sz w:val="20"/>
                <w:szCs w:val="20"/>
              </w:rPr>
              <w:t>Destination terminal</w:t>
            </w:r>
          </w:p>
        </w:tc>
        <w:tc>
          <w:tcPr>
            <w:tcW w:w="2810" w:type="dxa"/>
            <w:vAlign w:val="center"/>
          </w:tcPr>
          <w:p w14:paraId="76419491" w14:textId="77777777" w:rsidR="00672297" w:rsidRDefault="00A16EA3">
            <w:pPr>
              <w:spacing w:before="20" w:after="20"/>
              <w:jc w:val="left"/>
            </w:pPr>
            <w:r>
              <w:rPr>
                <w:rFonts w:cstheme="minorHAnsi"/>
                <w:sz w:val="20"/>
                <w:szCs w:val="20"/>
              </w:rPr>
              <w:t>to_location of the terminal leg</w:t>
            </w:r>
          </w:p>
        </w:tc>
      </w:tr>
      <w:tr w:rsidR="00672297" w14:paraId="695AAD2D" w14:textId="77777777">
        <w:trPr>
          <w:cantSplit/>
        </w:trPr>
        <w:tc>
          <w:tcPr>
            <w:tcW w:w="2246" w:type="dxa"/>
            <w:vAlign w:val="center"/>
          </w:tcPr>
          <w:p w14:paraId="4E574D6A" w14:textId="77777777" w:rsidR="00672297" w:rsidRDefault="00A16EA3">
            <w:pPr>
              <w:spacing w:before="20" w:after="20"/>
              <w:jc w:val="left"/>
            </w:pPr>
            <w:r>
              <w:rPr>
                <w:rFonts w:cstheme="minorHAnsi"/>
                <w:sz w:val="20"/>
                <w:szCs w:val="20"/>
              </w:rPr>
              <w:t>DestinationShortName</w:t>
            </w:r>
          </w:p>
        </w:tc>
        <w:tc>
          <w:tcPr>
            <w:tcW w:w="1216" w:type="dxa"/>
            <w:vAlign w:val="center"/>
          </w:tcPr>
          <w:p w14:paraId="0641C6A9" w14:textId="77777777" w:rsidR="00672297" w:rsidRDefault="00A16EA3">
            <w:pPr>
              <w:spacing w:before="20" w:after="20"/>
              <w:jc w:val="left"/>
            </w:pPr>
            <w:r>
              <w:rPr>
                <w:rFonts w:cstheme="minorHAnsi"/>
                <w:sz w:val="20"/>
                <w:szCs w:val="20"/>
              </w:rPr>
              <w:t>VARCHAR(100)</w:t>
            </w:r>
          </w:p>
        </w:tc>
        <w:tc>
          <w:tcPr>
            <w:tcW w:w="3088" w:type="dxa"/>
            <w:vAlign w:val="center"/>
          </w:tcPr>
          <w:p w14:paraId="246EEB22" w14:textId="77777777" w:rsidR="00672297" w:rsidRDefault="00A16EA3">
            <w:pPr>
              <w:spacing w:before="20" w:after="20"/>
              <w:jc w:val="left"/>
            </w:pPr>
            <w:r>
              <w:rPr>
                <w:rFonts w:cstheme="minorHAnsi"/>
                <w:sz w:val="20"/>
                <w:szCs w:val="20"/>
              </w:rPr>
              <w:t>Terminal short name for chart axes</w:t>
            </w:r>
          </w:p>
        </w:tc>
        <w:tc>
          <w:tcPr>
            <w:tcW w:w="2810" w:type="dxa"/>
            <w:vAlign w:val="center"/>
          </w:tcPr>
          <w:p w14:paraId="4E3F317F" w14:textId="77777777" w:rsidR="00672297" w:rsidRDefault="00A16EA3">
            <w:pPr>
              <w:spacing w:before="20" w:after="20"/>
              <w:jc w:val="left"/>
            </w:pPr>
            <w:r>
              <w:rPr>
                <w:rFonts w:cstheme="minorHAnsi"/>
                <w:sz w:val="20"/>
                <w:szCs w:val="20"/>
              </w:rPr>
              <w:t>Text before the first comma of Destination (for example Mount Vernon)</w:t>
            </w:r>
          </w:p>
        </w:tc>
      </w:tr>
      <w:tr w:rsidR="00672297" w14:paraId="1D2544B3" w14:textId="77777777">
        <w:trPr>
          <w:cantSplit/>
        </w:trPr>
        <w:tc>
          <w:tcPr>
            <w:tcW w:w="2246" w:type="dxa"/>
            <w:vAlign w:val="center"/>
          </w:tcPr>
          <w:p w14:paraId="56B28198" w14:textId="77777777" w:rsidR="00672297" w:rsidRDefault="00A16EA3">
            <w:pPr>
              <w:spacing w:before="20" w:after="20"/>
              <w:jc w:val="left"/>
            </w:pPr>
            <w:r>
              <w:rPr>
                <w:rFonts w:cstheme="minorHAnsi"/>
                <w:sz w:val="20"/>
                <w:szCs w:val="20"/>
              </w:rPr>
              <w:t>DestinationTank</w:t>
            </w:r>
          </w:p>
        </w:tc>
        <w:tc>
          <w:tcPr>
            <w:tcW w:w="1216" w:type="dxa"/>
            <w:vAlign w:val="center"/>
          </w:tcPr>
          <w:p w14:paraId="192293CA" w14:textId="77777777" w:rsidR="00672297" w:rsidRDefault="00A16EA3">
            <w:pPr>
              <w:spacing w:before="20" w:after="20"/>
              <w:jc w:val="left"/>
            </w:pPr>
            <w:r>
              <w:rPr>
                <w:rFonts w:cstheme="minorHAnsi"/>
                <w:sz w:val="20"/>
                <w:szCs w:val="20"/>
              </w:rPr>
              <w:t>VARCHAR(100)</w:t>
            </w:r>
          </w:p>
        </w:tc>
        <w:tc>
          <w:tcPr>
            <w:tcW w:w="3088" w:type="dxa"/>
            <w:vAlign w:val="center"/>
          </w:tcPr>
          <w:p w14:paraId="5E8C719D" w14:textId="77777777" w:rsidR="00672297" w:rsidRDefault="00A16EA3">
            <w:pPr>
              <w:spacing w:before="20" w:after="20"/>
              <w:jc w:val="left"/>
            </w:pPr>
            <w:r>
              <w:rPr>
                <w:rFonts w:cstheme="minorHAnsi"/>
                <w:sz w:val="20"/>
                <w:szCs w:val="20"/>
              </w:rPr>
              <w:t>Destination tank</w:t>
            </w:r>
          </w:p>
        </w:tc>
        <w:tc>
          <w:tcPr>
            <w:tcW w:w="2810" w:type="dxa"/>
            <w:vAlign w:val="center"/>
          </w:tcPr>
          <w:p w14:paraId="4CEF8DF1" w14:textId="77777777" w:rsidR="00672297" w:rsidRDefault="00A16EA3">
            <w:pPr>
              <w:spacing w:before="20" w:after="20"/>
              <w:jc w:val="left"/>
            </w:pPr>
            <w:r>
              <w:rPr>
                <w:rFonts w:cstheme="minorHAnsi"/>
                <w:sz w:val="20"/>
                <w:szCs w:val="20"/>
              </w:rPr>
              <w:t>Kittyhawk DestinationContainerCode (to_equipment)</w:t>
            </w:r>
          </w:p>
        </w:tc>
      </w:tr>
      <w:tr w:rsidR="00672297" w14:paraId="148EE51A" w14:textId="77777777">
        <w:trPr>
          <w:cantSplit/>
        </w:trPr>
        <w:tc>
          <w:tcPr>
            <w:tcW w:w="2246" w:type="dxa"/>
            <w:vAlign w:val="center"/>
          </w:tcPr>
          <w:p w14:paraId="39C93AF4" w14:textId="77777777" w:rsidR="00672297" w:rsidRDefault="00A16EA3">
            <w:pPr>
              <w:spacing w:before="20" w:after="20"/>
              <w:jc w:val="left"/>
            </w:pPr>
            <w:r>
              <w:rPr>
                <w:rFonts w:cstheme="minorHAnsi"/>
                <w:sz w:val="20"/>
                <w:szCs w:val="20"/>
              </w:rPr>
              <w:t>Region</w:t>
            </w:r>
          </w:p>
        </w:tc>
        <w:tc>
          <w:tcPr>
            <w:tcW w:w="1216" w:type="dxa"/>
            <w:vAlign w:val="center"/>
          </w:tcPr>
          <w:p w14:paraId="77E777C2" w14:textId="77777777" w:rsidR="00672297" w:rsidRDefault="00A16EA3">
            <w:pPr>
              <w:spacing w:before="20" w:after="20"/>
              <w:jc w:val="left"/>
            </w:pPr>
            <w:r>
              <w:rPr>
                <w:rFonts w:cstheme="minorHAnsi"/>
                <w:sz w:val="20"/>
                <w:szCs w:val="20"/>
              </w:rPr>
              <w:t>VARCHAR(50)</w:t>
            </w:r>
          </w:p>
        </w:tc>
        <w:tc>
          <w:tcPr>
            <w:tcW w:w="3088" w:type="dxa"/>
            <w:vAlign w:val="center"/>
          </w:tcPr>
          <w:p w14:paraId="05EA3482" w14:textId="77777777" w:rsidR="00672297" w:rsidRDefault="00A16EA3">
            <w:pPr>
              <w:spacing w:before="20" w:after="20"/>
              <w:jc w:val="left"/>
            </w:pPr>
            <w:r>
              <w:rPr>
                <w:rFonts w:cstheme="minorHAnsi"/>
                <w:sz w:val="20"/>
                <w:szCs w:val="20"/>
              </w:rPr>
              <w:t>Region (North)</w:t>
            </w:r>
          </w:p>
        </w:tc>
        <w:tc>
          <w:tcPr>
            <w:tcW w:w="2810" w:type="dxa"/>
            <w:vAlign w:val="center"/>
          </w:tcPr>
          <w:p w14:paraId="04ED096A" w14:textId="77777777" w:rsidR="00672297" w:rsidRDefault="00A16EA3">
            <w:pPr>
              <w:spacing w:before="20" w:after="20"/>
              <w:jc w:val="left"/>
            </w:pPr>
            <w:r>
              <w:rPr>
                <w:rFonts w:cstheme="minorHAnsi"/>
                <w:sz w:val="20"/>
                <w:szCs w:val="20"/>
              </w:rPr>
              <w:t>location.Region</w:t>
            </w:r>
          </w:p>
        </w:tc>
      </w:tr>
      <w:tr w:rsidR="00672297" w14:paraId="4FA308AC" w14:textId="77777777">
        <w:trPr>
          <w:cantSplit/>
        </w:trPr>
        <w:tc>
          <w:tcPr>
            <w:tcW w:w="2246" w:type="dxa"/>
            <w:vAlign w:val="center"/>
          </w:tcPr>
          <w:p w14:paraId="48F7D5C2" w14:textId="77777777" w:rsidR="00672297" w:rsidRDefault="00A16EA3">
            <w:pPr>
              <w:spacing w:before="20" w:after="20"/>
              <w:jc w:val="left"/>
            </w:pPr>
            <w:r>
              <w:rPr>
                <w:rFonts w:cstheme="minorHAnsi"/>
                <w:sz w:val="20"/>
                <w:szCs w:val="20"/>
              </w:rPr>
              <w:t>ProductName (Grade)</w:t>
            </w:r>
          </w:p>
        </w:tc>
        <w:tc>
          <w:tcPr>
            <w:tcW w:w="1216" w:type="dxa"/>
            <w:vAlign w:val="center"/>
          </w:tcPr>
          <w:p w14:paraId="66D05FF8" w14:textId="77777777" w:rsidR="00672297" w:rsidRDefault="00A16EA3">
            <w:pPr>
              <w:spacing w:before="20" w:after="20"/>
              <w:jc w:val="left"/>
            </w:pPr>
            <w:r>
              <w:rPr>
                <w:rFonts w:cstheme="minorHAnsi"/>
                <w:sz w:val="20"/>
                <w:szCs w:val="20"/>
              </w:rPr>
              <w:t>VARCHAR(100)</w:t>
            </w:r>
          </w:p>
        </w:tc>
        <w:tc>
          <w:tcPr>
            <w:tcW w:w="3088" w:type="dxa"/>
            <w:vAlign w:val="center"/>
          </w:tcPr>
          <w:p w14:paraId="62FEADE5" w14:textId="77777777" w:rsidR="00672297" w:rsidRDefault="00A16EA3">
            <w:pPr>
              <w:spacing w:before="20" w:after="20"/>
              <w:jc w:val="left"/>
            </w:pPr>
            <w:r>
              <w:rPr>
                <w:rFonts w:cstheme="minorHAnsi"/>
                <w:sz w:val="20"/>
                <w:szCs w:val="20"/>
              </w:rPr>
              <w:t>Grade, for example 84 Blendgrade, ULSD No 2</w:t>
            </w:r>
          </w:p>
        </w:tc>
        <w:tc>
          <w:tcPr>
            <w:tcW w:w="2810" w:type="dxa"/>
            <w:vAlign w:val="center"/>
          </w:tcPr>
          <w:p w14:paraId="5F620D3F" w14:textId="77777777" w:rsidR="00672297" w:rsidRDefault="00A16EA3">
            <w:pPr>
              <w:spacing w:before="20" w:after="20"/>
              <w:jc w:val="left"/>
            </w:pPr>
            <w:r>
              <w:rPr>
                <w:rFonts w:cstheme="minorHAnsi"/>
                <w:sz w:val="20"/>
                <w:szCs w:val="20"/>
              </w:rPr>
              <w:t>material (PRODUCTS.DESCRIPTION)</w:t>
            </w:r>
          </w:p>
        </w:tc>
      </w:tr>
      <w:tr w:rsidR="00672297" w14:paraId="3ACC4007" w14:textId="77777777">
        <w:trPr>
          <w:cantSplit/>
        </w:trPr>
        <w:tc>
          <w:tcPr>
            <w:tcW w:w="2246" w:type="dxa"/>
            <w:vAlign w:val="center"/>
          </w:tcPr>
          <w:p w14:paraId="3C907FB5" w14:textId="77777777" w:rsidR="00672297" w:rsidRDefault="00A16EA3">
            <w:pPr>
              <w:spacing w:before="20" w:after="20"/>
              <w:jc w:val="left"/>
            </w:pPr>
            <w:r>
              <w:rPr>
                <w:rFonts w:cstheme="minorHAnsi"/>
                <w:sz w:val="20"/>
                <w:szCs w:val="20"/>
              </w:rPr>
              <w:t>BatchVolumeBbl</w:t>
            </w:r>
          </w:p>
        </w:tc>
        <w:tc>
          <w:tcPr>
            <w:tcW w:w="1216" w:type="dxa"/>
            <w:vAlign w:val="center"/>
          </w:tcPr>
          <w:p w14:paraId="0E8018B3" w14:textId="77777777" w:rsidR="00672297" w:rsidRDefault="00A16EA3">
            <w:pPr>
              <w:spacing w:before="20" w:after="20"/>
              <w:jc w:val="left"/>
            </w:pPr>
            <w:r>
              <w:rPr>
                <w:rFonts w:cstheme="minorHAnsi"/>
                <w:sz w:val="20"/>
                <w:szCs w:val="20"/>
              </w:rPr>
              <w:t>DECIMAL(18,2)</w:t>
            </w:r>
          </w:p>
        </w:tc>
        <w:tc>
          <w:tcPr>
            <w:tcW w:w="3088" w:type="dxa"/>
            <w:vAlign w:val="center"/>
          </w:tcPr>
          <w:p w14:paraId="63404B9D" w14:textId="77777777" w:rsidR="00672297" w:rsidRDefault="00A16EA3">
            <w:pPr>
              <w:spacing w:before="20" w:after="20"/>
              <w:jc w:val="left"/>
            </w:pPr>
            <w:r>
              <w:rPr>
                <w:rFonts w:cstheme="minorHAnsi"/>
                <w:sz w:val="20"/>
                <w:szCs w:val="20"/>
              </w:rPr>
              <w:t>Batch volume (bbl)</w:t>
            </w:r>
          </w:p>
        </w:tc>
        <w:tc>
          <w:tcPr>
            <w:tcW w:w="2810" w:type="dxa"/>
            <w:vAlign w:val="center"/>
          </w:tcPr>
          <w:p w14:paraId="34A1B5E7" w14:textId="77777777" w:rsidR="00672297" w:rsidRDefault="00A16EA3">
            <w:pPr>
              <w:spacing w:before="20" w:after="20"/>
              <w:jc w:val="left"/>
            </w:pPr>
            <w:r>
              <w:rPr>
                <w:rFonts w:cstheme="minorHAnsi"/>
                <w:sz w:val="20"/>
                <w:szCs w:val="20"/>
              </w:rPr>
              <w:t>Sum of the distinct movement rows of the batch; APS volume (Mbbl) x 1,000</w:t>
            </w:r>
          </w:p>
        </w:tc>
      </w:tr>
      <w:tr w:rsidR="00672297" w14:paraId="0AB65289" w14:textId="77777777">
        <w:trPr>
          <w:cantSplit/>
        </w:trPr>
        <w:tc>
          <w:tcPr>
            <w:tcW w:w="2246" w:type="dxa"/>
            <w:vAlign w:val="center"/>
          </w:tcPr>
          <w:p w14:paraId="48C10F9B" w14:textId="77777777" w:rsidR="00672297" w:rsidRDefault="00A16EA3">
            <w:pPr>
              <w:spacing w:before="20" w:after="20"/>
              <w:jc w:val="left"/>
            </w:pPr>
            <w:r>
              <w:rPr>
                <w:rFonts w:cstheme="minorHAnsi"/>
                <w:sz w:val="20"/>
                <w:szCs w:val="20"/>
              </w:rPr>
              <w:t>MOT</w:t>
            </w:r>
          </w:p>
        </w:tc>
        <w:tc>
          <w:tcPr>
            <w:tcW w:w="1216" w:type="dxa"/>
            <w:vAlign w:val="center"/>
          </w:tcPr>
          <w:p w14:paraId="31807697" w14:textId="77777777" w:rsidR="00672297" w:rsidRDefault="00A16EA3">
            <w:pPr>
              <w:spacing w:before="20" w:after="20"/>
              <w:jc w:val="left"/>
            </w:pPr>
            <w:r>
              <w:rPr>
                <w:rFonts w:cstheme="minorHAnsi"/>
                <w:sz w:val="20"/>
                <w:szCs w:val="20"/>
              </w:rPr>
              <w:t>VARCHAR(100)</w:t>
            </w:r>
          </w:p>
        </w:tc>
        <w:tc>
          <w:tcPr>
            <w:tcW w:w="3088" w:type="dxa"/>
            <w:vAlign w:val="center"/>
          </w:tcPr>
          <w:p w14:paraId="28524B0F" w14:textId="77777777" w:rsidR="00672297" w:rsidRDefault="00A16EA3">
            <w:pPr>
              <w:spacing w:before="20" w:after="20"/>
              <w:jc w:val="left"/>
            </w:pPr>
            <w:r>
              <w:rPr>
                <w:rFonts w:cstheme="minorHAnsi"/>
                <w:sz w:val="20"/>
                <w:szCs w:val="20"/>
              </w:rPr>
              <w:t>Mode of transport</w:t>
            </w:r>
          </w:p>
        </w:tc>
        <w:tc>
          <w:tcPr>
            <w:tcW w:w="2810" w:type="dxa"/>
            <w:vAlign w:val="center"/>
          </w:tcPr>
          <w:p w14:paraId="78164DDF" w14:textId="77777777" w:rsidR="00672297" w:rsidRDefault="00A16EA3">
            <w:pPr>
              <w:spacing w:before="20" w:after="20"/>
              <w:jc w:val="left"/>
            </w:pPr>
            <w:r>
              <w:rPr>
                <w:rFonts w:cstheme="minorHAnsi"/>
                <w:sz w:val="20"/>
                <w:szCs w:val="20"/>
              </w:rPr>
              <w:t>mot / TRAN_MODES.DESCRIPTION</w:t>
            </w:r>
          </w:p>
        </w:tc>
      </w:tr>
      <w:tr w:rsidR="00672297" w14:paraId="168C4960" w14:textId="77777777">
        <w:trPr>
          <w:cantSplit/>
        </w:trPr>
        <w:tc>
          <w:tcPr>
            <w:tcW w:w="2246" w:type="dxa"/>
            <w:vAlign w:val="center"/>
          </w:tcPr>
          <w:p w14:paraId="0F890240" w14:textId="77777777" w:rsidR="00672297" w:rsidRDefault="00A16EA3">
            <w:pPr>
              <w:spacing w:before="20" w:after="20"/>
              <w:jc w:val="left"/>
            </w:pPr>
            <w:r>
              <w:rPr>
                <w:rFonts w:cstheme="minorHAnsi"/>
                <w:sz w:val="20"/>
                <w:szCs w:val="20"/>
              </w:rPr>
              <w:t>StartDateTime, StartDate</w:t>
            </w:r>
          </w:p>
        </w:tc>
        <w:tc>
          <w:tcPr>
            <w:tcW w:w="1216" w:type="dxa"/>
            <w:vAlign w:val="center"/>
          </w:tcPr>
          <w:p w14:paraId="162818BC" w14:textId="77777777" w:rsidR="00672297" w:rsidRDefault="00A16EA3">
            <w:pPr>
              <w:spacing w:before="20" w:after="20"/>
              <w:jc w:val="left"/>
            </w:pPr>
            <w:r>
              <w:rPr>
                <w:rFonts w:cstheme="minorHAnsi"/>
                <w:sz w:val="20"/>
                <w:szCs w:val="20"/>
              </w:rPr>
              <w:t>DATETIME, DATE</w:t>
            </w:r>
          </w:p>
        </w:tc>
        <w:tc>
          <w:tcPr>
            <w:tcW w:w="3088" w:type="dxa"/>
            <w:vAlign w:val="center"/>
          </w:tcPr>
          <w:p w14:paraId="1B49A2B7" w14:textId="77777777" w:rsidR="00672297" w:rsidRDefault="00A16EA3">
            <w:pPr>
              <w:spacing w:before="20" w:after="20"/>
              <w:jc w:val="left"/>
            </w:pPr>
            <w:r>
              <w:rPr>
                <w:rFonts w:cstheme="minorHAnsi"/>
                <w:sz w:val="20"/>
                <w:szCs w:val="20"/>
              </w:rPr>
              <w:t>Batch start time and date</w:t>
            </w:r>
          </w:p>
        </w:tc>
        <w:tc>
          <w:tcPr>
            <w:tcW w:w="2810" w:type="dxa"/>
            <w:vAlign w:val="center"/>
          </w:tcPr>
          <w:p w14:paraId="72F405B8" w14:textId="77777777" w:rsidR="00672297" w:rsidRDefault="00A16EA3">
            <w:pPr>
              <w:spacing w:before="20" w:after="20"/>
              <w:jc w:val="left"/>
            </w:pPr>
            <w:r>
              <w:rPr>
                <w:rFonts w:cstheme="minorHAnsi"/>
                <w:sz w:val="20"/>
                <w:szCs w:val="20"/>
              </w:rPr>
              <w:t>APS START_ (earliest movement_start_date)</w:t>
            </w:r>
          </w:p>
        </w:tc>
      </w:tr>
      <w:tr w:rsidR="00672297" w14:paraId="3B6130CA" w14:textId="77777777">
        <w:trPr>
          <w:cantSplit/>
        </w:trPr>
        <w:tc>
          <w:tcPr>
            <w:tcW w:w="2246" w:type="dxa"/>
            <w:vAlign w:val="center"/>
          </w:tcPr>
          <w:p w14:paraId="1EE7A026" w14:textId="77777777" w:rsidR="00672297" w:rsidRDefault="00A16EA3">
            <w:pPr>
              <w:spacing w:before="20" w:after="20"/>
              <w:jc w:val="left"/>
            </w:pPr>
            <w:r>
              <w:rPr>
                <w:rFonts w:cstheme="minorHAnsi"/>
                <w:sz w:val="20"/>
                <w:szCs w:val="20"/>
              </w:rPr>
              <w:t>ETADateTime, ETADate</w:t>
            </w:r>
          </w:p>
        </w:tc>
        <w:tc>
          <w:tcPr>
            <w:tcW w:w="1216" w:type="dxa"/>
            <w:vAlign w:val="center"/>
          </w:tcPr>
          <w:p w14:paraId="36F79517" w14:textId="77777777" w:rsidR="00672297" w:rsidRDefault="00A16EA3">
            <w:pPr>
              <w:spacing w:before="20" w:after="20"/>
              <w:jc w:val="left"/>
            </w:pPr>
            <w:r>
              <w:rPr>
                <w:rFonts w:cstheme="minorHAnsi"/>
                <w:sz w:val="20"/>
                <w:szCs w:val="20"/>
              </w:rPr>
              <w:t>DATETIME, DATE</w:t>
            </w:r>
          </w:p>
        </w:tc>
        <w:tc>
          <w:tcPr>
            <w:tcW w:w="3088" w:type="dxa"/>
            <w:vAlign w:val="center"/>
          </w:tcPr>
          <w:p w14:paraId="531F718A" w14:textId="77777777" w:rsidR="00672297" w:rsidRDefault="00A16EA3">
            <w:pPr>
              <w:spacing w:before="20" w:after="20"/>
              <w:jc w:val="left"/>
            </w:pPr>
            <w:r>
              <w:rPr>
                <w:rFonts w:cstheme="minorHAnsi"/>
                <w:sz w:val="20"/>
                <w:szCs w:val="20"/>
              </w:rPr>
              <w:t>Estimated time of arrival</w:t>
            </w:r>
          </w:p>
        </w:tc>
        <w:tc>
          <w:tcPr>
            <w:tcW w:w="2810" w:type="dxa"/>
            <w:vAlign w:val="center"/>
          </w:tcPr>
          <w:p w14:paraId="7853A155" w14:textId="77777777" w:rsidR="00672297" w:rsidRDefault="00A16EA3">
            <w:pPr>
              <w:spacing w:before="20" w:after="20"/>
              <w:jc w:val="left"/>
            </w:pPr>
            <w:r>
              <w:rPr>
                <w:rFonts w:cstheme="minorHAnsi"/>
                <w:sz w:val="20"/>
                <w:szCs w:val="20"/>
              </w:rPr>
              <w:t>movement_end_date of the terminal leg</w:t>
            </w:r>
          </w:p>
        </w:tc>
      </w:tr>
      <w:tr w:rsidR="00672297" w14:paraId="0164956C" w14:textId="77777777">
        <w:trPr>
          <w:cantSplit/>
        </w:trPr>
        <w:tc>
          <w:tcPr>
            <w:tcW w:w="2246" w:type="dxa"/>
            <w:vAlign w:val="center"/>
          </w:tcPr>
          <w:p w14:paraId="1A99996A" w14:textId="77777777" w:rsidR="00672297" w:rsidRDefault="00A16EA3">
            <w:pPr>
              <w:spacing w:before="20" w:after="20"/>
              <w:jc w:val="left"/>
            </w:pPr>
            <w:r>
              <w:rPr>
                <w:rFonts w:cstheme="minorHAnsi"/>
                <w:sz w:val="20"/>
                <w:szCs w:val="20"/>
              </w:rPr>
              <w:t>FlashMin</w:t>
            </w:r>
          </w:p>
        </w:tc>
        <w:tc>
          <w:tcPr>
            <w:tcW w:w="1216" w:type="dxa"/>
            <w:vAlign w:val="center"/>
          </w:tcPr>
          <w:p w14:paraId="119F3DCB" w14:textId="77777777" w:rsidR="00672297" w:rsidRDefault="00A16EA3">
            <w:pPr>
              <w:spacing w:before="20" w:after="20"/>
              <w:jc w:val="left"/>
            </w:pPr>
            <w:r>
              <w:rPr>
                <w:rFonts w:cstheme="minorHAnsi"/>
                <w:sz w:val="20"/>
                <w:szCs w:val="20"/>
              </w:rPr>
              <w:t>DECIMAL(18,4)</w:t>
            </w:r>
          </w:p>
        </w:tc>
        <w:tc>
          <w:tcPr>
            <w:tcW w:w="3088" w:type="dxa"/>
            <w:vAlign w:val="center"/>
          </w:tcPr>
          <w:p w14:paraId="251256C3" w14:textId="77777777" w:rsidR="00672297" w:rsidRDefault="00A16EA3">
            <w:pPr>
              <w:spacing w:before="20" w:after="20"/>
              <w:jc w:val="left"/>
            </w:pPr>
            <w:r>
              <w:rPr>
                <w:rFonts w:cstheme="minorHAnsi"/>
                <w:sz w:val="20"/>
                <w:szCs w:val="20"/>
              </w:rPr>
              <w:t>Flash resolved specification minimum (°F)</w:t>
            </w:r>
          </w:p>
        </w:tc>
        <w:tc>
          <w:tcPr>
            <w:tcW w:w="2810" w:type="dxa"/>
            <w:vAlign w:val="center"/>
          </w:tcPr>
          <w:p w14:paraId="4B972B4A" w14:textId="77777777" w:rsidR="00672297" w:rsidRDefault="00A16EA3">
            <w:pPr>
              <w:spacing w:before="20" w:after="20"/>
              <w:jc w:val="left"/>
            </w:pPr>
            <w:r>
              <w:rPr>
                <w:rFonts w:cstheme="minorHAnsi"/>
                <w:sz w:val="20"/>
                <w:szCs w:val="20"/>
              </w:rPr>
              <w:t>Specification resolution (Stage 1, Stage 2, waiver); NULL when "R"</w:t>
            </w:r>
          </w:p>
        </w:tc>
      </w:tr>
      <w:tr w:rsidR="00672297" w14:paraId="4751CA72" w14:textId="77777777">
        <w:trPr>
          <w:cantSplit/>
        </w:trPr>
        <w:tc>
          <w:tcPr>
            <w:tcW w:w="2246" w:type="dxa"/>
            <w:vAlign w:val="center"/>
          </w:tcPr>
          <w:p w14:paraId="0AC4F40E" w14:textId="77777777" w:rsidR="00672297" w:rsidRDefault="00A16EA3">
            <w:pPr>
              <w:spacing w:before="20" w:after="20"/>
              <w:jc w:val="left"/>
            </w:pPr>
            <w:r>
              <w:rPr>
                <w:rFonts w:cstheme="minorHAnsi"/>
                <w:sz w:val="20"/>
                <w:szCs w:val="20"/>
              </w:rPr>
              <w:t>FlashActual</w:t>
            </w:r>
          </w:p>
        </w:tc>
        <w:tc>
          <w:tcPr>
            <w:tcW w:w="1216" w:type="dxa"/>
            <w:vAlign w:val="center"/>
          </w:tcPr>
          <w:p w14:paraId="40D369D2" w14:textId="77777777" w:rsidR="00672297" w:rsidRDefault="00A16EA3">
            <w:pPr>
              <w:spacing w:before="20" w:after="20"/>
              <w:jc w:val="left"/>
            </w:pPr>
            <w:r>
              <w:rPr>
                <w:rFonts w:cstheme="minorHAnsi"/>
                <w:sz w:val="20"/>
                <w:szCs w:val="20"/>
              </w:rPr>
              <w:t>DECIMAL(18,4)</w:t>
            </w:r>
          </w:p>
        </w:tc>
        <w:tc>
          <w:tcPr>
            <w:tcW w:w="3088" w:type="dxa"/>
            <w:vAlign w:val="center"/>
          </w:tcPr>
          <w:p w14:paraId="098F6D21" w14:textId="77777777" w:rsidR="00672297" w:rsidRDefault="00A16EA3">
            <w:pPr>
              <w:spacing w:before="20" w:after="20"/>
              <w:jc w:val="left"/>
            </w:pPr>
            <w:r>
              <w:rPr>
                <w:rFonts w:cstheme="minorHAnsi"/>
                <w:sz w:val="20"/>
                <w:szCs w:val="20"/>
              </w:rPr>
              <w:t>Flash certified value (°F)</w:t>
            </w:r>
          </w:p>
        </w:tc>
        <w:tc>
          <w:tcPr>
            <w:tcW w:w="2810" w:type="dxa"/>
            <w:vAlign w:val="center"/>
          </w:tcPr>
          <w:p w14:paraId="5E5A3FE3" w14:textId="77777777" w:rsidR="00672297" w:rsidRDefault="00A16EA3">
            <w:pPr>
              <w:spacing w:before="20" w:after="20"/>
              <w:jc w:val="left"/>
            </w:pPr>
            <w:r>
              <w:rPr>
                <w:rFonts w:cstheme="minorHAnsi"/>
                <w:sz w:val="20"/>
                <w:szCs w:val="20"/>
              </w:rPr>
              <w:t>quality_detail (certified sample of the batch)</w:t>
            </w:r>
          </w:p>
        </w:tc>
      </w:tr>
      <w:tr w:rsidR="00672297" w14:paraId="1FC6D48C" w14:textId="77777777">
        <w:trPr>
          <w:cantSplit/>
        </w:trPr>
        <w:tc>
          <w:tcPr>
            <w:tcW w:w="2246" w:type="dxa"/>
            <w:vAlign w:val="center"/>
          </w:tcPr>
          <w:p w14:paraId="27D04F3B" w14:textId="77777777" w:rsidR="00672297" w:rsidRDefault="00A16EA3">
            <w:pPr>
              <w:spacing w:before="20" w:after="20"/>
              <w:jc w:val="left"/>
            </w:pPr>
            <w:r>
              <w:rPr>
                <w:rFonts w:cstheme="minorHAnsi"/>
                <w:sz w:val="20"/>
                <w:szCs w:val="20"/>
              </w:rPr>
              <w:t>FlashMax</w:t>
            </w:r>
          </w:p>
        </w:tc>
        <w:tc>
          <w:tcPr>
            <w:tcW w:w="1216" w:type="dxa"/>
            <w:vAlign w:val="center"/>
          </w:tcPr>
          <w:p w14:paraId="7D7C5FC6" w14:textId="77777777" w:rsidR="00672297" w:rsidRDefault="00A16EA3">
            <w:pPr>
              <w:spacing w:before="20" w:after="20"/>
              <w:jc w:val="left"/>
            </w:pPr>
            <w:r>
              <w:rPr>
                <w:rFonts w:cstheme="minorHAnsi"/>
                <w:sz w:val="20"/>
                <w:szCs w:val="20"/>
              </w:rPr>
              <w:t>DECIMAL(18,4)</w:t>
            </w:r>
          </w:p>
        </w:tc>
        <w:tc>
          <w:tcPr>
            <w:tcW w:w="3088" w:type="dxa"/>
            <w:vAlign w:val="center"/>
          </w:tcPr>
          <w:p w14:paraId="27732ADD" w14:textId="77777777" w:rsidR="00672297" w:rsidRDefault="00A16EA3">
            <w:pPr>
              <w:spacing w:before="20" w:after="20"/>
              <w:jc w:val="left"/>
            </w:pPr>
            <w:r>
              <w:rPr>
                <w:rFonts w:cstheme="minorHAnsi"/>
                <w:sz w:val="20"/>
                <w:szCs w:val="20"/>
              </w:rPr>
              <w:t>Flash resolved specification maximum (°F)</w:t>
            </w:r>
          </w:p>
        </w:tc>
        <w:tc>
          <w:tcPr>
            <w:tcW w:w="2810" w:type="dxa"/>
            <w:vAlign w:val="center"/>
          </w:tcPr>
          <w:p w14:paraId="0840248C" w14:textId="77777777" w:rsidR="00672297" w:rsidRDefault="00A16EA3">
            <w:pPr>
              <w:spacing w:before="20" w:after="20"/>
              <w:jc w:val="left"/>
            </w:pPr>
            <w:r>
              <w:rPr>
                <w:rFonts w:cstheme="minorHAnsi"/>
                <w:sz w:val="20"/>
                <w:szCs w:val="20"/>
              </w:rPr>
              <w:t>Specification resolution; NULL when "R"</w:t>
            </w:r>
          </w:p>
        </w:tc>
      </w:tr>
      <w:tr w:rsidR="00672297" w14:paraId="649A88E3" w14:textId="77777777">
        <w:trPr>
          <w:cantSplit/>
        </w:trPr>
        <w:tc>
          <w:tcPr>
            <w:tcW w:w="2246" w:type="dxa"/>
            <w:vAlign w:val="center"/>
          </w:tcPr>
          <w:p w14:paraId="29D4AF7D" w14:textId="77777777" w:rsidR="00672297" w:rsidRDefault="00A16EA3">
            <w:pPr>
              <w:spacing w:before="20" w:after="20"/>
              <w:jc w:val="left"/>
            </w:pPr>
            <w:r>
              <w:rPr>
                <w:rFonts w:cstheme="minorHAnsi"/>
                <w:sz w:val="20"/>
                <w:szCs w:val="20"/>
              </w:rPr>
              <w:t>SulphurMin</w:t>
            </w:r>
          </w:p>
        </w:tc>
        <w:tc>
          <w:tcPr>
            <w:tcW w:w="1216" w:type="dxa"/>
            <w:vAlign w:val="center"/>
          </w:tcPr>
          <w:p w14:paraId="5F5D23D4" w14:textId="77777777" w:rsidR="00672297" w:rsidRDefault="00A16EA3">
            <w:pPr>
              <w:spacing w:before="20" w:after="20"/>
              <w:jc w:val="left"/>
            </w:pPr>
            <w:r>
              <w:rPr>
                <w:rFonts w:cstheme="minorHAnsi"/>
                <w:sz w:val="20"/>
                <w:szCs w:val="20"/>
              </w:rPr>
              <w:t>DECIMAL(18,4)</w:t>
            </w:r>
          </w:p>
        </w:tc>
        <w:tc>
          <w:tcPr>
            <w:tcW w:w="3088" w:type="dxa"/>
            <w:vAlign w:val="center"/>
          </w:tcPr>
          <w:p w14:paraId="1334588E" w14:textId="77777777" w:rsidR="00672297" w:rsidRDefault="00A16EA3">
            <w:pPr>
              <w:spacing w:before="20" w:after="20"/>
              <w:jc w:val="left"/>
            </w:pPr>
            <w:r>
              <w:rPr>
                <w:rFonts w:cstheme="minorHAnsi"/>
                <w:sz w:val="20"/>
                <w:szCs w:val="20"/>
              </w:rPr>
              <w:t>Sulphur resolved specification minimum (ppm)</w:t>
            </w:r>
          </w:p>
        </w:tc>
        <w:tc>
          <w:tcPr>
            <w:tcW w:w="2810" w:type="dxa"/>
            <w:vAlign w:val="center"/>
          </w:tcPr>
          <w:p w14:paraId="5A35FF93" w14:textId="77777777" w:rsidR="00672297" w:rsidRDefault="00A16EA3">
            <w:pPr>
              <w:spacing w:before="20" w:after="20"/>
              <w:jc w:val="left"/>
            </w:pPr>
            <w:r>
              <w:rPr>
                <w:rFonts w:cstheme="minorHAnsi"/>
                <w:sz w:val="20"/>
                <w:szCs w:val="20"/>
              </w:rPr>
              <w:t>Specification resolution (Stage 1, Stage 2, waiver); NULL when "R"</w:t>
            </w:r>
          </w:p>
        </w:tc>
      </w:tr>
      <w:tr w:rsidR="00672297" w14:paraId="2273DE59" w14:textId="77777777">
        <w:trPr>
          <w:cantSplit/>
        </w:trPr>
        <w:tc>
          <w:tcPr>
            <w:tcW w:w="2246" w:type="dxa"/>
            <w:vAlign w:val="center"/>
          </w:tcPr>
          <w:p w14:paraId="1782482E" w14:textId="77777777" w:rsidR="00672297" w:rsidRDefault="00A16EA3">
            <w:pPr>
              <w:spacing w:before="20" w:after="20"/>
              <w:jc w:val="left"/>
            </w:pPr>
            <w:r>
              <w:rPr>
                <w:rFonts w:cstheme="minorHAnsi"/>
                <w:sz w:val="20"/>
                <w:szCs w:val="20"/>
              </w:rPr>
              <w:t>SulphurActual</w:t>
            </w:r>
          </w:p>
        </w:tc>
        <w:tc>
          <w:tcPr>
            <w:tcW w:w="1216" w:type="dxa"/>
            <w:vAlign w:val="center"/>
          </w:tcPr>
          <w:p w14:paraId="7C17CCC5" w14:textId="77777777" w:rsidR="00672297" w:rsidRDefault="00A16EA3">
            <w:pPr>
              <w:spacing w:before="20" w:after="20"/>
              <w:jc w:val="left"/>
            </w:pPr>
            <w:r>
              <w:rPr>
                <w:rFonts w:cstheme="minorHAnsi"/>
                <w:sz w:val="20"/>
                <w:szCs w:val="20"/>
              </w:rPr>
              <w:t>DECIMAL(18,4)</w:t>
            </w:r>
          </w:p>
        </w:tc>
        <w:tc>
          <w:tcPr>
            <w:tcW w:w="3088" w:type="dxa"/>
            <w:vAlign w:val="center"/>
          </w:tcPr>
          <w:p w14:paraId="3817AD62" w14:textId="77777777" w:rsidR="00672297" w:rsidRDefault="00A16EA3">
            <w:pPr>
              <w:spacing w:before="20" w:after="20"/>
              <w:jc w:val="left"/>
            </w:pPr>
            <w:r>
              <w:rPr>
                <w:rFonts w:cstheme="minorHAnsi"/>
                <w:sz w:val="20"/>
                <w:szCs w:val="20"/>
              </w:rPr>
              <w:t>Sulphur certified value (ppm)</w:t>
            </w:r>
          </w:p>
        </w:tc>
        <w:tc>
          <w:tcPr>
            <w:tcW w:w="2810" w:type="dxa"/>
            <w:vAlign w:val="center"/>
          </w:tcPr>
          <w:p w14:paraId="7F636057" w14:textId="77777777" w:rsidR="00672297" w:rsidRDefault="00A16EA3">
            <w:pPr>
              <w:spacing w:before="20" w:after="20"/>
              <w:jc w:val="left"/>
            </w:pPr>
            <w:r>
              <w:rPr>
                <w:rFonts w:cstheme="minorHAnsi"/>
                <w:sz w:val="20"/>
                <w:szCs w:val="20"/>
              </w:rPr>
              <w:t>quality_detail (certified sample of the batch)</w:t>
            </w:r>
          </w:p>
        </w:tc>
      </w:tr>
      <w:tr w:rsidR="00672297" w14:paraId="24351FB2" w14:textId="77777777">
        <w:trPr>
          <w:cantSplit/>
        </w:trPr>
        <w:tc>
          <w:tcPr>
            <w:tcW w:w="2246" w:type="dxa"/>
            <w:vAlign w:val="center"/>
          </w:tcPr>
          <w:p w14:paraId="5225AFCF" w14:textId="77777777" w:rsidR="00672297" w:rsidRDefault="00A16EA3">
            <w:pPr>
              <w:spacing w:before="20" w:after="20"/>
              <w:jc w:val="left"/>
            </w:pPr>
            <w:r>
              <w:rPr>
                <w:rFonts w:cstheme="minorHAnsi"/>
                <w:sz w:val="20"/>
                <w:szCs w:val="20"/>
              </w:rPr>
              <w:t>SulphurMax</w:t>
            </w:r>
          </w:p>
        </w:tc>
        <w:tc>
          <w:tcPr>
            <w:tcW w:w="1216" w:type="dxa"/>
            <w:vAlign w:val="center"/>
          </w:tcPr>
          <w:p w14:paraId="0AD669E0" w14:textId="77777777" w:rsidR="00672297" w:rsidRDefault="00A16EA3">
            <w:pPr>
              <w:spacing w:before="20" w:after="20"/>
              <w:jc w:val="left"/>
            </w:pPr>
            <w:r>
              <w:rPr>
                <w:rFonts w:cstheme="minorHAnsi"/>
                <w:sz w:val="20"/>
                <w:szCs w:val="20"/>
              </w:rPr>
              <w:t>DECIMAL(18,4)</w:t>
            </w:r>
          </w:p>
        </w:tc>
        <w:tc>
          <w:tcPr>
            <w:tcW w:w="3088" w:type="dxa"/>
            <w:vAlign w:val="center"/>
          </w:tcPr>
          <w:p w14:paraId="5EA86966" w14:textId="77777777" w:rsidR="00672297" w:rsidRDefault="00A16EA3">
            <w:pPr>
              <w:spacing w:before="20" w:after="20"/>
              <w:jc w:val="left"/>
            </w:pPr>
            <w:r>
              <w:rPr>
                <w:rFonts w:cstheme="minorHAnsi"/>
                <w:sz w:val="20"/>
                <w:szCs w:val="20"/>
              </w:rPr>
              <w:t>Sulphur resolved specification maximum (ppm)</w:t>
            </w:r>
          </w:p>
        </w:tc>
        <w:tc>
          <w:tcPr>
            <w:tcW w:w="2810" w:type="dxa"/>
            <w:vAlign w:val="center"/>
          </w:tcPr>
          <w:p w14:paraId="7DE062A4" w14:textId="77777777" w:rsidR="00672297" w:rsidRDefault="00A16EA3">
            <w:pPr>
              <w:spacing w:before="20" w:after="20"/>
              <w:jc w:val="left"/>
            </w:pPr>
            <w:r>
              <w:rPr>
                <w:rFonts w:cstheme="minorHAnsi"/>
                <w:sz w:val="20"/>
                <w:szCs w:val="20"/>
              </w:rPr>
              <w:t>Specification resolution; NULL when "R"</w:t>
            </w:r>
          </w:p>
        </w:tc>
      </w:tr>
      <w:tr w:rsidR="00672297" w14:paraId="31ADEC1F" w14:textId="77777777">
        <w:trPr>
          <w:cantSplit/>
        </w:trPr>
        <w:tc>
          <w:tcPr>
            <w:tcW w:w="2246" w:type="dxa"/>
            <w:vAlign w:val="center"/>
          </w:tcPr>
          <w:p w14:paraId="250DBBB8" w14:textId="77777777" w:rsidR="00672297" w:rsidRDefault="00A16EA3">
            <w:pPr>
              <w:spacing w:before="20" w:after="20"/>
              <w:jc w:val="left"/>
            </w:pPr>
            <w:r>
              <w:rPr>
                <w:rFonts w:cstheme="minorHAnsi"/>
                <w:sz w:val="20"/>
                <w:szCs w:val="20"/>
              </w:rPr>
              <w:t>AdjCloudPointMin</w:t>
            </w:r>
          </w:p>
        </w:tc>
        <w:tc>
          <w:tcPr>
            <w:tcW w:w="1216" w:type="dxa"/>
            <w:vAlign w:val="center"/>
          </w:tcPr>
          <w:p w14:paraId="1AE74355" w14:textId="77777777" w:rsidR="00672297" w:rsidRDefault="00A16EA3">
            <w:pPr>
              <w:spacing w:before="20" w:after="20"/>
              <w:jc w:val="left"/>
            </w:pPr>
            <w:r>
              <w:rPr>
                <w:rFonts w:cstheme="minorHAnsi"/>
                <w:sz w:val="20"/>
                <w:szCs w:val="20"/>
              </w:rPr>
              <w:t>DECIMAL(18,4)</w:t>
            </w:r>
          </w:p>
        </w:tc>
        <w:tc>
          <w:tcPr>
            <w:tcW w:w="3088" w:type="dxa"/>
            <w:vAlign w:val="center"/>
          </w:tcPr>
          <w:p w14:paraId="350EE447" w14:textId="77777777" w:rsidR="00672297" w:rsidRDefault="00A16EA3">
            <w:pPr>
              <w:spacing w:before="20" w:after="20"/>
              <w:jc w:val="left"/>
            </w:pPr>
            <w:r>
              <w:rPr>
                <w:rFonts w:cstheme="minorHAnsi"/>
                <w:sz w:val="20"/>
                <w:szCs w:val="20"/>
              </w:rPr>
              <w:t>AdjCloudPoint resolved specification minimum (°F)</w:t>
            </w:r>
          </w:p>
        </w:tc>
        <w:tc>
          <w:tcPr>
            <w:tcW w:w="2810" w:type="dxa"/>
            <w:vAlign w:val="center"/>
          </w:tcPr>
          <w:p w14:paraId="17584DD0" w14:textId="77777777" w:rsidR="00672297" w:rsidRDefault="00A16EA3">
            <w:pPr>
              <w:spacing w:before="20" w:after="20"/>
              <w:jc w:val="left"/>
            </w:pPr>
            <w:r>
              <w:rPr>
                <w:rFonts w:cstheme="minorHAnsi"/>
                <w:sz w:val="20"/>
                <w:szCs w:val="20"/>
              </w:rPr>
              <w:t>Specification resolution (Stage 1, Stage 2, waiver); NULL when "R"</w:t>
            </w:r>
          </w:p>
        </w:tc>
      </w:tr>
      <w:tr w:rsidR="00672297" w14:paraId="2014DA16" w14:textId="77777777">
        <w:trPr>
          <w:cantSplit/>
        </w:trPr>
        <w:tc>
          <w:tcPr>
            <w:tcW w:w="2246" w:type="dxa"/>
            <w:vAlign w:val="center"/>
          </w:tcPr>
          <w:p w14:paraId="784826A4" w14:textId="77777777" w:rsidR="00672297" w:rsidRDefault="00A16EA3">
            <w:pPr>
              <w:spacing w:before="20" w:after="20"/>
              <w:jc w:val="left"/>
            </w:pPr>
            <w:r>
              <w:rPr>
                <w:rFonts w:cstheme="minorHAnsi"/>
                <w:sz w:val="20"/>
                <w:szCs w:val="20"/>
              </w:rPr>
              <w:t>AdjCloudPointActual</w:t>
            </w:r>
          </w:p>
        </w:tc>
        <w:tc>
          <w:tcPr>
            <w:tcW w:w="1216" w:type="dxa"/>
            <w:vAlign w:val="center"/>
          </w:tcPr>
          <w:p w14:paraId="02FF696D" w14:textId="77777777" w:rsidR="00672297" w:rsidRDefault="00A16EA3">
            <w:pPr>
              <w:spacing w:before="20" w:after="20"/>
              <w:jc w:val="left"/>
            </w:pPr>
            <w:r>
              <w:rPr>
                <w:rFonts w:cstheme="minorHAnsi"/>
                <w:sz w:val="20"/>
                <w:szCs w:val="20"/>
              </w:rPr>
              <w:t>DECIMAL(18,4)</w:t>
            </w:r>
          </w:p>
        </w:tc>
        <w:tc>
          <w:tcPr>
            <w:tcW w:w="3088" w:type="dxa"/>
            <w:vAlign w:val="center"/>
          </w:tcPr>
          <w:p w14:paraId="1B7C3A37" w14:textId="77777777" w:rsidR="00672297" w:rsidRDefault="00A16EA3">
            <w:pPr>
              <w:spacing w:before="20" w:after="20"/>
              <w:jc w:val="left"/>
            </w:pPr>
            <w:r>
              <w:rPr>
                <w:rFonts w:cstheme="minorHAnsi"/>
                <w:sz w:val="20"/>
                <w:szCs w:val="20"/>
              </w:rPr>
              <w:t>AdjCloudPoint certified value (°F)</w:t>
            </w:r>
          </w:p>
        </w:tc>
        <w:tc>
          <w:tcPr>
            <w:tcW w:w="2810" w:type="dxa"/>
            <w:vAlign w:val="center"/>
          </w:tcPr>
          <w:p w14:paraId="07D20BA1" w14:textId="77777777" w:rsidR="00672297" w:rsidRDefault="00A16EA3">
            <w:pPr>
              <w:spacing w:before="20" w:after="20"/>
              <w:jc w:val="left"/>
            </w:pPr>
            <w:r>
              <w:rPr>
                <w:rFonts w:cstheme="minorHAnsi"/>
                <w:sz w:val="20"/>
                <w:szCs w:val="20"/>
              </w:rPr>
              <w:t>quality_detail (certified sample of the batch)</w:t>
            </w:r>
          </w:p>
        </w:tc>
      </w:tr>
      <w:tr w:rsidR="00672297" w14:paraId="54657BC9" w14:textId="77777777">
        <w:trPr>
          <w:cantSplit/>
        </w:trPr>
        <w:tc>
          <w:tcPr>
            <w:tcW w:w="2246" w:type="dxa"/>
            <w:vAlign w:val="center"/>
          </w:tcPr>
          <w:p w14:paraId="5AFF331D" w14:textId="77777777" w:rsidR="00672297" w:rsidRDefault="00A16EA3">
            <w:pPr>
              <w:spacing w:before="20" w:after="20"/>
              <w:jc w:val="left"/>
            </w:pPr>
            <w:r>
              <w:rPr>
                <w:rFonts w:cstheme="minorHAnsi"/>
                <w:sz w:val="20"/>
                <w:szCs w:val="20"/>
              </w:rPr>
              <w:t>AdjCloudPointMax</w:t>
            </w:r>
          </w:p>
        </w:tc>
        <w:tc>
          <w:tcPr>
            <w:tcW w:w="1216" w:type="dxa"/>
            <w:vAlign w:val="center"/>
          </w:tcPr>
          <w:p w14:paraId="0B58D76D" w14:textId="77777777" w:rsidR="00672297" w:rsidRDefault="00A16EA3">
            <w:pPr>
              <w:spacing w:before="20" w:after="20"/>
              <w:jc w:val="left"/>
            </w:pPr>
            <w:r>
              <w:rPr>
                <w:rFonts w:cstheme="minorHAnsi"/>
                <w:sz w:val="20"/>
                <w:szCs w:val="20"/>
              </w:rPr>
              <w:t>DECIMAL(18,4)</w:t>
            </w:r>
          </w:p>
        </w:tc>
        <w:tc>
          <w:tcPr>
            <w:tcW w:w="3088" w:type="dxa"/>
            <w:vAlign w:val="center"/>
          </w:tcPr>
          <w:p w14:paraId="6A4D15AF" w14:textId="77777777" w:rsidR="00672297" w:rsidRDefault="00A16EA3">
            <w:pPr>
              <w:spacing w:before="20" w:after="20"/>
              <w:jc w:val="left"/>
            </w:pPr>
            <w:r>
              <w:rPr>
                <w:rFonts w:cstheme="minorHAnsi"/>
                <w:sz w:val="20"/>
                <w:szCs w:val="20"/>
              </w:rPr>
              <w:t>AdjCloudPoint resolved specification maximum (°F)</w:t>
            </w:r>
          </w:p>
        </w:tc>
        <w:tc>
          <w:tcPr>
            <w:tcW w:w="2810" w:type="dxa"/>
            <w:vAlign w:val="center"/>
          </w:tcPr>
          <w:p w14:paraId="2A45D768" w14:textId="77777777" w:rsidR="00672297" w:rsidRDefault="00A16EA3">
            <w:pPr>
              <w:spacing w:before="20" w:after="20"/>
              <w:jc w:val="left"/>
            </w:pPr>
            <w:r>
              <w:rPr>
                <w:rFonts w:cstheme="minorHAnsi"/>
                <w:sz w:val="20"/>
                <w:szCs w:val="20"/>
              </w:rPr>
              <w:t>Specification resolution; NULL when "R"</w:t>
            </w:r>
          </w:p>
        </w:tc>
      </w:tr>
      <w:tr w:rsidR="00672297" w14:paraId="29244ECE" w14:textId="77777777">
        <w:trPr>
          <w:cantSplit/>
        </w:trPr>
        <w:tc>
          <w:tcPr>
            <w:tcW w:w="2246" w:type="dxa"/>
            <w:vAlign w:val="center"/>
          </w:tcPr>
          <w:p w14:paraId="544AA10A" w14:textId="77777777" w:rsidR="00672297" w:rsidRDefault="00A16EA3">
            <w:pPr>
              <w:spacing w:before="20" w:after="20"/>
              <w:jc w:val="left"/>
            </w:pPr>
            <w:r>
              <w:rPr>
                <w:rFonts w:cstheme="minorHAnsi"/>
                <w:sz w:val="20"/>
                <w:szCs w:val="20"/>
              </w:rPr>
              <w:t>T90Min</w:t>
            </w:r>
          </w:p>
        </w:tc>
        <w:tc>
          <w:tcPr>
            <w:tcW w:w="1216" w:type="dxa"/>
            <w:vAlign w:val="center"/>
          </w:tcPr>
          <w:p w14:paraId="4E10E05D" w14:textId="77777777" w:rsidR="00672297" w:rsidRDefault="00A16EA3">
            <w:pPr>
              <w:spacing w:before="20" w:after="20"/>
              <w:jc w:val="left"/>
            </w:pPr>
            <w:r>
              <w:rPr>
                <w:rFonts w:cstheme="minorHAnsi"/>
                <w:sz w:val="20"/>
                <w:szCs w:val="20"/>
              </w:rPr>
              <w:t>DECIMAL(18,4)</w:t>
            </w:r>
          </w:p>
        </w:tc>
        <w:tc>
          <w:tcPr>
            <w:tcW w:w="3088" w:type="dxa"/>
            <w:vAlign w:val="center"/>
          </w:tcPr>
          <w:p w14:paraId="787C208E" w14:textId="77777777" w:rsidR="00672297" w:rsidRDefault="00A16EA3">
            <w:pPr>
              <w:spacing w:before="20" w:after="20"/>
              <w:jc w:val="left"/>
            </w:pPr>
            <w:r>
              <w:rPr>
                <w:rFonts w:cstheme="minorHAnsi"/>
                <w:sz w:val="20"/>
                <w:szCs w:val="20"/>
              </w:rPr>
              <w:t>T90 resolved specification minimum (°F)</w:t>
            </w:r>
          </w:p>
        </w:tc>
        <w:tc>
          <w:tcPr>
            <w:tcW w:w="2810" w:type="dxa"/>
            <w:vAlign w:val="center"/>
          </w:tcPr>
          <w:p w14:paraId="4CF9E072" w14:textId="77777777" w:rsidR="00672297" w:rsidRDefault="00A16EA3">
            <w:pPr>
              <w:spacing w:before="20" w:after="20"/>
              <w:jc w:val="left"/>
            </w:pPr>
            <w:r>
              <w:rPr>
                <w:rFonts w:cstheme="minorHAnsi"/>
                <w:sz w:val="20"/>
                <w:szCs w:val="20"/>
              </w:rPr>
              <w:t>Specification resolution (Stage 1, Stage 2, waiver); NULL when "R"</w:t>
            </w:r>
          </w:p>
        </w:tc>
      </w:tr>
      <w:tr w:rsidR="00672297" w14:paraId="393BE8A2" w14:textId="77777777">
        <w:trPr>
          <w:cantSplit/>
        </w:trPr>
        <w:tc>
          <w:tcPr>
            <w:tcW w:w="2246" w:type="dxa"/>
            <w:vAlign w:val="center"/>
          </w:tcPr>
          <w:p w14:paraId="70F0030F" w14:textId="77777777" w:rsidR="00672297" w:rsidRDefault="00A16EA3">
            <w:pPr>
              <w:spacing w:before="20" w:after="20"/>
              <w:jc w:val="left"/>
            </w:pPr>
            <w:r>
              <w:rPr>
                <w:rFonts w:cstheme="minorHAnsi"/>
                <w:sz w:val="20"/>
                <w:szCs w:val="20"/>
              </w:rPr>
              <w:t>T90Actual</w:t>
            </w:r>
          </w:p>
        </w:tc>
        <w:tc>
          <w:tcPr>
            <w:tcW w:w="1216" w:type="dxa"/>
            <w:vAlign w:val="center"/>
          </w:tcPr>
          <w:p w14:paraId="42B24891" w14:textId="77777777" w:rsidR="00672297" w:rsidRDefault="00A16EA3">
            <w:pPr>
              <w:spacing w:before="20" w:after="20"/>
              <w:jc w:val="left"/>
            </w:pPr>
            <w:r>
              <w:rPr>
                <w:rFonts w:cstheme="minorHAnsi"/>
                <w:sz w:val="20"/>
                <w:szCs w:val="20"/>
              </w:rPr>
              <w:t>DECIMAL(18,4)</w:t>
            </w:r>
          </w:p>
        </w:tc>
        <w:tc>
          <w:tcPr>
            <w:tcW w:w="3088" w:type="dxa"/>
            <w:vAlign w:val="center"/>
          </w:tcPr>
          <w:p w14:paraId="4C96AEBA" w14:textId="77777777" w:rsidR="00672297" w:rsidRDefault="00A16EA3">
            <w:pPr>
              <w:spacing w:before="20" w:after="20"/>
              <w:jc w:val="left"/>
            </w:pPr>
            <w:r>
              <w:rPr>
                <w:rFonts w:cstheme="minorHAnsi"/>
                <w:sz w:val="20"/>
                <w:szCs w:val="20"/>
              </w:rPr>
              <w:t>T90 certified value (°F)</w:t>
            </w:r>
          </w:p>
        </w:tc>
        <w:tc>
          <w:tcPr>
            <w:tcW w:w="2810" w:type="dxa"/>
            <w:vAlign w:val="center"/>
          </w:tcPr>
          <w:p w14:paraId="4BB9FD6C" w14:textId="77777777" w:rsidR="00672297" w:rsidRDefault="00A16EA3">
            <w:pPr>
              <w:spacing w:before="20" w:after="20"/>
              <w:jc w:val="left"/>
            </w:pPr>
            <w:r>
              <w:rPr>
                <w:rFonts w:cstheme="minorHAnsi"/>
                <w:sz w:val="20"/>
                <w:szCs w:val="20"/>
              </w:rPr>
              <w:t>quality_detail (certified sample of the batch)</w:t>
            </w:r>
          </w:p>
        </w:tc>
      </w:tr>
      <w:tr w:rsidR="00672297" w14:paraId="19361663" w14:textId="77777777">
        <w:trPr>
          <w:cantSplit/>
        </w:trPr>
        <w:tc>
          <w:tcPr>
            <w:tcW w:w="2246" w:type="dxa"/>
            <w:vAlign w:val="center"/>
          </w:tcPr>
          <w:p w14:paraId="4A5864DE" w14:textId="77777777" w:rsidR="00672297" w:rsidRDefault="00A16EA3">
            <w:pPr>
              <w:spacing w:before="20" w:after="20"/>
              <w:jc w:val="left"/>
            </w:pPr>
            <w:r>
              <w:rPr>
                <w:rFonts w:cstheme="minorHAnsi"/>
                <w:sz w:val="20"/>
                <w:szCs w:val="20"/>
              </w:rPr>
              <w:t>T90Max</w:t>
            </w:r>
          </w:p>
        </w:tc>
        <w:tc>
          <w:tcPr>
            <w:tcW w:w="1216" w:type="dxa"/>
            <w:vAlign w:val="center"/>
          </w:tcPr>
          <w:p w14:paraId="3C228692" w14:textId="77777777" w:rsidR="00672297" w:rsidRDefault="00A16EA3">
            <w:pPr>
              <w:spacing w:before="20" w:after="20"/>
              <w:jc w:val="left"/>
            </w:pPr>
            <w:r>
              <w:rPr>
                <w:rFonts w:cstheme="minorHAnsi"/>
                <w:sz w:val="20"/>
                <w:szCs w:val="20"/>
              </w:rPr>
              <w:t>DECIMAL(18,4)</w:t>
            </w:r>
          </w:p>
        </w:tc>
        <w:tc>
          <w:tcPr>
            <w:tcW w:w="3088" w:type="dxa"/>
            <w:vAlign w:val="center"/>
          </w:tcPr>
          <w:p w14:paraId="1391546D" w14:textId="77777777" w:rsidR="00672297" w:rsidRDefault="00A16EA3">
            <w:pPr>
              <w:spacing w:before="20" w:after="20"/>
              <w:jc w:val="left"/>
            </w:pPr>
            <w:r>
              <w:rPr>
                <w:rFonts w:cstheme="minorHAnsi"/>
                <w:sz w:val="20"/>
                <w:szCs w:val="20"/>
              </w:rPr>
              <w:t>T90 resolved specification maximum (°F)</w:t>
            </w:r>
          </w:p>
        </w:tc>
        <w:tc>
          <w:tcPr>
            <w:tcW w:w="2810" w:type="dxa"/>
            <w:vAlign w:val="center"/>
          </w:tcPr>
          <w:p w14:paraId="496094B7" w14:textId="77777777" w:rsidR="00672297" w:rsidRDefault="00A16EA3">
            <w:pPr>
              <w:spacing w:before="20" w:after="20"/>
              <w:jc w:val="left"/>
            </w:pPr>
            <w:r>
              <w:rPr>
                <w:rFonts w:cstheme="minorHAnsi"/>
                <w:sz w:val="20"/>
                <w:szCs w:val="20"/>
              </w:rPr>
              <w:t>Specification resolution; NULL when "R"</w:t>
            </w:r>
          </w:p>
        </w:tc>
      </w:tr>
      <w:tr w:rsidR="00672297" w14:paraId="4203CEDB" w14:textId="77777777">
        <w:trPr>
          <w:cantSplit/>
        </w:trPr>
        <w:tc>
          <w:tcPr>
            <w:tcW w:w="2246" w:type="dxa"/>
            <w:vAlign w:val="center"/>
          </w:tcPr>
          <w:p w14:paraId="4B0588A4" w14:textId="77777777" w:rsidR="00672297" w:rsidRDefault="00A16EA3">
            <w:pPr>
              <w:spacing w:before="20" w:after="20"/>
              <w:jc w:val="left"/>
            </w:pPr>
            <w:r>
              <w:rPr>
                <w:rFonts w:cstheme="minorHAnsi"/>
                <w:sz w:val="20"/>
                <w:szCs w:val="20"/>
              </w:rPr>
              <w:t>FBPMin</w:t>
            </w:r>
          </w:p>
        </w:tc>
        <w:tc>
          <w:tcPr>
            <w:tcW w:w="1216" w:type="dxa"/>
            <w:vAlign w:val="center"/>
          </w:tcPr>
          <w:p w14:paraId="2E57C9A8" w14:textId="77777777" w:rsidR="00672297" w:rsidRDefault="00A16EA3">
            <w:pPr>
              <w:spacing w:before="20" w:after="20"/>
              <w:jc w:val="left"/>
            </w:pPr>
            <w:r>
              <w:rPr>
                <w:rFonts w:cstheme="minorHAnsi"/>
                <w:sz w:val="20"/>
                <w:szCs w:val="20"/>
              </w:rPr>
              <w:t>DECIMAL(18,4)</w:t>
            </w:r>
          </w:p>
        </w:tc>
        <w:tc>
          <w:tcPr>
            <w:tcW w:w="3088" w:type="dxa"/>
            <w:vAlign w:val="center"/>
          </w:tcPr>
          <w:p w14:paraId="78DFEFD8" w14:textId="77777777" w:rsidR="00672297" w:rsidRDefault="00A16EA3">
            <w:pPr>
              <w:spacing w:before="20" w:after="20"/>
              <w:jc w:val="left"/>
            </w:pPr>
            <w:r>
              <w:rPr>
                <w:rFonts w:cstheme="minorHAnsi"/>
                <w:sz w:val="20"/>
                <w:szCs w:val="20"/>
              </w:rPr>
              <w:t>FBP resolved specification minimum (°F)</w:t>
            </w:r>
          </w:p>
        </w:tc>
        <w:tc>
          <w:tcPr>
            <w:tcW w:w="2810" w:type="dxa"/>
            <w:vAlign w:val="center"/>
          </w:tcPr>
          <w:p w14:paraId="42012C0D" w14:textId="77777777" w:rsidR="00672297" w:rsidRDefault="00A16EA3">
            <w:pPr>
              <w:spacing w:before="20" w:after="20"/>
              <w:jc w:val="left"/>
            </w:pPr>
            <w:r>
              <w:rPr>
                <w:rFonts w:cstheme="minorHAnsi"/>
                <w:sz w:val="20"/>
                <w:szCs w:val="20"/>
              </w:rPr>
              <w:t>Specification resolution (Stage 1, Stage 2, waiver); NULL when "R"</w:t>
            </w:r>
          </w:p>
        </w:tc>
      </w:tr>
      <w:tr w:rsidR="00672297" w14:paraId="65945675" w14:textId="77777777">
        <w:trPr>
          <w:cantSplit/>
        </w:trPr>
        <w:tc>
          <w:tcPr>
            <w:tcW w:w="2246" w:type="dxa"/>
            <w:vAlign w:val="center"/>
          </w:tcPr>
          <w:p w14:paraId="2723831F" w14:textId="77777777" w:rsidR="00672297" w:rsidRDefault="00A16EA3">
            <w:pPr>
              <w:spacing w:before="20" w:after="20"/>
              <w:jc w:val="left"/>
            </w:pPr>
            <w:r>
              <w:rPr>
                <w:rFonts w:cstheme="minorHAnsi"/>
                <w:sz w:val="20"/>
                <w:szCs w:val="20"/>
              </w:rPr>
              <w:t>FBPActual</w:t>
            </w:r>
          </w:p>
        </w:tc>
        <w:tc>
          <w:tcPr>
            <w:tcW w:w="1216" w:type="dxa"/>
            <w:vAlign w:val="center"/>
          </w:tcPr>
          <w:p w14:paraId="186A14C1" w14:textId="77777777" w:rsidR="00672297" w:rsidRDefault="00A16EA3">
            <w:pPr>
              <w:spacing w:before="20" w:after="20"/>
              <w:jc w:val="left"/>
            </w:pPr>
            <w:r>
              <w:rPr>
                <w:rFonts w:cstheme="minorHAnsi"/>
                <w:sz w:val="20"/>
                <w:szCs w:val="20"/>
              </w:rPr>
              <w:t>DECIMAL(18,4)</w:t>
            </w:r>
          </w:p>
        </w:tc>
        <w:tc>
          <w:tcPr>
            <w:tcW w:w="3088" w:type="dxa"/>
            <w:vAlign w:val="center"/>
          </w:tcPr>
          <w:p w14:paraId="38AAF772" w14:textId="77777777" w:rsidR="00672297" w:rsidRDefault="00A16EA3">
            <w:pPr>
              <w:spacing w:before="20" w:after="20"/>
              <w:jc w:val="left"/>
            </w:pPr>
            <w:r>
              <w:rPr>
                <w:rFonts w:cstheme="minorHAnsi"/>
                <w:sz w:val="20"/>
                <w:szCs w:val="20"/>
              </w:rPr>
              <w:t>FBP certified value (°F)</w:t>
            </w:r>
          </w:p>
        </w:tc>
        <w:tc>
          <w:tcPr>
            <w:tcW w:w="2810" w:type="dxa"/>
            <w:vAlign w:val="center"/>
          </w:tcPr>
          <w:p w14:paraId="11E3A742" w14:textId="77777777" w:rsidR="00672297" w:rsidRDefault="00A16EA3">
            <w:pPr>
              <w:spacing w:before="20" w:after="20"/>
              <w:jc w:val="left"/>
            </w:pPr>
            <w:r>
              <w:rPr>
                <w:rFonts w:cstheme="minorHAnsi"/>
                <w:sz w:val="20"/>
                <w:szCs w:val="20"/>
              </w:rPr>
              <w:t>quality_detail (certified sample of the batch)</w:t>
            </w:r>
          </w:p>
        </w:tc>
      </w:tr>
      <w:tr w:rsidR="00672297" w14:paraId="69EA726A" w14:textId="77777777">
        <w:trPr>
          <w:cantSplit/>
        </w:trPr>
        <w:tc>
          <w:tcPr>
            <w:tcW w:w="2246" w:type="dxa"/>
            <w:vAlign w:val="center"/>
          </w:tcPr>
          <w:p w14:paraId="06C5AB49" w14:textId="77777777" w:rsidR="00672297" w:rsidRDefault="00A16EA3">
            <w:pPr>
              <w:spacing w:before="20" w:after="20"/>
              <w:jc w:val="left"/>
            </w:pPr>
            <w:r>
              <w:rPr>
                <w:rFonts w:cstheme="minorHAnsi"/>
                <w:sz w:val="20"/>
                <w:szCs w:val="20"/>
              </w:rPr>
              <w:t>FBPMax</w:t>
            </w:r>
          </w:p>
        </w:tc>
        <w:tc>
          <w:tcPr>
            <w:tcW w:w="1216" w:type="dxa"/>
            <w:vAlign w:val="center"/>
          </w:tcPr>
          <w:p w14:paraId="6848CEC2" w14:textId="77777777" w:rsidR="00672297" w:rsidRDefault="00A16EA3">
            <w:pPr>
              <w:spacing w:before="20" w:after="20"/>
              <w:jc w:val="left"/>
            </w:pPr>
            <w:r>
              <w:rPr>
                <w:rFonts w:cstheme="minorHAnsi"/>
                <w:sz w:val="20"/>
                <w:szCs w:val="20"/>
              </w:rPr>
              <w:t>DECIMAL(18,4)</w:t>
            </w:r>
          </w:p>
        </w:tc>
        <w:tc>
          <w:tcPr>
            <w:tcW w:w="3088" w:type="dxa"/>
            <w:vAlign w:val="center"/>
          </w:tcPr>
          <w:p w14:paraId="4C30CE01" w14:textId="77777777" w:rsidR="00672297" w:rsidRDefault="00A16EA3">
            <w:pPr>
              <w:spacing w:before="20" w:after="20"/>
              <w:jc w:val="left"/>
            </w:pPr>
            <w:r>
              <w:rPr>
                <w:rFonts w:cstheme="minorHAnsi"/>
                <w:sz w:val="20"/>
                <w:szCs w:val="20"/>
              </w:rPr>
              <w:t>FBP resolved specification maximum (°F)</w:t>
            </w:r>
          </w:p>
        </w:tc>
        <w:tc>
          <w:tcPr>
            <w:tcW w:w="2810" w:type="dxa"/>
            <w:vAlign w:val="center"/>
          </w:tcPr>
          <w:p w14:paraId="075BDAED" w14:textId="77777777" w:rsidR="00672297" w:rsidRDefault="00A16EA3">
            <w:pPr>
              <w:spacing w:before="20" w:after="20"/>
              <w:jc w:val="left"/>
            </w:pPr>
            <w:r>
              <w:rPr>
                <w:rFonts w:cstheme="minorHAnsi"/>
                <w:sz w:val="20"/>
                <w:szCs w:val="20"/>
              </w:rPr>
              <w:t>Specification resolution; NULL when "R"</w:t>
            </w:r>
          </w:p>
        </w:tc>
      </w:tr>
      <w:tr w:rsidR="00672297" w14:paraId="04F47D22" w14:textId="77777777">
        <w:trPr>
          <w:cantSplit/>
        </w:trPr>
        <w:tc>
          <w:tcPr>
            <w:tcW w:w="2246" w:type="dxa"/>
            <w:vAlign w:val="center"/>
          </w:tcPr>
          <w:p w14:paraId="62342ED0" w14:textId="77777777" w:rsidR="00672297" w:rsidRDefault="00A16EA3">
            <w:pPr>
              <w:spacing w:before="20" w:after="20"/>
              <w:jc w:val="left"/>
            </w:pPr>
            <w:r>
              <w:rPr>
                <w:rFonts w:cstheme="minorHAnsi"/>
                <w:sz w:val="20"/>
                <w:szCs w:val="20"/>
              </w:rPr>
              <w:t>FreezingPointMin</w:t>
            </w:r>
          </w:p>
        </w:tc>
        <w:tc>
          <w:tcPr>
            <w:tcW w:w="1216" w:type="dxa"/>
            <w:vAlign w:val="center"/>
          </w:tcPr>
          <w:p w14:paraId="06F4C765" w14:textId="77777777" w:rsidR="00672297" w:rsidRDefault="00A16EA3">
            <w:pPr>
              <w:spacing w:before="20" w:after="20"/>
              <w:jc w:val="left"/>
            </w:pPr>
            <w:r>
              <w:rPr>
                <w:rFonts w:cstheme="minorHAnsi"/>
                <w:sz w:val="20"/>
                <w:szCs w:val="20"/>
              </w:rPr>
              <w:t>DECIMAL(18,4)</w:t>
            </w:r>
          </w:p>
        </w:tc>
        <w:tc>
          <w:tcPr>
            <w:tcW w:w="3088" w:type="dxa"/>
            <w:vAlign w:val="center"/>
          </w:tcPr>
          <w:p w14:paraId="77921B65" w14:textId="77777777" w:rsidR="00672297" w:rsidRDefault="00A16EA3">
            <w:pPr>
              <w:spacing w:before="20" w:after="20"/>
              <w:jc w:val="left"/>
            </w:pPr>
            <w:r>
              <w:rPr>
                <w:rFonts w:cstheme="minorHAnsi"/>
                <w:sz w:val="20"/>
                <w:szCs w:val="20"/>
              </w:rPr>
              <w:t>FreezingPoint resolved specification minimum (°F)</w:t>
            </w:r>
          </w:p>
        </w:tc>
        <w:tc>
          <w:tcPr>
            <w:tcW w:w="2810" w:type="dxa"/>
            <w:vAlign w:val="center"/>
          </w:tcPr>
          <w:p w14:paraId="3B31EA40" w14:textId="77777777" w:rsidR="00672297" w:rsidRDefault="00A16EA3">
            <w:pPr>
              <w:spacing w:before="20" w:after="20"/>
              <w:jc w:val="left"/>
            </w:pPr>
            <w:r>
              <w:rPr>
                <w:rFonts w:cstheme="minorHAnsi"/>
                <w:sz w:val="20"/>
                <w:szCs w:val="20"/>
              </w:rPr>
              <w:t>Specification resolution (Stage 1, Stage 2, waiver); NULL when "R"</w:t>
            </w:r>
          </w:p>
        </w:tc>
      </w:tr>
      <w:tr w:rsidR="00672297" w14:paraId="6E586AC2" w14:textId="77777777">
        <w:trPr>
          <w:cantSplit/>
        </w:trPr>
        <w:tc>
          <w:tcPr>
            <w:tcW w:w="2246" w:type="dxa"/>
            <w:vAlign w:val="center"/>
          </w:tcPr>
          <w:p w14:paraId="327139B3" w14:textId="77777777" w:rsidR="00672297" w:rsidRDefault="00A16EA3">
            <w:pPr>
              <w:spacing w:before="20" w:after="20"/>
              <w:jc w:val="left"/>
            </w:pPr>
            <w:r>
              <w:rPr>
                <w:rFonts w:cstheme="minorHAnsi"/>
                <w:sz w:val="20"/>
                <w:szCs w:val="20"/>
              </w:rPr>
              <w:t>FreezingPointActual</w:t>
            </w:r>
          </w:p>
        </w:tc>
        <w:tc>
          <w:tcPr>
            <w:tcW w:w="1216" w:type="dxa"/>
            <w:vAlign w:val="center"/>
          </w:tcPr>
          <w:p w14:paraId="3CBF5248" w14:textId="77777777" w:rsidR="00672297" w:rsidRDefault="00A16EA3">
            <w:pPr>
              <w:spacing w:before="20" w:after="20"/>
              <w:jc w:val="left"/>
            </w:pPr>
            <w:r>
              <w:rPr>
                <w:rFonts w:cstheme="minorHAnsi"/>
                <w:sz w:val="20"/>
                <w:szCs w:val="20"/>
              </w:rPr>
              <w:t>DECIMAL(18,4)</w:t>
            </w:r>
          </w:p>
        </w:tc>
        <w:tc>
          <w:tcPr>
            <w:tcW w:w="3088" w:type="dxa"/>
            <w:vAlign w:val="center"/>
          </w:tcPr>
          <w:p w14:paraId="12C46E39" w14:textId="77777777" w:rsidR="00672297" w:rsidRDefault="00A16EA3">
            <w:pPr>
              <w:spacing w:before="20" w:after="20"/>
              <w:jc w:val="left"/>
            </w:pPr>
            <w:r>
              <w:rPr>
                <w:rFonts w:cstheme="minorHAnsi"/>
                <w:sz w:val="20"/>
                <w:szCs w:val="20"/>
              </w:rPr>
              <w:t>FreezingPoint certified value (°F)</w:t>
            </w:r>
          </w:p>
        </w:tc>
        <w:tc>
          <w:tcPr>
            <w:tcW w:w="2810" w:type="dxa"/>
            <w:vAlign w:val="center"/>
          </w:tcPr>
          <w:p w14:paraId="14C540EC" w14:textId="77777777" w:rsidR="00672297" w:rsidRDefault="00A16EA3">
            <w:pPr>
              <w:spacing w:before="20" w:after="20"/>
              <w:jc w:val="left"/>
            </w:pPr>
            <w:r>
              <w:rPr>
                <w:rFonts w:cstheme="minorHAnsi"/>
                <w:sz w:val="20"/>
                <w:szCs w:val="20"/>
              </w:rPr>
              <w:t>quality_detail (certified sample of the batch)</w:t>
            </w:r>
          </w:p>
        </w:tc>
      </w:tr>
      <w:tr w:rsidR="00672297" w14:paraId="3CFA3B4C" w14:textId="77777777">
        <w:trPr>
          <w:cantSplit/>
        </w:trPr>
        <w:tc>
          <w:tcPr>
            <w:tcW w:w="2246" w:type="dxa"/>
            <w:vAlign w:val="center"/>
          </w:tcPr>
          <w:p w14:paraId="51048A30" w14:textId="77777777" w:rsidR="00672297" w:rsidRDefault="00A16EA3">
            <w:pPr>
              <w:spacing w:before="20" w:after="20"/>
              <w:jc w:val="left"/>
            </w:pPr>
            <w:r>
              <w:rPr>
                <w:rFonts w:cstheme="minorHAnsi"/>
                <w:sz w:val="20"/>
                <w:szCs w:val="20"/>
              </w:rPr>
              <w:t>FreezingPointMax</w:t>
            </w:r>
          </w:p>
        </w:tc>
        <w:tc>
          <w:tcPr>
            <w:tcW w:w="1216" w:type="dxa"/>
            <w:vAlign w:val="center"/>
          </w:tcPr>
          <w:p w14:paraId="36363B10" w14:textId="77777777" w:rsidR="00672297" w:rsidRDefault="00A16EA3">
            <w:pPr>
              <w:spacing w:before="20" w:after="20"/>
              <w:jc w:val="left"/>
            </w:pPr>
            <w:r>
              <w:rPr>
                <w:rFonts w:cstheme="minorHAnsi"/>
                <w:sz w:val="20"/>
                <w:szCs w:val="20"/>
              </w:rPr>
              <w:t>DECIMAL(18,4)</w:t>
            </w:r>
          </w:p>
        </w:tc>
        <w:tc>
          <w:tcPr>
            <w:tcW w:w="3088" w:type="dxa"/>
            <w:vAlign w:val="center"/>
          </w:tcPr>
          <w:p w14:paraId="5984B6AB" w14:textId="77777777" w:rsidR="00672297" w:rsidRDefault="00A16EA3">
            <w:pPr>
              <w:spacing w:before="20" w:after="20"/>
              <w:jc w:val="left"/>
            </w:pPr>
            <w:r>
              <w:rPr>
                <w:rFonts w:cstheme="minorHAnsi"/>
                <w:sz w:val="20"/>
                <w:szCs w:val="20"/>
              </w:rPr>
              <w:t>FreezingPoint resolved specification maximum (°F)</w:t>
            </w:r>
          </w:p>
        </w:tc>
        <w:tc>
          <w:tcPr>
            <w:tcW w:w="2810" w:type="dxa"/>
            <w:vAlign w:val="center"/>
          </w:tcPr>
          <w:p w14:paraId="5360A080" w14:textId="77777777" w:rsidR="00672297" w:rsidRDefault="00A16EA3">
            <w:pPr>
              <w:spacing w:before="20" w:after="20"/>
              <w:jc w:val="left"/>
            </w:pPr>
            <w:r>
              <w:rPr>
                <w:rFonts w:cstheme="minorHAnsi"/>
                <w:sz w:val="20"/>
                <w:szCs w:val="20"/>
              </w:rPr>
              <w:t>Specification resolution; NULL when "R"</w:t>
            </w:r>
          </w:p>
        </w:tc>
      </w:tr>
      <w:tr w:rsidR="00672297" w14:paraId="15C550E1" w14:textId="77777777">
        <w:trPr>
          <w:cantSplit/>
        </w:trPr>
        <w:tc>
          <w:tcPr>
            <w:tcW w:w="2246" w:type="dxa"/>
            <w:vAlign w:val="center"/>
          </w:tcPr>
          <w:p w14:paraId="66C1A28E" w14:textId="77777777" w:rsidR="00672297" w:rsidRDefault="00A16EA3">
            <w:pPr>
              <w:spacing w:before="20" w:after="20"/>
              <w:jc w:val="left"/>
            </w:pPr>
            <w:r>
              <w:rPr>
                <w:rFonts w:cstheme="minorHAnsi"/>
                <w:sz w:val="20"/>
                <w:szCs w:val="20"/>
              </w:rPr>
              <w:t>ViscosityMin</w:t>
            </w:r>
          </w:p>
        </w:tc>
        <w:tc>
          <w:tcPr>
            <w:tcW w:w="1216" w:type="dxa"/>
            <w:vAlign w:val="center"/>
          </w:tcPr>
          <w:p w14:paraId="2D861A86" w14:textId="77777777" w:rsidR="00672297" w:rsidRDefault="00A16EA3">
            <w:pPr>
              <w:spacing w:before="20" w:after="20"/>
              <w:jc w:val="left"/>
            </w:pPr>
            <w:r>
              <w:rPr>
                <w:rFonts w:cstheme="minorHAnsi"/>
                <w:sz w:val="20"/>
                <w:szCs w:val="20"/>
              </w:rPr>
              <w:t>DECIMAL(18,4)</w:t>
            </w:r>
          </w:p>
        </w:tc>
        <w:tc>
          <w:tcPr>
            <w:tcW w:w="3088" w:type="dxa"/>
            <w:vAlign w:val="center"/>
          </w:tcPr>
          <w:p w14:paraId="0CB4409A" w14:textId="77777777" w:rsidR="00672297" w:rsidRDefault="00A16EA3">
            <w:pPr>
              <w:spacing w:before="20" w:after="20"/>
              <w:jc w:val="left"/>
            </w:pPr>
            <w:r>
              <w:rPr>
                <w:rFonts w:cstheme="minorHAnsi"/>
                <w:sz w:val="20"/>
                <w:szCs w:val="20"/>
              </w:rPr>
              <w:t>Viscosity resolved specification minimum (cSt)</w:t>
            </w:r>
          </w:p>
        </w:tc>
        <w:tc>
          <w:tcPr>
            <w:tcW w:w="2810" w:type="dxa"/>
            <w:vAlign w:val="center"/>
          </w:tcPr>
          <w:p w14:paraId="7A1F1714" w14:textId="77777777" w:rsidR="00672297" w:rsidRDefault="00A16EA3">
            <w:pPr>
              <w:spacing w:before="20" w:after="20"/>
              <w:jc w:val="left"/>
            </w:pPr>
            <w:r>
              <w:rPr>
                <w:rFonts w:cstheme="minorHAnsi"/>
                <w:sz w:val="20"/>
                <w:szCs w:val="20"/>
              </w:rPr>
              <w:t>Specification resolution (Stage 1, Stage 2, waiver); NULL when "R"</w:t>
            </w:r>
          </w:p>
        </w:tc>
      </w:tr>
      <w:tr w:rsidR="00672297" w14:paraId="3C903972" w14:textId="77777777">
        <w:trPr>
          <w:cantSplit/>
        </w:trPr>
        <w:tc>
          <w:tcPr>
            <w:tcW w:w="2246" w:type="dxa"/>
            <w:vAlign w:val="center"/>
          </w:tcPr>
          <w:p w14:paraId="4DBC8FE5" w14:textId="77777777" w:rsidR="00672297" w:rsidRDefault="00A16EA3">
            <w:pPr>
              <w:spacing w:before="20" w:after="20"/>
              <w:jc w:val="left"/>
            </w:pPr>
            <w:r>
              <w:rPr>
                <w:rFonts w:cstheme="minorHAnsi"/>
                <w:sz w:val="20"/>
                <w:szCs w:val="20"/>
              </w:rPr>
              <w:t>ViscosityActual</w:t>
            </w:r>
          </w:p>
        </w:tc>
        <w:tc>
          <w:tcPr>
            <w:tcW w:w="1216" w:type="dxa"/>
            <w:vAlign w:val="center"/>
          </w:tcPr>
          <w:p w14:paraId="55E91AF5" w14:textId="77777777" w:rsidR="00672297" w:rsidRDefault="00A16EA3">
            <w:pPr>
              <w:spacing w:before="20" w:after="20"/>
              <w:jc w:val="left"/>
            </w:pPr>
            <w:r>
              <w:rPr>
                <w:rFonts w:cstheme="minorHAnsi"/>
                <w:sz w:val="20"/>
                <w:szCs w:val="20"/>
              </w:rPr>
              <w:t>DECIMAL(18,4)</w:t>
            </w:r>
          </w:p>
        </w:tc>
        <w:tc>
          <w:tcPr>
            <w:tcW w:w="3088" w:type="dxa"/>
            <w:vAlign w:val="center"/>
          </w:tcPr>
          <w:p w14:paraId="6ABC0FE1" w14:textId="77777777" w:rsidR="00672297" w:rsidRDefault="00A16EA3">
            <w:pPr>
              <w:spacing w:before="20" w:after="20"/>
              <w:jc w:val="left"/>
            </w:pPr>
            <w:r>
              <w:rPr>
                <w:rFonts w:cstheme="minorHAnsi"/>
                <w:sz w:val="20"/>
                <w:szCs w:val="20"/>
              </w:rPr>
              <w:t>Viscosity certified value (cSt)</w:t>
            </w:r>
          </w:p>
        </w:tc>
        <w:tc>
          <w:tcPr>
            <w:tcW w:w="2810" w:type="dxa"/>
            <w:vAlign w:val="center"/>
          </w:tcPr>
          <w:p w14:paraId="4BBA13A3" w14:textId="77777777" w:rsidR="00672297" w:rsidRDefault="00A16EA3">
            <w:pPr>
              <w:spacing w:before="20" w:after="20"/>
              <w:jc w:val="left"/>
            </w:pPr>
            <w:r>
              <w:rPr>
                <w:rFonts w:cstheme="minorHAnsi"/>
                <w:sz w:val="20"/>
                <w:szCs w:val="20"/>
              </w:rPr>
              <w:t>quality_detail (certified sample of the batch)</w:t>
            </w:r>
          </w:p>
        </w:tc>
      </w:tr>
      <w:tr w:rsidR="00672297" w14:paraId="28E499BF" w14:textId="77777777">
        <w:trPr>
          <w:cantSplit/>
        </w:trPr>
        <w:tc>
          <w:tcPr>
            <w:tcW w:w="2246" w:type="dxa"/>
            <w:vAlign w:val="center"/>
          </w:tcPr>
          <w:p w14:paraId="03F88D1B" w14:textId="77777777" w:rsidR="00672297" w:rsidRDefault="00A16EA3">
            <w:pPr>
              <w:spacing w:before="20" w:after="20"/>
              <w:jc w:val="left"/>
            </w:pPr>
            <w:r>
              <w:rPr>
                <w:rFonts w:cstheme="minorHAnsi"/>
                <w:sz w:val="20"/>
                <w:szCs w:val="20"/>
              </w:rPr>
              <w:t>ViscosityMax</w:t>
            </w:r>
          </w:p>
        </w:tc>
        <w:tc>
          <w:tcPr>
            <w:tcW w:w="1216" w:type="dxa"/>
            <w:vAlign w:val="center"/>
          </w:tcPr>
          <w:p w14:paraId="7149EB3E" w14:textId="77777777" w:rsidR="00672297" w:rsidRDefault="00A16EA3">
            <w:pPr>
              <w:spacing w:before="20" w:after="20"/>
              <w:jc w:val="left"/>
            </w:pPr>
            <w:r>
              <w:rPr>
                <w:rFonts w:cstheme="minorHAnsi"/>
                <w:sz w:val="20"/>
                <w:szCs w:val="20"/>
              </w:rPr>
              <w:t>DECIMAL(18,4)</w:t>
            </w:r>
          </w:p>
        </w:tc>
        <w:tc>
          <w:tcPr>
            <w:tcW w:w="3088" w:type="dxa"/>
            <w:vAlign w:val="center"/>
          </w:tcPr>
          <w:p w14:paraId="3BD2B0B2" w14:textId="77777777" w:rsidR="00672297" w:rsidRDefault="00A16EA3">
            <w:pPr>
              <w:spacing w:before="20" w:after="20"/>
              <w:jc w:val="left"/>
            </w:pPr>
            <w:r>
              <w:rPr>
                <w:rFonts w:cstheme="minorHAnsi"/>
                <w:sz w:val="20"/>
                <w:szCs w:val="20"/>
              </w:rPr>
              <w:t>Viscosity resolved specification maximum (cSt)</w:t>
            </w:r>
          </w:p>
        </w:tc>
        <w:tc>
          <w:tcPr>
            <w:tcW w:w="2810" w:type="dxa"/>
            <w:vAlign w:val="center"/>
          </w:tcPr>
          <w:p w14:paraId="1CD16A38" w14:textId="77777777" w:rsidR="00672297" w:rsidRDefault="00A16EA3">
            <w:pPr>
              <w:spacing w:before="20" w:after="20"/>
              <w:jc w:val="left"/>
            </w:pPr>
            <w:r>
              <w:rPr>
                <w:rFonts w:cstheme="minorHAnsi"/>
                <w:sz w:val="20"/>
                <w:szCs w:val="20"/>
              </w:rPr>
              <w:t>Specification resolution; NULL when "R"</w:t>
            </w:r>
          </w:p>
        </w:tc>
      </w:tr>
      <w:tr w:rsidR="00672297" w14:paraId="304A5183" w14:textId="77777777">
        <w:trPr>
          <w:cantSplit/>
        </w:trPr>
        <w:tc>
          <w:tcPr>
            <w:tcW w:w="2246" w:type="dxa"/>
            <w:vAlign w:val="center"/>
          </w:tcPr>
          <w:p w14:paraId="64EAFF17" w14:textId="77777777" w:rsidR="00672297" w:rsidRDefault="00A16EA3">
            <w:pPr>
              <w:spacing w:before="20" w:after="20"/>
              <w:jc w:val="left"/>
            </w:pPr>
            <w:r>
              <w:rPr>
                <w:rFonts w:cstheme="minorHAnsi"/>
                <w:sz w:val="20"/>
                <w:szCs w:val="20"/>
              </w:rPr>
              <w:t>&lt;Property&gt;WithinSpec</w:t>
            </w:r>
          </w:p>
        </w:tc>
        <w:tc>
          <w:tcPr>
            <w:tcW w:w="1216" w:type="dxa"/>
            <w:vAlign w:val="center"/>
          </w:tcPr>
          <w:p w14:paraId="2648F2DE" w14:textId="77777777" w:rsidR="00672297" w:rsidRDefault="00A16EA3">
            <w:pPr>
              <w:spacing w:before="20" w:after="20"/>
              <w:jc w:val="left"/>
            </w:pPr>
            <w:r>
              <w:rPr>
                <w:rFonts w:cstheme="minorHAnsi"/>
                <w:sz w:val="20"/>
                <w:szCs w:val="20"/>
              </w:rPr>
              <w:t>BIT</w:t>
            </w:r>
          </w:p>
        </w:tc>
        <w:tc>
          <w:tcPr>
            <w:tcW w:w="3088" w:type="dxa"/>
            <w:vAlign w:val="center"/>
          </w:tcPr>
          <w:p w14:paraId="5799FC7F" w14:textId="77777777" w:rsidR="00672297" w:rsidRDefault="00A16EA3">
            <w:pPr>
              <w:spacing w:before="20" w:after="20"/>
              <w:jc w:val="left"/>
            </w:pPr>
            <w:r>
              <w:rPr>
                <w:rFonts w:cstheme="minorHAnsi"/>
                <w:sz w:val="20"/>
                <w:szCs w:val="20"/>
              </w:rPr>
              <w:t>Per property: 1 within spec, 0 off spec</w:t>
            </w:r>
          </w:p>
        </w:tc>
        <w:tc>
          <w:tcPr>
            <w:tcW w:w="2810" w:type="dxa"/>
            <w:vAlign w:val="center"/>
          </w:tcPr>
          <w:p w14:paraId="497889C6" w14:textId="77777777" w:rsidR="00672297" w:rsidRDefault="00A16EA3">
            <w:pPr>
              <w:spacing w:before="20" w:after="20"/>
              <w:jc w:val="left"/>
            </w:pPr>
            <w:r>
              <w:rPr>
                <w:rFonts w:cstheme="minorHAnsi"/>
                <w:sz w:val="20"/>
                <w:szCs w:val="20"/>
              </w:rPr>
              <w:t>Derived</w:t>
            </w:r>
          </w:p>
        </w:tc>
      </w:tr>
    </w:tbl>
    <w:p w14:paraId="2E25ED9A" w14:textId="2E2ADA16" w:rsidR="00672297" w:rsidRDefault="00A16EA3">
      <w:pPr>
        <w:pStyle w:val="Caption"/>
      </w:pPr>
      <w:bookmarkStart w:id="398" w:name="_Toc900900035"/>
      <w:bookmarkStart w:id="399" w:name="_Toc241574682"/>
      <w:bookmarkStart w:id="400" w:name="_Toc242554066"/>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13</w:t>
      </w:r>
      <w:r>
        <w:fldChar w:fldCharType="end"/>
      </w:r>
      <w:r>
        <w:t>: vwDistillateBatchQuality View</w:t>
      </w:r>
      <w:bookmarkEnd w:id="398"/>
      <w:bookmarkEnd w:id="399"/>
      <w:bookmarkEnd w:id="400"/>
    </w:p>
    <w:p w14:paraId="0018ECB7" w14:textId="77777777" w:rsidR="00672297" w:rsidRDefault="00A16EA3">
      <w:pPr>
        <w:rPr>
          <w:rFonts w:cstheme="minorHAnsi"/>
          <w:sz w:val="20"/>
          <w:szCs w:val="20"/>
        </w:rPr>
      </w:pPr>
      <w:r>
        <w:rPr>
          <w:rFonts w:cstheme="minorHAnsi"/>
          <w:b/>
          <w:bCs/>
          <w:sz w:val="20"/>
          <w:szCs w:val="20"/>
        </w:rPr>
        <w:t>vwBlendComponentSupplyDemand</w:t>
      </w:r>
      <w:r>
        <w:rPr>
          <w:rFonts w:cstheme="minorHAnsi"/>
          <w:sz w:val="20"/>
          <w:szCs w:val="20"/>
        </w:rPr>
        <w:t xml:space="preserve"> - Supply dashboard; one row per terminal, component (Butane, Ethanol, Transmix, Biodiesel) and day of the horizon.</w:t>
      </w:r>
    </w:p>
    <w:tbl>
      <w:tblPr>
        <w:tblStyle w:val="TableGrid"/>
        <w:tblW w:w="9360" w:type="dxa"/>
        <w:tblLayout w:type="fixed"/>
        <w:tblCellMar>
          <w:left w:w="70" w:type="dxa"/>
          <w:right w:w="70" w:type="dxa"/>
        </w:tblCellMar>
        <w:tblLook w:val="04A0" w:firstRow="1" w:lastRow="0" w:firstColumn="1" w:lastColumn="0" w:noHBand="0" w:noVBand="1"/>
      </w:tblPr>
      <w:tblGrid>
        <w:gridCol w:w="2246"/>
        <w:gridCol w:w="1216"/>
        <w:gridCol w:w="3088"/>
        <w:gridCol w:w="2810"/>
      </w:tblGrid>
      <w:tr w:rsidR="00672297" w14:paraId="7632ED8F" w14:textId="77777777">
        <w:trPr>
          <w:cantSplit/>
          <w:tblHeader/>
        </w:trPr>
        <w:tc>
          <w:tcPr>
            <w:tcW w:w="2246" w:type="dxa"/>
            <w:shd w:val="clear" w:color="auto" w:fill="2F5496"/>
            <w:vAlign w:val="center"/>
          </w:tcPr>
          <w:p w14:paraId="573DCBB2" w14:textId="77777777" w:rsidR="00672297" w:rsidRDefault="00A16EA3">
            <w:pPr>
              <w:spacing w:before="20" w:after="20"/>
              <w:jc w:val="left"/>
            </w:pPr>
            <w:r>
              <w:rPr>
                <w:rFonts w:cstheme="minorHAnsi"/>
                <w:b/>
                <w:bCs/>
                <w:color w:val="FFFFFF"/>
                <w:sz w:val="20"/>
                <w:szCs w:val="20"/>
              </w:rPr>
              <w:t>Column Name</w:t>
            </w:r>
          </w:p>
        </w:tc>
        <w:tc>
          <w:tcPr>
            <w:tcW w:w="1216" w:type="dxa"/>
            <w:shd w:val="clear" w:color="auto" w:fill="2F5496"/>
            <w:vAlign w:val="center"/>
          </w:tcPr>
          <w:p w14:paraId="78BC53BD" w14:textId="77777777" w:rsidR="00672297" w:rsidRDefault="00A16EA3">
            <w:pPr>
              <w:spacing w:before="20" w:after="20"/>
              <w:jc w:val="left"/>
            </w:pPr>
            <w:r>
              <w:rPr>
                <w:rFonts w:cstheme="minorHAnsi"/>
                <w:b/>
                <w:bCs/>
                <w:color w:val="FFFFFF"/>
                <w:sz w:val="20"/>
                <w:szCs w:val="20"/>
              </w:rPr>
              <w:t>Data Type</w:t>
            </w:r>
          </w:p>
        </w:tc>
        <w:tc>
          <w:tcPr>
            <w:tcW w:w="3088" w:type="dxa"/>
            <w:shd w:val="clear" w:color="auto" w:fill="2F5496"/>
            <w:vAlign w:val="center"/>
          </w:tcPr>
          <w:p w14:paraId="6BE56C99" w14:textId="77777777" w:rsidR="00672297" w:rsidRDefault="00A16EA3">
            <w:pPr>
              <w:spacing w:before="20" w:after="20"/>
              <w:jc w:val="left"/>
            </w:pPr>
            <w:r>
              <w:rPr>
                <w:rFonts w:cstheme="minorHAnsi"/>
                <w:b/>
                <w:bCs/>
                <w:color w:val="FFFFFF"/>
                <w:sz w:val="20"/>
                <w:szCs w:val="20"/>
              </w:rPr>
              <w:t>Description</w:t>
            </w:r>
          </w:p>
        </w:tc>
        <w:tc>
          <w:tcPr>
            <w:tcW w:w="2810" w:type="dxa"/>
            <w:shd w:val="clear" w:color="auto" w:fill="2F5496"/>
            <w:vAlign w:val="center"/>
          </w:tcPr>
          <w:p w14:paraId="5B841BFF" w14:textId="77777777" w:rsidR="00672297" w:rsidRDefault="00A16EA3">
            <w:pPr>
              <w:spacing w:before="20" w:after="20"/>
              <w:jc w:val="left"/>
            </w:pPr>
            <w:r>
              <w:rPr>
                <w:rFonts w:cstheme="minorHAnsi"/>
                <w:b/>
                <w:bCs/>
                <w:color w:val="FFFFFF"/>
                <w:sz w:val="20"/>
                <w:szCs w:val="20"/>
              </w:rPr>
              <w:t>Source Table / Derivation</w:t>
            </w:r>
          </w:p>
        </w:tc>
      </w:tr>
      <w:tr w:rsidR="00672297" w14:paraId="373033C4" w14:textId="77777777">
        <w:trPr>
          <w:cantSplit/>
        </w:trPr>
        <w:tc>
          <w:tcPr>
            <w:tcW w:w="2246" w:type="dxa"/>
            <w:vAlign w:val="center"/>
          </w:tcPr>
          <w:p w14:paraId="1AD084AE" w14:textId="77777777" w:rsidR="00672297" w:rsidRDefault="00A16EA3">
            <w:pPr>
              <w:spacing w:before="20" w:after="20"/>
              <w:jc w:val="left"/>
            </w:pPr>
            <w:r>
              <w:rPr>
                <w:rFonts w:cstheme="minorHAnsi"/>
                <w:sz w:val="20"/>
                <w:szCs w:val="20"/>
              </w:rPr>
              <w:t>TerminalGlobalCode, Terminal, TerminalShortName</w:t>
            </w:r>
          </w:p>
        </w:tc>
        <w:tc>
          <w:tcPr>
            <w:tcW w:w="1216" w:type="dxa"/>
            <w:vAlign w:val="center"/>
          </w:tcPr>
          <w:p w14:paraId="4C7ED942" w14:textId="77777777" w:rsidR="00672297" w:rsidRDefault="00A16EA3">
            <w:pPr>
              <w:spacing w:before="20" w:after="20"/>
              <w:jc w:val="left"/>
            </w:pPr>
            <w:r>
              <w:rPr>
                <w:rFonts w:cstheme="minorHAnsi"/>
                <w:sz w:val="20"/>
                <w:szCs w:val="20"/>
              </w:rPr>
              <w:t>VARCHAR(100), VARCHAR(255), VARCHAR(100)</w:t>
            </w:r>
          </w:p>
        </w:tc>
        <w:tc>
          <w:tcPr>
            <w:tcW w:w="3088" w:type="dxa"/>
            <w:vAlign w:val="center"/>
          </w:tcPr>
          <w:p w14:paraId="39618ED8" w14:textId="77777777" w:rsidR="00672297" w:rsidRDefault="00A16EA3">
            <w:pPr>
              <w:spacing w:before="20" w:after="20"/>
              <w:jc w:val="left"/>
            </w:pPr>
            <w:r>
              <w:rPr>
                <w:rFonts w:cstheme="minorHAnsi"/>
                <w:sz w:val="20"/>
                <w:szCs w:val="20"/>
              </w:rPr>
              <w:t>Terminal</w:t>
            </w:r>
          </w:p>
        </w:tc>
        <w:tc>
          <w:tcPr>
            <w:tcW w:w="2810" w:type="dxa"/>
            <w:vAlign w:val="center"/>
          </w:tcPr>
          <w:p w14:paraId="6EB1D473" w14:textId="77777777" w:rsidR="00672297" w:rsidRDefault="00A16EA3">
            <w:pPr>
              <w:spacing w:before="20" w:after="20"/>
              <w:jc w:val="left"/>
            </w:pPr>
            <w:r>
              <w:rPr>
                <w:rFonts w:cstheme="minorHAnsi"/>
                <w:sz w:val="20"/>
                <w:szCs w:val="20"/>
              </w:rPr>
              <w:t>location</w:t>
            </w:r>
          </w:p>
        </w:tc>
      </w:tr>
      <w:tr w:rsidR="00672297" w14:paraId="0280EAA2" w14:textId="77777777">
        <w:trPr>
          <w:cantSplit/>
        </w:trPr>
        <w:tc>
          <w:tcPr>
            <w:tcW w:w="2246" w:type="dxa"/>
            <w:vAlign w:val="center"/>
          </w:tcPr>
          <w:p w14:paraId="4F3EC6EF" w14:textId="77777777" w:rsidR="00672297" w:rsidRDefault="00A16EA3">
            <w:pPr>
              <w:spacing w:before="20" w:after="20"/>
              <w:jc w:val="left"/>
            </w:pPr>
            <w:r>
              <w:rPr>
                <w:rFonts w:cstheme="minorHAnsi"/>
                <w:sz w:val="20"/>
                <w:szCs w:val="20"/>
              </w:rPr>
              <w:t>SourceGlobalCode, Source</w:t>
            </w:r>
          </w:p>
        </w:tc>
        <w:tc>
          <w:tcPr>
            <w:tcW w:w="1216" w:type="dxa"/>
            <w:vAlign w:val="center"/>
          </w:tcPr>
          <w:p w14:paraId="3662ABC5" w14:textId="77777777" w:rsidR="00672297" w:rsidRDefault="00A16EA3">
            <w:pPr>
              <w:spacing w:before="20" w:after="20"/>
              <w:jc w:val="left"/>
            </w:pPr>
            <w:r>
              <w:rPr>
                <w:rFonts w:cstheme="minorHAnsi"/>
                <w:sz w:val="20"/>
                <w:szCs w:val="20"/>
              </w:rPr>
              <w:t>VARCHAR(100), VARCHAR(255)</w:t>
            </w:r>
          </w:p>
        </w:tc>
        <w:tc>
          <w:tcPr>
            <w:tcW w:w="3088" w:type="dxa"/>
            <w:vAlign w:val="center"/>
          </w:tcPr>
          <w:p w14:paraId="02648275" w14:textId="77777777" w:rsidR="00672297" w:rsidRDefault="00A16EA3">
            <w:pPr>
              <w:spacing w:before="20" w:after="20"/>
              <w:jc w:val="left"/>
            </w:pPr>
            <w:r>
              <w:rPr>
                <w:rFonts w:cstheme="minorHAnsi"/>
                <w:sz w:val="20"/>
                <w:szCs w:val="20"/>
              </w:rPr>
              <w:t>Refinery supplying the arriving batches (Refinery filter)</w:t>
            </w:r>
          </w:p>
        </w:tc>
        <w:tc>
          <w:tcPr>
            <w:tcW w:w="2810" w:type="dxa"/>
            <w:vAlign w:val="center"/>
          </w:tcPr>
          <w:p w14:paraId="64ED6678" w14:textId="77777777" w:rsidR="00672297" w:rsidRDefault="00A16EA3">
            <w:pPr>
              <w:spacing w:before="20" w:after="20"/>
              <w:jc w:val="left"/>
            </w:pPr>
            <w:r>
              <w:rPr>
                <w:rFonts w:cstheme="minorHAnsi"/>
                <w:sz w:val="20"/>
                <w:szCs w:val="20"/>
              </w:rPr>
              <w:t>location of the batch source</w:t>
            </w:r>
          </w:p>
        </w:tc>
      </w:tr>
      <w:tr w:rsidR="00672297" w14:paraId="71D2607F" w14:textId="77777777">
        <w:trPr>
          <w:cantSplit/>
        </w:trPr>
        <w:tc>
          <w:tcPr>
            <w:tcW w:w="2246" w:type="dxa"/>
            <w:vAlign w:val="center"/>
          </w:tcPr>
          <w:p w14:paraId="26B5F596" w14:textId="77777777" w:rsidR="00672297" w:rsidRDefault="00A16EA3">
            <w:pPr>
              <w:spacing w:before="20" w:after="20"/>
              <w:jc w:val="left"/>
            </w:pPr>
            <w:r>
              <w:rPr>
                <w:rFonts w:cstheme="minorHAnsi"/>
                <w:sz w:val="20"/>
                <w:szCs w:val="20"/>
              </w:rPr>
              <w:t>Region</w:t>
            </w:r>
          </w:p>
        </w:tc>
        <w:tc>
          <w:tcPr>
            <w:tcW w:w="1216" w:type="dxa"/>
            <w:vAlign w:val="center"/>
          </w:tcPr>
          <w:p w14:paraId="2D9B3FD5" w14:textId="77777777" w:rsidR="00672297" w:rsidRDefault="00A16EA3">
            <w:pPr>
              <w:spacing w:before="20" w:after="20"/>
              <w:jc w:val="left"/>
            </w:pPr>
            <w:r>
              <w:rPr>
                <w:rFonts w:cstheme="minorHAnsi"/>
                <w:sz w:val="20"/>
                <w:szCs w:val="20"/>
              </w:rPr>
              <w:t>VARCHAR(50)</w:t>
            </w:r>
          </w:p>
        </w:tc>
        <w:tc>
          <w:tcPr>
            <w:tcW w:w="3088" w:type="dxa"/>
            <w:vAlign w:val="center"/>
          </w:tcPr>
          <w:p w14:paraId="37EC8BAC" w14:textId="77777777" w:rsidR="00672297" w:rsidRDefault="00A16EA3">
            <w:pPr>
              <w:spacing w:before="20" w:after="20"/>
              <w:jc w:val="left"/>
            </w:pPr>
            <w:r>
              <w:rPr>
                <w:rFonts w:cstheme="minorHAnsi"/>
                <w:sz w:val="20"/>
                <w:szCs w:val="20"/>
              </w:rPr>
              <w:t>Region</w:t>
            </w:r>
          </w:p>
        </w:tc>
        <w:tc>
          <w:tcPr>
            <w:tcW w:w="2810" w:type="dxa"/>
            <w:vAlign w:val="center"/>
          </w:tcPr>
          <w:p w14:paraId="08B70F4B" w14:textId="77777777" w:rsidR="00672297" w:rsidRDefault="00A16EA3">
            <w:pPr>
              <w:spacing w:before="20" w:after="20"/>
              <w:jc w:val="left"/>
            </w:pPr>
            <w:r>
              <w:rPr>
                <w:rFonts w:cstheme="minorHAnsi"/>
                <w:sz w:val="20"/>
                <w:szCs w:val="20"/>
              </w:rPr>
              <w:t>location.Region</w:t>
            </w:r>
          </w:p>
        </w:tc>
      </w:tr>
      <w:tr w:rsidR="00672297" w14:paraId="593B3680" w14:textId="77777777">
        <w:trPr>
          <w:cantSplit/>
        </w:trPr>
        <w:tc>
          <w:tcPr>
            <w:tcW w:w="2246" w:type="dxa"/>
            <w:vAlign w:val="center"/>
          </w:tcPr>
          <w:p w14:paraId="2ECCE771" w14:textId="77777777" w:rsidR="00672297" w:rsidRDefault="00A16EA3">
            <w:pPr>
              <w:spacing w:before="20" w:after="20"/>
              <w:jc w:val="left"/>
            </w:pPr>
            <w:r>
              <w:rPr>
                <w:rFonts w:cstheme="minorHAnsi"/>
                <w:sz w:val="20"/>
                <w:szCs w:val="20"/>
              </w:rPr>
              <w:t>Component</w:t>
            </w:r>
          </w:p>
        </w:tc>
        <w:tc>
          <w:tcPr>
            <w:tcW w:w="1216" w:type="dxa"/>
            <w:vAlign w:val="center"/>
          </w:tcPr>
          <w:p w14:paraId="05D7A4E8" w14:textId="77777777" w:rsidR="00672297" w:rsidRDefault="00A16EA3">
            <w:pPr>
              <w:spacing w:before="20" w:after="20"/>
              <w:jc w:val="left"/>
            </w:pPr>
            <w:r>
              <w:rPr>
                <w:rFonts w:cstheme="minorHAnsi"/>
                <w:sz w:val="20"/>
                <w:szCs w:val="20"/>
              </w:rPr>
              <w:t>VARCHAR(50)</w:t>
            </w:r>
          </w:p>
        </w:tc>
        <w:tc>
          <w:tcPr>
            <w:tcW w:w="3088" w:type="dxa"/>
            <w:vAlign w:val="center"/>
          </w:tcPr>
          <w:p w14:paraId="3CDE1D5E" w14:textId="77777777" w:rsidR="00672297" w:rsidRDefault="00A16EA3">
            <w:pPr>
              <w:spacing w:before="20" w:after="20"/>
              <w:jc w:val="left"/>
            </w:pPr>
            <w:r>
              <w:rPr>
                <w:rFonts w:cstheme="minorHAnsi"/>
                <w:sz w:val="20"/>
                <w:szCs w:val="20"/>
              </w:rPr>
              <w:t>Butane, Ethanol, Transmix or Biodiesel</w:t>
            </w:r>
          </w:p>
        </w:tc>
        <w:tc>
          <w:tcPr>
            <w:tcW w:w="2810" w:type="dxa"/>
            <w:vAlign w:val="center"/>
          </w:tcPr>
          <w:p w14:paraId="301964C2" w14:textId="77777777" w:rsidR="00672297" w:rsidRDefault="00A16EA3">
            <w:pPr>
              <w:spacing w:before="20" w:after="20"/>
              <w:jc w:val="left"/>
            </w:pPr>
            <w:r>
              <w:rPr>
                <w:rFonts w:cstheme="minorHAnsi"/>
                <w:sz w:val="20"/>
                <w:szCs w:val="20"/>
              </w:rPr>
              <w:t>material (component flag)</w:t>
            </w:r>
          </w:p>
        </w:tc>
      </w:tr>
      <w:tr w:rsidR="00672297" w14:paraId="382BBF40" w14:textId="77777777">
        <w:trPr>
          <w:cantSplit/>
        </w:trPr>
        <w:tc>
          <w:tcPr>
            <w:tcW w:w="2246" w:type="dxa"/>
            <w:vAlign w:val="center"/>
          </w:tcPr>
          <w:p w14:paraId="4FA6A60A" w14:textId="77777777" w:rsidR="00672297" w:rsidRDefault="00A16EA3">
            <w:pPr>
              <w:spacing w:before="20" w:after="20"/>
              <w:jc w:val="left"/>
            </w:pPr>
            <w:r>
              <w:rPr>
                <w:rFonts w:cstheme="minorHAnsi"/>
                <w:sz w:val="20"/>
                <w:szCs w:val="20"/>
              </w:rPr>
              <w:t>PositionDate</w:t>
            </w:r>
          </w:p>
        </w:tc>
        <w:tc>
          <w:tcPr>
            <w:tcW w:w="1216" w:type="dxa"/>
            <w:vAlign w:val="center"/>
          </w:tcPr>
          <w:p w14:paraId="473CA9CB" w14:textId="77777777" w:rsidR="00672297" w:rsidRDefault="00A16EA3">
            <w:pPr>
              <w:spacing w:before="20" w:after="20"/>
              <w:jc w:val="left"/>
            </w:pPr>
            <w:r>
              <w:rPr>
                <w:rFonts w:cstheme="minorHAnsi"/>
                <w:sz w:val="20"/>
                <w:szCs w:val="20"/>
              </w:rPr>
              <w:t>DATE</w:t>
            </w:r>
          </w:p>
        </w:tc>
        <w:tc>
          <w:tcPr>
            <w:tcW w:w="3088" w:type="dxa"/>
            <w:vAlign w:val="center"/>
          </w:tcPr>
          <w:p w14:paraId="7D4ABA9E" w14:textId="77777777" w:rsidR="00672297" w:rsidRDefault="00A16EA3">
            <w:pPr>
              <w:spacing w:before="20" w:after="20"/>
              <w:jc w:val="left"/>
            </w:pPr>
            <w:r>
              <w:rPr>
                <w:rFonts w:cstheme="minorHAnsi"/>
                <w:sz w:val="20"/>
                <w:szCs w:val="20"/>
              </w:rPr>
              <w:t>Day of the position</w:t>
            </w:r>
          </w:p>
        </w:tc>
        <w:tc>
          <w:tcPr>
            <w:tcW w:w="2810" w:type="dxa"/>
            <w:vAlign w:val="center"/>
          </w:tcPr>
          <w:p w14:paraId="36E6327D" w14:textId="77777777" w:rsidR="00672297" w:rsidRDefault="00A16EA3">
            <w:pPr>
              <w:spacing w:before="20" w:after="20"/>
              <w:jc w:val="left"/>
            </w:pPr>
            <w:r>
              <w:rPr>
                <w:rFonts w:cstheme="minorHAnsi"/>
                <w:sz w:val="20"/>
                <w:szCs w:val="20"/>
              </w:rPr>
              <w:t>day_detail</w:t>
            </w:r>
          </w:p>
        </w:tc>
      </w:tr>
      <w:tr w:rsidR="00672297" w14:paraId="3D883F71" w14:textId="77777777">
        <w:trPr>
          <w:cantSplit/>
        </w:trPr>
        <w:tc>
          <w:tcPr>
            <w:tcW w:w="2246" w:type="dxa"/>
            <w:vAlign w:val="center"/>
          </w:tcPr>
          <w:p w14:paraId="0154CBED" w14:textId="77777777" w:rsidR="00672297" w:rsidRDefault="00A16EA3">
            <w:pPr>
              <w:spacing w:before="20" w:after="20"/>
              <w:jc w:val="left"/>
            </w:pPr>
            <w:r>
              <w:rPr>
                <w:rFonts w:cstheme="minorHAnsi"/>
                <w:sz w:val="20"/>
                <w:szCs w:val="20"/>
              </w:rPr>
              <w:t>OpeningInventoryBbl</w:t>
            </w:r>
          </w:p>
        </w:tc>
        <w:tc>
          <w:tcPr>
            <w:tcW w:w="1216" w:type="dxa"/>
            <w:vAlign w:val="center"/>
          </w:tcPr>
          <w:p w14:paraId="2D1FF620" w14:textId="77777777" w:rsidR="00672297" w:rsidRDefault="00A16EA3">
            <w:pPr>
              <w:spacing w:before="20" w:after="20"/>
              <w:jc w:val="left"/>
            </w:pPr>
            <w:r>
              <w:rPr>
                <w:rFonts w:cstheme="minorHAnsi"/>
                <w:sz w:val="20"/>
                <w:szCs w:val="20"/>
              </w:rPr>
              <w:t>DECIMAL(18,2)</w:t>
            </w:r>
          </w:p>
        </w:tc>
        <w:tc>
          <w:tcPr>
            <w:tcW w:w="3088" w:type="dxa"/>
            <w:vAlign w:val="center"/>
          </w:tcPr>
          <w:p w14:paraId="3E31F7DA" w14:textId="77777777" w:rsidR="00672297" w:rsidRDefault="00A16EA3">
            <w:pPr>
              <w:spacing w:before="20" w:after="20"/>
              <w:jc w:val="left"/>
            </w:pPr>
            <w:r>
              <w:rPr>
                <w:rFonts w:cstheme="minorHAnsi"/>
                <w:sz w:val="20"/>
                <w:szCs w:val="20"/>
              </w:rPr>
              <w:t>Opening tank inventory: actual on the first day, then the previous closing position</w:t>
            </w:r>
          </w:p>
        </w:tc>
        <w:tc>
          <w:tcPr>
            <w:tcW w:w="2810" w:type="dxa"/>
            <w:vAlign w:val="center"/>
          </w:tcPr>
          <w:p w14:paraId="1DFE3D74" w14:textId="77777777" w:rsidR="00672297" w:rsidRDefault="00A16EA3">
            <w:pPr>
              <w:spacing w:before="20" w:after="20"/>
              <w:jc w:val="left"/>
            </w:pPr>
            <w:r>
              <w:rPr>
                <w:rFonts w:cstheme="minorHAnsi"/>
                <w:sz w:val="20"/>
                <w:szCs w:val="20"/>
              </w:rPr>
              <w:t>inventory_detail (Kittyhawk, gal / 42) / VCB_blend_component_detail (PIAF) - precedence gap DP-13</w:t>
            </w:r>
          </w:p>
        </w:tc>
      </w:tr>
      <w:tr w:rsidR="00672297" w14:paraId="2C42D540" w14:textId="77777777">
        <w:trPr>
          <w:cantSplit/>
        </w:trPr>
        <w:tc>
          <w:tcPr>
            <w:tcW w:w="2246" w:type="dxa"/>
            <w:vAlign w:val="center"/>
          </w:tcPr>
          <w:p w14:paraId="2EF6A3A6" w14:textId="77777777" w:rsidR="00672297" w:rsidRDefault="00A16EA3">
            <w:pPr>
              <w:spacing w:before="20" w:after="20"/>
              <w:jc w:val="left"/>
            </w:pPr>
            <w:r>
              <w:rPr>
                <w:rFonts w:cstheme="minorHAnsi"/>
                <w:sz w:val="20"/>
                <w:szCs w:val="20"/>
              </w:rPr>
              <w:t>ReceiptInTransitBbl</w:t>
            </w:r>
          </w:p>
        </w:tc>
        <w:tc>
          <w:tcPr>
            <w:tcW w:w="1216" w:type="dxa"/>
            <w:vAlign w:val="center"/>
          </w:tcPr>
          <w:p w14:paraId="46F0E9BA" w14:textId="77777777" w:rsidR="00672297" w:rsidRDefault="00A16EA3">
            <w:pPr>
              <w:spacing w:before="20" w:after="20"/>
              <w:jc w:val="left"/>
            </w:pPr>
            <w:r>
              <w:rPr>
                <w:rFonts w:cstheme="minorHAnsi"/>
                <w:sz w:val="20"/>
                <w:szCs w:val="20"/>
              </w:rPr>
              <w:t>DECIMAL(18,2)</w:t>
            </w:r>
          </w:p>
        </w:tc>
        <w:tc>
          <w:tcPr>
            <w:tcW w:w="3088" w:type="dxa"/>
            <w:vAlign w:val="center"/>
          </w:tcPr>
          <w:p w14:paraId="234356EB" w14:textId="77777777" w:rsidR="00672297" w:rsidRDefault="00A16EA3">
            <w:pPr>
              <w:spacing w:before="20" w:after="20"/>
              <w:jc w:val="left"/>
            </w:pPr>
            <w:r>
              <w:rPr>
                <w:rFonts w:cstheme="minorHAnsi"/>
                <w:sz w:val="20"/>
                <w:szCs w:val="20"/>
              </w:rPr>
              <w:t>Planned / in-transit receipts arriving on the day</w:t>
            </w:r>
          </w:p>
        </w:tc>
        <w:tc>
          <w:tcPr>
            <w:tcW w:w="2810" w:type="dxa"/>
            <w:vAlign w:val="center"/>
          </w:tcPr>
          <w:p w14:paraId="696A40BF" w14:textId="77777777" w:rsidR="00672297" w:rsidRDefault="00A16EA3">
            <w:pPr>
              <w:spacing w:before="20" w:after="20"/>
              <w:jc w:val="left"/>
            </w:pPr>
            <w:r>
              <w:rPr>
                <w:rFonts w:cstheme="minorHAnsi"/>
                <w:sz w:val="20"/>
                <w:szCs w:val="20"/>
              </w:rPr>
              <w:t>transfer_detail (component movements), scheduled inventory</w:t>
            </w:r>
          </w:p>
        </w:tc>
      </w:tr>
      <w:tr w:rsidR="00672297" w14:paraId="3BF9C6B6" w14:textId="77777777">
        <w:trPr>
          <w:cantSplit/>
        </w:trPr>
        <w:tc>
          <w:tcPr>
            <w:tcW w:w="2246" w:type="dxa"/>
            <w:vAlign w:val="center"/>
          </w:tcPr>
          <w:p w14:paraId="1AFBC760" w14:textId="77777777" w:rsidR="00672297" w:rsidRDefault="00A16EA3">
            <w:pPr>
              <w:spacing w:before="20" w:after="20"/>
              <w:jc w:val="left"/>
            </w:pPr>
            <w:r>
              <w:rPr>
                <w:rFonts w:cstheme="minorHAnsi"/>
                <w:sz w:val="20"/>
                <w:szCs w:val="20"/>
              </w:rPr>
              <w:t>DemandBbl</w:t>
            </w:r>
          </w:p>
        </w:tc>
        <w:tc>
          <w:tcPr>
            <w:tcW w:w="1216" w:type="dxa"/>
            <w:vAlign w:val="center"/>
          </w:tcPr>
          <w:p w14:paraId="481C8085" w14:textId="77777777" w:rsidR="00672297" w:rsidRDefault="00A16EA3">
            <w:pPr>
              <w:spacing w:before="20" w:after="20"/>
              <w:jc w:val="left"/>
            </w:pPr>
            <w:r>
              <w:rPr>
                <w:rFonts w:cstheme="minorHAnsi"/>
                <w:sz w:val="20"/>
                <w:szCs w:val="20"/>
              </w:rPr>
              <w:t>DECIMAL(18,2)</w:t>
            </w:r>
          </w:p>
        </w:tc>
        <w:tc>
          <w:tcPr>
            <w:tcW w:w="3088" w:type="dxa"/>
            <w:vAlign w:val="center"/>
          </w:tcPr>
          <w:p w14:paraId="087B5592" w14:textId="77777777" w:rsidR="00672297" w:rsidRDefault="00A16EA3">
            <w:pPr>
              <w:spacing w:before="20" w:after="20"/>
              <w:jc w:val="left"/>
            </w:pPr>
            <w:r>
              <w:rPr>
                <w:rFonts w:cstheme="minorHAnsi"/>
                <w:sz w:val="20"/>
                <w:szCs w:val="20"/>
              </w:rPr>
              <w:t>Potential demand of the day</w:t>
            </w:r>
          </w:p>
        </w:tc>
        <w:tc>
          <w:tcPr>
            <w:tcW w:w="2810" w:type="dxa"/>
            <w:vAlign w:val="center"/>
          </w:tcPr>
          <w:p w14:paraId="7E8E810D" w14:textId="77777777" w:rsidR="00672297" w:rsidRDefault="00A16EA3">
            <w:pPr>
              <w:spacing w:before="20" w:after="20"/>
              <w:jc w:val="left"/>
            </w:pPr>
            <w:r>
              <w:rPr>
                <w:rFonts w:cstheme="minorHAnsi"/>
                <w:sz w:val="20"/>
                <w:szCs w:val="20"/>
              </w:rPr>
              <w:t>Butane / Transmix: potential of the batches arriving; Ethanol: blend_pct x volume; Biodiesel: gap RD-10</w:t>
            </w:r>
          </w:p>
        </w:tc>
      </w:tr>
      <w:tr w:rsidR="00672297" w14:paraId="6BD42DB4" w14:textId="77777777">
        <w:trPr>
          <w:cantSplit/>
        </w:trPr>
        <w:tc>
          <w:tcPr>
            <w:tcW w:w="2246" w:type="dxa"/>
            <w:vAlign w:val="center"/>
          </w:tcPr>
          <w:p w14:paraId="7848F8AC" w14:textId="77777777" w:rsidR="00672297" w:rsidRDefault="00A16EA3">
            <w:pPr>
              <w:spacing w:before="20" w:after="20"/>
              <w:jc w:val="left"/>
            </w:pPr>
            <w:r>
              <w:rPr>
                <w:rFonts w:cstheme="minorHAnsi"/>
                <w:sz w:val="20"/>
                <w:szCs w:val="20"/>
              </w:rPr>
              <w:t>NetGapBbl</w:t>
            </w:r>
          </w:p>
        </w:tc>
        <w:tc>
          <w:tcPr>
            <w:tcW w:w="1216" w:type="dxa"/>
            <w:vAlign w:val="center"/>
          </w:tcPr>
          <w:p w14:paraId="2278E668" w14:textId="77777777" w:rsidR="00672297" w:rsidRDefault="00A16EA3">
            <w:pPr>
              <w:spacing w:before="20" w:after="20"/>
              <w:jc w:val="left"/>
            </w:pPr>
            <w:r>
              <w:rPr>
                <w:rFonts w:cstheme="minorHAnsi"/>
                <w:sz w:val="20"/>
                <w:szCs w:val="20"/>
              </w:rPr>
              <w:t>DECIMAL(18,2)</w:t>
            </w:r>
          </w:p>
        </w:tc>
        <w:tc>
          <w:tcPr>
            <w:tcW w:w="3088" w:type="dxa"/>
            <w:vAlign w:val="center"/>
          </w:tcPr>
          <w:p w14:paraId="132BEA71" w14:textId="77777777" w:rsidR="00672297" w:rsidRDefault="00A16EA3">
            <w:pPr>
              <w:spacing w:before="20" w:after="20"/>
              <w:jc w:val="left"/>
            </w:pPr>
            <w:r>
              <w:rPr>
                <w:rFonts w:cstheme="minorHAnsi"/>
                <w:sz w:val="20"/>
                <w:szCs w:val="20"/>
              </w:rPr>
              <w:t>Closing position (net gap / surplus)</w:t>
            </w:r>
          </w:p>
        </w:tc>
        <w:tc>
          <w:tcPr>
            <w:tcW w:w="2810" w:type="dxa"/>
            <w:vAlign w:val="center"/>
          </w:tcPr>
          <w:p w14:paraId="16CDAF8B" w14:textId="77777777" w:rsidR="00672297" w:rsidRDefault="00A16EA3">
            <w:pPr>
              <w:spacing w:before="20" w:after="20"/>
              <w:jc w:val="left"/>
            </w:pPr>
            <w:r>
              <w:rPr>
                <w:rFonts w:cstheme="minorHAnsi"/>
                <w:sz w:val="20"/>
                <w:szCs w:val="20"/>
              </w:rPr>
              <w:t>OpeningInventoryBbl + ReceiptInTransitBbl - DemandBbl (Transmix: no receipts)</w:t>
            </w:r>
          </w:p>
        </w:tc>
      </w:tr>
      <w:tr w:rsidR="00672297" w14:paraId="36A32023" w14:textId="77777777">
        <w:trPr>
          <w:cantSplit/>
        </w:trPr>
        <w:tc>
          <w:tcPr>
            <w:tcW w:w="2246" w:type="dxa"/>
            <w:vAlign w:val="center"/>
          </w:tcPr>
          <w:p w14:paraId="45EA33CC" w14:textId="77777777" w:rsidR="00672297" w:rsidRDefault="00A16EA3">
            <w:pPr>
              <w:spacing w:before="20" w:after="20"/>
              <w:jc w:val="left"/>
            </w:pPr>
            <w:r>
              <w:rPr>
                <w:rFonts w:cstheme="minorHAnsi"/>
                <w:sz w:val="20"/>
                <w:szCs w:val="20"/>
              </w:rPr>
              <w:t>BlendingCapableFlag</w:t>
            </w:r>
          </w:p>
        </w:tc>
        <w:tc>
          <w:tcPr>
            <w:tcW w:w="1216" w:type="dxa"/>
            <w:vAlign w:val="center"/>
          </w:tcPr>
          <w:p w14:paraId="44D1F80B" w14:textId="77777777" w:rsidR="00672297" w:rsidRDefault="00A16EA3">
            <w:pPr>
              <w:spacing w:before="20" w:after="20"/>
              <w:jc w:val="left"/>
            </w:pPr>
            <w:r>
              <w:rPr>
                <w:rFonts w:cstheme="minorHAnsi"/>
                <w:sz w:val="20"/>
                <w:szCs w:val="20"/>
              </w:rPr>
              <w:t>BIT</w:t>
            </w:r>
          </w:p>
        </w:tc>
        <w:tc>
          <w:tcPr>
            <w:tcW w:w="3088" w:type="dxa"/>
            <w:vAlign w:val="center"/>
          </w:tcPr>
          <w:p w14:paraId="46259D28" w14:textId="77777777" w:rsidR="00672297" w:rsidRDefault="00A16EA3">
            <w:pPr>
              <w:spacing w:before="20" w:after="20"/>
              <w:jc w:val="left"/>
            </w:pPr>
            <w:r>
              <w:rPr>
                <w:rFonts w:cstheme="minorHAnsi"/>
                <w:sz w:val="20"/>
                <w:szCs w:val="20"/>
              </w:rPr>
              <w:t>Terminal blends the component</w:t>
            </w:r>
          </w:p>
        </w:tc>
        <w:tc>
          <w:tcPr>
            <w:tcW w:w="2810" w:type="dxa"/>
            <w:vAlign w:val="center"/>
          </w:tcPr>
          <w:p w14:paraId="2C0AD53C" w14:textId="77777777" w:rsidR="00672297" w:rsidRDefault="00A16EA3">
            <w:pPr>
              <w:spacing w:before="20" w:after="20"/>
              <w:jc w:val="left"/>
            </w:pPr>
            <w:r>
              <w:rPr>
                <w:rFonts w:cstheme="minorHAnsi"/>
                <w:sz w:val="20"/>
                <w:szCs w:val="20"/>
              </w:rPr>
              <w:t>Terminal configuration (calculation input, gap DP-09)</w:t>
            </w:r>
          </w:p>
        </w:tc>
      </w:tr>
      <w:tr w:rsidR="00672297" w14:paraId="3739A180" w14:textId="77777777">
        <w:trPr>
          <w:cantSplit/>
        </w:trPr>
        <w:tc>
          <w:tcPr>
            <w:tcW w:w="2246" w:type="dxa"/>
            <w:vAlign w:val="center"/>
          </w:tcPr>
          <w:p w14:paraId="2B14A12E" w14:textId="77777777" w:rsidR="00672297" w:rsidRDefault="00A16EA3">
            <w:pPr>
              <w:spacing w:before="20" w:after="20"/>
              <w:jc w:val="left"/>
            </w:pPr>
            <w:r>
              <w:rPr>
                <w:rFonts w:cstheme="minorHAnsi"/>
                <w:sz w:val="20"/>
                <w:szCs w:val="20"/>
              </w:rPr>
              <w:t>UrgentThresholdBbl, PlanThresholdBbl</w:t>
            </w:r>
          </w:p>
        </w:tc>
        <w:tc>
          <w:tcPr>
            <w:tcW w:w="1216" w:type="dxa"/>
            <w:vAlign w:val="center"/>
          </w:tcPr>
          <w:p w14:paraId="5178199B" w14:textId="77777777" w:rsidR="00672297" w:rsidRDefault="00A16EA3">
            <w:pPr>
              <w:spacing w:before="20" w:after="20"/>
              <w:jc w:val="left"/>
            </w:pPr>
            <w:r>
              <w:rPr>
                <w:rFonts w:cstheme="minorHAnsi"/>
                <w:sz w:val="20"/>
                <w:szCs w:val="20"/>
              </w:rPr>
              <w:t>DECIMAL(18,2)</w:t>
            </w:r>
          </w:p>
        </w:tc>
        <w:tc>
          <w:tcPr>
            <w:tcW w:w="3088" w:type="dxa"/>
            <w:vAlign w:val="center"/>
          </w:tcPr>
          <w:p w14:paraId="077B3C7C" w14:textId="77777777" w:rsidR="00672297" w:rsidRDefault="00A16EA3">
            <w:pPr>
              <w:spacing w:before="20" w:after="20"/>
              <w:jc w:val="left"/>
            </w:pPr>
            <w:r>
              <w:rPr>
                <w:rFonts w:cstheme="minorHAnsi"/>
                <w:sz w:val="20"/>
                <w:szCs w:val="20"/>
              </w:rPr>
              <w:t>Action thresholds (wireframe -1,000 and 0)</w:t>
            </w:r>
          </w:p>
        </w:tc>
        <w:tc>
          <w:tcPr>
            <w:tcW w:w="2810" w:type="dxa"/>
            <w:vAlign w:val="center"/>
          </w:tcPr>
          <w:p w14:paraId="1DCC071D" w14:textId="77777777" w:rsidR="00672297" w:rsidRDefault="00A16EA3">
            <w:pPr>
              <w:spacing w:before="20" w:after="20"/>
              <w:jc w:val="left"/>
            </w:pPr>
            <w:r>
              <w:rPr>
                <w:rFonts w:cstheme="minorHAnsi"/>
                <w:sz w:val="20"/>
                <w:szCs w:val="20"/>
              </w:rPr>
              <w:t>Constants in the view (calculation input, gap DP-12)</w:t>
            </w:r>
          </w:p>
        </w:tc>
      </w:tr>
    </w:tbl>
    <w:p w14:paraId="38F58DA8" w14:textId="7F025416" w:rsidR="00672297" w:rsidRDefault="00A16EA3">
      <w:pPr>
        <w:pStyle w:val="Caption"/>
      </w:pPr>
      <w:bookmarkStart w:id="401" w:name="_Toc900900036"/>
      <w:bookmarkStart w:id="402" w:name="_Toc241574683"/>
      <w:bookmarkStart w:id="403" w:name="_Toc242554067"/>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14</w:t>
      </w:r>
      <w:r>
        <w:fldChar w:fldCharType="end"/>
      </w:r>
      <w:r>
        <w:t>: vwBlendComponentSupplyDemand View</w:t>
      </w:r>
      <w:bookmarkEnd w:id="401"/>
      <w:bookmarkEnd w:id="402"/>
      <w:bookmarkEnd w:id="403"/>
    </w:p>
    <w:p w14:paraId="3F483DEC" w14:textId="77777777" w:rsidR="00672297" w:rsidRDefault="00A16EA3">
      <w:pPr>
        <w:rPr>
          <w:rFonts w:cstheme="minorHAnsi"/>
          <w:sz w:val="20"/>
          <w:szCs w:val="20"/>
        </w:rPr>
      </w:pPr>
      <w:r>
        <w:rPr>
          <w:rFonts w:cstheme="minorHAnsi"/>
          <w:b/>
          <w:bCs/>
          <w:sz w:val="20"/>
          <w:szCs w:val="20"/>
        </w:rPr>
        <w:t>vwGasolineBlendingKPI</w:t>
      </w:r>
      <w:r>
        <w:rPr>
          <w:rFonts w:cstheme="minorHAnsi"/>
          <w:sz w:val="20"/>
          <w:szCs w:val="20"/>
        </w:rPr>
        <w:t xml:space="preserve"> - Gasoline KPI dashboard; one row per destination terminal, source refinery, grade and delivery date for delivered gasoline batches. Value-loss columns are calculated in Power BI with the MPR prices (chapter 4).</w:t>
      </w:r>
    </w:p>
    <w:tbl>
      <w:tblPr>
        <w:tblStyle w:val="TableGrid"/>
        <w:tblW w:w="9360" w:type="dxa"/>
        <w:tblLayout w:type="fixed"/>
        <w:tblCellMar>
          <w:left w:w="70" w:type="dxa"/>
          <w:right w:w="70" w:type="dxa"/>
        </w:tblCellMar>
        <w:tblLook w:val="04A0" w:firstRow="1" w:lastRow="0" w:firstColumn="1" w:lastColumn="0" w:noHBand="0" w:noVBand="1"/>
      </w:tblPr>
      <w:tblGrid>
        <w:gridCol w:w="2246"/>
        <w:gridCol w:w="1216"/>
        <w:gridCol w:w="3088"/>
        <w:gridCol w:w="2810"/>
      </w:tblGrid>
      <w:tr w:rsidR="00672297" w14:paraId="30560EE3" w14:textId="77777777">
        <w:trPr>
          <w:cantSplit/>
          <w:tblHeader/>
        </w:trPr>
        <w:tc>
          <w:tcPr>
            <w:tcW w:w="2246" w:type="dxa"/>
            <w:shd w:val="clear" w:color="auto" w:fill="2F5496"/>
            <w:vAlign w:val="center"/>
          </w:tcPr>
          <w:p w14:paraId="517C630C" w14:textId="77777777" w:rsidR="00672297" w:rsidRDefault="00A16EA3">
            <w:pPr>
              <w:spacing w:before="20" w:after="20"/>
              <w:jc w:val="left"/>
            </w:pPr>
            <w:r>
              <w:rPr>
                <w:rFonts w:cstheme="minorHAnsi"/>
                <w:b/>
                <w:bCs/>
                <w:color w:val="FFFFFF"/>
                <w:sz w:val="20"/>
                <w:szCs w:val="20"/>
              </w:rPr>
              <w:t>Column Name</w:t>
            </w:r>
          </w:p>
        </w:tc>
        <w:tc>
          <w:tcPr>
            <w:tcW w:w="1216" w:type="dxa"/>
            <w:shd w:val="clear" w:color="auto" w:fill="2F5496"/>
            <w:vAlign w:val="center"/>
          </w:tcPr>
          <w:p w14:paraId="2BF094CF" w14:textId="77777777" w:rsidR="00672297" w:rsidRDefault="00A16EA3">
            <w:pPr>
              <w:spacing w:before="20" w:after="20"/>
              <w:jc w:val="left"/>
            </w:pPr>
            <w:r>
              <w:rPr>
                <w:rFonts w:cstheme="minorHAnsi"/>
                <w:b/>
                <w:bCs/>
                <w:color w:val="FFFFFF"/>
                <w:sz w:val="20"/>
                <w:szCs w:val="20"/>
              </w:rPr>
              <w:t>Data Type</w:t>
            </w:r>
          </w:p>
        </w:tc>
        <w:tc>
          <w:tcPr>
            <w:tcW w:w="3088" w:type="dxa"/>
            <w:shd w:val="clear" w:color="auto" w:fill="2F5496"/>
            <w:vAlign w:val="center"/>
          </w:tcPr>
          <w:p w14:paraId="47898DAF" w14:textId="77777777" w:rsidR="00672297" w:rsidRDefault="00A16EA3">
            <w:pPr>
              <w:spacing w:before="20" w:after="20"/>
              <w:jc w:val="left"/>
            </w:pPr>
            <w:r>
              <w:rPr>
                <w:rFonts w:cstheme="minorHAnsi"/>
                <w:b/>
                <w:bCs/>
                <w:color w:val="FFFFFF"/>
                <w:sz w:val="20"/>
                <w:szCs w:val="20"/>
              </w:rPr>
              <w:t>Description</w:t>
            </w:r>
          </w:p>
        </w:tc>
        <w:tc>
          <w:tcPr>
            <w:tcW w:w="2810" w:type="dxa"/>
            <w:shd w:val="clear" w:color="auto" w:fill="2F5496"/>
            <w:vAlign w:val="center"/>
          </w:tcPr>
          <w:p w14:paraId="030D4D2B" w14:textId="77777777" w:rsidR="00672297" w:rsidRDefault="00A16EA3">
            <w:pPr>
              <w:spacing w:before="20" w:after="20"/>
              <w:jc w:val="left"/>
            </w:pPr>
            <w:r>
              <w:rPr>
                <w:rFonts w:cstheme="minorHAnsi"/>
                <w:b/>
                <w:bCs/>
                <w:color w:val="FFFFFF"/>
                <w:sz w:val="20"/>
                <w:szCs w:val="20"/>
              </w:rPr>
              <w:t>Source Table / Derivation</w:t>
            </w:r>
          </w:p>
        </w:tc>
      </w:tr>
      <w:tr w:rsidR="00672297" w14:paraId="22E1B849" w14:textId="77777777">
        <w:trPr>
          <w:cantSplit/>
        </w:trPr>
        <w:tc>
          <w:tcPr>
            <w:tcW w:w="2246" w:type="dxa"/>
            <w:vAlign w:val="center"/>
          </w:tcPr>
          <w:p w14:paraId="7085F102" w14:textId="77777777" w:rsidR="00672297" w:rsidRDefault="00A16EA3">
            <w:pPr>
              <w:spacing w:before="20" w:after="20"/>
              <w:jc w:val="left"/>
            </w:pPr>
            <w:r>
              <w:rPr>
                <w:rFonts w:cstheme="minorHAnsi"/>
                <w:sz w:val="20"/>
                <w:szCs w:val="20"/>
              </w:rPr>
              <w:t>SourceGlobalCode, Source</w:t>
            </w:r>
          </w:p>
        </w:tc>
        <w:tc>
          <w:tcPr>
            <w:tcW w:w="1216" w:type="dxa"/>
            <w:vAlign w:val="center"/>
          </w:tcPr>
          <w:p w14:paraId="5D7BC2B3" w14:textId="77777777" w:rsidR="00672297" w:rsidRDefault="00A16EA3">
            <w:pPr>
              <w:spacing w:before="20" w:after="20"/>
              <w:jc w:val="left"/>
            </w:pPr>
            <w:r>
              <w:rPr>
                <w:rFonts w:cstheme="minorHAnsi"/>
                <w:sz w:val="20"/>
                <w:szCs w:val="20"/>
              </w:rPr>
              <w:t>VARCHAR(100), VARCHAR(255)</w:t>
            </w:r>
          </w:p>
        </w:tc>
        <w:tc>
          <w:tcPr>
            <w:tcW w:w="3088" w:type="dxa"/>
            <w:vAlign w:val="center"/>
          </w:tcPr>
          <w:p w14:paraId="6FE9394C" w14:textId="77777777" w:rsidR="00672297" w:rsidRDefault="00A16EA3">
            <w:pPr>
              <w:spacing w:before="20" w:after="20"/>
              <w:jc w:val="left"/>
            </w:pPr>
            <w:r>
              <w:rPr>
                <w:rFonts w:cstheme="minorHAnsi"/>
                <w:sz w:val="20"/>
                <w:szCs w:val="20"/>
              </w:rPr>
              <w:t>Source refinery</w:t>
            </w:r>
          </w:p>
        </w:tc>
        <w:tc>
          <w:tcPr>
            <w:tcW w:w="2810" w:type="dxa"/>
            <w:vAlign w:val="center"/>
          </w:tcPr>
          <w:p w14:paraId="61480481" w14:textId="77777777" w:rsidR="00672297" w:rsidRDefault="00A16EA3">
            <w:pPr>
              <w:spacing w:before="20" w:after="20"/>
              <w:jc w:val="left"/>
            </w:pPr>
            <w:r>
              <w:rPr>
                <w:rFonts w:cstheme="minorHAnsi"/>
                <w:sz w:val="20"/>
                <w:szCs w:val="20"/>
              </w:rPr>
              <w:t>location</w:t>
            </w:r>
          </w:p>
        </w:tc>
      </w:tr>
      <w:tr w:rsidR="00672297" w14:paraId="191F0AB4" w14:textId="77777777">
        <w:trPr>
          <w:cantSplit/>
        </w:trPr>
        <w:tc>
          <w:tcPr>
            <w:tcW w:w="2246" w:type="dxa"/>
            <w:vAlign w:val="center"/>
          </w:tcPr>
          <w:p w14:paraId="48677FD1" w14:textId="77777777" w:rsidR="00672297" w:rsidRDefault="00A16EA3">
            <w:pPr>
              <w:spacing w:before="20" w:after="20"/>
              <w:jc w:val="left"/>
            </w:pPr>
            <w:r>
              <w:rPr>
                <w:rFonts w:cstheme="minorHAnsi"/>
                <w:sz w:val="20"/>
                <w:szCs w:val="20"/>
              </w:rPr>
              <w:t>DestinationGlobalCode, Destination, DestinationShortName</w:t>
            </w:r>
          </w:p>
        </w:tc>
        <w:tc>
          <w:tcPr>
            <w:tcW w:w="1216" w:type="dxa"/>
            <w:vAlign w:val="center"/>
          </w:tcPr>
          <w:p w14:paraId="459F50B7" w14:textId="77777777" w:rsidR="00672297" w:rsidRDefault="00A16EA3">
            <w:pPr>
              <w:spacing w:before="20" w:after="20"/>
              <w:jc w:val="left"/>
            </w:pPr>
            <w:r>
              <w:rPr>
                <w:rFonts w:cstheme="minorHAnsi"/>
                <w:sz w:val="20"/>
                <w:szCs w:val="20"/>
              </w:rPr>
              <w:t>VARCHAR(100), VARCHAR(255), VARCHAR(100)</w:t>
            </w:r>
          </w:p>
        </w:tc>
        <w:tc>
          <w:tcPr>
            <w:tcW w:w="3088" w:type="dxa"/>
            <w:vAlign w:val="center"/>
          </w:tcPr>
          <w:p w14:paraId="0BE84384" w14:textId="77777777" w:rsidR="00672297" w:rsidRDefault="00A16EA3">
            <w:pPr>
              <w:spacing w:before="20" w:after="20"/>
              <w:jc w:val="left"/>
            </w:pPr>
            <w:r>
              <w:rPr>
                <w:rFonts w:cstheme="minorHAnsi"/>
                <w:sz w:val="20"/>
                <w:szCs w:val="20"/>
              </w:rPr>
              <w:t>Destination terminal</w:t>
            </w:r>
          </w:p>
        </w:tc>
        <w:tc>
          <w:tcPr>
            <w:tcW w:w="2810" w:type="dxa"/>
            <w:vAlign w:val="center"/>
          </w:tcPr>
          <w:p w14:paraId="6872D9EB" w14:textId="77777777" w:rsidR="00672297" w:rsidRDefault="00A16EA3">
            <w:pPr>
              <w:spacing w:before="20" w:after="20"/>
              <w:jc w:val="left"/>
            </w:pPr>
            <w:r>
              <w:rPr>
                <w:rFonts w:cstheme="minorHAnsi"/>
                <w:sz w:val="20"/>
                <w:szCs w:val="20"/>
              </w:rPr>
              <w:t>location</w:t>
            </w:r>
          </w:p>
        </w:tc>
      </w:tr>
      <w:tr w:rsidR="00672297" w14:paraId="3946E44E" w14:textId="77777777">
        <w:trPr>
          <w:cantSplit/>
        </w:trPr>
        <w:tc>
          <w:tcPr>
            <w:tcW w:w="2246" w:type="dxa"/>
            <w:vAlign w:val="center"/>
          </w:tcPr>
          <w:p w14:paraId="56EA584E" w14:textId="77777777" w:rsidR="00672297" w:rsidRDefault="00A16EA3">
            <w:pPr>
              <w:spacing w:before="20" w:after="20"/>
              <w:jc w:val="left"/>
            </w:pPr>
            <w:r>
              <w:rPr>
                <w:rFonts w:cstheme="minorHAnsi"/>
                <w:sz w:val="20"/>
                <w:szCs w:val="20"/>
              </w:rPr>
              <w:t>Region</w:t>
            </w:r>
          </w:p>
        </w:tc>
        <w:tc>
          <w:tcPr>
            <w:tcW w:w="1216" w:type="dxa"/>
            <w:vAlign w:val="center"/>
          </w:tcPr>
          <w:p w14:paraId="774A9C06" w14:textId="77777777" w:rsidR="00672297" w:rsidRDefault="00A16EA3">
            <w:pPr>
              <w:spacing w:before="20" w:after="20"/>
              <w:jc w:val="left"/>
            </w:pPr>
            <w:r>
              <w:rPr>
                <w:rFonts w:cstheme="minorHAnsi"/>
                <w:sz w:val="20"/>
                <w:szCs w:val="20"/>
              </w:rPr>
              <w:t>VARCHAR(50)</w:t>
            </w:r>
          </w:p>
        </w:tc>
        <w:tc>
          <w:tcPr>
            <w:tcW w:w="3088" w:type="dxa"/>
            <w:vAlign w:val="center"/>
          </w:tcPr>
          <w:p w14:paraId="04507D68" w14:textId="77777777" w:rsidR="00672297" w:rsidRDefault="00A16EA3">
            <w:pPr>
              <w:spacing w:before="20" w:after="20"/>
              <w:jc w:val="left"/>
            </w:pPr>
            <w:r>
              <w:rPr>
                <w:rFonts w:cstheme="minorHAnsi"/>
                <w:sz w:val="20"/>
                <w:szCs w:val="20"/>
              </w:rPr>
              <w:t>Region</w:t>
            </w:r>
          </w:p>
        </w:tc>
        <w:tc>
          <w:tcPr>
            <w:tcW w:w="2810" w:type="dxa"/>
            <w:vAlign w:val="center"/>
          </w:tcPr>
          <w:p w14:paraId="1EE7AF90" w14:textId="77777777" w:rsidR="00672297" w:rsidRDefault="00A16EA3">
            <w:pPr>
              <w:spacing w:before="20" w:after="20"/>
              <w:jc w:val="left"/>
            </w:pPr>
            <w:r>
              <w:rPr>
                <w:rFonts w:cstheme="minorHAnsi"/>
                <w:sz w:val="20"/>
                <w:szCs w:val="20"/>
              </w:rPr>
              <w:t>location.Region</w:t>
            </w:r>
          </w:p>
        </w:tc>
      </w:tr>
      <w:tr w:rsidR="00672297" w14:paraId="56A81698" w14:textId="77777777">
        <w:trPr>
          <w:cantSplit/>
        </w:trPr>
        <w:tc>
          <w:tcPr>
            <w:tcW w:w="2246" w:type="dxa"/>
            <w:vAlign w:val="center"/>
          </w:tcPr>
          <w:p w14:paraId="6FB158A1" w14:textId="77777777" w:rsidR="00672297" w:rsidRDefault="00A16EA3">
            <w:pPr>
              <w:spacing w:before="20" w:after="20"/>
              <w:jc w:val="left"/>
            </w:pPr>
            <w:r>
              <w:rPr>
                <w:rFonts w:cstheme="minorHAnsi"/>
                <w:sz w:val="20"/>
                <w:szCs w:val="20"/>
              </w:rPr>
              <w:t>Grade</w:t>
            </w:r>
          </w:p>
        </w:tc>
        <w:tc>
          <w:tcPr>
            <w:tcW w:w="1216" w:type="dxa"/>
            <w:vAlign w:val="center"/>
          </w:tcPr>
          <w:p w14:paraId="01A1FF98" w14:textId="77777777" w:rsidR="00672297" w:rsidRDefault="00A16EA3">
            <w:pPr>
              <w:spacing w:before="20" w:after="20"/>
              <w:jc w:val="left"/>
            </w:pPr>
            <w:r>
              <w:rPr>
                <w:rFonts w:cstheme="minorHAnsi"/>
                <w:sz w:val="20"/>
                <w:szCs w:val="20"/>
              </w:rPr>
              <w:t>VARCHAR(100)</w:t>
            </w:r>
          </w:p>
        </w:tc>
        <w:tc>
          <w:tcPr>
            <w:tcW w:w="3088" w:type="dxa"/>
            <w:vAlign w:val="center"/>
          </w:tcPr>
          <w:p w14:paraId="3ED71B4C" w14:textId="77777777" w:rsidR="00672297" w:rsidRDefault="00A16EA3">
            <w:pPr>
              <w:spacing w:before="20" w:after="20"/>
              <w:jc w:val="left"/>
            </w:pPr>
            <w:r>
              <w:rPr>
                <w:rFonts w:cstheme="minorHAnsi"/>
                <w:sz w:val="20"/>
                <w:szCs w:val="20"/>
              </w:rPr>
              <w:t>Gasoline grade (84 Blendgrade, 91 Premium)</w:t>
            </w:r>
          </w:p>
        </w:tc>
        <w:tc>
          <w:tcPr>
            <w:tcW w:w="2810" w:type="dxa"/>
            <w:vAlign w:val="center"/>
          </w:tcPr>
          <w:p w14:paraId="5D3F0B79" w14:textId="77777777" w:rsidR="00672297" w:rsidRDefault="00A16EA3">
            <w:pPr>
              <w:spacing w:before="20" w:after="20"/>
              <w:jc w:val="left"/>
            </w:pPr>
            <w:r>
              <w:rPr>
                <w:rFonts w:cstheme="minorHAnsi"/>
                <w:sz w:val="20"/>
                <w:szCs w:val="20"/>
              </w:rPr>
              <w:t>material</w:t>
            </w:r>
          </w:p>
        </w:tc>
      </w:tr>
      <w:tr w:rsidR="00672297" w14:paraId="21E7EA28" w14:textId="77777777">
        <w:trPr>
          <w:cantSplit/>
        </w:trPr>
        <w:tc>
          <w:tcPr>
            <w:tcW w:w="2246" w:type="dxa"/>
            <w:vAlign w:val="center"/>
          </w:tcPr>
          <w:p w14:paraId="0977A5CE" w14:textId="77777777" w:rsidR="00672297" w:rsidRDefault="00A16EA3">
            <w:pPr>
              <w:spacing w:before="20" w:after="20"/>
              <w:jc w:val="left"/>
            </w:pPr>
            <w:r>
              <w:rPr>
                <w:rFonts w:cstheme="minorHAnsi"/>
                <w:sz w:val="20"/>
                <w:szCs w:val="20"/>
              </w:rPr>
              <w:t>globalCode</w:t>
            </w:r>
          </w:p>
        </w:tc>
        <w:tc>
          <w:tcPr>
            <w:tcW w:w="1216" w:type="dxa"/>
            <w:vAlign w:val="center"/>
          </w:tcPr>
          <w:p w14:paraId="4E20887B" w14:textId="77777777" w:rsidR="00672297" w:rsidRDefault="00A16EA3">
            <w:pPr>
              <w:spacing w:before="20" w:after="20"/>
              <w:jc w:val="left"/>
            </w:pPr>
            <w:r>
              <w:rPr>
                <w:rFonts w:cstheme="minorHAnsi"/>
                <w:sz w:val="20"/>
                <w:szCs w:val="20"/>
              </w:rPr>
              <w:t>VARCHAR(100)</w:t>
            </w:r>
          </w:p>
        </w:tc>
        <w:tc>
          <w:tcPr>
            <w:tcW w:w="3088" w:type="dxa"/>
            <w:vAlign w:val="center"/>
          </w:tcPr>
          <w:p w14:paraId="5120BCCF" w14:textId="77777777" w:rsidR="00672297" w:rsidRDefault="00A16EA3">
            <w:pPr>
              <w:spacing w:before="20" w:after="20"/>
              <w:jc w:val="left"/>
            </w:pPr>
            <w:r>
              <w:rPr>
                <w:rFonts w:cstheme="minorHAnsi"/>
                <w:sz w:val="20"/>
                <w:szCs w:val="20"/>
              </w:rPr>
              <w:t>Profisee global code of the product - MPR join column</w:t>
            </w:r>
          </w:p>
        </w:tc>
        <w:tc>
          <w:tcPr>
            <w:tcW w:w="2810" w:type="dxa"/>
            <w:vAlign w:val="center"/>
          </w:tcPr>
          <w:p w14:paraId="6FF84124" w14:textId="77777777" w:rsidR="00672297" w:rsidRDefault="00A16EA3">
            <w:pPr>
              <w:spacing w:before="20" w:after="20"/>
              <w:jc w:val="left"/>
            </w:pPr>
            <w:r>
              <w:rPr>
                <w:rFonts w:cstheme="minorHAnsi"/>
                <w:sz w:val="20"/>
                <w:szCs w:val="20"/>
              </w:rPr>
              <w:t>material.material_global_code</w:t>
            </w:r>
          </w:p>
        </w:tc>
      </w:tr>
      <w:tr w:rsidR="00672297" w14:paraId="6DC3A127" w14:textId="77777777">
        <w:trPr>
          <w:cantSplit/>
        </w:trPr>
        <w:tc>
          <w:tcPr>
            <w:tcW w:w="2246" w:type="dxa"/>
            <w:vAlign w:val="center"/>
          </w:tcPr>
          <w:p w14:paraId="590EBF8B" w14:textId="77777777" w:rsidR="00672297" w:rsidRDefault="00A16EA3">
            <w:pPr>
              <w:spacing w:before="20" w:after="20"/>
              <w:jc w:val="left"/>
            </w:pPr>
            <w:r>
              <w:rPr>
                <w:rFonts w:cstheme="minorHAnsi"/>
                <w:sz w:val="20"/>
                <w:szCs w:val="20"/>
              </w:rPr>
              <w:t>productAbbreviation</w:t>
            </w:r>
          </w:p>
        </w:tc>
        <w:tc>
          <w:tcPr>
            <w:tcW w:w="1216" w:type="dxa"/>
            <w:vAlign w:val="center"/>
          </w:tcPr>
          <w:p w14:paraId="25D72E7C" w14:textId="77777777" w:rsidR="00672297" w:rsidRDefault="00A16EA3">
            <w:pPr>
              <w:spacing w:before="20" w:after="20"/>
              <w:jc w:val="left"/>
            </w:pPr>
            <w:r>
              <w:rPr>
                <w:rFonts w:cstheme="minorHAnsi"/>
                <w:sz w:val="20"/>
                <w:szCs w:val="20"/>
              </w:rPr>
              <w:t>VARCHAR(50)</w:t>
            </w:r>
          </w:p>
        </w:tc>
        <w:tc>
          <w:tcPr>
            <w:tcW w:w="3088" w:type="dxa"/>
            <w:vAlign w:val="center"/>
          </w:tcPr>
          <w:p w14:paraId="4B1F0F9B" w14:textId="77777777" w:rsidR="00672297" w:rsidRDefault="00A16EA3">
            <w:pPr>
              <w:spacing w:before="20" w:after="20"/>
              <w:jc w:val="left"/>
            </w:pPr>
            <w:r>
              <w:rPr>
                <w:rFonts w:cstheme="minorHAnsi"/>
                <w:sz w:val="20"/>
                <w:szCs w:val="20"/>
              </w:rPr>
              <w:t>Product abbreviation - MPR join column</w:t>
            </w:r>
          </w:p>
        </w:tc>
        <w:tc>
          <w:tcPr>
            <w:tcW w:w="2810" w:type="dxa"/>
            <w:vAlign w:val="center"/>
          </w:tcPr>
          <w:p w14:paraId="01A68EDF" w14:textId="77777777" w:rsidR="00672297" w:rsidRDefault="00A16EA3">
            <w:pPr>
              <w:spacing w:before="20" w:after="20"/>
              <w:jc w:val="left"/>
            </w:pPr>
            <w:r>
              <w:rPr>
                <w:rFonts w:cstheme="minorHAnsi"/>
                <w:sz w:val="20"/>
                <w:szCs w:val="20"/>
              </w:rPr>
              <w:t>Profisee product attribute (gap DP-11)</w:t>
            </w:r>
          </w:p>
        </w:tc>
      </w:tr>
      <w:tr w:rsidR="00672297" w14:paraId="22E4AA18" w14:textId="77777777">
        <w:trPr>
          <w:cantSplit/>
        </w:trPr>
        <w:tc>
          <w:tcPr>
            <w:tcW w:w="2246" w:type="dxa"/>
            <w:vAlign w:val="center"/>
          </w:tcPr>
          <w:p w14:paraId="050A5274" w14:textId="77777777" w:rsidR="00672297" w:rsidRDefault="00A16EA3">
            <w:pPr>
              <w:spacing w:before="20" w:after="20"/>
              <w:jc w:val="left"/>
            </w:pPr>
            <w:r>
              <w:rPr>
                <w:rFonts w:cstheme="minorHAnsi"/>
                <w:sz w:val="20"/>
                <w:szCs w:val="20"/>
              </w:rPr>
              <w:t>ActivityDate</w:t>
            </w:r>
          </w:p>
        </w:tc>
        <w:tc>
          <w:tcPr>
            <w:tcW w:w="1216" w:type="dxa"/>
            <w:vAlign w:val="center"/>
          </w:tcPr>
          <w:p w14:paraId="7809DFC3" w14:textId="77777777" w:rsidR="00672297" w:rsidRDefault="00A16EA3">
            <w:pPr>
              <w:spacing w:before="20" w:after="20"/>
              <w:jc w:val="left"/>
            </w:pPr>
            <w:r>
              <w:rPr>
                <w:rFonts w:cstheme="minorHAnsi"/>
                <w:sz w:val="20"/>
                <w:szCs w:val="20"/>
              </w:rPr>
              <w:t>DATE</w:t>
            </w:r>
          </w:p>
        </w:tc>
        <w:tc>
          <w:tcPr>
            <w:tcW w:w="3088" w:type="dxa"/>
            <w:vAlign w:val="center"/>
          </w:tcPr>
          <w:p w14:paraId="2DDA41D0" w14:textId="77777777" w:rsidR="00672297" w:rsidRDefault="00A16EA3">
            <w:pPr>
              <w:spacing w:before="20" w:after="20"/>
              <w:jc w:val="left"/>
            </w:pPr>
            <w:r>
              <w:rPr>
                <w:rFonts w:cstheme="minorHAnsi"/>
                <w:sz w:val="20"/>
                <w:szCs w:val="20"/>
              </w:rPr>
              <w:t>Delivery date (week / month through day_detail)</w:t>
            </w:r>
          </w:p>
        </w:tc>
        <w:tc>
          <w:tcPr>
            <w:tcW w:w="2810" w:type="dxa"/>
            <w:vAlign w:val="center"/>
          </w:tcPr>
          <w:p w14:paraId="291B99B6" w14:textId="77777777" w:rsidR="00672297" w:rsidRDefault="00A16EA3">
            <w:pPr>
              <w:spacing w:before="20" w:after="20"/>
              <w:jc w:val="left"/>
            </w:pPr>
            <w:r>
              <w:rPr>
                <w:rFonts w:cstheme="minorHAnsi"/>
                <w:sz w:val="20"/>
                <w:szCs w:val="20"/>
              </w:rPr>
              <w:t>ETA / unload date of the delivered batch</w:t>
            </w:r>
          </w:p>
        </w:tc>
      </w:tr>
      <w:tr w:rsidR="00672297" w14:paraId="51986255" w14:textId="77777777">
        <w:trPr>
          <w:cantSplit/>
        </w:trPr>
        <w:tc>
          <w:tcPr>
            <w:tcW w:w="2246" w:type="dxa"/>
            <w:vAlign w:val="center"/>
          </w:tcPr>
          <w:p w14:paraId="395E1F6E" w14:textId="77777777" w:rsidR="00672297" w:rsidRDefault="00A16EA3">
            <w:pPr>
              <w:spacing w:before="20" w:after="20"/>
              <w:jc w:val="left"/>
            </w:pPr>
            <w:r>
              <w:rPr>
                <w:rFonts w:cstheme="minorHAnsi"/>
                <w:sz w:val="20"/>
                <w:szCs w:val="20"/>
              </w:rPr>
              <w:t>TotalVolumeBbl</w:t>
            </w:r>
          </w:p>
        </w:tc>
        <w:tc>
          <w:tcPr>
            <w:tcW w:w="1216" w:type="dxa"/>
            <w:vAlign w:val="center"/>
          </w:tcPr>
          <w:p w14:paraId="6AE88817" w14:textId="77777777" w:rsidR="00672297" w:rsidRDefault="00A16EA3">
            <w:pPr>
              <w:spacing w:before="20" w:after="20"/>
              <w:jc w:val="left"/>
            </w:pPr>
            <w:r>
              <w:rPr>
                <w:rFonts w:cstheme="minorHAnsi"/>
                <w:sz w:val="20"/>
                <w:szCs w:val="20"/>
              </w:rPr>
              <w:t>DECIMAL(18,2)</w:t>
            </w:r>
          </w:p>
        </w:tc>
        <w:tc>
          <w:tcPr>
            <w:tcW w:w="3088" w:type="dxa"/>
            <w:vAlign w:val="center"/>
          </w:tcPr>
          <w:p w14:paraId="75B9BEFB" w14:textId="77777777" w:rsidR="00672297" w:rsidRDefault="00A16EA3">
            <w:pPr>
              <w:spacing w:before="20" w:after="20"/>
              <w:jc w:val="left"/>
            </w:pPr>
            <w:r>
              <w:rPr>
                <w:rFonts w:cstheme="minorHAnsi"/>
                <w:sz w:val="20"/>
                <w:szCs w:val="20"/>
              </w:rPr>
              <w:t>Delivered gasoline volume</w:t>
            </w:r>
          </w:p>
        </w:tc>
        <w:tc>
          <w:tcPr>
            <w:tcW w:w="2810" w:type="dxa"/>
            <w:vAlign w:val="center"/>
          </w:tcPr>
          <w:p w14:paraId="71E0A149" w14:textId="77777777" w:rsidR="00672297" w:rsidRDefault="00A16EA3">
            <w:pPr>
              <w:spacing w:before="20" w:after="20"/>
              <w:jc w:val="left"/>
            </w:pPr>
            <w:r>
              <w:rPr>
                <w:rFonts w:cstheme="minorHAnsi"/>
                <w:sz w:val="20"/>
                <w:szCs w:val="20"/>
              </w:rPr>
              <w:t>transfer_detail (Actual Quantity)</w:t>
            </w:r>
          </w:p>
        </w:tc>
      </w:tr>
      <w:tr w:rsidR="00672297" w14:paraId="6EB762BB" w14:textId="77777777">
        <w:trPr>
          <w:cantSplit/>
        </w:trPr>
        <w:tc>
          <w:tcPr>
            <w:tcW w:w="2246" w:type="dxa"/>
            <w:vAlign w:val="center"/>
          </w:tcPr>
          <w:p w14:paraId="5E01379C" w14:textId="77777777" w:rsidR="00672297" w:rsidRDefault="00A16EA3">
            <w:pPr>
              <w:spacing w:before="20" w:after="20"/>
              <w:jc w:val="left"/>
            </w:pPr>
            <w:r>
              <w:rPr>
                <w:rFonts w:cstheme="minorHAnsi"/>
                <w:sz w:val="20"/>
                <w:szCs w:val="20"/>
              </w:rPr>
              <w:t>RVP, T10, T50, T90, TVL, FBP</w:t>
            </w:r>
          </w:p>
        </w:tc>
        <w:tc>
          <w:tcPr>
            <w:tcW w:w="1216" w:type="dxa"/>
            <w:vAlign w:val="center"/>
          </w:tcPr>
          <w:p w14:paraId="6FBF489D" w14:textId="77777777" w:rsidR="00672297" w:rsidRDefault="00A16EA3">
            <w:pPr>
              <w:spacing w:before="20" w:after="20"/>
              <w:jc w:val="left"/>
            </w:pPr>
            <w:r>
              <w:rPr>
                <w:rFonts w:cstheme="minorHAnsi"/>
                <w:sz w:val="20"/>
                <w:szCs w:val="20"/>
              </w:rPr>
              <w:t>DECIMAL(18,4)</w:t>
            </w:r>
          </w:p>
        </w:tc>
        <w:tc>
          <w:tcPr>
            <w:tcW w:w="3088" w:type="dxa"/>
            <w:vAlign w:val="center"/>
          </w:tcPr>
          <w:p w14:paraId="1851B349" w14:textId="77777777" w:rsidR="00672297" w:rsidRDefault="00A16EA3">
            <w:pPr>
              <w:spacing w:before="20" w:after="20"/>
              <w:jc w:val="left"/>
            </w:pPr>
            <w:r>
              <w:rPr>
                <w:rFonts w:cstheme="minorHAnsi"/>
                <w:sz w:val="20"/>
                <w:szCs w:val="20"/>
              </w:rPr>
              <w:t>Average qualities of the delivered batches</w:t>
            </w:r>
          </w:p>
        </w:tc>
        <w:tc>
          <w:tcPr>
            <w:tcW w:w="2810" w:type="dxa"/>
            <w:vAlign w:val="center"/>
          </w:tcPr>
          <w:p w14:paraId="1157C1ED" w14:textId="77777777" w:rsidR="00672297" w:rsidRDefault="00A16EA3">
            <w:pPr>
              <w:spacing w:before="20" w:after="20"/>
              <w:jc w:val="left"/>
            </w:pPr>
            <w:r>
              <w:rPr>
                <w:rFonts w:cstheme="minorHAnsi"/>
                <w:sz w:val="20"/>
                <w:szCs w:val="20"/>
              </w:rPr>
              <w:t>quality_detail (simple average, gap RD-08)</w:t>
            </w:r>
          </w:p>
        </w:tc>
      </w:tr>
      <w:tr w:rsidR="00672297" w14:paraId="44ECAA5B" w14:textId="77777777">
        <w:trPr>
          <w:cantSplit/>
        </w:trPr>
        <w:tc>
          <w:tcPr>
            <w:tcW w:w="2246" w:type="dxa"/>
            <w:vAlign w:val="center"/>
          </w:tcPr>
          <w:p w14:paraId="0C53A4A3" w14:textId="77777777" w:rsidR="00672297" w:rsidRDefault="00A16EA3">
            <w:pPr>
              <w:spacing w:before="20" w:after="20"/>
              <w:jc w:val="left"/>
            </w:pPr>
            <w:r>
              <w:rPr>
                <w:rFonts w:cstheme="minorHAnsi"/>
                <w:sz w:val="20"/>
                <w:szCs w:val="20"/>
              </w:rPr>
              <w:t>ButanePotentialBbl, ButaneActualBbl, ButaneDeltaBbl</w:t>
            </w:r>
          </w:p>
        </w:tc>
        <w:tc>
          <w:tcPr>
            <w:tcW w:w="1216" w:type="dxa"/>
            <w:vAlign w:val="center"/>
          </w:tcPr>
          <w:p w14:paraId="7FDFA8B3" w14:textId="77777777" w:rsidR="00672297" w:rsidRDefault="00A16EA3">
            <w:pPr>
              <w:spacing w:before="20" w:after="20"/>
              <w:jc w:val="left"/>
            </w:pPr>
            <w:r>
              <w:rPr>
                <w:rFonts w:cstheme="minorHAnsi"/>
                <w:sz w:val="20"/>
                <w:szCs w:val="20"/>
              </w:rPr>
              <w:t>DECIMAL(18,2)</w:t>
            </w:r>
          </w:p>
        </w:tc>
        <w:tc>
          <w:tcPr>
            <w:tcW w:w="3088" w:type="dxa"/>
            <w:vAlign w:val="center"/>
          </w:tcPr>
          <w:p w14:paraId="4257D0AA" w14:textId="77777777" w:rsidR="00672297" w:rsidRDefault="00A16EA3">
            <w:pPr>
              <w:spacing w:before="20" w:after="20"/>
              <w:jc w:val="left"/>
            </w:pPr>
            <w:r>
              <w:rPr>
                <w:rFonts w:cstheme="minorHAnsi"/>
                <w:sz w:val="20"/>
                <w:szCs w:val="20"/>
              </w:rPr>
              <w:t>Butane potential, actual blended, delta (Potential - Actual)</w:t>
            </w:r>
          </w:p>
        </w:tc>
        <w:tc>
          <w:tcPr>
            <w:tcW w:w="2810" w:type="dxa"/>
            <w:vAlign w:val="center"/>
          </w:tcPr>
          <w:p w14:paraId="3DECEA7E" w14:textId="77777777" w:rsidR="00672297" w:rsidRDefault="00A16EA3">
            <w:pPr>
              <w:spacing w:before="20" w:after="20"/>
              <w:jc w:val="left"/>
            </w:pPr>
            <w:r>
              <w:rPr>
                <w:rFonts w:cstheme="minorHAnsi"/>
                <w:sz w:val="20"/>
                <w:szCs w:val="20"/>
              </w:rPr>
              <w:t>Blend calculator output (gap DP-07); VCB_blend_component_detail flows / VCB_blend_component_movement (gap DP-13)</w:t>
            </w:r>
          </w:p>
        </w:tc>
      </w:tr>
      <w:tr w:rsidR="00672297" w14:paraId="16D3A08D" w14:textId="77777777">
        <w:trPr>
          <w:cantSplit/>
        </w:trPr>
        <w:tc>
          <w:tcPr>
            <w:tcW w:w="2246" w:type="dxa"/>
            <w:vAlign w:val="center"/>
          </w:tcPr>
          <w:p w14:paraId="465042F2" w14:textId="77777777" w:rsidR="00672297" w:rsidRDefault="00A16EA3">
            <w:pPr>
              <w:spacing w:before="20" w:after="20"/>
              <w:jc w:val="left"/>
            </w:pPr>
            <w:r>
              <w:rPr>
                <w:rFonts w:cstheme="minorHAnsi"/>
                <w:sz w:val="20"/>
                <w:szCs w:val="20"/>
              </w:rPr>
              <w:t>TransmixPotentialBbl, TransmixActualBbl, TransmixDeltaBbl</w:t>
            </w:r>
          </w:p>
        </w:tc>
        <w:tc>
          <w:tcPr>
            <w:tcW w:w="1216" w:type="dxa"/>
            <w:vAlign w:val="center"/>
          </w:tcPr>
          <w:p w14:paraId="1025083F" w14:textId="77777777" w:rsidR="00672297" w:rsidRDefault="00A16EA3">
            <w:pPr>
              <w:spacing w:before="20" w:after="20"/>
              <w:jc w:val="left"/>
            </w:pPr>
            <w:r>
              <w:rPr>
                <w:rFonts w:cstheme="minorHAnsi"/>
                <w:sz w:val="20"/>
                <w:szCs w:val="20"/>
              </w:rPr>
              <w:t>DECIMAL(18,2)</w:t>
            </w:r>
          </w:p>
        </w:tc>
        <w:tc>
          <w:tcPr>
            <w:tcW w:w="3088" w:type="dxa"/>
            <w:vAlign w:val="center"/>
          </w:tcPr>
          <w:p w14:paraId="77BA138D" w14:textId="77777777" w:rsidR="00672297" w:rsidRDefault="00A16EA3">
            <w:pPr>
              <w:spacing w:before="20" w:after="20"/>
              <w:jc w:val="left"/>
            </w:pPr>
            <w:r>
              <w:rPr>
                <w:rFonts w:cstheme="minorHAnsi"/>
                <w:sz w:val="20"/>
                <w:szCs w:val="20"/>
              </w:rPr>
              <w:t>Transmix potential, actual, delta</w:t>
            </w:r>
          </w:p>
        </w:tc>
        <w:tc>
          <w:tcPr>
            <w:tcW w:w="2810" w:type="dxa"/>
            <w:vAlign w:val="center"/>
          </w:tcPr>
          <w:p w14:paraId="388D110B" w14:textId="77777777" w:rsidR="00672297" w:rsidRDefault="00A16EA3">
            <w:pPr>
              <w:spacing w:before="20" w:after="20"/>
              <w:jc w:val="left"/>
            </w:pPr>
            <w:r>
              <w:rPr>
                <w:rFonts w:cstheme="minorHAnsi"/>
                <w:sz w:val="20"/>
                <w:szCs w:val="20"/>
              </w:rPr>
              <w:t>As above</w:t>
            </w:r>
          </w:p>
        </w:tc>
      </w:tr>
      <w:tr w:rsidR="00672297" w14:paraId="60314277" w14:textId="77777777">
        <w:trPr>
          <w:cantSplit/>
        </w:trPr>
        <w:tc>
          <w:tcPr>
            <w:tcW w:w="2246" w:type="dxa"/>
            <w:vAlign w:val="center"/>
          </w:tcPr>
          <w:p w14:paraId="4FC2F49F" w14:textId="77777777" w:rsidR="00672297" w:rsidRDefault="00A16EA3">
            <w:pPr>
              <w:spacing w:before="20" w:after="20"/>
              <w:jc w:val="left"/>
            </w:pPr>
            <w:r>
              <w:rPr>
                <w:rFonts w:cstheme="minorHAnsi"/>
                <w:sz w:val="20"/>
                <w:szCs w:val="20"/>
              </w:rPr>
              <w:t>EthanolPotentialBbl, EthanolActualBbl, EthanolDeltaBbl</w:t>
            </w:r>
          </w:p>
        </w:tc>
        <w:tc>
          <w:tcPr>
            <w:tcW w:w="1216" w:type="dxa"/>
            <w:vAlign w:val="center"/>
          </w:tcPr>
          <w:p w14:paraId="052F68D5" w14:textId="77777777" w:rsidR="00672297" w:rsidRDefault="00A16EA3">
            <w:pPr>
              <w:spacing w:before="20" w:after="20"/>
              <w:jc w:val="left"/>
            </w:pPr>
            <w:r>
              <w:rPr>
                <w:rFonts w:cstheme="minorHAnsi"/>
                <w:sz w:val="20"/>
                <w:szCs w:val="20"/>
              </w:rPr>
              <w:t>DECIMAL(18,2)</w:t>
            </w:r>
          </w:p>
        </w:tc>
        <w:tc>
          <w:tcPr>
            <w:tcW w:w="3088" w:type="dxa"/>
            <w:vAlign w:val="center"/>
          </w:tcPr>
          <w:p w14:paraId="06D56A88" w14:textId="77777777" w:rsidR="00672297" w:rsidRDefault="00A16EA3">
            <w:pPr>
              <w:spacing w:before="20" w:after="20"/>
              <w:jc w:val="left"/>
            </w:pPr>
            <w:r>
              <w:rPr>
                <w:rFonts w:cstheme="minorHAnsi"/>
                <w:sz w:val="20"/>
                <w:szCs w:val="20"/>
              </w:rPr>
              <w:t>Ethanol requirement, actual, delta</w:t>
            </w:r>
          </w:p>
        </w:tc>
        <w:tc>
          <w:tcPr>
            <w:tcW w:w="2810" w:type="dxa"/>
            <w:vAlign w:val="center"/>
          </w:tcPr>
          <w:p w14:paraId="44648AE5" w14:textId="77777777" w:rsidR="00672297" w:rsidRDefault="00A16EA3">
            <w:pPr>
              <w:spacing w:before="20" w:after="20"/>
              <w:jc w:val="left"/>
            </w:pPr>
            <w:r>
              <w:rPr>
                <w:rFonts w:cstheme="minorHAnsi"/>
                <w:sz w:val="20"/>
                <w:szCs w:val="20"/>
              </w:rPr>
              <w:t>As above</w:t>
            </w:r>
          </w:p>
        </w:tc>
      </w:tr>
      <w:tr w:rsidR="00672297" w14:paraId="22AF4B9B" w14:textId="77777777">
        <w:trPr>
          <w:cantSplit/>
        </w:trPr>
        <w:tc>
          <w:tcPr>
            <w:tcW w:w="2246" w:type="dxa"/>
            <w:vAlign w:val="center"/>
          </w:tcPr>
          <w:p w14:paraId="5CCFAFD0" w14:textId="77777777" w:rsidR="00672297" w:rsidRDefault="00A16EA3">
            <w:pPr>
              <w:spacing w:before="20" w:after="20"/>
              <w:jc w:val="left"/>
            </w:pPr>
            <w:r>
              <w:rPr>
                <w:rFonts w:cstheme="minorHAnsi"/>
                <w:sz w:val="20"/>
                <w:szCs w:val="20"/>
              </w:rPr>
              <w:t>TotalDeltaBbl</w:t>
            </w:r>
          </w:p>
        </w:tc>
        <w:tc>
          <w:tcPr>
            <w:tcW w:w="1216" w:type="dxa"/>
            <w:vAlign w:val="center"/>
          </w:tcPr>
          <w:p w14:paraId="26989D93" w14:textId="77777777" w:rsidR="00672297" w:rsidRDefault="00A16EA3">
            <w:pPr>
              <w:spacing w:before="20" w:after="20"/>
              <w:jc w:val="left"/>
            </w:pPr>
            <w:r>
              <w:rPr>
                <w:rFonts w:cstheme="minorHAnsi"/>
                <w:sz w:val="20"/>
                <w:szCs w:val="20"/>
              </w:rPr>
              <w:t>DECIMAL(18,2)</w:t>
            </w:r>
          </w:p>
        </w:tc>
        <w:tc>
          <w:tcPr>
            <w:tcW w:w="3088" w:type="dxa"/>
            <w:vAlign w:val="center"/>
          </w:tcPr>
          <w:p w14:paraId="47E1D02B" w14:textId="77777777" w:rsidR="00672297" w:rsidRDefault="00A16EA3">
            <w:pPr>
              <w:spacing w:before="20" w:after="20"/>
              <w:jc w:val="left"/>
            </w:pPr>
            <w:r>
              <w:rPr>
                <w:rFonts w:cstheme="minorHAnsi"/>
                <w:sz w:val="20"/>
                <w:szCs w:val="20"/>
              </w:rPr>
              <w:t>Total volume loss</w:t>
            </w:r>
          </w:p>
        </w:tc>
        <w:tc>
          <w:tcPr>
            <w:tcW w:w="2810" w:type="dxa"/>
            <w:vAlign w:val="center"/>
          </w:tcPr>
          <w:p w14:paraId="3CFBCB34" w14:textId="77777777" w:rsidR="00672297" w:rsidRDefault="00A16EA3">
            <w:pPr>
              <w:spacing w:before="20" w:after="20"/>
              <w:jc w:val="left"/>
            </w:pPr>
            <w:r>
              <w:rPr>
                <w:rFonts w:cstheme="minorHAnsi"/>
                <w:sz w:val="20"/>
                <w:szCs w:val="20"/>
              </w:rPr>
              <w:t>ButaneDeltaBbl + TransmixDeltaBbl + EthanolDeltaBbl</w:t>
            </w:r>
          </w:p>
        </w:tc>
      </w:tr>
    </w:tbl>
    <w:p w14:paraId="39F43840" w14:textId="4D3FF391" w:rsidR="00672297" w:rsidRDefault="00A16EA3">
      <w:pPr>
        <w:pStyle w:val="Caption"/>
      </w:pPr>
      <w:bookmarkStart w:id="404" w:name="_Toc900900037"/>
      <w:bookmarkStart w:id="405" w:name="_Toc241574684"/>
      <w:bookmarkStart w:id="406" w:name="_Toc242554068"/>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15</w:t>
      </w:r>
      <w:r>
        <w:fldChar w:fldCharType="end"/>
      </w:r>
      <w:r>
        <w:t>: vwGasolineBlendingKPI View</w:t>
      </w:r>
      <w:bookmarkEnd w:id="404"/>
      <w:bookmarkEnd w:id="405"/>
      <w:bookmarkEnd w:id="406"/>
    </w:p>
    <w:p w14:paraId="691EB8E7" w14:textId="77777777" w:rsidR="00672297" w:rsidRDefault="00A16EA3">
      <w:pPr>
        <w:rPr>
          <w:rFonts w:cstheme="minorHAnsi"/>
          <w:sz w:val="20"/>
          <w:szCs w:val="20"/>
        </w:rPr>
      </w:pPr>
      <w:r>
        <w:rPr>
          <w:rFonts w:cstheme="minorHAnsi"/>
          <w:b/>
          <w:bCs/>
          <w:sz w:val="20"/>
          <w:szCs w:val="20"/>
        </w:rPr>
        <w:t>vwDistillateBlendingKPI</w:t>
      </w:r>
      <w:r>
        <w:rPr>
          <w:rFonts w:cstheme="minorHAnsi"/>
          <w:sz w:val="20"/>
          <w:szCs w:val="20"/>
        </w:rPr>
        <w:t xml:space="preserve"> - Distillate KPI dashboard; one row per destination terminal, source refinery, product and delivery date for delivered distillate batches. Value-loss columns are calculated in Power BI with the MPR prices (chapter 4).</w:t>
      </w:r>
    </w:p>
    <w:tbl>
      <w:tblPr>
        <w:tblStyle w:val="TableGrid"/>
        <w:tblW w:w="9360" w:type="dxa"/>
        <w:tblLayout w:type="fixed"/>
        <w:tblCellMar>
          <w:left w:w="70" w:type="dxa"/>
          <w:right w:w="70" w:type="dxa"/>
        </w:tblCellMar>
        <w:tblLook w:val="04A0" w:firstRow="1" w:lastRow="0" w:firstColumn="1" w:lastColumn="0" w:noHBand="0" w:noVBand="1"/>
      </w:tblPr>
      <w:tblGrid>
        <w:gridCol w:w="2246"/>
        <w:gridCol w:w="1216"/>
        <w:gridCol w:w="3088"/>
        <w:gridCol w:w="2810"/>
      </w:tblGrid>
      <w:tr w:rsidR="00672297" w14:paraId="38E28F95" w14:textId="77777777">
        <w:trPr>
          <w:cantSplit/>
          <w:tblHeader/>
        </w:trPr>
        <w:tc>
          <w:tcPr>
            <w:tcW w:w="2246" w:type="dxa"/>
            <w:shd w:val="clear" w:color="auto" w:fill="2F5496"/>
            <w:vAlign w:val="center"/>
          </w:tcPr>
          <w:p w14:paraId="5AA864F6" w14:textId="77777777" w:rsidR="00672297" w:rsidRDefault="00A16EA3">
            <w:pPr>
              <w:spacing w:before="20" w:after="20"/>
              <w:jc w:val="left"/>
            </w:pPr>
            <w:r>
              <w:rPr>
                <w:rFonts w:cstheme="minorHAnsi"/>
                <w:b/>
                <w:bCs/>
                <w:color w:val="FFFFFF"/>
                <w:sz w:val="20"/>
                <w:szCs w:val="20"/>
              </w:rPr>
              <w:t>Column Name</w:t>
            </w:r>
          </w:p>
        </w:tc>
        <w:tc>
          <w:tcPr>
            <w:tcW w:w="1216" w:type="dxa"/>
            <w:shd w:val="clear" w:color="auto" w:fill="2F5496"/>
            <w:vAlign w:val="center"/>
          </w:tcPr>
          <w:p w14:paraId="0936128E" w14:textId="77777777" w:rsidR="00672297" w:rsidRDefault="00A16EA3">
            <w:pPr>
              <w:spacing w:before="20" w:after="20"/>
              <w:jc w:val="left"/>
            </w:pPr>
            <w:r>
              <w:rPr>
                <w:rFonts w:cstheme="minorHAnsi"/>
                <w:b/>
                <w:bCs/>
                <w:color w:val="FFFFFF"/>
                <w:sz w:val="20"/>
                <w:szCs w:val="20"/>
              </w:rPr>
              <w:t>Data Type</w:t>
            </w:r>
          </w:p>
        </w:tc>
        <w:tc>
          <w:tcPr>
            <w:tcW w:w="3088" w:type="dxa"/>
            <w:shd w:val="clear" w:color="auto" w:fill="2F5496"/>
            <w:vAlign w:val="center"/>
          </w:tcPr>
          <w:p w14:paraId="7A727540" w14:textId="77777777" w:rsidR="00672297" w:rsidRDefault="00A16EA3">
            <w:pPr>
              <w:spacing w:before="20" w:after="20"/>
              <w:jc w:val="left"/>
            </w:pPr>
            <w:r>
              <w:rPr>
                <w:rFonts w:cstheme="minorHAnsi"/>
                <w:b/>
                <w:bCs/>
                <w:color w:val="FFFFFF"/>
                <w:sz w:val="20"/>
                <w:szCs w:val="20"/>
              </w:rPr>
              <w:t>Description</w:t>
            </w:r>
          </w:p>
        </w:tc>
        <w:tc>
          <w:tcPr>
            <w:tcW w:w="2810" w:type="dxa"/>
            <w:shd w:val="clear" w:color="auto" w:fill="2F5496"/>
            <w:vAlign w:val="center"/>
          </w:tcPr>
          <w:p w14:paraId="140903C6" w14:textId="77777777" w:rsidR="00672297" w:rsidRDefault="00A16EA3">
            <w:pPr>
              <w:spacing w:before="20" w:after="20"/>
              <w:jc w:val="left"/>
            </w:pPr>
            <w:r>
              <w:rPr>
                <w:rFonts w:cstheme="minorHAnsi"/>
                <w:b/>
                <w:bCs/>
                <w:color w:val="FFFFFF"/>
                <w:sz w:val="20"/>
                <w:szCs w:val="20"/>
              </w:rPr>
              <w:t>Source Table / Derivation</w:t>
            </w:r>
          </w:p>
        </w:tc>
      </w:tr>
      <w:tr w:rsidR="00672297" w14:paraId="3EDFC3DA" w14:textId="77777777">
        <w:trPr>
          <w:cantSplit/>
        </w:trPr>
        <w:tc>
          <w:tcPr>
            <w:tcW w:w="2246" w:type="dxa"/>
            <w:vAlign w:val="center"/>
          </w:tcPr>
          <w:p w14:paraId="66AB19FF" w14:textId="77777777" w:rsidR="00672297" w:rsidRDefault="00A16EA3">
            <w:pPr>
              <w:spacing w:before="20" w:after="20"/>
              <w:jc w:val="left"/>
            </w:pPr>
            <w:r>
              <w:rPr>
                <w:rFonts w:cstheme="minorHAnsi"/>
                <w:sz w:val="20"/>
                <w:szCs w:val="20"/>
              </w:rPr>
              <w:t>SourceGlobalCode, Source</w:t>
            </w:r>
          </w:p>
        </w:tc>
        <w:tc>
          <w:tcPr>
            <w:tcW w:w="1216" w:type="dxa"/>
            <w:vAlign w:val="center"/>
          </w:tcPr>
          <w:p w14:paraId="4D1147CB" w14:textId="77777777" w:rsidR="00672297" w:rsidRDefault="00A16EA3">
            <w:pPr>
              <w:spacing w:before="20" w:after="20"/>
              <w:jc w:val="left"/>
            </w:pPr>
            <w:r>
              <w:rPr>
                <w:rFonts w:cstheme="minorHAnsi"/>
                <w:sz w:val="20"/>
                <w:szCs w:val="20"/>
              </w:rPr>
              <w:t>VARCHAR(100), VARCHAR(255)</w:t>
            </w:r>
          </w:p>
        </w:tc>
        <w:tc>
          <w:tcPr>
            <w:tcW w:w="3088" w:type="dxa"/>
            <w:vAlign w:val="center"/>
          </w:tcPr>
          <w:p w14:paraId="2AFC0FC3" w14:textId="77777777" w:rsidR="00672297" w:rsidRDefault="00A16EA3">
            <w:pPr>
              <w:spacing w:before="20" w:after="20"/>
              <w:jc w:val="left"/>
            </w:pPr>
            <w:r>
              <w:rPr>
                <w:rFonts w:cstheme="minorHAnsi"/>
                <w:sz w:val="20"/>
                <w:szCs w:val="20"/>
              </w:rPr>
              <w:t>Source refinery</w:t>
            </w:r>
          </w:p>
        </w:tc>
        <w:tc>
          <w:tcPr>
            <w:tcW w:w="2810" w:type="dxa"/>
            <w:vAlign w:val="center"/>
          </w:tcPr>
          <w:p w14:paraId="22F57D97" w14:textId="77777777" w:rsidR="00672297" w:rsidRDefault="00A16EA3">
            <w:pPr>
              <w:spacing w:before="20" w:after="20"/>
              <w:jc w:val="left"/>
            </w:pPr>
            <w:r>
              <w:rPr>
                <w:rFonts w:cstheme="minorHAnsi"/>
                <w:sz w:val="20"/>
                <w:szCs w:val="20"/>
              </w:rPr>
              <w:t>location</w:t>
            </w:r>
          </w:p>
        </w:tc>
      </w:tr>
      <w:tr w:rsidR="00672297" w14:paraId="410F658F" w14:textId="77777777">
        <w:trPr>
          <w:cantSplit/>
        </w:trPr>
        <w:tc>
          <w:tcPr>
            <w:tcW w:w="2246" w:type="dxa"/>
            <w:vAlign w:val="center"/>
          </w:tcPr>
          <w:p w14:paraId="29694C4D" w14:textId="77777777" w:rsidR="00672297" w:rsidRDefault="00A16EA3">
            <w:pPr>
              <w:spacing w:before="20" w:after="20"/>
              <w:jc w:val="left"/>
            </w:pPr>
            <w:r>
              <w:rPr>
                <w:rFonts w:cstheme="minorHAnsi"/>
                <w:sz w:val="20"/>
                <w:szCs w:val="20"/>
              </w:rPr>
              <w:t>DestinationGlobalCode, Destination, DestinationShortName</w:t>
            </w:r>
          </w:p>
        </w:tc>
        <w:tc>
          <w:tcPr>
            <w:tcW w:w="1216" w:type="dxa"/>
            <w:vAlign w:val="center"/>
          </w:tcPr>
          <w:p w14:paraId="47A0F21A" w14:textId="77777777" w:rsidR="00672297" w:rsidRDefault="00A16EA3">
            <w:pPr>
              <w:spacing w:before="20" w:after="20"/>
              <w:jc w:val="left"/>
            </w:pPr>
            <w:r>
              <w:rPr>
                <w:rFonts w:cstheme="minorHAnsi"/>
                <w:sz w:val="20"/>
                <w:szCs w:val="20"/>
              </w:rPr>
              <w:t>VARCHAR(100), VARCHAR(255), VARCHAR(100)</w:t>
            </w:r>
          </w:p>
        </w:tc>
        <w:tc>
          <w:tcPr>
            <w:tcW w:w="3088" w:type="dxa"/>
            <w:vAlign w:val="center"/>
          </w:tcPr>
          <w:p w14:paraId="047497E8" w14:textId="77777777" w:rsidR="00672297" w:rsidRDefault="00A16EA3">
            <w:pPr>
              <w:spacing w:before="20" w:after="20"/>
              <w:jc w:val="left"/>
            </w:pPr>
            <w:r>
              <w:rPr>
                <w:rFonts w:cstheme="minorHAnsi"/>
                <w:sz w:val="20"/>
                <w:szCs w:val="20"/>
              </w:rPr>
              <w:t>Destination terminal</w:t>
            </w:r>
          </w:p>
        </w:tc>
        <w:tc>
          <w:tcPr>
            <w:tcW w:w="2810" w:type="dxa"/>
            <w:vAlign w:val="center"/>
          </w:tcPr>
          <w:p w14:paraId="07F44533" w14:textId="77777777" w:rsidR="00672297" w:rsidRDefault="00A16EA3">
            <w:pPr>
              <w:spacing w:before="20" w:after="20"/>
              <w:jc w:val="left"/>
            </w:pPr>
            <w:r>
              <w:rPr>
                <w:rFonts w:cstheme="minorHAnsi"/>
                <w:sz w:val="20"/>
                <w:szCs w:val="20"/>
              </w:rPr>
              <w:t>location</w:t>
            </w:r>
          </w:p>
        </w:tc>
      </w:tr>
      <w:tr w:rsidR="00672297" w14:paraId="070AE13D" w14:textId="77777777">
        <w:trPr>
          <w:cantSplit/>
        </w:trPr>
        <w:tc>
          <w:tcPr>
            <w:tcW w:w="2246" w:type="dxa"/>
            <w:vAlign w:val="center"/>
          </w:tcPr>
          <w:p w14:paraId="06B7E2FD" w14:textId="77777777" w:rsidR="00672297" w:rsidRDefault="00A16EA3">
            <w:pPr>
              <w:spacing w:before="20" w:after="20"/>
              <w:jc w:val="left"/>
            </w:pPr>
            <w:r>
              <w:rPr>
                <w:rFonts w:cstheme="minorHAnsi"/>
                <w:sz w:val="20"/>
                <w:szCs w:val="20"/>
              </w:rPr>
              <w:t>Region</w:t>
            </w:r>
          </w:p>
        </w:tc>
        <w:tc>
          <w:tcPr>
            <w:tcW w:w="1216" w:type="dxa"/>
            <w:vAlign w:val="center"/>
          </w:tcPr>
          <w:p w14:paraId="578BB4B0" w14:textId="77777777" w:rsidR="00672297" w:rsidRDefault="00A16EA3">
            <w:pPr>
              <w:spacing w:before="20" w:after="20"/>
              <w:jc w:val="left"/>
            </w:pPr>
            <w:r>
              <w:rPr>
                <w:rFonts w:cstheme="minorHAnsi"/>
                <w:sz w:val="20"/>
                <w:szCs w:val="20"/>
              </w:rPr>
              <w:t>VARCHAR(50)</w:t>
            </w:r>
          </w:p>
        </w:tc>
        <w:tc>
          <w:tcPr>
            <w:tcW w:w="3088" w:type="dxa"/>
            <w:vAlign w:val="center"/>
          </w:tcPr>
          <w:p w14:paraId="259FA74B" w14:textId="77777777" w:rsidR="00672297" w:rsidRDefault="00A16EA3">
            <w:pPr>
              <w:spacing w:before="20" w:after="20"/>
              <w:jc w:val="left"/>
            </w:pPr>
            <w:r>
              <w:rPr>
                <w:rFonts w:cstheme="minorHAnsi"/>
                <w:sz w:val="20"/>
                <w:szCs w:val="20"/>
              </w:rPr>
              <w:t>Region</w:t>
            </w:r>
          </w:p>
        </w:tc>
        <w:tc>
          <w:tcPr>
            <w:tcW w:w="2810" w:type="dxa"/>
            <w:vAlign w:val="center"/>
          </w:tcPr>
          <w:p w14:paraId="78E1BC8A" w14:textId="77777777" w:rsidR="00672297" w:rsidRDefault="00A16EA3">
            <w:pPr>
              <w:spacing w:before="20" w:after="20"/>
              <w:jc w:val="left"/>
            </w:pPr>
            <w:r>
              <w:rPr>
                <w:rFonts w:cstheme="minorHAnsi"/>
                <w:sz w:val="20"/>
                <w:szCs w:val="20"/>
              </w:rPr>
              <w:t>location.Region</w:t>
            </w:r>
          </w:p>
        </w:tc>
      </w:tr>
      <w:tr w:rsidR="00672297" w14:paraId="30FF50F7" w14:textId="77777777">
        <w:trPr>
          <w:cantSplit/>
        </w:trPr>
        <w:tc>
          <w:tcPr>
            <w:tcW w:w="2246" w:type="dxa"/>
            <w:vAlign w:val="center"/>
          </w:tcPr>
          <w:p w14:paraId="476F923D" w14:textId="77777777" w:rsidR="00672297" w:rsidRDefault="00A16EA3">
            <w:pPr>
              <w:spacing w:before="20" w:after="20"/>
              <w:jc w:val="left"/>
            </w:pPr>
            <w:r>
              <w:rPr>
                <w:rFonts w:cstheme="minorHAnsi"/>
                <w:sz w:val="20"/>
                <w:szCs w:val="20"/>
              </w:rPr>
              <w:t>Product</w:t>
            </w:r>
          </w:p>
        </w:tc>
        <w:tc>
          <w:tcPr>
            <w:tcW w:w="1216" w:type="dxa"/>
            <w:vAlign w:val="center"/>
          </w:tcPr>
          <w:p w14:paraId="1E4A0707" w14:textId="77777777" w:rsidR="00672297" w:rsidRDefault="00A16EA3">
            <w:pPr>
              <w:spacing w:before="20" w:after="20"/>
              <w:jc w:val="left"/>
            </w:pPr>
            <w:r>
              <w:rPr>
                <w:rFonts w:cstheme="minorHAnsi"/>
                <w:sz w:val="20"/>
                <w:szCs w:val="20"/>
              </w:rPr>
              <w:t>VARCHAR(100)</w:t>
            </w:r>
          </w:p>
        </w:tc>
        <w:tc>
          <w:tcPr>
            <w:tcW w:w="3088" w:type="dxa"/>
            <w:vAlign w:val="center"/>
          </w:tcPr>
          <w:p w14:paraId="18FC5B5B" w14:textId="77777777" w:rsidR="00672297" w:rsidRDefault="00A16EA3">
            <w:pPr>
              <w:spacing w:before="20" w:after="20"/>
              <w:jc w:val="left"/>
            </w:pPr>
            <w:r>
              <w:rPr>
                <w:rFonts w:cstheme="minorHAnsi"/>
                <w:sz w:val="20"/>
                <w:szCs w:val="20"/>
              </w:rPr>
              <w:t>Distillate grade (ULSD No 2, Jet Fuel, Kerosene)</w:t>
            </w:r>
          </w:p>
        </w:tc>
        <w:tc>
          <w:tcPr>
            <w:tcW w:w="2810" w:type="dxa"/>
            <w:vAlign w:val="center"/>
          </w:tcPr>
          <w:p w14:paraId="2449744C" w14:textId="77777777" w:rsidR="00672297" w:rsidRDefault="00A16EA3">
            <w:pPr>
              <w:spacing w:before="20" w:after="20"/>
              <w:jc w:val="left"/>
            </w:pPr>
            <w:r>
              <w:rPr>
                <w:rFonts w:cstheme="minorHAnsi"/>
                <w:sz w:val="20"/>
                <w:szCs w:val="20"/>
              </w:rPr>
              <w:t>material</w:t>
            </w:r>
          </w:p>
        </w:tc>
      </w:tr>
      <w:tr w:rsidR="00672297" w14:paraId="7CA2210D" w14:textId="77777777">
        <w:trPr>
          <w:cantSplit/>
        </w:trPr>
        <w:tc>
          <w:tcPr>
            <w:tcW w:w="2246" w:type="dxa"/>
            <w:vAlign w:val="center"/>
          </w:tcPr>
          <w:p w14:paraId="4DD1E6E6" w14:textId="77777777" w:rsidR="00672297" w:rsidRDefault="00A16EA3">
            <w:pPr>
              <w:spacing w:before="20" w:after="20"/>
              <w:jc w:val="left"/>
            </w:pPr>
            <w:r>
              <w:rPr>
                <w:rFonts w:cstheme="minorHAnsi"/>
                <w:sz w:val="20"/>
                <w:szCs w:val="20"/>
              </w:rPr>
              <w:t>globalCode</w:t>
            </w:r>
          </w:p>
        </w:tc>
        <w:tc>
          <w:tcPr>
            <w:tcW w:w="1216" w:type="dxa"/>
            <w:vAlign w:val="center"/>
          </w:tcPr>
          <w:p w14:paraId="0893F73A" w14:textId="77777777" w:rsidR="00672297" w:rsidRDefault="00A16EA3">
            <w:pPr>
              <w:spacing w:before="20" w:after="20"/>
              <w:jc w:val="left"/>
            </w:pPr>
            <w:r>
              <w:rPr>
                <w:rFonts w:cstheme="minorHAnsi"/>
                <w:sz w:val="20"/>
                <w:szCs w:val="20"/>
              </w:rPr>
              <w:t>VARCHAR(100)</w:t>
            </w:r>
          </w:p>
        </w:tc>
        <w:tc>
          <w:tcPr>
            <w:tcW w:w="3088" w:type="dxa"/>
            <w:vAlign w:val="center"/>
          </w:tcPr>
          <w:p w14:paraId="2F800E3D" w14:textId="77777777" w:rsidR="00672297" w:rsidRDefault="00A16EA3">
            <w:pPr>
              <w:spacing w:before="20" w:after="20"/>
              <w:jc w:val="left"/>
            </w:pPr>
            <w:r>
              <w:rPr>
                <w:rFonts w:cstheme="minorHAnsi"/>
                <w:sz w:val="20"/>
                <w:szCs w:val="20"/>
              </w:rPr>
              <w:t>Profisee global code of the product - MPR join column</w:t>
            </w:r>
          </w:p>
        </w:tc>
        <w:tc>
          <w:tcPr>
            <w:tcW w:w="2810" w:type="dxa"/>
            <w:vAlign w:val="center"/>
          </w:tcPr>
          <w:p w14:paraId="5EAF0D67" w14:textId="77777777" w:rsidR="00672297" w:rsidRDefault="00A16EA3">
            <w:pPr>
              <w:spacing w:before="20" w:after="20"/>
              <w:jc w:val="left"/>
            </w:pPr>
            <w:r>
              <w:rPr>
                <w:rFonts w:cstheme="minorHAnsi"/>
                <w:sz w:val="20"/>
                <w:szCs w:val="20"/>
              </w:rPr>
              <w:t>material.material_global_code</w:t>
            </w:r>
          </w:p>
        </w:tc>
      </w:tr>
      <w:tr w:rsidR="00672297" w14:paraId="319CA8BF" w14:textId="77777777">
        <w:trPr>
          <w:cantSplit/>
        </w:trPr>
        <w:tc>
          <w:tcPr>
            <w:tcW w:w="2246" w:type="dxa"/>
            <w:vAlign w:val="center"/>
          </w:tcPr>
          <w:p w14:paraId="72DADA7E" w14:textId="77777777" w:rsidR="00672297" w:rsidRDefault="00A16EA3">
            <w:pPr>
              <w:spacing w:before="20" w:after="20"/>
              <w:jc w:val="left"/>
            </w:pPr>
            <w:r>
              <w:rPr>
                <w:rFonts w:cstheme="minorHAnsi"/>
                <w:sz w:val="20"/>
                <w:szCs w:val="20"/>
              </w:rPr>
              <w:t>productAbbreviation</w:t>
            </w:r>
          </w:p>
        </w:tc>
        <w:tc>
          <w:tcPr>
            <w:tcW w:w="1216" w:type="dxa"/>
            <w:vAlign w:val="center"/>
          </w:tcPr>
          <w:p w14:paraId="50FD0DD5" w14:textId="77777777" w:rsidR="00672297" w:rsidRDefault="00A16EA3">
            <w:pPr>
              <w:spacing w:before="20" w:after="20"/>
              <w:jc w:val="left"/>
            </w:pPr>
            <w:r>
              <w:rPr>
                <w:rFonts w:cstheme="minorHAnsi"/>
                <w:sz w:val="20"/>
                <w:szCs w:val="20"/>
              </w:rPr>
              <w:t>VARCHAR(50)</w:t>
            </w:r>
          </w:p>
        </w:tc>
        <w:tc>
          <w:tcPr>
            <w:tcW w:w="3088" w:type="dxa"/>
            <w:vAlign w:val="center"/>
          </w:tcPr>
          <w:p w14:paraId="17087A2D" w14:textId="77777777" w:rsidR="00672297" w:rsidRDefault="00A16EA3">
            <w:pPr>
              <w:spacing w:before="20" w:after="20"/>
              <w:jc w:val="left"/>
            </w:pPr>
            <w:r>
              <w:rPr>
                <w:rFonts w:cstheme="minorHAnsi"/>
                <w:sz w:val="20"/>
                <w:szCs w:val="20"/>
              </w:rPr>
              <w:t>Product abbreviation - MPR join column</w:t>
            </w:r>
          </w:p>
        </w:tc>
        <w:tc>
          <w:tcPr>
            <w:tcW w:w="2810" w:type="dxa"/>
            <w:vAlign w:val="center"/>
          </w:tcPr>
          <w:p w14:paraId="3B43C300" w14:textId="77777777" w:rsidR="00672297" w:rsidRDefault="00A16EA3">
            <w:pPr>
              <w:spacing w:before="20" w:after="20"/>
              <w:jc w:val="left"/>
            </w:pPr>
            <w:r>
              <w:rPr>
                <w:rFonts w:cstheme="minorHAnsi"/>
                <w:sz w:val="20"/>
                <w:szCs w:val="20"/>
              </w:rPr>
              <w:t>Profisee product attribute (gap DP-11)</w:t>
            </w:r>
          </w:p>
        </w:tc>
      </w:tr>
      <w:tr w:rsidR="00672297" w14:paraId="1B475628" w14:textId="77777777">
        <w:trPr>
          <w:cantSplit/>
        </w:trPr>
        <w:tc>
          <w:tcPr>
            <w:tcW w:w="2246" w:type="dxa"/>
            <w:vAlign w:val="center"/>
          </w:tcPr>
          <w:p w14:paraId="620287BE" w14:textId="77777777" w:rsidR="00672297" w:rsidRDefault="00A16EA3">
            <w:pPr>
              <w:spacing w:before="20" w:after="20"/>
              <w:jc w:val="left"/>
            </w:pPr>
            <w:r>
              <w:rPr>
                <w:rFonts w:cstheme="minorHAnsi"/>
                <w:sz w:val="20"/>
                <w:szCs w:val="20"/>
              </w:rPr>
              <w:t>ActivityDate</w:t>
            </w:r>
          </w:p>
        </w:tc>
        <w:tc>
          <w:tcPr>
            <w:tcW w:w="1216" w:type="dxa"/>
            <w:vAlign w:val="center"/>
          </w:tcPr>
          <w:p w14:paraId="161E747E" w14:textId="77777777" w:rsidR="00672297" w:rsidRDefault="00A16EA3">
            <w:pPr>
              <w:spacing w:before="20" w:after="20"/>
              <w:jc w:val="left"/>
            </w:pPr>
            <w:r>
              <w:rPr>
                <w:rFonts w:cstheme="minorHAnsi"/>
                <w:sz w:val="20"/>
                <w:szCs w:val="20"/>
              </w:rPr>
              <w:t>DATE</w:t>
            </w:r>
          </w:p>
        </w:tc>
        <w:tc>
          <w:tcPr>
            <w:tcW w:w="3088" w:type="dxa"/>
            <w:vAlign w:val="center"/>
          </w:tcPr>
          <w:p w14:paraId="2967D1E7" w14:textId="77777777" w:rsidR="00672297" w:rsidRDefault="00A16EA3">
            <w:pPr>
              <w:spacing w:before="20" w:after="20"/>
              <w:jc w:val="left"/>
            </w:pPr>
            <w:r>
              <w:rPr>
                <w:rFonts w:cstheme="minorHAnsi"/>
                <w:sz w:val="20"/>
                <w:szCs w:val="20"/>
              </w:rPr>
              <w:t>Delivery date</w:t>
            </w:r>
          </w:p>
        </w:tc>
        <w:tc>
          <w:tcPr>
            <w:tcW w:w="2810" w:type="dxa"/>
            <w:vAlign w:val="center"/>
          </w:tcPr>
          <w:p w14:paraId="0EEC5360" w14:textId="77777777" w:rsidR="00672297" w:rsidRDefault="00A16EA3">
            <w:pPr>
              <w:spacing w:before="20" w:after="20"/>
              <w:jc w:val="left"/>
            </w:pPr>
            <w:r>
              <w:rPr>
                <w:rFonts w:cstheme="minorHAnsi"/>
                <w:sz w:val="20"/>
                <w:szCs w:val="20"/>
              </w:rPr>
              <w:t>ETA / unload date of the delivered batch</w:t>
            </w:r>
          </w:p>
        </w:tc>
      </w:tr>
      <w:tr w:rsidR="00672297" w14:paraId="18C53B3B" w14:textId="77777777">
        <w:trPr>
          <w:cantSplit/>
        </w:trPr>
        <w:tc>
          <w:tcPr>
            <w:tcW w:w="2246" w:type="dxa"/>
            <w:vAlign w:val="center"/>
          </w:tcPr>
          <w:p w14:paraId="1AC0EC90" w14:textId="77777777" w:rsidR="00672297" w:rsidRDefault="00A16EA3">
            <w:pPr>
              <w:spacing w:before="20" w:after="20"/>
              <w:jc w:val="left"/>
            </w:pPr>
            <w:r>
              <w:rPr>
                <w:rFonts w:cstheme="minorHAnsi"/>
                <w:sz w:val="20"/>
                <w:szCs w:val="20"/>
              </w:rPr>
              <w:t>TotalVolumeBbl</w:t>
            </w:r>
          </w:p>
        </w:tc>
        <w:tc>
          <w:tcPr>
            <w:tcW w:w="1216" w:type="dxa"/>
            <w:vAlign w:val="center"/>
          </w:tcPr>
          <w:p w14:paraId="76401458" w14:textId="77777777" w:rsidR="00672297" w:rsidRDefault="00A16EA3">
            <w:pPr>
              <w:spacing w:before="20" w:after="20"/>
              <w:jc w:val="left"/>
            </w:pPr>
            <w:r>
              <w:rPr>
                <w:rFonts w:cstheme="minorHAnsi"/>
                <w:sz w:val="20"/>
                <w:szCs w:val="20"/>
              </w:rPr>
              <w:t>DECIMAL(18,2)</w:t>
            </w:r>
          </w:p>
        </w:tc>
        <w:tc>
          <w:tcPr>
            <w:tcW w:w="3088" w:type="dxa"/>
            <w:vAlign w:val="center"/>
          </w:tcPr>
          <w:p w14:paraId="1359717A" w14:textId="77777777" w:rsidR="00672297" w:rsidRDefault="00A16EA3">
            <w:pPr>
              <w:spacing w:before="20" w:after="20"/>
              <w:jc w:val="left"/>
            </w:pPr>
            <w:r>
              <w:rPr>
                <w:rFonts w:cstheme="minorHAnsi"/>
                <w:sz w:val="20"/>
                <w:szCs w:val="20"/>
              </w:rPr>
              <w:t>Delivered volume</w:t>
            </w:r>
          </w:p>
        </w:tc>
        <w:tc>
          <w:tcPr>
            <w:tcW w:w="2810" w:type="dxa"/>
            <w:vAlign w:val="center"/>
          </w:tcPr>
          <w:p w14:paraId="69631262" w14:textId="77777777" w:rsidR="00672297" w:rsidRDefault="00A16EA3">
            <w:pPr>
              <w:spacing w:before="20" w:after="20"/>
              <w:jc w:val="left"/>
            </w:pPr>
            <w:r>
              <w:rPr>
                <w:rFonts w:cstheme="minorHAnsi"/>
                <w:sz w:val="20"/>
                <w:szCs w:val="20"/>
              </w:rPr>
              <w:t>transfer_detail (Actual Quantity)</w:t>
            </w:r>
          </w:p>
        </w:tc>
      </w:tr>
      <w:tr w:rsidR="00672297" w14:paraId="1A00B817" w14:textId="77777777">
        <w:trPr>
          <w:cantSplit/>
        </w:trPr>
        <w:tc>
          <w:tcPr>
            <w:tcW w:w="2246" w:type="dxa"/>
            <w:vAlign w:val="center"/>
          </w:tcPr>
          <w:p w14:paraId="617E030D" w14:textId="77777777" w:rsidR="00672297" w:rsidRDefault="00A16EA3">
            <w:pPr>
              <w:spacing w:before="20" w:after="20"/>
              <w:jc w:val="left"/>
            </w:pPr>
            <w:r>
              <w:rPr>
                <w:rFonts w:cstheme="minorHAnsi"/>
                <w:sz w:val="20"/>
                <w:szCs w:val="20"/>
              </w:rPr>
              <w:t>FlashMin</w:t>
            </w:r>
          </w:p>
        </w:tc>
        <w:tc>
          <w:tcPr>
            <w:tcW w:w="1216" w:type="dxa"/>
            <w:vAlign w:val="center"/>
          </w:tcPr>
          <w:p w14:paraId="3A47E18A" w14:textId="77777777" w:rsidR="00672297" w:rsidRDefault="00A16EA3">
            <w:pPr>
              <w:spacing w:before="20" w:after="20"/>
              <w:jc w:val="left"/>
            </w:pPr>
            <w:r>
              <w:rPr>
                <w:rFonts w:cstheme="minorHAnsi"/>
                <w:sz w:val="20"/>
                <w:szCs w:val="20"/>
              </w:rPr>
              <w:t>DECIMAL(18,4)</w:t>
            </w:r>
          </w:p>
        </w:tc>
        <w:tc>
          <w:tcPr>
            <w:tcW w:w="3088" w:type="dxa"/>
            <w:vAlign w:val="center"/>
          </w:tcPr>
          <w:p w14:paraId="72A44079" w14:textId="77777777" w:rsidR="00672297" w:rsidRDefault="00A16EA3">
            <w:pPr>
              <w:spacing w:before="20" w:after="20"/>
              <w:jc w:val="left"/>
            </w:pPr>
            <w:r>
              <w:rPr>
                <w:rFonts w:cstheme="minorHAnsi"/>
                <w:sz w:val="20"/>
                <w:szCs w:val="20"/>
              </w:rPr>
              <w:t>Flash resolved specification minimum (°F)</w:t>
            </w:r>
          </w:p>
        </w:tc>
        <w:tc>
          <w:tcPr>
            <w:tcW w:w="2810" w:type="dxa"/>
            <w:vAlign w:val="center"/>
          </w:tcPr>
          <w:p w14:paraId="224A5DE4" w14:textId="77777777" w:rsidR="00672297" w:rsidRDefault="00A16EA3">
            <w:pPr>
              <w:spacing w:before="20" w:after="20"/>
              <w:jc w:val="left"/>
            </w:pPr>
            <w:r>
              <w:rPr>
                <w:rFonts w:cstheme="minorHAnsi"/>
                <w:sz w:val="20"/>
                <w:szCs w:val="20"/>
              </w:rPr>
              <w:t>Specification resolution (Stage 1, Stage 2, waiver); NULL when "R"</w:t>
            </w:r>
          </w:p>
        </w:tc>
      </w:tr>
      <w:tr w:rsidR="00672297" w14:paraId="4952AB42" w14:textId="77777777">
        <w:trPr>
          <w:cantSplit/>
        </w:trPr>
        <w:tc>
          <w:tcPr>
            <w:tcW w:w="2246" w:type="dxa"/>
            <w:vAlign w:val="center"/>
          </w:tcPr>
          <w:p w14:paraId="28A3100A" w14:textId="77777777" w:rsidR="00672297" w:rsidRDefault="00A16EA3">
            <w:pPr>
              <w:spacing w:before="20" w:after="20"/>
              <w:jc w:val="left"/>
            </w:pPr>
            <w:r>
              <w:rPr>
                <w:rFonts w:cstheme="minorHAnsi"/>
                <w:sz w:val="20"/>
                <w:szCs w:val="20"/>
              </w:rPr>
              <w:t>FlashActual</w:t>
            </w:r>
          </w:p>
        </w:tc>
        <w:tc>
          <w:tcPr>
            <w:tcW w:w="1216" w:type="dxa"/>
            <w:vAlign w:val="center"/>
          </w:tcPr>
          <w:p w14:paraId="12AB26A1" w14:textId="77777777" w:rsidR="00672297" w:rsidRDefault="00A16EA3">
            <w:pPr>
              <w:spacing w:before="20" w:after="20"/>
              <w:jc w:val="left"/>
            </w:pPr>
            <w:r>
              <w:rPr>
                <w:rFonts w:cstheme="minorHAnsi"/>
                <w:sz w:val="20"/>
                <w:szCs w:val="20"/>
              </w:rPr>
              <w:t>DECIMAL(18,4)</w:t>
            </w:r>
          </w:p>
        </w:tc>
        <w:tc>
          <w:tcPr>
            <w:tcW w:w="3088" w:type="dxa"/>
            <w:vAlign w:val="center"/>
          </w:tcPr>
          <w:p w14:paraId="4AF59D8B" w14:textId="77777777" w:rsidR="00672297" w:rsidRDefault="00A16EA3">
            <w:pPr>
              <w:spacing w:before="20" w:after="20"/>
              <w:jc w:val="left"/>
            </w:pPr>
            <w:r>
              <w:rPr>
                <w:rFonts w:cstheme="minorHAnsi"/>
                <w:sz w:val="20"/>
                <w:szCs w:val="20"/>
              </w:rPr>
              <w:t>Flash average certified value (°F)</w:t>
            </w:r>
          </w:p>
        </w:tc>
        <w:tc>
          <w:tcPr>
            <w:tcW w:w="2810" w:type="dxa"/>
            <w:vAlign w:val="center"/>
          </w:tcPr>
          <w:p w14:paraId="4BA9BA08" w14:textId="77777777" w:rsidR="00672297" w:rsidRDefault="00A16EA3">
            <w:pPr>
              <w:spacing w:before="20" w:after="20"/>
              <w:jc w:val="left"/>
            </w:pPr>
            <w:r>
              <w:rPr>
                <w:rFonts w:cstheme="minorHAnsi"/>
                <w:sz w:val="20"/>
                <w:szCs w:val="20"/>
              </w:rPr>
              <w:t>quality_detail (average of the delivered batches)</w:t>
            </w:r>
          </w:p>
        </w:tc>
      </w:tr>
      <w:tr w:rsidR="00672297" w14:paraId="0AF4EC36" w14:textId="77777777">
        <w:trPr>
          <w:cantSplit/>
        </w:trPr>
        <w:tc>
          <w:tcPr>
            <w:tcW w:w="2246" w:type="dxa"/>
            <w:vAlign w:val="center"/>
          </w:tcPr>
          <w:p w14:paraId="0380E177" w14:textId="77777777" w:rsidR="00672297" w:rsidRDefault="00A16EA3">
            <w:pPr>
              <w:spacing w:before="20" w:after="20"/>
              <w:jc w:val="left"/>
            </w:pPr>
            <w:r>
              <w:rPr>
                <w:rFonts w:cstheme="minorHAnsi"/>
                <w:sz w:val="20"/>
                <w:szCs w:val="20"/>
              </w:rPr>
              <w:t>FlashMax</w:t>
            </w:r>
          </w:p>
        </w:tc>
        <w:tc>
          <w:tcPr>
            <w:tcW w:w="1216" w:type="dxa"/>
            <w:vAlign w:val="center"/>
          </w:tcPr>
          <w:p w14:paraId="02564795" w14:textId="77777777" w:rsidR="00672297" w:rsidRDefault="00A16EA3">
            <w:pPr>
              <w:spacing w:before="20" w:after="20"/>
              <w:jc w:val="left"/>
            </w:pPr>
            <w:r>
              <w:rPr>
                <w:rFonts w:cstheme="minorHAnsi"/>
                <w:sz w:val="20"/>
                <w:szCs w:val="20"/>
              </w:rPr>
              <w:t>DECIMAL(18,4)</w:t>
            </w:r>
          </w:p>
        </w:tc>
        <w:tc>
          <w:tcPr>
            <w:tcW w:w="3088" w:type="dxa"/>
            <w:vAlign w:val="center"/>
          </w:tcPr>
          <w:p w14:paraId="4304DF31" w14:textId="77777777" w:rsidR="00672297" w:rsidRDefault="00A16EA3">
            <w:pPr>
              <w:spacing w:before="20" w:after="20"/>
              <w:jc w:val="left"/>
            </w:pPr>
            <w:r>
              <w:rPr>
                <w:rFonts w:cstheme="minorHAnsi"/>
                <w:sz w:val="20"/>
                <w:szCs w:val="20"/>
              </w:rPr>
              <w:t>Flash resolved specification maximum (°F)</w:t>
            </w:r>
          </w:p>
        </w:tc>
        <w:tc>
          <w:tcPr>
            <w:tcW w:w="2810" w:type="dxa"/>
            <w:vAlign w:val="center"/>
          </w:tcPr>
          <w:p w14:paraId="2CF34042" w14:textId="77777777" w:rsidR="00672297" w:rsidRDefault="00A16EA3">
            <w:pPr>
              <w:spacing w:before="20" w:after="20"/>
              <w:jc w:val="left"/>
            </w:pPr>
            <w:r>
              <w:rPr>
                <w:rFonts w:cstheme="minorHAnsi"/>
                <w:sz w:val="20"/>
                <w:szCs w:val="20"/>
              </w:rPr>
              <w:t>Specification resolution; NULL when "R"</w:t>
            </w:r>
          </w:p>
        </w:tc>
      </w:tr>
      <w:tr w:rsidR="00672297" w14:paraId="684BD469" w14:textId="77777777">
        <w:trPr>
          <w:cantSplit/>
        </w:trPr>
        <w:tc>
          <w:tcPr>
            <w:tcW w:w="2246" w:type="dxa"/>
            <w:vAlign w:val="center"/>
          </w:tcPr>
          <w:p w14:paraId="71168AFD" w14:textId="77777777" w:rsidR="00672297" w:rsidRDefault="00A16EA3">
            <w:pPr>
              <w:spacing w:before="20" w:after="20"/>
              <w:jc w:val="left"/>
            </w:pPr>
            <w:r>
              <w:rPr>
                <w:rFonts w:cstheme="minorHAnsi"/>
                <w:sz w:val="20"/>
                <w:szCs w:val="20"/>
              </w:rPr>
              <w:t>FlashDelta</w:t>
            </w:r>
          </w:p>
        </w:tc>
        <w:tc>
          <w:tcPr>
            <w:tcW w:w="1216" w:type="dxa"/>
            <w:vAlign w:val="center"/>
          </w:tcPr>
          <w:p w14:paraId="08DEEEAB" w14:textId="77777777" w:rsidR="00672297" w:rsidRDefault="00A16EA3">
            <w:pPr>
              <w:spacing w:before="20" w:after="20"/>
              <w:jc w:val="left"/>
            </w:pPr>
            <w:r>
              <w:rPr>
                <w:rFonts w:cstheme="minorHAnsi"/>
                <w:sz w:val="20"/>
                <w:szCs w:val="20"/>
              </w:rPr>
              <w:t>DECIMAL(18,4)</w:t>
            </w:r>
          </w:p>
        </w:tc>
        <w:tc>
          <w:tcPr>
            <w:tcW w:w="3088" w:type="dxa"/>
            <w:vAlign w:val="center"/>
          </w:tcPr>
          <w:p w14:paraId="6B76D92E" w14:textId="77777777" w:rsidR="00672297" w:rsidRDefault="00A16EA3">
            <w:pPr>
              <w:spacing w:before="20" w:after="20"/>
              <w:jc w:val="left"/>
            </w:pPr>
            <w:r>
              <w:rPr>
                <w:rFonts w:cstheme="minorHAnsi"/>
                <w:sz w:val="20"/>
                <w:szCs w:val="20"/>
              </w:rPr>
              <w:t>Flash give-away (°F)</w:t>
            </w:r>
          </w:p>
        </w:tc>
        <w:tc>
          <w:tcPr>
            <w:tcW w:w="2810" w:type="dxa"/>
            <w:vAlign w:val="center"/>
          </w:tcPr>
          <w:p w14:paraId="4976A95B" w14:textId="77777777" w:rsidR="00672297" w:rsidRDefault="00A16EA3">
            <w:pPr>
              <w:spacing w:before="20" w:after="20"/>
              <w:jc w:val="left"/>
            </w:pPr>
            <w:r>
              <w:rPr>
                <w:rFonts w:cstheme="minorHAnsi"/>
                <w:sz w:val="20"/>
                <w:szCs w:val="20"/>
              </w:rPr>
              <w:t>MIN type (Flash): Actual - Min; MAX type (others): Max - Actual; 0 when off spec; NULL when the limit is "R"</w:t>
            </w:r>
          </w:p>
        </w:tc>
      </w:tr>
      <w:tr w:rsidR="00672297" w14:paraId="2DEDF3C7" w14:textId="77777777">
        <w:trPr>
          <w:cantSplit/>
        </w:trPr>
        <w:tc>
          <w:tcPr>
            <w:tcW w:w="2246" w:type="dxa"/>
            <w:vAlign w:val="center"/>
          </w:tcPr>
          <w:p w14:paraId="40209D81" w14:textId="77777777" w:rsidR="00672297" w:rsidRDefault="00A16EA3">
            <w:pPr>
              <w:spacing w:before="20" w:after="20"/>
              <w:jc w:val="left"/>
            </w:pPr>
            <w:r>
              <w:rPr>
                <w:rFonts w:cstheme="minorHAnsi"/>
                <w:sz w:val="20"/>
                <w:szCs w:val="20"/>
              </w:rPr>
              <w:t>SulphurMin</w:t>
            </w:r>
          </w:p>
        </w:tc>
        <w:tc>
          <w:tcPr>
            <w:tcW w:w="1216" w:type="dxa"/>
            <w:vAlign w:val="center"/>
          </w:tcPr>
          <w:p w14:paraId="3E474424" w14:textId="77777777" w:rsidR="00672297" w:rsidRDefault="00A16EA3">
            <w:pPr>
              <w:spacing w:before="20" w:after="20"/>
              <w:jc w:val="left"/>
            </w:pPr>
            <w:r>
              <w:rPr>
                <w:rFonts w:cstheme="minorHAnsi"/>
                <w:sz w:val="20"/>
                <w:szCs w:val="20"/>
              </w:rPr>
              <w:t>DECIMAL(18,4)</w:t>
            </w:r>
          </w:p>
        </w:tc>
        <w:tc>
          <w:tcPr>
            <w:tcW w:w="3088" w:type="dxa"/>
            <w:vAlign w:val="center"/>
          </w:tcPr>
          <w:p w14:paraId="4F0DF098" w14:textId="77777777" w:rsidR="00672297" w:rsidRDefault="00A16EA3">
            <w:pPr>
              <w:spacing w:before="20" w:after="20"/>
              <w:jc w:val="left"/>
            </w:pPr>
            <w:r>
              <w:rPr>
                <w:rFonts w:cstheme="minorHAnsi"/>
                <w:sz w:val="20"/>
                <w:szCs w:val="20"/>
              </w:rPr>
              <w:t>Sulphur resolved specification minimum (ppm)</w:t>
            </w:r>
          </w:p>
        </w:tc>
        <w:tc>
          <w:tcPr>
            <w:tcW w:w="2810" w:type="dxa"/>
            <w:vAlign w:val="center"/>
          </w:tcPr>
          <w:p w14:paraId="64D3D70D" w14:textId="77777777" w:rsidR="00672297" w:rsidRDefault="00A16EA3">
            <w:pPr>
              <w:spacing w:before="20" w:after="20"/>
              <w:jc w:val="left"/>
            </w:pPr>
            <w:r>
              <w:rPr>
                <w:rFonts w:cstheme="minorHAnsi"/>
                <w:sz w:val="20"/>
                <w:szCs w:val="20"/>
              </w:rPr>
              <w:t>Specification resolution (Stage 1, Stage 2, waiver); NULL when "R"</w:t>
            </w:r>
          </w:p>
        </w:tc>
      </w:tr>
      <w:tr w:rsidR="00672297" w14:paraId="25A5AF12" w14:textId="77777777">
        <w:trPr>
          <w:cantSplit/>
        </w:trPr>
        <w:tc>
          <w:tcPr>
            <w:tcW w:w="2246" w:type="dxa"/>
            <w:vAlign w:val="center"/>
          </w:tcPr>
          <w:p w14:paraId="1CADDBE8" w14:textId="77777777" w:rsidR="00672297" w:rsidRDefault="00A16EA3">
            <w:pPr>
              <w:spacing w:before="20" w:after="20"/>
              <w:jc w:val="left"/>
            </w:pPr>
            <w:r>
              <w:rPr>
                <w:rFonts w:cstheme="minorHAnsi"/>
                <w:sz w:val="20"/>
                <w:szCs w:val="20"/>
              </w:rPr>
              <w:t>SulphurActual</w:t>
            </w:r>
          </w:p>
        </w:tc>
        <w:tc>
          <w:tcPr>
            <w:tcW w:w="1216" w:type="dxa"/>
            <w:vAlign w:val="center"/>
          </w:tcPr>
          <w:p w14:paraId="54DA191D" w14:textId="77777777" w:rsidR="00672297" w:rsidRDefault="00A16EA3">
            <w:pPr>
              <w:spacing w:before="20" w:after="20"/>
              <w:jc w:val="left"/>
            </w:pPr>
            <w:r>
              <w:rPr>
                <w:rFonts w:cstheme="minorHAnsi"/>
                <w:sz w:val="20"/>
                <w:szCs w:val="20"/>
              </w:rPr>
              <w:t>DECIMAL(18,4)</w:t>
            </w:r>
          </w:p>
        </w:tc>
        <w:tc>
          <w:tcPr>
            <w:tcW w:w="3088" w:type="dxa"/>
            <w:vAlign w:val="center"/>
          </w:tcPr>
          <w:p w14:paraId="4E025277" w14:textId="77777777" w:rsidR="00672297" w:rsidRDefault="00A16EA3">
            <w:pPr>
              <w:spacing w:before="20" w:after="20"/>
              <w:jc w:val="left"/>
            </w:pPr>
            <w:r>
              <w:rPr>
                <w:rFonts w:cstheme="minorHAnsi"/>
                <w:sz w:val="20"/>
                <w:szCs w:val="20"/>
              </w:rPr>
              <w:t>Sulphur average certified value (ppm)</w:t>
            </w:r>
          </w:p>
        </w:tc>
        <w:tc>
          <w:tcPr>
            <w:tcW w:w="2810" w:type="dxa"/>
            <w:vAlign w:val="center"/>
          </w:tcPr>
          <w:p w14:paraId="4A226C68" w14:textId="77777777" w:rsidR="00672297" w:rsidRDefault="00A16EA3">
            <w:pPr>
              <w:spacing w:before="20" w:after="20"/>
              <w:jc w:val="left"/>
            </w:pPr>
            <w:r>
              <w:rPr>
                <w:rFonts w:cstheme="minorHAnsi"/>
                <w:sz w:val="20"/>
                <w:szCs w:val="20"/>
              </w:rPr>
              <w:t>quality_detail (average of the delivered batches)</w:t>
            </w:r>
          </w:p>
        </w:tc>
      </w:tr>
      <w:tr w:rsidR="00672297" w14:paraId="6936A0E6" w14:textId="77777777">
        <w:trPr>
          <w:cantSplit/>
        </w:trPr>
        <w:tc>
          <w:tcPr>
            <w:tcW w:w="2246" w:type="dxa"/>
            <w:vAlign w:val="center"/>
          </w:tcPr>
          <w:p w14:paraId="6039FE7C" w14:textId="77777777" w:rsidR="00672297" w:rsidRDefault="00A16EA3">
            <w:pPr>
              <w:spacing w:before="20" w:after="20"/>
              <w:jc w:val="left"/>
            </w:pPr>
            <w:r>
              <w:rPr>
                <w:rFonts w:cstheme="minorHAnsi"/>
                <w:sz w:val="20"/>
                <w:szCs w:val="20"/>
              </w:rPr>
              <w:t>SulphurMax</w:t>
            </w:r>
          </w:p>
        </w:tc>
        <w:tc>
          <w:tcPr>
            <w:tcW w:w="1216" w:type="dxa"/>
            <w:vAlign w:val="center"/>
          </w:tcPr>
          <w:p w14:paraId="2BE4B6B0" w14:textId="77777777" w:rsidR="00672297" w:rsidRDefault="00A16EA3">
            <w:pPr>
              <w:spacing w:before="20" w:after="20"/>
              <w:jc w:val="left"/>
            </w:pPr>
            <w:r>
              <w:rPr>
                <w:rFonts w:cstheme="minorHAnsi"/>
                <w:sz w:val="20"/>
                <w:szCs w:val="20"/>
              </w:rPr>
              <w:t>DECIMAL(18,4)</w:t>
            </w:r>
          </w:p>
        </w:tc>
        <w:tc>
          <w:tcPr>
            <w:tcW w:w="3088" w:type="dxa"/>
            <w:vAlign w:val="center"/>
          </w:tcPr>
          <w:p w14:paraId="00413709" w14:textId="77777777" w:rsidR="00672297" w:rsidRDefault="00A16EA3">
            <w:pPr>
              <w:spacing w:before="20" w:after="20"/>
              <w:jc w:val="left"/>
            </w:pPr>
            <w:r>
              <w:rPr>
                <w:rFonts w:cstheme="minorHAnsi"/>
                <w:sz w:val="20"/>
                <w:szCs w:val="20"/>
              </w:rPr>
              <w:t>Sulphur resolved specification maximum (ppm)</w:t>
            </w:r>
          </w:p>
        </w:tc>
        <w:tc>
          <w:tcPr>
            <w:tcW w:w="2810" w:type="dxa"/>
            <w:vAlign w:val="center"/>
          </w:tcPr>
          <w:p w14:paraId="60E9177B" w14:textId="77777777" w:rsidR="00672297" w:rsidRDefault="00A16EA3">
            <w:pPr>
              <w:spacing w:before="20" w:after="20"/>
              <w:jc w:val="left"/>
            </w:pPr>
            <w:r>
              <w:rPr>
                <w:rFonts w:cstheme="minorHAnsi"/>
                <w:sz w:val="20"/>
                <w:szCs w:val="20"/>
              </w:rPr>
              <w:t>Specification resolution; NULL when "R"</w:t>
            </w:r>
          </w:p>
        </w:tc>
      </w:tr>
      <w:tr w:rsidR="00672297" w14:paraId="7F4EF4F5" w14:textId="77777777">
        <w:trPr>
          <w:cantSplit/>
        </w:trPr>
        <w:tc>
          <w:tcPr>
            <w:tcW w:w="2246" w:type="dxa"/>
            <w:vAlign w:val="center"/>
          </w:tcPr>
          <w:p w14:paraId="6FC79043" w14:textId="77777777" w:rsidR="00672297" w:rsidRDefault="00A16EA3">
            <w:pPr>
              <w:spacing w:before="20" w:after="20"/>
              <w:jc w:val="left"/>
            </w:pPr>
            <w:r>
              <w:rPr>
                <w:rFonts w:cstheme="minorHAnsi"/>
                <w:sz w:val="20"/>
                <w:szCs w:val="20"/>
              </w:rPr>
              <w:t>SulphurDelta</w:t>
            </w:r>
          </w:p>
        </w:tc>
        <w:tc>
          <w:tcPr>
            <w:tcW w:w="1216" w:type="dxa"/>
            <w:vAlign w:val="center"/>
          </w:tcPr>
          <w:p w14:paraId="55F64C14" w14:textId="77777777" w:rsidR="00672297" w:rsidRDefault="00A16EA3">
            <w:pPr>
              <w:spacing w:before="20" w:after="20"/>
              <w:jc w:val="left"/>
            </w:pPr>
            <w:r>
              <w:rPr>
                <w:rFonts w:cstheme="minorHAnsi"/>
                <w:sz w:val="20"/>
                <w:szCs w:val="20"/>
              </w:rPr>
              <w:t>DECIMAL(18,4)</w:t>
            </w:r>
          </w:p>
        </w:tc>
        <w:tc>
          <w:tcPr>
            <w:tcW w:w="3088" w:type="dxa"/>
            <w:vAlign w:val="center"/>
          </w:tcPr>
          <w:p w14:paraId="64D19147" w14:textId="77777777" w:rsidR="00672297" w:rsidRDefault="00A16EA3">
            <w:pPr>
              <w:spacing w:before="20" w:after="20"/>
              <w:jc w:val="left"/>
            </w:pPr>
            <w:r>
              <w:rPr>
                <w:rFonts w:cstheme="minorHAnsi"/>
                <w:sz w:val="20"/>
                <w:szCs w:val="20"/>
              </w:rPr>
              <w:t>Sulphur give-away (ppm)</w:t>
            </w:r>
          </w:p>
        </w:tc>
        <w:tc>
          <w:tcPr>
            <w:tcW w:w="2810" w:type="dxa"/>
            <w:vAlign w:val="center"/>
          </w:tcPr>
          <w:p w14:paraId="56BF2DDA" w14:textId="77777777" w:rsidR="00672297" w:rsidRDefault="00A16EA3">
            <w:pPr>
              <w:spacing w:before="20" w:after="20"/>
              <w:jc w:val="left"/>
            </w:pPr>
            <w:r>
              <w:rPr>
                <w:rFonts w:cstheme="minorHAnsi"/>
                <w:sz w:val="20"/>
                <w:szCs w:val="20"/>
              </w:rPr>
              <w:t>MIN type (Flash): Actual - Min; MAX type (others): Max - Actual; 0 when off spec; NULL when the limit is "R"</w:t>
            </w:r>
          </w:p>
        </w:tc>
      </w:tr>
      <w:tr w:rsidR="00672297" w14:paraId="61C818B5" w14:textId="77777777">
        <w:trPr>
          <w:cantSplit/>
        </w:trPr>
        <w:tc>
          <w:tcPr>
            <w:tcW w:w="2246" w:type="dxa"/>
            <w:vAlign w:val="center"/>
          </w:tcPr>
          <w:p w14:paraId="1318695F" w14:textId="77777777" w:rsidR="00672297" w:rsidRDefault="00A16EA3">
            <w:pPr>
              <w:spacing w:before="20" w:after="20"/>
              <w:jc w:val="left"/>
            </w:pPr>
            <w:r>
              <w:rPr>
                <w:rFonts w:cstheme="minorHAnsi"/>
                <w:sz w:val="20"/>
                <w:szCs w:val="20"/>
              </w:rPr>
              <w:t>AdjCloudPointMin</w:t>
            </w:r>
          </w:p>
        </w:tc>
        <w:tc>
          <w:tcPr>
            <w:tcW w:w="1216" w:type="dxa"/>
            <w:vAlign w:val="center"/>
          </w:tcPr>
          <w:p w14:paraId="2A8F197C" w14:textId="77777777" w:rsidR="00672297" w:rsidRDefault="00A16EA3">
            <w:pPr>
              <w:spacing w:before="20" w:after="20"/>
              <w:jc w:val="left"/>
            </w:pPr>
            <w:r>
              <w:rPr>
                <w:rFonts w:cstheme="minorHAnsi"/>
                <w:sz w:val="20"/>
                <w:szCs w:val="20"/>
              </w:rPr>
              <w:t>DECIMAL(18,4)</w:t>
            </w:r>
          </w:p>
        </w:tc>
        <w:tc>
          <w:tcPr>
            <w:tcW w:w="3088" w:type="dxa"/>
            <w:vAlign w:val="center"/>
          </w:tcPr>
          <w:p w14:paraId="4ED177D2" w14:textId="77777777" w:rsidR="00672297" w:rsidRDefault="00A16EA3">
            <w:pPr>
              <w:spacing w:before="20" w:after="20"/>
              <w:jc w:val="left"/>
            </w:pPr>
            <w:r>
              <w:rPr>
                <w:rFonts w:cstheme="minorHAnsi"/>
                <w:sz w:val="20"/>
                <w:szCs w:val="20"/>
              </w:rPr>
              <w:t>AdjCloudPoint resolved specification minimum (°F)</w:t>
            </w:r>
          </w:p>
        </w:tc>
        <w:tc>
          <w:tcPr>
            <w:tcW w:w="2810" w:type="dxa"/>
            <w:vAlign w:val="center"/>
          </w:tcPr>
          <w:p w14:paraId="54EEA1F5" w14:textId="77777777" w:rsidR="00672297" w:rsidRDefault="00A16EA3">
            <w:pPr>
              <w:spacing w:before="20" w:after="20"/>
              <w:jc w:val="left"/>
            </w:pPr>
            <w:r>
              <w:rPr>
                <w:rFonts w:cstheme="minorHAnsi"/>
                <w:sz w:val="20"/>
                <w:szCs w:val="20"/>
              </w:rPr>
              <w:t>Specification resolution (Stage 1, Stage 2, waiver); NULL when "R"</w:t>
            </w:r>
          </w:p>
        </w:tc>
      </w:tr>
      <w:tr w:rsidR="00672297" w14:paraId="10774B69" w14:textId="77777777">
        <w:trPr>
          <w:cantSplit/>
        </w:trPr>
        <w:tc>
          <w:tcPr>
            <w:tcW w:w="2246" w:type="dxa"/>
            <w:vAlign w:val="center"/>
          </w:tcPr>
          <w:p w14:paraId="5468B663" w14:textId="77777777" w:rsidR="00672297" w:rsidRDefault="00A16EA3">
            <w:pPr>
              <w:spacing w:before="20" w:after="20"/>
              <w:jc w:val="left"/>
            </w:pPr>
            <w:r>
              <w:rPr>
                <w:rFonts w:cstheme="minorHAnsi"/>
                <w:sz w:val="20"/>
                <w:szCs w:val="20"/>
              </w:rPr>
              <w:t>AdjCloudPointActual</w:t>
            </w:r>
          </w:p>
        </w:tc>
        <w:tc>
          <w:tcPr>
            <w:tcW w:w="1216" w:type="dxa"/>
            <w:vAlign w:val="center"/>
          </w:tcPr>
          <w:p w14:paraId="5029DD9D" w14:textId="77777777" w:rsidR="00672297" w:rsidRDefault="00A16EA3">
            <w:pPr>
              <w:spacing w:before="20" w:after="20"/>
              <w:jc w:val="left"/>
            </w:pPr>
            <w:r>
              <w:rPr>
                <w:rFonts w:cstheme="minorHAnsi"/>
                <w:sz w:val="20"/>
                <w:szCs w:val="20"/>
              </w:rPr>
              <w:t>DECIMAL(18,4)</w:t>
            </w:r>
          </w:p>
        </w:tc>
        <w:tc>
          <w:tcPr>
            <w:tcW w:w="3088" w:type="dxa"/>
            <w:vAlign w:val="center"/>
          </w:tcPr>
          <w:p w14:paraId="7127AE38" w14:textId="77777777" w:rsidR="00672297" w:rsidRDefault="00A16EA3">
            <w:pPr>
              <w:spacing w:before="20" w:after="20"/>
              <w:jc w:val="left"/>
            </w:pPr>
            <w:r>
              <w:rPr>
                <w:rFonts w:cstheme="minorHAnsi"/>
                <w:sz w:val="20"/>
                <w:szCs w:val="20"/>
              </w:rPr>
              <w:t>AdjCloudPoint average certified value (°F)</w:t>
            </w:r>
          </w:p>
        </w:tc>
        <w:tc>
          <w:tcPr>
            <w:tcW w:w="2810" w:type="dxa"/>
            <w:vAlign w:val="center"/>
          </w:tcPr>
          <w:p w14:paraId="1A53808C" w14:textId="77777777" w:rsidR="00672297" w:rsidRDefault="00A16EA3">
            <w:pPr>
              <w:spacing w:before="20" w:after="20"/>
              <w:jc w:val="left"/>
            </w:pPr>
            <w:r>
              <w:rPr>
                <w:rFonts w:cstheme="minorHAnsi"/>
                <w:sz w:val="20"/>
                <w:szCs w:val="20"/>
              </w:rPr>
              <w:t>quality_detail (average of the delivered batches)</w:t>
            </w:r>
          </w:p>
        </w:tc>
      </w:tr>
      <w:tr w:rsidR="00672297" w14:paraId="312A6A66" w14:textId="77777777">
        <w:trPr>
          <w:cantSplit/>
        </w:trPr>
        <w:tc>
          <w:tcPr>
            <w:tcW w:w="2246" w:type="dxa"/>
            <w:vAlign w:val="center"/>
          </w:tcPr>
          <w:p w14:paraId="4B94B8BC" w14:textId="77777777" w:rsidR="00672297" w:rsidRDefault="00A16EA3">
            <w:pPr>
              <w:spacing w:before="20" w:after="20"/>
              <w:jc w:val="left"/>
            </w:pPr>
            <w:r>
              <w:rPr>
                <w:rFonts w:cstheme="minorHAnsi"/>
                <w:sz w:val="20"/>
                <w:szCs w:val="20"/>
              </w:rPr>
              <w:t>AdjCloudPointMax</w:t>
            </w:r>
          </w:p>
        </w:tc>
        <w:tc>
          <w:tcPr>
            <w:tcW w:w="1216" w:type="dxa"/>
            <w:vAlign w:val="center"/>
          </w:tcPr>
          <w:p w14:paraId="237FE9FA" w14:textId="77777777" w:rsidR="00672297" w:rsidRDefault="00A16EA3">
            <w:pPr>
              <w:spacing w:before="20" w:after="20"/>
              <w:jc w:val="left"/>
            </w:pPr>
            <w:r>
              <w:rPr>
                <w:rFonts w:cstheme="minorHAnsi"/>
                <w:sz w:val="20"/>
                <w:szCs w:val="20"/>
              </w:rPr>
              <w:t>DECIMAL(18,4)</w:t>
            </w:r>
          </w:p>
        </w:tc>
        <w:tc>
          <w:tcPr>
            <w:tcW w:w="3088" w:type="dxa"/>
            <w:vAlign w:val="center"/>
          </w:tcPr>
          <w:p w14:paraId="7D3FE1F3" w14:textId="77777777" w:rsidR="00672297" w:rsidRDefault="00A16EA3">
            <w:pPr>
              <w:spacing w:before="20" w:after="20"/>
              <w:jc w:val="left"/>
            </w:pPr>
            <w:r>
              <w:rPr>
                <w:rFonts w:cstheme="minorHAnsi"/>
                <w:sz w:val="20"/>
                <w:szCs w:val="20"/>
              </w:rPr>
              <w:t>AdjCloudPoint resolved specification maximum (°F)</w:t>
            </w:r>
          </w:p>
        </w:tc>
        <w:tc>
          <w:tcPr>
            <w:tcW w:w="2810" w:type="dxa"/>
            <w:vAlign w:val="center"/>
          </w:tcPr>
          <w:p w14:paraId="16CC2815" w14:textId="77777777" w:rsidR="00672297" w:rsidRDefault="00A16EA3">
            <w:pPr>
              <w:spacing w:before="20" w:after="20"/>
              <w:jc w:val="left"/>
            </w:pPr>
            <w:r>
              <w:rPr>
                <w:rFonts w:cstheme="minorHAnsi"/>
                <w:sz w:val="20"/>
                <w:szCs w:val="20"/>
              </w:rPr>
              <w:t>Specification resolution; NULL when "R"</w:t>
            </w:r>
          </w:p>
        </w:tc>
      </w:tr>
      <w:tr w:rsidR="00672297" w14:paraId="6DCA1766" w14:textId="77777777">
        <w:trPr>
          <w:cantSplit/>
        </w:trPr>
        <w:tc>
          <w:tcPr>
            <w:tcW w:w="2246" w:type="dxa"/>
            <w:vAlign w:val="center"/>
          </w:tcPr>
          <w:p w14:paraId="43408A72" w14:textId="77777777" w:rsidR="00672297" w:rsidRDefault="00A16EA3">
            <w:pPr>
              <w:spacing w:before="20" w:after="20"/>
              <w:jc w:val="left"/>
            </w:pPr>
            <w:r>
              <w:rPr>
                <w:rFonts w:cstheme="minorHAnsi"/>
                <w:sz w:val="20"/>
                <w:szCs w:val="20"/>
              </w:rPr>
              <w:t>AdjCloudPointDelta</w:t>
            </w:r>
          </w:p>
        </w:tc>
        <w:tc>
          <w:tcPr>
            <w:tcW w:w="1216" w:type="dxa"/>
            <w:vAlign w:val="center"/>
          </w:tcPr>
          <w:p w14:paraId="1E0C0485" w14:textId="77777777" w:rsidR="00672297" w:rsidRDefault="00A16EA3">
            <w:pPr>
              <w:spacing w:before="20" w:after="20"/>
              <w:jc w:val="left"/>
            </w:pPr>
            <w:r>
              <w:rPr>
                <w:rFonts w:cstheme="minorHAnsi"/>
                <w:sz w:val="20"/>
                <w:szCs w:val="20"/>
              </w:rPr>
              <w:t>DECIMAL(18,4)</w:t>
            </w:r>
          </w:p>
        </w:tc>
        <w:tc>
          <w:tcPr>
            <w:tcW w:w="3088" w:type="dxa"/>
            <w:vAlign w:val="center"/>
          </w:tcPr>
          <w:p w14:paraId="4E161245" w14:textId="77777777" w:rsidR="00672297" w:rsidRDefault="00A16EA3">
            <w:pPr>
              <w:spacing w:before="20" w:after="20"/>
              <w:jc w:val="left"/>
            </w:pPr>
            <w:r>
              <w:rPr>
                <w:rFonts w:cstheme="minorHAnsi"/>
                <w:sz w:val="20"/>
                <w:szCs w:val="20"/>
              </w:rPr>
              <w:t>AdjCloudPoint give-away (°F)</w:t>
            </w:r>
          </w:p>
        </w:tc>
        <w:tc>
          <w:tcPr>
            <w:tcW w:w="2810" w:type="dxa"/>
            <w:vAlign w:val="center"/>
          </w:tcPr>
          <w:p w14:paraId="3FC7C47F" w14:textId="77777777" w:rsidR="00672297" w:rsidRDefault="00A16EA3">
            <w:pPr>
              <w:spacing w:before="20" w:after="20"/>
              <w:jc w:val="left"/>
            </w:pPr>
            <w:r>
              <w:rPr>
                <w:rFonts w:cstheme="minorHAnsi"/>
                <w:sz w:val="20"/>
                <w:szCs w:val="20"/>
              </w:rPr>
              <w:t>MIN type (Flash): Actual - Min; MAX type (others): Max - Actual; 0 when off spec; NULL when the limit is "R"</w:t>
            </w:r>
          </w:p>
        </w:tc>
      </w:tr>
      <w:tr w:rsidR="00672297" w14:paraId="24AB96C5" w14:textId="77777777">
        <w:trPr>
          <w:cantSplit/>
        </w:trPr>
        <w:tc>
          <w:tcPr>
            <w:tcW w:w="2246" w:type="dxa"/>
            <w:vAlign w:val="center"/>
          </w:tcPr>
          <w:p w14:paraId="7CF08708" w14:textId="77777777" w:rsidR="00672297" w:rsidRDefault="00A16EA3">
            <w:pPr>
              <w:spacing w:before="20" w:after="20"/>
              <w:jc w:val="left"/>
            </w:pPr>
            <w:r>
              <w:rPr>
                <w:rFonts w:cstheme="minorHAnsi"/>
                <w:sz w:val="20"/>
                <w:szCs w:val="20"/>
              </w:rPr>
              <w:t>T90Min</w:t>
            </w:r>
          </w:p>
        </w:tc>
        <w:tc>
          <w:tcPr>
            <w:tcW w:w="1216" w:type="dxa"/>
            <w:vAlign w:val="center"/>
          </w:tcPr>
          <w:p w14:paraId="32793C29" w14:textId="77777777" w:rsidR="00672297" w:rsidRDefault="00A16EA3">
            <w:pPr>
              <w:spacing w:before="20" w:after="20"/>
              <w:jc w:val="left"/>
            </w:pPr>
            <w:r>
              <w:rPr>
                <w:rFonts w:cstheme="minorHAnsi"/>
                <w:sz w:val="20"/>
                <w:szCs w:val="20"/>
              </w:rPr>
              <w:t>DECIMAL(18,4)</w:t>
            </w:r>
          </w:p>
        </w:tc>
        <w:tc>
          <w:tcPr>
            <w:tcW w:w="3088" w:type="dxa"/>
            <w:vAlign w:val="center"/>
          </w:tcPr>
          <w:p w14:paraId="7005CD47" w14:textId="77777777" w:rsidR="00672297" w:rsidRDefault="00A16EA3">
            <w:pPr>
              <w:spacing w:before="20" w:after="20"/>
              <w:jc w:val="left"/>
            </w:pPr>
            <w:r>
              <w:rPr>
                <w:rFonts w:cstheme="minorHAnsi"/>
                <w:sz w:val="20"/>
                <w:szCs w:val="20"/>
              </w:rPr>
              <w:t>T90 resolved specification minimum (°F)</w:t>
            </w:r>
          </w:p>
        </w:tc>
        <w:tc>
          <w:tcPr>
            <w:tcW w:w="2810" w:type="dxa"/>
            <w:vAlign w:val="center"/>
          </w:tcPr>
          <w:p w14:paraId="29A11B93" w14:textId="77777777" w:rsidR="00672297" w:rsidRDefault="00A16EA3">
            <w:pPr>
              <w:spacing w:before="20" w:after="20"/>
              <w:jc w:val="left"/>
            </w:pPr>
            <w:r>
              <w:rPr>
                <w:rFonts w:cstheme="minorHAnsi"/>
                <w:sz w:val="20"/>
                <w:szCs w:val="20"/>
              </w:rPr>
              <w:t>Specification resolution (Stage 1, Stage 2, waiver); NULL when "R"</w:t>
            </w:r>
          </w:p>
        </w:tc>
      </w:tr>
      <w:tr w:rsidR="00672297" w14:paraId="460ECA4A" w14:textId="77777777">
        <w:trPr>
          <w:cantSplit/>
        </w:trPr>
        <w:tc>
          <w:tcPr>
            <w:tcW w:w="2246" w:type="dxa"/>
            <w:vAlign w:val="center"/>
          </w:tcPr>
          <w:p w14:paraId="65C3B82A" w14:textId="77777777" w:rsidR="00672297" w:rsidRDefault="00A16EA3">
            <w:pPr>
              <w:spacing w:before="20" w:after="20"/>
              <w:jc w:val="left"/>
            </w:pPr>
            <w:r>
              <w:rPr>
                <w:rFonts w:cstheme="minorHAnsi"/>
                <w:sz w:val="20"/>
                <w:szCs w:val="20"/>
              </w:rPr>
              <w:t>T90Actual</w:t>
            </w:r>
          </w:p>
        </w:tc>
        <w:tc>
          <w:tcPr>
            <w:tcW w:w="1216" w:type="dxa"/>
            <w:vAlign w:val="center"/>
          </w:tcPr>
          <w:p w14:paraId="207D10BB" w14:textId="77777777" w:rsidR="00672297" w:rsidRDefault="00A16EA3">
            <w:pPr>
              <w:spacing w:before="20" w:after="20"/>
              <w:jc w:val="left"/>
            </w:pPr>
            <w:r>
              <w:rPr>
                <w:rFonts w:cstheme="minorHAnsi"/>
                <w:sz w:val="20"/>
                <w:szCs w:val="20"/>
              </w:rPr>
              <w:t>DECIMAL(18,4)</w:t>
            </w:r>
          </w:p>
        </w:tc>
        <w:tc>
          <w:tcPr>
            <w:tcW w:w="3088" w:type="dxa"/>
            <w:vAlign w:val="center"/>
          </w:tcPr>
          <w:p w14:paraId="78F797DE" w14:textId="77777777" w:rsidR="00672297" w:rsidRDefault="00A16EA3">
            <w:pPr>
              <w:spacing w:before="20" w:after="20"/>
              <w:jc w:val="left"/>
            </w:pPr>
            <w:r>
              <w:rPr>
                <w:rFonts w:cstheme="minorHAnsi"/>
                <w:sz w:val="20"/>
                <w:szCs w:val="20"/>
              </w:rPr>
              <w:t>T90 average certified value (°F)</w:t>
            </w:r>
          </w:p>
        </w:tc>
        <w:tc>
          <w:tcPr>
            <w:tcW w:w="2810" w:type="dxa"/>
            <w:vAlign w:val="center"/>
          </w:tcPr>
          <w:p w14:paraId="4D8A19DB" w14:textId="77777777" w:rsidR="00672297" w:rsidRDefault="00A16EA3">
            <w:pPr>
              <w:spacing w:before="20" w:after="20"/>
              <w:jc w:val="left"/>
            </w:pPr>
            <w:r>
              <w:rPr>
                <w:rFonts w:cstheme="minorHAnsi"/>
                <w:sz w:val="20"/>
                <w:szCs w:val="20"/>
              </w:rPr>
              <w:t>quality_detail (average of the delivered batches)</w:t>
            </w:r>
          </w:p>
        </w:tc>
      </w:tr>
      <w:tr w:rsidR="00672297" w14:paraId="0E5D7B16" w14:textId="77777777">
        <w:trPr>
          <w:cantSplit/>
        </w:trPr>
        <w:tc>
          <w:tcPr>
            <w:tcW w:w="2246" w:type="dxa"/>
            <w:vAlign w:val="center"/>
          </w:tcPr>
          <w:p w14:paraId="407349A8" w14:textId="77777777" w:rsidR="00672297" w:rsidRDefault="00A16EA3">
            <w:pPr>
              <w:spacing w:before="20" w:after="20"/>
              <w:jc w:val="left"/>
            </w:pPr>
            <w:r>
              <w:rPr>
                <w:rFonts w:cstheme="minorHAnsi"/>
                <w:sz w:val="20"/>
                <w:szCs w:val="20"/>
              </w:rPr>
              <w:t>T90Max</w:t>
            </w:r>
          </w:p>
        </w:tc>
        <w:tc>
          <w:tcPr>
            <w:tcW w:w="1216" w:type="dxa"/>
            <w:vAlign w:val="center"/>
          </w:tcPr>
          <w:p w14:paraId="21DD8488" w14:textId="77777777" w:rsidR="00672297" w:rsidRDefault="00A16EA3">
            <w:pPr>
              <w:spacing w:before="20" w:after="20"/>
              <w:jc w:val="left"/>
            </w:pPr>
            <w:r>
              <w:rPr>
                <w:rFonts w:cstheme="minorHAnsi"/>
                <w:sz w:val="20"/>
                <w:szCs w:val="20"/>
              </w:rPr>
              <w:t>DECIMAL(18,4)</w:t>
            </w:r>
          </w:p>
        </w:tc>
        <w:tc>
          <w:tcPr>
            <w:tcW w:w="3088" w:type="dxa"/>
            <w:vAlign w:val="center"/>
          </w:tcPr>
          <w:p w14:paraId="4A32085B" w14:textId="77777777" w:rsidR="00672297" w:rsidRDefault="00A16EA3">
            <w:pPr>
              <w:spacing w:before="20" w:after="20"/>
              <w:jc w:val="left"/>
            </w:pPr>
            <w:r>
              <w:rPr>
                <w:rFonts w:cstheme="minorHAnsi"/>
                <w:sz w:val="20"/>
                <w:szCs w:val="20"/>
              </w:rPr>
              <w:t>T90 resolved specification maximum (°F)</w:t>
            </w:r>
          </w:p>
        </w:tc>
        <w:tc>
          <w:tcPr>
            <w:tcW w:w="2810" w:type="dxa"/>
            <w:vAlign w:val="center"/>
          </w:tcPr>
          <w:p w14:paraId="7C7778AD" w14:textId="77777777" w:rsidR="00672297" w:rsidRDefault="00A16EA3">
            <w:pPr>
              <w:spacing w:before="20" w:after="20"/>
              <w:jc w:val="left"/>
            </w:pPr>
            <w:r>
              <w:rPr>
                <w:rFonts w:cstheme="minorHAnsi"/>
                <w:sz w:val="20"/>
                <w:szCs w:val="20"/>
              </w:rPr>
              <w:t>Specification resolution; NULL when "R"</w:t>
            </w:r>
          </w:p>
        </w:tc>
      </w:tr>
      <w:tr w:rsidR="00672297" w14:paraId="039C9A3A" w14:textId="77777777">
        <w:trPr>
          <w:cantSplit/>
        </w:trPr>
        <w:tc>
          <w:tcPr>
            <w:tcW w:w="2246" w:type="dxa"/>
            <w:vAlign w:val="center"/>
          </w:tcPr>
          <w:p w14:paraId="3347C6BF" w14:textId="77777777" w:rsidR="00672297" w:rsidRDefault="00A16EA3">
            <w:pPr>
              <w:spacing w:before="20" w:after="20"/>
              <w:jc w:val="left"/>
            </w:pPr>
            <w:r>
              <w:rPr>
                <w:rFonts w:cstheme="minorHAnsi"/>
                <w:sz w:val="20"/>
                <w:szCs w:val="20"/>
              </w:rPr>
              <w:t>T90Delta</w:t>
            </w:r>
          </w:p>
        </w:tc>
        <w:tc>
          <w:tcPr>
            <w:tcW w:w="1216" w:type="dxa"/>
            <w:vAlign w:val="center"/>
          </w:tcPr>
          <w:p w14:paraId="63A0595D" w14:textId="77777777" w:rsidR="00672297" w:rsidRDefault="00A16EA3">
            <w:pPr>
              <w:spacing w:before="20" w:after="20"/>
              <w:jc w:val="left"/>
            </w:pPr>
            <w:r>
              <w:rPr>
                <w:rFonts w:cstheme="minorHAnsi"/>
                <w:sz w:val="20"/>
                <w:szCs w:val="20"/>
              </w:rPr>
              <w:t>DECIMAL(18,4)</w:t>
            </w:r>
          </w:p>
        </w:tc>
        <w:tc>
          <w:tcPr>
            <w:tcW w:w="3088" w:type="dxa"/>
            <w:vAlign w:val="center"/>
          </w:tcPr>
          <w:p w14:paraId="199125AC" w14:textId="77777777" w:rsidR="00672297" w:rsidRDefault="00A16EA3">
            <w:pPr>
              <w:spacing w:before="20" w:after="20"/>
              <w:jc w:val="left"/>
            </w:pPr>
            <w:r>
              <w:rPr>
                <w:rFonts w:cstheme="minorHAnsi"/>
                <w:sz w:val="20"/>
                <w:szCs w:val="20"/>
              </w:rPr>
              <w:t>T90 give-away (°F)</w:t>
            </w:r>
          </w:p>
        </w:tc>
        <w:tc>
          <w:tcPr>
            <w:tcW w:w="2810" w:type="dxa"/>
            <w:vAlign w:val="center"/>
          </w:tcPr>
          <w:p w14:paraId="705EE5A3" w14:textId="77777777" w:rsidR="00672297" w:rsidRDefault="00A16EA3">
            <w:pPr>
              <w:spacing w:before="20" w:after="20"/>
              <w:jc w:val="left"/>
            </w:pPr>
            <w:r>
              <w:rPr>
                <w:rFonts w:cstheme="minorHAnsi"/>
                <w:sz w:val="20"/>
                <w:szCs w:val="20"/>
              </w:rPr>
              <w:t>MIN type (Flash): Actual - Min; MAX type (others): Max - Actual; 0 when off spec; NULL when the limit is "R"</w:t>
            </w:r>
          </w:p>
        </w:tc>
      </w:tr>
      <w:tr w:rsidR="00672297" w14:paraId="41B0468B" w14:textId="77777777">
        <w:trPr>
          <w:cantSplit/>
        </w:trPr>
        <w:tc>
          <w:tcPr>
            <w:tcW w:w="2246" w:type="dxa"/>
            <w:vAlign w:val="center"/>
          </w:tcPr>
          <w:p w14:paraId="29D547DD" w14:textId="77777777" w:rsidR="00672297" w:rsidRDefault="00A16EA3">
            <w:pPr>
              <w:spacing w:before="20" w:after="20"/>
              <w:jc w:val="left"/>
            </w:pPr>
            <w:r>
              <w:rPr>
                <w:rFonts w:cstheme="minorHAnsi"/>
                <w:sz w:val="20"/>
                <w:szCs w:val="20"/>
              </w:rPr>
              <w:t>FBPMin</w:t>
            </w:r>
          </w:p>
        </w:tc>
        <w:tc>
          <w:tcPr>
            <w:tcW w:w="1216" w:type="dxa"/>
            <w:vAlign w:val="center"/>
          </w:tcPr>
          <w:p w14:paraId="7632A3E0" w14:textId="77777777" w:rsidR="00672297" w:rsidRDefault="00A16EA3">
            <w:pPr>
              <w:spacing w:before="20" w:after="20"/>
              <w:jc w:val="left"/>
            </w:pPr>
            <w:r>
              <w:rPr>
                <w:rFonts w:cstheme="minorHAnsi"/>
                <w:sz w:val="20"/>
                <w:szCs w:val="20"/>
              </w:rPr>
              <w:t>DECIMAL(18,4)</w:t>
            </w:r>
          </w:p>
        </w:tc>
        <w:tc>
          <w:tcPr>
            <w:tcW w:w="3088" w:type="dxa"/>
            <w:vAlign w:val="center"/>
          </w:tcPr>
          <w:p w14:paraId="0FC5CA3B" w14:textId="77777777" w:rsidR="00672297" w:rsidRDefault="00A16EA3">
            <w:pPr>
              <w:spacing w:before="20" w:after="20"/>
              <w:jc w:val="left"/>
            </w:pPr>
            <w:r>
              <w:rPr>
                <w:rFonts w:cstheme="minorHAnsi"/>
                <w:sz w:val="20"/>
                <w:szCs w:val="20"/>
              </w:rPr>
              <w:t>FBP resolved specification minimum (°F)</w:t>
            </w:r>
          </w:p>
        </w:tc>
        <w:tc>
          <w:tcPr>
            <w:tcW w:w="2810" w:type="dxa"/>
            <w:vAlign w:val="center"/>
          </w:tcPr>
          <w:p w14:paraId="31EBE4AB" w14:textId="77777777" w:rsidR="00672297" w:rsidRDefault="00A16EA3">
            <w:pPr>
              <w:spacing w:before="20" w:after="20"/>
              <w:jc w:val="left"/>
            </w:pPr>
            <w:r>
              <w:rPr>
                <w:rFonts w:cstheme="minorHAnsi"/>
                <w:sz w:val="20"/>
                <w:szCs w:val="20"/>
              </w:rPr>
              <w:t>Specification resolution (Stage 1, Stage 2, waiver); NULL when "R"</w:t>
            </w:r>
          </w:p>
        </w:tc>
      </w:tr>
      <w:tr w:rsidR="00672297" w14:paraId="1A7CEA03" w14:textId="77777777">
        <w:trPr>
          <w:cantSplit/>
        </w:trPr>
        <w:tc>
          <w:tcPr>
            <w:tcW w:w="2246" w:type="dxa"/>
            <w:vAlign w:val="center"/>
          </w:tcPr>
          <w:p w14:paraId="228F14D8" w14:textId="77777777" w:rsidR="00672297" w:rsidRDefault="00A16EA3">
            <w:pPr>
              <w:spacing w:before="20" w:after="20"/>
              <w:jc w:val="left"/>
            </w:pPr>
            <w:r>
              <w:rPr>
                <w:rFonts w:cstheme="minorHAnsi"/>
                <w:sz w:val="20"/>
                <w:szCs w:val="20"/>
              </w:rPr>
              <w:t>FBPActual</w:t>
            </w:r>
          </w:p>
        </w:tc>
        <w:tc>
          <w:tcPr>
            <w:tcW w:w="1216" w:type="dxa"/>
            <w:vAlign w:val="center"/>
          </w:tcPr>
          <w:p w14:paraId="661F6DD8" w14:textId="77777777" w:rsidR="00672297" w:rsidRDefault="00A16EA3">
            <w:pPr>
              <w:spacing w:before="20" w:after="20"/>
              <w:jc w:val="left"/>
            </w:pPr>
            <w:r>
              <w:rPr>
                <w:rFonts w:cstheme="minorHAnsi"/>
                <w:sz w:val="20"/>
                <w:szCs w:val="20"/>
              </w:rPr>
              <w:t>DECIMAL(18,4)</w:t>
            </w:r>
          </w:p>
        </w:tc>
        <w:tc>
          <w:tcPr>
            <w:tcW w:w="3088" w:type="dxa"/>
            <w:vAlign w:val="center"/>
          </w:tcPr>
          <w:p w14:paraId="5EC5ED54" w14:textId="77777777" w:rsidR="00672297" w:rsidRDefault="00A16EA3">
            <w:pPr>
              <w:spacing w:before="20" w:after="20"/>
              <w:jc w:val="left"/>
            </w:pPr>
            <w:r>
              <w:rPr>
                <w:rFonts w:cstheme="minorHAnsi"/>
                <w:sz w:val="20"/>
                <w:szCs w:val="20"/>
              </w:rPr>
              <w:t>FBP average certified value (°F)</w:t>
            </w:r>
          </w:p>
        </w:tc>
        <w:tc>
          <w:tcPr>
            <w:tcW w:w="2810" w:type="dxa"/>
            <w:vAlign w:val="center"/>
          </w:tcPr>
          <w:p w14:paraId="6A2EA500" w14:textId="77777777" w:rsidR="00672297" w:rsidRDefault="00A16EA3">
            <w:pPr>
              <w:spacing w:before="20" w:after="20"/>
              <w:jc w:val="left"/>
            </w:pPr>
            <w:r>
              <w:rPr>
                <w:rFonts w:cstheme="minorHAnsi"/>
                <w:sz w:val="20"/>
                <w:szCs w:val="20"/>
              </w:rPr>
              <w:t>quality_detail (average of the delivered batches)</w:t>
            </w:r>
          </w:p>
        </w:tc>
      </w:tr>
      <w:tr w:rsidR="00672297" w14:paraId="23285B34" w14:textId="77777777">
        <w:trPr>
          <w:cantSplit/>
        </w:trPr>
        <w:tc>
          <w:tcPr>
            <w:tcW w:w="2246" w:type="dxa"/>
            <w:vAlign w:val="center"/>
          </w:tcPr>
          <w:p w14:paraId="452A35FA" w14:textId="77777777" w:rsidR="00672297" w:rsidRDefault="00A16EA3">
            <w:pPr>
              <w:spacing w:before="20" w:after="20"/>
              <w:jc w:val="left"/>
            </w:pPr>
            <w:r>
              <w:rPr>
                <w:rFonts w:cstheme="minorHAnsi"/>
                <w:sz w:val="20"/>
                <w:szCs w:val="20"/>
              </w:rPr>
              <w:t>FBPMax</w:t>
            </w:r>
          </w:p>
        </w:tc>
        <w:tc>
          <w:tcPr>
            <w:tcW w:w="1216" w:type="dxa"/>
            <w:vAlign w:val="center"/>
          </w:tcPr>
          <w:p w14:paraId="7F659D32" w14:textId="77777777" w:rsidR="00672297" w:rsidRDefault="00A16EA3">
            <w:pPr>
              <w:spacing w:before="20" w:after="20"/>
              <w:jc w:val="left"/>
            </w:pPr>
            <w:r>
              <w:rPr>
                <w:rFonts w:cstheme="minorHAnsi"/>
                <w:sz w:val="20"/>
                <w:szCs w:val="20"/>
              </w:rPr>
              <w:t>DECIMAL(18,4)</w:t>
            </w:r>
          </w:p>
        </w:tc>
        <w:tc>
          <w:tcPr>
            <w:tcW w:w="3088" w:type="dxa"/>
            <w:vAlign w:val="center"/>
          </w:tcPr>
          <w:p w14:paraId="784C7E26" w14:textId="77777777" w:rsidR="00672297" w:rsidRDefault="00A16EA3">
            <w:pPr>
              <w:spacing w:before="20" w:after="20"/>
              <w:jc w:val="left"/>
            </w:pPr>
            <w:r>
              <w:rPr>
                <w:rFonts w:cstheme="minorHAnsi"/>
                <w:sz w:val="20"/>
                <w:szCs w:val="20"/>
              </w:rPr>
              <w:t>FBP resolved specification maximum (°F)</w:t>
            </w:r>
          </w:p>
        </w:tc>
        <w:tc>
          <w:tcPr>
            <w:tcW w:w="2810" w:type="dxa"/>
            <w:vAlign w:val="center"/>
          </w:tcPr>
          <w:p w14:paraId="299062BB" w14:textId="77777777" w:rsidR="00672297" w:rsidRDefault="00A16EA3">
            <w:pPr>
              <w:spacing w:before="20" w:after="20"/>
              <w:jc w:val="left"/>
            </w:pPr>
            <w:r>
              <w:rPr>
                <w:rFonts w:cstheme="minorHAnsi"/>
                <w:sz w:val="20"/>
                <w:szCs w:val="20"/>
              </w:rPr>
              <w:t>Specification resolution; NULL when "R"</w:t>
            </w:r>
          </w:p>
        </w:tc>
      </w:tr>
      <w:tr w:rsidR="00672297" w14:paraId="4ADB777B" w14:textId="77777777">
        <w:trPr>
          <w:cantSplit/>
        </w:trPr>
        <w:tc>
          <w:tcPr>
            <w:tcW w:w="2246" w:type="dxa"/>
            <w:vAlign w:val="center"/>
          </w:tcPr>
          <w:p w14:paraId="5E3FA75D" w14:textId="77777777" w:rsidR="00672297" w:rsidRDefault="00A16EA3">
            <w:pPr>
              <w:spacing w:before="20" w:after="20"/>
              <w:jc w:val="left"/>
            </w:pPr>
            <w:r>
              <w:rPr>
                <w:rFonts w:cstheme="minorHAnsi"/>
                <w:sz w:val="20"/>
                <w:szCs w:val="20"/>
              </w:rPr>
              <w:t>FBPDelta</w:t>
            </w:r>
          </w:p>
        </w:tc>
        <w:tc>
          <w:tcPr>
            <w:tcW w:w="1216" w:type="dxa"/>
            <w:vAlign w:val="center"/>
          </w:tcPr>
          <w:p w14:paraId="4B0493F2" w14:textId="77777777" w:rsidR="00672297" w:rsidRDefault="00A16EA3">
            <w:pPr>
              <w:spacing w:before="20" w:after="20"/>
              <w:jc w:val="left"/>
            </w:pPr>
            <w:r>
              <w:rPr>
                <w:rFonts w:cstheme="minorHAnsi"/>
                <w:sz w:val="20"/>
                <w:szCs w:val="20"/>
              </w:rPr>
              <w:t>DECIMAL(18,4)</w:t>
            </w:r>
          </w:p>
        </w:tc>
        <w:tc>
          <w:tcPr>
            <w:tcW w:w="3088" w:type="dxa"/>
            <w:vAlign w:val="center"/>
          </w:tcPr>
          <w:p w14:paraId="09AC79BE" w14:textId="77777777" w:rsidR="00672297" w:rsidRDefault="00A16EA3">
            <w:pPr>
              <w:spacing w:before="20" w:after="20"/>
              <w:jc w:val="left"/>
            </w:pPr>
            <w:r>
              <w:rPr>
                <w:rFonts w:cstheme="minorHAnsi"/>
                <w:sz w:val="20"/>
                <w:szCs w:val="20"/>
              </w:rPr>
              <w:t>FBP give-away (°F)</w:t>
            </w:r>
          </w:p>
        </w:tc>
        <w:tc>
          <w:tcPr>
            <w:tcW w:w="2810" w:type="dxa"/>
            <w:vAlign w:val="center"/>
          </w:tcPr>
          <w:p w14:paraId="38C724CC" w14:textId="77777777" w:rsidR="00672297" w:rsidRDefault="00A16EA3">
            <w:pPr>
              <w:spacing w:before="20" w:after="20"/>
              <w:jc w:val="left"/>
            </w:pPr>
            <w:r>
              <w:rPr>
                <w:rFonts w:cstheme="minorHAnsi"/>
                <w:sz w:val="20"/>
                <w:szCs w:val="20"/>
              </w:rPr>
              <w:t>MIN type (Flash): Actual - Min; MAX type (others): Max - Actual; 0 when off spec; NULL when the limit is "R"</w:t>
            </w:r>
          </w:p>
        </w:tc>
      </w:tr>
      <w:tr w:rsidR="00672297" w14:paraId="118E548B" w14:textId="77777777">
        <w:trPr>
          <w:cantSplit/>
        </w:trPr>
        <w:tc>
          <w:tcPr>
            <w:tcW w:w="2246" w:type="dxa"/>
            <w:vAlign w:val="center"/>
          </w:tcPr>
          <w:p w14:paraId="60838D90" w14:textId="77777777" w:rsidR="00672297" w:rsidRDefault="00A16EA3">
            <w:pPr>
              <w:spacing w:before="20" w:after="20"/>
              <w:jc w:val="left"/>
            </w:pPr>
            <w:r>
              <w:rPr>
                <w:rFonts w:cstheme="minorHAnsi"/>
                <w:sz w:val="20"/>
                <w:szCs w:val="20"/>
              </w:rPr>
              <w:t>FreezingPointMin</w:t>
            </w:r>
          </w:p>
        </w:tc>
        <w:tc>
          <w:tcPr>
            <w:tcW w:w="1216" w:type="dxa"/>
            <w:vAlign w:val="center"/>
          </w:tcPr>
          <w:p w14:paraId="31DAAC06" w14:textId="77777777" w:rsidR="00672297" w:rsidRDefault="00A16EA3">
            <w:pPr>
              <w:spacing w:before="20" w:after="20"/>
              <w:jc w:val="left"/>
            </w:pPr>
            <w:r>
              <w:rPr>
                <w:rFonts w:cstheme="minorHAnsi"/>
                <w:sz w:val="20"/>
                <w:szCs w:val="20"/>
              </w:rPr>
              <w:t>DECIMAL(18,4)</w:t>
            </w:r>
          </w:p>
        </w:tc>
        <w:tc>
          <w:tcPr>
            <w:tcW w:w="3088" w:type="dxa"/>
            <w:vAlign w:val="center"/>
          </w:tcPr>
          <w:p w14:paraId="2D062C6F" w14:textId="77777777" w:rsidR="00672297" w:rsidRDefault="00A16EA3">
            <w:pPr>
              <w:spacing w:before="20" w:after="20"/>
              <w:jc w:val="left"/>
            </w:pPr>
            <w:r>
              <w:rPr>
                <w:rFonts w:cstheme="minorHAnsi"/>
                <w:sz w:val="20"/>
                <w:szCs w:val="20"/>
              </w:rPr>
              <w:t>FreezingPoint resolved specification minimum (°F)</w:t>
            </w:r>
          </w:p>
        </w:tc>
        <w:tc>
          <w:tcPr>
            <w:tcW w:w="2810" w:type="dxa"/>
            <w:vAlign w:val="center"/>
          </w:tcPr>
          <w:p w14:paraId="60E37863" w14:textId="77777777" w:rsidR="00672297" w:rsidRDefault="00A16EA3">
            <w:pPr>
              <w:spacing w:before="20" w:after="20"/>
              <w:jc w:val="left"/>
            </w:pPr>
            <w:r>
              <w:rPr>
                <w:rFonts w:cstheme="minorHAnsi"/>
                <w:sz w:val="20"/>
                <w:szCs w:val="20"/>
              </w:rPr>
              <w:t>Specification resolution (Stage 1, Stage 2, waiver); NULL when "R"</w:t>
            </w:r>
          </w:p>
        </w:tc>
      </w:tr>
      <w:tr w:rsidR="00672297" w14:paraId="4AC1E48D" w14:textId="77777777">
        <w:trPr>
          <w:cantSplit/>
        </w:trPr>
        <w:tc>
          <w:tcPr>
            <w:tcW w:w="2246" w:type="dxa"/>
            <w:vAlign w:val="center"/>
          </w:tcPr>
          <w:p w14:paraId="1C4E2586" w14:textId="77777777" w:rsidR="00672297" w:rsidRDefault="00A16EA3">
            <w:pPr>
              <w:spacing w:before="20" w:after="20"/>
              <w:jc w:val="left"/>
            </w:pPr>
            <w:r>
              <w:rPr>
                <w:rFonts w:cstheme="minorHAnsi"/>
                <w:sz w:val="20"/>
                <w:szCs w:val="20"/>
              </w:rPr>
              <w:t>FreezingPointActual</w:t>
            </w:r>
          </w:p>
        </w:tc>
        <w:tc>
          <w:tcPr>
            <w:tcW w:w="1216" w:type="dxa"/>
            <w:vAlign w:val="center"/>
          </w:tcPr>
          <w:p w14:paraId="7D025506" w14:textId="77777777" w:rsidR="00672297" w:rsidRDefault="00A16EA3">
            <w:pPr>
              <w:spacing w:before="20" w:after="20"/>
              <w:jc w:val="left"/>
            </w:pPr>
            <w:r>
              <w:rPr>
                <w:rFonts w:cstheme="minorHAnsi"/>
                <w:sz w:val="20"/>
                <w:szCs w:val="20"/>
              </w:rPr>
              <w:t>DECIMAL(18,4)</w:t>
            </w:r>
          </w:p>
        </w:tc>
        <w:tc>
          <w:tcPr>
            <w:tcW w:w="3088" w:type="dxa"/>
            <w:vAlign w:val="center"/>
          </w:tcPr>
          <w:p w14:paraId="5D84D518" w14:textId="77777777" w:rsidR="00672297" w:rsidRDefault="00A16EA3">
            <w:pPr>
              <w:spacing w:before="20" w:after="20"/>
              <w:jc w:val="left"/>
            </w:pPr>
            <w:r>
              <w:rPr>
                <w:rFonts w:cstheme="minorHAnsi"/>
                <w:sz w:val="20"/>
                <w:szCs w:val="20"/>
              </w:rPr>
              <w:t>FreezingPoint average certified value (°F)</w:t>
            </w:r>
          </w:p>
        </w:tc>
        <w:tc>
          <w:tcPr>
            <w:tcW w:w="2810" w:type="dxa"/>
            <w:vAlign w:val="center"/>
          </w:tcPr>
          <w:p w14:paraId="4BEFD4C2" w14:textId="77777777" w:rsidR="00672297" w:rsidRDefault="00A16EA3">
            <w:pPr>
              <w:spacing w:before="20" w:after="20"/>
              <w:jc w:val="left"/>
            </w:pPr>
            <w:r>
              <w:rPr>
                <w:rFonts w:cstheme="minorHAnsi"/>
                <w:sz w:val="20"/>
                <w:szCs w:val="20"/>
              </w:rPr>
              <w:t>quality_detail (average of the delivered batches)</w:t>
            </w:r>
          </w:p>
        </w:tc>
      </w:tr>
      <w:tr w:rsidR="00672297" w14:paraId="00BCC38E" w14:textId="77777777">
        <w:trPr>
          <w:cantSplit/>
        </w:trPr>
        <w:tc>
          <w:tcPr>
            <w:tcW w:w="2246" w:type="dxa"/>
            <w:vAlign w:val="center"/>
          </w:tcPr>
          <w:p w14:paraId="0B69D968" w14:textId="77777777" w:rsidR="00672297" w:rsidRDefault="00A16EA3">
            <w:pPr>
              <w:spacing w:before="20" w:after="20"/>
              <w:jc w:val="left"/>
            </w:pPr>
            <w:r>
              <w:rPr>
                <w:rFonts w:cstheme="minorHAnsi"/>
                <w:sz w:val="20"/>
                <w:szCs w:val="20"/>
              </w:rPr>
              <w:t>FreezingPointMax</w:t>
            </w:r>
          </w:p>
        </w:tc>
        <w:tc>
          <w:tcPr>
            <w:tcW w:w="1216" w:type="dxa"/>
            <w:vAlign w:val="center"/>
          </w:tcPr>
          <w:p w14:paraId="76C618A2" w14:textId="77777777" w:rsidR="00672297" w:rsidRDefault="00A16EA3">
            <w:pPr>
              <w:spacing w:before="20" w:after="20"/>
              <w:jc w:val="left"/>
            </w:pPr>
            <w:r>
              <w:rPr>
                <w:rFonts w:cstheme="minorHAnsi"/>
                <w:sz w:val="20"/>
                <w:szCs w:val="20"/>
              </w:rPr>
              <w:t>DECIMAL(18,4)</w:t>
            </w:r>
          </w:p>
        </w:tc>
        <w:tc>
          <w:tcPr>
            <w:tcW w:w="3088" w:type="dxa"/>
            <w:vAlign w:val="center"/>
          </w:tcPr>
          <w:p w14:paraId="28AC0559" w14:textId="77777777" w:rsidR="00672297" w:rsidRDefault="00A16EA3">
            <w:pPr>
              <w:spacing w:before="20" w:after="20"/>
              <w:jc w:val="left"/>
            </w:pPr>
            <w:r>
              <w:rPr>
                <w:rFonts w:cstheme="minorHAnsi"/>
                <w:sz w:val="20"/>
                <w:szCs w:val="20"/>
              </w:rPr>
              <w:t>FreezingPoint resolved specification maximum (°F)</w:t>
            </w:r>
          </w:p>
        </w:tc>
        <w:tc>
          <w:tcPr>
            <w:tcW w:w="2810" w:type="dxa"/>
            <w:vAlign w:val="center"/>
          </w:tcPr>
          <w:p w14:paraId="6A5602F8" w14:textId="77777777" w:rsidR="00672297" w:rsidRDefault="00A16EA3">
            <w:pPr>
              <w:spacing w:before="20" w:after="20"/>
              <w:jc w:val="left"/>
            </w:pPr>
            <w:r>
              <w:rPr>
                <w:rFonts w:cstheme="minorHAnsi"/>
                <w:sz w:val="20"/>
                <w:szCs w:val="20"/>
              </w:rPr>
              <w:t>Specification resolution; NULL when "R"</w:t>
            </w:r>
          </w:p>
        </w:tc>
      </w:tr>
      <w:tr w:rsidR="00672297" w14:paraId="0D103286" w14:textId="77777777">
        <w:trPr>
          <w:cantSplit/>
        </w:trPr>
        <w:tc>
          <w:tcPr>
            <w:tcW w:w="2246" w:type="dxa"/>
            <w:vAlign w:val="center"/>
          </w:tcPr>
          <w:p w14:paraId="64A6E1CB" w14:textId="77777777" w:rsidR="00672297" w:rsidRDefault="00A16EA3">
            <w:pPr>
              <w:spacing w:before="20" w:after="20"/>
              <w:jc w:val="left"/>
            </w:pPr>
            <w:r>
              <w:rPr>
                <w:rFonts w:cstheme="minorHAnsi"/>
                <w:sz w:val="20"/>
                <w:szCs w:val="20"/>
              </w:rPr>
              <w:t>FreezingPointDelta</w:t>
            </w:r>
          </w:p>
        </w:tc>
        <w:tc>
          <w:tcPr>
            <w:tcW w:w="1216" w:type="dxa"/>
            <w:vAlign w:val="center"/>
          </w:tcPr>
          <w:p w14:paraId="71312653" w14:textId="77777777" w:rsidR="00672297" w:rsidRDefault="00A16EA3">
            <w:pPr>
              <w:spacing w:before="20" w:after="20"/>
              <w:jc w:val="left"/>
            </w:pPr>
            <w:r>
              <w:rPr>
                <w:rFonts w:cstheme="minorHAnsi"/>
                <w:sz w:val="20"/>
                <w:szCs w:val="20"/>
              </w:rPr>
              <w:t>DECIMAL(18,4)</w:t>
            </w:r>
          </w:p>
        </w:tc>
        <w:tc>
          <w:tcPr>
            <w:tcW w:w="3088" w:type="dxa"/>
            <w:vAlign w:val="center"/>
          </w:tcPr>
          <w:p w14:paraId="059833F2" w14:textId="77777777" w:rsidR="00672297" w:rsidRDefault="00A16EA3">
            <w:pPr>
              <w:spacing w:before="20" w:after="20"/>
              <w:jc w:val="left"/>
            </w:pPr>
            <w:r>
              <w:rPr>
                <w:rFonts w:cstheme="minorHAnsi"/>
                <w:sz w:val="20"/>
                <w:szCs w:val="20"/>
              </w:rPr>
              <w:t>FreezingPoint give-away (°F)</w:t>
            </w:r>
          </w:p>
        </w:tc>
        <w:tc>
          <w:tcPr>
            <w:tcW w:w="2810" w:type="dxa"/>
            <w:vAlign w:val="center"/>
          </w:tcPr>
          <w:p w14:paraId="3B0D6CB5" w14:textId="77777777" w:rsidR="00672297" w:rsidRDefault="00A16EA3">
            <w:pPr>
              <w:spacing w:before="20" w:after="20"/>
              <w:jc w:val="left"/>
            </w:pPr>
            <w:r>
              <w:rPr>
                <w:rFonts w:cstheme="minorHAnsi"/>
                <w:sz w:val="20"/>
                <w:szCs w:val="20"/>
              </w:rPr>
              <w:t>MIN type (Flash): Actual - Min; MAX type (others): Max - Actual; 0 when off spec; NULL when the limit is "R"</w:t>
            </w:r>
          </w:p>
        </w:tc>
      </w:tr>
      <w:tr w:rsidR="00672297" w14:paraId="49A87B8F" w14:textId="77777777">
        <w:trPr>
          <w:cantSplit/>
        </w:trPr>
        <w:tc>
          <w:tcPr>
            <w:tcW w:w="2246" w:type="dxa"/>
            <w:vAlign w:val="center"/>
          </w:tcPr>
          <w:p w14:paraId="416EFF31" w14:textId="77777777" w:rsidR="00672297" w:rsidRDefault="00A16EA3">
            <w:pPr>
              <w:spacing w:before="20" w:after="20"/>
              <w:jc w:val="left"/>
            </w:pPr>
            <w:r>
              <w:rPr>
                <w:rFonts w:cstheme="minorHAnsi"/>
                <w:sz w:val="20"/>
                <w:szCs w:val="20"/>
              </w:rPr>
              <w:t>ViscosityMin</w:t>
            </w:r>
          </w:p>
        </w:tc>
        <w:tc>
          <w:tcPr>
            <w:tcW w:w="1216" w:type="dxa"/>
            <w:vAlign w:val="center"/>
          </w:tcPr>
          <w:p w14:paraId="5A40E3B3" w14:textId="77777777" w:rsidR="00672297" w:rsidRDefault="00A16EA3">
            <w:pPr>
              <w:spacing w:before="20" w:after="20"/>
              <w:jc w:val="left"/>
            </w:pPr>
            <w:r>
              <w:rPr>
                <w:rFonts w:cstheme="minorHAnsi"/>
                <w:sz w:val="20"/>
                <w:szCs w:val="20"/>
              </w:rPr>
              <w:t>DECIMAL(18,4)</w:t>
            </w:r>
          </w:p>
        </w:tc>
        <w:tc>
          <w:tcPr>
            <w:tcW w:w="3088" w:type="dxa"/>
            <w:vAlign w:val="center"/>
          </w:tcPr>
          <w:p w14:paraId="066C2F42" w14:textId="77777777" w:rsidR="00672297" w:rsidRDefault="00A16EA3">
            <w:pPr>
              <w:spacing w:before="20" w:after="20"/>
              <w:jc w:val="left"/>
            </w:pPr>
            <w:r>
              <w:rPr>
                <w:rFonts w:cstheme="minorHAnsi"/>
                <w:sz w:val="20"/>
                <w:szCs w:val="20"/>
              </w:rPr>
              <w:t>Viscosity resolved specification minimum (cSt)</w:t>
            </w:r>
          </w:p>
        </w:tc>
        <w:tc>
          <w:tcPr>
            <w:tcW w:w="2810" w:type="dxa"/>
            <w:vAlign w:val="center"/>
          </w:tcPr>
          <w:p w14:paraId="7F5DB9A9" w14:textId="77777777" w:rsidR="00672297" w:rsidRDefault="00A16EA3">
            <w:pPr>
              <w:spacing w:before="20" w:after="20"/>
              <w:jc w:val="left"/>
            </w:pPr>
            <w:r>
              <w:rPr>
                <w:rFonts w:cstheme="minorHAnsi"/>
                <w:sz w:val="20"/>
                <w:szCs w:val="20"/>
              </w:rPr>
              <w:t>Specification resolution (Stage 1, Stage 2, waiver); NULL when "R"</w:t>
            </w:r>
          </w:p>
        </w:tc>
      </w:tr>
      <w:tr w:rsidR="00672297" w14:paraId="54D0244C" w14:textId="77777777">
        <w:trPr>
          <w:cantSplit/>
        </w:trPr>
        <w:tc>
          <w:tcPr>
            <w:tcW w:w="2246" w:type="dxa"/>
            <w:vAlign w:val="center"/>
          </w:tcPr>
          <w:p w14:paraId="5F98FDD4" w14:textId="77777777" w:rsidR="00672297" w:rsidRDefault="00A16EA3">
            <w:pPr>
              <w:spacing w:before="20" w:after="20"/>
              <w:jc w:val="left"/>
            </w:pPr>
            <w:r>
              <w:rPr>
                <w:rFonts w:cstheme="minorHAnsi"/>
                <w:sz w:val="20"/>
                <w:szCs w:val="20"/>
              </w:rPr>
              <w:t>ViscosityActual</w:t>
            </w:r>
          </w:p>
        </w:tc>
        <w:tc>
          <w:tcPr>
            <w:tcW w:w="1216" w:type="dxa"/>
            <w:vAlign w:val="center"/>
          </w:tcPr>
          <w:p w14:paraId="0B4EA8E7" w14:textId="77777777" w:rsidR="00672297" w:rsidRDefault="00A16EA3">
            <w:pPr>
              <w:spacing w:before="20" w:after="20"/>
              <w:jc w:val="left"/>
            </w:pPr>
            <w:r>
              <w:rPr>
                <w:rFonts w:cstheme="minorHAnsi"/>
                <w:sz w:val="20"/>
                <w:szCs w:val="20"/>
              </w:rPr>
              <w:t>DECIMAL(18,4)</w:t>
            </w:r>
          </w:p>
        </w:tc>
        <w:tc>
          <w:tcPr>
            <w:tcW w:w="3088" w:type="dxa"/>
            <w:vAlign w:val="center"/>
          </w:tcPr>
          <w:p w14:paraId="63B25532" w14:textId="77777777" w:rsidR="00672297" w:rsidRDefault="00A16EA3">
            <w:pPr>
              <w:spacing w:before="20" w:after="20"/>
              <w:jc w:val="left"/>
            </w:pPr>
            <w:r>
              <w:rPr>
                <w:rFonts w:cstheme="minorHAnsi"/>
                <w:sz w:val="20"/>
                <w:szCs w:val="20"/>
              </w:rPr>
              <w:t>Viscosity average certified value (cSt)</w:t>
            </w:r>
          </w:p>
        </w:tc>
        <w:tc>
          <w:tcPr>
            <w:tcW w:w="2810" w:type="dxa"/>
            <w:vAlign w:val="center"/>
          </w:tcPr>
          <w:p w14:paraId="4B7B509B" w14:textId="77777777" w:rsidR="00672297" w:rsidRDefault="00A16EA3">
            <w:pPr>
              <w:spacing w:before="20" w:after="20"/>
              <w:jc w:val="left"/>
            </w:pPr>
            <w:r>
              <w:rPr>
                <w:rFonts w:cstheme="minorHAnsi"/>
                <w:sz w:val="20"/>
                <w:szCs w:val="20"/>
              </w:rPr>
              <w:t>quality_detail (average of the delivered batches)</w:t>
            </w:r>
          </w:p>
        </w:tc>
      </w:tr>
      <w:tr w:rsidR="00672297" w14:paraId="0539DA00" w14:textId="77777777">
        <w:trPr>
          <w:cantSplit/>
        </w:trPr>
        <w:tc>
          <w:tcPr>
            <w:tcW w:w="2246" w:type="dxa"/>
            <w:vAlign w:val="center"/>
          </w:tcPr>
          <w:p w14:paraId="500D5738" w14:textId="77777777" w:rsidR="00672297" w:rsidRDefault="00A16EA3">
            <w:pPr>
              <w:spacing w:before="20" w:after="20"/>
              <w:jc w:val="left"/>
            </w:pPr>
            <w:r>
              <w:rPr>
                <w:rFonts w:cstheme="minorHAnsi"/>
                <w:sz w:val="20"/>
                <w:szCs w:val="20"/>
              </w:rPr>
              <w:t>ViscosityMax</w:t>
            </w:r>
          </w:p>
        </w:tc>
        <w:tc>
          <w:tcPr>
            <w:tcW w:w="1216" w:type="dxa"/>
            <w:vAlign w:val="center"/>
          </w:tcPr>
          <w:p w14:paraId="2AD7D07E" w14:textId="77777777" w:rsidR="00672297" w:rsidRDefault="00A16EA3">
            <w:pPr>
              <w:spacing w:before="20" w:after="20"/>
              <w:jc w:val="left"/>
            </w:pPr>
            <w:r>
              <w:rPr>
                <w:rFonts w:cstheme="minorHAnsi"/>
                <w:sz w:val="20"/>
                <w:szCs w:val="20"/>
              </w:rPr>
              <w:t>DECIMAL(18,4)</w:t>
            </w:r>
          </w:p>
        </w:tc>
        <w:tc>
          <w:tcPr>
            <w:tcW w:w="3088" w:type="dxa"/>
            <w:vAlign w:val="center"/>
          </w:tcPr>
          <w:p w14:paraId="346640C0" w14:textId="77777777" w:rsidR="00672297" w:rsidRDefault="00A16EA3">
            <w:pPr>
              <w:spacing w:before="20" w:after="20"/>
              <w:jc w:val="left"/>
            </w:pPr>
            <w:r>
              <w:rPr>
                <w:rFonts w:cstheme="minorHAnsi"/>
                <w:sz w:val="20"/>
                <w:szCs w:val="20"/>
              </w:rPr>
              <w:t>Viscosity resolved specification maximum (cSt)</w:t>
            </w:r>
          </w:p>
        </w:tc>
        <w:tc>
          <w:tcPr>
            <w:tcW w:w="2810" w:type="dxa"/>
            <w:vAlign w:val="center"/>
          </w:tcPr>
          <w:p w14:paraId="51CECA75" w14:textId="77777777" w:rsidR="00672297" w:rsidRDefault="00A16EA3">
            <w:pPr>
              <w:spacing w:before="20" w:after="20"/>
              <w:jc w:val="left"/>
            </w:pPr>
            <w:r>
              <w:rPr>
                <w:rFonts w:cstheme="minorHAnsi"/>
                <w:sz w:val="20"/>
                <w:szCs w:val="20"/>
              </w:rPr>
              <w:t>Specification resolution; NULL when "R"</w:t>
            </w:r>
          </w:p>
        </w:tc>
      </w:tr>
      <w:tr w:rsidR="00672297" w14:paraId="2748E270" w14:textId="77777777">
        <w:trPr>
          <w:cantSplit/>
        </w:trPr>
        <w:tc>
          <w:tcPr>
            <w:tcW w:w="2246" w:type="dxa"/>
            <w:vAlign w:val="center"/>
          </w:tcPr>
          <w:p w14:paraId="176CF045" w14:textId="77777777" w:rsidR="00672297" w:rsidRDefault="00A16EA3">
            <w:pPr>
              <w:spacing w:before="20" w:after="20"/>
              <w:jc w:val="left"/>
            </w:pPr>
            <w:r>
              <w:rPr>
                <w:rFonts w:cstheme="minorHAnsi"/>
                <w:sz w:val="20"/>
                <w:szCs w:val="20"/>
              </w:rPr>
              <w:t>ViscosityDelta</w:t>
            </w:r>
          </w:p>
        </w:tc>
        <w:tc>
          <w:tcPr>
            <w:tcW w:w="1216" w:type="dxa"/>
            <w:vAlign w:val="center"/>
          </w:tcPr>
          <w:p w14:paraId="494A385E" w14:textId="77777777" w:rsidR="00672297" w:rsidRDefault="00A16EA3">
            <w:pPr>
              <w:spacing w:before="20" w:after="20"/>
              <w:jc w:val="left"/>
            </w:pPr>
            <w:r>
              <w:rPr>
                <w:rFonts w:cstheme="minorHAnsi"/>
                <w:sz w:val="20"/>
                <w:szCs w:val="20"/>
              </w:rPr>
              <w:t>DECIMAL(18,4)</w:t>
            </w:r>
          </w:p>
        </w:tc>
        <w:tc>
          <w:tcPr>
            <w:tcW w:w="3088" w:type="dxa"/>
            <w:vAlign w:val="center"/>
          </w:tcPr>
          <w:p w14:paraId="3F615BEB" w14:textId="77777777" w:rsidR="00672297" w:rsidRDefault="00A16EA3">
            <w:pPr>
              <w:spacing w:before="20" w:after="20"/>
              <w:jc w:val="left"/>
            </w:pPr>
            <w:r>
              <w:rPr>
                <w:rFonts w:cstheme="minorHAnsi"/>
                <w:sz w:val="20"/>
                <w:szCs w:val="20"/>
              </w:rPr>
              <w:t>Viscosity give-away (cSt)</w:t>
            </w:r>
          </w:p>
        </w:tc>
        <w:tc>
          <w:tcPr>
            <w:tcW w:w="2810" w:type="dxa"/>
            <w:vAlign w:val="center"/>
          </w:tcPr>
          <w:p w14:paraId="1510242F" w14:textId="77777777" w:rsidR="00672297" w:rsidRDefault="00A16EA3">
            <w:pPr>
              <w:spacing w:before="20" w:after="20"/>
              <w:jc w:val="left"/>
            </w:pPr>
            <w:r>
              <w:rPr>
                <w:rFonts w:cstheme="minorHAnsi"/>
                <w:sz w:val="20"/>
                <w:szCs w:val="20"/>
              </w:rPr>
              <w:t>MIN type (Flash): Actual - Min; MAX type (others): Max - Actual; 0 when off spec; NULL when the limit is "R"</w:t>
            </w:r>
          </w:p>
        </w:tc>
      </w:tr>
    </w:tbl>
    <w:p w14:paraId="3223A17B" w14:textId="2F3AB53E" w:rsidR="00672297" w:rsidRDefault="00A16EA3">
      <w:pPr>
        <w:pStyle w:val="Caption"/>
      </w:pPr>
      <w:bookmarkStart w:id="407" w:name="_Toc900900038"/>
      <w:bookmarkStart w:id="408" w:name="_Toc241574685"/>
      <w:bookmarkStart w:id="409" w:name="_Toc242554069"/>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16</w:t>
      </w:r>
      <w:r>
        <w:fldChar w:fldCharType="end"/>
      </w:r>
      <w:r>
        <w:t>: vwDistillateBlendingKPI View</w:t>
      </w:r>
      <w:bookmarkEnd w:id="407"/>
      <w:bookmarkEnd w:id="408"/>
      <w:bookmarkEnd w:id="409"/>
    </w:p>
    <w:p w14:paraId="1BF6A767" w14:textId="77777777" w:rsidR="00672297" w:rsidRDefault="00A16EA3">
      <w:pPr>
        <w:pStyle w:val="Heading3"/>
        <w:rPr>
          <w:rFonts w:asciiTheme="minorHAnsi" w:hAnsiTheme="minorHAnsi" w:cstheme="minorBidi"/>
          <w:sz w:val="20"/>
          <w:szCs w:val="20"/>
        </w:rPr>
      </w:pPr>
      <w:bookmarkStart w:id="410" w:name="_Toc241574330"/>
      <w:bookmarkStart w:id="411" w:name="_Toc242553952"/>
      <w:r>
        <w:rPr>
          <w:rFonts w:asciiTheme="minorHAnsi" w:hAnsiTheme="minorHAnsi" w:cstheme="minorBidi"/>
          <w:sz w:val="20"/>
          <w:szCs w:val="20"/>
        </w:rPr>
        <w:t>Relationships Summary</w:t>
      </w:r>
      <w:bookmarkEnd w:id="410"/>
      <w:bookmarkEnd w:id="411"/>
    </w:p>
    <w:tbl>
      <w:tblPr>
        <w:tblStyle w:val="TableGrid"/>
        <w:tblW w:w="9360" w:type="dxa"/>
        <w:tblLayout w:type="fixed"/>
        <w:tblCellMar>
          <w:left w:w="70" w:type="dxa"/>
          <w:right w:w="70" w:type="dxa"/>
        </w:tblCellMar>
        <w:tblLook w:val="04A0" w:firstRow="1" w:lastRow="0" w:firstColumn="1" w:lastColumn="0" w:noHBand="0" w:noVBand="1"/>
      </w:tblPr>
      <w:tblGrid>
        <w:gridCol w:w="2527"/>
        <w:gridCol w:w="2433"/>
        <w:gridCol w:w="1872"/>
        <w:gridCol w:w="1404"/>
        <w:gridCol w:w="1124"/>
      </w:tblGrid>
      <w:tr w:rsidR="00672297" w14:paraId="0771743E" w14:textId="77777777">
        <w:trPr>
          <w:cantSplit/>
          <w:tblHeader/>
        </w:trPr>
        <w:tc>
          <w:tcPr>
            <w:tcW w:w="2527" w:type="dxa"/>
            <w:shd w:val="clear" w:color="auto" w:fill="2F5496"/>
            <w:vAlign w:val="center"/>
          </w:tcPr>
          <w:p w14:paraId="6080EB57" w14:textId="77777777" w:rsidR="00672297" w:rsidRDefault="00A16EA3">
            <w:pPr>
              <w:spacing w:before="20" w:after="20"/>
              <w:jc w:val="left"/>
            </w:pPr>
            <w:r>
              <w:rPr>
                <w:rFonts w:cstheme="minorHAnsi"/>
                <w:b/>
                <w:bCs/>
                <w:color w:val="FFFFFF"/>
                <w:sz w:val="18"/>
                <w:szCs w:val="18"/>
              </w:rPr>
              <w:t>Child Table / View</w:t>
            </w:r>
          </w:p>
        </w:tc>
        <w:tc>
          <w:tcPr>
            <w:tcW w:w="2433" w:type="dxa"/>
            <w:shd w:val="clear" w:color="auto" w:fill="2F5496"/>
            <w:vAlign w:val="center"/>
          </w:tcPr>
          <w:p w14:paraId="4CD1490A" w14:textId="77777777" w:rsidR="00672297" w:rsidRDefault="00A16EA3">
            <w:pPr>
              <w:spacing w:before="20" w:after="20"/>
              <w:jc w:val="left"/>
            </w:pPr>
            <w:r>
              <w:rPr>
                <w:rFonts w:cstheme="minorHAnsi"/>
                <w:b/>
                <w:bCs/>
                <w:color w:val="FFFFFF"/>
                <w:sz w:val="18"/>
                <w:szCs w:val="18"/>
              </w:rPr>
              <w:t>Column</w:t>
            </w:r>
          </w:p>
        </w:tc>
        <w:tc>
          <w:tcPr>
            <w:tcW w:w="1872" w:type="dxa"/>
            <w:shd w:val="clear" w:color="auto" w:fill="2F5496"/>
            <w:vAlign w:val="center"/>
          </w:tcPr>
          <w:p w14:paraId="13EBD5B5" w14:textId="77777777" w:rsidR="00672297" w:rsidRDefault="00A16EA3">
            <w:pPr>
              <w:spacing w:before="20" w:after="20"/>
              <w:jc w:val="left"/>
            </w:pPr>
            <w:r>
              <w:rPr>
                <w:rFonts w:cstheme="minorHAnsi"/>
                <w:b/>
                <w:bCs/>
                <w:color w:val="FFFFFF"/>
                <w:sz w:val="18"/>
                <w:szCs w:val="18"/>
              </w:rPr>
              <w:t>Parent Table</w:t>
            </w:r>
          </w:p>
        </w:tc>
        <w:tc>
          <w:tcPr>
            <w:tcW w:w="1404" w:type="dxa"/>
            <w:shd w:val="clear" w:color="auto" w:fill="2F5496"/>
            <w:vAlign w:val="center"/>
          </w:tcPr>
          <w:p w14:paraId="597248C2" w14:textId="77777777" w:rsidR="00672297" w:rsidRDefault="00A16EA3">
            <w:pPr>
              <w:spacing w:before="20" w:after="20"/>
              <w:jc w:val="left"/>
            </w:pPr>
            <w:r>
              <w:rPr>
                <w:rFonts w:cstheme="minorHAnsi"/>
                <w:b/>
                <w:bCs/>
                <w:color w:val="FFFFFF"/>
                <w:sz w:val="18"/>
                <w:szCs w:val="18"/>
              </w:rPr>
              <w:t>Column</w:t>
            </w:r>
          </w:p>
        </w:tc>
        <w:tc>
          <w:tcPr>
            <w:tcW w:w="1124" w:type="dxa"/>
            <w:shd w:val="clear" w:color="auto" w:fill="2F5496"/>
            <w:vAlign w:val="center"/>
          </w:tcPr>
          <w:p w14:paraId="105E29AC" w14:textId="77777777" w:rsidR="00672297" w:rsidRDefault="00A16EA3">
            <w:pPr>
              <w:spacing w:before="20" w:after="20"/>
              <w:jc w:val="left"/>
            </w:pPr>
            <w:r>
              <w:rPr>
                <w:rFonts w:cstheme="minorHAnsi"/>
                <w:b/>
                <w:bCs/>
                <w:color w:val="FFFFFF"/>
                <w:sz w:val="18"/>
                <w:szCs w:val="18"/>
              </w:rPr>
              <w:t>Cardinality</w:t>
            </w:r>
          </w:p>
        </w:tc>
      </w:tr>
      <w:tr w:rsidR="00672297" w14:paraId="6BE07123" w14:textId="77777777">
        <w:trPr>
          <w:cantSplit/>
        </w:trPr>
        <w:tc>
          <w:tcPr>
            <w:tcW w:w="2527" w:type="dxa"/>
            <w:vAlign w:val="center"/>
          </w:tcPr>
          <w:p w14:paraId="26853050" w14:textId="77777777" w:rsidR="00672297" w:rsidRDefault="00A16EA3">
            <w:pPr>
              <w:spacing w:before="20" w:after="20"/>
              <w:jc w:val="left"/>
            </w:pPr>
            <w:r>
              <w:rPr>
                <w:rFonts w:cstheme="minorHAnsi"/>
                <w:sz w:val="18"/>
                <w:szCs w:val="18"/>
              </w:rPr>
              <w:t>VCB_blend_component_detail</w:t>
            </w:r>
          </w:p>
        </w:tc>
        <w:tc>
          <w:tcPr>
            <w:tcW w:w="2433" w:type="dxa"/>
            <w:vAlign w:val="center"/>
          </w:tcPr>
          <w:p w14:paraId="5E9B32F8" w14:textId="77777777" w:rsidR="00672297" w:rsidRDefault="00A16EA3">
            <w:pPr>
              <w:spacing w:before="20" w:after="20"/>
              <w:jc w:val="left"/>
            </w:pPr>
            <w:r>
              <w:rPr>
                <w:rFonts w:cstheme="minorHAnsi"/>
                <w:sz w:val="18"/>
                <w:szCs w:val="18"/>
              </w:rPr>
              <w:t>equipment_id / material_id / location_id / property_id / uom_id</w:t>
            </w:r>
          </w:p>
        </w:tc>
        <w:tc>
          <w:tcPr>
            <w:tcW w:w="1872" w:type="dxa"/>
            <w:vAlign w:val="center"/>
          </w:tcPr>
          <w:p w14:paraId="02FF3FFF" w14:textId="77777777" w:rsidR="00672297" w:rsidRDefault="00A16EA3">
            <w:pPr>
              <w:spacing w:before="20" w:after="20"/>
              <w:jc w:val="left"/>
            </w:pPr>
            <w:r>
              <w:rPr>
                <w:rFonts w:cstheme="minorHAnsi"/>
                <w:sz w:val="18"/>
                <w:szCs w:val="18"/>
              </w:rPr>
              <w:t>equipment_detail / material / location / property / uom</w:t>
            </w:r>
          </w:p>
        </w:tc>
        <w:tc>
          <w:tcPr>
            <w:tcW w:w="1404" w:type="dxa"/>
            <w:vAlign w:val="center"/>
          </w:tcPr>
          <w:p w14:paraId="1546BC55" w14:textId="77777777" w:rsidR="00672297" w:rsidRDefault="00A16EA3">
            <w:pPr>
              <w:spacing w:before="20" w:after="20"/>
              <w:jc w:val="left"/>
            </w:pPr>
            <w:r>
              <w:rPr>
                <w:rFonts w:cstheme="minorHAnsi"/>
                <w:sz w:val="18"/>
                <w:szCs w:val="18"/>
              </w:rPr>
              <w:t>*_id</w:t>
            </w:r>
          </w:p>
        </w:tc>
        <w:tc>
          <w:tcPr>
            <w:tcW w:w="1124" w:type="dxa"/>
            <w:vAlign w:val="center"/>
          </w:tcPr>
          <w:p w14:paraId="55B3C02D" w14:textId="77777777" w:rsidR="00672297" w:rsidRDefault="00A16EA3">
            <w:pPr>
              <w:spacing w:before="20" w:after="20"/>
              <w:jc w:val="left"/>
            </w:pPr>
            <w:r>
              <w:rPr>
                <w:rFonts w:cstheme="minorHAnsi"/>
                <w:sz w:val="18"/>
                <w:szCs w:val="18"/>
              </w:rPr>
              <w:t>Many-to-One</w:t>
            </w:r>
          </w:p>
        </w:tc>
      </w:tr>
      <w:tr w:rsidR="00672297" w14:paraId="2DF44F9C" w14:textId="77777777">
        <w:trPr>
          <w:cantSplit/>
        </w:trPr>
        <w:tc>
          <w:tcPr>
            <w:tcW w:w="2527" w:type="dxa"/>
            <w:vAlign w:val="center"/>
          </w:tcPr>
          <w:p w14:paraId="1C61300C" w14:textId="77777777" w:rsidR="00672297" w:rsidRDefault="00A16EA3">
            <w:pPr>
              <w:spacing w:before="20" w:after="20"/>
              <w:jc w:val="left"/>
            </w:pPr>
            <w:r>
              <w:rPr>
                <w:rFonts w:cstheme="minorHAnsi"/>
                <w:sz w:val="18"/>
                <w:szCs w:val="18"/>
              </w:rPr>
              <w:t>VCB_blend_component_movement</w:t>
            </w:r>
          </w:p>
        </w:tc>
        <w:tc>
          <w:tcPr>
            <w:tcW w:w="2433" w:type="dxa"/>
            <w:vAlign w:val="center"/>
          </w:tcPr>
          <w:p w14:paraId="577CF83A" w14:textId="77777777" w:rsidR="00672297" w:rsidRDefault="00A16EA3">
            <w:pPr>
              <w:spacing w:before="20" w:after="20"/>
              <w:jc w:val="left"/>
            </w:pPr>
            <w:r>
              <w:rPr>
                <w:rFonts w:cstheme="minorHAnsi"/>
                <w:sz w:val="18"/>
                <w:szCs w:val="18"/>
              </w:rPr>
              <w:t>material_id, component_material_id</w:t>
            </w:r>
          </w:p>
        </w:tc>
        <w:tc>
          <w:tcPr>
            <w:tcW w:w="1872" w:type="dxa"/>
            <w:vAlign w:val="center"/>
          </w:tcPr>
          <w:p w14:paraId="704BA7ED" w14:textId="77777777" w:rsidR="00672297" w:rsidRDefault="00A16EA3">
            <w:pPr>
              <w:spacing w:before="20" w:after="20"/>
              <w:jc w:val="left"/>
            </w:pPr>
            <w:r>
              <w:rPr>
                <w:rFonts w:cstheme="minorHAnsi"/>
                <w:sz w:val="18"/>
                <w:szCs w:val="18"/>
              </w:rPr>
              <w:t>material</w:t>
            </w:r>
          </w:p>
        </w:tc>
        <w:tc>
          <w:tcPr>
            <w:tcW w:w="1404" w:type="dxa"/>
            <w:vAlign w:val="center"/>
          </w:tcPr>
          <w:p w14:paraId="21762DA7" w14:textId="77777777" w:rsidR="00672297" w:rsidRDefault="00A16EA3">
            <w:pPr>
              <w:spacing w:before="20" w:after="20"/>
              <w:jc w:val="left"/>
            </w:pPr>
            <w:r>
              <w:rPr>
                <w:rFonts w:cstheme="minorHAnsi"/>
                <w:sz w:val="18"/>
                <w:szCs w:val="18"/>
              </w:rPr>
              <w:t>material_id</w:t>
            </w:r>
          </w:p>
        </w:tc>
        <w:tc>
          <w:tcPr>
            <w:tcW w:w="1124" w:type="dxa"/>
            <w:vAlign w:val="center"/>
          </w:tcPr>
          <w:p w14:paraId="4DC23190" w14:textId="77777777" w:rsidR="00672297" w:rsidRDefault="00A16EA3">
            <w:pPr>
              <w:spacing w:before="20" w:after="20"/>
              <w:jc w:val="left"/>
            </w:pPr>
            <w:r>
              <w:rPr>
                <w:rFonts w:cstheme="minorHAnsi"/>
                <w:sz w:val="18"/>
                <w:szCs w:val="18"/>
              </w:rPr>
              <w:t>Many-to-One</w:t>
            </w:r>
          </w:p>
        </w:tc>
      </w:tr>
      <w:tr w:rsidR="00672297" w14:paraId="29206939" w14:textId="77777777">
        <w:trPr>
          <w:cantSplit/>
        </w:trPr>
        <w:tc>
          <w:tcPr>
            <w:tcW w:w="2527" w:type="dxa"/>
            <w:vAlign w:val="center"/>
          </w:tcPr>
          <w:p w14:paraId="109ED589" w14:textId="77777777" w:rsidR="00672297" w:rsidRDefault="00A16EA3">
            <w:pPr>
              <w:spacing w:before="20" w:after="20"/>
              <w:jc w:val="left"/>
            </w:pPr>
            <w:r>
              <w:rPr>
                <w:rFonts w:cstheme="minorHAnsi"/>
                <w:sz w:val="18"/>
                <w:szCs w:val="18"/>
              </w:rPr>
              <w:t>VCB_blend_component_movement</w:t>
            </w:r>
          </w:p>
        </w:tc>
        <w:tc>
          <w:tcPr>
            <w:tcW w:w="2433" w:type="dxa"/>
            <w:vAlign w:val="center"/>
          </w:tcPr>
          <w:p w14:paraId="3872B5A6" w14:textId="77777777" w:rsidR="00672297" w:rsidRDefault="00A16EA3">
            <w:pPr>
              <w:spacing w:before="20" w:after="20"/>
              <w:jc w:val="left"/>
            </w:pPr>
            <w:r>
              <w:rPr>
                <w:rFonts w:cstheme="minorHAnsi"/>
                <w:sz w:val="18"/>
                <w:szCs w:val="18"/>
              </w:rPr>
              <w:t>location_id, origin_location_id, destination_location_id</w:t>
            </w:r>
          </w:p>
        </w:tc>
        <w:tc>
          <w:tcPr>
            <w:tcW w:w="1872" w:type="dxa"/>
            <w:vAlign w:val="center"/>
          </w:tcPr>
          <w:p w14:paraId="23AF62B8" w14:textId="77777777" w:rsidR="00672297" w:rsidRDefault="00A16EA3">
            <w:pPr>
              <w:spacing w:before="20" w:after="20"/>
              <w:jc w:val="left"/>
            </w:pPr>
            <w:r>
              <w:rPr>
                <w:rFonts w:cstheme="minorHAnsi"/>
                <w:sz w:val="18"/>
                <w:szCs w:val="18"/>
              </w:rPr>
              <w:t>location</w:t>
            </w:r>
          </w:p>
        </w:tc>
        <w:tc>
          <w:tcPr>
            <w:tcW w:w="1404" w:type="dxa"/>
            <w:vAlign w:val="center"/>
          </w:tcPr>
          <w:p w14:paraId="1A6AF647" w14:textId="77777777" w:rsidR="00672297" w:rsidRDefault="00A16EA3">
            <w:pPr>
              <w:spacing w:before="20" w:after="20"/>
              <w:jc w:val="left"/>
            </w:pPr>
            <w:r>
              <w:rPr>
                <w:rFonts w:cstheme="minorHAnsi"/>
                <w:sz w:val="18"/>
                <w:szCs w:val="18"/>
              </w:rPr>
              <w:t>location_id</w:t>
            </w:r>
          </w:p>
        </w:tc>
        <w:tc>
          <w:tcPr>
            <w:tcW w:w="1124" w:type="dxa"/>
            <w:vAlign w:val="center"/>
          </w:tcPr>
          <w:p w14:paraId="1476B592" w14:textId="77777777" w:rsidR="00672297" w:rsidRDefault="00A16EA3">
            <w:pPr>
              <w:spacing w:before="20" w:after="20"/>
              <w:jc w:val="left"/>
            </w:pPr>
            <w:r>
              <w:rPr>
                <w:rFonts w:cstheme="minorHAnsi"/>
                <w:sz w:val="18"/>
                <w:szCs w:val="18"/>
              </w:rPr>
              <w:t>Many-to-One</w:t>
            </w:r>
          </w:p>
        </w:tc>
      </w:tr>
      <w:tr w:rsidR="00672297" w14:paraId="0561CA81" w14:textId="77777777">
        <w:trPr>
          <w:cantSplit/>
        </w:trPr>
        <w:tc>
          <w:tcPr>
            <w:tcW w:w="2527" w:type="dxa"/>
            <w:vAlign w:val="center"/>
          </w:tcPr>
          <w:p w14:paraId="5B71789C" w14:textId="77777777" w:rsidR="00672297" w:rsidRDefault="00A16EA3">
            <w:pPr>
              <w:spacing w:before="20" w:after="20"/>
              <w:jc w:val="left"/>
            </w:pPr>
            <w:r>
              <w:rPr>
                <w:rFonts w:cstheme="minorHAnsi"/>
                <w:sz w:val="18"/>
                <w:szCs w:val="18"/>
              </w:rPr>
              <w:t>VCB_blend_component_movement</w:t>
            </w:r>
          </w:p>
        </w:tc>
        <w:tc>
          <w:tcPr>
            <w:tcW w:w="2433" w:type="dxa"/>
            <w:vAlign w:val="center"/>
          </w:tcPr>
          <w:p w14:paraId="2B2CEEC3" w14:textId="77777777" w:rsidR="00672297" w:rsidRDefault="00A16EA3">
            <w:pPr>
              <w:spacing w:before="20" w:after="20"/>
              <w:jc w:val="left"/>
            </w:pPr>
            <w:r>
              <w:rPr>
                <w:rFonts w:cstheme="minorHAnsi"/>
                <w:sz w:val="18"/>
                <w:szCs w:val="18"/>
              </w:rPr>
              <w:t>origin_equipment_id, destination_equipment_id</w:t>
            </w:r>
          </w:p>
        </w:tc>
        <w:tc>
          <w:tcPr>
            <w:tcW w:w="1872" w:type="dxa"/>
            <w:vAlign w:val="center"/>
          </w:tcPr>
          <w:p w14:paraId="75D06C81" w14:textId="77777777" w:rsidR="00672297" w:rsidRDefault="00A16EA3">
            <w:pPr>
              <w:spacing w:before="20" w:after="20"/>
              <w:jc w:val="left"/>
            </w:pPr>
            <w:r>
              <w:rPr>
                <w:rFonts w:cstheme="minorHAnsi"/>
                <w:sz w:val="18"/>
                <w:szCs w:val="18"/>
              </w:rPr>
              <w:t>equipment_detail</w:t>
            </w:r>
          </w:p>
        </w:tc>
        <w:tc>
          <w:tcPr>
            <w:tcW w:w="1404" w:type="dxa"/>
            <w:vAlign w:val="center"/>
          </w:tcPr>
          <w:p w14:paraId="57DF7D82" w14:textId="77777777" w:rsidR="00672297" w:rsidRDefault="00A16EA3">
            <w:pPr>
              <w:spacing w:before="20" w:after="20"/>
              <w:jc w:val="left"/>
            </w:pPr>
            <w:r>
              <w:rPr>
                <w:rFonts w:cstheme="minorHAnsi"/>
                <w:sz w:val="18"/>
                <w:szCs w:val="18"/>
              </w:rPr>
              <w:t>equipment_id</w:t>
            </w:r>
          </w:p>
        </w:tc>
        <w:tc>
          <w:tcPr>
            <w:tcW w:w="1124" w:type="dxa"/>
            <w:vAlign w:val="center"/>
          </w:tcPr>
          <w:p w14:paraId="33DECCC1" w14:textId="77777777" w:rsidR="00672297" w:rsidRDefault="00A16EA3">
            <w:pPr>
              <w:spacing w:before="20" w:after="20"/>
              <w:jc w:val="left"/>
            </w:pPr>
            <w:r>
              <w:rPr>
                <w:rFonts w:cstheme="minorHAnsi"/>
                <w:sz w:val="18"/>
                <w:szCs w:val="18"/>
              </w:rPr>
              <w:t>Many-to-One</w:t>
            </w:r>
          </w:p>
        </w:tc>
      </w:tr>
      <w:tr w:rsidR="00672297" w14:paraId="115D68BB" w14:textId="77777777">
        <w:trPr>
          <w:cantSplit/>
        </w:trPr>
        <w:tc>
          <w:tcPr>
            <w:tcW w:w="2527" w:type="dxa"/>
            <w:vAlign w:val="center"/>
          </w:tcPr>
          <w:p w14:paraId="13A267CB" w14:textId="77777777" w:rsidR="00672297" w:rsidRDefault="00A16EA3">
            <w:pPr>
              <w:spacing w:before="20" w:after="20"/>
              <w:jc w:val="left"/>
            </w:pPr>
            <w:r>
              <w:rPr>
                <w:rFonts w:cstheme="minorHAnsi"/>
                <w:sz w:val="18"/>
                <w:szCs w:val="18"/>
              </w:rPr>
              <w:t>product_specification</w:t>
            </w:r>
          </w:p>
        </w:tc>
        <w:tc>
          <w:tcPr>
            <w:tcW w:w="2433" w:type="dxa"/>
            <w:vAlign w:val="center"/>
          </w:tcPr>
          <w:p w14:paraId="5874A1AC" w14:textId="77777777" w:rsidR="00672297" w:rsidRDefault="00A16EA3">
            <w:pPr>
              <w:spacing w:before="20" w:after="20"/>
              <w:jc w:val="left"/>
            </w:pPr>
            <w:r>
              <w:rPr>
                <w:rFonts w:cstheme="minorHAnsi"/>
                <w:sz w:val="18"/>
                <w:szCs w:val="18"/>
              </w:rPr>
              <w:t>source_location_id, terminal_location_id</w:t>
            </w:r>
          </w:p>
        </w:tc>
        <w:tc>
          <w:tcPr>
            <w:tcW w:w="1872" w:type="dxa"/>
            <w:vAlign w:val="center"/>
          </w:tcPr>
          <w:p w14:paraId="0D6B35E7" w14:textId="77777777" w:rsidR="00672297" w:rsidRDefault="00A16EA3">
            <w:pPr>
              <w:spacing w:before="20" w:after="20"/>
              <w:jc w:val="left"/>
            </w:pPr>
            <w:r>
              <w:rPr>
                <w:rFonts w:cstheme="minorHAnsi"/>
                <w:sz w:val="18"/>
                <w:szCs w:val="18"/>
              </w:rPr>
              <w:t>location</w:t>
            </w:r>
          </w:p>
        </w:tc>
        <w:tc>
          <w:tcPr>
            <w:tcW w:w="1404" w:type="dxa"/>
            <w:vAlign w:val="center"/>
          </w:tcPr>
          <w:p w14:paraId="64FFA067" w14:textId="77777777" w:rsidR="00672297" w:rsidRDefault="00A16EA3">
            <w:pPr>
              <w:spacing w:before="20" w:after="20"/>
              <w:jc w:val="left"/>
            </w:pPr>
            <w:r>
              <w:rPr>
                <w:rFonts w:cstheme="minorHAnsi"/>
                <w:sz w:val="18"/>
                <w:szCs w:val="18"/>
              </w:rPr>
              <w:t>location_id</w:t>
            </w:r>
          </w:p>
        </w:tc>
        <w:tc>
          <w:tcPr>
            <w:tcW w:w="1124" w:type="dxa"/>
            <w:vAlign w:val="center"/>
          </w:tcPr>
          <w:p w14:paraId="3DB9862E" w14:textId="77777777" w:rsidR="00672297" w:rsidRDefault="00A16EA3">
            <w:pPr>
              <w:spacing w:before="20" w:after="20"/>
              <w:jc w:val="left"/>
            </w:pPr>
            <w:r>
              <w:rPr>
                <w:rFonts w:cstheme="minorHAnsi"/>
                <w:sz w:val="18"/>
                <w:szCs w:val="18"/>
              </w:rPr>
              <w:t>Many-to-One</w:t>
            </w:r>
          </w:p>
        </w:tc>
      </w:tr>
      <w:tr w:rsidR="00672297" w14:paraId="0243EA24" w14:textId="77777777">
        <w:trPr>
          <w:cantSplit/>
        </w:trPr>
        <w:tc>
          <w:tcPr>
            <w:tcW w:w="2527" w:type="dxa"/>
            <w:vAlign w:val="center"/>
          </w:tcPr>
          <w:p w14:paraId="4787957D" w14:textId="77777777" w:rsidR="00672297" w:rsidRDefault="00A16EA3">
            <w:pPr>
              <w:spacing w:before="20" w:after="20"/>
              <w:jc w:val="left"/>
            </w:pPr>
            <w:r>
              <w:rPr>
                <w:rFonts w:cstheme="minorHAnsi"/>
                <w:sz w:val="18"/>
                <w:szCs w:val="18"/>
              </w:rPr>
              <w:t>product_specification</w:t>
            </w:r>
          </w:p>
        </w:tc>
        <w:tc>
          <w:tcPr>
            <w:tcW w:w="2433" w:type="dxa"/>
            <w:vAlign w:val="center"/>
          </w:tcPr>
          <w:p w14:paraId="377EC828" w14:textId="77777777" w:rsidR="00672297" w:rsidRDefault="00A16EA3">
            <w:pPr>
              <w:spacing w:before="20" w:after="20"/>
              <w:jc w:val="left"/>
            </w:pPr>
            <w:r>
              <w:rPr>
                <w:rFonts w:cstheme="minorHAnsi"/>
                <w:sz w:val="18"/>
                <w:szCs w:val="18"/>
              </w:rPr>
              <w:t>material_id / property_id / uom_id</w:t>
            </w:r>
          </w:p>
        </w:tc>
        <w:tc>
          <w:tcPr>
            <w:tcW w:w="1872" w:type="dxa"/>
            <w:vAlign w:val="center"/>
          </w:tcPr>
          <w:p w14:paraId="15D18804" w14:textId="77777777" w:rsidR="00672297" w:rsidRDefault="00A16EA3">
            <w:pPr>
              <w:spacing w:before="20" w:after="20"/>
              <w:jc w:val="left"/>
            </w:pPr>
            <w:r>
              <w:rPr>
                <w:rFonts w:cstheme="minorHAnsi"/>
                <w:sz w:val="18"/>
                <w:szCs w:val="18"/>
              </w:rPr>
              <w:t>material / property / uom</w:t>
            </w:r>
          </w:p>
        </w:tc>
        <w:tc>
          <w:tcPr>
            <w:tcW w:w="1404" w:type="dxa"/>
            <w:vAlign w:val="center"/>
          </w:tcPr>
          <w:p w14:paraId="225BC0FF" w14:textId="77777777" w:rsidR="00672297" w:rsidRDefault="00A16EA3">
            <w:pPr>
              <w:spacing w:before="20" w:after="20"/>
              <w:jc w:val="left"/>
            </w:pPr>
            <w:r>
              <w:rPr>
                <w:rFonts w:cstheme="minorHAnsi"/>
                <w:sz w:val="18"/>
                <w:szCs w:val="18"/>
              </w:rPr>
              <w:t>*_id</w:t>
            </w:r>
          </w:p>
        </w:tc>
        <w:tc>
          <w:tcPr>
            <w:tcW w:w="1124" w:type="dxa"/>
            <w:vAlign w:val="center"/>
          </w:tcPr>
          <w:p w14:paraId="3507AB50" w14:textId="77777777" w:rsidR="00672297" w:rsidRDefault="00A16EA3">
            <w:pPr>
              <w:spacing w:before="20" w:after="20"/>
              <w:jc w:val="left"/>
            </w:pPr>
            <w:r>
              <w:rPr>
                <w:rFonts w:cstheme="minorHAnsi"/>
                <w:sz w:val="18"/>
                <w:szCs w:val="18"/>
              </w:rPr>
              <w:t>Many-to-One</w:t>
            </w:r>
          </w:p>
        </w:tc>
      </w:tr>
      <w:tr w:rsidR="00672297" w14:paraId="6D2FF8CE" w14:textId="77777777">
        <w:trPr>
          <w:cantSplit/>
        </w:trPr>
        <w:tc>
          <w:tcPr>
            <w:tcW w:w="2527" w:type="dxa"/>
            <w:vAlign w:val="center"/>
          </w:tcPr>
          <w:p w14:paraId="027A24E6" w14:textId="77777777" w:rsidR="00672297" w:rsidRDefault="00A16EA3">
            <w:pPr>
              <w:spacing w:before="20" w:after="20"/>
              <w:jc w:val="left"/>
            </w:pPr>
            <w:r>
              <w:rPr>
                <w:rFonts w:cstheme="minorHAnsi"/>
                <w:sz w:val="18"/>
                <w:szCs w:val="18"/>
              </w:rPr>
              <w:t>vwGasolineBlendingKPI, vwDistillateBlendingKPI</w:t>
            </w:r>
          </w:p>
        </w:tc>
        <w:tc>
          <w:tcPr>
            <w:tcW w:w="2433" w:type="dxa"/>
            <w:vAlign w:val="center"/>
          </w:tcPr>
          <w:p w14:paraId="22E6396A" w14:textId="77777777" w:rsidR="00672297" w:rsidRDefault="00A16EA3">
            <w:pPr>
              <w:spacing w:before="20" w:after="20"/>
              <w:jc w:val="left"/>
            </w:pPr>
            <w:r>
              <w:rPr>
                <w:rFonts w:cstheme="minorHAnsi"/>
                <w:sz w:val="18"/>
                <w:szCs w:val="18"/>
              </w:rPr>
              <w:t>globalCode + productAbbreviation</w:t>
            </w:r>
          </w:p>
        </w:tc>
        <w:tc>
          <w:tcPr>
            <w:tcW w:w="1872" w:type="dxa"/>
            <w:vAlign w:val="center"/>
          </w:tcPr>
          <w:p w14:paraId="75356846" w14:textId="77777777" w:rsidR="00672297" w:rsidRDefault="00A16EA3">
            <w:pPr>
              <w:spacing w:before="20" w:after="20"/>
              <w:jc w:val="left"/>
            </w:pPr>
            <w:r>
              <w:rPr>
                <w:rFonts w:cstheme="minorHAnsi"/>
                <w:sz w:val="18"/>
                <w:szCs w:val="18"/>
              </w:rPr>
              <w:t>MPR_Price (Power BI only)</w:t>
            </w:r>
          </w:p>
        </w:tc>
        <w:tc>
          <w:tcPr>
            <w:tcW w:w="1404" w:type="dxa"/>
            <w:vAlign w:val="center"/>
          </w:tcPr>
          <w:p w14:paraId="1CEE36A6" w14:textId="77777777" w:rsidR="00672297" w:rsidRDefault="00A16EA3">
            <w:pPr>
              <w:spacing w:before="20" w:after="20"/>
              <w:jc w:val="left"/>
            </w:pPr>
            <w:r>
              <w:rPr>
                <w:rFonts w:cstheme="minorHAnsi"/>
                <w:sz w:val="18"/>
                <w:szCs w:val="18"/>
              </w:rPr>
              <w:t>globalCode + productAbbreviation</w:t>
            </w:r>
          </w:p>
        </w:tc>
        <w:tc>
          <w:tcPr>
            <w:tcW w:w="1124" w:type="dxa"/>
            <w:vAlign w:val="center"/>
          </w:tcPr>
          <w:p w14:paraId="79B34376" w14:textId="77777777" w:rsidR="00672297" w:rsidRDefault="00A16EA3">
            <w:pPr>
              <w:spacing w:before="20" w:after="20"/>
              <w:jc w:val="left"/>
            </w:pPr>
            <w:r>
              <w:rPr>
                <w:rFonts w:cstheme="minorHAnsi"/>
                <w:sz w:val="18"/>
                <w:szCs w:val="18"/>
              </w:rPr>
              <w:t>Many-to-One (in the semantic model, not in the database)</w:t>
            </w:r>
          </w:p>
        </w:tc>
      </w:tr>
    </w:tbl>
    <w:p w14:paraId="6468E940" w14:textId="3724ACC4" w:rsidR="00672297" w:rsidRDefault="00A16EA3">
      <w:pPr>
        <w:pStyle w:val="Caption"/>
      </w:pPr>
      <w:bookmarkStart w:id="412" w:name="_Toc900900040"/>
      <w:bookmarkStart w:id="413" w:name="_Toc241574686"/>
      <w:bookmarkStart w:id="414" w:name="_Toc242554070"/>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17</w:t>
      </w:r>
      <w:r>
        <w:fldChar w:fldCharType="end"/>
      </w:r>
      <w:r>
        <w:t>: VCB Table Relationships</w:t>
      </w:r>
      <w:bookmarkEnd w:id="412"/>
      <w:bookmarkEnd w:id="413"/>
      <w:bookmarkEnd w:id="414"/>
    </w:p>
    <w:p w14:paraId="27C9242D" w14:textId="77777777" w:rsidR="00672297" w:rsidRDefault="00A16EA3">
      <w:pPr>
        <w:pStyle w:val="Heading2"/>
        <w:rPr>
          <w:rFonts w:asciiTheme="minorHAnsi" w:hAnsiTheme="minorHAnsi" w:cstheme="minorBidi"/>
          <w:sz w:val="20"/>
          <w:szCs w:val="20"/>
        </w:rPr>
      </w:pPr>
      <w:bookmarkStart w:id="415" w:name="_Toc241574331"/>
      <w:bookmarkStart w:id="416" w:name="_Toc242553953"/>
      <w:r>
        <w:rPr>
          <w:rFonts w:asciiTheme="minorHAnsi" w:hAnsiTheme="minorHAnsi" w:cstheme="minorBidi"/>
          <w:sz w:val="20"/>
          <w:szCs w:val="20"/>
        </w:rPr>
        <w:t>Release 2 - Data Entity Design (VCB tables in the IQDM database)</w:t>
      </w:r>
      <w:bookmarkEnd w:id="415"/>
      <w:bookmarkEnd w:id="416"/>
    </w:p>
    <w:p w14:paraId="6A7DA9B6" w14:textId="5E103889" w:rsidR="00672297" w:rsidRDefault="00371C86">
      <w:pPr>
        <w:rPr>
          <w:rFonts w:cstheme="minorHAnsi"/>
          <w:sz w:val="20"/>
          <w:szCs w:val="20"/>
        </w:rPr>
      </w:pPr>
      <w:r>
        <w:rPr>
          <w:rFonts w:cstheme="minorHAnsi"/>
          <w:sz w:val="20"/>
          <w:szCs w:val="20"/>
        </w:rPr>
        <w:t>Releases 2 and 3 add</w:t>
      </w:r>
      <w:r w:rsidR="00A16EA3">
        <w:rPr>
          <w:rFonts w:cstheme="minorHAnsi"/>
          <w:sz w:val="20"/>
          <w:szCs w:val="20"/>
        </w:rPr>
        <w:t xml:space="preserve"> the terminal blend component data read from the PI Asset Framework by the </w:t>
      </w:r>
      <w:r w:rsidR="000A106D">
        <w:rPr>
          <w:rFonts w:cstheme="minorHAnsi"/>
          <w:sz w:val="20"/>
          <w:szCs w:val="20"/>
        </w:rPr>
        <w:t>VCB Blend Component integration</w:t>
      </w:r>
      <w:r w:rsidR="00A16EA3">
        <w:rPr>
          <w:rFonts w:cstheme="minorHAnsi"/>
          <w:sz w:val="20"/>
          <w:szCs w:val="20"/>
        </w:rPr>
        <w:t xml:space="preserve"> </w:t>
      </w:r>
      <w:r w:rsidR="00F80961">
        <w:rPr>
          <w:rFonts w:cstheme="minorHAnsi"/>
          <w:sz w:val="20"/>
          <w:szCs w:val="20"/>
        </w:rPr>
        <w:t>(chapter 2, sections 2.3.3.1 and 2.3.3.2)</w:t>
      </w:r>
      <w:r w:rsidR="00A16EA3">
        <w:rPr>
          <w:rFonts w:cstheme="minorHAnsi"/>
          <w:sz w:val="20"/>
          <w:szCs w:val="20"/>
        </w:rPr>
        <w:t>: the net standard volume of the butane, ethanol and transmix tanks, the analyzer qualities of gasoline at the butane injectors (RVP, TV/L, T10, T30, T50, T70, T90, IBP, FBP) and the daily totalizers of the blend component flows.</w:t>
      </w:r>
    </w:p>
    <w:p w14:paraId="71E4A360" w14:textId="77777777" w:rsidR="00672297" w:rsidRDefault="00A16EA3">
      <w:pPr>
        <w:pStyle w:val="Heading3"/>
        <w:rPr>
          <w:rFonts w:asciiTheme="minorHAnsi" w:hAnsiTheme="minorHAnsi" w:cstheme="minorBidi"/>
          <w:sz w:val="20"/>
          <w:szCs w:val="20"/>
        </w:rPr>
      </w:pPr>
      <w:bookmarkStart w:id="417" w:name="_Toc241574332"/>
      <w:bookmarkStart w:id="418" w:name="_Toc242553954"/>
      <w:r>
        <w:rPr>
          <w:rFonts w:asciiTheme="minorHAnsi" w:hAnsiTheme="minorHAnsi" w:cstheme="minorBidi"/>
          <w:sz w:val="20"/>
          <w:szCs w:val="20"/>
        </w:rPr>
        <w:t>Blend Component Detail Table</w:t>
      </w:r>
      <w:bookmarkEnd w:id="417"/>
      <w:bookmarkEnd w:id="418"/>
    </w:p>
    <w:p w14:paraId="6B5C882B" w14:textId="1BED48D5" w:rsidR="00672297" w:rsidRDefault="00A16EA3">
      <w:pPr>
        <w:rPr>
          <w:rFonts w:cstheme="minorHAnsi"/>
          <w:sz w:val="20"/>
          <w:szCs w:val="20"/>
        </w:rPr>
      </w:pPr>
      <w:r>
        <w:rPr>
          <w:rFonts w:cstheme="minorHAnsi"/>
          <w:sz w:val="20"/>
          <w:szCs w:val="20"/>
        </w:rPr>
        <w:t xml:space="preserve">VCB_blend_component_detail: one row per equipment (tank, meter or injector), property and value time stamp, </w:t>
      </w:r>
      <w:r w:rsidR="008F2422">
        <w:rPr>
          <w:rFonts w:cstheme="minorHAnsi"/>
          <w:sz w:val="20"/>
          <w:szCs w:val="20"/>
        </w:rPr>
        <w:t>as returned by the response model of Table 2-13.</w:t>
      </w:r>
    </w:p>
    <w:tbl>
      <w:tblPr>
        <w:tblStyle w:val="TableGrid"/>
        <w:tblW w:w="9360" w:type="dxa"/>
        <w:tblLayout w:type="fixed"/>
        <w:tblCellMar>
          <w:left w:w="70" w:type="dxa"/>
          <w:right w:w="70" w:type="dxa"/>
        </w:tblCellMar>
        <w:tblLook w:val="04A0" w:firstRow="1" w:lastRow="0" w:firstColumn="1" w:lastColumn="0" w:noHBand="0" w:noVBand="1"/>
      </w:tblPr>
      <w:tblGrid>
        <w:gridCol w:w="1872"/>
        <w:gridCol w:w="1029"/>
        <w:gridCol w:w="468"/>
        <w:gridCol w:w="842"/>
        <w:gridCol w:w="2808"/>
        <w:gridCol w:w="2341"/>
      </w:tblGrid>
      <w:tr w:rsidR="00672297" w14:paraId="2ED8CF68" w14:textId="77777777">
        <w:trPr>
          <w:cantSplit/>
          <w:tblHeader/>
        </w:trPr>
        <w:tc>
          <w:tcPr>
            <w:tcW w:w="1872" w:type="dxa"/>
            <w:shd w:val="clear" w:color="auto" w:fill="2F5496"/>
            <w:vAlign w:val="center"/>
          </w:tcPr>
          <w:p w14:paraId="57E0C1D8" w14:textId="77777777" w:rsidR="00672297" w:rsidRDefault="00A16EA3">
            <w:pPr>
              <w:spacing w:before="20" w:after="20"/>
              <w:jc w:val="left"/>
            </w:pPr>
            <w:r>
              <w:rPr>
                <w:rFonts w:cstheme="minorHAnsi"/>
                <w:b/>
                <w:bCs/>
                <w:color w:val="FFFFFF"/>
                <w:sz w:val="18"/>
                <w:szCs w:val="18"/>
              </w:rPr>
              <w:t>Column Name</w:t>
            </w:r>
          </w:p>
        </w:tc>
        <w:tc>
          <w:tcPr>
            <w:tcW w:w="1029" w:type="dxa"/>
            <w:shd w:val="clear" w:color="auto" w:fill="2F5496"/>
            <w:vAlign w:val="center"/>
          </w:tcPr>
          <w:p w14:paraId="64796EC8" w14:textId="77777777" w:rsidR="00672297" w:rsidRDefault="00A16EA3">
            <w:pPr>
              <w:spacing w:before="20" w:after="20"/>
              <w:jc w:val="left"/>
            </w:pPr>
            <w:r>
              <w:rPr>
                <w:rFonts w:cstheme="minorHAnsi"/>
                <w:b/>
                <w:bCs/>
                <w:color w:val="FFFFFF"/>
                <w:sz w:val="18"/>
                <w:szCs w:val="18"/>
              </w:rPr>
              <w:t>Data Type</w:t>
            </w:r>
          </w:p>
        </w:tc>
        <w:tc>
          <w:tcPr>
            <w:tcW w:w="468" w:type="dxa"/>
            <w:shd w:val="clear" w:color="auto" w:fill="2F5496"/>
            <w:vAlign w:val="center"/>
          </w:tcPr>
          <w:p w14:paraId="219BDD67" w14:textId="77777777" w:rsidR="00672297" w:rsidRDefault="00A16EA3">
            <w:pPr>
              <w:spacing w:before="20" w:after="20"/>
              <w:jc w:val="left"/>
            </w:pPr>
            <w:r>
              <w:rPr>
                <w:rFonts w:cstheme="minorHAnsi"/>
                <w:b/>
                <w:bCs/>
                <w:color w:val="FFFFFF"/>
                <w:sz w:val="18"/>
                <w:szCs w:val="18"/>
              </w:rPr>
              <w:t>Null</w:t>
            </w:r>
          </w:p>
        </w:tc>
        <w:tc>
          <w:tcPr>
            <w:tcW w:w="842" w:type="dxa"/>
            <w:shd w:val="clear" w:color="auto" w:fill="2F5496"/>
            <w:vAlign w:val="center"/>
          </w:tcPr>
          <w:p w14:paraId="73897DB9" w14:textId="77777777" w:rsidR="00672297" w:rsidRDefault="00A16EA3">
            <w:pPr>
              <w:spacing w:before="20" w:after="20"/>
              <w:jc w:val="left"/>
            </w:pPr>
            <w:r>
              <w:rPr>
                <w:rFonts w:cstheme="minorHAnsi"/>
                <w:b/>
                <w:bCs/>
                <w:color w:val="FFFFFF"/>
                <w:sz w:val="18"/>
                <w:szCs w:val="18"/>
              </w:rPr>
              <w:t>Key</w:t>
            </w:r>
          </w:p>
        </w:tc>
        <w:tc>
          <w:tcPr>
            <w:tcW w:w="2808" w:type="dxa"/>
            <w:shd w:val="clear" w:color="auto" w:fill="2F5496"/>
            <w:vAlign w:val="center"/>
          </w:tcPr>
          <w:p w14:paraId="7CA92315" w14:textId="77777777" w:rsidR="00672297" w:rsidRDefault="00A16EA3">
            <w:pPr>
              <w:spacing w:before="20" w:after="20"/>
              <w:jc w:val="left"/>
            </w:pPr>
            <w:r>
              <w:rPr>
                <w:rFonts w:cstheme="minorHAnsi"/>
                <w:b/>
                <w:bCs/>
                <w:color w:val="FFFFFF"/>
                <w:sz w:val="18"/>
                <w:szCs w:val="18"/>
              </w:rPr>
              <w:t>Description</w:t>
            </w:r>
          </w:p>
        </w:tc>
        <w:tc>
          <w:tcPr>
            <w:tcW w:w="2341" w:type="dxa"/>
            <w:shd w:val="clear" w:color="auto" w:fill="2F5496"/>
            <w:vAlign w:val="center"/>
          </w:tcPr>
          <w:p w14:paraId="7FB3C6A6" w14:textId="77777777" w:rsidR="00672297" w:rsidRDefault="00A16EA3">
            <w:pPr>
              <w:spacing w:before="20" w:after="20"/>
              <w:jc w:val="left"/>
            </w:pPr>
            <w:r>
              <w:rPr>
                <w:rFonts w:cstheme="minorHAnsi"/>
                <w:b/>
                <w:bCs/>
                <w:color w:val="FFFFFF"/>
                <w:sz w:val="18"/>
                <w:szCs w:val="18"/>
              </w:rPr>
              <w:t>Source Column (API) / Derivation</w:t>
            </w:r>
          </w:p>
        </w:tc>
      </w:tr>
      <w:tr w:rsidR="00672297" w14:paraId="2F906781" w14:textId="77777777">
        <w:trPr>
          <w:cantSplit/>
        </w:trPr>
        <w:tc>
          <w:tcPr>
            <w:tcW w:w="1872" w:type="dxa"/>
            <w:vAlign w:val="center"/>
          </w:tcPr>
          <w:p w14:paraId="4E99A16C" w14:textId="77777777" w:rsidR="00672297" w:rsidRDefault="00A16EA3">
            <w:pPr>
              <w:spacing w:before="20" w:after="20"/>
              <w:jc w:val="left"/>
            </w:pPr>
            <w:r>
              <w:rPr>
                <w:rFonts w:cstheme="minorHAnsi"/>
                <w:sz w:val="18"/>
                <w:szCs w:val="18"/>
              </w:rPr>
              <w:t>blend_component_detail_id</w:t>
            </w:r>
          </w:p>
        </w:tc>
        <w:tc>
          <w:tcPr>
            <w:tcW w:w="1029" w:type="dxa"/>
            <w:vAlign w:val="center"/>
          </w:tcPr>
          <w:p w14:paraId="76D28180" w14:textId="77777777" w:rsidR="00672297" w:rsidRDefault="00A16EA3">
            <w:pPr>
              <w:spacing w:before="20" w:after="20"/>
              <w:jc w:val="left"/>
            </w:pPr>
            <w:r>
              <w:rPr>
                <w:rFonts w:cstheme="minorHAnsi"/>
                <w:sz w:val="18"/>
                <w:szCs w:val="18"/>
              </w:rPr>
              <w:t>BIGINT IDENTITY</w:t>
            </w:r>
          </w:p>
        </w:tc>
        <w:tc>
          <w:tcPr>
            <w:tcW w:w="468" w:type="dxa"/>
            <w:vAlign w:val="center"/>
          </w:tcPr>
          <w:p w14:paraId="04BF0078" w14:textId="77777777" w:rsidR="00672297" w:rsidRDefault="00A16EA3">
            <w:pPr>
              <w:spacing w:before="20" w:after="20"/>
              <w:jc w:val="left"/>
            </w:pPr>
            <w:r>
              <w:rPr>
                <w:rFonts w:cstheme="minorHAnsi"/>
                <w:sz w:val="18"/>
                <w:szCs w:val="18"/>
              </w:rPr>
              <w:t>No</w:t>
            </w:r>
          </w:p>
        </w:tc>
        <w:tc>
          <w:tcPr>
            <w:tcW w:w="842" w:type="dxa"/>
            <w:vAlign w:val="center"/>
          </w:tcPr>
          <w:p w14:paraId="2E819D8A" w14:textId="77777777" w:rsidR="00672297" w:rsidRDefault="00A16EA3">
            <w:pPr>
              <w:spacing w:before="20" w:after="20"/>
              <w:jc w:val="left"/>
            </w:pPr>
            <w:r>
              <w:rPr>
                <w:rFonts w:cstheme="minorHAnsi"/>
                <w:sz w:val="18"/>
                <w:szCs w:val="18"/>
              </w:rPr>
              <w:t>PK</w:t>
            </w:r>
          </w:p>
        </w:tc>
        <w:tc>
          <w:tcPr>
            <w:tcW w:w="2808" w:type="dxa"/>
            <w:vAlign w:val="center"/>
          </w:tcPr>
          <w:p w14:paraId="3D857579" w14:textId="77777777" w:rsidR="00672297" w:rsidRDefault="00A16EA3">
            <w:pPr>
              <w:spacing w:before="20" w:after="20"/>
              <w:jc w:val="left"/>
            </w:pPr>
            <w:r>
              <w:rPr>
                <w:rFonts w:cstheme="minorHAnsi"/>
                <w:sz w:val="18"/>
                <w:szCs w:val="18"/>
              </w:rPr>
              <w:t>Unique ID</w:t>
            </w:r>
          </w:p>
        </w:tc>
        <w:tc>
          <w:tcPr>
            <w:tcW w:w="2341" w:type="dxa"/>
            <w:vAlign w:val="center"/>
          </w:tcPr>
          <w:p w14:paraId="43F88197" w14:textId="77777777" w:rsidR="00672297" w:rsidRDefault="00A16EA3">
            <w:pPr>
              <w:spacing w:before="20" w:after="20"/>
              <w:jc w:val="left"/>
            </w:pPr>
            <w:r>
              <w:rPr>
                <w:rFonts w:cstheme="minorHAnsi"/>
                <w:sz w:val="18"/>
                <w:szCs w:val="18"/>
              </w:rPr>
              <w:t>System generated</w:t>
            </w:r>
          </w:p>
        </w:tc>
      </w:tr>
      <w:tr w:rsidR="00672297" w14:paraId="04C5B3A8" w14:textId="77777777">
        <w:trPr>
          <w:cantSplit/>
        </w:trPr>
        <w:tc>
          <w:tcPr>
            <w:tcW w:w="1872" w:type="dxa"/>
            <w:vAlign w:val="center"/>
          </w:tcPr>
          <w:p w14:paraId="51DF9E0C" w14:textId="77777777" w:rsidR="00672297" w:rsidRDefault="00A16EA3">
            <w:pPr>
              <w:spacing w:before="20" w:after="20"/>
              <w:jc w:val="left"/>
            </w:pPr>
            <w:r>
              <w:rPr>
                <w:rFonts w:cstheme="minorHAnsi"/>
                <w:sz w:val="18"/>
                <w:szCs w:val="18"/>
              </w:rPr>
              <w:t>equipment_id</w:t>
            </w:r>
          </w:p>
        </w:tc>
        <w:tc>
          <w:tcPr>
            <w:tcW w:w="1029" w:type="dxa"/>
            <w:vAlign w:val="center"/>
          </w:tcPr>
          <w:p w14:paraId="0ABF1891" w14:textId="77777777" w:rsidR="00672297" w:rsidRDefault="00A16EA3">
            <w:pPr>
              <w:spacing w:before="20" w:after="20"/>
              <w:jc w:val="left"/>
            </w:pPr>
            <w:r>
              <w:rPr>
                <w:rFonts w:cstheme="minorHAnsi"/>
                <w:sz w:val="18"/>
                <w:szCs w:val="18"/>
              </w:rPr>
              <w:t>INT</w:t>
            </w:r>
          </w:p>
        </w:tc>
        <w:tc>
          <w:tcPr>
            <w:tcW w:w="468" w:type="dxa"/>
            <w:vAlign w:val="center"/>
          </w:tcPr>
          <w:p w14:paraId="601E1CDC" w14:textId="77777777" w:rsidR="00672297" w:rsidRDefault="00A16EA3">
            <w:pPr>
              <w:spacing w:before="20" w:after="20"/>
              <w:jc w:val="left"/>
            </w:pPr>
            <w:r>
              <w:rPr>
                <w:rFonts w:cstheme="minorHAnsi"/>
                <w:sz w:val="18"/>
                <w:szCs w:val="18"/>
              </w:rPr>
              <w:t>No</w:t>
            </w:r>
          </w:p>
        </w:tc>
        <w:tc>
          <w:tcPr>
            <w:tcW w:w="842" w:type="dxa"/>
            <w:vAlign w:val="center"/>
          </w:tcPr>
          <w:p w14:paraId="7E4607DF" w14:textId="77777777" w:rsidR="00672297" w:rsidRDefault="00A16EA3">
            <w:pPr>
              <w:spacing w:before="20" w:after="20"/>
              <w:jc w:val="left"/>
            </w:pPr>
            <w:r>
              <w:rPr>
                <w:rFonts w:cstheme="minorHAnsi"/>
                <w:sz w:val="18"/>
                <w:szCs w:val="18"/>
              </w:rPr>
              <w:t>FK &gt; equipment_detail, UK</w:t>
            </w:r>
          </w:p>
        </w:tc>
        <w:tc>
          <w:tcPr>
            <w:tcW w:w="2808" w:type="dxa"/>
            <w:vAlign w:val="center"/>
          </w:tcPr>
          <w:p w14:paraId="5FA9020D" w14:textId="77777777" w:rsidR="00672297" w:rsidRDefault="00A16EA3">
            <w:pPr>
              <w:spacing w:before="20" w:after="20"/>
              <w:jc w:val="left"/>
            </w:pPr>
            <w:r>
              <w:rPr>
                <w:rFonts w:cstheme="minorHAnsi"/>
                <w:sz w:val="18"/>
                <w:szCs w:val="18"/>
              </w:rPr>
              <w:t>Tank, meter or injector</w:t>
            </w:r>
          </w:p>
        </w:tc>
        <w:tc>
          <w:tcPr>
            <w:tcW w:w="2341" w:type="dxa"/>
            <w:vAlign w:val="center"/>
          </w:tcPr>
          <w:p w14:paraId="71C0994B" w14:textId="77777777" w:rsidR="00672297" w:rsidRDefault="00A16EA3">
            <w:pPr>
              <w:spacing w:before="20" w:after="20"/>
              <w:jc w:val="left"/>
            </w:pPr>
            <w:r>
              <w:rPr>
                <w:rFonts w:cstheme="minorHAnsi"/>
                <w:sz w:val="18"/>
                <w:szCs w:val="18"/>
              </w:rPr>
              <w:t>Equipment_GlobalCode</w:t>
            </w:r>
          </w:p>
        </w:tc>
      </w:tr>
      <w:tr w:rsidR="00672297" w14:paraId="6C714E71" w14:textId="77777777">
        <w:trPr>
          <w:cantSplit/>
        </w:trPr>
        <w:tc>
          <w:tcPr>
            <w:tcW w:w="1872" w:type="dxa"/>
            <w:vAlign w:val="center"/>
          </w:tcPr>
          <w:p w14:paraId="2F89EC9A" w14:textId="77777777" w:rsidR="00672297" w:rsidRDefault="00A16EA3">
            <w:pPr>
              <w:spacing w:before="20" w:after="20"/>
              <w:jc w:val="left"/>
            </w:pPr>
            <w:r>
              <w:rPr>
                <w:rFonts w:cstheme="minorHAnsi"/>
                <w:sz w:val="18"/>
                <w:szCs w:val="18"/>
              </w:rPr>
              <w:t>material_id</w:t>
            </w:r>
          </w:p>
        </w:tc>
        <w:tc>
          <w:tcPr>
            <w:tcW w:w="1029" w:type="dxa"/>
            <w:vAlign w:val="center"/>
          </w:tcPr>
          <w:p w14:paraId="5946AF1A" w14:textId="77777777" w:rsidR="00672297" w:rsidRDefault="00A16EA3">
            <w:pPr>
              <w:spacing w:before="20" w:after="20"/>
              <w:jc w:val="left"/>
            </w:pPr>
            <w:r>
              <w:rPr>
                <w:rFonts w:cstheme="minorHAnsi"/>
                <w:sz w:val="18"/>
                <w:szCs w:val="18"/>
              </w:rPr>
              <w:t>INT</w:t>
            </w:r>
          </w:p>
        </w:tc>
        <w:tc>
          <w:tcPr>
            <w:tcW w:w="468" w:type="dxa"/>
            <w:vAlign w:val="center"/>
          </w:tcPr>
          <w:p w14:paraId="07B86C83" w14:textId="77777777" w:rsidR="00672297" w:rsidRDefault="00A16EA3">
            <w:pPr>
              <w:spacing w:before="20" w:after="20"/>
              <w:jc w:val="left"/>
            </w:pPr>
            <w:r>
              <w:rPr>
                <w:rFonts w:cstheme="minorHAnsi"/>
                <w:sz w:val="18"/>
                <w:szCs w:val="18"/>
              </w:rPr>
              <w:t>Yes</w:t>
            </w:r>
          </w:p>
        </w:tc>
        <w:tc>
          <w:tcPr>
            <w:tcW w:w="842" w:type="dxa"/>
            <w:vAlign w:val="center"/>
          </w:tcPr>
          <w:p w14:paraId="49279EED" w14:textId="77777777" w:rsidR="00672297" w:rsidRDefault="00A16EA3">
            <w:pPr>
              <w:spacing w:before="20" w:after="20"/>
              <w:jc w:val="left"/>
            </w:pPr>
            <w:r>
              <w:rPr>
                <w:rFonts w:cstheme="minorHAnsi"/>
                <w:sz w:val="18"/>
                <w:szCs w:val="18"/>
              </w:rPr>
              <w:t>FK &gt; material, UK</w:t>
            </w:r>
          </w:p>
        </w:tc>
        <w:tc>
          <w:tcPr>
            <w:tcW w:w="2808" w:type="dxa"/>
            <w:vAlign w:val="center"/>
          </w:tcPr>
          <w:p w14:paraId="1008D2ED" w14:textId="77777777" w:rsidR="00672297" w:rsidRDefault="00A16EA3">
            <w:pPr>
              <w:spacing w:before="20" w:after="20"/>
              <w:jc w:val="left"/>
            </w:pPr>
            <w:r>
              <w:rPr>
                <w:rFonts w:cstheme="minorHAnsi"/>
                <w:sz w:val="18"/>
                <w:szCs w:val="18"/>
              </w:rPr>
              <w:t>Product or blend component (tank Product attribute; for a flow, the product of the service tank)</w:t>
            </w:r>
          </w:p>
        </w:tc>
        <w:tc>
          <w:tcPr>
            <w:tcW w:w="2341" w:type="dxa"/>
            <w:vAlign w:val="center"/>
          </w:tcPr>
          <w:p w14:paraId="3D9085FF" w14:textId="77777777" w:rsidR="00672297" w:rsidRDefault="00A16EA3">
            <w:pPr>
              <w:spacing w:before="20" w:after="20"/>
              <w:jc w:val="left"/>
            </w:pPr>
            <w:r>
              <w:rPr>
                <w:rFonts w:cstheme="minorHAnsi"/>
                <w:sz w:val="18"/>
                <w:szCs w:val="18"/>
              </w:rPr>
              <w:t>Material_GlobalCode</w:t>
            </w:r>
          </w:p>
        </w:tc>
      </w:tr>
      <w:tr w:rsidR="00672297" w14:paraId="09C44006" w14:textId="77777777">
        <w:trPr>
          <w:cantSplit/>
        </w:trPr>
        <w:tc>
          <w:tcPr>
            <w:tcW w:w="1872" w:type="dxa"/>
            <w:vAlign w:val="center"/>
          </w:tcPr>
          <w:p w14:paraId="51DB37D7" w14:textId="77777777" w:rsidR="00672297" w:rsidRDefault="00A16EA3">
            <w:pPr>
              <w:spacing w:before="20" w:after="20"/>
              <w:jc w:val="left"/>
            </w:pPr>
            <w:r>
              <w:rPr>
                <w:rFonts w:cstheme="minorHAnsi"/>
                <w:sz w:val="18"/>
                <w:szCs w:val="18"/>
              </w:rPr>
              <w:t>location_id</w:t>
            </w:r>
          </w:p>
        </w:tc>
        <w:tc>
          <w:tcPr>
            <w:tcW w:w="1029" w:type="dxa"/>
            <w:vAlign w:val="center"/>
          </w:tcPr>
          <w:p w14:paraId="61FA176F" w14:textId="77777777" w:rsidR="00672297" w:rsidRDefault="00A16EA3">
            <w:pPr>
              <w:spacing w:before="20" w:after="20"/>
              <w:jc w:val="left"/>
            </w:pPr>
            <w:r>
              <w:rPr>
                <w:rFonts w:cstheme="minorHAnsi"/>
                <w:sz w:val="18"/>
                <w:szCs w:val="18"/>
              </w:rPr>
              <w:t>INT</w:t>
            </w:r>
          </w:p>
        </w:tc>
        <w:tc>
          <w:tcPr>
            <w:tcW w:w="468" w:type="dxa"/>
            <w:vAlign w:val="center"/>
          </w:tcPr>
          <w:p w14:paraId="5261DF7B" w14:textId="77777777" w:rsidR="00672297" w:rsidRDefault="00A16EA3">
            <w:pPr>
              <w:spacing w:before="20" w:after="20"/>
              <w:jc w:val="left"/>
            </w:pPr>
            <w:r>
              <w:rPr>
                <w:rFonts w:cstheme="minorHAnsi"/>
                <w:sz w:val="18"/>
                <w:szCs w:val="18"/>
              </w:rPr>
              <w:t>No</w:t>
            </w:r>
          </w:p>
        </w:tc>
        <w:tc>
          <w:tcPr>
            <w:tcW w:w="842" w:type="dxa"/>
            <w:vAlign w:val="center"/>
          </w:tcPr>
          <w:p w14:paraId="0FC74994" w14:textId="77777777" w:rsidR="00672297" w:rsidRDefault="00A16EA3">
            <w:pPr>
              <w:spacing w:before="20" w:after="20"/>
              <w:jc w:val="left"/>
            </w:pPr>
            <w:r>
              <w:rPr>
                <w:rFonts w:cstheme="minorHAnsi"/>
                <w:sz w:val="18"/>
                <w:szCs w:val="18"/>
              </w:rPr>
              <w:t>FK &gt; location, UK</w:t>
            </w:r>
          </w:p>
        </w:tc>
        <w:tc>
          <w:tcPr>
            <w:tcW w:w="2808" w:type="dxa"/>
            <w:vAlign w:val="center"/>
          </w:tcPr>
          <w:p w14:paraId="6B5E68B6" w14:textId="77777777" w:rsidR="00672297" w:rsidRDefault="00A16EA3">
            <w:pPr>
              <w:spacing w:before="20" w:after="20"/>
              <w:jc w:val="left"/>
            </w:pPr>
            <w:r>
              <w:rPr>
                <w:rFonts w:cstheme="minorHAnsi"/>
                <w:sz w:val="18"/>
                <w:szCs w:val="18"/>
              </w:rPr>
              <w:t>Terminal</w:t>
            </w:r>
          </w:p>
        </w:tc>
        <w:tc>
          <w:tcPr>
            <w:tcW w:w="2341" w:type="dxa"/>
            <w:vAlign w:val="center"/>
          </w:tcPr>
          <w:p w14:paraId="1FE405EE" w14:textId="77777777" w:rsidR="00672297" w:rsidRDefault="00A16EA3">
            <w:pPr>
              <w:spacing w:before="20" w:after="20"/>
              <w:jc w:val="left"/>
            </w:pPr>
            <w:r>
              <w:rPr>
                <w:rFonts w:cstheme="minorHAnsi"/>
                <w:sz w:val="18"/>
                <w:szCs w:val="18"/>
              </w:rPr>
              <w:t>Location_GlobalCode</w:t>
            </w:r>
          </w:p>
        </w:tc>
      </w:tr>
      <w:tr w:rsidR="00672297" w14:paraId="737A198F" w14:textId="77777777">
        <w:trPr>
          <w:cantSplit/>
        </w:trPr>
        <w:tc>
          <w:tcPr>
            <w:tcW w:w="1872" w:type="dxa"/>
            <w:vAlign w:val="center"/>
          </w:tcPr>
          <w:p w14:paraId="48D8E15F" w14:textId="77777777" w:rsidR="00672297" w:rsidRDefault="00A16EA3">
            <w:pPr>
              <w:spacing w:before="20" w:after="20"/>
              <w:jc w:val="left"/>
            </w:pPr>
            <w:r>
              <w:rPr>
                <w:rFonts w:cstheme="minorHAnsi"/>
                <w:sz w:val="18"/>
                <w:szCs w:val="18"/>
              </w:rPr>
              <w:t>property_id</w:t>
            </w:r>
          </w:p>
        </w:tc>
        <w:tc>
          <w:tcPr>
            <w:tcW w:w="1029" w:type="dxa"/>
            <w:vAlign w:val="center"/>
          </w:tcPr>
          <w:p w14:paraId="434AE662" w14:textId="77777777" w:rsidR="00672297" w:rsidRDefault="00A16EA3">
            <w:pPr>
              <w:spacing w:before="20" w:after="20"/>
              <w:jc w:val="left"/>
            </w:pPr>
            <w:r>
              <w:rPr>
                <w:rFonts w:cstheme="minorHAnsi"/>
                <w:sz w:val="18"/>
                <w:szCs w:val="18"/>
              </w:rPr>
              <w:t>INT</w:t>
            </w:r>
          </w:p>
        </w:tc>
        <w:tc>
          <w:tcPr>
            <w:tcW w:w="468" w:type="dxa"/>
            <w:vAlign w:val="center"/>
          </w:tcPr>
          <w:p w14:paraId="2B751485" w14:textId="77777777" w:rsidR="00672297" w:rsidRDefault="00A16EA3">
            <w:pPr>
              <w:spacing w:before="20" w:after="20"/>
              <w:jc w:val="left"/>
            </w:pPr>
            <w:r>
              <w:rPr>
                <w:rFonts w:cstheme="minorHAnsi"/>
                <w:sz w:val="18"/>
                <w:szCs w:val="18"/>
              </w:rPr>
              <w:t>No</w:t>
            </w:r>
          </w:p>
        </w:tc>
        <w:tc>
          <w:tcPr>
            <w:tcW w:w="842" w:type="dxa"/>
            <w:vAlign w:val="center"/>
          </w:tcPr>
          <w:p w14:paraId="45A100C4" w14:textId="77777777" w:rsidR="00672297" w:rsidRDefault="00A16EA3">
            <w:pPr>
              <w:spacing w:before="20" w:after="20"/>
              <w:jc w:val="left"/>
            </w:pPr>
            <w:r>
              <w:rPr>
                <w:rFonts w:cstheme="minorHAnsi"/>
                <w:sz w:val="18"/>
                <w:szCs w:val="18"/>
              </w:rPr>
              <w:t>FK &gt; property, UK</w:t>
            </w:r>
          </w:p>
        </w:tc>
        <w:tc>
          <w:tcPr>
            <w:tcW w:w="2808" w:type="dxa"/>
            <w:vAlign w:val="center"/>
          </w:tcPr>
          <w:p w14:paraId="4CA73FDC" w14:textId="77777777" w:rsidR="00672297" w:rsidRDefault="00A16EA3">
            <w:pPr>
              <w:spacing w:before="20" w:after="20"/>
              <w:jc w:val="left"/>
            </w:pPr>
            <w:r>
              <w:rPr>
                <w:rFonts w:cstheme="minorHAnsi"/>
                <w:sz w:val="18"/>
                <w:szCs w:val="18"/>
              </w:rPr>
              <w:t>Net Standard Volume, analyzer quality or daily throughput</w:t>
            </w:r>
          </w:p>
        </w:tc>
        <w:tc>
          <w:tcPr>
            <w:tcW w:w="2341" w:type="dxa"/>
            <w:vAlign w:val="center"/>
          </w:tcPr>
          <w:p w14:paraId="4749C0E6" w14:textId="77777777" w:rsidR="00672297" w:rsidRDefault="00A16EA3">
            <w:pPr>
              <w:spacing w:before="20" w:after="20"/>
              <w:jc w:val="left"/>
            </w:pPr>
            <w:r>
              <w:rPr>
                <w:rFonts w:cstheme="minorHAnsi"/>
                <w:sz w:val="18"/>
                <w:szCs w:val="18"/>
              </w:rPr>
              <w:t>Property_GlobalCode</w:t>
            </w:r>
          </w:p>
        </w:tc>
      </w:tr>
      <w:tr w:rsidR="00672297" w14:paraId="0A2B131C" w14:textId="77777777">
        <w:trPr>
          <w:cantSplit/>
        </w:trPr>
        <w:tc>
          <w:tcPr>
            <w:tcW w:w="1872" w:type="dxa"/>
            <w:vAlign w:val="center"/>
          </w:tcPr>
          <w:p w14:paraId="2E337345" w14:textId="77777777" w:rsidR="00672297" w:rsidRDefault="00A16EA3">
            <w:pPr>
              <w:spacing w:before="20" w:after="20"/>
              <w:jc w:val="left"/>
            </w:pPr>
            <w:r>
              <w:rPr>
                <w:rFonts w:cstheme="minorHAnsi"/>
                <w:sz w:val="18"/>
                <w:szCs w:val="18"/>
              </w:rPr>
              <w:t>uom_id</w:t>
            </w:r>
          </w:p>
        </w:tc>
        <w:tc>
          <w:tcPr>
            <w:tcW w:w="1029" w:type="dxa"/>
            <w:vAlign w:val="center"/>
          </w:tcPr>
          <w:p w14:paraId="06D9DC56" w14:textId="77777777" w:rsidR="00672297" w:rsidRDefault="00A16EA3">
            <w:pPr>
              <w:spacing w:before="20" w:after="20"/>
              <w:jc w:val="left"/>
            </w:pPr>
            <w:r>
              <w:rPr>
                <w:rFonts w:cstheme="minorHAnsi"/>
                <w:sz w:val="18"/>
                <w:szCs w:val="18"/>
              </w:rPr>
              <w:t>INT</w:t>
            </w:r>
          </w:p>
        </w:tc>
        <w:tc>
          <w:tcPr>
            <w:tcW w:w="468" w:type="dxa"/>
            <w:vAlign w:val="center"/>
          </w:tcPr>
          <w:p w14:paraId="6EE6808B" w14:textId="77777777" w:rsidR="00672297" w:rsidRDefault="00A16EA3">
            <w:pPr>
              <w:spacing w:before="20" w:after="20"/>
              <w:jc w:val="left"/>
            </w:pPr>
            <w:r>
              <w:rPr>
                <w:rFonts w:cstheme="minorHAnsi"/>
                <w:sz w:val="18"/>
                <w:szCs w:val="18"/>
              </w:rPr>
              <w:t>Yes</w:t>
            </w:r>
          </w:p>
        </w:tc>
        <w:tc>
          <w:tcPr>
            <w:tcW w:w="842" w:type="dxa"/>
            <w:vAlign w:val="center"/>
          </w:tcPr>
          <w:p w14:paraId="1BDE4245" w14:textId="77777777" w:rsidR="00672297" w:rsidRDefault="00A16EA3">
            <w:pPr>
              <w:spacing w:before="20" w:after="20"/>
              <w:jc w:val="left"/>
            </w:pPr>
            <w:r>
              <w:rPr>
                <w:rFonts w:cstheme="minorHAnsi"/>
                <w:sz w:val="18"/>
                <w:szCs w:val="18"/>
              </w:rPr>
              <w:t>FK &gt; uom</w:t>
            </w:r>
          </w:p>
        </w:tc>
        <w:tc>
          <w:tcPr>
            <w:tcW w:w="2808" w:type="dxa"/>
            <w:vAlign w:val="center"/>
          </w:tcPr>
          <w:p w14:paraId="38A10897" w14:textId="77777777" w:rsidR="00672297" w:rsidRDefault="00A16EA3">
            <w:pPr>
              <w:spacing w:before="20" w:after="20"/>
              <w:jc w:val="left"/>
            </w:pPr>
            <w:r>
              <w:rPr>
                <w:rFonts w:cstheme="minorHAnsi"/>
                <w:sz w:val="18"/>
                <w:szCs w:val="18"/>
              </w:rPr>
              <w:t>Unit of the value (IQDM default unit for volumes; own unit for qualities)</w:t>
            </w:r>
          </w:p>
        </w:tc>
        <w:tc>
          <w:tcPr>
            <w:tcW w:w="2341" w:type="dxa"/>
            <w:vAlign w:val="center"/>
          </w:tcPr>
          <w:p w14:paraId="14D35330" w14:textId="77777777" w:rsidR="00672297" w:rsidRDefault="00A16EA3">
            <w:pPr>
              <w:spacing w:before="20" w:after="20"/>
              <w:jc w:val="left"/>
            </w:pPr>
            <w:r>
              <w:rPr>
                <w:rFonts w:cstheme="minorHAnsi"/>
                <w:sz w:val="18"/>
                <w:szCs w:val="18"/>
              </w:rPr>
              <w:t>UOM_GlobalCode</w:t>
            </w:r>
          </w:p>
        </w:tc>
      </w:tr>
      <w:tr w:rsidR="00672297" w14:paraId="0D063639" w14:textId="77777777">
        <w:trPr>
          <w:cantSplit/>
        </w:trPr>
        <w:tc>
          <w:tcPr>
            <w:tcW w:w="1872" w:type="dxa"/>
            <w:vAlign w:val="center"/>
          </w:tcPr>
          <w:p w14:paraId="3188D544" w14:textId="77777777" w:rsidR="00672297" w:rsidRDefault="00A16EA3">
            <w:pPr>
              <w:spacing w:before="20" w:after="20"/>
              <w:jc w:val="left"/>
            </w:pPr>
            <w:r>
              <w:rPr>
                <w:rFonts w:cstheme="minorHAnsi"/>
                <w:sz w:val="18"/>
                <w:szCs w:val="18"/>
              </w:rPr>
              <w:t>measurement_category</w:t>
            </w:r>
          </w:p>
        </w:tc>
        <w:tc>
          <w:tcPr>
            <w:tcW w:w="1029" w:type="dxa"/>
            <w:vAlign w:val="center"/>
          </w:tcPr>
          <w:p w14:paraId="696A5F1A" w14:textId="77777777" w:rsidR="00672297" w:rsidRDefault="00A16EA3">
            <w:pPr>
              <w:spacing w:before="20" w:after="20"/>
              <w:jc w:val="left"/>
            </w:pPr>
            <w:r>
              <w:rPr>
                <w:rFonts w:cstheme="minorHAnsi"/>
                <w:sz w:val="18"/>
                <w:szCs w:val="18"/>
              </w:rPr>
              <w:t>VARCHAR(30)</w:t>
            </w:r>
          </w:p>
        </w:tc>
        <w:tc>
          <w:tcPr>
            <w:tcW w:w="468" w:type="dxa"/>
            <w:vAlign w:val="center"/>
          </w:tcPr>
          <w:p w14:paraId="30CF5AA3" w14:textId="77777777" w:rsidR="00672297" w:rsidRDefault="00A16EA3">
            <w:pPr>
              <w:spacing w:before="20" w:after="20"/>
              <w:jc w:val="left"/>
            </w:pPr>
            <w:r>
              <w:rPr>
                <w:rFonts w:cstheme="minorHAnsi"/>
                <w:sz w:val="18"/>
                <w:szCs w:val="18"/>
              </w:rPr>
              <w:t>No</w:t>
            </w:r>
          </w:p>
        </w:tc>
        <w:tc>
          <w:tcPr>
            <w:tcW w:w="842" w:type="dxa"/>
            <w:vAlign w:val="center"/>
          </w:tcPr>
          <w:p w14:paraId="1DD4F22A" w14:textId="77777777" w:rsidR="00672297" w:rsidRDefault="00672297">
            <w:pPr>
              <w:spacing w:before="20" w:after="20"/>
              <w:jc w:val="left"/>
            </w:pPr>
          </w:p>
        </w:tc>
        <w:tc>
          <w:tcPr>
            <w:tcW w:w="2808" w:type="dxa"/>
            <w:vAlign w:val="center"/>
          </w:tcPr>
          <w:p w14:paraId="0D5AEBA9" w14:textId="77777777" w:rsidR="00672297" w:rsidRDefault="00A16EA3">
            <w:pPr>
              <w:spacing w:before="20" w:after="20"/>
              <w:jc w:val="left"/>
            </w:pPr>
            <w:r>
              <w:rPr>
                <w:rFonts w:cstheme="minorHAnsi"/>
                <w:sz w:val="18"/>
                <w:szCs w:val="18"/>
              </w:rPr>
              <w:t>Inventory, Analyzer Quality or Blend Component Flow</w:t>
            </w:r>
          </w:p>
        </w:tc>
        <w:tc>
          <w:tcPr>
            <w:tcW w:w="2341" w:type="dxa"/>
            <w:vAlign w:val="center"/>
          </w:tcPr>
          <w:p w14:paraId="740F60EC" w14:textId="77777777" w:rsidR="00672297" w:rsidRDefault="00A16EA3">
            <w:pPr>
              <w:spacing w:before="20" w:after="20"/>
              <w:jc w:val="left"/>
            </w:pPr>
            <w:r>
              <w:rPr>
                <w:rFonts w:cstheme="minorHAnsi"/>
                <w:sz w:val="18"/>
                <w:szCs w:val="18"/>
              </w:rPr>
              <w:t>Derived from the Property (Property Mapping)</w:t>
            </w:r>
          </w:p>
        </w:tc>
      </w:tr>
      <w:tr w:rsidR="00672297" w14:paraId="0D41BF04" w14:textId="77777777">
        <w:trPr>
          <w:cantSplit/>
        </w:trPr>
        <w:tc>
          <w:tcPr>
            <w:tcW w:w="1872" w:type="dxa"/>
            <w:vAlign w:val="center"/>
          </w:tcPr>
          <w:p w14:paraId="425ADF2E" w14:textId="77777777" w:rsidR="00672297" w:rsidRDefault="00A16EA3">
            <w:pPr>
              <w:spacing w:before="20" w:after="20"/>
              <w:jc w:val="left"/>
            </w:pPr>
            <w:r>
              <w:rPr>
                <w:rFonts w:cstheme="minorHAnsi"/>
                <w:sz w:val="18"/>
                <w:szCs w:val="18"/>
              </w:rPr>
              <w:t>value</w:t>
            </w:r>
          </w:p>
        </w:tc>
        <w:tc>
          <w:tcPr>
            <w:tcW w:w="1029" w:type="dxa"/>
            <w:vAlign w:val="center"/>
          </w:tcPr>
          <w:p w14:paraId="3330C393" w14:textId="77777777" w:rsidR="00672297" w:rsidRDefault="00A16EA3">
            <w:pPr>
              <w:spacing w:before="20" w:after="20"/>
              <w:jc w:val="left"/>
            </w:pPr>
            <w:r>
              <w:rPr>
                <w:rFonts w:cstheme="minorHAnsi"/>
                <w:sz w:val="18"/>
                <w:szCs w:val="18"/>
              </w:rPr>
              <w:t>DECIMAL(18,4)</w:t>
            </w:r>
          </w:p>
        </w:tc>
        <w:tc>
          <w:tcPr>
            <w:tcW w:w="468" w:type="dxa"/>
            <w:vAlign w:val="center"/>
          </w:tcPr>
          <w:p w14:paraId="70CBAC66" w14:textId="77777777" w:rsidR="00672297" w:rsidRDefault="00A16EA3">
            <w:pPr>
              <w:spacing w:before="20" w:after="20"/>
              <w:jc w:val="left"/>
            </w:pPr>
            <w:r>
              <w:rPr>
                <w:rFonts w:cstheme="minorHAnsi"/>
                <w:sz w:val="18"/>
                <w:szCs w:val="18"/>
              </w:rPr>
              <w:t>No</w:t>
            </w:r>
          </w:p>
        </w:tc>
        <w:tc>
          <w:tcPr>
            <w:tcW w:w="842" w:type="dxa"/>
            <w:vAlign w:val="center"/>
          </w:tcPr>
          <w:p w14:paraId="50A1C8A1" w14:textId="77777777" w:rsidR="00672297" w:rsidRDefault="00672297">
            <w:pPr>
              <w:spacing w:before="20" w:after="20"/>
              <w:jc w:val="left"/>
            </w:pPr>
          </w:p>
        </w:tc>
        <w:tc>
          <w:tcPr>
            <w:tcW w:w="2808" w:type="dxa"/>
            <w:vAlign w:val="center"/>
          </w:tcPr>
          <w:p w14:paraId="699AA0D4" w14:textId="77777777" w:rsidR="00672297" w:rsidRDefault="00A16EA3">
            <w:pPr>
              <w:spacing w:before="20" w:after="20"/>
              <w:jc w:val="left"/>
            </w:pPr>
            <w:r>
              <w:rPr>
                <w:rFonts w:cstheme="minorHAnsi"/>
                <w:sz w:val="18"/>
                <w:szCs w:val="18"/>
              </w:rPr>
              <w:t>PI value</w:t>
            </w:r>
          </w:p>
        </w:tc>
        <w:tc>
          <w:tcPr>
            <w:tcW w:w="2341" w:type="dxa"/>
            <w:vAlign w:val="center"/>
          </w:tcPr>
          <w:p w14:paraId="6C18C4C6" w14:textId="77777777" w:rsidR="00672297" w:rsidRDefault="00A16EA3">
            <w:pPr>
              <w:spacing w:before="20" w:after="20"/>
              <w:jc w:val="left"/>
            </w:pPr>
            <w:r>
              <w:rPr>
                <w:rFonts w:cstheme="minorHAnsi"/>
                <w:sz w:val="18"/>
                <w:szCs w:val="18"/>
              </w:rPr>
              <w:t>Value</w:t>
            </w:r>
          </w:p>
        </w:tc>
      </w:tr>
      <w:tr w:rsidR="00672297" w14:paraId="29863E57" w14:textId="77777777">
        <w:trPr>
          <w:cantSplit/>
        </w:trPr>
        <w:tc>
          <w:tcPr>
            <w:tcW w:w="1872" w:type="dxa"/>
            <w:vAlign w:val="center"/>
          </w:tcPr>
          <w:p w14:paraId="2E49C343" w14:textId="77777777" w:rsidR="00672297" w:rsidRDefault="00A16EA3">
            <w:pPr>
              <w:spacing w:before="20" w:after="20"/>
              <w:jc w:val="left"/>
            </w:pPr>
            <w:r>
              <w:rPr>
                <w:rFonts w:cstheme="minorHAnsi"/>
                <w:sz w:val="18"/>
                <w:szCs w:val="18"/>
              </w:rPr>
              <w:t>value_date</w:t>
            </w:r>
          </w:p>
        </w:tc>
        <w:tc>
          <w:tcPr>
            <w:tcW w:w="1029" w:type="dxa"/>
            <w:vAlign w:val="center"/>
          </w:tcPr>
          <w:p w14:paraId="5ED4ADC4" w14:textId="77777777" w:rsidR="00672297" w:rsidRDefault="00A16EA3">
            <w:pPr>
              <w:spacing w:before="20" w:after="20"/>
              <w:jc w:val="left"/>
            </w:pPr>
            <w:r>
              <w:rPr>
                <w:rFonts w:cstheme="minorHAnsi"/>
                <w:sz w:val="18"/>
                <w:szCs w:val="18"/>
              </w:rPr>
              <w:t>DATETIME</w:t>
            </w:r>
          </w:p>
        </w:tc>
        <w:tc>
          <w:tcPr>
            <w:tcW w:w="468" w:type="dxa"/>
            <w:vAlign w:val="center"/>
          </w:tcPr>
          <w:p w14:paraId="201B1C89" w14:textId="77777777" w:rsidR="00672297" w:rsidRDefault="00A16EA3">
            <w:pPr>
              <w:spacing w:before="20" w:after="20"/>
              <w:jc w:val="left"/>
            </w:pPr>
            <w:r>
              <w:rPr>
                <w:rFonts w:cstheme="minorHAnsi"/>
                <w:sz w:val="18"/>
                <w:szCs w:val="18"/>
              </w:rPr>
              <w:t>No</w:t>
            </w:r>
          </w:p>
        </w:tc>
        <w:tc>
          <w:tcPr>
            <w:tcW w:w="842" w:type="dxa"/>
            <w:vAlign w:val="center"/>
          </w:tcPr>
          <w:p w14:paraId="4B226F90" w14:textId="77777777" w:rsidR="00672297" w:rsidRDefault="00A16EA3">
            <w:pPr>
              <w:spacing w:before="20" w:after="20"/>
              <w:jc w:val="left"/>
            </w:pPr>
            <w:r>
              <w:rPr>
                <w:rFonts w:cstheme="minorHAnsi"/>
                <w:sz w:val="18"/>
                <w:szCs w:val="18"/>
              </w:rPr>
              <w:t>UK</w:t>
            </w:r>
          </w:p>
        </w:tc>
        <w:tc>
          <w:tcPr>
            <w:tcW w:w="2808" w:type="dxa"/>
            <w:vAlign w:val="center"/>
          </w:tcPr>
          <w:p w14:paraId="031EBF35" w14:textId="77777777" w:rsidR="00672297" w:rsidRDefault="00A16EA3">
            <w:pPr>
              <w:spacing w:before="20" w:after="20"/>
              <w:jc w:val="left"/>
            </w:pPr>
            <w:r>
              <w:rPr>
                <w:rFonts w:cstheme="minorHAnsi"/>
                <w:sz w:val="18"/>
                <w:szCs w:val="18"/>
              </w:rPr>
              <w:t>Time stamp of the value (UTC)</w:t>
            </w:r>
          </w:p>
        </w:tc>
        <w:tc>
          <w:tcPr>
            <w:tcW w:w="2341" w:type="dxa"/>
            <w:vAlign w:val="center"/>
          </w:tcPr>
          <w:p w14:paraId="4D9A0A34" w14:textId="77777777" w:rsidR="00672297" w:rsidRDefault="00A16EA3">
            <w:pPr>
              <w:spacing w:before="20" w:after="20"/>
              <w:jc w:val="left"/>
            </w:pPr>
            <w:r>
              <w:rPr>
                <w:rFonts w:cstheme="minorHAnsi"/>
                <w:sz w:val="18"/>
                <w:szCs w:val="18"/>
              </w:rPr>
              <w:t>ValueDate</w:t>
            </w:r>
          </w:p>
        </w:tc>
      </w:tr>
      <w:tr w:rsidR="00672297" w14:paraId="454E77C7" w14:textId="77777777">
        <w:trPr>
          <w:cantSplit/>
        </w:trPr>
        <w:tc>
          <w:tcPr>
            <w:tcW w:w="1872" w:type="dxa"/>
            <w:vAlign w:val="center"/>
          </w:tcPr>
          <w:p w14:paraId="1E126B18" w14:textId="77777777" w:rsidR="00672297" w:rsidRDefault="00A16EA3">
            <w:pPr>
              <w:spacing w:before="20" w:after="20"/>
              <w:jc w:val="left"/>
            </w:pPr>
            <w:r>
              <w:rPr>
                <w:rFonts w:cstheme="minorHAnsi"/>
                <w:sz w:val="18"/>
                <w:szCs w:val="18"/>
              </w:rPr>
              <w:t>pi_tag</w:t>
            </w:r>
          </w:p>
        </w:tc>
        <w:tc>
          <w:tcPr>
            <w:tcW w:w="1029" w:type="dxa"/>
            <w:vAlign w:val="center"/>
          </w:tcPr>
          <w:p w14:paraId="43A3493E" w14:textId="77777777" w:rsidR="00672297" w:rsidRDefault="00A16EA3">
            <w:pPr>
              <w:spacing w:before="20" w:after="20"/>
              <w:jc w:val="left"/>
            </w:pPr>
            <w:r>
              <w:rPr>
                <w:rFonts w:cstheme="minorHAnsi"/>
                <w:sz w:val="18"/>
                <w:szCs w:val="18"/>
              </w:rPr>
              <w:t>VARCHAR(500)</w:t>
            </w:r>
          </w:p>
        </w:tc>
        <w:tc>
          <w:tcPr>
            <w:tcW w:w="468" w:type="dxa"/>
            <w:vAlign w:val="center"/>
          </w:tcPr>
          <w:p w14:paraId="6A3D9AF9" w14:textId="77777777" w:rsidR="00672297" w:rsidRDefault="00A16EA3">
            <w:pPr>
              <w:spacing w:before="20" w:after="20"/>
              <w:jc w:val="left"/>
            </w:pPr>
            <w:r>
              <w:rPr>
                <w:rFonts w:cstheme="minorHAnsi"/>
                <w:sz w:val="18"/>
                <w:szCs w:val="18"/>
              </w:rPr>
              <w:t>No</w:t>
            </w:r>
          </w:p>
        </w:tc>
        <w:tc>
          <w:tcPr>
            <w:tcW w:w="842" w:type="dxa"/>
            <w:vAlign w:val="center"/>
          </w:tcPr>
          <w:p w14:paraId="586F3F49" w14:textId="77777777" w:rsidR="00672297" w:rsidRDefault="00672297">
            <w:pPr>
              <w:spacing w:before="20" w:after="20"/>
              <w:jc w:val="left"/>
            </w:pPr>
          </w:p>
        </w:tc>
        <w:tc>
          <w:tcPr>
            <w:tcW w:w="2808" w:type="dxa"/>
            <w:vAlign w:val="center"/>
          </w:tcPr>
          <w:p w14:paraId="3EDBC4E3" w14:textId="77777777" w:rsidR="00672297" w:rsidRDefault="00A16EA3">
            <w:pPr>
              <w:spacing w:before="20" w:after="20"/>
              <w:jc w:val="left"/>
            </w:pPr>
            <w:r>
              <w:rPr>
                <w:rFonts w:cstheme="minorHAnsi"/>
                <w:sz w:val="18"/>
                <w:szCs w:val="18"/>
              </w:rPr>
              <w:t>PIAF attribute path</w:t>
            </w:r>
          </w:p>
        </w:tc>
        <w:tc>
          <w:tcPr>
            <w:tcW w:w="2341" w:type="dxa"/>
            <w:vAlign w:val="center"/>
          </w:tcPr>
          <w:p w14:paraId="101D0B7D" w14:textId="77777777" w:rsidR="00672297" w:rsidRDefault="00A16EA3">
            <w:pPr>
              <w:spacing w:before="20" w:after="20"/>
              <w:jc w:val="left"/>
            </w:pPr>
            <w:r>
              <w:rPr>
                <w:rFonts w:cstheme="minorHAnsi"/>
                <w:sz w:val="18"/>
                <w:szCs w:val="18"/>
              </w:rPr>
              <w:t>PITag</w:t>
            </w:r>
          </w:p>
        </w:tc>
      </w:tr>
      <w:tr w:rsidR="00672297" w14:paraId="47CA8F73" w14:textId="77777777">
        <w:trPr>
          <w:cantSplit/>
        </w:trPr>
        <w:tc>
          <w:tcPr>
            <w:tcW w:w="1872" w:type="dxa"/>
            <w:vAlign w:val="center"/>
          </w:tcPr>
          <w:p w14:paraId="6E55DE10" w14:textId="77777777" w:rsidR="00672297" w:rsidRDefault="00A16EA3">
            <w:pPr>
              <w:spacing w:before="20" w:after="20"/>
              <w:jc w:val="left"/>
            </w:pPr>
            <w:r>
              <w:rPr>
                <w:rFonts w:cstheme="minorHAnsi"/>
                <w:sz w:val="18"/>
                <w:szCs w:val="18"/>
              </w:rPr>
              <w:t>pi_description</w:t>
            </w:r>
          </w:p>
        </w:tc>
        <w:tc>
          <w:tcPr>
            <w:tcW w:w="1029" w:type="dxa"/>
            <w:vAlign w:val="center"/>
          </w:tcPr>
          <w:p w14:paraId="6F3504AB" w14:textId="77777777" w:rsidR="00672297" w:rsidRDefault="00A16EA3">
            <w:pPr>
              <w:spacing w:before="20" w:after="20"/>
              <w:jc w:val="left"/>
            </w:pPr>
            <w:r>
              <w:rPr>
                <w:rFonts w:cstheme="minorHAnsi"/>
                <w:sz w:val="18"/>
                <w:szCs w:val="18"/>
              </w:rPr>
              <w:t>VARCHAR(255)</w:t>
            </w:r>
          </w:p>
        </w:tc>
        <w:tc>
          <w:tcPr>
            <w:tcW w:w="468" w:type="dxa"/>
            <w:vAlign w:val="center"/>
          </w:tcPr>
          <w:p w14:paraId="600113DF" w14:textId="77777777" w:rsidR="00672297" w:rsidRDefault="00A16EA3">
            <w:pPr>
              <w:spacing w:before="20" w:after="20"/>
              <w:jc w:val="left"/>
            </w:pPr>
            <w:r>
              <w:rPr>
                <w:rFonts w:cstheme="minorHAnsi"/>
                <w:sz w:val="18"/>
                <w:szCs w:val="18"/>
              </w:rPr>
              <w:t>Yes</w:t>
            </w:r>
          </w:p>
        </w:tc>
        <w:tc>
          <w:tcPr>
            <w:tcW w:w="842" w:type="dxa"/>
            <w:vAlign w:val="center"/>
          </w:tcPr>
          <w:p w14:paraId="246446AD" w14:textId="77777777" w:rsidR="00672297" w:rsidRDefault="00672297">
            <w:pPr>
              <w:spacing w:before="20" w:after="20"/>
              <w:jc w:val="left"/>
            </w:pPr>
          </w:p>
        </w:tc>
        <w:tc>
          <w:tcPr>
            <w:tcW w:w="2808" w:type="dxa"/>
            <w:vAlign w:val="center"/>
          </w:tcPr>
          <w:p w14:paraId="35F82D92" w14:textId="77777777" w:rsidR="00672297" w:rsidRDefault="00A16EA3">
            <w:pPr>
              <w:spacing w:before="20" w:after="20"/>
              <w:jc w:val="left"/>
            </w:pPr>
            <w:r>
              <w:rPr>
                <w:rFonts w:cstheme="minorHAnsi"/>
                <w:sz w:val="18"/>
                <w:szCs w:val="18"/>
              </w:rPr>
              <w:t>Description of the PI tag (Profisee)</w:t>
            </w:r>
          </w:p>
        </w:tc>
        <w:tc>
          <w:tcPr>
            <w:tcW w:w="2341" w:type="dxa"/>
            <w:vAlign w:val="center"/>
          </w:tcPr>
          <w:p w14:paraId="0CF901E6" w14:textId="77777777" w:rsidR="00672297" w:rsidRDefault="00A16EA3">
            <w:pPr>
              <w:spacing w:before="20" w:after="20"/>
              <w:jc w:val="left"/>
            </w:pPr>
            <w:r>
              <w:rPr>
                <w:rFonts w:cstheme="minorHAnsi"/>
                <w:sz w:val="18"/>
                <w:szCs w:val="18"/>
              </w:rPr>
              <w:t>PIDescription</w:t>
            </w:r>
          </w:p>
        </w:tc>
      </w:tr>
      <w:tr w:rsidR="00672297" w14:paraId="1097AD74" w14:textId="77777777">
        <w:trPr>
          <w:cantSplit/>
        </w:trPr>
        <w:tc>
          <w:tcPr>
            <w:tcW w:w="1872" w:type="dxa"/>
            <w:vAlign w:val="center"/>
          </w:tcPr>
          <w:p w14:paraId="40EDFFC6" w14:textId="77777777" w:rsidR="00672297" w:rsidRDefault="00A16EA3">
            <w:pPr>
              <w:spacing w:before="20" w:after="20"/>
              <w:jc w:val="left"/>
            </w:pPr>
            <w:r>
              <w:rPr>
                <w:rFonts w:cstheme="minorHAnsi"/>
                <w:sz w:val="18"/>
                <w:szCs w:val="18"/>
              </w:rPr>
              <w:t>state</w:t>
            </w:r>
          </w:p>
        </w:tc>
        <w:tc>
          <w:tcPr>
            <w:tcW w:w="1029" w:type="dxa"/>
            <w:vAlign w:val="center"/>
          </w:tcPr>
          <w:p w14:paraId="057A3656" w14:textId="77777777" w:rsidR="00672297" w:rsidRDefault="00A16EA3">
            <w:pPr>
              <w:spacing w:before="20" w:after="20"/>
              <w:jc w:val="left"/>
            </w:pPr>
            <w:r>
              <w:rPr>
                <w:rFonts w:cstheme="minorHAnsi"/>
                <w:sz w:val="18"/>
                <w:szCs w:val="18"/>
              </w:rPr>
              <w:t>VARCHAR(50)</w:t>
            </w:r>
          </w:p>
        </w:tc>
        <w:tc>
          <w:tcPr>
            <w:tcW w:w="468" w:type="dxa"/>
            <w:vAlign w:val="center"/>
          </w:tcPr>
          <w:p w14:paraId="3C8327D5" w14:textId="77777777" w:rsidR="00672297" w:rsidRDefault="00A16EA3">
            <w:pPr>
              <w:spacing w:before="20" w:after="20"/>
              <w:jc w:val="left"/>
            </w:pPr>
            <w:r>
              <w:rPr>
                <w:rFonts w:cstheme="minorHAnsi"/>
                <w:sz w:val="18"/>
                <w:szCs w:val="18"/>
              </w:rPr>
              <w:t>No</w:t>
            </w:r>
          </w:p>
        </w:tc>
        <w:tc>
          <w:tcPr>
            <w:tcW w:w="842" w:type="dxa"/>
            <w:vAlign w:val="center"/>
          </w:tcPr>
          <w:p w14:paraId="0E9BDEC3" w14:textId="77777777" w:rsidR="00672297" w:rsidRDefault="00A16EA3">
            <w:pPr>
              <w:spacing w:before="20" w:after="20"/>
              <w:jc w:val="left"/>
            </w:pPr>
            <w:r>
              <w:rPr>
                <w:rFonts w:cstheme="minorHAnsi"/>
                <w:sz w:val="18"/>
                <w:szCs w:val="18"/>
              </w:rPr>
              <w:t>UK</w:t>
            </w:r>
          </w:p>
        </w:tc>
        <w:tc>
          <w:tcPr>
            <w:tcW w:w="2808" w:type="dxa"/>
            <w:vAlign w:val="center"/>
          </w:tcPr>
          <w:p w14:paraId="0CBDA427" w14:textId="77777777" w:rsidR="00672297" w:rsidRDefault="00A16EA3">
            <w:pPr>
              <w:spacing w:before="20" w:after="20"/>
              <w:jc w:val="left"/>
            </w:pPr>
            <w:r>
              <w:rPr>
                <w:rFonts w:cstheme="minorHAnsi"/>
                <w:sz w:val="18"/>
                <w:szCs w:val="18"/>
              </w:rPr>
              <w:t>Data state (Actual)</w:t>
            </w:r>
          </w:p>
        </w:tc>
        <w:tc>
          <w:tcPr>
            <w:tcW w:w="2341" w:type="dxa"/>
            <w:vAlign w:val="center"/>
          </w:tcPr>
          <w:p w14:paraId="624F2051" w14:textId="77777777" w:rsidR="00672297" w:rsidRDefault="00A16EA3">
            <w:pPr>
              <w:spacing w:before="20" w:after="20"/>
              <w:jc w:val="left"/>
            </w:pPr>
            <w:r>
              <w:rPr>
                <w:rFonts w:cstheme="minorHAnsi"/>
                <w:sz w:val="18"/>
                <w:szCs w:val="18"/>
              </w:rPr>
              <w:t>State</w:t>
            </w:r>
          </w:p>
        </w:tc>
      </w:tr>
      <w:tr w:rsidR="00672297" w14:paraId="7A5BE586" w14:textId="77777777">
        <w:trPr>
          <w:cantSplit/>
        </w:trPr>
        <w:tc>
          <w:tcPr>
            <w:tcW w:w="1872" w:type="dxa"/>
            <w:vAlign w:val="center"/>
          </w:tcPr>
          <w:p w14:paraId="25E5EF71" w14:textId="77777777" w:rsidR="00672297" w:rsidRDefault="00A16EA3">
            <w:pPr>
              <w:spacing w:before="20" w:after="20"/>
              <w:jc w:val="left"/>
            </w:pPr>
            <w:r>
              <w:rPr>
                <w:rFonts w:cstheme="minorHAnsi"/>
                <w:sz w:val="18"/>
                <w:szCs w:val="18"/>
              </w:rPr>
              <w:t>data_source</w:t>
            </w:r>
          </w:p>
        </w:tc>
        <w:tc>
          <w:tcPr>
            <w:tcW w:w="1029" w:type="dxa"/>
            <w:vAlign w:val="center"/>
          </w:tcPr>
          <w:p w14:paraId="011F93A7" w14:textId="77777777" w:rsidR="00672297" w:rsidRDefault="00A16EA3">
            <w:pPr>
              <w:spacing w:before="20" w:after="20"/>
              <w:jc w:val="left"/>
            </w:pPr>
            <w:r>
              <w:rPr>
                <w:rFonts w:cstheme="minorHAnsi"/>
                <w:sz w:val="18"/>
                <w:szCs w:val="18"/>
              </w:rPr>
              <w:t>VARCHAR(50)</w:t>
            </w:r>
          </w:p>
        </w:tc>
        <w:tc>
          <w:tcPr>
            <w:tcW w:w="468" w:type="dxa"/>
            <w:vAlign w:val="center"/>
          </w:tcPr>
          <w:p w14:paraId="337019BA" w14:textId="77777777" w:rsidR="00672297" w:rsidRDefault="00A16EA3">
            <w:pPr>
              <w:spacing w:before="20" w:after="20"/>
              <w:jc w:val="left"/>
            </w:pPr>
            <w:r>
              <w:rPr>
                <w:rFonts w:cstheme="minorHAnsi"/>
                <w:sz w:val="18"/>
                <w:szCs w:val="18"/>
              </w:rPr>
              <w:t>No</w:t>
            </w:r>
          </w:p>
        </w:tc>
        <w:tc>
          <w:tcPr>
            <w:tcW w:w="842" w:type="dxa"/>
            <w:vAlign w:val="center"/>
          </w:tcPr>
          <w:p w14:paraId="6E97C6EA" w14:textId="77777777" w:rsidR="00672297" w:rsidRDefault="00A16EA3">
            <w:pPr>
              <w:spacing w:before="20" w:after="20"/>
              <w:jc w:val="left"/>
            </w:pPr>
            <w:r>
              <w:rPr>
                <w:rFonts w:cstheme="minorHAnsi"/>
                <w:sz w:val="18"/>
                <w:szCs w:val="18"/>
              </w:rPr>
              <w:t>UK</w:t>
            </w:r>
          </w:p>
        </w:tc>
        <w:tc>
          <w:tcPr>
            <w:tcW w:w="2808" w:type="dxa"/>
            <w:vAlign w:val="center"/>
          </w:tcPr>
          <w:p w14:paraId="4FB6FC40" w14:textId="77777777" w:rsidR="00672297" w:rsidRDefault="00A16EA3">
            <w:pPr>
              <w:spacing w:before="20" w:after="20"/>
              <w:jc w:val="left"/>
            </w:pPr>
            <w:r>
              <w:rPr>
                <w:rFonts w:cstheme="minorHAnsi"/>
                <w:sz w:val="18"/>
                <w:szCs w:val="18"/>
              </w:rPr>
              <w:t>Source system (PIAF)</w:t>
            </w:r>
          </w:p>
        </w:tc>
        <w:tc>
          <w:tcPr>
            <w:tcW w:w="2341" w:type="dxa"/>
            <w:vAlign w:val="center"/>
          </w:tcPr>
          <w:p w14:paraId="39F80170" w14:textId="77777777" w:rsidR="00672297" w:rsidRDefault="00A16EA3">
            <w:pPr>
              <w:spacing w:before="20" w:after="20"/>
              <w:jc w:val="left"/>
            </w:pPr>
            <w:r>
              <w:rPr>
                <w:rFonts w:cstheme="minorHAnsi"/>
                <w:sz w:val="18"/>
                <w:szCs w:val="18"/>
              </w:rPr>
              <w:t>DataSource</w:t>
            </w:r>
          </w:p>
        </w:tc>
      </w:tr>
      <w:tr w:rsidR="00672297" w14:paraId="33FDAB12" w14:textId="77777777">
        <w:trPr>
          <w:cantSplit/>
        </w:trPr>
        <w:tc>
          <w:tcPr>
            <w:tcW w:w="1872" w:type="dxa"/>
            <w:vAlign w:val="center"/>
          </w:tcPr>
          <w:p w14:paraId="32813C98" w14:textId="77777777" w:rsidR="00672297" w:rsidRDefault="00A16EA3">
            <w:pPr>
              <w:spacing w:before="20" w:after="20"/>
              <w:jc w:val="left"/>
            </w:pPr>
            <w:r>
              <w:rPr>
                <w:rFonts w:cstheme="minorHAnsi"/>
                <w:sz w:val="18"/>
                <w:szCs w:val="18"/>
              </w:rPr>
              <w:t>batch_id</w:t>
            </w:r>
          </w:p>
        </w:tc>
        <w:tc>
          <w:tcPr>
            <w:tcW w:w="1029" w:type="dxa"/>
            <w:vAlign w:val="center"/>
          </w:tcPr>
          <w:p w14:paraId="22FE50E3" w14:textId="77777777" w:rsidR="00672297" w:rsidRDefault="00A16EA3">
            <w:pPr>
              <w:spacing w:before="20" w:after="20"/>
              <w:jc w:val="left"/>
            </w:pPr>
            <w:r>
              <w:rPr>
                <w:rFonts w:cstheme="minorHAnsi"/>
                <w:sz w:val="18"/>
                <w:szCs w:val="18"/>
              </w:rPr>
              <w:t>VARCHAR(100)</w:t>
            </w:r>
          </w:p>
        </w:tc>
        <w:tc>
          <w:tcPr>
            <w:tcW w:w="468" w:type="dxa"/>
            <w:vAlign w:val="center"/>
          </w:tcPr>
          <w:p w14:paraId="1171DAC0" w14:textId="77777777" w:rsidR="00672297" w:rsidRDefault="00A16EA3">
            <w:pPr>
              <w:spacing w:before="20" w:after="20"/>
              <w:jc w:val="left"/>
            </w:pPr>
            <w:r>
              <w:rPr>
                <w:rFonts w:cstheme="minorHAnsi"/>
                <w:sz w:val="18"/>
                <w:szCs w:val="18"/>
              </w:rPr>
              <w:t>No</w:t>
            </w:r>
          </w:p>
        </w:tc>
        <w:tc>
          <w:tcPr>
            <w:tcW w:w="842" w:type="dxa"/>
            <w:vAlign w:val="center"/>
          </w:tcPr>
          <w:p w14:paraId="57E1B9C3" w14:textId="77777777" w:rsidR="00672297" w:rsidRDefault="00672297">
            <w:pPr>
              <w:spacing w:before="20" w:after="20"/>
              <w:jc w:val="left"/>
            </w:pPr>
          </w:p>
        </w:tc>
        <w:tc>
          <w:tcPr>
            <w:tcW w:w="2808" w:type="dxa"/>
            <w:vAlign w:val="center"/>
          </w:tcPr>
          <w:p w14:paraId="09A048A8" w14:textId="77777777" w:rsidR="00672297" w:rsidRDefault="00A16EA3">
            <w:pPr>
              <w:spacing w:before="20" w:after="20"/>
              <w:jc w:val="left"/>
            </w:pPr>
            <w:r>
              <w:rPr>
                <w:rFonts w:cstheme="minorHAnsi"/>
                <w:sz w:val="18"/>
                <w:szCs w:val="18"/>
              </w:rPr>
              <w:t>Load execution identifier; one value per load run (IQDM standard). Not the product batch.</w:t>
            </w:r>
          </w:p>
        </w:tc>
        <w:tc>
          <w:tcPr>
            <w:tcW w:w="2341" w:type="dxa"/>
            <w:vAlign w:val="center"/>
          </w:tcPr>
          <w:p w14:paraId="65100E33" w14:textId="77777777" w:rsidR="00672297" w:rsidRDefault="00A16EA3">
            <w:pPr>
              <w:spacing w:before="20" w:after="20"/>
              <w:jc w:val="left"/>
            </w:pPr>
            <w:r>
              <w:rPr>
                <w:rFonts w:cstheme="minorHAnsi"/>
                <w:sz w:val="18"/>
                <w:szCs w:val="18"/>
              </w:rPr>
              <w:t>Load process (Request Service or database-team load script)</w:t>
            </w:r>
          </w:p>
        </w:tc>
      </w:tr>
      <w:tr w:rsidR="00672297" w14:paraId="766616C2" w14:textId="77777777">
        <w:trPr>
          <w:cantSplit/>
        </w:trPr>
        <w:tc>
          <w:tcPr>
            <w:tcW w:w="1872" w:type="dxa"/>
            <w:vAlign w:val="center"/>
          </w:tcPr>
          <w:p w14:paraId="2598A4A3" w14:textId="77777777" w:rsidR="00672297" w:rsidRDefault="00A16EA3">
            <w:pPr>
              <w:spacing w:before="20" w:after="20"/>
              <w:jc w:val="left"/>
            </w:pPr>
            <w:r>
              <w:rPr>
                <w:rFonts w:cstheme="minorHAnsi"/>
                <w:sz w:val="18"/>
                <w:szCs w:val="18"/>
              </w:rPr>
              <w:t>is_active</w:t>
            </w:r>
          </w:p>
        </w:tc>
        <w:tc>
          <w:tcPr>
            <w:tcW w:w="1029" w:type="dxa"/>
            <w:vAlign w:val="center"/>
          </w:tcPr>
          <w:p w14:paraId="6BF0C58C" w14:textId="77777777" w:rsidR="00672297" w:rsidRDefault="00A16EA3">
            <w:pPr>
              <w:spacing w:before="20" w:after="20"/>
              <w:jc w:val="left"/>
            </w:pPr>
            <w:r>
              <w:rPr>
                <w:rFonts w:cstheme="minorHAnsi"/>
                <w:sz w:val="18"/>
                <w:szCs w:val="18"/>
              </w:rPr>
              <w:t>SMALLINT</w:t>
            </w:r>
          </w:p>
        </w:tc>
        <w:tc>
          <w:tcPr>
            <w:tcW w:w="468" w:type="dxa"/>
            <w:vAlign w:val="center"/>
          </w:tcPr>
          <w:p w14:paraId="0ED77EE1" w14:textId="77777777" w:rsidR="00672297" w:rsidRDefault="00A16EA3">
            <w:pPr>
              <w:spacing w:before="20" w:after="20"/>
              <w:jc w:val="left"/>
            </w:pPr>
            <w:r>
              <w:rPr>
                <w:rFonts w:cstheme="minorHAnsi"/>
                <w:sz w:val="18"/>
                <w:szCs w:val="18"/>
              </w:rPr>
              <w:t>No</w:t>
            </w:r>
          </w:p>
        </w:tc>
        <w:tc>
          <w:tcPr>
            <w:tcW w:w="842" w:type="dxa"/>
            <w:vAlign w:val="center"/>
          </w:tcPr>
          <w:p w14:paraId="7C2B2A51" w14:textId="77777777" w:rsidR="00672297" w:rsidRDefault="00672297">
            <w:pPr>
              <w:spacing w:before="20" w:after="20"/>
              <w:jc w:val="left"/>
            </w:pPr>
          </w:p>
        </w:tc>
        <w:tc>
          <w:tcPr>
            <w:tcW w:w="2808" w:type="dxa"/>
            <w:vAlign w:val="center"/>
          </w:tcPr>
          <w:p w14:paraId="1F03688D" w14:textId="77777777" w:rsidR="00672297" w:rsidRDefault="00A16EA3">
            <w:pPr>
              <w:spacing w:before="20" w:after="20"/>
              <w:jc w:val="left"/>
            </w:pPr>
            <w:r>
              <w:rPr>
                <w:rFonts w:cstheme="minorHAnsi"/>
                <w:sz w:val="18"/>
                <w:szCs w:val="18"/>
              </w:rPr>
              <w:t>Active record flag (1 = active, 0 = logically deleted)</w:t>
            </w:r>
          </w:p>
        </w:tc>
        <w:tc>
          <w:tcPr>
            <w:tcW w:w="2341" w:type="dxa"/>
            <w:vAlign w:val="center"/>
          </w:tcPr>
          <w:p w14:paraId="60CEBE44" w14:textId="77777777" w:rsidR="00672297" w:rsidRDefault="00A16EA3">
            <w:pPr>
              <w:spacing w:before="20" w:after="20"/>
              <w:jc w:val="left"/>
            </w:pPr>
            <w:r>
              <w:rPr>
                <w:rFonts w:cstheme="minorHAnsi"/>
                <w:sz w:val="18"/>
                <w:szCs w:val="18"/>
              </w:rPr>
              <w:t>System generated</w:t>
            </w:r>
          </w:p>
        </w:tc>
      </w:tr>
      <w:tr w:rsidR="00672297" w14:paraId="3665C168" w14:textId="77777777">
        <w:trPr>
          <w:cantSplit/>
        </w:trPr>
        <w:tc>
          <w:tcPr>
            <w:tcW w:w="1872" w:type="dxa"/>
            <w:vAlign w:val="center"/>
          </w:tcPr>
          <w:p w14:paraId="45840B6F" w14:textId="77777777" w:rsidR="00672297" w:rsidRDefault="00A16EA3">
            <w:pPr>
              <w:spacing w:before="20" w:after="20"/>
              <w:jc w:val="left"/>
            </w:pPr>
            <w:r>
              <w:rPr>
                <w:rFonts w:cstheme="minorHAnsi"/>
                <w:sz w:val="18"/>
                <w:szCs w:val="18"/>
              </w:rPr>
              <w:t>created_by</w:t>
            </w:r>
          </w:p>
        </w:tc>
        <w:tc>
          <w:tcPr>
            <w:tcW w:w="1029" w:type="dxa"/>
            <w:vAlign w:val="center"/>
          </w:tcPr>
          <w:p w14:paraId="75B77E02" w14:textId="77777777" w:rsidR="00672297" w:rsidRDefault="00A16EA3">
            <w:pPr>
              <w:spacing w:before="20" w:after="20"/>
              <w:jc w:val="left"/>
            </w:pPr>
            <w:r>
              <w:rPr>
                <w:rFonts w:cstheme="minorHAnsi"/>
                <w:sz w:val="18"/>
                <w:szCs w:val="18"/>
              </w:rPr>
              <w:t>VARCHAR(100)</w:t>
            </w:r>
          </w:p>
        </w:tc>
        <w:tc>
          <w:tcPr>
            <w:tcW w:w="468" w:type="dxa"/>
            <w:vAlign w:val="center"/>
          </w:tcPr>
          <w:p w14:paraId="1B6A0705" w14:textId="77777777" w:rsidR="00672297" w:rsidRDefault="00A16EA3">
            <w:pPr>
              <w:spacing w:before="20" w:after="20"/>
              <w:jc w:val="left"/>
            </w:pPr>
            <w:r>
              <w:rPr>
                <w:rFonts w:cstheme="minorHAnsi"/>
                <w:sz w:val="18"/>
                <w:szCs w:val="18"/>
              </w:rPr>
              <w:t>No</w:t>
            </w:r>
          </w:p>
        </w:tc>
        <w:tc>
          <w:tcPr>
            <w:tcW w:w="842" w:type="dxa"/>
            <w:vAlign w:val="center"/>
          </w:tcPr>
          <w:p w14:paraId="4D9BFAB2" w14:textId="77777777" w:rsidR="00672297" w:rsidRDefault="00672297">
            <w:pPr>
              <w:spacing w:before="20" w:after="20"/>
              <w:jc w:val="left"/>
            </w:pPr>
          </w:p>
        </w:tc>
        <w:tc>
          <w:tcPr>
            <w:tcW w:w="2808" w:type="dxa"/>
            <w:vAlign w:val="center"/>
          </w:tcPr>
          <w:p w14:paraId="73ED5B1F" w14:textId="77777777" w:rsidR="00672297" w:rsidRDefault="00A16EA3">
            <w:pPr>
              <w:spacing w:before="20" w:after="20"/>
              <w:jc w:val="left"/>
            </w:pPr>
            <w:r>
              <w:rPr>
                <w:rFonts w:cstheme="minorHAnsi"/>
                <w:sz w:val="18"/>
                <w:szCs w:val="18"/>
              </w:rPr>
              <w:t>Account that created the record</w:t>
            </w:r>
          </w:p>
        </w:tc>
        <w:tc>
          <w:tcPr>
            <w:tcW w:w="2341" w:type="dxa"/>
            <w:vAlign w:val="center"/>
          </w:tcPr>
          <w:p w14:paraId="73CDBA02" w14:textId="77777777" w:rsidR="00672297" w:rsidRDefault="00A16EA3">
            <w:pPr>
              <w:spacing w:before="20" w:after="20"/>
              <w:jc w:val="left"/>
            </w:pPr>
            <w:r>
              <w:rPr>
                <w:rFonts w:cstheme="minorHAnsi"/>
                <w:sz w:val="18"/>
                <w:szCs w:val="18"/>
              </w:rPr>
              <w:t>System generated</w:t>
            </w:r>
          </w:p>
        </w:tc>
      </w:tr>
      <w:tr w:rsidR="00672297" w14:paraId="087C81D1" w14:textId="77777777">
        <w:trPr>
          <w:cantSplit/>
        </w:trPr>
        <w:tc>
          <w:tcPr>
            <w:tcW w:w="1872" w:type="dxa"/>
            <w:vAlign w:val="center"/>
          </w:tcPr>
          <w:p w14:paraId="78B99529" w14:textId="77777777" w:rsidR="00672297" w:rsidRDefault="00A16EA3">
            <w:pPr>
              <w:spacing w:before="20" w:after="20"/>
              <w:jc w:val="left"/>
            </w:pPr>
            <w:r>
              <w:rPr>
                <w:rFonts w:cstheme="minorHAnsi"/>
                <w:sz w:val="18"/>
                <w:szCs w:val="18"/>
              </w:rPr>
              <w:t>created_on</w:t>
            </w:r>
          </w:p>
        </w:tc>
        <w:tc>
          <w:tcPr>
            <w:tcW w:w="1029" w:type="dxa"/>
            <w:vAlign w:val="center"/>
          </w:tcPr>
          <w:p w14:paraId="029C32B2" w14:textId="77777777" w:rsidR="00672297" w:rsidRDefault="00A16EA3">
            <w:pPr>
              <w:spacing w:before="20" w:after="20"/>
              <w:jc w:val="left"/>
            </w:pPr>
            <w:r>
              <w:rPr>
                <w:rFonts w:cstheme="minorHAnsi"/>
                <w:sz w:val="18"/>
                <w:szCs w:val="18"/>
              </w:rPr>
              <w:t>DATETIME</w:t>
            </w:r>
          </w:p>
        </w:tc>
        <w:tc>
          <w:tcPr>
            <w:tcW w:w="468" w:type="dxa"/>
            <w:vAlign w:val="center"/>
          </w:tcPr>
          <w:p w14:paraId="3D518040" w14:textId="77777777" w:rsidR="00672297" w:rsidRDefault="00A16EA3">
            <w:pPr>
              <w:spacing w:before="20" w:after="20"/>
              <w:jc w:val="left"/>
            </w:pPr>
            <w:r>
              <w:rPr>
                <w:rFonts w:cstheme="minorHAnsi"/>
                <w:sz w:val="18"/>
                <w:szCs w:val="18"/>
              </w:rPr>
              <w:t>No</w:t>
            </w:r>
          </w:p>
        </w:tc>
        <w:tc>
          <w:tcPr>
            <w:tcW w:w="842" w:type="dxa"/>
            <w:vAlign w:val="center"/>
          </w:tcPr>
          <w:p w14:paraId="7AB1E9D2" w14:textId="77777777" w:rsidR="00672297" w:rsidRDefault="00672297">
            <w:pPr>
              <w:spacing w:before="20" w:after="20"/>
              <w:jc w:val="left"/>
            </w:pPr>
          </w:p>
        </w:tc>
        <w:tc>
          <w:tcPr>
            <w:tcW w:w="2808" w:type="dxa"/>
            <w:vAlign w:val="center"/>
          </w:tcPr>
          <w:p w14:paraId="16641494" w14:textId="77777777" w:rsidR="00672297" w:rsidRDefault="00A16EA3">
            <w:pPr>
              <w:spacing w:before="20" w:after="20"/>
              <w:jc w:val="left"/>
            </w:pPr>
            <w:r>
              <w:rPr>
                <w:rFonts w:cstheme="minorHAnsi"/>
                <w:sz w:val="18"/>
                <w:szCs w:val="18"/>
              </w:rPr>
              <w:t>Record creation timestamp (UTC)</w:t>
            </w:r>
          </w:p>
        </w:tc>
        <w:tc>
          <w:tcPr>
            <w:tcW w:w="2341" w:type="dxa"/>
            <w:vAlign w:val="center"/>
          </w:tcPr>
          <w:p w14:paraId="18762BD6" w14:textId="77777777" w:rsidR="00672297" w:rsidRDefault="00A16EA3">
            <w:pPr>
              <w:spacing w:before="20" w:after="20"/>
              <w:jc w:val="left"/>
            </w:pPr>
            <w:r>
              <w:rPr>
                <w:rFonts w:cstheme="minorHAnsi"/>
                <w:sz w:val="18"/>
                <w:szCs w:val="18"/>
              </w:rPr>
              <w:t>System generated</w:t>
            </w:r>
          </w:p>
        </w:tc>
      </w:tr>
      <w:tr w:rsidR="00672297" w14:paraId="30CE5268" w14:textId="77777777">
        <w:trPr>
          <w:cantSplit/>
        </w:trPr>
        <w:tc>
          <w:tcPr>
            <w:tcW w:w="1872" w:type="dxa"/>
            <w:vAlign w:val="center"/>
          </w:tcPr>
          <w:p w14:paraId="2B8CF6EF" w14:textId="77777777" w:rsidR="00672297" w:rsidRDefault="00A16EA3">
            <w:pPr>
              <w:spacing w:before="20" w:after="20"/>
              <w:jc w:val="left"/>
            </w:pPr>
            <w:r>
              <w:rPr>
                <w:rFonts w:cstheme="minorHAnsi"/>
                <w:sz w:val="18"/>
                <w:szCs w:val="18"/>
              </w:rPr>
              <w:t>updated_by</w:t>
            </w:r>
          </w:p>
        </w:tc>
        <w:tc>
          <w:tcPr>
            <w:tcW w:w="1029" w:type="dxa"/>
            <w:vAlign w:val="center"/>
          </w:tcPr>
          <w:p w14:paraId="59E9F7A7" w14:textId="77777777" w:rsidR="00672297" w:rsidRDefault="00A16EA3">
            <w:pPr>
              <w:spacing w:before="20" w:after="20"/>
              <w:jc w:val="left"/>
            </w:pPr>
            <w:r>
              <w:rPr>
                <w:rFonts w:cstheme="minorHAnsi"/>
                <w:sz w:val="18"/>
                <w:szCs w:val="18"/>
              </w:rPr>
              <w:t>VARCHAR(100)</w:t>
            </w:r>
          </w:p>
        </w:tc>
        <w:tc>
          <w:tcPr>
            <w:tcW w:w="468" w:type="dxa"/>
            <w:vAlign w:val="center"/>
          </w:tcPr>
          <w:p w14:paraId="7FCEB0C8" w14:textId="77777777" w:rsidR="00672297" w:rsidRDefault="00A16EA3">
            <w:pPr>
              <w:spacing w:before="20" w:after="20"/>
              <w:jc w:val="left"/>
            </w:pPr>
            <w:r>
              <w:rPr>
                <w:rFonts w:cstheme="minorHAnsi"/>
                <w:sz w:val="18"/>
                <w:szCs w:val="18"/>
              </w:rPr>
              <w:t>Yes</w:t>
            </w:r>
          </w:p>
        </w:tc>
        <w:tc>
          <w:tcPr>
            <w:tcW w:w="842" w:type="dxa"/>
            <w:vAlign w:val="center"/>
          </w:tcPr>
          <w:p w14:paraId="3760F72C" w14:textId="77777777" w:rsidR="00672297" w:rsidRDefault="00672297">
            <w:pPr>
              <w:spacing w:before="20" w:after="20"/>
              <w:jc w:val="left"/>
            </w:pPr>
          </w:p>
        </w:tc>
        <w:tc>
          <w:tcPr>
            <w:tcW w:w="2808" w:type="dxa"/>
            <w:vAlign w:val="center"/>
          </w:tcPr>
          <w:p w14:paraId="1DF7190B" w14:textId="77777777" w:rsidR="00672297" w:rsidRDefault="00A16EA3">
            <w:pPr>
              <w:spacing w:before="20" w:after="20"/>
              <w:jc w:val="left"/>
            </w:pPr>
            <w:r>
              <w:rPr>
                <w:rFonts w:cstheme="minorHAnsi"/>
                <w:sz w:val="18"/>
                <w:szCs w:val="18"/>
              </w:rPr>
              <w:t>Account that last updated the record</w:t>
            </w:r>
          </w:p>
        </w:tc>
        <w:tc>
          <w:tcPr>
            <w:tcW w:w="2341" w:type="dxa"/>
            <w:vAlign w:val="center"/>
          </w:tcPr>
          <w:p w14:paraId="2B888E78" w14:textId="77777777" w:rsidR="00672297" w:rsidRDefault="00A16EA3">
            <w:pPr>
              <w:spacing w:before="20" w:after="20"/>
              <w:jc w:val="left"/>
            </w:pPr>
            <w:r>
              <w:rPr>
                <w:rFonts w:cstheme="minorHAnsi"/>
                <w:sz w:val="18"/>
                <w:szCs w:val="18"/>
              </w:rPr>
              <w:t>System generated</w:t>
            </w:r>
          </w:p>
        </w:tc>
      </w:tr>
      <w:tr w:rsidR="00672297" w14:paraId="46919EBE" w14:textId="77777777">
        <w:trPr>
          <w:cantSplit/>
        </w:trPr>
        <w:tc>
          <w:tcPr>
            <w:tcW w:w="1872" w:type="dxa"/>
            <w:vAlign w:val="center"/>
          </w:tcPr>
          <w:p w14:paraId="763C3E30" w14:textId="77777777" w:rsidR="00672297" w:rsidRDefault="00A16EA3">
            <w:pPr>
              <w:spacing w:before="20" w:after="20"/>
              <w:jc w:val="left"/>
            </w:pPr>
            <w:r>
              <w:rPr>
                <w:rFonts w:cstheme="minorHAnsi"/>
                <w:sz w:val="18"/>
                <w:szCs w:val="18"/>
              </w:rPr>
              <w:t>updated_on</w:t>
            </w:r>
          </w:p>
        </w:tc>
        <w:tc>
          <w:tcPr>
            <w:tcW w:w="1029" w:type="dxa"/>
            <w:vAlign w:val="center"/>
          </w:tcPr>
          <w:p w14:paraId="002AB28D" w14:textId="77777777" w:rsidR="00672297" w:rsidRDefault="00A16EA3">
            <w:pPr>
              <w:spacing w:before="20" w:after="20"/>
              <w:jc w:val="left"/>
            </w:pPr>
            <w:r>
              <w:rPr>
                <w:rFonts w:cstheme="minorHAnsi"/>
                <w:sz w:val="18"/>
                <w:szCs w:val="18"/>
              </w:rPr>
              <w:t>DATETIME</w:t>
            </w:r>
          </w:p>
        </w:tc>
        <w:tc>
          <w:tcPr>
            <w:tcW w:w="468" w:type="dxa"/>
            <w:vAlign w:val="center"/>
          </w:tcPr>
          <w:p w14:paraId="01106920" w14:textId="77777777" w:rsidR="00672297" w:rsidRDefault="00A16EA3">
            <w:pPr>
              <w:spacing w:before="20" w:after="20"/>
              <w:jc w:val="left"/>
            </w:pPr>
            <w:r>
              <w:rPr>
                <w:rFonts w:cstheme="minorHAnsi"/>
                <w:sz w:val="18"/>
                <w:szCs w:val="18"/>
              </w:rPr>
              <w:t>Yes</w:t>
            </w:r>
          </w:p>
        </w:tc>
        <w:tc>
          <w:tcPr>
            <w:tcW w:w="842" w:type="dxa"/>
            <w:vAlign w:val="center"/>
          </w:tcPr>
          <w:p w14:paraId="6D9D8FF2" w14:textId="77777777" w:rsidR="00672297" w:rsidRDefault="00672297">
            <w:pPr>
              <w:spacing w:before="20" w:after="20"/>
              <w:jc w:val="left"/>
            </w:pPr>
          </w:p>
        </w:tc>
        <w:tc>
          <w:tcPr>
            <w:tcW w:w="2808" w:type="dxa"/>
            <w:vAlign w:val="center"/>
          </w:tcPr>
          <w:p w14:paraId="50A81C47" w14:textId="77777777" w:rsidR="00672297" w:rsidRDefault="00A16EA3">
            <w:pPr>
              <w:spacing w:before="20" w:after="20"/>
              <w:jc w:val="left"/>
            </w:pPr>
            <w:r>
              <w:rPr>
                <w:rFonts w:cstheme="minorHAnsi"/>
                <w:sz w:val="18"/>
                <w:szCs w:val="18"/>
              </w:rPr>
              <w:t>Record last update timestamp (UTC)</w:t>
            </w:r>
          </w:p>
        </w:tc>
        <w:tc>
          <w:tcPr>
            <w:tcW w:w="2341" w:type="dxa"/>
            <w:vAlign w:val="center"/>
          </w:tcPr>
          <w:p w14:paraId="5C51BB77" w14:textId="77777777" w:rsidR="00672297" w:rsidRDefault="00A16EA3">
            <w:pPr>
              <w:spacing w:before="20" w:after="20"/>
              <w:jc w:val="left"/>
            </w:pPr>
            <w:r>
              <w:rPr>
                <w:rFonts w:cstheme="minorHAnsi"/>
                <w:sz w:val="18"/>
                <w:szCs w:val="18"/>
              </w:rPr>
              <w:t>System generated</w:t>
            </w:r>
          </w:p>
        </w:tc>
      </w:tr>
    </w:tbl>
    <w:p w14:paraId="5B83C90C" w14:textId="44D5C853" w:rsidR="00672297" w:rsidRDefault="00A16EA3">
      <w:pPr>
        <w:pStyle w:val="Caption"/>
      </w:pPr>
      <w:bookmarkStart w:id="419" w:name="_Toc900900043"/>
      <w:bookmarkStart w:id="420" w:name="_Toc241574687"/>
      <w:bookmarkStart w:id="421" w:name="_Toc242554071"/>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18</w:t>
      </w:r>
      <w:r>
        <w:fldChar w:fldCharType="end"/>
      </w:r>
      <w:r>
        <w:t>: VCB_blend_component_detail Table</w:t>
      </w:r>
      <w:bookmarkEnd w:id="419"/>
      <w:bookmarkEnd w:id="420"/>
      <w:bookmarkEnd w:id="421"/>
    </w:p>
    <w:p w14:paraId="69C4AC05" w14:textId="77777777" w:rsidR="00672297" w:rsidRDefault="00A16EA3">
      <w:pPr>
        <w:rPr>
          <w:rFonts w:cstheme="minorHAnsi"/>
          <w:sz w:val="20"/>
          <w:szCs w:val="20"/>
        </w:rPr>
      </w:pPr>
      <w:r>
        <w:rPr>
          <w:rFonts w:cstheme="minorHAnsi"/>
          <w:sz w:val="20"/>
          <w:szCs w:val="20"/>
        </w:rPr>
        <w:t>Unique key: (equipment_id, property_id, value_date, material_id, location_id, state, data_source) - the composite key of the response model. Indexes: (location_id, measurement_category, value_date) for the component inventory and flow views.</w:t>
      </w:r>
    </w:p>
    <w:p w14:paraId="390833C7" w14:textId="5CB05797" w:rsidR="00672297" w:rsidRDefault="00A16EA3">
      <w:pPr>
        <w:rPr>
          <w:rFonts w:cstheme="minorHAnsi"/>
          <w:sz w:val="20"/>
          <w:szCs w:val="20"/>
        </w:rPr>
      </w:pPr>
      <w:r>
        <w:rPr>
          <w:rFonts w:cstheme="minorHAnsi"/>
          <w:sz w:val="20"/>
          <w:szCs w:val="20"/>
        </w:rPr>
        <w:t xml:space="preserve">Views extended in </w:t>
      </w:r>
      <w:r w:rsidR="00371C86">
        <w:rPr>
          <w:rFonts w:cstheme="minorHAnsi"/>
          <w:sz w:val="20"/>
          <w:szCs w:val="20"/>
        </w:rPr>
        <w:t>Releases 2 and 3</w:t>
      </w:r>
      <w:r>
        <w:rPr>
          <w:rFonts w:cstheme="minorHAnsi"/>
          <w:sz w:val="20"/>
          <w:szCs w:val="20"/>
        </w:rPr>
        <w:t>: vwBlendComponentSupplyDemand (PIAF Net Standard Volume at the terminal local midnight as opening inventory), vwGasolineBlendingKPI (PIAF daily totalizers as actual blended volume) and vwDistillateBlendPotentialQuality (analyzer qualities at the injectors for post-blend values).</w:t>
      </w:r>
    </w:p>
    <w:p w14:paraId="0AB72BB8" w14:textId="77777777" w:rsidR="00672297" w:rsidRDefault="00A16EA3">
      <w:pPr>
        <w:pStyle w:val="Heading2"/>
        <w:rPr>
          <w:rFonts w:asciiTheme="minorHAnsi" w:hAnsiTheme="minorHAnsi" w:cstheme="minorBidi"/>
          <w:sz w:val="20"/>
          <w:szCs w:val="20"/>
        </w:rPr>
      </w:pPr>
      <w:bookmarkStart w:id="422" w:name="_Toc241574333"/>
      <w:bookmarkStart w:id="423" w:name="_Toc242553955"/>
      <w:r>
        <w:rPr>
          <w:rFonts w:asciiTheme="minorHAnsi" w:hAnsiTheme="minorHAnsi" w:cstheme="minorBidi"/>
          <w:sz w:val="20"/>
          <w:szCs w:val="20"/>
        </w:rPr>
        <w:t>Release 3 - Data Entity Design (VCB tables in the IQDM database)</w:t>
      </w:r>
      <w:bookmarkEnd w:id="422"/>
      <w:bookmarkEnd w:id="423"/>
    </w:p>
    <w:p w14:paraId="3014DDD4" w14:textId="2CB8B6CF" w:rsidR="00672297" w:rsidRDefault="00A16EA3">
      <w:pPr>
        <w:rPr>
          <w:rFonts w:cstheme="minorHAnsi"/>
          <w:sz w:val="20"/>
          <w:szCs w:val="20"/>
        </w:rPr>
      </w:pPr>
      <w:r>
        <w:rPr>
          <w:rFonts w:cstheme="minorHAnsi"/>
          <w:sz w:val="20"/>
          <w:szCs w:val="20"/>
        </w:rPr>
        <w:t xml:space="preserve">Release 3 adds the blend component movements from the Kittyhawk transaction upload </w:t>
      </w:r>
      <w:r w:rsidR="00F80961">
        <w:rPr>
          <w:rFonts w:cstheme="minorHAnsi"/>
          <w:sz w:val="20"/>
          <w:szCs w:val="20"/>
        </w:rPr>
        <w:t>(chapter 2, section 2.3.3.4)</w:t>
      </w:r>
      <w:r>
        <w:rPr>
          <w:rFonts w:cstheme="minorHAnsi"/>
          <w:sz w:val="20"/>
          <w:szCs w:val="20"/>
        </w:rPr>
        <w:t xml:space="preserve"> and the MPR pricing. MPR prices are not stored in the IQDM database: the MPR API is called by Power BI and its result is joined to vwGasolineBlendingKPI and vwDistillateBlendingKPI on globalCode and productAbbreviation, which both views expose.</w:t>
      </w:r>
    </w:p>
    <w:p w14:paraId="2B8ED965" w14:textId="77777777" w:rsidR="00672297" w:rsidRDefault="00A16EA3">
      <w:pPr>
        <w:pStyle w:val="Heading3"/>
        <w:rPr>
          <w:rFonts w:asciiTheme="minorHAnsi" w:hAnsiTheme="minorHAnsi" w:cstheme="minorBidi"/>
          <w:sz w:val="20"/>
          <w:szCs w:val="20"/>
        </w:rPr>
      </w:pPr>
      <w:bookmarkStart w:id="424" w:name="_Toc241574334"/>
      <w:bookmarkStart w:id="425" w:name="_Toc242553956"/>
      <w:r>
        <w:rPr>
          <w:rFonts w:asciiTheme="minorHAnsi" w:hAnsiTheme="minorHAnsi" w:cstheme="minorBidi"/>
          <w:sz w:val="20"/>
          <w:szCs w:val="20"/>
        </w:rPr>
        <w:t>Blend Component Movement Table</w:t>
      </w:r>
      <w:bookmarkEnd w:id="424"/>
      <w:bookmarkEnd w:id="425"/>
    </w:p>
    <w:p w14:paraId="2236C731" w14:textId="3C3BA14B" w:rsidR="00672297" w:rsidRDefault="00A16EA3">
      <w:pPr>
        <w:rPr>
          <w:rFonts w:cstheme="minorHAnsi"/>
          <w:sz w:val="20"/>
          <w:szCs w:val="20"/>
        </w:rPr>
      </w:pPr>
      <w:r>
        <w:rPr>
          <w:rFonts w:cstheme="minorHAnsi"/>
          <w:sz w:val="20"/>
          <w:szCs w:val="20"/>
        </w:rPr>
        <w:t xml:space="preserve">VCB_blend_component_movement: one row per transaction upload row (load, unload or blend in a tank), </w:t>
      </w:r>
      <w:r w:rsidR="008F2422">
        <w:rPr>
          <w:rFonts w:cstheme="minorHAnsi"/>
          <w:sz w:val="20"/>
          <w:szCs w:val="20"/>
        </w:rPr>
        <w:t>as returned by the response model of Table 2-29.</w:t>
      </w:r>
    </w:p>
    <w:tbl>
      <w:tblPr>
        <w:tblStyle w:val="TableGrid"/>
        <w:tblW w:w="9360" w:type="dxa"/>
        <w:tblLayout w:type="fixed"/>
        <w:tblCellMar>
          <w:left w:w="70" w:type="dxa"/>
          <w:right w:w="70" w:type="dxa"/>
        </w:tblCellMar>
        <w:tblLook w:val="04A0" w:firstRow="1" w:lastRow="0" w:firstColumn="1" w:lastColumn="0" w:noHBand="0" w:noVBand="1"/>
      </w:tblPr>
      <w:tblGrid>
        <w:gridCol w:w="1872"/>
        <w:gridCol w:w="1029"/>
        <w:gridCol w:w="468"/>
        <w:gridCol w:w="842"/>
        <w:gridCol w:w="2808"/>
        <w:gridCol w:w="2341"/>
      </w:tblGrid>
      <w:tr w:rsidR="00672297" w14:paraId="28A51E2D" w14:textId="77777777">
        <w:trPr>
          <w:cantSplit/>
          <w:tblHeader/>
        </w:trPr>
        <w:tc>
          <w:tcPr>
            <w:tcW w:w="1872" w:type="dxa"/>
            <w:shd w:val="clear" w:color="auto" w:fill="2F5496"/>
            <w:vAlign w:val="center"/>
          </w:tcPr>
          <w:p w14:paraId="2A8471ED" w14:textId="77777777" w:rsidR="00672297" w:rsidRDefault="00A16EA3">
            <w:pPr>
              <w:spacing w:before="20" w:after="20"/>
              <w:jc w:val="left"/>
            </w:pPr>
            <w:r>
              <w:rPr>
                <w:rFonts w:cstheme="minorHAnsi"/>
                <w:b/>
                <w:bCs/>
                <w:color w:val="FFFFFF"/>
                <w:sz w:val="18"/>
                <w:szCs w:val="18"/>
              </w:rPr>
              <w:t>Column Name</w:t>
            </w:r>
          </w:p>
        </w:tc>
        <w:tc>
          <w:tcPr>
            <w:tcW w:w="1029" w:type="dxa"/>
            <w:shd w:val="clear" w:color="auto" w:fill="2F5496"/>
            <w:vAlign w:val="center"/>
          </w:tcPr>
          <w:p w14:paraId="361363BF" w14:textId="77777777" w:rsidR="00672297" w:rsidRDefault="00A16EA3">
            <w:pPr>
              <w:spacing w:before="20" w:after="20"/>
              <w:jc w:val="left"/>
            </w:pPr>
            <w:r>
              <w:rPr>
                <w:rFonts w:cstheme="minorHAnsi"/>
                <w:b/>
                <w:bCs/>
                <w:color w:val="FFFFFF"/>
                <w:sz w:val="18"/>
                <w:szCs w:val="18"/>
              </w:rPr>
              <w:t>Data Type</w:t>
            </w:r>
          </w:p>
        </w:tc>
        <w:tc>
          <w:tcPr>
            <w:tcW w:w="468" w:type="dxa"/>
            <w:shd w:val="clear" w:color="auto" w:fill="2F5496"/>
            <w:vAlign w:val="center"/>
          </w:tcPr>
          <w:p w14:paraId="20E65747" w14:textId="77777777" w:rsidR="00672297" w:rsidRDefault="00A16EA3">
            <w:pPr>
              <w:spacing w:before="20" w:after="20"/>
              <w:jc w:val="left"/>
            </w:pPr>
            <w:r>
              <w:rPr>
                <w:rFonts w:cstheme="minorHAnsi"/>
                <w:b/>
                <w:bCs/>
                <w:color w:val="FFFFFF"/>
                <w:sz w:val="18"/>
                <w:szCs w:val="18"/>
              </w:rPr>
              <w:t>Null</w:t>
            </w:r>
          </w:p>
        </w:tc>
        <w:tc>
          <w:tcPr>
            <w:tcW w:w="842" w:type="dxa"/>
            <w:shd w:val="clear" w:color="auto" w:fill="2F5496"/>
            <w:vAlign w:val="center"/>
          </w:tcPr>
          <w:p w14:paraId="3FAEFDCF" w14:textId="77777777" w:rsidR="00672297" w:rsidRDefault="00A16EA3">
            <w:pPr>
              <w:spacing w:before="20" w:after="20"/>
              <w:jc w:val="left"/>
            </w:pPr>
            <w:r>
              <w:rPr>
                <w:rFonts w:cstheme="minorHAnsi"/>
                <w:b/>
                <w:bCs/>
                <w:color w:val="FFFFFF"/>
                <w:sz w:val="18"/>
                <w:szCs w:val="18"/>
              </w:rPr>
              <w:t>Key</w:t>
            </w:r>
          </w:p>
        </w:tc>
        <w:tc>
          <w:tcPr>
            <w:tcW w:w="2808" w:type="dxa"/>
            <w:shd w:val="clear" w:color="auto" w:fill="2F5496"/>
            <w:vAlign w:val="center"/>
          </w:tcPr>
          <w:p w14:paraId="374BBED3" w14:textId="77777777" w:rsidR="00672297" w:rsidRDefault="00A16EA3">
            <w:pPr>
              <w:spacing w:before="20" w:after="20"/>
              <w:jc w:val="left"/>
            </w:pPr>
            <w:r>
              <w:rPr>
                <w:rFonts w:cstheme="minorHAnsi"/>
                <w:b/>
                <w:bCs/>
                <w:color w:val="FFFFFF"/>
                <w:sz w:val="18"/>
                <w:szCs w:val="18"/>
              </w:rPr>
              <w:t>Description</w:t>
            </w:r>
          </w:p>
        </w:tc>
        <w:tc>
          <w:tcPr>
            <w:tcW w:w="2341" w:type="dxa"/>
            <w:shd w:val="clear" w:color="auto" w:fill="2F5496"/>
            <w:vAlign w:val="center"/>
          </w:tcPr>
          <w:p w14:paraId="6FE46936" w14:textId="77777777" w:rsidR="00672297" w:rsidRDefault="00A16EA3">
            <w:pPr>
              <w:spacing w:before="20" w:after="20"/>
              <w:jc w:val="left"/>
            </w:pPr>
            <w:r>
              <w:rPr>
                <w:rFonts w:cstheme="minorHAnsi"/>
                <w:b/>
                <w:bCs/>
                <w:color w:val="FFFFFF"/>
                <w:sz w:val="18"/>
                <w:szCs w:val="18"/>
              </w:rPr>
              <w:t>Source Column (API) / Derivation</w:t>
            </w:r>
          </w:p>
        </w:tc>
      </w:tr>
      <w:tr w:rsidR="00672297" w14:paraId="42641343" w14:textId="77777777">
        <w:trPr>
          <w:cantSplit/>
        </w:trPr>
        <w:tc>
          <w:tcPr>
            <w:tcW w:w="1872" w:type="dxa"/>
            <w:vAlign w:val="center"/>
          </w:tcPr>
          <w:p w14:paraId="61836B01" w14:textId="77777777" w:rsidR="00672297" w:rsidRDefault="00A16EA3">
            <w:pPr>
              <w:spacing w:before="20" w:after="20"/>
              <w:jc w:val="left"/>
            </w:pPr>
            <w:r>
              <w:rPr>
                <w:rFonts w:cstheme="minorHAnsi"/>
                <w:sz w:val="18"/>
                <w:szCs w:val="18"/>
              </w:rPr>
              <w:t>blend_component_movement_id</w:t>
            </w:r>
          </w:p>
        </w:tc>
        <w:tc>
          <w:tcPr>
            <w:tcW w:w="1029" w:type="dxa"/>
            <w:vAlign w:val="center"/>
          </w:tcPr>
          <w:p w14:paraId="09ACEA38" w14:textId="77777777" w:rsidR="00672297" w:rsidRDefault="00A16EA3">
            <w:pPr>
              <w:spacing w:before="20" w:after="20"/>
              <w:jc w:val="left"/>
            </w:pPr>
            <w:r>
              <w:rPr>
                <w:rFonts w:cstheme="minorHAnsi"/>
                <w:sz w:val="18"/>
                <w:szCs w:val="18"/>
              </w:rPr>
              <w:t>BIGINT IDENTITY</w:t>
            </w:r>
          </w:p>
        </w:tc>
        <w:tc>
          <w:tcPr>
            <w:tcW w:w="468" w:type="dxa"/>
            <w:vAlign w:val="center"/>
          </w:tcPr>
          <w:p w14:paraId="49A22C8D" w14:textId="77777777" w:rsidR="00672297" w:rsidRDefault="00A16EA3">
            <w:pPr>
              <w:spacing w:before="20" w:after="20"/>
              <w:jc w:val="left"/>
            </w:pPr>
            <w:r>
              <w:rPr>
                <w:rFonts w:cstheme="minorHAnsi"/>
                <w:sz w:val="18"/>
                <w:szCs w:val="18"/>
              </w:rPr>
              <w:t>No</w:t>
            </w:r>
          </w:p>
        </w:tc>
        <w:tc>
          <w:tcPr>
            <w:tcW w:w="842" w:type="dxa"/>
            <w:vAlign w:val="center"/>
          </w:tcPr>
          <w:p w14:paraId="6D93FEA1" w14:textId="77777777" w:rsidR="00672297" w:rsidRDefault="00A16EA3">
            <w:pPr>
              <w:spacing w:before="20" w:after="20"/>
              <w:jc w:val="left"/>
            </w:pPr>
            <w:r>
              <w:rPr>
                <w:rFonts w:cstheme="minorHAnsi"/>
                <w:sz w:val="18"/>
                <w:szCs w:val="18"/>
              </w:rPr>
              <w:t>PK</w:t>
            </w:r>
          </w:p>
        </w:tc>
        <w:tc>
          <w:tcPr>
            <w:tcW w:w="2808" w:type="dxa"/>
            <w:vAlign w:val="center"/>
          </w:tcPr>
          <w:p w14:paraId="619C456C" w14:textId="77777777" w:rsidR="00672297" w:rsidRDefault="00A16EA3">
            <w:pPr>
              <w:spacing w:before="20" w:after="20"/>
              <w:jc w:val="left"/>
            </w:pPr>
            <w:r>
              <w:rPr>
                <w:rFonts w:cstheme="minorHAnsi"/>
                <w:sz w:val="18"/>
                <w:szCs w:val="18"/>
              </w:rPr>
              <w:t>Unique ID</w:t>
            </w:r>
          </w:p>
        </w:tc>
        <w:tc>
          <w:tcPr>
            <w:tcW w:w="2341" w:type="dxa"/>
            <w:vAlign w:val="center"/>
          </w:tcPr>
          <w:p w14:paraId="43201F78" w14:textId="77777777" w:rsidR="00672297" w:rsidRDefault="00A16EA3">
            <w:pPr>
              <w:spacing w:before="20" w:after="20"/>
              <w:jc w:val="left"/>
            </w:pPr>
            <w:r>
              <w:rPr>
                <w:rFonts w:cstheme="minorHAnsi"/>
                <w:sz w:val="18"/>
                <w:szCs w:val="18"/>
              </w:rPr>
              <w:t>System generated</w:t>
            </w:r>
          </w:p>
        </w:tc>
      </w:tr>
      <w:tr w:rsidR="00672297" w14:paraId="72F9B3AF" w14:textId="77777777">
        <w:trPr>
          <w:cantSplit/>
        </w:trPr>
        <w:tc>
          <w:tcPr>
            <w:tcW w:w="1872" w:type="dxa"/>
            <w:vAlign w:val="center"/>
          </w:tcPr>
          <w:p w14:paraId="1443D4EC" w14:textId="77777777" w:rsidR="00672297" w:rsidRDefault="00A16EA3">
            <w:pPr>
              <w:spacing w:before="20" w:after="20"/>
              <w:jc w:val="left"/>
            </w:pPr>
            <w:r>
              <w:rPr>
                <w:rFonts w:cstheme="minorHAnsi"/>
                <w:sz w:val="18"/>
                <w:szCs w:val="18"/>
              </w:rPr>
              <w:t>transaction_upload_id</w:t>
            </w:r>
          </w:p>
        </w:tc>
        <w:tc>
          <w:tcPr>
            <w:tcW w:w="1029" w:type="dxa"/>
            <w:vAlign w:val="center"/>
          </w:tcPr>
          <w:p w14:paraId="094C2493" w14:textId="77777777" w:rsidR="00672297" w:rsidRDefault="00A16EA3">
            <w:pPr>
              <w:spacing w:before="20" w:after="20"/>
              <w:jc w:val="left"/>
            </w:pPr>
            <w:r>
              <w:rPr>
                <w:rFonts w:cstheme="minorHAnsi"/>
                <w:sz w:val="18"/>
                <w:szCs w:val="18"/>
              </w:rPr>
              <w:t>VARCHAR(100)</w:t>
            </w:r>
          </w:p>
        </w:tc>
        <w:tc>
          <w:tcPr>
            <w:tcW w:w="468" w:type="dxa"/>
            <w:vAlign w:val="center"/>
          </w:tcPr>
          <w:p w14:paraId="4923CFC7" w14:textId="77777777" w:rsidR="00672297" w:rsidRDefault="00A16EA3">
            <w:pPr>
              <w:spacing w:before="20" w:after="20"/>
              <w:jc w:val="left"/>
            </w:pPr>
            <w:r>
              <w:rPr>
                <w:rFonts w:cstheme="minorHAnsi"/>
                <w:sz w:val="18"/>
                <w:szCs w:val="18"/>
              </w:rPr>
              <w:t>No</w:t>
            </w:r>
          </w:p>
        </w:tc>
        <w:tc>
          <w:tcPr>
            <w:tcW w:w="842" w:type="dxa"/>
            <w:vAlign w:val="center"/>
          </w:tcPr>
          <w:p w14:paraId="7DE6DDDB" w14:textId="77777777" w:rsidR="00672297" w:rsidRDefault="00A16EA3">
            <w:pPr>
              <w:spacing w:before="20" w:after="20"/>
              <w:jc w:val="left"/>
            </w:pPr>
            <w:r>
              <w:rPr>
                <w:rFonts w:cstheme="minorHAnsi"/>
                <w:sz w:val="18"/>
                <w:szCs w:val="18"/>
              </w:rPr>
              <w:t>UK</w:t>
            </w:r>
          </w:p>
        </w:tc>
        <w:tc>
          <w:tcPr>
            <w:tcW w:w="2808" w:type="dxa"/>
            <w:vAlign w:val="center"/>
          </w:tcPr>
          <w:p w14:paraId="1CDA0F39" w14:textId="77777777" w:rsidR="00672297" w:rsidRDefault="00A16EA3">
            <w:pPr>
              <w:spacing w:before="20" w:after="20"/>
              <w:jc w:val="left"/>
            </w:pPr>
            <w:r>
              <w:rPr>
                <w:rFonts w:cstheme="minorHAnsi"/>
                <w:sz w:val="18"/>
                <w:szCs w:val="18"/>
              </w:rPr>
              <w:t>Identifier of the transaction upload row</w:t>
            </w:r>
          </w:p>
        </w:tc>
        <w:tc>
          <w:tcPr>
            <w:tcW w:w="2341" w:type="dxa"/>
            <w:vAlign w:val="center"/>
          </w:tcPr>
          <w:p w14:paraId="7486D080" w14:textId="77777777" w:rsidR="00672297" w:rsidRDefault="00A16EA3">
            <w:pPr>
              <w:spacing w:before="20" w:after="20"/>
              <w:jc w:val="left"/>
            </w:pPr>
            <w:r>
              <w:rPr>
                <w:rFonts w:cstheme="minorHAnsi"/>
                <w:sz w:val="18"/>
                <w:szCs w:val="18"/>
              </w:rPr>
              <w:t>TransactionUploadID</w:t>
            </w:r>
          </w:p>
        </w:tc>
      </w:tr>
      <w:tr w:rsidR="00672297" w14:paraId="2EDFE6D8" w14:textId="77777777">
        <w:trPr>
          <w:cantSplit/>
        </w:trPr>
        <w:tc>
          <w:tcPr>
            <w:tcW w:w="1872" w:type="dxa"/>
            <w:vAlign w:val="center"/>
          </w:tcPr>
          <w:p w14:paraId="706F4412" w14:textId="77777777" w:rsidR="00672297" w:rsidRDefault="00A16EA3">
            <w:pPr>
              <w:spacing w:before="20" w:after="20"/>
              <w:jc w:val="left"/>
            </w:pPr>
            <w:r>
              <w:rPr>
                <w:rFonts w:cstheme="minorHAnsi"/>
                <w:sz w:val="18"/>
                <w:szCs w:val="18"/>
              </w:rPr>
              <w:t>batch_identifier</w:t>
            </w:r>
          </w:p>
        </w:tc>
        <w:tc>
          <w:tcPr>
            <w:tcW w:w="1029" w:type="dxa"/>
            <w:vAlign w:val="center"/>
          </w:tcPr>
          <w:p w14:paraId="77935E59" w14:textId="77777777" w:rsidR="00672297" w:rsidRDefault="00A16EA3">
            <w:pPr>
              <w:spacing w:before="20" w:after="20"/>
              <w:jc w:val="left"/>
            </w:pPr>
            <w:r>
              <w:rPr>
                <w:rFonts w:cstheme="minorHAnsi"/>
                <w:sz w:val="18"/>
                <w:szCs w:val="18"/>
              </w:rPr>
              <w:t>VARCHAR(100)</w:t>
            </w:r>
          </w:p>
        </w:tc>
        <w:tc>
          <w:tcPr>
            <w:tcW w:w="468" w:type="dxa"/>
            <w:vAlign w:val="center"/>
          </w:tcPr>
          <w:p w14:paraId="6B976741" w14:textId="77777777" w:rsidR="00672297" w:rsidRDefault="00A16EA3">
            <w:pPr>
              <w:spacing w:before="20" w:after="20"/>
              <w:jc w:val="left"/>
            </w:pPr>
            <w:r>
              <w:rPr>
                <w:rFonts w:cstheme="minorHAnsi"/>
                <w:sz w:val="18"/>
                <w:szCs w:val="18"/>
              </w:rPr>
              <w:t>Yes</w:t>
            </w:r>
          </w:p>
        </w:tc>
        <w:tc>
          <w:tcPr>
            <w:tcW w:w="842" w:type="dxa"/>
            <w:vAlign w:val="center"/>
          </w:tcPr>
          <w:p w14:paraId="2A610A3F" w14:textId="77777777" w:rsidR="00672297" w:rsidRDefault="00672297">
            <w:pPr>
              <w:spacing w:before="20" w:after="20"/>
              <w:jc w:val="left"/>
            </w:pPr>
          </w:p>
        </w:tc>
        <w:tc>
          <w:tcPr>
            <w:tcW w:w="2808" w:type="dxa"/>
            <w:vAlign w:val="center"/>
          </w:tcPr>
          <w:p w14:paraId="67D2E06F" w14:textId="77777777" w:rsidR="00672297" w:rsidRDefault="00A16EA3">
            <w:pPr>
              <w:spacing w:before="20" w:after="20"/>
              <w:jc w:val="left"/>
            </w:pPr>
            <w:r>
              <w:rPr>
                <w:rFonts w:cstheme="minorHAnsi"/>
                <w:sz w:val="18"/>
                <w:szCs w:val="18"/>
              </w:rPr>
              <w:t>Product batch identifier</w:t>
            </w:r>
          </w:p>
        </w:tc>
        <w:tc>
          <w:tcPr>
            <w:tcW w:w="2341" w:type="dxa"/>
            <w:vAlign w:val="center"/>
          </w:tcPr>
          <w:p w14:paraId="1FF90274" w14:textId="77777777" w:rsidR="00672297" w:rsidRDefault="00A16EA3">
            <w:pPr>
              <w:spacing w:before="20" w:after="20"/>
              <w:jc w:val="left"/>
            </w:pPr>
            <w:r>
              <w:rPr>
                <w:rFonts w:cstheme="minorHAnsi"/>
                <w:sz w:val="18"/>
                <w:szCs w:val="18"/>
              </w:rPr>
              <w:t>BatchIdentifier</w:t>
            </w:r>
          </w:p>
        </w:tc>
      </w:tr>
      <w:tr w:rsidR="00672297" w14:paraId="45595D87" w14:textId="77777777">
        <w:trPr>
          <w:cantSplit/>
        </w:trPr>
        <w:tc>
          <w:tcPr>
            <w:tcW w:w="1872" w:type="dxa"/>
            <w:vAlign w:val="center"/>
          </w:tcPr>
          <w:p w14:paraId="5EA7C9FA" w14:textId="77777777" w:rsidR="00672297" w:rsidRDefault="00A16EA3">
            <w:pPr>
              <w:spacing w:before="20" w:after="20"/>
              <w:jc w:val="left"/>
            </w:pPr>
            <w:r>
              <w:rPr>
                <w:rFonts w:cstheme="minorHAnsi"/>
                <w:sz w:val="18"/>
                <w:szCs w:val="18"/>
              </w:rPr>
              <w:t>transaction_type</w:t>
            </w:r>
          </w:p>
        </w:tc>
        <w:tc>
          <w:tcPr>
            <w:tcW w:w="1029" w:type="dxa"/>
            <w:vAlign w:val="center"/>
          </w:tcPr>
          <w:p w14:paraId="65FC7008" w14:textId="77777777" w:rsidR="00672297" w:rsidRDefault="00A16EA3">
            <w:pPr>
              <w:spacing w:before="20" w:after="20"/>
              <w:jc w:val="left"/>
            </w:pPr>
            <w:r>
              <w:rPr>
                <w:rFonts w:cstheme="minorHAnsi"/>
                <w:sz w:val="18"/>
                <w:szCs w:val="18"/>
              </w:rPr>
              <w:t>VARCHAR(50)</w:t>
            </w:r>
          </w:p>
        </w:tc>
        <w:tc>
          <w:tcPr>
            <w:tcW w:w="468" w:type="dxa"/>
            <w:vAlign w:val="center"/>
          </w:tcPr>
          <w:p w14:paraId="2062D88C" w14:textId="77777777" w:rsidR="00672297" w:rsidRDefault="00A16EA3">
            <w:pPr>
              <w:spacing w:before="20" w:after="20"/>
              <w:jc w:val="left"/>
            </w:pPr>
            <w:r>
              <w:rPr>
                <w:rFonts w:cstheme="minorHAnsi"/>
                <w:sz w:val="18"/>
                <w:szCs w:val="18"/>
              </w:rPr>
              <w:t>No</w:t>
            </w:r>
          </w:p>
        </w:tc>
        <w:tc>
          <w:tcPr>
            <w:tcW w:w="842" w:type="dxa"/>
            <w:vAlign w:val="center"/>
          </w:tcPr>
          <w:p w14:paraId="0B1A2D15" w14:textId="77777777" w:rsidR="00672297" w:rsidRDefault="00672297">
            <w:pPr>
              <w:spacing w:before="20" w:after="20"/>
              <w:jc w:val="left"/>
            </w:pPr>
          </w:p>
        </w:tc>
        <w:tc>
          <w:tcPr>
            <w:tcW w:w="2808" w:type="dxa"/>
            <w:vAlign w:val="center"/>
          </w:tcPr>
          <w:p w14:paraId="06403747" w14:textId="77777777" w:rsidR="00672297" w:rsidRDefault="00A16EA3">
            <w:pPr>
              <w:spacing w:before="20" w:after="20"/>
              <w:jc w:val="left"/>
            </w:pPr>
            <w:r>
              <w:rPr>
                <w:rFonts w:cstheme="minorHAnsi"/>
                <w:sz w:val="18"/>
                <w:szCs w:val="18"/>
              </w:rPr>
              <w:t>Load (rack load) or Non-Movement (blending in the tank)</w:t>
            </w:r>
          </w:p>
        </w:tc>
        <w:tc>
          <w:tcPr>
            <w:tcW w:w="2341" w:type="dxa"/>
            <w:vAlign w:val="center"/>
          </w:tcPr>
          <w:p w14:paraId="68955E8E" w14:textId="77777777" w:rsidR="00672297" w:rsidRDefault="00A16EA3">
            <w:pPr>
              <w:spacing w:before="20" w:after="20"/>
              <w:jc w:val="left"/>
            </w:pPr>
            <w:r>
              <w:rPr>
                <w:rFonts w:cstheme="minorHAnsi"/>
                <w:sz w:val="18"/>
                <w:szCs w:val="18"/>
              </w:rPr>
              <w:t>TransactionType</w:t>
            </w:r>
          </w:p>
        </w:tc>
      </w:tr>
      <w:tr w:rsidR="00672297" w14:paraId="41DDF0AA" w14:textId="77777777">
        <w:trPr>
          <w:cantSplit/>
        </w:trPr>
        <w:tc>
          <w:tcPr>
            <w:tcW w:w="1872" w:type="dxa"/>
            <w:vAlign w:val="center"/>
          </w:tcPr>
          <w:p w14:paraId="1065EC1F" w14:textId="77777777" w:rsidR="00672297" w:rsidRDefault="00A16EA3">
            <w:pPr>
              <w:spacing w:before="20" w:after="20"/>
              <w:jc w:val="left"/>
            </w:pPr>
            <w:r>
              <w:rPr>
                <w:rFonts w:cstheme="minorHAnsi"/>
                <w:sz w:val="18"/>
                <w:szCs w:val="18"/>
              </w:rPr>
              <w:t>transaction_date</w:t>
            </w:r>
          </w:p>
        </w:tc>
        <w:tc>
          <w:tcPr>
            <w:tcW w:w="1029" w:type="dxa"/>
            <w:vAlign w:val="center"/>
          </w:tcPr>
          <w:p w14:paraId="31202034" w14:textId="77777777" w:rsidR="00672297" w:rsidRDefault="00A16EA3">
            <w:pPr>
              <w:spacing w:before="20" w:after="20"/>
              <w:jc w:val="left"/>
            </w:pPr>
            <w:r>
              <w:rPr>
                <w:rFonts w:cstheme="minorHAnsi"/>
                <w:sz w:val="18"/>
                <w:szCs w:val="18"/>
              </w:rPr>
              <w:t>DATETIME</w:t>
            </w:r>
          </w:p>
        </w:tc>
        <w:tc>
          <w:tcPr>
            <w:tcW w:w="468" w:type="dxa"/>
            <w:vAlign w:val="center"/>
          </w:tcPr>
          <w:p w14:paraId="3880348C" w14:textId="77777777" w:rsidR="00672297" w:rsidRDefault="00A16EA3">
            <w:pPr>
              <w:spacing w:before="20" w:after="20"/>
              <w:jc w:val="left"/>
            </w:pPr>
            <w:r>
              <w:rPr>
                <w:rFonts w:cstheme="minorHAnsi"/>
                <w:sz w:val="18"/>
                <w:szCs w:val="18"/>
              </w:rPr>
              <w:t>No</w:t>
            </w:r>
          </w:p>
        </w:tc>
        <w:tc>
          <w:tcPr>
            <w:tcW w:w="842" w:type="dxa"/>
            <w:vAlign w:val="center"/>
          </w:tcPr>
          <w:p w14:paraId="296CA78B" w14:textId="77777777" w:rsidR="00672297" w:rsidRDefault="00672297">
            <w:pPr>
              <w:spacing w:before="20" w:after="20"/>
              <w:jc w:val="left"/>
            </w:pPr>
          </w:p>
        </w:tc>
        <w:tc>
          <w:tcPr>
            <w:tcW w:w="2808" w:type="dxa"/>
            <w:vAlign w:val="center"/>
          </w:tcPr>
          <w:p w14:paraId="48643A51" w14:textId="77777777" w:rsidR="00672297" w:rsidRDefault="00A16EA3">
            <w:pPr>
              <w:spacing w:before="20" w:after="20"/>
              <w:jc w:val="left"/>
            </w:pPr>
            <w:r>
              <w:rPr>
                <w:rFonts w:cstheme="minorHAnsi"/>
                <w:sz w:val="18"/>
                <w:szCs w:val="18"/>
              </w:rPr>
              <w:t>Time stamp of the transaction (UTC)</w:t>
            </w:r>
          </w:p>
        </w:tc>
        <w:tc>
          <w:tcPr>
            <w:tcW w:w="2341" w:type="dxa"/>
            <w:vAlign w:val="center"/>
          </w:tcPr>
          <w:p w14:paraId="481DFF74" w14:textId="77777777" w:rsidR="00672297" w:rsidRDefault="00A16EA3">
            <w:pPr>
              <w:spacing w:before="20" w:after="20"/>
              <w:jc w:val="left"/>
            </w:pPr>
            <w:r>
              <w:rPr>
                <w:rFonts w:cstheme="minorHAnsi"/>
                <w:sz w:val="18"/>
                <w:szCs w:val="18"/>
              </w:rPr>
              <w:t>TransactionDate</w:t>
            </w:r>
          </w:p>
        </w:tc>
      </w:tr>
      <w:tr w:rsidR="00672297" w14:paraId="22872E38" w14:textId="77777777">
        <w:trPr>
          <w:cantSplit/>
        </w:trPr>
        <w:tc>
          <w:tcPr>
            <w:tcW w:w="1872" w:type="dxa"/>
            <w:vAlign w:val="center"/>
          </w:tcPr>
          <w:p w14:paraId="7A667655" w14:textId="77777777" w:rsidR="00672297" w:rsidRDefault="00A16EA3">
            <w:pPr>
              <w:spacing w:before="20" w:after="20"/>
              <w:jc w:val="left"/>
            </w:pPr>
            <w:r>
              <w:rPr>
                <w:rFonts w:cstheme="minorHAnsi"/>
                <w:sz w:val="18"/>
                <w:szCs w:val="18"/>
              </w:rPr>
              <w:t>trans_origin</w:t>
            </w:r>
          </w:p>
        </w:tc>
        <w:tc>
          <w:tcPr>
            <w:tcW w:w="1029" w:type="dxa"/>
            <w:vAlign w:val="center"/>
          </w:tcPr>
          <w:p w14:paraId="47D68D25" w14:textId="77777777" w:rsidR="00672297" w:rsidRDefault="00A16EA3">
            <w:pPr>
              <w:spacing w:before="20" w:after="20"/>
              <w:jc w:val="left"/>
            </w:pPr>
            <w:r>
              <w:rPr>
                <w:rFonts w:cstheme="minorHAnsi"/>
                <w:sz w:val="18"/>
                <w:szCs w:val="18"/>
              </w:rPr>
              <w:t>VARCHAR(100)</w:t>
            </w:r>
          </w:p>
        </w:tc>
        <w:tc>
          <w:tcPr>
            <w:tcW w:w="468" w:type="dxa"/>
            <w:vAlign w:val="center"/>
          </w:tcPr>
          <w:p w14:paraId="0CF19E6F" w14:textId="77777777" w:rsidR="00672297" w:rsidRDefault="00A16EA3">
            <w:pPr>
              <w:spacing w:before="20" w:after="20"/>
              <w:jc w:val="left"/>
            </w:pPr>
            <w:r>
              <w:rPr>
                <w:rFonts w:cstheme="minorHAnsi"/>
                <w:sz w:val="18"/>
                <w:szCs w:val="18"/>
              </w:rPr>
              <w:t>Yes</w:t>
            </w:r>
          </w:p>
        </w:tc>
        <w:tc>
          <w:tcPr>
            <w:tcW w:w="842" w:type="dxa"/>
            <w:vAlign w:val="center"/>
          </w:tcPr>
          <w:p w14:paraId="2C57C192" w14:textId="77777777" w:rsidR="00672297" w:rsidRDefault="00672297">
            <w:pPr>
              <w:spacing w:before="20" w:after="20"/>
              <w:jc w:val="left"/>
            </w:pPr>
          </w:p>
        </w:tc>
        <w:tc>
          <w:tcPr>
            <w:tcW w:w="2808" w:type="dxa"/>
            <w:vAlign w:val="center"/>
          </w:tcPr>
          <w:p w14:paraId="3DA9CF30" w14:textId="77777777" w:rsidR="00672297" w:rsidRDefault="00A16EA3">
            <w:pPr>
              <w:spacing w:before="20" w:after="20"/>
              <w:jc w:val="left"/>
            </w:pPr>
            <w:r>
              <w:rPr>
                <w:rFonts w:cstheme="minorHAnsi"/>
                <w:sz w:val="18"/>
                <w:szCs w:val="18"/>
              </w:rPr>
              <w:t>Origin of the transaction</w:t>
            </w:r>
          </w:p>
        </w:tc>
        <w:tc>
          <w:tcPr>
            <w:tcW w:w="2341" w:type="dxa"/>
            <w:vAlign w:val="center"/>
          </w:tcPr>
          <w:p w14:paraId="367E336A" w14:textId="77777777" w:rsidR="00672297" w:rsidRDefault="00A16EA3">
            <w:pPr>
              <w:spacing w:before="20" w:after="20"/>
              <w:jc w:val="left"/>
            </w:pPr>
            <w:r>
              <w:rPr>
                <w:rFonts w:cstheme="minorHAnsi"/>
                <w:sz w:val="18"/>
                <w:szCs w:val="18"/>
              </w:rPr>
              <w:t>TransOrigin</w:t>
            </w:r>
          </w:p>
        </w:tc>
      </w:tr>
      <w:tr w:rsidR="00672297" w14:paraId="2B0CAE65" w14:textId="77777777">
        <w:trPr>
          <w:cantSplit/>
        </w:trPr>
        <w:tc>
          <w:tcPr>
            <w:tcW w:w="1872" w:type="dxa"/>
            <w:vAlign w:val="center"/>
          </w:tcPr>
          <w:p w14:paraId="3704E37A" w14:textId="77777777" w:rsidR="00672297" w:rsidRDefault="00A16EA3">
            <w:pPr>
              <w:spacing w:before="20" w:after="20"/>
              <w:jc w:val="left"/>
            </w:pPr>
            <w:r>
              <w:rPr>
                <w:rFonts w:cstheme="minorHAnsi"/>
                <w:sz w:val="18"/>
                <w:szCs w:val="18"/>
              </w:rPr>
              <w:t>material_id</w:t>
            </w:r>
          </w:p>
        </w:tc>
        <w:tc>
          <w:tcPr>
            <w:tcW w:w="1029" w:type="dxa"/>
            <w:vAlign w:val="center"/>
          </w:tcPr>
          <w:p w14:paraId="51977D96" w14:textId="77777777" w:rsidR="00672297" w:rsidRDefault="00A16EA3">
            <w:pPr>
              <w:spacing w:before="20" w:after="20"/>
              <w:jc w:val="left"/>
            </w:pPr>
            <w:r>
              <w:rPr>
                <w:rFonts w:cstheme="minorHAnsi"/>
                <w:sz w:val="18"/>
                <w:szCs w:val="18"/>
              </w:rPr>
              <w:t>INT</w:t>
            </w:r>
          </w:p>
        </w:tc>
        <w:tc>
          <w:tcPr>
            <w:tcW w:w="468" w:type="dxa"/>
            <w:vAlign w:val="center"/>
          </w:tcPr>
          <w:p w14:paraId="3BB9BB29" w14:textId="77777777" w:rsidR="00672297" w:rsidRDefault="00A16EA3">
            <w:pPr>
              <w:spacing w:before="20" w:after="20"/>
              <w:jc w:val="left"/>
            </w:pPr>
            <w:r>
              <w:rPr>
                <w:rFonts w:cstheme="minorHAnsi"/>
                <w:sz w:val="18"/>
                <w:szCs w:val="18"/>
              </w:rPr>
              <w:t>No</w:t>
            </w:r>
          </w:p>
        </w:tc>
        <w:tc>
          <w:tcPr>
            <w:tcW w:w="842" w:type="dxa"/>
            <w:vAlign w:val="center"/>
          </w:tcPr>
          <w:p w14:paraId="5F4DDB4D" w14:textId="77777777" w:rsidR="00672297" w:rsidRDefault="00A16EA3">
            <w:pPr>
              <w:spacing w:before="20" w:after="20"/>
              <w:jc w:val="left"/>
            </w:pPr>
            <w:r>
              <w:rPr>
                <w:rFonts w:cstheme="minorHAnsi"/>
                <w:sz w:val="18"/>
                <w:szCs w:val="18"/>
              </w:rPr>
              <w:t>FK &gt; material</w:t>
            </w:r>
          </w:p>
        </w:tc>
        <w:tc>
          <w:tcPr>
            <w:tcW w:w="2808" w:type="dxa"/>
            <w:vAlign w:val="center"/>
          </w:tcPr>
          <w:p w14:paraId="48E2F6C8" w14:textId="77777777" w:rsidR="00672297" w:rsidRDefault="00A16EA3">
            <w:pPr>
              <w:spacing w:before="20" w:after="20"/>
              <w:jc w:val="left"/>
            </w:pPr>
            <w:r>
              <w:rPr>
                <w:rFonts w:cstheme="minorHAnsi"/>
                <w:sz w:val="18"/>
                <w:szCs w:val="18"/>
              </w:rPr>
              <w:t>Product</w:t>
            </w:r>
          </w:p>
        </w:tc>
        <w:tc>
          <w:tcPr>
            <w:tcW w:w="2341" w:type="dxa"/>
            <w:vAlign w:val="center"/>
          </w:tcPr>
          <w:p w14:paraId="46224061" w14:textId="77777777" w:rsidR="00672297" w:rsidRDefault="00A16EA3">
            <w:pPr>
              <w:spacing w:before="20" w:after="20"/>
              <w:jc w:val="left"/>
            </w:pPr>
            <w:r>
              <w:rPr>
                <w:rFonts w:cstheme="minorHAnsi"/>
                <w:sz w:val="18"/>
                <w:szCs w:val="18"/>
              </w:rPr>
              <w:t>Material_GlobalCode</w:t>
            </w:r>
          </w:p>
        </w:tc>
      </w:tr>
      <w:tr w:rsidR="00672297" w14:paraId="4C8BB96F" w14:textId="77777777">
        <w:trPr>
          <w:cantSplit/>
        </w:trPr>
        <w:tc>
          <w:tcPr>
            <w:tcW w:w="1872" w:type="dxa"/>
            <w:vAlign w:val="center"/>
          </w:tcPr>
          <w:p w14:paraId="208B1469" w14:textId="77777777" w:rsidR="00672297" w:rsidRDefault="00A16EA3">
            <w:pPr>
              <w:spacing w:before="20" w:after="20"/>
              <w:jc w:val="left"/>
            </w:pPr>
            <w:r>
              <w:rPr>
                <w:rFonts w:cstheme="minorHAnsi"/>
                <w:sz w:val="18"/>
                <w:szCs w:val="18"/>
              </w:rPr>
              <w:t>component_material_id</w:t>
            </w:r>
          </w:p>
        </w:tc>
        <w:tc>
          <w:tcPr>
            <w:tcW w:w="1029" w:type="dxa"/>
            <w:vAlign w:val="center"/>
          </w:tcPr>
          <w:p w14:paraId="129AD112" w14:textId="77777777" w:rsidR="00672297" w:rsidRDefault="00A16EA3">
            <w:pPr>
              <w:spacing w:before="20" w:after="20"/>
              <w:jc w:val="left"/>
            </w:pPr>
            <w:r>
              <w:rPr>
                <w:rFonts w:cstheme="minorHAnsi"/>
                <w:sz w:val="18"/>
                <w:szCs w:val="18"/>
              </w:rPr>
              <w:t>INT</w:t>
            </w:r>
          </w:p>
        </w:tc>
        <w:tc>
          <w:tcPr>
            <w:tcW w:w="468" w:type="dxa"/>
            <w:vAlign w:val="center"/>
          </w:tcPr>
          <w:p w14:paraId="5853599B" w14:textId="77777777" w:rsidR="00672297" w:rsidRDefault="00A16EA3">
            <w:pPr>
              <w:spacing w:before="20" w:after="20"/>
              <w:jc w:val="left"/>
            </w:pPr>
            <w:r>
              <w:rPr>
                <w:rFonts w:cstheme="minorHAnsi"/>
                <w:sz w:val="18"/>
                <w:szCs w:val="18"/>
              </w:rPr>
              <w:t>No</w:t>
            </w:r>
          </w:p>
        </w:tc>
        <w:tc>
          <w:tcPr>
            <w:tcW w:w="842" w:type="dxa"/>
            <w:vAlign w:val="center"/>
          </w:tcPr>
          <w:p w14:paraId="10A186BF" w14:textId="77777777" w:rsidR="00672297" w:rsidRDefault="00A16EA3">
            <w:pPr>
              <w:spacing w:before="20" w:after="20"/>
              <w:jc w:val="left"/>
            </w:pPr>
            <w:r>
              <w:rPr>
                <w:rFonts w:cstheme="minorHAnsi"/>
                <w:sz w:val="18"/>
                <w:szCs w:val="18"/>
              </w:rPr>
              <w:t>FK &gt; material</w:t>
            </w:r>
          </w:p>
        </w:tc>
        <w:tc>
          <w:tcPr>
            <w:tcW w:w="2808" w:type="dxa"/>
            <w:vAlign w:val="center"/>
          </w:tcPr>
          <w:p w14:paraId="1FBB1565" w14:textId="77777777" w:rsidR="00672297" w:rsidRDefault="00A16EA3">
            <w:pPr>
              <w:spacing w:before="20" w:after="20"/>
              <w:jc w:val="left"/>
            </w:pPr>
            <w:r>
              <w:rPr>
                <w:rFonts w:cstheme="minorHAnsi"/>
                <w:sz w:val="18"/>
                <w:szCs w:val="18"/>
              </w:rPr>
              <w:t>Blend component (Ethanol, B99 Biodiesel, Terminal Butane for Blending, Transmix)</w:t>
            </w:r>
          </w:p>
        </w:tc>
        <w:tc>
          <w:tcPr>
            <w:tcW w:w="2341" w:type="dxa"/>
            <w:vAlign w:val="center"/>
          </w:tcPr>
          <w:p w14:paraId="67308C85" w14:textId="77777777" w:rsidR="00672297" w:rsidRDefault="00A16EA3">
            <w:pPr>
              <w:spacing w:before="20" w:after="20"/>
              <w:jc w:val="left"/>
            </w:pPr>
            <w:r>
              <w:rPr>
                <w:rFonts w:cstheme="minorHAnsi"/>
                <w:sz w:val="18"/>
                <w:szCs w:val="18"/>
              </w:rPr>
              <w:t>Component_GlobalCode</w:t>
            </w:r>
          </w:p>
        </w:tc>
      </w:tr>
      <w:tr w:rsidR="00672297" w14:paraId="7A70DE4F" w14:textId="77777777">
        <w:trPr>
          <w:cantSplit/>
        </w:trPr>
        <w:tc>
          <w:tcPr>
            <w:tcW w:w="1872" w:type="dxa"/>
            <w:vAlign w:val="center"/>
          </w:tcPr>
          <w:p w14:paraId="2755BF7A" w14:textId="77777777" w:rsidR="00672297" w:rsidRDefault="00A16EA3">
            <w:pPr>
              <w:spacing w:before="20" w:after="20"/>
              <w:jc w:val="left"/>
            </w:pPr>
            <w:r>
              <w:rPr>
                <w:rFonts w:cstheme="minorHAnsi"/>
                <w:sz w:val="18"/>
                <w:szCs w:val="18"/>
              </w:rPr>
              <w:t>location_id</w:t>
            </w:r>
          </w:p>
        </w:tc>
        <w:tc>
          <w:tcPr>
            <w:tcW w:w="1029" w:type="dxa"/>
            <w:vAlign w:val="center"/>
          </w:tcPr>
          <w:p w14:paraId="1F9F713B" w14:textId="77777777" w:rsidR="00672297" w:rsidRDefault="00A16EA3">
            <w:pPr>
              <w:spacing w:before="20" w:after="20"/>
              <w:jc w:val="left"/>
            </w:pPr>
            <w:r>
              <w:rPr>
                <w:rFonts w:cstheme="minorHAnsi"/>
                <w:sz w:val="18"/>
                <w:szCs w:val="18"/>
              </w:rPr>
              <w:t>INT</w:t>
            </w:r>
          </w:p>
        </w:tc>
        <w:tc>
          <w:tcPr>
            <w:tcW w:w="468" w:type="dxa"/>
            <w:vAlign w:val="center"/>
          </w:tcPr>
          <w:p w14:paraId="42C7A9F8" w14:textId="77777777" w:rsidR="00672297" w:rsidRDefault="00A16EA3">
            <w:pPr>
              <w:spacing w:before="20" w:after="20"/>
              <w:jc w:val="left"/>
            </w:pPr>
            <w:r>
              <w:rPr>
                <w:rFonts w:cstheme="minorHAnsi"/>
                <w:sz w:val="18"/>
                <w:szCs w:val="18"/>
              </w:rPr>
              <w:t>No</w:t>
            </w:r>
          </w:p>
        </w:tc>
        <w:tc>
          <w:tcPr>
            <w:tcW w:w="842" w:type="dxa"/>
            <w:vAlign w:val="center"/>
          </w:tcPr>
          <w:p w14:paraId="00D05827" w14:textId="77777777" w:rsidR="00672297" w:rsidRDefault="00A16EA3">
            <w:pPr>
              <w:spacing w:before="20" w:after="20"/>
              <w:jc w:val="left"/>
            </w:pPr>
            <w:r>
              <w:rPr>
                <w:rFonts w:cstheme="minorHAnsi"/>
                <w:sz w:val="18"/>
                <w:szCs w:val="18"/>
              </w:rPr>
              <w:t>FK &gt; location</w:t>
            </w:r>
          </w:p>
        </w:tc>
        <w:tc>
          <w:tcPr>
            <w:tcW w:w="2808" w:type="dxa"/>
            <w:vAlign w:val="center"/>
          </w:tcPr>
          <w:p w14:paraId="53D28777" w14:textId="77777777" w:rsidR="00672297" w:rsidRDefault="00A16EA3">
            <w:pPr>
              <w:spacing w:before="20" w:after="20"/>
              <w:jc w:val="left"/>
            </w:pPr>
            <w:r>
              <w:rPr>
                <w:rFonts w:cstheme="minorHAnsi"/>
                <w:sz w:val="18"/>
                <w:szCs w:val="18"/>
              </w:rPr>
              <w:t>Terminal (facility)</w:t>
            </w:r>
          </w:p>
        </w:tc>
        <w:tc>
          <w:tcPr>
            <w:tcW w:w="2341" w:type="dxa"/>
            <w:vAlign w:val="center"/>
          </w:tcPr>
          <w:p w14:paraId="4EA3BC05" w14:textId="77777777" w:rsidR="00672297" w:rsidRDefault="00A16EA3">
            <w:pPr>
              <w:spacing w:before="20" w:after="20"/>
              <w:jc w:val="left"/>
            </w:pPr>
            <w:r>
              <w:rPr>
                <w:rFonts w:cstheme="minorHAnsi"/>
                <w:sz w:val="18"/>
                <w:szCs w:val="18"/>
              </w:rPr>
              <w:t>Location_GlobalCode</w:t>
            </w:r>
          </w:p>
        </w:tc>
      </w:tr>
      <w:tr w:rsidR="00672297" w14:paraId="3C11A9B9" w14:textId="77777777">
        <w:trPr>
          <w:cantSplit/>
        </w:trPr>
        <w:tc>
          <w:tcPr>
            <w:tcW w:w="1872" w:type="dxa"/>
            <w:vAlign w:val="center"/>
          </w:tcPr>
          <w:p w14:paraId="570D7C60" w14:textId="77777777" w:rsidR="00672297" w:rsidRDefault="00A16EA3">
            <w:pPr>
              <w:spacing w:before="20" w:after="20"/>
              <w:jc w:val="left"/>
            </w:pPr>
            <w:r>
              <w:rPr>
                <w:rFonts w:cstheme="minorHAnsi"/>
                <w:sz w:val="18"/>
                <w:szCs w:val="18"/>
              </w:rPr>
              <w:t>origin_location_id</w:t>
            </w:r>
          </w:p>
        </w:tc>
        <w:tc>
          <w:tcPr>
            <w:tcW w:w="1029" w:type="dxa"/>
            <w:vAlign w:val="center"/>
          </w:tcPr>
          <w:p w14:paraId="3B695C7F" w14:textId="77777777" w:rsidR="00672297" w:rsidRDefault="00A16EA3">
            <w:pPr>
              <w:spacing w:before="20" w:after="20"/>
              <w:jc w:val="left"/>
            </w:pPr>
            <w:r>
              <w:rPr>
                <w:rFonts w:cstheme="minorHAnsi"/>
                <w:sz w:val="18"/>
                <w:szCs w:val="18"/>
              </w:rPr>
              <w:t>INT</w:t>
            </w:r>
          </w:p>
        </w:tc>
        <w:tc>
          <w:tcPr>
            <w:tcW w:w="468" w:type="dxa"/>
            <w:vAlign w:val="center"/>
          </w:tcPr>
          <w:p w14:paraId="540E4402" w14:textId="77777777" w:rsidR="00672297" w:rsidRDefault="00A16EA3">
            <w:pPr>
              <w:spacing w:before="20" w:after="20"/>
              <w:jc w:val="left"/>
            </w:pPr>
            <w:r>
              <w:rPr>
                <w:rFonts w:cstheme="minorHAnsi"/>
                <w:sz w:val="18"/>
                <w:szCs w:val="18"/>
              </w:rPr>
              <w:t>Yes</w:t>
            </w:r>
          </w:p>
        </w:tc>
        <w:tc>
          <w:tcPr>
            <w:tcW w:w="842" w:type="dxa"/>
            <w:vAlign w:val="center"/>
          </w:tcPr>
          <w:p w14:paraId="4253F2B1" w14:textId="77777777" w:rsidR="00672297" w:rsidRDefault="00A16EA3">
            <w:pPr>
              <w:spacing w:before="20" w:after="20"/>
              <w:jc w:val="left"/>
            </w:pPr>
            <w:r>
              <w:rPr>
                <w:rFonts w:cstheme="minorHAnsi"/>
                <w:sz w:val="18"/>
                <w:szCs w:val="18"/>
              </w:rPr>
              <w:t>FK &gt; location</w:t>
            </w:r>
          </w:p>
        </w:tc>
        <w:tc>
          <w:tcPr>
            <w:tcW w:w="2808" w:type="dxa"/>
            <w:vAlign w:val="center"/>
          </w:tcPr>
          <w:p w14:paraId="299254B5" w14:textId="77777777" w:rsidR="00672297" w:rsidRDefault="00A16EA3">
            <w:pPr>
              <w:spacing w:before="20" w:after="20"/>
              <w:jc w:val="left"/>
            </w:pPr>
            <w:r>
              <w:rPr>
                <w:rFonts w:cstheme="minorHAnsi"/>
                <w:sz w:val="18"/>
                <w:szCs w:val="18"/>
              </w:rPr>
              <w:t>Origin location</w:t>
            </w:r>
          </w:p>
        </w:tc>
        <w:tc>
          <w:tcPr>
            <w:tcW w:w="2341" w:type="dxa"/>
            <w:vAlign w:val="center"/>
          </w:tcPr>
          <w:p w14:paraId="6DC86683" w14:textId="77777777" w:rsidR="00672297" w:rsidRDefault="00A16EA3">
            <w:pPr>
              <w:spacing w:before="20" w:after="20"/>
              <w:jc w:val="left"/>
            </w:pPr>
            <w:r>
              <w:rPr>
                <w:rFonts w:cstheme="minorHAnsi"/>
                <w:sz w:val="18"/>
                <w:szCs w:val="18"/>
              </w:rPr>
              <w:t>OriginLocation_GlobalCode</w:t>
            </w:r>
          </w:p>
        </w:tc>
      </w:tr>
      <w:tr w:rsidR="00672297" w14:paraId="5B570798" w14:textId="77777777">
        <w:trPr>
          <w:cantSplit/>
        </w:trPr>
        <w:tc>
          <w:tcPr>
            <w:tcW w:w="1872" w:type="dxa"/>
            <w:vAlign w:val="center"/>
          </w:tcPr>
          <w:p w14:paraId="0CA8FB0C" w14:textId="77777777" w:rsidR="00672297" w:rsidRDefault="00A16EA3">
            <w:pPr>
              <w:spacing w:before="20" w:after="20"/>
              <w:jc w:val="left"/>
            </w:pPr>
            <w:r>
              <w:rPr>
                <w:rFonts w:cstheme="minorHAnsi"/>
                <w:sz w:val="18"/>
                <w:szCs w:val="18"/>
              </w:rPr>
              <w:t>destination_location_id</w:t>
            </w:r>
          </w:p>
        </w:tc>
        <w:tc>
          <w:tcPr>
            <w:tcW w:w="1029" w:type="dxa"/>
            <w:vAlign w:val="center"/>
          </w:tcPr>
          <w:p w14:paraId="49B3B0DC" w14:textId="77777777" w:rsidR="00672297" w:rsidRDefault="00A16EA3">
            <w:pPr>
              <w:spacing w:before="20" w:after="20"/>
              <w:jc w:val="left"/>
            </w:pPr>
            <w:r>
              <w:rPr>
                <w:rFonts w:cstheme="minorHAnsi"/>
                <w:sz w:val="18"/>
                <w:szCs w:val="18"/>
              </w:rPr>
              <w:t>INT</w:t>
            </w:r>
          </w:p>
        </w:tc>
        <w:tc>
          <w:tcPr>
            <w:tcW w:w="468" w:type="dxa"/>
            <w:vAlign w:val="center"/>
          </w:tcPr>
          <w:p w14:paraId="0D94B5ED" w14:textId="77777777" w:rsidR="00672297" w:rsidRDefault="00A16EA3">
            <w:pPr>
              <w:spacing w:before="20" w:after="20"/>
              <w:jc w:val="left"/>
            </w:pPr>
            <w:r>
              <w:rPr>
                <w:rFonts w:cstheme="minorHAnsi"/>
                <w:sz w:val="18"/>
                <w:szCs w:val="18"/>
              </w:rPr>
              <w:t>Yes</w:t>
            </w:r>
          </w:p>
        </w:tc>
        <w:tc>
          <w:tcPr>
            <w:tcW w:w="842" w:type="dxa"/>
            <w:vAlign w:val="center"/>
          </w:tcPr>
          <w:p w14:paraId="1D13FBF3" w14:textId="77777777" w:rsidR="00672297" w:rsidRDefault="00A16EA3">
            <w:pPr>
              <w:spacing w:before="20" w:after="20"/>
              <w:jc w:val="left"/>
            </w:pPr>
            <w:r>
              <w:rPr>
                <w:rFonts w:cstheme="minorHAnsi"/>
                <w:sz w:val="18"/>
                <w:szCs w:val="18"/>
              </w:rPr>
              <w:t>FK &gt; location</w:t>
            </w:r>
          </w:p>
        </w:tc>
        <w:tc>
          <w:tcPr>
            <w:tcW w:w="2808" w:type="dxa"/>
            <w:vAlign w:val="center"/>
          </w:tcPr>
          <w:p w14:paraId="22B54B42" w14:textId="77777777" w:rsidR="00672297" w:rsidRDefault="00A16EA3">
            <w:pPr>
              <w:spacing w:before="20" w:after="20"/>
              <w:jc w:val="left"/>
            </w:pPr>
            <w:r>
              <w:rPr>
                <w:rFonts w:cstheme="minorHAnsi"/>
                <w:sz w:val="18"/>
                <w:szCs w:val="18"/>
              </w:rPr>
              <w:t>Destination location</w:t>
            </w:r>
          </w:p>
        </w:tc>
        <w:tc>
          <w:tcPr>
            <w:tcW w:w="2341" w:type="dxa"/>
            <w:vAlign w:val="center"/>
          </w:tcPr>
          <w:p w14:paraId="2014DC60" w14:textId="77777777" w:rsidR="00672297" w:rsidRDefault="00A16EA3">
            <w:pPr>
              <w:spacing w:before="20" w:after="20"/>
              <w:jc w:val="left"/>
            </w:pPr>
            <w:r>
              <w:rPr>
                <w:rFonts w:cstheme="minorHAnsi"/>
                <w:sz w:val="18"/>
                <w:szCs w:val="18"/>
              </w:rPr>
              <w:t>DestinationLocation_GlobalCode</w:t>
            </w:r>
          </w:p>
        </w:tc>
      </w:tr>
      <w:tr w:rsidR="00672297" w14:paraId="55B4CD8D" w14:textId="77777777">
        <w:trPr>
          <w:cantSplit/>
        </w:trPr>
        <w:tc>
          <w:tcPr>
            <w:tcW w:w="1872" w:type="dxa"/>
            <w:vAlign w:val="center"/>
          </w:tcPr>
          <w:p w14:paraId="34CB3F51" w14:textId="77777777" w:rsidR="00672297" w:rsidRDefault="00A16EA3">
            <w:pPr>
              <w:spacing w:before="20" w:after="20"/>
              <w:jc w:val="left"/>
            </w:pPr>
            <w:r>
              <w:rPr>
                <w:rFonts w:cstheme="minorHAnsi"/>
                <w:sz w:val="18"/>
                <w:szCs w:val="18"/>
              </w:rPr>
              <w:t>origin_equipment_id</w:t>
            </w:r>
          </w:p>
        </w:tc>
        <w:tc>
          <w:tcPr>
            <w:tcW w:w="1029" w:type="dxa"/>
            <w:vAlign w:val="center"/>
          </w:tcPr>
          <w:p w14:paraId="7448CBE2" w14:textId="77777777" w:rsidR="00672297" w:rsidRDefault="00A16EA3">
            <w:pPr>
              <w:spacing w:before="20" w:after="20"/>
              <w:jc w:val="left"/>
            </w:pPr>
            <w:r>
              <w:rPr>
                <w:rFonts w:cstheme="minorHAnsi"/>
                <w:sz w:val="18"/>
                <w:szCs w:val="18"/>
              </w:rPr>
              <w:t>INT</w:t>
            </w:r>
          </w:p>
        </w:tc>
        <w:tc>
          <w:tcPr>
            <w:tcW w:w="468" w:type="dxa"/>
            <w:vAlign w:val="center"/>
          </w:tcPr>
          <w:p w14:paraId="27C2858E" w14:textId="77777777" w:rsidR="00672297" w:rsidRDefault="00A16EA3">
            <w:pPr>
              <w:spacing w:before="20" w:after="20"/>
              <w:jc w:val="left"/>
            </w:pPr>
            <w:r>
              <w:rPr>
                <w:rFonts w:cstheme="minorHAnsi"/>
                <w:sz w:val="18"/>
                <w:szCs w:val="18"/>
              </w:rPr>
              <w:t>Yes</w:t>
            </w:r>
          </w:p>
        </w:tc>
        <w:tc>
          <w:tcPr>
            <w:tcW w:w="842" w:type="dxa"/>
            <w:vAlign w:val="center"/>
          </w:tcPr>
          <w:p w14:paraId="6C8A5427" w14:textId="77777777" w:rsidR="00672297" w:rsidRDefault="00A16EA3">
            <w:pPr>
              <w:spacing w:before="20" w:after="20"/>
              <w:jc w:val="left"/>
            </w:pPr>
            <w:r>
              <w:rPr>
                <w:rFonts w:cstheme="minorHAnsi"/>
                <w:sz w:val="18"/>
                <w:szCs w:val="18"/>
              </w:rPr>
              <w:t>FK &gt; equipment_detail</w:t>
            </w:r>
          </w:p>
        </w:tc>
        <w:tc>
          <w:tcPr>
            <w:tcW w:w="2808" w:type="dxa"/>
            <w:vAlign w:val="center"/>
          </w:tcPr>
          <w:p w14:paraId="11CB4585" w14:textId="77777777" w:rsidR="00672297" w:rsidRDefault="00A16EA3">
            <w:pPr>
              <w:spacing w:before="20" w:after="20"/>
              <w:jc w:val="left"/>
            </w:pPr>
            <w:r>
              <w:rPr>
                <w:rFonts w:cstheme="minorHAnsi"/>
                <w:sz w:val="18"/>
                <w:szCs w:val="18"/>
              </w:rPr>
              <w:t>Origin tank</w:t>
            </w:r>
          </w:p>
        </w:tc>
        <w:tc>
          <w:tcPr>
            <w:tcW w:w="2341" w:type="dxa"/>
            <w:vAlign w:val="center"/>
          </w:tcPr>
          <w:p w14:paraId="3E36C1C7" w14:textId="77777777" w:rsidR="00672297" w:rsidRDefault="00A16EA3">
            <w:pPr>
              <w:spacing w:before="20" w:after="20"/>
              <w:jc w:val="left"/>
            </w:pPr>
            <w:r>
              <w:rPr>
                <w:rFonts w:cstheme="minorHAnsi"/>
                <w:sz w:val="18"/>
                <w:szCs w:val="18"/>
              </w:rPr>
              <w:t>OriginContainer_GlobalCode</w:t>
            </w:r>
          </w:p>
        </w:tc>
      </w:tr>
      <w:tr w:rsidR="00672297" w14:paraId="7B7305A8" w14:textId="77777777">
        <w:trPr>
          <w:cantSplit/>
        </w:trPr>
        <w:tc>
          <w:tcPr>
            <w:tcW w:w="1872" w:type="dxa"/>
            <w:vAlign w:val="center"/>
          </w:tcPr>
          <w:p w14:paraId="143E8765" w14:textId="77777777" w:rsidR="00672297" w:rsidRDefault="00A16EA3">
            <w:pPr>
              <w:spacing w:before="20" w:after="20"/>
              <w:jc w:val="left"/>
            </w:pPr>
            <w:r>
              <w:rPr>
                <w:rFonts w:cstheme="minorHAnsi"/>
                <w:sz w:val="18"/>
                <w:szCs w:val="18"/>
              </w:rPr>
              <w:t>destination_equipment_id</w:t>
            </w:r>
          </w:p>
        </w:tc>
        <w:tc>
          <w:tcPr>
            <w:tcW w:w="1029" w:type="dxa"/>
            <w:vAlign w:val="center"/>
          </w:tcPr>
          <w:p w14:paraId="3DDCFA1E" w14:textId="77777777" w:rsidR="00672297" w:rsidRDefault="00A16EA3">
            <w:pPr>
              <w:spacing w:before="20" w:after="20"/>
              <w:jc w:val="left"/>
            </w:pPr>
            <w:r>
              <w:rPr>
                <w:rFonts w:cstheme="minorHAnsi"/>
                <w:sz w:val="18"/>
                <w:szCs w:val="18"/>
              </w:rPr>
              <w:t>INT</w:t>
            </w:r>
          </w:p>
        </w:tc>
        <w:tc>
          <w:tcPr>
            <w:tcW w:w="468" w:type="dxa"/>
            <w:vAlign w:val="center"/>
          </w:tcPr>
          <w:p w14:paraId="6174353A" w14:textId="77777777" w:rsidR="00672297" w:rsidRDefault="00A16EA3">
            <w:pPr>
              <w:spacing w:before="20" w:after="20"/>
              <w:jc w:val="left"/>
            </w:pPr>
            <w:r>
              <w:rPr>
                <w:rFonts w:cstheme="minorHAnsi"/>
                <w:sz w:val="18"/>
                <w:szCs w:val="18"/>
              </w:rPr>
              <w:t>Yes</w:t>
            </w:r>
          </w:p>
        </w:tc>
        <w:tc>
          <w:tcPr>
            <w:tcW w:w="842" w:type="dxa"/>
            <w:vAlign w:val="center"/>
          </w:tcPr>
          <w:p w14:paraId="422AD43A" w14:textId="77777777" w:rsidR="00672297" w:rsidRDefault="00A16EA3">
            <w:pPr>
              <w:spacing w:before="20" w:after="20"/>
              <w:jc w:val="left"/>
            </w:pPr>
            <w:r>
              <w:rPr>
                <w:rFonts w:cstheme="minorHAnsi"/>
                <w:sz w:val="18"/>
                <w:szCs w:val="18"/>
              </w:rPr>
              <w:t>FK &gt; equipment_detail</w:t>
            </w:r>
          </w:p>
        </w:tc>
        <w:tc>
          <w:tcPr>
            <w:tcW w:w="2808" w:type="dxa"/>
            <w:vAlign w:val="center"/>
          </w:tcPr>
          <w:p w14:paraId="001C8CF7" w14:textId="77777777" w:rsidR="00672297" w:rsidRDefault="00A16EA3">
            <w:pPr>
              <w:spacing w:before="20" w:after="20"/>
              <w:jc w:val="left"/>
            </w:pPr>
            <w:r>
              <w:rPr>
                <w:rFonts w:cstheme="minorHAnsi"/>
                <w:sz w:val="18"/>
                <w:szCs w:val="18"/>
              </w:rPr>
              <w:t>Destination tank</w:t>
            </w:r>
          </w:p>
        </w:tc>
        <w:tc>
          <w:tcPr>
            <w:tcW w:w="2341" w:type="dxa"/>
            <w:vAlign w:val="center"/>
          </w:tcPr>
          <w:p w14:paraId="625895AD" w14:textId="77777777" w:rsidR="00672297" w:rsidRDefault="00A16EA3">
            <w:pPr>
              <w:spacing w:before="20" w:after="20"/>
              <w:jc w:val="left"/>
            </w:pPr>
            <w:r>
              <w:rPr>
                <w:rFonts w:cstheme="minorHAnsi"/>
                <w:sz w:val="18"/>
                <w:szCs w:val="18"/>
              </w:rPr>
              <w:t>DestinationContainer_GlobalCode</w:t>
            </w:r>
          </w:p>
        </w:tc>
      </w:tr>
      <w:tr w:rsidR="00672297" w14:paraId="20B7538E" w14:textId="77777777">
        <w:trPr>
          <w:cantSplit/>
        </w:trPr>
        <w:tc>
          <w:tcPr>
            <w:tcW w:w="1872" w:type="dxa"/>
            <w:vAlign w:val="center"/>
          </w:tcPr>
          <w:p w14:paraId="06ACF745" w14:textId="77777777" w:rsidR="00672297" w:rsidRDefault="00A16EA3">
            <w:pPr>
              <w:spacing w:before="20" w:after="20"/>
              <w:jc w:val="left"/>
            </w:pPr>
            <w:r>
              <w:rPr>
                <w:rFonts w:cstheme="minorHAnsi"/>
                <w:sz w:val="18"/>
                <w:szCs w:val="18"/>
              </w:rPr>
              <w:t>transport_mode</w:t>
            </w:r>
          </w:p>
        </w:tc>
        <w:tc>
          <w:tcPr>
            <w:tcW w:w="1029" w:type="dxa"/>
            <w:vAlign w:val="center"/>
          </w:tcPr>
          <w:p w14:paraId="3496C1A6" w14:textId="77777777" w:rsidR="00672297" w:rsidRDefault="00A16EA3">
            <w:pPr>
              <w:spacing w:before="20" w:after="20"/>
              <w:jc w:val="left"/>
            </w:pPr>
            <w:r>
              <w:rPr>
                <w:rFonts w:cstheme="minorHAnsi"/>
                <w:sz w:val="18"/>
                <w:szCs w:val="18"/>
              </w:rPr>
              <w:t>VARCHAR(100)</w:t>
            </w:r>
          </w:p>
        </w:tc>
        <w:tc>
          <w:tcPr>
            <w:tcW w:w="468" w:type="dxa"/>
            <w:vAlign w:val="center"/>
          </w:tcPr>
          <w:p w14:paraId="168FBDE5" w14:textId="77777777" w:rsidR="00672297" w:rsidRDefault="00A16EA3">
            <w:pPr>
              <w:spacing w:before="20" w:after="20"/>
              <w:jc w:val="left"/>
            </w:pPr>
            <w:r>
              <w:rPr>
                <w:rFonts w:cstheme="minorHAnsi"/>
                <w:sz w:val="18"/>
                <w:szCs w:val="18"/>
              </w:rPr>
              <w:t>Yes</w:t>
            </w:r>
          </w:p>
        </w:tc>
        <w:tc>
          <w:tcPr>
            <w:tcW w:w="842" w:type="dxa"/>
            <w:vAlign w:val="center"/>
          </w:tcPr>
          <w:p w14:paraId="2374C3B3" w14:textId="77777777" w:rsidR="00672297" w:rsidRDefault="00672297">
            <w:pPr>
              <w:spacing w:before="20" w:after="20"/>
              <w:jc w:val="left"/>
            </w:pPr>
          </w:p>
        </w:tc>
        <w:tc>
          <w:tcPr>
            <w:tcW w:w="2808" w:type="dxa"/>
            <w:vAlign w:val="center"/>
          </w:tcPr>
          <w:p w14:paraId="518464C5" w14:textId="77777777" w:rsidR="00672297" w:rsidRDefault="00A16EA3">
            <w:pPr>
              <w:spacing w:before="20" w:after="20"/>
              <w:jc w:val="left"/>
            </w:pPr>
            <w:r>
              <w:rPr>
                <w:rFonts w:cstheme="minorHAnsi"/>
                <w:sz w:val="18"/>
                <w:szCs w:val="18"/>
              </w:rPr>
              <w:t>Mode of transport (Truck, Tank Blend - In Tank, Tank Blend - Moved Product)</w:t>
            </w:r>
          </w:p>
        </w:tc>
        <w:tc>
          <w:tcPr>
            <w:tcW w:w="2341" w:type="dxa"/>
            <w:vAlign w:val="center"/>
          </w:tcPr>
          <w:p w14:paraId="5F1AC2FD" w14:textId="77777777" w:rsidR="00672297" w:rsidRDefault="00A16EA3">
            <w:pPr>
              <w:spacing w:before="20" w:after="20"/>
              <w:jc w:val="left"/>
            </w:pPr>
            <w:r>
              <w:rPr>
                <w:rFonts w:cstheme="minorHAnsi"/>
                <w:sz w:val="18"/>
                <w:szCs w:val="18"/>
              </w:rPr>
              <w:t>TransportMode</w:t>
            </w:r>
          </w:p>
        </w:tc>
      </w:tr>
      <w:tr w:rsidR="00672297" w14:paraId="0B245EFC" w14:textId="77777777">
        <w:trPr>
          <w:cantSplit/>
        </w:trPr>
        <w:tc>
          <w:tcPr>
            <w:tcW w:w="1872" w:type="dxa"/>
            <w:vAlign w:val="center"/>
          </w:tcPr>
          <w:p w14:paraId="340D3ACA" w14:textId="77777777" w:rsidR="00672297" w:rsidRDefault="00A16EA3">
            <w:pPr>
              <w:spacing w:before="20" w:after="20"/>
              <w:jc w:val="left"/>
            </w:pPr>
            <w:r>
              <w:rPr>
                <w:rFonts w:cstheme="minorHAnsi"/>
                <w:sz w:val="18"/>
                <w:szCs w:val="18"/>
              </w:rPr>
              <w:t>transfer_start</w:t>
            </w:r>
          </w:p>
        </w:tc>
        <w:tc>
          <w:tcPr>
            <w:tcW w:w="1029" w:type="dxa"/>
            <w:vAlign w:val="center"/>
          </w:tcPr>
          <w:p w14:paraId="7A9526CE" w14:textId="77777777" w:rsidR="00672297" w:rsidRDefault="00A16EA3">
            <w:pPr>
              <w:spacing w:before="20" w:after="20"/>
              <w:jc w:val="left"/>
            </w:pPr>
            <w:r>
              <w:rPr>
                <w:rFonts w:cstheme="minorHAnsi"/>
                <w:sz w:val="18"/>
                <w:szCs w:val="18"/>
              </w:rPr>
              <w:t>DATETIME</w:t>
            </w:r>
          </w:p>
        </w:tc>
        <w:tc>
          <w:tcPr>
            <w:tcW w:w="468" w:type="dxa"/>
            <w:vAlign w:val="center"/>
          </w:tcPr>
          <w:p w14:paraId="46FE9B5B" w14:textId="77777777" w:rsidR="00672297" w:rsidRDefault="00A16EA3">
            <w:pPr>
              <w:spacing w:before="20" w:after="20"/>
              <w:jc w:val="left"/>
            </w:pPr>
            <w:r>
              <w:rPr>
                <w:rFonts w:cstheme="minorHAnsi"/>
                <w:sz w:val="18"/>
                <w:szCs w:val="18"/>
              </w:rPr>
              <w:t>Yes</w:t>
            </w:r>
          </w:p>
        </w:tc>
        <w:tc>
          <w:tcPr>
            <w:tcW w:w="842" w:type="dxa"/>
            <w:vAlign w:val="center"/>
          </w:tcPr>
          <w:p w14:paraId="309AC8E7" w14:textId="77777777" w:rsidR="00672297" w:rsidRDefault="00672297">
            <w:pPr>
              <w:spacing w:before="20" w:after="20"/>
              <w:jc w:val="left"/>
            </w:pPr>
          </w:p>
        </w:tc>
        <w:tc>
          <w:tcPr>
            <w:tcW w:w="2808" w:type="dxa"/>
            <w:vAlign w:val="center"/>
          </w:tcPr>
          <w:p w14:paraId="3D1A0D66" w14:textId="77777777" w:rsidR="00672297" w:rsidRDefault="00A16EA3">
            <w:pPr>
              <w:spacing w:before="20" w:after="20"/>
              <w:jc w:val="left"/>
            </w:pPr>
            <w:r>
              <w:rPr>
                <w:rFonts w:cstheme="minorHAnsi"/>
                <w:sz w:val="18"/>
                <w:szCs w:val="18"/>
              </w:rPr>
              <w:t>Start of the transfer (UTC)</w:t>
            </w:r>
          </w:p>
        </w:tc>
        <w:tc>
          <w:tcPr>
            <w:tcW w:w="2341" w:type="dxa"/>
            <w:vAlign w:val="center"/>
          </w:tcPr>
          <w:p w14:paraId="2B80E6D6" w14:textId="77777777" w:rsidR="00672297" w:rsidRDefault="00A16EA3">
            <w:pPr>
              <w:spacing w:before="20" w:after="20"/>
              <w:jc w:val="left"/>
            </w:pPr>
            <w:r>
              <w:rPr>
                <w:rFonts w:cstheme="minorHAnsi"/>
                <w:sz w:val="18"/>
                <w:szCs w:val="18"/>
              </w:rPr>
              <w:t>TransferStart</w:t>
            </w:r>
          </w:p>
        </w:tc>
      </w:tr>
      <w:tr w:rsidR="00672297" w14:paraId="163655EE" w14:textId="77777777">
        <w:trPr>
          <w:cantSplit/>
        </w:trPr>
        <w:tc>
          <w:tcPr>
            <w:tcW w:w="1872" w:type="dxa"/>
            <w:vAlign w:val="center"/>
          </w:tcPr>
          <w:p w14:paraId="0D5CA8B7" w14:textId="77777777" w:rsidR="00672297" w:rsidRDefault="00A16EA3">
            <w:pPr>
              <w:spacing w:before="20" w:after="20"/>
              <w:jc w:val="left"/>
            </w:pPr>
            <w:r>
              <w:rPr>
                <w:rFonts w:cstheme="minorHAnsi"/>
                <w:sz w:val="18"/>
                <w:szCs w:val="18"/>
              </w:rPr>
              <w:t>transfer_end</w:t>
            </w:r>
          </w:p>
        </w:tc>
        <w:tc>
          <w:tcPr>
            <w:tcW w:w="1029" w:type="dxa"/>
            <w:vAlign w:val="center"/>
          </w:tcPr>
          <w:p w14:paraId="36C12CAD" w14:textId="77777777" w:rsidR="00672297" w:rsidRDefault="00A16EA3">
            <w:pPr>
              <w:spacing w:before="20" w:after="20"/>
              <w:jc w:val="left"/>
            </w:pPr>
            <w:r>
              <w:rPr>
                <w:rFonts w:cstheme="minorHAnsi"/>
                <w:sz w:val="18"/>
                <w:szCs w:val="18"/>
              </w:rPr>
              <w:t>DATETIME</w:t>
            </w:r>
          </w:p>
        </w:tc>
        <w:tc>
          <w:tcPr>
            <w:tcW w:w="468" w:type="dxa"/>
            <w:vAlign w:val="center"/>
          </w:tcPr>
          <w:p w14:paraId="2BDBCB88" w14:textId="77777777" w:rsidR="00672297" w:rsidRDefault="00A16EA3">
            <w:pPr>
              <w:spacing w:before="20" w:after="20"/>
              <w:jc w:val="left"/>
            </w:pPr>
            <w:r>
              <w:rPr>
                <w:rFonts w:cstheme="minorHAnsi"/>
                <w:sz w:val="18"/>
                <w:szCs w:val="18"/>
              </w:rPr>
              <w:t>Yes</w:t>
            </w:r>
          </w:p>
        </w:tc>
        <w:tc>
          <w:tcPr>
            <w:tcW w:w="842" w:type="dxa"/>
            <w:vAlign w:val="center"/>
          </w:tcPr>
          <w:p w14:paraId="2A1BDC5A" w14:textId="77777777" w:rsidR="00672297" w:rsidRDefault="00672297">
            <w:pPr>
              <w:spacing w:before="20" w:after="20"/>
              <w:jc w:val="left"/>
            </w:pPr>
          </w:p>
        </w:tc>
        <w:tc>
          <w:tcPr>
            <w:tcW w:w="2808" w:type="dxa"/>
            <w:vAlign w:val="center"/>
          </w:tcPr>
          <w:p w14:paraId="09E1282A" w14:textId="77777777" w:rsidR="00672297" w:rsidRDefault="00A16EA3">
            <w:pPr>
              <w:spacing w:before="20" w:after="20"/>
              <w:jc w:val="left"/>
            </w:pPr>
            <w:r>
              <w:rPr>
                <w:rFonts w:cstheme="minorHAnsi"/>
                <w:sz w:val="18"/>
                <w:szCs w:val="18"/>
              </w:rPr>
              <w:t>End of the transfer (UTC)</w:t>
            </w:r>
          </w:p>
        </w:tc>
        <w:tc>
          <w:tcPr>
            <w:tcW w:w="2341" w:type="dxa"/>
            <w:vAlign w:val="center"/>
          </w:tcPr>
          <w:p w14:paraId="1DCE80F7" w14:textId="77777777" w:rsidR="00672297" w:rsidRDefault="00A16EA3">
            <w:pPr>
              <w:spacing w:before="20" w:after="20"/>
              <w:jc w:val="left"/>
            </w:pPr>
            <w:r>
              <w:rPr>
                <w:rFonts w:cstheme="minorHAnsi"/>
                <w:sz w:val="18"/>
                <w:szCs w:val="18"/>
              </w:rPr>
              <w:t>TransferEnd</w:t>
            </w:r>
          </w:p>
        </w:tc>
      </w:tr>
      <w:tr w:rsidR="00672297" w14:paraId="3607023A" w14:textId="77777777">
        <w:trPr>
          <w:cantSplit/>
        </w:trPr>
        <w:tc>
          <w:tcPr>
            <w:tcW w:w="1872" w:type="dxa"/>
            <w:vAlign w:val="center"/>
          </w:tcPr>
          <w:p w14:paraId="3D8B48E7" w14:textId="77777777" w:rsidR="00672297" w:rsidRDefault="00A16EA3">
            <w:pPr>
              <w:spacing w:before="20" w:after="20"/>
              <w:jc w:val="left"/>
            </w:pPr>
            <w:r>
              <w:rPr>
                <w:rFonts w:cstheme="minorHAnsi"/>
                <w:sz w:val="18"/>
                <w:szCs w:val="18"/>
              </w:rPr>
              <w:t>gross_quantity</w:t>
            </w:r>
          </w:p>
        </w:tc>
        <w:tc>
          <w:tcPr>
            <w:tcW w:w="1029" w:type="dxa"/>
            <w:vAlign w:val="center"/>
          </w:tcPr>
          <w:p w14:paraId="23789DA9" w14:textId="77777777" w:rsidR="00672297" w:rsidRDefault="00A16EA3">
            <w:pPr>
              <w:spacing w:before="20" w:after="20"/>
              <w:jc w:val="left"/>
            </w:pPr>
            <w:r>
              <w:rPr>
                <w:rFonts w:cstheme="minorHAnsi"/>
                <w:sz w:val="18"/>
                <w:szCs w:val="18"/>
              </w:rPr>
              <w:t>DECIMAL(18,2)</w:t>
            </w:r>
          </w:p>
        </w:tc>
        <w:tc>
          <w:tcPr>
            <w:tcW w:w="468" w:type="dxa"/>
            <w:vAlign w:val="center"/>
          </w:tcPr>
          <w:p w14:paraId="65452AC4" w14:textId="77777777" w:rsidR="00672297" w:rsidRDefault="00A16EA3">
            <w:pPr>
              <w:spacing w:before="20" w:after="20"/>
              <w:jc w:val="left"/>
            </w:pPr>
            <w:r>
              <w:rPr>
                <w:rFonts w:cstheme="minorHAnsi"/>
                <w:sz w:val="18"/>
                <w:szCs w:val="18"/>
              </w:rPr>
              <w:t>Yes</w:t>
            </w:r>
          </w:p>
        </w:tc>
        <w:tc>
          <w:tcPr>
            <w:tcW w:w="842" w:type="dxa"/>
            <w:vAlign w:val="center"/>
          </w:tcPr>
          <w:p w14:paraId="2986A142" w14:textId="77777777" w:rsidR="00672297" w:rsidRDefault="00672297">
            <w:pPr>
              <w:spacing w:before="20" w:after="20"/>
              <w:jc w:val="left"/>
            </w:pPr>
          </w:p>
        </w:tc>
        <w:tc>
          <w:tcPr>
            <w:tcW w:w="2808" w:type="dxa"/>
            <w:vAlign w:val="center"/>
          </w:tcPr>
          <w:p w14:paraId="2CE524B7" w14:textId="77777777" w:rsidR="00672297" w:rsidRDefault="00A16EA3">
            <w:pPr>
              <w:spacing w:before="20" w:after="20"/>
              <w:jc w:val="left"/>
            </w:pPr>
            <w:r>
              <w:rPr>
                <w:rFonts w:cstheme="minorHAnsi"/>
                <w:sz w:val="18"/>
                <w:szCs w:val="18"/>
              </w:rPr>
              <w:t>Gross quantity in the IQDM default unit</w:t>
            </w:r>
          </w:p>
        </w:tc>
        <w:tc>
          <w:tcPr>
            <w:tcW w:w="2341" w:type="dxa"/>
            <w:vAlign w:val="center"/>
          </w:tcPr>
          <w:p w14:paraId="6DBE3BBF" w14:textId="77777777" w:rsidR="00672297" w:rsidRDefault="00A16EA3">
            <w:pPr>
              <w:spacing w:before="20" w:after="20"/>
              <w:jc w:val="left"/>
            </w:pPr>
            <w:r>
              <w:rPr>
                <w:rFonts w:cstheme="minorHAnsi"/>
                <w:sz w:val="18"/>
                <w:szCs w:val="18"/>
              </w:rPr>
              <w:t>GrossQuantity (converted)</w:t>
            </w:r>
          </w:p>
        </w:tc>
      </w:tr>
      <w:tr w:rsidR="00672297" w14:paraId="059404CB" w14:textId="77777777">
        <w:trPr>
          <w:cantSplit/>
        </w:trPr>
        <w:tc>
          <w:tcPr>
            <w:tcW w:w="1872" w:type="dxa"/>
            <w:vAlign w:val="center"/>
          </w:tcPr>
          <w:p w14:paraId="45ED3E04" w14:textId="77777777" w:rsidR="00672297" w:rsidRDefault="00A16EA3">
            <w:pPr>
              <w:spacing w:before="20" w:after="20"/>
              <w:jc w:val="left"/>
            </w:pPr>
            <w:r>
              <w:rPr>
                <w:rFonts w:cstheme="minorHAnsi"/>
                <w:sz w:val="18"/>
                <w:szCs w:val="18"/>
              </w:rPr>
              <w:t>net_quantity</w:t>
            </w:r>
          </w:p>
        </w:tc>
        <w:tc>
          <w:tcPr>
            <w:tcW w:w="1029" w:type="dxa"/>
            <w:vAlign w:val="center"/>
          </w:tcPr>
          <w:p w14:paraId="3970FC37" w14:textId="77777777" w:rsidR="00672297" w:rsidRDefault="00A16EA3">
            <w:pPr>
              <w:spacing w:before="20" w:after="20"/>
              <w:jc w:val="left"/>
            </w:pPr>
            <w:r>
              <w:rPr>
                <w:rFonts w:cstheme="minorHAnsi"/>
                <w:sz w:val="18"/>
                <w:szCs w:val="18"/>
              </w:rPr>
              <w:t>DECIMAL(18,2)</w:t>
            </w:r>
          </w:p>
        </w:tc>
        <w:tc>
          <w:tcPr>
            <w:tcW w:w="468" w:type="dxa"/>
            <w:vAlign w:val="center"/>
          </w:tcPr>
          <w:p w14:paraId="3E889EE0" w14:textId="77777777" w:rsidR="00672297" w:rsidRDefault="00A16EA3">
            <w:pPr>
              <w:spacing w:before="20" w:after="20"/>
              <w:jc w:val="left"/>
            </w:pPr>
            <w:r>
              <w:rPr>
                <w:rFonts w:cstheme="minorHAnsi"/>
                <w:sz w:val="18"/>
                <w:szCs w:val="18"/>
              </w:rPr>
              <w:t>No</w:t>
            </w:r>
          </w:p>
        </w:tc>
        <w:tc>
          <w:tcPr>
            <w:tcW w:w="842" w:type="dxa"/>
            <w:vAlign w:val="center"/>
          </w:tcPr>
          <w:p w14:paraId="1A43C980" w14:textId="77777777" w:rsidR="00672297" w:rsidRDefault="00672297">
            <w:pPr>
              <w:spacing w:before="20" w:after="20"/>
              <w:jc w:val="left"/>
            </w:pPr>
          </w:p>
        </w:tc>
        <w:tc>
          <w:tcPr>
            <w:tcW w:w="2808" w:type="dxa"/>
            <w:vAlign w:val="center"/>
          </w:tcPr>
          <w:p w14:paraId="3595E9F9" w14:textId="77777777" w:rsidR="00672297" w:rsidRDefault="00A16EA3">
            <w:pPr>
              <w:spacing w:before="20" w:after="20"/>
              <w:jc w:val="left"/>
            </w:pPr>
            <w:r>
              <w:rPr>
                <w:rFonts w:cstheme="minorHAnsi"/>
                <w:sz w:val="18"/>
                <w:szCs w:val="18"/>
              </w:rPr>
              <w:t>Net quantity in the IQDM default unit</w:t>
            </w:r>
          </w:p>
        </w:tc>
        <w:tc>
          <w:tcPr>
            <w:tcW w:w="2341" w:type="dxa"/>
            <w:vAlign w:val="center"/>
          </w:tcPr>
          <w:p w14:paraId="533DD151" w14:textId="77777777" w:rsidR="00672297" w:rsidRDefault="00A16EA3">
            <w:pPr>
              <w:spacing w:before="20" w:after="20"/>
              <w:jc w:val="left"/>
            </w:pPr>
            <w:r>
              <w:rPr>
                <w:rFonts w:cstheme="minorHAnsi"/>
                <w:sz w:val="18"/>
                <w:szCs w:val="18"/>
              </w:rPr>
              <w:t>NetQuantity (converted)</w:t>
            </w:r>
          </w:p>
        </w:tc>
      </w:tr>
      <w:tr w:rsidR="00672297" w14:paraId="460A7FC3" w14:textId="77777777">
        <w:trPr>
          <w:cantSplit/>
        </w:trPr>
        <w:tc>
          <w:tcPr>
            <w:tcW w:w="1872" w:type="dxa"/>
            <w:vAlign w:val="center"/>
          </w:tcPr>
          <w:p w14:paraId="1A889699" w14:textId="77777777" w:rsidR="00672297" w:rsidRDefault="00A16EA3">
            <w:pPr>
              <w:spacing w:before="20" w:after="20"/>
              <w:jc w:val="left"/>
            </w:pPr>
            <w:r>
              <w:rPr>
                <w:rFonts w:cstheme="minorHAnsi"/>
                <w:sz w:val="18"/>
                <w:szCs w:val="18"/>
              </w:rPr>
              <w:t>uom_id</w:t>
            </w:r>
          </w:p>
        </w:tc>
        <w:tc>
          <w:tcPr>
            <w:tcW w:w="1029" w:type="dxa"/>
            <w:vAlign w:val="center"/>
          </w:tcPr>
          <w:p w14:paraId="05061D90" w14:textId="77777777" w:rsidR="00672297" w:rsidRDefault="00A16EA3">
            <w:pPr>
              <w:spacing w:before="20" w:after="20"/>
              <w:jc w:val="left"/>
            </w:pPr>
            <w:r>
              <w:rPr>
                <w:rFonts w:cstheme="minorHAnsi"/>
                <w:sz w:val="18"/>
                <w:szCs w:val="18"/>
              </w:rPr>
              <w:t>INT</w:t>
            </w:r>
          </w:p>
        </w:tc>
        <w:tc>
          <w:tcPr>
            <w:tcW w:w="468" w:type="dxa"/>
            <w:vAlign w:val="center"/>
          </w:tcPr>
          <w:p w14:paraId="56A8D6B5" w14:textId="77777777" w:rsidR="00672297" w:rsidRDefault="00A16EA3">
            <w:pPr>
              <w:spacing w:before="20" w:after="20"/>
              <w:jc w:val="left"/>
            </w:pPr>
            <w:r>
              <w:rPr>
                <w:rFonts w:cstheme="minorHAnsi"/>
                <w:sz w:val="18"/>
                <w:szCs w:val="18"/>
              </w:rPr>
              <w:t>Yes</w:t>
            </w:r>
          </w:p>
        </w:tc>
        <w:tc>
          <w:tcPr>
            <w:tcW w:w="842" w:type="dxa"/>
            <w:vAlign w:val="center"/>
          </w:tcPr>
          <w:p w14:paraId="2641BCD7" w14:textId="77777777" w:rsidR="00672297" w:rsidRDefault="00A16EA3">
            <w:pPr>
              <w:spacing w:before="20" w:after="20"/>
              <w:jc w:val="left"/>
            </w:pPr>
            <w:r>
              <w:rPr>
                <w:rFonts w:cstheme="minorHAnsi"/>
                <w:sz w:val="18"/>
                <w:szCs w:val="18"/>
              </w:rPr>
              <w:t>FK &gt; uom</w:t>
            </w:r>
          </w:p>
        </w:tc>
        <w:tc>
          <w:tcPr>
            <w:tcW w:w="2808" w:type="dxa"/>
            <w:vAlign w:val="center"/>
          </w:tcPr>
          <w:p w14:paraId="42F64AD7" w14:textId="77777777" w:rsidR="00672297" w:rsidRDefault="00A16EA3">
            <w:pPr>
              <w:spacing w:before="20" w:after="20"/>
              <w:jc w:val="left"/>
            </w:pPr>
            <w:r>
              <w:rPr>
                <w:rFonts w:cstheme="minorHAnsi"/>
                <w:sz w:val="18"/>
                <w:szCs w:val="18"/>
              </w:rPr>
              <w:t>Unit of the quantities after conversion</w:t>
            </w:r>
          </w:p>
        </w:tc>
        <w:tc>
          <w:tcPr>
            <w:tcW w:w="2341" w:type="dxa"/>
            <w:vAlign w:val="center"/>
          </w:tcPr>
          <w:p w14:paraId="7DA1DF90" w14:textId="77777777" w:rsidR="00672297" w:rsidRDefault="00A16EA3">
            <w:pPr>
              <w:spacing w:before="20" w:after="20"/>
              <w:jc w:val="left"/>
            </w:pPr>
            <w:r>
              <w:rPr>
                <w:rFonts w:cstheme="minorHAnsi"/>
                <w:sz w:val="18"/>
                <w:szCs w:val="18"/>
              </w:rPr>
              <w:t>UOM_GlobalCode</w:t>
            </w:r>
          </w:p>
        </w:tc>
      </w:tr>
      <w:tr w:rsidR="00672297" w14:paraId="475396CA" w14:textId="77777777">
        <w:trPr>
          <w:cantSplit/>
        </w:trPr>
        <w:tc>
          <w:tcPr>
            <w:tcW w:w="1872" w:type="dxa"/>
            <w:vAlign w:val="center"/>
          </w:tcPr>
          <w:p w14:paraId="1BD43DC6" w14:textId="77777777" w:rsidR="00672297" w:rsidRDefault="00A16EA3">
            <w:pPr>
              <w:spacing w:before="20" w:after="20"/>
              <w:jc w:val="left"/>
            </w:pPr>
            <w:r>
              <w:rPr>
                <w:rFonts w:cstheme="minorHAnsi"/>
                <w:sz w:val="18"/>
                <w:szCs w:val="18"/>
              </w:rPr>
              <w:t>state</w:t>
            </w:r>
          </w:p>
        </w:tc>
        <w:tc>
          <w:tcPr>
            <w:tcW w:w="1029" w:type="dxa"/>
            <w:vAlign w:val="center"/>
          </w:tcPr>
          <w:p w14:paraId="385297EB" w14:textId="77777777" w:rsidR="00672297" w:rsidRDefault="00A16EA3">
            <w:pPr>
              <w:spacing w:before="20" w:after="20"/>
              <w:jc w:val="left"/>
            </w:pPr>
            <w:r>
              <w:rPr>
                <w:rFonts w:cstheme="minorHAnsi"/>
                <w:sz w:val="18"/>
                <w:szCs w:val="18"/>
              </w:rPr>
              <w:t>VARCHAR(50)</w:t>
            </w:r>
          </w:p>
        </w:tc>
        <w:tc>
          <w:tcPr>
            <w:tcW w:w="468" w:type="dxa"/>
            <w:vAlign w:val="center"/>
          </w:tcPr>
          <w:p w14:paraId="539AD4AF" w14:textId="77777777" w:rsidR="00672297" w:rsidRDefault="00A16EA3">
            <w:pPr>
              <w:spacing w:before="20" w:after="20"/>
              <w:jc w:val="left"/>
            </w:pPr>
            <w:r>
              <w:rPr>
                <w:rFonts w:cstheme="minorHAnsi"/>
                <w:sz w:val="18"/>
                <w:szCs w:val="18"/>
              </w:rPr>
              <w:t>No</w:t>
            </w:r>
          </w:p>
        </w:tc>
        <w:tc>
          <w:tcPr>
            <w:tcW w:w="842" w:type="dxa"/>
            <w:vAlign w:val="center"/>
          </w:tcPr>
          <w:p w14:paraId="75DE0DE5" w14:textId="77777777" w:rsidR="00672297" w:rsidRDefault="00672297">
            <w:pPr>
              <w:spacing w:before="20" w:after="20"/>
              <w:jc w:val="left"/>
            </w:pPr>
          </w:p>
        </w:tc>
        <w:tc>
          <w:tcPr>
            <w:tcW w:w="2808" w:type="dxa"/>
            <w:vAlign w:val="center"/>
          </w:tcPr>
          <w:p w14:paraId="62C7FF9A" w14:textId="77777777" w:rsidR="00672297" w:rsidRDefault="00A16EA3">
            <w:pPr>
              <w:spacing w:before="20" w:after="20"/>
              <w:jc w:val="left"/>
            </w:pPr>
            <w:r>
              <w:rPr>
                <w:rFonts w:cstheme="minorHAnsi"/>
                <w:sz w:val="18"/>
                <w:szCs w:val="18"/>
              </w:rPr>
              <w:t>Data state (Actual)</w:t>
            </w:r>
          </w:p>
        </w:tc>
        <w:tc>
          <w:tcPr>
            <w:tcW w:w="2341" w:type="dxa"/>
            <w:vAlign w:val="center"/>
          </w:tcPr>
          <w:p w14:paraId="2DA5A910" w14:textId="77777777" w:rsidR="00672297" w:rsidRDefault="00A16EA3">
            <w:pPr>
              <w:spacing w:before="20" w:after="20"/>
              <w:jc w:val="left"/>
            </w:pPr>
            <w:r>
              <w:rPr>
                <w:rFonts w:cstheme="minorHAnsi"/>
                <w:sz w:val="18"/>
                <w:szCs w:val="18"/>
              </w:rPr>
              <w:t>State</w:t>
            </w:r>
          </w:p>
        </w:tc>
      </w:tr>
      <w:tr w:rsidR="00672297" w14:paraId="16393DC4" w14:textId="77777777">
        <w:trPr>
          <w:cantSplit/>
        </w:trPr>
        <w:tc>
          <w:tcPr>
            <w:tcW w:w="1872" w:type="dxa"/>
            <w:vAlign w:val="center"/>
          </w:tcPr>
          <w:p w14:paraId="6CCCA443" w14:textId="77777777" w:rsidR="00672297" w:rsidRDefault="00A16EA3">
            <w:pPr>
              <w:spacing w:before="20" w:after="20"/>
              <w:jc w:val="left"/>
            </w:pPr>
            <w:r>
              <w:rPr>
                <w:rFonts w:cstheme="minorHAnsi"/>
                <w:sz w:val="18"/>
                <w:szCs w:val="18"/>
              </w:rPr>
              <w:t>data_source</w:t>
            </w:r>
          </w:p>
        </w:tc>
        <w:tc>
          <w:tcPr>
            <w:tcW w:w="1029" w:type="dxa"/>
            <w:vAlign w:val="center"/>
          </w:tcPr>
          <w:p w14:paraId="01C6993A" w14:textId="77777777" w:rsidR="00672297" w:rsidRDefault="00A16EA3">
            <w:pPr>
              <w:spacing w:before="20" w:after="20"/>
              <w:jc w:val="left"/>
            </w:pPr>
            <w:r>
              <w:rPr>
                <w:rFonts w:cstheme="minorHAnsi"/>
                <w:sz w:val="18"/>
                <w:szCs w:val="18"/>
              </w:rPr>
              <w:t>VARCHAR(50)</w:t>
            </w:r>
          </w:p>
        </w:tc>
        <w:tc>
          <w:tcPr>
            <w:tcW w:w="468" w:type="dxa"/>
            <w:vAlign w:val="center"/>
          </w:tcPr>
          <w:p w14:paraId="3AF0F55A" w14:textId="77777777" w:rsidR="00672297" w:rsidRDefault="00A16EA3">
            <w:pPr>
              <w:spacing w:before="20" w:after="20"/>
              <w:jc w:val="left"/>
            </w:pPr>
            <w:r>
              <w:rPr>
                <w:rFonts w:cstheme="minorHAnsi"/>
                <w:sz w:val="18"/>
                <w:szCs w:val="18"/>
              </w:rPr>
              <w:t>No</w:t>
            </w:r>
          </w:p>
        </w:tc>
        <w:tc>
          <w:tcPr>
            <w:tcW w:w="842" w:type="dxa"/>
            <w:vAlign w:val="center"/>
          </w:tcPr>
          <w:p w14:paraId="490148C7" w14:textId="77777777" w:rsidR="00672297" w:rsidRDefault="00A16EA3">
            <w:pPr>
              <w:spacing w:before="20" w:after="20"/>
              <w:jc w:val="left"/>
            </w:pPr>
            <w:r>
              <w:rPr>
                <w:rFonts w:cstheme="minorHAnsi"/>
                <w:sz w:val="18"/>
                <w:szCs w:val="18"/>
              </w:rPr>
              <w:t>UK</w:t>
            </w:r>
          </w:p>
        </w:tc>
        <w:tc>
          <w:tcPr>
            <w:tcW w:w="2808" w:type="dxa"/>
            <w:vAlign w:val="center"/>
          </w:tcPr>
          <w:p w14:paraId="5151C4EC" w14:textId="77777777" w:rsidR="00672297" w:rsidRDefault="00A16EA3">
            <w:pPr>
              <w:spacing w:before="20" w:after="20"/>
              <w:jc w:val="left"/>
            </w:pPr>
            <w:r>
              <w:rPr>
                <w:rFonts w:cstheme="minorHAnsi"/>
                <w:sz w:val="18"/>
                <w:szCs w:val="18"/>
              </w:rPr>
              <w:t>Source system (Kittyhawk)</w:t>
            </w:r>
          </w:p>
        </w:tc>
        <w:tc>
          <w:tcPr>
            <w:tcW w:w="2341" w:type="dxa"/>
            <w:vAlign w:val="center"/>
          </w:tcPr>
          <w:p w14:paraId="48FC6847" w14:textId="77777777" w:rsidR="00672297" w:rsidRDefault="00A16EA3">
            <w:pPr>
              <w:spacing w:before="20" w:after="20"/>
              <w:jc w:val="left"/>
            </w:pPr>
            <w:r>
              <w:rPr>
                <w:rFonts w:cstheme="minorHAnsi"/>
                <w:sz w:val="18"/>
                <w:szCs w:val="18"/>
              </w:rPr>
              <w:t>DataSource</w:t>
            </w:r>
          </w:p>
        </w:tc>
      </w:tr>
      <w:tr w:rsidR="00672297" w14:paraId="55FE44F9" w14:textId="77777777">
        <w:trPr>
          <w:cantSplit/>
        </w:trPr>
        <w:tc>
          <w:tcPr>
            <w:tcW w:w="1872" w:type="dxa"/>
            <w:vAlign w:val="center"/>
          </w:tcPr>
          <w:p w14:paraId="2D03571B" w14:textId="77777777" w:rsidR="00672297" w:rsidRDefault="00A16EA3">
            <w:pPr>
              <w:spacing w:before="20" w:after="20"/>
              <w:jc w:val="left"/>
            </w:pPr>
            <w:r>
              <w:rPr>
                <w:rFonts w:cstheme="minorHAnsi"/>
                <w:sz w:val="18"/>
                <w:szCs w:val="18"/>
              </w:rPr>
              <w:t>batch_id</w:t>
            </w:r>
          </w:p>
        </w:tc>
        <w:tc>
          <w:tcPr>
            <w:tcW w:w="1029" w:type="dxa"/>
            <w:vAlign w:val="center"/>
          </w:tcPr>
          <w:p w14:paraId="7431648C" w14:textId="77777777" w:rsidR="00672297" w:rsidRDefault="00A16EA3">
            <w:pPr>
              <w:spacing w:before="20" w:after="20"/>
              <w:jc w:val="left"/>
            </w:pPr>
            <w:r>
              <w:rPr>
                <w:rFonts w:cstheme="minorHAnsi"/>
                <w:sz w:val="18"/>
                <w:szCs w:val="18"/>
              </w:rPr>
              <w:t>VARCHAR(100)</w:t>
            </w:r>
          </w:p>
        </w:tc>
        <w:tc>
          <w:tcPr>
            <w:tcW w:w="468" w:type="dxa"/>
            <w:vAlign w:val="center"/>
          </w:tcPr>
          <w:p w14:paraId="25EB427A" w14:textId="77777777" w:rsidR="00672297" w:rsidRDefault="00A16EA3">
            <w:pPr>
              <w:spacing w:before="20" w:after="20"/>
              <w:jc w:val="left"/>
            </w:pPr>
            <w:r>
              <w:rPr>
                <w:rFonts w:cstheme="minorHAnsi"/>
                <w:sz w:val="18"/>
                <w:szCs w:val="18"/>
              </w:rPr>
              <w:t>No</w:t>
            </w:r>
          </w:p>
        </w:tc>
        <w:tc>
          <w:tcPr>
            <w:tcW w:w="842" w:type="dxa"/>
            <w:vAlign w:val="center"/>
          </w:tcPr>
          <w:p w14:paraId="4D620049" w14:textId="77777777" w:rsidR="00672297" w:rsidRDefault="00672297">
            <w:pPr>
              <w:spacing w:before="20" w:after="20"/>
              <w:jc w:val="left"/>
            </w:pPr>
          </w:p>
        </w:tc>
        <w:tc>
          <w:tcPr>
            <w:tcW w:w="2808" w:type="dxa"/>
            <w:vAlign w:val="center"/>
          </w:tcPr>
          <w:p w14:paraId="43B1D2AD" w14:textId="77777777" w:rsidR="00672297" w:rsidRDefault="00A16EA3">
            <w:pPr>
              <w:spacing w:before="20" w:after="20"/>
              <w:jc w:val="left"/>
            </w:pPr>
            <w:r>
              <w:rPr>
                <w:rFonts w:cstheme="minorHAnsi"/>
                <w:sz w:val="18"/>
                <w:szCs w:val="18"/>
              </w:rPr>
              <w:t>Load execution identifier; one value per load run (IQDM standard). Not the product batch.</w:t>
            </w:r>
          </w:p>
        </w:tc>
        <w:tc>
          <w:tcPr>
            <w:tcW w:w="2341" w:type="dxa"/>
            <w:vAlign w:val="center"/>
          </w:tcPr>
          <w:p w14:paraId="17EC0EBE" w14:textId="77777777" w:rsidR="00672297" w:rsidRDefault="00A16EA3">
            <w:pPr>
              <w:spacing w:before="20" w:after="20"/>
              <w:jc w:val="left"/>
            </w:pPr>
            <w:r>
              <w:rPr>
                <w:rFonts w:cstheme="minorHAnsi"/>
                <w:sz w:val="18"/>
                <w:szCs w:val="18"/>
              </w:rPr>
              <w:t>Load process (Request Service or database-team load script)</w:t>
            </w:r>
          </w:p>
        </w:tc>
      </w:tr>
      <w:tr w:rsidR="00672297" w14:paraId="4B566C5E" w14:textId="77777777">
        <w:trPr>
          <w:cantSplit/>
        </w:trPr>
        <w:tc>
          <w:tcPr>
            <w:tcW w:w="1872" w:type="dxa"/>
            <w:vAlign w:val="center"/>
          </w:tcPr>
          <w:p w14:paraId="16A8D5E8" w14:textId="77777777" w:rsidR="00672297" w:rsidRDefault="00A16EA3">
            <w:pPr>
              <w:spacing w:before="20" w:after="20"/>
              <w:jc w:val="left"/>
            </w:pPr>
            <w:r>
              <w:rPr>
                <w:rFonts w:cstheme="minorHAnsi"/>
                <w:sz w:val="18"/>
                <w:szCs w:val="18"/>
              </w:rPr>
              <w:t>is_active</w:t>
            </w:r>
          </w:p>
        </w:tc>
        <w:tc>
          <w:tcPr>
            <w:tcW w:w="1029" w:type="dxa"/>
            <w:vAlign w:val="center"/>
          </w:tcPr>
          <w:p w14:paraId="6622E9C4" w14:textId="77777777" w:rsidR="00672297" w:rsidRDefault="00A16EA3">
            <w:pPr>
              <w:spacing w:before="20" w:after="20"/>
              <w:jc w:val="left"/>
            </w:pPr>
            <w:r>
              <w:rPr>
                <w:rFonts w:cstheme="minorHAnsi"/>
                <w:sz w:val="18"/>
                <w:szCs w:val="18"/>
              </w:rPr>
              <w:t>SMALLINT</w:t>
            </w:r>
          </w:p>
        </w:tc>
        <w:tc>
          <w:tcPr>
            <w:tcW w:w="468" w:type="dxa"/>
            <w:vAlign w:val="center"/>
          </w:tcPr>
          <w:p w14:paraId="646EDECA" w14:textId="77777777" w:rsidR="00672297" w:rsidRDefault="00A16EA3">
            <w:pPr>
              <w:spacing w:before="20" w:after="20"/>
              <w:jc w:val="left"/>
            </w:pPr>
            <w:r>
              <w:rPr>
                <w:rFonts w:cstheme="minorHAnsi"/>
                <w:sz w:val="18"/>
                <w:szCs w:val="18"/>
              </w:rPr>
              <w:t>No</w:t>
            </w:r>
          </w:p>
        </w:tc>
        <w:tc>
          <w:tcPr>
            <w:tcW w:w="842" w:type="dxa"/>
            <w:vAlign w:val="center"/>
          </w:tcPr>
          <w:p w14:paraId="0C65DC61" w14:textId="77777777" w:rsidR="00672297" w:rsidRDefault="00672297">
            <w:pPr>
              <w:spacing w:before="20" w:after="20"/>
              <w:jc w:val="left"/>
            </w:pPr>
          </w:p>
        </w:tc>
        <w:tc>
          <w:tcPr>
            <w:tcW w:w="2808" w:type="dxa"/>
            <w:vAlign w:val="center"/>
          </w:tcPr>
          <w:p w14:paraId="3AC4256B" w14:textId="77777777" w:rsidR="00672297" w:rsidRDefault="00A16EA3">
            <w:pPr>
              <w:spacing w:before="20" w:after="20"/>
              <w:jc w:val="left"/>
            </w:pPr>
            <w:r>
              <w:rPr>
                <w:rFonts w:cstheme="minorHAnsi"/>
                <w:sz w:val="18"/>
                <w:szCs w:val="18"/>
              </w:rPr>
              <w:t>Active record flag (1 = active, 0 = logically deleted)</w:t>
            </w:r>
          </w:p>
        </w:tc>
        <w:tc>
          <w:tcPr>
            <w:tcW w:w="2341" w:type="dxa"/>
            <w:vAlign w:val="center"/>
          </w:tcPr>
          <w:p w14:paraId="11DC4BD9" w14:textId="77777777" w:rsidR="00672297" w:rsidRDefault="00A16EA3">
            <w:pPr>
              <w:spacing w:before="20" w:after="20"/>
              <w:jc w:val="left"/>
            </w:pPr>
            <w:r>
              <w:rPr>
                <w:rFonts w:cstheme="minorHAnsi"/>
                <w:sz w:val="18"/>
                <w:szCs w:val="18"/>
              </w:rPr>
              <w:t>System generated</w:t>
            </w:r>
          </w:p>
        </w:tc>
      </w:tr>
      <w:tr w:rsidR="00672297" w14:paraId="3D015998" w14:textId="77777777">
        <w:trPr>
          <w:cantSplit/>
        </w:trPr>
        <w:tc>
          <w:tcPr>
            <w:tcW w:w="1872" w:type="dxa"/>
            <w:vAlign w:val="center"/>
          </w:tcPr>
          <w:p w14:paraId="4D883641" w14:textId="77777777" w:rsidR="00672297" w:rsidRDefault="00A16EA3">
            <w:pPr>
              <w:spacing w:before="20" w:after="20"/>
              <w:jc w:val="left"/>
            </w:pPr>
            <w:r>
              <w:rPr>
                <w:rFonts w:cstheme="minorHAnsi"/>
                <w:sz w:val="18"/>
                <w:szCs w:val="18"/>
              </w:rPr>
              <w:t>created_by</w:t>
            </w:r>
          </w:p>
        </w:tc>
        <w:tc>
          <w:tcPr>
            <w:tcW w:w="1029" w:type="dxa"/>
            <w:vAlign w:val="center"/>
          </w:tcPr>
          <w:p w14:paraId="7D9628DC" w14:textId="77777777" w:rsidR="00672297" w:rsidRDefault="00A16EA3">
            <w:pPr>
              <w:spacing w:before="20" w:after="20"/>
              <w:jc w:val="left"/>
            </w:pPr>
            <w:r>
              <w:rPr>
                <w:rFonts w:cstheme="minorHAnsi"/>
                <w:sz w:val="18"/>
                <w:szCs w:val="18"/>
              </w:rPr>
              <w:t>VARCHAR(100)</w:t>
            </w:r>
          </w:p>
        </w:tc>
        <w:tc>
          <w:tcPr>
            <w:tcW w:w="468" w:type="dxa"/>
            <w:vAlign w:val="center"/>
          </w:tcPr>
          <w:p w14:paraId="04AA8A8B" w14:textId="77777777" w:rsidR="00672297" w:rsidRDefault="00A16EA3">
            <w:pPr>
              <w:spacing w:before="20" w:after="20"/>
              <w:jc w:val="left"/>
            </w:pPr>
            <w:r>
              <w:rPr>
                <w:rFonts w:cstheme="minorHAnsi"/>
                <w:sz w:val="18"/>
                <w:szCs w:val="18"/>
              </w:rPr>
              <w:t>No</w:t>
            </w:r>
          </w:p>
        </w:tc>
        <w:tc>
          <w:tcPr>
            <w:tcW w:w="842" w:type="dxa"/>
            <w:vAlign w:val="center"/>
          </w:tcPr>
          <w:p w14:paraId="1D91AB79" w14:textId="77777777" w:rsidR="00672297" w:rsidRDefault="00672297">
            <w:pPr>
              <w:spacing w:before="20" w:after="20"/>
              <w:jc w:val="left"/>
            </w:pPr>
          </w:p>
        </w:tc>
        <w:tc>
          <w:tcPr>
            <w:tcW w:w="2808" w:type="dxa"/>
            <w:vAlign w:val="center"/>
          </w:tcPr>
          <w:p w14:paraId="786C048A" w14:textId="77777777" w:rsidR="00672297" w:rsidRDefault="00A16EA3">
            <w:pPr>
              <w:spacing w:before="20" w:after="20"/>
              <w:jc w:val="left"/>
            </w:pPr>
            <w:r>
              <w:rPr>
                <w:rFonts w:cstheme="minorHAnsi"/>
                <w:sz w:val="18"/>
                <w:szCs w:val="18"/>
              </w:rPr>
              <w:t>Account that created the record</w:t>
            </w:r>
          </w:p>
        </w:tc>
        <w:tc>
          <w:tcPr>
            <w:tcW w:w="2341" w:type="dxa"/>
            <w:vAlign w:val="center"/>
          </w:tcPr>
          <w:p w14:paraId="62F71C30" w14:textId="77777777" w:rsidR="00672297" w:rsidRDefault="00A16EA3">
            <w:pPr>
              <w:spacing w:before="20" w:after="20"/>
              <w:jc w:val="left"/>
            </w:pPr>
            <w:r>
              <w:rPr>
                <w:rFonts w:cstheme="minorHAnsi"/>
                <w:sz w:val="18"/>
                <w:szCs w:val="18"/>
              </w:rPr>
              <w:t>System generated</w:t>
            </w:r>
          </w:p>
        </w:tc>
      </w:tr>
      <w:tr w:rsidR="00672297" w14:paraId="0E47B541" w14:textId="77777777">
        <w:trPr>
          <w:cantSplit/>
        </w:trPr>
        <w:tc>
          <w:tcPr>
            <w:tcW w:w="1872" w:type="dxa"/>
            <w:vAlign w:val="center"/>
          </w:tcPr>
          <w:p w14:paraId="77D6F53B" w14:textId="77777777" w:rsidR="00672297" w:rsidRDefault="00A16EA3">
            <w:pPr>
              <w:spacing w:before="20" w:after="20"/>
              <w:jc w:val="left"/>
            </w:pPr>
            <w:r>
              <w:rPr>
                <w:rFonts w:cstheme="minorHAnsi"/>
                <w:sz w:val="18"/>
                <w:szCs w:val="18"/>
              </w:rPr>
              <w:t>created_on</w:t>
            </w:r>
          </w:p>
        </w:tc>
        <w:tc>
          <w:tcPr>
            <w:tcW w:w="1029" w:type="dxa"/>
            <w:vAlign w:val="center"/>
          </w:tcPr>
          <w:p w14:paraId="0C8AD08C" w14:textId="77777777" w:rsidR="00672297" w:rsidRDefault="00A16EA3">
            <w:pPr>
              <w:spacing w:before="20" w:after="20"/>
              <w:jc w:val="left"/>
            </w:pPr>
            <w:r>
              <w:rPr>
                <w:rFonts w:cstheme="minorHAnsi"/>
                <w:sz w:val="18"/>
                <w:szCs w:val="18"/>
              </w:rPr>
              <w:t>DATETIME</w:t>
            </w:r>
          </w:p>
        </w:tc>
        <w:tc>
          <w:tcPr>
            <w:tcW w:w="468" w:type="dxa"/>
            <w:vAlign w:val="center"/>
          </w:tcPr>
          <w:p w14:paraId="446F44EE" w14:textId="77777777" w:rsidR="00672297" w:rsidRDefault="00A16EA3">
            <w:pPr>
              <w:spacing w:before="20" w:after="20"/>
              <w:jc w:val="left"/>
            </w:pPr>
            <w:r>
              <w:rPr>
                <w:rFonts w:cstheme="minorHAnsi"/>
                <w:sz w:val="18"/>
                <w:szCs w:val="18"/>
              </w:rPr>
              <w:t>No</w:t>
            </w:r>
          </w:p>
        </w:tc>
        <w:tc>
          <w:tcPr>
            <w:tcW w:w="842" w:type="dxa"/>
            <w:vAlign w:val="center"/>
          </w:tcPr>
          <w:p w14:paraId="7BB42F88" w14:textId="77777777" w:rsidR="00672297" w:rsidRDefault="00672297">
            <w:pPr>
              <w:spacing w:before="20" w:after="20"/>
              <w:jc w:val="left"/>
            </w:pPr>
          </w:p>
        </w:tc>
        <w:tc>
          <w:tcPr>
            <w:tcW w:w="2808" w:type="dxa"/>
            <w:vAlign w:val="center"/>
          </w:tcPr>
          <w:p w14:paraId="4A9062C6" w14:textId="77777777" w:rsidR="00672297" w:rsidRDefault="00A16EA3">
            <w:pPr>
              <w:spacing w:before="20" w:after="20"/>
              <w:jc w:val="left"/>
            </w:pPr>
            <w:r>
              <w:rPr>
                <w:rFonts w:cstheme="minorHAnsi"/>
                <w:sz w:val="18"/>
                <w:szCs w:val="18"/>
              </w:rPr>
              <w:t>Record creation timestamp (UTC)</w:t>
            </w:r>
          </w:p>
        </w:tc>
        <w:tc>
          <w:tcPr>
            <w:tcW w:w="2341" w:type="dxa"/>
            <w:vAlign w:val="center"/>
          </w:tcPr>
          <w:p w14:paraId="202A3533" w14:textId="77777777" w:rsidR="00672297" w:rsidRDefault="00A16EA3">
            <w:pPr>
              <w:spacing w:before="20" w:after="20"/>
              <w:jc w:val="left"/>
            </w:pPr>
            <w:r>
              <w:rPr>
                <w:rFonts w:cstheme="minorHAnsi"/>
                <w:sz w:val="18"/>
                <w:szCs w:val="18"/>
              </w:rPr>
              <w:t>System generated</w:t>
            </w:r>
          </w:p>
        </w:tc>
      </w:tr>
      <w:tr w:rsidR="00672297" w14:paraId="622AB070" w14:textId="77777777">
        <w:trPr>
          <w:cantSplit/>
        </w:trPr>
        <w:tc>
          <w:tcPr>
            <w:tcW w:w="1872" w:type="dxa"/>
            <w:vAlign w:val="center"/>
          </w:tcPr>
          <w:p w14:paraId="70013C47" w14:textId="77777777" w:rsidR="00672297" w:rsidRDefault="00A16EA3">
            <w:pPr>
              <w:spacing w:before="20" w:after="20"/>
              <w:jc w:val="left"/>
            </w:pPr>
            <w:r>
              <w:rPr>
                <w:rFonts w:cstheme="minorHAnsi"/>
                <w:sz w:val="18"/>
                <w:szCs w:val="18"/>
              </w:rPr>
              <w:t>updated_by</w:t>
            </w:r>
          </w:p>
        </w:tc>
        <w:tc>
          <w:tcPr>
            <w:tcW w:w="1029" w:type="dxa"/>
            <w:vAlign w:val="center"/>
          </w:tcPr>
          <w:p w14:paraId="7A725C70" w14:textId="77777777" w:rsidR="00672297" w:rsidRDefault="00A16EA3">
            <w:pPr>
              <w:spacing w:before="20" w:after="20"/>
              <w:jc w:val="left"/>
            </w:pPr>
            <w:r>
              <w:rPr>
                <w:rFonts w:cstheme="minorHAnsi"/>
                <w:sz w:val="18"/>
                <w:szCs w:val="18"/>
              </w:rPr>
              <w:t>VARCHAR(100)</w:t>
            </w:r>
          </w:p>
        </w:tc>
        <w:tc>
          <w:tcPr>
            <w:tcW w:w="468" w:type="dxa"/>
            <w:vAlign w:val="center"/>
          </w:tcPr>
          <w:p w14:paraId="10511D37" w14:textId="77777777" w:rsidR="00672297" w:rsidRDefault="00A16EA3">
            <w:pPr>
              <w:spacing w:before="20" w:after="20"/>
              <w:jc w:val="left"/>
            </w:pPr>
            <w:r>
              <w:rPr>
                <w:rFonts w:cstheme="minorHAnsi"/>
                <w:sz w:val="18"/>
                <w:szCs w:val="18"/>
              </w:rPr>
              <w:t>Yes</w:t>
            </w:r>
          </w:p>
        </w:tc>
        <w:tc>
          <w:tcPr>
            <w:tcW w:w="842" w:type="dxa"/>
            <w:vAlign w:val="center"/>
          </w:tcPr>
          <w:p w14:paraId="12DA8972" w14:textId="77777777" w:rsidR="00672297" w:rsidRDefault="00672297">
            <w:pPr>
              <w:spacing w:before="20" w:after="20"/>
              <w:jc w:val="left"/>
            </w:pPr>
          </w:p>
        </w:tc>
        <w:tc>
          <w:tcPr>
            <w:tcW w:w="2808" w:type="dxa"/>
            <w:vAlign w:val="center"/>
          </w:tcPr>
          <w:p w14:paraId="64D7924F" w14:textId="77777777" w:rsidR="00672297" w:rsidRDefault="00A16EA3">
            <w:pPr>
              <w:spacing w:before="20" w:after="20"/>
              <w:jc w:val="left"/>
            </w:pPr>
            <w:r>
              <w:rPr>
                <w:rFonts w:cstheme="minorHAnsi"/>
                <w:sz w:val="18"/>
                <w:szCs w:val="18"/>
              </w:rPr>
              <w:t>Account that last updated the record</w:t>
            </w:r>
          </w:p>
        </w:tc>
        <w:tc>
          <w:tcPr>
            <w:tcW w:w="2341" w:type="dxa"/>
            <w:vAlign w:val="center"/>
          </w:tcPr>
          <w:p w14:paraId="3D14CDDF" w14:textId="77777777" w:rsidR="00672297" w:rsidRDefault="00A16EA3">
            <w:pPr>
              <w:spacing w:before="20" w:after="20"/>
              <w:jc w:val="left"/>
            </w:pPr>
            <w:r>
              <w:rPr>
                <w:rFonts w:cstheme="minorHAnsi"/>
                <w:sz w:val="18"/>
                <w:szCs w:val="18"/>
              </w:rPr>
              <w:t>System generated</w:t>
            </w:r>
          </w:p>
        </w:tc>
      </w:tr>
      <w:tr w:rsidR="00672297" w14:paraId="7314FCEC" w14:textId="77777777">
        <w:trPr>
          <w:cantSplit/>
        </w:trPr>
        <w:tc>
          <w:tcPr>
            <w:tcW w:w="1872" w:type="dxa"/>
            <w:vAlign w:val="center"/>
          </w:tcPr>
          <w:p w14:paraId="1ABF9D05" w14:textId="77777777" w:rsidR="00672297" w:rsidRDefault="00A16EA3">
            <w:pPr>
              <w:spacing w:before="20" w:after="20"/>
              <w:jc w:val="left"/>
            </w:pPr>
            <w:r>
              <w:rPr>
                <w:rFonts w:cstheme="minorHAnsi"/>
                <w:sz w:val="18"/>
                <w:szCs w:val="18"/>
              </w:rPr>
              <w:t>updated_on</w:t>
            </w:r>
          </w:p>
        </w:tc>
        <w:tc>
          <w:tcPr>
            <w:tcW w:w="1029" w:type="dxa"/>
            <w:vAlign w:val="center"/>
          </w:tcPr>
          <w:p w14:paraId="43F7849C" w14:textId="77777777" w:rsidR="00672297" w:rsidRDefault="00A16EA3">
            <w:pPr>
              <w:spacing w:before="20" w:after="20"/>
              <w:jc w:val="left"/>
            </w:pPr>
            <w:r>
              <w:rPr>
                <w:rFonts w:cstheme="minorHAnsi"/>
                <w:sz w:val="18"/>
                <w:szCs w:val="18"/>
              </w:rPr>
              <w:t>DATETIME</w:t>
            </w:r>
          </w:p>
        </w:tc>
        <w:tc>
          <w:tcPr>
            <w:tcW w:w="468" w:type="dxa"/>
            <w:vAlign w:val="center"/>
          </w:tcPr>
          <w:p w14:paraId="09A72C91" w14:textId="77777777" w:rsidR="00672297" w:rsidRDefault="00A16EA3">
            <w:pPr>
              <w:spacing w:before="20" w:after="20"/>
              <w:jc w:val="left"/>
            </w:pPr>
            <w:r>
              <w:rPr>
                <w:rFonts w:cstheme="minorHAnsi"/>
                <w:sz w:val="18"/>
                <w:szCs w:val="18"/>
              </w:rPr>
              <w:t>Yes</w:t>
            </w:r>
          </w:p>
        </w:tc>
        <w:tc>
          <w:tcPr>
            <w:tcW w:w="842" w:type="dxa"/>
            <w:vAlign w:val="center"/>
          </w:tcPr>
          <w:p w14:paraId="6D656C9F" w14:textId="77777777" w:rsidR="00672297" w:rsidRDefault="00672297">
            <w:pPr>
              <w:spacing w:before="20" w:after="20"/>
              <w:jc w:val="left"/>
            </w:pPr>
          </w:p>
        </w:tc>
        <w:tc>
          <w:tcPr>
            <w:tcW w:w="2808" w:type="dxa"/>
            <w:vAlign w:val="center"/>
          </w:tcPr>
          <w:p w14:paraId="67050792" w14:textId="77777777" w:rsidR="00672297" w:rsidRDefault="00A16EA3">
            <w:pPr>
              <w:spacing w:before="20" w:after="20"/>
              <w:jc w:val="left"/>
            </w:pPr>
            <w:r>
              <w:rPr>
                <w:rFonts w:cstheme="minorHAnsi"/>
                <w:sz w:val="18"/>
                <w:szCs w:val="18"/>
              </w:rPr>
              <w:t>Record last update timestamp (UTC)</w:t>
            </w:r>
          </w:p>
        </w:tc>
        <w:tc>
          <w:tcPr>
            <w:tcW w:w="2341" w:type="dxa"/>
            <w:vAlign w:val="center"/>
          </w:tcPr>
          <w:p w14:paraId="470056F6" w14:textId="77777777" w:rsidR="00672297" w:rsidRDefault="00A16EA3">
            <w:pPr>
              <w:spacing w:before="20" w:after="20"/>
              <w:jc w:val="left"/>
            </w:pPr>
            <w:r>
              <w:rPr>
                <w:rFonts w:cstheme="minorHAnsi"/>
                <w:sz w:val="18"/>
                <w:szCs w:val="18"/>
              </w:rPr>
              <w:t>System generated</w:t>
            </w:r>
          </w:p>
        </w:tc>
      </w:tr>
    </w:tbl>
    <w:p w14:paraId="0737D69C" w14:textId="3E856520" w:rsidR="00672297" w:rsidRDefault="00A16EA3">
      <w:pPr>
        <w:pStyle w:val="Caption"/>
      </w:pPr>
      <w:bookmarkStart w:id="426" w:name="_Toc900900046"/>
      <w:bookmarkStart w:id="427" w:name="_Toc241574688"/>
      <w:bookmarkStart w:id="428" w:name="_Toc242554072"/>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19</w:t>
      </w:r>
      <w:r>
        <w:fldChar w:fldCharType="end"/>
      </w:r>
      <w:r>
        <w:t>: VCB_blend_component_movement Table</w:t>
      </w:r>
      <w:bookmarkEnd w:id="426"/>
      <w:bookmarkEnd w:id="427"/>
      <w:bookmarkEnd w:id="428"/>
    </w:p>
    <w:p w14:paraId="0430CF4E" w14:textId="77777777" w:rsidR="00672297" w:rsidRDefault="00A16EA3">
      <w:pPr>
        <w:rPr>
          <w:rFonts w:cstheme="minorHAnsi"/>
          <w:sz w:val="20"/>
          <w:szCs w:val="20"/>
        </w:rPr>
      </w:pPr>
      <w:r>
        <w:rPr>
          <w:rFonts w:cstheme="minorHAnsi"/>
          <w:sz w:val="20"/>
          <w:szCs w:val="20"/>
        </w:rPr>
        <w:t>Unique key: (transaction_upload_id, data_source). Indexes: (location_id, component_material_id, transaction_date).</w:t>
      </w:r>
    </w:p>
    <w:p w14:paraId="5F8D9264" w14:textId="48E07646" w:rsidR="00672297" w:rsidRDefault="00A16EA3">
      <w:pPr>
        <w:rPr>
          <w:rFonts w:cstheme="minorHAnsi"/>
          <w:sz w:val="20"/>
          <w:szCs w:val="20"/>
        </w:rPr>
      </w:pPr>
      <w:r>
        <w:rPr>
          <w:rFonts w:cstheme="minorHAnsi"/>
          <w:b/>
          <w:bCs/>
          <w:sz w:val="20"/>
          <w:szCs w:val="20"/>
        </w:rPr>
        <w:t>Note:</w:t>
      </w:r>
      <w:r>
        <w:rPr>
          <w:rFonts w:cstheme="minorHAnsi"/>
          <w:sz w:val="20"/>
          <w:szCs w:val="20"/>
        </w:rPr>
        <w:t xml:space="preserve"> based on evolving business requirements, the six VCB views, the two </w:t>
      </w:r>
      <w:r w:rsidR="000A106D">
        <w:rPr>
          <w:rFonts w:cstheme="minorHAnsi"/>
          <w:sz w:val="20"/>
          <w:szCs w:val="20"/>
        </w:rPr>
        <w:t>VCB integration target tables</w:t>
      </w:r>
      <w:r>
        <w:rPr>
          <w:rFonts w:cstheme="minorHAnsi"/>
          <w:sz w:val="20"/>
          <w:szCs w:val="20"/>
        </w:rPr>
        <w:t xml:space="preserve"> and their columns may be extended (for example the columns requested from IQDM in gap DP-04, or new reference data). Any such change is made in this chapter before it is built.</w:t>
      </w:r>
    </w:p>
    <w:p w14:paraId="5535E2DD" w14:textId="77777777" w:rsidR="00672297" w:rsidRDefault="00A16EA3">
      <w:pPr>
        <w:pStyle w:val="Heading2"/>
        <w:rPr>
          <w:rFonts w:asciiTheme="minorHAnsi" w:hAnsiTheme="minorHAnsi" w:cstheme="minorBidi"/>
          <w:sz w:val="20"/>
          <w:szCs w:val="20"/>
        </w:rPr>
      </w:pPr>
      <w:bookmarkStart w:id="429" w:name="_Toc241574335"/>
      <w:bookmarkStart w:id="430" w:name="_Toc242553957"/>
      <w:r>
        <w:rPr>
          <w:rFonts w:asciiTheme="minorHAnsi" w:hAnsiTheme="minorHAnsi" w:cstheme="minorBidi"/>
          <w:sz w:val="20"/>
          <w:szCs w:val="20"/>
        </w:rPr>
        <w:t>Data Platform Gaps Requiring Confirmation</w:t>
      </w:r>
      <w:bookmarkEnd w:id="429"/>
      <w:bookmarkEnd w:id="430"/>
    </w:p>
    <w:p w14:paraId="0F4D1EA4" w14:textId="77777777" w:rsidR="00672297" w:rsidRDefault="00A16EA3">
      <w:pPr>
        <w:rPr>
          <w:rFonts w:cstheme="minorHAnsi"/>
          <w:sz w:val="20"/>
          <w:szCs w:val="20"/>
        </w:rPr>
      </w:pPr>
      <w:r>
        <w:rPr>
          <w:rFonts w:cstheme="minorHAnsi"/>
          <w:sz w:val="20"/>
          <w:szCs w:val="20"/>
        </w:rPr>
        <w:t>The items below cannot be determined from the provided documents and Wireframes Mock Data. They must be confirmed by the business, IQDM or database team before the build of the affected objects; the design above indicates where each one applies.</w:t>
      </w:r>
    </w:p>
    <w:tbl>
      <w:tblPr>
        <w:tblStyle w:val="TableGrid"/>
        <w:tblW w:w="9360" w:type="dxa"/>
        <w:tblLayout w:type="fixed"/>
        <w:tblCellMar>
          <w:left w:w="70" w:type="dxa"/>
          <w:right w:w="70" w:type="dxa"/>
        </w:tblCellMar>
        <w:tblLook w:val="04A0" w:firstRow="1" w:lastRow="0" w:firstColumn="1" w:lastColumn="0" w:noHBand="0" w:noVBand="1"/>
      </w:tblPr>
      <w:tblGrid>
        <w:gridCol w:w="748"/>
        <w:gridCol w:w="4680"/>
        <w:gridCol w:w="2527"/>
        <w:gridCol w:w="1405"/>
      </w:tblGrid>
      <w:tr w:rsidR="00672297" w14:paraId="4D7AE228" w14:textId="77777777">
        <w:trPr>
          <w:cantSplit/>
          <w:tblHeader/>
        </w:trPr>
        <w:tc>
          <w:tcPr>
            <w:tcW w:w="748" w:type="dxa"/>
            <w:shd w:val="clear" w:color="auto" w:fill="2F5496"/>
            <w:vAlign w:val="center"/>
          </w:tcPr>
          <w:p w14:paraId="1C9D31B4" w14:textId="77777777" w:rsidR="00672297" w:rsidRDefault="00A16EA3">
            <w:pPr>
              <w:spacing w:before="20" w:after="20"/>
              <w:jc w:val="left"/>
            </w:pPr>
            <w:r>
              <w:rPr>
                <w:rFonts w:cstheme="minorHAnsi"/>
                <w:b/>
                <w:bCs/>
                <w:color w:val="FFFFFF"/>
                <w:sz w:val="20"/>
                <w:szCs w:val="20"/>
              </w:rPr>
              <w:t>ID</w:t>
            </w:r>
          </w:p>
        </w:tc>
        <w:tc>
          <w:tcPr>
            <w:tcW w:w="4680" w:type="dxa"/>
            <w:shd w:val="clear" w:color="auto" w:fill="2F5496"/>
            <w:vAlign w:val="center"/>
          </w:tcPr>
          <w:p w14:paraId="55887BBD" w14:textId="77777777" w:rsidR="00672297" w:rsidRDefault="00A16EA3">
            <w:pPr>
              <w:spacing w:before="20" w:after="20"/>
              <w:jc w:val="left"/>
            </w:pPr>
            <w:r>
              <w:rPr>
                <w:rFonts w:cstheme="minorHAnsi"/>
                <w:b/>
                <w:bCs/>
                <w:color w:val="FFFFFF"/>
                <w:sz w:val="20"/>
                <w:szCs w:val="20"/>
              </w:rPr>
              <w:t>Gap</w:t>
            </w:r>
          </w:p>
        </w:tc>
        <w:tc>
          <w:tcPr>
            <w:tcW w:w="2527" w:type="dxa"/>
            <w:shd w:val="clear" w:color="auto" w:fill="2F5496"/>
            <w:vAlign w:val="center"/>
          </w:tcPr>
          <w:p w14:paraId="6FFFE816" w14:textId="77777777" w:rsidR="00672297" w:rsidRDefault="00A16EA3">
            <w:pPr>
              <w:spacing w:before="20" w:after="20"/>
              <w:jc w:val="left"/>
            </w:pPr>
            <w:r>
              <w:rPr>
                <w:rFonts w:cstheme="minorHAnsi"/>
                <w:b/>
                <w:bCs/>
                <w:color w:val="FFFFFF"/>
                <w:sz w:val="20"/>
                <w:szCs w:val="20"/>
              </w:rPr>
              <w:t>Affected Objects</w:t>
            </w:r>
          </w:p>
        </w:tc>
        <w:tc>
          <w:tcPr>
            <w:tcW w:w="1405" w:type="dxa"/>
            <w:shd w:val="clear" w:color="auto" w:fill="2F5496"/>
            <w:vAlign w:val="center"/>
          </w:tcPr>
          <w:p w14:paraId="47777972" w14:textId="77777777" w:rsidR="00672297" w:rsidRDefault="00A16EA3">
            <w:pPr>
              <w:spacing w:before="20" w:after="20"/>
              <w:jc w:val="left"/>
            </w:pPr>
            <w:r>
              <w:rPr>
                <w:rFonts w:cstheme="minorHAnsi"/>
                <w:b/>
                <w:bCs/>
                <w:color w:val="FFFFFF"/>
                <w:sz w:val="20"/>
                <w:szCs w:val="20"/>
              </w:rPr>
              <w:t>Owner</w:t>
            </w:r>
          </w:p>
        </w:tc>
      </w:tr>
      <w:tr w:rsidR="00672297" w14:paraId="000619B2" w14:textId="77777777">
        <w:trPr>
          <w:cantSplit/>
        </w:trPr>
        <w:tc>
          <w:tcPr>
            <w:tcW w:w="748" w:type="dxa"/>
            <w:vAlign w:val="center"/>
          </w:tcPr>
          <w:p w14:paraId="7E42E6E7" w14:textId="77777777" w:rsidR="00672297" w:rsidRDefault="00A16EA3">
            <w:pPr>
              <w:spacing w:before="20" w:after="20"/>
              <w:jc w:val="left"/>
            </w:pPr>
            <w:r>
              <w:rPr>
                <w:rFonts w:cstheme="minorHAnsi"/>
                <w:sz w:val="20"/>
                <w:szCs w:val="20"/>
              </w:rPr>
              <w:t>DP-01</w:t>
            </w:r>
          </w:p>
        </w:tc>
        <w:tc>
          <w:tcPr>
            <w:tcW w:w="4680" w:type="dxa"/>
            <w:vAlign w:val="center"/>
          </w:tcPr>
          <w:p w14:paraId="67A12BF8" w14:textId="77777777" w:rsidR="00672297" w:rsidRDefault="00A16EA3">
            <w:pPr>
              <w:spacing w:before="20" w:after="20"/>
              <w:jc w:val="left"/>
            </w:pPr>
            <w:r>
              <w:rPr>
                <w:rFonts w:cstheme="minorHAnsi"/>
                <w:sz w:val="20"/>
                <w:szCs w:val="20"/>
              </w:rPr>
              <w:t>UAT and PROD database server and database names are not provided.</w:t>
            </w:r>
          </w:p>
        </w:tc>
        <w:tc>
          <w:tcPr>
            <w:tcW w:w="2527" w:type="dxa"/>
            <w:vAlign w:val="center"/>
          </w:tcPr>
          <w:p w14:paraId="2D20B345" w14:textId="77777777" w:rsidR="00672297" w:rsidRDefault="00A16EA3">
            <w:pPr>
              <w:spacing w:before="20" w:after="20"/>
              <w:jc w:val="left"/>
            </w:pPr>
            <w:r>
              <w:rPr>
                <w:rFonts w:cstheme="minorHAnsi"/>
                <w:sz w:val="20"/>
                <w:szCs w:val="20"/>
              </w:rPr>
              <w:t>Environment configuration, gateway connections</w:t>
            </w:r>
          </w:p>
        </w:tc>
        <w:tc>
          <w:tcPr>
            <w:tcW w:w="1405" w:type="dxa"/>
            <w:vAlign w:val="center"/>
          </w:tcPr>
          <w:p w14:paraId="5A8A204D" w14:textId="77777777" w:rsidR="00672297" w:rsidRDefault="00A16EA3">
            <w:pPr>
              <w:spacing w:before="20" w:after="20"/>
              <w:jc w:val="left"/>
            </w:pPr>
            <w:r>
              <w:rPr>
                <w:rFonts w:cstheme="minorHAnsi"/>
                <w:sz w:val="20"/>
                <w:szCs w:val="20"/>
              </w:rPr>
              <w:t>Database team</w:t>
            </w:r>
          </w:p>
        </w:tc>
      </w:tr>
      <w:tr w:rsidR="00672297" w14:paraId="4B6197B9" w14:textId="77777777">
        <w:trPr>
          <w:cantSplit/>
        </w:trPr>
        <w:tc>
          <w:tcPr>
            <w:tcW w:w="748" w:type="dxa"/>
            <w:vAlign w:val="center"/>
          </w:tcPr>
          <w:p w14:paraId="05146E7A" w14:textId="77777777" w:rsidR="00672297" w:rsidRDefault="00A16EA3">
            <w:pPr>
              <w:spacing w:before="20" w:after="20"/>
              <w:jc w:val="left"/>
            </w:pPr>
            <w:r>
              <w:rPr>
                <w:rFonts w:cstheme="minorHAnsi"/>
                <w:sz w:val="20"/>
                <w:szCs w:val="20"/>
              </w:rPr>
              <w:t>DP-02</w:t>
            </w:r>
          </w:p>
        </w:tc>
        <w:tc>
          <w:tcPr>
            <w:tcW w:w="4680" w:type="dxa"/>
            <w:vAlign w:val="center"/>
          </w:tcPr>
          <w:p w14:paraId="7BDEE342" w14:textId="77777777" w:rsidR="00672297" w:rsidRDefault="00A16EA3">
            <w:pPr>
              <w:spacing w:before="20" w:after="20"/>
              <w:jc w:val="left"/>
            </w:pPr>
            <w:r>
              <w:rPr>
                <w:rFonts w:cstheme="minorHAnsi"/>
                <w:sz w:val="20"/>
                <w:szCs w:val="20"/>
              </w:rPr>
              <w:t>Physical name and structure of the specification table in the IQDM Release 5 design.</w:t>
            </w:r>
          </w:p>
        </w:tc>
        <w:tc>
          <w:tcPr>
            <w:tcW w:w="2527" w:type="dxa"/>
            <w:vAlign w:val="center"/>
          </w:tcPr>
          <w:p w14:paraId="30C15787" w14:textId="77777777" w:rsidR="00672297" w:rsidRDefault="00A16EA3">
            <w:pPr>
              <w:spacing w:before="20" w:after="20"/>
              <w:jc w:val="left"/>
            </w:pPr>
            <w:r>
              <w:rPr>
                <w:rFonts w:cstheme="minorHAnsi"/>
                <w:sz w:val="20"/>
                <w:szCs w:val="20"/>
              </w:rPr>
              <w:t>product_specification, batch quality and KPI views (specification resolution)</w:t>
            </w:r>
          </w:p>
        </w:tc>
        <w:tc>
          <w:tcPr>
            <w:tcW w:w="1405" w:type="dxa"/>
            <w:vAlign w:val="center"/>
          </w:tcPr>
          <w:p w14:paraId="0447A3BF" w14:textId="77777777" w:rsidR="00672297" w:rsidRDefault="00A16EA3">
            <w:pPr>
              <w:spacing w:before="20" w:after="20"/>
              <w:jc w:val="left"/>
            </w:pPr>
            <w:r>
              <w:rPr>
                <w:rFonts w:cstheme="minorHAnsi"/>
                <w:sz w:val="20"/>
                <w:szCs w:val="20"/>
              </w:rPr>
              <w:t>IQDM database team</w:t>
            </w:r>
          </w:p>
        </w:tc>
      </w:tr>
      <w:tr w:rsidR="00672297" w14:paraId="47901013" w14:textId="77777777">
        <w:trPr>
          <w:cantSplit/>
        </w:trPr>
        <w:tc>
          <w:tcPr>
            <w:tcW w:w="748" w:type="dxa"/>
            <w:vAlign w:val="center"/>
          </w:tcPr>
          <w:p w14:paraId="7A067D07" w14:textId="77777777" w:rsidR="00672297" w:rsidRDefault="00A16EA3">
            <w:pPr>
              <w:spacing w:before="20" w:after="20"/>
              <w:jc w:val="left"/>
            </w:pPr>
            <w:r>
              <w:rPr>
                <w:rFonts w:cstheme="minorHAnsi"/>
                <w:sz w:val="20"/>
                <w:szCs w:val="20"/>
              </w:rPr>
              <w:t>DP-03</w:t>
            </w:r>
          </w:p>
        </w:tc>
        <w:tc>
          <w:tcPr>
            <w:tcW w:w="4680" w:type="dxa"/>
            <w:vAlign w:val="center"/>
          </w:tcPr>
          <w:p w14:paraId="65F77A2A" w14:textId="77777777" w:rsidR="00672297" w:rsidRDefault="00A16EA3">
            <w:pPr>
              <w:spacing w:before="20" w:after="20"/>
              <w:jc w:val="left"/>
            </w:pPr>
            <w:r>
              <w:rPr>
                <w:rFonts w:cstheme="minorHAnsi"/>
                <w:sz w:val="20"/>
                <w:szCs w:val="20"/>
              </w:rPr>
              <w:t>Mechanism to keep at least 3 years of the IQDM-owned entities used by VCB (IQDM keeps 3 months); archival and purge frequencies.</w:t>
            </w:r>
          </w:p>
        </w:tc>
        <w:tc>
          <w:tcPr>
            <w:tcW w:w="2527" w:type="dxa"/>
            <w:vAlign w:val="center"/>
          </w:tcPr>
          <w:p w14:paraId="62168A94" w14:textId="31ED8B77" w:rsidR="00672297" w:rsidRDefault="00A16EA3">
            <w:pPr>
              <w:spacing w:before="20" w:after="20"/>
              <w:jc w:val="left"/>
            </w:pPr>
            <w:r>
              <w:rPr>
                <w:rFonts w:cstheme="minorHAnsi"/>
                <w:sz w:val="20"/>
                <w:szCs w:val="20"/>
              </w:rPr>
              <w:t xml:space="preserve">IQDM domain tables, </w:t>
            </w:r>
            <w:r w:rsidR="000A106D">
              <w:rPr>
                <w:rFonts w:cstheme="minorHAnsi"/>
                <w:sz w:val="20"/>
                <w:szCs w:val="20"/>
              </w:rPr>
              <w:t>VCB integration target tables</w:t>
            </w:r>
            <w:r>
              <w:rPr>
                <w:rFonts w:cstheme="minorHAnsi"/>
                <w:sz w:val="20"/>
                <w:szCs w:val="20"/>
              </w:rPr>
              <w:t>, housekeeping jobs</w:t>
            </w:r>
          </w:p>
        </w:tc>
        <w:tc>
          <w:tcPr>
            <w:tcW w:w="1405" w:type="dxa"/>
            <w:vAlign w:val="center"/>
          </w:tcPr>
          <w:p w14:paraId="15CF2A22" w14:textId="77777777" w:rsidR="00672297" w:rsidRDefault="00A16EA3">
            <w:pPr>
              <w:spacing w:before="20" w:after="20"/>
              <w:jc w:val="left"/>
            </w:pPr>
            <w:r>
              <w:rPr>
                <w:rFonts w:cstheme="minorHAnsi"/>
                <w:sz w:val="20"/>
                <w:szCs w:val="20"/>
              </w:rPr>
              <w:t>IQDM / database team</w:t>
            </w:r>
          </w:p>
        </w:tc>
      </w:tr>
      <w:tr w:rsidR="00672297" w14:paraId="0C3AB382" w14:textId="77777777">
        <w:trPr>
          <w:cantSplit/>
        </w:trPr>
        <w:tc>
          <w:tcPr>
            <w:tcW w:w="748" w:type="dxa"/>
            <w:vAlign w:val="center"/>
          </w:tcPr>
          <w:p w14:paraId="7CC58BCE" w14:textId="77777777" w:rsidR="00672297" w:rsidRDefault="00A16EA3">
            <w:pPr>
              <w:spacing w:before="20" w:after="20"/>
              <w:jc w:val="left"/>
            </w:pPr>
            <w:r>
              <w:rPr>
                <w:rFonts w:cstheme="minorHAnsi"/>
                <w:sz w:val="20"/>
                <w:szCs w:val="20"/>
              </w:rPr>
              <w:t>DP-04</w:t>
            </w:r>
          </w:p>
        </w:tc>
        <w:tc>
          <w:tcPr>
            <w:tcW w:w="4680" w:type="dxa"/>
            <w:vAlign w:val="center"/>
          </w:tcPr>
          <w:p w14:paraId="4191550C" w14:textId="77777777" w:rsidR="00672297" w:rsidRDefault="00A16EA3">
            <w:pPr>
              <w:spacing w:before="20" w:after="20"/>
              <w:jc w:val="left"/>
            </w:pPr>
            <w:r>
              <w:rPr>
                <w:rFonts w:cstheme="minorHAnsi"/>
                <w:sz w:val="20"/>
                <w:szCs w:val="20"/>
              </w:rPr>
              <w:t>batch_number column on transfer_detail and quality_detail (present in the response models, absent from the IQDM table design); scheduled-inventory columns OpeningInventoryVolume, ScheduledMovementIn / Out.</w:t>
            </w:r>
          </w:p>
        </w:tc>
        <w:tc>
          <w:tcPr>
            <w:tcW w:w="2527" w:type="dxa"/>
            <w:vAlign w:val="center"/>
          </w:tcPr>
          <w:p w14:paraId="7F7886E5" w14:textId="77777777" w:rsidR="00672297" w:rsidRDefault="00A16EA3">
            <w:pPr>
              <w:spacing w:before="20" w:after="20"/>
              <w:jc w:val="left"/>
            </w:pPr>
            <w:r>
              <w:rPr>
                <w:rFonts w:cstheme="minorHAnsi"/>
                <w:sz w:val="20"/>
                <w:szCs w:val="20"/>
              </w:rPr>
              <w:t>vwRefineryBatchMovementQuality, vwDistillateBatchQuality, vwDistillateBlendPotentialQuality, vwBlendComponentSupplyDemand</w:t>
            </w:r>
          </w:p>
        </w:tc>
        <w:tc>
          <w:tcPr>
            <w:tcW w:w="1405" w:type="dxa"/>
            <w:vAlign w:val="center"/>
          </w:tcPr>
          <w:p w14:paraId="4DDC01B7" w14:textId="77777777" w:rsidR="00672297" w:rsidRDefault="00A16EA3">
            <w:pPr>
              <w:spacing w:before="20" w:after="20"/>
              <w:jc w:val="left"/>
            </w:pPr>
            <w:r>
              <w:rPr>
                <w:rFonts w:cstheme="minorHAnsi"/>
                <w:sz w:val="20"/>
                <w:szCs w:val="20"/>
              </w:rPr>
              <w:t>IQDM database team</w:t>
            </w:r>
          </w:p>
        </w:tc>
      </w:tr>
      <w:tr w:rsidR="00672297" w14:paraId="2999D3B6" w14:textId="77777777">
        <w:trPr>
          <w:cantSplit/>
        </w:trPr>
        <w:tc>
          <w:tcPr>
            <w:tcW w:w="748" w:type="dxa"/>
            <w:vAlign w:val="center"/>
          </w:tcPr>
          <w:p w14:paraId="43053687" w14:textId="77777777" w:rsidR="00672297" w:rsidRDefault="00A16EA3">
            <w:pPr>
              <w:spacing w:before="20" w:after="20"/>
              <w:jc w:val="left"/>
            </w:pPr>
            <w:r>
              <w:rPr>
                <w:rFonts w:cstheme="minorHAnsi"/>
                <w:sz w:val="20"/>
                <w:szCs w:val="20"/>
              </w:rPr>
              <w:t>DP-05</w:t>
            </w:r>
          </w:p>
        </w:tc>
        <w:tc>
          <w:tcPr>
            <w:tcW w:w="4680" w:type="dxa"/>
            <w:vAlign w:val="center"/>
          </w:tcPr>
          <w:p w14:paraId="3A09AAA4" w14:textId="77777777" w:rsidR="00672297" w:rsidRDefault="00A16EA3">
            <w:pPr>
              <w:spacing w:before="20" w:after="20"/>
              <w:jc w:val="left"/>
            </w:pPr>
            <w:r>
              <w:rPr>
                <w:rFonts w:cstheme="minorHAnsi"/>
                <w:sz w:val="20"/>
                <w:szCs w:val="20"/>
              </w:rPr>
              <w:t>Rule that links the refinery APS batch (BATCH) to the terminal Kittyhawk batch identifier and the Towworks order line. The wireframes use the same batch ID end to end.</w:t>
            </w:r>
          </w:p>
        </w:tc>
        <w:tc>
          <w:tcPr>
            <w:tcW w:w="2527" w:type="dxa"/>
            <w:vAlign w:val="center"/>
          </w:tcPr>
          <w:p w14:paraId="1FE42800" w14:textId="77777777" w:rsidR="00672297" w:rsidRDefault="00A16EA3">
            <w:pPr>
              <w:spacing w:before="20" w:after="20"/>
              <w:jc w:val="left"/>
            </w:pPr>
            <w:r>
              <w:rPr>
                <w:rFonts w:cstheme="minorHAnsi"/>
                <w:sz w:val="20"/>
                <w:szCs w:val="20"/>
              </w:rPr>
              <w:t>all batch-level views</w:t>
            </w:r>
          </w:p>
        </w:tc>
        <w:tc>
          <w:tcPr>
            <w:tcW w:w="1405" w:type="dxa"/>
            <w:vAlign w:val="center"/>
          </w:tcPr>
          <w:p w14:paraId="0EDF5A59" w14:textId="77777777" w:rsidR="00672297" w:rsidRDefault="00A16EA3">
            <w:pPr>
              <w:spacing w:before="20" w:after="20"/>
              <w:jc w:val="left"/>
            </w:pPr>
            <w:r>
              <w:rPr>
                <w:rFonts w:cstheme="minorHAnsi"/>
                <w:sz w:val="20"/>
                <w:szCs w:val="20"/>
              </w:rPr>
              <w:t>VCB functional team</w:t>
            </w:r>
          </w:p>
        </w:tc>
      </w:tr>
      <w:tr w:rsidR="00672297" w14:paraId="33BA36CC" w14:textId="77777777">
        <w:trPr>
          <w:cantSplit/>
        </w:trPr>
        <w:tc>
          <w:tcPr>
            <w:tcW w:w="748" w:type="dxa"/>
            <w:vAlign w:val="center"/>
          </w:tcPr>
          <w:p w14:paraId="0D5BBC9F" w14:textId="77777777" w:rsidR="00672297" w:rsidRDefault="00A16EA3">
            <w:pPr>
              <w:spacing w:before="20" w:after="20"/>
              <w:jc w:val="left"/>
            </w:pPr>
            <w:r>
              <w:rPr>
                <w:rFonts w:cstheme="minorHAnsi"/>
                <w:sz w:val="20"/>
                <w:szCs w:val="20"/>
              </w:rPr>
              <w:t>DP-06</w:t>
            </w:r>
          </w:p>
        </w:tc>
        <w:tc>
          <w:tcPr>
            <w:tcW w:w="4680" w:type="dxa"/>
            <w:vAlign w:val="center"/>
          </w:tcPr>
          <w:p w14:paraId="135FC887" w14:textId="77777777" w:rsidR="00672297" w:rsidRDefault="00A16EA3">
            <w:pPr>
              <w:spacing w:before="20" w:after="20"/>
              <w:jc w:val="left"/>
            </w:pPr>
            <w:r>
              <w:rPr>
                <w:rFonts w:cstheme="minorHAnsi"/>
                <w:sz w:val="20"/>
                <w:szCs w:val="20"/>
              </w:rPr>
              <w:t>Rule that assigns the refinery certified tank quality to a batch (latest certification of the origin tank before the event start, as in the IQDM RVP dashboard).</w:t>
            </w:r>
          </w:p>
        </w:tc>
        <w:tc>
          <w:tcPr>
            <w:tcW w:w="2527" w:type="dxa"/>
            <w:vAlign w:val="center"/>
          </w:tcPr>
          <w:p w14:paraId="5C9C8F53" w14:textId="77777777" w:rsidR="00672297" w:rsidRDefault="00A16EA3">
            <w:pPr>
              <w:spacing w:before="20" w:after="20"/>
              <w:jc w:val="left"/>
            </w:pPr>
            <w:r>
              <w:rPr>
                <w:rFonts w:cstheme="minorHAnsi"/>
                <w:sz w:val="20"/>
                <w:szCs w:val="20"/>
              </w:rPr>
              <w:t>vwRefineryBatchMovementQuality, vwDistillateBatchQuality, vwDistillateBlendPotentialQuality</w:t>
            </w:r>
          </w:p>
        </w:tc>
        <w:tc>
          <w:tcPr>
            <w:tcW w:w="1405" w:type="dxa"/>
            <w:vAlign w:val="center"/>
          </w:tcPr>
          <w:p w14:paraId="7D334A66" w14:textId="77777777" w:rsidR="00672297" w:rsidRDefault="00A16EA3">
            <w:pPr>
              <w:spacing w:before="20" w:after="20"/>
              <w:jc w:val="left"/>
            </w:pPr>
            <w:r>
              <w:rPr>
                <w:rFonts w:cstheme="minorHAnsi"/>
                <w:sz w:val="20"/>
                <w:szCs w:val="20"/>
              </w:rPr>
              <w:t>VCB functional team</w:t>
            </w:r>
          </w:p>
        </w:tc>
      </w:tr>
      <w:tr w:rsidR="00672297" w14:paraId="357B9038" w14:textId="77777777">
        <w:trPr>
          <w:cantSplit/>
        </w:trPr>
        <w:tc>
          <w:tcPr>
            <w:tcW w:w="748" w:type="dxa"/>
            <w:vAlign w:val="center"/>
          </w:tcPr>
          <w:p w14:paraId="09D500D0" w14:textId="77777777" w:rsidR="00672297" w:rsidRDefault="00A16EA3">
            <w:pPr>
              <w:spacing w:before="20" w:after="20"/>
              <w:jc w:val="left"/>
            </w:pPr>
            <w:r>
              <w:rPr>
                <w:rFonts w:cstheme="minorHAnsi"/>
                <w:sz w:val="20"/>
                <w:szCs w:val="20"/>
              </w:rPr>
              <w:t>DP-07</w:t>
            </w:r>
          </w:p>
        </w:tc>
        <w:tc>
          <w:tcPr>
            <w:tcW w:w="4680" w:type="dxa"/>
            <w:vAlign w:val="center"/>
          </w:tcPr>
          <w:p w14:paraId="4B8CD0BA" w14:textId="77777777" w:rsidR="00672297" w:rsidRDefault="00A16EA3">
            <w:pPr>
              <w:spacing w:before="20" w:after="20"/>
              <w:jc w:val="left"/>
            </w:pPr>
            <w:r>
              <w:rPr>
                <w:rFonts w:cstheme="minorHAnsi"/>
                <w:sz w:val="20"/>
                <w:szCs w:val="20"/>
              </w:rPr>
              <w:t>Source, interface and frequency of the blend calculator (Seeq) output: component potential per batch and post-blend qualities.</w:t>
            </w:r>
          </w:p>
        </w:tc>
        <w:tc>
          <w:tcPr>
            <w:tcW w:w="2527" w:type="dxa"/>
            <w:vAlign w:val="center"/>
          </w:tcPr>
          <w:p w14:paraId="74304D01" w14:textId="77777777" w:rsidR="00672297" w:rsidRDefault="00A16EA3">
            <w:pPr>
              <w:spacing w:before="20" w:after="20"/>
              <w:jc w:val="left"/>
            </w:pPr>
            <w:r>
              <w:rPr>
                <w:rFonts w:cstheme="minorHAnsi"/>
                <w:sz w:val="20"/>
                <w:szCs w:val="20"/>
              </w:rPr>
              <w:t>Calculation inputs (blend potential), vwDistillateBlendPotentialQuality, vwBlendComponentSupplyDemand, vwGasolineBlendingKPI</w:t>
            </w:r>
          </w:p>
        </w:tc>
        <w:tc>
          <w:tcPr>
            <w:tcW w:w="1405" w:type="dxa"/>
            <w:vAlign w:val="center"/>
          </w:tcPr>
          <w:p w14:paraId="7C070C9B" w14:textId="77777777" w:rsidR="00672297" w:rsidRDefault="00A16EA3">
            <w:pPr>
              <w:spacing w:before="20" w:after="20"/>
              <w:jc w:val="left"/>
            </w:pPr>
            <w:r>
              <w:rPr>
                <w:rFonts w:cstheme="minorHAnsi"/>
                <w:sz w:val="20"/>
                <w:szCs w:val="20"/>
              </w:rPr>
              <w:t>VCB functional / integration team</w:t>
            </w:r>
          </w:p>
        </w:tc>
      </w:tr>
      <w:tr w:rsidR="00672297" w14:paraId="786B6382" w14:textId="77777777">
        <w:trPr>
          <w:cantSplit/>
        </w:trPr>
        <w:tc>
          <w:tcPr>
            <w:tcW w:w="748" w:type="dxa"/>
            <w:vAlign w:val="center"/>
          </w:tcPr>
          <w:p w14:paraId="60587C33" w14:textId="77777777" w:rsidR="00672297" w:rsidRDefault="00A16EA3">
            <w:pPr>
              <w:spacing w:before="20" w:after="20"/>
              <w:jc w:val="left"/>
            </w:pPr>
            <w:r>
              <w:rPr>
                <w:rFonts w:cstheme="minorHAnsi"/>
                <w:sz w:val="20"/>
                <w:szCs w:val="20"/>
              </w:rPr>
              <w:t>DP-08</w:t>
            </w:r>
          </w:p>
        </w:tc>
        <w:tc>
          <w:tcPr>
            <w:tcW w:w="4680" w:type="dxa"/>
            <w:vAlign w:val="center"/>
          </w:tcPr>
          <w:p w14:paraId="3DA191C9" w14:textId="77777777" w:rsidR="00672297" w:rsidRDefault="00A16EA3">
            <w:pPr>
              <w:spacing w:before="20" w:after="20"/>
              <w:jc w:val="left"/>
            </w:pPr>
            <w:r>
              <w:rPr>
                <w:rFonts w:cstheme="minorHAnsi"/>
                <w:sz w:val="20"/>
                <w:szCs w:val="20"/>
              </w:rPr>
              <w:t>Waiver Selection Interface (Blazor) persists approved quality waivers to the Specshop_quality_detail table (section Waiver Selection Interface). To confirm: the hosting database, column structure and keys of Specshop_quality_detail and its relationship to product_specification; the backend service / API and the stored procedures or commands between the Blazor front end and the table; how the VCB views read the approved waivers for specification resolution; and the create / update / delete and validity-overlap rules.</w:t>
            </w:r>
          </w:p>
        </w:tc>
        <w:tc>
          <w:tcPr>
            <w:tcW w:w="2527" w:type="dxa"/>
            <w:vAlign w:val="center"/>
          </w:tcPr>
          <w:p w14:paraId="7A629D04" w14:textId="77777777" w:rsidR="00672297" w:rsidRDefault="00A16EA3">
            <w:pPr>
              <w:spacing w:before="20" w:after="20"/>
              <w:jc w:val="left"/>
            </w:pPr>
            <w:r>
              <w:rPr>
                <w:rFonts w:cstheme="minorHAnsi"/>
                <w:sz w:val="20"/>
                <w:szCs w:val="20"/>
              </w:rPr>
              <w:t>Batch quality and KPI views (specification resolution)</w:t>
            </w:r>
          </w:p>
        </w:tc>
        <w:tc>
          <w:tcPr>
            <w:tcW w:w="1405" w:type="dxa"/>
            <w:vAlign w:val="center"/>
          </w:tcPr>
          <w:p w14:paraId="342E89DB" w14:textId="77777777" w:rsidR="00672297" w:rsidRDefault="00A16EA3">
            <w:pPr>
              <w:spacing w:before="20" w:after="20"/>
              <w:jc w:val="left"/>
            </w:pPr>
            <w:r>
              <w:rPr>
                <w:rFonts w:cstheme="minorHAnsi"/>
                <w:sz w:val="20"/>
                <w:szCs w:val="20"/>
              </w:rPr>
              <w:t>Corporate PQ / VCB functional team</w:t>
            </w:r>
          </w:p>
        </w:tc>
      </w:tr>
      <w:tr w:rsidR="00672297" w14:paraId="6C9B57AC" w14:textId="77777777">
        <w:trPr>
          <w:cantSplit/>
        </w:trPr>
        <w:tc>
          <w:tcPr>
            <w:tcW w:w="748" w:type="dxa"/>
            <w:vAlign w:val="center"/>
          </w:tcPr>
          <w:p w14:paraId="4AD560F8" w14:textId="77777777" w:rsidR="00672297" w:rsidRDefault="00A16EA3">
            <w:pPr>
              <w:spacing w:before="20" w:after="20"/>
              <w:jc w:val="left"/>
            </w:pPr>
            <w:r>
              <w:rPr>
                <w:rFonts w:cstheme="minorHAnsi"/>
                <w:sz w:val="20"/>
                <w:szCs w:val="20"/>
              </w:rPr>
              <w:t>DP-09</w:t>
            </w:r>
          </w:p>
        </w:tc>
        <w:tc>
          <w:tcPr>
            <w:tcW w:w="4680" w:type="dxa"/>
            <w:vAlign w:val="center"/>
          </w:tcPr>
          <w:p w14:paraId="76F5F5EA" w14:textId="77777777" w:rsidR="00672297" w:rsidRDefault="00A16EA3">
            <w:pPr>
              <w:spacing w:before="20" w:after="20"/>
              <w:jc w:val="left"/>
            </w:pPr>
            <w:r>
              <w:rPr>
                <w:rFonts w:cstheme="minorHAnsi"/>
                <w:sz w:val="20"/>
                <w:szCs w:val="20"/>
              </w:rPr>
              <w:t>Structure and source ("PQ Standard") of the terminal blending-capability flags and blend percentages.</w:t>
            </w:r>
          </w:p>
        </w:tc>
        <w:tc>
          <w:tcPr>
            <w:tcW w:w="2527" w:type="dxa"/>
            <w:vAlign w:val="center"/>
          </w:tcPr>
          <w:p w14:paraId="54E7FA75" w14:textId="77777777" w:rsidR="00672297" w:rsidRDefault="00A16EA3">
            <w:pPr>
              <w:spacing w:before="20" w:after="20"/>
              <w:jc w:val="left"/>
            </w:pPr>
            <w:r>
              <w:rPr>
                <w:rFonts w:cstheme="minorHAnsi"/>
                <w:sz w:val="20"/>
                <w:szCs w:val="20"/>
              </w:rPr>
              <w:t>vwBlendComponentSupplyDemand, vwDistillateBlendPotentialQuality</w:t>
            </w:r>
          </w:p>
        </w:tc>
        <w:tc>
          <w:tcPr>
            <w:tcW w:w="1405" w:type="dxa"/>
            <w:vAlign w:val="center"/>
          </w:tcPr>
          <w:p w14:paraId="62803C6F" w14:textId="77777777" w:rsidR="00672297" w:rsidRDefault="00A16EA3">
            <w:pPr>
              <w:spacing w:before="20" w:after="20"/>
              <w:jc w:val="left"/>
            </w:pPr>
            <w:r>
              <w:rPr>
                <w:rFonts w:cstheme="minorHAnsi"/>
                <w:sz w:val="20"/>
                <w:szCs w:val="20"/>
              </w:rPr>
              <w:t>VCB functional team</w:t>
            </w:r>
          </w:p>
        </w:tc>
      </w:tr>
      <w:tr w:rsidR="00672297" w14:paraId="36A505B9" w14:textId="77777777">
        <w:trPr>
          <w:cantSplit/>
        </w:trPr>
        <w:tc>
          <w:tcPr>
            <w:tcW w:w="748" w:type="dxa"/>
            <w:vAlign w:val="center"/>
          </w:tcPr>
          <w:p w14:paraId="1E7F4A29" w14:textId="77777777" w:rsidR="00672297" w:rsidRDefault="00A16EA3">
            <w:pPr>
              <w:spacing w:before="20" w:after="20"/>
              <w:jc w:val="left"/>
            </w:pPr>
            <w:r>
              <w:rPr>
                <w:rFonts w:cstheme="minorHAnsi"/>
                <w:sz w:val="20"/>
                <w:szCs w:val="20"/>
              </w:rPr>
              <w:t>DP-10</w:t>
            </w:r>
          </w:p>
        </w:tc>
        <w:tc>
          <w:tcPr>
            <w:tcW w:w="4680" w:type="dxa"/>
            <w:vAlign w:val="center"/>
          </w:tcPr>
          <w:p w14:paraId="144CD74C" w14:textId="77777777" w:rsidR="00672297" w:rsidRDefault="00A16EA3">
            <w:pPr>
              <w:spacing w:before="20" w:after="20"/>
              <w:jc w:val="left"/>
            </w:pPr>
            <w:r>
              <w:rPr>
                <w:rFonts w:cstheme="minorHAnsi"/>
                <w:sz w:val="20"/>
                <w:szCs w:val="20"/>
              </w:rPr>
              <w:t>Component blending values (wireframe: butane RON 94.8 / MON 89.7; transmix RON 14.9 / MON 15.8) and ethanol values.</w:t>
            </w:r>
          </w:p>
        </w:tc>
        <w:tc>
          <w:tcPr>
            <w:tcW w:w="2527" w:type="dxa"/>
            <w:vAlign w:val="center"/>
          </w:tcPr>
          <w:p w14:paraId="62EC2E43" w14:textId="77777777" w:rsidR="00672297" w:rsidRDefault="00A16EA3">
            <w:pPr>
              <w:spacing w:before="20" w:after="20"/>
              <w:jc w:val="left"/>
            </w:pPr>
            <w:r>
              <w:rPr>
                <w:rFonts w:cstheme="minorHAnsi"/>
                <w:sz w:val="20"/>
                <w:szCs w:val="20"/>
              </w:rPr>
              <w:t>vwDistillateBlendPotentialQuality</w:t>
            </w:r>
          </w:p>
        </w:tc>
        <w:tc>
          <w:tcPr>
            <w:tcW w:w="1405" w:type="dxa"/>
            <w:vAlign w:val="center"/>
          </w:tcPr>
          <w:p w14:paraId="19B7AE43" w14:textId="77777777" w:rsidR="00672297" w:rsidRDefault="00A16EA3">
            <w:pPr>
              <w:spacing w:before="20" w:after="20"/>
              <w:jc w:val="left"/>
            </w:pPr>
            <w:r>
              <w:rPr>
                <w:rFonts w:cstheme="minorHAnsi"/>
                <w:sz w:val="20"/>
                <w:szCs w:val="20"/>
              </w:rPr>
              <w:t>VCB functional team</w:t>
            </w:r>
          </w:p>
        </w:tc>
      </w:tr>
      <w:tr w:rsidR="00672297" w14:paraId="77A88000" w14:textId="77777777">
        <w:trPr>
          <w:cantSplit/>
        </w:trPr>
        <w:tc>
          <w:tcPr>
            <w:tcW w:w="748" w:type="dxa"/>
            <w:vAlign w:val="center"/>
          </w:tcPr>
          <w:p w14:paraId="73D96BB0" w14:textId="77777777" w:rsidR="00672297" w:rsidRDefault="00A16EA3">
            <w:pPr>
              <w:spacing w:before="20" w:after="20"/>
              <w:jc w:val="left"/>
            </w:pPr>
            <w:r>
              <w:rPr>
                <w:rFonts w:cstheme="minorHAnsi"/>
                <w:sz w:val="20"/>
                <w:szCs w:val="20"/>
              </w:rPr>
              <w:t>DP-11</w:t>
            </w:r>
          </w:p>
        </w:tc>
        <w:tc>
          <w:tcPr>
            <w:tcW w:w="4680" w:type="dxa"/>
            <w:vAlign w:val="center"/>
          </w:tcPr>
          <w:p w14:paraId="770524D6" w14:textId="77777777" w:rsidR="00672297" w:rsidRDefault="00A16EA3">
            <w:pPr>
              <w:spacing w:before="20" w:after="20"/>
              <w:jc w:val="left"/>
            </w:pPr>
            <w:r>
              <w:rPr>
                <w:rFonts w:cstheme="minorHAnsi"/>
                <w:sz w:val="20"/>
                <w:szCs w:val="20"/>
              </w:rPr>
              <w:t>Source of productAbbreviation (MPR join column) for every product and component, and the MPR fields / tags that price each product, component and distillate property.</w:t>
            </w:r>
          </w:p>
        </w:tc>
        <w:tc>
          <w:tcPr>
            <w:tcW w:w="2527" w:type="dxa"/>
            <w:vAlign w:val="center"/>
          </w:tcPr>
          <w:p w14:paraId="1B632725" w14:textId="77777777" w:rsidR="00672297" w:rsidRDefault="00A16EA3">
            <w:pPr>
              <w:spacing w:before="20" w:after="20"/>
              <w:jc w:val="left"/>
            </w:pPr>
            <w:r>
              <w:rPr>
                <w:rFonts w:cstheme="minorHAnsi"/>
                <w:sz w:val="20"/>
                <w:szCs w:val="20"/>
              </w:rPr>
              <w:t>vwGasolineBlendingKPI, vwDistillateBlendingKPI, MPR_Price</w:t>
            </w:r>
          </w:p>
        </w:tc>
        <w:tc>
          <w:tcPr>
            <w:tcW w:w="1405" w:type="dxa"/>
            <w:vAlign w:val="center"/>
          </w:tcPr>
          <w:p w14:paraId="45E18497" w14:textId="77777777" w:rsidR="00672297" w:rsidRDefault="00A16EA3">
            <w:pPr>
              <w:spacing w:before="20" w:after="20"/>
              <w:jc w:val="left"/>
            </w:pPr>
            <w:r>
              <w:rPr>
                <w:rFonts w:cstheme="minorHAnsi"/>
                <w:sz w:val="20"/>
                <w:szCs w:val="20"/>
              </w:rPr>
              <w:t>VCB functional / integration team</w:t>
            </w:r>
          </w:p>
        </w:tc>
      </w:tr>
      <w:tr w:rsidR="00672297" w14:paraId="1C23D763" w14:textId="77777777">
        <w:trPr>
          <w:cantSplit/>
        </w:trPr>
        <w:tc>
          <w:tcPr>
            <w:tcW w:w="748" w:type="dxa"/>
            <w:vAlign w:val="center"/>
          </w:tcPr>
          <w:p w14:paraId="16437677" w14:textId="77777777" w:rsidR="00672297" w:rsidRDefault="00A16EA3">
            <w:pPr>
              <w:spacing w:before="20" w:after="20"/>
              <w:jc w:val="left"/>
            </w:pPr>
            <w:r>
              <w:rPr>
                <w:rFonts w:cstheme="minorHAnsi"/>
                <w:sz w:val="20"/>
                <w:szCs w:val="20"/>
              </w:rPr>
              <w:t>DP-12</w:t>
            </w:r>
          </w:p>
        </w:tc>
        <w:tc>
          <w:tcPr>
            <w:tcW w:w="4680" w:type="dxa"/>
            <w:vAlign w:val="center"/>
          </w:tcPr>
          <w:p w14:paraId="35246D73" w14:textId="77777777" w:rsidR="00672297" w:rsidRDefault="00A16EA3">
            <w:pPr>
              <w:spacing w:before="20" w:after="20"/>
              <w:jc w:val="left"/>
            </w:pPr>
            <w:r>
              <w:rPr>
                <w:rFonts w:cstheme="minorHAnsi"/>
                <w:sz w:val="20"/>
                <w:szCs w:val="20"/>
              </w:rPr>
              <w:t>Supply action thresholds (wireframe: -1,000 bbl and 0 bbl).</w:t>
            </w:r>
          </w:p>
        </w:tc>
        <w:tc>
          <w:tcPr>
            <w:tcW w:w="2527" w:type="dxa"/>
            <w:vAlign w:val="center"/>
          </w:tcPr>
          <w:p w14:paraId="5187B3C9" w14:textId="77777777" w:rsidR="00672297" w:rsidRDefault="00A16EA3">
            <w:pPr>
              <w:spacing w:before="20" w:after="20"/>
              <w:jc w:val="left"/>
            </w:pPr>
            <w:r>
              <w:rPr>
                <w:rFonts w:cstheme="minorHAnsi"/>
                <w:sz w:val="20"/>
                <w:szCs w:val="20"/>
              </w:rPr>
              <w:t>vwBlendComponentSupplyDemand</w:t>
            </w:r>
          </w:p>
        </w:tc>
        <w:tc>
          <w:tcPr>
            <w:tcW w:w="1405" w:type="dxa"/>
            <w:vAlign w:val="center"/>
          </w:tcPr>
          <w:p w14:paraId="5E090C25" w14:textId="77777777" w:rsidR="00672297" w:rsidRDefault="00A16EA3">
            <w:pPr>
              <w:spacing w:before="20" w:after="20"/>
              <w:jc w:val="left"/>
            </w:pPr>
            <w:r>
              <w:rPr>
                <w:rFonts w:cstheme="minorHAnsi"/>
                <w:sz w:val="20"/>
                <w:szCs w:val="20"/>
              </w:rPr>
              <w:t>VCB functional team</w:t>
            </w:r>
          </w:p>
        </w:tc>
      </w:tr>
      <w:tr w:rsidR="00672297" w14:paraId="412DDE10" w14:textId="77777777">
        <w:trPr>
          <w:cantSplit/>
        </w:trPr>
        <w:tc>
          <w:tcPr>
            <w:tcW w:w="748" w:type="dxa"/>
            <w:vAlign w:val="center"/>
          </w:tcPr>
          <w:p w14:paraId="260AB2AE" w14:textId="77777777" w:rsidR="00672297" w:rsidRDefault="00A16EA3">
            <w:pPr>
              <w:spacing w:before="20" w:after="20"/>
              <w:jc w:val="left"/>
            </w:pPr>
            <w:r>
              <w:rPr>
                <w:rFonts w:cstheme="minorHAnsi"/>
                <w:sz w:val="20"/>
                <w:szCs w:val="20"/>
              </w:rPr>
              <w:t>DP-13</w:t>
            </w:r>
          </w:p>
        </w:tc>
        <w:tc>
          <w:tcPr>
            <w:tcW w:w="4680" w:type="dxa"/>
            <w:vAlign w:val="center"/>
          </w:tcPr>
          <w:p w14:paraId="03757C28" w14:textId="77777777" w:rsidR="00672297" w:rsidRDefault="00A16EA3">
            <w:pPr>
              <w:spacing w:before="20" w:after="20"/>
              <w:jc w:val="left"/>
            </w:pPr>
            <w:r>
              <w:rPr>
                <w:rFonts w:cstheme="minorHAnsi"/>
                <w:sz w:val="20"/>
                <w:szCs w:val="20"/>
              </w:rPr>
              <w:t>Precedence when the same quantity comes from two sources: Kittyhawk inventory vs PIAF net standard volume; PIAF flows vs transaction upload for actual blended volumes.</w:t>
            </w:r>
          </w:p>
        </w:tc>
        <w:tc>
          <w:tcPr>
            <w:tcW w:w="2527" w:type="dxa"/>
            <w:vAlign w:val="center"/>
          </w:tcPr>
          <w:p w14:paraId="4D28ADD2" w14:textId="77777777" w:rsidR="00672297" w:rsidRDefault="00A16EA3">
            <w:pPr>
              <w:spacing w:before="20" w:after="20"/>
              <w:jc w:val="left"/>
            </w:pPr>
            <w:r>
              <w:rPr>
                <w:rFonts w:cstheme="minorHAnsi"/>
                <w:sz w:val="20"/>
                <w:szCs w:val="20"/>
              </w:rPr>
              <w:t>vwBlendComponentSupplyDemand, vwGasolineBlendingKPI</w:t>
            </w:r>
          </w:p>
        </w:tc>
        <w:tc>
          <w:tcPr>
            <w:tcW w:w="1405" w:type="dxa"/>
            <w:vAlign w:val="center"/>
          </w:tcPr>
          <w:p w14:paraId="2CA14056" w14:textId="77777777" w:rsidR="00672297" w:rsidRDefault="00A16EA3">
            <w:pPr>
              <w:spacing w:before="20" w:after="20"/>
              <w:jc w:val="left"/>
            </w:pPr>
            <w:r>
              <w:rPr>
                <w:rFonts w:cstheme="minorHAnsi"/>
                <w:sz w:val="20"/>
                <w:szCs w:val="20"/>
              </w:rPr>
              <w:t>VCB functional team</w:t>
            </w:r>
          </w:p>
        </w:tc>
      </w:tr>
      <w:tr w:rsidR="00672297" w14:paraId="3EB07A2E" w14:textId="77777777">
        <w:trPr>
          <w:cantSplit/>
        </w:trPr>
        <w:tc>
          <w:tcPr>
            <w:tcW w:w="748" w:type="dxa"/>
            <w:vAlign w:val="center"/>
          </w:tcPr>
          <w:p w14:paraId="17ACD5D8" w14:textId="77777777" w:rsidR="00672297" w:rsidRDefault="00A16EA3">
            <w:pPr>
              <w:spacing w:before="20" w:after="20"/>
              <w:jc w:val="left"/>
            </w:pPr>
            <w:r>
              <w:rPr>
                <w:rFonts w:cstheme="minorHAnsi"/>
                <w:sz w:val="20"/>
                <w:szCs w:val="20"/>
              </w:rPr>
              <w:t>DP-14</w:t>
            </w:r>
          </w:p>
        </w:tc>
        <w:tc>
          <w:tcPr>
            <w:tcW w:w="4680" w:type="dxa"/>
            <w:vAlign w:val="center"/>
          </w:tcPr>
          <w:p w14:paraId="5C9484A0" w14:textId="77777777" w:rsidR="00672297" w:rsidRDefault="00A16EA3">
            <w:pPr>
              <w:spacing w:before="20" w:after="20"/>
              <w:jc w:val="left"/>
            </w:pPr>
            <w:r>
              <w:rPr>
                <w:rFonts w:cstheme="minorHAnsi"/>
                <w:sz w:val="20"/>
                <w:szCs w:val="20"/>
              </w:rPr>
              <w:t>State attribute of terminals (needed for Stage 1 of the specification resolution); the IQDM location table has no state column.</w:t>
            </w:r>
          </w:p>
        </w:tc>
        <w:tc>
          <w:tcPr>
            <w:tcW w:w="2527" w:type="dxa"/>
            <w:vAlign w:val="center"/>
          </w:tcPr>
          <w:p w14:paraId="48B0E111" w14:textId="77777777" w:rsidR="00672297" w:rsidRDefault="00A16EA3">
            <w:pPr>
              <w:spacing w:before="20" w:after="20"/>
              <w:jc w:val="left"/>
            </w:pPr>
            <w:r>
              <w:rPr>
                <w:rFonts w:cstheme="minorHAnsi"/>
                <w:sz w:val="20"/>
                <w:szCs w:val="20"/>
              </w:rPr>
              <w:t>batch quality and KPI views (specification resolution)</w:t>
            </w:r>
          </w:p>
        </w:tc>
        <w:tc>
          <w:tcPr>
            <w:tcW w:w="1405" w:type="dxa"/>
            <w:vAlign w:val="center"/>
          </w:tcPr>
          <w:p w14:paraId="44B71514" w14:textId="77777777" w:rsidR="00672297" w:rsidRDefault="00A16EA3">
            <w:pPr>
              <w:spacing w:before="20" w:after="20"/>
              <w:jc w:val="left"/>
            </w:pPr>
            <w:r>
              <w:rPr>
                <w:rFonts w:cstheme="minorHAnsi"/>
                <w:sz w:val="20"/>
                <w:szCs w:val="20"/>
              </w:rPr>
              <w:t>Profisee / IQDM team</w:t>
            </w:r>
          </w:p>
        </w:tc>
      </w:tr>
      <w:tr w:rsidR="00672297" w14:paraId="222916E9" w14:textId="77777777">
        <w:trPr>
          <w:cantSplit/>
        </w:trPr>
        <w:tc>
          <w:tcPr>
            <w:tcW w:w="748" w:type="dxa"/>
            <w:vAlign w:val="center"/>
          </w:tcPr>
          <w:p w14:paraId="134C0F5B" w14:textId="77777777" w:rsidR="00672297" w:rsidRDefault="00A16EA3">
            <w:pPr>
              <w:spacing w:before="20" w:after="20"/>
              <w:jc w:val="left"/>
            </w:pPr>
            <w:r>
              <w:rPr>
                <w:rFonts w:cstheme="minorHAnsi"/>
                <w:sz w:val="20"/>
                <w:szCs w:val="20"/>
              </w:rPr>
              <w:t>DP-15</w:t>
            </w:r>
          </w:p>
        </w:tc>
        <w:tc>
          <w:tcPr>
            <w:tcW w:w="4680" w:type="dxa"/>
            <w:vAlign w:val="center"/>
          </w:tcPr>
          <w:p w14:paraId="67F5C4F6" w14:textId="77777777" w:rsidR="00672297" w:rsidRDefault="00A16EA3">
            <w:pPr>
              <w:spacing w:before="20" w:after="20"/>
              <w:jc w:val="left"/>
            </w:pPr>
            <w:r>
              <w:rPr>
                <w:rFonts w:cstheme="minorHAnsi"/>
                <w:sz w:val="20"/>
                <w:szCs w:val="20"/>
              </w:rPr>
              <w:t>Source of the product group and grade classification of materials (Gasoline / Distillate / Blend Component).</w:t>
            </w:r>
          </w:p>
        </w:tc>
        <w:tc>
          <w:tcPr>
            <w:tcW w:w="2527" w:type="dxa"/>
            <w:vAlign w:val="center"/>
          </w:tcPr>
          <w:p w14:paraId="5A920654" w14:textId="77777777" w:rsidR="00672297" w:rsidRDefault="00A16EA3">
            <w:pPr>
              <w:spacing w:before="20" w:after="20"/>
              <w:jc w:val="left"/>
            </w:pPr>
            <w:r>
              <w:rPr>
                <w:rFonts w:cstheme="minorHAnsi"/>
                <w:sz w:val="20"/>
                <w:szCs w:val="20"/>
              </w:rPr>
              <w:t>all views (ProductGroup, Grade)</w:t>
            </w:r>
          </w:p>
        </w:tc>
        <w:tc>
          <w:tcPr>
            <w:tcW w:w="1405" w:type="dxa"/>
            <w:vAlign w:val="center"/>
          </w:tcPr>
          <w:p w14:paraId="2F09B31C" w14:textId="77777777" w:rsidR="00672297" w:rsidRDefault="00A16EA3">
            <w:pPr>
              <w:spacing w:before="20" w:after="20"/>
              <w:jc w:val="left"/>
            </w:pPr>
            <w:r>
              <w:rPr>
                <w:rFonts w:cstheme="minorHAnsi"/>
                <w:sz w:val="20"/>
                <w:szCs w:val="20"/>
              </w:rPr>
              <w:t>Profisee / VCB functional team</w:t>
            </w:r>
          </w:p>
        </w:tc>
      </w:tr>
      <w:tr w:rsidR="00672297" w14:paraId="0B2859EC" w14:textId="77777777">
        <w:trPr>
          <w:cantSplit/>
        </w:trPr>
        <w:tc>
          <w:tcPr>
            <w:tcW w:w="748" w:type="dxa"/>
            <w:vAlign w:val="center"/>
          </w:tcPr>
          <w:p w14:paraId="1D60A50A" w14:textId="77777777" w:rsidR="00672297" w:rsidRDefault="00A16EA3">
            <w:pPr>
              <w:spacing w:before="20" w:after="20"/>
              <w:jc w:val="left"/>
            </w:pPr>
            <w:r>
              <w:rPr>
                <w:rFonts w:cstheme="minorHAnsi"/>
                <w:sz w:val="20"/>
                <w:szCs w:val="20"/>
              </w:rPr>
              <w:t>DP-16</w:t>
            </w:r>
          </w:p>
        </w:tc>
        <w:tc>
          <w:tcPr>
            <w:tcW w:w="4680" w:type="dxa"/>
            <w:vAlign w:val="center"/>
          </w:tcPr>
          <w:p w14:paraId="1FA8338C" w14:textId="77777777" w:rsidR="00672297" w:rsidRDefault="00A16EA3">
            <w:pPr>
              <w:spacing w:before="20" w:after="20"/>
              <w:jc w:val="left"/>
            </w:pPr>
            <w:r>
              <w:rPr>
                <w:rFonts w:cstheme="minorHAnsi"/>
                <w:sz w:val="20"/>
                <w:szCs w:val="20"/>
              </w:rPr>
              <w:t>Definition of the Delivered status and of the forward horizon of the Supply position (the wireframe shows 12 days).</w:t>
            </w:r>
          </w:p>
        </w:tc>
        <w:tc>
          <w:tcPr>
            <w:tcW w:w="2527" w:type="dxa"/>
            <w:vAlign w:val="center"/>
          </w:tcPr>
          <w:p w14:paraId="12CE3D35" w14:textId="77777777" w:rsidR="00672297" w:rsidRDefault="00A16EA3">
            <w:pPr>
              <w:spacing w:before="20" w:after="20"/>
              <w:jc w:val="left"/>
            </w:pPr>
            <w:r>
              <w:rPr>
                <w:rFonts w:cstheme="minorHAnsi"/>
                <w:sz w:val="20"/>
                <w:szCs w:val="20"/>
              </w:rPr>
              <w:t>batch views (BatchStatus), vwBlendComponentSupplyDemand</w:t>
            </w:r>
          </w:p>
        </w:tc>
        <w:tc>
          <w:tcPr>
            <w:tcW w:w="1405" w:type="dxa"/>
            <w:vAlign w:val="center"/>
          </w:tcPr>
          <w:p w14:paraId="0D0EC857" w14:textId="77777777" w:rsidR="00672297" w:rsidRDefault="00A16EA3">
            <w:pPr>
              <w:spacing w:before="20" w:after="20"/>
              <w:jc w:val="left"/>
            </w:pPr>
            <w:r>
              <w:rPr>
                <w:rFonts w:cstheme="minorHAnsi"/>
                <w:sz w:val="20"/>
                <w:szCs w:val="20"/>
              </w:rPr>
              <w:t>VCB functional team</w:t>
            </w:r>
          </w:p>
        </w:tc>
      </w:tr>
      <w:tr w:rsidR="00672297" w14:paraId="41BE0489" w14:textId="77777777">
        <w:trPr>
          <w:cantSplit/>
        </w:trPr>
        <w:tc>
          <w:tcPr>
            <w:tcW w:w="748" w:type="dxa"/>
            <w:vAlign w:val="center"/>
          </w:tcPr>
          <w:p w14:paraId="260E5B92" w14:textId="77777777" w:rsidR="00672297" w:rsidRDefault="00A16EA3">
            <w:pPr>
              <w:spacing w:before="20" w:after="20"/>
              <w:jc w:val="left"/>
            </w:pPr>
            <w:r>
              <w:rPr>
                <w:rFonts w:cstheme="minorHAnsi"/>
                <w:sz w:val="20"/>
                <w:szCs w:val="20"/>
              </w:rPr>
              <w:t>DP-17</w:t>
            </w:r>
          </w:p>
        </w:tc>
        <w:tc>
          <w:tcPr>
            <w:tcW w:w="4680" w:type="dxa"/>
            <w:vAlign w:val="center"/>
          </w:tcPr>
          <w:p w14:paraId="0FDBC9A8" w14:textId="08AA3D03" w:rsidR="00672297" w:rsidRDefault="000A106D">
            <w:pPr>
              <w:spacing w:before="20" w:after="20"/>
              <w:jc w:val="left"/>
            </w:pPr>
            <w:r>
              <w:rPr>
                <w:rFonts w:cstheme="minorHAnsi"/>
                <w:sz w:val="20"/>
                <w:szCs w:val="20"/>
              </w:rPr>
              <w:t>Integration run time (</w:t>
            </w:r>
            <w:r w:rsidR="008A4F32">
              <w:rPr>
                <w:rFonts w:cstheme="minorHAnsi"/>
                <w:sz w:val="20"/>
                <w:szCs w:val="20"/>
              </w:rPr>
              <w:t xml:space="preserve">"a specified time") of the </w:t>
            </w:r>
            <w:r>
              <w:rPr>
                <w:rFonts w:cstheme="minorHAnsi"/>
                <w:sz w:val="20"/>
                <w:szCs w:val="20"/>
              </w:rPr>
              <w:t>transaction upload integration</w:t>
            </w:r>
            <w:r w:rsidR="008A4F32">
              <w:rPr>
                <w:rFonts w:cstheme="minorHAnsi"/>
                <w:sz w:val="20"/>
                <w:szCs w:val="20"/>
              </w:rPr>
              <w:t>.</w:t>
            </w:r>
          </w:p>
        </w:tc>
        <w:tc>
          <w:tcPr>
            <w:tcW w:w="2527" w:type="dxa"/>
            <w:vAlign w:val="center"/>
          </w:tcPr>
          <w:p w14:paraId="7DD3EECB" w14:textId="77777777" w:rsidR="00672297" w:rsidRDefault="00A16EA3">
            <w:pPr>
              <w:spacing w:before="20" w:after="20"/>
              <w:jc w:val="left"/>
            </w:pPr>
            <w:r>
              <w:rPr>
                <w:rFonts w:cstheme="minorHAnsi"/>
                <w:sz w:val="20"/>
                <w:szCs w:val="20"/>
              </w:rPr>
              <w:t>Refresh dependencies</w:t>
            </w:r>
          </w:p>
        </w:tc>
        <w:tc>
          <w:tcPr>
            <w:tcW w:w="1405" w:type="dxa"/>
            <w:vAlign w:val="center"/>
          </w:tcPr>
          <w:p w14:paraId="467CEDDD" w14:textId="77777777" w:rsidR="00672297" w:rsidRDefault="00A16EA3">
            <w:pPr>
              <w:spacing w:before="20" w:after="20"/>
              <w:jc w:val="left"/>
            </w:pPr>
            <w:r>
              <w:rPr>
                <w:rFonts w:cstheme="minorHAnsi"/>
                <w:sz w:val="20"/>
                <w:szCs w:val="20"/>
              </w:rPr>
              <w:t>Integration team</w:t>
            </w:r>
          </w:p>
        </w:tc>
      </w:tr>
      <w:tr w:rsidR="00672297" w14:paraId="0F89675A" w14:textId="77777777">
        <w:trPr>
          <w:cantSplit/>
        </w:trPr>
        <w:tc>
          <w:tcPr>
            <w:tcW w:w="748" w:type="dxa"/>
            <w:vAlign w:val="center"/>
          </w:tcPr>
          <w:p w14:paraId="31C0E006" w14:textId="77777777" w:rsidR="00672297" w:rsidRDefault="00A16EA3">
            <w:pPr>
              <w:spacing w:before="20" w:after="20"/>
              <w:jc w:val="left"/>
            </w:pPr>
            <w:r>
              <w:rPr>
                <w:rFonts w:cstheme="minorHAnsi"/>
                <w:sz w:val="20"/>
                <w:szCs w:val="20"/>
              </w:rPr>
              <w:t>DP-18</w:t>
            </w:r>
          </w:p>
        </w:tc>
        <w:tc>
          <w:tcPr>
            <w:tcW w:w="4680" w:type="dxa"/>
            <w:vAlign w:val="center"/>
          </w:tcPr>
          <w:p w14:paraId="4F5F215E" w14:textId="77777777" w:rsidR="00672297" w:rsidRDefault="00A16EA3">
            <w:pPr>
              <w:spacing w:before="20" w:after="20"/>
              <w:jc w:val="left"/>
            </w:pPr>
            <w:r>
              <w:rPr>
                <w:rFonts w:cstheme="minorHAnsi"/>
                <w:sz w:val="20"/>
                <w:szCs w:val="20"/>
              </w:rPr>
              <w:t>Initial historical backfill of the VCB tables at go-live.</w:t>
            </w:r>
          </w:p>
        </w:tc>
        <w:tc>
          <w:tcPr>
            <w:tcW w:w="2527" w:type="dxa"/>
            <w:vAlign w:val="center"/>
          </w:tcPr>
          <w:p w14:paraId="0F8FEF2A" w14:textId="77777777" w:rsidR="00672297" w:rsidRDefault="00A16EA3">
            <w:pPr>
              <w:spacing w:before="20" w:after="20"/>
              <w:jc w:val="left"/>
            </w:pPr>
            <w:r>
              <w:rPr>
                <w:rFonts w:cstheme="minorHAnsi"/>
                <w:sz w:val="20"/>
                <w:szCs w:val="20"/>
              </w:rPr>
              <w:t>VCB_blend_component_detail, VCB_blend_component_movement</w:t>
            </w:r>
          </w:p>
        </w:tc>
        <w:tc>
          <w:tcPr>
            <w:tcW w:w="1405" w:type="dxa"/>
            <w:vAlign w:val="center"/>
          </w:tcPr>
          <w:p w14:paraId="1FD6D3D5" w14:textId="77777777" w:rsidR="00672297" w:rsidRDefault="00A16EA3">
            <w:pPr>
              <w:spacing w:before="20" w:after="20"/>
              <w:jc w:val="left"/>
            </w:pPr>
            <w:r>
              <w:rPr>
                <w:rFonts w:cstheme="minorHAnsi"/>
                <w:sz w:val="20"/>
                <w:szCs w:val="20"/>
              </w:rPr>
              <w:t>VCB functional / integration team</w:t>
            </w:r>
          </w:p>
        </w:tc>
      </w:tr>
    </w:tbl>
    <w:p w14:paraId="254E9A6C" w14:textId="4BBBB259" w:rsidR="00672297" w:rsidRDefault="00A16EA3">
      <w:pPr>
        <w:pStyle w:val="Caption"/>
      </w:pPr>
      <w:bookmarkStart w:id="431" w:name="_Toc900900048"/>
      <w:bookmarkStart w:id="432" w:name="_Toc241574689"/>
      <w:bookmarkStart w:id="433" w:name="_Toc242554073"/>
      <w:r>
        <w:t xml:space="preserve">Table </w:t>
      </w:r>
      <w:r>
        <w:fldChar w:fldCharType="begin"/>
      </w:r>
      <w:r>
        <w:instrText>STYLEREF 1 \s</w:instrText>
      </w:r>
      <w:r>
        <w:fldChar w:fldCharType="separate"/>
      </w:r>
      <w:r w:rsidR="00FC42E7">
        <w:rPr>
          <w:noProof/>
        </w:rPr>
        <w:t>3</w:t>
      </w:r>
      <w:r>
        <w:fldChar w:fldCharType="end"/>
      </w:r>
      <w:r>
        <w:t>-</w:t>
      </w:r>
      <w:r>
        <w:fldChar w:fldCharType="begin"/>
      </w:r>
      <w:r>
        <w:instrText>SEQ Table \* ARABIC \s 1</w:instrText>
      </w:r>
      <w:r>
        <w:fldChar w:fldCharType="separate"/>
      </w:r>
      <w:r w:rsidR="00FC42E7">
        <w:rPr>
          <w:noProof/>
        </w:rPr>
        <w:t>20</w:t>
      </w:r>
      <w:r>
        <w:fldChar w:fldCharType="end"/>
      </w:r>
      <w:r>
        <w:t>: Data Platform Gaps Requiring Confirmation</w:t>
      </w:r>
      <w:bookmarkEnd w:id="431"/>
      <w:bookmarkEnd w:id="432"/>
      <w:bookmarkEnd w:id="433"/>
    </w:p>
    <w:p w14:paraId="7D4C6E35" w14:textId="113DC19E" w:rsidR="00C31100" w:rsidRPr="00E83BEF" w:rsidRDefault="31E9745B" w:rsidP="009D2759">
      <w:pPr>
        <w:pStyle w:val="Heading1"/>
        <w:jc w:val="left"/>
        <w:rPr>
          <w:rFonts w:asciiTheme="minorHAnsi" w:hAnsiTheme="minorHAnsi" w:cstheme="minorBidi"/>
          <w:sz w:val="20"/>
          <w:szCs w:val="20"/>
        </w:rPr>
      </w:pPr>
      <w:bookmarkStart w:id="434" w:name="_Toc241574336"/>
      <w:bookmarkStart w:id="435" w:name="_Toc242553958"/>
      <w:r w:rsidRPr="7F6E7DEF">
        <w:rPr>
          <w:rFonts w:asciiTheme="minorHAnsi" w:hAnsiTheme="minorHAnsi" w:cstheme="minorBidi"/>
          <w:sz w:val="20"/>
          <w:szCs w:val="20"/>
        </w:rPr>
        <w:t>Reports and dashboards</w:t>
      </w:r>
      <w:bookmarkEnd w:id="434"/>
      <w:bookmarkEnd w:id="435"/>
    </w:p>
    <w:p w14:paraId="5386F9F3" w14:textId="77777777" w:rsidR="00672297" w:rsidRDefault="00A16EA3">
      <w:pPr>
        <w:pStyle w:val="Heading2"/>
        <w:rPr>
          <w:rFonts w:asciiTheme="minorHAnsi" w:hAnsiTheme="minorHAnsi" w:cstheme="minorBidi"/>
          <w:sz w:val="20"/>
          <w:szCs w:val="20"/>
        </w:rPr>
      </w:pPr>
      <w:bookmarkStart w:id="436" w:name="_Toc241574337"/>
      <w:bookmarkStart w:id="437" w:name="_Toc242553959"/>
      <w:r>
        <w:rPr>
          <w:rFonts w:asciiTheme="minorHAnsi" w:hAnsiTheme="minorHAnsi" w:cstheme="minorBidi"/>
          <w:sz w:val="20"/>
          <w:szCs w:val="20"/>
        </w:rPr>
        <w:t>Scope</w:t>
      </w:r>
      <w:bookmarkEnd w:id="436"/>
      <w:bookmarkEnd w:id="437"/>
    </w:p>
    <w:p w14:paraId="7C2FBB83" w14:textId="77777777" w:rsidR="00672297" w:rsidRDefault="00A16EA3">
      <w:pPr>
        <w:pStyle w:val="Heading3"/>
        <w:rPr>
          <w:rFonts w:asciiTheme="minorHAnsi" w:hAnsiTheme="minorHAnsi" w:cstheme="minorBidi"/>
          <w:sz w:val="20"/>
          <w:szCs w:val="20"/>
        </w:rPr>
      </w:pPr>
      <w:bookmarkStart w:id="438" w:name="_Toc241574338"/>
      <w:bookmarkStart w:id="439" w:name="_Toc242553960"/>
      <w:r>
        <w:rPr>
          <w:rFonts w:asciiTheme="minorHAnsi" w:hAnsiTheme="minorHAnsi" w:cstheme="minorBidi"/>
          <w:sz w:val="20"/>
          <w:szCs w:val="20"/>
        </w:rPr>
        <w:t>In Scope</w:t>
      </w:r>
      <w:bookmarkEnd w:id="438"/>
      <w:bookmarkEnd w:id="439"/>
    </w:p>
    <w:p w14:paraId="4E39816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Power BI semantic model (dataset) of VCB on the IQDM database: tables, relationships, Power Query transformations and DAX measures.</w:t>
      </w:r>
    </w:p>
    <w:p w14:paraId="0F274815"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The six Release 1 dashboards - Refinery-Wide (Gasoline &amp; Distillate), Blending Potential, Distillate, Supply, Gasoline KPI and Distillate KPI - and the reserved placeholder dashboard: report pages, visuals, fields, filters and interactions.</w:t>
      </w:r>
    </w:p>
    <w:p w14:paraId="71050F6A"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Data transformations and calculations (KPI logic, specification resolution, give-away and value loss).</w:t>
      </w:r>
    </w:p>
    <w:p w14:paraId="6A2D41C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Security and access control (workspace, app audiences, row-level security assessment).</w:t>
      </w:r>
    </w:p>
    <w:p w14:paraId="65415B43"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Refresh, data dependencies, performance, deployment and testing.</w:t>
      </w:r>
    </w:p>
    <w:p w14:paraId="17570FBB" w14:textId="77777777" w:rsidR="00672297" w:rsidRDefault="00A16EA3">
      <w:pPr>
        <w:pStyle w:val="Heading3"/>
        <w:rPr>
          <w:rFonts w:asciiTheme="minorHAnsi" w:hAnsiTheme="minorHAnsi" w:cstheme="minorBidi"/>
          <w:sz w:val="20"/>
          <w:szCs w:val="20"/>
        </w:rPr>
      </w:pPr>
      <w:bookmarkStart w:id="440" w:name="_Toc241574339"/>
      <w:bookmarkStart w:id="441" w:name="_Toc242553961"/>
      <w:r>
        <w:rPr>
          <w:rFonts w:asciiTheme="minorHAnsi" w:hAnsiTheme="minorHAnsi" w:cstheme="minorBidi"/>
          <w:sz w:val="20"/>
          <w:szCs w:val="20"/>
        </w:rPr>
        <w:t>Out of Scope</w:t>
      </w:r>
      <w:bookmarkEnd w:id="440"/>
      <w:bookmarkEnd w:id="441"/>
    </w:p>
    <w:p w14:paraId="02032C1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Source system data validation and correction.</w:t>
      </w:r>
    </w:p>
    <w:p w14:paraId="4EC00A55" w14:textId="63E6CC56" w:rsidR="00672297" w:rsidRDefault="000A106D" w:rsidP="00652CF3">
      <w:pPr>
        <w:pStyle w:val="ListParagraph"/>
        <w:numPr>
          <w:ilvl w:val="0"/>
          <w:numId w:val="5"/>
        </w:numPr>
        <w:jc w:val="left"/>
        <w:rPr>
          <w:rFonts w:cstheme="minorHAnsi"/>
          <w:sz w:val="20"/>
          <w:szCs w:val="20"/>
        </w:rPr>
      </w:pPr>
      <w:r>
        <w:rPr>
          <w:rFonts w:cstheme="minorHAnsi"/>
          <w:sz w:val="20"/>
          <w:szCs w:val="20"/>
        </w:rPr>
        <w:t>Upstream ETL / integration design (chapter 2)</w:t>
      </w:r>
      <w:r w:rsidR="00A16EA3">
        <w:rPr>
          <w:rFonts w:cstheme="minorHAnsi"/>
          <w:sz w:val="20"/>
          <w:szCs w:val="20"/>
        </w:rPr>
        <w:t xml:space="preserve"> and database object design (chapter 3), except where the dashboards depend on them.</w:t>
      </w:r>
    </w:p>
    <w:p w14:paraId="385948C1"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Maintenance of master data in Profisee and of the specification master Excel.</w:t>
      </w:r>
    </w:p>
    <w:p w14:paraId="5448F7D8" w14:textId="77777777" w:rsidR="00672297" w:rsidRDefault="00A16EA3">
      <w:pPr>
        <w:pStyle w:val="Heading2"/>
        <w:rPr>
          <w:rFonts w:asciiTheme="minorHAnsi" w:hAnsiTheme="minorHAnsi" w:cstheme="minorBidi"/>
          <w:sz w:val="20"/>
          <w:szCs w:val="20"/>
        </w:rPr>
      </w:pPr>
      <w:bookmarkStart w:id="442" w:name="_Toc241574340"/>
      <w:bookmarkStart w:id="443" w:name="_Toc242553962"/>
      <w:r>
        <w:rPr>
          <w:rFonts w:asciiTheme="minorHAnsi" w:hAnsiTheme="minorHAnsi" w:cstheme="minorBidi"/>
          <w:sz w:val="20"/>
          <w:szCs w:val="20"/>
        </w:rPr>
        <w:t>Assumptions</w:t>
      </w:r>
      <w:bookmarkEnd w:id="442"/>
      <w:bookmarkEnd w:id="443"/>
    </w:p>
    <w:p w14:paraId="0E58EA3F"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Data Availability: the IQDM database (SQL Server) is available and the IQDM and VCB loads complete daily before the scheduled refresh of the semantic model.</w:t>
      </w:r>
    </w:p>
    <w:p w14:paraId="041F1F06"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Data Accuracy: source data is considered accurate unless flagged by the data validation rules of chapter 3.</w:t>
      </w:r>
    </w:p>
    <w:p w14:paraId="38F5DC2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Access &amp; Licensing: all end users have a valid Power BI Pro / Premium Per User licence, or the workspace is hosted on Premium / Fabric capacity.</w:t>
      </w:r>
    </w:p>
    <w:p w14:paraId="4B0ACB9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User Training: users are familiar with Power BI functionality (slicers, drill-down, drill-through, export, subscriptions).</w:t>
      </w:r>
    </w:p>
    <w:p w14:paraId="7831EF8B"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Units: all volumes are reported in barrels (bbl), temperatures in °F, sulphur in ppm and viscosity in cSt, as in the wireframes. Times are shown in the local time of the terminal or refinery.</w:t>
      </w:r>
    </w:p>
    <w:p w14:paraId="2EBF997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Scope: the dashboards show the North Region refineries (Robinson, Catlettsburg, Detroit, Canton) and their terminals. Terminals outside the North Region that appear in the Wireframes Mock Data (for example Boise, Tampa, Selma, Nashville) are illustrative only and are excluded by the Region filter.</w:t>
      </w:r>
    </w:p>
    <w:p w14:paraId="076F285A"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The Wireframes Mock Data workbook is the reference for the fields, column order, card layout and calculation logic of each dashboard; where the workbook and the functional text differ, the difference is noted in the dashboard section and in the gaps table.</w:t>
      </w:r>
    </w:p>
    <w:p w14:paraId="4E6BA810" w14:textId="77777777" w:rsidR="00672297" w:rsidRDefault="00A16EA3">
      <w:pPr>
        <w:pStyle w:val="Heading2"/>
        <w:rPr>
          <w:rFonts w:asciiTheme="minorHAnsi" w:hAnsiTheme="minorHAnsi" w:cstheme="minorBidi"/>
          <w:sz w:val="20"/>
          <w:szCs w:val="20"/>
        </w:rPr>
      </w:pPr>
      <w:bookmarkStart w:id="444" w:name="_Toc241574341"/>
      <w:bookmarkStart w:id="445" w:name="_Toc242553963"/>
      <w:r>
        <w:rPr>
          <w:rFonts w:asciiTheme="minorHAnsi" w:hAnsiTheme="minorHAnsi" w:cstheme="minorBidi"/>
          <w:sz w:val="20"/>
          <w:szCs w:val="20"/>
        </w:rPr>
        <w:t>Objective</w:t>
      </w:r>
      <w:bookmarkEnd w:id="444"/>
      <w:bookmarkEnd w:id="445"/>
    </w:p>
    <w:p w14:paraId="131B3D77" w14:textId="77777777" w:rsidR="00672297" w:rsidRDefault="00A16EA3">
      <w:pPr>
        <w:rPr>
          <w:rFonts w:cstheme="minorHAnsi"/>
          <w:sz w:val="20"/>
          <w:szCs w:val="20"/>
        </w:rPr>
      </w:pPr>
      <w:r>
        <w:rPr>
          <w:rFonts w:cstheme="minorHAnsi"/>
          <w:sz w:val="20"/>
          <w:szCs w:val="20"/>
        </w:rPr>
        <w:t>The business requires blending visibility and KPI dashboards for the North Region refineries and terminals, to support near-term blending decisions and to quantify quality give-away and value loss for continuous improvement. The objective of each dashboard is:</w:t>
      </w:r>
    </w:p>
    <w:tbl>
      <w:tblPr>
        <w:tblStyle w:val="TableGrid"/>
        <w:tblW w:w="9360" w:type="dxa"/>
        <w:tblLayout w:type="fixed"/>
        <w:tblCellMar>
          <w:left w:w="70" w:type="dxa"/>
          <w:right w:w="70" w:type="dxa"/>
        </w:tblCellMar>
        <w:tblLook w:val="04A0" w:firstRow="1" w:lastRow="0" w:firstColumn="1" w:lastColumn="0" w:noHBand="0" w:noVBand="1"/>
      </w:tblPr>
      <w:tblGrid>
        <w:gridCol w:w="1684"/>
        <w:gridCol w:w="1497"/>
        <w:gridCol w:w="3556"/>
        <w:gridCol w:w="2623"/>
      </w:tblGrid>
      <w:tr w:rsidR="00672297" w14:paraId="3A6A6356" w14:textId="77777777">
        <w:trPr>
          <w:cantSplit/>
          <w:tblHeader/>
        </w:trPr>
        <w:tc>
          <w:tcPr>
            <w:tcW w:w="1684" w:type="dxa"/>
            <w:shd w:val="clear" w:color="auto" w:fill="2F5496"/>
            <w:vAlign w:val="center"/>
          </w:tcPr>
          <w:p w14:paraId="1711B4EE" w14:textId="77777777" w:rsidR="00672297" w:rsidRDefault="00A16EA3">
            <w:pPr>
              <w:spacing w:before="20" w:after="20"/>
              <w:jc w:val="left"/>
            </w:pPr>
            <w:r>
              <w:rPr>
                <w:rFonts w:cstheme="minorHAnsi"/>
                <w:b/>
                <w:bCs/>
                <w:color w:val="FFFFFF"/>
                <w:sz w:val="20"/>
                <w:szCs w:val="20"/>
              </w:rPr>
              <w:t>Dashboard</w:t>
            </w:r>
          </w:p>
        </w:tc>
        <w:tc>
          <w:tcPr>
            <w:tcW w:w="1497" w:type="dxa"/>
            <w:shd w:val="clear" w:color="auto" w:fill="2F5496"/>
            <w:vAlign w:val="center"/>
          </w:tcPr>
          <w:p w14:paraId="1D56D8DE" w14:textId="77777777" w:rsidR="00672297" w:rsidRDefault="00A16EA3">
            <w:pPr>
              <w:spacing w:before="20" w:after="20"/>
              <w:jc w:val="left"/>
            </w:pPr>
            <w:r>
              <w:rPr>
                <w:rFonts w:cstheme="minorHAnsi"/>
                <w:b/>
                <w:bCs/>
                <w:color w:val="FFFFFF"/>
                <w:sz w:val="20"/>
                <w:szCs w:val="20"/>
              </w:rPr>
              <w:t>Primary Users</w:t>
            </w:r>
          </w:p>
        </w:tc>
        <w:tc>
          <w:tcPr>
            <w:tcW w:w="3556" w:type="dxa"/>
            <w:shd w:val="clear" w:color="auto" w:fill="2F5496"/>
            <w:vAlign w:val="center"/>
          </w:tcPr>
          <w:p w14:paraId="27CA7E4A" w14:textId="77777777" w:rsidR="00672297" w:rsidRDefault="00A16EA3">
            <w:pPr>
              <w:spacing w:before="20" w:after="20"/>
              <w:jc w:val="left"/>
            </w:pPr>
            <w:r>
              <w:rPr>
                <w:rFonts w:cstheme="minorHAnsi"/>
                <w:b/>
                <w:bCs/>
                <w:color w:val="FFFFFF"/>
                <w:sz w:val="20"/>
                <w:szCs w:val="20"/>
              </w:rPr>
              <w:t>Business Objective</w:t>
            </w:r>
          </w:p>
        </w:tc>
        <w:tc>
          <w:tcPr>
            <w:tcW w:w="2623" w:type="dxa"/>
            <w:shd w:val="clear" w:color="auto" w:fill="2F5496"/>
            <w:vAlign w:val="center"/>
          </w:tcPr>
          <w:p w14:paraId="1E5B94DB" w14:textId="77777777" w:rsidR="00672297" w:rsidRDefault="00A16EA3">
            <w:pPr>
              <w:spacing w:before="20" w:after="20"/>
              <w:jc w:val="left"/>
            </w:pPr>
            <w:r>
              <w:rPr>
                <w:rFonts w:cstheme="minorHAnsi"/>
                <w:b/>
                <w:bCs/>
                <w:color w:val="FFFFFF"/>
                <w:sz w:val="20"/>
                <w:szCs w:val="20"/>
              </w:rPr>
              <w:t>Key KPIs / Outputs</w:t>
            </w:r>
          </w:p>
        </w:tc>
      </w:tr>
      <w:tr w:rsidR="00672297" w14:paraId="30B7EA80" w14:textId="77777777">
        <w:trPr>
          <w:cantSplit/>
        </w:trPr>
        <w:tc>
          <w:tcPr>
            <w:tcW w:w="1684" w:type="dxa"/>
            <w:vAlign w:val="center"/>
          </w:tcPr>
          <w:p w14:paraId="1E71A28D" w14:textId="77777777" w:rsidR="00672297" w:rsidRDefault="00A16EA3">
            <w:pPr>
              <w:spacing w:before="20" w:after="20"/>
              <w:jc w:val="left"/>
            </w:pPr>
            <w:r>
              <w:rPr>
                <w:rFonts w:cstheme="minorHAnsi"/>
                <w:sz w:val="20"/>
                <w:szCs w:val="20"/>
              </w:rPr>
              <w:t>Refinery-Wide (Gasoline &amp; Distillate)</w:t>
            </w:r>
          </w:p>
        </w:tc>
        <w:tc>
          <w:tcPr>
            <w:tcW w:w="1497" w:type="dxa"/>
            <w:vAlign w:val="center"/>
          </w:tcPr>
          <w:p w14:paraId="0875B991" w14:textId="77777777" w:rsidR="00672297" w:rsidRDefault="00A16EA3">
            <w:pPr>
              <w:spacing w:before="20" w:after="20"/>
              <w:jc w:val="left"/>
            </w:pPr>
            <w:r>
              <w:rPr>
                <w:rFonts w:cstheme="minorHAnsi"/>
                <w:sz w:val="20"/>
                <w:szCs w:val="20"/>
              </w:rPr>
              <w:t>Value Chain leads, schedulers</w:t>
            </w:r>
          </w:p>
        </w:tc>
        <w:tc>
          <w:tcPr>
            <w:tcW w:w="3556" w:type="dxa"/>
            <w:vAlign w:val="center"/>
          </w:tcPr>
          <w:p w14:paraId="275CA7F3" w14:textId="77777777" w:rsidR="00672297" w:rsidRDefault="00A16EA3">
            <w:pPr>
              <w:spacing w:before="20" w:after="20"/>
              <w:jc w:val="left"/>
            </w:pPr>
            <w:r>
              <w:rPr>
                <w:rFonts w:cstheme="minorHAnsi"/>
                <w:sz w:val="20"/>
                <w:szCs w:val="20"/>
              </w:rPr>
              <w:t>Track each batch from the origin refinery to the destination terminal with its certified quality against specification.</w:t>
            </w:r>
          </w:p>
        </w:tc>
        <w:tc>
          <w:tcPr>
            <w:tcW w:w="2623" w:type="dxa"/>
            <w:vAlign w:val="center"/>
          </w:tcPr>
          <w:p w14:paraId="28A3D891" w14:textId="77777777" w:rsidR="00672297" w:rsidRDefault="00A16EA3">
            <w:pPr>
              <w:spacing w:before="20" w:after="20"/>
              <w:jc w:val="left"/>
            </w:pPr>
            <w:r>
              <w:rPr>
                <w:rFonts w:cstheme="minorHAnsi"/>
                <w:sz w:val="20"/>
                <w:szCs w:val="20"/>
              </w:rPr>
              <w:t>Batch timeline, batch status, Min / Actual / Max per property</w:t>
            </w:r>
          </w:p>
        </w:tc>
      </w:tr>
      <w:tr w:rsidR="00672297" w14:paraId="414DD3AF" w14:textId="77777777">
        <w:trPr>
          <w:cantSplit/>
        </w:trPr>
        <w:tc>
          <w:tcPr>
            <w:tcW w:w="1684" w:type="dxa"/>
            <w:vAlign w:val="center"/>
          </w:tcPr>
          <w:p w14:paraId="1AABF057" w14:textId="77777777" w:rsidR="00672297" w:rsidRDefault="00A16EA3">
            <w:pPr>
              <w:spacing w:before="20" w:after="20"/>
              <w:jc w:val="left"/>
            </w:pPr>
            <w:r>
              <w:rPr>
                <w:rFonts w:cstheme="minorHAnsi"/>
                <w:sz w:val="20"/>
                <w:szCs w:val="20"/>
              </w:rPr>
              <w:t>Blending Potential</w:t>
            </w:r>
          </w:p>
        </w:tc>
        <w:tc>
          <w:tcPr>
            <w:tcW w:w="1497" w:type="dxa"/>
            <w:vAlign w:val="center"/>
          </w:tcPr>
          <w:p w14:paraId="51300A27" w14:textId="77777777" w:rsidR="00672297" w:rsidRDefault="00A16EA3">
            <w:pPr>
              <w:spacing w:before="20" w:after="20"/>
              <w:jc w:val="left"/>
            </w:pPr>
            <w:r>
              <w:rPr>
                <w:rFonts w:cstheme="minorHAnsi"/>
                <w:sz w:val="20"/>
                <w:szCs w:val="20"/>
              </w:rPr>
              <w:t>Planners, terminal operations</w:t>
            </w:r>
          </w:p>
        </w:tc>
        <w:tc>
          <w:tcPr>
            <w:tcW w:w="3556" w:type="dxa"/>
            <w:vAlign w:val="center"/>
          </w:tcPr>
          <w:p w14:paraId="3B025E1F" w14:textId="77777777" w:rsidR="00672297" w:rsidRDefault="00A16EA3">
            <w:pPr>
              <w:spacing w:before="20" w:after="20"/>
              <w:jc w:val="left"/>
            </w:pPr>
            <w:r>
              <w:rPr>
                <w:rFonts w:cstheme="minorHAnsi"/>
                <w:sz w:val="20"/>
                <w:szCs w:val="20"/>
              </w:rPr>
              <w:t>Quantify how much butane, transmix and ethanol each scheduled or in-transit gasoline batch can still take while staying on specification.</w:t>
            </w:r>
          </w:p>
        </w:tc>
        <w:tc>
          <w:tcPr>
            <w:tcW w:w="2623" w:type="dxa"/>
            <w:vAlign w:val="center"/>
          </w:tcPr>
          <w:p w14:paraId="64E1B0F0" w14:textId="77777777" w:rsidR="00672297" w:rsidRDefault="00A16EA3">
            <w:pPr>
              <w:spacing w:before="20" w:after="20"/>
              <w:jc w:val="left"/>
            </w:pPr>
            <w:r>
              <w:rPr>
                <w:rFonts w:cstheme="minorHAnsi"/>
                <w:sz w:val="20"/>
                <w:szCs w:val="20"/>
              </w:rPr>
              <w:t>Butane / Transmix potential, Ethanol requirement, Volume expansion (bbl, %), Pre / Post / Spec qualities</w:t>
            </w:r>
          </w:p>
        </w:tc>
      </w:tr>
      <w:tr w:rsidR="00672297" w14:paraId="5154C022" w14:textId="77777777">
        <w:trPr>
          <w:cantSplit/>
        </w:trPr>
        <w:tc>
          <w:tcPr>
            <w:tcW w:w="1684" w:type="dxa"/>
            <w:vAlign w:val="center"/>
          </w:tcPr>
          <w:p w14:paraId="61BEBB03" w14:textId="77777777" w:rsidR="00672297" w:rsidRDefault="00A16EA3">
            <w:pPr>
              <w:spacing w:before="20" w:after="20"/>
              <w:jc w:val="left"/>
            </w:pPr>
            <w:r>
              <w:rPr>
                <w:rFonts w:cstheme="minorHAnsi"/>
                <w:sz w:val="20"/>
                <w:szCs w:val="20"/>
              </w:rPr>
              <w:t>Distillate</w:t>
            </w:r>
          </w:p>
        </w:tc>
        <w:tc>
          <w:tcPr>
            <w:tcW w:w="1497" w:type="dxa"/>
            <w:vAlign w:val="center"/>
          </w:tcPr>
          <w:p w14:paraId="6D194525" w14:textId="77777777" w:rsidR="00672297" w:rsidRDefault="00A16EA3">
            <w:pPr>
              <w:spacing w:before="20" w:after="20"/>
              <w:jc w:val="left"/>
            </w:pPr>
            <w:r>
              <w:rPr>
                <w:rFonts w:cstheme="minorHAnsi"/>
                <w:sz w:val="20"/>
                <w:szCs w:val="20"/>
              </w:rPr>
              <w:t>Planners, quality</w:t>
            </w:r>
          </w:p>
        </w:tc>
        <w:tc>
          <w:tcPr>
            <w:tcW w:w="3556" w:type="dxa"/>
            <w:vAlign w:val="center"/>
          </w:tcPr>
          <w:p w14:paraId="7D7E7B39" w14:textId="77777777" w:rsidR="00672297" w:rsidRDefault="00A16EA3">
            <w:pPr>
              <w:spacing w:before="20" w:after="20"/>
              <w:jc w:val="left"/>
            </w:pPr>
            <w:r>
              <w:rPr>
                <w:rFonts w:cstheme="minorHAnsi"/>
                <w:sz w:val="20"/>
                <w:szCs w:val="20"/>
              </w:rPr>
              <w:t>Verify the quality of scheduled and in-transit distillate batches (ULSD, Jet, Kero) before delivery.</w:t>
            </w:r>
          </w:p>
        </w:tc>
        <w:tc>
          <w:tcPr>
            <w:tcW w:w="2623" w:type="dxa"/>
            <w:vAlign w:val="center"/>
          </w:tcPr>
          <w:p w14:paraId="784A315D" w14:textId="77777777" w:rsidR="00672297" w:rsidRDefault="00A16EA3">
            <w:pPr>
              <w:spacing w:before="20" w:after="20"/>
              <w:jc w:val="left"/>
            </w:pPr>
            <w:r>
              <w:rPr>
                <w:rFonts w:cstheme="minorHAnsi"/>
                <w:sz w:val="20"/>
                <w:szCs w:val="20"/>
              </w:rPr>
              <w:t>Average Flash, Sulphur, Adj. Cloud Point, T-90, FBP by status and terminal vs spec</w:t>
            </w:r>
          </w:p>
        </w:tc>
      </w:tr>
      <w:tr w:rsidR="00672297" w14:paraId="7BF688AA" w14:textId="77777777">
        <w:trPr>
          <w:cantSplit/>
        </w:trPr>
        <w:tc>
          <w:tcPr>
            <w:tcW w:w="1684" w:type="dxa"/>
            <w:vAlign w:val="center"/>
          </w:tcPr>
          <w:p w14:paraId="3B5BC23A" w14:textId="77777777" w:rsidR="00672297" w:rsidRDefault="00A16EA3">
            <w:pPr>
              <w:spacing w:before="20" w:after="20"/>
              <w:jc w:val="left"/>
            </w:pPr>
            <w:r>
              <w:rPr>
                <w:rFonts w:cstheme="minorHAnsi"/>
                <w:sz w:val="20"/>
                <w:szCs w:val="20"/>
              </w:rPr>
              <w:t>Supply</w:t>
            </w:r>
          </w:p>
        </w:tc>
        <w:tc>
          <w:tcPr>
            <w:tcW w:w="1497" w:type="dxa"/>
            <w:vAlign w:val="center"/>
          </w:tcPr>
          <w:p w14:paraId="4A36F7CC" w14:textId="77777777" w:rsidR="00672297" w:rsidRDefault="00A16EA3">
            <w:pPr>
              <w:spacing w:before="20" w:after="20"/>
              <w:jc w:val="left"/>
            </w:pPr>
            <w:r>
              <w:rPr>
                <w:rFonts w:cstheme="minorHAnsi"/>
                <w:sz w:val="20"/>
                <w:szCs w:val="20"/>
              </w:rPr>
              <w:t>Supply coordinators</w:t>
            </w:r>
          </w:p>
        </w:tc>
        <w:tc>
          <w:tcPr>
            <w:tcW w:w="3556" w:type="dxa"/>
            <w:vAlign w:val="center"/>
          </w:tcPr>
          <w:p w14:paraId="39CD26F3" w14:textId="77777777" w:rsidR="00672297" w:rsidRDefault="00A16EA3">
            <w:pPr>
              <w:spacing w:before="20" w:after="20"/>
              <w:jc w:val="left"/>
            </w:pPr>
            <w:r>
              <w:rPr>
                <w:rFonts w:cstheme="minorHAnsi"/>
                <w:sz w:val="20"/>
                <w:szCs w:val="20"/>
              </w:rPr>
              <w:t>Compare forward blend component demand with inventory and planned supply per terminal and trigger re-supply actions.</w:t>
            </w:r>
          </w:p>
        </w:tc>
        <w:tc>
          <w:tcPr>
            <w:tcW w:w="2623" w:type="dxa"/>
            <w:vAlign w:val="center"/>
          </w:tcPr>
          <w:p w14:paraId="0E5C09F4" w14:textId="77777777" w:rsidR="00672297" w:rsidRDefault="00A16EA3">
            <w:pPr>
              <w:spacing w:before="20" w:after="20"/>
              <w:jc w:val="left"/>
            </w:pPr>
            <w:r>
              <w:rPr>
                <w:rFonts w:cstheme="minorHAnsi"/>
                <w:sz w:val="20"/>
                <w:szCs w:val="20"/>
              </w:rPr>
              <w:t>Potential demand, tank inventory, in-transit, net gap, recommended action</w:t>
            </w:r>
          </w:p>
        </w:tc>
      </w:tr>
      <w:tr w:rsidR="00672297" w14:paraId="4B4F1C15" w14:textId="77777777">
        <w:trPr>
          <w:cantSplit/>
        </w:trPr>
        <w:tc>
          <w:tcPr>
            <w:tcW w:w="1684" w:type="dxa"/>
            <w:vAlign w:val="center"/>
          </w:tcPr>
          <w:p w14:paraId="3BE5D659" w14:textId="77777777" w:rsidR="00672297" w:rsidRDefault="00A16EA3">
            <w:pPr>
              <w:spacing w:before="20" w:after="20"/>
              <w:jc w:val="left"/>
            </w:pPr>
            <w:r>
              <w:rPr>
                <w:rFonts w:cstheme="minorHAnsi"/>
                <w:sz w:val="20"/>
                <w:szCs w:val="20"/>
              </w:rPr>
              <w:t>Gasoline KPI</w:t>
            </w:r>
          </w:p>
        </w:tc>
        <w:tc>
          <w:tcPr>
            <w:tcW w:w="1497" w:type="dxa"/>
            <w:vAlign w:val="center"/>
          </w:tcPr>
          <w:p w14:paraId="7B5CE015" w14:textId="77777777" w:rsidR="00672297" w:rsidRDefault="00A16EA3">
            <w:pPr>
              <w:spacing w:before="20" w:after="20"/>
              <w:jc w:val="left"/>
            </w:pPr>
            <w:r>
              <w:rPr>
                <w:rFonts w:cstheme="minorHAnsi"/>
                <w:sz w:val="20"/>
                <w:szCs w:val="20"/>
              </w:rPr>
              <w:t>Value-chain leadership</w:t>
            </w:r>
          </w:p>
        </w:tc>
        <w:tc>
          <w:tcPr>
            <w:tcW w:w="3556" w:type="dxa"/>
            <w:vAlign w:val="center"/>
          </w:tcPr>
          <w:p w14:paraId="350D77F8" w14:textId="77777777" w:rsidR="00672297" w:rsidRDefault="00A16EA3">
            <w:pPr>
              <w:spacing w:before="20" w:after="20"/>
              <w:jc w:val="left"/>
            </w:pPr>
            <w:r>
              <w:rPr>
                <w:rFonts w:cstheme="minorHAnsi"/>
                <w:sz w:val="20"/>
                <w:szCs w:val="20"/>
              </w:rPr>
              <w:t>Measure unrealised component blending (lost opportunity) and its dollar impact by terminal and period.</w:t>
            </w:r>
          </w:p>
        </w:tc>
        <w:tc>
          <w:tcPr>
            <w:tcW w:w="2623" w:type="dxa"/>
            <w:vAlign w:val="center"/>
          </w:tcPr>
          <w:p w14:paraId="60C04620" w14:textId="77777777" w:rsidR="00672297" w:rsidRDefault="00A16EA3">
            <w:pPr>
              <w:spacing w:before="20" w:after="20"/>
              <w:jc w:val="left"/>
            </w:pPr>
            <w:r>
              <w:rPr>
                <w:rFonts w:cstheme="minorHAnsi"/>
                <w:sz w:val="20"/>
                <w:szCs w:val="20"/>
              </w:rPr>
              <w:t>Volume loss (bbl) and value loss ($) for butane, transmix, ethanol and total</w:t>
            </w:r>
          </w:p>
        </w:tc>
      </w:tr>
      <w:tr w:rsidR="00672297" w14:paraId="1FAE6C6A" w14:textId="77777777">
        <w:trPr>
          <w:cantSplit/>
        </w:trPr>
        <w:tc>
          <w:tcPr>
            <w:tcW w:w="1684" w:type="dxa"/>
            <w:vAlign w:val="center"/>
          </w:tcPr>
          <w:p w14:paraId="34F51F08" w14:textId="77777777" w:rsidR="00672297" w:rsidRDefault="00A16EA3">
            <w:pPr>
              <w:spacing w:before="20" w:after="20"/>
              <w:jc w:val="left"/>
            </w:pPr>
            <w:r>
              <w:rPr>
                <w:rFonts w:cstheme="minorHAnsi"/>
                <w:sz w:val="20"/>
                <w:szCs w:val="20"/>
              </w:rPr>
              <w:t>Distillate KPI</w:t>
            </w:r>
          </w:p>
        </w:tc>
        <w:tc>
          <w:tcPr>
            <w:tcW w:w="1497" w:type="dxa"/>
            <w:vAlign w:val="center"/>
          </w:tcPr>
          <w:p w14:paraId="3AB441BC" w14:textId="77777777" w:rsidR="00672297" w:rsidRDefault="00A16EA3">
            <w:pPr>
              <w:spacing w:before="20" w:after="20"/>
              <w:jc w:val="left"/>
            </w:pPr>
            <w:r>
              <w:rPr>
                <w:rFonts w:cstheme="minorHAnsi"/>
                <w:sz w:val="20"/>
                <w:szCs w:val="20"/>
              </w:rPr>
              <w:t>Value-chain leadership</w:t>
            </w:r>
          </w:p>
        </w:tc>
        <w:tc>
          <w:tcPr>
            <w:tcW w:w="3556" w:type="dxa"/>
            <w:vAlign w:val="center"/>
          </w:tcPr>
          <w:p w14:paraId="304A9C3E" w14:textId="77777777" w:rsidR="00672297" w:rsidRDefault="00A16EA3">
            <w:pPr>
              <w:spacing w:before="20" w:after="20"/>
              <w:jc w:val="left"/>
            </w:pPr>
            <w:r>
              <w:rPr>
                <w:rFonts w:cstheme="minorHAnsi"/>
                <w:sz w:val="20"/>
                <w:szCs w:val="20"/>
              </w:rPr>
              <w:t>Measure distillate quality give-away against specification and its dollar impact by terminal and period.</w:t>
            </w:r>
          </w:p>
        </w:tc>
        <w:tc>
          <w:tcPr>
            <w:tcW w:w="2623" w:type="dxa"/>
            <w:vAlign w:val="center"/>
          </w:tcPr>
          <w:p w14:paraId="3958D349" w14:textId="77777777" w:rsidR="00672297" w:rsidRDefault="00A16EA3">
            <w:pPr>
              <w:spacing w:before="20" w:after="20"/>
              <w:jc w:val="left"/>
            </w:pPr>
            <w:r>
              <w:rPr>
                <w:rFonts w:cstheme="minorHAnsi"/>
                <w:sz w:val="20"/>
                <w:szCs w:val="20"/>
              </w:rPr>
              <w:t>Average give-away (Δ vs spec) per property, value loss ($), terminal count</w:t>
            </w:r>
          </w:p>
        </w:tc>
      </w:tr>
    </w:tbl>
    <w:p w14:paraId="0181F0A2" w14:textId="1A445280" w:rsidR="00672297" w:rsidRDefault="00A16EA3">
      <w:pPr>
        <w:pStyle w:val="Caption"/>
      </w:pPr>
      <w:bookmarkStart w:id="446" w:name="_Toc900950006"/>
      <w:bookmarkStart w:id="447" w:name="_Toc241574690"/>
      <w:bookmarkStart w:id="448" w:name="_Toc242554074"/>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w:t>
      </w:r>
      <w:r>
        <w:fldChar w:fldCharType="end"/>
      </w:r>
      <w:r>
        <w:t>: Dashboard Objectives</w:t>
      </w:r>
      <w:bookmarkEnd w:id="446"/>
      <w:bookmarkEnd w:id="447"/>
      <w:bookmarkEnd w:id="448"/>
    </w:p>
    <w:p w14:paraId="70F92D52" w14:textId="77777777" w:rsidR="00672297" w:rsidRDefault="00A16EA3">
      <w:pPr>
        <w:pStyle w:val="Heading2"/>
        <w:rPr>
          <w:rFonts w:asciiTheme="minorHAnsi" w:hAnsiTheme="minorHAnsi" w:cstheme="minorBidi"/>
          <w:sz w:val="20"/>
          <w:szCs w:val="20"/>
        </w:rPr>
      </w:pPr>
      <w:bookmarkStart w:id="449" w:name="_Toc241574342"/>
      <w:bookmarkStart w:id="450" w:name="_Toc242553964"/>
      <w:r>
        <w:rPr>
          <w:rFonts w:asciiTheme="minorHAnsi" w:hAnsiTheme="minorHAnsi" w:cstheme="minorBidi"/>
          <w:sz w:val="20"/>
          <w:szCs w:val="20"/>
        </w:rPr>
        <w:t>Solution Approach</w:t>
      </w:r>
      <w:bookmarkEnd w:id="449"/>
      <w:bookmarkEnd w:id="450"/>
    </w:p>
    <w:p w14:paraId="224CA505" w14:textId="77777777" w:rsidR="00672297" w:rsidRDefault="00A16EA3">
      <w:pPr>
        <w:rPr>
          <w:rFonts w:cstheme="minorHAnsi"/>
          <w:sz w:val="20"/>
          <w:szCs w:val="20"/>
        </w:rPr>
      </w:pPr>
      <w:r>
        <w:rPr>
          <w:rFonts w:cstheme="minorHAnsi"/>
          <w:sz w:val="20"/>
          <w:szCs w:val="20"/>
        </w:rPr>
        <w:t>The VCB dashboards are Power BI reports built on one VCB semantic model. The model imports the six VCB reporting views from the IQDM database (one per dashboard, chapter 3) and the day_detail calendar, and imports the MPR prices from the MPR API into the table MPR_Price. MPR data is stored in the Power BI semantic model only - never in the IQDM database - and is joined to vwGasolineBlendingKPI and vwDistillateBlendingKPI on the common columns globalCode and productAbbreviation. Business rules are implemented in the views; the semantic model adds the aggregations, the in-transit / scheduled splits, the conditional formatting and the price-dependent value-loss measures.</w:t>
      </w:r>
    </w:p>
    <w:p w14:paraId="716363FD" w14:textId="77777777" w:rsidR="00672297" w:rsidRDefault="00A16EA3">
      <w:pPr>
        <w:pStyle w:val="Heading3"/>
        <w:rPr>
          <w:rFonts w:asciiTheme="minorHAnsi" w:hAnsiTheme="minorHAnsi" w:cstheme="minorBidi"/>
          <w:sz w:val="20"/>
          <w:szCs w:val="20"/>
        </w:rPr>
      </w:pPr>
      <w:bookmarkStart w:id="451" w:name="_Toc241574343"/>
      <w:bookmarkStart w:id="452" w:name="_Toc242553965"/>
      <w:r>
        <w:rPr>
          <w:rFonts w:asciiTheme="minorHAnsi" w:hAnsiTheme="minorHAnsi" w:cstheme="minorBidi"/>
          <w:sz w:val="20"/>
          <w:szCs w:val="20"/>
        </w:rPr>
        <w:t>High-Level Architecture Diagram</w:t>
      </w:r>
      <w:bookmarkEnd w:id="451"/>
      <w:bookmarkEnd w:id="452"/>
    </w:p>
    <w:p w14:paraId="569838DC" w14:textId="24B8269C" w:rsidR="00506A95" w:rsidRDefault="00D323E5" w:rsidP="006755AC">
      <w:pPr>
        <w:keepNext/>
        <w:spacing w:before="100" w:beforeAutospacing="1" w:after="100" w:afterAutospacing="1" w:line="240" w:lineRule="auto"/>
        <w:jc w:val="left"/>
      </w:pPr>
      <w:r>
        <w:rPr>
          <w:noProof/>
        </w:rPr>
        <w:drawing>
          <wp:inline distT="0" distB="0" distL="0" distR="0" wp14:anchorId="47ADED63" wp14:editId="0DB59642">
            <wp:extent cx="5943600" cy="2181225"/>
            <wp:effectExtent l="0" t="0" r="0" b="9525"/>
            <wp:docPr id="1270412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1239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2181225"/>
                    </a:xfrm>
                    <a:prstGeom prst="rect">
                      <a:avLst/>
                    </a:prstGeom>
                  </pic:spPr>
                </pic:pic>
              </a:graphicData>
            </a:graphic>
          </wp:inline>
        </w:drawing>
      </w:r>
    </w:p>
    <w:p w14:paraId="0CFFE370" w14:textId="69289545" w:rsidR="00672297" w:rsidRDefault="00A16EA3">
      <w:pPr>
        <w:pStyle w:val="Caption"/>
      </w:pPr>
      <w:bookmarkStart w:id="453" w:name="_Toc900950009"/>
      <w:bookmarkStart w:id="454" w:name="_Toc241574758"/>
      <w:bookmarkStart w:id="455" w:name="_Toc242554160"/>
      <w:r>
        <w:t xml:space="preserve">Figure </w:t>
      </w:r>
      <w:r>
        <w:fldChar w:fldCharType="begin"/>
      </w:r>
      <w:r>
        <w:instrText>STYLEREF 1 \s</w:instrText>
      </w:r>
      <w:r>
        <w:fldChar w:fldCharType="separate"/>
      </w:r>
      <w:r w:rsidR="00FC42E7">
        <w:rPr>
          <w:noProof/>
        </w:rPr>
        <w:t>4</w:t>
      </w:r>
      <w:r>
        <w:fldChar w:fldCharType="end"/>
      </w:r>
      <w:r>
        <w:t>-</w:t>
      </w:r>
      <w:r>
        <w:fldChar w:fldCharType="begin"/>
      </w:r>
      <w:r>
        <w:instrText>SEQ Figure \* ARABIC \s 1</w:instrText>
      </w:r>
      <w:r>
        <w:fldChar w:fldCharType="separate"/>
      </w:r>
      <w:r w:rsidR="00FC42E7">
        <w:rPr>
          <w:noProof/>
        </w:rPr>
        <w:t>1</w:t>
      </w:r>
      <w:r>
        <w:fldChar w:fldCharType="end"/>
      </w:r>
      <w:r>
        <w:t>: Power BI Architecture</w:t>
      </w:r>
      <w:bookmarkEnd w:id="453"/>
      <w:bookmarkEnd w:id="454"/>
      <w:bookmarkEnd w:id="455"/>
    </w:p>
    <w:p w14:paraId="4FC50359" w14:textId="77777777" w:rsidR="00672297" w:rsidRDefault="00A16EA3">
      <w:pPr>
        <w:pStyle w:val="Heading3"/>
        <w:rPr>
          <w:rFonts w:asciiTheme="minorHAnsi" w:hAnsiTheme="minorHAnsi" w:cstheme="minorBidi"/>
          <w:sz w:val="20"/>
          <w:szCs w:val="20"/>
        </w:rPr>
      </w:pPr>
      <w:bookmarkStart w:id="456" w:name="_Toc241574344"/>
      <w:bookmarkStart w:id="457" w:name="_Toc242553966"/>
      <w:r>
        <w:rPr>
          <w:rFonts w:asciiTheme="minorHAnsi" w:hAnsiTheme="minorHAnsi" w:cstheme="minorBidi"/>
          <w:sz w:val="20"/>
          <w:szCs w:val="20"/>
        </w:rPr>
        <w:t>Technology Stack</w:t>
      </w:r>
      <w:bookmarkEnd w:id="456"/>
      <w:bookmarkEnd w:id="457"/>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6F007737" w14:textId="77777777">
        <w:trPr>
          <w:cantSplit/>
          <w:tblHeader/>
        </w:trPr>
        <w:tc>
          <w:tcPr>
            <w:tcW w:w="2808" w:type="dxa"/>
            <w:shd w:val="clear" w:color="auto" w:fill="2F5496"/>
            <w:vAlign w:val="center"/>
          </w:tcPr>
          <w:p w14:paraId="541E47FF" w14:textId="77777777" w:rsidR="00672297" w:rsidRDefault="00A16EA3">
            <w:pPr>
              <w:spacing w:before="20" w:after="20"/>
              <w:jc w:val="left"/>
            </w:pPr>
            <w:r>
              <w:rPr>
                <w:rFonts w:cstheme="minorHAnsi"/>
                <w:b/>
                <w:bCs/>
                <w:color w:val="FFFFFF"/>
                <w:sz w:val="20"/>
                <w:szCs w:val="20"/>
              </w:rPr>
              <w:t>Component</w:t>
            </w:r>
          </w:p>
        </w:tc>
        <w:tc>
          <w:tcPr>
            <w:tcW w:w="6552" w:type="dxa"/>
            <w:shd w:val="clear" w:color="auto" w:fill="2F5496"/>
            <w:vAlign w:val="center"/>
          </w:tcPr>
          <w:p w14:paraId="28BCD33C" w14:textId="77777777" w:rsidR="00672297" w:rsidRDefault="00A16EA3">
            <w:pPr>
              <w:spacing w:before="20" w:after="20"/>
              <w:jc w:val="left"/>
            </w:pPr>
            <w:r>
              <w:rPr>
                <w:rFonts w:cstheme="minorHAnsi"/>
                <w:b/>
                <w:bCs/>
                <w:color w:val="FFFFFF"/>
                <w:sz w:val="20"/>
                <w:szCs w:val="20"/>
              </w:rPr>
              <w:t>Technology</w:t>
            </w:r>
          </w:p>
        </w:tc>
      </w:tr>
      <w:tr w:rsidR="00672297" w14:paraId="21F7E8A8" w14:textId="77777777">
        <w:trPr>
          <w:cantSplit/>
        </w:trPr>
        <w:tc>
          <w:tcPr>
            <w:tcW w:w="2808" w:type="dxa"/>
            <w:vAlign w:val="center"/>
          </w:tcPr>
          <w:p w14:paraId="7FEA71B0" w14:textId="77777777" w:rsidR="00672297" w:rsidRDefault="00A16EA3">
            <w:pPr>
              <w:spacing w:before="20" w:after="20"/>
              <w:jc w:val="left"/>
            </w:pPr>
            <w:r>
              <w:rPr>
                <w:rFonts w:cstheme="minorHAnsi"/>
                <w:sz w:val="20"/>
                <w:szCs w:val="20"/>
              </w:rPr>
              <w:t>Data Sources</w:t>
            </w:r>
          </w:p>
        </w:tc>
        <w:tc>
          <w:tcPr>
            <w:tcW w:w="6552" w:type="dxa"/>
            <w:vAlign w:val="center"/>
          </w:tcPr>
          <w:p w14:paraId="60185EC0" w14:textId="77777777" w:rsidR="00672297" w:rsidRDefault="00A16EA3">
            <w:pPr>
              <w:spacing w:before="20" w:after="20"/>
              <w:jc w:val="left"/>
            </w:pPr>
            <w:r>
              <w:rPr>
                <w:rFonts w:cstheme="minorHAnsi"/>
                <w:sz w:val="20"/>
                <w:szCs w:val="20"/>
              </w:rPr>
              <w:t>SQL Server (IQDM database - six VCB reporting views and day_detail); MPR API (MPR prices)</w:t>
            </w:r>
          </w:p>
        </w:tc>
      </w:tr>
      <w:tr w:rsidR="00672297" w14:paraId="0959AE73" w14:textId="77777777">
        <w:trPr>
          <w:cantSplit/>
        </w:trPr>
        <w:tc>
          <w:tcPr>
            <w:tcW w:w="2808" w:type="dxa"/>
            <w:vAlign w:val="center"/>
          </w:tcPr>
          <w:p w14:paraId="3EA54701" w14:textId="77777777" w:rsidR="00672297" w:rsidRDefault="00A16EA3">
            <w:pPr>
              <w:spacing w:before="20" w:after="20"/>
              <w:jc w:val="left"/>
            </w:pPr>
            <w:r>
              <w:rPr>
                <w:rFonts w:cstheme="minorHAnsi"/>
                <w:sz w:val="20"/>
                <w:szCs w:val="20"/>
              </w:rPr>
              <w:t>Data Connector</w:t>
            </w:r>
          </w:p>
        </w:tc>
        <w:tc>
          <w:tcPr>
            <w:tcW w:w="6552" w:type="dxa"/>
            <w:vAlign w:val="center"/>
          </w:tcPr>
          <w:p w14:paraId="65A1C043" w14:textId="77777777" w:rsidR="00672297" w:rsidRDefault="00A16EA3">
            <w:pPr>
              <w:spacing w:before="20" w:after="20"/>
              <w:jc w:val="left"/>
            </w:pPr>
            <w:r>
              <w:rPr>
                <w:rFonts w:cstheme="minorHAnsi"/>
                <w:sz w:val="20"/>
                <w:szCs w:val="20"/>
              </w:rPr>
              <w:t>SQL Server connector (Import) for IQDM; Web connector (POST, Entra ID bearer token) for the MPR API (Import)</w:t>
            </w:r>
          </w:p>
        </w:tc>
      </w:tr>
      <w:tr w:rsidR="00672297" w14:paraId="4AF24C47" w14:textId="77777777">
        <w:trPr>
          <w:cantSplit/>
        </w:trPr>
        <w:tc>
          <w:tcPr>
            <w:tcW w:w="2808" w:type="dxa"/>
            <w:vAlign w:val="center"/>
          </w:tcPr>
          <w:p w14:paraId="508618AA" w14:textId="77777777" w:rsidR="00672297" w:rsidRDefault="00A16EA3">
            <w:pPr>
              <w:spacing w:before="20" w:after="20"/>
              <w:jc w:val="left"/>
            </w:pPr>
            <w:r>
              <w:rPr>
                <w:rFonts w:cstheme="minorHAnsi"/>
                <w:sz w:val="20"/>
                <w:szCs w:val="20"/>
              </w:rPr>
              <w:t>Gateway</w:t>
            </w:r>
          </w:p>
        </w:tc>
        <w:tc>
          <w:tcPr>
            <w:tcW w:w="6552" w:type="dxa"/>
            <w:vAlign w:val="center"/>
          </w:tcPr>
          <w:p w14:paraId="436D1603" w14:textId="77777777" w:rsidR="00672297" w:rsidRDefault="00A16EA3">
            <w:pPr>
              <w:spacing w:before="20" w:after="20"/>
              <w:jc w:val="left"/>
            </w:pPr>
            <w:r>
              <w:rPr>
                <w:rFonts w:cstheme="minorHAnsi"/>
                <w:sz w:val="20"/>
                <w:szCs w:val="20"/>
              </w:rPr>
              <w:t>On-premises Data Gateway</w:t>
            </w:r>
          </w:p>
        </w:tc>
      </w:tr>
      <w:tr w:rsidR="00672297" w14:paraId="3CFA45E6" w14:textId="77777777">
        <w:trPr>
          <w:cantSplit/>
        </w:trPr>
        <w:tc>
          <w:tcPr>
            <w:tcW w:w="2808" w:type="dxa"/>
            <w:vAlign w:val="center"/>
          </w:tcPr>
          <w:p w14:paraId="4C651BCE" w14:textId="77777777" w:rsidR="00672297" w:rsidRDefault="00A16EA3">
            <w:pPr>
              <w:spacing w:before="20" w:after="20"/>
              <w:jc w:val="left"/>
            </w:pPr>
            <w:r>
              <w:rPr>
                <w:rFonts w:cstheme="minorHAnsi"/>
                <w:sz w:val="20"/>
                <w:szCs w:val="20"/>
              </w:rPr>
              <w:t>Power BI</w:t>
            </w:r>
          </w:p>
        </w:tc>
        <w:tc>
          <w:tcPr>
            <w:tcW w:w="6552" w:type="dxa"/>
            <w:vAlign w:val="center"/>
          </w:tcPr>
          <w:p w14:paraId="5DE889C5" w14:textId="77777777" w:rsidR="00672297" w:rsidRDefault="00A16EA3">
            <w:pPr>
              <w:spacing w:before="20" w:after="20"/>
              <w:jc w:val="left"/>
            </w:pPr>
            <w:r>
              <w:rPr>
                <w:rFonts w:cstheme="minorHAnsi"/>
                <w:sz w:val="20"/>
                <w:szCs w:val="20"/>
              </w:rPr>
              <w:t>Power BI Desktop, Power BI Service (workspace and app)</w:t>
            </w:r>
          </w:p>
        </w:tc>
      </w:tr>
      <w:tr w:rsidR="00672297" w14:paraId="17793C45" w14:textId="77777777">
        <w:trPr>
          <w:cantSplit/>
        </w:trPr>
        <w:tc>
          <w:tcPr>
            <w:tcW w:w="2808" w:type="dxa"/>
            <w:vAlign w:val="center"/>
          </w:tcPr>
          <w:p w14:paraId="685861A4" w14:textId="77777777" w:rsidR="00672297" w:rsidRDefault="00A16EA3">
            <w:pPr>
              <w:spacing w:before="20" w:after="20"/>
              <w:jc w:val="left"/>
            </w:pPr>
            <w:r>
              <w:rPr>
                <w:rFonts w:cstheme="minorHAnsi"/>
                <w:sz w:val="20"/>
                <w:szCs w:val="20"/>
              </w:rPr>
              <w:t>Storage Mode</w:t>
            </w:r>
          </w:p>
        </w:tc>
        <w:tc>
          <w:tcPr>
            <w:tcW w:w="6552" w:type="dxa"/>
            <w:vAlign w:val="center"/>
          </w:tcPr>
          <w:p w14:paraId="21A6CFA9" w14:textId="77777777" w:rsidR="00672297" w:rsidRDefault="00A16EA3">
            <w:pPr>
              <w:spacing w:before="20" w:after="20"/>
              <w:jc w:val="left"/>
            </w:pPr>
            <w:r>
              <w:rPr>
                <w:rFonts w:cstheme="minorHAnsi"/>
                <w:sz w:val="20"/>
                <w:szCs w:val="20"/>
              </w:rPr>
              <w:t>Import (IQDM views and MPR_Price)</w:t>
            </w:r>
          </w:p>
        </w:tc>
      </w:tr>
      <w:tr w:rsidR="00672297" w14:paraId="11189B73" w14:textId="77777777">
        <w:trPr>
          <w:cantSplit/>
        </w:trPr>
        <w:tc>
          <w:tcPr>
            <w:tcW w:w="2808" w:type="dxa"/>
            <w:vAlign w:val="center"/>
          </w:tcPr>
          <w:p w14:paraId="2109ED8C" w14:textId="77777777" w:rsidR="00672297" w:rsidRDefault="00A16EA3">
            <w:pPr>
              <w:spacing w:before="20" w:after="20"/>
              <w:jc w:val="left"/>
            </w:pPr>
            <w:r>
              <w:rPr>
                <w:rFonts w:cstheme="minorHAnsi"/>
                <w:sz w:val="20"/>
                <w:szCs w:val="20"/>
              </w:rPr>
              <w:t>Development Tool</w:t>
            </w:r>
          </w:p>
        </w:tc>
        <w:tc>
          <w:tcPr>
            <w:tcW w:w="6552" w:type="dxa"/>
            <w:vAlign w:val="center"/>
          </w:tcPr>
          <w:p w14:paraId="14EADC78" w14:textId="77777777" w:rsidR="00672297" w:rsidRDefault="00A16EA3">
            <w:pPr>
              <w:spacing w:before="20" w:after="20"/>
              <w:jc w:val="left"/>
            </w:pPr>
            <w:r>
              <w:rPr>
                <w:rFonts w:cstheme="minorHAnsi"/>
                <w:sz w:val="20"/>
                <w:szCs w:val="20"/>
              </w:rPr>
              <w:t>Power BI Desktop</w:t>
            </w:r>
          </w:p>
        </w:tc>
      </w:tr>
      <w:tr w:rsidR="00672297" w14:paraId="1D21E41E" w14:textId="77777777">
        <w:trPr>
          <w:cantSplit/>
        </w:trPr>
        <w:tc>
          <w:tcPr>
            <w:tcW w:w="2808" w:type="dxa"/>
            <w:vAlign w:val="center"/>
          </w:tcPr>
          <w:p w14:paraId="78103290" w14:textId="77777777" w:rsidR="00672297" w:rsidRDefault="00A16EA3">
            <w:pPr>
              <w:spacing w:before="20" w:after="20"/>
              <w:jc w:val="left"/>
            </w:pPr>
            <w:r>
              <w:rPr>
                <w:rFonts w:cstheme="minorHAnsi"/>
                <w:sz w:val="20"/>
                <w:szCs w:val="20"/>
              </w:rPr>
              <w:t>Visuals</w:t>
            </w:r>
          </w:p>
        </w:tc>
        <w:tc>
          <w:tcPr>
            <w:tcW w:w="6552" w:type="dxa"/>
            <w:vAlign w:val="center"/>
          </w:tcPr>
          <w:p w14:paraId="2070A976" w14:textId="77777777" w:rsidR="00672297" w:rsidRDefault="00A16EA3">
            <w:pPr>
              <w:spacing w:before="20" w:after="20"/>
              <w:jc w:val="left"/>
            </w:pPr>
            <w:r>
              <w:rPr>
                <w:rFonts w:cstheme="minorHAnsi"/>
                <w:sz w:val="20"/>
                <w:szCs w:val="20"/>
              </w:rPr>
              <w:t>Power BI native visuals (card, clustered column, line, matrix, table, slicer) and the Power BI native Gantt chart (Refinery-Wide timeline)</w:t>
            </w:r>
          </w:p>
        </w:tc>
      </w:tr>
    </w:tbl>
    <w:p w14:paraId="38391AFB" w14:textId="2AA2AD56" w:rsidR="00672297" w:rsidRDefault="00A16EA3">
      <w:pPr>
        <w:pStyle w:val="Caption"/>
      </w:pPr>
      <w:bookmarkStart w:id="458" w:name="_Toc900950011"/>
      <w:bookmarkStart w:id="459" w:name="_Toc241574691"/>
      <w:bookmarkStart w:id="460" w:name="_Toc242554075"/>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w:t>
      </w:r>
      <w:r>
        <w:fldChar w:fldCharType="end"/>
      </w:r>
      <w:r>
        <w:t>: Technology Stack for Reporting</w:t>
      </w:r>
      <w:bookmarkEnd w:id="458"/>
      <w:bookmarkEnd w:id="459"/>
      <w:bookmarkEnd w:id="460"/>
    </w:p>
    <w:p w14:paraId="01CCDEFD" w14:textId="77777777" w:rsidR="00672297" w:rsidRDefault="00A16EA3">
      <w:pPr>
        <w:pStyle w:val="Heading3"/>
        <w:rPr>
          <w:rFonts w:asciiTheme="minorHAnsi" w:hAnsiTheme="minorHAnsi" w:cstheme="minorBidi"/>
          <w:sz w:val="20"/>
          <w:szCs w:val="20"/>
        </w:rPr>
      </w:pPr>
      <w:bookmarkStart w:id="461" w:name="_Toc241574345"/>
      <w:bookmarkStart w:id="462" w:name="_Toc242553967"/>
      <w:r>
        <w:rPr>
          <w:rFonts w:asciiTheme="minorHAnsi" w:hAnsiTheme="minorHAnsi" w:cstheme="minorBidi"/>
          <w:sz w:val="20"/>
          <w:szCs w:val="20"/>
        </w:rPr>
        <w:t>Data Sources</w:t>
      </w:r>
      <w:bookmarkEnd w:id="461"/>
      <w:bookmarkEnd w:id="462"/>
    </w:p>
    <w:p w14:paraId="2B932E2F" w14:textId="77777777" w:rsidR="00672297" w:rsidRDefault="00A16EA3">
      <w:pPr>
        <w:rPr>
          <w:rFonts w:cstheme="minorHAnsi"/>
          <w:sz w:val="20"/>
          <w:szCs w:val="20"/>
        </w:rPr>
      </w:pPr>
      <w:r>
        <w:rPr>
          <w:rFonts w:cstheme="minorHAnsi"/>
          <w:sz w:val="20"/>
          <w:szCs w:val="20"/>
        </w:rPr>
        <w:t>The VCB dashboards read two sources: the IQDM database (six VCB views and day_detail) and the MPR API. The MPR fields are fetched from the MPR database through the API (not from IQDM), stored directly in the Power BI semantic model and joined to the KPI views.</w:t>
      </w:r>
    </w:p>
    <w:p w14:paraId="485F833D" w14:textId="77777777" w:rsidR="00672297" w:rsidRDefault="00A16EA3">
      <w:pPr>
        <w:rPr>
          <w:rFonts w:cstheme="minorHAnsi"/>
          <w:sz w:val="20"/>
          <w:szCs w:val="20"/>
        </w:rPr>
      </w:pPr>
      <w:r>
        <w:rPr>
          <w:rFonts w:cstheme="minorHAnsi"/>
          <w:sz w:val="20"/>
          <w:szCs w:val="20"/>
        </w:rPr>
        <w:t>Data Source for Power BI:</w:t>
      </w:r>
    </w:p>
    <w:tbl>
      <w:tblPr>
        <w:tblStyle w:val="TableGrid"/>
        <w:tblW w:w="9360" w:type="dxa"/>
        <w:tblLayout w:type="fixed"/>
        <w:tblCellMar>
          <w:left w:w="70" w:type="dxa"/>
          <w:right w:w="70" w:type="dxa"/>
        </w:tblCellMar>
        <w:tblLook w:val="04A0" w:firstRow="1" w:lastRow="0" w:firstColumn="1" w:lastColumn="0" w:noHBand="0" w:noVBand="1"/>
      </w:tblPr>
      <w:tblGrid>
        <w:gridCol w:w="1872"/>
        <w:gridCol w:w="1872"/>
        <w:gridCol w:w="1684"/>
        <w:gridCol w:w="3932"/>
      </w:tblGrid>
      <w:tr w:rsidR="00672297" w14:paraId="5D55E77B" w14:textId="77777777">
        <w:trPr>
          <w:cantSplit/>
          <w:tblHeader/>
        </w:trPr>
        <w:tc>
          <w:tcPr>
            <w:tcW w:w="1872" w:type="dxa"/>
            <w:shd w:val="clear" w:color="auto" w:fill="2F5496"/>
            <w:vAlign w:val="center"/>
          </w:tcPr>
          <w:p w14:paraId="133A948D" w14:textId="77777777" w:rsidR="00672297" w:rsidRDefault="00A16EA3">
            <w:pPr>
              <w:spacing w:before="20" w:after="20"/>
              <w:jc w:val="left"/>
            </w:pPr>
            <w:r>
              <w:rPr>
                <w:rFonts w:cstheme="minorHAnsi"/>
                <w:b/>
                <w:bCs/>
                <w:color w:val="FFFFFF"/>
                <w:sz w:val="20"/>
                <w:szCs w:val="20"/>
              </w:rPr>
              <w:t>Source System</w:t>
            </w:r>
          </w:p>
        </w:tc>
        <w:tc>
          <w:tcPr>
            <w:tcW w:w="1872" w:type="dxa"/>
            <w:shd w:val="clear" w:color="auto" w:fill="2F5496"/>
            <w:vAlign w:val="center"/>
          </w:tcPr>
          <w:p w14:paraId="4961B373" w14:textId="77777777" w:rsidR="00672297" w:rsidRDefault="00A16EA3">
            <w:pPr>
              <w:spacing w:before="20" w:after="20"/>
              <w:jc w:val="left"/>
            </w:pPr>
            <w:r>
              <w:rPr>
                <w:rFonts w:cstheme="minorHAnsi"/>
                <w:b/>
                <w:bCs/>
                <w:color w:val="FFFFFF"/>
                <w:sz w:val="20"/>
                <w:szCs w:val="20"/>
              </w:rPr>
              <w:t>Type</w:t>
            </w:r>
          </w:p>
        </w:tc>
        <w:tc>
          <w:tcPr>
            <w:tcW w:w="1684" w:type="dxa"/>
            <w:shd w:val="clear" w:color="auto" w:fill="2F5496"/>
            <w:vAlign w:val="center"/>
          </w:tcPr>
          <w:p w14:paraId="442E0E88" w14:textId="77777777" w:rsidR="00672297" w:rsidRDefault="00A16EA3">
            <w:pPr>
              <w:spacing w:before="20" w:after="20"/>
              <w:jc w:val="left"/>
            </w:pPr>
            <w:r>
              <w:rPr>
                <w:rFonts w:cstheme="minorHAnsi"/>
                <w:b/>
                <w:bCs/>
                <w:color w:val="FFFFFF"/>
                <w:sz w:val="20"/>
                <w:szCs w:val="20"/>
              </w:rPr>
              <w:t>Connection Mode</w:t>
            </w:r>
          </w:p>
        </w:tc>
        <w:tc>
          <w:tcPr>
            <w:tcW w:w="3932" w:type="dxa"/>
            <w:shd w:val="clear" w:color="auto" w:fill="2F5496"/>
            <w:vAlign w:val="center"/>
          </w:tcPr>
          <w:p w14:paraId="35F04362" w14:textId="77777777" w:rsidR="00672297" w:rsidRDefault="00A16EA3">
            <w:pPr>
              <w:spacing w:before="20" w:after="20"/>
              <w:jc w:val="left"/>
            </w:pPr>
            <w:r>
              <w:rPr>
                <w:rFonts w:cstheme="minorHAnsi"/>
                <w:b/>
                <w:bCs/>
                <w:color w:val="FFFFFF"/>
                <w:sz w:val="20"/>
                <w:szCs w:val="20"/>
              </w:rPr>
              <w:t>Objects Read</w:t>
            </w:r>
          </w:p>
        </w:tc>
      </w:tr>
      <w:tr w:rsidR="00672297" w14:paraId="2A0A4AD3" w14:textId="77777777">
        <w:trPr>
          <w:cantSplit/>
        </w:trPr>
        <w:tc>
          <w:tcPr>
            <w:tcW w:w="1872" w:type="dxa"/>
            <w:vAlign w:val="center"/>
          </w:tcPr>
          <w:p w14:paraId="439E5491" w14:textId="77777777" w:rsidR="00672297" w:rsidRDefault="00A16EA3">
            <w:pPr>
              <w:spacing w:before="20" w:after="20"/>
              <w:jc w:val="left"/>
            </w:pPr>
            <w:r>
              <w:rPr>
                <w:rFonts w:cstheme="minorHAnsi"/>
                <w:sz w:val="20"/>
                <w:szCs w:val="20"/>
              </w:rPr>
              <w:t>IQDM Database</w:t>
            </w:r>
          </w:p>
        </w:tc>
        <w:tc>
          <w:tcPr>
            <w:tcW w:w="1872" w:type="dxa"/>
            <w:vAlign w:val="center"/>
          </w:tcPr>
          <w:p w14:paraId="2C1F1452" w14:textId="77777777" w:rsidR="00672297" w:rsidRDefault="00A16EA3">
            <w:pPr>
              <w:spacing w:before="20" w:after="20"/>
              <w:jc w:val="left"/>
            </w:pPr>
            <w:r>
              <w:rPr>
                <w:rFonts w:cstheme="minorHAnsi"/>
                <w:sz w:val="20"/>
                <w:szCs w:val="20"/>
              </w:rPr>
              <w:t>SQL Server (Azure SQL)</w:t>
            </w:r>
          </w:p>
        </w:tc>
        <w:tc>
          <w:tcPr>
            <w:tcW w:w="1684" w:type="dxa"/>
            <w:vAlign w:val="center"/>
          </w:tcPr>
          <w:p w14:paraId="3F5B58DE" w14:textId="77777777" w:rsidR="00672297" w:rsidRDefault="00A16EA3">
            <w:pPr>
              <w:spacing w:before="20" w:after="20"/>
              <w:jc w:val="left"/>
            </w:pPr>
            <w:r>
              <w:rPr>
                <w:rFonts w:cstheme="minorHAnsi"/>
                <w:sz w:val="20"/>
                <w:szCs w:val="20"/>
              </w:rPr>
              <w:t>Import</w:t>
            </w:r>
          </w:p>
        </w:tc>
        <w:tc>
          <w:tcPr>
            <w:tcW w:w="3932" w:type="dxa"/>
            <w:vAlign w:val="center"/>
          </w:tcPr>
          <w:p w14:paraId="2E6D16A4" w14:textId="77777777" w:rsidR="00672297" w:rsidRDefault="00A16EA3">
            <w:pPr>
              <w:spacing w:before="20" w:after="20"/>
              <w:jc w:val="left"/>
            </w:pPr>
            <w:r>
              <w:rPr>
                <w:rFonts w:cstheme="minorHAnsi"/>
                <w:sz w:val="20"/>
                <w:szCs w:val="20"/>
              </w:rPr>
              <w:t>vwRefineryBatchMovementQuality, vwDistillateBlendPotentialQuality, vwDistillateBatchQuality, vwBlendComponentSupplyDemand, vwGasolineBlendingKPI, vwDistillateBlendingKPI; day_detail</w:t>
            </w:r>
          </w:p>
        </w:tc>
      </w:tr>
      <w:tr w:rsidR="00672297" w14:paraId="17DA4AC4" w14:textId="77777777">
        <w:trPr>
          <w:cantSplit/>
        </w:trPr>
        <w:tc>
          <w:tcPr>
            <w:tcW w:w="1872" w:type="dxa"/>
            <w:vAlign w:val="center"/>
          </w:tcPr>
          <w:p w14:paraId="67E551CC" w14:textId="77777777" w:rsidR="00672297" w:rsidRDefault="00A16EA3">
            <w:pPr>
              <w:spacing w:before="20" w:after="20"/>
              <w:jc w:val="left"/>
            </w:pPr>
            <w:r>
              <w:rPr>
                <w:rFonts w:cstheme="minorHAnsi"/>
                <w:sz w:val="20"/>
                <w:szCs w:val="20"/>
              </w:rPr>
              <w:t>MPR API (MPR database through the Cost API / price service)</w:t>
            </w:r>
          </w:p>
        </w:tc>
        <w:tc>
          <w:tcPr>
            <w:tcW w:w="1872" w:type="dxa"/>
            <w:vAlign w:val="center"/>
          </w:tcPr>
          <w:p w14:paraId="637FF472" w14:textId="77777777" w:rsidR="00672297" w:rsidRDefault="00A16EA3">
            <w:pPr>
              <w:spacing w:before="20" w:after="20"/>
              <w:jc w:val="left"/>
            </w:pPr>
            <w:r>
              <w:rPr>
                <w:rFonts w:cstheme="minorHAnsi"/>
                <w:sz w:val="20"/>
                <w:szCs w:val="20"/>
              </w:rPr>
              <w:t>REST (POST), Entra ID bearer token, IsImport = true</w:t>
            </w:r>
          </w:p>
        </w:tc>
        <w:tc>
          <w:tcPr>
            <w:tcW w:w="1684" w:type="dxa"/>
            <w:vAlign w:val="center"/>
          </w:tcPr>
          <w:p w14:paraId="3ED1A47D" w14:textId="77777777" w:rsidR="00672297" w:rsidRDefault="00A16EA3">
            <w:pPr>
              <w:spacing w:before="20" w:after="20"/>
              <w:jc w:val="left"/>
            </w:pPr>
            <w:r>
              <w:rPr>
                <w:rFonts w:cstheme="minorHAnsi"/>
                <w:sz w:val="20"/>
                <w:szCs w:val="20"/>
              </w:rPr>
              <w:t>Import - stored in the Power BI semantic model only</w:t>
            </w:r>
          </w:p>
        </w:tc>
        <w:tc>
          <w:tcPr>
            <w:tcW w:w="3932" w:type="dxa"/>
            <w:vAlign w:val="center"/>
          </w:tcPr>
          <w:p w14:paraId="0BA0188B" w14:textId="19280731" w:rsidR="00672297" w:rsidRDefault="008A4F32">
            <w:pPr>
              <w:spacing w:before="20" w:after="20"/>
              <w:jc w:val="left"/>
            </w:pPr>
            <w:r>
              <w:rPr>
                <w:rFonts w:cstheme="minorHAnsi"/>
                <w:sz w:val="20"/>
                <w:szCs w:val="20"/>
              </w:rPr>
              <w:t xml:space="preserve">MPR_Price: Material_GlobalCode (globalCode), MaterialGlobalCodeDescription, Category, AveragePrice, UOM, Currency, PriceIds, PriceType </w:t>
            </w:r>
            <w:r w:rsidR="008F2422">
              <w:rPr>
                <w:rFonts w:cstheme="minorHAnsi"/>
                <w:sz w:val="20"/>
                <w:szCs w:val="20"/>
              </w:rPr>
              <w:t>(Cost API response model, Table 2-21)</w:t>
            </w:r>
            <w:r>
              <w:rPr>
                <w:rFonts w:cstheme="minorHAnsi"/>
                <w:sz w:val="20"/>
                <w:szCs w:val="20"/>
              </w:rPr>
              <w:t xml:space="preserve"> plus productAbbreviation - the second join column agreed for VCB (gap DP-11)</w:t>
            </w:r>
          </w:p>
        </w:tc>
      </w:tr>
    </w:tbl>
    <w:p w14:paraId="2C72F282" w14:textId="38CF3C5D" w:rsidR="00672297" w:rsidRDefault="00A16EA3">
      <w:pPr>
        <w:pStyle w:val="Caption"/>
      </w:pPr>
      <w:bookmarkStart w:id="463" w:name="_Toc900950013"/>
      <w:bookmarkStart w:id="464" w:name="_Toc241574692"/>
      <w:bookmarkStart w:id="465" w:name="_Toc242554076"/>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w:t>
      </w:r>
      <w:r>
        <w:fldChar w:fldCharType="end"/>
      </w:r>
      <w:r>
        <w:t>: Data Sources for Power BI</w:t>
      </w:r>
      <w:bookmarkEnd w:id="463"/>
      <w:bookmarkEnd w:id="464"/>
      <w:bookmarkEnd w:id="465"/>
    </w:p>
    <w:p w14:paraId="50CE2CA2" w14:textId="77777777" w:rsidR="00672297" w:rsidRDefault="00A16EA3">
      <w:pPr>
        <w:pStyle w:val="Heading3"/>
        <w:rPr>
          <w:rFonts w:asciiTheme="minorHAnsi" w:hAnsiTheme="minorHAnsi" w:cstheme="minorBidi"/>
          <w:sz w:val="20"/>
          <w:szCs w:val="20"/>
        </w:rPr>
      </w:pPr>
      <w:bookmarkStart w:id="466" w:name="_Toc241574346"/>
      <w:bookmarkStart w:id="467" w:name="_Toc242553968"/>
      <w:r>
        <w:rPr>
          <w:rFonts w:asciiTheme="minorHAnsi" w:hAnsiTheme="minorHAnsi" w:cstheme="minorBidi"/>
          <w:sz w:val="20"/>
          <w:szCs w:val="20"/>
        </w:rPr>
        <w:t>Connection Details</w:t>
      </w:r>
      <w:bookmarkEnd w:id="466"/>
      <w:bookmarkEnd w:id="467"/>
    </w:p>
    <w:p w14:paraId="109320AA" w14:textId="77777777" w:rsidR="00672297" w:rsidRDefault="00A16EA3">
      <w:pPr>
        <w:rPr>
          <w:rFonts w:cstheme="minorHAnsi"/>
          <w:sz w:val="20"/>
          <w:szCs w:val="20"/>
        </w:rPr>
      </w:pPr>
      <w:r>
        <w:rPr>
          <w:rFonts w:cstheme="minorHAnsi"/>
          <w:sz w:val="20"/>
          <w:szCs w:val="20"/>
        </w:rPr>
        <w:t>Server: com-dev-me2-com-shared-sql.database.windows.net; Database: iqdmdev (DEV). QA: com-tst-me2-com-shared-sql.database.windows.net / iqdmqa. UAT and PROD: gap DP-01. The server and database are Power Query parameters (pServer, pDatabase) so that the same PBIX is promoted between environments without editing queries.</w:t>
      </w:r>
    </w:p>
    <w:p w14:paraId="7758DD1E" w14:textId="77777777" w:rsidR="00672297" w:rsidRDefault="00A16EA3">
      <w:pPr>
        <w:pStyle w:val="Heading3"/>
        <w:rPr>
          <w:rFonts w:asciiTheme="minorHAnsi" w:hAnsiTheme="minorHAnsi" w:cstheme="minorBidi"/>
          <w:sz w:val="20"/>
          <w:szCs w:val="20"/>
        </w:rPr>
      </w:pPr>
      <w:bookmarkStart w:id="468" w:name="_Toc241574347"/>
      <w:bookmarkStart w:id="469" w:name="_Toc242553969"/>
      <w:r>
        <w:rPr>
          <w:rFonts w:asciiTheme="minorHAnsi" w:hAnsiTheme="minorHAnsi" w:cstheme="minorBidi"/>
          <w:sz w:val="20"/>
          <w:szCs w:val="20"/>
        </w:rPr>
        <w:t>Semantic Model Design</w:t>
      </w:r>
      <w:bookmarkEnd w:id="468"/>
      <w:bookmarkEnd w:id="469"/>
    </w:p>
    <w:p w14:paraId="2727AD0E" w14:textId="77777777" w:rsidR="00672297" w:rsidRDefault="00A16EA3">
      <w:pPr>
        <w:rPr>
          <w:rFonts w:cstheme="minorHAnsi"/>
          <w:sz w:val="20"/>
          <w:szCs w:val="20"/>
        </w:rPr>
      </w:pPr>
      <w:r>
        <w:rPr>
          <w:rFonts w:cstheme="minorHAnsi"/>
          <w:sz w:val="20"/>
          <w:szCs w:val="20"/>
        </w:rPr>
        <w:t>Model type: star schema per report, following the IQDM dashboards (one reporting view per dashboard plus the calendar). One shared semantic model holds the six views; each report uses its own view, day_detail and Last_Refresh, and the two KPI reports also use MPR_Price. Relationships are many-to-one and single-direction. Slicers use the columns of the dashboard view directly.</w:t>
      </w:r>
    </w:p>
    <w:p w14:paraId="3826ADF4" w14:textId="77777777" w:rsidR="00672297" w:rsidRDefault="00A16EA3">
      <w:pPr>
        <w:keepNext/>
        <w:jc w:val="center"/>
      </w:pPr>
      <w:r>
        <w:rPr>
          <w:noProof/>
        </w:rPr>
        <w:drawing>
          <wp:inline distT="0" distB="0" distL="0" distR="0" wp14:anchorId="5220DAB0" wp14:editId="5172724C">
            <wp:extent cx="5943600" cy="2575560"/>
            <wp:effectExtent l="0" t="0" r="0" b="0"/>
            <wp:docPr id="2054427806" name="VCB Fig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vcb_fig_5001.png"/>
                    <pic:cNvPicPr/>
                  </pic:nvPicPr>
                  <pic:blipFill>
                    <a:blip r:embed="rId48"/>
                    <a:stretch>
                      <a:fillRect/>
                    </a:stretch>
                  </pic:blipFill>
                  <pic:spPr>
                    <a:xfrm>
                      <a:off x="0" y="0"/>
                      <a:ext cx="5943600" cy="2575560"/>
                    </a:xfrm>
                    <a:prstGeom prst="rect">
                      <a:avLst/>
                    </a:prstGeom>
                  </pic:spPr>
                </pic:pic>
              </a:graphicData>
            </a:graphic>
          </wp:inline>
        </w:drawing>
      </w:r>
    </w:p>
    <w:p w14:paraId="07C39FBC" w14:textId="77777777" w:rsidR="0061318D" w:rsidRDefault="0061318D">
      <w:pPr>
        <w:keepNext/>
        <w:jc w:val="center"/>
      </w:pPr>
    </w:p>
    <w:p w14:paraId="2DD0D1DB" w14:textId="5E7448B6" w:rsidR="0061318D" w:rsidRDefault="0061318D">
      <w:pPr>
        <w:keepNext/>
        <w:jc w:val="center"/>
      </w:pPr>
      <w:r>
        <w:rPr>
          <w:noProof/>
        </w:rPr>
        <w:drawing>
          <wp:inline distT="0" distB="0" distL="0" distR="0" wp14:anchorId="6CFD34E1" wp14:editId="2E97A32E">
            <wp:extent cx="5935980" cy="3832860"/>
            <wp:effectExtent l="0" t="0" r="7620" b="0"/>
            <wp:docPr id="1835262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3EEC4880" w14:textId="2FA69E65" w:rsidR="00672297" w:rsidRDefault="00A16EA3">
      <w:pPr>
        <w:pStyle w:val="Caption"/>
      </w:pPr>
      <w:bookmarkStart w:id="470" w:name="_Toc900950016"/>
      <w:bookmarkStart w:id="471" w:name="_Toc241574759"/>
      <w:bookmarkStart w:id="472" w:name="_Toc242554161"/>
      <w:r>
        <w:t xml:space="preserve">Figure </w:t>
      </w:r>
      <w:r>
        <w:fldChar w:fldCharType="begin"/>
      </w:r>
      <w:r>
        <w:instrText>STYLEREF 1 \s</w:instrText>
      </w:r>
      <w:r>
        <w:fldChar w:fldCharType="separate"/>
      </w:r>
      <w:r w:rsidR="00FC42E7">
        <w:rPr>
          <w:noProof/>
        </w:rPr>
        <w:t>4</w:t>
      </w:r>
      <w:r>
        <w:fldChar w:fldCharType="end"/>
      </w:r>
      <w:r>
        <w:t>-</w:t>
      </w:r>
      <w:r>
        <w:fldChar w:fldCharType="begin"/>
      </w:r>
      <w:r>
        <w:instrText>SEQ Figure \* ARABIC \s 1</w:instrText>
      </w:r>
      <w:r>
        <w:fldChar w:fldCharType="separate"/>
      </w:r>
      <w:r w:rsidR="00FC42E7">
        <w:rPr>
          <w:noProof/>
        </w:rPr>
        <w:t>2</w:t>
      </w:r>
      <w:r>
        <w:fldChar w:fldCharType="end"/>
      </w:r>
      <w:r>
        <w:t>: VCB Semantic Model (Star Schema)</w:t>
      </w:r>
      <w:bookmarkEnd w:id="470"/>
      <w:bookmarkEnd w:id="471"/>
      <w:bookmarkEnd w:id="472"/>
    </w:p>
    <w:tbl>
      <w:tblPr>
        <w:tblStyle w:val="TableGrid"/>
        <w:tblW w:w="9360" w:type="dxa"/>
        <w:tblLayout w:type="fixed"/>
        <w:tblCellMar>
          <w:left w:w="70" w:type="dxa"/>
          <w:right w:w="70" w:type="dxa"/>
        </w:tblCellMar>
        <w:tblLook w:val="04A0" w:firstRow="1" w:lastRow="0" w:firstColumn="1" w:lastColumn="0" w:noHBand="0" w:noVBand="1"/>
      </w:tblPr>
      <w:tblGrid>
        <w:gridCol w:w="2433"/>
        <w:gridCol w:w="1684"/>
        <w:gridCol w:w="1310"/>
        <w:gridCol w:w="3933"/>
      </w:tblGrid>
      <w:tr w:rsidR="00672297" w14:paraId="2B02449C" w14:textId="77777777">
        <w:trPr>
          <w:cantSplit/>
          <w:tblHeader/>
        </w:trPr>
        <w:tc>
          <w:tcPr>
            <w:tcW w:w="2433" w:type="dxa"/>
            <w:shd w:val="clear" w:color="auto" w:fill="2F5496"/>
            <w:vAlign w:val="center"/>
          </w:tcPr>
          <w:p w14:paraId="09A62EB2" w14:textId="77777777" w:rsidR="00672297" w:rsidRDefault="00A16EA3">
            <w:pPr>
              <w:spacing w:before="20" w:after="20"/>
              <w:jc w:val="left"/>
            </w:pPr>
            <w:r>
              <w:rPr>
                <w:rFonts w:cstheme="minorHAnsi"/>
                <w:b/>
                <w:bCs/>
                <w:color w:val="FFFFFF"/>
                <w:sz w:val="20"/>
                <w:szCs w:val="20"/>
              </w:rPr>
              <w:t>Table / View Name</w:t>
            </w:r>
          </w:p>
        </w:tc>
        <w:tc>
          <w:tcPr>
            <w:tcW w:w="1684" w:type="dxa"/>
            <w:shd w:val="clear" w:color="auto" w:fill="2F5496"/>
            <w:vAlign w:val="center"/>
          </w:tcPr>
          <w:p w14:paraId="475A0E1F" w14:textId="77777777" w:rsidR="00672297" w:rsidRDefault="00A16EA3">
            <w:pPr>
              <w:spacing w:before="20" w:after="20"/>
              <w:jc w:val="left"/>
            </w:pPr>
            <w:r>
              <w:rPr>
                <w:rFonts w:cstheme="minorHAnsi"/>
                <w:b/>
                <w:bCs/>
                <w:color w:val="FFFFFF"/>
                <w:sz w:val="20"/>
                <w:szCs w:val="20"/>
              </w:rPr>
              <w:t>Source</w:t>
            </w:r>
          </w:p>
        </w:tc>
        <w:tc>
          <w:tcPr>
            <w:tcW w:w="1310" w:type="dxa"/>
            <w:shd w:val="clear" w:color="auto" w:fill="2F5496"/>
            <w:vAlign w:val="center"/>
          </w:tcPr>
          <w:p w14:paraId="64DCA296" w14:textId="77777777" w:rsidR="00672297" w:rsidRDefault="00A16EA3">
            <w:pPr>
              <w:spacing w:before="20" w:after="20"/>
              <w:jc w:val="left"/>
            </w:pPr>
            <w:r>
              <w:rPr>
                <w:rFonts w:cstheme="minorHAnsi"/>
                <w:b/>
                <w:bCs/>
                <w:color w:val="FFFFFF"/>
                <w:sz w:val="20"/>
                <w:szCs w:val="20"/>
              </w:rPr>
              <w:t>Type</w:t>
            </w:r>
          </w:p>
        </w:tc>
        <w:tc>
          <w:tcPr>
            <w:tcW w:w="3933" w:type="dxa"/>
            <w:shd w:val="clear" w:color="auto" w:fill="2F5496"/>
            <w:vAlign w:val="center"/>
          </w:tcPr>
          <w:p w14:paraId="7F5640D6" w14:textId="77777777" w:rsidR="00672297" w:rsidRDefault="00A16EA3">
            <w:pPr>
              <w:spacing w:before="20" w:after="20"/>
              <w:jc w:val="left"/>
            </w:pPr>
            <w:r>
              <w:rPr>
                <w:rFonts w:cstheme="minorHAnsi"/>
                <w:b/>
                <w:bCs/>
                <w:color w:val="FFFFFF"/>
                <w:sz w:val="20"/>
                <w:szCs w:val="20"/>
              </w:rPr>
              <w:t>Used By / Description</w:t>
            </w:r>
          </w:p>
        </w:tc>
      </w:tr>
      <w:tr w:rsidR="00672297" w14:paraId="36B1F311" w14:textId="77777777">
        <w:trPr>
          <w:cantSplit/>
        </w:trPr>
        <w:tc>
          <w:tcPr>
            <w:tcW w:w="2433" w:type="dxa"/>
            <w:vAlign w:val="center"/>
          </w:tcPr>
          <w:p w14:paraId="110ED9AF" w14:textId="77777777" w:rsidR="00672297" w:rsidRDefault="00A16EA3">
            <w:pPr>
              <w:spacing w:before="20" w:after="20"/>
              <w:jc w:val="left"/>
            </w:pPr>
            <w:r>
              <w:rPr>
                <w:rFonts w:cstheme="minorHAnsi"/>
                <w:sz w:val="20"/>
                <w:szCs w:val="20"/>
              </w:rPr>
              <w:t>vwRefineryBatchMovementQuality</w:t>
            </w:r>
          </w:p>
        </w:tc>
        <w:tc>
          <w:tcPr>
            <w:tcW w:w="1684" w:type="dxa"/>
            <w:vAlign w:val="center"/>
          </w:tcPr>
          <w:p w14:paraId="01C1CD38" w14:textId="77777777" w:rsidR="00672297" w:rsidRDefault="00A16EA3">
            <w:pPr>
              <w:spacing w:before="20" w:after="20"/>
              <w:jc w:val="left"/>
            </w:pPr>
            <w:r>
              <w:rPr>
                <w:rFonts w:cstheme="minorHAnsi"/>
                <w:sz w:val="20"/>
                <w:szCs w:val="20"/>
              </w:rPr>
              <w:t>IQDM view</w:t>
            </w:r>
          </w:p>
        </w:tc>
        <w:tc>
          <w:tcPr>
            <w:tcW w:w="1310" w:type="dxa"/>
            <w:vAlign w:val="center"/>
          </w:tcPr>
          <w:p w14:paraId="02EA8B21" w14:textId="77777777" w:rsidR="00672297" w:rsidRDefault="00A16EA3">
            <w:pPr>
              <w:spacing w:before="20" w:after="20"/>
              <w:jc w:val="left"/>
            </w:pPr>
            <w:r>
              <w:rPr>
                <w:rFonts w:cstheme="minorHAnsi"/>
                <w:sz w:val="20"/>
                <w:szCs w:val="20"/>
              </w:rPr>
              <w:t>Transaction</w:t>
            </w:r>
          </w:p>
        </w:tc>
        <w:tc>
          <w:tcPr>
            <w:tcW w:w="3933" w:type="dxa"/>
            <w:vAlign w:val="center"/>
          </w:tcPr>
          <w:p w14:paraId="7AE823CA" w14:textId="77777777" w:rsidR="00672297" w:rsidRDefault="00A16EA3">
            <w:pPr>
              <w:spacing w:before="20" w:after="20"/>
              <w:jc w:val="left"/>
            </w:pPr>
            <w:r>
              <w:rPr>
                <w:rFonts w:cstheme="minorHAnsi"/>
                <w:sz w:val="20"/>
                <w:szCs w:val="20"/>
              </w:rPr>
              <w:t>Refinery-Wide dashboard - batch movement and quality (Gantt, event summary, slicers)</w:t>
            </w:r>
          </w:p>
        </w:tc>
      </w:tr>
      <w:tr w:rsidR="00672297" w14:paraId="3656E4EE" w14:textId="77777777">
        <w:trPr>
          <w:cantSplit/>
        </w:trPr>
        <w:tc>
          <w:tcPr>
            <w:tcW w:w="2433" w:type="dxa"/>
            <w:vAlign w:val="center"/>
          </w:tcPr>
          <w:p w14:paraId="63C69ABB" w14:textId="77777777" w:rsidR="00672297" w:rsidRDefault="00A16EA3">
            <w:pPr>
              <w:spacing w:before="20" w:after="20"/>
              <w:jc w:val="left"/>
            </w:pPr>
            <w:r>
              <w:rPr>
                <w:rFonts w:cstheme="minorHAnsi"/>
                <w:sz w:val="20"/>
                <w:szCs w:val="20"/>
              </w:rPr>
              <w:t>vwDistillateBlendPotentialQuality</w:t>
            </w:r>
          </w:p>
        </w:tc>
        <w:tc>
          <w:tcPr>
            <w:tcW w:w="1684" w:type="dxa"/>
            <w:vAlign w:val="center"/>
          </w:tcPr>
          <w:p w14:paraId="552AE3AE" w14:textId="77777777" w:rsidR="00672297" w:rsidRDefault="00A16EA3">
            <w:pPr>
              <w:spacing w:before="20" w:after="20"/>
              <w:jc w:val="left"/>
            </w:pPr>
            <w:r>
              <w:rPr>
                <w:rFonts w:cstheme="minorHAnsi"/>
                <w:sz w:val="20"/>
                <w:szCs w:val="20"/>
              </w:rPr>
              <w:t>IQDM view</w:t>
            </w:r>
          </w:p>
        </w:tc>
        <w:tc>
          <w:tcPr>
            <w:tcW w:w="1310" w:type="dxa"/>
            <w:vAlign w:val="center"/>
          </w:tcPr>
          <w:p w14:paraId="696D6BB1" w14:textId="77777777" w:rsidR="00672297" w:rsidRDefault="00A16EA3">
            <w:pPr>
              <w:spacing w:before="20" w:after="20"/>
              <w:jc w:val="left"/>
            </w:pPr>
            <w:r>
              <w:rPr>
                <w:rFonts w:cstheme="minorHAnsi"/>
                <w:sz w:val="20"/>
                <w:szCs w:val="20"/>
              </w:rPr>
              <w:t>Transaction</w:t>
            </w:r>
          </w:p>
        </w:tc>
        <w:tc>
          <w:tcPr>
            <w:tcW w:w="3933" w:type="dxa"/>
            <w:vAlign w:val="center"/>
          </w:tcPr>
          <w:p w14:paraId="25C94B35" w14:textId="77777777" w:rsidR="00672297" w:rsidRDefault="00A16EA3">
            <w:pPr>
              <w:spacing w:before="20" w:after="20"/>
              <w:jc w:val="left"/>
            </w:pPr>
            <w:r>
              <w:rPr>
                <w:rFonts w:cstheme="minorHAnsi"/>
                <w:sz w:val="20"/>
                <w:szCs w:val="20"/>
              </w:rPr>
              <w:t>Blending Potential dashboard - batch pre / post / spec qualities and component potential</w:t>
            </w:r>
          </w:p>
        </w:tc>
      </w:tr>
      <w:tr w:rsidR="00672297" w14:paraId="45884BB4" w14:textId="77777777">
        <w:trPr>
          <w:cantSplit/>
        </w:trPr>
        <w:tc>
          <w:tcPr>
            <w:tcW w:w="2433" w:type="dxa"/>
            <w:vAlign w:val="center"/>
          </w:tcPr>
          <w:p w14:paraId="3E994C89" w14:textId="77777777" w:rsidR="00672297" w:rsidRDefault="00A16EA3">
            <w:pPr>
              <w:spacing w:before="20" w:after="20"/>
              <w:jc w:val="left"/>
            </w:pPr>
            <w:r>
              <w:rPr>
                <w:rFonts w:cstheme="minorHAnsi"/>
                <w:sz w:val="20"/>
                <w:szCs w:val="20"/>
              </w:rPr>
              <w:t>vwDistillateBatchQuality</w:t>
            </w:r>
          </w:p>
        </w:tc>
        <w:tc>
          <w:tcPr>
            <w:tcW w:w="1684" w:type="dxa"/>
            <w:vAlign w:val="center"/>
          </w:tcPr>
          <w:p w14:paraId="1A1A07F4" w14:textId="77777777" w:rsidR="00672297" w:rsidRDefault="00A16EA3">
            <w:pPr>
              <w:spacing w:before="20" w:after="20"/>
              <w:jc w:val="left"/>
            </w:pPr>
            <w:r>
              <w:rPr>
                <w:rFonts w:cstheme="minorHAnsi"/>
                <w:sz w:val="20"/>
                <w:szCs w:val="20"/>
              </w:rPr>
              <w:t>IQDM view</w:t>
            </w:r>
          </w:p>
        </w:tc>
        <w:tc>
          <w:tcPr>
            <w:tcW w:w="1310" w:type="dxa"/>
            <w:vAlign w:val="center"/>
          </w:tcPr>
          <w:p w14:paraId="73AFC97E" w14:textId="77777777" w:rsidR="00672297" w:rsidRDefault="00A16EA3">
            <w:pPr>
              <w:spacing w:before="20" w:after="20"/>
              <w:jc w:val="left"/>
            </w:pPr>
            <w:r>
              <w:rPr>
                <w:rFonts w:cstheme="minorHAnsi"/>
                <w:sz w:val="20"/>
                <w:szCs w:val="20"/>
              </w:rPr>
              <w:t>Transaction</w:t>
            </w:r>
          </w:p>
        </w:tc>
        <w:tc>
          <w:tcPr>
            <w:tcW w:w="3933" w:type="dxa"/>
            <w:vAlign w:val="center"/>
          </w:tcPr>
          <w:p w14:paraId="39D1ED45" w14:textId="77777777" w:rsidR="00672297" w:rsidRDefault="00A16EA3">
            <w:pPr>
              <w:spacing w:before="20" w:after="20"/>
              <w:jc w:val="left"/>
            </w:pPr>
            <w:r>
              <w:rPr>
                <w:rFonts w:cstheme="minorHAnsi"/>
                <w:sz w:val="20"/>
                <w:szCs w:val="20"/>
              </w:rPr>
              <w:t>Distillate dashboard - batch Min / Actual / Max qualities</w:t>
            </w:r>
          </w:p>
        </w:tc>
      </w:tr>
      <w:tr w:rsidR="00672297" w14:paraId="4015068A" w14:textId="77777777">
        <w:trPr>
          <w:cantSplit/>
        </w:trPr>
        <w:tc>
          <w:tcPr>
            <w:tcW w:w="2433" w:type="dxa"/>
            <w:vAlign w:val="center"/>
          </w:tcPr>
          <w:p w14:paraId="18CD17DA" w14:textId="77777777" w:rsidR="00672297" w:rsidRDefault="00A16EA3">
            <w:pPr>
              <w:spacing w:before="20" w:after="20"/>
              <w:jc w:val="left"/>
            </w:pPr>
            <w:r>
              <w:rPr>
                <w:rFonts w:cstheme="minorHAnsi"/>
                <w:sz w:val="20"/>
                <w:szCs w:val="20"/>
              </w:rPr>
              <w:t>vwBlendComponentSupplyDemand</w:t>
            </w:r>
          </w:p>
        </w:tc>
        <w:tc>
          <w:tcPr>
            <w:tcW w:w="1684" w:type="dxa"/>
            <w:vAlign w:val="center"/>
          </w:tcPr>
          <w:p w14:paraId="0F18C969" w14:textId="77777777" w:rsidR="00672297" w:rsidRDefault="00A16EA3">
            <w:pPr>
              <w:spacing w:before="20" w:after="20"/>
              <w:jc w:val="left"/>
            </w:pPr>
            <w:r>
              <w:rPr>
                <w:rFonts w:cstheme="minorHAnsi"/>
                <w:sz w:val="20"/>
                <w:szCs w:val="20"/>
              </w:rPr>
              <w:t>IQDM view</w:t>
            </w:r>
          </w:p>
        </w:tc>
        <w:tc>
          <w:tcPr>
            <w:tcW w:w="1310" w:type="dxa"/>
            <w:vAlign w:val="center"/>
          </w:tcPr>
          <w:p w14:paraId="44F371FF" w14:textId="77777777" w:rsidR="00672297" w:rsidRDefault="00A16EA3">
            <w:pPr>
              <w:spacing w:before="20" w:after="20"/>
              <w:jc w:val="left"/>
            </w:pPr>
            <w:r>
              <w:rPr>
                <w:rFonts w:cstheme="minorHAnsi"/>
                <w:sz w:val="20"/>
                <w:szCs w:val="20"/>
              </w:rPr>
              <w:t>Transaction</w:t>
            </w:r>
          </w:p>
        </w:tc>
        <w:tc>
          <w:tcPr>
            <w:tcW w:w="3933" w:type="dxa"/>
            <w:vAlign w:val="center"/>
          </w:tcPr>
          <w:p w14:paraId="4A692DF6" w14:textId="77777777" w:rsidR="00672297" w:rsidRDefault="00A16EA3">
            <w:pPr>
              <w:spacing w:before="20" w:after="20"/>
              <w:jc w:val="left"/>
            </w:pPr>
            <w:r>
              <w:rPr>
                <w:rFonts w:cstheme="minorHAnsi"/>
                <w:sz w:val="20"/>
                <w:szCs w:val="20"/>
              </w:rPr>
              <w:t>Supply dashboard - daily terminal x component position; also the Planned Movement cards of Blending Potential</w:t>
            </w:r>
          </w:p>
        </w:tc>
      </w:tr>
      <w:tr w:rsidR="00672297" w14:paraId="27F8F75B" w14:textId="77777777">
        <w:trPr>
          <w:cantSplit/>
        </w:trPr>
        <w:tc>
          <w:tcPr>
            <w:tcW w:w="2433" w:type="dxa"/>
            <w:vAlign w:val="center"/>
          </w:tcPr>
          <w:p w14:paraId="01A8C39D" w14:textId="77777777" w:rsidR="00672297" w:rsidRDefault="00A16EA3">
            <w:pPr>
              <w:spacing w:before="20" w:after="20"/>
              <w:jc w:val="left"/>
            </w:pPr>
            <w:r>
              <w:rPr>
                <w:rFonts w:cstheme="minorHAnsi"/>
                <w:sz w:val="20"/>
                <w:szCs w:val="20"/>
              </w:rPr>
              <w:t>vwGasolineBlendingKPI</w:t>
            </w:r>
          </w:p>
        </w:tc>
        <w:tc>
          <w:tcPr>
            <w:tcW w:w="1684" w:type="dxa"/>
            <w:vAlign w:val="center"/>
          </w:tcPr>
          <w:p w14:paraId="42650B97" w14:textId="77777777" w:rsidR="00672297" w:rsidRDefault="00A16EA3">
            <w:pPr>
              <w:spacing w:before="20" w:after="20"/>
              <w:jc w:val="left"/>
            </w:pPr>
            <w:r>
              <w:rPr>
                <w:rFonts w:cstheme="minorHAnsi"/>
                <w:sz w:val="20"/>
                <w:szCs w:val="20"/>
              </w:rPr>
              <w:t>IQDM view</w:t>
            </w:r>
          </w:p>
        </w:tc>
        <w:tc>
          <w:tcPr>
            <w:tcW w:w="1310" w:type="dxa"/>
            <w:vAlign w:val="center"/>
          </w:tcPr>
          <w:p w14:paraId="397A8A7B" w14:textId="77777777" w:rsidR="00672297" w:rsidRDefault="00A16EA3">
            <w:pPr>
              <w:spacing w:before="20" w:after="20"/>
              <w:jc w:val="left"/>
            </w:pPr>
            <w:r>
              <w:rPr>
                <w:rFonts w:cstheme="minorHAnsi"/>
                <w:sz w:val="20"/>
                <w:szCs w:val="20"/>
              </w:rPr>
              <w:t>Transaction</w:t>
            </w:r>
          </w:p>
        </w:tc>
        <w:tc>
          <w:tcPr>
            <w:tcW w:w="3933" w:type="dxa"/>
            <w:vAlign w:val="center"/>
          </w:tcPr>
          <w:p w14:paraId="2D1F61D5" w14:textId="77777777" w:rsidR="00672297" w:rsidRDefault="00A16EA3">
            <w:pPr>
              <w:spacing w:before="20" w:after="20"/>
              <w:jc w:val="left"/>
            </w:pPr>
            <w:r>
              <w:rPr>
                <w:rFonts w:cstheme="minorHAnsi"/>
                <w:sz w:val="20"/>
                <w:szCs w:val="20"/>
              </w:rPr>
              <w:t>Gasoline KPI dashboard - potential, actual and delta volumes, average qualities</w:t>
            </w:r>
          </w:p>
        </w:tc>
      </w:tr>
      <w:tr w:rsidR="00672297" w14:paraId="74A83D69" w14:textId="77777777">
        <w:trPr>
          <w:cantSplit/>
        </w:trPr>
        <w:tc>
          <w:tcPr>
            <w:tcW w:w="2433" w:type="dxa"/>
            <w:vAlign w:val="center"/>
          </w:tcPr>
          <w:p w14:paraId="153622C5" w14:textId="77777777" w:rsidR="00672297" w:rsidRDefault="00A16EA3">
            <w:pPr>
              <w:spacing w:before="20" w:after="20"/>
              <w:jc w:val="left"/>
            </w:pPr>
            <w:r>
              <w:rPr>
                <w:rFonts w:cstheme="minorHAnsi"/>
                <w:sz w:val="20"/>
                <w:szCs w:val="20"/>
              </w:rPr>
              <w:t>vwDistillateBlendingKPI</w:t>
            </w:r>
          </w:p>
        </w:tc>
        <w:tc>
          <w:tcPr>
            <w:tcW w:w="1684" w:type="dxa"/>
            <w:vAlign w:val="center"/>
          </w:tcPr>
          <w:p w14:paraId="58E0A8B2" w14:textId="77777777" w:rsidR="00672297" w:rsidRDefault="00A16EA3">
            <w:pPr>
              <w:spacing w:before="20" w:after="20"/>
              <w:jc w:val="left"/>
            </w:pPr>
            <w:r>
              <w:rPr>
                <w:rFonts w:cstheme="minorHAnsi"/>
                <w:sz w:val="20"/>
                <w:szCs w:val="20"/>
              </w:rPr>
              <w:t>IQDM view</w:t>
            </w:r>
          </w:p>
        </w:tc>
        <w:tc>
          <w:tcPr>
            <w:tcW w:w="1310" w:type="dxa"/>
            <w:vAlign w:val="center"/>
          </w:tcPr>
          <w:p w14:paraId="3DB4994B" w14:textId="77777777" w:rsidR="00672297" w:rsidRDefault="00A16EA3">
            <w:pPr>
              <w:spacing w:before="20" w:after="20"/>
              <w:jc w:val="left"/>
            </w:pPr>
            <w:r>
              <w:rPr>
                <w:rFonts w:cstheme="minorHAnsi"/>
                <w:sz w:val="20"/>
                <w:szCs w:val="20"/>
              </w:rPr>
              <w:t>Transaction</w:t>
            </w:r>
          </w:p>
        </w:tc>
        <w:tc>
          <w:tcPr>
            <w:tcW w:w="3933" w:type="dxa"/>
            <w:vAlign w:val="center"/>
          </w:tcPr>
          <w:p w14:paraId="5469A9E9" w14:textId="77777777" w:rsidR="00672297" w:rsidRDefault="00A16EA3">
            <w:pPr>
              <w:spacing w:before="20" w:after="20"/>
              <w:jc w:val="left"/>
            </w:pPr>
            <w:r>
              <w:rPr>
                <w:rFonts w:cstheme="minorHAnsi"/>
                <w:sz w:val="20"/>
                <w:szCs w:val="20"/>
              </w:rPr>
              <w:t>Distillate KPI dashboard - Min / Actual / Max / Delta per property</w:t>
            </w:r>
          </w:p>
        </w:tc>
      </w:tr>
      <w:tr w:rsidR="00672297" w14:paraId="32515BF5" w14:textId="77777777">
        <w:trPr>
          <w:cantSplit/>
        </w:trPr>
        <w:tc>
          <w:tcPr>
            <w:tcW w:w="2433" w:type="dxa"/>
            <w:vAlign w:val="center"/>
          </w:tcPr>
          <w:p w14:paraId="7548E951" w14:textId="77777777" w:rsidR="00672297" w:rsidRDefault="00A16EA3">
            <w:pPr>
              <w:spacing w:before="20" w:after="20"/>
              <w:jc w:val="left"/>
            </w:pPr>
            <w:r>
              <w:rPr>
                <w:rFonts w:cstheme="minorHAnsi"/>
                <w:sz w:val="20"/>
                <w:szCs w:val="20"/>
              </w:rPr>
              <w:t>MPR_Price</w:t>
            </w:r>
          </w:p>
        </w:tc>
        <w:tc>
          <w:tcPr>
            <w:tcW w:w="1684" w:type="dxa"/>
            <w:vAlign w:val="center"/>
          </w:tcPr>
          <w:p w14:paraId="092BB227" w14:textId="77777777" w:rsidR="00672297" w:rsidRDefault="00A16EA3">
            <w:pPr>
              <w:spacing w:before="20" w:after="20"/>
              <w:jc w:val="left"/>
            </w:pPr>
            <w:r>
              <w:rPr>
                <w:rFonts w:cstheme="minorHAnsi"/>
                <w:sz w:val="20"/>
                <w:szCs w:val="20"/>
              </w:rPr>
              <w:t>MPR API (not IQDM)</w:t>
            </w:r>
          </w:p>
        </w:tc>
        <w:tc>
          <w:tcPr>
            <w:tcW w:w="1310" w:type="dxa"/>
            <w:vAlign w:val="center"/>
          </w:tcPr>
          <w:p w14:paraId="6C5E4108" w14:textId="77777777" w:rsidR="00672297" w:rsidRDefault="00A16EA3">
            <w:pPr>
              <w:spacing w:before="20" w:after="20"/>
              <w:jc w:val="left"/>
            </w:pPr>
            <w:r>
              <w:rPr>
                <w:rFonts w:cstheme="minorHAnsi"/>
                <w:sz w:val="20"/>
                <w:szCs w:val="20"/>
              </w:rPr>
              <w:t>Reference (imported)</w:t>
            </w:r>
          </w:p>
        </w:tc>
        <w:tc>
          <w:tcPr>
            <w:tcW w:w="3933" w:type="dxa"/>
            <w:vAlign w:val="center"/>
          </w:tcPr>
          <w:p w14:paraId="76F1B8F4" w14:textId="77777777" w:rsidR="00672297" w:rsidRDefault="00A16EA3">
            <w:pPr>
              <w:spacing w:before="20" w:after="20"/>
              <w:jc w:val="left"/>
            </w:pPr>
            <w:r>
              <w:rPr>
                <w:rFonts w:cstheme="minorHAnsi"/>
                <w:sz w:val="20"/>
                <w:szCs w:val="20"/>
              </w:rPr>
              <w:t>Average MPR price per product / component for the requested period; joined to the two KPI views</w:t>
            </w:r>
          </w:p>
        </w:tc>
      </w:tr>
      <w:tr w:rsidR="00672297" w14:paraId="15015C38" w14:textId="77777777">
        <w:trPr>
          <w:cantSplit/>
        </w:trPr>
        <w:tc>
          <w:tcPr>
            <w:tcW w:w="2433" w:type="dxa"/>
            <w:vAlign w:val="center"/>
          </w:tcPr>
          <w:p w14:paraId="76418E75" w14:textId="77777777" w:rsidR="00672297" w:rsidRDefault="00A16EA3">
            <w:pPr>
              <w:spacing w:before="20" w:after="20"/>
              <w:jc w:val="left"/>
            </w:pPr>
            <w:r>
              <w:rPr>
                <w:rFonts w:cstheme="minorHAnsi"/>
                <w:sz w:val="20"/>
                <w:szCs w:val="20"/>
              </w:rPr>
              <w:t>day_detail</w:t>
            </w:r>
          </w:p>
        </w:tc>
        <w:tc>
          <w:tcPr>
            <w:tcW w:w="1684" w:type="dxa"/>
            <w:vAlign w:val="center"/>
          </w:tcPr>
          <w:p w14:paraId="4C031125" w14:textId="77777777" w:rsidR="00672297" w:rsidRDefault="00A16EA3">
            <w:pPr>
              <w:spacing w:before="20" w:after="20"/>
              <w:jc w:val="left"/>
            </w:pPr>
            <w:r>
              <w:rPr>
                <w:rFonts w:cstheme="minorHAnsi"/>
                <w:sz w:val="20"/>
                <w:szCs w:val="20"/>
              </w:rPr>
              <w:t>IQDM</w:t>
            </w:r>
          </w:p>
        </w:tc>
        <w:tc>
          <w:tcPr>
            <w:tcW w:w="1310" w:type="dxa"/>
            <w:vAlign w:val="center"/>
          </w:tcPr>
          <w:p w14:paraId="2CB58EFC" w14:textId="77777777" w:rsidR="00672297" w:rsidRDefault="00A16EA3">
            <w:pPr>
              <w:spacing w:before="20" w:after="20"/>
              <w:jc w:val="left"/>
            </w:pPr>
            <w:r>
              <w:rPr>
                <w:rFonts w:cstheme="minorHAnsi"/>
                <w:sz w:val="20"/>
                <w:szCs w:val="20"/>
              </w:rPr>
              <w:t>Reference</w:t>
            </w:r>
          </w:p>
        </w:tc>
        <w:tc>
          <w:tcPr>
            <w:tcW w:w="3933" w:type="dxa"/>
            <w:vAlign w:val="center"/>
          </w:tcPr>
          <w:p w14:paraId="4C3B2B85" w14:textId="77777777" w:rsidR="00672297" w:rsidRDefault="00A16EA3">
            <w:pPr>
              <w:spacing w:before="20" w:after="20"/>
              <w:jc w:val="left"/>
            </w:pPr>
            <w:r>
              <w:rPr>
                <w:rFonts w:cstheme="minorHAnsi"/>
                <w:sz w:val="20"/>
                <w:szCs w:val="20"/>
              </w:rPr>
              <w:t>Calendar attributes (date, week, month, year)</w:t>
            </w:r>
          </w:p>
        </w:tc>
      </w:tr>
      <w:tr w:rsidR="00672297" w14:paraId="408E1696" w14:textId="77777777">
        <w:trPr>
          <w:cantSplit/>
        </w:trPr>
        <w:tc>
          <w:tcPr>
            <w:tcW w:w="2433" w:type="dxa"/>
            <w:vAlign w:val="center"/>
          </w:tcPr>
          <w:p w14:paraId="703B8E15" w14:textId="77777777" w:rsidR="00672297" w:rsidRDefault="00A16EA3">
            <w:pPr>
              <w:spacing w:before="20" w:after="20"/>
              <w:jc w:val="left"/>
            </w:pPr>
            <w:r>
              <w:rPr>
                <w:rFonts w:cstheme="minorHAnsi"/>
                <w:sz w:val="20"/>
                <w:szCs w:val="20"/>
              </w:rPr>
              <w:t>Last_Refresh</w:t>
            </w:r>
          </w:p>
        </w:tc>
        <w:tc>
          <w:tcPr>
            <w:tcW w:w="1684" w:type="dxa"/>
            <w:vAlign w:val="center"/>
          </w:tcPr>
          <w:p w14:paraId="37C6AF3E" w14:textId="77777777" w:rsidR="00672297" w:rsidRDefault="00A16EA3">
            <w:pPr>
              <w:spacing w:before="20" w:after="20"/>
              <w:jc w:val="left"/>
            </w:pPr>
            <w:r>
              <w:rPr>
                <w:rFonts w:cstheme="minorHAnsi"/>
                <w:sz w:val="20"/>
                <w:szCs w:val="20"/>
              </w:rPr>
              <w:t>Power Query: DateTime.LocalNow()</w:t>
            </w:r>
          </w:p>
        </w:tc>
        <w:tc>
          <w:tcPr>
            <w:tcW w:w="1310" w:type="dxa"/>
            <w:vAlign w:val="center"/>
          </w:tcPr>
          <w:p w14:paraId="5C3DC1DA" w14:textId="77777777" w:rsidR="00672297" w:rsidRDefault="00A16EA3">
            <w:pPr>
              <w:spacing w:before="20" w:after="20"/>
              <w:jc w:val="left"/>
            </w:pPr>
            <w:r>
              <w:rPr>
                <w:rFonts w:cstheme="minorHAnsi"/>
                <w:sz w:val="20"/>
                <w:szCs w:val="20"/>
              </w:rPr>
              <w:t>Parameter</w:t>
            </w:r>
          </w:p>
        </w:tc>
        <w:tc>
          <w:tcPr>
            <w:tcW w:w="3933" w:type="dxa"/>
            <w:vAlign w:val="center"/>
          </w:tcPr>
          <w:p w14:paraId="4842AA5A" w14:textId="77777777" w:rsidR="00672297" w:rsidRDefault="00A16EA3">
            <w:pPr>
              <w:spacing w:before="20" w:after="20"/>
              <w:jc w:val="left"/>
            </w:pPr>
            <w:r>
              <w:rPr>
                <w:rFonts w:cstheme="minorHAnsi"/>
                <w:sz w:val="20"/>
                <w:szCs w:val="20"/>
              </w:rPr>
              <w:t>Timestamp of the last successful refresh</w:t>
            </w:r>
          </w:p>
        </w:tc>
      </w:tr>
    </w:tbl>
    <w:p w14:paraId="260554CE" w14:textId="5C66EAF7" w:rsidR="00672297" w:rsidRDefault="00A16EA3">
      <w:pPr>
        <w:pStyle w:val="Caption"/>
      </w:pPr>
      <w:bookmarkStart w:id="473" w:name="_Toc900950017"/>
      <w:bookmarkStart w:id="474" w:name="_Toc241574693"/>
      <w:bookmarkStart w:id="475" w:name="_Toc242554077"/>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w:t>
      </w:r>
      <w:r>
        <w:fldChar w:fldCharType="end"/>
      </w:r>
      <w:r>
        <w:t>: Tables / Views Loaded in Power BI</w:t>
      </w:r>
      <w:bookmarkEnd w:id="473"/>
      <w:bookmarkEnd w:id="474"/>
      <w:bookmarkEnd w:id="475"/>
    </w:p>
    <w:tbl>
      <w:tblPr>
        <w:tblStyle w:val="TableGrid"/>
        <w:tblW w:w="9360" w:type="dxa"/>
        <w:tblLayout w:type="fixed"/>
        <w:tblCellMar>
          <w:left w:w="70" w:type="dxa"/>
          <w:right w:w="70" w:type="dxa"/>
        </w:tblCellMar>
        <w:tblLook w:val="04A0" w:firstRow="1" w:lastRow="0" w:firstColumn="1" w:lastColumn="0" w:noHBand="0" w:noVBand="1"/>
      </w:tblPr>
      <w:tblGrid>
        <w:gridCol w:w="2246"/>
        <w:gridCol w:w="2433"/>
        <w:gridCol w:w="1310"/>
        <w:gridCol w:w="2059"/>
        <w:gridCol w:w="1312"/>
      </w:tblGrid>
      <w:tr w:rsidR="00672297" w14:paraId="03595D0A" w14:textId="77777777">
        <w:trPr>
          <w:cantSplit/>
          <w:tblHeader/>
        </w:trPr>
        <w:tc>
          <w:tcPr>
            <w:tcW w:w="2246" w:type="dxa"/>
            <w:shd w:val="clear" w:color="auto" w:fill="2F5496"/>
            <w:vAlign w:val="center"/>
          </w:tcPr>
          <w:p w14:paraId="35933449" w14:textId="77777777" w:rsidR="00672297" w:rsidRDefault="00A16EA3">
            <w:pPr>
              <w:spacing w:before="20" w:after="20"/>
              <w:jc w:val="left"/>
            </w:pPr>
            <w:r>
              <w:rPr>
                <w:rFonts w:cstheme="minorHAnsi"/>
                <w:b/>
                <w:bCs/>
                <w:color w:val="FFFFFF"/>
                <w:sz w:val="18"/>
                <w:szCs w:val="18"/>
              </w:rPr>
              <w:t>From Table</w:t>
            </w:r>
          </w:p>
        </w:tc>
        <w:tc>
          <w:tcPr>
            <w:tcW w:w="2433" w:type="dxa"/>
            <w:shd w:val="clear" w:color="auto" w:fill="2F5496"/>
            <w:vAlign w:val="center"/>
          </w:tcPr>
          <w:p w14:paraId="6B499900" w14:textId="77777777" w:rsidR="00672297" w:rsidRDefault="00A16EA3">
            <w:pPr>
              <w:spacing w:before="20" w:after="20"/>
              <w:jc w:val="left"/>
            </w:pPr>
            <w:r>
              <w:rPr>
                <w:rFonts w:cstheme="minorHAnsi"/>
                <w:b/>
                <w:bCs/>
                <w:color w:val="FFFFFF"/>
                <w:sz w:val="18"/>
                <w:szCs w:val="18"/>
              </w:rPr>
              <w:t>Column</w:t>
            </w:r>
          </w:p>
        </w:tc>
        <w:tc>
          <w:tcPr>
            <w:tcW w:w="1310" w:type="dxa"/>
            <w:shd w:val="clear" w:color="auto" w:fill="2F5496"/>
            <w:vAlign w:val="center"/>
          </w:tcPr>
          <w:p w14:paraId="017F95F5" w14:textId="77777777" w:rsidR="00672297" w:rsidRDefault="00A16EA3">
            <w:pPr>
              <w:spacing w:before="20" w:after="20"/>
              <w:jc w:val="left"/>
            </w:pPr>
            <w:r>
              <w:rPr>
                <w:rFonts w:cstheme="minorHAnsi"/>
                <w:b/>
                <w:bCs/>
                <w:color w:val="FFFFFF"/>
                <w:sz w:val="18"/>
                <w:szCs w:val="18"/>
              </w:rPr>
              <w:t>To Table</w:t>
            </w:r>
          </w:p>
        </w:tc>
        <w:tc>
          <w:tcPr>
            <w:tcW w:w="2059" w:type="dxa"/>
            <w:shd w:val="clear" w:color="auto" w:fill="2F5496"/>
            <w:vAlign w:val="center"/>
          </w:tcPr>
          <w:p w14:paraId="16A87C59" w14:textId="77777777" w:rsidR="00672297" w:rsidRDefault="00A16EA3">
            <w:pPr>
              <w:spacing w:before="20" w:after="20"/>
              <w:jc w:val="left"/>
            </w:pPr>
            <w:r>
              <w:rPr>
                <w:rFonts w:cstheme="minorHAnsi"/>
                <w:b/>
                <w:bCs/>
                <w:color w:val="FFFFFF"/>
                <w:sz w:val="18"/>
                <w:szCs w:val="18"/>
              </w:rPr>
              <w:t>Column</w:t>
            </w:r>
          </w:p>
        </w:tc>
        <w:tc>
          <w:tcPr>
            <w:tcW w:w="1312" w:type="dxa"/>
            <w:shd w:val="clear" w:color="auto" w:fill="2F5496"/>
            <w:vAlign w:val="center"/>
          </w:tcPr>
          <w:p w14:paraId="58B7197B" w14:textId="77777777" w:rsidR="00672297" w:rsidRDefault="00A16EA3">
            <w:pPr>
              <w:spacing w:before="20" w:after="20"/>
              <w:jc w:val="left"/>
            </w:pPr>
            <w:r>
              <w:rPr>
                <w:rFonts w:cstheme="minorHAnsi"/>
                <w:b/>
                <w:bCs/>
                <w:color w:val="FFFFFF"/>
                <w:sz w:val="18"/>
                <w:szCs w:val="18"/>
              </w:rPr>
              <w:t>Cardinality / Direction</w:t>
            </w:r>
          </w:p>
        </w:tc>
      </w:tr>
      <w:tr w:rsidR="00672297" w14:paraId="7E572AB9" w14:textId="77777777">
        <w:trPr>
          <w:cantSplit/>
        </w:trPr>
        <w:tc>
          <w:tcPr>
            <w:tcW w:w="2246" w:type="dxa"/>
            <w:vAlign w:val="center"/>
          </w:tcPr>
          <w:p w14:paraId="1653003C" w14:textId="77777777" w:rsidR="00672297" w:rsidRDefault="00A16EA3">
            <w:pPr>
              <w:spacing w:before="20" w:after="20"/>
              <w:jc w:val="left"/>
            </w:pPr>
            <w:r>
              <w:rPr>
                <w:rFonts w:cstheme="minorHAnsi"/>
                <w:sz w:val="18"/>
                <w:szCs w:val="18"/>
              </w:rPr>
              <w:t>vwRefineryBatchMovementQuality</w:t>
            </w:r>
          </w:p>
        </w:tc>
        <w:tc>
          <w:tcPr>
            <w:tcW w:w="2433" w:type="dxa"/>
            <w:vAlign w:val="center"/>
          </w:tcPr>
          <w:p w14:paraId="093CA8BC" w14:textId="77777777" w:rsidR="00672297" w:rsidRDefault="00A16EA3">
            <w:pPr>
              <w:spacing w:before="20" w:after="20"/>
              <w:jc w:val="left"/>
            </w:pPr>
            <w:r>
              <w:rPr>
                <w:rFonts w:cstheme="minorHAnsi"/>
                <w:sz w:val="18"/>
                <w:szCs w:val="18"/>
              </w:rPr>
              <w:t>StartDate</w:t>
            </w:r>
          </w:p>
        </w:tc>
        <w:tc>
          <w:tcPr>
            <w:tcW w:w="1310" w:type="dxa"/>
            <w:vAlign w:val="center"/>
          </w:tcPr>
          <w:p w14:paraId="7721EAD7" w14:textId="77777777" w:rsidR="00672297" w:rsidRDefault="00A16EA3">
            <w:pPr>
              <w:spacing w:before="20" w:after="20"/>
              <w:jc w:val="left"/>
            </w:pPr>
            <w:r>
              <w:rPr>
                <w:rFonts w:cstheme="minorHAnsi"/>
                <w:sz w:val="18"/>
                <w:szCs w:val="18"/>
              </w:rPr>
              <w:t>day_detail</w:t>
            </w:r>
          </w:p>
        </w:tc>
        <w:tc>
          <w:tcPr>
            <w:tcW w:w="2059" w:type="dxa"/>
            <w:vAlign w:val="center"/>
          </w:tcPr>
          <w:p w14:paraId="6B3B434C" w14:textId="77777777" w:rsidR="00672297" w:rsidRDefault="00A16EA3">
            <w:pPr>
              <w:spacing w:before="20" w:after="20"/>
              <w:jc w:val="left"/>
            </w:pPr>
            <w:r>
              <w:rPr>
                <w:rFonts w:cstheme="minorHAnsi"/>
                <w:sz w:val="18"/>
                <w:szCs w:val="18"/>
              </w:rPr>
              <w:t>W_Date</w:t>
            </w:r>
          </w:p>
        </w:tc>
        <w:tc>
          <w:tcPr>
            <w:tcW w:w="1312" w:type="dxa"/>
            <w:vAlign w:val="center"/>
          </w:tcPr>
          <w:p w14:paraId="5B91AAED" w14:textId="77777777" w:rsidR="00672297" w:rsidRDefault="00A16EA3">
            <w:pPr>
              <w:spacing w:before="20" w:after="20"/>
              <w:jc w:val="left"/>
            </w:pPr>
            <w:r>
              <w:rPr>
                <w:rFonts w:cstheme="minorHAnsi"/>
                <w:sz w:val="18"/>
                <w:szCs w:val="18"/>
              </w:rPr>
              <w:t>Many-to-One / Single</w:t>
            </w:r>
          </w:p>
        </w:tc>
      </w:tr>
      <w:tr w:rsidR="00672297" w14:paraId="70323BDD" w14:textId="77777777">
        <w:trPr>
          <w:cantSplit/>
        </w:trPr>
        <w:tc>
          <w:tcPr>
            <w:tcW w:w="2246" w:type="dxa"/>
            <w:vAlign w:val="center"/>
          </w:tcPr>
          <w:p w14:paraId="710EF93C" w14:textId="77777777" w:rsidR="00672297" w:rsidRDefault="00A16EA3">
            <w:pPr>
              <w:spacing w:before="20" w:after="20"/>
              <w:jc w:val="left"/>
            </w:pPr>
            <w:r>
              <w:rPr>
                <w:rFonts w:cstheme="minorHAnsi"/>
                <w:sz w:val="18"/>
                <w:szCs w:val="18"/>
              </w:rPr>
              <w:t>vwDistillateBlendPotentialQuality</w:t>
            </w:r>
          </w:p>
        </w:tc>
        <w:tc>
          <w:tcPr>
            <w:tcW w:w="2433" w:type="dxa"/>
            <w:vAlign w:val="center"/>
          </w:tcPr>
          <w:p w14:paraId="667C60B7" w14:textId="77777777" w:rsidR="00672297" w:rsidRDefault="00A16EA3">
            <w:pPr>
              <w:spacing w:before="20" w:after="20"/>
              <w:jc w:val="left"/>
            </w:pPr>
            <w:r>
              <w:rPr>
                <w:rFonts w:cstheme="minorHAnsi"/>
                <w:sz w:val="18"/>
                <w:szCs w:val="18"/>
              </w:rPr>
              <w:t>ETADate</w:t>
            </w:r>
          </w:p>
        </w:tc>
        <w:tc>
          <w:tcPr>
            <w:tcW w:w="1310" w:type="dxa"/>
            <w:vAlign w:val="center"/>
          </w:tcPr>
          <w:p w14:paraId="4C97384D" w14:textId="77777777" w:rsidR="00672297" w:rsidRDefault="00A16EA3">
            <w:pPr>
              <w:spacing w:before="20" w:after="20"/>
              <w:jc w:val="left"/>
            </w:pPr>
            <w:r>
              <w:rPr>
                <w:rFonts w:cstheme="minorHAnsi"/>
                <w:sz w:val="18"/>
                <w:szCs w:val="18"/>
              </w:rPr>
              <w:t>day_detail</w:t>
            </w:r>
          </w:p>
        </w:tc>
        <w:tc>
          <w:tcPr>
            <w:tcW w:w="2059" w:type="dxa"/>
            <w:vAlign w:val="center"/>
          </w:tcPr>
          <w:p w14:paraId="6057CA6C" w14:textId="77777777" w:rsidR="00672297" w:rsidRDefault="00A16EA3">
            <w:pPr>
              <w:spacing w:before="20" w:after="20"/>
              <w:jc w:val="left"/>
            </w:pPr>
            <w:r>
              <w:rPr>
                <w:rFonts w:cstheme="minorHAnsi"/>
                <w:sz w:val="18"/>
                <w:szCs w:val="18"/>
              </w:rPr>
              <w:t>W_Date</w:t>
            </w:r>
          </w:p>
        </w:tc>
        <w:tc>
          <w:tcPr>
            <w:tcW w:w="1312" w:type="dxa"/>
            <w:vAlign w:val="center"/>
          </w:tcPr>
          <w:p w14:paraId="22FD7305" w14:textId="77777777" w:rsidR="00672297" w:rsidRDefault="00A16EA3">
            <w:pPr>
              <w:spacing w:before="20" w:after="20"/>
              <w:jc w:val="left"/>
            </w:pPr>
            <w:r>
              <w:rPr>
                <w:rFonts w:cstheme="minorHAnsi"/>
                <w:sz w:val="18"/>
                <w:szCs w:val="18"/>
              </w:rPr>
              <w:t>Many-to-One / Single</w:t>
            </w:r>
          </w:p>
        </w:tc>
      </w:tr>
      <w:tr w:rsidR="00672297" w14:paraId="1FD5BC7B" w14:textId="77777777">
        <w:trPr>
          <w:cantSplit/>
        </w:trPr>
        <w:tc>
          <w:tcPr>
            <w:tcW w:w="2246" w:type="dxa"/>
            <w:vAlign w:val="center"/>
          </w:tcPr>
          <w:p w14:paraId="522F7E34" w14:textId="77777777" w:rsidR="00672297" w:rsidRDefault="00A16EA3">
            <w:pPr>
              <w:spacing w:before="20" w:after="20"/>
              <w:jc w:val="left"/>
            </w:pPr>
            <w:r>
              <w:rPr>
                <w:rFonts w:cstheme="minorHAnsi"/>
                <w:sz w:val="18"/>
                <w:szCs w:val="18"/>
              </w:rPr>
              <w:t>vwDistillateBatchQuality</w:t>
            </w:r>
          </w:p>
        </w:tc>
        <w:tc>
          <w:tcPr>
            <w:tcW w:w="2433" w:type="dxa"/>
            <w:vAlign w:val="center"/>
          </w:tcPr>
          <w:p w14:paraId="0309608B" w14:textId="77777777" w:rsidR="00672297" w:rsidRDefault="00A16EA3">
            <w:pPr>
              <w:spacing w:before="20" w:after="20"/>
              <w:jc w:val="left"/>
            </w:pPr>
            <w:r>
              <w:rPr>
                <w:rFonts w:cstheme="minorHAnsi"/>
                <w:sz w:val="18"/>
                <w:szCs w:val="18"/>
              </w:rPr>
              <w:t>ETADate</w:t>
            </w:r>
          </w:p>
        </w:tc>
        <w:tc>
          <w:tcPr>
            <w:tcW w:w="1310" w:type="dxa"/>
            <w:vAlign w:val="center"/>
          </w:tcPr>
          <w:p w14:paraId="19C96B32" w14:textId="77777777" w:rsidR="00672297" w:rsidRDefault="00A16EA3">
            <w:pPr>
              <w:spacing w:before="20" w:after="20"/>
              <w:jc w:val="left"/>
            </w:pPr>
            <w:r>
              <w:rPr>
                <w:rFonts w:cstheme="minorHAnsi"/>
                <w:sz w:val="18"/>
                <w:szCs w:val="18"/>
              </w:rPr>
              <w:t>day_detail</w:t>
            </w:r>
          </w:p>
        </w:tc>
        <w:tc>
          <w:tcPr>
            <w:tcW w:w="2059" w:type="dxa"/>
            <w:vAlign w:val="center"/>
          </w:tcPr>
          <w:p w14:paraId="5F222792" w14:textId="77777777" w:rsidR="00672297" w:rsidRDefault="00A16EA3">
            <w:pPr>
              <w:spacing w:before="20" w:after="20"/>
              <w:jc w:val="left"/>
            </w:pPr>
            <w:r>
              <w:rPr>
                <w:rFonts w:cstheme="minorHAnsi"/>
                <w:sz w:val="18"/>
                <w:szCs w:val="18"/>
              </w:rPr>
              <w:t>W_Date</w:t>
            </w:r>
          </w:p>
        </w:tc>
        <w:tc>
          <w:tcPr>
            <w:tcW w:w="1312" w:type="dxa"/>
            <w:vAlign w:val="center"/>
          </w:tcPr>
          <w:p w14:paraId="3C54E4AE" w14:textId="77777777" w:rsidR="00672297" w:rsidRDefault="00A16EA3">
            <w:pPr>
              <w:spacing w:before="20" w:after="20"/>
              <w:jc w:val="left"/>
            </w:pPr>
            <w:r>
              <w:rPr>
                <w:rFonts w:cstheme="minorHAnsi"/>
                <w:sz w:val="18"/>
                <w:szCs w:val="18"/>
              </w:rPr>
              <w:t>Many-to-One / Single</w:t>
            </w:r>
          </w:p>
        </w:tc>
      </w:tr>
      <w:tr w:rsidR="00672297" w14:paraId="485CA918" w14:textId="77777777">
        <w:trPr>
          <w:cantSplit/>
        </w:trPr>
        <w:tc>
          <w:tcPr>
            <w:tcW w:w="2246" w:type="dxa"/>
            <w:vAlign w:val="center"/>
          </w:tcPr>
          <w:p w14:paraId="65AC8948" w14:textId="77777777" w:rsidR="00672297" w:rsidRDefault="00A16EA3">
            <w:pPr>
              <w:spacing w:before="20" w:after="20"/>
              <w:jc w:val="left"/>
            </w:pPr>
            <w:r>
              <w:rPr>
                <w:rFonts w:cstheme="minorHAnsi"/>
                <w:sz w:val="18"/>
                <w:szCs w:val="18"/>
              </w:rPr>
              <w:t>vwBlendComponentSupplyDemand</w:t>
            </w:r>
          </w:p>
        </w:tc>
        <w:tc>
          <w:tcPr>
            <w:tcW w:w="2433" w:type="dxa"/>
            <w:vAlign w:val="center"/>
          </w:tcPr>
          <w:p w14:paraId="271B7DC1" w14:textId="77777777" w:rsidR="00672297" w:rsidRDefault="00A16EA3">
            <w:pPr>
              <w:spacing w:before="20" w:after="20"/>
              <w:jc w:val="left"/>
            </w:pPr>
            <w:r>
              <w:rPr>
                <w:rFonts w:cstheme="minorHAnsi"/>
                <w:sz w:val="18"/>
                <w:szCs w:val="18"/>
              </w:rPr>
              <w:t>PositionDate</w:t>
            </w:r>
          </w:p>
        </w:tc>
        <w:tc>
          <w:tcPr>
            <w:tcW w:w="1310" w:type="dxa"/>
            <w:vAlign w:val="center"/>
          </w:tcPr>
          <w:p w14:paraId="64B40C7C" w14:textId="77777777" w:rsidR="00672297" w:rsidRDefault="00A16EA3">
            <w:pPr>
              <w:spacing w:before="20" w:after="20"/>
              <w:jc w:val="left"/>
            </w:pPr>
            <w:r>
              <w:rPr>
                <w:rFonts w:cstheme="minorHAnsi"/>
                <w:sz w:val="18"/>
                <w:szCs w:val="18"/>
              </w:rPr>
              <w:t>day_detail</w:t>
            </w:r>
          </w:p>
        </w:tc>
        <w:tc>
          <w:tcPr>
            <w:tcW w:w="2059" w:type="dxa"/>
            <w:vAlign w:val="center"/>
          </w:tcPr>
          <w:p w14:paraId="6A4FD3CD" w14:textId="77777777" w:rsidR="00672297" w:rsidRDefault="00A16EA3">
            <w:pPr>
              <w:spacing w:before="20" w:after="20"/>
              <w:jc w:val="left"/>
            </w:pPr>
            <w:r>
              <w:rPr>
                <w:rFonts w:cstheme="minorHAnsi"/>
                <w:sz w:val="18"/>
                <w:szCs w:val="18"/>
              </w:rPr>
              <w:t>W_Date</w:t>
            </w:r>
          </w:p>
        </w:tc>
        <w:tc>
          <w:tcPr>
            <w:tcW w:w="1312" w:type="dxa"/>
            <w:vAlign w:val="center"/>
          </w:tcPr>
          <w:p w14:paraId="137D48C0" w14:textId="77777777" w:rsidR="00672297" w:rsidRDefault="00A16EA3">
            <w:pPr>
              <w:spacing w:before="20" w:after="20"/>
              <w:jc w:val="left"/>
            </w:pPr>
            <w:r>
              <w:rPr>
                <w:rFonts w:cstheme="minorHAnsi"/>
                <w:sz w:val="18"/>
                <w:szCs w:val="18"/>
              </w:rPr>
              <w:t>Many-to-One / Single</w:t>
            </w:r>
          </w:p>
        </w:tc>
      </w:tr>
      <w:tr w:rsidR="00672297" w14:paraId="7682B720" w14:textId="77777777">
        <w:trPr>
          <w:cantSplit/>
        </w:trPr>
        <w:tc>
          <w:tcPr>
            <w:tcW w:w="2246" w:type="dxa"/>
            <w:vAlign w:val="center"/>
          </w:tcPr>
          <w:p w14:paraId="25CFD22A" w14:textId="77777777" w:rsidR="00672297" w:rsidRDefault="00A16EA3">
            <w:pPr>
              <w:spacing w:before="20" w:after="20"/>
              <w:jc w:val="left"/>
            </w:pPr>
            <w:r>
              <w:rPr>
                <w:rFonts w:cstheme="minorHAnsi"/>
                <w:sz w:val="18"/>
                <w:szCs w:val="18"/>
              </w:rPr>
              <w:t>vwGasolineBlendingKPI</w:t>
            </w:r>
          </w:p>
        </w:tc>
        <w:tc>
          <w:tcPr>
            <w:tcW w:w="2433" w:type="dxa"/>
            <w:vAlign w:val="center"/>
          </w:tcPr>
          <w:p w14:paraId="30BE63EF" w14:textId="77777777" w:rsidR="00672297" w:rsidRDefault="00A16EA3">
            <w:pPr>
              <w:spacing w:before="20" w:after="20"/>
              <w:jc w:val="left"/>
            </w:pPr>
            <w:r>
              <w:rPr>
                <w:rFonts w:cstheme="minorHAnsi"/>
                <w:sz w:val="18"/>
                <w:szCs w:val="18"/>
              </w:rPr>
              <w:t>ActivityDate</w:t>
            </w:r>
          </w:p>
        </w:tc>
        <w:tc>
          <w:tcPr>
            <w:tcW w:w="1310" w:type="dxa"/>
            <w:vAlign w:val="center"/>
          </w:tcPr>
          <w:p w14:paraId="130C9707" w14:textId="77777777" w:rsidR="00672297" w:rsidRDefault="00A16EA3">
            <w:pPr>
              <w:spacing w:before="20" w:after="20"/>
              <w:jc w:val="left"/>
            </w:pPr>
            <w:r>
              <w:rPr>
                <w:rFonts w:cstheme="minorHAnsi"/>
                <w:sz w:val="18"/>
                <w:szCs w:val="18"/>
              </w:rPr>
              <w:t>day_detail</w:t>
            </w:r>
          </w:p>
        </w:tc>
        <w:tc>
          <w:tcPr>
            <w:tcW w:w="2059" w:type="dxa"/>
            <w:vAlign w:val="center"/>
          </w:tcPr>
          <w:p w14:paraId="650A9ACB" w14:textId="77777777" w:rsidR="00672297" w:rsidRDefault="00A16EA3">
            <w:pPr>
              <w:spacing w:before="20" w:after="20"/>
              <w:jc w:val="left"/>
            </w:pPr>
            <w:r>
              <w:rPr>
                <w:rFonts w:cstheme="minorHAnsi"/>
                <w:sz w:val="18"/>
                <w:szCs w:val="18"/>
              </w:rPr>
              <w:t>W_Date</w:t>
            </w:r>
          </w:p>
        </w:tc>
        <w:tc>
          <w:tcPr>
            <w:tcW w:w="1312" w:type="dxa"/>
            <w:vAlign w:val="center"/>
          </w:tcPr>
          <w:p w14:paraId="62E140E0" w14:textId="77777777" w:rsidR="00672297" w:rsidRDefault="00A16EA3">
            <w:pPr>
              <w:spacing w:before="20" w:after="20"/>
              <w:jc w:val="left"/>
            </w:pPr>
            <w:r>
              <w:rPr>
                <w:rFonts w:cstheme="minorHAnsi"/>
                <w:sz w:val="18"/>
                <w:szCs w:val="18"/>
              </w:rPr>
              <w:t>Many-to-One / Single</w:t>
            </w:r>
          </w:p>
        </w:tc>
      </w:tr>
      <w:tr w:rsidR="00672297" w14:paraId="29CC806B" w14:textId="77777777">
        <w:trPr>
          <w:cantSplit/>
        </w:trPr>
        <w:tc>
          <w:tcPr>
            <w:tcW w:w="2246" w:type="dxa"/>
            <w:vAlign w:val="center"/>
          </w:tcPr>
          <w:p w14:paraId="0FB83A18" w14:textId="77777777" w:rsidR="00672297" w:rsidRDefault="00A16EA3">
            <w:pPr>
              <w:spacing w:before="20" w:after="20"/>
              <w:jc w:val="left"/>
            </w:pPr>
            <w:r>
              <w:rPr>
                <w:rFonts w:cstheme="minorHAnsi"/>
                <w:sz w:val="18"/>
                <w:szCs w:val="18"/>
              </w:rPr>
              <w:t>vwDistillateBlendingKPI</w:t>
            </w:r>
          </w:p>
        </w:tc>
        <w:tc>
          <w:tcPr>
            <w:tcW w:w="2433" w:type="dxa"/>
            <w:vAlign w:val="center"/>
          </w:tcPr>
          <w:p w14:paraId="29995AC0" w14:textId="77777777" w:rsidR="00672297" w:rsidRDefault="00A16EA3">
            <w:pPr>
              <w:spacing w:before="20" w:after="20"/>
              <w:jc w:val="left"/>
            </w:pPr>
            <w:r>
              <w:rPr>
                <w:rFonts w:cstheme="minorHAnsi"/>
                <w:sz w:val="18"/>
                <w:szCs w:val="18"/>
              </w:rPr>
              <w:t>ActivityDate</w:t>
            </w:r>
          </w:p>
        </w:tc>
        <w:tc>
          <w:tcPr>
            <w:tcW w:w="1310" w:type="dxa"/>
            <w:vAlign w:val="center"/>
          </w:tcPr>
          <w:p w14:paraId="7B3B3BC8" w14:textId="77777777" w:rsidR="00672297" w:rsidRDefault="00A16EA3">
            <w:pPr>
              <w:spacing w:before="20" w:after="20"/>
              <w:jc w:val="left"/>
            </w:pPr>
            <w:r>
              <w:rPr>
                <w:rFonts w:cstheme="minorHAnsi"/>
                <w:sz w:val="18"/>
                <w:szCs w:val="18"/>
              </w:rPr>
              <w:t>day_detail</w:t>
            </w:r>
          </w:p>
        </w:tc>
        <w:tc>
          <w:tcPr>
            <w:tcW w:w="2059" w:type="dxa"/>
            <w:vAlign w:val="center"/>
          </w:tcPr>
          <w:p w14:paraId="2A71652A" w14:textId="77777777" w:rsidR="00672297" w:rsidRDefault="00A16EA3">
            <w:pPr>
              <w:spacing w:before="20" w:after="20"/>
              <w:jc w:val="left"/>
            </w:pPr>
            <w:r>
              <w:rPr>
                <w:rFonts w:cstheme="minorHAnsi"/>
                <w:sz w:val="18"/>
                <w:szCs w:val="18"/>
              </w:rPr>
              <w:t>W_Date</w:t>
            </w:r>
          </w:p>
        </w:tc>
        <w:tc>
          <w:tcPr>
            <w:tcW w:w="1312" w:type="dxa"/>
            <w:vAlign w:val="center"/>
          </w:tcPr>
          <w:p w14:paraId="5B42B953" w14:textId="77777777" w:rsidR="00672297" w:rsidRDefault="00A16EA3">
            <w:pPr>
              <w:spacing w:before="20" w:after="20"/>
              <w:jc w:val="left"/>
            </w:pPr>
            <w:r>
              <w:rPr>
                <w:rFonts w:cstheme="minorHAnsi"/>
                <w:sz w:val="18"/>
                <w:szCs w:val="18"/>
              </w:rPr>
              <w:t>Many-to-One / Single</w:t>
            </w:r>
          </w:p>
        </w:tc>
      </w:tr>
      <w:tr w:rsidR="00672297" w14:paraId="6C7A11FC" w14:textId="77777777">
        <w:trPr>
          <w:cantSplit/>
        </w:trPr>
        <w:tc>
          <w:tcPr>
            <w:tcW w:w="2246" w:type="dxa"/>
            <w:vAlign w:val="center"/>
          </w:tcPr>
          <w:p w14:paraId="2567457D" w14:textId="77777777" w:rsidR="00672297" w:rsidRDefault="00A16EA3">
            <w:pPr>
              <w:spacing w:before="20" w:after="20"/>
              <w:jc w:val="left"/>
            </w:pPr>
            <w:r>
              <w:rPr>
                <w:rFonts w:cstheme="minorHAnsi"/>
                <w:sz w:val="18"/>
                <w:szCs w:val="18"/>
              </w:rPr>
              <w:t>vwGasolineBlendingKPI</w:t>
            </w:r>
          </w:p>
        </w:tc>
        <w:tc>
          <w:tcPr>
            <w:tcW w:w="2433" w:type="dxa"/>
            <w:vAlign w:val="center"/>
          </w:tcPr>
          <w:p w14:paraId="05E1A43B" w14:textId="77777777" w:rsidR="00672297" w:rsidRDefault="00A16EA3">
            <w:pPr>
              <w:spacing w:before="20" w:after="20"/>
              <w:jc w:val="left"/>
            </w:pPr>
            <w:r>
              <w:rPr>
                <w:rFonts w:cstheme="minorHAnsi"/>
                <w:sz w:val="18"/>
                <w:szCs w:val="18"/>
              </w:rPr>
              <w:t>PriceKey (globalCode &amp; "|" &amp; productAbbreviation)</w:t>
            </w:r>
          </w:p>
        </w:tc>
        <w:tc>
          <w:tcPr>
            <w:tcW w:w="1310" w:type="dxa"/>
            <w:vAlign w:val="center"/>
          </w:tcPr>
          <w:p w14:paraId="3C661A6A" w14:textId="77777777" w:rsidR="00672297" w:rsidRDefault="00A16EA3">
            <w:pPr>
              <w:spacing w:before="20" w:after="20"/>
              <w:jc w:val="left"/>
            </w:pPr>
            <w:r>
              <w:rPr>
                <w:rFonts w:cstheme="minorHAnsi"/>
                <w:sz w:val="18"/>
                <w:szCs w:val="18"/>
              </w:rPr>
              <w:t>MPR_Price</w:t>
            </w:r>
          </w:p>
        </w:tc>
        <w:tc>
          <w:tcPr>
            <w:tcW w:w="2059" w:type="dxa"/>
            <w:vAlign w:val="center"/>
          </w:tcPr>
          <w:p w14:paraId="34102A14" w14:textId="77777777" w:rsidR="00672297" w:rsidRDefault="00A16EA3">
            <w:pPr>
              <w:spacing w:before="20" w:after="20"/>
              <w:jc w:val="left"/>
            </w:pPr>
            <w:r>
              <w:rPr>
                <w:rFonts w:cstheme="minorHAnsi"/>
                <w:sz w:val="18"/>
                <w:szCs w:val="18"/>
              </w:rPr>
              <w:t>PriceKey (globalCode &amp; "|" &amp; productAbbreviation)</w:t>
            </w:r>
          </w:p>
        </w:tc>
        <w:tc>
          <w:tcPr>
            <w:tcW w:w="1312" w:type="dxa"/>
            <w:vAlign w:val="center"/>
          </w:tcPr>
          <w:p w14:paraId="6B2B0560" w14:textId="77777777" w:rsidR="00672297" w:rsidRDefault="00A16EA3">
            <w:pPr>
              <w:spacing w:before="20" w:after="20"/>
              <w:jc w:val="left"/>
            </w:pPr>
            <w:r>
              <w:rPr>
                <w:rFonts w:cstheme="minorHAnsi"/>
                <w:sz w:val="18"/>
                <w:szCs w:val="18"/>
              </w:rPr>
              <w:t>Many-to-One / Single</w:t>
            </w:r>
          </w:p>
        </w:tc>
      </w:tr>
      <w:tr w:rsidR="00672297" w14:paraId="2DC56305" w14:textId="77777777">
        <w:trPr>
          <w:cantSplit/>
        </w:trPr>
        <w:tc>
          <w:tcPr>
            <w:tcW w:w="2246" w:type="dxa"/>
            <w:vAlign w:val="center"/>
          </w:tcPr>
          <w:p w14:paraId="2210CFC8" w14:textId="77777777" w:rsidR="00672297" w:rsidRDefault="00A16EA3">
            <w:pPr>
              <w:spacing w:before="20" w:after="20"/>
              <w:jc w:val="left"/>
            </w:pPr>
            <w:r>
              <w:rPr>
                <w:rFonts w:cstheme="minorHAnsi"/>
                <w:sz w:val="18"/>
                <w:szCs w:val="18"/>
              </w:rPr>
              <w:t>vwDistillateBlendingKPI</w:t>
            </w:r>
          </w:p>
        </w:tc>
        <w:tc>
          <w:tcPr>
            <w:tcW w:w="2433" w:type="dxa"/>
            <w:vAlign w:val="center"/>
          </w:tcPr>
          <w:p w14:paraId="7A000066" w14:textId="77777777" w:rsidR="00672297" w:rsidRDefault="00A16EA3">
            <w:pPr>
              <w:spacing w:before="20" w:after="20"/>
              <w:jc w:val="left"/>
            </w:pPr>
            <w:r>
              <w:rPr>
                <w:rFonts w:cstheme="minorHAnsi"/>
                <w:sz w:val="18"/>
                <w:szCs w:val="18"/>
              </w:rPr>
              <w:t>PriceKey (globalCode &amp; "|" &amp; productAbbreviation)</w:t>
            </w:r>
          </w:p>
        </w:tc>
        <w:tc>
          <w:tcPr>
            <w:tcW w:w="1310" w:type="dxa"/>
            <w:vAlign w:val="center"/>
          </w:tcPr>
          <w:p w14:paraId="6D1C339A" w14:textId="77777777" w:rsidR="00672297" w:rsidRDefault="00A16EA3">
            <w:pPr>
              <w:spacing w:before="20" w:after="20"/>
              <w:jc w:val="left"/>
            </w:pPr>
            <w:r>
              <w:rPr>
                <w:rFonts w:cstheme="minorHAnsi"/>
                <w:sz w:val="18"/>
                <w:szCs w:val="18"/>
              </w:rPr>
              <w:t>MPR_Price</w:t>
            </w:r>
          </w:p>
        </w:tc>
        <w:tc>
          <w:tcPr>
            <w:tcW w:w="2059" w:type="dxa"/>
            <w:vAlign w:val="center"/>
          </w:tcPr>
          <w:p w14:paraId="6DF4802C" w14:textId="77777777" w:rsidR="00672297" w:rsidRDefault="00A16EA3">
            <w:pPr>
              <w:spacing w:before="20" w:after="20"/>
              <w:jc w:val="left"/>
            </w:pPr>
            <w:r>
              <w:rPr>
                <w:rFonts w:cstheme="minorHAnsi"/>
                <w:sz w:val="18"/>
                <w:szCs w:val="18"/>
              </w:rPr>
              <w:t>PriceKey (globalCode &amp; "|" &amp; productAbbreviation)</w:t>
            </w:r>
          </w:p>
        </w:tc>
        <w:tc>
          <w:tcPr>
            <w:tcW w:w="1312" w:type="dxa"/>
            <w:vAlign w:val="center"/>
          </w:tcPr>
          <w:p w14:paraId="57E6011C" w14:textId="77777777" w:rsidR="00672297" w:rsidRDefault="00A16EA3">
            <w:pPr>
              <w:spacing w:before="20" w:after="20"/>
              <w:jc w:val="left"/>
            </w:pPr>
            <w:r>
              <w:rPr>
                <w:rFonts w:cstheme="minorHAnsi"/>
                <w:sz w:val="18"/>
                <w:szCs w:val="18"/>
              </w:rPr>
              <w:t>Many-to-One / Single</w:t>
            </w:r>
          </w:p>
        </w:tc>
      </w:tr>
    </w:tbl>
    <w:p w14:paraId="0874741D" w14:textId="71FB81D1" w:rsidR="00672297" w:rsidRDefault="00A16EA3">
      <w:pPr>
        <w:pStyle w:val="Caption"/>
      </w:pPr>
      <w:bookmarkStart w:id="476" w:name="_Toc900950018"/>
      <w:bookmarkStart w:id="477" w:name="_Toc241574694"/>
      <w:bookmarkStart w:id="478" w:name="_Toc242554078"/>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w:t>
      </w:r>
      <w:r>
        <w:fldChar w:fldCharType="end"/>
      </w:r>
      <w:r>
        <w:t>: Relationships between Tables in Power BI</w:t>
      </w:r>
      <w:bookmarkEnd w:id="476"/>
      <w:bookmarkEnd w:id="477"/>
      <w:bookmarkEnd w:id="478"/>
    </w:p>
    <w:tbl>
      <w:tblPr>
        <w:tblStyle w:val="TableGrid"/>
        <w:tblW w:w="9360" w:type="dxa"/>
        <w:tblLayout w:type="fixed"/>
        <w:tblCellMar>
          <w:left w:w="70" w:type="dxa"/>
          <w:right w:w="70" w:type="dxa"/>
        </w:tblCellMar>
        <w:tblLook w:val="04A0" w:firstRow="1" w:lastRow="0" w:firstColumn="1" w:lastColumn="0" w:noHBand="0" w:noVBand="1"/>
      </w:tblPr>
      <w:tblGrid>
        <w:gridCol w:w="2433"/>
        <w:gridCol w:w="6927"/>
      </w:tblGrid>
      <w:tr w:rsidR="00672297" w14:paraId="435BF1A1" w14:textId="77777777">
        <w:trPr>
          <w:cantSplit/>
          <w:tblHeader/>
        </w:trPr>
        <w:tc>
          <w:tcPr>
            <w:tcW w:w="2433" w:type="dxa"/>
            <w:shd w:val="clear" w:color="auto" w:fill="2F5496"/>
            <w:vAlign w:val="center"/>
          </w:tcPr>
          <w:p w14:paraId="76971FF9" w14:textId="77777777" w:rsidR="00672297" w:rsidRDefault="00A16EA3">
            <w:pPr>
              <w:spacing w:before="20" w:after="20"/>
              <w:jc w:val="left"/>
            </w:pPr>
            <w:r>
              <w:rPr>
                <w:rFonts w:cstheme="minorHAnsi"/>
                <w:b/>
                <w:bCs/>
                <w:color w:val="FFFFFF"/>
                <w:sz w:val="20"/>
                <w:szCs w:val="20"/>
              </w:rPr>
              <w:t>Table Name</w:t>
            </w:r>
          </w:p>
        </w:tc>
        <w:tc>
          <w:tcPr>
            <w:tcW w:w="6927" w:type="dxa"/>
            <w:shd w:val="clear" w:color="auto" w:fill="2F5496"/>
            <w:vAlign w:val="center"/>
          </w:tcPr>
          <w:p w14:paraId="1EB29071" w14:textId="77777777" w:rsidR="00672297" w:rsidRDefault="00A16EA3">
            <w:pPr>
              <w:spacing w:before="20" w:after="20"/>
              <w:jc w:val="left"/>
            </w:pPr>
            <w:r>
              <w:rPr>
                <w:rFonts w:cstheme="minorHAnsi"/>
                <w:b/>
                <w:bCs/>
                <w:color w:val="FFFFFF"/>
                <w:sz w:val="20"/>
                <w:szCs w:val="20"/>
              </w:rPr>
              <w:t>Transformations Applied</w:t>
            </w:r>
          </w:p>
        </w:tc>
      </w:tr>
      <w:tr w:rsidR="00672297" w14:paraId="0E23ADCF" w14:textId="77777777">
        <w:trPr>
          <w:cantSplit/>
        </w:trPr>
        <w:tc>
          <w:tcPr>
            <w:tcW w:w="2433" w:type="dxa"/>
            <w:vAlign w:val="center"/>
          </w:tcPr>
          <w:p w14:paraId="39517844" w14:textId="77777777" w:rsidR="00672297" w:rsidRDefault="00A16EA3">
            <w:pPr>
              <w:spacing w:before="20" w:after="20"/>
              <w:jc w:val="left"/>
            </w:pPr>
            <w:r>
              <w:rPr>
                <w:rFonts w:cstheme="minorHAnsi"/>
                <w:sz w:val="20"/>
                <w:szCs w:val="20"/>
              </w:rPr>
              <w:t>Six IQDM views</w:t>
            </w:r>
          </w:p>
        </w:tc>
        <w:tc>
          <w:tcPr>
            <w:tcW w:w="6927" w:type="dxa"/>
            <w:vAlign w:val="center"/>
          </w:tcPr>
          <w:p w14:paraId="057FAD30" w14:textId="77777777" w:rsidR="00672297" w:rsidRDefault="00A16EA3">
            <w:pPr>
              <w:spacing w:before="20" w:after="20"/>
              <w:jc w:val="left"/>
            </w:pPr>
            <w:r>
              <w:rPr>
                <w:rFonts w:cstheme="minorHAnsi"/>
                <w:sz w:val="20"/>
                <w:szCs w:val="20"/>
              </w:rPr>
              <w:t>Source = Sql.Database(pServer, pDatabase); columns renamed to the wireframe display names; data types set; no row-level transformation (business logic stays in the views).</w:t>
            </w:r>
          </w:p>
        </w:tc>
      </w:tr>
      <w:tr w:rsidR="00672297" w14:paraId="44056593" w14:textId="77777777">
        <w:trPr>
          <w:cantSplit/>
        </w:trPr>
        <w:tc>
          <w:tcPr>
            <w:tcW w:w="2433" w:type="dxa"/>
            <w:vAlign w:val="center"/>
          </w:tcPr>
          <w:p w14:paraId="09CF877D" w14:textId="77777777" w:rsidR="00672297" w:rsidRDefault="00A16EA3">
            <w:pPr>
              <w:spacing w:before="20" w:after="20"/>
              <w:jc w:val="left"/>
            </w:pPr>
            <w:r>
              <w:rPr>
                <w:rFonts w:cstheme="minorHAnsi"/>
                <w:sz w:val="20"/>
                <w:szCs w:val="20"/>
              </w:rPr>
              <w:t>vwGasolineBlendingKPI, vwDistillateBlendingKPI</w:t>
            </w:r>
          </w:p>
        </w:tc>
        <w:tc>
          <w:tcPr>
            <w:tcW w:w="6927" w:type="dxa"/>
            <w:vAlign w:val="center"/>
          </w:tcPr>
          <w:p w14:paraId="798D7D1B" w14:textId="77777777" w:rsidR="00672297" w:rsidRDefault="00A16EA3">
            <w:pPr>
              <w:spacing w:before="20" w:after="20"/>
              <w:jc w:val="left"/>
            </w:pPr>
            <w:r>
              <w:rPr>
                <w:rFonts w:cstheme="minorHAnsi"/>
                <w:sz w:val="20"/>
                <w:szCs w:val="20"/>
              </w:rPr>
              <w:t>Add PriceKey = Text.From([globalCode]) &amp; "|" &amp; Text.From([productAbbreviation]) for the relationship to MPR_Price (Power BI relationships use one column, so the two common columns are combined).</w:t>
            </w:r>
          </w:p>
        </w:tc>
      </w:tr>
      <w:tr w:rsidR="00672297" w14:paraId="4A09BCC7" w14:textId="77777777">
        <w:trPr>
          <w:cantSplit/>
        </w:trPr>
        <w:tc>
          <w:tcPr>
            <w:tcW w:w="2433" w:type="dxa"/>
            <w:vAlign w:val="center"/>
          </w:tcPr>
          <w:p w14:paraId="1E16A07B" w14:textId="77777777" w:rsidR="00672297" w:rsidRDefault="00A16EA3">
            <w:pPr>
              <w:spacing w:before="20" w:after="20"/>
              <w:jc w:val="left"/>
            </w:pPr>
            <w:r>
              <w:rPr>
                <w:rFonts w:cstheme="minorHAnsi"/>
                <w:sz w:val="20"/>
                <w:szCs w:val="20"/>
              </w:rPr>
              <w:t>MPR_Price</w:t>
            </w:r>
          </w:p>
        </w:tc>
        <w:tc>
          <w:tcPr>
            <w:tcW w:w="6927" w:type="dxa"/>
            <w:vAlign w:val="center"/>
          </w:tcPr>
          <w:p w14:paraId="65174D9F" w14:textId="1630EB0E" w:rsidR="00672297" w:rsidRDefault="00A16EA3">
            <w:pPr>
              <w:spacing w:before="20" w:after="20"/>
              <w:jc w:val="left"/>
            </w:pPr>
            <w:r>
              <w:rPr>
                <w:rFonts w:cstheme="minorHAnsi"/>
                <w:sz w:val="20"/>
                <w:szCs w:val="20"/>
              </w:rPr>
              <w:t xml:space="preserve">Web.Contents POST to the MPR API with StartDate / EndDate </w:t>
            </w:r>
            <w:r w:rsidR="008A4F32">
              <w:rPr>
                <w:rFonts w:cstheme="minorHAnsi"/>
                <w:sz w:val="20"/>
                <w:szCs w:val="20"/>
              </w:rPr>
              <w:t>(parameters pPriceStartDate, pPriceEndDate - gap RD-01);</w:t>
            </w:r>
            <w:r>
              <w:rPr>
                <w:rFonts w:cstheme="minorHAnsi"/>
                <w:sz w:val="20"/>
                <w:szCs w:val="20"/>
              </w:rPr>
              <w:t xml:space="preserve"> expand the JSON response; keep globalCode (Material_GlobalCode) and productAbbreviation; convert $/gal to $/bbl (x 42) where the UOM is $/gal; add PriceKey; remove duplicates on PriceKey.</w:t>
            </w:r>
          </w:p>
        </w:tc>
      </w:tr>
      <w:tr w:rsidR="00672297" w14:paraId="2BB088B4" w14:textId="77777777">
        <w:trPr>
          <w:cantSplit/>
        </w:trPr>
        <w:tc>
          <w:tcPr>
            <w:tcW w:w="2433" w:type="dxa"/>
            <w:vAlign w:val="center"/>
          </w:tcPr>
          <w:p w14:paraId="729C0D55" w14:textId="77777777" w:rsidR="00672297" w:rsidRDefault="00A16EA3">
            <w:pPr>
              <w:spacing w:before="20" w:after="20"/>
              <w:jc w:val="left"/>
            </w:pPr>
            <w:r>
              <w:rPr>
                <w:rFonts w:cstheme="minorHAnsi"/>
                <w:sz w:val="20"/>
                <w:szCs w:val="20"/>
              </w:rPr>
              <w:t>day_detail</w:t>
            </w:r>
          </w:p>
        </w:tc>
        <w:tc>
          <w:tcPr>
            <w:tcW w:w="6927" w:type="dxa"/>
            <w:vAlign w:val="center"/>
          </w:tcPr>
          <w:p w14:paraId="67B87D6C" w14:textId="77777777" w:rsidR="00672297" w:rsidRDefault="00A16EA3">
            <w:pPr>
              <w:spacing w:before="20" w:after="20"/>
              <w:jc w:val="left"/>
            </w:pPr>
            <w:r>
              <w:rPr>
                <w:rFonts w:cstheme="minorHAnsi"/>
                <w:sz w:val="20"/>
                <w:szCs w:val="20"/>
              </w:rPr>
              <w:t>Filter to the retained history; mark as date table.</w:t>
            </w:r>
          </w:p>
        </w:tc>
      </w:tr>
      <w:tr w:rsidR="00672297" w14:paraId="576DEB35" w14:textId="77777777">
        <w:trPr>
          <w:cantSplit/>
        </w:trPr>
        <w:tc>
          <w:tcPr>
            <w:tcW w:w="2433" w:type="dxa"/>
            <w:vAlign w:val="center"/>
          </w:tcPr>
          <w:p w14:paraId="2E792D85" w14:textId="77777777" w:rsidR="00672297" w:rsidRDefault="00A16EA3">
            <w:pPr>
              <w:spacing w:before="20" w:after="20"/>
              <w:jc w:val="left"/>
            </w:pPr>
            <w:r>
              <w:rPr>
                <w:rFonts w:cstheme="minorHAnsi"/>
                <w:sz w:val="20"/>
                <w:szCs w:val="20"/>
              </w:rPr>
              <w:t>Last_Refresh</w:t>
            </w:r>
          </w:p>
        </w:tc>
        <w:tc>
          <w:tcPr>
            <w:tcW w:w="6927" w:type="dxa"/>
            <w:vAlign w:val="center"/>
          </w:tcPr>
          <w:p w14:paraId="79D40FC5" w14:textId="77777777" w:rsidR="00672297" w:rsidRDefault="00A16EA3">
            <w:pPr>
              <w:spacing w:before="20" w:after="20"/>
              <w:jc w:val="left"/>
            </w:pPr>
            <w:r>
              <w:rPr>
                <w:rFonts w:cstheme="minorHAnsi"/>
                <w:sz w:val="20"/>
                <w:szCs w:val="20"/>
              </w:rPr>
              <w:t>Single-row table = DateTime.LocalNow() at refresh.</w:t>
            </w:r>
          </w:p>
        </w:tc>
      </w:tr>
    </w:tbl>
    <w:p w14:paraId="2EE526CC" w14:textId="57A9EFFD" w:rsidR="00672297" w:rsidRDefault="00A16EA3">
      <w:pPr>
        <w:pStyle w:val="Caption"/>
      </w:pPr>
      <w:bookmarkStart w:id="479" w:name="_Toc900950019"/>
      <w:bookmarkStart w:id="480" w:name="_Toc241574695"/>
      <w:bookmarkStart w:id="481" w:name="_Toc242554079"/>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6</w:t>
      </w:r>
      <w:r>
        <w:fldChar w:fldCharType="end"/>
      </w:r>
      <w:r>
        <w:t>: Key Power Query Transformations</w:t>
      </w:r>
      <w:bookmarkEnd w:id="479"/>
      <w:bookmarkEnd w:id="480"/>
      <w:bookmarkEnd w:id="481"/>
    </w:p>
    <w:p w14:paraId="280E3215" w14:textId="77777777" w:rsidR="00672297" w:rsidRDefault="00A16EA3">
      <w:pPr>
        <w:pStyle w:val="Heading3"/>
        <w:rPr>
          <w:rFonts w:asciiTheme="minorHAnsi" w:hAnsiTheme="minorHAnsi" w:cstheme="minorBidi"/>
          <w:sz w:val="20"/>
          <w:szCs w:val="20"/>
        </w:rPr>
      </w:pPr>
      <w:bookmarkStart w:id="482" w:name="_Toc241574348"/>
      <w:bookmarkStart w:id="483" w:name="_Toc242553970"/>
      <w:r>
        <w:rPr>
          <w:rFonts w:asciiTheme="minorHAnsi" w:hAnsiTheme="minorHAnsi" w:cstheme="minorBidi"/>
          <w:sz w:val="20"/>
          <w:szCs w:val="20"/>
        </w:rPr>
        <w:t>Common Measures and DAX Calculations</w:t>
      </w:r>
      <w:bookmarkEnd w:id="482"/>
      <w:bookmarkEnd w:id="483"/>
    </w:p>
    <w:tbl>
      <w:tblPr>
        <w:tblStyle w:val="TableGrid"/>
        <w:tblW w:w="9360" w:type="dxa"/>
        <w:tblLayout w:type="fixed"/>
        <w:tblCellMar>
          <w:left w:w="70" w:type="dxa"/>
          <w:right w:w="70" w:type="dxa"/>
        </w:tblCellMar>
        <w:tblLook w:val="04A0" w:firstRow="1" w:lastRow="0" w:firstColumn="1" w:lastColumn="0" w:noHBand="0" w:noVBand="1"/>
      </w:tblPr>
      <w:tblGrid>
        <w:gridCol w:w="2620"/>
        <w:gridCol w:w="6740"/>
      </w:tblGrid>
      <w:tr w:rsidR="00672297" w14:paraId="08B6500F" w14:textId="77777777">
        <w:trPr>
          <w:cantSplit/>
          <w:tblHeader/>
        </w:trPr>
        <w:tc>
          <w:tcPr>
            <w:tcW w:w="2620" w:type="dxa"/>
            <w:shd w:val="clear" w:color="auto" w:fill="2F5496"/>
            <w:vAlign w:val="center"/>
          </w:tcPr>
          <w:p w14:paraId="43A41E87" w14:textId="77777777" w:rsidR="00672297" w:rsidRDefault="00A16EA3">
            <w:pPr>
              <w:spacing w:before="20" w:after="20"/>
              <w:jc w:val="left"/>
            </w:pPr>
            <w:r>
              <w:rPr>
                <w:rFonts w:cstheme="minorHAnsi"/>
                <w:b/>
                <w:bCs/>
                <w:color w:val="FFFFFF"/>
                <w:sz w:val="20"/>
                <w:szCs w:val="20"/>
              </w:rPr>
              <w:t>Measure Name</w:t>
            </w:r>
          </w:p>
        </w:tc>
        <w:tc>
          <w:tcPr>
            <w:tcW w:w="6740" w:type="dxa"/>
            <w:shd w:val="clear" w:color="auto" w:fill="2F5496"/>
            <w:vAlign w:val="center"/>
          </w:tcPr>
          <w:p w14:paraId="0A340527" w14:textId="77777777" w:rsidR="00672297" w:rsidRDefault="00A16EA3">
            <w:pPr>
              <w:spacing w:before="20" w:after="20"/>
              <w:jc w:val="left"/>
            </w:pPr>
            <w:r>
              <w:rPr>
                <w:rFonts w:cstheme="minorHAnsi"/>
                <w:b/>
                <w:bCs/>
                <w:color w:val="FFFFFF"/>
                <w:sz w:val="20"/>
                <w:szCs w:val="20"/>
              </w:rPr>
              <w:t>Description / DAX Logic</w:t>
            </w:r>
          </w:p>
        </w:tc>
      </w:tr>
      <w:tr w:rsidR="00672297" w14:paraId="680850C2" w14:textId="77777777">
        <w:trPr>
          <w:cantSplit/>
        </w:trPr>
        <w:tc>
          <w:tcPr>
            <w:tcW w:w="2620" w:type="dxa"/>
            <w:vAlign w:val="center"/>
          </w:tcPr>
          <w:p w14:paraId="552A0D57" w14:textId="77777777" w:rsidR="00672297" w:rsidRDefault="00A16EA3">
            <w:pPr>
              <w:spacing w:before="20" w:after="20"/>
              <w:jc w:val="left"/>
            </w:pPr>
            <w:r>
              <w:rPr>
                <w:rFonts w:cstheme="minorHAnsi"/>
                <w:sz w:val="20"/>
                <w:szCs w:val="20"/>
              </w:rPr>
              <w:t>Last Refresh</w:t>
            </w:r>
          </w:p>
        </w:tc>
        <w:tc>
          <w:tcPr>
            <w:tcW w:w="6740" w:type="dxa"/>
            <w:vAlign w:val="center"/>
          </w:tcPr>
          <w:p w14:paraId="494E9DCB" w14:textId="77777777" w:rsidR="00672297" w:rsidRDefault="00A16EA3">
            <w:pPr>
              <w:spacing w:before="20" w:after="20"/>
              <w:jc w:val="left"/>
            </w:pPr>
            <w:r>
              <w:rPr>
                <w:rFonts w:cstheme="minorHAnsi"/>
                <w:sz w:val="20"/>
                <w:szCs w:val="20"/>
              </w:rPr>
              <w:t>MAX ( Last_Refresh[Refresh DateTime] ) - shown on every page as "Last Refresh".</w:t>
            </w:r>
          </w:p>
        </w:tc>
      </w:tr>
      <w:tr w:rsidR="00672297" w14:paraId="09030A6A" w14:textId="77777777">
        <w:trPr>
          <w:cantSplit/>
        </w:trPr>
        <w:tc>
          <w:tcPr>
            <w:tcW w:w="2620" w:type="dxa"/>
            <w:vAlign w:val="center"/>
          </w:tcPr>
          <w:p w14:paraId="220EFE6A" w14:textId="77777777" w:rsidR="00672297" w:rsidRDefault="00A16EA3">
            <w:pPr>
              <w:spacing w:before="20" w:after="20"/>
              <w:jc w:val="left"/>
            </w:pPr>
            <w:r>
              <w:rPr>
                <w:rFonts w:cstheme="minorHAnsi"/>
                <w:sz w:val="20"/>
                <w:szCs w:val="20"/>
              </w:rPr>
              <w:t>Batch Volume (bbl)</w:t>
            </w:r>
          </w:p>
        </w:tc>
        <w:tc>
          <w:tcPr>
            <w:tcW w:w="6740" w:type="dxa"/>
            <w:vAlign w:val="center"/>
          </w:tcPr>
          <w:p w14:paraId="3442FD7A" w14:textId="77777777" w:rsidR="00672297" w:rsidRDefault="00A16EA3">
            <w:pPr>
              <w:spacing w:before="20" w:after="20"/>
              <w:jc w:val="left"/>
            </w:pPr>
            <w:r>
              <w:rPr>
                <w:rFonts w:cstheme="minorHAnsi"/>
                <w:sz w:val="20"/>
                <w:szCs w:val="20"/>
              </w:rPr>
              <w:t>SUM ( &lt;view&gt;[BatchVolumeBbl] )</w:t>
            </w:r>
          </w:p>
        </w:tc>
      </w:tr>
      <w:tr w:rsidR="00672297" w14:paraId="61C4595F" w14:textId="77777777">
        <w:trPr>
          <w:cantSplit/>
        </w:trPr>
        <w:tc>
          <w:tcPr>
            <w:tcW w:w="2620" w:type="dxa"/>
            <w:vAlign w:val="center"/>
          </w:tcPr>
          <w:p w14:paraId="54B336DC" w14:textId="77777777" w:rsidR="00672297" w:rsidRDefault="00A16EA3">
            <w:pPr>
              <w:spacing w:before="20" w:after="20"/>
              <w:jc w:val="left"/>
            </w:pPr>
            <w:r>
              <w:rPr>
                <w:rFonts w:cstheme="minorHAnsi"/>
                <w:sz w:val="20"/>
                <w:szCs w:val="20"/>
              </w:rPr>
              <w:t>Batch Count</w:t>
            </w:r>
          </w:p>
        </w:tc>
        <w:tc>
          <w:tcPr>
            <w:tcW w:w="6740" w:type="dxa"/>
            <w:vAlign w:val="center"/>
          </w:tcPr>
          <w:p w14:paraId="7A4C7228" w14:textId="77777777" w:rsidR="00672297" w:rsidRDefault="00A16EA3">
            <w:pPr>
              <w:spacing w:before="20" w:after="20"/>
              <w:jc w:val="left"/>
            </w:pPr>
            <w:r>
              <w:rPr>
                <w:rFonts w:cstheme="minorHAnsi"/>
                <w:sz w:val="20"/>
                <w:szCs w:val="20"/>
              </w:rPr>
              <w:t>DISTINCTCOUNT ( &lt;view&gt;[BatchID] )</w:t>
            </w:r>
          </w:p>
        </w:tc>
      </w:tr>
      <w:tr w:rsidR="00672297" w14:paraId="0C3AC17D" w14:textId="77777777">
        <w:trPr>
          <w:cantSplit/>
        </w:trPr>
        <w:tc>
          <w:tcPr>
            <w:tcW w:w="2620" w:type="dxa"/>
            <w:vAlign w:val="center"/>
          </w:tcPr>
          <w:p w14:paraId="44A580A1" w14:textId="77777777" w:rsidR="00672297" w:rsidRDefault="00A16EA3">
            <w:pPr>
              <w:spacing w:before="20" w:after="20"/>
              <w:jc w:val="left"/>
            </w:pPr>
            <w:r>
              <w:rPr>
                <w:rFonts w:cstheme="minorHAnsi"/>
                <w:sz w:val="20"/>
                <w:szCs w:val="20"/>
              </w:rPr>
              <w:t>&lt;Property&gt; Actual / Min / Max</w:t>
            </w:r>
          </w:p>
        </w:tc>
        <w:tc>
          <w:tcPr>
            <w:tcW w:w="6740" w:type="dxa"/>
            <w:vAlign w:val="center"/>
          </w:tcPr>
          <w:p w14:paraId="1C4488A4" w14:textId="77777777" w:rsidR="00672297" w:rsidRDefault="00A16EA3">
            <w:pPr>
              <w:spacing w:before="20" w:after="20"/>
              <w:jc w:val="left"/>
            </w:pPr>
            <w:r>
              <w:rPr>
                <w:rFonts w:cstheme="minorHAnsi"/>
                <w:sz w:val="20"/>
                <w:szCs w:val="20"/>
              </w:rPr>
              <w:t>AVERAGE ( &lt;view&gt;[&lt;Property&gt;Actual] ) / MIN ( &lt;view&gt;[&lt;Property&gt;Min] ) / MAX ( &lt;view&gt;[&lt;Property&gt;Max] ) - simple average as in the wireframe (gap RD-08)</w:t>
            </w:r>
          </w:p>
        </w:tc>
      </w:tr>
      <w:tr w:rsidR="00672297" w14:paraId="07F4A8C2" w14:textId="77777777">
        <w:trPr>
          <w:cantSplit/>
        </w:trPr>
        <w:tc>
          <w:tcPr>
            <w:tcW w:w="2620" w:type="dxa"/>
            <w:vAlign w:val="center"/>
          </w:tcPr>
          <w:p w14:paraId="451D9DF2" w14:textId="77777777" w:rsidR="00672297" w:rsidRDefault="00A16EA3">
            <w:pPr>
              <w:spacing w:before="20" w:after="20"/>
              <w:jc w:val="left"/>
            </w:pPr>
            <w:r>
              <w:rPr>
                <w:rFonts w:cstheme="minorHAnsi"/>
                <w:sz w:val="20"/>
                <w:szCs w:val="20"/>
              </w:rPr>
              <w:t>&lt;Measure&gt; - Scheduled / - In-Transit</w:t>
            </w:r>
          </w:p>
        </w:tc>
        <w:tc>
          <w:tcPr>
            <w:tcW w:w="6740" w:type="dxa"/>
            <w:vAlign w:val="center"/>
          </w:tcPr>
          <w:p w14:paraId="1C4115F9" w14:textId="77777777" w:rsidR="00672297" w:rsidRDefault="00A16EA3">
            <w:pPr>
              <w:spacing w:before="20" w:after="20"/>
              <w:jc w:val="left"/>
            </w:pPr>
            <w:r>
              <w:rPr>
                <w:rFonts w:cstheme="minorHAnsi"/>
                <w:sz w:val="20"/>
                <w:szCs w:val="20"/>
              </w:rPr>
              <w:t>CALCULATE ( &lt;Measure&gt;, &lt;view&gt;[BatchStatus] = "Scheduled" ) / "In-Transit"</w:t>
            </w:r>
          </w:p>
        </w:tc>
      </w:tr>
      <w:tr w:rsidR="00672297" w14:paraId="6C00269B" w14:textId="77777777">
        <w:trPr>
          <w:cantSplit/>
        </w:trPr>
        <w:tc>
          <w:tcPr>
            <w:tcW w:w="2620" w:type="dxa"/>
            <w:vAlign w:val="center"/>
          </w:tcPr>
          <w:p w14:paraId="4FFACFE6" w14:textId="77777777" w:rsidR="00672297" w:rsidRDefault="00A16EA3">
            <w:pPr>
              <w:spacing w:before="20" w:after="20"/>
              <w:jc w:val="left"/>
            </w:pPr>
            <w:r>
              <w:rPr>
                <w:rFonts w:cstheme="minorHAnsi"/>
                <w:sz w:val="20"/>
                <w:szCs w:val="20"/>
              </w:rPr>
              <w:t>&lt;Property&gt; Colour</w:t>
            </w:r>
          </w:p>
        </w:tc>
        <w:tc>
          <w:tcPr>
            <w:tcW w:w="6740" w:type="dxa"/>
            <w:vAlign w:val="center"/>
          </w:tcPr>
          <w:p w14:paraId="640697F3" w14:textId="77777777" w:rsidR="00672297" w:rsidRDefault="00A16EA3">
            <w:pPr>
              <w:spacing w:before="20" w:after="20"/>
              <w:jc w:val="left"/>
            </w:pPr>
            <w:r>
              <w:rPr>
                <w:rFonts w:cstheme="minorHAnsi"/>
                <w:sz w:val="20"/>
                <w:szCs w:val="20"/>
              </w:rPr>
              <w:t>SWITCH ( TRUE(), MIN ( &lt;view&gt;[&lt;Property&gt;WithinSpec] ) = 0, "#C00000", MIN ( &lt;view&gt;[&lt;Property&gt;WithinSpec] ) = 1, "#00B050", BLANK() ) - conditional formatting of Actual</w:t>
            </w:r>
          </w:p>
        </w:tc>
      </w:tr>
      <w:tr w:rsidR="00672297" w14:paraId="620C5B34" w14:textId="77777777">
        <w:trPr>
          <w:cantSplit/>
        </w:trPr>
        <w:tc>
          <w:tcPr>
            <w:tcW w:w="2620" w:type="dxa"/>
            <w:vAlign w:val="center"/>
          </w:tcPr>
          <w:p w14:paraId="5CD606A3" w14:textId="77777777" w:rsidR="00672297" w:rsidRDefault="00A16EA3">
            <w:pPr>
              <w:spacing w:before="20" w:after="20"/>
              <w:jc w:val="left"/>
            </w:pPr>
            <w:r>
              <w:rPr>
                <w:rFonts w:cstheme="minorHAnsi"/>
                <w:sz w:val="20"/>
                <w:szCs w:val="20"/>
              </w:rPr>
              <w:t>MPR Price ($/bbl)</w:t>
            </w:r>
          </w:p>
        </w:tc>
        <w:tc>
          <w:tcPr>
            <w:tcW w:w="6740" w:type="dxa"/>
            <w:vAlign w:val="center"/>
          </w:tcPr>
          <w:p w14:paraId="19C97EA6" w14:textId="77777777" w:rsidR="00672297" w:rsidRDefault="00A16EA3">
            <w:pPr>
              <w:spacing w:before="20" w:after="20"/>
              <w:jc w:val="left"/>
            </w:pPr>
            <w:r>
              <w:rPr>
                <w:rFonts w:cstheme="minorHAnsi"/>
                <w:sz w:val="20"/>
                <w:szCs w:val="20"/>
              </w:rPr>
              <w:t>AVERAGE ( MPR_Price[AveragePrice] ) - through the PriceKey relationship for the product of the row</w:t>
            </w:r>
          </w:p>
        </w:tc>
      </w:tr>
      <w:tr w:rsidR="00672297" w14:paraId="0511305D" w14:textId="77777777">
        <w:trPr>
          <w:cantSplit/>
        </w:trPr>
        <w:tc>
          <w:tcPr>
            <w:tcW w:w="2620" w:type="dxa"/>
            <w:vAlign w:val="center"/>
          </w:tcPr>
          <w:p w14:paraId="0F13BCE0" w14:textId="77777777" w:rsidR="00672297" w:rsidRDefault="00A16EA3">
            <w:pPr>
              <w:spacing w:before="20" w:after="20"/>
              <w:jc w:val="left"/>
            </w:pPr>
            <w:r>
              <w:rPr>
                <w:rFonts w:cstheme="minorHAnsi"/>
                <w:sz w:val="20"/>
                <w:szCs w:val="20"/>
              </w:rPr>
              <w:t>Component Price ($/bbl)</w:t>
            </w:r>
          </w:p>
        </w:tc>
        <w:tc>
          <w:tcPr>
            <w:tcW w:w="6740" w:type="dxa"/>
            <w:vAlign w:val="center"/>
          </w:tcPr>
          <w:p w14:paraId="03418ED5" w14:textId="77777777" w:rsidR="00672297" w:rsidRDefault="00A16EA3">
            <w:pPr>
              <w:spacing w:before="20" w:after="20"/>
              <w:jc w:val="left"/>
            </w:pPr>
            <w:r>
              <w:rPr>
                <w:rFonts w:cstheme="minorHAnsi"/>
                <w:sz w:val="20"/>
                <w:szCs w:val="20"/>
              </w:rPr>
              <w:t>CALCULATE ( AVERAGE ( MPR_Price[AveragePrice] ), REMOVEFILTERS ( MPR_Price ), MPR_Price[productAbbreviation] = &lt;component abbreviation&gt; ) - component abbreviations from gap DP-11</w:t>
            </w:r>
          </w:p>
        </w:tc>
      </w:tr>
      <w:tr w:rsidR="00672297" w14:paraId="72DEAC25" w14:textId="77777777">
        <w:trPr>
          <w:cantSplit/>
        </w:trPr>
        <w:tc>
          <w:tcPr>
            <w:tcW w:w="2620" w:type="dxa"/>
            <w:vAlign w:val="center"/>
          </w:tcPr>
          <w:p w14:paraId="7F790EFD" w14:textId="77777777" w:rsidR="00672297" w:rsidRDefault="00A16EA3">
            <w:pPr>
              <w:spacing w:before="20" w:after="20"/>
              <w:jc w:val="left"/>
            </w:pPr>
            <w:r>
              <w:rPr>
                <w:rFonts w:cstheme="minorHAnsi"/>
                <w:sz w:val="20"/>
                <w:szCs w:val="20"/>
              </w:rPr>
              <w:t>Selected Batches</w:t>
            </w:r>
          </w:p>
        </w:tc>
        <w:tc>
          <w:tcPr>
            <w:tcW w:w="6740" w:type="dxa"/>
            <w:vAlign w:val="center"/>
          </w:tcPr>
          <w:p w14:paraId="62410160" w14:textId="77777777" w:rsidR="00672297" w:rsidRDefault="00A16EA3">
            <w:pPr>
              <w:spacing w:before="20" w:after="20"/>
              <w:jc w:val="left"/>
            </w:pPr>
            <w:r>
              <w:rPr>
                <w:rFonts w:cstheme="minorHAnsi"/>
                <w:sz w:val="20"/>
                <w:szCs w:val="20"/>
              </w:rPr>
              <w:t>Batch ID slicer (list, multi-select, "Select all" by default) implements the Check / CheckBox column of the wireframes (gap RD-11)</w:t>
            </w:r>
          </w:p>
        </w:tc>
      </w:tr>
    </w:tbl>
    <w:p w14:paraId="637EF356" w14:textId="4FD346D8" w:rsidR="00672297" w:rsidRDefault="00A16EA3">
      <w:pPr>
        <w:pStyle w:val="Caption"/>
      </w:pPr>
      <w:bookmarkStart w:id="484" w:name="_Toc900950021"/>
      <w:bookmarkStart w:id="485" w:name="_Toc241574696"/>
      <w:bookmarkStart w:id="486" w:name="_Toc242554080"/>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7</w:t>
      </w:r>
      <w:r>
        <w:fldChar w:fldCharType="end"/>
      </w:r>
      <w:r>
        <w:t>: Common DAX Measures</w:t>
      </w:r>
      <w:bookmarkEnd w:id="484"/>
      <w:bookmarkEnd w:id="485"/>
      <w:bookmarkEnd w:id="486"/>
    </w:p>
    <w:p w14:paraId="184A19AA" w14:textId="77777777" w:rsidR="00672297" w:rsidRDefault="00A16EA3">
      <w:pPr>
        <w:pStyle w:val="Heading3"/>
        <w:rPr>
          <w:rFonts w:asciiTheme="minorHAnsi" w:hAnsiTheme="minorHAnsi" w:cstheme="minorBidi"/>
          <w:sz w:val="20"/>
          <w:szCs w:val="20"/>
        </w:rPr>
      </w:pPr>
      <w:bookmarkStart w:id="487" w:name="_Toc241574349"/>
      <w:bookmarkStart w:id="488" w:name="_Toc242553971"/>
      <w:r>
        <w:rPr>
          <w:rFonts w:asciiTheme="minorHAnsi" w:hAnsiTheme="minorHAnsi" w:cstheme="minorBidi"/>
          <w:sz w:val="20"/>
          <w:szCs w:val="20"/>
        </w:rPr>
        <w:t>Navigation and Common Report Features</w:t>
      </w:r>
      <w:bookmarkEnd w:id="487"/>
      <w:bookmarkEnd w:id="488"/>
    </w:p>
    <w:p w14:paraId="6DC7460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Each dashboard is a report in the VCB workspace, published through the VCB Power BI app; the app navigation lists the six dashboards in the order of the Objective table.</w:t>
      </w:r>
    </w:p>
    <w:p w14:paraId="10D762E0"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Each report has a User Guide page (data sources, visuals, formulas and metrics), as in the IQDM dashboards.</w:t>
      </w:r>
    </w:p>
    <w:p w14:paraId="31F8F27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Filter bar at the top of each page with the slicers listed for the dashboard; slicers are synchronised across the pages of a report. The wireframe "Apply Filters" button is implemented with the Power BI "Apply all slicers" button.</w:t>
      </w:r>
    </w:p>
    <w:p w14:paraId="367B40F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Search: slicers of Batch ID and Terminal have search enabled. Export: "Export data" (CSV / Excel) is enabled for the detail tables.</w:t>
      </w:r>
    </w:p>
    <w:p w14:paraId="3178D765"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Last Refresh card on every page.</w:t>
      </w:r>
    </w:p>
    <w:p w14:paraId="03EBFAF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Drill-down: charts with a Terminal &gt; Batch ID axis hierarchy switch from terminal-wise to batch-wise on drill-down and cross-filter the detail table. Drill-through pages are listed in each dashboard section.</w:t>
      </w:r>
    </w:p>
    <w:p w14:paraId="0F085F5B" w14:textId="77777777" w:rsidR="00672297" w:rsidRDefault="00A16EA3">
      <w:pPr>
        <w:pStyle w:val="Heading2"/>
        <w:rPr>
          <w:rFonts w:asciiTheme="minorHAnsi" w:hAnsiTheme="minorHAnsi" w:cstheme="minorBidi"/>
          <w:sz w:val="20"/>
          <w:szCs w:val="20"/>
        </w:rPr>
      </w:pPr>
      <w:bookmarkStart w:id="489" w:name="_Toc241574350"/>
      <w:bookmarkStart w:id="490" w:name="_Toc242553972"/>
      <w:r>
        <w:rPr>
          <w:rFonts w:asciiTheme="minorHAnsi" w:hAnsiTheme="minorHAnsi" w:cstheme="minorBidi"/>
          <w:sz w:val="20"/>
          <w:szCs w:val="20"/>
        </w:rPr>
        <w:t>Release 1 - VCB Dashboards</w:t>
      </w:r>
      <w:bookmarkEnd w:id="489"/>
      <w:bookmarkEnd w:id="490"/>
    </w:p>
    <w:p w14:paraId="4F3ED650" w14:textId="1F70AA51" w:rsidR="00672297" w:rsidRDefault="00A16EA3">
      <w:pPr>
        <w:rPr>
          <w:rFonts w:cstheme="minorHAnsi"/>
          <w:sz w:val="20"/>
          <w:szCs w:val="20"/>
        </w:rPr>
      </w:pPr>
      <w:r>
        <w:rPr>
          <w:rFonts w:cstheme="minorHAnsi"/>
          <w:sz w:val="20"/>
          <w:szCs w:val="20"/>
        </w:rPr>
        <w:t xml:space="preserve">Release 1 delivers the six VCB dashboards for the North Region refineries (Robinson, Catlettsburg, Detroit and Canton) and their terminals defined in the VCB Blending Potential Functional Design Document, and one placeholder dashboard reserved for a requirement that may arise during review or from business-user feedback. Each dashboard is one Power BI report over its IQDM view: Refinery-Wide - vwRefineryBatchMovementQuality; Blending Potential - vwDistillateBlendPotentialQuality; Distillate - vwDistillateBatchQuality; Supply - vwBlendComponentSupplyDemand; Gasoline KPI - vwGasolineBlendingKPI; Distillate KPI - vwDistillateBlendingKPI (with MPR_Price). IQDM data-entity availability is phased across the IQDM releases (R#1 to R#5 in the mapping tables). The Gasoline KPI and Distillate KPI dashboards also depend on the VCB </w:t>
      </w:r>
      <w:r w:rsidR="000A106D">
        <w:rPr>
          <w:rFonts w:cstheme="minorHAnsi"/>
          <w:sz w:val="20"/>
          <w:szCs w:val="20"/>
        </w:rPr>
        <w:t>PIAF integration</w:t>
      </w:r>
      <w:r>
        <w:rPr>
          <w:rFonts w:cstheme="minorHAnsi"/>
          <w:sz w:val="20"/>
          <w:szCs w:val="20"/>
        </w:rPr>
        <w:t xml:space="preserve"> (VCB </w:t>
      </w:r>
      <w:r w:rsidR="00371C86">
        <w:rPr>
          <w:rFonts w:cstheme="minorHAnsi"/>
          <w:sz w:val="20"/>
          <w:szCs w:val="20"/>
        </w:rPr>
        <w:t>Releases 2 and 3</w:t>
      </w:r>
      <w:r>
        <w:rPr>
          <w:rFonts w:cstheme="minorHAnsi"/>
          <w:sz w:val="20"/>
          <w:szCs w:val="20"/>
        </w:rPr>
        <w:t xml:space="preserve">) and on the transaction </w:t>
      </w:r>
      <w:r w:rsidR="000A106D">
        <w:rPr>
          <w:rFonts w:cstheme="minorHAnsi"/>
          <w:sz w:val="20"/>
          <w:szCs w:val="20"/>
        </w:rPr>
        <w:t>upload and MPR integrations</w:t>
      </w:r>
      <w:r>
        <w:rPr>
          <w:rFonts w:cstheme="minorHAnsi"/>
          <w:sz w:val="20"/>
          <w:szCs w:val="20"/>
        </w:rPr>
        <w:t xml:space="preserve"> (VCB Release 3): until these are delivered the actual-blend and value-loss visuals show no data.</w:t>
      </w:r>
    </w:p>
    <w:p w14:paraId="38B09401" w14:textId="77777777" w:rsidR="00672297" w:rsidRDefault="00A16EA3">
      <w:pPr>
        <w:pStyle w:val="Heading3"/>
        <w:rPr>
          <w:rFonts w:asciiTheme="minorHAnsi" w:hAnsiTheme="minorHAnsi" w:cstheme="minorBidi"/>
          <w:sz w:val="20"/>
          <w:szCs w:val="20"/>
        </w:rPr>
      </w:pPr>
      <w:bookmarkStart w:id="491" w:name="_Toc241574351"/>
      <w:bookmarkStart w:id="492" w:name="_Toc242553973"/>
      <w:r>
        <w:rPr>
          <w:rFonts w:asciiTheme="minorHAnsi" w:hAnsiTheme="minorHAnsi" w:cstheme="minorBidi"/>
          <w:sz w:val="20"/>
          <w:szCs w:val="20"/>
        </w:rPr>
        <w:t>Refinery-Wide Dashboard (Gasoline &amp; Distillate)</w:t>
      </w:r>
      <w:bookmarkEnd w:id="491"/>
      <w:bookmarkEnd w:id="492"/>
    </w:p>
    <w:p w14:paraId="692AB524" w14:textId="77777777" w:rsidR="00672297" w:rsidRDefault="00A16EA3">
      <w:pPr>
        <w:pStyle w:val="Heading4"/>
        <w:rPr>
          <w:rFonts w:asciiTheme="minorHAnsi" w:hAnsiTheme="minorHAnsi" w:cstheme="minorBidi"/>
          <w:sz w:val="20"/>
          <w:szCs w:val="20"/>
        </w:rPr>
      </w:pPr>
      <w:bookmarkStart w:id="493" w:name="_Toc900950025"/>
      <w:r>
        <w:rPr>
          <w:rFonts w:asciiTheme="minorHAnsi" w:hAnsiTheme="minorHAnsi" w:cstheme="minorBidi"/>
          <w:sz w:val="20"/>
          <w:szCs w:val="20"/>
        </w:rPr>
        <w:t>Purpose and Business Objective</w:t>
      </w:r>
      <w:bookmarkEnd w:id="493"/>
    </w:p>
    <w:p w14:paraId="26740A8F" w14:textId="77777777" w:rsidR="00672297" w:rsidRDefault="00A16EA3">
      <w:pPr>
        <w:rPr>
          <w:rFonts w:cstheme="minorHAnsi"/>
          <w:sz w:val="20"/>
          <w:szCs w:val="20"/>
        </w:rPr>
      </w:pPr>
      <w:r>
        <w:rPr>
          <w:rFonts w:cstheme="minorHAnsi"/>
          <w:sz w:val="20"/>
          <w:szCs w:val="20"/>
        </w:rPr>
        <w:t>The Refinery-Wide Dashboard provides end-to-end visibility of batch movements from the origin refinery to the destination terminal, together with the certified quality (Spec vs Actual) of each batch. Separate report pages are provided for Gasoline and Distillate for focused product-category monitoring. It supports Value Chain leads in tracking value-chain execution across the North Region.</w:t>
      </w:r>
    </w:p>
    <w:p w14:paraId="4CC5D9AE" w14:textId="77777777" w:rsidR="00672297" w:rsidRDefault="00A16EA3">
      <w:pPr>
        <w:pStyle w:val="Heading4"/>
        <w:rPr>
          <w:rFonts w:asciiTheme="minorHAnsi" w:hAnsiTheme="minorHAnsi" w:cstheme="minorBidi"/>
          <w:sz w:val="20"/>
          <w:szCs w:val="20"/>
        </w:rPr>
      </w:pPr>
      <w:bookmarkStart w:id="494" w:name="_Toc900950026"/>
      <w:r>
        <w:rPr>
          <w:rFonts w:asciiTheme="minorHAnsi" w:hAnsiTheme="minorHAnsi" w:cstheme="minorBidi"/>
          <w:sz w:val="20"/>
          <w:szCs w:val="20"/>
        </w:rPr>
        <w:t>Dashboard Wireframe</w:t>
      </w:r>
      <w:bookmarkEnd w:id="494"/>
    </w:p>
    <w:p w14:paraId="5D3CB7DC" w14:textId="014C2774" w:rsidR="00672297" w:rsidRDefault="00A16EA3">
      <w:pPr>
        <w:pStyle w:val="Caption"/>
      </w:pPr>
      <w:bookmarkStart w:id="495" w:name="_Toc900950027"/>
      <w:bookmarkStart w:id="496" w:name="_Toc241574760"/>
      <w:bookmarkStart w:id="497" w:name="_Toc242554162"/>
      <w:r>
        <w:t xml:space="preserve">Figure </w:t>
      </w:r>
      <w:r>
        <w:fldChar w:fldCharType="begin"/>
      </w:r>
      <w:r>
        <w:instrText>STYLEREF 1 \s</w:instrText>
      </w:r>
      <w:r>
        <w:fldChar w:fldCharType="separate"/>
      </w:r>
      <w:r w:rsidR="00FC42E7">
        <w:rPr>
          <w:noProof/>
        </w:rPr>
        <w:t>4</w:t>
      </w:r>
      <w:r>
        <w:fldChar w:fldCharType="end"/>
      </w:r>
      <w:r>
        <w:t>-</w:t>
      </w:r>
      <w:r>
        <w:fldChar w:fldCharType="begin"/>
      </w:r>
      <w:r>
        <w:instrText>SEQ Figure \* ARABIC \s 1</w:instrText>
      </w:r>
      <w:r>
        <w:fldChar w:fldCharType="separate"/>
      </w:r>
      <w:r w:rsidR="00FC42E7">
        <w:rPr>
          <w:noProof/>
        </w:rPr>
        <w:t>3</w:t>
      </w:r>
      <w:r>
        <w:fldChar w:fldCharType="end"/>
      </w:r>
      <w:r>
        <w:t>: Refinery-Wide Dashboard Wireframe</w:t>
      </w:r>
      <w:bookmarkEnd w:id="495"/>
      <w:bookmarkEnd w:id="496"/>
      <w:bookmarkEnd w:id="497"/>
    </w:p>
    <w:p w14:paraId="400E9890" w14:textId="41D449EF" w:rsidR="002A4DF3" w:rsidRDefault="00B818A6">
      <w:pPr>
        <w:rPr>
          <w:rFonts w:cstheme="minorHAnsi"/>
          <w:sz w:val="20"/>
          <w:szCs w:val="20"/>
        </w:rPr>
      </w:pPr>
      <w:r>
        <w:rPr>
          <w:rFonts w:cstheme="minorHAnsi"/>
          <w:sz w:val="20"/>
          <w:szCs w:val="20"/>
        </w:rPr>
        <w:t xml:space="preserve">Wireframe can be accessed through this link: </w:t>
      </w:r>
      <w:hyperlink r:id="rId50" w:history="1">
        <w:r>
          <w:rPr>
            <w:rStyle w:val="Hyperlink"/>
            <w:rFonts w:cstheme="minorHAnsi"/>
            <w:szCs w:val="20"/>
          </w:rPr>
          <w:t>Refinery Wide Dashboard-Distillate</w:t>
        </w:r>
      </w:hyperlink>
    </w:p>
    <w:p w14:paraId="7D664FFB" w14:textId="77777777" w:rsidR="00672297" w:rsidRDefault="00A16EA3">
      <w:pPr>
        <w:pStyle w:val="Heading4"/>
        <w:rPr>
          <w:rFonts w:asciiTheme="minorHAnsi" w:hAnsiTheme="minorHAnsi" w:cstheme="minorBidi"/>
          <w:sz w:val="20"/>
          <w:szCs w:val="20"/>
        </w:rPr>
      </w:pPr>
      <w:bookmarkStart w:id="498" w:name="_Toc900950028"/>
      <w:r>
        <w:rPr>
          <w:rFonts w:asciiTheme="minorHAnsi" w:hAnsiTheme="minorHAnsi" w:cstheme="minorBidi"/>
          <w:sz w:val="20"/>
          <w:szCs w:val="20"/>
        </w:rPr>
        <w:t>Report Pages</w:t>
      </w:r>
      <w:bookmarkEnd w:id="498"/>
    </w:p>
    <w:tbl>
      <w:tblPr>
        <w:tblStyle w:val="TableGrid"/>
        <w:tblW w:w="9360" w:type="dxa"/>
        <w:tblLayout w:type="fixed"/>
        <w:tblCellMar>
          <w:left w:w="70" w:type="dxa"/>
          <w:right w:w="70" w:type="dxa"/>
        </w:tblCellMar>
        <w:tblLook w:val="04A0" w:firstRow="1" w:lastRow="0" w:firstColumn="1" w:lastColumn="0" w:noHBand="0" w:noVBand="1"/>
      </w:tblPr>
      <w:tblGrid>
        <w:gridCol w:w="1872"/>
        <w:gridCol w:w="7488"/>
      </w:tblGrid>
      <w:tr w:rsidR="00672297" w14:paraId="2BB26C00" w14:textId="77777777">
        <w:trPr>
          <w:cantSplit/>
          <w:tblHeader/>
        </w:trPr>
        <w:tc>
          <w:tcPr>
            <w:tcW w:w="1872" w:type="dxa"/>
            <w:shd w:val="clear" w:color="auto" w:fill="2F5496"/>
            <w:vAlign w:val="center"/>
          </w:tcPr>
          <w:p w14:paraId="591740F3" w14:textId="77777777" w:rsidR="00672297" w:rsidRDefault="00A16EA3">
            <w:pPr>
              <w:spacing w:before="20" w:after="20"/>
              <w:jc w:val="left"/>
            </w:pPr>
            <w:r>
              <w:rPr>
                <w:rFonts w:cstheme="minorHAnsi"/>
                <w:b/>
                <w:bCs/>
                <w:color w:val="FFFFFF"/>
                <w:sz w:val="20"/>
                <w:szCs w:val="20"/>
              </w:rPr>
              <w:t>Page Name</w:t>
            </w:r>
          </w:p>
        </w:tc>
        <w:tc>
          <w:tcPr>
            <w:tcW w:w="7488" w:type="dxa"/>
            <w:shd w:val="clear" w:color="auto" w:fill="2F5496"/>
            <w:vAlign w:val="center"/>
          </w:tcPr>
          <w:p w14:paraId="6C23925A" w14:textId="77777777" w:rsidR="00672297" w:rsidRDefault="00A16EA3">
            <w:pPr>
              <w:spacing w:before="20" w:after="20"/>
              <w:jc w:val="left"/>
            </w:pPr>
            <w:r>
              <w:rPr>
                <w:rFonts w:cstheme="minorHAnsi"/>
                <w:b/>
                <w:bCs/>
                <w:color w:val="FFFFFF"/>
                <w:sz w:val="20"/>
                <w:szCs w:val="20"/>
              </w:rPr>
              <w:t>Purpose</w:t>
            </w:r>
          </w:p>
        </w:tc>
      </w:tr>
      <w:tr w:rsidR="00672297" w14:paraId="019B1574" w14:textId="77777777">
        <w:trPr>
          <w:cantSplit/>
        </w:trPr>
        <w:tc>
          <w:tcPr>
            <w:tcW w:w="1872" w:type="dxa"/>
            <w:vAlign w:val="center"/>
          </w:tcPr>
          <w:p w14:paraId="76E605A7" w14:textId="77777777" w:rsidR="00672297" w:rsidRDefault="00A16EA3">
            <w:pPr>
              <w:spacing w:before="20" w:after="20"/>
              <w:jc w:val="left"/>
            </w:pPr>
            <w:r>
              <w:rPr>
                <w:rFonts w:cstheme="minorHAnsi"/>
                <w:sz w:val="20"/>
                <w:szCs w:val="20"/>
              </w:rPr>
              <w:t>Gasoline</w:t>
            </w:r>
          </w:p>
        </w:tc>
        <w:tc>
          <w:tcPr>
            <w:tcW w:w="7488" w:type="dxa"/>
            <w:vAlign w:val="center"/>
          </w:tcPr>
          <w:p w14:paraId="7173C6B6" w14:textId="77777777" w:rsidR="00672297" w:rsidRDefault="00A16EA3">
            <w:pPr>
              <w:spacing w:before="20" w:after="20"/>
              <w:jc w:val="left"/>
            </w:pPr>
            <w:r>
              <w:rPr>
                <w:rFonts w:cstheme="minorHAnsi"/>
                <w:sz w:val="20"/>
                <w:szCs w:val="20"/>
              </w:rPr>
              <w:t>Batch timeline and event summary of gasoline batches with certified RVP, IBP, T-10, T-50, VL20 / TV/L, RON, DON and FBP against spec.</w:t>
            </w:r>
          </w:p>
        </w:tc>
      </w:tr>
      <w:tr w:rsidR="00672297" w14:paraId="3620B304" w14:textId="77777777">
        <w:trPr>
          <w:cantSplit/>
        </w:trPr>
        <w:tc>
          <w:tcPr>
            <w:tcW w:w="1872" w:type="dxa"/>
            <w:vAlign w:val="center"/>
          </w:tcPr>
          <w:p w14:paraId="3592B4D2" w14:textId="77777777" w:rsidR="00672297" w:rsidRDefault="00A16EA3">
            <w:pPr>
              <w:spacing w:before="20" w:after="20"/>
              <w:jc w:val="left"/>
            </w:pPr>
            <w:r>
              <w:rPr>
                <w:rFonts w:cstheme="minorHAnsi"/>
                <w:sz w:val="20"/>
                <w:szCs w:val="20"/>
              </w:rPr>
              <w:t>Distillate</w:t>
            </w:r>
          </w:p>
        </w:tc>
        <w:tc>
          <w:tcPr>
            <w:tcW w:w="7488" w:type="dxa"/>
            <w:vAlign w:val="center"/>
          </w:tcPr>
          <w:p w14:paraId="582FA02D" w14:textId="77777777" w:rsidR="00672297" w:rsidRDefault="00A16EA3">
            <w:pPr>
              <w:spacing w:before="20" w:after="20"/>
              <w:jc w:val="left"/>
            </w:pPr>
            <w:r>
              <w:rPr>
                <w:rFonts w:cstheme="minorHAnsi"/>
                <w:sz w:val="20"/>
                <w:szCs w:val="20"/>
              </w:rPr>
              <w:t>Batch timeline and event summary of distillate batches with Flash, Sulphur, Adj. Cloud Point, T-90, FBP, Freezing Point and Viscosity (Min / Actual / Max).</w:t>
            </w:r>
          </w:p>
        </w:tc>
      </w:tr>
      <w:tr w:rsidR="00672297" w14:paraId="20B4B68D" w14:textId="77777777">
        <w:trPr>
          <w:cantSplit/>
        </w:trPr>
        <w:tc>
          <w:tcPr>
            <w:tcW w:w="1872" w:type="dxa"/>
            <w:vAlign w:val="center"/>
          </w:tcPr>
          <w:p w14:paraId="1F808409" w14:textId="77777777" w:rsidR="00672297" w:rsidRDefault="00A16EA3">
            <w:pPr>
              <w:spacing w:before="20" w:after="20"/>
              <w:jc w:val="left"/>
            </w:pPr>
            <w:r>
              <w:rPr>
                <w:rFonts w:cstheme="minorHAnsi"/>
                <w:sz w:val="20"/>
                <w:szCs w:val="20"/>
              </w:rPr>
              <w:t>User Guide</w:t>
            </w:r>
          </w:p>
        </w:tc>
        <w:tc>
          <w:tcPr>
            <w:tcW w:w="7488" w:type="dxa"/>
            <w:vAlign w:val="center"/>
          </w:tcPr>
          <w:p w14:paraId="2056101C" w14:textId="77777777" w:rsidR="00672297" w:rsidRDefault="00A16EA3">
            <w:pPr>
              <w:spacing w:before="20" w:after="20"/>
              <w:jc w:val="left"/>
            </w:pPr>
            <w:r>
              <w:rPr>
                <w:rFonts w:cstheme="minorHAnsi"/>
                <w:sz w:val="20"/>
                <w:szCs w:val="20"/>
              </w:rPr>
              <w:t>Data sources, visuals, formulas and metrics.</w:t>
            </w:r>
          </w:p>
        </w:tc>
      </w:tr>
    </w:tbl>
    <w:p w14:paraId="4FCBF16D" w14:textId="3DD97B83" w:rsidR="00672297" w:rsidRDefault="00A16EA3">
      <w:pPr>
        <w:pStyle w:val="Caption"/>
      </w:pPr>
      <w:bookmarkStart w:id="499" w:name="_Toc900950029"/>
      <w:bookmarkStart w:id="500" w:name="_Toc241574697"/>
      <w:bookmarkStart w:id="501" w:name="_Toc242554081"/>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8</w:t>
      </w:r>
      <w:r>
        <w:fldChar w:fldCharType="end"/>
      </w:r>
      <w:r>
        <w:t>: Refinery-Wide Dashboard Report Pages</w:t>
      </w:r>
      <w:bookmarkEnd w:id="499"/>
      <w:bookmarkEnd w:id="500"/>
      <w:bookmarkEnd w:id="501"/>
    </w:p>
    <w:p w14:paraId="5DF9B0E5" w14:textId="77777777" w:rsidR="00672297" w:rsidRDefault="00A16EA3">
      <w:pPr>
        <w:pStyle w:val="Heading4"/>
        <w:rPr>
          <w:rFonts w:asciiTheme="minorHAnsi" w:hAnsiTheme="minorHAnsi" w:cstheme="minorBidi"/>
          <w:sz w:val="20"/>
          <w:szCs w:val="20"/>
        </w:rPr>
      </w:pPr>
      <w:bookmarkStart w:id="502" w:name="_Toc900950030"/>
      <w:r>
        <w:rPr>
          <w:rFonts w:asciiTheme="minorHAnsi" w:hAnsiTheme="minorHAnsi" w:cstheme="minorBidi"/>
          <w:sz w:val="20"/>
          <w:szCs w:val="20"/>
        </w:rPr>
        <w:t>Visuals &amp; Features</w:t>
      </w:r>
      <w:bookmarkEnd w:id="502"/>
    </w:p>
    <w:p w14:paraId="4F043A46"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Scheduled Event Timeline (Gantt chart):</w:t>
      </w:r>
      <w:r>
        <w:rPr>
          <w:rFonts w:cstheme="minorHAnsi"/>
          <w:sz w:val="20"/>
          <w:szCs w:val="20"/>
        </w:rPr>
        <w:t xml:space="preserve"> one bar per batch from Start Time to End Time (refinery) / ETA, grouped by origin refinery and tank; colour by Status (Delivered, In-Transit, Scheduled). Tooltip: Batch ID, Grade, Volume (bbl), MOT, Origin / Destination, Certification Date and Certification Status.</w:t>
      </w:r>
    </w:p>
    <w:p w14:paraId="703C7DA6"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Event Summary Table (matrix):</w:t>
      </w:r>
      <w:r>
        <w:rPr>
          <w:rFonts w:cstheme="minorHAnsi"/>
          <w:sz w:val="20"/>
          <w:szCs w:val="20"/>
        </w:rPr>
        <w:t xml:space="preserve"> row fields Batch ID, Status, Origin, Origin Tank, Destination, Destination Tank, Grade, Volume (bbl), MOT, Start Time, Certification Date, ETA; column field Property; values Min / Actual / Max. Distillate page properties: Flash (°F), Sulphur (ppm), Adj. Cloud Point (°F), T-90 (°F), FBP (°F), Freezing Point (°F), Viscosity (cSt). Gasoline page properties: RVP (psi), IBP, T-10, T-50, VL20 / TV/L, RON, DON, FBP.</w:t>
      </w:r>
    </w:p>
    <w:p w14:paraId="5BAD2A8F"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Actual</w:t>
      </w:r>
      <w:r>
        <w:rPr>
          <w:rFonts w:cstheme="minorHAnsi"/>
          <w:sz w:val="20"/>
          <w:szCs w:val="20"/>
        </w:rPr>
        <w:t xml:space="preserve"> values are coloured green within spec and red off spec (Quality Colour measure). "R" in Min / Max means report only; "—" means no certified value yet (scheduled batches).</w:t>
      </w:r>
    </w:p>
    <w:p w14:paraId="1D46A776"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Search and CSV export</w:t>
      </w:r>
      <w:r>
        <w:rPr>
          <w:rFonts w:cstheme="minorHAnsi"/>
          <w:sz w:val="20"/>
          <w:szCs w:val="20"/>
        </w:rPr>
        <w:t xml:space="preserve"> on the Event Summary Table; Last Refresh card.</w:t>
      </w:r>
    </w:p>
    <w:p w14:paraId="3A9328D8" w14:textId="77777777" w:rsidR="00672297" w:rsidRDefault="00A16EA3">
      <w:pPr>
        <w:rPr>
          <w:rFonts w:cstheme="minorHAnsi"/>
          <w:sz w:val="20"/>
          <w:szCs w:val="20"/>
        </w:rPr>
      </w:pPr>
      <w:r>
        <w:rPr>
          <w:rFonts w:cstheme="minorHAnsi"/>
          <w:sz w:val="20"/>
          <w:szCs w:val="20"/>
        </w:rPr>
        <w:t>Wireframe note: the workbook provides the Distillate page only (sheet "Refinery Wide Dashboard (D)"); the Gasoline page fields come from the functional design (gap RD-04). The workbook lists event types 15 and 17 next to the source refineries; the use of event type 17 (blend event) on this dashboard is not described (gap RD-05). "End Time (For backend)" is used for the Gantt bar and is not displayed as a table column.</w:t>
      </w:r>
    </w:p>
    <w:p w14:paraId="3A92AB2E" w14:textId="77777777" w:rsidR="00672297" w:rsidRDefault="00A16EA3">
      <w:pPr>
        <w:pStyle w:val="Heading4"/>
        <w:rPr>
          <w:rFonts w:asciiTheme="minorHAnsi" w:hAnsiTheme="minorHAnsi" w:cstheme="minorBidi"/>
          <w:sz w:val="20"/>
          <w:szCs w:val="20"/>
        </w:rPr>
      </w:pPr>
      <w:bookmarkStart w:id="503" w:name="_Toc900950031"/>
      <w:r>
        <w:rPr>
          <w:rFonts w:asciiTheme="minorHAnsi" w:hAnsiTheme="minorHAnsi" w:cstheme="minorBidi"/>
          <w:sz w:val="20"/>
          <w:szCs w:val="20"/>
        </w:rPr>
        <w:t>Interactive Filters &amp; Controls</w:t>
      </w:r>
      <w:bookmarkEnd w:id="503"/>
    </w:p>
    <w:p w14:paraId="27BDCCD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Source (Origin) refinery: Robinson, Catlettsburg, Canton, Detroit (vwRefineryBatchMovementQuality[Source]).</w:t>
      </w:r>
    </w:p>
    <w:p w14:paraId="376838B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Terminal (Destination) and Tank (vwRefineryBatchMovementQuality[Destination], [OriginTank], [DestinationTank]).</w:t>
      </w:r>
    </w:p>
    <w:p w14:paraId="34555BF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Batch Status (Scheduled, In-Transit, Delivered) and Grade (vwRefineryBatchMovementQuality[BatchStatus], [ProductName]).</w:t>
      </w:r>
    </w:p>
    <w:p w14:paraId="49B5DA23"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Date range on Start Time (day_detail through StartDate; relative date, default current week +/- 7 days).</w:t>
      </w:r>
    </w:p>
    <w:p w14:paraId="607E4E86"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Last Refresh timestamp.</w:t>
      </w:r>
    </w:p>
    <w:p w14:paraId="68975467" w14:textId="77777777" w:rsidR="00672297" w:rsidRDefault="00A16EA3">
      <w:pPr>
        <w:pStyle w:val="Heading4"/>
        <w:rPr>
          <w:rFonts w:asciiTheme="minorHAnsi" w:hAnsiTheme="minorHAnsi" w:cstheme="minorBidi"/>
          <w:sz w:val="20"/>
          <w:szCs w:val="20"/>
        </w:rPr>
      </w:pPr>
      <w:bookmarkStart w:id="504" w:name="_Toc900950032"/>
      <w:r>
        <w:rPr>
          <w:rFonts w:asciiTheme="minorHAnsi" w:hAnsiTheme="minorHAnsi" w:cstheme="minorBidi"/>
          <w:sz w:val="20"/>
          <w:szCs w:val="20"/>
        </w:rPr>
        <w:t>Backend Data Sources &amp; Mapping</w:t>
      </w:r>
      <w:bookmarkEnd w:id="504"/>
    </w:p>
    <w:p w14:paraId="108DD893" w14:textId="77777777" w:rsidR="00672297" w:rsidRDefault="00A16EA3">
      <w:pPr>
        <w:rPr>
          <w:rFonts w:cstheme="minorHAnsi"/>
          <w:sz w:val="20"/>
          <w:szCs w:val="20"/>
        </w:rPr>
      </w:pPr>
      <w:r>
        <w:rPr>
          <w:rFonts w:cstheme="minorHAnsi"/>
          <w:sz w:val="20"/>
          <w:szCs w:val="20"/>
        </w:rPr>
        <w:t>The dashboard is populated from the refinery APS schedule events and the LIMS / APS / PQCore quality surfaced through IQDM (chapter 3). Each _EVENT record of event type 15 represents one bar of the Gantt chart and one row of the Event Summary Table.</w:t>
      </w:r>
    </w:p>
    <w:tbl>
      <w:tblPr>
        <w:tblStyle w:val="TableGrid"/>
        <w:tblW w:w="9360" w:type="dxa"/>
        <w:tblLayout w:type="fixed"/>
        <w:tblCellMar>
          <w:left w:w="70" w:type="dxa"/>
          <w:right w:w="70" w:type="dxa"/>
        </w:tblCellMar>
        <w:tblLook w:val="04A0" w:firstRow="1" w:lastRow="0" w:firstColumn="1" w:lastColumn="0" w:noHBand="0" w:noVBand="1"/>
      </w:tblPr>
      <w:tblGrid>
        <w:gridCol w:w="2433"/>
        <w:gridCol w:w="1216"/>
        <w:gridCol w:w="2059"/>
        <w:gridCol w:w="2340"/>
        <w:gridCol w:w="1312"/>
      </w:tblGrid>
      <w:tr w:rsidR="00672297" w14:paraId="433F74E8" w14:textId="77777777">
        <w:trPr>
          <w:cantSplit/>
          <w:tblHeader/>
        </w:trPr>
        <w:tc>
          <w:tcPr>
            <w:tcW w:w="2433" w:type="dxa"/>
            <w:shd w:val="clear" w:color="auto" w:fill="2F5496"/>
            <w:vAlign w:val="center"/>
          </w:tcPr>
          <w:p w14:paraId="2CBA3B1F" w14:textId="77777777" w:rsidR="00672297" w:rsidRDefault="00A16EA3">
            <w:pPr>
              <w:spacing w:before="20" w:after="20"/>
              <w:jc w:val="left"/>
            </w:pPr>
            <w:r>
              <w:rPr>
                <w:rFonts w:cstheme="minorHAnsi"/>
                <w:b/>
                <w:bCs/>
                <w:color w:val="FFFFFF"/>
                <w:sz w:val="18"/>
                <w:szCs w:val="18"/>
              </w:rPr>
              <w:t>Data Type</w:t>
            </w:r>
          </w:p>
        </w:tc>
        <w:tc>
          <w:tcPr>
            <w:tcW w:w="1216" w:type="dxa"/>
            <w:shd w:val="clear" w:color="auto" w:fill="2F5496"/>
            <w:vAlign w:val="center"/>
          </w:tcPr>
          <w:p w14:paraId="7F7AE52E" w14:textId="77777777" w:rsidR="00672297" w:rsidRDefault="00A16EA3">
            <w:pPr>
              <w:spacing w:before="20" w:after="20"/>
              <w:jc w:val="left"/>
            </w:pPr>
            <w:r>
              <w:rPr>
                <w:rFonts w:cstheme="minorHAnsi"/>
                <w:b/>
                <w:bCs/>
                <w:color w:val="FFFFFF"/>
                <w:sz w:val="18"/>
                <w:szCs w:val="18"/>
              </w:rPr>
              <w:t>Source System</w:t>
            </w:r>
          </w:p>
        </w:tc>
        <w:tc>
          <w:tcPr>
            <w:tcW w:w="2059" w:type="dxa"/>
            <w:shd w:val="clear" w:color="auto" w:fill="2F5496"/>
            <w:vAlign w:val="center"/>
          </w:tcPr>
          <w:p w14:paraId="28B71C82" w14:textId="77777777" w:rsidR="00672297" w:rsidRDefault="00A16EA3">
            <w:pPr>
              <w:spacing w:before="20" w:after="20"/>
              <w:jc w:val="left"/>
            </w:pPr>
            <w:r>
              <w:rPr>
                <w:rFonts w:cstheme="minorHAnsi"/>
                <w:b/>
                <w:bCs/>
                <w:color w:val="FFFFFF"/>
                <w:sz w:val="18"/>
                <w:szCs w:val="18"/>
              </w:rPr>
              <w:t>Primary Table / Source</w:t>
            </w:r>
          </w:p>
        </w:tc>
        <w:tc>
          <w:tcPr>
            <w:tcW w:w="2340" w:type="dxa"/>
            <w:shd w:val="clear" w:color="auto" w:fill="2F5496"/>
            <w:vAlign w:val="center"/>
          </w:tcPr>
          <w:p w14:paraId="13CD7860" w14:textId="77777777" w:rsidR="00672297" w:rsidRDefault="00A16EA3">
            <w:pPr>
              <w:spacing w:before="20" w:after="20"/>
              <w:jc w:val="left"/>
            </w:pPr>
            <w:r>
              <w:rPr>
                <w:rFonts w:cstheme="minorHAnsi"/>
                <w:b/>
                <w:bCs/>
                <w:color w:val="FFFFFF"/>
                <w:sz w:val="18"/>
                <w:szCs w:val="18"/>
              </w:rPr>
              <w:t>Purpose</w:t>
            </w:r>
          </w:p>
        </w:tc>
        <w:tc>
          <w:tcPr>
            <w:tcW w:w="1312" w:type="dxa"/>
            <w:shd w:val="clear" w:color="auto" w:fill="2F5496"/>
            <w:vAlign w:val="center"/>
          </w:tcPr>
          <w:p w14:paraId="4C8FC9D9" w14:textId="77777777" w:rsidR="00672297" w:rsidRDefault="00A16EA3">
            <w:pPr>
              <w:spacing w:before="20" w:after="20"/>
              <w:jc w:val="left"/>
            </w:pPr>
            <w:r>
              <w:rPr>
                <w:rFonts w:cstheme="minorHAnsi"/>
                <w:b/>
                <w:bCs/>
                <w:color w:val="FFFFFF"/>
                <w:sz w:val="18"/>
                <w:szCs w:val="18"/>
              </w:rPr>
              <w:t>IQDM</w:t>
            </w:r>
          </w:p>
        </w:tc>
      </w:tr>
      <w:tr w:rsidR="00672297" w14:paraId="2E4C77C6" w14:textId="77777777">
        <w:trPr>
          <w:cantSplit/>
        </w:trPr>
        <w:tc>
          <w:tcPr>
            <w:tcW w:w="2433" w:type="dxa"/>
            <w:vAlign w:val="center"/>
          </w:tcPr>
          <w:p w14:paraId="7474B169" w14:textId="77777777" w:rsidR="00672297" w:rsidRDefault="00A16EA3">
            <w:pPr>
              <w:spacing w:before="20" w:after="20"/>
              <w:jc w:val="left"/>
            </w:pPr>
            <w:r>
              <w:rPr>
                <w:rFonts w:cstheme="minorHAnsi"/>
                <w:sz w:val="18"/>
                <w:szCs w:val="18"/>
              </w:rPr>
              <w:t>Scheduled Events</w:t>
            </w:r>
          </w:p>
        </w:tc>
        <w:tc>
          <w:tcPr>
            <w:tcW w:w="1216" w:type="dxa"/>
            <w:vAlign w:val="center"/>
          </w:tcPr>
          <w:p w14:paraId="3BC6EDC6" w14:textId="77777777" w:rsidR="00672297" w:rsidRDefault="00A16EA3">
            <w:pPr>
              <w:spacing w:before="20" w:after="20"/>
              <w:jc w:val="left"/>
            </w:pPr>
            <w:r>
              <w:rPr>
                <w:rFonts w:cstheme="minorHAnsi"/>
                <w:sz w:val="18"/>
                <w:szCs w:val="18"/>
              </w:rPr>
              <w:t>Refinery APS</w:t>
            </w:r>
          </w:p>
        </w:tc>
        <w:tc>
          <w:tcPr>
            <w:tcW w:w="2059" w:type="dxa"/>
            <w:vAlign w:val="center"/>
          </w:tcPr>
          <w:p w14:paraId="599C9CAB" w14:textId="77777777" w:rsidR="00672297" w:rsidRDefault="00A16EA3">
            <w:pPr>
              <w:spacing w:before="20" w:after="20"/>
              <w:jc w:val="left"/>
            </w:pPr>
            <w:r>
              <w:rPr>
                <w:rFonts w:cstheme="minorHAnsi"/>
                <w:sz w:val="18"/>
                <w:szCs w:val="18"/>
              </w:rPr>
              <w:t>_EVENT (transfer_detail)</w:t>
            </w:r>
          </w:p>
        </w:tc>
        <w:tc>
          <w:tcPr>
            <w:tcW w:w="2340" w:type="dxa"/>
            <w:vAlign w:val="center"/>
          </w:tcPr>
          <w:p w14:paraId="683340DB" w14:textId="77777777" w:rsidR="00672297" w:rsidRDefault="00A16EA3">
            <w:pPr>
              <w:spacing w:before="20" w:after="20"/>
              <w:jc w:val="left"/>
            </w:pPr>
            <w:r>
              <w:rPr>
                <w:rFonts w:cstheme="minorHAnsi"/>
                <w:sz w:val="18"/>
                <w:szCs w:val="18"/>
              </w:rPr>
              <w:t>Gantt timeline and event summary</w:t>
            </w:r>
          </w:p>
        </w:tc>
        <w:tc>
          <w:tcPr>
            <w:tcW w:w="1312" w:type="dxa"/>
            <w:vAlign w:val="center"/>
          </w:tcPr>
          <w:p w14:paraId="114C119D" w14:textId="77777777" w:rsidR="00672297" w:rsidRDefault="00A16EA3">
            <w:pPr>
              <w:spacing w:before="20" w:after="20"/>
              <w:jc w:val="left"/>
            </w:pPr>
            <w:r>
              <w:rPr>
                <w:rFonts w:cstheme="minorHAnsi"/>
                <w:sz w:val="18"/>
                <w:szCs w:val="18"/>
              </w:rPr>
              <w:t>Yes-R#1</w:t>
            </w:r>
          </w:p>
        </w:tc>
      </w:tr>
      <w:tr w:rsidR="00672297" w14:paraId="4509758E" w14:textId="77777777">
        <w:trPr>
          <w:cantSplit/>
        </w:trPr>
        <w:tc>
          <w:tcPr>
            <w:tcW w:w="2433" w:type="dxa"/>
            <w:vAlign w:val="center"/>
          </w:tcPr>
          <w:p w14:paraId="469BA233" w14:textId="77777777" w:rsidR="00672297" w:rsidRDefault="00A16EA3">
            <w:pPr>
              <w:spacing w:before="20" w:after="20"/>
              <w:jc w:val="left"/>
            </w:pPr>
            <w:r>
              <w:rPr>
                <w:rFonts w:cstheme="minorHAnsi"/>
                <w:sz w:val="18"/>
                <w:szCs w:val="18"/>
              </w:rPr>
              <w:t>In-Transit / Delivered movements to terminals</w:t>
            </w:r>
          </w:p>
        </w:tc>
        <w:tc>
          <w:tcPr>
            <w:tcW w:w="1216" w:type="dxa"/>
            <w:vAlign w:val="center"/>
          </w:tcPr>
          <w:p w14:paraId="5BAA4C00" w14:textId="77777777" w:rsidR="00672297" w:rsidRDefault="00A16EA3">
            <w:pPr>
              <w:spacing w:before="20" w:after="20"/>
              <w:jc w:val="left"/>
            </w:pPr>
            <w:r>
              <w:rPr>
                <w:rFonts w:cstheme="minorHAnsi"/>
                <w:sz w:val="18"/>
                <w:szCs w:val="18"/>
              </w:rPr>
              <w:t>Kittyhawk / Towworks</w:t>
            </w:r>
          </w:p>
        </w:tc>
        <w:tc>
          <w:tcPr>
            <w:tcW w:w="2059" w:type="dxa"/>
            <w:vAlign w:val="center"/>
          </w:tcPr>
          <w:p w14:paraId="2F329529" w14:textId="77777777" w:rsidR="00672297" w:rsidRDefault="00A16EA3">
            <w:pPr>
              <w:spacing w:before="20" w:after="20"/>
              <w:jc w:val="left"/>
            </w:pPr>
            <w:r>
              <w:rPr>
                <w:rFonts w:cstheme="minorHAnsi"/>
                <w:sz w:val="18"/>
                <w:szCs w:val="18"/>
              </w:rPr>
              <w:t>BulkTransfer, Transfer / v_OrderDetail (transfer_detail)</w:t>
            </w:r>
          </w:p>
        </w:tc>
        <w:tc>
          <w:tcPr>
            <w:tcW w:w="2340" w:type="dxa"/>
            <w:vAlign w:val="center"/>
          </w:tcPr>
          <w:p w14:paraId="429114B8" w14:textId="77777777" w:rsidR="00672297" w:rsidRDefault="00A16EA3">
            <w:pPr>
              <w:spacing w:before="20" w:after="20"/>
              <w:jc w:val="left"/>
            </w:pPr>
            <w:r>
              <w:rPr>
                <w:rFonts w:cstheme="minorHAnsi"/>
                <w:sz w:val="18"/>
                <w:szCs w:val="18"/>
              </w:rPr>
              <w:t>Destination, destination tank, ETA, status</w:t>
            </w:r>
          </w:p>
        </w:tc>
        <w:tc>
          <w:tcPr>
            <w:tcW w:w="1312" w:type="dxa"/>
            <w:vAlign w:val="center"/>
          </w:tcPr>
          <w:p w14:paraId="52D4B3FB" w14:textId="77777777" w:rsidR="00672297" w:rsidRDefault="00A16EA3">
            <w:pPr>
              <w:spacing w:before="20" w:after="20"/>
              <w:jc w:val="left"/>
            </w:pPr>
            <w:r>
              <w:rPr>
                <w:rFonts w:cstheme="minorHAnsi"/>
                <w:sz w:val="18"/>
                <w:szCs w:val="18"/>
              </w:rPr>
              <w:t>Yes-R#2</w:t>
            </w:r>
          </w:p>
        </w:tc>
      </w:tr>
      <w:tr w:rsidR="00672297" w14:paraId="0D1A6562" w14:textId="77777777">
        <w:trPr>
          <w:cantSplit/>
        </w:trPr>
        <w:tc>
          <w:tcPr>
            <w:tcW w:w="2433" w:type="dxa"/>
            <w:vAlign w:val="center"/>
          </w:tcPr>
          <w:p w14:paraId="16EFAC78" w14:textId="77777777" w:rsidR="00672297" w:rsidRDefault="00A16EA3">
            <w:pPr>
              <w:spacing w:before="20" w:after="20"/>
              <w:jc w:val="left"/>
            </w:pPr>
            <w:r>
              <w:rPr>
                <w:rFonts w:cstheme="minorHAnsi"/>
                <w:sz w:val="18"/>
                <w:szCs w:val="18"/>
              </w:rPr>
              <w:t>Certified distillate qualities (Flash, Sulphur, Adj. Cloud, T-90, FBP, Freezing Point, Viscosity) - refinery</w:t>
            </w:r>
          </w:p>
        </w:tc>
        <w:tc>
          <w:tcPr>
            <w:tcW w:w="1216" w:type="dxa"/>
            <w:vAlign w:val="center"/>
          </w:tcPr>
          <w:p w14:paraId="03B82FF2" w14:textId="77777777" w:rsidR="00672297" w:rsidRDefault="00A16EA3">
            <w:pPr>
              <w:spacing w:before="20" w:after="20"/>
              <w:jc w:val="left"/>
            </w:pPr>
            <w:r>
              <w:rPr>
                <w:rFonts w:cstheme="minorHAnsi"/>
                <w:sz w:val="18"/>
                <w:szCs w:val="18"/>
              </w:rPr>
              <w:t>APS / LIMS</w:t>
            </w:r>
          </w:p>
        </w:tc>
        <w:tc>
          <w:tcPr>
            <w:tcW w:w="2059" w:type="dxa"/>
            <w:vAlign w:val="center"/>
          </w:tcPr>
          <w:p w14:paraId="4C13FACE" w14:textId="77777777" w:rsidR="00672297" w:rsidRDefault="00A16EA3">
            <w:pPr>
              <w:spacing w:before="20" w:after="20"/>
              <w:jc w:val="left"/>
            </w:pPr>
            <w:r>
              <w:rPr>
                <w:rFonts w:cstheme="minorHAnsi"/>
                <w:sz w:val="18"/>
                <w:szCs w:val="18"/>
              </w:rPr>
              <w:t>Quality tags (quality_detail)</w:t>
            </w:r>
          </w:p>
        </w:tc>
        <w:tc>
          <w:tcPr>
            <w:tcW w:w="2340" w:type="dxa"/>
            <w:vAlign w:val="center"/>
          </w:tcPr>
          <w:p w14:paraId="35898AE7" w14:textId="77777777" w:rsidR="00672297" w:rsidRDefault="00A16EA3">
            <w:pPr>
              <w:spacing w:before="20" w:after="20"/>
              <w:jc w:val="left"/>
            </w:pPr>
            <w:r>
              <w:rPr>
                <w:rFonts w:cstheme="minorHAnsi"/>
                <w:sz w:val="18"/>
                <w:szCs w:val="18"/>
              </w:rPr>
              <w:t>Batch-level certified quality</w:t>
            </w:r>
          </w:p>
        </w:tc>
        <w:tc>
          <w:tcPr>
            <w:tcW w:w="1312" w:type="dxa"/>
            <w:vAlign w:val="center"/>
          </w:tcPr>
          <w:p w14:paraId="78A28021" w14:textId="77777777" w:rsidR="00672297" w:rsidRDefault="00A16EA3">
            <w:pPr>
              <w:spacing w:before="20" w:after="20"/>
              <w:jc w:val="left"/>
            </w:pPr>
            <w:r>
              <w:rPr>
                <w:rFonts w:cstheme="minorHAnsi"/>
                <w:sz w:val="18"/>
                <w:szCs w:val="18"/>
              </w:rPr>
              <w:t>Yes-R#1</w:t>
            </w:r>
          </w:p>
        </w:tc>
      </w:tr>
      <w:tr w:rsidR="00672297" w14:paraId="18C8A49F" w14:textId="77777777">
        <w:trPr>
          <w:cantSplit/>
        </w:trPr>
        <w:tc>
          <w:tcPr>
            <w:tcW w:w="2433" w:type="dxa"/>
            <w:vAlign w:val="center"/>
          </w:tcPr>
          <w:p w14:paraId="48B00996" w14:textId="77777777" w:rsidR="00672297" w:rsidRDefault="00A16EA3">
            <w:pPr>
              <w:spacing w:before="20" w:after="20"/>
              <w:jc w:val="left"/>
            </w:pPr>
            <w:r>
              <w:rPr>
                <w:rFonts w:cstheme="minorHAnsi"/>
                <w:sz w:val="18"/>
                <w:szCs w:val="18"/>
              </w:rPr>
              <w:t>Certified gasoline qualities (RVP, IBP, T-10, T-50, VL20, RON, DON, FBP) - refinery</w:t>
            </w:r>
          </w:p>
        </w:tc>
        <w:tc>
          <w:tcPr>
            <w:tcW w:w="1216" w:type="dxa"/>
            <w:vAlign w:val="center"/>
          </w:tcPr>
          <w:p w14:paraId="246CA70C" w14:textId="77777777" w:rsidR="00672297" w:rsidRDefault="00A16EA3">
            <w:pPr>
              <w:spacing w:before="20" w:after="20"/>
              <w:jc w:val="left"/>
            </w:pPr>
            <w:r>
              <w:rPr>
                <w:rFonts w:cstheme="minorHAnsi"/>
                <w:sz w:val="18"/>
                <w:szCs w:val="18"/>
              </w:rPr>
              <w:t>APS / LIMS</w:t>
            </w:r>
          </w:p>
        </w:tc>
        <w:tc>
          <w:tcPr>
            <w:tcW w:w="2059" w:type="dxa"/>
            <w:vAlign w:val="center"/>
          </w:tcPr>
          <w:p w14:paraId="77512BE2" w14:textId="77777777" w:rsidR="00672297" w:rsidRDefault="00A16EA3">
            <w:pPr>
              <w:spacing w:before="20" w:after="20"/>
              <w:jc w:val="left"/>
            </w:pPr>
            <w:r>
              <w:rPr>
                <w:rFonts w:cstheme="minorHAnsi"/>
                <w:sz w:val="18"/>
                <w:szCs w:val="18"/>
              </w:rPr>
              <w:t>Quality tags (quality_detail)</w:t>
            </w:r>
          </w:p>
        </w:tc>
        <w:tc>
          <w:tcPr>
            <w:tcW w:w="2340" w:type="dxa"/>
            <w:vAlign w:val="center"/>
          </w:tcPr>
          <w:p w14:paraId="000D639C" w14:textId="77777777" w:rsidR="00672297" w:rsidRDefault="00A16EA3">
            <w:pPr>
              <w:spacing w:before="20" w:after="20"/>
              <w:jc w:val="left"/>
            </w:pPr>
            <w:r>
              <w:rPr>
                <w:rFonts w:cstheme="minorHAnsi"/>
                <w:sz w:val="18"/>
                <w:szCs w:val="18"/>
              </w:rPr>
              <w:t>Batch-level certified quality</w:t>
            </w:r>
          </w:p>
        </w:tc>
        <w:tc>
          <w:tcPr>
            <w:tcW w:w="1312" w:type="dxa"/>
            <w:vAlign w:val="center"/>
          </w:tcPr>
          <w:p w14:paraId="1CB2F75E" w14:textId="77777777" w:rsidR="00672297" w:rsidRDefault="00A16EA3">
            <w:pPr>
              <w:spacing w:before="20" w:after="20"/>
              <w:jc w:val="left"/>
            </w:pPr>
            <w:r>
              <w:rPr>
                <w:rFonts w:cstheme="minorHAnsi"/>
                <w:sz w:val="18"/>
                <w:szCs w:val="18"/>
              </w:rPr>
              <w:t>Yes-R#1</w:t>
            </w:r>
          </w:p>
        </w:tc>
      </w:tr>
      <w:tr w:rsidR="00672297" w14:paraId="2E9A0ECC" w14:textId="77777777">
        <w:trPr>
          <w:cantSplit/>
        </w:trPr>
        <w:tc>
          <w:tcPr>
            <w:tcW w:w="2433" w:type="dxa"/>
            <w:vAlign w:val="center"/>
          </w:tcPr>
          <w:p w14:paraId="64603636" w14:textId="77777777" w:rsidR="00672297" w:rsidRDefault="00A16EA3">
            <w:pPr>
              <w:spacing w:before="20" w:after="20"/>
              <w:jc w:val="left"/>
            </w:pPr>
            <w:r>
              <w:rPr>
                <w:rFonts w:cstheme="minorHAnsi"/>
                <w:sz w:val="18"/>
                <w:szCs w:val="18"/>
              </w:rPr>
              <w:t>Product Group</w:t>
            </w:r>
          </w:p>
        </w:tc>
        <w:tc>
          <w:tcPr>
            <w:tcW w:w="1216" w:type="dxa"/>
            <w:vAlign w:val="center"/>
          </w:tcPr>
          <w:p w14:paraId="5A0C9646" w14:textId="77777777" w:rsidR="00672297" w:rsidRDefault="00A16EA3">
            <w:pPr>
              <w:spacing w:before="20" w:after="20"/>
              <w:jc w:val="left"/>
            </w:pPr>
            <w:r>
              <w:rPr>
                <w:rFonts w:cstheme="minorHAnsi"/>
                <w:sz w:val="18"/>
                <w:szCs w:val="18"/>
              </w:rPr>
              <w:t>Product master</w:t>
            </w:r>
          </w:p>
        </w:tc>
        <w:tc>
          <w:tcPr>
            <w:tcW w:w="2059" w:type="dxa"/>
            <w:vAlign w:val="center"/>
          </w:tcPr>
          <w:p w14:paraId="2FEDE169" w14:textId="77777777" w:rsidR="00672297" w:rsidRDefault="00A16EA3">
            <w:pPr>
              <w:spacing w:before="20" w:after="20"/>
              <w:jc w:val="left"/>
            </w:pPr>
            <w:r>
              <w:rPr>
                <w:rFonts w:cstheme="minorHAnsi"/>
                <w:sz w:val="18"/>
                <w:szCs w:val="18"/>
              </w:rPr>
              <w:t>Product category (material)</w:t>
            </w:r>
          </w:p>
        </w:tc>
        <w:tc>
          <w:tcPr>
            <w:tcW w:w="2340" w:type="dxa"/>
            <w:vAlign w:val="center"/>
          </w:tcPr>
          <w:p w14:paraId="53ED34C9" w14:textId="77777777" w:rsidR="00672297" w:rsidRDefault="00A16EA3">
            <w:pPr>
              <w:spacing w:before="20" w:after="20"/>
              <w:jc w:val="left"/>
            </w:pPr>
            <w:r>
              <w:rPr>
                <w:rFonts w:cstheme="minorHAnsi"/>
                <w:sz w:val="18"/>
                <w:szCs w:val="18"/>
              </w:rPr>
              <w:t>Product category</w:t>
            </w:r>
          </w:p>
        </w:tc>
        <w:tc>
          <w:tcPr>
            <w:tcW w:w="1312" w:type="dxa"/>
            <w:vAlign w:val="center"/>
          </w:tcPr>
          <w:p w14:paraId="4E0EF356" w14:textId="77777777" w:rsidR="00672297" w:rsidRDefault="00A16EA3">
            <w:pPr>
              <w:spacing w:before="20" w:after="20"/>
              <w:jc w:val="left"/>
            </w:pPr>
            <w:r>
              <w:rPr>
                <w:rFonts w:cstheme="minorHAnsi"/>
                <w:sz w:val="18"/>
                <w:szCs w:val="18"/>
              </w:rPr>
              <w:t>Yes-R#1</w:t>
            </w:r>
          </w:p>
        </w:tc>
      </w:tr>
      <w:tr w:rsidR="00672297" w14:paraId="77AED461" w14:textId="77777777">
        <w:trPr>
          <w:cantSplit/>
        </w:trPr>
        <w:tc>
          <w:tcPr>
            <w:tcW w:w="2433" w:type="dxa"/>
            <w:vAlign w:val="center"/>
          </w:tcPr>
          <w:p w14:paraId="673678CE" w14:textId="77777777" w:rsidR="00672297" w:rsidRDefault="00A16EA3">
            <w:pPr>
              <w:spacing w:before="20" w:after="20"/>
              <w:jc w:val="left"/>
            </w:pPr>
            <w:r>
              <w:rPr>
                <w:rFonts w:cstheme="minorHAnsi"/>
                <w:sz w:val="18"/>
                <w:szCs w:val="18"/>
              </w:rPr>
              <w:t>Spec Limits</w:t>
            </w:r>
          </w:p>
        </w:tc>
        <w:tc>
          <w:tcPr>
            <w:tcW w:w="1216" w:type="dxa"/>
            <w:vAlign w:val="center"/>
          </w:tcPr>
          <w:p w14:paraId="2FC568BA" w14:textId="77777777" w:rsidR="00672297" w:rsidRDefault="00A16EA3">
            <w:pPr>
              <w:spacing w:before="20" w:after="20"/>
              <w:jc w:val="left"/>
            </w:pPr>
            <w:r>
              <w:rPr>
                <w:rFonts w:cstheme="minorHAnsi"/>
                <w:sz w:val="18"/>
                <w:szCs w:val="18"/>
              </w:rPr>
              <w:t>PQ Spec Shop</w:t>
            </w:r>
          </w:p>
        </w:tc>
        <w:tc>
          <w:tcPr>
            <w:tcW w:w="2059" w:type="dxa"/>
            <w:vAlign w:val="center"/>
          </w:tcPr>
          <w:p w14:paraId="434F8502" w14:textId="77777777" w:rsidR="00672297" w:rsidRDefault="00A16EA3">
            <w:pPr>
              <w:spacing w:before="20" w:after="20"/>
              <w:jc w:val="left"/>
            </w:pPr>
            <w:r>
              <w:rPr>
                <w:rFonts w:cstheme="minorHAnsi"/>
                <w:sz w:val="18"/>
                <w:szCs w:val="18"/>
              </w:rPr>
              <w:t>product_specification</w:t>
            </w:r>
          </w:p>
        </w:tc>
        <w:tc>
          <w:tcPr>
            <w:tcW w:w="2340" w:type="dxa"/>
            <w:vAlign w:val="center"/>
          </w:tcPr>
          <w:p w14:paraId="5CAE649B" w14:textId="77777777" w:rsidR="00672297" w:rsidRDefault="00A16EA3">
            <w:pPr>
              <w:spacing w:before="20" w:after="20"/>
              <w:jc w:val="left"/>
            </w:pPr>
            <w:r>
              <w:rPr>
                <w:rFonts w:cstheme="minorHAnsi"/>
                <w:sz w:val="18"/>
                <w:szCs w:val="18"/>
              </w:rPr>
              <w:t>Min / Max per property</w:t>
            </w:r>
          </w:p>
        </w:tc>
        <w:tc>
          <w:tcPr>
            <w:tcW w:w="1312" w:type="dxa"/>
            <w:vAlign w:val="center"/>
          </w:tcPr>
          <w:p w14:paraId="29568812" w14:textId="77777777" w:rsidR="00672297" w:rsidRDefault="00A16EA3">
            <w:pPr>
              <w:spacing w:before="20" w:after="20"/>
              <w:jc w:val="left"/>
            </w:pPr>
            <w:r>
              <w:rPr>
                <w:rFonts w:cstheme="minorHAnsi"/>
                <w:sz w:val="18"/>
                <w:szCs w:val="18"/>
              </w:rPr>
              <w:t>Yes-R#5 (database team load until then)</w:t>
            </w:r>
          </w:p>
        </w:tc>
      </w:tr>
    </w:tbl>
    <w:p w14:paraId="09169623" w14:textId="2A3AF65E" w:rsidR="00672297" w:rsidRDefault="00A16EA3">
      <w:pPr>
        <w:pStyle w:val="Caption"/>
      </w:pPr>
      <w:bookmarkStart w:id="505" w:name="_Toc900950033"/>
      <w:bookmarkStart w:id="506" w:name="_Toc241574698"/>
      <w:bookmarkStart w:id="507" w:name="_Toc242554082"/>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9</w:t>
      </w:r>
      <w:r>
        <w:fldChar w:fldCharType="end"/>
      </w:r>
      <w:r>
        <w:t>: Refinery-Wide Dashboard Data Source Overview</w:t>
      </w:r>
      <w:bookmarkEnd w:id="505"/>
      <w:bookmarkEnd w:id="506"/>
      <w:bookmarkEnd w:id="507"/>
    </w:p>
    <w:tbl>
      <w:tblPr>
        <w:tblStyle w:val="TableGrid"/>
        <w:tblW w:w="9360" w:type="dxa"/>
        <w:tblLayout w:type="fixed"/>
        <w:tblCellMar>
          <w:left w:w="70" w:type="dxa"/>
          <w:right w:w="70" w:type="dxa"/>
        </w:tblCellMar>
        <w:tblLook w:val="04A0" w:firstRow="1" w:lastRow="0" w:firstColumn="1" w:lastColumn="0" w:noHBand="0" w:noVBand="1"/>
      </w:tblPr>
      <w:tblGrid>
        <w:gridCol w:w="1123"/>
        <w:gridCol w:w="2059"/>
        <w:gridCol w:w="4680"/>
        <w:gridCol w:w="1498"/>
      </w:tblGrid>
      <w:tr w:rsidR="00672297" w14:paraId="7FE10B21" w14:textId="77777777">
        <w:trPr>
          <w:cantSplit/>
          <w:tblHeader/>
        </w:trPr>
        <w:tc>
          <w:tcPr>
            <w:tcW w:w="1123" w:type="dxa"/>
            <w:shd w:val="clear" w:color="auto" w:fill="2F5496"/>
            <w:vAlign w:val="center"/>
          </w:tcPr>
          <w:p w14:paraId="428A6ACC" w14:textId="77777777" w:rsidR="00672297" w:rsidRDefault="00A16EA3">
            <w:pPr>
              <w:spacing w:before="20" w:after="20"/>
              <w:jc w:val="left"/>
            </w:pPr>
            <w:r>
              <w:rPr>
                <w:rFonts w:cstheme="minorHAnsi"/>
                <w:b/>
                <w:bCs/>
                <w:color w:val="FFFFFF"/>
                <w:sz w:val="20"/>
                <w:szCs w:val="20"/>
              </w:rPr>
              <w:t>Event Type</w:t>
            </w:r>
          </w:p>
        </w:tc>
        <w:tc>
          <w:tcPr>
            <w:tcW w:w="2059" w:type="dxa"/>
            <w:shd w:val="clear" w:color="auto" w:fill="2F5496"/>
            <w:vAlign w:val="center"/>
          </w:tcPr>
          <w:p w14:paraId="532FE2C9" w14:textId="77777777" w:rsidR="00672297" w:rsidRDefault="00A16EA3">
            <w:pPr>
              <w:spacing w:before="20" w:after="20"/>
              <w:jc w:val="left"/>
            </w:pPr>
            <w:r>
              <w:rPr>
                <w:rFonts w:cstheme="minorHAnsi"/>
                <w:b/>
                <w:bCs/>
                <w:color w:val="FFFFFF"/>
                <w:sz w:val="20"/>
                <w:szCs w:val="20"/>
              </w:rPr>
              <w:t>Description</w:t>
            </w:r>
          </w:p>
        </w:tc>
        <w:tc>
          <w:tcPr>
            <w:tcW w:w="4680" w:type="dxa"/>
            <w:shd w:val="clear" w:color="auto" w:fill="2F5496"/>
            <w:vAlign w:val="center"/>
          </w:tcPr>
          <w:p w14:paraId="6F1C0837" w14:textId="77777777" w:rsidR="00672297" w:rsidRDefault="00A16EA3">
            <w:pPr>
              <w:spacing w:before="20" w:after="20"/>
              <w:jc w:val="left"/>
            </w:pPr>
            <w:r>
              <w:rPr>
                <w:rFonts w:cstheme="minorHAnsi"/>
                <w:b/>
                <w:bCs/>
                <w:color w:val="FFFFFF"/>
                <w:sz w:val="20"/>
                <w:szCs w:val="20"/>
              </w:rPr>
              <w:t>Purpose</w:t>
            </w:r>
          </w:p>
        </w:tc>
        <w:tc>
          <w:tcPr>
            <w:tcW w:w="1498" w:type="dxa"/>
            <w:shd w:val="clear" w:color="auto" w:fill="2F5496"/>
            <w:vAlign w:val="center"/>
          </w:tcPr>
          <w:p w14:paraId="217425F6" w14:textId="77777777" w:rsidR="00672297" w:rsidRDefault="00A16EA3">
            <w:pPr>
              <w:spacing w:before="20" w:after="20"/>
              <w:jc w:val="left"/>
            </w:pPr>
            <w:r>
              <w:rPr>
                <w:rFonts w:cstheme="minorHAnsi"/>
                <w:b/>
                <w:bCs/>
                <w:color w:val="FFFFFF"/>
                <w:sz w:val="20"/>
                <w:szCs w:val="20"/>
              </w:rPr>
              <w:t>IQDM</w:t>
            </w:r>
          </w:p>
        </w:tc>
      </w:tr>
      <w:tr w:rsidR="00672297" w14:paraId="1D3CBCAC" w14:textId="77777777">
        <w:trPr>
          <w:cantSplit/>
        </w:trPr>
        <w:tc>
          <w:tcPr>
            <w:tcW w:w="1123" w:type="dxa"/>
            <w:vAlign w:val="center"/>
          </w:tcPr>
          <w:p w14:paraId="7774FD1A" w14:textId="77777777" w:rsidR="00672297" w:rsidRDefault="00A16EA3">
            <w:pPr>
              <w:spacing w:before="20" w:after="20"/>
              <w:jc w:val="left"/>
            </w:pPr>
            <w:r>
              <w:rPr>
                <w:rFonts w:cstheme="minorHAnsi"/>
                <w:sz w:val="20"/>
                <w:szCs w:val="20"/>
              </w:rPr>
              <w:t>15</w:t>
            </w:r>
          </w:p>
        </w:tc>
        <w:tc>
          <w:tcPr>
            <w:tcW w:w="2059" w:type="dxa"/>
            <w:vAlign w:val="center"/>
          </w:tcPr>
          <w:p w14:paraId="5E1EC20F" w14:textId="77777777" w:rsidR="00672297" w:rsidRDefault="00A16EA3">
            <w:pPr>
              <w:spacing w:before="20" w:after="20"/>
              <w:jc w:val="left"/>
            </w:pPr>
            <w:r>
              <w:rPr>
                <w:rFonts w:cstheme="minorHAnsi"/>
                <w:sz w:val="20"/>
                <w:szCs w:val="20"/>
              </w:rPr>
              <w:t>Product Shipment Event</w:t>
            </w:r>
          </w:p>
        </w:tc>
        <w:tc>
          <w:tcPr>
            <w:tcW w:w="4680" w:type="dxa"/>
            <w:vAlign w:val="center"/>
          </w:tcPr>
          <w:p w14:paraId="5D079DC7" w14:textId="77777777" w:rsidR="00672297" w:rsidRDefault="00A16EA3">
            <w:pPr>
              <w:spacing w:before="20" w:after="20"/>
              <w:jc w:val="left"/>
            </w:pPr>
            <w:r>
              <w:rPr>
                <w:rFonts w:cstheme="minorHAnsi"/>
                <w:sz w:val="20"/>
                <w:szCs w:val="20"/>
              </w:rPr>
              <w:t>Displayed as shipment / product event (Gantt bar and table row)</w:t>
            </w:r>
          </w:p>
        </w:tc>
        <w:tc>
          <w:tcPr>
            <w:tcW w:w="1498" w:type="dxa"/>
            <w:vAlign w:val="center"/>
          </w:tcPr>
          <w:p w14:paraId="083CBD74" w14:textId="77777777" w:rsidR="00672297" w:rsidRDefault="00A16EA3">
            <w:pPr>
              <w:spacing w:before="20" w:after="20"/>
              <w:jc w:val="left"/>
            </w:pPr>
            <w:r>
              <w:rPr>
                <w:rFonts w:cstheme="minorHAnsi"/>
                <w:sz w:val="20"/>
                <w:szCs w:val="20"/>
              </w:rPr>
              <w:t>Yes-R#1</w:t>
            </w:r>
          </w:p>
        </w:tc>
      </w:tr>
      <w:tr w:rsidR="00672297" w14:paraId="5D95A9B6" w14:textId="77777777">
        <w:trPr>
          <w:cantSplit/>
        </w:trPr>
        <w:tc>
          <w:tcPr>
            <w:tcW w:w="1123" w:type="dxa"/>
            <w:vAlign w:val="center"/>
          </w:tcPr>
          <w:p w14:paraId="3E1EC86F" w14:textId="77777777" w:rsidR="00672297" w:rsidRDefault="00A16EA3">
            <w:pPr>
              <w:spacing w:before="20" w:after="20"/>
              <w:jc w:val="left"/>
            </w:pPr>
            <w:r>
              <w:rPr>
                <w:rFonts w:cstheme="minorHAnsi"/>
                <w:sz w:val="20"/>
                <w:szCs w:val="20"/>
              </w:rPr>
              <w:t>17</w:t>
            </w:r>
          </w:p>
        </w:tc>
        <w:tc>
          <w:tcPr>
            <w:tcW w:w="2059" w:type="dxa"/>
            <w:vAlign w:val="center"/>
          </w:tcPr>
          <w:p w14:paraId="3DFC1BC6" w14:textId="77777777" w:rsidR="00672297" w:rsidRDefault="00A16EA3">
            <w:pPr>
              <w:spacing w:before="20" w:after="20"/>
              <w:jc w:val="left"/>
            </w:pPr>
            <w:r>
              <w:rPr>
                <w:rFonts w:cstheme="minorHAnsi"/>
                <w:sz w:val="20"/>
                <w:szCs w:val="20"/>
              </w:rPr>
              <w:t>Blend Event</w:t>
            </w:r>
          </w:p>
        </w:tc>
        <w:tc>
          <w:tcPr>
            <w:tcW w:w="4680" w:type="dxa"/>
            <w:vAlign w:val="center"/>
          </w:tcPr>
          <w:p w14:paraId="0BC23F6B" w14:textId="77777777" w:rsidR="00672297" w:rsidRDefault="00A16EA3">
            <w:pPr>
              <w:spacing w:before="20" w:after="20"/>
              <w:jc w:val="left"/>
            </w:pPr>
            <w:r>
              <w:rPr>
                <w:rFonts w:cstheme="minorHAnsi"/>
                <w:sz w:val="20"/>
                <w:szCs w:val="20"/>
              </w:rPr>
              <w:t>Listed in the wireframe workbook; use on the dashboard to be confirmed (gap RD-05)</w:t>
            </w:r>
          </w:p>
        </w:tc>
        <w:tc>
          <w:tcPr>
            <w:tcW w:w="1498" w:type="dxa"/>
            <w:vAlign w:val="center"/>
          </w:tcPr>
          <w:p w14:paraId="3607A019" w14:textId="77777777" w:rsidR="00672297" w:rsidRDefault="00A16EA3">
            <w:pPr>
              <w:spacing w:before="20" w:after="20"/>
              <w:jc w:val="left"/>
            </w:pPr>
            <w:r>
              <w:rPr>
                <w:rFonts w:cstheme="minorHAnsi"/>
                <w:sz w:val="20"/>
                <w:szCs w:val="20"/>
              </w:rPr>
              <w:t>Yes-R#1</w:t>
            </w:r>
          </w:p>
        </w:tc>
      </w:tr>
    </w:tbl>
    <w:p w14:paraId="519C81A9" w14:textId="6A94CB8D" w:rsidR="00672297" w:rsidRDefault="00A16EA3">
      <w:pPr>
        <w:pStyle w:val="Caption"/>
      </w:pPr>
      <w:bookmarkStart w:id="508" w:name="_Toc900950034"/>
      <w:bookmarkStart w:id="509" w:name="_Toc241574699"/>
      <w:bookmarkStart w:id="510" w:name="_Toc242554083"/>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10</w:t>
      </w:r>
      <w:r>
        <w:fldChar w:fldCharType="end"/>
      </w:r>
      <w:r>
        <w:t>: Refinery-Wide Dashboard Event Type Mapping</w:t>
      </w:r>
      <w:bookmarkEnd w:id="508"/>
      <w:bookmarkEnd w:id="509"/>
      <w:bookmarkEnd w:id="510"/>
    </w:p>
    <w:tbl>
      <w:tblPr>
        <w:tblStyle w:val="TableGrid"/>
        <w:tblW w:w="9360" w:type="dxa"/>
        <w:tblLayout w:type="fixed"/>
        <w:tblCellMar>
          <w:left w:w="70" w:type="dxa"/>
          <w:right w:w="70" w:type="dxa"/>
        </w:tblCellMar>
        <w:tblLook w:val="04A0" w:firstRow="1" w:lastRow="0" w:firstColumn="1" w:lastColumn="0" w:noHBand="0" w:noVBand="1"/>
      </w:tblPr>
      <w:tblGrid>
        <w:gridCol w:w="1872"/>
        <w:gridCol w:w="1684"/>
        <w:gridCol w:w="1872"/>
        <w:gridCol w:w="1123"/>
        <w:gridCol w:w="2809"/>
      </w:tblGrid>
      <w:tr w:rsidR="00672297" w14:paraId="696DC777" w14:textId="77777777">
        <w:trPr>
          <w:cantSplit/>
          <w:tblHeader/>
        </w:trPr>
        <w:tc>
          <w:tcPr>
            <w:tcW w:w="1872" w:type="dxa"/>
            <w:shd w:val="clear" w:color="auto" w:fill="2F5496"/>
            <w:vAlign w:val="center"/>
          </w:tcPr>
          <w:p w14:paraId="7C27025D" w14:textId="77777777" w:rsidR="00672297" w:rsidRDefault="00A16EA3">
            <w:pPr>
              <w:spacing w:before="20" w:after="20"/>
              <w:jc w:val="left"/>
            </w:pPr>
            <w:r>
              <w:rPr>
                <w:rFonts w:cstheme="minorHAnsi"/>
                <w:b/>
                <w:bCs/>
                <w:color w:val="FFFFFF"/>
                <w:sz w:val="18"/>
                <w:szCs w:val="18"/>
              </w:rPr>
              <w:t>Dashboard Field</w:t>
            </w:r>
          </w:p>
        </w:tc>
        <w:tc>
          <w:tcPr>
            <w:tcW w:w="1684" w:type="dxa"/>
            <w:shd w:val="clear" w:color="auto" w:fill="2F5496"/>
            <w:vAlign w:val="center"/>
          </w:tcPr>
          <w:p w14:paraId="7F929F0B" w14:textId="77777777" w:rsidR="00672297" w:rsidRDefault="00A16EA3">
            <w:pPr>
              <w:spacing w:before="20" w:after="20"/>
              <w:jc w:val="left"/>
            </w:pPr>
            <w:r>
              <w:rPr>
                <w:rFonts w:cstheme="minorHAnsi"/>
                <w:b/>
                <w:bCs/>
                <w:color w:val="FFFFFF"/>
                <w:sz w:val="18"/>
                <w:szCs w:val="18"/>
              </w:rPr>
              <w:t>Source Table</w:t>
            </w:r>
          </w:p>
        </w:tc>
        <w:tc>
          <w:tcPr>
            <w:tcW w:w="1872" w:type="dxa"/>
            <w:shd w:val="clear" w:color="auto" w:fill="2F5496"/>
            <w:vAlign w:val="center"/>
          </w:tcPr>
          <w:p w14:paraId="36EC738A" w14:textId="77777777" w:rsidR="00672297" w:rsidRDefault="00A16EA3">
            <w:pPr>
              <w:spacing w:before="20" w:after="20"/>
              <w:jc w:val="left"/>
            </w:pPr>
            <w:r>
              <w:rPr>
                <w:rFonts w:cstheme="minorHAnsi"/>
                <w:b/>
                <w:bCs/>
                <w:color w:val="FFFFFF"/>
                <w:sz w:val="18"/>
                <w:szCs w:val="18"/>
              </w:rPr>
              <w:t>Field Used</w:t>
            </w:r>
          </w:p>
        </w:tc>
        <w:tc>
          <w:tcPr>
            <w:tcW w:w="1123" w:type="dxa"/>
            <w:shd w:val="clear" w:color="auto" w:fill="2F5496"/>
            <w:vAlign w:val="center"/>
          </w:tcPr>
          <w:p w14:paraId="2819496E" w14:textId="77777777" w:rsidR="00672297" w:rsidRDefault="00A16EA3">
            <w:pPr>
              <w:spacing w:before="20" w:after="20"/>
              <w:jc w:val="left"/>
            </w:pPr>
            <w:r>
              <w:rPr>
                <w:rFonts w:cstheme="minorHAnsi"/>
                <w:b/>
                <w:bCs/>
                <w:color w:val="FFFFFF"/>
                <w:sz w:val="18"/>
                <w:szCs w:val="18"/>
              </w:rPr>
              <w:t>IQDM</w:t>
            </w:r>
          </w:p>
        </w:tc>
        <w:tc>
          <w:tcPr>
            <w:tcW w:w="2809" w:type="dxa"/>
            <w:shd w:val="clear" w:color="auto" w:fill="2F5496"/>
            <w:vAlign w:val="center"/>
          </w:tcPr>
          <w:p w14:paraId="6D22C1B2" w14:textId="77777777" w:rsidR="00672297" w:rsidRDefault="00A16EA3">
            <w:pPr>
              <w:spacing w:before="20" w:after="20"/>
              <w:jc w:val="left"/>
            </w:pPr>
            <w:r>
              <w:rPr>
                <w:rFonts w:cstheme="minorHAnsi"/>
                <w:b/>
                <w:bCs/>
                <w:color w:val="FFFFFF"/>
                <w:sz w:val="18"/>
                <w:szCs w:val="18"/>
              </w:rPr>
              <w:t>VCB View Column</w:t>
            </w:r>
          </w:p>
        </w:tc>
      </w:tr>
      <w:tr w:rsidR="00672297" w14:paraId="59B45CE3" w14:textId="77777777">
        <w:trPr>
          <w:cantSplit/>
        </w:trPr>
        <w:tc>
          <w:tcPr>
            <w:tcW w:w="1872" w:type="dxa"/>
            <w:vAlign w:val="center"/>
          </w:tcPr>
          <w:p w14:paraId="338A1F89" w14:textId="77777777" w:rsidR="00672297" w:rsidRDefault="00A16EA3">
            <w:pPr>
              <w:spacing w:before="20" w:after="20"/>
              <w:jc w:val="left"/>
            </w:pPr>
            <w:r>
              <w:rPr>
                <w:rFonts w:cstheme="minorHAnsi"/>
                <w:sz w:val="18"/>
                <w:szCs w:val="18"/>
              </w:rPr>
              <w:t>Batch ID</w:t>
            </w:r>
          </w:p>
        </w:tc>
        <w:tc>
          <w:tcPr>
            <w:tcW w:w="1684" w:type="dxa"/>
            <w:vAlign w:val="center"/>
          </w:tcPr>
          <w:p w14:paraId="54E8958C" w14:textId="77777777" w:rsidR="00672297" w:rsidRDefault="00A16EA3">
            <w:pPr>
              <w:spacing w:before="20" w:after="20"/>
              <w:jc w:val="left"/>
            </w:pPr>
            <w:r>
              <w:rPr>
                <w:rFonts w:cstheme="minorHAnsi"/>
                <w:sz w:val="18"/>
                <w:szCs w:val="18"/>
              </w:rPr>
              <w:t>_EVENT</w:t>
            </w:r>
          </w:p>
        </w:tc>
        <w:tc>
          <w:tcPr>
            <w:tcW w:w="1872" w:type="dxa"/>
            <w:vAlign w:val="center"/>
          </w:tcPr>
          <w:p w14:paraId="79BE0056" w14:textId="77777777" w:rsidR="00672297" w:rsidRDefault="00A16EA3">
            <w:pPr>
              <w:spacing w:before="20" w:after="20"/>
              <w:jc w:val="left"/>
            </w:pPr>
            <w:r>
              <w:rPr>
                <w:rFonts w:cstheme="minorHAnsi"/>
                <w:sz w:val="18"/>
                <w:szCs w:val="18"/>
              </w:rPr>
              <w:t>BATCH</w:t>
            </w:r>
          </w:p>
        </w:tc>
        <w:tc>
          <w:tcPr>
            <w:tcW w:w="1123" w:type="dxa"/>
            <w:vAlign w:val="center"/>
          </w:tcPr>
          <w:p w14:paraId="091FD357" w14:textId="77777777" w:rsidR="00672297" w:rsidRDefault="00A16EA3">
            <w:pPr>
              <w:spacing w:before="20" w:after="20"/>
              <w:jc w:val="left"/>
            </w:pPr>
            <w:r>
              <w:rPr>
                <w:rFonts w:cstheme="minorHAnsi"/>
                <w:sz w:val="18"/>
                <w:szCs w:val="18"/>
              </w:rPr>
              <w:t>Yes-R#1</w:t>
            </w:r>
          </w:p>
        </w:tc>
        <w:tc>
          <w:tcPr>
            <w:tcW w:w="2809" w:type="dxa"/>
            <w:vAlign w:val="center"/>
          </w:tcPr>
          <w:p w14:paraId="24FB59E5" w14:textId="77777777" w:rsidR="00672297" w:rsidRDefault="00A16EA3">
            <w:pPr>
              <w:spacing w:before="20" w:after="20"/>
              <w:jc w:val="left"/>
            </w:pPr>
            <w:r>
              <w:rPr>
                <w:rFonts w:cstheme="minorHAnsi"/>
                <w:sz w:val="18"/>
                <w:szCs w:val="18"/>
              </w:rPr>
              <w:t>vwRefineryBatchMovementQuality[BatchID]</w:t>
            </w:r>
          </w:p>
        </w:tc>
      </w:tr>
      <w:tr w:rsidR="00672297" w14:paraId="7DA3C053" w14:textId="77777777">
        <w:trPr>
          <w:cantSplit/>
        </w:trPr>
        <w:tc>
          <w:tcPr>
            <w:tcW w:w="1872" w:type="dxa"/>
            <w:vAlign w:val="center"/>
          </w:tcPr>
          <w:p w14:paraId="775C613B" w14:textId="77777777" w:rsidR="00672297" w:rsidRDefault="00A16EA3">
            <w:pPr>
              <w:spacing w:before="20" w:after="20"/>
              <w:jc w:val="left"/>
            </w:pPr>
            <w:r>
              <w:rPr>
                <w:rFonts w:cstheme="minorHAnsi"/>
                <w:sz w:val="18"/>
                <w:szCs w:val="18"/>
              </w:rPr>
              <w:t>Status</w:t>
            </w:r>
          </w:p>
        </w:tc>
        <w:tc>
          <w:tcPr>
            <w:tcW w:w="1684" w:type="dxa"/>
            <w:vAlign w:val="center"/>
          </w:tcPr>
          <w:p w14:paraId="2E0AFC6F" w14:textId="77777777" w:rsidR="00672297" w:rsidRDefault="00A16EA3">
            <w:pPr>
              <w:spacing w:before="20" w:after="20"/>
              <w:jc w:val="left"/>
            </w:pPr>
            <w:r>
              <w:rPr>
                <w:rFonts w:cstheme="minorHAnsi"/>
                <w:sz w:val="18"/>
                <w:szCs w:val="18"/>
              </w:rPr>
              <w:t>Derived</w:t>
            </w:r>
          </w:p>
        </w:tc>
        <w:tc>
          <w:tcPr>
            <w:tcW w:w="1872" w:type="dxa"/>
            <w:vAlign w:val="center"/>
          </w:tcPr>
          <w:p w14:paraId="76830CA8" w14:textId="77777777" w:rsidR="00672297" w:rsidRDefault="00A16EA3">
            <w:pPr>
              <w:spacing w:before="20" w:after="20"/>
              <w:jc w:val="left"/>
            </w:pPr>
            <w:r>
              <w:rPr>
                <w:rFonts w:cstheme="minorHAnsi"/>
                <w:sz w:val="18"/>
                <w:szCs w:val="18"/>
              </w:rPr>
              <w:t>Scheduled / In-Transit / Delivered rule (chapter 3)</w:t>
            </w:r>
          </w:p>
        </w:tc>
        <w:tc>
          <w:tcPr>
            <w:tcW w:w="1123" w:type="dxa"/>
            <w:vAlign w:val="center"/>
          </w:tcPr>
          <w:p w14:paraId="1C897D2C" w14:textId="77777777" w:rsidR="00672297" w:rsidRDefault="00A16EA3">
            <w:pPr>
              <w:spacing w:before="20" w:after="20"/>
              <w:jc w:val="left"/>
            </w:pPr>
            <w:r>
              <w:rPr>
                <w:rFonts w:cstheme="minorHAnsi"/>
                <w:sz w:val="18"/>
                <w:szCs w:val="18"/>
              </w:rPr>
              <w:t>Yes-R#2</w:t>
            </w:r>
          </w:p>
        </w:tc>
        <w:tc>
          <w:tcPr>
            <w:tcW w:w="2809" w:type="dxa"/>
            <w:vAlign w:val="center"/>
          </w:tcPr>
          <w:p w14:paraId="6193C970" w14:textId="77777777" w:rsidR="00672297" w:rsidRDefault="00A16EA3">
            <w:pPr>
              <w:spacing w:before="20" w:after="20"/>
              <w:jc w:val="left"/>
            </w:pPr>
            <w:r>
              <w:rPr>
                <w:rFonts w:cstheme="minorHAnsi"/>
                <w:sz w:val="18"/>
                <w:szCs w:val="18"/>
              </w:rPr>
              <w:t>[BatchStatus]</w:t>
            </w:r>
          </w:p>
        </w:tc>
      </w:tr>
      <w:tr w:rsidR="00672297" w14:paraId="30845EED" w14:textId="77777777">
        <w:trPr>
          <w:cantSplit/>
        </w:trPr>
        <w:tc>
          <w:tcPr>
            <w:tcW w:w="1872" w:type="dxa"/>
            <w:vAlign w:val="center"/>
          </w:tcPr>
          <w:p w14:paraId="0E162CE9" w14:textId="77777777" w:rsidR="00672297" w:rsidRDefault="00A16EA3">
            <w:pPr>
              <w:spacing w:before="20" w:after="20"/>
              <w:jc w:val="left"/>
            </w:pPr>
            <w:r>
              <w:rPr>
                <w:rFonts w:cstheme="minorHAnsi"/>
                <w:sz w:val="18"/>
                <w:szCs w:val="18"/>
              </w:rPr>
              <w:t>Origin</w:t>
            </w:r>
          </w:p>
        </w:tc>
        <w:tc>
          <w:tcPr>
            <w:tcW w:w="1684" w:type="dxa"/>
            <w:vAlign w:val="center"/>
          </w:tcPr>
          <w:p w14:paraId="03C5AAC2" w14:textId="77777777" w:rsidR="00672297" w:rsidRDefault="00A16EA3">
            <w:pPr>
              <w:spacing w:before="20" w:after="20"/>
              <w:jc w:val="left"/>
            </w:pPr>
            <w:r>
              <w:rPr>
                <w:rFonts w:cstheme="minorHAnsi"/>
                <w:sz w:val="18"/>
                <w:szCs w:val="18"/>
              </w:rPr>
              <w:t>_EVENT</w:t>
            </w:r>
          </w:p>
        </w:tc>
        <w:tc>
          <w:tcPr>
            <w:tcW w:w="1872" w:type="dxa"/>
            <w:vAlign w:val="center"/>
          </w:tcPr>
          <w:p w14:paraId="51348C39" w14:textId="77777777" w:rsidR="00672297" w:rsidRDefault="00A16EA3">
            <w:pPr>
              <w:spacing w:before="20" w:after="20"/>
              <w:jc w:val="left"/>
            </w:pPr>
            <w:r>
              <w:rPr>
                <w:rFonts w:cstheme="minorHAnsi"/>
                <w:sz w:val="18"/>
                <w:szCs w:val="18"/>
              </w:rPr>
              <w:t>Location of the event</w:t>
            </w:r>
          </w:p>
        </w:tc>
        <w:tc>
          <w:tcPr>
            <w:tcW w:w="1123" w:type="dxa"/>
            <w:vAlign w:val="center"/>
          </w:tcPr>
          <w:p w14:paraId="67F445F0" w14:textId="77777777" w:rsidR="00672297" w:rsidRDefault="00A16EA3">
            <w:pPr>
              <w:spacing w:before="20" w:after="20"/>
              <w:jc w:val="left"/>
            </w:pPr>
            <w:r>
              <w:rPr>
                <w:rFonts w:cstheme="minorHAnsi"/>
                <w:sz w:val="18"/>
                <w:szCs w:val="18"/>
              </w:rPr>
              <w:t>Yes-R#1</w:t>
            </w:r>
          </w:p>
        </w:tc>
        <w:tc>
          <w:tcPr>
            <w:tcW w:w="2809" w:type="dxa"/>
            <w:vAlign w:val="center"/>
          </w:tcPr>
          <w:p w14:paraId="212C0339" w14:textId="77777777" w:rsidR="00672297" w:rsidRDefault="00A16EA3">
            <w:pPr>
              <w:spacing w:before="20" w:after="20"/>
              <w:jc w:val="left"/>
            </w:pPr>
            <w:r>
              <w:rPr>
                <w:rFonts w:cstheme="minorHAnsi"/>
                <w:sz w:val="18"/>
                <w:szCs w:val="18"/>
              </w:rPr>
              <w:t>[Source]</w:t>
            </w:r>
          </w:p>
        </w:tc>
      </w:tr>
      <w:tr w:rsidR="00672297" w14:paraId="23EA1DEB" w14:textId="77777777">
        <w:trPr>
          <w:cantSplit/>
        </w:trPr>
        <w:tc>
          <w:tcPr>
            <w:tcW w:w="1872" w:type="dxa"/>
            <w:vAlign w:val="center"/>
          </w:tcPr>
          <w:p w14:paraId="613A6CEF" w14:textId="77777777" w:rsidR="00672297" w:rsidRDefault="00A16EA3">
            <w:pPr>
              <w:spacing w:before="20" w:after="20"/>
              <w:jc w:val="left"/>
            </w:pPr>
            <w:r>
              <w:rPr>
                <w:rFonts w:cstheme="minorHAnsi"/>
                <w:sz w:val="18"/>
                <w:szCs w:val="18"/>
              </w:rPr>
              <w:t>Origin Tank</w:t>
            </w:r>
          </w:p>
        </w:tc>
        <w:tc>
          <w:tcPr>
            <w:tcW w:w="1684" w:type="dxa"/>
            <w:vAlign w:val="center"/>
          </w:tcPr>
          <w:p w14:paraId="1971E791" w14:textId="77777777" w:rsidR="00672297" w:rsidRDefault="00A16EA3">
            <w:pPr>
              <w:spacing w:before="20" w:after="20"/>
              <w:jc w:val="left"/>
            </w:pPr>
            <w:r>
              <w:rPr>
                <w:rFonts w:cstheme="minorHAnsi"/>
                <w:sz w:val="18"/>
                <w:szCs w:val="18"/>
              </w:rPr>
              <w:t>_EVENT</w:t>
            </w:r>
          </w:p>
        </w:tc>
        <w:tc>
          <w:tcPr>
            <w:tcW w:w="1872" w:type="dxa"/>
            <w:vAlign w:val="center"/>
          </w:tcPr>
          <w:p w14:paraId="41CD57E1" w14:textId="77777777" w:rsidR="00672297" w:rsidRDefault="00A16EA3">
            <w:pPr>
              <w:spacing w:before="20" w:after="20"/>
              <w:jc w:val="left"/>
            </w:pPr>
            <w:r>
              <w:rPr>
                <w:rFonts w:cstheme="minorHAnsi"/>
                <w:sz w:val="18"/>
                <w:szCs w:val="18"/>
              </w:rPr>
              <w:t>ID1</w:t>
            </w:r>
          </w:p>
        </w:tc>
        <w:tc>
          <w:tcPr>
            <w:tcW w:w="1123" w:type="dxa"/>
            <w:vAlign w:val="center"/>
          </w:tcPr>
          <w:p w14:paraId="7DB12109" w14:textId="77777777" w:rsidR="00672297" w:rsidRDefault="00A16EA3">
            <w:pPr>
              <w:spacing w:before="20" w:after="20"/>
              <w:jc w:val="left"/>
            </w:pPr>
            <w:r>
              <w:rPr>
                <w:rFonts w:cstheme="minorHAnsi"/>
                <w:sz w:val="18"/>
                <w:szCs w:val="18"/>
              </w:rPr>
              <w:t>Yes-R#1</w:t>
            </w:r>
          </w:p>
        </w:tc>
        <w:tc>
          <w:tcPr>
            <w:tcW w:w="2809" w:type="dxa"/>
            <w:vAlign w:val="center"/>
          </w:tcPr>
          <w:p w14:paraId="0F4D4F5B" w14:textId="77777777" w:rsidR="00672297" w:rsidRDefault="00A16EA3">
            <w:pPr>
              <w:spacing w:before="20" w:after="20"/>
              <w:jc w:val="left"/>
            </w:pPr>
            <w:r>
              <w:rPr>
                <w:rFonts w:cstheme="minorHAnsi"/>
                <w:sz w:val="18"/>
                <w:szCs w:val="18"/>
              </w:rPr>
              <w:t>[OriginTank]</w:t>
            </w:r>
          </w:p>
        </w:tc>
      </w:tr>
      <w:tr w:rsidR="00672297" w14:paraId="3BA670CA" w14:textId="77777777">
        <w:trPr>
          <w:cantSplit/>
        </w:trPr>
        <w:tc>
          <w:tcPr>
            <w:tcW w:w="1872" w:type="dxa"/>
            <w:vAlign w:val="center"/>
          </w:tcPr>
          <w:p w14:paraId="678A7B43" w14:textId="77777777" w:rsidR="00672297" w:rsidRDefault="00A16EA3">
            <w:pPr>
              <w:spacing w:before="20" w:after="20"/>
              <w:jc w:val="left"/>
            </w:pPr>
            <w:r>
              <w:rPr>
                <w:rFonts w:cstheme="minorHAnsi"/>
                <w:sz w:val="18"/>
                <w:szCs w:val="18"/>
              </w:rPr>
              <w:t>Destination</w:t>
            </w:r>
          </w:p>
        </w:tc>
        <w:tc>
          <w:tcPr>
            <w:tcW w:w="1684" w:type="dxa"/>
            <w:vAlign w:val="center"/>
          </w:tcPr>
          <w:p w14:paraId="46A7B0B3" w14:textId="77777777" w:rsidR="00672297" w:rsidRDefault="00A16EA3">
            <w:pPr>
              <w:spacing w:before="20" w:after="20"/>
              <w:jc w:val="left"/>
            </w:pPr>
            <w:r>
              <w:rPr>
                <w:rFonts w:cstheme="minorHAnsi"/>
                <w:sz w:val="18"/>
                <w:szCs w:val="18"/>
              </w:rPr>
              <w:t>BulkTransfer / Transfer</w:t>
            </w:r>
          </w:p>
        </w:tc>
        <w:tc>
          <w:tcPr>
            <w:tcW w:w="1872" w:type="dxa"/>
            <w:vAlign w:val="center"/>
          </w:tcPr>
          <w:p w14:paraId="2A32AA6E" w14:textId="77777777" w:rsidR="00672297" w:rsidRDefault="00A16EA3">
            <w:pPr>
              <w:spacing w:before="20" w:after="20"/>
              <w:jc w:val="left"/>
            </w:pPr>
            <w:r>
              <w:rPr>
                <w:rFonts w:cstheme="minorHAnsi"/>
                <w:sz w:val="18"/>
                <w:szCs w:val="18"/>
              </w:rPr>
              <w:t>Destination</w:t>
            </w:r>
          </w:p>
        </w:tc>
        <w:tc>
          <w:tcPr>
            <w:tcW w:w="1123" w:type="dxa"/>
            <w:vAlign w:val="center"/>
          </w:tcPr>
          <w:p w14:paraId="74C10AE9" w14:textId="77777777" w:rsidR="00672297" w:rsidRDefault="00A16EA3">
            <w:pPr>
              <w:spacing w:before="20" w:after="20"/>
              <w:jc w:val="left"/>
            </w:pPr>
            <w:r>
              <w:rPr>
                <w:rFonts w:cstheme="minorHAnsi"/>
                <w:sz w:val="18"/>
                <w:szCs w:val="18"/>
              </w:rPr>
              <w:t>Yes-R#2</w:t>
            </w:r>
          </w:p>
        </w:tc>
        <w:tc>
          <w:tcPr>
            <w:tcW w:w="2809" w:type="dxa"/>
            <w:vAlign w:val="center"/>
          </w:tcPr>
          <w:p w14:paraId="2CCC7B64" w14:textId="77777777" w:rsidR="00672297" w:rsidRDefault="00A16EA3">
            <w:pPr>
              <w:spacing w:before="20" w:after="20"/>
              <w:jc w:val="left"/>
            </w:pPr>
            <w:r>
              <w:rPr>
                <w:rFonts w:cstheme="minorHAnsi"/>
                <w:sz w:val="18"/>
                <w:szCs w:val="18"/>
              </w:rPr>
              <w:t>[Destination]</w:t>
            </w:r>
          </w:p>
        </w:tc>
      </w:tr>
      <w:tr w:rsidR="00672297" w14:paraId="7BE01FA2" w14:textId="77777777">
        <w:trPr>
          <w:cantSplit/>
        </w:trPr>
        <w:tc>
          <w:tcPr>
            <w:tcW w:w="1872" w:type="dxa"/>
            <w:vAlign w:val="center"/>
          </w:tcPr>
          <w:p w14:paraId="7B41B777" w14:textId="77777777" w:rsidR="00672297" w:rsidRDefault="00A16EA3">
            <w:pPr>
              <w:spacing w:before="20" w:after="20"/>
              <w:jc w:val="left"/>
            </w:pPr>
            <w:r>
              <w:rPr>
                <w:rFonts w:cstheme="minorHAnsi"/>
                <w:sz w:val="18"/>
                <w:szCs w:val="18"/>
              </w:rPr>
              <w:t>Destination Tank</w:t>
            </w:r>
          </w:p>
        </w:tc>
        <w:tc>
          <w:tcPr>
            <w:tcW w:w="1684" w:type="dxa"/>
            <w:vAlign w:val="center"/>
          </w:tcPr>
          <w:p w14:paraId="23285861" w14:textId="77777777" w:rsidR="00672297" w:rsidRDefault="00A16EA3">
            <w:pPr>
              <w:spacing w:before="20" w:after="20"/>
              <w:jc w:val="left"/>
            </w:pPr>
            <w:r>
              <w:rPr>
                <w:rFonts w:cstheme="minorHAnsi"/>
                <w:sz w:val="18"/>
                <w:szCs w:val="18"/>
              </w:rPr>
              <w:t>BulkTransfer</w:t>
            </w:r>
          </w:p>
        </w:tc>
        <w:tc>
          <w:tcPr>
            <w:tcW w:w="1872" w:type="dxa"/>
            <w:vAlign w:val="center"/>
          </w:tcPr>
          <w:p w14:paraId="5DD3365C" w14:textId="77777777" w:rsidR="00672297" w:rsidRDefault="00A16EA3">
            <w:pPr>
              <w:spacing w:before="20" w:after="20"/>
              <w:jc w:val="left"/>
            </w:pPr>
            <w:r>
              <w:rPr>
                <w:rFonts w:cstheme="minorHAnsi"/>
                <w:sz w:val="18"/>
                <w:szCs w:val="18"/>
              </w:rPr>
              <w:t>DestinationContainerCode</w:t>
            </w:r>
          </w:p>
        </w:tc>
        <w:tc>
          <w:tcPr>
            <w:tcW w:w="1123" w:type="dxa"/>
            <w:vAlign w:val="center"/>
          </w:tcPr>
          <w:p w14:paraId="0AD95F50" w14:textId="77777777" w:rsidR="00672297" w:rsidRDefault="00A16EA3">
            <w:pPr>
              <w:spacing w:before="20" w:after="20"/>
              <w:jc w:val="left"/>
            </w:pPr>
            <w:r>
              <w:rPr>
                <w:rFonts w:cstheme="minorHAnsi"/>
                <w:sz w:val="18"/>
                <w:szCs w:val="18"/>
              </w:rPr>
              <w:t>Yes-R#2</w:t>
            </w:r>
          </w:p>
        </w:tc>
        <w:tc>
          <w:tcPr>
            <w:tcW w:w="2809" w:type="dxa"/>
            <w:vAlign w:val="center"/>
          </w:tcPr>
          <w:p w14:paraId="502A2527" w14:textId="77777777" w:rsidR="00672297" w:rsidRDefault="00A16EA3">
            <w:pPr>
              <w:spacing w:before="20" w:after="20"/>
              <w:jc w:val="left"/>
            </w:pPr>
            <w:r>
              <w:rPr>
                <w:rFonts w:cstheme="minorHAnsi"/>
                <w:sz w:val="18"/>
                <w:szCs w:val="18"/>
              </w:rPr>
              <w:t>[DestinationTank]</w:t>
            </w:r>
          </w:p>
        </w:tc>
      </w:tr>
      <w:tr w:rsidR="00672297" w14:paraId="0D2D23DD" w14:textId="77777777">
        <w:trPr>
          <w:cantSplit/>
        </w:trPr>
        <w:tc>
          <w:tcPr>
            <w:tcW w:w="1872" w:type="dxa"/>
            <w:vAlign w:val="center"/>
          </w:tcPr>
          <w:p w14:paraId="602A7B37" w14:textId="77777777" w:rsidR="00672297" w:rsidRDefault="00A16EA3">
            <w:pPr>
              <w:spacing w:before="20" w:after="20"/>
              <w:jc w:val="left"/>
            </w:pPr>
            <w:r>
              <w:rPr>
                <w:rFonts w:cstheme="minorHAnsi"/>
                <w:sz w:val="18"/>
                <w:szCs w:val="18"/>
              </w:rPr>
              <w:t>Grade</w:t>
            </w:r>
          </w:p>
        </w:tc>
        <w:tc>
          <w:tcPr>
            <w:tcW w:w="1684" w:type="dxa"/>
            <w:vAlign w:val="center"/>
          </w:tcPr>
          <w:p w14:paraId="58C5E670" w14:textId="77777777" w:rsidR="00672297" w:rsidRDefault="00A16EA3">
            <w:pPr>
              <w:spacing w:before="20" w:after="20"/>
              <w:jc w:val="left"/>
            </w:pPr>
            <w:r>
              <w:rPr>
                <w:rFonts w:cstheme="minorHAnsi"/>
                <w:sz w:val="18"/>
                <w:szCs w:val="18"/>
              </w:rPr>
              <w:t>PRODUCTS</w:t>
            </w:r>
          </w:p>
        </w:tc>
        <w:tc>
          <w:tcPr>
            <w:tcW w:w="1872" w:type="dxa"/>
            <w:vAlign w:val="center"/>
          </w:tcPr>
          <w:p w14:paraId="3B264163" w14:textId="77777777" w:rsidR="00672297" w:rsidRDefault="00A16EA3">
            <w:pPr>
              <w:spacing w:before="20" w:after="20"/>
              <w:jc w:val="left"/>
            </w:pPr>
            <w:r>
              <w:rPr>
                <w:rFonts w:cstheme="minorHAnsi"/>
                <w:sz w:val="18"/>
                <w:szCs w:val="18"/>
              </w:rPr>
              <w:t>DESCRIPTION</w:t>
            </w:r>
          </w:p>
        </w:tc>
        <w:tc>
          <w:tcPr>
            <w:tcW w:w="1123" w:type="dxa"/>
            <w:vAlign w:val="center"/>
          </w:tcPr>
          <w:p w14:paraId="45A73F9E" w14:textId="77777777" w:rsidR="00672297" w:rsidRDefault="00A16EA3">
            <w:pPr>
              <w:spacing w:before="20" w:after="20"/>
              <w:jc w:val="left"/>
            </w:pPr>
            <w:r>
              <w:rPr>
                <w:rFonts w:cstheme="minorHAnsi"/>
                <w:sz w:val="18"/>
                <w:szCs w:val="18"/>
              </w:rPr>
              <w:t>Yes-R#1</w:t>
            </w:r>
          </w:p>
        </w:tc>
        <w:tc>
          <w:tcPr>
            <w:tcW w:w="2809" w:type="dxa"/>
            <w:vAlign w:val="center"/>
          </w:tcPr>
          <w:p w14:paraId="3C406345" w14:textId="77777777" w:rsidR="00672297" w:rsidRDefault="00A16EA3">
            <w:pPr>
              <w:spacing w:before="20" w:after="20"/>
              <w:jc w:val="left"/>
            </w:pPr>
            <w:r>
              <w:rPr>
                <w:rFonts w:cstheme="minorHAnsi"/>
                <w:sz w:val="18"/>
                <w:szCs w:val="18"/>
              </w:rPr>
              <w:t>[ProductName]</w:t>
            </w:r>
          </w:p>
        </w:tc>
      </w:tr>
      <w:tr w:rsidR="00672297" w14:paraId="4AD2C56E" w14:textId="77777777">
        <w:trPr>
          <w:cantSplit/>
        </w:trPr>
        <w:tc>
          <w:tcPr>
            <w:tcW w:w="1872" w:type="dxa"/>
            <w:vAlign w:val="center"/>
          </w:tcPr>
          <w:p w14:paraId="17C587F1" w14:textId="77777777" w:rsidR="00672297" w:rsidRDefault="00A16EA3">
            <w:pPr>
              <w:spacing w:before="20" w:after="20"/>
              <w:jc w:val="left"/>
            </w:pPr>
            <w:r>
              <w:rPr>
                <w:rFonts w:cstheme="minorHAnsi"/>
                <w:sz w:val="18"/>
                <w:szCs w:val="18"/>
              </w:rPr>
              <w:t>Volume (bbl)</w:t>
            </w:r>
          </w:p>
        </w:tc>
        <w:tc>
          <w:tcPr>
            <w:tcW w:w="1684" w:type="dxa"/>
            <w:vAlign w:val="center"/>
          </w:tcPr>
          <w:p w14:paraId="0FFCD3F0" w14:textId="77777777" w:rsidR="00672297" w:rsidRDefault="00A16EA3">
            <w:pPr>
              <w:spacing w:before="20" w:after="20"/>
              <w:jc w:val="left"/>
            </w:pPr>
            <w:r>
              <w:rPr>
                <w:rFonts w:cstheme="minorHAnsi"/>
                <w:sz w:val="18"/>
                <w:szCs w:val="18"/>
              </w:rPr>
              <w:t>_EVENT</w:t>
            </w:r>
          </w:p>
        </w:tc>
        <w:tc>
          <w:tcPr>
            <w:tcW w:w="1872" w:type="dxa"/>
            <w:vAlign w:val="center"/>
          </w:tcPr>
          <w:p w14:paraId="715B582E" w14:textId="77777777" w:rsidR="00672297" w:rsidRDefault="00A16EA3">
            <w:pPr>
              <w:spacing w:before="20" w:after="20"/>
              <w:jc w:val="left"/>
            </w:pPr>
            <w:r>
              <w:rPr>
                <w:rFonts w:cstheme="minorHAnsi"/>
                <w:sz w:val="18"/>
                <w:szCs w:val="18"/>
              </w:rPr>
              <w:t>VOLUME</w:t>
            </w:r>
          </w:p>
        </w:tc>
        <w:tc>
          <w:tcPr>
            <w:tcW w:w="1123" w:type="dxa"/>
            <w:vAlign w:val="center"/>
          </w:tcPr>
          <w:p w14:paraId="5852CD2D" w14:textId="77777777" w:rsidR="00672297" w:rsidRDefault="00A16EA3">
            <w:pPr>
              <w:spacing w:before="20" w:after="20"/>
              <w:jc w:val="left"/>
            </w:pPr>
            <w:r>
              <w:rPr>
                <w:rFonts w:cstheme="minorHAnsi"/>
                <w:sz w:val="18"/>
                <w:szCs w:val="18"/>
              </w:rPr>
              <w:t>Yes-R#1</w:t>
            </w:r>
          </w:p>
        </w:tc>
        <w:tc>
          <w:tcPr>
            <w:tcW w:w="2809" w:type="dxa"/>
            <w:vAlign w:val="center"/>
          </w:tcPr>
          <w:p w14:paraId="7B9629E9" w14:textId="77777777" w:rsidR="00672297" w:rsidRDefault="00A16EA3">
            <w:pPr>
              <w:spacing w:before="20" w:after="20"/>
              <w:jc w:val="left"/>
            </w:pPr>
            <w:r>
              <w:rPr>
                <w:rFonts w:cstheme="minorHAnsi"/>
                <w:sz w:val="18"/>
                <w:szCs w:val="18"/>
              </w:rPr>
              <w:t>[BatchVolumeBbl]</w:t>
            </w:r>
          </w:p>
        </w:tc>
      </w:tr>
      <w:tr w:rsidR="00672297" w14:paraId="56C24EF7" w14:textId="77777777">
        <w:trPr>
          <w:cantSplit/>
        </w:trPr>
        <w:tc>
          <w:tcPr>
            <w:tcW w:w="1872" w:type="dxa"/>
            <w:vAlign w:val="center"/>
          </w:tcPr>
          <w:p w14:paraId="12ECFB7C" w14:textId="77777777" w:rsidR="00672297" w:rsidRDefault="00A16EA3">
            <w:pPr>
              <w:spacing w:before="20" w:after="20"/>
              <w:jc w:val="left"/>
            </w:pPr>
            <w:r>
              <w:rPr>
                <w:rFonts w:cstheme="minorHAnsi"/>
                <w:sz w:val="18"/>
                <w:szCs w:val="18"/>
              </w:rPr>
              <w:t>MOT</w:t>
            </w:r>
          </w:p>
        </w:tc>
        <w:tc>
          <w:tcPr>
            <w:tcW w:w="1684" w:type="dxa"/>
            <w:vAlign w:val="center"/>
          </w:tcPr>
          <w:p w14:paraId="28787474" w14:textId="77777777" w:rsidR="00672297" w:rsidRDefault="00A16EA3">
            <w:pPr>
              <w:spacing w:before="20" w:after="20"/>
              <w:jc w:val="left"/>
            </w:pPr>
            <w:r>
              <w:rPr>
                <w:rFonts w:cstheme="minorHAnsi"/>
                <w:sz w:val="18"/>
                <w:szCs w:val="18"/>
              </w:rPr>
              <w:t>TRAN_MODES</w:t>
            </w:r>
          </w:p>
        </w:tc>
        <w:tc>
          <w:tcPr>
            <w:tcW w:w="1872" w:type="dxa"/>
            <w:vAlign w:val="center"/>
          </w:tcPr>
          <w:p w14:paraId="301846A8" w14:textId="77777777" w:rsidR="00672297" w:rsidRDefault="00A16EA3">
            <w:pPr>
              <w:spacing w:before="20" w:after="20"/>
              <w:jc w:val="left"/>
            </w:pPr>
            <w:r>
              <w:rPr>
                <w:rFonts w:cstheme="minorHAnsi"/>
                <w:sz w:val="18"/>
                <w:szCs w:val="18"/>
              </w:rPr>
              <w:t>DESCRIPTION</w:t>
            </w:r>
          </w:p>
        </w:tc>
        <w:tc>
          <w:tcPr>
            <w:tcW w:w="1123" w:type="dxa"/>
            <w:vAlign w:val="center"/>
          </w:tcPr>
          <w:p w14:paraId="2E5B5D92" w14:textId="77777777" w:rsidR="00672297" w:rsidRDefault="00A16EA3">
            <w:pPr>
              <w:spacing w:before="20" w:after="20"/>
              <w:jc w:val="left"/>
            </w:pPr>
            <w:r>
              <w:rPr>
                <w:rFonts w:cstheme="minorHAnsi"/>
                <w:sz w:val="18"/>
                <w:szCs w:val="18"/>
              </w:rPr>
              <w:t>Yes-R#1</w:t>
            </w:r>
          </w:p>
        </w:tc>
        <w:tc>
          <w:tcPr>
            <w:tcW w:w="2809" w:type="dxa"/>
            <w:vAlign w:val="center"/>
          </w:tcPr>
          <w:p w14:paraId="022168E8" w14:textId="77777777" w:rsidR="00672297" w:rsidRDefault="00A16EA3">
            <w:pPr>
              <w:spacing w:before="20" w:after="20"/>
              <w:jc w:val="left"/>
            </w:pPr>
            <w:r>
              <w:rPr>
                <w:rFonts w:cstheme="minorHAnsi"/>
                <w:sz w:val="18"/>
                <w:szCs w:val="18"/>
              </w:rPr>
              <w:t>[MOT]</w:t>
            </w:r>
          </w:p>
        </w:tc>
      </w:tr>
      <w:tr w:rsidR="00672297" w14:paraId="4005D808" w14:textId="77777777">
        <w:trPr>
          <w:cantSplit/>
        </w:trPr>
        <w:tc>
          <w:tcPr>
            <w:tcW w:w="1872" w:type="dxa"/>
            <w:vAlign w:val="center"/>
          </w:tcPr>
          <w:p w14:paraId="775C4CE5" w14:textId="77777777" w:rsidR="00672297" w:rsidRDefault="00A16EA3">
            <w:pPr>
              <w:spacing w:before="20" w:after="20"/>
              <w:jc w:val="left"/>
            </w:pPr>
            <w:r>
              <w:rPr>
                <w:rFonts w:cstheme="minorHAnsi"/>
                <w:sz w:val="18"/>
                <w:szCs w:val="18"/>
              </w:rPr>
              <w:t>Start Time / End Time</w:t>
            </w:r>
          </w:p>
        </w:tc>
        <w:tc>
          <w:tcPr>
            <w:tcW w:w="1684" w:type="dxa"/>
            <w:vAlign w:val="center"/>
          </w:tcPr>
          <w:p w14:paraId="2AFEE501" w14:textId="77777777" w:rsidR="00672297" w:rsidRDefault="00A16EA3">
            <w:pPr>
              <w:spacing w:before="20" w:after="20"/>
              <w:jc w:val="left"/>
            </w:pPr>
            <w:r>
              <w:rPr>
                <w:rFonts w:cstheme="minorHAnsi"/>
                <w:sz w:val="18"/>
                <w:szCs w:val="18"/>
              </w:rPr>
              <w:t>_EVENT</w:t>
            </w:r>
          </w:p>
        </w:tc>
        <w:tc>
          <w:tcPr>
            <w:tcW w:w="1872" w:type="dxa"/>
            <w:vAlign w:val="center"/>
          </w:tcPr>
          <w:p w14:paraId="0FA41BED" w14:textId="77777777" w:rsidR="00672297" w:rsidRDefault="00A16EA3">
            <w:pPr>
              <w:spacing w:before="20" w:after="20"/>
              <w:jc w:val="left"/>
            </w:pPr>
            <w:r>
              <w:rPr>
                <w:rFonts w:cstheme="minorHAnsi"/>
                <w:sz w:val="18"/>
                <w:szCs w:val="18"/>
              </w:rPr>
              <w:t>START_ / STOP_</w:t>
            </w:r>
          </w:p>
        </w:tc>
        <w:tc>
          <w:tcPr>
            <w:tcW w:w="1123" w:type="dxa"/>
            <w:vAlign w:val="center"/>
          </w:tcPr>
          <w:p w14:paraId="25D00E4B" w14:textId="77777777" w:rsidR="00672297" w:rsidRDefault="00A16EA3">
            <w:pPr>
              <w:spacing w:before="20" w:after="20"/>
              <w:jc w:val="left"/>
            </w:pPr>
            <w:r>
              <w:rPr>
                <w:rFonts w:cstheme="minorHAnsi"/>
                <w:sz w:val="18"/>
                <w:szCs w:val="18"/>
              </w:rPr>
              <w:t>Yes-R#1</w:t>
            </w:r>
          </w:p>
        </w:tc>
        <w:tc>
          <w:tcPr>
            <w:tcW w:w="2809" w:type="dxa"/>
            <w:vAlign w:val="center"/>
          </w:tcPr>
          <w:p w14:paraId="39C119C1" w14:textId="77777777" w:rsidR="00672297" w:rsidRDefault="00A16EA3">
            <w:pPr>
              <w:spacing w:before="20" w:after="20"/>
              <w:jc w:val="left"/>
            </w:pPr>
            <w:r>
              <w:rPr>
                <w:rFonts w:cstheme="minorHAnsi"/>
                <w:sz w:val="18"/>
                <w:szCs w:val="18"/>
              </w:rPr>
              <w:t>[StartDateTime] / [EndDateTime]</w:t>
            </w:r>
          </w:p>
        </w:tc>
      </w:tr>
      <w:tr w:rsidR="00672297" w14:paraId="1EE66421" w14:textId="77777777">
        <w:trPr>
          <w:cantSplit/>
        </w:trPr>
        <w:tc>
          <w:tcPr>
            <w:tcW w:w="1872" w:type="dxa"/>
            <w:vAlign w:val="center"/>
          </w:tcPr>
          <w:p w14:paraId="3B3D795B" w14:textId="77777777" w:rsidR="00672297" w:rsidRDefault="00A16EA3">
            <w:pPr>
              <w:spacing w:before="20" w:after="20"/>
              <w:jc w:val="left"/>
            </w:pPr>
            <w:r>
              <w:rPr>
                <w:rFonts w:cstheme="minorHAnsi"/>
                <w:sz w:val="18"/>
                <w:szCs w:val="18"/>
              </w:rPr>
              <w:t>ETA</w:t>
            </w:r>
          </w:p>
        </w:tc>
        <w:tc>
          <w:tcPr>
            <w:tcW w:w="1684" w:type="dxa"/>
            <w:vAlign w:val="center"/>
          </w:tcPr>
          <w:p w14:paraId="406578B7" w14:textId="77777777" w:rsidR="00672297" w:rsidRDefault="00A16EA3">
            <w:pPr>
              <w:spacing w:before="20" w:after="20"/>
              <w:jc w:val="left"/>
            </w:pPr>
            <w:r>
              <w:rPr>
                <w:rFonts w:cstheme="minorHAnsi"/>
                <w:sz w:val="18"/>
                <w:szCs w:val="18"/>
              </w:rPr>
              <w:t>BulkTransfer / Transfer / v_OrderDetail</w:t>
            </w:r>
          </w:p>
        </w:tc>
        <w:tc>
          <w:tcPr>
            <w:tcW w:w="1872" w:type="dxa"/>
            <w:vAlign w:val="center"/>
          </w:tcPr>
          <w:p w14:paraId="0FD4EA76" w14:textId="77777777" w:rsidR="00672297" w:rsidRDefault="00A16EA3">
            <w:pPr>
              <w:spacing w:before="20" w:after="20"/>
              <w:jc w:val="left"/>
            </w:pPr>
            <w:r>
              <w:rPr>
                <w:rFonts w:cstheme="minorHAnsi"/>
                <w:sz w:val="18"/>
                <w:szCs w:val="18"/>
              </w:rPr>
              <w:t>Estimated end / UNLOADDATE</w:t>
            </w:r>
          </w:p>
        </w:tc>
        <w:tc>
          <w:tcPr>
            <w:tcW w:w="1123" w:type="dxa"/>
            <w:vAlign w:val="center"/>
          </w:tcPr>
          <w:p w14:paraId="76336C82" w14:textId="77777777" w:rsidR="00672297" w:rsidRDefault="00A16EA3">
            <w:pPr>
              <w:spacing w:before="20" w:after="20"/>
              <w:jc w:val="left"/>
            </w:pPr>
            <w:r>
              <w:rPr>
                <w:rFonts w:cstheme="minorHAnsi"/>
                <w:sz w:val="18"/>
                <w:szCs w:val="18"/>
              </w:rPr>
              <w:t>Yes-R#2</w:t>
            </w:r>
          </w:p>
        </w:tc>
        <w:tc>
          <w:tcPr>
            <w:tcW w:w="2809" w:type="dxa"/>
            <w:vAlign w:val="center"/>
          </w:tcPr>
          <w:p w14:paraId="2DD6A78C" w14:textId="77777777" w:rsidR="00672297" w:rsidRDefault="00A16EA3">
            <w:pPr>
              <w:spacing w:before="20" w:after="20"/>
              <w:jc w:val="left"/>
            </w:pPr>
            <w:r>
              <w:rPr>
                <w:rFonts w:cstheme="minorHAnsi"/>
                <w:sz w:val="18"/>
                <w:szCs w:val="18"/>
              </w:rPr>
              <w:t>[ETADateTime]</w:t>
            </w:r>
          </w:p>
        </w:tc>
      </w:tr>
      <w:tr w:rsidR="00672297" w14:paraId="064497C3" w14:textId="77777777">
        <w:trPr>
          <w:cantSplit/>
        </w:trPr>
        <w:tc>
          <w:tcPr>
            <w:tcW w:w="1872" w:type="dxa"/>
            <w:vAlign w:val="center"/>
          </w:tcPr>
          <w:p w14:paraId="079BF74B" w14:textId="77777777" w:rsidR="00672297" w:rsidRDefault="00A16EA3">
            <w:pPr>
              <w:spacing w:before="20" w:after="20"/>
              <w:jc w:val="left"/>
            </w:pPr>
            <w:r>
              <w:rPr>
                <w:rFonts w:cstheme="minorHAnsi"/>
                <w:sz w:val="18"/>
                <w:szCs w:val="18"/>
              </w:rPr>
              <w:t>Certification Date</w:t>
            </w:r>
          </w:p>
        </w:tc>
        <w:tc>
          <w:tcPr>
            <w:tcW w:w="1684" w:type="dxa"/>
            <w:vAlign w:val="center"/>
          </w:tcPr>
          <w:p w14:paraId="056ABFA8" w14:textId="77777777" w:rsidR="00672297" w:rsidRDefault="00A16EA3">
            <w:pPr>
              <w:spacing w:before="20" w:after="20"/>
              <w:jc w:val="left"/>
            </w:pPr>
            <w:r>
              <w:rPr>
                <w:rFonts w:cstheme="minorHAnsi"/>
                <w:sz w:val="18"/>
                <w:szCs w:val="18"/>
              </w:rPr>
              <w:t>APS / LIMS</w:t>
            </w:r>
          </w:p>
        </w:tc>
        <w:tc>
          <w:tcPr>
            <w:tcW w:w="1872" w:type="dxa"/>
            <w:vAlign w:val="center"/>
          </w:tcPr>
          <w:p w14:paraId="6B47477A" w14:textId="77777777" w:rsidR="00672297" w:rsidRDefault="00A16EA3">
            <w:pPr>
              <w:spacing w:before="20" w:after="20"/>
              <w:jc w:val="left"/>
            </w:pPr>
            <w:r>
              <w:rPr>
                <w:rFonts w:cstheme="minorHAnsi"/>
                <w:sz w:val="18"/>
                <w:szCs w:val="18"/>
              </w:rPr>
              <w:t>Timestamp</w:t>
            </w:r>
          </w:p>
        </w:tc>
        <w:tc>
          <w:tcPr>
            <w:tcW w:w="1123" w:type="dxa"/>
            <w:vAlign w:val="center"/>
          </w:tcPr>
          <w:p w14:paraId="288DFD0C" w14:textId="77777777" w:rsidR="00672297" w:rsidRDefault="00A16EA3">
            <w:pPr>
              <w:spacing w:before="20" w:after="20"/>
              <w:jc w:val="left"/>
            </w:pPr>
            <w:r>
              <w:rPr>
                <w:rFonts w:cstheme="minorHAnsi"/>
                <w:sz w:val="18"/>
                <w:szCs w:val="18"/>
              </w:rPr>
              <w:t>Yes-R#1</w:t>
            </w:r>
          </w:p>
        </w:tc>
        <w:tc>
          <w:tcPr>
            <w:tcW w:w="2809" w:type="dxa"/>
            <w:vAlign w:val="center"/>
          </w:tcPr>
          <w:p w14:paraId="6A317439" w14:textId="77777777" w:rsidR="00672297" w:rsidRDefault="00A16EA3">
            <w:pPr>
              <w:spacing w:before="20" w:after="20"/>
              <w:jc w:val="left"/>
            </w:pPr>
            <w:r>
              <w:rPr>
                <w:rFonts w:cstheme="minorHAnsi"/>
                <w:sz w:val="18"/>
                <w:szCs w:val="18"/>
              </w:rPr>
              <w:t>[CertificationDate]</w:t>
            </w:r>
          </w:p>
        </w:tc>
      </w:tr>
      <w:tr w:rsidR="00672297" w14:paraId="11A67D46" w14:textId="77777777">
        <w:trPr>
          <w:cantSplit/>
        </w:trPr>
        <w:tc>
          <w:tcPr>
            <w:tcW w:w="1872" w:type="dxa"/>
            <w:vAlign w:val="center"/>
          </w:tcPr>
          <w:p w14:paraId="107EBA48" w14:textId="77777777" w:rsidR="00672297" w:rsidRDefault="00A16EA3">
            <w:pPr>
              <w:spacing w:before="20" w:after="20"/>
              <w:jc w:val="left"/>
            </w:pPr>
            <w:r>
              <w:rPr>
                <w:rFonts w:cstheme="minorHAnsi"/>
                <w:sz w:val="18"/>
                <w:szCs w:val="18"/>
              </w:rPr>
              <w:t>Certification Status</w:t>
            </w:r>
          </w:p>
        </w:tc>
        <w:tc>
          <w:tcPr>
            <w:tcW w:w="1684" w:type="dxa"/>
            <w:vAlign w:val="center"/>
          </w:tcPr>
          <w:p w14:paraId="68BD1699" w14:textId="77777777" w:rsidR="00672297" w:rsidRDefault="00A16EA3">
            <w:pPr>
              <w:spacing w:before="20" w:after="20"/>
              <w:jc w:val="left"/>
            </w:pPr>
            <w:r>
              <w:rPr>
                <w:rFonts w:cstheme="minorHAnsi"/>
                <w:sz w:val="18"/>
                <w:szCs w:val="18"/>
              </w:rPr>
              <w:t>Derived</w:t>
            </w:r>
          </w:p>
        </w:tc>
        <w:tc>
          <w:tcPr>
            <w:tcW w:w="1872" w:type="dxa"/>
            <w:vAlign w:val="center"/>
          </w:tcPr>
          <w:p w14:paraId="3918DF7F" w14:textId="77777777" w:rsidR="00672297" w:rsidRDefault="00A16EA3">
            <w:pPr>
              <w:spacing w:before="20" w:after="20"/>
              <w:jc w:val="left"/>
            </w:pPr>
            <w:r>
              <w:rPr>
                <w:rFonts w:cstheme="minorHAnsi"/>
                <w:sz w:val="18"/>
                <w:szCs w:val="18"/>
              </w:rPr>
              <w:t>Blend-Transfer validation logic</w:t>
            </w:r>
          </w:p>
        </w:tc>
        <w:tc>
          <w:tcPr>
            <w:tcW w:w="1123" w:type="dxa"/>
            <w:vAlign w:val="center"/>
          </w:tcPr>
          <w:p w14:paraId="0A42E4E8" w14:textId="77777777" w:rsidR="00672297" w:rsidRDefault="00A16EA3">
            <w:pPr>
              <w:spacing w:before="20" w:after="20"/>
              <w:jc w:val="left"/>
            </w:pPr>
            <w:r>
              <w:rPr>
                <w:rFonts w:cstheme="minorHAnsi"/>
                <w:sz w:val="18"/>
                <w:szCs w:val="18"/>
              </w:rPr>
              <w:t>Yes-R#1</w:t>
            </w:r>
          </w:p>
        </w:tc>
        <w:tc>
          <w:tcPr>
            <w:tcW w:w="2809" w:type="dxa"/>
            <w:vAlign w:val="center"/>
          </w:tcPr>
          <w:p w14:paraId="43543C9F" w14:textId="77777777" w:rsidR="00672297" w:rsidRDefault="00A16EA3">
            <w:pPr>
              <w:spacing w:before="20" w:after="20"/>
              <w:jc w:val="left"/>
            </w:pPr>
            <w:r>
              <w:rPr>
                <w:rFonts w:cstheme="minorHAnsi"/>
                <w:sz w:val="18"/>
                <w:szCs w:val="18"/>
              </w:rPr>
              <w:t>[CertificationStatus]</w:t>
            </w:r>
          </w:p>
        </w:tc>
      </w:tr>
      <w:tr w:rsidR="00672297" w14:paraId="0A2339BF" w14:textId="77777777">
        <w:trPr>
          <w:cantSplit/>
        </w:trPr>
        <w:tc>
          <w:tcPr>
            <w:tcW w:w="1872" w:type="dxa"/>
            <w:vAlign w:val="center"/>
          </w:tcPr>
          <w:p w14:paraId="3B20B448" w14:textId="77777777" w:rsidR="00672297" w:rsidRDefault="00A16EA3">
            <w:pPr>
              <w:spacing w:before="20" w:after="20"/>
              <w:jc w:val="left"/>
            </w:pPr>
            <w:r>
              <w:rPr>
                <w:rFonts w:cstheme="minorHAnsi"/>
                <w:sz w:val="18"/>
                <w:szCs w:val="18"/>
              </w:rPr>
              <w:t>Certified qualities (Actual)</w:t>
            </w:r>
          </w:p>
        </w:tc>
        <w:tc>
          <w:tcPr>
            <w:tcW w:w="1684" w:type="dxa"/>
            <w:vAlign w:val="center"/>
          </w:tcPr>
          <w:p w14:paraId="70B0FD6E" w14:textId="77777777" w:rsidR="00672297" w:rsidRDefault="00A16EA3">
            <w:pPr>
              <w:spacing w:before="20" w:after="20"/>
              <w:jc w:val="left"/>
            </w:pPr>
            <w:r>
              <w:rPr>
                <w:rFonts w:cstheme="minorHAnsi"/>
                <w:sz w:val="18"/>
                <w:szCs w:val="18"/>
              </w:rPr>
              <w:t>APS / LIMS</w:t>
            </w:r>
          </w:p>
        </w:tc>
        <w:tc>
          <w:tcPr>
            <w:tcW w:w="1872" w:type="dxa"/>
            <w:vAlign w:val="center"/>
          </w:tcPr>
          <w:p w14:paraId="50F7458B" w14:textId="77777777" w:rsidR="00672297" w:rsidRDefault="00A16EA3">
            <w:pPr>
              <w:spacing w:before="20" w:after="20"/>
              <w:jc w:val="left"/>
            </w:pPr>
            <w:r>
              <w:rPr>
                <w:rFonts w:cstheme="minorHAnsi"/>
                <w:sz w:val="18"/>
                <w:szCs w:val="18"/>
              </w:rPr>
              <w:t>Quality tag values</w:t>
            </w:r>
          </w:p>
        </w:tc>
        <w:tc>
          <w:tcPr>
            <w:tcW w:w="1123" w:type="dxa"/>
            <w:vAlign w:val="center"/>
          </w:tcPr>
          <w:p w14:paraId="3933C495" w14:textId="77777777" w:rsidR="00672297" w:rsidRDefault="00A16EA3">
            <w:pPr>
              <w:spacing w:before="20" w:after="20"/>
              <w:jc w:val="left"/>
            </w:pPr>
            <w:r>
              <w:rPr>
                <w:rFonts w:cstheme="minorHAnsi"/>
                <w:sz w:val="18"/>
                <w:szCs w:val="18"/>
              </w:rPr>
              <w:t>Yes-R#1</w:t>
            </w:r>
          </w:p>
        </w:tc>
        <w:tc>
          <w:tcPr>
            <w:tcW w:w="2809" w:type="dxa"/>
            <w:vAlign w:val="center"/>
          </w:tcPr>
          <w:p w14:paraId="12094EDD" w14:textId="77777777" w:rsidR="00672297" w:rsidRDefault="00A16EA3">
            <w:pPr>
              <w:spacing w:before="20" w:after="20"/>
              <w:jc w:val="left"/>
            </w:pPr>
            <w:r>
              <w:rPr>
                <w:rFonts w:cstheme="minorHAnsi"/>
                <w:sz w:val="18"/>
                <w:szCs w:val="18"/>
              </w:rPr>
              <w:t>[&lt;Property&gt;Actual]</w:t>
            </w:r>
          </w:p>
        </w:tc>
      </w:tr>
      <w:tr w:rsidR="00672297" w14:paraId="29538AD3" w14:textId="77777777">
        <w:trPr>
          <w:cantSplit/>
        </w:trPr>
        <w:tc>
          <w:tcPr>
            <w:tcW w:w="1872" w:type="dxa"/>
            <w:vAlign w:val="center"/>
          </w:tcPr>
          <w:p w14:paraId="046B167A" w14:textId="77777777" w:rsidR="00672297" w:rsidRDefault="00A16EA3">
            <w:pPr>
              <w:spacing w:before="20" w:after="20"/>
              <w:jc w:val="left"/>
            </w:pPr>
            <w:r>
              <w:rPr>
                <w:rFonts w:cstheme="minorHAnsi"/>
                <w:sz w:val="18"/>
                <w:szCs w:val="18"/>
              </w:rPr>
              <w:t>Spec Min / Max</w:t>
            </w:r>
          </w:p>
        </w:tc>
        <w:tc>
          <w:tcPr>
            <w:tcW w:w="1684" w:type="dxa"/>
            <w:vAlign w:val="center"/>
          </w:tcPr>
          <w:p w14:paraId="1B4A01BE" w14:textId="77777777" w:rsidR="00672297" w:rsidRDefault="00A16EA3">
            <w:pPr>
              <w:spacing w:before="20" w:after="20"/>
              <w:jc w:val="left"/>
            </w:pPr>
            <w:r>
              <w:rPr>
                <w:rFonts w:cstheme="minorHAnsi"/>
                <w:sz w:val="18"/>
                <w:szCs w:val="18"/>
              </w:rPr>
              <w:t>PQ Spec Shop</w:t>
            </w:r>
          </w:p>
        </w:tc>
        <w:tc>
          <w:tcPr>
            <w:tcW w:w="1872" w:type="dxa"/>
            <w:vAlign w:val="center"/>
          </w:tcPr>
          <w:p w14:paraId="01318B14" w14:textId="77777777" w:rsidR="00672297" w:rsidRDefault="00A16EA3">
            <w:pPr>
              <w:spacing w:before="20" w:after="20"/>
              <w:jc w:val="left"/>
            </w:pPr>
            <w:r>
              <w:rPr>
                <w:rFonts w:cstheme="minorHAnsi"/>
                <w:sz w:val="18"/>
                <w:szCs w:val="18"/>
              </w:rPr>
              <w:t>Specification rows</w:t>
            </w:r>
          </w:p>
        </w:tc>
        <w:tc>
          <w:tcPr>
            <w:tcW w:w="1123" w:type="dxa"/>
            <w:vAlign w:val="center"/>
          </w:tcPr>
          <w:p w14:paraId="64B12274" w14:textId="77777777" w:rsidR="00672297" w:rsidRDefault="00A16EA3">
            <w:pPr>
              <w:spacing w:before="20" w:after="20"/>
              <w:jc w:val="left"/>
            </w:pPr>
            <w:r>
              <w:rPr>
                <w:rFonts w:cstheme="minorHAnsi"/>
                <w:sz w:val="18"/>
                <w:szCs w:val="18"/>
              </w:rPr>
              <w:t>Yes-R#5</w:t>
            </w:r>
          </w:p>
        </w:tc>
        <w:tc>
          <w:tcPr>
            <w:tcW w:w="2809" w:type="dxa"/>
            <w:vAlign w:val="center"/>
          </w:tcPr>
          <w:p w14:paraId="7A83B213" w14:textId="77777777" w:rsidR="00672297" w:rsidRDefault="00A16EA3">
            <w:pPr>
              <w:spacing w:before="20" w:after="20"/>
              <w:jc w:val="left"/>
            </w:pPr>
            <w:r>
              <w:rPr>
                <w:rFonts w:cstheme="minorHAnsi"/>
                <w:sz w:val="18"/>
                <w:szCs w:val="18"/>
              </w:rPr>
              <w:t>[&lt;Property&gt;Min] / [&lt;Property&gt;Max]</w:t>
            </w:r>
          </w:p>
        </w:tc>
      </w:tr>
    </w:tbl>
    <w:p w14:paraId="05018750" w14:textId="4A2951B1" w:rsidR="00672297" w:rsidRDefault="00A16EA3">
      <w:pPr>
        <w:pStyle w:val="Caption"/>
      </w:pPr>
      <w:bookmarkStart w:id="511" w:name="_Toc900950035"/>
      <w:bookmarkStart w:id="512" w:name="_Toc241574700"/>
      <w:bookmarkStart w:id="513" w:name="_Toc242554084"/>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11</w:t>
      </w:r>
      <w:r>
        <w:fldChar w:fldCharType="end"/>
      </w:r>
      <w:r>
        <w:t>: Refinery-Wide Dashboard Backend Field Mapping</w:t>
      </w:r>
      <w:bookmarkEnd w:id="511"/>
      <w:bookmarkEnd w:id="512"/>
      <w:bookmarkEnd w:id="513"/>
    </w:p>
    <w:p w14:paraId="26B0C68E" w14:textId="77777777" w:rsidR="00672297" w:rsidRDefault="00A16EA3">
      <w:pPr>
        <w:pStyle w:val="Heading4"/>
        <w:rPr>
          <w:rFonts w:asciiTheme="minorHAnsi" w:hAnsiTheme="minorHAnsi" w:cstheme="minorBidi"/>
          <w:sz w:val="20"/>
          <w:szCs w:val="20"/>
        </w:rPr>
      </w:pPr>
      <w:bookmarkStart w:id="514" w:name="_Toc900950036"/>
      <w:r>
        <w:rPr>
          <w:rFonts w:asciiTheme="minorHAnsi" w:hAnsiTheme="minorHAnsi" w:cstheme="minorBidi"/>
          <w:sz w:val="20"/>
          <w:szCs w:val="20"/>
        </w:rPr>
        <w:t>Calculation &amp; Population Logic</w:t>
      </w:r>
      <w:bookmarkEnd w:id="514"/>
    </w:p>
    <w:p w14:paraId="66BDFBCB"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Each _EVENT record of event type 15 generates one Gantt bar and one Event Summary row; split rows of the same batch are summed (chapter 3, DQ-07).</w:t>
      </w:r>
    </w:p>
    <w:p w14:paraId="21717C2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Status: Scheduled, In-Transit or Delivered per the BatchStatus rule of vwRefineryBatchMovementQuality (chapter 3).</w:t>
      </w:r>
    </w:p>
    <w:p w14:paraId="19B4C31B"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Certification Status is the derived result of the IQDM Blend-Transfer validation logic.</w:t>
      </w:r>
    </w:p>
    <w:p w14:paraId="46AD9B9B"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Applicable spec limits are resolved with the two-stage specification resolution and waivers described later in this section.</w:t>
      </w:r>
    </w:p>
    <w:p w14:paraId="0D375703" w14:textId="77777777" w:rsidR="00672297" w:rsidRDefault="00A16EA3">
      <w:pPr>
        <w:pStyle w:val="Heading4"/>
        <w:rPr>
          <w:rFonts w:asciiTheme="minorHAnsi" w:hAnsiTheme="minorHAnsi" w:cstheme="minorBidi"/>
          <w:sz w:val="20"/>
          <w:szCs w:val="20"/>
        </w:rPr>
      </w:pPr>
      <w:bookmarkStart w:id="515" w:name="_Toc900950037"/>
      <w:r>
        <w:rPr>
          <w:rFonts w:asciiTheme="minorHAnsi" w:hAnsiTheme="minorHAnsi" w:cstheme="minorBidi"/>
          <w:sz w:val="20"/>
          <w:szCs w:val="20"/>
        </w:rPr>
        <w:t>Drill-down, Drill-through and Interactions</w:t>
      </w:r>
      <w:bookmarkEnd w:id="515"/>
    </w:p>
    <w:p w14:paraId="1F11CF6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Selecting a bar in the Gantt chart filters the Event Summary Table to the batch; selecting a table row highlights the bar.</w:t>
      </w:r>
    </w:p>
    <w:p w14:paraId="094F716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Drill-through from a Batch ID to the Blending Potential (gasoline) or Distillate dashboard detail with the batch filter kept.</w:t>
      </w:r>
    </w:p>
    <w:p w14:paraId="47BF1A7E" w14:textId="77777777" w:rsidR="00672297" w:rsidRDefault="00A16EA3">
      <w:pPr>
        <w:pStyle w:val="Heading4"/>
        <w:rPr>
          <w:rFonts w:asciiTheme="minorHAnsi" w:hAnsiTheme="minorHAnsi" w:cstheme="minorBidi"/>
          <w:sz w:val="20"/>
          <w:szCs w:val="20"/>
        </w:rPr>
      </w:pPr>
      <w:bookmarkStart w:id="516" w:name="_Toc900950038"/>
      <w:r>
        <w:rPr>
          <w:rFonts w:asciiTheme="minorHAnsi" w:hAnsiTheme="minorHAnsi" w:cstheme="minorBidi"/>
          <w:sz w:val="20"/>
          <w:szCs w:val="20"/>
        </w:rPr>
        <w:t>Connection Details</w:t>
      </w:r>
      <w:bookmarkEnd w:id="516"/>
    </w:p>
    <w:p w14:paraId="096840F3" w14:textId="77777777" w:rsidR="00672297" w:rsidRDefault="00A16EA3">
      <w:pPr>
        <w:rPr>
          <w:rFonts w:cstheme="minorHAnsi"/>
          <w:sz w:val="20"/>
          <w:szCs w:val="20"/>
        </w:rPr>
      </w:pPr>
      <w:r>
        <w:rPr>
          <w:rFonts w:cstheme="minorHAnsi"/>
          <w:sz w:val="20"/>
          <w:szCs w:val="20"/>
        </w:rPr>
        <w:t>Server: com-dev-me2-com-shared-sql.database.windows.net; Database: iqdmdev (DEV) - parameters pServer / pDatabase (Connection Details, above).</w:t>
      </w:r>
    </w:p>
    <w:p w14:paraId="7F905056" w14:textId="77777777" w:rsidR="00672297" w:rsidRDefault="00A16EA3">
      <w:pPr>
        <w:pStyle w:val="Heading4"/>
        <w:rPr>
          <w:rFonts w:asciiTheme="minorHAnsi" w:hAnsiTheme="minorHAnsi" w:cstheme="minorBidi"/>
          <w:sz w:val="20"/>
          <w:szCs w:val="20"/>
        </w:rPr>
      </w:pPr>
      <w:bookmarkStart w:id="517" w:name="_Toc900950039"/>
      <w:r>
        <w:rPr>
          <w:rFonts w:asciiTheme="minorHAnsi" w:hAnsiTheme="minorHAnsi" w:cstheme="minorBidi"/>
          <w:sz w:val="20"/>
          <w:szCs w:val="20"/>
        </w:rPr>
        <w:t>Key Power Query Transformations</w:t>
      </w:r>
      <w:bookmarkEnd w:id="517"/>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20F7A3F3" w14:textId="77777777">
        <w:trPr>
          <w:cantSplit/>
          <w:tblHeader/>
        </w:trPr>
        <w:tc>
          <w:tcPr>
            <w:tcW w:w="2808" w:type="dxa"/>
            <w:shd w:val="clear" w:color="auto" w:fill="2F5496"/>
            <w:vAlign w:val="center"/>
          </w:tcPr>
          <w:p w14:paraId="5E66FDEF" w14:textId="77777777" w:rsidR="00672297" w:rsidRDefault="00A16EA3">
            <w:pPr>
              <w:spacing w:before="20" w:after="20"/>
              <w:jc w:val="left"/>
            </w:pPr>
            <w:r>
              <w:rPr>
                <w:rFonts w:cstheme="minorHAnsi"/>
                <w:b/>
                <w:bCs/>
                <w:color w:val="FFFFFF"/>
                <w:sz w:val="20"/>
                <w:szCs w:val="20"/>
              </w:rPr>
              <w:t>Table Name</w:t>
            </w:r>
          </w:p>
        </w:tc>
        <w:tc>
          <w:tcPr>
            <w:tcW w:w="6552" w:type="dxa"/>
            <w:shd w:val="clear" w:color="auto" w:fill="2F5496"/>
            <w:vAlign w:val="center"/>
          </w:tcPr>
          <w:p w14:paraId="30289C0E" w14:textId="77777777" w:rsidR="00672297" w:rsidRDefault="00A16EA3">
            <w:pPr>
              <w:spacing w:before="20" w:after="20"/>
              <w:jc w:val="left"/>
            </w:pPr>
            <w:r>
              <w:rPr>
                <w:rFonts w:cstheme="minorHAnsi"/>
                <w:b/>
                <w:bCs/>
                <w:color w:val="FFFFFF"/>
                <w:sz w:val="20"/>
                <w:szCs w:val="20"/>
              </w:rPr>
              <w:t>Transformations Applied</w:t>
            </w:r>
          </w:p>
        </w:tc>
      </w:tr>
      <w:tr w:rsidR="00672297" w14:paraId="657C7BD0" w14:textId="77777777">
        <w:trPr>
          <w:cantSplit/>
        </w:trPr>
        <w:tc>
          <w:tcPr>
            <w:tcW w:w="2808" w:type="dxa"/>
            <w:vAlign w:val="center"/>
          </w:tcPr>
          <w:p w14:paraId="5759531B" w14:textId="77777777" w:rsidR="00672297" w:rsidRDefault="00A16EA3">
            <w:pPr>
              <w:spacing w:before="20" w:after="20"/>
              <w:jc w:val="left"/>
            </w:pPr>
            <w:r>
              <w:rPr>
                <w:rFonts w:cstheme="minorHAnsi"/>
                <w:sz w:val="20"/>
                <w:szCs w:val="20"/>
              </w:rPr>
              <w:t>vwRefineryBatchMovementQuality</w:t>
            </w:r>
          </w:p>
        </w:tc>
        <w:tc>
          <w:tcPr>
            <w:tcW w:w="6552" w:type="dxa"/>
            <w:vAlign w:val="center"/>
          </w:tcPr>
          <w:p w14:paraId="18D604A2" w14:textId="77777777" w:rsidR="00672297" w:rsidRDefault="00A16EA3">
            <w:pPr>
              <w:spacing w:before="20" w:after="20"/>
              <w:jc w:val="left"/>
            </w:pPr>
            <w:r>
              <w:rPr>
                <w:rFonts w:cstheme="minorHAnsi"/>
                <w:sz w:val="20"/>
                <w:szCs w:val="20"/>
              </w:rPr>
              <w:t>Columns renamed to the wireframe display names (Batch ID, Status, Origin, Origin Tank, Destination, Destination Tank, Grade, Volume(bbl), MOT, Start Time, Certification Date, ETA, &lt;Property&gt; Min / Actual / Max); data types set</w:t>
            </w:r>
          </w:p>
        </w:tc>
      </w:tr>
    </w:tbl>
    <w:p w14:paraId="73A6C6E8" w14:textId="0339AE5E" w:rsidR="00672297" w:rsidRDefault="00A16EA3">
      <w:pPr>
        <w:pStyle w:val="Caption"/>
      </w:pPr>
      <w:bookmarkStart w:id="518" w:name="_Toc900950040"/>
      <w:bookmarkStart w:id="519" w:name="_Toc241574701"/>
      <w:bookmarkStart w:id="520" w:name="_Toc242554085"/>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12</w:t>
      </w:r>
      <w:r>
        <w:fldChar w:fldCharType="end"/>
      </w:r>
      <w:r>
        <w:t>: Refinery-Wide Dashboard Power Query Transformations</w:t>
      </w:r>
      <w:bookmarkEnd w:id="518"/>
      <w:bookmarkEnd w:id="519"/>
      <w:bookmarkEnd w:id="520"/>
    </w:p>
    <w:p w14:paraId="6029A525" w14:textId="77777777" w:rsidR="00672297" w:rsidRDefault="00A16EA3">
      <w:pPr>
        <w:pStyle w:val="Heading4"/>
        <w:rPr>
          <w:rFonts w:asciiTheme="minorHAnsi" w:hAnsiTheme="minorHAnsi" w:cstheme="minorBidi"/>
          <w:sz w:val="20"/>
          <w:szCs w:val="20"/>
        </w:rPr>
      </w:pPr>
      <w:bookmarkStart w:id="521" w:name="_Toc900950041"/>
      <w:r>
        <w:rPr>
          <w:rFonts w:asciiTheme="minorHAnsi" w:hAnsiTheme="minorHAnsi" w:cstheme="minorBidi"/>
          <w:sz w:val="20"/>
          <w:szCs w:val="20"/>
        </w:rPr>
        <w:t>Data Model Design</w:t>
      </w:r>
      <w:bookmarkEnd w:id="521"/>
    </w:p>
    <w:p w14:paraId="38B167D0" w14:textId="77777777" w:rsidR="00672297" w:rsidRDefault="00A16EA3">
      <w:pPr>
        <w:rPr>
          <w:rFonts w:cstheme="minorHAnsi"/>
          <w:sz w:val="20"/>
          <w:szCs w:val="20"/>
        </w:rPr>
      </w:pPr>
      <w:r>
        <w:rPr>
          <w:rFonts w:cstheme="minorHAnsi"/>
          <w:sz w:val="20"/>
          <w:szCs w:val="20"/>
        </w:rPr>
        <w:t>Model type: star schema (Figure 4-2). The report uses vwRefineryBatchMovementQuality, day_detail and Last_Refresh.</w:t>
      </w:r>
    </w:p>
    <w:p w14:paraId="08E87B92" w14:textId="77777777" w:rsidR="00672297" w:rsidRDefault="00A16EA3">
      <w:pPr>
        <w:pStyle w:val="Heading4"/>
        <w:rPr>
          <w:rFonts w:asciiTheme="minorHAnsi" w:hAnsiTheme="minorHAnsi" w:cstheme="minorBidi"/>
          <w:sz w:val="20"/>
          <w:szCs w:val="20"/>
        </w:rPr>
      </w:pPr>
      <w:bookmarkStart w:id="522" w:name="_Toc900950042"/>
      <w:r>
        <w:rPr>
          <w:rFonts w:asciiTheme="minorHAnsi" w:hAnsiTheme="minorHAnsi" w:cstheme="minorBidi"/>
          <w:sz w:val="20"/>
          <w:szCs w:val="20"/>
        </w:rPr>
        <w:t>Tables / Views Loaded and Data Sources</w:t>
      </w:r>
      <w:bookmarkEnd w:id="522"/>
    </w:p>
    <w:tbl>
      <w:tblPr>
        <w:tblStyle w:val="TableGrid"/>
        <w:tblW w:w="9360" w:type="dxa"/>
        <w:tblLayout w:type="fixed"/>
        <w:tblCellMar>
          <w:left w:w="70" w:type="dxa"/>
          <w:right w:w="70" w:type="dxa"/>
        </w:tblCellMar>
        <w:tblLook w:val="04A0" w:firstRow="1" w:lastRow="0" w:firstColumn="1" w:lastColumn="0" w:noHBand="0" w:noVBand="1"/>
      </w:tblPr>
      <w:tblGrid>
        <w:gridCol w:w="2808"/>
        <w:gridCol w:w="1123"/>
        <w:gridCol w:w="2433"/>
        <w:gridCol w:w="2996"/>
      </w:tblGrid>
      <w:tr w:rsidR="00672297" w14:paraId="7FA1795D" w14:textId="77777777">
        <w:trPr>
          <w:cantSplit/>
          <w:tblHeader/>
        </w:trPr>
        <w:tc>
          <w:tcPr>
            <w:tcW w:w="2808" w:type="dxa"/>
            <w:shd w:val="clear" w:color="auto" w:fill="2F5496"/>
            <w:vAlign w:val="center"/>
          </w:tcPr>
          <w:p w14:paraId="59D93DD2" w14:textId="77777777" w:rsidR="00672297" w:rsidRDefault="00A16EA3">
            <w:pPr>
              <w:spacing w:before="20" w:after="20"/>
              <w:jc w:val="left"/>
            </w:pPr>
            <w:r>
              <w:rPr>
                <w:rFonts w:cstheme="minorHAnsi"/>
                <w:b/>
                <w:bCs/>
                <w:color w:val="FFFFFF"/>
                <w:sz w:val="20"/>
                <w:szCs w:val="20"/>
              </w:rPr>
              <w:t>Table / View Name</w:t>
            </w:r>
          </w:p>
        </w:tc>
        <w:tc>
          <w:tcPr>
            <w:tcW w:w="1123" w:type="dxa"/>
            <w:shd w:val="clear" w:color="auto" w:fill="2F5496"/>
            <w:vAlign w:val="center"/>
          </w:tcPr>
          <w:p w14:paraId="7E257A73" w14:textId="77777777" w:rsidR="00672297" w:rsidRDefault="00A16EA3">
            <w:pPr>
              <w:spacing w:before="20" w:after="20"/>
              <w:jc w:val="left"/>
            </w:pPr>
            <w:r>
              <w:rPr>
                <w:rFonts w:cstheme="minorHAnsi"/>
                <w:b/>
                <w:bCs/>
                <w:color w:val="FFFFFF"/>
                <w:sz w:val="20"/>
                <w:szCs w:val="20"/>
              </w:rPr>
              <w:t>Type</w:t>
            </w:r>
          </w:p>
        </w:tc>
        <w:tc>
          <w:tcPr>
            <w:tcW w:w="2433" w:type="dxa"/>
            <w:shd w:val="clear" w:color="auto" w:fill="2F5496"/>
            <w:vAlign w:val="center"/>
          </w:tcPr>
          <w:p w14:paraId="7ED793D2" w14:textId="77777777" w:rsidR="00672297" w:rsidRDefault="00A16EA3">
            <w:pPr>
              <w:spacing w:before="20" w:after="20"/>
              <w:jc w:val="left"/>
            </w:pPr>
            <w:r>
              <w:rPr>
                <w:rFonts w:cstheme="minorHAnsi"/>
                <w:b/>
                <w:bCs/>
                <w:color w:val="FFFFFF"/>
                <w:sz w:val="20"/>
                <w:szCs w:val="20"/>
              </w:rPr>
              <w:t>Source</w:t>
            </w:r>
          </w:p>
        </w:tc>
        <w:tc>
          <w:tcPr>
            <w:tcW w:w="2996" w:type="dxa"/>
            <w:shd w:val="clear" w:color="auto" w:fill="2F5496"/>
            <w:vAlign w:val="center"/>
          </w:tcPr>
          <w:p w14:paraId="2F4EDDD8" w14:textId="77777777" w:rsidR="00672297" w:rsidRDefault="00A16EA3">
            <w:pPr>
              <w:spacing w:before="20" w:after="20"/>
              <w:jc w:val="left"/>
            </w:pPr>
            <w:r>
              <w:rPr>
                <w:rFonts w:cstheme="minorHAnsi"/>
                <w:b/>
                <w:bCs/>
                <w:color w:val="FFFFFF"/>
                <w:sz w:val="20"/>
                <w:szCs w:val="20"/>
              </w:rPr>
              <w:t>Description</w:t>
            </w:r>
          </w:p>
        </w:tc>
      </w:tr>
      <w:tr w:rsidR="00672297" w14:paraId="0777651A" w14:textId="77777777">
        <w:trPr>
          <w:cantSplit/>
        </w:trPr>
        <w:tc>
          <w:tcPr>
            <w:tcW w:w="2808" w:type="dxa"/>
            <w:vAlign w:val="center"/>
          </w:tcPr>
          <w:p w14:paraId="70B9D314" w14:textId="77777777" w:rsidR="00672297" w:rsidRDefault="00A16EA3">
            <w:pPr>
              <w:spacing w:before="20" w:after="20"/>
              <w:jc w:val="left"/>
            </w:pPr>
            <w:r>
              <w:rPr>
                <w:rFonts w:cstheme="minorHAnsi"/>
                <w:sz w:val="20"/>
                <w:szCs w:val="20"/>
              </w:rPr>
              <w:t>vwRefineryBatchMovementQuality</w:t>
            </w:r>
          </w:p>
        </w:tc>
        <w:tc>
          <w:tcPr>
            <w:tcW w:w="1123" w:type="dxa"/>
            <w:vAlign w:val="center"/>
          </w:tcPr>
          <w:p w14:paraId="23E38E7E" w14:textId="77777777" w:rsidR="00672297" w:rsidRDefault="00A16EA3">
            <w:pPr>
              <w:spacing w:before="20" w:after="20"/>
              <w:jc w:val="left"/>
            </w:pPr>
            <w:r>
              <w:rPr>
                <w:rFonts w:cstheme="minorHAnsi"/>
                <w:sz w:val="20"/>
                <w:szCs w:val="20"/>
              </w:rPr>
              <w:t>Transaction</w:t>
            </w:r>
          </w:p>
        </w:tc>
        <w:tc>
          <w:tcPr>
            <w:tcW w:w="2433" w:type="dxa"/>
            <w:vAlign w:val="center"/>
          </w:tcPr>
          <w:p w14:paraId="6BDE44B9" w14:textId="77777777" w:rsidR="00672297" w:rsidRDefault="00A16EA3">
            <w:pPr>
              <w:spacing w:before="20" w:after="20"/>
              <w:jc w:val="left"/>
            </w:pPr>
            <w:r>
              <w:rPr>
                <w:rFonts w:cstheme="minorHAnsi"/>
                <w:sz w:val="20"/>
                <w:szCs w:val="20"/>
              </w:rPr>
              <w:t>IQDM database - VCB view (chapter 3)</w:t>
            </w:r>
          </w:p>
        </w:tc>
        <w:tc>
          <w:tcPr>
            <w:tcW w:w="2996" w:type="dxa"/>
            <w:vAlign w:val="center"/>
          </w:tcPr>
          <w:p w14:paraId="48FF5BF3" w14:textId="77777777" w:rsidR="00672297" w:rsidRDefault="00A16EA3">
            <w:pPr>
              <w:spacing w:before="20" w:after="20"/>
              <w:jc w:val="left"/>
            </w:pPr>
            <w:r>
              <w:rPr>
                <w:rFonts w:cstheme="minorHAnsi"/>
                <w:sz w:val="20"/>
                <w:szCs w:val="20"/>
              </w:rPr>
              <w:t>Batch movement and certified quality; builds the Gantt chart, the Event Summary Table and the slicers</w:t>
            </w:r>
          </w:p>
        </w:tc>
      </w:tr>
      <w:tr w:rsidR="00672297" w14:paraId="6420A952" w14:textId="77777777">
        <w:trPr>
          <w:cantSplit/>
        </w:trPr>
        <w:tc>
          <w:tcPr>
            <w:tcW w:w="2808" w:type="dxa"/>
            <w:vAlign w:val="center"/>
          </w:tcPr>
          <w:p w14:paraId="0A6E5889" w14:textId="77777777" w:rsidR="00672297" w:rsidRDefault="00A16EA3">
            <w:pPr>
              <w:spacing w:before="20" w:after="20"/>
              <w:jc w:val="left"/>
            </w:pPr>
            <w:r>
              <w:rPr>
                <w:rFonts w:cstheme="minorHAnsi"/>
                <w:sz w:val="20"/>
                <w:szCs w:val="20"/>
              </w:rPr>
              <w:t>day_detail</w:t>
            </w:r>
          </w:p>
        </w:tc>
        <w:tc>
          <w:tcPr>
            <w:tcW w:w="1123" w:type="dxa"/>
            <w:vAlign w:val="center"/>
          </w:tcPr>
          <w:p w14:paraId="46473B30" w14:textId="77777777" w:rsidR="00672297" w:rsidRDefault="00A16EA3">
            <w:pPr>
              <w:spacing w:before="20" w:after="20"/>
              <w:jc w:val="left"/>
            </w:pPr>
            <w:r>
              <w:rPr>
                <w:rFonts w:cstheme="minorHAnsi"/>
                <w:sz w:val="20"/>
                <w:szCs w:val="20"/>
              </w:rPr>
              <w:t>Reference</w:t>
            </w:r>
          </w:p>
        </w:tc>
        <w:tc>
          <w:tcPr>
            <w:tcW w:w="2433" w:type="dxa"/>
            <w:vAlign w:val="center"/>
          </w:tcPr>
          <w:p w14:paraId="35B67BDA" w14:textId="77777777" w:rsidR="00672297" w:rsidRDefault="00A16EA3">
            <w:pPr>
              <w:spacing w:before="20" w:after="20"/>
              <w:jc w:val="left"/>
            </w:pPr>
            <w:r>
              <w:rPr>
                <w:rFonts w:cstheme="minorHAnsi"/>
                <w:sz w:val="20"/>
                <w:szCs w:val="20"/>
              </w:rPr>
              <w:t>IQDM database</w:t>
            </w:r>
          </w:p>
        </w:tc>
        <w:tc>
          <w:tcPr>
            <w:tcW w:w="2996" w:type="dxa"/>
            <w:vAlign w:val="center"/>
          </w:tcPr>
          <w:p w14:paraId="34BA24C0" w14:textId="77777777" w:rsidR="00672297" w:rsidRDefault="00A16EA3">
            <w:pPr>
              <w:spacing w:before="20" w:after="20"/>
              <w:jc w:val="left"/>
            </w:pPr>
            <w:r>
              <w:rPr>
                <w:rFonts w:cstheme="minorHAnsi"/>
                <w:sz w:val="20"/>
                <w:szCs w:val="20"/>
              </w:rPr>
              <w:t>Calendar attributes</w:t>
            </w:r>
          </w:p>
        </w:tc>
      </w:tr>
      <w:tr w:rsidR="00672297" w14:paraId="3C6D4D9E" w14:textId="77777777">
        <w:trPr>
          <w:cantSplit/>
        </w:trPr>
        <w:tc>
          <w:tcPr>
            <w:tcW w:w="2808" w:type="dxa"/>
            <w:vAlign w:val="center"/>
          </w:tcPr>
          <w:p w14:paraId="540CAB3E" w14:textId="77777777" w:rsidR="00672297" w:rsidRDefault="00A16EA3">
            <w:pPr>
              <w:spacing w:before="20" w:after="20"/>
              <w:jc w:val="left"/>
            </w:pPr>
            <w:r>
              <w:rPr>
                <w:rFonts w:cstheme="minorHAnsi"/>
                <w:sz w:val="20"/>
                <w:szCs w:val="20"/>
              </w:rPr>
              <w:t>Last_Refresh</w:t>
            </w:r>
          </w:p>
        </w:tc>
        <w:tc>
          <w:tcPr>
            <w:tcW w:w="1123" w:type="dxa"/>
            <w:vAlign w:val="center"/>
          </w:tcPr>
          <w:p w14:paraId="05125E6A" w14:textId="77777777" w:rsidR="00672297" w:rsidRDefault="00A16EA3">
            <w:pPr>
              <w:spacing w:before="20" w:after="20"/>
              <w:jc w:val="left"/>
            </w:pPr>
            <w:r>
              <w:rPr>
                <w:rFonts w:cstheme="minorHAnsi"/>
                <w:sz w:val="20"/>
                <w:szCs w:val="20"/>
              </w:rPr>
              <w:t>Parameter</w:t>
            </w:r>
          </w:p>
        </w:tc>
        <w:tc>
          <w:tcPr>
            <w:tcW w:w="2433" w:type="dxa"/>
            <w:vAlign w:val="center"/>
          </w:tcPr>
          <w:p w14:paraId="2CBCC9C6" w14:textId="77777777" w:rsidR="00672297" w:rsidRDefault="00A16EA3">
            <w:pPr>
              <w:spacing w:before="20" w:after="20"/>
              <w:jc w:val="left"/>
            </w:pPr>
            <w:r>
              <w:rPr>
                <w:rFonts w:cstheme="minorHAnsi"/>
                <w:sz w:val="20"/>
                <w:szCs w:val="20"/>
              </w:rPr>
              <w:t>Power Query</w:t>
            </w:r>
          </w:p>
        </w:tc>
        <w:tc>
          <w:tcPr>
            <w:tcW w:w="2996" w:type="dxa"/>
            <w:vAlign w:val="center"/>
          </w:tcPr>
          <w:p w14:paraId="61956C6C" w14:textId="77777777" w:rsidR="00672297" w:rsidRDefault="00A16EA3">
            <w:pPr>
              <w:spacing w:before="20" w:after="20"/>
              <w:jc w:val="left"/>
            </w:pPr>
            <w:r>
              <w:rPr>
                <w:rFonts w:cstheme="minorHAnsi"/>
                <w:sz w:val="20"/>
                <w:szCs w:val="20"/>
              </w:rPr>
              <w:t>Last refresh timestamp</w:t>
            </w:r>
          </w:p>
        </w:tc>
      </w:tr>
    </w:tbl>
    <w:p w14:paraId="48476CD5" w14:textId="7A6B00DF" w:rsidR="00672297" w:rsidRDefault="00A16EA3">
      <w:pPr>
        <w:pStyle w:val="Caption"/>
      </w:pPr>
      <w:bookmarkStart w:id="523" w:name="_Toc900950043"/>
      <w:bookmarkStart w:id="524" w:name="_Toc241574702"/>
      <w:bookmarkStart w:id="525" w:name="_Toc242554086"/>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13</w:t>
      </w:r>
      <w:r>
        <w:fldChar w:fldCharType="end"/>
      </w:r>
      <w:r>
        <w:t>: Refinery-Wide Dashboard Tables / Views Loaded in Power BI</w:t>
      </w:r>
      <w:bookmarkEnd w:id="523"/>
      <w:bookmarkEnd w:id="524"/>
      <w:bookmarkEnd w:id="525"/>
    </w:p>
    <w:p w14:paraId="7726F753" w14:textId="77777777" w:rsidR="00672297" w:rsidRDefault="00A16EA3">
      <w:pPr>
        <w:pStyle w:val="Heading4"/>
        <w:rPr>
          <w:rFonts w:asciiTheme="minorHAnsi" w:hAnsiTheme="minorHAnsi" w:cstheme="minorBidi"/>
          <w:sz w:val="20"/>
          <w:szCs w:val="20"/>
        </w:rPr>
      </w:pPr>
      <w:bookmarkStart w:id="526" w:name="_Toc900950044"/>
      <w:r>
        <w:rPr>
          <w:rFonts w:asciiTheme="minorHAnsi" w:hAnsiTheme="minorHAnsi" w:cstheme="minorBidi"/>
          <w:sz w:val="20"/>
          <w:szCs w:val="20"/>
        </w:rPr>
        <w:t>Relationships</w:t>
      </w:r>
      <w:bookmarkEnd w:id="526"/>
    </w:p>
    <w:tbl>
      <w:tblPr>
        <w:tblStyle w:val="TableGrid"/>
        <w:tblW w:w="9360" w:type="dxa"/>
        <w:tblLayout w:type="fixed"/>
        <w:tblCellMar>
          <w:left w:w="70" w:type="dxa"/>
          <w:right w:w="70" w:type="dxa"/>
        </w:tblCellMar>
        <w:tblLook w:val="04A0" w:firstRow="1" w:lastRow="0" w:firstColumn="1" w:lastColumn="0" w:noHBand="0" w:noVBand="1"/>
      </w:tblPr>
      <w:tblGrid>
        <w:gridCol w:w="2620"/>
        <w:gridCol w:w="2246"/>
        <w:gridCol w:w="1497"/>
        <w:gridCol w:w="1872"/>
        <w:gridCol w:w="1125"/>
      </w:tblGrid>
      <w:tr w:rsidR="00672297" w14:paraId="58464110" w14:textId="77777777">
        <w:trPr>
          <w:cantSplit/>
          <w:tblHeader/>
        </w:trPr>
        <w:tc>
          <w:tcPr>
            <w:tcW w:w="2620" w:type="dxa"/>
            <w:shd w:val="clear" w:color="auto" w:fill="2F5496"/>
            <w:vAlign w:val="center"/>
          </w:tcPr>
          <w:p w14:paraId="2CEB2417" w14:textId="77777777" w:rsidR="00672297" w:rsidRDefault="00A16EA3">
            <w:pPr>
              <w:spacing w:before="20" w:after="20"/>
              <w:jc w:val="left"/>
            </w:pPr>
            <w:r>
              <w:rPr>
                <w:rFonts w:cstheme="minorHAnsi"/>
                <w:b/>
                <w:bCs/>
                <w:color w:val="FFFFFF"/>
                <w:sz w:val="18"/>
                <w:szCs w:val="18"/>
              </w:rPr>
              <w:t>From Table</w:t>
            </w:r>
          </w:p>
        </w:tc>
        <w:tc>
          <w:tcPr>
            <w:tcW w:w="2246" w:type="dxa"/>
            <w:shd w:val="clear" w:color="auto" w:fill="2F5496"/>
            <w:vAlign w:val="center"/>
          </w:tcPr>
          <w:p w14:paraId="53D4406D" w14:textId="77777777" w:rsidR="00672297" w:rsidRDefault="00A16EA3">
            <w:pPr>
              <w:spacing w:before="20" w:after="20"/>
              <w:jc w:val="left"/>
            </w:pPr>
            <w:r>
              <w:rPr>
                <w:rFonts w:cstheme="minorHAnsi"/>
                <w:b/>
                <w:bCs/>
                <w:color w:val="FFFFFF"/>
                <w:sz w:val="18"/>
                <w:szCs w:val="18"/>
              </w:rPr>
              <w:t>Column</w:t>
            </w:r>
          </w:p>
        </w:tc>
        <w:tc>
          <w:tcPr>
            <w:tcW w:w="1497" w:type="dxa"/>
            <w:shd w:val="clear" w:color="auto" w:fill="2F5496"/>
            <w:vAlign w:val="center"/>
          </w:tcPr>
          <w:p w14:paraId="10B866AC" w14:textId="77777777" w:rsidR="00672297" w:rsidRDefault="00A16EA3">
            <w:pPr>
              <w:spacing w:before="20" w:after="20"/>
              <w:jc w:val="left"/>
            </w:pPr>
            <w:r>
              <w:rPr>
                <w:rFonts w:cstheme="minorHAnsi"/>
                <w:b/>
                <w:bCs/>
                <w:color w:val="FFFFFF"/>
                <w:sz w:val="18"/>
                <w:szCs w:val="18"/>
              </w:rPr>
              <w:t>To Table</w:t>
            </w:r>
          </w:p>
        </w:tc>
        <w:tc>
          <w:tcPr>
            <w:tcW w:w="1872" w:type="dxa"/>
            <w:shd w:val="clear" w:color="auto" w:fill="2F5496"/>
            <w:vAlign w:val="center"/>
          </w:tcPr>
          <w:p w14:paraId="0D479C7E" w14:textId="77777777" w:rsidR="00672297" w:rsidRDefault="00A16EA3">
            <w:pPr>
              <w:spacing w:before="20" w:after="20"/>
              <w:jc w:val="left"/>
            </w:pPr>
            <w:r>
              <w:rPr>
                <w:rFonts w:cstheme="minorHAnsi"/>
                <w:b/>
                <w:bCs/>
                <w:color w:val="FFFFFF"/>
                <w:sz w:val="18"/>
                <w:szCs w:val="18"/>
              </w:rPr>
              <w:t>Column</w:t>
            </w:r>
          </w:p>
        </w:tc>
        <w:tc>
          <w:tcPr>
            <w:tcW w:w="1125" w:type="dxa"/>
            <w:shd w:val="clear" w:color="auto" w:fill="2F5496"/>
            <w:vAlign w:val="center"/>
          </w:tcPr>
          <w:p w14:paraId="0F4B569B" w14:textId="77777777" w:rsidR="00672297" w:rsidRDefault="00A16EA3">
            <w:pPr>
              <w:spacing w:before="20" w:after="20"/>
              <w:jc w:val="left"/>
            </w:pPr>
            <w:r>
              <w:rPr>
                <w:rFonts w:cstheme="minorHAnsi"/>
                <w:b/>
                <w:bCs/>
                <w:color w:val="FFFFFF"/>
                <w:sz w:val="18"/>
                <w:szCs w:val="18"/>
              </w:rPr>
              <w:t>Cardinality</w:t>
            </w:r>
          </w:p>
        </w:tc>
      </w:tr>
      <w:tr w:rsidR="00672297" w14:paraId="44B2CAE4" w14:textId="77777777">
        <w:trPr>
          <w:cantSplit/>
        </w:trPr>
        <w:tc>
          <w:tcPr>
            <w:tcW w:w="2620" w:type="dxa"/>
            <w:vAlign w:val="center"/>
          </w:tcPr>
          <w:p w14:paraId="1A3AEAF7" w14:textId="77777777" w:rsidR="00672297" w:rsidRDefault="00A16EA3">
            <w:pPr>
              <w:spacing w:before="20" w:after="20"/>
              <w:jc w:val="left"/>
            </w:pPr>
            <w:r>
              <w:rPr>
                <w:rFonts w:cstheme="minorHAnsi"/>
                <w:sz w:val="18"/>
                <w:szCs w:val="18"/>
              </w:rPr>
              <w:t>vwRefineryBatchMovementQuality</w:t>
            </w:r>
          </w:p>
        </w:tc>
        <w:tc>
          <w:tcPr>
            <w:tcW w:w="2246" w:type="dxa"/>
            <w:vAlign w:val="center"/>
          </w:tcPr>
          <w:p w14:paraId="6154CBA3" w14:textId="77777777" w:rsidR="00672297" w:rsidRDefault="00A16EA3">
            <w:pPr>
              <w:spacing w:before="20" w:after="20"/>
              <w:jc w:val="left"/>
            </w:pPr>
            <w:r>
              <w:rPr>
                <w:rFonts w:cstheme="minorHAnsi"/>
                <w:sz w:val="18"/>
                <w:szCs w:val="18"/>
              </w:rPr>
              <w:t>StartDate</w:t>
            </w:r>
          </w:p>
        </w:tc>
        <w:tc>
          <w:tcPr>
            <w:tcW w:w="1497" w:type="dxa"/>
            <w:vAlign w:val="center"/>
          </w:tcPr>
          <w:p w14:paraId="0D15181D" w14:textId="77777777" w:rsidR="00672297" w:rsidRDefault="00A16EA3">
            <w:pPr>
              <w:spacing w:before="20" w:after="20"/>
              <w:jc w:val="left"/>
            </w:pPr>
            <w:r>
              <w:rPr>
                <w:rFonts w:cstheme="minorHAnsi"/>
                <w:sz w:val="18"/>
                <w:szCs w:val="18"/>
              </w:rPr>
              <w:t>day_detail</w:t>
            </w:r>
          </w:p>
        </w:tc>
        <w:tc>
          <w:tcPr>
            <w:tcW w:w="1872" w:type="dxa"/>
            <w:vAlign w:val="center"/>
          </w:tcPr>
          <w:p w14:paraId="7D4AD996" w14:textId="77777777" w:rsidR="00672297" w:rsidRDefault="00A16EA3">
            <w:pPr>
              <w:spacing w:before="20" w:after="20"/>
              <w:jc w:val="left"/>
            </w:pPr>
            <w:r>
              <w:rPr>
                <w:rFonts w:cstheme="minorHAnsi"/>
                <w:sz w:val="18"/>
                <w:szCs w:val="18"/>
              </w:rPr>
              <w:t>W_Date</w:t>
            </w:r>
          </w:p>
        </w:tc>
        <w:tc>
          <w:tcPr>
            <w:tcW w:w="1125" w:type="dxa"/>
            <w:vAlign w:val="center"/>
          </w:tcPr>
          <w:p w14:paraId="3B8A5384" w14:textId="77777777" w:rsidR="00672297" w:rsidRDefault="00A16EA3">
            <w:pPr>
              <w:spacing w:before="20" w:after="20"/>
              <w:jc w:val="left"/>
            </w:pPr>
            <w:r>
              <w:rPr>
                <w:rFonts w:cstheme="minorHAnsi"/>
                <w:sz w:val="18"/>
                <w:szCs w:val="18"/>
              </w:rPr>
              <w:t>Many-to-One</w:t>
            </w:r>
          </w:p>
        </w:tc>
      </w:tr>
    </w:tbl>
    <w:p w14:paraId="1A1E61CD" w14:textId="1106DD4A" w:rsidR="00672297" w:rsidRDefault="00A16EA3">
      <w:pPr>
        <w:pStyle w:val="Caption"/>
      </w:pPr>
      <w:bookmarkStart w:id="527" w:name="_Toc900950045"/>
      <w:bookmarkStart w:id="528" w:name="_Toc241574703"/>
      <w:bookmarkStart w:id="529" w:name="_Toc242554087"/>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14</w:t>
      </w:r>
      <w:r>
        <w:fldChar w:fldCharType="end"/>
      </w:r>
      <w:r>
        <w:t>: Refinery-Wide Dashboard Relationships between Tables / Views in Power BI</w:t>
      </w:r>
      <w:bookmarkEnd w:id="527"/>
      <w:bookmarkEnd w:id="528"/>
      <w:bookmarkEnd w:id="529"/>
    </w:p>
    <w:p w14:paraId="1A9AA834" w14:textId="77777777" w:rsidR="00672297" w:rsidRDefault="00A16EA3">
      <w:pPr>
        <w:pStyle w:val="Heading4"/>
        <w:rPr>
          <w:rFonts w:asciiTheme="minorHAnsi" w:hAnsiTheme="minorHAnsi" w:cstheme="minorBidi"/>
          <w:sz w:val="20"/>
          <w:szCs w:val="20"/>
        </w:rPr>
      </w:pPr>
      <w:bookmarkStart w:id="530" w:name="_Toc900950046"/>
      <w:r>
        <w:rPr>
          <w:rFonts w:asciiTheme="minorHAnsi" w:hAnsiTheme="minorHAnsi" w:cstheme="minorBidi"/>
          <w:sz w:val="20"/>
          <w:szCs w:val="20"/>
        </w:rPr>
        <w:t>Measures &amp; DAX Calculations</w:t>
      </w:r>
      <w:bookmarkEnd w:id="530"/>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327E3E52" w14:textId="77777777">
        <w:trPr>
          <w:cantSplit/>
          <w:tblHeader/>
        </w:trPr>
        <w:tc>
          <w:tcPr>
            <w:tcW w:w="2808" w:type="dxa"/>
            <w:shd w:val="clear" w:color="auto" w:fill="2F5496"/>
            <w:vAlign w:val="center"/>
          </w:tcPr>
          <w:p w14:paraId="3A33853E" w14:textId="77777777" w:rsidR="00672297" w:rsidRDefault="00A16EA3">
            <w:pPr>
              <w:spacing w:before="20" w:after="20"/>
              <w:jc w:val="left"/>
            </w:pPr>
            <w:r>
              <w:rPr>
                <w:rFonts w:cstheme="minorHAnsi"/>
                <w:b/>
                <w:bCs/>
                <w:color w:val="FFFFFF"/>
                <w:sz w:val="20"/>
                <w:szCs w:val="20"/>
              </w:rPr>
              <w:t>Measure Name</w:t>
            </w:r>
          </w:p>
        </w:tc>
        <w:tc>
          <w:tcPr>
            <w:tcW w:w="6552" w:type="dxa"/>
            <w:shd w:val="clear" w:color="auto" w:fill="2F5496"/>
            <w:vAlign w:val="center"/>
          </w:tcPr>
          <w:p w14:paraId="658B77C2" w14:textId="77777777" w:rsidR="00672297" w:rsidRDefault="00A16EA3">
            <w:pPr>
              <w:spacing w:before="20" w:after="20"/>
              <w:jc w:val="left"/>
            </w:pPr>
            <w:r>
              <w:rPr>
                <w:rFonts w:cstheme="minorHAnsi"/>
                <w:b/>
                <w:bCs/>
                <w:color w:val="FFFFFF"/>
                <w:sz w:val="20"/>
                <w:szCs w:val="20"/>
              </w:rPr>
              <w:t>DAX Logic</w:t>
            </w:r>
          </w:p>
        </w:tc>
      </w:tr>
      <w:tr w:rsidR="00672297" w14:paraId="09A2766F" w14:textId="77777777">
        <w:trPr>
          <w:cantSplit/>
        </w:trPr>
        <w:tc>
          <w:tcPr>
            <w:tcW w:w="2808" w:type="dxa"/>
            <w:vAlign w:val="center"/>
          </w:tcPr>
          <w:p w14:paraId="30299865" w14:textId="77777777" w:rsidR="00672297" w:rsidRDefault="00A16EA3">
            <w:pPr>
              <w:spacing w:before="20" w:after="20"/>
              <w:jc w:val="left"/>
            </w:pPr>
            <w:r>
              <w:rPr>
                <w:rFonts w:cstheme="minorHAnsi"/>
                <w:sz w:val="20"/>
                <w:szCs w:val="20"/>
              </w:rPr>
              <w:t>Batch Count</w:t>
            </w:r>
          </w:p>
        </w:tc>
        <w:tc>
          <w:tcPr>
            <w:tcW w:w="6552" w:type="dxa"/>
            <w:vAlign w:val="center"/>
          </w:tcPr>
          <w:p w14:paraId="46C834E8" w14:textId="77777777" w:rsidR="00672297" w:rsidRDefault="00A16EA3">
            <w:pPr>
              <w:spacing w:before="20" w:after="20"/>
              <w:jc w:val="left"/>
            </w:pPr>
            <w:r>
              <w:rPr>
                <w:rFonts w:cstheme="minorHAnsi"/>
                <w:sz w:val="20"/>
                <w:szCs w:val="20"/>
              </w:rPr>
              <w:t>DISTINCTCOUNT ( vwRefineryBatchMovementQuality[BatchID] )</w:t>
            </w:r>
          </w:p>
        </w:tc>
      </w:tr>
      <w:tr w:rsidR="00672297" w14:paraId="2D0E1E93" w14:textId="77777777">
        <w:trPr>
          <w:cantSplit/>
        </w:trPr>
        <w:tc>
          <w:tcPr>
            <w:tcW w:w="2808" w:type="dxa"/>
            <w:vAlign w:val="center"/>
          </w:tcPr>
          <w:p w14:paraId="38A6451C" w14:textId="77777777" w:rsidR="00672297" w:rsidRDefault="00A16EA3">
            <w:pPr>
              <w:spacing w:before="20" w:after="20"/>
              <w:jc w:val="left"/>
            </w:pPr>
            <w:r>
              <w:rPr>
                <w:rFonts w:cstheme="minorHAnsi"/>
                <w:sz w:val="20"/>
                <w:szCs w:val="20"/>
              </w:rPr>
              <w:t>&lt;Property&gt; Actual / Min / Max</w:t>
            </w:r>
          </w:p>
        </w:tc>
        <w:tc>
          <w:tcPr>
            <w:tcW w:w="6552" w:type="dxa"/>
            <w:vAlign w:val="center"/>
          </w:tcPr>
          <w:p w14:paraId="5DB61345" w14:textId="77777777" w:rsidR="00672297" w:rsidRDefault="00A16EA3">
            <w:pPr>
              <w:spacing w:before="20" w:after="20"/>
              <w:jc w:val="left"/>
            </w:pPr>
            <w:r>
              <w:rPr>
                <w:rFonts w:cstheme="minorHAnsi"/>
                <w:sz w:val="20"/>
                <w:szCs w:val="20"/>
              </w:rPr>
              <w:t>AVERAGE ( [&lt;Property&gt;Actual] ) / MIN ( [&lt;Property&gt;Min] ) / MAX ( [&lt;Property&gt;Max] )</w:t>
            </w:r>
          </w:p>
        </w:tc>
      </w:tr>
      <w:tr w:rsidR="00672297" w14:paraId="73E0D52D" w14:textId="77777777">
        <w:trPr>
          <w:cantSplit/>
        </w:trPr>
        <w:tc>
          <w:tcPr>
            <w:tcW w:w="2808" w:type="dxa"/>
            <w:vAlign w:val="center"/>
          </w:tcPr>
          <w:p w14:paraId="11B7C572" w14:textId="77777777" w:rsidR="00672297" w:rsidRDefault="00A16EA3">
            <w:pPr>
              <w:spacing w:before="20" w:after="20"/>
              <w:jc w:val="left"/>
            </w:pPr>
            <w:r>
              <w:rPr>
                <w:rFonts w:cstheme="minorHAnsi"/>
                <w:sz w:val="20"/>
                <w:szCs w:val="20"/>
              </w:rPr>
              <w:t>&lt;Property&gt; Colour</w:t>
            </w:r>
          </w:p>
        </w:tc>
        <w:tc>
          <w:tcPr>
            <w:tcW w:w="6552" w:type="dxa"/>
            <w:vAlign w:val="center"/>
          </w:tcPr>
          <w:p w14:paraId="521E6A4C" w14:textId="77777777" w:rsidR="00672297" w:rsidRDefault="00A16EA3">
            <w:pPr>
              <w:spacing w:before="20" w:after="20"/>
              <w:jc w:val="left"/>
            </w:pPr>
            <w:r>
              <w:rPr>
                <w:rFonts w:cstheme="minorHAnsi"/>
                <w:sz w:val="20"/>
                <w:szCs w:val="20"/>
              </w:rPr>
              <w:t>Green / red from [&lt;Property&gt;WithinSpec]</w:t>
            </w:r>
          </w:p>
        </w:tc>
      </w:tr>
    </w:tbl>
    <w:p w14:paraId="135F0AF3" w14:textId="66E18243" w:rsidR="00672297" w:rsidRDefault="00A16EA3">
      <w:pPr>
        <w:pStyle w:val="Caption"/>
      </w:pPr>
      <w:bookmarkStart w:id="531" w:name="_Toc900950047"/>
      <w:bookmarkStart w:id="532" w:name="_Toc241574704"/>
      <w:bookmarkStart w:id="533" w:name="_Toc242554088"/>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15</w:t>
      </w:r>
      <w:r>
        <w:fldChar w:fldCharType="end"/>
      </w:r>
      <w:r>
        <w:t>: Refinery-Wide Dashboard DAX Measures</w:t>
      </w:r>
      <w:bookmarkEnd w:id="531"/>
      <w:bookmarkEnd w:id="532"/>
      <w:bookmarkEnd w:id="533"/>
    </w:p>
    <w:p w14:paraId="4033B976" w14:textId="77777777" w:rsidR="00672297" w:rsidRDefault="00A16EA3">
      <w:pPr>
        <w:pStyle w:val="Heading4"/>
        <w:rPr>
          <w:rFonts w:asciiTheme="minorHAnsi" w:hAnsiTheme="minorHAnsi" w:cstheme="minorBidi"/>
          <w:sz w:val="20"/>
          <w:szCs w:val="20"/>
        </w:rPr>
      </w:pPr>
      <w:bookmarkStart w:id="534" w:name="_Toc900950048"/>
      <w:r>
        <w:rPr>
          <w:rFonts w:asciiTheme="minorHAnsi" w:hAnsiTheme="minorHAnsi" w:cstheme="minorBidi"/>
          <w:sz w:val="20"/>
          <w:szCs w:val="20"/>
        </w:rPr>
        <w:t>DAX Logic (Sample)</w:t>
      </w:r>
      <w:bookmarkEnd w:id="534"/>
    </w:p>
    <w:tbl>
      <w:tblPr>
        <w:tblStyle w:val="TableGrid"/>
        <w:tblW w:w="9360" w:type="dxa"/>
        <w:tblLayout w:type="fixed"/>
        <w:tblCellMar>
          <w:left w:w="115" w:type="dxa"/>
          <w:right w:w="115" w:type="dxa"/>
        </w:tblCellMar>
        <w:tblLook w:val="04A0" w:firstRow="1" w:lastRow="0" w:firstColumn="1" w:lastColumn="0" w:noHBand="0" w:noVBand="1"/>
      </w:tblPr>
      <w:tblGrid>
        <w:gridCol w:w="9360"/>
      </w:tblGrid>
      <w:tr w:rsidR="00672297" w14:paraId="02FECDCA" w14:textId="77777777">
        <w:tc>
          <w:tcPr>
            <w:tcW w:w="9360" w:type="dxa"/>
            <w:shd w:val="clear" w:color="auto" w:fill="F2F2F2"/>
          </w:tcPr>
          <w:p w14:paraId="1B5EABA7" w14:textId="77777777" w:rsidR="00672297" w:rsidRDefault="00A16EA3">
            <w:pPr>
              <w:jc w:val="left"/>
            </w:pPr>
            <w:r>
              <w:rPr>
                <w:rFonts w:ascii="Consolas" w:hAnsi="Consolas" w:cs="Consolas"/>
                <w:sz w:val="17"/>
                <w:szCs w:val="17"/>
              </w:rPr>
              <w:t>Flash Colour =</w:t>
            </w:r>
          </w:p>
          <w:p w14:paraId="19EBD999" w14:textId="77777777" w:rsidR="00672297" w:rsidRDefault="00A16EA3">
            <w:pPr>
              <w:jc w:val="left"/>
            </w:pPr>
            <w:r>
              <w:rPr>
                <w:rFonts w:ascii="Consolas" w:hAnsi="Consolas" w:cs="Consolas"/>
                <w:sz w:val="17"/>
                <w:szCs w:val="17"/>
              </w:rPr>
              <w:t>VAR f = MIN ( vwRefineryBatchMovementQuality[FlashWithinSpec] )</w:t>
            </w:r>
          </w:p>
          <w:p w14:paraId="08077157" w14:textId="77777777" w:rsidR="00672297" w:rsidRDefault="00A16EA3">
            <w:pPr>
              <w:jc w:val="left"/>
            </w:pPr>
            <w:r>
              <w:rPr>
                <w:rFonts w:ascii="Consolas" w:hAnsi="Consolas" w:cs="Consolas"/>
                <w:sz w:val="17"/>
                <w:szCs w:val="17"/>
              </w:rPr>
              <w:t>RETURN</w:t>
            </w:r>
          </w:p>
          <w:p w14:paraId="2093D745" w14:textId="77777777" w:rsidR="00672297" w:rsidRDefault="00A16EA3">
            <w:pPr>
              <w:jc w:val="left"/>
            </w:pPr>
            <w:r>
              <w:rPr>
                <w:rFonts w:ascii="Consolas" w:hAnsi="Consolas" w:cs="Consolas"/>
                <w:sz w:val="17"/>
                <w:szCs w:val="17"/>
              </w:rPr>
              <w:t xml:space="preserve">    SWITCH ( TRUE (),</w:t>
            </w:r>
          </w:p>
          <w:p w14:paraId="62B6428A" w14:textId="77777777" w:rsidR="00672297" w:rsidRDefault="00A16EA3">
            <w:pPr>
              <w:jc w:val="left"/>
            </w:pPr>
            <w:r>
              <w:rPr>
                <w:rFonts w:ascii="Consolas" w:hAnsi="Consolas" w:cs="Consolas"/>
                <w:sz w:val="17"/>
                <w:szCs w:val="17"/>
              </w:rPr>
              <w:t xml:space="preserve">        f = 0, "#C00000",</w:t>
            </w:r>
          </w:p>
          <w:p w14:paraId="0523851F" w14:textId="77777777" w:rsidR="00672297" w:rsidRDefault="00A16EA3">
            <w:pPr>
              <w:jc w:val="left"/>
            </w:pPr>
            <w:r>
              <w:rPr>
                <w:rFonts w:ascii="Consolas" w:hAnsi="Consolas" w:cs="Consolas"/>
                <w:sz w:val="17"/>
                <w:szCs w:val="17"/>
              </w:rPr>
              <w:t xml:space="preserve">        f = 1, "#00B050",</w:t>
            </w:r>
          </w:p>
          <w:p w14:paraId="3EB6B9B3" w14:textId="77777777" w:rsidR="00672297" w:rsidRDefault="00A16EA3">
            <w:pPr>
              <w:jc w:val="left"/>
            </w:pPr>
            <w:r>
              <w:rPr>
                <w:rFonts w:ascii="Consolas" w:hAnsi="Consolas" w:cs="Consolas"/>
                <w:sz w:val="17"/>
                <w:szCs w:val="17"/>
              </w:rPr>
              <w:t xml:space="preserve">        BLANK () )</w:t>
            </w:r>
          </w:p>
        </w:tc>
      </w:tr>
    </w:tbl>
    <w:p w14:paraId="042975FC" w14:textId="77777777" w:rsidR="00672297" w:rsidRDefault="00A16EA3">
      <w:pPr>
        <w:pStyle w:val="Heading4"/>
        <w:rPr>
          <w:rFonts w:asciiTheme="minorHAnsi" w:hAnsiTheme="minorHAnsi" w:cstheme="minorBidi"/>
          <w:sz w:val="20"/>
          <w:szCs w:val="20"/>
        </w:rPr>
      </w:pPr>
      <w:bookmarkStart w:id="535" w:name="_Toc900950049"/>
      <w:r>
        <w:rPr>
          <w:rFonts w:asciiTheme="minorHAnsi" w:hAnsiTheme="minorHAnsi" w:cstheme="minorBidi"/>
          <w:sz w:val="20"/>
          <w:szCs w:val="20"/>
        </w:rPr>
        <w:t>Visual Types Used</w:t>
      </w:r>
      <w:bookmarkEnd w:id="535"/>
    </w:p>
    <w:p w14:paraId="459FEF7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Charts: Gantt chart (Power BI native) - Scheduled Event Timeline.</w:t>
      </w:r>
    </w:p>
    <w:p w14:paraId="23B3359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Tables: Event Summary Table (matrix with Min / Actual / Max per property).</w:t>
      </w:r>
    </w:p>
    <w:p w14:paraId="2D1BAC56"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Slicers: Source (Origin), Terminal (Destination), Tank, Status, Grade, Date range.</w:t>
      </w:r>
    </w:p>
    <w:p w14:paraId="19AF27DA"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Cards: Last Refresh.</w:t>
      </w:r>
    </w:p>
    <w:p w14:paraId="6F988A0B" w14:textId="77777777" w:rsidR="00672297" w:rsidRDefault="00A16EA3">
      <w:pPr>
        <w:pStyle w:val="Heading4"/>
        <w:rPr>
          <w:rFonts w:asciiTheme="minorHAnsi" w:hAnsiTheme="minorHAnsi" w:cstheme="minorBidi"/>
          <w:sz w:val="20"/>
          <w:szCs w:val="20"/>
        </w:rPr>
      </w:pPr>
      <w:bookmarkStart w:id="536" w:name="_Toc900950050"/>
      <w:r>
        <w:rPr>
          <w:rFonts w:asciiTheme="minorHAnsi" w:hAnsiTheme="minorHAnsi" w:cstheme="minorBidi"/>
          <w:sz w:val="20"/>
          <w:szCs w:val="20"/>
        </w:rPr>
        <w:t>Power BI Attributes and Mapped Backend Table - Field Details</w:t>
      </w:r>
      <w:bookmarkEnd w:id="536"/>
    </w:p>
    <w:tbl>
      <w:tblPr>
        <w:tblStyle w:val="TableGrid"/>
        <w:tblW w:w="9360" w:type="dxa"/>
        <w:tblLayout w:type="fixed"/>
        <w:tblCellMar>
          <w:left w:w="70" w:type="dxa"/>
          <w:right w:w="70" w:type="dxa"/>
        </w:tblCellMar>
        <w:tblLook w:val="04A0" w:firstRow="1" w:lastRow="0" w:firstColumn="1" w:lastColumn="0" w:noHBand="0" w:noVBand="1"/>
      </w:tblPr>
      <w:tblGrid>
        <w:gridCol w:w="1404"/>
        <w:gridCol w:w="1310"/>
        <w:gridCol w:w="1310"/>
        <w:gridCol w:w="1404"/>
        <w:gridCol w:w="655"/>
        <w:gridCol w:w="655"/>
        <w:gridCol w:w="655"/>
        <w:gridCol w:w="1967"/>
      </w:tblGrid>
      <w:tr w:rsidR="00672297" w14:paraId="331658F6" w14:textId="77777777">
        <w:trPr>
          <w:cantSplit/>
          <w:tblHeader/>
        </w:trPr>
        <w:tc>
          <w:tcPr>
            <w:tcW w:w="1404" w:type="dxa"/>
            <w:shd w:val="clear" w:color="auto" w:fill="2F5496"/>
            <w:vAlign w:val="center"/>
          </w:tcPr>
          <w:p w14:paraId="49F4BC82" w14:textId="77777777" w:rsidR="00672297" w:rsidRDefault="00A16EA3">
            <w:pPr>
              <w:spacing w:before="20" w:after="20"/>
              <w:jc w:val="left"/>
            </w:pPr>
            <w:r>
              <w:rPr>
                <w:rFonts w:cstheme="minorHAnsi"/>
                <w:b/>
                <w:bCs/>
                <w:color w:val="FFFFFF"/>
                <w:sz w:val="16"/>
                <w:szCs w:val="16"/>
              </w:rPr>
              <w:t>Power BI Visualization Name</w:t>
            </w:r>
          </w:p>
        </w:tc>
        <w:tc>
          <w:tcPr>
            <w:tcW w:w="1310" w:type="dxa"/>
            <w:shd w:val="clear" w:color="auto" w:fill="2F5496"/>
            <w:vAlign w:val="center"/>
          </w:tcPr>
          <w:p w14:paraId="4CF0B273" w14:textId="77777777" w:rsidR="00672297" w:rsidRDefault="00A16EA3">
            <w:pPr>
              <w:spacing w:before="20" w:after="20"/>
              <w:jc w:val="left"/>
            </w:pPr>
            <w:r>
              <w:rPr>
                <w:rFonts w:cstheme="minorHAnsi"/>
                <w:b/>
                <w:bCs/>
                <w:color w:val="FFFFFF"/>
                <w:sz w:val="16"/>
                <w:szCs w:val="16"/>
              </w:rPr>
              <w:t>Power BI Attribute Name</w:t>
            </w:r>
          </w:p>
        </w:tc>
        <w:tc>
          <w:tcPr>
            <w:tcW w:w="1310" w:type="dxa"/>
            <w:shd w:val="clear" w:color="auto" w:fill="2F5496"/>
            <w:vAlign w:val="center"/>
          </w:tcPr>
          <w:p w14:paraId="48FABCD8" w14:textId="77777777" w:rsidR="00672297" w:rsidRDefault="00A16EA3">
            <w:pPr>
              <w:spacing w:before="20" w:after="20"/>
              <w:jc w:val="left"/>
            </w:pPr>
            <w:r>
              <w:rPr>
                <w:rFonts w:cstheme="minorHAnsi"/>
                <w:b/>
                <w:bCs/>
                <w:color w:val="FFFFFF"/>
                <w:sz w:val="16"/>
                <w:szCs w:val="16"/>
              </w:rPr>
              <w:t>Table / View (Semantic Model)</w:t>
            </w:r>
          </w:p>
        </w:tc>
        <w:tc>
          <w:tcPr>
            <w:tcW w:w="1404" w:type="dxa"/>
            <w:shd w:val="clear" w:color="auto" w:fill="2F5496"/>
            <w:vAlign w:val="center"/>
          </w:tcPr>
          <w:p w14:paraId="562B86DB" w14:textId="77777777" w:rsidR="00672297" w:rsidRDefault="00A16EA3">
            <w:pPr>
              <w:spacing w:before="20" w:after="20"/>
              <w:jc w:val="left"/>
            </w:pPr>
            <w:r>
              <w:rPr>
                <w:rFonts w:cstheme="minorHAnsi"/>
                <w:b/>
                <w:bCs/>
                <w:color w:val="FFFFFF"/>
                <w:sz w:val="16"/>
                <w:szCs w:val="16"/>
              </w:rPr>
              <w:t>Field Name</w:t>
            </w:r>
          </w:p>
        </w:tc>
        <w:tc>
          <w:tcPr>
            <w:tcW w:w="655" w:type="dxa"/>
            <w:shd w:val="clear" w:color="auto" w:fill="2F5496"/>
            <w:vAlign w:val="center"/>
          </w:tcPr>
          <w:p w14:paraId="5EE157F9" w14:textId="77777777" w:rsidR="00672297" w:rsidRDefault="00A16EA3">
            <w:pPr>
              <w:spacing w:before="20" w:after="20"/>
              <w:jc w:val="left"/>
            </w:pPr>
            <w:r>
              <w:rPr>
                <w:rFonts w:cstheme="minorHAnsi"/>
                <w:b/>
                <w:bCs/>
                <w:color w:val="FFFFFF"/>
                <w:sz w:val="16"/>
                <w:szCs w:val="16"/>
              </w:rPr>
              <w:t>Measure (Y/N)</w:t>
            </w:r>
          </w:p>
        </w:tc>
        <w:tc>
          <w:tcPr>
            <w:tcW w:w="655" w:type="dxa"/>
            <w:shd w:val="clear" w:color="auto" w:fill="2F5496"/>
            <w:vAlign w:val="center"/>
          </w:tcPr>
          <w:p w14:paraId="05F8D230" w14:textId="77777777" w:rsidR="00672297" w:rsidRDefault="00A16EA3">
            <w:pPr>
              <w:spacing w:before="20" w:after="20"/>
              <w:jc w:val="left"/>
            </w:pPr>
            <w:r>
              <w:rPr>
                <w:rFonts w:cstheme="minorHAnsi"/>
                <w:b/>
                <w:bCs/>
                <w:color w:val="FFFFFF"/>
                <w:sz w:val="16"/>
                <w:szCs w:val="16"/>
              </w:rPr>
              <w:t>Report Filter (Y/N)</w:t>
            </w:r>
          </w:p>
        </w:tc>
        <w:tc>
          <w:tcPr>
            <w:tcW w:w="655" w:type="dxa"/>
            <w:shd w:val="clear" w:color="auto" w:fill="2F5496"/>
            <w:vAlign w:val="center"/>
          </w:tcPr>
          <w:p w14:paraId="35A4300A" w14:textId="77777777" w:rsidR="00672297" w:rsidRDefault="00A16EA3">
            <w:pPr>
              <w:spacing w:before="20" w:after="20"/>
              <w:jc w:val="left"/>
            </w:pPr>
            <w:r>
              <w:rPr>
                <w:rFonts w:cstheme="minorHAnsi"/>
                <w:b/>
                <w:bCs/>
                <w:color w:val="FFFFFF"/>
                <w:sz w:val="16"/>
                <w:szCs w:val="16"/>
              </w:rPr>
              <w:t>Direct Attribute (Y/N)</w:t>
            </w:r>
          </w:p>
        </w:tc>
        <w:tc>
          <w:tcPr>
            <w:tcW w:w="1967" w:type="dxa"/>
            <w:shd w:val="clear" w:color="auto" w:fill="2F5496"/>
            <w:vAlign w:val="center"/>
          </w:tcPr>
          <w:p w14:paraId="76D3B6BD" w14:textId="77777777" w:rsidR="00672297" w:rsidRDefault="00A16EA3">
            <w:pPr>
              <w:spacing w:before="20" w:after="20"/>
              <w:jc w:val="left"/>
            </w:pPr>
            <w:r>
              <w:rPr>
                <w:rFonts w:cstheme="minorHAnsi"/>
                <w:b/>
                <w:bCs/>
                <w:color w:val="FFFFFF"/>
                <w:sz w:val="16"/>
                <w:szCs w:val="16"/>
              </w:rPr>
              <w:t>Calculation / Logic</w:t>
            </w:r>
          </w:p>
        </w:tc>
      </w:tr>
      <w:tr w:rsidR="00672297" w14:paraId="6E9B5D3D" w14:textId="77777777">
        <w:trPr>
          <w:cantSplit/>
        </w:trPr>
        <w:tc>
          <w:tcPr>
            <w:tcW w:w="1404" w:type="dxa"/>
            <w:vAlign w:val="center"/>
          </w:tcPr>
          <w:p w14:paraId="7B5FA935" w14:textId="77777777" w:rsidR="00672297" w:rsidRDefault="00A16EA3">
            <w:pPr>
              <w:spacing w:before="20" w:after="20"/>
              <w:jc w:val="left"/>
            </w:pPr>
            <w:r>
              <w:rPr>
                <w:rFonts w:cstheme="minorHAnsi"/>
                <w:sz w:val="16"/>
                <w:szCs w:val="16"/>
              </w:rPr>
              <w:t>Event Timeline (Gantt)</w:t>
            </w:r>
          </w:p>
        </w:tc>
        <w:tc>
          <w:tcPr>
            <w:tcW w:w="1310" w:type="dxa"/>
            <w:vAlign w:val="center"/>
          </w:tcPr>
          <w:p w14:paraId="1FEB6046" w14:textId="77777777" w:rsidR="00672297" w:rsidRDefault="00A16EA3">
            <w:pPr>
              <w:spacing w:before="20" w:after="20"/>
              <w:jc w:val="left"/>
            </w:pPr>
            <w:r>
              <w:rPr>
                <w:rFonts w:cstheme="minorHAnsi"/>
                <w:sz w:val="16"/>
                <w:szCs w:val="16"/>
              </w:rPr>
              <w:t>Batch ID</w:t>
            </w:r>
          </w:p>
        </w:tc>
        <w:tc>
          <w:tcPr>
            <w:tcW w:w="1310" w:type="dxa"/>
            <w:vAlign w:val="center"/>
          </w:tcPr>
          <w:p w14:paraId="23D92763"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5CC8BF27" w14:textId="77777777" w:rsidR="00672297" w:rsidRDefault="00A16EA3">
            <w:pPr>
              <w:spacing w:before="20" w:after="20"/>
              <w:jc w:val="left"/>
            </w:pPr>
            <w:r>
              <w:rPr>
                <w:rFonts w:cstheme="minorHAnsi"/>
                <w:sz w:val="16"/>
                <w:szCs w:val="16"/>
              </w:rPr>
              <w:t>BatchID</w:t>
            </w:r>
          </w:p>
        </w:tc>
        <w:tc>
          <w:tcPr>
            <w:tcW w:w="655" w:type="dxa"/>
            <w:vAlign w:val="center"/>
          </w:tcPr>
          <w:p w14:paraId="1C5A323B" w14:textId="77777777" w:rsidR="00672297" w:rsidRDefault="00A16EA3">
            <w:pPr>
              <w:spacing w:before="20" w:after="20"/>
              <w:jc w:val="left"/>
            </w:pPr>
            <w:r>
              <w:rPr>
                <w:rFonts w:cstheme="minorHAnsi"/>
                <w:sz w:val="16"/>
                <w:szCs w:val="16"/>
              </w:rPr>
              <w:t>N</w:t>
            </w:r>
          </w:p>
        </w:tc>
        <w:tc>
          <w:tcPr>
            <w:tcW w:w="655" w:type="dxa"/>
            <w:vAlign w:val="center"/>
          </w:tcPr>
          <w:p w14:paraId="4B45CCF6" w14:textId="77777777" w:rsidR="00672297" w:rsidRDefault="00A16EA3">
            <w:pPr>
              <w:spacing w:before="20" w:after="20"/>
              <w:jc w:val="left"/>
            </w:pPr>
            <w:r>
              <w:rPr>
                <w:rFonts w:cstheme="minorHAnsi"/>
                <w:sz w:val="16"/>
                <w:szCs w:val="16"/>
              </w:rPr>
              <w:t>N</w:t>
            </w:r>
          </w:p>
        </w:tc>
        <w:tc>
          <w:tcPr>
            <w:tcW w:w="655" w:type="dxa"/>
            <w:vAlign w:val="center"/>
          </w:tcPr>
          <w:p w14:paraId="4FD4D6CD" w14:textId="77777777" w:rsidR="00672297" w:rsidRDefault="00A16EA3">
            <w:pPr>
              <w:spacing w:before="20" w:after="20"/>
              <w:jc w:val="left"/>
            </w:pPr>
            <w:r>
              <w:rPr>
                <w:rFonts w:cstheme="minorHAnsi"/>
                <w:sz w:val="16"/>
                <w:szCs w:val="16"/>
              </w:rPr>
              <w:t>Y</w:t>
            </w:r>
          </w:p>
        </w:tc>
        <w:tc>
          <w:tcPr>
            <w:tcW w:w="1967" w:type="dxa"/>
            <w:vAlign w:val="center"/>
          </w:tcPr>
          <w:p w14:paraId="334163B8" w14:textId="77777777" w:rsidR="00672297" w:rsidRDefault="00672297">
            <w:pPr>
              <w:spacing w:before="20" w:after="20"/>
              <w:jc w:val="left"/>
            </w:pPr>
          </w:p>
        </w:tc>
      </w:tr>
      <w:tr w:rsidR="00672297" w14:paraId="6A1C383D" w14:textId="77777777">
        <w:trPr>
          <w:cantSplit/>
        </w:trPr>
        <w:tc>
          <w:tcPr>
            <w:tcW w:w="1404" w:type="dxa"/>
            <w:vAlign w:val="center"/>
          </w:tcPr>
          <w:p w14:paraId="5954CD5E" w14:textId="77777777" w:rsidR="00672297" w:rsidRDefault="00A16EA3">
            <w:pPr>
              <w:spacing w:before="20" w:after="20"/>
              <w:jc w:val="left"/>
            </w:pPr>
            <w:r>
              <w:rPr>
                <w:rFonts w:cstheme="minorHAnsi"/>
                <w:sz w:val="16"/>
                <w:szCs w:val="16"/>
              </w:rPr>
              <w:t>Event Timeline (Gantt)</w:t>
            </w:r>
          </w:p>
        </w:tc>
        <w:tc>
          <w:tcPr>
            <w:tcW w:w="1310" w:type="dxa"/>
            <w:vAlign w:val="center"/>
          </w:tcPr>
          <w:p w14:paraId="255771AE" w14:textId="77777777" w:rsidR="00672297" w:rsidRDefault="00A16EA3">
            <w:pPr>
              <w:spacing w:before="20" w:after="20"/>
              <w:jc w:val="left"/>
            </w:pPr>
            <w:r>
              <w:rPr>
                <w:rFonts w:cstheme="minorHAnsi"/>
                <w:sz w:val="16"/>
                <w:szCs w:val="16"/>
              </w:rPr>
              <w:t>Start Time / End Time</w:t>
            </w:r>
          </w:p>
        </w:tc>
        <w:tc>
          <w:tcPr>
            <w:tcW w:w="1310" w:type="dxa"/>
            <w:vAlign w:val="center"/>
          </w:tcPr>
          <w:p w14:paraId="26B0F495"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6DA3BFD5" w14:textId="77777777" w:rsidR="00672297" w:rsidRDefault="00A16EA3">
            <w:pPr>
              <w:spacing w:before="20" w:after="20"/>
              <w:jc w:val="left"/>
            </w:pPr>
            <w:r>
              <w:rPr>
                <w:rFonts w:cstheme="minorHAnsi"/>
                <w:sz w:val="16"/>
                <w:szCs w:val="16"/>
              </w:rPr>
              <w:t>StartDateTime / EndDateTime</w:t>
            </w:r>
          </w:p>
        </w:tc>
        <w:tc>
          <w:tcPr>
            <w:tcW w:w="655" w:type="dxa"/>
            <w:vAlign w:val="center"/>
          </w:tcPr>
          <w:p w14:paraId="3E034810" w14:textId="77777777" w:rsidR="00672297" w:rsidRDefault="00A16EA3">
            <w:pPr>
              <w:spacing w:before="20" w:after="20"/>
              <w:jc w:val="left"/>
            </w:pPr>
            <w:r>
              <w:rPr>
                <w:rFonts w:cstheme="minorHAnsi"/>
                <w:sz w:val="16"/>
                <w:szCs w:val="16"/>
              </w:rPr>
              <w:t>N</w:t>
            </w:r>
          </w:p>
        </w:tc>
        <w:tc>
          <w:tcPr>
            <w:tcW w:w="655" w:type="dxa"/>
            <w:vAlign w:val="center"/>
          </w:tcPr>
          <w:p w14:paraId="1EF0670E" w14:textId="77777777" w:rsidR="00672297" w:rsidRDefault="00A16EA3">
            <w:pPr>
              <w:spacing w:before="20" w:after="20"/>
              <w:jc w:val="left"/>
            </w:pPr>
            <w:r>
              <w:rPr>
                <w:rFonts w:cstheme="minorHAnsi"/>
                <w:sz w:val="16"/>
                <w:szCs w:val="16"/>
              </w:rPr>
              <w:t>N</w:t>
            </w:r>
          </w:p>
        </w:tc>
        <w:tc>
          <w:tcPr>
            <w:tcW w:w="655" w:type="dxa"/>
            <w:vAlign w:val="center"/>
          </w:tcPr>
          <w:p w14:paraId="07AE4461" w14:textId="77777777" w:rsidR="00672297" w:rsidRDefault="00A16EA3">
            <w:pPr>
              <w:spacing w:before="20" w:after="20"/>
              <w:jc w:val="left"/>
            </w:pPr>
            <w:r>
              <w:rPr>
                <w:rFonts w:cstheme="minorHAnsi"/>
                <w:sz w:val="16"/>
                <w:szCs w:val="16"/>
              </w:rPr>
              <w:t>Y</w:t>
            </w:r>
          </w:p>
        </w:tc>
        <w:tc>
          <w:tcPr>
            <w:tcW w:w="1967" w:type="dxa"/>
            <w:vAlign w:val="center"/>
          </w:tcPr>
          <w:p w14:paraId="4381EADF" w14:textId="77777777" w:rsidR="00672297" w:rsidRDefault="00A16EA3">
            <w:pPr>
              <w:spacing w:before="20" w:after="20"/>
              <w:jc w:val="left"/>
            </w:pPr>
            <w:r>
              <w:rPr>
                <w:rFonts w:cstheme="minorHAnsi"/>
                <w:sz w:val="16"/>
                <w:szCs w:val="16"/>
              </w:rPr>
              <w:t>Bar start / end; ETA in tooltip</w:t>
            </w:r>
          </w:p>
        </w:tc>
      </w:tr>
      <w:tr w:rsidR="00672297" w14:paraId="306F9C6B" w14:textId="77777777">
        <w:trPr>
          <w:cantSplit/>
        </w:trPr>
        <w:tc>
          <w:tcPr>
            <w:tcW w:w="1404" w:type="dxa"/>
            <w:vAlign w:val="center"/>
          </w:tcPr>
          <w:p w14:paraId="57A66416" w14:textId="77777777" w:rsidR="00672297" w:rsidRDefault="00A16EA3">
            <w:pPr>
              <w:spacing w:before="20" w:after="20"/>
              <w:jc w:val="left"/>
            </w:pPr>
            <w:r>
              <w:rPr>
                <w:rFonts w:cstheme="minorHAnsi"/>
                <w:sz w:val="16"/>
                <w:szCs w:val="16"/>
              </w:rPr>
              <w:t>Event Timeline (Gantt)</w:t>
            </w:r>
          </w:p>
        </w:tc>
        <w:tc>
          <w:tcPr>
            <w:tcW w:w="1310" w:type="dxa"/>
            <w:vAlign w:val="center"/>
          </w:tcPr>
          <w:p w14:paraId="255A775C" w14:textId="77777777" w:rsidR="00672297" w:rsidRDefault="00A16EA3">
            <w:pPr>
              <w:spacing w:before="20" w:after="20"/>
              <w:jc w:val="left"/>
            </w:pPr>
            <w:r>
              <w:rPr>
                <w:rFonts w:cstheme="minorHAnsi"/>
                <w:sz w:val="16"/>
                <w:szCs w:val="16"/>
              </w:rPr>
              <w:t>Status</w:t>
            </w:r>
          </w:p>
        </w:tc>
        <w:tc>
          <w:tcPr>
            <w:tcW w:w="1310" w:type="dxa"/>
            <w:vAlign w:val="center"/>
          </w:tcPr>
          <w:p w14:paraId="1AA1D652"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4DA7CFB8" w14:textId="77777777" w:rsidR="00672297" w:rsidRDefault="00A16EA3">
            <w:pPr>
              <w:spacing w:before="20" w:after="20"/>
              <w:jc w:val="left"/>
            </w:pPr>
            <w:r>
              <w:rPr>
                <w:rFonts w:cstheme="minorHAnsi"/>
                <w:sz w:val="16"/>
                <w:szCs w:val="16"/>
              </w:rPr>
              <w:t>BatchStatus</w:t>
            </w:r>
          </w:p>
        </w:tc>
        <w:tc>
          <w:tcPr>
            <w:tcW w:w="655" w:type="dxa"/>
            <w:vAlign w:val="center"/>
          </w:tcPr>
          <w:p w14:paraId="39D8AE12" w14:textId="77777777" w:rsidR="00672297" w:rsidRDefault="00A16EA3">
            <w:pPr>
              <w:spacing w:before="20" w:after="20"/>
              <w:jc w:val="left"/>
            </w:pPr>
            <w:r>
              <w:rPr>
                <w:rFonts w:cstheme="minorHAnsi"/>
                <w:sz w:val="16"/>
                <w:szCs w:val="16"/>
              </w:rPr>
              <w:t>N</w:t>
            </w:r>
          </w:p>
        </w:tc>
        <w:tc>
          <w:tcPr>
            <w:tcW w:w="655" w:type="dxa"/>
            <w:vAlign w:val="center"/>
          </w:tcPr>
          <w:p w14:paraId="489AB56A" w14:textId="77777777" w:rsidR="00672297" w:rsidRDefault="00A16EA3">
            <w:pPr>
              <w:spacing w:before="20" w:after="20"/>
              <w:jc w:val="left"/>
            </w:pPr>
            <w:r>
              <w:rPr>
                <w:rFonts w:cstheme="minorHAnsi"/>
                <w:sz w:val="16"/>
                <w:szCs w:val="16"/>
              </w:rPr>
              <w:t>N</w:t>
            </w:r>
          </w:p>
        </w:tc>
        <w:tc>
          <w:tcPr>
            <w:tcW w:w="655" w:type="dxa"/>
            <w:vAlign w:val="center"/>
          </w:tcPr>
          <w:p w14:paraId="722E8B48" w14:textId="77777777" w:rsidR="00672297" w:rsidRDefault="00A16EA3">
            <w:pPr>
              <w:spacing w:before="20" w:after="20"/>
              <w:jc w:val="left"/>
            </w:pPr>
            <w:r>
              <w:rPr>
                <w:rFonts w:cstheme="minorHAnsi"/>
                <w:sz w:val="16"/>
                <w:szCs w:val="16"/>
              </w:rPr>
              <w:t>Y</w:t>
            </w:r>
          </w:p>
        </w:tc>
        <w:tc>
          <w:tcPr>
            <w:tcW w:w="1967" w:type="dxa"/>
            <w:vAlign w:val="center"/>
          </w:tcPr>
          <w:p w14:paraId="7EA238F2" w14:textId="77777777" w:rsidR="00672297" w:rsidRDefault="00A16EA3">
            <w:pPr>
              <w:spacing w:before="20" w:after="20"/>
              <w:jc w:val="left"/>
            </w:pPr>
            <w:r>
              <w:rPr>
                <w:rFonts w:cstheme="minorHAnsi"/>
                <w:sz w:val="16"/>
                <w:szCs w:val="16"/>
              </w:rPr>
              <w:t>Legend / colour</w:t>
            </w:r>
          </w:p>
        </w:tc>
      </w:tr>
      <w:tr w:rsidR="00672297" w14:paraId="3AE57706" w14:textId="77777777">
        <w:trPr>
          <w:cantSplit/>
        </w:trPr>
        <w:tc>
          <w:tcPr>
            <w:tcW w:w="1404" w:type="dxa"/>
            <w:vAlign w:val="center"/>
          </w:tcPr>
          <w:p w14:paraId="44D07C21" w14:textId="77777777" w:rsidR="00672297" w:rsidRDefault="00A16EA3">
            <w:pPr>
              <w:spacing w:before="20" w:after="20"/>
              <w:jc w:val="left"/>
            </w:pPr>
            <w:r>
              <w:rPr>
                <w:rFonts w:cstheme="minorHAnsi"/>
                <w:sz w:val="16"/>
                <w:szCs w:val="16"/>
              </w:rPr>
              <w:t>Event Timeline (Gantt)</w:t>
            </w:r>
          </w:p>
        </w:tc>
        <w:tc>
          <w:tcPr>
            <w:tcW w:w="1310" w:type="dxa"/>
            <w:vAlign w:val="center"/>
          </w:tcPr>
          <w:p w14:paraId="0D36CDDE" w14:textId="77777777" w:rsidR="00672297" w:rsidRDefault="00A16EA3">
            <w:pPr>
              <w:spacing w:before="20" w:after="20"/>
              <w:jc w:val="left"/>
            </w:pPr>
            <w:r>
              <w:rPr>
                <w:rFonts w:cstheme="minorHAnsi"/>
                <w:sz w:val="16"/>
                <w:szCs w:val="16"/>
              </w:rPr>
              <w:t>Origin / Origin Tank</w:t>
            </w:r>
          </w:p>
        </w:tc>
        <w:tc>
          <w:tcPr>
            <w:tcW w:w="1310" w:type="dxa"/>
            <w:vAlign w:val="center"/>
          </w:tcPr>
          <w:p w14:paraId="0A8462E4"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13D282DF" w14:textId="77777777" w:rsidR="00672297" w:rsidRDefault="00A16EA3">
            <w:pPr>
              <w:spacing w:before="20" w:after="20"/>
              <w:jc w:val="left"/>
            </w:pPr>
            <w:r>
              <w:rPr>
                <w:rFonts w:cstheme="minorHAnsi"/>
                <w:sz w:val="16"/>
                <w:szCs w:val="16"/>
              </w:rPr>
              <w:t>Source / OriginTank</w:t>
            </w:r>
          </w:p>
        </w:tc>
        <w:tc>
          <w:tcPr>
            <w:tcW w:w="655" w:type="dxa"/>
            <w:vAlign w:val="center"/>
          </w:tcPr>
          <w:p w14:paraId="0DF367C7" w14:textId="77777777" w:rsidR="00672297" w:rsidRDefault="00A16EA3">
            <w:pPr>
              <w:spacing w:before="20" w:after="20"/>
              <w:jc w:val="left"/>
            </w:pPr>
            <w:r>
              <w:rPr>
                <w:rFonts w:cstheme="minorHAnsi"/>
                <w:sz w:val="16"/>
                <w:szCs w:val="16"/>
              </w:rPr>
              <w:t>N</w:t>
            </w:r>
          </w:p>
        </w:tc>
        <w:tc>
          <w:tcPr>
            <w:tcW w:w="655" w:type="dxa"/>
            <w:vAlign w:val="center"/>
          </w:tcPr>
          <w:p w14:paraId="4DE0EAB3" w14:textId="77777777" w:rsidR="00672297" w:rsidRDefault="00A16EA3">
            <w:pPr>
              <w:spacing w:before="20" w:after="20"/>
              <w:jc w:val="left"/>
            </w:pPr>
            <w:r>
              <w:rPr>
                <w:rFonts w:cstheme="minorHAnsi"/>
                <w:sz w:val="16"/>
                <w:szCs w:val="16"/>
              </w:rPr>
              <w:t>N</w:t>
            </w:r>
          </w:p>
        </w:tc>
        <w:tc>
          <w:tcPr>
            <w:tcW w:w="655" w:type="dxa"/>
            <w:vAlign w:val="center"/>
          </w:tcPr>
          <w:p w14:paraId="4898B1B7" w14:textId="77777777" w:rsidR="00672297" w:rsidRDefault="00A16EA3">
            <w:pPr>
              <w:spacing w:before="20" w:after="20"/>
              <w:jc w:val="left"/>
            </w:pPr>
            <w:r>
              <w:rPr>
                <w:rFonts w:cstheme="minorHAnsi"/>
                <w:sz w:val="16"/>
                <w:szCs w:val="16"/>
              </w:rPr>
              <w:t>Y</w:t>
            </w:r>
          </w:p>
        </w:tc>
        <w:tc>
          <w:tcPr>
            <w:tcW w:w="1967" w:type="dxa"/>
            <w:vAlign w:val="center"/>
          </w:tcPr>
          <w:p w14:paraId="24E68768" w14:textId="77777777" w:rsidR="00672297" w:rsidRDefault="00A16EA3">
            <w:pPr>
              <w:spacing w:before="20" w:after="20"/>
              <w:jc w:val="left"/>
            </w:pPr>
            <w:r>
              <w:rPr>
                <w:rFonts w:cstheme="minorHAnsi"/>
                <w:sz w:val="16"/>
                <w:szCs w:val="16"/>
              </w:rPr>
              <w:t>Gantt grouping</w:t>
            </w:r>
          </w:p>
        </w:tc>
      </w:tr>
      <w:tr w:rsidR="00672297" w14:paraId="1AD8457F" w14:textId="77777777">
        <w:trPr>
          <w:cantSplit/>
        </w:trPr>
        <w:tc>
          <w:tcPr>
            <w:tcW w:w="1404" w:type="dxa"/>
            <w:vAlign w:val="center"/>
          </w:tcPr>
          <w:p w14:paraId="1013FDA5" w14:textId="77777777" w:rsidR="00672297" w:rsidRDefault="00A16EA3">
            <w:pPr>
              <w:spacing w:before="20" w:after="20"/>
              <w:jc w:val="left"/>
            </w:pPr>
            <w:r>
              <w:rPr>
                <w:rFonts w:cstheme="minorHAnsi"/>
                <w:sz w:val="16"/>
                <w:szCs w:val="16"/>
              </w:rPr>
              <w:t>Event Timeline (Gantt)</w:t>
            </w:r>
          </w:p>
        </w:tc>
        <w:tc>
          <w:tcPr>
            <w:tcW w:w="1310" w:type="dxa"/>
            <w:vAlign w:val="center"/>
          </w:tcPr>
          <w:p w14:paraId="69F65BF6" w14:textId="77777777" w:rsidR="00672297" w:rsidRDefault="00A16EA3">
            <w:pPr>
              <w:spacing w:before="20" w:after="20"/>
              <w:jc w:val="left"/>
            </w:pPr>
            <w:r>
              <w:rPr>
                <w:rFonts w:cstheme="minorHAnsi"/>
                <w:sz w:val="16"/>
                <w:szCs w:val="16"/>
              </w:rPr>
              <w:t>Tooltip</w:t>
            </w:r>
          </w:p>
        </w:tc>
        <w:tc>
          <w:tcPr>
            <w:tcW w:w="1310" w:type="dxa"/>
            <w:vAlign w:val="center"/>
          </w:tcPr>
          <w:p w14:paraId="2B32CEF9"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573B01CB" w14:textId="77777777" w:rsidR="00672297" w:rsidRDefault="00A16EA3">
            <w:pPr>
              <w:spacing w:before="20" w:after="20"/>
              <w:jc w:val="left"/>
            </w:pPr>
            <w:r>
              <w:rPr>
                <w:rFonts w:cstheme="minorHAnsi"/>
                <w:sz w:val="16"/>
                <w:szCs w:val="16"/>
              </w:rPr>
              <w:t>ProductName, BatchVolumeBbl, MOT, Destination, CertificationStatus, ETADateTime</w:t>
            </w:r>
          </w:p>
        </w:tc>
        <w:tc>
          <w:tcPr>
            <w:tcW w:w="655" w:type="dxa"/>
            <w:vAlign w:val="center"/>
          </w:tcPr>
          <w:p w14:paraId="0DC0B2B3" w14:textId="77777777" w:rsidR="00672297" w:rsidRDefault="00A16EA3">
            <w:pPr>
              <w:spacing w:before="20" w:after="20"/>
              <w:jc w:val="left"/>
            </w:pPr>
            <w:r>
              <w:rPr>
                <w:rFonts w:cstheme="minorHAnsi"/>
                <w:sz w:val="16"/>
                <w:szCs w:val="16"/>
              </w:rPr>
              <w:t>N</w:t>
            </w:r>
          </w:p>
        </w:tc>
        <w:tc>
          <w:tcPr>
            <w:tcW w:w="655" w:type="dxa"/>
            <w:vAlign w:val="center"/>
          </w:tcPr>
          <w:p w14:paraId="34942A5C" w14:textId="77777777" w:rsidR="00672297" w:rsidRDefault="00A16EA3">
            <w:pPr>
              <w:spacing w:before="20" w:after="20"/>
              <w:jc w:val="left"/>
            </w:pPr>
            <w:r>
              <w:rPr>
                <w:rFonts w:cstheme="minorHAnsi"/>
                <w:sz w:val="16"/>
                <w:szCs w:val="16"/>
              </w:rPr>
              <w:t>N</w:t>
            </w:r>
          </w:p>
        </w:tc>
        <w:tc>
          <w:tcPr>
            <w:tcW w:w="655" w:type="dxa"/>
            <w:vAlign w:val="center"/>
          </w:tcPr>
          <w:p w14:paraId="3329E124" w14:textId="77777777" w:rsidR="00672297" w:rsidRDefault="00A16EA3">
            <w:pPr>
              <w:spacing w:before="20" w:after="20"/>
              <w:jc w:val="left"/>
            </w:pPr>
            <w:r>
              <w:rPr>
                <w:rFonts w:cstheme="minorHAnsi"/>
                <w:sz w:val="16"/>
                <w:szCs w:val="16"/>
              </w:rPr>
              <w:t>Y</w:t>
            </w:r>
          </w:p>
        </w:tc>
        <w:tc>
          <w:tcPr>
            <w:tcW w:w="1967" w:type="dxa"/>
            <w:vAlign w:val="center"/>
          </w:tcPr>
          <w:p w14:paraId="68AEF41F" w14:textId="77777777" w:rsidR="00672297" w:rsidRDefault="00672297">
            <w:pPr>
              <w:spacing w:before="20" w:after="20"/>
              <w:jc w:val="left"/>
            </w:pPr>
          </w:p>
        </w:tc>
      </w:tr>
      <w:tr w:rsidR="00672297" w14:paraId="09348697" w14:textId="77777777">
        <w:trPr>
          <w:cantSplit/>
        </w:trPr>
        <w:tc>
          <w:tcPr>
            <w:tcW w:w="1404" w:type="dxa"/>
            <w:vAlign w:val="center"/>
          </w:tcPr>
          <w:p w14:paraId="75EED2C1" w14:textId="77777777" w:rsidR="00672297" w:rsidRDefault="00A16EA3">
            <w:pPr>
              <w:spacing w:before="20" w:after="20"/>
              <w:jc w:val="left"/>
            </w:pPr>
            <w:r>
              <w:rPr>
                <w:rFonts w:cstheme="minorHAnsi"/>
                <w:sz w:val="16"/>
                <w:szCs w:val="16"/>
              </w:rPr>
              <w:t>Event Summary Table</w:t>
            </w:r>
          </w:p>
        </w:tc>
        <w:tc>
          <w:tcPr>
            <w:tcW w:w="1310" w:type="dxa"/>
            <w:vAlign w:val="center"/>
          </w:tcPr>
          <w:p w14:paraId="66182A1A" w14:textId="77777777" w:rsidR="00672297" w:rsidRDefault="00A16EA3">
            <w:pPr>
              <w:spacing w:before="20" w:after="20"/>
              <w:jc w:val="left"/>
            </w:pPr>
            <w:r>
              <w:rPr>
                <w:rFonts w:cstheme="minorHAnsi"/>
                <w:sz w:val="16"/>
                <w:szCs w:val="16"/>
              </w:rPr>
              <w:t>Batch ID</w:t>
            </w:r>
          </w:p>
        </w:tc>
        <w:tc>
          <w:tcPr>
            <w:tcW w:w="1310" w:type="dxa"/>
            <w:vAlign w:val="center"/>
          </w:tcPr>
          <w:p w14:paraId="4814082D"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438A934B" w14:textId="77777777" w:rsidR="00672297" w:rsidRDefault="00A16EA3">
            <w:pPr>
              <w:spacing w:before="20" w:after="20"/>
              <w:jc w:val="left"/>
            </w:pPr>
            <w:r>
              <w:rPr>
                <w:rFonts w:cstheme="minorHAnsi"/>
                <w:sz w:val="16"/>
                <w:szCs w:val="16"/>
              </w:rPr>
              <w:t>BatchID</w:t>
            </w:r>
          </w:p>
        </w:tc>
        <w:tc>
          <w:tcPr>
            <w:tcW w:w="655" w:type="dxa"/>
            <w:vAlign w:val="center"/>
          </w:tcPr>
          <w:p w14:paraId="36418222" w14:textId="77777777" w:rsidR="00672297" w:rsidRDefault="00A16EA3">
            <w:pPr>
              <w:spacing w:before="20" w:after="20"/>
              <w:jc w:val="left"/>
            </w:pPr>
            <w:r>
              <w:rPr>
                <w:rFonts w:cstheme="minorHAnsi"/>
                <w:sz w:val="16"/>
                <w:szCs w:val="16"/>
              </w:rPr>
              <w:t>N</w:t>
            </w:r>
          </w:p>
        </w:tc>
        <w:tc>
          <w:tcPr>
            <w:tcW w:w="655" w:type="dxa"/>
            <w:vAlign w:val="center"/>
          </w:tcPr>
          <w:p w14:paraId="0A2A1CAF" w14:textId="77777777" w:rsidR="00672297" w:rsidRDefault="00A16EA3">
            <w:pPr>
              <w:spacing w:before="20" w:after="20"/>
              <w:jc w:val="left"/>
            </w:pPr>
            <w:r>
              <w:rPr>
                <w:rFonts w:cstheme="minorHAnsi"/>
                <w:sz w:val="16"/>
                <w:szCs w:val="16"/>
              </w:rPr>
              <w:t>N</w:t>
            </w:r>
          </w:p>
        </w:tc>
        <w:tc>
          <w:tcPr>
            <w:tcW w:w="655" w:type="dxa"/>
            <w:vAlign w:val="center"/>
          </w:tcPr>
          <w:p w14:paraId="0C9B203F" w14:textId="77777777" w:rsidR="00672297" w:rsidRDefault="00A16EA3">
            <w:pPr>
              <w:spacing w:before="20" w:after="20"/>
              <w:jc w:val="left"/>
            </w:pPr>
            <w:r>
              <w:rPr>
                <w:rFonts w:cstheme="minorHAnsi"/>
                <w:sz w:val="16"/>
                <w:szCs w:val="16"/>
              </w:rPr>
              <w:t>Y</w:t>
            </w:r>
          </w:p>
        </w:tc>
        <w:tc>
          <w:tcPr>
            <w:tcW w:w="1967" w:type="dxa"/>
            <w:vAlign w:val="center"/>
          </w:tcPr>
          <w:p w14:paraId="3630CCFB" w14:textId="77777777" w:rsidR="00672297" w:rsidRDefault="00672297">
            <w:pPr>
              <w:spacing w:before="20" w:after="20"/>
              <w:jc w:val="left"/>
            </w:pPr>
          </w:p>
        </w:tc>
      </w:tr>
      <w:tr w:rsidR="00672297" w14:paraId="110A53D7" w14:textId="77777777">
        <w:trPr>
          <w:cantSplit/>
        </w:trPr>
        <w:tc>
          <w:tcPr>
            <w:tcW w:w="1404" w:type="dxa"/>
            <w:vAlign w:val="center"/>
          </w:tcPr>
          <w:p w14:paraId="3F1BF452" w14:textId="77777777" w:rsidR="00672297" w:rsidRDefault="00A16EA3">
            <w:pPr>
              <w:spacing w:before="20" w:after="20"/>
              <w:jc w:val="left"/>
            </w:pPr>
            <w:r>
              <w:rPr>
                <w:rFonts w:cstheme="minorHAnsi"/>
                <w:sz w:val="16"/>
                <w:szCs w:val="16"/>
              </w:rPr>
              <w:t>Event Summary Table</w:t>
            </w:r>
          </w:p>
        </w:tc>
        <w:tc>
          <w:tcPr>
            <w:tcW w:w="1310" w:type="dxa"/>
            <w:vAlign w:val="center"/>
          </w:tcPr>
          <w:p w14:paraId="2E78C0BC" w14:textId="77777777" w:rsidR="00672297" w:rsidRDefault="00A16EA3">
            <w:pPr>
              <w:spacing w:before="20" w:after="20"/>
              <w:jc w:val="left"/>
            </w:pPr>
            <w:r>
              <w:rPr>
                <w:rFonts w:cstheme="minorHAnsi"/>
                <w:sz w:val="16"/>
                <w:szCs w:val="16"/>
              </w:rPr>
              <w:t>Status</w:t>
            </w:r>
          </w:p>
        </w:tc>
        <w:tc>
          <w:tcPr>
            <w:tcW w:w="1310" w:type="dxa"/>
            <w:vAlign w:val="center"/>
          </w:tcPr>
          <w:p w14:paraId="6986C90E"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72DC1957" w14:textId="77777777" w:rsidR="00672297" w:rsidRDefault="00A16EA3">
            <w:pPr>
              <w:spacing w:before="20" w:after="20"/>
              <w:jc w:val="left"/>
            </w:pPr>
            <w:r>
              <w:rPr>
                <w:rFonts w:cstheme="minorHAnsi"/>
                <w:sz w:val="16"/>
                <w:szCs w:val="16"/>
              </w:rPr>
              <w:t>BatchStatus</w:t>
            </w:r>
          </w:p>
        </w:tc>
        <w:tc>
          <w:tcPr>
            <w:tcW w:w="655" w:type="dxa"/>
            <w:vAlign w:val="center"/>
          </w:tcPr>
          <w:p w14:paraId="00C51718" w14:textId="77777777" w:rsidR="00672297" w:rsidRDefault="00A16EA3">
            <w:pPr>
              <w:spacing w:before="20" w:after="20"/>
              <w:jc w:val="left"/>
            </w:pPr>
            <w:r>
              <w:rPr>
                <w:rFonts w:cstheme="minorHAnsi"/>
                <w:sz w:val="16"/>
                <w:szCs w:val="16"/>
              </w:rPr>
              <w:t>N</w:t>
            </w:r>
          </w:p>
        </w:tc>
        <w:tc>
          <w:tcPr>
            <w:tcW w:w="655" w:type="dxa"/>
            <w:vAlign w:val="center"/>
          </w:tcPr>
          <w:p w14:paraId="2413AA32" w14:textId="77777777" w:rsidR="00672297" w:rsidRDefault="00A16EA3">
            <w:pPr>
              <w:spacing w:before="20" w:after="20"/>
              <w:jc w:val="left"/>
            </w:pPr>
            <w:r>
              <w:rPr>
                <w:rFonts w:cstheme="minorHAnsi"/>
                <w:sz w:val="16"/>
                <w:szCs w:val="16"/>
              </w:rPr>
              <w:t>Y</w:t>
            </w:r>
          </w:p>
        </w:tc>
        <w:tc>
          <w:tcPr>
            <w:tcW w:w="655" w:type="dxa"/>
            <w:vAlign w:val="center"/>
          </w:tcPr>
          <w:p w14:paraId="2174F5AB" w14:textId="77777777" w:rsidR="00672297" w:rsidRDefault="00A16EA3">
            <w:pPr>
              <w:spacing w:before="20" w:after="20"/>
              <w:jc w:val="left"/>
            </w:pPr>
            <w:r>
              <w:rPr>
                <w:rFonts w:cstheme="minorHAnsi"/>
                <w:sz w:val="16"/>
                <w:szCs w:val="16"/>
              </w:rPr>
              <w:t>Y</w:t>
            </w:r>
          </w:p>
        </w:tc>
        <w:tc>
          <w:tcPr>
            <w:tcW w:w="1967" w:type="dxa"/>
            <w:vAlign w:val="center"/>
          </w:tcPr>
          <w:p w14:paraId="1F015443" w14:textId="77777777" w:rsidR="00672297" w:rsidRDefault="00672297">
            <w:pPr>
              <w:spacing w:before="20" w:after="20"/>
              <w:jc w:val="left"/>
            </w:pPr>
          </w:p>
        </w:tc>
      </w:tr>
      <w:tr w:rsidR="00672297" w14:paraId="0362C7FD" w14:textId="77777777">
        <w:trPr>
          <w:cantSplit/>
        </w:trPr>
        <w:tc>
          <w:tcPr>
            <w:tcW w:w="1404" w:type="dxa"/>
            <w:vAlign w:val="center"/>
          </w:tcPr>
          <w:p w14:paraId="543F117E" w14:textId="77777777" w:rsidR="00672297" w:rsidRDefault="00A16EA3">
            <w:pPr>
              <w:spacing w:before="20" w:after="20"/>
              <w:jc w:val="left"/>
            </w:pPr>
            <w:r>
              <w:rPr>
                <w:rFonts w:cstheme="minorHAnsi"/>
                <w:sz w:val="16"/>
                <w:szCs w:val="16"/>
              </w:rPr>
              <w:t>Event Summary Table</w:t>
            </w:r>
          </w:p>
        </w:tc>
        <w:tc>
          <w:tcPr>
            <w:tcW w:w="1310" w:type="dxa"/>
            <w:vAlign w:val="center"/>
          </w:tcPr>
          <w:p w14:paraId="128F01AE" w14:textId="77777777" w:rsidR="00672297" w:rsidRDefault="00A16EA3">
            <w:pPr>
              <w:spacing w:before="20" w:after="20"/>
              <w:jc w:val="left"/>
            </w:pPr>
            <w:r>
              <w:rPr>
                <w:rFonts w:cstheme="minorHAnsi"/>
                <w:sz w:val="16"/>
                <w:szCs w:val="16"/>
              </w:rPr>
              <w:t>Origin / Origin Tank</w:t>
            </w:r>
          </w:p>
        </w:tc>
        <w:tc>
          <w:tcPr>
            <w:tcW w:w="1310" w:type="dxa"/>
            <w:vAlign w:val="center"/>
          </w:tcPr>
          <w:p w14:paraId="1340256A"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1EE805A3" w14:textId="77777777" w:rsidR="00672297" w:rsidRDefault="00A16EA3">
            <w:pPr>
              <w:spacing w:before="20" w:after="20"/>
              <w:jc w:val="left"/>
            </w:pPr>
            <w:r>
              <w:rPr>
                <w:rFonts w:cstheme="minorHAnsi"/>
                <w:sz w:val="16"/>
                <w:szCs w:val="16"/>
              </w:rPr>
              <w:t>Source / OriginTank</w:t>
            </w:r>
          </w:p>
        </w:tc>
        <w:tc>
          <w:tcPr>
            <w:tcW w:w="655" w:type="dxa"/>
            <w:vAlign w:val="center"/>
          </w:tcPr>
          <w:p w14:paraId="462D058C" w14:textId="77777777" w:rsidR="00672297" w:rsidRDefault="00A16EA3">
            <w:pPr>
              <w:spacing w:before="20" w:after="20"/>
              <w:jc w:val="left"/>
            </w:pPr>
            <w:r>
              <w:rPr>
                <w:rFonts w:cstheme="minorHAnsi"/>
                <w:sz w:val="16"/>
                <w:szCs w:val="16"/>
              </w:rPr>
              <w:t>N</w:t>
            </w:r>
          </w:p>
        </w:tc>
        <w:tc>
          <w:tcPr>
            <w:tcW w:w="655" w:type="dxa"/>
            <w:vAlign w:val="center"/>
          </w:tcPr>
          <w:p w14:paraId="483AA2B3" w14:textId="77777777" w:rsidR="00672297" w:rsidRDefault="00A16EA3">
            <w:pPr>
              <w:spacing w:before="20" w:after="20"/>
              <w:jc w:val="left"/>
            </w:pPr>
            <w:r>
              <w:rPr>
                <w:rFonts w:cstheme="minorHAnsi"/>
                <w:sz w:val="16"/>
                <w:szCs w:val="16"/>
              </w:rPr>
              <w:t>Y</w:t>
            </w:r>
          </w:p>
        </w:tc>
        <w:tc>
          <w:tcPr>
            <w:tcW w:w="655" w:type="dxa"/>
            <w:vAlign w:val="center"/>
          </w:tcPr>
          <w:p w14:paraId="0C809AE0" w14:textId="77777777" w:rsidR="00672297" w:rsidRDefault="00A16EA3">
            <w:pPr>
              <w:spacing w:before="20" w:after="20"/>
              <w:jc w:val="left"/>
            </w:pPr>
            <w:r>
              <w:rPr>
                <w:rFonts w:cstheme="minorHAnsi"/>
                <w:sz w:val="16"/>
                <w:szCs w:val="16"/>
              </w:rPr>
              <w:t>Y</w:t>
            </w:r>
          </w:p>
        </w:tc>
        <w:tc>
          <w:tcPr>
            <w:tcW w:w="1967" w:type="dxa"/>
            <w:vAlign w:val="center"/>
          </w:tcPr>
          <w:p w14:paraId="3CC241CA" w14:textId="77777777" w:rsidR="00672297" w:rsidRDefault="00672297">
            <w:pPr>
              <w:spacing w:before="20" w:after="20"/>
              <w:jc w:val="left"/>
            </w:pPr>
          </w:p>
        </w:tc>
      </w:tr>
      <w:tr w:rsidR="00672297" w14:paraId="5B41DB67" w14:textId="77777777">
        <w:trPr>
          <w:cantSplit/>
        </w:trPr>
        <w:tc>
          <w:tcPr>
            <w:tcW w:w="1404" w:type="dxa"/>
            <w:vAlign w:val="center"/>
          </w:tcPr>
          <w:p w14:paraId="7F9EF412" w14:textId="77777777" w:rsidR="00672297" w:rsidRDefault="00A16EA3">
            <w:pPr>
              <w:spacing w:before="20" w:after="20"/>
              <w:jc w:val="left"/>
            </w:pPr>
            <w:r>
              <w:rPr>
                <w:rFonts w:cstheme="minorHAnsi"/>
                <w:sz w:val="16"/>
                <w:szCs w:val="16"/>
              </w:rPr>
              <w:t>Event Summary Table</w:t>
            </w:r>
          </w:p>
        </w:tc>
        <w:tc>
          <w:tcPr>
            <w:tcW w:w="1310" w:type="dxa"/>
            <w:vAlign w:val="center"/>
          </w:tcPr>
          <w:p w14:paraId="10065B77" w14:textId="77777777" w:rsidR="00672297" w:rsidRDefault="00A16EA3">
            <w:pPr>
              <w:spacing w:before="20" w:after="20"/>
              <w:jc w:val="left"/>
            </w:pPr>
            <w:r>
              <w:rPr>
                <w:rFonts w:cstheme="minorHAnsi"/>
                <w:sz w:val="16"/>
                <w:szCs w:val="16"/>
              </w:rPr>
              <w:t>Destination / Destination Tank</w:t>
            </w:r>
          </w:p>
        </w:tc>
        <w:tc>
          <w:tcPr>
            <w:tcW w:w="1310" w:type="dxa"/>
            <w:vAlign w:val="center"/>
          </w:tcPr>
          <w:p w14:paraId="5EEFA0B2"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29F4BCE9" w14:textId="77777777" w:rsidR="00672297" w:rsidRDefault="00A16EA3">
            <w:pPr>
              <w:spacing w:before="20" w:after="20"/>
              <w:jc w:val="left"/>
            </w:pPr>
            <w:r>
              <w:rPr>
                <w:rFonts w:cstheme="minorHAnsi"/>
                <w:sz w:val="16"/>
                <w:szCs w:val="16"/>
              </w:rPr>
              <w:t>Destination / DestinationTank</w:t>
            </w:r>
          </w:p>
        </w:tc>
        <w:tc>
          <w:tcPr>
            <w:tcW w:w="655" w:type="dxa"/>
            <w:vAlign w:val="center"/>
          </w:tcPr>
          <w:p w14:paraId="2CFFEDDE" w14:textId="77777777" w:rsidR="00672297" w:rsidRDefault="00A16EA3">
            <w:pPr>
              <w:spacing w:before="20" w:after="20"/>
              <w:jc w:val="left"/>
            </w:pPr>
            <w:r>
              <w:rPr>
                <w:rFonts w:cstheme="minorHAnsi"/>
                <w:sz w:val="16"/>
                <w:szCs w:val="16"/>
              </w:rPr>
              <w:t>N</w:t>
            </w:r>
          </w:p>
        </w:tc>
        <w:tc>
          <w:tcPr>
            <w:tcW w:w="655" w:type="dxa"/>
            <w:vAlign w:val="center"/>
          </w:tcPr>
          <w:p w14:paraId="71553277" w14:textId="77777777" w:rsidR="00672297" w:rsidRDefault="00A16EA3">
            <w:pPr>
              <w:spacing w:before="20" w:after="20"/>
              <w:jc w:val="left"/>
            </w:pPr>
            <w:r>
              <w:rPr>
                <w:rFonts w:cstheme="minorHAnsi"/>
                <w:sz w:val="16"/>
                <w:szCs w:val="16"/>
              </w:rPr>
              <w:t>Y</w:t>
            </w:r>
          </w:p>
        </w:tc>
        <w:tc>
          <w:tcPr>
            <w:tcW w:w="655" w:type="dxa"/>
            <w:vAlign w:val="center"/>
          </w:tcPr>
          <w:p w14:paraId="6C7DF0BF" w14:textId="77777777" w:rsidR="00672297" w:rsidRDefault="00A16EA3">
            <w:pPr>
              <w:spacing w:before="20" w:after="20"/>
              <w:jc w:val="left"/>
            </w:pPr>
            <w:r>
              <w:rPr>
                <w:rFonts w:cstheme="minorHAnsi"/>
                <w:sz w:val="16"/>
                <w:szCs w:val="16"/>
              </w:rPr>
              <w:t>Y</w:t>
            </w:r>
          </w:p>
        </w:tc>
        <w:tc>
          <w:tcPr>
            <w:tcW w:w="1967" w:type="dxa"/>
            <w:vAlign w:val="center"/>
          </w:tcPr>
          <w:p w14:paraId="3689B06B" w14:textId="77777777" w:rsidR="00672297" w:rsidRDefault="00672297">
            <w:pPr>
              <w:spacing w:before="20" w:after="20"/>
              <w:jc w:val="left"/>
            </w:pPr>
          </w:p>
        </w:tc>
      </w:tr>
      <w:tr w:rsidR="00672297" w14:paraId="1C8F5895" w14:textId="77777777">
        <w:trPr>
          <w:cantSplit/>
        </w:trPr>
        <w:tc>
          <w:tcPr>
            <w:tcW w:w="1404" w:type="dxa"/>
            <w:vAlign w:val="center"/>
          </w:tcPr>
          <w:p w14:paraId="088AD2CA" w14:textId="77777777" w:rsidR="00672297" w:rsidRDefault="00A16EA3">
            <w:pPr>
              <w:spacing w:before="20" w:after="20"/>
              <w:jc w:val="left"/>
            </w:pPr>
            <w:r>
              <w:rPr>
                <w:rFonts w:cstheme="minorHAnsi"/>
                <w:sz w:val="16"/>
                <w:szCs w:val="16"/>
              </w:rPr>
              <w:t>Event Summary Table</w:t>
            </w:r>
          </w:p>
        </w:tc>
        <w:tc>
          <w:tcPr>
            <w:tcW w:w="1310" w:type="dxa"/>
            <w:vAlign w:val="center"/>
          </w:tcPr>
          <w:p w14:paraId="50C55717" w14:textId="77777777" w:rsidR="00672297" w:rsidRDefault="00A16EA3">
            <w:pPr>
              <w:spacing w:before="20" w:after="20"/>
              <w:jc w:val="left"/>
            </w:pPr>
            <w:r>
              <w:rPr>
                <w:rFonts w:cstheme="minorHAnsi"/>
                <w:sz w:val="16"/>
                <w:szCs w:val="16"/>
              </w:rPr>
              <w:t>Grade</w:t>
            </w:r>
          </w:p>
        </w:tc>
        <w:tc>
          <w:tcPr>
            <w:tcW w:w="1310" w:type="dxa"/>
            <w:vAlign w:val="center"/>
          </w:tcPr>
          <w:p w14:paraId="3DAAE0AD"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5F7A2616" w14:textId="77777777" w:rsidR="00672297" w:rsidRDefault="00A16EA3">
            <w:pPr>
              <w:spacing w:before="20" w:after="20"/>
              <w:jc w:val="left"/>
            </w:pPr>
            <w:r>
              <w:rPr>
                <w:rFonts w:cstheme="minorHAnsi"/>
                <w:sz w:val="16"/>
                <w:szCs w:val="16"/>
              </w:rPr>
              <w:t>ProductName</w:t>
            </w:r>
          </w:p>
        </w:tc>
        <w:tc>
          <w:tcPr>
            <w:tcW w:w="655" w:type="dxa"/>
            <w:vAlign w:val="center"/>
          </w:tcPr>
          <w:p w14:paraId="6C1400A4" w14:textId="77777777" w:rsidR="00672297" w:rsidRDefault="00A16EA3">
            <w:pPr>
              <w:spacing w:before="20" w:after="20"/>
              <w:jc w:val="left"/>
            </w:pPr>
            <w:r>
              <w:rPr>
                <w:rFonts w:cstheme="minorHAnsi"/>
                <w:sz w:val="16"/>
                <w:szCs w:val="16"/>
              </w:rPr>
              <w:t>N</w:t>
            </w:r>
          </w:p>
        </w:tc>
        <w:tc>
          <w:tcPr>
            <w:tcW w:w="655" w:type="dxa"/>
            <w:vAlign w:val="center"/>
          </w:tcPr>
          <w:p w14:paraId="56698DEF" w14:textId="77777777" w:rsidR="00672297" w:rsidRDefault="00A16EA3">
            <w:pPr>
              <w:spacing w:before="20" w:after="20"/>
              <w:jc w:val="left"/>
            </w:pPr>
            <w:r>
              <w:rPr>
                <w:rFonts w:cstheme="minorHAnsi"/>
                <w:sz w:val="16"/>
                <w:szCs w:val="16"/>
              </w:rPr>
              <w:t>Y</w:t>
            </w:r>
          </w:p>
        </w:tc>
        <w:tc>
          <w:tcPr>
            <w:tcW w:w="655" w:type="dxa"/>
            <w:vAlign w:val="center"/>
          </w:tcPr>
          <w:p w14:paraId="2A76FB7E" w14:textId="77777777" w:rsidR="00672297" w:rsidRDefault="00A16EA3">
            <w:pPr>
              <w:spacing w:before="20" w:after="20"/>
              <w:jc w:val="left"/>
            </w:pPr>
            <w:r>
              <w:rPr>
                <w:rFonts w:cstheme="minorHAnsi"/>
                <w:sz w:val="16"/>
                <w:szCs w:val="16"/>
              </w:rPr>
              <w:t>Y</w:t>
            </w:r>
          </w:p>
        </w:tc>
        <w:tc>
          <w:tcPr>
            <w:tcW w:w="1967" w:type="dxa"/>
            <w:vAlign w:val="center"/>
          </w:tcPr>
          <w:p w14:paraId="319AD94E" w14:textId="77777777" w:rsidR="00672297" w:rsidRDefault="00672297">
            <w:pPr>
              <w:spacing w:before="20" w:after="20"/>
              <w:jc w:val="left"/>
            </w:pPr>
          </w:p>
        </w:tc>
      </w:tr>
      <w:tr w:rsidR="00672297" w14:paraId="6AC33BE3" w14:textId="77777777">
        <w:trPr>
          <w:cantSplit/>
        </w:trPr>
        <w:tc>
          <w:tcPr>
            <w:tcW w:w="1404" w:type="dxa"/>
            <w:vAlign w:val="center"/>
          </w:tcPr>
          <w:p w14:paraId="42461E66" w14:textId="77777777" w:rsidR="00672297" w:rsidRDefault="00A16EA3">
            <w:pPr>
              <w:spacing w:before="20" w:after="20"/>
              <w:jc w:val="left"/>
            </w:pPr>
            <w:r>
              <w:rPr>
                <w:rFonts w:cstheme="minorHAnsi"/>
                <w:sz w:val="16"/>
                <w:szCs w:val="16"/>
              </w:rPr>
              <w:t>Event Summary Table</w:t>
            </w:r>
          </w:p>
        </w:tc>
        <w:tc>
          <w:tcPr>
            <w:tcW w:w="1310" w:type="dxa"/>
            <w:vAlign w:val="center"/>
          </w:tcPr>
          <w:p w14:paraId="170919D5" w14:textId="77777777" w:rsidR="00672297" w:rsidRDefault="00A16EA3">
            <w:pPr>
              <w:spacing w:before="20" w:after="20"/>
              <w:jc w:val="left"/>
            </w:pPr>
            <w:r>
              <w:rPr>
                <w:rFonts w:cstheme="minorHAnsi"/>
                <w:sz w:val="16"/>
                <w:szCs w:val="16"/>
              </w:rPr>
              <w:t>Volume (bbl)</w:t>
            </w:r>
          </w:p>
        </w:tc>
        <w:tc>
          <w:tcPr>
            <w:tcW w:w="1310" w:type="dxa"/>
            <w:vAlign w:val="center"/>
          </w:tcPr>
          <w:p w14:paraId="5330ADA2"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0D8214F8" w14:textId="77777777" w:rsidR="00672297" w:rsidRDefault="00A16EA3">
            <w:pPr>
              <w:spacing w:before="20" w:after="20"/>
              <w:jc w:val="left"/>
            </w:pPr>
            <w:r>
              <w:rPr>
                <w:rFonts w:cstheme="minorHAnsi"/>
                <w:sz w:val="16"/>
                <w:szCs w:val="16"/>
              </w:rPr>
              <w:t>BatchVolumeBbl</w:t>
            </w:r>
          </w:p>
        </w:tc>
        <w:tc>
          <w:tcPr>
            <w:tcW w:w="655" w:type="dxa"/>
            <w:vAlign w:val="center"/>
          </w:tcPr>
          <w:p w14:paraId="526B1DE6" w14:textId="77777777" w:rsidR="00672297" w:rsidRDefault="00A16EA3">
            <w:pPr>
              <w:spacing w:before="20" w:after="20"/>
              <w:jc w:val="left"/>
            </w:pPr>
            <w:r>
              <w:rPr>
                <w:rFonts w:cstheme="minorHAnsi"/>
                <w:sz w:val="16"/>
                <w:szCs w:val="16"/>
              </w:rPr>
              <w:t>N</w:t>
            </w:r>
          </w:p>
        </w:tc>
        <w:tc>
          <w:tcPr>
            <w:tcW w:w="655" w:type="dxa"/>
            <w:vAlign w:val="center"/>
          </w:tcPr>
          <w:p w14:paraId="7266D60C" w14:textId="77777777" w:rsidR="00672297" w:rsidRDefault="00A16EA3">
            <w:pPr>
              <w:spacing w:before="20" w:after="20"/>
              <w:jc w:val="left"/>
            </w:pPr>
            <w:r>
              <w:rPr>
                <w:rFonts w:cstheme="minorHAnsi"/>
                <w:sz w:val="16"/>
                <w:szCs w:val="16"/>
              </w:rPr>
              <w:t>N</w:t>
            </w:r>
          </w:p>
        </w:tc>
        <w:tc>
          <w:tcPr>
            <w:tcW w:w="655" w:type="dxa"/>
            <w:vAlign w:val="center"/>
          </w:tcPr>
          <w:p w14:paraId="6E2E6DDD" w14:textId="77777777" w:rsidR="00672297" w:rsidRDefault="00A16EA3">
            <w:pPr>
              <w:spacing w:before="20" w:after="20"/>
              <w:jc w:val="left"/>
            </w:pPr>
            <w:r>
              <w:rPr>
                <w:rFonts w:cstheme="minorHAnsi"/>
                <w:sz w:val="16"/>
                <w:szCs w:val="16"/>
              </w:rPr>
              <w:t>Y</w:t>
            </w:r>
          </w:p>
        </w:tc>
        <w:tc>
          <w:tcPr>
            <w:tcW w:w="1967" w:type="dxa"/>
            <w:vAlign w:val="center"/>
          </w:tcPr>
          <w:p w14:paraId="06399985" w14:textId="77777777" w:rsidR="00672297" w:rsidRDefault="00672297">
            <w:pPr>
              <w:spacing w:before="20" w:after="20"/>
              <w:jc w:val="left"/>
            </w:pPr>
          </w:p>
        </w:tc>
      </w:tr>
      <w:tr w:rsidR="00672297" w14:paraId="6AF4C57E" w14:textId="77777777">
        <w:trPr>
          <w:cantSplit/>
        </w:trPr>
        <w:tc>
          <w:tcPr>
            <w:tcW w:w="1404" w:type="dxa"/>
            <w:vAlign w:val="center"/>
          </w:tcPr>
          <w:p w14:paraId="5EDD529F" w14:textId="77777777" w:rsidR="00672297" w:rsidRDefault="00A16EA3">
            <w:pPr>
              <w:spacing w:before="20" w:after="20"/>
              <w:jc w:val="left"/>
            </w:pPr>
            <w:r>
              <w:rPr>
                <w:rFonts w:cstheme="minorHAnsi"/>
                <w:sz w:val="16"/>
                <w:szCs w:val="16"/>
              </w:rPr>
              <w:t>Event Summary Table</w:t>
            </w:r>
          </w:p>
        </w:tc>
        <w:tc>
          <w:tcPr>
            <w:tcW w:w="1310" w:type="dxa"/>
            <w:vAlign w:val="center"/>
          </w:tcPr>
          <w:p w14:paraId="6BB791D3" w14:textId="77777777" w:rsidR="00672297" w:rsidRDefault="00A16EA3">
            <w:pPr>
              <w:spacing w:before="20" w:after="20"/>
              <w:jc w:val="left"/>
            </w:pPr>
            <w:r>
              <w:rPr>
                <w:rFonts w:cstheme="minorHAnsi"/>
                <w:sz w:val="16"/>
                <w:szCs w:val="16"/>
              </w:rPr>
              <w:t>MOT</w:t>
            </w:r>
          </w:p>
        </w:tc>
        <w:tc>
          <w:tcPr>
            <w:tcW w:w="1310" w:type="dxa"/>
            <w:vAlign w:val="center"/>
          </w:tcPr>
          <w:p w14:paraId="7C62335A"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5E58EC85" w14:textId="77777777" w:rsidR="00672297" w:rsidRDefault="00A16EA3">
            <w:pPr>
              <w:spacing w:before="20" w:after="20"/>
              <w:jc w:val="left"/>
            </w:pPr>
            <w:r>
              <w:rPr>
                <w:rFonts w:cstheme="minorHAnsi"/>
                <w:sz w:val="16"/>
                <w:szCs w:val="16"/>
              </w:rPr>
              <w:t>MOT</w:t>
            </w:r>
          </w:p>
        </w:tc>
        <w:tc>
          <w:tcPr>
            <w:tcW w:w="655" w:type="dxa"/>
            <w:vAlign w:val="center"/>
          </w:tcPr>
          <w:p w14:paraId="147688A7" w14:textId="77777777" w:rsidR="00672297" w:rsidRDefault="00A16EA3">
            <w:pPr>
              <w:spacing w:before="20" w:after="20"/>
              <w:jc w:val="left"/>
            </w:pPr>
            <w:r>
              <w:rPr>
                <w:rFonts w:cstheme="minorHAnsi"/>
                <w:sz w:val="16"/>
                <w:szCs w:val="16"/>
              </w:rPr>
              <w:t>N</w:t>
            </w:r>
          </w:p>
        </w:tc>
        <w:tc>
          <w:tcPr>
            <w:tcW w:w="655" w:type="dxa"/>
            <w:vAlign w:val="center"/>
          </w:tcPr>
          <w:p w14:paraId="22653C72" w14:textId="77777777" w:rsidR="00672297" w:rsidRDefault="00A16EA3">
            <w:pPr>
              <w:spacing w:before="20" w:after="20"/>
              <w:jc w:val="left"/>
            </w:pPr>
            <w:r>
              <w:rPr>
                <w:rFonts w:cstheme="minorHAnsi"/>
                <w:sz w:val="16"/>
                <w:szCs w:val="16"/>
              </w:rPr>
              <w:t>N</w:t>
            </w:r>
          </w:p>
        </w:tc>
        <w:tc>
          <w:tcPr>
            <w:tcW w:w="655" w:type="dxa"/>
            <w:vAlign w:val="center"/>
          </w:tcPr>
          <w:p w14:paraId="20CCA9B9" w14:textId="77777777" w:rsidR="00672297" w:rsidRDefault="00A16EA3">
            <w:pPr>
              <w:spacing w:before="20" w:after="20"/>
              <w:jc w:val="left"/>
            </w:pPr>
            <w:r>
              <w:rPr>
                <w:rFonts w:cstheme="minorHAnsi"/>
                <w:sz w:val="16"/>
                <w:szCs w:val="16"/>
              </w:rPr>
              <w:t>Y</w:t>
            </w:r>
          </w:p>
        </w:tc>
        <w:tc>
          <w:tcPr>
            <w:tcW w:w="1967" w:type="dxa"/>
            <w:vAlign w:val="center"/>
          </w:tcPr>
          <w:p w14:paraId="6697DC8C" w14:textId="77777777" w:rsidR="00672297" w:rsidRDefault="00672297">
            <w:pPr>
              <w:spacing w:before="20" w:after="20"/>
              <w:jc w:val="left"/>
            </w:pPr>
          </w:p>
        </w:tc>
      </w:tr>
      <w:tr w:rsidR="00672297" w14:paraId="700E2C59" w14:textId="77777777">
        <w:trPr>
          <w:cantSplit/>
        </w:trPr>
        <w:tc>
          <w:tcPr>
            <w:tcW w:w="1404" w:type="dxa"/>
            <w:vAlign w:val="center"/>
          </w:tcPr>
          <w:p w14:paraId="4B495C6C" w14:textId="77777777" w:rsidR="00672297" w:rsidRDefault="00A16EA3">
            <w:pPr>
              <w:spacing w:before="20" w:after="20"/>
              <w:jc w:val="left"/>
            </w:pPr>
            <w:r>
              <w:rPr>
                <w:rFonts w:cstheme="minorHAnsi"/>
                <w:sz w:val="16"/>
                <w:szCs w:val="16"/>
              </w:rPr>
              <w:t>Event Summary Table</w:t>
            </w:r>
          </w:p>
        </w:tc>
        <w:tc>
          <w:tcPr>
            <w:tcW w:w="1310" w:type="dxa"/>
            <w:vAlign w:val="center"/>
          </w:tcPr>
          <w:p w14:paraId="586B7991" w14:textId="77777777" w:rsidR="00672297" w:rsidRDefault="00A16EA3">
            <w:pPr>
              <w:spacing w:before="20" w:after="20"/>
              <w:jc w:val="left"/>
            </w:pPr>
            <w:r>
              <w:rPr>
                <w:rFonts w:cstheme="minorHAnsi"/>
                <w:sz w:val="16"/>
                <w:szCs w:val="16"/>
              </w:rPr>
              <w:t>Start Time / Certification Date / ETA</w:t>
            </w:r>
          </w:p>
        </w:tc>
        <w:tc>
          <w:tcPr>
            <w:tcW w:w="1310" w:type="dxa"/>
            <w:vAlign w:val="center"/>
          </w:tcPr>
          <w:p w14:paraId="2E23A3D1"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2850513C" w14:textId="77777777" w:rsidR="00672297" w:rsidRDefault="00A16EA3">
            <w:pPr>
              <w:spacing w:before="20" w:after="20"/>
              <w:jc w:val="left"/>
            </w:pPr>
            <w:r>
              <w:rPr>
                <w:rFonts w:cstheme="minorHAnsi"/>
                <w:sz w:val="16"/>
                <w:szCs w:val="16"/>
              </w:rPr>
              <w:t>StartDateTime / CertificationDate / ETADateTime</w:t>
            </w:r>
          </w:p>
        </w:tc>
        <w:tc>
          <w:tcPr>
            <w:tcW w:w="655" w:type="dxa"/>
            <w:vAlign w:val="center"/>
          </w:tcPr>
          <w:p w14:paraId="2C492924" w14:textId="77777777" w:rsidR="00672297" w:rsidRDefault="00A16EA3">
            <w:pPr>
              <w:spacing w:before="20" w:after="20"/>
              <w:jc w:val="left"/>
            </w:pPr>
            <w:r>
              <w:rPr>
                <w:rFonts w:cstheme="minorHAnsi"/>
                <w:sz w:val="16"/>
                <w:szCs w:val="16"/>
              </w:rPr>
              <w:t>N</w:t>
            </w:r>
          </w:p>
        </w:tc>
        <w:tc>
          <w:tcPr>
            <w:tcW w:w="655" w:type="dxa"/>
            <w:vAlign w:val="center"/>
          </w:tcPr>
          <w:p w14:paraId="0DBC025A" w14:textId="77777777" w:rsidR="00672297" w:rsidRDefault="00A16EA3">
            <w:pPr>
              <w:spacing w:before="20" w:after="20"/>
              <w:jc w:val="left"/>
            </w:pPr>
            <w:r>
              <w:rPr>
                <w:rFonts w:cstheme="minorHAnsi"/>
                <w:sz w:val="16"/>
                <w:szCs w:val="16"/>
              </w:rPr>
              <w:t>Y</w:t>
            </w:r>
          </w:p>
        </w:tc>
        <w:tc>
          <w:tcPr>
            <w:tcW w:w="655" w:type="dxa"/>
            <w:vAlign w:val="center"/>
          </w:tcPr>
          <w:p w14:paraId="00B2F9FC" w14:textId="77777777" w:rsidR="00672297" w:rsidRDefault="00A16EA3">
            <w:pPr>
              <w:spacing w:before="20" w:after="20"/>
              <w:jc w:val="left"/>
            </w:pPr>
            <w:r>
              <w:rPr>
                <w:rFonts w:cstheme="minorHAnsi"/>
                <w:sz w:val="16"/>
                <w:szCs w:val="16"/>
              </w:rPr>
              <w:t>Y</w:t>
            </w:r>
          </w:p>
        </w:tc>
        <w:tc>
          <w:tcPr>
            <w:tcW w:w="1967" w:type="dxa"/>
            <w:vAlign w:val="center"/>
          </w:tcPr>
          <w:p w14:paraId="6D2CF05E" w14:textId="77777777" w:rsidR="00672297" w:rsidRDefault="00672297">
            <w:pPr>
              <w:spacing w:before="20" w:after="20"/>
              <w:jc w:val="left"/>
            </w:pPr>
          </w:p>
        </w:tc>
      </w:tr>
      <w:tr w:rsidR="00672297" w14:paraId="05529F9A" w14:textId="77777777">
        <w:trPr>
          <w:cantSplit/>
        </w:trPr>
        <w:tc>
          <w:tcPr>
            <w:tcW w:w="1404" w:type="dxa"/>
            <w:vAlign w:val="center"/>
          </w:tcPr>
          <w:p w14:paraId="6AC854C8" w14:textId="77777777" w:rsidR="00672297" w:rsidRDefault="00A16EA3">
            <w:pPr>
              <w:spacing w:before="20" w:after="20"/>
              <w:jc w:val="left"/>
            </w:pPr>
            <w:r>
              <w:rPr>
                <w:rFonts w:cstheme="minorHAnsi"/>
                <w:sz w:val="16"/>
                <w:szCs w:val="16"/>
              </w:rPr>
              <w:t>Event Summary Table (Distillate page)</w:t>
            </w:r>
          </w:p>
        </w:tc>
        <w:tc>
          <w:tcPr>
            <w:tcW w:w="1310" w:type="dxa"/>
            <w:vAlign w:val="center"/>
          </w:tcPr>
          <w:p w14:paraId="22695FA3" w14:textId="77777777" w:rsidR="00672297" w:rsidRDefault="00A16EA3">
            <w:pPr>
              <w:spacing w:before="20" w:after="20"/>
              <w:jc w:val="left"/>
            </w:pPr>
            <w:r>
              <w:rPr>
                <w:rFonts w:cstheme="minorHAnsi"/>
                <w:sz w:val="16"/>
                <w:szCs w:val="16"/>
              </w:rPr>
              <w:t>Flash, Sulphur, Adj. Cloud Point, T-90, FBP, Freezing Point, Viscosity - Min / Actual / Max</w:t>
            </w:r>
          </w:p>
        </w:tc>
        <w:tc>
          <w:tcPr>
            <w:tcW w:w="1310" w:type="dxa"/>
            <w:vAlign w:val="center"/>
          </w:tcPr>
          <w:p w14:paraId="3F86C81B"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30B7901F" w14:textId="77777777" w:rsidR="00672297" w:rsidRDefault="00A16EA3">
            <w:pPr>
              <w:spacing w:before="20" w:after="20"/>
              <w:jc w:val="left"/>
            </w:pPr>
            <w:r>
              <w:rPr>
                <w:rFonts w:cstheme="minorHAnsi"/>
                <w:sz w:val="16"/>
                <w:szCs w:val="16"/>
              </w:rPr>
              <w:t>&lt;Property&gt;Min / &lt;Property&gt;Actual / &lt;Property&gt;Max</w:t>
            </w:r>
          </w:p>
        </w:tc>
        <w:tc>
          <w:tcPr>
            <w:tcW w:w="655" w:type="dxa"/>
            <w:vAlign w:val="center"/>
          </w:tcPr>
          <w:p w14:paraId="0D20C6B6" w14:textId="77777777" w:rsidR="00672297" w:rsidRDefault="00A16EA3">
            <w:pPr>
              <w:spacing w:before="20" w:after="20"/>
              <w:jc w:val="left"/>
            </w:pPr>
            <w:r>
              <w:rPr>
                <w:rFonts w:cstheme="minorHAnsi"/>
                <w:sz w:val="16"/>
                <w:szCs w:val="16"/>
              </w:rPr>
              <w:t>N</w:t>
            </w:r>
          </w:p>
        </w:tc>
        <w:tc>
          <w:tcPr>
            <w:tcW w:w="655" w:type="dxa"/>
            <w:vAlign w:val="center"/>
          </w:tcPr>
          <w:p w14:paraId="3D73F89A" w14:textId="77777777" w:rsidR="00672297" w:rsidRDefault="00A16EA3">
            <w:pPr>
              <w:spacing w:before="20" w:after="20"/>
              <w:jc w:val="left"/>
            </w:pPr>
            <w:r>
              <w:rPr>
                <w:rFonts w:cstheme="minorHAnsi"/>
                <w:sz w:val="16"/>
                <w:szCs w:val="16"/>
              </w:rPr>
              <w:t>N</w:t>
            </w:r>
          </w:p>
        </w:tc>
        <w:tc>
          <w:tcPr>
            <w:tcW w:w="655" w:type="dxa"/>
            <w:vAlign w:val="center"/>
          </w:tcPr>
          <w:p w14:paraId="25150689" w14:textId="77777777" w:rsidR="00672297" w:rsidRDefault="00A16EA3">
            <w:pPr>
              <w:spacing w:before="20" w:after="20"/>
              <w:jc w:val="left"/>
            </w:pPr>
            <w:r>
              <w:rPr>
                <w:rFonts w:cstheme="minorHAnsi"/>
                <w:sz w:val="16"/>
                <w:szCs w:val="16"/>
              </w:rPr>
              <w:t>Y</w:t>
            </w:r>
          </w:p>
        </w:tc>
        <w:tc>
          <w:tcPr>
            <w:tcW w:w="1967" w:type="dxa"/>
            <w:vAlign w:val="center"/>
          </w:tcPr>
          <w:p w14:paraId="32A88066" w14:textId="77777777" w:rsidR="00672297" w:rsidRDefault="00A16EA3">
            <w:pPr>
              <w:spacing w:before="20" w:after="20"/>
              <w:jc w:val="left"/>
            </w:pPr>
            <w:r>
              <w:rPr>
                <w:rFonts w:cstheme="minorHAnsi"/>
                <w:sz w:val="16"/>
                <w:szCs w:val="16"/>
              </w:rPr>
              <w:t>Actual coloured by [&lt;Property&gt; Colour]</w:t>
            </w:r>
          </w:p>
        </w:tc>
      </w:tr>
      <w:tr w:rsidR="00672297" w14:paraId="5DA088F1" w14:textId="77777777">
        <w:trPr>
          <w:cantSplit/>
        </w:trPr>
        <w:tc>
          <w:tcPr>
            <w:tcW w:w="1404" w:type="dxa"/>
            <w:vAlign w:val="center"/>
          </w:tcPr>
          <w:p w14:paraId="4DC1828E" w14:textId="77777777" w:rsidR="00672297" w:rsidRDefault="00A16EA3">
            <w:pPr>
              <w:spacing w:before="20" w:after="20"/>
              <w:jc w:val="left"/>
            </w:pPr>
            <w:r>
              <w:rPr>
                <w:rFonts w:cstheme="minorHAnsi"/>
                <w:sz w:val="16"/>
                <w:szCs w:val="16"/>
              </w:rPr>
              <w:t>Event Summary Table (Gasoline page)</w:t>
            </w:r>
          </w:p>
        </w:tc>
        <w:tc>
          <w:tcPr>
            <w:tcW w:w="1310" w:type="dxa"/>
            <w:vAlign w:val="center"/>
          </w:tcPr>
          <w:p w14:paraId="13BA507D" w14:textId="77777777" w:rsidR="00672297" w:rsidRDefault="00A16EA3">
            <w:pPr>
              <w:spacing w:before="20" w:after="20"/>
              <w:jc w:val="left"/>
            </w:pPr>
            <w:r>
              <w:rPr>
                <w:rFonts w:cstheme="minorHAnsi"/>
                <w:sz w:val="16"/>
                <w:szCs w:val="16"/>
              </w:rPr>
              <w:t>RVP, IBP, T-10, T-50, VL20, RON, DON, FBP - Min / Actual / Max</w:t>
            </w:r>
          </w:p>
        </w:tc>
        <w:tc>
          <w:tcPr>
            <w:tcW w:w="1310" w:type="dxa"/>
            <w:vAlign w:val="center"/>
          </w:tcPr>
          <w:p w14:paraId="6DAE8926"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5BD06A6B" w14:textId="77777777" w:rsidR="00672297" w:rsidRDefault="00A16EA3">
            <w:pPr>
              <w:spacing w:before="20" w:after="20"/>
              <w:jc w:val="left"/>
            </w:pPr>
            <w:r>
              <w:rPr>
                <w:rFonts w:cstheme="minorHAnsi"/>
                <w:sz w:val="16"/>
                <w:szCs w:val="16"/>
              </w:rPr>
              <w:t>&lt;Property&gt;Min / &lt;Property&gt;Actual / &lt;Property&gt;Max</w:t>
            </w:r>
          </w:p>
        </w:tc>
        <w:tc>
          <w:tcPr>
            <w:tcW w:w="655" w:type="dxa"/>
            <w:vAlign w:val="center"/>
          </w:tcPr>
          <w:p w14:paraId="658F6F33" w14:textId="77777777" w:rsidR="00672297" w:rsidRDefault="00A16EA3">
            <w:pPr>
              <w:spacing w:before="20" w:after="20"/>
              <w:jc w:val="left"/>
            </w:pPr>
            <w:r>
              <w:rPr>
                <w:rFonts w:cstheme="minorHAnsi"/>
                <w:sz w:val="16"/>
                <w:szCs w:val="16"/>
              </w:rPr>
              <w:t>N</w:t>
            </w:r>
          </w:p>
        </w:tc>
        <w:tc>
          <w:tcPr>
            <w:tcW w:w="655" w:type="dxa"/>
            <w:vAlign w:val="center"/>
          </w:tcPr>
          <w:p w14:paraId="4AA9D9AF" w14:textId="77777777" w:rsidR="00672297" w:rsidRDefault="00A16EA3">
            <w:pPr>
              <w:spacing w:before="20" w:after="20"/>
              <w:jc w:val="left"/>
            </w:pPr>
            <w:r>
              <w:rPr>
                <w:rFonts w:cstheme="minorHAnsi"/>
                <w:sz w:val="16"/>
                <w:szCs w:val="16"/>
              </w:rPr>
              <w:t>N</w:t>
            </w:r>
          </w:p>
        </w:tc>
        <w:tc>
          <w:tcPr>
            <w:tcW w:w="655" w:type="dxa"/>
            <w:vAlign w:val="center"/>
          </w:tcPr>
          <w:p w14:paraId="7110E676" w14:textId="77777777" w:rsidR="00672297" w:rsidRDefault="00A16EA3">
            <w:pPr>
              <w:spacing w:before="20" w:after="20"/>
              <w:jc w:val="left"/>
            </w:pPr>
            <w:r>
              <w:rPr>
                <w:rFonts w:cstheme="minorHAnsi"/>
                <w:sz w:val="16"/>
                <w:szCs w:val="16"/>
              </w:rPr>
              <w:t>Y</w:t>
            </w:r>
          </w:p>
        </w:tc>
        <w:tc>
          <w:tcPr>
            <w:tcW w:w="1967" w:type="dxa"/>
            <w:vAlign w:val="center"/>
          </w:tcPr>
          <w:p w14:paraId="30663F8B" w14:textId="77777777" w:rsidR="00672297" w:rsidRDefault="00A16EA3">
            <w:pPr>
              <w:spacing w:before="20" w:after="20"/>
              <w:jc w:val="left"/>
            </w:pPr>
            <w:r>
              <w:rPr>
                <w:rFonts w:cstheme="minorHAnsi"/>
                <w:sz w:val="16"/>
                <w:szCs w:val="16"/>
              </w:rPr>
              <w:t>Actual coloured by [&lt;Property&gt; Colour]</w:t>
            </w:r>
          </w:p>
        </w:tc>
      </w:tr>
      <w:tr w:rsidR="00672297" w14:paraId="6BF08672" w14:textId="77777777">
        <w:trPr>
          <w:cantSplit/>
        </w:trPr>
        <w:tc>
          <w:tcPr>
            <w:tcW w:w="1404" w:type="dxa"/>
            <w:vAlign w:val="center"/>
          </w:tcPr>
          <w:p w14:paraId="72B27065" w14:textId="77777777" w:rsidR="00672297" w:rsidRDefault="00A16EA3">
            <w:pPr>
              <w:spacing w:before="20" w:after="20"/>
              <w:jc w:val="left"/>
            </w:pPr>
            <w:r>
              <w:rPr>
                <w:rFonts w:cstheme="minorHAnsi"/>
                <w:sz w:val="16"/>
                <w:szCs w:val="16"/>
              </w:rPr>
              <w:t>Page filter</w:t>
            </w:r>
          </w:p>
        </w:tc>
        <w:tc>
          <w:tcPr>
            <w:tcW w:w="1310" w:type="dxa"/>
            <w:vAlign w:val="center"/>
          </w:tcPr>
          <w:p w14:paraId="428ED3A5" w14:textId="77777777" w:rsidR="00672297" w:rsidRDefault="00A16EA3">
            <w:pPr>
              <w:spacing w:before="20" w:after="20"/>
              <w:jc w:val="left"/>
            </w:pPr>
            <w:r>
              <w:rPr>
                <w:rFonts w:cstheme="minorHAnsi"/>
                <w:sz w:val="16"/>
                <w:szCs w:val="16"/>
              </w:rPr>
              <w:t>Product group</w:t>
            </w:r>
          </w:p>
        </w:tc>
        <w:tc>
          <w:tcPr>
            <w:tcW w:w="1310" w:type="dxa"/>
            <w:vAlign w:val="center"/>
          </w:tcPr>
          <w:p w14:paraId="7C5A2BA4"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2A493674" w14:textId="77777777" w:rsidR="00672297" w:rsidRDefault="00A16EA3">
            <w:pPr>
              <w:spacing w:before="20" w:after="20"/>
              <w:jc w:val="left"/>
            </w:pPr>
            <w:r>
              <w:rPr>
                <w:rFonts w:cstheme="minorHAnsi"/>
                <w:sz w:val="16"/>
                <w:szCs w:val="16"/>
              </w:rPr>
              <w:t>ProductGroup</w:t>
            </w:r>
          </w:p>
        </w:tc>
        <w:tc>
          <w:tcPr>
            <w:tcW w:w="655" w:type="dxa"/>
            <w:vAlign w:val="center"/>
          </w:tcPr>
          <w:p w14:paraId="55BACDFD" w14:textId="77777777" w:rsidR="00672297" w:rsidRDefault="00A16EA3">
            <w:pPr>
              <w:spacing w:before="20" w:after="20"/>
              <w:jc w:val="left"/>
            </w:pPr>
            <w:r>
              <w:rPr>
                <w:rFonts w:cstheme="minorHAnsi"/>
                <w:sz w:val="16"/>
                <w:szCs w:val="16"/>
              </w:rPr>
              <w:t>N</w:t>
            </w:r>
          </w:p>
        </w:tc>
        <w:tc>
          <w:tcPr>
            <w:tcW w:w="655" w:type="dxa"/>
            <w:vAlign w:val="center"/>
          </w:tcPr>
          <w:p w14:paraId="7A7D588B" w14:textId="77777777" w:rsidR="00672297" w:rsidRDefault="00A16EA3">
            <w:pPr>
              <w:spacing w:before="20" w:after="20"/>
              <w:jc w:val="left"/>
            </w:pPr>
            <w:r>
              <w:rPr>
                <w:rFonts w:cstheme="minorHAnsi"/>
                <w:sz w:val="16"/>
                <w:szCs w:val="16"/>
              </w:rPr>
              <w:t>Y</w:t>
            </w:r>
          </w:p>
        </w:tc>
        <w:tc>
          <w:tcPr>
            <w:tcW w:w="655" w:type="dxa"/>
            <w:vAlign w:val="center"/>
          </w:tcPr>
          <w:p w14:paraId="35BAD371" w14:textId="77777777" w:rsidR="00672297" w:rsidRDefault="00A16EA3">
            <w:pPr>
              <w:spacing w:before="20" w:after="20"/>
              <w:jc w:val="left"/>
            </w:pPr>
            <w:r>
              <w:rPr>
                <w:rFonts w:cstheme="minorHAnsi"/>
                <w:sz w:val="16"/>
                <w:szCs w:val="16"/>
              </w:rPr>
              <w:t>Y</w:t>
            </w:r>
          </w:p>
        </w:tc>
        <w:tc>
          <w:tcPr>
            <w:tcW w:w="1967" w:type="dxa"/>
            <w:vAlign w:val="center"/>
          </w:tcPr>
          <w:p w14:paraId="5B4E7522" w14:textId="77777777" w:rsidR="00672297" w:rsidRDefault="00A16EA3">
            <w:pPr>
              <w:spacing w:before="20" w:after="20"/>
              <w:jc w:val="left"/>
            </w:pPr>
            <w:r>
              <w:rPr>
                <w:rFonts w:cstheme="minorHAnsi"/>
                <w:sz w:val="16"/>
                <w:szCs w:val="16"/>
              </w:rPr>
              <w:t>Gasoline page / Distillate page</w:t>
            </w:r>
          </w:p>
        </w:tc>
      </w:tr>
      <w:tr w:rsidR="00672297" w14:paraId="327E9EC8" w14:textId="77777777">
        <w:trPr>
          <w:cantSplit/>
        </w:trPr>
        <w:tc>
          <w:tcPr>
            <w:tcW w:w="1404" w:type="dxa"/>
            <w:vAlign w:val="center"/>
          </w:tcPr>
          <w:p w14:paraId="0562AF3D" w14:textId="77777777" w:rsidR="00672297" w:rsidRDefault="00A16EA3">
            <w:pPr>
              <w:spacing w:before="20" w:after="20"/>
              <w:jc w:val="left"/>
            </w:pPr>
            <w:r>
              <w:rPr>
                <w:rFonts w:cstheme="minorHAnsi"/>
                <w:sz w:val="16"/>
                <w:szCs w:val="16"/>
              </w:rPr>
              <w:t>Slicer/Filter</w:t>
            </w:r>
          </w:p>
        </w:tc>
        <w:tc>
          <w:tcPr>
            <w:tcW w:w="1310" w:type="dxa"/>
            <w:vAlign w:val="center"/>
          </w:tcPr>
          <w:p w14:paraId="35E97953" w14:textId="77777777" w:rsidR="00672297" w:rsidRDefault="00A16EA3">
            <w:pPr>
              <w:spacing w:before="20" w:after="20"/>
              <w:jc w:val="left"/>
            </w:pPr>
            <w:r>
              <w:rPr>
                <w:rFonts w:cstheme="minorHAnsi"/>
                <w:sz w:val="16"/>
                <w:szCs w:val="16"/>
              </w:rPr>
              <w:t>Source (Origin) / Terminal / Tank / Status / Grade</w:t>
            </w:r>
          </w:p>
        </w:tc>
        <w:tc>
          <w:tcPr>
            <w:tcW w:w="1310" w:type="dxa"/>
            <w:vAlign w:val="center"/>
          </w:tcPr>
          <w:p w14:paraId="58E0278A" w14:textId="77777777" w:rsidR="00672297" w:rsidRDefault="00A16EA3">
            <w:pPr>
              <w:spacing w:before="20" w:after="20"/>
              <w:jc w:val="left"/>
            </w:pPr>
            <w:r>
              <w:rPr>
                <w:rFonts w:cstheme="minorHAnsi"/>
                <w:sz w:val="16"/>
                <w:szCs w:val="16"/>
              </w:rPr>
              <w:t>vwRefineryBatchMovementQuality</w:t>
            </w:r>
          </w:p>
        </w:tc>
        <w:tc>
          <w:tcPr>
            <w:tcW w:w="1404" w:type="dxa"/>
            <w:vAlign w:val="center"/>
          </w:tcPr>
          <w:p w14:paraId="2A59B06D" w14:textId="77777777" w:rsidR="00672297" w:rsidRDefault="00A16EA3">
            <w:pPr>
              <w:spacing w:before="20" w:after="20"/>
              <w:jc w:val="left"/>
            </w:pPr>
            <w:r>
              <w:rPr>
                <w:rFonts w:cstheme="minorHAnsi"/>
                <w:sz w:val="16"/>
                <w:szCs w:val="16"/>
              </w:rPr>
              <w:t>Source / Destination / OriginTank / BatchStatus / ProductName</w:t>
            </w:r>
          </w:p>
        </w:tc>
        <w:tc>
          <w:tcPr>
            <w:tcW w:w="655" w:type="dxa"/>
            <w:vAlign w:val="center"/>
          </w:tcPr>
          <w:p w14:paraId="4DD21087" w14:textId="77777777" w:rsidR="00672297" w:rsidRDefault="00A16EA3">
            <w:pPr>
              <w:spacing w:before="20" w:after="20"/>
              <w:jc w:val="left"/>
            </w:pPr>
            <w:r>
              <w:rPr>
                <w:rFonts w:cstheme="minorHAnsi"/>
                <w:sz w:val="16"/>
                <w:szCs w:val="16"/>
              </w:rPr>
              <w:t>N</w:t>
            </w:r>
          </w:p>
        </w:tc>
        <w:tc>
          <w:tcPr>
            <w:tcW w:w="655" w:type="dxa"/>
            <w:vAlign w:val="center"/>
          </w:tcPr>
          <w:p w14:paraId="0ED0D719" w14:textId="77777777" w:rsidR="00672297" w:rsidRDefault="00A16EA3">
            <w:pPr>
              <w:spacing w:before="20" w:after="20"/>
              <w:jc w:val="left"/>
            </w:pPr>
            <w:r>
              <w:rPr>
                <w:rFonts w:cstheme="minorHAnsi"/>
                <w:sz w:val="16"/>
                <w:szCs w:val="16"/>
              </w:rPr>
              <w:t>Y</w:t>
            </w:r>
          </w:p>
        </w:tc>
        <w:tc>
          <w:tcPr>
            <w:tcW w:w="655" w:type="dxa"/>
            <w:vAlign w:val="center"/>
          </w:tcPr>
          <w:p w14:paraId="7CD89B91" w14:textId="77777777" w:rsidR="00672297" w:rsidRDefault="00A16EA3">
            <w:pPr>
              <w:spacing w:before="20" w:after="20"/>
              <w:jc w:val="left"/>
            </w:pPr>
            <w:r>
              <w:rPr>
                <w:rFonts w:cstheme="minorHAnsi"/>
                <w:sz w:val="16"/>
                <w:szCs w:val="16"/>
              </w:rPr>
              <w:t>Y</w:t>
            </w:r>
          </w:p>
        </w:tc>
        <w:tc>
          <w:tcPr>
            <w:tcW w:w="1967" w:type="dxa"/>
            <w:vAlign w:val="center"/>
          </w:tcPr>
          <w:p w14:paraId="1CD50071" w14:textId="77777777" w:rsidR="00672297" w:rsidRDefault="00672297">
            <w:pPr>
              <w:spacing w:before="20" w:after="20"/>
              <w:jc w:val="left"/>
            </w:pPr>
          </w:p>
        </w:tc>
      </w:tr>
      <w:tr w:rsidR="00672297" w14:paraId="7598A890" w14:textId="77777777">
        <w:trPr>
          <w:cantSplit/>
        </w:trPr>
        <w:tc>
          <w:tcPr>
            <w:tcW w:w="1404" w:type="dxa"/>
            <w:vAlign w:val="center"/>
          </w:tcPr>
          <w:p w14:paraId="3E9E2D2E" w14:textId="77777777" w:rsidR="00672297" w:rsidRDefault="00A16EA3">
            <w:pPr>
              <w:spacing w:before="20" w:after="20"/>
              <w:jc w:val="left"/>
            </w:pPr>
            <w:r>
              <w:rPr>
                <w:rFonts w:cstheme="minorHAnsi"/>
                <w:sz w:val="16"/>
                <w:szCs w:val="16"/>
              </w:rPr>
              <w:t>Slicer/Filter</w:t>
            </w:r>
          </w:p>
        </w:tc>
        <w:tc>
          <w:tcPr>
            <w:tcW w:w="1310" w:type="dxa"/>
            <w:vAlign w:val="center"/>
          </w:tcPr>
          <w:p w14:paraId="55382556" w14:textId="77777777" w:rsidR="00672297" w:rsidRDefault="00A16EA3">
            <w:pPr>
              <w:spacing w:before="20" w:after="20"/>
              <w:jc w:val="left"/>
            </w:pPr>
            <w:r>
              <w:rPr>
                <w:rFonts w:cstheme="minorHAnsi"/>
                <w:sz w:val="16"/>
                <w:szCs w:val="16"/>
              </w:rPr>
              <w:t>Date Range</w:t>
            </w:r>
          </w:p>
        </w:tc>
        <w:tc>
          <w:tcPr>
            <w:tcW w:w="1310" w:type="dxa"/>
            <w:vAlign w:val="center"/>
          </w:tcPr>
          <w:p w14:paraId="65FD3619" w14:textId="77777777" w:rsidR="00672297" w:rsidRDefault="00A16EA3">
            <w:pPr>
              <w:spacing w:before="20" w:after="20"/>
              <w:jc w:val="left"/>
            </w:pPr>
            <w:r>
              <w:rPr>
                <w:rFonts w:cstheme="minorHAnsi"/>
                <w:sz w:val="16"/>
                <w:szCs w:val="16"/>
              </w:rPr>
              <w:t>day_detail</w:t>
            </w:r>
          </w:p>
        </w:tc>
        <w:tc>
          <w:tcPr>
            <w:tcW w:w="1404" w:type="dxa"/>
            <w:vAlign w:val="center"/>
          </w:tcPr>
          <w:p w14:paraId="3E113F77" w14:textId="77777777" w:rsidR="00672297" w:rsidRDefault="00A16EA3">
            <w:pPr>
              <w:spacing w:before="20" w:after="20"/>
              <w:jc w:val="left"/>
            </w:pPr>
            <w:r>
              <w:rPr>
                <w:rFonts w:cstheme="minorHAnsi"/>
                <w:sz w:val="16"/>
                <w:szCs w:val="16"/>
              </w:rPr>
              <w:t>W_Date</w:t>
            </w:r>
          </w:p>
        </w:tc>
        <w:tc>
          <w:tcPr>
            <w:tcW w:w="655" w:type="dxa"/>
            <w:vAlign w:val="center"/>
          </w:tcPr>
          <w:p w14:paraId="36BC7EAA" w14:textId="77777777" w:rsidR="00672297" w:rsidRDefault="00A16EA3">
            <w:pPr>
              <w:spacing w:before="20" w:after="20"/>
              <w:jc w:val="left"/>
            </w:pPr>
            <w:r>
              <w:rPr>
                <w:rFonts w:cstheme="minorHAnsi"/>
                <w:sz w:val="16"/>
                <w:szCs w:val="16"/>
              </w:rPr>
              <w:t>N</w:t>
            </w:r>
          </w:p>
        </w:tc>
        <w:tc>
          <w:tcPr>
            <w:tcW w:w="655" w:type="dxa"/>
            <w:vAlign w:val="center"/>
          </w:tcPr>
          <w:p w14:paraId="78540FB4" w14:textId="77777777" w:rsidR="00672297" w:rsidRDefault="00A16EA3">
            <w:pPr>
              <w:spacing w:before="20" w:after="20"/>
              <w:jc w:val="left"/>
            </w:pPr>
            <w:r>
              <w:rPr>
                <w:rFonts w:cstheme="minorHAnsi"/>
                <w:sz w:val="16"/>
                <w:szCs w:val="16"/>
              </w:rPr>
              <w:t>Y</w:t>
            </w:r>
          </w:p>
        </w:tc>
        <w:tc>
          <w:tcPr>
            <w:tcW w:w="655" w:type="dxa"/>
            <w:vAlign w:val="center"/>
          </w:tcPr>
          <w:p w14:paraId="4BEB6553" w14:textId="77777777" w:rsidR="00672297" w:rsidRDefault="00A16EA3">
            <w:pPr>
              <w:spacing w:before="20" w:after="20"/>
              <w:jc w:val="left"/>
            </w:pPr>
            <w:r>
              <w:rPr>
                <w:rFonts w:cstheme="minorHAnsi"/>
                <w:sz w:val="16"/>
                <w:szCs w:val="16"/>
              </w:rPr>
              <w:t>Y</w:t>
            </w:r>
          </w:p>
        </w:tc>
        <w:tc>
          <w:tcPr>
            <w:tcW w:w="1967" w:type="dxa"/>
            <w:vAlign w:val="center"/>
          </w:tcPr>
          <w:p w14:paraId="209B0196" w14:textId="77777777" w:rsidR="00672297" w:rsidRDefault="00A16EA3">
            <w:pPr>
              <w:spacing w:before="20" w:after="20"/>
              <w:jc w:val="left"/>
            </w:pPr>
            <w:r>
              <w:rPr>
                <w:rFonts w:cstheme="minorHAnsi"/>
                <w:sz w:val="16"/>
                <w:szCs w:val="16"/>
              </w:rPr>
              <w:t>Relationship on StartDate</w:t>
            </w:r>
          </w:p>
        </w:tc>
      </w:tr>
      <w:tr w:rsidR="00672297" w14:paraId="79749F8A" w14:textId="77777777">
        <w:trPr>
          <w:cantSplit/>
        </w:trPr>
        <w:tc>
          <w:tcPr>
            <w:tcW w:w="1404" w:type="dxa"/>
            <w:vAlign w:val="center"/>
          </w:tcPr>
          <w:p w14:paraId="7C878AAE" w14:textId="77777777" w:rsidR="00672297" w:rsidRDefault="00A16EA3">
            <w:pPr>
              <w:spacing w:before="20" w:after="20"/>
              <w:jc w:val="left"/>
            </w:pPr>
            <w:r>
              <w:rPr>
                <w:rFonts w:cstheme="minorHAnsi"/>
                <w:sz w:val="16"/>
                <w:szCs w:val="16"/>
              </w:rPr>
              <w:t>Card</w:t>
            </w:r>
          </w:p>
        </w:tc>
        <w:tc>
          <w:tcPr>
            <w:tcW w:w="1310" w:type="dxa"/>
            <w:vAlign w:val="center"/>
          </w:tcPr>
          <w:p w14:paraId="76E0247A" w14:textId="77777777" w:rsidR="00672297" w:rsidRDefault="00A16EA3">
            <w:pPr>
              <w:spacing w:before="20" w:after="20"/>
              <w:jc w:val="left"/>
            </w:pPr>
            <w:r>
              <w:rPr>
                <w:rFonts w:cstheme="minorHAnsi"/>
                <w:sz w:val="16"/>
                <w:szCs w:val="16"/>
              </w:rPr>
              <w:t>Last Refresh</w:t>
            </w:r>
          </w:p>
        </w:tc>
        <w:tc>
          <w:tcPr>
            <w:tcW w:w="1310" w:type="dxa"/>
            <w:vAlign w:val="center"/>
          </w:tcPr>
          <w:p w14:paraId="0FE4527C" w14:textId="77777777" w:rsidR="00672297" w:rsidRDefault="00A16EA3">
            <w:pPr>
              <w:spacing w:before="20" w:after="20"/>
              <w:jc w:val="left"/>
            </w:pPr>
            <w:r>
              <w:rPr>
                <w:rFonts w:cstheme="minorHAnsi"/>
                <w:sz w:val="16"/>
                <w:szCs w:val="16"/>
              </w:rPr>
              <w:t>Last_Refresh</w:t>
            </w:r>
          </w:p>
        </w:tc>
        <w:tc>
          <w:tcPr>
            <w:tcW w:w="1404" w:type="dxa"/>
            <w:vAlign w:val="center"/>
          </w:tcPr>
          <w:p w14:paraId="453D23C2" w14:textId="77777777" w:rsidR="00672297" w:rsidRDefault="00A16EA3">
            <w:pPr>
              <w:spacing w:before="20" w:after="20"/>
              <w:jc w:val="left"/>
            </w:pPr>
            <w:r>
              <w:rPr>
                <w:rFonts w:cstheme="minorHAnsi"/>
                <w:sz w:val="16"/>
                <w:szCs w:val="16"/>
              </w:rPr>
              <w:t>Refresh DateTime</w:t>
            </w:r>
          </w:p>
        </w:tc>
        <w:tc>
          <w:tcPr>
            <w:tcW w:w="655" w:type="dxa"/>
            <w:vAlign w:val="center"/>
          </w:tcPr>
          <w:p w14:paraId="5591929B" w14:textId="77777777" w:rsidR="00672297" w:rsidRDefault="00A16EA3">
            <w:pPr>
              <w:spacing w:before="20" w:after="20"/>
              <w:jc w:val="left"/>
            </w:pPr>
            <w:r>
              <w:rPr>
                <w:rFonts w:cstheme="minorHAnsi"/>
                <w:sz w:val="16"/>
                <w:szCs w:val="16"/>
              </w:rPr>
              <w:t>Y</w:t>
            </w:r>
          </w:p>
        </w:tc>
        <w:tc>
          <w:tcPr>
            <w:tcW w:w="655" w:type="dxa"/>
            <w:vAlign w:val="center"/>
          </w:tcPr>
          <w:p w14:paraId="4CB228F0" w14:textId="77777777" w:rsidR="00672297" w:rsidRDefault="00A16EA3">
            <w:pPr>
              <w:spacing w:before="20" w:after="20"/>
              <w:jc w:val="left"/>
            </w:pPr>
            <w:r>
              <w:rPr>
                <w:rFonts w:cstheme="minorHAnsi"/>
                <w:sz w:val="16"/>
                <w:szCs w:val="16"/>
              </w:rPr>
              <w:t>N</w:t>
            </w:r>
          </w:p>
        </w:tc>
        <w:tc>
          <w:tcPr>
            <w:tcW w:w="655" w:type="dxa"/>
            <w:vAlign w:val="center"/>
          </w:tcPr>
          <w:p w14:paraId="69D956DA" w14:textId="77777777" w:rsidR="00672297" w:rsidRDefault="00A16EA3">
            <w:pPr>
              <w:spacing w:before="20" w:after="20"/>
              <w:jc w:val="left"/>
            </w:pPr>
            <w:r>
              <w:rPr>
                <w:rFonts w:cstheme="minorHAnsi"/>
                <w:sz w:val="16"/>
                <w:szCs w:val="16"/>
              </w:rPr>
              <w:t>N</w:t>
            </w:r>
          </w:p>
        </w:tc>
        <w:tc>
          <w:tcPr>
            <w:tcW w:w="1967" w:type="dxa"/>
            <w:vAlign w:val="center"/>
          </w:tcPr>
          <w:p w14:paraId="51E5D6F7" w14:textId="77777777" w:rsidR="00672297" w:rsidRDefault="00A16EA3">
            <w:pPr>
              <w:spacing w:before="20" w:after="20"/>
              <w:jc w:val="left"/>
            </w:pPr>
            <w:r>
              <w:rPr>
                <w:rFonts w:cstheme="minorHAnsi"/>
                <w:sz w:val="16"/>
                <w:szCs w:val="16"/>
              </w:rPr>
              <w:t>[Last Refresh]</w:t>
            </w:r>
          </w:p>
        </w:tc>
      </w:tr>
    </w:tbl>
    <w:p w14:paraId="0A195ADC" w14:textId="4C01112A" w:rsidR="00672297" w:rsidRDefault="00A16EA3">
      <w:pPr>
        <w:pStyle w:val="Caption"/>
      </w:pPr>
      <w:bookmarkStart w:id="537" w:name="_Toc900950051"/>
      <w:bookmarkStart w:id="538" w:name="_Toc241574705"/>
      <w:bookmarkStart w:id="539" w:name="_Toc242554089"/>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16</w:t>
      </w:r>
      <w:r>
        <w:fldChar w:fldCharType="end"/>
      </w:r>
      <w:r>
        <w:t>: Refinery-Wide Dashboard Power BI Attributes Mapping</w:t>
      </w:r>
      <w:bookmarkEnd w:id="537"/>
      <w:bookmarkEnd w:id="538"/>
      <w:bookmarkEnd w:id="539"/>
    </w:p>
    <w:p w14:paraId="09BF68CA" w14:textId="77777777" w:rsidR="00672297" w:rsidRDefault="00A16EA3">
      <w:pPr>
        <w:pStyle w:val="Heading3"/>
        <w:rPr>
          <w:rFonts w:asciiTheme="minorHAnsi" w:hAnsiTheme="minorHAnsi" w:cstheme="minorBidi"/>
          <w:sz w:val="20"/>
          <w:szCs w:val="20"/>
        </w:rPr>
      </w:pPr>
      <w:bookmarkStart w:id="540" w:name="_Toc241574352"/>
      <w:bookmarkStart w:id="541" w:name="_Toc242553974"/>
      <w:r>
        <w:rPr>
          <w:rFonts w:asciiTheme="minorHAnsi" w:hAnsiTheme="minorHAnsi" w:cstheme="minorBidi"/>
          <w:sz w:val="20"/>
          <w:szCs w:val="20"/>
        </w:rPr>
        <w:t>Blending Potential Dashboard</w:t>
      </w:r>
      <w:bookmarkEnd w:id="540"/>
      <w:bookmarkEnd w:id="541"/>
    </w:p>
    <w:p w14:paraId="0F23D013" w14:textId="77777777" w:rsidR="00672297" w:rsidRDefault="00A16EA3">
      <w:pPr>
        <w:pStyle w:val="Heading4"/>
        <w:rPr>
          <w:rFonts w:asciiTheme="minorHAnsi" w:hAnsiTheme="minorHAnsi" w:cstheme="minorBidi"/>
          <w:sz w:val="20"/>
          <w:szCs w:val="20"/>
        </w:rPr>
      </w:pPr>
      <w:bookmarkStart w:id="542" w:name="_Toc900950053"/>
      <w:r>
        <w:rPr>
          <w:rFonts w:asciiTheme="minorHAnsi" w:hAnsiTheme="minorHAnsi" w:cstheme="minorBidi"/>
          <w:sz w:val="20"/>
          <w:szCs w:val="20"/>
        </w:rPr>
        <w:t>Purpose and Business Objective</w:t>
      </w:r>
      <w:bookmarkEnd w:id="542"/>
    </w:p>
    <w:p w14:paraId="6BF20F57" w14:textId="77777777" w:rsidR="00672297" w:rsidRDefault="00A16EA3">
      <w:pPr>
        <w:rPr>
          <w:rFonts w:cstheme="minorHAnsi"/>
          <w:sz w:val="20"/>
          <w:szCs w:val="20"/>
        </w:rPr>
      </w:pPr>
      <w:r>
        <w:rPr>
          <w:rFonts w:cstheme="minorHAnsi"/>
          <w:sz w:val="20"/>
          <w:szCs w:val="20"/>
        </w:rPr>
        <w:t>The Blending Potential Dashboard quantifies the blending potential of scheduled and in-transit gasoline batches across the approved North Region terminals. It shows the butane and transmix potential and the ethanol requirement per batch, the quality margins before and after blending (RVP, IBP, T-10, T-50, T-90, TV/L, RON, MON, DON, FBP) against specification, and the resulting volume expansion, so that stakeholders can see where component blending can maximise product value while staying on specification.</w:t>
      </w:r>
    </w:p>
    <w:p w14:paraId="40435D6A" w14:textId="77777777" w:rsidR="00672297" w:rsidRDefault="00A16EA3">
      <w:pPr>
        <w:pStyle w:val="Heading4"/>
        <w:rPr>
          <w:rFonts w:asciiTheme="minorHAnsi" w:hAnsiTheme="minorHAnsi" w:cstheme="minorBidi"/>
          <w:sz w:val="20"/>
          <w:szCs w:val="20"/>
        </w:rPr>
      </w:pPr>
      <w:bookmarkStart w:id="543" w:name="_Toc900950054"/>
      <w:r>
        <w:rPr>
          <w:rFonts w:asciiTheme="minorHAnsi" w:hAnsiTheme="minorHAnsi" w:cstheme="minorBidi"/>
          <w:sz w:val="20"/>
          <w:szCs w:val="20"/>
        </w:rPr>
        <w:t>Dashboard Wireframe</w:t>
      </w:r>
      <w:bookmarkEnd w:id="543"/>
    </w:p>
    <w:p w14:paraId="7363790E" w14:textId="2DF23A1A" w:rsidR="00672297" w:rsidRDefault="00A16EA3">
      <w:pPr>
        <w:pStyle w:val="Caption"/>
      </w:pPr>
      <w:bookmarkStart w:id="544" w:name="_Toc900950055"/>
      <w:bookmarkStart w:id="545" w:name="_Toc241574761"/>
      <w:bookmarkStart w:id="546" w:name="_Toc242554163"/>
      <w:r>
        <w:t xml:space="preserve">Figure </w:t>
      </w:r>
      <w:r>
        <w:fldChar w:fldCharType="begin"/>
      </w:r>
      <w:r>
        <w:instrText>STYLEREF 1 \s</w:instrText>
      </w:r>
      <w:r>
        <w:fldChar w:fldCharType="separate"/>
      </w:r>
      <w:r w:rsidR="00FC42E7">
        <w:rPr>
          <w:noProof/>
        </w:rPr>
        <w:t>4</w:t>
      </w:r>
      <w:r>
        <w:fldChar w:fldCharType="end"/>
      </w:r>
      <w:r>
        <w:t>-</w:t>
      </w:r>
      <w:r>
        <w:fldChar w:fldCharType="begin"/>
      </w:r>
      <w:r>
        <w:instrText>SEQ Figure \* ARABIC \s 1</w:instrText>
      </w:r>
      <w:r>
        <w:fldChar w:fldCharType="separate"/>
      </w:r>
      <w:r w:rsidR="00FC42E7">
        <w:rPr>
          <w:noProof/>
        </w:rPr>
        <w:t>4</w:t>
      </w:r>
      <w:r>
        <w:fldChar w:fldCharType="end"/>
      </w:r>
      <w:r>
        <w:t>: Blending Potential Dashboard Wireframe</w:t>
      </w:r>
      <w:bookmarkEnd w:id="544"/>
      <w:bookmarkEnd w:id="545"/>
      <w:bookmarkEnd w:id="546"/>
    </w:p>
    <w:p w14:paraId="5A7D6FF7" w14:textId="19329E95" w:rsidR="002A4DF3" w:rsidRDefault="00B818A6">
      <w:pPr>
        <w:rPr>
          <w:rFonts w:cstheme="minorHAnsi"/>
          <w:sz w:val="20"/>
          <w:szCs w:val="20"/>
        </w:rPr>
      </w:pPr>
      <w:r>
        <w:rPr>
          <w:rFonts w:cstheme="minorHAnsi"/>
          <w:sz w:val="20"/>
          <w:szCs w:val="20"/>
        </w:rPr>
        <w:t xml:space="preserve">Wireframe can be accessed through this link: </w:t>
      </w:r>
      <w:hyperlink r:id="rId51" w:history="1">
        <w:r>
          <w:rPr>
            <w:rStyle w:val="Hyperlink"/>
            <w:rFonts w:cstheme="minorHAnsi"/>
            <w:szCs w:val="20"/>
          </w:rPr>
          <w:t>Blending Potential Dashboard</w:t>
        </w:r>
      </w:hyperlink>
    </w:p>
    <w:p w14:paraId="4A280E37" w14:textId="77777777" w:rsidR="00672297" w:rsidRDefault="00A16EA3">
      <w:pPr>
        <w:pStyle w:val="Heading4"/>
        <w:rPr>
          <w:rFonts w:asciiTheme="minorHAnsi" w:hAnsiTheme="minorHAnsi" w:cstheme="minorBidi"/>
          <w:sz w:val="20"/>
          <w:szCs w:val="20"/>
        </w:rPr>
      </w:pPr>
      <w:bookmarkStart w:id="547" w:name="_Toc900950056"/>
      <w:r>
        <w:rPr>
          <w:rFonts w:asciiTheme="minorHAnsi" w:hAnsiTheme="minorHAnsi" w:cstheme="minorBidi"/>
          <w:sz w:val="20"/>
          <w:szCs w:val="20"/>
        </w:rPr>
        <w:t>Report Pages</w:t>
      </w:r>
      <w:bookmarkEnd w:id="547"/>
    </w:p>
    <w:tbl>
      <w:tblPr>
        <w:tblStyle w:val="TableGrid"/>
        <w:tblW w:w="9360" w:type="dxa"/>
        <w:tblLayout w:type="fixed"/>
        <w:tblCellMar>
          <w:left w:w="70" w:type="dxa"/>
          <w:right w:w="70" w:type="dxa"/>
        </w:tblCellMar>
        <w:tblLook w:val="04A0" w:firstRow="1" w:lastRow="0" w:firstColumn="1" w:lastColumn="0" w:noHBand="0" w:noVBand="1"/>
      </w:tblPr>
      <w:tblGrid>
        <w:gridCol w:w="2340"/>
        <w:gridCol w:w="7020"/>
      </w:tblGrid>
      <w:tr w:rsidR="00672297" w14:paraId="2C5DD6C7" w14:textId="77777777">
        <w:trPr>
          <w:cantSplit/>
          <w:tblHeader/>
        </w:trPr>
        <w:tc>
          <w:tcPr>
            <w:tcW w:w="2340" w:type="dxa"/>
            <w:shd w:val="clear" w:color="auto" w:fill="2F5496"/>
            <w:vAlign w:val="center"/>
          </w:tcPr>
          <w:p w14:paraId="7DB61ED5" w14:textId="77777777" w:rsidR="00672297" w:rsidRDefault="00A16EA3">
            <w:pPr>
              <w:spacing w:before="20" w:after="20"/>
              <w:jc w:val="left"/>
            </w:pPr>
            <w:r>
              <w:rPr>
                <w:rFonts w:cstheme="minorHAnsi"/>
                <w:b/>
                <w:bCs/>
                <w:color w:val="FFFFFF"/>
                <w:sz w:val="20"/>
                <w:szCs w:val="20"/>
              </w:rPr>
              <w:t>Page Name</w:t>
            </w:r>
          </w:p>
        </w:tc>
        <w:tc>
          <w:tcPr>
            <w:tcW w:w="7020" w:type="dxa"/>
            <w:shd w:val="clear" w:color="auto" w:fill="2F5496"/>
            <w:vAlign w:val="center"/>
          </w:tcPr>
          <w:p w14:paraId="4EC9BCD3" w14:textId="77777777" w:rsidR="00672297" w:rsidRDefault="00A16EA3">
            <w:pPr>
              <w:spacing w:before="20" w:after="20"/>
              <w:jc w:val="left"/>
            </w:pPr>
            <w:r>
              <w:rPr>
                <w:rFonts w:cstheme="minorHAnsi"/>
                <w:b/>
                <w:bCs/>
                <w:color w:val="FFFFFF"/>
                <w:sz w:val="20"/>
                <w:szCs w:val="20"/>
              </w:rPr>
              <w:t>Purpose</w:t>
            </w:r>
          </w:p>
        </w:tc>
      </w:tr>
      <w:tr w:rsidR="00672297" w14:paraId="761AF388" w14:textId="77777777">
        <w:trPr>
          <w:cantSplit/>
        </w:trPr>
        <w:tc>
          <w:tcPr>
            <w:tcW w:w="2340" w:type="dxa"/>
            <w:vAlign w:val="center"/>
          </w:tcPr>
          <w:p w14:paraId="270547E4" w14:textId="77777777" w:rsidR="00672297" w:rsidRDefault="00A16EA3">
            <w:pPr>
              <w:spacing w:before="20" w:after="20"/>
              <w:jc w:val="left"/>
            </w:pPr>
            <w:r>
              <w:rPr>
                <w:rFonts w:cstheme="minorHAnsi"/>
                <w:sz w:val="20"/>
                <w:szCs w:val="20"/>
              </w:rPr>
              <w:t>Blending Potential</w:t>
            </w:r>
          </w:p>
        </w:tc>
        <w:tc>
          <w:tcPr>
            <w:tcW w:w="7020" w:type="dxa"/>
            <w:vAlign w:val="center"/>
          </w:tcPr>
          <w:p w14:paraId="10A3C721" w14:textId="77777777" w:rsidR="00672297" w:rsidRDefault="00A16EA3">
            <w:pPr>
              <w:spacing w:before="20" w:after="20"/>
              <w:jc w:val="left"/>
            </w:pPr>
            <w:r>
              <w:rPr>
                <w:rFonts w:cstheme="minorHAnsi"/>
                <w:sz w:val="20"/>
                <w:szCs w:val="20"/>
              </w:rPr>
              <w:t>KPI cards, terminal-wise potential charts and batch-wise detail table.</w:t>
            </w:r>
          </w:p>
        </w:tc>
      </w:tr>
      <w:tr w:rsidR="00672297" w14:paraId="7DE19E1B" w14:textId="77777777">
        <w:trPr>
          <w:cantSplit/>
        </w:trPr>
        <w:tc>
          <w:tcPr>
            <w:tcW w:w="2340" w:type="dxa"/>
            <w:vAlign w:val="center"/>
          </w:tcPr>
          <w:p w14:paraId="02FDB19B" w14:textId="77777777" w:rsidR="00672297" w:rsidRDefault="00A16EA3">
            <w:pPr>
              <w:spacing w:before="20" w:after="20"/>
              <w:jc w:val="left"/>
            </w:pPr>
            <w:r>
              <w:rPr>
                <w:rFonts w:cstheme="minorHAnsi"/>
                <w:sz w:val="20"/>
                <w:szCs w:val="20"/>
              </w:rPr>
              <w:t>Batch Quality Detail (drill-through)</w:t>
            </w:r>
          </w:p>
        </w:tc>
        <w:tc>
          <w:tcPr>
            <w:tcW w:w="7020" w:type="dxa"/>
            <w:vAlign w:val="center"/>
          </w:tcPr>
          <w:p w14:paraId="59932AE6" w14:textId="77777777" w:rsidR="00672297" w:rsidRDefault="00A16EA3">
            <w:pPr>
              <w:spacing w:before="20" w:after="20"/>
              <w:jc w:val="left"/>
            </w:pPr>
            <w:r>
              <w:rPr>
                <w:rFonts w:cstheme="minorHAnsi"/>
                <w:sz w:val="20"/>
                <w:szCs w:val="20"/>
              </w:rPr>
              <w:t>Pre / Post / Spec of every property for one batch (drill-through from Batch ID).</w:t>
            </w:r>
          </w:p>
        </w:tc>
      </w:tr>
      <w:tr w:rsidR="00672297" w14:paraId="550CCE00" w14:textId="77777777">
        <w:trPr>
          <w:cantSplit/>
        </w:trPr>
        <w:tc>
          <w:tcPr>
            <w:tcW w:w="2340" w:type="dxa"/>
            <w:vAlign w:val="center"/>
          </w:tcPr>
          <w:p w14:paraId="537B7FDF" w14:textId="77777777" w:rsidR="00672297" w:rsidRDefault="00A16EA3">
            <w:pPr>
              <w:spacing w:before="20" w:after="20"/>
              <w:jc w:val="left"/>
            </w:pPr>
            <w:r>
              <w:rPr>
                <w:rFonts w:cstheme="minorHAnsi"/>
                <w:sz w:val="20"/>
                <w:szCs w:val="20"/>
              </w:rPr>
              <w:t>User Guide</w:t>
            </w:r>
          </w:p>
        </w:tc>
        <w:tc>
          <w:tcPr>
            <w:tcW w:w="7020" w:type="dxa"/>
            <w:vAlign w:val="center"/>
          </w:tcPr>
          <w:p w14:paraId="43E576D6" w14:textId="77777777" w:rsidR="00672297" w:rsidRDefault="00A16EA3">
            <w:pPr>
              <w:spacing w:before="20" w:after="20"/>
              <w:jc w:val="left"/>
            </w:pPr>
            <w:r>
              <w:rPr>
                <w:rFonts w:cstheme="minorHAnsi"/>
                <w:sz w:val="20"/>
                <w:szCs w:val="20"/>
              </w:rPr>
              <w:t>Data sources, visuals, formulas and metrics.</w:t>
            </w:r>
          </w:p>
        </w:tc>
      </w:tr>
    </w:tbl>
    <w:p w14:paraId="6747C32B" w14:textId="1ED47D8C" w:rsidR="00672297" w:rsidRDefault="00A16EA3">
      <w:pPr>
        <w:pStyle w:val="Caption"/>
      </w:pPr>
      <w:bookmarkStart w:id="548" w:name="_Toc900950057"/>
      <w:bookmarkStart w:id="549" w:name="_Toc241574706"/>
      <w:bookmarkStart w:id="550" w:name="_Toc242554090"/>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17</w:t>
      </w:r>
      <w:r>
        <w:fldChar w:fldCharType="end"/>
      </w:r>
      <w:r>
        <w:t>: Blending Potential Dashboard Report Pages</w:t>
      </w:r>
      <w:bookmarkEnd w:id="548"/>
      <w:bookmarkEnd w:id="549"/>
      <w:bookmarkEnd w:id="550"/>
    </w:p>
    <w:p w14:paraId="47173B69" w14:textId="77777777" w:rsidR="00672297" w:rsidRDefault="00A16EA3">
      <w:pPr>
        <w:pStyle w:val="Heading4"/>
        <w:rPr>
          <w:rFonts w:asciiTheme="minorHAnsi" w:hAnsiTheme="minorHAnsi" w:cstheme="minorBidi"/>
          <w:sz w:val="20"/>
          <w:szCs w:val="20"/>
        </w:rPr>
      </w:pPr>
      <w:bookmarkStart w:id="551" w:name="_Toc900950058"/>
      <w:r>
        <w:rPr>
          <w:rFonts w:asciiTheme="minorHAnsi" w:hAnsiTheme="minorHAnsi" w:cstheme="minorBidi"/>
          <w:sz w:val="20"/>
          <w:szCs w:val="20"/>
        </w:rPr>
        <w:t>Visuals &amp; Features</w:t>
      </w:r>
      <w:bookmarkEnd w:id="551"/>
    </w:p>
    <w:p w14:paraId="614F0F79" w14:textId="77777777" w:rsidR="00672297" w:rsidRDefault="00A16EA3">
      <w:pPr>
        <w:rPr>
          <w:rFonts w:cstheme="minorHAnsi"/>
          <w:sz w:val="20"/>
          <w:szCs w:val="20"/>
        </w:rPr>
      </w:pPr>
      <w:r>
        <w:rPr>
          <w:rFonts w:cstheme="minorHAnsi"/>
          <w:b/>
          <w:bCs/>
          <w:sz w:val="20"/>
          <w:szCs w:val="20"/>
        </w:rPr>
        <w:t>KPI Summary Cards</w:t>
      </w:r>
      <w:r>
        <w:rPr>
          <w:rFonts w:cstheme="minorHAnsi"/>
          <w:sz w:val="20"/>
          <w:szCs w:val="20"/>
        </w:rPr>
        <w:t xml:space="preserve"> (multi-row cards; values in bbl):</w:t>
      </w:r>
    </w:p>
    <w:p w14:paraId="3111771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Total Butane Potential: In-Transit, Scheduled, Total Butane Potential and Total Planned Movement (planned butane receipts at the terminals in the period).</w:t>
      </w:r>
    </w:p>
    <w:p w14:paraId="06136B6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Total Transmix Potential: In-Transit, Scheduled and Total.</w:t>
      </w:r>
    </w:p>
    <w:p w14:paraId="320D10E9"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Total Ethanol Requirement: In-Transit, Scheduled, Total and Total Planned Movement (planned ethanol receipts).</w:t>
      </w:r>
    </w:p>
    <w:p w14:paraId="3A4E8C1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Total Volume Expansion: In-Transit, Scheduled and Total, each with its percentage of the batch volume.</w:t>
      </w:r>
    </w:p>
    <w:p w14:paraId="72613933" w14:textId="77777777" w:rsidR="00672297" w:rsidRDefault="00A16EA3">
      <w:pPr>
        <w:rPr>
          <w:rFonts w:cstheme="minorHAnsi"/>
          <w:sz w:val="20"/>
          <w:szCs w:val="20"/>
        </w:rPr>
      </w:pPr>
      <w:r>
        <w:rPr>
          <w:rFonts w:cstheme="minorHAnsi"/>
          <w:b/>
          <w:bCs/>
          <w:sz w:val="20"/>
          <w:szCs w:val="20"/>
        </w:rPr>
        <w:t>Terminal-wise Blending Potential Charts</w:t>
      </w:r>
      <w:r>
        <w:rPr>
          <w:rFonts w:cstheme="minorHAnsi"/>
          <w:sz w:val="20"/>
          <w:szCs w:val="20"/>
        </w:rPr>
        <w:t xml:space="preserve"> - three stacked column charts (Butane Potential, Transmix Potential, Ethanol Requirement); x-axis = terminal short name, stacked In-Transit (darker) and Scheduled (lighter), sorted by total descending. Terminals shown are those with the component blending capability (terminal configuration - calculation input, gap DP-09); the wireframe lists Hammond, Speedway, Lima, Champaign, Kenova &amp; Tri-State, Bay City, Indianapolis, Louisville Algonquin, Muncie, Tampa and Griffith for butane, and Hammond, Speedway, Lima, Champaign, Lexington, Niles, Midland, Columbus East, Columbus West, Charleston and Huntington for transmix and ethanol.</w:t>
      </w:r>
    </w:p>
    <w:p w14:paraId="16DC5A7B" w14:textId="77777777" w:rsidR="00672297" w:rsidRDefault="00A16EA3">
      <w:pPr>
        <w:rPr>
          <w:rFonts w:cstheme="minorHAnsi"/>
          <w:sz w:val="20"/>
          <w:szCs w:val="20"/>
        </w:rPr>
      </w:pPr>
      <w:r>
        <w:rPr>
          <w:rFonts w:cstheme="minorHAnsi"/>
          <w:b/>
          <w:bCs/>
          <w:sz w:val="20"/>
          <w:szCs w:val="20"/>
        </w:rPr>
        <w:t>Batch-wise Blending Potential Detail Table</w:t>
      </w:r>
      <w:r>
        <w:rPr>
          <w:rFonts w:cstheme="minorHAnsi"/>
          <w:sz w:val="20"/>
          <w:szCs w:val="20"/>
        </w:rPr>
        <w:t xml:space="preserve"> (matrix) - Check (Batch ID selection), Batch ID, Status (T = In-Transit, S = Scheduled), Product Name, Source, Destination, Batch Volume (bbl), Start Time, ETA; for RVP (psi), IBP (°F), T-10 (°F), T-50 (°F), T-90 (°F), TV/L, RON, MON, DON and FBP (°F): PRE, POST, SPEC MIN, SPEC MAX; Butane Potential (VOL, %), Transmix Potential (VOL, %), Ethanol Requirement (VOL, %), Volume Expansion (TOTAL VOL, VOL %).</w:t>
      </w:r>
    </w:p>
    <w:p w14:paraId="1E87EB64" w14:textId="77777777" w:rsidR="00672297" w:rsidRDefault="00A16EA3">
      <w:pPr>
        <w:rPr>
          <w:rFonts w:cstheme="minorHAnsi"/>
          <w:sz w:val="20"/>
          <w:szCs w:val="20"/>
        </w:rPr>
      </w:pPr>
      <w:r>
        <w:rPr>
          <w:rFonts w:cstheme="minorHAnsi"/>
          <w:b/>
          <w:bCs/>
          <w:sz w:val="20"/>
          <w:szCs w:val="20"/>
        </w:rPr>
        <w:t>Terminal Drill-Down View</w:t>
      </w:r>
      <w:r>
        <w:rPr>
          <w:rFonts w:cstheme="minorHAnsi"/>
          <w:sz w:val="20"/>
          <w:szCs w:val="20"/>
        </w:rPr>
        <w:t xml:space="preserve"> - the three charts carry the hierarchy Terminal &gt; Batch ID; drilling down on a terminal shows one bar per batch of that terminal and the detail table is filtered to the terminal.</w:t>
      </w:r>
    </w:p>
    <w:p w14:paraId="5F5E1279" w14:textId="77777777" w:rsidR="00672297" w:rsidRDefault="00A16EA3">
      <w:pPr>
        <w:pStyle w:val="Heading4"/>
        <w:rPr>
          <w:rFonts w:asciiTheme="minorHAnsi" w:hAnsiTheme="minorHAnsi" w:cstheme="minorBidi"/>
          <w:sz w:val="20"/>
          <w:szCs w:val="20"/>
        </w:rPr>
      </w:pPr>
      <w:bookmarkStart w:id="552" w:name="_Toc900950059"/>
      <w:r>
        <w:rPr>
          <w:rFonts w:asciiTheme="minorHAnsi" w:hAnsiTheme="minorHAnsi" w:cstheme="minorBidi"/>
          <w:sz w:val="20"/>
          <w:szCs w:val="20"/>
        </w:rPr>
        <w:t>Interactive Filters &amp; Controls</w:t>
      </w:r>
      <w:bookmarkEnd w:id="552"/>
    </w:p>
    <w:p w14:paraId="36F7A02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Region, Terminal, Product Grade (84 Blendgrade, 91 Premium), Batch Status (Scheduled, In-Transit), Batch Quality (property), Batch ID and Date (ETA) filters.</w:t>
      </w:r>
    </w:p>
    <w:p w14:paraId="54C8874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Apply Filters button; Search and CSV Export on the batch table; Last Refresh timestamp.</w:t>
      </w:r>
    </w:p>
    <w:p w14:paraId="2BF9CF90" w14:textId="77777777" w:rsidR="00672297" w:rsidRDefault="00A16EA3">
      <w:pPr>
        <w:pStyle w:val="Heading4"/>
        <w:rPr>
          <w:rFonts w:asciiTheme="minorHAnsi" w:hAnsiTheme="minorHAnsi" w:cstheme="minorBidi"/>
          <w:sz w:val="20"/>
          <w:szCs w:val="20"/>
        </w:rPr>
      </w:pPr>
      <w:bookmarkStart w:id="553" w:name="_Toc900950060"/>
      <w:r>
        <w:rPr>
          <w:rFonts w:asciiTheme="minorHAnsi" w:hAnsiTheme="minorHAnsi" w:cstheme="minorBidi"/>
          <w:sz w:val="20"/>
          <w:szCs w:val="20"/>
        </w:rPr>
        <w:t>Backend Data Sources &amp; Mapping</w:t>
      </w:r>
      <w:bookmarkEnd w:id="553"/>
    </w:p>
    <w:tbl>
      <w:tblPr>
        <w:tblStyle w:val="TableGrid"/>
        <w:tblW w:w="9360" w:type="dxa"/>
        <w:tblLayout w:type="fixed"/>
        <w:tblCellMar>
          <w:left w:w="70" w:type="dxa"/>
          <w:right w:w="70" w:type="dxa"/>
        </w:tblCellMar>
        <w:tblLook w:val="04A0" w:firstRow="1" w:lastRow="0" w:firstColumn="1" w:lastColumn="0" w:noHBand="0" w:noVBand="1"/>
      </w:tblPr>
      <w:tblGrid>
        <w:gridCol w:w="2246"/>
        <w:gridCol w:w="1404"/>
        <w:gridCol w:w="2059"/>
        <w:gridCol w:w="2527"/>
        <w:gridCol w:w="1124"/>
      </w:tblGrid>
      <w:tr w:rsidR="00672297" w14:paraId="6CCED67C" w14:textId="77777777">
        <w:trPr>
          <w:cantSplit/>
          <w:tblHeader/>
        </w:trPr>
        <w:tc>
          <w:tcPr>
            <w:tcW w:w="2246" w:type="dxa"/>
            <w:shd w:val="clear" w:color="auto" w:fill="2F5496"/>
            <w:vAlign w:val="center"/>
          </w:tcPr>
          <w:p w14:paraId="299C7FF6" w14:textId="77777777" w:rsidR="00672297" w:rsidRDefault="00A16EA3">
            <w:pPr>
              <w:spacing w:before="20" w:after="20"/>
              <w:jc w:val="left"/>
            </w:pPr>
            <w:r>
              <w:rPr>
                <w:rFonts w:cstheme="minorHAnsi"/>
                <w:b/>
                <w:bCs/>
                <w:color w:val="FFFFFF"/>
                <w:sz w:val="18"/>
                <w:szCs w:val="18"/>
              </w:rPr>
              <w:t>Data Type</w:t>
            </w:r>
          </w:p>
        </w:tc>
        <w:tc>
          <w:tcPr>
            <w:tcW w:w="1404" w:type="dxa"/>
            <w:shd w:val="clear" w:color="auto" w:fill="2F5496"/>
            <w:vAlign w:val="center"/>
          </w:tcPr>
          <w:p w14:paraId="73E5C021" w14:textId="77777777" w:rsidR="00672297" w:rsidRDefault="00A16EA3">
            <w:pPr>
              <w:spacing w:before="20" w:after="20"/>
              <w:jc w:val="left"/>
            </w:pPr>
            <w:r>
              <w:rPr>
                <w:rFonts w:cstheme="minorHAnsi"/>
                <w:b/>
                <w:bCs/>
                <w:color w:val="FFFFFF"/>
                <w:sz w:val="18"/>
                <w:szCs w:val="18"/>
              </w:rPr>
              <w:t>Source System</w:t>
            </w:r>
          </w:p>
        </w:tc>
        <w:tc>
          <w:tcPr>
            <w:tcW w:w="2059" w:type="dxa"/>
            <w:shd w:val="clear" w:color="auto" w:fill="2F5496"/>
            <w:vAlign w:val="center"/>
          </w:tcPr>
          <w:p w14:paraId="5008A1EE" w14:textId="77777777" w:rsidR="00672297" w:rsidRDefault="00A16EA3">
            <w:pPr>
              <w:spacing w:before="20" w:after="20"/>
              <w:jc w:val="left"/>
            </w:pPr>
            <w:r>
              <w:rPr>
                <w:rFonts w:cstheme="minorHAnsi"/>
                <w:b/>
                <w:bCs/>
                <w:color w:val="FFFFFF"/>
                <w:sz w:val="18"/>
                <w:szCs w:val="18"/>
              </w:rPr>
              <w:t>Primary Table / Source</w:t>
            </w:r>
          </w:p>
        </w:tc>
        <w:tc>
          <w:tcPr>
            <w:tcW w:w="2527" w:type="dxa"/>
            <w:shd w:val="clear" w:color="auto" w:fill="2F5496"/>
            <w:vAlign w:val="center"/>
          </w:tcPr>
          <w:p w14:paraId="76390FAF" w14:textId="77777777" w:rsidR="00672297" w:rsidRDefault="00A16EA3">
            <w:pPr>
              <w:spacing w:before="20" w:after="20"/>
              <w:jc w:val="left"/>
            </w:pPr>
            <w:r>
              <w:rPr>
                <w:rFonts w:cstheme="minorHAnsi"/>
                <w:b/>
                <w:bCs/>
                <w:color w:val="FFFFFF"/>
                <w:sz w:val="18"/>
                <w:szCs w:val="18"/>
              </w:rPr>
              <w:t>Purpose</w:t>
            </w:r>
          </w:p>
        </w:tc>
        <w:tc>
          <w:tcPr>
            <w:tcW w:w="1124" w:type="dxa"/>
            <w:shd w:val="clear" w:color="auto" w:fill="2F5496"/>
            <w:vAlign w:val="center"/>
          </w:tcPr>
          <w:p w14:paraId="061B9FD1" w14:textId="77777777" w:rsidR="00672297" w:rsidRDefault="00A16EA3">
            <w:pPr>
              <w:spacing w:before="20" w:after="20"/>
              <w:jc w:val="left"/>
            </w:pPr>
            <w:r>
              <w:rPr>
                <w:rFonts w:cstheme="minorHAnsi"/>
                <w:b/>
                <w:bCs/>
                <w:color w:val="FFFFFF"/>
                <w:sz w:val="18"/>
                <w:szCs w:val="18"/>
              </w:rPr>
              <w:t>IQDM</w:t>
            </w:r>
          </w:p>
        </w:tc>
      </w:tr>
      <w:tr w:rsidR="00672297" w14:paraId="4D69C9BB" w14:textId="77777777">
        <w:trPr>
          <w:cantSplit/>
        </w:trPr>
        <w:tc>
          <w:tcPr>
            <w:tcW w:w="2246" w:type="dxa"/>
            <w:vAlign w:val="center"/>
          </w:tcPr>
          <w:p w14:paraId="560750C7" w14:textId="77777777" w:rsidR="00672297" w:rsidRDefault="00A16EA3">
            <w:pPr>
              <w:spacing w:before="20" w:after="20"/>
              <w:jc w:val="left"/>
            </w:pPr>
            <w:r>
              <w:rPr>
                <w:rFonts w:cstheme="minorHAnsi"/>
                <w:sz w:val="18"/>
                <w:szCs w:val="18"/>
              </w:rPr>
              <w:t>Scheduled / In-Transit batches to terminal</w:t>
            </w:r>
          </w:p>
        </w:tc>
        <w:tc>
          <w:tcPr>
            <w:tcW w:w="1404" w:type="dxa"/>
            <w:vAlign w:val="center"/>
          </w:tcPr>
          <w:p w14:paraId="71B2B456" w14:textId="77777777" w:rsidR="00672297" w:rsidRDefault="00A16EA3">
            <w:pPr>
              <w:spacing w:before="20" w:after="20"/>
              <w:jc w:val="left"/>
            </w:pPr>
            <w:r>
              <w:rPr>
                <w:rFonts w:cstheme="minorHAnsi"/>
                <w:sz w:val="18"/>
                <w:szCs w:val="18"/>
              </w:rPr>
              <w:t>Refinery APS</w:t>
            </w:r>
          </w:p>
        </w:tc>
        <w:tc>
          <w:tcPr>
            <w:tcW w:w="2059" w:type="dxa"/>
            <w:vAlign w:val="center"/>
          </w:tcPr>
          <w:p w14:paraId="6FBD4379" w14:textId="77777777" w:rsidR="00672297" w:rsidRDefault="00A16EA3">
            <w:pPr>
              <w:spacing w:before="20" w:after="20"/>
              <w:jc w:val="left"/>
            </w:pPr>
            <w:r>
              <w:rPr>
                <w:rFonts w:cstheme="minorHAnsi"/>
                <w:sz w:val="18"/>
                <w:szCs w:val="18"/>
              </w:rPr>
              <w:t>_EVENT (event type 15)</w:t>
            </w:r>
          </w:p>
        </w:tc>
        <w:tc>
          <w:tcPr>
            <w:tcW w:w="2527" w:type="dxa"/>
            <w:vAlign w:val="center"/>
          </w:tcPr>
          <w:p w14:paraId="4AD25917" w14:textId="77777777" w:rsidR="00672297" w:rsidRDefault="00A16EA3">
            <w:pPr>
              <w:spacing w:before="20" w:after="20"/>
              <w:jc w:val="left"/>
            </w:pPr>
            <w:r>
              <w:rPr>
                <w:rFonts w:cstheme="minorHAnsi"/>
                <w:sz w:val="18"/>
                <w:szCs w:val="18"/>
              </w:rPr>
              <w:t>Batch schedule, source refinery, destination, tanks, volumes, ETA</w:t>
            </w:r>
          </w:p>
        </w:tc>
        <w:tc>
          <w:tcPr>
            <w:tcW w:w="1124" w:type="dxa"/>
            <w:vAlign w:val="center"/>
          </w:tcPr>
          <w:p w14:paraId="02B0A2FF" w14:textId="77777777" w:rsidR="00672297" w:rsidRDefault="00A16EA3">
            <w:pPr>
              <w:spacing w:before="20" w:after="20"/>
              <w:jc w:val="left"/>
            </w:pPr>
            <w:r>
              <w:rPr>
                <w:rFonts w:cstheme="minorHAnsi"/>
                <w:sz w:val="18"/>
                <w:szCs w:val="18"/>
              </w:rPr>
              <w:t>Yes-R#1</w:t>
            </w:r>
          </w:p>
        </w:tc>
      </w:tr>
      <w:tr w:rsidR="00672297" w14:paraId="2ED860E4" w14:textId="77777777">
        <w:trPr>
          <w:cantSplit/>
        </w:trPr>
        <w:tc>
          <w:tcPr>
            <w:tcW w:w="2246" w:type="dxa"/>
            <w:vAlign w:val="center"/>
          </w:tcPr>
          <w:p w14:paraId="6E6CF482" w14:textId="77777777" w:rsidR="00672297" w:rsidRDefault="00A16EA3">
            <w:pPr>
              <w:spacing w:before="20" w:after="20"/>
              <w:jc w:val="left"/>
            </w:pPr>
            <w:r>
              <w:rPr>
                <w:rFonts w:cstheme="minorHAnsi"/>
                <w:sz w:val="18"/>
                <w:szCs w:val="18"/>
              </w:rPr>
              <w:t>Scheduled / In-Transit movement (barges)</w:t>
            </w:r>
          </w:p>
        </w:tc>
        <w:tc>
          <w:tcPr>
            <w:tcW w:w="1404" w:type="dxa"/>
            <w:vAlign w:val="center"/>
          </w:tcPr>
          <w:p w14:paraId="64ED0D72" w14:textId="77777777" w:rsidR="00672297" w:rsidRDefault="00A16EA3">
            <w:pPr>
              <w:spacing w:before="20" w:after="20"/>
              <w:jc w:val="left"/>
            </w:pPr>
            <w:r>
              <w:rPr>
                <w:rFonts w:cstheme="minorHAnsi"/>
                <w:sz w:val="18"/>
                <w:szCs w:val="18"/>
              </w:rPr>
              <w:t>Towworks</w:t>
            </w:r>
          </w:p>
        </w:tc>
        <w:tc>
          <w:tcPr>
            <w:tcW w:w="2059" w:type="dxa"/>
            <w:vAlign w:val="center"/>
          </w:tcPr>
          <w:p w14:paraId="7529AFBE" w14:textId="77777777" w:rsidR="00672297" w:rsidRDefault="00A16EA3">
            <w:pPr>
              <w:spacing w:before="20" w:after="20"/>
              <w:jc w:val="left"/>
            </w:pPr>
            <w:r>
              <w:rPr>
                <w:rFonts w:cstheme="minorHAnsi"/>
                <w:sz w:val="18"/>
                <w:szCs w:val="18"/>
              </w:rPr>
              <w:t>v_OrderDetail</w:t>
            </w:r>
          </w:p>
        </w:tc>
        <w:tc>
          <w:tcPr>
            <w:tcW w:w="2527" w:type="dxa"/>
            <w:vAlign w:val="center"/>
          </w:tcPr>
          <w:p w14:paraId="5B480A5A" w14:textId="77777777" w:rsidR="00672297" w:rsidRDefault="00A16EA3">
            <w:pPr>
              <w:spacing w:before="20" w:after="20"/>
              <w:jc w:val="left"/>
            </w:pPr>
            <w:r>
              <w:rPr>
                <w:rFonts w:cstheme="minorHAnsi"/>
                <w:sz w:val="18"/>
                <w:szCs w:val="18"/>
              </w:rPr>
              <w:t>Movements, destination, volumes, ETA</w:t>
            </w:r>
          </w:p>
        </w:tc>
        <w:tc>
          <w:tcPr>
            <w:tcW w:w="1124" w:type="dxa"/>
            <w:vAlign w:val="center"/>
          </w:tcPr>
          <w:p w14:paraId="75C2021F" w14:textId="77777777" w:rsidR="00672297" w:rsidRDefault="00A16EA3">
            <w:pPr>
              <w:spacing w:before="20" w:after="20"/>
              <w:jc w:val="left"/>
            </w:pPr>
            <w:r>
              <w:rPr>
                <w:rFonts w:cstheme="minorHAnsi"/>
                <w:sz w:val="18"/>
                <w:szCs w:val="18"/>
              </w:rPr>
              <w:t>Yes-R#2</w:t>
            </w:r>
          </w:p>
        </w:tc>
      </w:tr>
      <w:tr w:rsidR="00672297" w14:paraId="2CAED39E" w14:textId="77777777">
        <w:trPr>
          <w:cantSplit/>
        </w:trPr>
        <w:tc>
          <w:tcPr>
            <w:tcW w:w="2246" w:type="dxa"/>
            <w:vAlign w:val="center"/>
          </w:tcPr>
          <w:p w14:paraId="3E09C798" w14:textId="77777777" w:rsidR="00672297" w:rsidRDefault="00A16EA3">
            <w:pPr>
              <w:spacing w:before="20" w:after="20"/>
              <w:jc w:val="left"/>
            </w:pPr>
            <w:r>
              <w:rPr>
                <w:rFonts w:cstheme="minorHAnsi"/>
                <w:sz w:val="18"/>
                <w:szCs w:val="18"/>
              </w:rPr>
              <w:t>Scheduled / In-Transit movement to terminal</w:t>
            </w:r>
          </w:p>
        </w:tc>
        <w:tc>
          <w:tcPr>
            <w:tcW w:w="1404" w:type="dxa"/>
            <w:vAlign w:val="center"/>
          </w:tcPr>
          <w:p w14:paraId="183AF7F9" w14:textId="77777777" w:rsidR="00672297" w:rsidRDefault="00A16EA3">
            <w:pPr>
              <w:spacing w:before="20" w:after="20"/>
              <w:jc w:val="left"/>
            </w:pPr>
            <w:r>
              <w:rPr>
                <w:rFonts w:cstheme="minorHAnsi"/>
                <w:sz w:val="18"/>
                <w:szCs w:val="18"/>
              </w:rPr>
              <w:t>Kittyhawk</w:t>
            </w:r>
          </w:p>
        </w:tc>
        <w:tc>
          <w:tcPr>
            <w:tcW w:w="2059" w:type="dxa"/>
            <w:vAlign w:val="center"/>
          </w:tcPr>
          <w:p w14:paraId="2947D88F" w14:textId="77777777" w:rsidR="00672297" w:rsidRDefault="00A16EA3">
            <w:pPr>
              <w:spacing w:before="20" w:after="20"/>
              <w:jc w:val="left"/>
            </w:pPr>
            <w:r>
              <w:rPr>
                <w:rFonts w:cstheme="minorHAnsi"/>
                <w:sz w:val="18"/>
                <w:szCs w:val="18"/>
              </w:rPr>
              <w:t>Transfer / BulkTransfer</w:t>
            </w:r>
          </w:p>
        </w:tc>
        <w:tc>
          <w:tcPr>
            <w:tcW w:w="2527" w:type="dxa"/>
            <w:vAlign w:val="center"/>
          </w:tcPr>
          <w:p w14:paraId="444BBC44" w14:textId="77777777" w:rsidR="00672297" w:rsidRDefault="00A16EA3">
            <w:pPr>
              <w:spacing w:before="20" w:after="20"/>
              <w:jc w:val="left"/>
            </w:pPr>
            <w:r>
              <w:rPr>
                <w:rFonts w:cstheme="minorHAnsi"/>
                <w:sz w:val="18"/>
                <w:szCs w:val="18"/>
              </w:rPr>
              <w:t>Movements, destination, tanks, volumes, ETA</w:t>
            </w:r>
          </w:p>
        </w:tc>
        <w:tc>
          <w:tcPr>
            <w:tcW w:w="1124" w:type="dxa"/>
            <w:vAlign w:val="center"/>
          </w:tcPr>
          <w:p w14:paraId="28826022" w14:textId="77777777" w:rsidR="00672297" w:rsidRDefault="00A16EA3">
            <w:pPr>
              <w:spacing w:before="20" w:after="20"/>
              <w:jc w:val="left"/>
            </w:pPr>
            <w:r>
              <w:rPr>
                <w:rFonts w:cstheme="minorHAnsi"/>
                <w:sz w:val="18"/>
                <w:szCs w:val="18"/>
              </w:rPr>
              <w:t>Yes-R#2</w:t>
            </w:r>
          </w:p>
        </w:tc>
      </w:tr>
      <w:tr w:rsidR="00672297" w14:paraId="63F30BDB" w14:textId="77777777">
        <w:trPr>
          <w:cantSplit/>
        </w:trPr>
        <w:tc>
          <w:tcPr>
            <w:tcW w:w="2246" w:type="dxa"/>
            <w:vAlign w:val="center"/>
          </w:tcPr>
          <w:p w14:paraId="49F91104" w14:textId="77777777" w:rsidR="00672297" w:rsidRDefault="00A16EA3">
            <w:pPr>
              <w:spacing w:before="20" w:after="20"/>
              <w:jc w:val="left"/>
            </w:pPr>
            <w:r>
              <w:rPr>
                <w:rFonts w:cstheme="minorHAnsi"/>
                <w:sz w:val="18"/>
                <w:szCs w:val="18"/>
              </w:rPr>
              <w:t>Certified pre-blend qualities - refinery</w:t>
            </w:r>
          </w:p>
        </w:tc>
        <w:tc>
          <w:tcPr>
            <w:tcW w:w="1404" w:type="dxa"/>
            <w:vAlign w:val="center"/>
          </w:tcPr>
          <w:p w14:paraId="730E9E44" w14:textId="77777777" w:rsidR="00672297" w:rsidRDefault="00A16EA3">
            <w:pPr>
              <w:spacing w:before="20" w:after="20"/>
              <w:jc w:val="left"/>
            </w:pPr>
            <w:r>
              <w:rPr>
                <w:rFonts w:cstheme="minorHAnsi"/>
                <w:sz w:val="18"/>
                <w:szCs w:val="18"/>
              </w:rPr>
              <w:t>APS / LIMS</w:t>
            </w:r>
          </w:p>
        </w:tc>
        <w:tc>
          <w:tcPr>
            <w:tcW w:w="2059" w:type="dxa"/>
            <w:vAlign w:val="center"/>
          </w:tcPr>
          <w:p w14:paraId="12DA926A" w14:textId="77777777" w:rsidR="00672297" w:rsidRDefault="00A16EA3">
            <w:pPr>
              <w:spacing w:before="20" w:after="20"/>
              <w:jc w:val="left"/>
            </w:pPr>
            <w:r>
              <w:rPr>
                <w:rFonts w:cstheme="minorHAnsi"/>
                <w:sz w:val="18"/>
                <w:szCs w:val="18"/>
              </w:rPr>
              <w:t>Quality tags</w:t>
            </w:r>
          </w:p>
        </w:tc>
        <w:tc>
          <w:tcPr>
            <w:tcW w:w="2527" w:type="dxa"/>
            <w:vAlign w:val="center"/>
          </w:tcPr>
          <w:p w14:paraId="662F9BC9" w14:textId="77777777" w:rsidR="00672297" w:rsidRDefault="00A16EA3">
            <w:pPr>
              <w:spacing w:before="20" w:after="20"/>
              <w:jc w:val="left"/>
            </w:pPr>
            <w:r>
              <w:rPr>
                <w:rFonts w:cstheme="minorHAnsi"/>
                <w:sz w:val="18"/>
                <w:szCs w:val="18"/>
              </w:rPr>
              <w:t>PRE values</w:t>
            </w:r>
          </w:p>
        </w:tc>
        <w:tc>
          <w:tcPr>
            <w:tcW w:w="1124" w:type="dxa"/>
            <w:vAlign w:val="center"/>
          </w:tcPr>
          <w:p w14:paraId="4B785F76" w14:textId="77777777" w:rsidR="00672297" w:rsidRDefault="00A16EA3">
            <w:pPr>
              <w:spacing w:before="20" w:after="20"/>
              <w:jc w:val="left"/>
            </w:pPr>
            <w:r>
              <w:rPr>
                <w:rFonts w:cstheme="minorHAnsi"/>
                <w:sz w:val="18"/>
                <w:szCs w:val="18"/>
              </w:rPr>
              <w:t>Yes-R#1</w:t>
            </w:r>
          </w:p>
        </w:tc>
      </w:tr>
      <w:tr w:rsidR="00672297" w14:paraId="32910D6F" w14:textId="77777777">
        <w:trPr>
          <w:cantSplit/>
        </w:trPr>
        <w:tc>
          <w:tcPr>
            <w:tcW w:w="2246" w:type="dxa"/>
            <w:vAlign w:val="center"/>
          </w:tcPr>
          <w:p w14:paraId="7E1AB02A" w14:textId="77777777" w:rsidR="00672297" w:rsidRDefault="00A16EA3">
            <w:pPr>
              <w:spacing w:before="20" w:after="20"/>
              <w:jc w:val="left"/>
            </w:pPr>
            <w:r>
              <w:rPr>
                <w:rFonts w:cstheme="minorHAnsi"/>
                <w:sz w:val="18"/>
                <w:szCs w:val="18"/>
              </w:rPr>
              <w:t>Certified pre-blend qualities - terminal</w:t>
            </w:r>
          </w:p>
        </w:tc>
        <w:tc>
          <w:tcPr>
            <w:tcW w:w="1404" w:type="dxa"/>
            <w:vAlign w:val="center"/>
          </w:tcPr>
          <w:p w14:paraId="60E532C4" w14:textId="77777777" w:rsidR="00672297" w:rsidRDefault="00A16EA3">
            <w:pPr>
              <w:spacing w:before="20" w:after="20"/>
              <w:jc w:val="left"/>
            </w:pPr>
            <w:r>
              <w:rPr>
                <w:rFonts w:cstheme="minorHAnsi"/>
                <w:sz w:val="18"/>
                <w:szCs w:val="18"/>
              </w:rPr>
              <w:t>PQCore</w:t>
            </w:r>
          </w:p>
        </w:tc>
        <w:tc>
          <w:tcPr>
            <w:tcW w:w="2059" w:type="dxa"/>
            <w:vAlign w:val="center"/>
          </w:tcPr>
          <w:p w14:paraId="53D97E9D" w14:textId="77777777" w:rsidR="00672297" w:rsidRDefault="00A16EA3">
            <w:pPr>
              <w:spacing w:before="20" w:after="20"/>
              <w:jc w:val="left"/>
            </w:pPr>
            <w:r>
              <w:rPr>
                <w:rFonts w:cstheme="minorHAnsi"/>
                <w:sz w:val="18"/>
                <w:szCs w:val="18"/>
              </w:rPr>
              <w:t>Quality tags</w:t>
            </w:r>
          </w:p>
        </w:tc>
        <w:tc>
          <w:tcPr>
            <w:tcW w:w="2527" w:type="dxa"/>
            <w:vAlign w:val="center"/>
          </w:tcPr>
          <w:p w14:paraId="59DB3F13" w14:textId="77777777" w:rsidR="00672297" w:rsidRDefault="00A16EA3">
            <w:pPr>
              <w:spacing w:before="20" w:after="20"/>
              <w:jc w:val="left"/>
            </w:pPr>
            <w:r>
              <w:rPr>
                <w:rFonts w:cstheme="minorHAnsi"/>
                <w:sz w:val="18"/>
                <w:szCs w:val="18"/>
              </w:rPr>
              <w:t>PRE values at terminal</w:t>
            </w:r>
          </w:p>
        </w:tc>
        <w:tc>
          <w:tcPr>
            <w:tcW w:w="1124" w:type="dxa"/>
            <w:vAlign w:val="center"/>
          </w:tcPr>
          <w:p w14:paraId="4B0FA746" w14:textId="77777777" w:rsidR="00672297" w:rsidRDefault="00A16EA3">
            <w:pPr>
              <w:spacing w:before="20" w:after="20"/>
              <w:jc w:val="left"/>
            </w:pPr>
            <w:r>
              <w:rPr>
                <w:rFonts w:cstheme="minorHAnsi"/>
                <w:sz w:val="18"/>
                <w:szCs w:val="18"/>
              </w:rPr>
              <w:t>Yes-R#2</w:t>
            </w:r>
          </w:p>
        </w:tc>
      </w:tr>
      <w:tr w:rsidR="00672297" w14:paraId="79322494" w14:textId="77777777">
        <w:trPr>
          <w:cantSplit/>
        </w:trPr>
        <w:tc>
          <w:tcPr>
            <w:tcW w:w="2246" w:type="dxa"/>
            <w:vAlign w:val="center"/>
          </w:tcPr>
          <w:p w14:paraId="01BD2F79" w14:textId="77777777" w:rsidR="00672297" w:rsidRDefault="00A16EA3">
            <w:pPr>
              <w:spacing w:before="20" w:after="20"/>
              <w:jc w:val="left"/>
            </w:pPr>
            <w:r>
              <w:rPr>
                <w:rFonts w:cstheme="minorHAnsi"/>
                <w:sz w:val="18"/>
                <w:szCs w:val="18"/>
              </w:rPr>
              <w:t>Post-blend qualities</w:t>
            </w:r>
          </w:p>
        </w:tc>
        <w:tc>
          <w:tcPr>
            <w:tcW w:w="1404" w:type="dxa"/>
            <w:vAlign w:val="center"/>
          </w:tcPr>
          <w:p w14:paraId="51D2E7C2" w14:textId="77777777" w:rsidR="00672297" w:rsidRDefault="00A16EA3">
            <w:pPr>
              <w:spacing w:before="20" w:after="20"/>
              <w:jc w:val="left"/>
            </w:pPr>
            <w:r>
              <w:rPr>
                <w:rFonts w:cstheme="minorHAnsi"/>
                <w:sz w:val="18"/>
                <w:szCs w:val="18"/>
              </w:rPr>
              <w:t>Blend calculator / PQCore</w:t>
            </w:r>
          </w:p>
        </w:tc>
        <w:tc>
          <w:tcPr>
            <w:tcW w:w="2059" w:type="dxa"/>
            <w:vAlign w:val="center"/>
          </w:tcPr>
          <w:p w14:paraId="2311DD2A" w14:textId="77777777" w:rsidR="00672297" w:rsidRDefault="00A16EA3">
            <w:pPr>
              <w:spacing w:before="20" w:after="20"/>
              <w:jc w:val="left"/>
            </w:pPr>
            <w:r>
              <w:rPr>
                <w:rFonts w:cstheme="minorHAnsi"/>
                <w:sz w:val="18"/>
                <w:szCs w:val="18"/>
              </w:rPr>
              <w:t>Blend calculator output (gap DP-07)</w:t>
            </w:r>
          </w:p>
        </w:tc>
        <w:tc>
          <w:tcPr>
            <w:tcW w:w="2527" w:type="dxa"/>
            <w:vAlign w:val="center"/>
          </w:tcPr>
          <w:p w14:paraId="7F5E5D02" w14:textId="77777777" w:rsidR="00672297" w:rsidRDefault="00A16EA3">
            <w:pPr>
              <w:spacing w:before="20" w:after="20"/>
              <w:jc w:val="left"/>
            </w:pPr>
            <w:r>
              <w:rPr>
                <w:rFonts w:cstheme="minorHAnsi"/>
                <w:sz w:val="18"/>
                <w:szCs w:val="18"/>
              </w:rPr>
              <w:t>POST values</w:t>
            </w:r>
          </w:p>
        </w:tc>
        <w:tc>
          <w:tcPr>
            <w:tcW w:w="1124" w:type="dxa"/>
            <w:vAlign w:val="center"/>
          </w:tcPr>
          <w:p w14:paraId="6223243D" w14:textId="77777777" w:rsidR="00672297" w:rsidRDefault="00A16EA3">
            <w:pPr>
              <w:spacing w:before="20" w:after="20"/>
              <w:jc w:val="left"/>
            </w:pPr>
            <w:r>
              <w:rPr>
                <w:rFonts w:cstheme="minorHAnsi"/>
                <w:sz w:val="18"/>
                <w:szCs w:val="18"/>
              </w:rPr>
              <w:t>No (gap DP-07)</w:t>
            </w:r>
          </w:p>
        </w:tc>
      </w:tr>
      <w:tr w:rsidR="00672297" w14:paraId="53B29F4A" w14:textId="77777777">
        <w:trPr>
          <w:cantSplit/>
        </w:trPr>
        <w:tc>
          <w:tcPr>
            <w:tcW w:w="2246" w:type="dxa"/>
            <w:vAlign w:val="center"/>
          </w:tcPr>
          <w:p w14:paraId="13B23B9A" w14:textId="77777777" w:rsidR="00672297" w:rsidRDefault="00A16EA3">
            <w:pPr>
              <w:spacing w:before="20" w:after="20"/>
              <w:jc w:val="left"/>
            </w:pPr>
            <w:r>
              <w:rPr>
                <w:rFonts w:cstheme="minorHAnsi"/>
                <w:sz w:val="18"/>
                <w:szCs w:val="18"/>
              </w:rPr>
              <w:t>Blend potential per batch</w:t>
            </w:r>
          </w:p>
        </w:tc>
        <w:tc>
          <w:tcPr>
            <w:tcW w:w="1404" w:type="dxa"/>
            <w:vAlign w:val="center"/>
          </w:tcPr>
          <w:p w14:paraId="37A543E9" w14:textId="77777777" w:rsidR="00672297" w:rsidRDefault="00A16EA3">
            <w:pPr>
              <w:spacing w:before="20" w:after="20"/>
              <w:jc w:val="left"/>
            </w:pPr>
            <w:r>
              <w:rPr>
                <w:rFonts w:cstheme="minorHAnsi"/>
                <w:sz w:val="18"/>
                <w:szCs w:val="18"/>
              </w:rPr>
              <w:t>Blend calculator (Seeq)</w:t>
            </w:r>
          </w:p>
        </w:tc>
        <w:tc>
          <w:tcPr>
            <w:tcW w:w="2059" w:type="dxa"/>
            <w:vAlign w:val="center"/>
          </w:tcPr>
          <w:p w14:paraId="5A2B07A0" w14:textId="77777777" w:rsidR="00672297" w:rsidRDefault="00A16EA3">
            <w:pPr>
              <w:spacing w:before="20" w:after="20"/>
              <w:jc w:val="left"/>
            </w:pPr>
            <w:r>
              <w:rPr>
                <w:rFonts w:cstheme="minorHAnsi"/>
                <w:sz w:val="18"/>
                <w:szCs w:val="18"/>
              </w:rPr>
              <w:t>Blend calculator output (gap DP-07)</w:t>
            </w:r>
          </w:p>
        </w:tc>
        <w:tc>
          <w:tcPr>
            <w:tcW w:w="2527" w:type="dxa"/>
            <w:vAlign w:val="center"/>
          </w:tcPr>
          <w:p w14:paraId="3FD077FE" w14:textId="77777777" w:rsidR="00672297" w:rsidRDefault="00A16EA3">
            <w:pPr>
              <w:spacing w:before="20" w:after="20"/>
              <w:jc w:val="left"/>
            </w:pPr>
            <w:r>
              <w:rPr>
                <w:rFonts w:cstheme="minorHAnsi"/>
                <w:sz w:val="18"/>
                <w:szCs w:val="18"/>
              </w:rPr>
              <w:t>Butane / transmix potential, ethanol requirement</w:t>
            </w:r>
          </w:p>
        </w:tc>
        <w:tc>
          <w:tcPr>
            <w:tcW w:w="1124" w:type="dxa"/>
            <w:vAlign w:val="center"/>
          </w:tcPr>
          <w:p w14:paraId="3B981035" w14:textId="77777777" w:rsidR="00672297" w:rsidRDefault="00A16EA3">
            <w:pPr>
              <w:spacing w:before="20" w:after="20"/>
              <w:jc w:val="left"/>
            </w:pPr>
            <w:r>
              <w:rPr>
                <w:rFonts w:cstheme="minorHAnsi"/>
                <w:sz w:val="18"/>
                <w:szCs w:val="18"/>
              </w:rPr>
              <w:t>No (gap DP-07)</w:t>
            </w:r>
          </w:p>
        </w:tc>
      </w:tr>
      <w:tr w:rsidR="00672297" w14:paraId="1649B664" w14:textId="77777777">
        <w:trPr>
          <w:cantSplit/>
        </w:trPr>
        <w:tc>
          <w:tcPr>
            <w:tcW w:w="2246" w:type="dxa"/>
            <w:vAlign w:val="center"/>
          </w:tcPr>
          <w:p w14:paraId="0695B227" w14:textId="77777777" w:rsidR="00672297" w:rsidRDefault="00A16EA3">
            <w:pPr>
              <w:spacing w:before="20" w:after="20"/>
              <w:jc w:val="left"/>
            </w:pPr>
            <w:r>
              <w:rPr>
                <w:rFonts w:cstheme="minorHAnsi"/>
                <w:sz w:val="18"/>
                <w:szCs w:val="18"/>
              </w:rPr>
              <w:t>Blend component planned movement</w:t>
            </w:r>
          </w:p>
        </w:tc>
        <w:tc>
          <w:tcPr>
            <w:tcW w:w="1404" w:type="dxa"/>
            <w:vAlign w:val="center"/>
          </w:tcPr>
          <w:p w14:paraId="37E03498" w14:textId="77777777" w:rsidR="00672297" w:rsidRDefault="00A16EA3">
            <w:pPr>
              <w:spacing w:before="20" w:after="20"/>
              <w:jc w:val="left"/>
            </w:pPr>
            <w:r>
              <w:rPr>
                <w:rFonts w:cstheme="minorHAnsi"/>
                <w:sz w:val="18"/>
                <w:szCs w:val="18"/>
              </w:rPr>
              <w:t>Kittyhawk</w:t>
            </w:r>
          </w:p>
        </w:tc>
        <w:tc>
          <w:tcPr>
            <w:tcW w:w="2059" w:type="dxa"/>
            <w:vAlign w:val="center"/>
          </w:tcPr>
          <w:p w14:paraId="2F4E8E6D" w14:textId="77777777" w:rsidR="00672297" w:rsidRDefault="00A16EA3">
            <w:pPr>
              <w:spacing w:before="20" w:after="20"/>
              <w:jc w:val="left"/>
            </w:pPr>
            <w:r>
              <w:rPr>
                <w:rFonts w:cstheme="minorHAnsi"/>
                <w:sz w:val="18"/>
                <w:szCs w:val="18"/>
              </w:rPr>
              <w:t>Transfer / BulkTransfer</w:t>
            </w:r>
          </w:p>
        </w:tc>
        <w:tc>
          <w:tcPr>
            <w:tcW w:w="2527" w:type="dxa"/>
            <w:vAlign w:val="center"/>
          </w:tcPr>
          <w:p w14:paraId="73BAB1F4" w14:textId="77777777" w:rsidR="00672297" w:rsidRDefault="00A16EA3">
            <w:pPr>
              <w:spacing w:before="20" w:after="20"/>
              <w:jc w:val="left"/>
            </w:pPr>
            <w:r>
              <w:rPr>
                <w:rFonts w:cstheme="minorHAnsi"/>
                <w:sz w:val="18"/>
                <w:szCs w:val="18"/>
              </w:rPr>
              <w:t>Total Planned Movement cards</w:t>
            </w:r>
          </w:p>
        </w:tc>
        <w:tc>
          <w:tcPr>
            <w:tcW w:w="1124" w:type="dxa"/>
            <w:vAlign w:val="center"/>
          </w:tcPr>
          <w:p w14:paraId="5C49CCFC" w14:textId="77777777" w:rsidR="00672297" w:rsidRDefault="00A16EA3">
            <w:pPr>
              <w:spacing w:before="20" w:after="20"/>
              <w:jc w:val="left"/>
            </w:pPr>
            <w:r>
              <w:rPr>
                <w:rFonts w:cstheme="minorHAnsi"/>
                <w:sz w:val="18"/>
                <w:szCs w:val="18"/>
              </w:rPr>
              <w:t>Yes-R#2</w:t>
            </w:r>
          </w:p>
        </w:tc>
      </w:tr>
      <w:tr w:rsidR="00672297" w14:paraId="38D78CBC" w14:textId="77777777">
        <w:trPr>
          <w:cantSplit/>
        </w:trPr>
        <w:tc>
          <w:tcPr>
            <w:tcW w:w="2246" w:type="dxa"/>
            <w:vAlign w:val="center"/>
          </w:tcPr>
          <w:p w14:paraId="24E6E1D0" w14:textId="77777777" w:rsidR="00672297" w:rsidRDefault="00A16EA3">
            <w:pPr>
              <w:spacing w:before="20" w:after="20"/>
              <w:jc w:val="left"/>
            </w:pPr>
            <w:r>
              <w:rPr>
                <w:rFonts w:cstheme="minorHAnsi"/>
                <w:sz w:val="18"/>
                <w:szCs w:val="18"/>
              </w:rPr>
              <w:t>Blend component inventory</w:t>
            </w:r>
          </w:p>
        </w:tc>
        <w:tc>
          <w:tcPr>
            <w:tcW w:w="1404" w:type="dxa"/>
            <w:vAlign w:val="center"/>
          </w:tcPr>
          <w:p w14:paraId="4871A6FA" w14:textId="77777777" w:rsidR="00672297" w:rsidRDefault="00A16EA3">
            <w:pPr>
              <w:spacing w:before="20" w:after="20"/>
              <w:jc w:val="left"/>
            </w:pPr>
            <w:r>
              <w:rPr>
                <w:rFonts w:cstheme="minorHAnsi"/>
                <w:sz w:val="18"/>
                <w:szCs w:val="18"/>
              </w:rPr>
              <w:t>Kittyhawk / PIAF</w:t>
            </w:r>
          </w:p>
        </w:tc>
        <w:tc>
          <w:tcPr>
            <w:tcW w:w="2059" w:type="dxa"/>
            <w:vAlign w:val="center"/>
          </w:tcPr>
          <w:p w14:paraId="4B1FAA6C" w14:textId="77777777" w:rsidR="00672297" w:rsidRDefault="00A16EA3">
            <w:pPr>
              <w:spacing w:before="20" w:after="20"/>
              <w:jc w:val="left"/>
            </w:pPr>
            <w:r>
              <w:rPr>
                <w:rFonts w:cstheme="minorHAnsi"/>
                <w:sz w:val="18"/>
                <w:szCs w:val="18"/>
              </w:rPr>
              <w:t>Inventory / PI tags</w:t>
            </w:r>
          </w:p>
        </w:tc>
        <w:tc>
          <w:tcPr>
            <w:tcW w:w="2527" w:type="dxa"/>
            <w:vAlign w:val="center"/>
          </w:tcPr>
          <w:p w14:paraId="18D9D6C4" w14:textId="77777777" w:rsidR="00672297" w:rsidRDefault="00A16EA3">
            <w:pPr>
              <w:spacing w:before="20" w:after="20"/>
              <w:jc w:val="left"/>
            </w:pPr>
            <w:r>
              <w:rPr>
                <w:rFonts w:cstheme="minorHAnsi"/>
                <w:sz w:val="18"/>
                <w:szCs w:val="18"/>
              </w:rPr>
              <w:t>Opening inventory of components</w:t>
            </w:r>
          </w:p>
        </w:tc>
        <w:tc>
          <w:tcPr>
            <w:tcW w:w="1124" w:type="dxa"/>
            <w:vAlign w:val="center"/>
          </w:tcPr>
          <w:p w14:paraId="7810D565" w14:textId="77777777" w:rsidR="00672297" w:rsidRDefault="00A16EA3">
            <w:pPr>
              <w:spacing w:before="20" w:after="20"/>
              <w:jc w:val="left"/>
            </w:pPr>
            <w:r>
              <w:rPr>
                <w:rFonts w:cstheme="minorHAnsi"/>
                <w:sz w:val="18"/>
                <w:szCs w:val="18"/>
              </w:rPr>
              <w:t>Yes-R#4 / VCB R2</w:t>
            </w:r>
          </w:p>
        </w:tc>
      </w:tr>
      <w:tr w:rsidR="00672297" w14:paraId="59F8CEBD" w14:textId="77777777">
        <w:trPr>
          <w:cantSplit/>
        </w:trPr>
        <w:tc>
          <w:tcPr>
            <w:tcW w:w="2246" w:type="dxa"/>
            <w:vAlign w:val="center"/>
          </w:tcPr>
          <w:p w14:paraId="403EEAAE" w14:textId="77777777" w:rsidR="00672297" w:rsidRDefault="00A16EA3">
            <w:pPr>
              <w:spacing w:before="20" w:after="20"/>
              <w:jc w:val="left"/>
            </w:pPr>
            <w:r>
              <w:rPr>
                <w:rFonts w:cstheme="minorHAnsi"/>
                <w:sz w:val="18"/>
                <w:szCs w:val="18"/>
              </w:rPr>
              <w:t>Product specifications</w:t>
            </w:r>
          </w:p>
        </w:tc>
        <w:tc>
          <w:tcPr>
            <w:tcW w:w="1404" w:type="dxa"/>
            <w:vAlign w:val="center"/>
          </w:tcPr>
          <w:p w14:paraId="48BDDBA5" w14:textId="77777777" w:rsidR="00672297" w:rsidRDefault="00A16EA3">
            <w:pPr>
              <w:spacing w:before="20" w:after="20"/>
              <w:jc w:val="left"/>
            </w:pPr>
            <w:r>
              <w:rPr>
                <w:rFonts w:cstheme="minorHAnsi"/>
                <w:sz w:val="18"/>
                <w:szCs w:val="18"/>
              </w:rPr>
              <w:t>PQ Spec Shop</w:t>
            </w:r>
          </w:p>
        </w:tc>
        <w:tc>
          <w:tcPr>
            <w:tcW w:w="2059" w:type="dxa"/>
            <w:vAlign w:val="center"/>
          </w:tcPr>
          <w:p w14:paraId="36A018E4" w14:textId="77777777" w:rsidR="00672297" w:rsidRDefault="00A16EA3">
            <w:pPr>
              <w:spacing w:before="20" w:after="20"/>
              <w:jc w:val="left"/>
            </w:pPr>
            <w:r>
              <w:rPr>
                <w:rFonts w:cstheme="minorHAnsi"/>
                <w:sz w:val="18"/>
                <w:szCs w:val="18"/>
              </w:rPr>
              <w:t>product_specification</w:t>
            </w:r>
          </w:p>
        </w:tc>
        <w:tc>
          <w:tcPr>
            <w:tcW w:w="2527" w:type="dxa"/>
            <w:vAlign w:val="center"/>
          </w:tcPr>
          <w:p w14:paraId="36E7B566" w14:textId="77777777" w:rsidR="00672297" w:rsidRDefault="00A16EA3">
            <w:pPr>
              <w:spacing w:before="20" w:after="20"/>
              <w:jc w:val="left"/>
            </w:pPr>
            <w:r>
              <w:rPr>
                <w:rFonts w:cstheme="minorHAnsi"/>
                <w:sz w:val="18"/>
                <w:szCs w:val="18"/>
              </w:rPr>
              <w:t>SPEC MIN / MAX</w:t>
            </w:r>
          </w:p>
        </w:tc>
        <w:tc>
          <w:tcPr>
            <w:tcW w:w="1124" w:type="dxa"/>
            <w:vAlign w:val="center"/>
          </w:tcPr>
          <w:p w14:paraId="7226EA56" w14:textId="77777777" w:rsidR="00672297" w:rsidRDefault="00A16EA3">
            <w:pPr>
              <w:spacing w:before="20" w:after="20"/>
              <w:jc w:val="left"/>
            </w:pPr>
            <w:r>
              <w:rPr>
                <w:rFonts w:cstheme="minorHAnsi"/>
                <w:sz w:val="18"/>
                <w:szCs w:val="18"/>
              </w:rPr>
              <w:t>Yes-R#5</w:t>
            </w:r>
          </w:p>
        </w:tc>
      </w:tr>
      <w:tr w:rsidR="00672297" w14:paraId="0E38A1A8" w14:textId="77777777">
        <w:trPr>
          <w:cantSplit/>
        </w:trPr>
        <w:tc>
          <w:tcPr>
            <w:tcW w:w="2246" w:type="dxa"/>
            <w:vAlign w:val="center"/>
          </w:tcPr>
          <w:p w14:paraId="39201F46" w14:textId="77777777" w:rsidR="00672297" w:rsidRDefault="00A16EA3">
            <w:pPr>
              <w:spacing w:before="20" w:after="20"/>
              <w:jc w:val="left"/>
            </w:pPr>
            <w:r>
              <w:rPr>
                <w:rFonts w:cstheme="minorHAnsi"/>
                <w:sz w:val="18"/>
                <w:szCs w:val="18"/>
              </w:rPr>
              <w:t>Component blending values</w:t>
            </w:r>
          </w:p>
        </w:tc>
        <w:tc>
          <w:tcPr>
            <w:tcW w:w="1404" w:type="dxa"/>
            <w:vAlign w:val="center"/>
          </w:tcPr>
          <w:p w14:paraId="205C8883" w14:textId="77777777" w:rsidR="00672297" w:rsidRDefault="00A16EA3">
            <w:pPr>
              <w:spacing w:before="20" w:after="20"/>
              <w:jc w:val="left"/>
            </w:pPr>
            <w:r>
              <w:rPr>
                <w:rFonts w:cstheme="minorHAnsi"/>
                <w:sz w:val="18"/>
                <w:szCs w:val="18"/>
              </w:rPr>
              <w:t>Wireframes Mock Data</w:t>
            </w:r>
          </w:p>
        </w:tc>
        <w:tc>
          <w:tcPr>
            <w:tcW w:w="2059" w:type="dxa"/>
            <w:vAlign w:val="center"/>
          </w:tcPr>
          <w:p w14:paraId="18EDD964" w14:textId="77777777" w:rsidR="00672297" w:rsidRDefault="00A16EA3">
            <w:pPr>
              <w:spacing w:before="20" w:after="20"/>
              <w:jc w:val="left"/>
            </w:pPr>
            <w:r>
              <w:rPr>
                <w:rFonts w:cstheme="minorHAnsi"/>
                <w:sz w:val="18"/>
                <w:szCs w:val="18"/>
              </w:rPr>
              <w:t>Component blending values (gap DP-10)</w:t>
            </w:r>
          </w:p>
        </w:tc>
        <w:tc>
          <w:tcPr>
            <w:tcW w:w="2527" w:type="dxa"/>
            <w:vAlign w:val="center"/>
          </w:tcPr>
          <w:p w14:paraId="77B995F6" w14:textId="77777777" w:rsidR="00672297" w:rsidRDefault="00A16EA3">
            <w:pPr>
              <w:spacing w:before="20" w:after="20"/>
              <w:jc w:val="left"/>
            </w:pPr>
            <w:r>
              <w:rPr>
                <w:rFonts w:cstheme="minorHAnsi"/>
                <w:sz w:val="18"/>
                <w:szCs w:val="18"/>
              </w:rPr>
              <w:t>Post-blend RON / MON / DON</w:t>
            </w:r>
          </w:p>
        </w:tc>
        <w:tc>
          <w:tcPr>
            <w:tcW w:w="1124" w:type="dxa"/>
            <w:vAlign w:val="center"/>
          </w:tcPr>
          <w:p w14:paraId="25BAE6E5" w14:textId="77777777" w:rsidR="00672297" w:rsidRDefault="00A16EA3">
            <w:pPr>
              <w:spacing w:before="20" w:after="20"/>
              <w:jc w:val="left"/>
            </w:pPr>
            <w:r>
              <w:rPr>
                <w:rFonts w:cstheme="minorHAnsi"/>
                <w:sz w:val="18"/>
                <w:szCs w:val="18"/>
              </w:rPr>
              <w:t>No</w:t>
            </w:r>
          </w:p>
        </w:tc>
      </w:tr>
      <w:tr w:rsidR="00672297" w14:paraId="259169D7" w14:textId="77777777">
        <w:trPr>
          <w:cantSplit/>
        </w:trPr>
        <w:tc>
          <w:tcPr>
            <w:tcW w:w="2246" w:type="dxa"/>
            <w:vAlign w:val="center"/>
          </w:tcPr>
          <w:p w14:paraId="2D9E61EE" w14:textId="77777777" w:rsidR="00672297" w:rsidRDefault="00A16EA3">
            <w:pPr>
              <w:spacing w:before="20" w:after="20"/>
              <w:jc w:val="left"/>
            </w:pPr>
            <w:r>
              <w:rPr>
                <w:rFonts w:cstheme="minorHAnsi"/>
                <w:sz w:val="18"/>
                <w:szCs w:val="18"/>
              </w:rPr>
              <w:t>Terminal master</w:t>
            </w:r>
          </w:p>
        </w:tc>
        <w:tc>
          <w:tcPr>
            <w:tcW w:w="1404" w:type="dxa"/>
            <w:vAlign w:val="center"/>
          </w:tcPr>
          <w:p w14:paraId="301FAE45" w14:textId="77777777" w:rsidR="00672297" w:rsidRDefault="00A16EA3">
            <w:pPr>
              <w:spacing w:before="20" w:after="20"/>
              <w:jc w:val="left"/>
            </w:pPr>
            <w:r>
              <w:rPr>
                <w:rFonts w:cstheme="minorHAnsi"/>
                <w:sz w:val="18"/>
                <w:szCs w:val="18"/>
              </w:rPr>
              <w:t>IQDM</w:t>
            </w:r>
          </w:p>
        </w:tc>
        <w:tc>
          <w:tcPr>
            <w:tcW w:w="2059" w:type="dxa"/>
            <w:vAlign w:val="center"/>
          </w:tcPr>
          <w:p w14:paraId="4A6D597E" w14:textId="77777777" w:rsidR="00672297" w:rsidRDefault="00A16EA3">
            <w:pPr>
              <w:spacing w:before="20" w:after="20"/>
              <w:jc w:val="left"/>
            </w:pPr>
            <w:r>
              <w:rPr>
                <w:rFonts w:cstheme="minorHAnsi"/>
                <w:sz w:val="18"/>
                <w:szCs w:val="18"/>
              </w:rPr>
              <w:t>location</w:t>
            </w:r>
          </w:p>
        </w:tc>
        <w:tc>
          <w:tcPr>
            <w:tcW w:w="2527" w:type="dxa"/>
            <w:vAlign w:val="center"/>
          </w:tcPr>
          <w:p w14:paraId="600F1B1A" w14:textId="77777777" w:rsidR="00672297" w:rsidRDefault="00A16EA3">
            <w:pPr>
              <w:spacing w:before="20" w:after="20"/>
              <w:jc w:val="left"/>
            </w:pPr>
            <w:r>
              <w:rPr>
                <w:rFonts w:cstheme="minorHAnsi"/>
                <w:sz w:val="18"/>
                <w:szCs w:val="18"/>
              </w:rPr>
              <w:t>Terminal names and region</w:t>
            </w:r>
          </w:p>
        </w:tc>
        <w:tc>
          <w:tcPr>
            <w:tcW w:w="1124" w:type="dxa"/>
            <w:vAlign w:val="center"/>
          </w:tcPr>
          <w:p w14:paraId="3E8F969A" w14:textId="77777777" w:rsidR="00672297" w:rsidRDefault="00A16EA3">
            <w:pPr>
              <w:spacing w:before="20" w:after="20"/>
              <w:jc w:val="left"/>
            </w:pPr>
            <w:r>
              <w:rPr>
                <w:rFonts w:cstheme="minorHAnsi"/>
                <w:sz w:val="18"/>
                <w:szCs w:val="18"/>
              </w:rPr>
              <w:t>Yes</w:t>
            </w:r>
          </w:p>
        </w:tc>
      </w:tr>
    </w:tbl>
    <w:p w14:paraId="5696130E" w14:textId="4D9AB413" w:rsidR="00672297" w:rsidRDefault="00A16EA3">
      <w:pPr>
        <w:pStyle w:val="Caption"/>
      </w:pPr>
      <w:bookmarkStart w:id="554" w:name="_Toc900950061"/>
      <w:bookmarkStart w:id="555" w:name="_Toc241574707"/>
      <w:bookmarkStart w:id="556" w:name="_Toc242554091"/>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18</w:t>
      </w:r>
      <w:r>
        <w:fldChar w:fldCharType="end"/>
      </w:r>
      <w:r>
        <w:t>: Blending Potential Dashboard Data Source Overview</w:t>
      </w:r>
      <w:bookmarkEnd w:id="554"/>
      <w:bookmarkEnd w:id="555"/>
      <w:bookmarkEnd w:id="556"/>
    </w:p>
    <w:tbl>
      <w:tblPr>
        <w:tblStyle w:val="TableGrid"/>
        <w:tblW w:w="9360" w:type="dxa"/>
        <w:tblLayout w:type="fixed"/>
        <w:tblCellMar>
          <w:left w:w="70" w:type="dxa"/>
          <w:right w:w="70" w:type="dxa"/>
        </w:tblCellMar>
        <w:tblLook w:val="04A0" w:firstRow="1" w:lastRow="0" w:firstColumn="1" w:lastColumn="0" w:noHBand="0" w:noVBand="1"/>
      </w:tblPr>
      <w:tblGrid>
        <w:gridCol w:w="1872"/>
        <w:gridCol w:w="1684"/>
        <w:gridCol w:w="1872"/>
        <w:gridCol w:w="1123"/>
        <w:gridCol w:w="2809"/>
      </w:tblGrid>
      <w:tr w:rsidR="00672297" w14:paraId="45097BE5" w14:textId="77777777">
        <w:trPr>
          <w:cantSplit/>
          <w:tblHeader/>
        </w:trPr>
        <w:tc>
          <w:tcPr>
            <w:tcW w:w="1872" w:type="dxa"/>
            <w:shd w:val="clear" w:color="auto" w:fill="2F5496"/>
            <w:vAlign w:val="center"/>
          </w:tcPr>
          <w:p w14:paraId="5665D188" w14:textId="77777777" w:rsidR="00672297" w:rsidRDefault="00A16EA3">
            <w:pPr>
              <w:spacing w:before="20" w:after="20"/>
              <w:jc w:val="left"/>
            </w:pPr>
            <w:r>
              <w:rPr>
                <w:rFonts w:cstheme="minorHAnsi"/>
                <w:b/>
                <w:bCs/>
                <w:color w:val="FFFFFF"/>
                <w:sz w:val="18"/>
                <w:szCs w:val="18"/>
              </w:rPr>
              <w:t>Dashboard Field</w:t>
            </w:r>
          </w:p>
        </w:tc>
        <w:tc>
          <w:tcPr>
            <w:tcW w:w="1684" w:type="dxa"/>
            <w:shd w:val="clear" w:color="auto" w:fill="2F5496"/>
            <w:vAlign w:val="center"/>
          </w:tcPr>
          <w:p w14:paraId="1B243942" w14:textId="77777777" w:rsidR="00672297" w:rsidRDefault="00A16EA3">
            <w:pPr>
              <w:spacing w:before="20" w:after="20"/>
              <w:jc w:val="left"/>
            </w:pPr>
            <w:r>
              <w:rPr>
                <w:rFonts w:cstheme="minorHAnsi"/>
                <w:b/>
                <w:bCs/>
                <w:color w:val="FFFFFF"/>
                <w:sz w:val="18"/>
                <w:szCs w:val="18"/>
              </w:rPr>
              <w:t>Source Table</w:t>
            </w:r>
          </w:p>
        </w:tc>
        <w:tc>
          <w:tcPr>
            <w:tcW w:w="1872" w:type="dxa"/>
            <w:shd w:val="clear" w:color="auto" w:fill="2F5496"/>
            <w:vAlign w:val="center"/>
          </w:tcPr>
          <w:p w14:paraId="57B54D33" w14:textId="77777777" w:rsidR="00672297" w:rsidRDefault="00A16EA3">
            <w:pPr>
              <w:spacing w:before="20" w:after="20"/>
              <w:jc w:val="left"/>
            </w:pPr>
            <w:r>
              <w:rPr>
                <w:rFonts w:cstheme="minorHAnsi"/>
                <w:b/>
                <w:bCs/>
                <w:color w:val="FFFFFF"/>
                <w:sz w:val="18"/>
                <w:szCs w:val="18"/>
              </w:rPr>
              <w:t>Field Used</w:t>
            </w:r>
          </w:p>
        </w:tc>
        <w:tc>
          <w:tcPr>
            <w:tcW w:w="1123" w:type="dxa"/>
            <w:shd w:val="clear" w:color="auto" w:fill="2F5496"/>
            <w:vAlign w:val="center"/>
          </w:tcPr>
          <w:p w14:paraId="615F8E84" w14:textId="77777777" w:rsidR="00672297" w:rsidRDefault="00A16EA3">
            <w:pPr>
              <w:spacing w:before="20" w:after="20"/>
              <w:jc w:val="left"/>
            </w:pPr>
            <w:r>
              <w:rPr>
                <w:rFonts w:cstheme="minorHAnsi"/>
                <w:b/>
                <w:bCs/>
                <w:color w:val="FFFFFF"/>
                <w:sz w:val="18"/>
                <w:szCs w:val="18"/>
              </w:rPr>
              <w:t>IQDM</w:t>
            </w:r>
          </w:p>
        </w:tc>
        <w:tc>
          <w:tcPr>
            <w:tcW w:w="2809" w:type="dxa"/>
            <w:shd w:val="clear" w:color="auto" w:fill="2F5496"/>
            <w:vAlign w:val="center"/>
          </w:tcPr>
          <w:p w14:paraId="29EB5ADC" w14:textId="77777777" w:rsidR="00672297" w:rsidRDefault="00A16EA3">
            <w:pPr>
              <w:spacing w:before="20" w:after="20"/>
              <w:jc w:val="left"/>
            </w:pPr>
            <w:r>
              <w:rPr>
                <w:rFonts w:cstheme="minorHAnsi"/>
                <w:b/>
                <w:bCs/>
                <w:color w:val="FFFFFF"/>
                <w:sz w:val="18"/>
                <w:szCs w:val="18"/>
              </w:rPr>
              <w:t>VCB View Column</w:t>
            </w:r>
          </w:p>
        </w:tc>
      </w:tr>
      <w:tr w:rsidR="00672297" w14:paraId="6FE206F6" w14:textId="77777777">
        <w:trPr>
          <w:cantSplit/>
        </w:trPr>
        <w:tc>
          <w:tcPr>
            <w:tcW w:w="1872" w:type="dxa"/>
            <w:vAlign w:val="center"/>
          </w:tcPr>
          <w:p w14:paraId="17E2CF18" w14:textId="77777777" w:rsidR="00672297" w:rsidRDefault="00A16EA3">
            <w:pPr>
              <w:spacing w:before="20" w:after="20"/>
              <w:jc w:val="left"/>
            </w:pPr>
            <w:r>
              <w:rPr>
                <w:rFonts w:cstheme="minorHAnsi"/>
                <w:sz w:val="18"/>
                <w:szCs w:val="18"/>
              </w:rPr>
              <w:t>Batch ID</w:t>
            </w:r>
          </w:p>
        </w:tc>
        <w:tc>
          <w:tcPr>
            <w:tcW w:w="1684" w:type="dxa"/>
            <w:vAlign w:val="center"/>
          </w:tcPr>
          <w:p w14:paraId="732F8975" w14:textId="77777777" w:rsidR="00672297" w:rsidRDefault="00A16EA3">
            <w:pPr>
              <w:spacing w:before="20" w:after="20"/>
              <w:jc w:val="left"/>
            </w:pPr>
            <w:r>
              <w:rPr>
                <w:rFonts w:cstheme="minorHAnsi"/>
                <w:sz w:val="18"/>
                <w:szCs w:val="18"/>
              </w:rPr>
              <w:t>_EVENT / BulkTransfer</w:t>
            </w:r>
          </w:p>
        </w:tc>
        <w:tc>
          <w:tcPr>
            <w:tcW w:w="1872" w:type="dxa"/>
            <w:vAlign w:val="center"/>
          </w:tcPr>
          <w:p w14:paraId="01B9411F" w14:textId="77777777" w:rsidR="00672297" w:rsidRDefault="00A16EA3">
            <w:pPr>
              <w:spacing w:before="20" w:after="20"/>
              <w:jc w:val="left"/>
            </w:pPr>
            <w:r>
              <w:rPr>
                <w:rFonts w:cstheme="minorHAnsi"/>
                <w:sz w:val="18"/>
                <w:szCs w:val="18"/>
              </w:rPr>
              <w:t>BATCH / BatchIdentifier</w:t>
            </w:r>
          </w:p>
        </w:tc>
        <w:tc>
          <w:tcPr>
            <w:tcW w:w="1123" w:type="dxa"/>
            <w:vAlign w:val="center"/>
          </w:tcPr>
          <w:p w14:paraId="3B04003A" w14:textId="77777777" w:rsidR="00672297" w:rsidRDefault="00A16EA3">
            <w:pPr>
              <w:spacing w:before="20" w:after="20"/>
              <w:jc w:val="left"/>
            </w:pPr>
            <w:r>
              <w:rPr>
                <w:rFonts w:cstheme="minorHAnsi"/>
                <w:sz w:val="18"/>
                <w:szCs w:val="18"/>
              </w:rPr>
              <w:t>Yes-R#1 / R#2</w:t>
            </w:r>
          </w:p>
        </w:tc>
        <w:tc>
          <w:tcPr>
            <w:tcW w:w="2809" w:type="dxa"/>
            <w:vAlign w:val="center"/>
          </w:tcPr>
          <w:p w14:paraId="2389933B" w14:textId="77777777" w:rsidR="00672297" w:rsidRDefault="00A16EA3">
            <w:pPr>
              <w:spacing w:before="20" w:after="20"/>
              <w:jc w:val="left"/>
            </w:pPr>
            <w:r>
              <w:rPr>
                <w:rFonts w:cstheme="minorHAnsi"/>
                <w:sz w:val="18"/>
                <w:szCs w:val="18"/>
              </w:rPr>
              <w:t>vwDistillateBlendPotentialQuality[BatchID]</w:t>
            </w:r>
          </w:p>
        </w:tc>
      </w:tr>
      <w:tr w:rsidR="00672297" w14:paraId="27E89AA5" w14:textId="77777777">
        <w:trPr>
          <w:cantSplit/>
        </w:trPr>
        <w:tc>
          <w:tcPr>
            <w:tcW w:w="1872" w:type="dxa"/>
            <w:vAlign w:val="center"/>
          </w:tcPr>
          <w:p w14:paraId="4D3204FA" w14:textId="77777777" w:rsidR="00672297" w:rsidRDefault="00A16EA3">
            <w:pPr>
              <w:spacing w:before="20" w:after="20"/>
              <w:jc w:val="left"/>
            </w:pPr>
            <w:r>
              <w:rPr>
                <w:rFonts w:cstheme="minorHAnsi"/>
                <w:sz w:val="18"/>
                <w:szCs w:val="18"/>
              </w:rPr>
              <w:t>Status</w:t>
            </w:r>
          </w:p>
        </w:tc>
        <w:tc>
          <w:tcPr>
            <w:tcW w:w="1684" w:type="dxa"/>
            <w:vAlign w:val="center"/>
          </w:tcPr>
          <w:p w14:paraId="12F5BD2B" w14:textId="77777777" w:rsidR="00672297" w:rsidRDefault="00A16EA3">
            <w:pPr>
              <w:spacing w:before="20" w:after="20"/>
              <w:jc w:val="left"/>
            </w:pPr>
            <w:r>
              <w:rPr>
                <w:rFonts w:cstheme="minorHAnsi"/>
                <w:sz w:val="18"/>
                <w:szCs w:val="18"/>
              </w:rPr>
              <w:t>Derived</w:t>
            </w:r>
          </w:p>
        </w:tc>
        <w:tc>
          <w:tcPr>
            <w:tcW w:w="1872" w:type="dxa"/>
            <w:vAlign w:val="center"/>
          </w:tcPr>
          <w:p w14:paraId="7866E5FF" w14:textId="77777777" w:rsidR="00672297" w:rsidRDefault="00A16EA3">
            <w:pPr>
              <w:spacing w:before="20" w:after="20"/>
              <w:jc w:val="left"/>
            </w:pPr>
            <w:r>
              <w:rPr>
                <w:rFonts w:cstheme="minorHAnsi"/>
                <w:sz w:val="18"/>
                <w:szCs w:val="18"/>
              </w:rPr>
              <w:t>Status rule</w:t>
            </w:r>
          </w:p>
        </w:tc>
        <w:tc>
          <w:tcPr>
            <w:tcW w:w="1123" w:type="dxa"/>
            <w:vAlign w:val="center"/>
          </w:tcPr>
          <w:p w14:paraId="1E925D80" w14:textId="77777777" w:rsidR="00672297" w:rsidRDefault="00A16EA3">
            <w:pPr>
              <w:spacing w:before="20" w:after="20"/>
              <w:jc w:val="left"/>
            </w:pPr>
            <w:r>
              <w:rPr>
                <w:rFonts w:cstheme="minorHAnsi"/>
                <w:sz w:val="18"/>
                <w:szCs w:val="18"/>
              </w:rPr>
              <w:t>Yes-R#2</w:t>
            </w:r>
          </w:p>
        </w:tc>
        <w:tc>
          <w:tcPr>
            <w:tcW w:w="2809" w:type="dxa"/>
            <w:vAlign w:val="center"/>
          </w:tcPr>
          <w:p w14:paraId="7019C6B2" w14:textId="77777777" w:rsidR="00672297" w:rsidRDefault="00A16EA3">
            <w:pPr>
              <w:spacing w:before="20" w:after="20"/>
              <w:jc w:val="left"/>
            </w:pPr>
            <w:r>
              <w:rPr>
                <w:rFonts w:cstheme="minorHAnsi"/>
                <w:sz w:val="18"/>
                <w:szCs w:val="18"/>
              </w:rPr>
              <w:t>[StatusCode]</w:t>
            </w:r>
          </w:p>
        </w:tc>
      </w:tr>
      <w:tr w:rsidR="00672297" w14:paraId="69BCB15A" w14:textId="77777777">
        <w:trPr>
          <w:cantSplit/>
        </w:trPr>
        <w:tc>
          <w:tcPr>
            <w:tcW w:w="1872" w:type="dxa"/>
            <w:vAlign w:val="center"/>
          </w:tcPr>
          <w:p w14:paraId="218168B6" w14:textId="77777777" w:rsidR="00672297" w:rsidRDefault="00A16EA3">
            <w:pPr>
              <w:spacing w:before="20" w:after="20"/>
              <w:jc w:val="left"/>
            </w:pPr>
            <w:r>
              <w:rPr>
                <w:rFonts w:cstheme="minorHAnsi"/>
                <w:sz w:val="18"/>
                <w:szCs w:val="18"/>
              </w:rPr>
              <w:t>Product Name</w:t>
            </w:r>
          </w:p>
        </w:tc>
        <w:tc>
          <w:tcPr>
            <w:tcW w:w="1684" w:type="dxa"/>
            <w:vAlign w:val="center"/>
          </w:tcPr>
          <w:p w14:paraId="7C9ACD81" w14:textId="77777777" w:rsidR="00672297" w:rsidRDefault="00A16EA3">
            <w:pPr>
              <w:spacing w:before="20" w:after="20"/>
              <w:jc w:val="left"/>
            </w:pPr>
            <w:r>
              <w:rPr>
                <w:rFonts w:cstheme="minorHAnsi"/>
                <w:sz w:val="18"/>
                <w:szCs w:val="18"/>
              </w:rPr>
              <w:t>PRODUCTS / material</w:t>
            </w:r>
          </w:p>
        </w:tc>
        <w:tc>
          <w:tcPr>
            <w:tcW w:w="1872" w:type="dxa"/>
            <w:vAlign w:val="center"/>
          </w:tcPr>
          <w:p w14:paraId="59CAC154" w14:textId="77777777" w:rsidR="00672297" w:rsidRDefault="00A16EA3">
            <w:pPr>
              <w:spacing w:before="20" w:after="20"/>
              <w:jc w:val="left"/>
            </w:pPr>
            <w:r>
              <w:rPr>
                <w:rFonts w:cstheme="minorHAnsi"/>
                <w:sz w:val="18"/>
                <w:szCs w:val="18"/>
              </w:rPr>
              <w:t>DESCRIPTION</w:t>
            </w:r>
          </w:p>
        </w:tc>
        <w:tc>
          <w:tcPr>
            <w:tcW w:w="1123" w:type="dxa"/>
            <w:vAlign w:val="center"/>
          </w:tcPr>
          <w:p w14:paraId="526789E8" w14:textId="77777777" w:rsidR="00672297" w:rsidRDefault="00A16EA3">
            <w:pPr>
              <w:spacing w:before="20" w:after="20"/>
              <w:jc w:val="left"/>
            </w:pPr>
            <w:r>
              <w:rPr>
                <w:rFonts w:cstheme="minorHAnsi"/>
                <w:sz w:val="18"/>
                <w:szCs w:val="18"/>
              </w:rPr>
              <w:t>Yes-R#1</w:t>
            </w:r>
          </w:p>
        </w:tc>
        <w:tc>
          <w:tcPr>
            <w:tcW w:w="2809" w:type="dxa"/>
            <w:vAlign w:val="center"/>
          </w:tcPr>
          <w:p w14:paraId="692273AD" w14:textId="77777777" w:rsidR="00672297" w:rsidRDefault="00A16EA3">
            <w:pPr>
              <w:spacing w:before="20" w:after="20"/>
              <w:jc w:val="left"/>
            </w:pPr>
            <w:r>
              <w:rPr>
                <w:rFonts w:cstheme="minorHAnsi"/>
                <w:sz w:val="18"/>
                <w:szCs w:val="18"/>
              </w:rPr>
              <w:t>[ProductName]</w:t>
            </w:r>
          </w:p>
        </w:tc>
      </w:tr>
      <w:tr w:rsidR="00672297" w14:paraId="696127F4" w14:textId="77777777">
        <w:trPr>
          <w:cantSplit/>
        </w:trPr>
        <w:tc>
          <w:tcPr>
            <w:tcW w:w="1872" w:type="dxa"/>
            <w:vAlign w:val="center"/>
          </w:tcPr>
          <w:p w14:paraId="06ECAD0E" w14:textId="77777777" w:rsidR="00672297" w:rsidRDefault="00A16EA3">
            <w:pPr>
              <w:spacing w:before="20" w:after="20"/>
              <w:jc w:val="left"/>
            </w:pPr>
            <w:r>
              <w:rPr>
                <w:rFonts w:cstheme="minorHAnsi"/>
                <w:sz w:val="18"/>
                <w:szCs w:val="18"/>
              </w:rPr>
              <w:t>Source</w:t>
            </w:r>
          </w:p>
        </w:tc>
        <w:tc>
          <w:tcPr>
            <w:tcW w:w="1684" w:type="dxa"/>
            <w:vAlign w:val="center"/>
          </w:tcPr>
          <w:p w14:paraId="40B7A004" w14:textId="77777777" w:rsidR="00672297" w:rsidRDefault="00A16EA3">
            <w:pPr>
              <w:spacing w:before="20" w:after="20"/>
              <w:jc w:val="left"/>
            </w:pPr>
            <w:r>
              <w:rPr>
                <w:rFonts w:cstheme="minorHAnsi"/>
                <w:sz w:val="18"/>
                <w:szCs w:val="18"/>
              </w:rPr>
              <w:t>_EVENT</w:t>
            </w:r>
          </w:p>
        </w:tc>
        <w:tc>
          <w:tcPr>
            <w:tcW w:w="1872" w:type="dxa"/>
            <w:vAlign w:val="center"/>
          </w:tcPr>
          <w:p w14:paraId="5F82A08E" w14:textId="77777777" w:rsidR="00672297" w:rsidRDefault="00A16EA3">
            <w:pPr>
              <w:spacing w:before="20" w:after="20"/>
              <w:jc w:val="left"/>
            </w:pPr>
            <w:r>
              <w:rPr>
                <w:rFonts w:cstheme="minorHAnsi"/>
                <w:sz w:val="18"/>
                <w:szCs w:val="18"/>
              </w:rPr>
              <w:t>Location</w:t>
            </w:r>
          </w:p>
        </w:tc>
        <w:tc>
          <w:tcPr>
            <w:tcW w:w="1123" w:type="dxa"/>
            <w:vAlign w:val="center"/>
          </w:tcPr>
          <w:p w14:paraId="31563F07" w14:textId="77777777" w:rsidR="00672297" w:rsidRDefault="00A16EA3">
            <w:pPr>
              <w:spacing w:before="20" w:after="20"/>
              <w:jc w:val="left"/>
            </w:pPr>
            <w:r>
              <w:rPr>
                <w:rFonts w:cstheme="minorHAnsi"/>
                <w:sz w:val="18"/>
                <w:szCs w:val="18"/>
              </w:rPr>
              <w:t>Yes-R#1</w:t>
            </w:r>
          </w:p>
        </w:tc>
        <w:tc>
          <w:tcPr>
            <w:tcW w:w="2809" w:type="dxa"/>
            <w:vAlign w:val="center"/>
          </w:tcPr>
          <w:p w14:paraId="54BCC868" w14:textId="77777777" w:rsidR="00672297" w:rsidRDefault="00A16EA3">
            <w:pPr>
              <w:spacing w:before="20" w:after="20"/>
              <w:jc w:val="left"/>
            </w:pPr>
            <w:r>
              <w:rPr>
                <w:rFonts w:cstheme="minorHAnsi"/>
                <w:sz w:val="18"/>
                <w:szCs w:val="18"/>
              </w:rPr>
              <w:t>[Source]</w:t>
            </w:r>
          </w:p>
        </w:tc>
      </w:tr>
      <w:tr w:rsidR="00672297" w14:paraId="22C90851" w14:textId="77777777">
        <w:trPr>
          <w:cantSplit/>
        </w:trPr>
        <w:tc>
          <w:tcPr>
            <w:tcW w:w="1872" w:type="dxa"/>
            <w:vAlign w:val="center"/>
          </w:tcPr>
          <w:p w14:paraId="4F46A43D" w14:textId="77777777" w:rsidR="00672297" w:rsidRDefault="00A16EA3">
            <w:pPr>
              <w:spacing w:before="20" w:after="20"/>
              <w:jc w:val="left"/>
            </w:pPr>
            <w:r>
              <w:rPr>
                <w:rFonts w:cstheme="minorHAnsi"/>
                <w:sz w:val="18"/>
                <w:szCs w:val="18"/>
              </w:rPr>
              <w:t>Destination</w:t>
            </w:r>
          </w:p>
        </w:tc>
        <w:tc>
          <w:tcPr>
            <w:tcW w:w="1684" w:type="dxa"/>
            <w:vAlign w:val="center"/>
          </w:tcPr>
          <w:p w14:paraId="6417A7E0" w14:textId="77777777" w:rsidR="00672297" w:rsidRDefault="00A16EA3">
            <w:pPr>
              <w:spacing w:before="20" w:after="20"/>
              <w:jc w:val="left"/>
            </w:pPr>
            <w:r>
              <w:rPr>
                <w:rFonts w:cstheme="minorHAnsi"/>
                <w:sz w:val="18"/>
                <w:szCs w:val="18"/>
              </w:rPr>
              <w:t>BulkTransfer / Transfer</w:t>
            </w:r>
          </w:p>
        </w:tc>
        <w:tc>
          <w:tcPr>
            <w:tcW w:w="1872" w:type="dxa"/>
            <w:vAlign w:val="center"/>
          </w:tcPr>
          <w:p w14:paraId="7A9035E8" w14:textId="77777777" w:rsidR="00672297" w:rsidRDefault="00A16EA3">
            <w:pPr>
              <w:spacing w:before="20" w:after="20"/>
              <w:jc w:val="left"/>
            </w:pPr>
            <w:r>
              <w:rPr>
                <w:rFonts w:cstheme="minorHAnsi"/>
                <w:sz w:val="18"/>
                <w:szCs w:val="18"/>
              </w:rPr>
              <w:t>Destination</w:t>
            </w:r>
          </w:p>
        </w:tc>
        <w:tc>
          <w:tcPr>
            <w:tcW w:w="1123" w:type="dxa"/>
            <w:vAlign w:val="center"/>
          </w:tcPr>
          <w:p w14:paraId="0970F6F3" w14:textId="77777777" w:rsidR="00672297" w:rsidRDefault="00A16EA3">
            <w:pPr>
              <w:spacing w:before="20" w:after="20"/>
              <w:jc w:val="left"/>
            </w:pPr>
            <w:r>
              <w:rPr>
                <w:rFonts w:cstheme="minorHAnsi"/>
                <w:sz w:val="18"/>
                <w:szCs w:val="18"/>
              </w:rPr>
              <w:t>Yes-R#2</w:t>
            </w:r>
          </w:p>
        </w:tc>
        <w:tc>
          <w:tcPr>
            <w:tcW w:w="2809" w:type="dxa"/>
            <w:vAlign w:val="center"/>
          </w:tcPr>
          <w:p w14:paraId="4DBE90E2" w14:textId="77777777" w:rsidR="00672297" w:rsidRDefault="00A16EA3">
            <w:pPr>
              <w:spacing w:before="20" w:after="20"/>
              <w:jc w:val="left"/>
            </w:pPr>
            <w:r>
              <w:rPr>
                <w:rFonts w:cstheme="minorHAnsi"/>
                <w:sz w:val="18"/>
                <w:szCs w:val="18"/>
              </w:rPr>
              <w:t>[Destination]</w:t>
            </w:r>
          </w:p>
        </w:tc>
      </w:tr>
      <w:tr w:rsidR="00672297" w14:paraId="7B855F8D" w14:textId="77777777">
        <w:trPr>
          <w:cantSplit/>
        </w:trPr>
        <w:tc>
          <w:tcPr>
            <w:tcW w:w="1872" w:type="dxa"/>
            <w:vAlign w:val="center"/>
          </w:tcPr>
          <w:p w14:paraId="1550D994" w14:textId="77777777" w:rsidR="00672297" w:rsidRDefault="00A16EA3">
            <w:pPr>
              <w:spacing w:before="20" w:after="20"/>
              <w:jc w:val="left"/>
            </w:pPr>
            <w:r>
              <w:rPr>
                <w:rFonts w:cstheme="minorHAnsi"/>
                <w:sz w:val="18"/>
                <w:szCs w:val="18"/>
              </w:rPr>
              <w:t>Batch Volume (bbl)</w:t>
            </w:r>
          </w:p>
        </w:tc>
        <w:tc>
          <w:tcPr>
            <w:tcW w:w="1684" w:type="dxa"/>
            <w:vAlign w:val="center"/>
          </w:tcPr>
          <w:p w14:paraId="59B7C78C" w14:textId="77777777" w:rsidR="00672297" w:rsidRDefault="00A16EA3">
            <w:pPr>
              <w:spacing w:before="20" w:after="20"/>
              <w:jc w:val="left"/>
            </w:pPr>
            <w:r>
              <w:rPr>
                <w:rFonts w:cstheme="minorHAnsi"/>
                <w:sz w:val="18"/>
                <w:szCs w:val="18"/>
              </w:rPr>
              <w:t>_EVENT / BulkTransfer</w:t>
            </w:r>
          </w:p>
        </w:tc>
        <w:tc>
          <w:tcPr>
            <w:tcW w:w="1872" w:type="dxa"/>
            <w:vAlign w:val="center"/>
          </w:tcPr>
          <w:p w14:paraId="7A6F3C51" w14:textId="77777777" w:rsidR="00672297" w:rsidRDefault="00A16EA3">
            <w:pPr>
              <w:spacing w:before="20" w:after="20"/>
              <w:jc w:val="left"/>
            </w:pPr>
            <w:r>
              <w:rPr>
                <w:rFonts w:cstheme="minorHAnsi"/>
                <w:sz w:val="18"/>
                <w:szCs w:val="18"/>
              </w:rPr>
              <w:t>VOLUME (Mbbl x 1,000) / Total Quantity</w:t>
            </w:r>
          </w:p>
        </w:tc>
        <w:tc>
          <w:tcPr>
            <w:tcW w:w="1123" w:type="dxa"/>
            <w:vAlign w:val="center"/>
          </w:tcPr>
          <w:p w14:paraId="1869F64D" w14:textId="77777777" w:rsidR="00672297" w:rsidRDefault="00A16EA3">
            <w:pPr>
              <w:spacing w:before="20" w:after="20"/>
              <w:jc w:val="left"/>
            </w:pPr>
            <w:r>
              <w:rPr>
                <w:rFonts w:cstheme="minorHAnsi"/>
                <w:sz w:val="18"/>
                <w:szCs w:val="18"/>
              </w:rPr>
              <w:t>Yes-R#1 / R#2</w:t>
            </w:r>
          </w:p>
        </w:tc>
        <w:tc>
          <w:tcPr>
            <w:tcW w:w="2809" w:type="dxa"/>
            <w:vAlign w:val="center"/>
          </w:tcPr>
          <w:p w14:paraId="341A99A7" w14:textId="77777777" w:rsidR="00672297" w:rsidRDefault="00A16EA3">
            <w:pPr>
              <w:spacing w:before="20" w:after="20"/>
              <w:jc w:val="left"/>
            </w:pPr>
            <w:r>
              <w:rPr>
                <w:rFonts w:cstheme="minorHAnsi"/>
                <w:sz w:val="18"/>
                <w:szCs w:val="18"/>
              </w:rPr>
              <w:t>[BatchVolumeBbl]</w:t>
            </w:r>
          </w:p>
        </w:tc>
      </w:tr>
      <w:tr w:rsidR="00672297" w14:paraId="77C00C0D" w14:textId="77777777">
        <w:trPr>
          <w:cantSplit/>
        </w:trPr>
        <w:tc>
          <w:tcPr>
            <w:tcW w:w="1872" w:type="dxa"/>
            <w:vAlign w:val="center"/>
          </w:tcPr>
          <w:p w14:paraId="46AF93CA" w14:textId="77777777" w:rsidR="00672297" w:rsidRDefault="00A16EA3">
            <w:pPr>
              <w:spacing w:before="20" w:after="20"/>
              <w:jc w:val="left"/>
            </w:pPr>
            <w:r>
              <w:rPr>
                <w:rFonts w:cstheme="minorHAnsi"/>
                <w:sz w:val="18"/>
                <w:szCs w:val="18"/>
              </w:rPr>
              <w:t>Start Time / ETA</w:t>
            </w:r>
          </w:p>
        </w:tc>
        <w:tc>
          <w:tcPr>
            <w:tcW w:w="1684" w:type="dxa"/>
            <w:vAlign w:val="center"/>
          </w:tcPr>
          <w:p w14:paraId="58C5980E" w14:textId="77777777" w:rsidR="00672297" w:rsidRDefault="00A16EA3">
            <w:pPr>
              <w:spacing w:before="20" w:after="20"/>
              <w:jc w:val="left"/>
            </w:pPr>
            <w:r>
              <w:rPr>
                <w:rFonts w:cstheme="minorHAnsi"/>
                <w:sz w:val="18"/>
                <w:szCs w:val="18"/>
              </w:rPr>
              <w:t>_EVENT / BulkTransfer</w:t>
            </w:r>
          </w:p>
        </w:tc>
        <w:tc>
          <w:tcPr>
            <w:tcW w:w="1872" w:type="dxa"/>
            <w:vAlign w:val="center"/>
          </w:tcPr>
          <w:p w14:paraId="2F672B9A" w14:textId="77777777" w:rsidR="00672297" w:rsidRDefault="00A16EA3">
            <w:pPr>
              <w:spacing w:before="20" w:after="20"/>
              <w:jc w:val="left"/>
            </w:pPr>
            <w:r>
              <w:rPr>
                <w:rFonts w:cstheme="minorHAnsi"/>
                <w:sz w:val="18"/>
                <w:szCs w:val="18"/>
              </w:rPr>
              <w:t>START_ / estimated end date</w:t>
            </w:r>
          </w:p>
        </w:tc>
        <w:tc>
          <w:tcPr>
            <w:tcW w:w="1123" w:type="dxa"/>
            <w:vAlign w:val="center"/>
          </w:tcPr>
          <w:p w14:paraId="2400769C" w14:textId="77777777" w:rsidR="00672297" w:rsidRDefault="00A16EA3">
            <w:pPr>
              <w:spacing w:before="20" w:after="20"/>
              <w:jc w:val="left"/>
            </w:pPr>
            <w:r>
              <w:rPr>
                <w:rFonts w:cstheme="minorHAnsi"/>
                <w:sz w:val="18"/>
                <w:szCs w:val="18"/>
              </w:rPr>
              <w:t>Yes-R#1 / R#2</w:t>
            </w:r>
          </w:p>
        </w:tc>
        <w:tc>
          <w:tcPr>
            <w:tcW w:w="2809" w:type="dxa"/>
            <w:vAlign w:val="center"/>
          </w:tcPr>
          <w:p w14:paraId="40D2F2F9" w14:textId="77777777" w:rsidR="00672297" w:rsidRDefault="00A16EA3">
            <w:pPr>
              <w:spacing w:before="20" w:after="20"/>
              <w:jc w:val="left"/>
            </w:pPr>
            <w:r>
              <w:rPr>
                <w:rFonts w:cstheme="minorHAnsi"/>
                <w:sz w:val="18"/>
                <w:szCs w:val="18"/>
              </w:rPr>
              <w:t>[StartDateTime] / [ETADateTime]</w:t>
            </w:r>
          </w:p>
        </w:tc>
      </w:tr>
      <w:tr w:rsidR="00672297" w14:paraId="26A432AE" w14:textId="77777777">
        <w:trPr>
          <w:cantSplit/>
        </w:trPr>
        <w:tc>
          <w:tcPr>
            <w:tcW w:w="1872" w:type="dxa"/>
            <w:vAlign w:val="center"/>
          </w:tcPr>
          <w:p w14:paraId="1D9B4782" w14:textId="77777777" w:rsidR="00672297" w:rsidRDefault="00A16EA3">
            <w:pPr>
              <w:spacing w:before="20" w:after="20"/>
              <w:jc w:val="left"/>
            </w:pPr>
            <w:r>
              <w:rPr>
                <w:rFonts w:cstheme="minorHAnsi"/>
                <w:sz w:val="18"/>
                <w:szCs w:val="18"/>
              </w:rPr>
              <w:t>PRE (RVP, IBP, T-10, T-50, T-90, TV/L, RON, MON, DON, FBP)</w:t>
            </w:r>
          </w:p>
        </w:tc>
        <w:tc>
          <w:tcPr>
            <w:tcW w:w="1684" w:type="dxa"/>
            <w:vAlign w:val="center"/>
          </w:tcPr>
          <w:p w14:paraId="69131892" w14:textId="77777777" w:rsidR="00672297" w:rsidRDefault="00A16EA3">
            <w:pPr>
              <w:spacing w:before="20" w:after="20"/>
              <w:jc w:val="left"/>
            </w:pPr>
            <w:r>
              <w:rPr>
                <w:rFonts w:cstheme="minorHAnsi"/>
                <w:sz w:val="18"/>
                <w:szCs w:val="18"/>
              </w:rPr>
              <w:t>APS / LIMS; PQCore</w:t>
            </w:r>
          </w:p>
        </w:tc>
        <w:tc>
          <w:tcPr>
            <w:tcW w:w="1872" w:type="dxa"/>
            <w:vAlign w:val="center"/>
          </w:tcPr>
          <w:p w14:paraId="1CA28AC8" w14:textId="77777777" w:rsidR="00672297" w:rsidRDefault="00A16EA3">
            <w:pPr>
              <w:spacing w:before="20" w:after="20"/>
              <w:jc w:val="left"/>
            </w:pPr>
            <w:r>
              <w:rPr>
                <w:rFonts w:cstheme="minorHAnsi"/>
                <w:sz w:val="18"/>
                <w:szCs w:val="18"/>
              </w:rPr>
              <w:t>Quality tags</w:t>
            </w:r>
          </w:p>
        </w:tc>
        <w:tc>
          <w:tcPr>
            <w:tcW w:w="1123" w:type="dxa"/>
            <w:vAlign w:val="center"/>
          </w:tcPr>
          <w:p w14:paraId="22B2EA28" w14:textId="77777777" w:rsidR="00672297" w:rsidRDefault="00A16EA3">
            <w:pPr>
              <w:spacing w:before="20" w:after="20"/>
              <w:jc w:val="left"/>
            </w:pPr>
            <w:r>
              <w:rPr>
                <w:rFonts w:cstheme="minorHAnsi"/>
                <w:sz w:val="18"/>
                <w:szCs w:val="18"/>
              </w:rPr>
              <w:t>Yes-R#1 / R#2</w:t>
            </w:r>
          </w:p>
        </w:tc>
        <w:tc>
          <w:tcPr>
            <w:tcW w:w="2809" w:type="dxa"/>
            <w:vAlign w:val="center"/>
          </w:tcPr>
          <w:p w14:paraId="44CDCFA8" w14:textId="77777777" w:rsidR="00672297" w:rsidRDefault="00A16EA3">
            <w:pPr>
              <w:spacing w:before="20" w:after="20"/>
              <w:jc w:val="left"/>
            </w:pPr>
            <w:r>
              <w:rPr>
                <w:rFonts w:cstheme="minorHAnsi"/>
                <w:sz w:val="18"/>
                <w:szCs w:val="18"/>
              </w:rPr>
              <w:t>[&lt;Property&gt;Pre]</w:t>
            </w:r>
          </w:p>
        </w:tc>
      </w:tr>
      <w:tr w:rsidR="00672297" w14:paraId="7DF4D031" w14:textId="77777777">
        <w:trPr>
          <w:cantSplit/>
        </w:trPr>
        <w:tc>
          <w:tcPr>
            <w:tcW w:w="1872" w:type="dxa"/>
            <w:vAlign w:val="center"/>
          </w:tcPr>
          <w:p w14:paraId="0438FE1A" w14:textId="77777777" w:rsidR="00672297" w:rsidRDefault="00A16EA3">
            <w:pPr>
              <w:spacing w:before="20" w:after="20"/>
              <w:jc w:val="left"/>
            </w:pPr>
            <w:r>
              <w:rPr>
                <w:rFonts w:cstheme="minorHAnsi"/>
                <w:sz w:val="18"/>
                <w:szCs w:val="18"/>
              </w:rPr>
              <w:t>POST</w:t>
            </w:r>
          </w:p>
        </w:tc>
        <w:tc>
          <w:tcPr>
            <w:tcW w:w="1684" w:type="dxa"/>
            <w:vAlign w:val="center"/>
          </w:tcPr>
          <w:p w14:paraId="1978EA76" w14:textId="77777777" w:rsidR="00672297" w:rsidRDefault="00A16EA3">
            <w:pPr>
              <w:spacing w:before="20" w:after="20"/>
              <w:jc w:val="left"/>
            </w:pPr>
            <w:r>
              <w:rPr>
                <w:rFonts w:cstheme="minorHAnsi"/>
                <w:sz w:val="18"/>
                <w:szCs w:val="18"/>
              </w:rPr>
              <w:t>Blend calculator; calculated octane</w:t>
            </w:r>
          </w:p>
        </w:tc>
        <w:tc>
          <w:tcPr>
            <w:tcW w:w="1872" w:type="dxa"/>
            <w:vAlign w:val="center"/>
          </w:tcPr>
          <w:p w14:paraId="4EC7817D" w14:textId="77777777" w:rsidR="00672297" w:rsidRDefault="00A16EA3">
            <w:pPr>
              <w:spacing w:before="20" w:after="20"/>
              <w:jc w:val="left"/>
            </w:pPr>
            <w:r>
              <w:rPr>
                <w:rFonts w:cstheme="minorHAnsi"/>
                <w:sz w:val="18"/>
                <w:szCs w:val="18"/>
              </w:rPr>
              <w:t>Post-blend values</w:t>
            </w:r>
          </w:p>
        </w:tc>
        <w:tc>
          <w:tcPr>
            <w:tcW w:w="1123" w:type="dxa"/>
            <w:vAlign w:val="center"/>
          </w:tcPr>
          <w:p w14:paraId="56BF8355" w14:textId="77777777" w:rsidR="00672297" w:rsidRDefault="00A16EA3">
            <w:pPr>
              <w:spacing w:before="20" w:after="20"/>
              <w:jc w:val="left"/>
            </w:pPr>
            <w:r>
              <w:rPr>
                <w:rFonts w:cstheme="minorHAnsi"/>
                <w:sz w:val="18"/>
                <w:szCs w:val="18"/>
              </w:rPr>
              <w:t>No</w:t>
            </w:r>
          </w:p>
        </w:tc>
        <w:tc>
          <w:tcPr>
            <w:tcW w:w="2809" w:type="dxa"/>
            <w:vAlign w:val="center"/>
          </w:tcPr>
          <w:p w14:paraId="0C1E3570" w14:textId="77777777" w:rsidR="00672297" w:rsidRDefault="00A16EA3">
            <w:pPr>
              <w:spacing w:before="20" w:after="20"/>
              <w:jc w:val="left"/>
            </w:pPr>
            <w:r>
              <w:rPr>
                <w:rFonts w:cstheme="minorHAnsi"/>
                <w:sz w:val="18"/>
                <w:szCs w:val="18"/>
              </w:rPr>
              <w:t>[&lt;Property&gt;Post]</w:t>
            </w:r>
          </w:p>
        </w:tc>
      </w:tr>
      <w:tr w:rsidR="00672297" w14:paraId="2FD44895" w14:textId="77777777">
        <w:trPr>
          <w:cantSplit/>
        </w:trPr>
        <w:tc>
          <w:tcPr>
            <w:tcW w:w="1872" w:type="dxa"/>
            <w:vAlign w:val="center"/>
          </w:tcPr>
          <w:p w14:paraId="33E3E515" w14:textId="77777777" w:rsidR="00672297" w:rsidRDefault="00A16EA3">
            <w:pPr>
              <w:spacing w:before="20" w:after="20"/>
              <w:jc w:val="left"/>
            </w:pPr>
            <w:r>
              <w:rPr>
                <w:rFonts w:cstheme="minorHAnsi"/>
                <w:sz w:val="18"/>
                <w:szCs w:val="18"/>
              </w:rPr>
              <w:t>SPEC MIN / MAX</w:t>
            </w:r>
          </w:p>
        </w:tc>
        <w:tc>
          <w:tcPr>
            <w:tcW w:w="1684" w:type="dxa"/>
            <w:vAlign w:val="center"/>
          </w:tcPr>
          <w:p w14:paraId="48D82514" w14:textId="77777777" w:rsidR="00672297" w:rsidRDefault="00A16EA3">
            <w:pPr>
              <w:spacing w:before="20" w:after="20"/>
              <w:jc w:val="left"/>
            </w:pPr>
            <w:r>
              <w:rPr>
                <w:rFonts w:cstheme="minorHAnsi"/>
                <w:sz w:val="18"/>
                <w:szCs w:val="18"/>
              </w:rPr>
              <w:t>PQ Spec Shop</w:t>
            </w:r>
          </w:p>
        </w:tc>
        <w:tc>
          <w:tcPr>
            <w:tcW w:w="1872" w:type="dxa"/>
            <w:vAlign w:val="center"/>
          </w:tcPr>
          <w:p w14:paraId="271350ED" w14:textId="77777777" w:rsidR="00672297" w:rsidRDefault="00A16EA3">
            <w:pPr>
              <w:spacing w:before="20" w:after="20"/>
              <w:jc w:val="left"/>
            </w:pPr>
            <w:r>
              <w:rPr>
                <w:rFonts w:cstheme="minorHAnsi"/>
                <w:sz w:val="18"/>
                <w:szCs w:val="18"/>
              </w:rPr>
              <w:t>Specification rows</w:t>
            </w:r>
          </w:p>
        </w:tc>
        <w:tc>
          <w:tcPr>
            <w:tcW w:w="1123" w:type="dxa"/>
            <w:vAlign w:val="center"/>
          </w:tcPr>
          <w:p w14:paraId="2B1453B7" w14:textId="77777777" w:rsidR="00672297" w:rsidRDefault="00A16EA3">
            <w:pPr>
              <w:spacing w:before="20" w:after="20"/>
              <w:jc w:val="left"/>
            </w:pPr>
            <w:r>
              <w:rPr>
                <w:rFonts w:cstheme="minorHAnsi"/>
                <w:sz w:val="18"/>
                <w:szCs w:val="18"/>
              </w:rPr>
              <w:t>Yes-R#5</w:t>
            </w:r>
          </w:p>
        </w:tc>
        <w:tc>
          <w:tcPr>
            <w:tcW w:w="2809" w:type="dxa"/>
            <w:vAlign w:val="center"/>
          </w:tcPr>
          <w:p w14:paraId="45DC4F20" w14:textId="77777777" w:rsidR="00672297" w:rsidRDefault="00A16EA3">
            <w:pPr>
              <w:spacing w:before="20" w:after="20"/>
              <w:jc w:val="left"/>
            </w:pPr>
            <w:r>
              <w:rPr>
                <w:rFonts w:cstheme="minorHAnsi"/>
                <w:sz w:val="18"/>
                <w:szCs w:val="18"/>
              </w:rPr>
              <w:t>[&lt;Property&gt;SpecMin] / [&lt;Property&gt;SpecMax]</w:t>
            </w:r>
          </w:p>
        </w:tc>
      </w:tr>
      <w:tr w:rsidR="00672297" w14:paraId="3F608B53" w14:textId="77777777">
        <w:trPr>
          <w:cantSplit/>
        </w:trPr>
        <w:tc>
          <w:tcPr>
            <w:tcW w:w="1872" w:type="dxa"/>
            <w:vAlign w:val="center"/>
          </w:tcPr>
          <w:p w14:paraId="7DF13A51" w14:textId="77777777" w:rsidR="00672297" w:rsidRDefault="00A16EA3">
            <w:pPr>
              <w:spacing w:before="20" w:after="20"/>
              <w:jc w:val="left"/>
            </w:pPr>
            <w:r>
              <w:rPr>
                <w:rFonts w:cstheme="minorHAnsi"/>
                <w:sz w:val="18"/>
                <w:szCs w:val="18"/>
              </w:rPr>
              <w:t>Butane / Transmix Potential (VOL, %)</w:t>
            </w:r>
          </w:p>
        </w:tc>
        <w:tc>
          <w:tcPr>
            <w:tcW w:w="1684" w:type="dxa"/>
            <w:vAlign w:val="center"/>
          </w:tcPr>
          <w:p w14:paraId="2A572C7D" w14:textId="77777777" w:rsidR="00672297" w:rsidRDefault="00A16EA3">
            <w:pPr>
              <w:spacing w:before="20" w:after="20"/>
              <w:jc w:val="left"/>
            </w:pPr>
            <w:r>
              <w:rPr>
                <w:rFonts w:cstheme="minorHAnsi"/>
                <w:sz w:val="18"/>
                <w:szCs w:val="18"/>
              </w:rPr>
              <w:t>Blend calculator</w:t>
            </w:r>
          </w:p>
        </w:tc>
        <w:tc>
          <w:tcPr>
            <w:tcW w:w="1872" w:type="dxa"/>
            <w:vAlign w:val="center"/>
          </w:tcPr>
          <w:p w14:paraId="6D528303" w14:textId="77777777" w:rsidR="00672297" w:rsidRDefault="00A16EA3">
            <w:pPr>
              <w:spacing w:before="20" w:after="20"/>
              <w:jc w:val="left"/>
            </w:pPr>
            <w:r>
              <w:rPr>
                <w:rFonts w:cstheme="minorHAnsi"/>
                <w:sz w:val="18"/>
                <w:szCs w:val="18"/>
              </w:rPr>
              <w:t>potential_volume_bbl / potential_pct</w:t>
            </w:r>
          </w:p>
        </w:tc>
        <w:tc>
          <w:tcPr>
            <w:tcW w:w="1123" w:type="dxa"/>
            <w:vAlign w:val="center"/>
          </w:tcPr>
          <w:p w14:paraId="1178EE7F" w14:textId="77777777" w:rsidR="00672297" w:rsidRDefault="00A16EA3">
            <w:pPr>
              <w:spacing w:before="20" w:after="20"/>
              <w:jc w:val="left"/>
            </w:pPr>
            <w:r>
              <w:rPr>
                <w:rFonts w:cstheme="minorHAnsi"/>
                <w:sz w:val="18"/>
                <w:szCs w:val="18"/>
              </w:rPr>
              <w:t>No</w:t>
            </w:r>
          </w:p>
        </w:tc>
        <w:tc>
          <w:tcPr>
            <w:tcW w:w="2809" w:type="dxa"/>
            <w:vAlign w:val="center"/>
          </w:tcPr>
          <w:p w14:paraId="676240E5" w14:textId="77777777" w:rsidR="00672297" w:rsidRDefault="00A16EA3">
            <w:pPr>
              <w:spacing w:before="20" w:after="20"/>
              <w:jc w:val="left"/>
            </w:pPr>
            <w:r>
              <w:rPr>
                <w:rFonts w:cstheme="minorHAnsi"/>
                <w:sz w:val="18"/>
                <w:szCs w:val="18"/>
              </w:rPr>
              <w:t>[ButanePotentialBbl], [ButanePotentialPct], [TransmixPotentialBbl], [TransmixPotentialPct]</w:t>
            </w:r>
          </w:p>
        </w:tc>
      </w:tr>
      <w:tr w:rsidR="00672297" w14:paraId="5491E8A3" w14:textId="77777777">
        <w:trPr>
          <w:cantSplit/>
        </w:trPr>
        <w:tc>
          <w:tcPr>
            <w:tcW w:w="1872" w:type="dxa"/>
            <w:vAlign w:val="center"/>
          </w:tcPr>
          <w:p w14:paraId="75CDCBD6" w14:textId="77777777" w:rsidR="00672297" w:rsidRDefault="00A16EA3">
            <w:pPr>
              <w:spacing w:before="20" w:after="20"/>
              <w:jc w:val="left"/>
            </w:pPr>
            <w:r>
              <w:rPr>
                <w:rFonts w:cstheme="minorHAnsi"/>
                <w:sz w:val="18"/>
                <w:szCs w:val="18"/>
              </w:rPr>
              <w:t>Ethanol Requirement (VOL, %)</w:t>
            </w:r>
          </w:p>
        </w:tc>
        <w:tc>
          <w:tcPr>
            <w:tcW w:w="1684" w:type="dxa"/>
            <w:vAlign w:val="center"/>
          </w:tcPr>
          <w:p w14:paraId="7311C507" w14:textId="77777777" w:rsidR="00672297" w:rsidRDefault="00A16EA3">
            <w:pPr>
              <w:spacing w:before="20" w:after="20"/>
              <w:jc w:val="left"/>
            </w:pPr>
            <w:r>
              <w:rPr>
                <w:rFonts w:cstheme="minorHAnsi"/>
                <w:sz w:val="18"/>
                <w:szCs w:val="18"/>
              </w:rPr>
              <w:t>Blend calculator / terminal configuration</w:t>
            </w:r>
          </w:p>
        </w:tc>
        <w:tc>
          <w:tcPr>
            <w:tcW w:w="1872" w:type="dxa"/>
            <w:vAlign w:val="center"/>
          </w:tcPr>
          <w:p w14:paraId="0BC09A27" w14:textId="77777777" w:rsidR="00672297" w:rsidRDefault="00A16EA3">
            <w:pPr>
              <w:spacing w:before="20" w:after="20"/>
              <w:jc w:val="left"/>
            </w:pPr>
            <w:r>
              <w:rPr>
                <w:rFonts w:cstheme="minorHAnsi"/>
                <w:sz w:val="18"/>
                <w:szCs w:val="18"/>
              </w:rPr>
              <w:t>blend_pct x batch volume</w:t>
            </w:r>
          </w:p>
        </w:tc>
        <w:tc>
          <w:tcPr>
            <w:tcW w:w="1123" w:type="dxa"/>
            <w:vAlign w:val="center"/>
          </w:tcPr>
          <w:p w14:paraId="76E68057" w14:textId="77777777" w:rsidR="00672297" w:rsidRDefault="00A16EA3">
            <w:pPr>
              <w:spacing w:before="20" w:after="20"/>
              <w:jc w:val="left"/>
            </w:pPr>
            <w:r>
              <w:rPr>
                <w:rFonts w:cstheme="minorHAnsi"/>
                <w:sz w:val="18"/>
                <w:szCs w:val="18"/>
              </w:rPr>
              <w:t>No</w:t>
            </w:r>
          </w:p>
        </w:tc>
        <w:tc>
          <w:tcPr>
            <w:tcW w:w="2809" w:type="dxa"/>
            <w:vAlign w:val="center"/>
          </w:tcPr>
          <w:p w14:paraId="03D66FF6" w14:textId="77777777" w:rsidR="00672297" w:rsidRDefault="00A16EA3">
            <w:pPr>
              <w:spacing w:before="20" w:after="20"/>
              <w:jc w:val="left"/>
            </w:pPr>
            <w:r>
              <w:rPr>
                <w:rFonts w:cstheme="minorHAnsi"/>
                <w:sz w:val="18"/>
                <w:szCs w:val="18"/>
              </w:rPr>
              <w:t>[EthanolRequirementBbl], [EthanolRequirementPct]</w:t>
            </w:r>
          </w:p>
        </w:tc>
      </w:tr>
      <w:tr w:rsidR="00672297" w14:paraId="3EE6226D" w14:textId="77777777">
        <w:trPr>
          <w:cantSplit/>
        </w:trPr>
        <w:tc>
          <w:tcPr>
            <w:tcW w:w="1872" w:type="dxa"/>
            <w:vAlign w:val="center"/>
          </w:tcPr>
          <w:p w14:paraId="7C969EDC" w14:textId="77777777" w:rsidR="00672297" w:rsidRDefault="00A16EA3">
            <w:pPr>
              <w:spacing w:before="20" w:after="20"/>
              <w:jc w:val="left"/>
            </w:pPr>
            <w:r>
              <w:rPr>
                <w:rFonts w:cstheme="minorHAnsi"/>
                <w:sz w:val="18"/>
                <w:szCs w:val="18"/>
              </w:rPr>
              <w:t>Total Planned Movement</w:t>
            </w:r>
          </w:p>
        </w:tc>
        <w:tc>
          <w:tcPr>
            <w:tcW w:w="1684" w:type="dxa"/>
            <w:vAlign w:val="center"/>
          </w:tcPr>
          <w:p w14:paraId="39596279" w14:textId="77777777" w:rsidR="00672297" w:rsidRDefault="00A16EA3">
            <w:pPr>
              <w:spacing w:before="20" w:after="20"/>
              <w:jc w:val="left"/>
            </w:pPr>
            <w:r>
              <w:rPr>
                <w:rFonts w:cstheme="minorHAnsi"/>
                <w:sz w:val="18"/>
                <w:szCs w:val="18"/>
              </w:rPr>
              <w:t>Transfer / BulkTransfer</w:t>
            </w:r>
          </w:p>
        </w:tc>
        <w:tc>
          <w:tcPr>
            <w:tcW w:w="1872" w:type="dxa"/>
            <w:vAlign w:val="center"/>
          </w:tcPr>
          <w:p w14:paraId="35237BDF" w14:textId="77777777" w:rsidR="00672297" w:rsidRDefault="00A16EA3">
            <w:pPr>
              <w:spacing w:before="20" w:after="20"/>
              <w:jc w:val="left"/>
            </w:pPr>
            <w:r>
              <w:rPr>
                <w:rFonts w:cstheme="minorHAnsi"/>
                <w:sz w:val="18"/>
                <w:szCs w:val="18"/>
              </w:rPr>
              <w:t>Net Quantity</w:t>
            </w:r>
          </w:p>
        </w:tc>
        <w:tc>
          <w:tcPr>
            <w:tcW w:w="1123" w:type="dxa"/>
            <w:vAlign w:val="center"/>
          </w:tcPr>
          <w:p w14:paraId="2D53F188" w14:textId="77777777" w:rsidR="00672297" w:rsidRDefault="00A16EA3">
            <w:pPr>
              <w:spacing w:before="20" w:after="20"/>
              <w:jc w:val="left"/>
            </w:pPr>
            <w:r>
              <w:rPr>
                <w:rFonts w:cstheme="minorHAnsi"/>
                <w:sz w:val="18"/>
                <w:szCs w:val="18"/>
              </w:rPr>
              <w:t>Yes-R#2</w:t>
            </w:r>
          </w:p>
        </w:tc>
        <w:tc>
          <w:tcPr>
            <w:tcW w:w="2809" w:type="dxa"/>
            <w:vAlign w:val="center"/>
          </w:tcPr>
          <w:p w14:paraId="0865A7E1" w14:textId="77777777" w:rsidR="00672297" w:rsidRDefault="00A16EA3">
            <w:pPr>
              <w:spacing w:before="20" w:after="20"/>
              <w:jc w:val="left"/>
            </w:pPr>
            <w:r>
              <w:rPr>
                <w:rFonts w:cstheme="minorHAnsi"/>
                <w:sz w:val="18"/>
                <w:szCs w:val="18"/>
              </w:rPr>
              <w:t>vwBlendComponentSupplyDemand[ReceiptInTransitBbl]</w:t>
            </w:r>
          </w:p>
        </w:tc>
      </w:tr>
    </w:tbl>
    <w:p w14:paraId="1DC39893" w14:textId="65AB023D" w:rsidR="00672297" w:rsidRDefault="00A16EA3">
      <w:pPr>
        <w:pStyle w:val="Caption"/>
      </w:pPr>
      <w:bookmarkStart w:id="557" w:name="_Toc900950062"/>
      <w:bookmarkStart w:id="558" w:name="_Toc241574708"/>
      <w:bookmarkStart w:id="559" w:name="_Toc242554092"/>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19</w:t>
      </w:r>
      <w:r>
        <w:fldChar w:fldCharType="end"/>
      </w:r>
      <w:r>
        <w:t>: Blending Potential Dashboard Backend Field Mapping</w:t>
      </w:r>
      <w:bookmarkEnd w:id="557"/>
      <w:bookmarkEnd w:id="558"/>
      <w:bookmarkEnd w:id="559"/>
    </w:p>
    <w:p w14:paraId="73C1053C" w14:textId="77777777" w:rsidR="00672297" w:rsidRDefault="00A16EA3">
      <w:pPr>
        <w:pStyle w:val="Heading4"/>
        <w:rPr>
          <w:rFonts w:asciiTheme="minorHAnsi" w:hAnsiTheme="minorHAnsi" w:cstheme="minorBidi"/>
          <w:sz w:val="20"/>
          <w:szCs w:val="20"/>
        </w:rPr>
      </w:pPr>
      <w:bookmarkStart w:id="560" w:name="_Toc900950063"/>
      <w:r>
        <w:rPr>
          <w:rFonts w:asciiTheme="minorHAnsi" w:hAnsiTheme="minorHAnsi" w:cstheme="minorBidi"/>
          <w:sz w:val="20"/>
          <w:szCs w:val="20"/>
        </w:rPr>
        <w:t>Calculation Logic</w:t>
      </w:r>
      <w:bookmarkEnd w:id="560"/>
    </w:p>
    <w:p w14:paraId="4EF2B3BA"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PRE: certified quality of the batch (refinery or terminal) for RVP, IBP, T-10, T-50, T-90, TV/L, RON, MON, DON and FBP.</w:t>
      </w:r>
    </w:p>
    <w:p w14:paraId="4FE5B3D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Component potential: maximum butane and transmix volume that can be added without violating any specification, from the blend calculator (Seeq calculator with RVP, distillation and octane indices). Potential VOL = potential % x batch volume (wireframe: butane 0.5 % to 1.5 %, transmix 0.5 %).</w:t>
      </w:r>
    </w:p>
    <w:p w14:paraId="3A30638B"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Ethanol requirement = blend % x batch volume (wireframe: 10 %).</w:t>
      </w:r>
    </w:p>
    <w:p w14:paraId="6D67A6A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Volume Expansion (VOL) = Butane Potential + Transmix Potential + Ethanol Requirement; Volume Expansion % = Volume Expansion / Batch Volume x 100.</w:t>
      </w:r>
    </w:p>
    <w:p w14:paraId="3C726396"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POST RON / MON / DON = (V x PRE + Vbutane x Pbutane + Vtransmix x Ptransmix) / (V + Vbutane + Vtransmix) with the component blending values (calculation input, gap DP-10); DON of a component = (RON + MON) / 2. POST of the other properties = post-blend value supplied by the blend calculator or PQCore (gap DP-07).</w:t>
      </w:r>
    </w:p>
    <w:p w14:paraId="0B634D6F"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In-Transit / Scheduled totals: sum over the batches of that status; terminal-wise charts sum per destination terminal; the KPI cards sum over all selected terminals and batches.</w:t>
      </w:r>
    </w:p>
    <w:p w14:paraId="7B9E49E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Unselected batches (Check) are excluded from all aggregates.</w:t>
      </w:r>
    </w:p>
    <w:p w14:paraId="0287088E" w14:textId="77777777" w:rsidR="00672297" w:rsidRDefault="00A16EA3">
      <w:pPr>
        <w:pStyle w:val="Heading4"/>
        <w:rPr>
          <w:rFonts w:asciiTheme="minorHAnsi" w:hAnsiTheme="minorHAnsi" w:cstheme="minorBidi"/>
          <w:sz w:val="20"/>
          <w:szCs w:val="20"/>
        </w:rPr>
      </w:pPr>
      <w:bookmarkStart w:id="561" w:name="_Toc900950064"/>
      <w:r>
        <w:rPr>
          <w:rFonts w:asciiTheme="minorHAnsi" w:hAnsiTheme="minorHAnsi" w:cstheme="minorBidi"/>
          <w:sz w:val="20"/>
          <w:szCs w:val="20"/>
        </w:rPr>
        <w:t>Measures &amp; DAX Calculations</w:t>
      </w:r>
      <w:bookmarkEnd w:id="561"/>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75D6F0F8" w14:textId="77777777">
        <w:trPr>
          <w:cantSplit/>
          <w:tblHeader/>
        </w:trPr>
        <w:tc>
          <w:tcPr>
            <w:tcW w:w="2808" w:type="dxa"/>
            <w:shd w:val="clear" w:color="auto" w:fill="2F5496"/>
            <w:vAlign w:val="center"/>
          </w:tcPr>
          <w:p w14:paraId="115FE204" w14:textId="77777777" w:rsidR="00672297" w:rsidRDefault="00A16EA3">
            <w:pPr>
              <w:spacing w:before="20" w:after="20"/>
              <w:jc w:val="left"/>
            </w:pPr>
            <w:r>
              <w:rPr>
                <w:rFonts w:cstheme="minorHAnsi"/>
                <w:b/>
                <w:bCs/>
                <w:color w:val="FFFFFF"/>
                <w:sz w:val="20"/>
                <w:szCs w:val="20"/>
              </w:rPr>
              <w:t>Measure Name</w:t>
            </w:r>
          </w:p>
        </w:tc>
        <w:tc>
          <w:tcPr>
            <w:tcW w:w="6552" w:type="dxa"/>
            <w:shd w:val="clear" w:color="auto" w:fill="2F5496"/>
            <w:vAlign w:val="center"/>
          </w:tcPr>
          <w:p w14:paraId="266E704D" w14:textId="77777777" w:rsidR="00672297" w:rsidRDefault="00A16EA3">
            <w:pPr>
              <w:spacing w:before="20" w:after="20"/>
              <w:jc w:val="left"/>
            </w:pPr>
            <w:r>
              <w:rPr>
                <w:rFonts w:cstheme="minorHAnsi"/>
                <w:b/>
                <w:bCs/>
                <w:color w:val="FFFFFF"/>
                <w:sz w:val="20"/>
                <w:szCs w:val="20"/>
              </w:rPr>
              <w:t>DAX Logic</w:t>
            </w:r>
          </w:p>
        </w:tc>
      </w:tr>
      <w:tr w:rsidR="00672297" w14:paraId="41B0503F" w14:textId="77777777">
        <w:trPr>
          <w:cantSplit/>
        </w:trPr>
        <w:tc>
          <w:tcPr>
            <w:tcW w:w="2808" w:type="dxa"/>
            <w:vAlign w:val="center"/>
          </w:tcPr>
          <w:p w14:paraId="51E7405F" w14:textId="77777777" w:rsidR="00672297" w:rsidRDefault="00A16EA3">
            <w:pPr>
              <w:spacing w:before="20" w:after="20"/>
              <w:jc w:val="left"/>
            </w:pPr>
            <w:r>
              <w:rPr>
                <w:rFonts w:cstheme="minorHAnsi"/>
                <w:sz w:val="20"/>
                <w:szCs w:val="20"/>
              </w:rPr>
              <w:t>Butane Potential (bbl)</w:t>
            </w:r>
          </w:p>
        </w:tc>
        <w:tc>
          <w:tcPr>
            <w:tcW w:w="6552" w:type="dxa"/>
            <w:vAlign w:val="center"/>
          </w:tcPr>
          <w:p w14:paraId="2F9D541B" w14:textId="77777777" w:rsidR="00672297" w:rsidRDefault="00A16EA3">
            <w:pPr>
              <w:spacing w:before="20" w:after="20"/>
              <w:jc w:val="left"/>
            </w:pPr>
            <w:r>
              <w:rPr>
                <w:rFonts w:cstheme="minorHAnsi"/>
                <w:sz w:val="20"/>
                <w:szCs w:val="20"/>
              </w:rPr>
              <w:t>SUM ( vwDistillateBlendPotentialQuality[ButanePotentialBbl] )</w:t>
            </w:r>
          </w:p>
        </w:tc>
      </w:tr>
      <w:tr w:rsidR="00672297" w14:paraId="6EECC71A" w14:textId="77777777">
        <w:trPr>
          <w:cantSplit/>
        </w:trPr>
        <w:tc>
          <w:tcPr>
            <w:tcW w:w="2808" w:type="dxa"/>
            <w:vAlign w:val="center"/>
          </w:tcPr>
          <w:p w14:paraId="240362D2" w14:textId="77777777" w:rsidR="00672297" w:rsidRDefault="00A16EA3">
            <w:pPr>
              <w:spacing w:before="20" w:after="20"/>
              <w:jc w:val="left"/>
            </w:pPr>
            <w:r>
              <w:rPr>
                <w:rFonts w:cstheme="minorHAnsi"/>
                <w:sz w:val="20"/>
                <w:szCs w:val="20"/>
              </w:rPr>
              <w:t>Transmix Potential (bbl)</w:t>
            </w:r>
          </w:p>
        </w:tc>
        <w:tc>
          <w:tcPr>
            <w:tcW w:w="6552" w:type="dxa"/>
            <w:vAlign w:val="center"/>
          </w:tcPr>
          <w:p w14:paraId="30F2D547" w14:textId="77777777" w:rsidR="00672297" w:rsidRDefault="00A16EA3">
            <w:pPr>
              <w:spacing w:before="20" w:after="20"/>
              <w:jc w:val="left"/>
            </w:pPr>
            <w:r>
              <w:rPr>
                <w:rFonts w:cstheme="minorHAnsi"/>
                <w:sz w:val="20"/>
                <w:szCs w:val="20"/>
              </w:rPr>
              <w:t>SUM ( vwDistillateBlendPotentialQuality[TransmixPotentialBbl] )</w:t>
            </w:r>
          </w:p>
        </w:tc>
      </w:tr>
      <w:tr w:rsidR="00672297" w14:paraId="1AA7C519" w14:textId="77777777">
        <w:trPr>
          <w:cantSplit/>
        </w:trPr>
        <w:tc>
          <w:tcPr>
            <w:tcW w:w="2808" w:type="dxa"/>
            <w:vAlign w:val="center"/>
          </w:tcPr>
          <w:p w14:paraId="0C9F2723" w14:textId="77777777" w:rsidR="00672297" w:rsidRDefault="00A16EA3">
            <w:pPr>
              <w:spacing w:before="20" w:after="20"/>
              <w:jc w:val="left"/>
            </w:pPr>
            <w:r>
              <w:rPr>
                <w:rFonts w:cstheme="minorHAnsi"/>
                <w:sz w:val="20"/>
                <w:szCs w:val="20"/>
              </w:rPr>
              <w:t>Ethanol Requirement (bbl)</w:t>
            </w:r>
          </w:p>
        </w:tc>
        <w:tc>
          <w:tcPr>
            <w:tcW w:w="6552" w:type="dxa"/>
            <w:vAlign w:val="center"/>
          </w:tcPr>
          <w:p w14:paraId="50AD1266" w14:textId="77777777" w:rsidR="00672297" w:rsidRDefault="00A16EA3">
            <w:pPr>
              <w:spacing w:before="20" w:after="20"/>
              <w:jc w:val="left"/>
            </w:pPr>
            <w:r>
              <w:rPr>
                <w:rFonts w:cstheme="minorHAnsi"/>
                <w:sz w:val="20"/>
                <w:szCs w:val="20"/>
              </w:rPr>
              <w:t>SUM ( vwDistillateBlendPotentialQuality[EthanolRequirementBbl] )</w:t>
            </w:r>
          </w:p>
        </w:tc>
      </w:tr>
      <w:tr w:rsidR="00672297" w14:paraId="408EB591" w14:textId="77777777">
        <w:trPr>
          <w:cantSplit/>
        </w:trPr>
        <w:tc>
          <w:tcPr>
            <w:tcW w:w="2808" w:type="dxa"/>
            <w:vAlign w:val="center"/>
          </w:tcPr>
          <w:p w14:paraId="31411518" w14:textId="77777777" w:rsidR="00672297" w:rsidRDefault="00A16EA3">
            <w:pPr>
              <w:spacing w:before="20" w:after="20"/>
              <w:jc w:val="left"/>
            </w:pPr>
            <w:r>
              <w:rPr>
                <w:rFonts w:cstheme="minorHAnsi"/>
                <w:sz w:val="20"/>
                <w:szCs w:val="20"/>
              </w:rPr>
              <w:t>Volume Expansion (bbl)</w:t>
            </w:r>
          </w:p>
        </w:tc>
        <w:tc>
          <w:tcPr>
            <w:tcW w:w="6552" w:type="dxa"/>
            <w:vAlign w:val="center"/>
          </w:tcPr>
          <w:p w14:paraId="28D2F85C" w14:textId="77777777" w:rsidR="00672297" w:rsidRDefault="00A16EA3">
            <w:pPr>
              <w:spacing w:before="20" w:after="20"/>
              <w:jc w:val="left"/>
            </w:pPr>
            <w:r>
              <w:rPr>
                <w:rFonts w:cstheme="minorHAnsi"/>
                <w:sz w:val="20"/>
                <w:szCs w:val="20"/>
              </w:rPr>
              <w:t>SUM ( vwDistillateBlendPotentialQuality[VolumeExpansionBbl] )</w:t>
            </w:r>
          </w:p>
        </w:tc>
      </w:tr>
      <w:tr w:rsidR="00672297" w14:paraId="1CD46C80" w14:textId="77777777">
        <w:trPr>
          <w:cantSplit/>
        </w:trPr>
        <w:tc>
          <w:tcPr>
            <w:tcW w:w="2808" w:type="dxa"/>
            <w:vAlign w:val="center"/>
          </w:tcPr>
          <w:p w14:paraId="3DD854D7" w14:textId="77777777" w:rsidR="00672297" w:rsidRDefault="00A16EA3">
            <w:pPr>
              <w:spacing w:before="20" w:after="20"/>
              <w:jc w:val="left"/>
            </w:pPr>
            <w:r>
              <w:rPr>
                <w:rFonts w:cstheme="minorHAnsi"/>
                <w:sz w:val="20"/>
                <w:szCs w:val="20"/>
              </w:rPr>
              <w:t>Volume Expansion %</w:t>
            </w:r>
          </w:p>
        </w:tc>
        <w:tc>
          <w:tcPr>
            <w:tcW w:w="6552" w:type="dxa"/>
            <w:vAlign w:val="center"/>
          </w:tcPr>
          <w:p w14:paraId="2F3B9BCA" w14:textId="77777777" w:rsidR="00672297" w:rsidRDefault="00A16EA3">
            <w:pPr>
              <w:spacing w:before="20" w:after="20"/>
              <w:jc w:val="left"/>
            </w:pPr>
            <w:r>
              <w:rPr>
                <w:rFonts w:cstheme="minorHAnsi"/>
                <w:sz w:val="20"/>
                <w:szCs w:val="20"/>
              </w:rPr>
              <w:t>DIVIDE ( [Volume Expansion (bbl)], SUM ( vwDistillateBlendPotentialQuality[BatchVolumeBbl] ) )</w:t>
            </w:r>
          </w:p>
        </w:tc>
      </w:tr>
      <w:tr w:rsidR="00672297" w14:paraId="158FB60D" w14:textId="77777777">
        <w:trPr>
          <w:cantSplit/>
        </w:trPr>
        <w:tc>
          <w:tcPr>
            <w:tcW w:w="2808" w:type="dxa"/>
            <w:vAlign w:val="center"/>
          </w:tcPr>
          <w:p w14:paraId="1C53355B" w14:textId="77777777" w:rsidR="00672297" w:rsidRDefault="00A16EA3">
            <w:pPr>
              <w:spacing w:before="20" w:after="20"/>
              <w:jc w:val="left"/>
            </w:pPr>
            <w:r>
              <w:rPr>
                <w:rFonts w:cstheme="minorHAnsi"/>
                <w:sz w:val="20"/>
                <w:szCs w:val="20"/>
              </w:rPr>
              <w:t>&lt;Measure&gt; - In-Transit / - Scheduled</w:t>
            </w:r>
          </w:p>
        </w:tc>
        <w:tc>
          <w:tcPr>
            <w:tcW w:w="6552" w:type="dxa"/>
            <w:vAlign w:val="center"/>
          </w:tcPr>
          <w:p w14:paraId="3F32A925" w14:textId="77777777" w:rsidR="00672297" w:rsidRDefault="00A16EA3">
            <w:pPr>
              <w:spacing w:before="20" w:after="20"/>
              <w:jc w:val="left"/>
            </w:pPr>
            <w:r>
              <w:rPr>
                <w:rFonts w:cstheme="minorHAnsi"/>
                <w:sz w:val="20"/>
                <w:szCs w:val="20"/>
              </w:rPr>
              <w:t>CALCULATE ( &lt;Measure&gt;, vwDistillateBlendPotentialQuality[BatchStatus] = "In-Transit" ) / "Scheduled"</w:t>
            </w:r>
          </w:p>
        </w:tc>
      </w:tr>
      <w:tr w:rsidR="00672297" w14:paraId="36DFD843" w14:textId="77777777">
        <w:trPr>
          <w:cantSplit/>
        </w:trPr>
        <w:tc>
          <w:tcPr>
            <w:tcW w:w="2808" w:type="dxa"/>
            <w:vAlign w:val="center"/>
          </w:tcPr>
          <w:p w14:paraId="4547E0BF" w14:textId="77777777" w:rsidR="00672297" w:rsidRDefault="00A16EA3">
            <w:pPr>
              <w:spacing w:before="20" w:after="20"/>
              <w:jc w:val="left"/>
            </w:pPr>
            <w:r>
              <w:rPr>
                <w:rFonts w:cstheme="minorHAnsi"/>
                <w:sz w:val="20"/>
                <w:szCs w:val="20"/>
              </w:rPr>
              <w:t>Total Planned Movement (bbl)</w:t>
            </w:r>
          </w:p>
        </w:tc>
        <w:tc>
          <w:tcPr>
            <w:tcW w:w="6552" w:type="dxa"/>
            <w:vAlign w:val="center"/>
          </w:tcPr>
          <w:p w14:paraId="7185D8EC" w14:textId="77777777" w:rsidR="00672297" w:rsidRDefault="00A16EA3">
            <w:pPr>
              <w:spacing w:before="20" w:after="20"/>
              <w:jc w:val="left"/>
            </w:pPr>
            <w:r>
              <w:rPr>
                <w:rFonts w:cstheme="minorHAnsi"/>
                <w:sz w:val="20"/>
                <w:szCs w:val="20"/>
              </w:rPr>
              <w:t>CALCULATE ( SUM ( vwBlendComponentSupplyDemand[ReceiptInTransitBbl] ), vwBlendComponentSupplyDemand[Component] = &lt;card component&gt; ) - date range of the page applied through day_detail</w:t>
            </w:r>
          </w:p>
        </w:tc>
      </w:tr>
    </w:tbl>
    <w:p w14:paraId="44784600" w14:textId="14D435D4" w:rsidR="00672297" w:rsidRDefault="00A16EA3">
      <w:pPr>
        <w:pStyle w:val="Caption"/>
      </w:pPr>
      <w:bookmarkStart w:id="562" w:name="_Toc900950065"/>
      <w:bookmarkStart w:id="563" w:name="_Toc241574709"/>
      <w:bookmarkStart w:id="564" w:name="_Toc242554093"/>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20</w:t>
      </w:r>
      <w:r>
        <w:fldChar w:fldCharType="end"/>
      </w:r>
      <w:r>
        <w:t>: Blending Potential Dashboard DAX Measures</w:t>
      </w:r>
      <w:bookmarkEnd w:id="562"/>
      <w:bookmarkEnd w:id="563"/>
      <w:bookmarkEnd w:id="564"/>
    </w:p>
    <w:p w14:paraId="552248AA" w14:textId="77777777" w:rsidR="00672297" w:rsidRDefault="00A16EA3">
      <w:pPr>
        <w:pStyle w:val="Heading4"/>
        <w:rPr>
          <w:rFonts w:asciiTheme="minorHAnsi" w:hAnsiTheme="minorHAnsi" w:cstheme="minorBidi"/>
          <w:sz w:val="20"/>
          <w:szCs w:val="20"/>
        </w:rPr>
      </w:pPr>
      <w:bookmarkStart w:id="565" w:name="_Toc900950066"/>
      <w:r>
        <w:rPr>
          <w:rFonts w:asciiTheme="minorHAnsi" w:hAnsiTheme="minorHAnsi" w:cstheme="minorBidi"/>
          <w:sz w:val="20"/>
          <w:szCs w:val="20"/>
        </w:rPr>
        <w:t>Connection Details</w:t>
      </w:r>
      <w:bookmarkEnd w:id="565"/>
    </w:p>
    <w:p w14:paraId="1F4A735B" w14:textId="77777777" w:rsidR="00672297" w:rsidRDefault="00A16EA3">
      <w:pPr>
        <w:rPr>
          <w:rFonts w:cstheme="minorHAnsi"/>
          <w:sz w:val="20"/>
          <w:szCs w:val="20"/>
        </w:rPr>
      </w:pPr>
      <w:r>
        <w:rPr>
          <w:rFonts w:cstheme="minorHAnsi"/>
          <w:sz w:val="20"/>
          <w:szCs w:val="20"/>
        </w:rPr>
        <w:t>Server: com-dev-me2-com-shared-sql.database.windows.net; Database: iqdmdev (DEV) - parameters pServer / pDatabase (Connection Details, above).</w:t>
      </w:r>
    </w:p>
    <w:p w14:paraId="06383C7C" w14:textId="77777777" w:rsidR="00672297" w:rsidRDefault="00A16EA3">
      <w:pPr>
        <w:pStyle w:val="Heading4"/>
        <w:rPr>
          <w:rFonts w:asciiTheme="minorHAnsi" w:hAnsiTheme="minorHAnsi" w:cstheme="minorBidi"/>
          <w:sz w:val="20"/>
          <w:szCs w:val="20"/>
        </w:rPr>
      </w:pPr>
      <w:bookmarkStart w:id="566" w:name="_Toc900950067"/>
      <w:r>
        <w:rPr>
          <w:rFonts w:asciiTheme="minorHAnsi" w:hAnsiTheme="minorHAnsi" w:cstheme="minorBidi"/>
          <w:sz w:val="20"/>
          <w:szCs w:val="20"/>
        </w:rPr>
        <w:t>Key Power Query Transformations</w:t>
      </w:r>
      <w:bookmarkEnd w:id="566"/>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62613B04" w14:textId="77777777">
        <w:trPr>
          <w:cantSplit/>
          <w:tblHeader/>
        </w:trPr>
        <w:tc>
          <w:tcPr>
            <w:tcW w:w="2808" w:type="dxa"/>
            <w:shd w:val="clear" w:color="auto" w:fill="2F5496"/>
            <w:vAlign w:val="center"/>
          </w:tcPr>
          <w:p w14:paraId="36750D08" w14:textId="77777777" w:rsidR="00672297" w:rsidRDefault="00A16EA3">
            <w:pPr>
              <w:spacing w:before="20" w:after="20"/>
              <w:jc w:val="left"/>
            </w:pPr>
            <w:r>
              <w:rPr>
                <w:rFonts w:cstheme="minorHAnsi"/>
                <w:b/>
                <w:bCs/>
                <w:color w:val="FFFFFF"/>
                <w:sz w:val="20"/>
                <w:szCs w:val="20"/>
              </w:rPr>
              <w:t>Table Name</w:t>
            </w:r>
          </w:p>
        </w:tc>
        <w:tc>
          <w:tcPr>
            <w:tcW w:w="6552" w:type="dxa"/>
            <w:shd w:val="clear" w:color="auto" w:fill="2F5496"/>
            <w:vAlign w:val="center"/>
          </w:tcPr>
          <w:p w14:paraId="4381B749" w14:textId="77777777" w:rsidR="00672297" w:rsidRDefault="00A16EA3">
            <w:pPr>
              <w:spacing w:before="20" w:after="20"/>
              <w:jc w:val="left"/>
            </w:pPr>
            <w:r>
              <w:rPr>
                <w:rFonts w:cstheme="minorHAnsi"/>
                <w:b/>
                <w:bCs/>
                <w:color w:val="FFFFFF"/>
                <w:sz w:val="20"/>
                <w:szCs w:val="20"/>
              </w:rPr>
              <w:t>Transformations Applied</w:t>
            </w:r>
          </w:p>
        </w:tc>
      </w:tr>
      <w:tr w:rsidR="00672297" w14:paraId="73F43A6A" w14:textId="77777777">
        <w:trPr>
          <w:cantSplit/>
        </w:trPr>
        <w:tc>
          <w:tcPr>
            <w:tcW w:w="2808" w:type="dxa"/>
            <w:vAlign w:val="center"/>
          </w:tcPr>
          <w:p w14:paraId="4721FDF1" w14:textId="77777777" w:rsidR="00672297" w:rsidRDefault="00A16EA3">
            <w:pPr>
              <w:spacing w:before="20" w:after="20"/>
              <w:jc w:val="left"/>
            </w:pPr>
            <w:r>
              <w:rPr>
                <w:rFonts w:cstheme="minorHAnsi"/>
                <w:sz w:val="20"/>
                <w:szCs w:val="20"/>
              </w:rPr>
              <w:t>vwDistillateBlendPotentialQuality</w:t>
            </w:r>
          </w:p>
        </w:tc>
        <w:tc>
          <w:tcPr>
            <w:tcW w:w="6552" w:type="dxa"/>
            <w:vAlign w:val="center"/>
          </w:tcPr>
          <w:p w14:paraId="7E17D931" w14:textId="77777777" w:rsidR="00672297" w:rsidRDefault="00A16EA3">
            <w:pPr>
              <w:spacing w:before="20" w:after="20"/>
              <w:jc w:val="left"/>
            </w:pPr>
            <w:r>
              <w:rPr>
                <w:rFonts w:cstheme="minorHAnsi"/>
                <w:sz w:val="20"/>
                <w:szCs w:val="20"/>
              </w:rPr>
              <w:t>Columns renamed to the wireframe display names; StatusCode shown as T / S; percentages formatted as %</w:t>
            </w:r>
          </w:p>
        </w:tc>
      </w:tr>
      <w:tr w:rsidR="00672297" w14:paraId="2BD9ACA5" w14:textId="77777777">
        <w:trPr>
          <w:cantSplit/>
        </w:trPr>
        <w:tc>
          <w:tcPr>
            <w:tcW w:w="2808" w:type="dxa"/>
            <w:vAlign w:val="center"/>
          </w:tcPr>
          <w:p w14:paraId="7B71DA08" w14:textId="77777777" w:rsidR="00672297" w:rsidRDefault="00A16EA3">
            <w:pPr>
              <w:spacing w:before="20" w:after="20"/>
              <w:jc w:val="left"/>
            </w:pPr>
            <w:r>
              <w:rPr>
                <w:rFonts w:cstheme="minorHAnsi"/>
                <w:sz w:val="20"/>
                <w:szCs w:val="20"/>
              </w:rPr>
              <w:t>vwBlendComponentSupplyDemand</w:t>
            </w:r>
          </w:p>
        </w:tc>
        <w:tc>
          <w:tcPr>
            <w:tcW w:w="6552" w:type="dxa"/>
            <w:vAlign w:val="center"/>
          </w:tcPr>
          <w:p w14:paraId="59C669E7" w14:textId="77777777" w:rsidR="00672297" w:rsidRDefault="00A16EA3">
            <w:pPr>
              <w:spacing w:before="20" w:after="20"/>
              <w:jc w:val="left"/>
            </w:pPr>
            <w:r>
              <w:rPr>
                <w:rFonts w:cstheme="minorHAnsi"/>
                <w:sz w:val="20"/>
                <w:szCs w:val="20"/>
              </w:rPr>
              <w:t>Filtered to Butane and Ethanol for the Planned Movement cards</w:t>
            </w:r>
          </w:p>
        </w:tc>
      </w:tr>
    </w:tbl>
    <w:p w14:paraId="58C0F4BB" w14:textId="340E6B16" w:rsidR="00672297" w:rsidRDefault="00A16EA3">
      <w:pPr>
        <w:pStyle w:val="Caption"/>
      </w:pPr>
      <w:bookmarkStart w:id="567" w:name="_Toc900950068"/>
      <w:bookmarkStart w:id="568" w:name="_Toc241574710"/>
      <w:bookmarkStart w:id="569" w:name="_Toc242554094"/>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21</w:t>
      </w:r>
      <w:r>
        <w:fldChar w:fldCharType="end"/>
      </w:r>
      <w:r>
        <w:t>: Blending Potential Dashboard Power Query Transformations</w:t>
      </w:r>
      <w:bookmarkEnd w:id="567"/>
      <w:bookmarkEnd w:id="568"/>
      <w:bookmarkEnd w:id="569"/>
    </w:p>
    <w:p w14:paraId="7D798C03" w14:textId="77777777" w:rsidR="00672297" w:rsidRDefault="00A16EA3">
      <w:pPr>
        <w:pStyle w:val="Heading4"/>
        <w:rPr>
          <w:rFonts w:asciiTheme="minorHAnsi" w:hAnsiTheme="minorHAnsi" w:cstheme="minorBidi"/>
          <w:sz w:val="20"/>
          <w:szCs w:val="20"/>
        </w:rPr>
      </w:pPr>
      <w:bookmarkStart w:id="570" w:name="_Toc900950069"/>
      <w:r>
        <w:rPr>
          <w:rFonts w:asciiTheme="minorHAnsi" w:hAnsiTheme="minorHAnsi" w:cstheme="minorBidi"/>
          <w:sz w:val="20"/>
          <w:szCs w:val="20"/>
        </w:rPr>
        <w:t>Data Model Design</w:t>
      </w:r>
      <w:bookmarkEnd w:id="570"/>
    </w:p>
    <w:p w14:paraId="3AFD4660" w14:textId="77777777" w:rsidR="00672297" w:rsidRDefault="00A16EA3">
      <w:pPr>
        <w:rPr>
          <w:rFonts w:cstheme="minorHAnsi"/>
          <w:sz w:val="20"/>
          <w:szCs w:val="20"/>
        </w:rPr>
      </w:pPr>
      <w:r>
        <w:rPr>
          <w:rFonts w:cstheme="minorHAnsi"/>
          <w:sz w:val="20"/>
          <w:szCs w:val="20"/>
        </w:rPr>
        <w:t>Model type: star schema (Figure 4-2). The report uses vwDistillateBlendPotentialQuality and vwBlendComponentSupplyDemand, day_detail and Last_Refresh.</w:t>
      </w:r>
    </w:p>
    <w:p w14:paraId="2181B14F" w14:textId="77777777" w:rsidR="00672297" w:rsidRDefault="00A16EA3">
      <w:pPr>
        <w:pStyle w:val="Heading4"/>
        <w:rPr>
          <w:rFonts w:asciiTheme="minorHAnsi" w:hAnsiTheme="minorHAnsi" w:cstheme="minorBidi"/>
          <w:sz w:val="20"/>
          <w:szCs w:val="20"/>
        </w:rPr>
      </w:pPr>
      <w:bookmarkStart w:id="571" w:name="_Toc900950070"/>
      <w:r>
        <w:rPr>
          <w:rFonts w:asciiTheme="minorHAnsi" w:hAnsiTheme="minorHAnsi" w:cstheme="minorBidi"/>
          <w:sz w:val="20"/>
          <w:szCs w:val="20"/>
        </w:rPr>
        <w:t>Tables / Views Loaded and Data Sources</w:t>
      </w:r>
      <w:bookmarkEnd w:id="571"/>
    </w:p>
    <w:tbl>
      <w:tblPr>
        <w:tblStyle w:val="TableGrid"/>
        <w:tblW w:w="9360" w:type="dxa"/>
        <w:tblLayout w:type="fixed"/>
        <w:tblCellMar>
          <w:left w:w="70" w:type="dxa"/>
          <w:right w:w="70" w:type="dxa"/>
        </w:tblCellMar>
        <w:tblLook w:val="04A0" w:firstRow="1" w:lastRow="0" w:firstColumn="1" w:lastColumn="0" w:noHBand="0" w:noVBand="1"/>
      </w:tblPr>
      <w:tblGrid>
        <w:gridCol w:w="2808"/>
        <w:gridCol w:w="1123"/>
        <w:gridCol w:w="2433"/>
        <w:gridCol w:w="2996"/>
      </w:tblGrid>
      <w:tr w:rsidR="00672297" w14:paraId="7E4E6430" w14:textId="77777777">
        <w:trPr>
          <w:cantSplit/>
          <w:tblHeader/>
        </w:trPr>
        <w:tc>
          <w:tcPr>
            <w:tcW w:w="2808" w:type="dxa"/>
            <w:shd w:val="clear" w:color="auto" w:fill="2F5496"/>
            <w:vAlign w:val="center"/>
          </w:tcPr>
          <w:p w14:paraId="077BF4C7" w14:textId="77777777" w:rsidR="00672297" w:rsidRDefault="00A16EA3">
            <w:pPr>
              <w:spacing w:before="20" w:after="20"/>
              <w:jc w:val="left"/>
            </w:pPr>
            <w:r>
              <w:rPr>
                <w:rFonts w:cstheme="minorHAnsi"/>
                <w:b/>
                <w:bCs/>
                <w:color w:val="FFFFFF"/>
                <w:sz w:val="20"/>
                <w:szCs w:val="20"/>
              </w:rPr>
              <w:t>Table / View Name</w:t>
            </w:r>
          </w:p>
        </w:tc>
        <w:tc>
          <w:tcPr>
            <w:tcW w:w="1123" w:type="dxa"/>
            <w:shd w:val="clear" w:color="auto" w:fill="2F5496"/>
            <w:vAlign w:val="center"/>
          </w:tcPr>
          <w:p w14:paraId="396A17F0" w14:textId="77777777" w:rsidR="00672297" w:rsidRDefault="00A16EA3">
            <w:pPr>
              <w:spacing w:before="20" w:after="20"/>
              <w:jc w:val="left"/>
            </w:pPr>
            <w:r>
              <w:rPr>
                <w:rFonts w:cstheme="minorHAnsi"/>
                <w:b/>
                <w:bCs/>
                <w:color w:val="FFFFFF"/>
                <w:sz w:val="20"/>
                <w:szCs w:val="20"/>
              </w:rPr>
              <w:t>Type</w:t>
            </w:r>
          </w:p>
        </w:tc>
        <w:tc>
          <w:tcPr>
            <w:tcW w:w="2433" w:type="dxa"/>
            <w:shd w:val="clear" w:color="auto" w:fill="2F5496"/>
            <w:vAlign w:val="center"/>
          </w:tcPr>
          <w:p w14:paraId="36251B05" w14:textId="77777777" w:rsidR="00672297" w:rsidRDefault="00A16EA3">
            <w:pPr>
              <w:spacing w:before="20" w:after="20"/>
              <w:jc w:val="left"/>
            </w:pPr>
            <w:r>
              <w:rPr>
                <w:rFonts w:cstheme="minorHAnsi"/>
                <w:b/>
                <w:bCs/>
                <w:color w:val="FFFFFF"/>
                <w:sz w:val="20"/>
                <w:szCs w:val="20"/>
              </w:rPr>
              <w:t>Source</w:t>
            </w:r>
          </w:p>
        </w:tc>
        <w:tc>
          <w:tcPr>
            <w:tcW w:w="2996" w:type="dxa"/>
            <w:shd w:val="clear" w:color="auto" w:fill="2F5496"/>
            <w:vAlign w:val="center"/>
          </w:tcPr>
          <w:p w14:paraId="488A5792" w14:textId="77777777" w:rsidR="00672297" w:rsidRDefault="00A16EA3">
            <w:pPr>
              <w:spacing w:before="20" w:after="20"/>
              <w:jc w:val="left"/>
            </w:pPr>
            <w:r>
              <w:rPr>
                <w:rFonts w:cstheme="minorHAnsi"/>
                <w:b/>
                <w:bCs/>
                <w:color w:val="FFFFFF"/>
                <w:sz w:val="20"/>
                <w:szCs w:val="20"/>
              </w:rPr>
              <w:t>Description</w:t>
            </w:r>
          </w:p>
        </w:tc>
      </w:tr>
      <w:tr w:rsidR="00672297" w14:paraId="5A78EDA3" w14:textId="77777777">
        <w:trPr>
          <w:cantSplit/>
        </w:trPr>
        <w:tc>
          <w:tcPr>
            <w:tcW w:w="2808" w:type="dxa"/>
            <w:vAlign w:val="center"/>
          </w:tcPr>
          <w:p w14:paraId="206671B6" w14:textId="77777777" w:rsidR="00672297" w:rsidRDefault="00A16EA3">
            <w:pPr>
              <w:spacing w:before="20" w:after="20"/>
              <w:jc w:val="left"/>
            </w:pPr>
            <w:r>
              <w:rPr>
                <w:rFonts w:cstheme="minorHAnsi"/>
                <w:sz w:val="20"/>
                <w:szCs w:val="20"/>
              </w:rPr>
              <w:t>vwDistillateBlendPotentialQuality</w:t>
            </w:r>
          </w:p>
        </w:tc>
        <w:tc>
          <w:tcPr>
            <w:tcW w:w="1123" w:type="dxa"/>
            <w:vAlign w:val="center"/>
          </w:tcPr>
          <w:p w14:paraId="152518BA" w14:textId="77777777" w:rsidR="00672297" w:rsidRDefault="00A16EA3">
            <w:pPr>
              <w:spacing w:before="20" w:after="20"/>
              <w:jc w:val="left"/>
            </w:pPr>
            <w:r>
              <w:rPr>
                <w:rFonts w:cstheme="minorHAnsi"/>
                <w:sz w:val="20"/>
                <w:szCs w:val="20"/>
              </w:rPr>
              <w:t>Transaction</w:t>
            </w:r>
          </w:p>
        </w:tc>
        <w:tc>
          <w:tcPr>
            <w:tcW w:w="2433" w:type="dxa"/>
            <w:vAlign w:val="center"/>
          </w:tcPr>
          <w:p w14:paraId="4B326798" w14:textId="77777777" w:rsidR="00672297" w:rsidRDefault="00A16EA3">
            <w:pPr>
              <w:spacing w:before="20" w:after="20"/>
              <w:jc w:val="left"/>
            </w:pPr>
            <w:r>
              <w:rPr>
                <w:rFonts w:cstheme="minorHAnsi"/>
                <w:sz w:val="20"/>
                <w:szCs w:val="20"/>
              </w:rPr>
              <w:t>IQDM database - VCB view (chapter 3)</w:t>
            </w:r>
          </w:p>
        </w:tc>
        <w:tc>
          <w:tcPr>
            <w:tcW w:w="2996" w:type="dxa"/>
            <w:vAlign w:val="center"/>
          </w:tcPr>
          <w:p w14:paraId="67BD0BC2" w14:textId="77777777" w:rsidR="00672297" w:rsidRDefault="00A16EA3">
            <w:pPr>
              <w:spacing w:before="20" w:after="20"/>
              <w:jc w:val="left"/>
            </w:pPr>
            <w:r>
              <w:rPr>
                <w:rFonts w:cstheme="minorHAnsi"/>
                <w:sz w:val="20"/>
                <w:szCs w:val="20"/>
              </w:rPr>
              <w:t>Batch Pre / Post / Spec qualities and component potential; builds the cards, the three terminal-wise charts and the batch table</w:t>
            </w:r>
          </w:p>
        </w:tc>
      </w:tr>
      <w:tr w:rsidR="00672297" w14:paraId="328D6518" w14:textId="77777777">
        <w:trPr>
          <w:cantSplit/>
        </w:trPr>
        <w:tc>
          <w:tcPr>
            <w:tcW w:w="2808" w:type="dxa"/>
            <w:vAlign w:val="center"/>
          </w:tcPr>
          <w:p w14:paraId="6C417016" w14:textId="77777777" w:rsidR="00672297" w:rsidRDefault="00A16EA3">
            <w:pPr>
              <w:spacing w:before="20" w:after="20"/>
              <w:jc w:val="left"/>
            </w:pPr>
            <w:r>
              <w:rPr>
                <w:rFonts w:cstheme="minorHAnsi"/>
                <w:sz w:val="20"/>
                <w:szCs w:val="20"/>
              </w:rPr>
              <w:t>vwBlendComponentSupplyDemand</w:t>
            </w:r>
          </w:p>
        </w:tc>
        <w:tc>
          <w:tcPr>
            <w:tcW w:w="1123" w:type="dxa"/>
            <w:vAlign w:val="center"/>
          </w:tcPr>
          <w:p w14:paraId="2575EF16" w14:textId="77777777" w:rsidR="00672297" w:rsidRDefault="00A16EA3">
            <w:pPr>
              <w:spacing w:before="20" w:after="20"/>
              <w:jc w:val="left"/>
            </w:pPr>
            <w:r>
              <w:rPr>
                <w:rFonts w:cstheme="minorHAnsi"/>
                <w:sz w:val="20"/>
                <w:szCs w:val="20"/>
              </w:rPr>
              <w:t>Transaction</w:t>
            </w:r>
          </w:p>
        </w:tc>
        <w:tc>
          <w:tcPr>
            <w:tcW w:w="2433" w:type="dxa"/>
            <w:vAlign w:val="center"/>
          </w:tcPr>
          <w:p w14:paraId="3861D278" w14:textId="77777777" w:rsidR="00672297" w:rsidRDefault="00A16EA3">
            <w:pPr>
              <w:spacing w:before="20" w:after="20"/>
              <w:jc w:val="left"/>
            </w:pPr>
            <w:r>
              <w:rPr>
                <w:rFonts w:cstheme="minorHAnsi"/>
                <w:sz w:val="20"/>
                <w:szCs w:val="20"/>
              </w:rPr>
              <w:t>IQDM database - VCB view (chapter 3)</w:t>
            </w:r>
          </w:p>
        </w:tc>
        <w:tc>
          <w:tcPr>
            <w:tcW w:w="2996" w:type="dxa"/>
            <w:vAlign w:val="center"/>
          </w:tcPr>
          <w:p w14:paraId="1BD41745" w14:textId="77777777" w:rsidR="00672297" w:rsidRDefault="00A16EA3">
            <w:pPr>
              <w:spacing w:before="20" w:after="20"/>
              <w:jc w:val="left"/>
            </w:pPr>
            <w:r>
              <w:rPr>
                <w:rFonts w:cstheme="minorHAnsi"/>
                <w:sz w:val="20"/>
                <w:szCs w:val="20"/>
              </w:rPr>
              <w:t>Total Planned Movement cards (planned butane and ethanol receipts)</w:t>
            </w:r>
          </w:p>
        </w:tc>
      </w:tr>
      <w:tr w:rsidR="00672297" w14:paraId="0C2FE34B" w14:textId="77777777">
        <w:trPr>
          <w:cantSplit/>
        </w:trPr>
        <w:tc>
          <w:tcPr>
            <w:tcW w:w="2808" w:type="dxa"/>
            <w:vAlign w:val="center"/>
          </w:tcPr>
          <w:p w14:paraId="756C17F1" w14:textId="77777777" w:rsidR="00672297" w:rsidRDefault="00A16EA3">
            <w:pPr>
              <w:spacing w:before="20" w:after="20"/>
              <w:jc w:val="left"/>
            </w:pPr>
            <w:r>
              <w:rPr>
                <w:rFonts w:cstheme="minorHAnsi"/>
                <w:sz w:val="20"/>
                <w:szCs w:val="20"/>
              </w:rPr>
              <w:t>day_detail</w:t>
            </w:r>
          </w:p>
        </w:tc>
        <w:tc>
          <w:tcPr>
            <w:tcW w:w="1123" w:type="dxa"/>
            <w:vAlign w:val="center"/>
          </w:tcPr>
          <w:p w14:paraId="4EDF6AAA" w14:textId="77777777" w:rsidR="00672297" w:rsidRDefault="00A16EA3">
            <w:pPr>
              <w:spacing w:before="20" w:after="20"/>
              <w:jc w:val="left"/>
            </w:pPr>
            <w:r>
              <w:rPr>
                <w:rFonts w:cstheme="minorHAnsi"/>
                <w:sz w:val="20"/>
                <w:szCs w:val="20"/>
              </w:rPr>
              <w:t>Reference</w:t>
            </w:r>
          </w:p>
        </w:tc>
        <w:tc>
          <w:tcPr>
            <w:tcW w:w="2433" w:type="dxa"/>
            <w:vAlign w:val="center"/>
          </w:tcPr>
          <w:p w14:paraId="6C0BEE2C" w14:textId="77777777" w:rsidR="00672297" w:rsidRDefault="00A16EA3">
            <w:pPr>
              <w:spacing w:before="20" w:after="20"/>
              <w:jc w:val="left"/>
            </w:pPr>
            <w:r>
              <w:rPr>
                <w:rFonts w:cstheme="minorHAnsi"/>
                <w:sz w:val="20"/>
                <w:szCs w:val="20"/>
              </w:rPr>
              <w:t>IQDM database</w:t>
            </w:r>
          </w:p>
        </w:tc>
        <w:tc>
          <w:tcPr>
            <w:tcW w:w="2996" w:type="dxa"/>
            <w:vAlign w:val="center"/>
          </w:tcPr>
          <w:p w14:paraId="20BCF5D6" w14:textId="77777777" w:rsidR="00672297" w:rsidRDefault="00A16EA3">
            <w:pPr>
              <w:spacing w:before="20" w:after="20"/>
              <w:jc w:val="left"/>
            </w:pPr>
            <w:r>
              <w:rPr>
                <w:rFonts w:cstheme="minorHAnsi"/>
                <w:sz w:val="20"/>
                <w:szCs w:val="20"/>
              </w:rPr>
              <w:t>Calendar attributes</w:t>
            </w:r>
          </w:p>
        </w:tc>
      </w:tr>
      <w:tr w:rsidR="00672297" w14:paraId="6834FE8C" w14:textId="77777777">
        <w:trPr>
          <w:cantSplit/>
        </w:trPr>
        <w:tc>
          <w:tcPr>
            <w:tcW w:w="2808" w:type="dxa"/>
            <w:vAlign w:val="center"/>
          </w:tcPr>
          <w:p w14:paraId="242F71D7" w14:textId="77777777" w:rsidR="00672297" w:rsidRDefault="00A16EA3">
            <w:pPr>
              <w:spacing w:before="20" w:after="20"/>
              <w:jc w:val="left"/>
            </w:pPr>
            <w:r>
              <w:rPr>
                <w:rFonts w:cstheme="minorHAnsi"/>
                <w:sz w:val="20"/>
                <w:szCs w:val="20"/>
              </w:rPr>
              <w:t>Last_Refresh</w:t>
            </w:r>
          </w:p>
        </w:tc>
        <w:tc>
          <w:tcPr>
            <w:tcW w:w="1123" w:type="dxa"/>
            <w:vAlign w:val="center"/>
          </w:tcPr>
          <w:p w14:paraId="4B2F046B" w14:textId="77777777" w:rsidR="00672297" w:rsidRDefault="00A16EA3">
            <w:pPr>
              <w:spacing w:before="20" w:after="20"/>
              <w:jc w:val="left"/>
            </w:pPr>
            <w:r>
              <w:rPr>
                <w:rFonts w:cstheme="minorHAnsi"/>
                <w:sz w:val="20"/>
                <w:szCs w:val="20"/>
              </w:rPr>
              <w:t>Parameter</w:t>
            </w:r>
          </w:p>
        </w:tc>
        <w:tc>
          <w:tcPr>
            <w:tcW w:w="2433" w:type="dxa"/>
            <w:vAlign w:val="center"/>
          </w:tcPr>
          <w:p w14:paraId="65C9695E" w14:textId="77777777" w:rsidR="00672297" w:rsidRDefault="00A16EA3">
            <w:pPr>
              <w:spacing w:before="20" w:after="20"/>
              <w:jc w:val="left"/>
            </w:pPr>
            <w:r>
              <w:rPr>
                <w:rFonts w:cstheme="minorHAnsi"/>
                <w:sz w:val="20"/>
                <w:szCs w:val="20"/>
              </w:rPr>
              <w:t>Power Query</w:t>
            </w:r>
          </w:p>
        </w:tc>
        <w:tc>
          <w:tcPr>
            <w:tcW w:w="2996" w:type="dxa"/>
            <w:vAlign w:val="center"/>
          </w:tcPr>
          <w:p w14:paraId="7ADC1595" w14:textId="77777777" w:rsidR="00672297" w:rsidRDefault="00A16EA3">
            <w:pPr>
              <w:spacing w:before="20" w:after="20"/>
              <w:jc w:val="left"/>
            </w:pPr>
            <w:r>
              <w:rPr>
                <w:rFonts w:cstheme="minorHAnsi"/>
                <w:sz w:val="20"/>
                <w:szCs w:val="20"/>
              </w:rPr>
              <w:t>Last refresh timestamp</w:t>
            </w:r>
          </w:p>
        </w:tc>
      </w:tr>
    </w:tbl>
    <w:p w14:paraId="54161FCB" w14:textId="49C056FF" w:rsidR="00672297" w:rsidRDefault="00A16EA3">
      <w:pPr>
        <w:pStyle w:val="Caption"/>
      </w:pPr>
      <w:bookmarkStart w:id="572" w:name="_Toc900950071"/>
      <w:bookmarkStart w:id="573" w:name="_Toc241574711"/>
      <w:bookmarkStart w:id="574" w:name="_Toc242554095"/>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22</w:t>
      </w:r>
      <w:r>
        <w:fldChar w:fldCharType="end"/>
      </w:r>
      <w:r>
        <w:t>: Blending Potential Dashboard Tables / Views Loaded in Power BI</w:t>
      </w:r>
      <w:bookmarkEnd w:id="572"/>
      <w:bookmarkEnd w:id="573"/>
      <w:bookmarkEnd w:id="574"/>
    </w:p>
    <w:p w14:paraId="6FCE8DE7" w14:textId="77777777" w:rsidR="00672297" w:rsidRDefault="00A16EA3">
      <w:pPr>
        <w:pStyle w:val="Heading4"/>
        <w:rPr>
          <w:rFonts w:asciiTheme="minorHAnsi" w:hAnsiTheme="minorHAnsi" w:cstheme="minorBidi"/>
          <w:sz w:val="20"/>
          <w:szCs w:val="20"/>
        </w:rPr>
      </w:pPr>
      <w:bookmarkStart w:id="575" w:name="_Toc900950072"/>
      <w:r>
        <w:rPr>
          <w:rFonts w:asciiTheme="minorHAnsi" w:hAnsiTheme="minorHAnsi" w:cstheme="minorBidi"/>
          <w:sz w:val="20"/>
          <w:szCs w:val="20"/>
        </w:rPr>
        <w:t>Relationships</w:t>
      </w:r>
      <w:bookmarkEnd w:id="575"/>
    </w:p>
    <w:tbl>
      <w:tblPr>
        <w:tblStyle w:val="TableGrid"/>
        <w:tblW w:w="9360" w:type="dxa"/>
        <w:tblLayout w:type="fixed"/>
        <w:tblCellMar>
          <w:left w:w="70" w:type="dxa"/>
          <w:right w:w="70" w:type="dxa"/>
        </w:tblCellMar>
        <w:tblLook w:val="04A0" w:firstRow="1" w:lastRow="0" w:firstColumn="1" w:lastColumn="0" w:noHBand="0" w:noVBand="1"/>
      </w:tblPr>
      <w:tblGrid>
        <w:gridCol w:w="2620"/>
        <w:gridCol w:w="2246"/>
        <w:gridCol w:w="1497"/>
        <w:gridCol w:w="1872"/>
        <w:gridCol w:w="1125"/>
      </w:tblGrid>
      <w:tr w:rsidR="00672297" w14:paraId="0D48613C" w14:textId="77777777">
        <w:trPr>
          <w:cantSplit/>
          <w:tblHeader/>
        </w:trPr>
        <w:tc>
          <w:tcPr>
            <w:tcW w:w="2620" w:type="dxa"/>
            <w:shd w:val="clear" w:color="auto" w:fill="2F5496"/>
            <w:vAlign w:val="center"/>
          </w:tcPr>
          <w:p w14:paraId="6226CAFB" w14:textId="77777777" w:rsidR="00672297" w:rsidRDefault="00A16EA3">
            <w:pPr>
              <w:spacing w:before="20" w:after="20"/>
              <w:jc w:val="left"/>
            </w:pPr>
            <w:r>
              <w:rPr>
                <w:rFonts w:cstheme="minorHAnsi"/>
                <w:b/>
                <w:bCs/>
                <w:color w:val="FFFFFF"/>
                <w:sz w:val="18"/>
                <w:szCs w:val="18"/>
              </w:rPr>
              <w:t>From Table</w:t>
            </w:r>
          </w:p>
        </w:tc>
        <w:tc>
          <w:tcPr>
            <w:tcW w:w="2246" w:type="dxa"/>
            <w:shd w:val="clear" w:color="auto" w:fill="2F5496"/>
            <w:vAlign w:val="center"/>
          </w:tcPr>
          <w:p w14:paraId="0545E6F7" w14:textId="77777777" w:rsidR="00672297" w:rsidRDefault="00A16EA3">
            <w:pPr>
              <w:spacing w:before="20" w:after="20"/>
              <w:jc w:val="left"/>
            </w:pPr>
            <w:r>
              <w:rPr>
                <w:rFonts w:cstheme="minorHAnsi"/>
                <w:b/>
                <w:bCs/>
                <w:color w:val="FFFFFF"/>
                <w:sz w:val="18"/>
                <w:szCs w:val="18"/>
              </w:rPr>
              <w:t>Column</w:t>
            </w:r>
          </w:p>
        </w:tc>
        <w:tc>
          <w:tcPr>
            <w:tcW w:w="1497" w:type="dxa"/>
            <w:shd w:val="clear" w:color="auto" w:fill="2F5496"/>
            <w:vAlign w:val="center"/>
          </w:tcPr>
          <w:p w14:paraId="65BA34CC" w14:textId="77777777" w:rsidR="00672297" w:rsidRDefault="00A16EA3">
            <w:pPr>
              <w:spacing w:before="20" w:after="20"/>
              <w:jc w:val="left"/>
            </w:pPr>
            <w:r>
              <w:rPr>
                <w:rFonts w:cstheme="minorHAnsi"/>
                <w:b/>
                <w:bCs/>
                <w:color w:val="FFFFFF"/>
                <w:sz w:val="18"/>
                <w:szCs w:val="18"/>
              </w:rPr>
              <w:t>To Table</w:t>
            </w:r>
          </w:p>
        </w:tc>
        <w:tc>
          <w:tcPr>
            <w:tcW w:w="1872" w:type="dxa"/>
            <w:shd w:val="clear" w:color="auto" w:fill="2F5496"/>
            <w:vAlign w:val="center"/>
          </w:tcPr>
          <w:p w14:paraId="33885040" w14:textId="77777777" w:rsidR="00672297" w:rsidRDefault="00A16EA3">
            <w:pPr>
              <w:spacing w:before="20" w:after="20"/>
              <w:jc w:val="left"/>
            </w:pPr>
            <w:r>
              <w:rPr>
                <w:rFonts w:cstheme="minorHAnsi"/>
                <w:b/>
                <w:bCs/>
                <w:color w:val="FFFFFF"/>
                <w:sz w:val="18"/>
                <w:szCs w:val="18"/>
              </w:rPr>
              <w:t>Column</w:t>
            </w:r>
          </w:p>
        </w:tc>
        <w:tc>
          <w:tcPr>
            <w:tcW w:w="1125" w:type="dxa"/>
            <w:shd w:val="clear" w:color="auto" w:fill="2F5496"/>
            <w:vAlign w:val="center"/>
          </w:tcPr>
          <w:p w14:paraId="0F7B6E6F" w14:textId="77777777" w:rsidR="00672297" w:rsidRDefault="00A16EA3">
            <w:pPr>
              <w:spacing w:before="20" w:after="20"/>
              <w:jc w:val="left"/>
            </w:pPr>
            <w:r>
              <w:rPr>
                <w:rFonts w:cstheme="minorHAnsi"/>
                <w:b/>
                <w:bCs/>
                <w:color w:val="FFFFFF"/>
                <w:sz w:val="18"/>
                <w:szCs w:val="18"/>
              </w:rPr>
              <w:t>Cardinality</w:t>
            </w:r>
          </w:p>
        </w:tc>
      </w:tr>
      <w:tr w:rsidR="00672297" w14:paraId="7428AB70" w14:textId="77777777">
        <w:trPr>
          <w:cantSplit/>
        </w:trPr>
        <w:tc>
          <w:tcPr>
            <w:tcW w:w="2620" w:type="dxa"/>
            <w:vAlign w:val="center"/>
          </w:tcPr>
          <w:p w14:paraId="2CC6E429" w14:textId="77777777" w:rsidR="00672297" w:rsidRDefault="00A16EA3">
            <w:pPr>
              <w:spacing w:before="20" w:after="20"/>
              <w:jc w:val="left"/>
            </w:pPr>
            <w:r>
              <w:rPr>
                <w:rFonts w:cstheme="minorHAnsi"/>
                <w:sz w:val="18"/>
                <w:szCs w:val="18"/>
              </w:rPr>
              <w:t>vwDistillateBlendPotentialQuality</w:t>
            </w:r>
          </w:p>
        </w:tc>
        <w:tc>
          <w:tcPr>
            <w:tcW w:w="2246" w:type="dxa"/>
            <w:vAlign w:val="center"/>
          </w:tcPr>
          <w:p w14:paraId="652BB68F" w14:textId="77777777" w:rsidR="00672297" w:rsidRDefault="00A16EA3">
            <w:pPr>
              <w:spacing w:before="20" w:after="20"/>
              <w:jc w:val="left"/>
            </w:pPr>
            <w:r>
              <w:rPr>
                <w:rFonts w:cstheme="minorHAnsi"/>
                <w:sz w:val="18"/>
                <w:szCs w:val="18"/>
              </w:rPr>
              <w:t>ETADate</w:t>
            </w:r>
          </w:p>
        </w:tc>
        <w:tc>
          <w:tcPr>
            <w:tcW w:w="1497" w:type="dxa"/>
            <w:vAlign w:val="center"/>
          </w:tcPr>
          <w:p w14:paraId="59077898" w14:textId="77777777" w:rsidR="00672297" w:rsidRDefault="00A16EA3">
            <w:pPr>
              <w:spacing w:before="20" w:after="20"/>
              <w:jc w:val="left"/>
            </w:pPr>
            <w:r>
              <w:rPr>
                <w:rFonts w:cstheme="minorHAnsi"/>
                <w:sz w:val="18"/>
                <w:szCs w:val="18"/>
              </w:rPr>
              <w:t>day_detail</w:t>
            </w:r>
          </w:p>
        </w:tc>
        <w:tc>
          <w:tcPr>
            <w:tcW w:w="1872" w:type="dxa"/>
            <w:vAlign w:val="center"/>
          </w:tcPr>
          <w:p w14:paraId="0EAA4799" w14:textId="77777777" w:rsidR="00672297" w:rsidRDefault="00A16EA3">
            <w:pPr>
              <w:spacing w:before="20" w:after="20"/>
              <w:jc w:val="left"/>
            </w:pPr>
            <w:r>
              <w:rPr>
                <w:rFonts w:cstheme="minorHAnsi"/>
                <w:sz w:val="18"/>
                <w:szCs w:val="18"/>
              </w:rPr>
              <w:t>W_Date</w:t>
            </w:r>
          </w:p>
        </w:tc>
        <w:tc>
          <w:tcPr>
            <w:tcW w:w="1125" w:type="dxa"/>
            <w:vAlign w:val="center"/>
          </w:tcPr>
          <w:p w14:paraId="35896D08" w14:textId="77777777" w:rsidR="00672297" w:rsidRDefault="00A16EA3">
            <w:pPr>
              <w:spacing w:before="20" w:after="20"/>
              <w:jc w:val="left"/>
            </w:pPr>
            <w:r>
              <w:rPr>
                <w:rFonts w:cstheme="minorHAnsi"/>
                <w:sz w:val="18"/>
                <w:szCs w:val="18"/>
              </w:rPr>
              <w:t>Many-to-One</w:t>
            </w:r>
          </w:p>
        </w:tc>
      </w:tr>
      <w:tr w:rsidR="00672297" w14:paraId="721C225F" w14:textId="77777777">
        <w:trPr>
          <w:cantSplit/>
        </w:trPr>
        <w:tc>
          <w:tcPr>
            <w:tcW w:w="2620" w:type="dxa"/>
            <w:vAlign w:val="center"/>
          </w:tcPr>
          <w:p w14:paraId="5745D83B" w14:textId="77777777" w:rsidR="00672297" w:rsidRDefault="00A16EA3">
            <w:pPr>
              <w:spacing w:before="20" w:after="20"/>
              <w:jc w:val="left"/>
            </w:pPr>
            <w:r>
              <w:rPr>
                <w:rFonts w:cstheme="minorHAnsi"/>
                <w:sz w:val="18"/>
                <w:szCs w:val="18"/>
              </w:rPr>
              <w:t>vwBlendComponentSupplyDemand</w:t>
            </w:r>
          </w:p>
        </w:tc>
        <w:tc>
          <w:tcPr>
            <w:tcW w:w="2246" w:type="dxa"/>
            <w:vAlign w:val="center"/>
          </w:tcPr>
          <w:p w14:paraId="2D8522AE" w14:textId="77777777" w:rsidR="00672297" w:rsidRDefault="00A16EA3">
            <w:pPr>
              <w:spacing w:before="20" w:after="20"/>
              <w:jc w:val="left"/>
            </w:pPr>
            <w:r>
              <w:rPr>
                <w:rFonts w:cstheme="minorHAnsi"/>
                <w:sz w:val="18"/>
                <w:szCs w:val="18"/>
              </w:rPr>
              <w:t>PositionDate</w:t>
            </w:r>
          </w:p>
        </w:tc>
        <w:tc>
          <w:tcPr>
            <w:tcW w:w="1497" w:type="dxa"/>
            <w:vAlign w:val="center"/>
          </w:tcPr>
          <w:p w14:paraId="67903F7B" w14:textId="77777777" w:rsidR="00672297" w:rsidRDefault="00A16EA3">
            <w:pPr>
              <w:spacing w:before="20" w:after="20"/>
              <w:jc w:val="left"/>
            </w:pPr>
            <w:r>
              <w:rPr>
                <w:rFonts w:cstheme="minorHAnsi"/>
                <w:sz w:val="18"/>
                <w:szCs w:val="18"/>
              </w:rPr>
              <w:t>day_detail</w:t>
            </w:r>
          </w:p>
        </w:tc>
        <w:tc>
          <w:tcPr>
            <w:tcW w:w="1872" w:type="dxa"/>
            <w:vAlign w:val="center"/>
          </w:tcPr>
          <w:p w14:paraId="23E03C75" w14:textId="77777777" w:rsidR="00672297" w:rsidRDefault="00A16EA3">
            <w:pPr>
              <w:spacing w:before="20" w:after="20"/>
              <w:jc w:val="left"/>
            </w:pPr>
            <w:r>
              <w:rPr>
                <w:rFonts w:cstheme="minorHAnsi"/>
                <w:sz w:val="18"/>
                <w:szCs w:val="18"/>
              </w:rPr>
              <w:t>W_Date</w:t>
            </w:r>
          </w:p>
        </w:tc>
        <w:tc>
          <w:tcPr>
            <w:tcW w:w="1125" w:type="dxa"/>
            <w:vAlign w:val="center"/>
          </w:tcPr>
          <w:p w14:paraId="6C7C281F" w14:textId="77777777" w:rsidR="00672297" w:rsidRDefault="00A16EA3">
            <w:pPr>
              <w:spacing w:before="20" w:after="20"/>
              <w:jc w:val="left"/>
            </w:pPr>
            <w:r>
              <w:rPr>
                <w:rFonts w:cstheme="minorHAnsi"/>
                <w:sz w:val="18"/>
                <w:szCs w:val="18"/>
              </w:rPr>
              <w:t>Many-to-One</w:t>
            </w:r>
          </w:p>
        </w:tc>
      </w:tr>
    </w:tbl>
    <w:p w14:paraId="3C5F931E" w14:textId="231234EC" w:rsidR="00672297" w:rsidRDefault="00A16EA3">
      <w:pPr>
        <w:pStyle w:val="Caption"/>
      </w:pPr>
      <w:bookmarkStart w:id="576" w:name="_Toc900950073"/>
      <w:bookmarkStart w:id="577" w:name="_Toc241574712"/>
      <w:bookmarkStart w:id="578" w:name="_Toc242554096"/>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23</w:t>
      </w:r>
      <w:r>
        <w:fldChar w:fldCharType="end"/>
      </w:r>
      <w:r>
        <w:t>: Blending Potential Dashboard Relationships between Tables / Views in Power BI</w:t>
      </w:r>
      <w:bookmarkEnd w:id="576"/>
      <w:bookmarkEnd w:id="577"/>
      <w:bookmarkEnd w:id="578"/>
    </w:p>
    <w:p w14:paraId="399BC270" w14:textId="77777777" w:rsidR="00672297" w:rsidRDefault="00A16EA3">
      <w:pPr>
        <w:pStyle w:val="Heading4"/>
        <w:rPr>
          <w:rFonts w:asciiTheme="minorHAnsi" w:hAnsiTheme="minorHAnsi" w:cstheme="minorBidi"/>
          <w:sz w:val="20"/>
          <w:szCs w:val="20"/>
        </w:rPr>
      </w:pPr>
      <w:bookmarkStart w:id="579" w:name="_Toc900950074"/>
      <w:r>
        <w:rPr>
          <w:rFonts w:asciiTheme="minorHAnsi" w:hAnsiTheme="minorHAnsi" w:cstheme="minorBidi"/>
          <w:sz w:val="20"/>
          <w:szCs w:val="20"/>
        </w:rPr>
        <w:t>DAX Logic (Sample)</w:t>
      </w:r>
      <w:bookmarkEnd w:id="579"/>
    </w:p>
    <w:tbl>
      <w:tblPr>
        <w:tblStyle w:val="TableGrid"/>
        <w:tblW w:w="9360" w:type="dxa"/>
        <w:tblLayout w:type="fixed"/>
        <w:tblCellMar>
          <w:left w:w="115" w:type="dxa"/>
          <w:right w:w="115" w:type="dxa"/>
        </w:tblCellMar>
        <w:tblLook w:val="04A0" w:firstRow="1" w:lastRow="0" w:firstColumn="1" w:lastColumn="0" w:noHBand="0" w:noVBand="1"/>
      </w:tblPr>
      <w:tblGrid>
        <w:gridCol w:w="9360"/>
      </w:tblGrid>
      <w:tr w:rsidR="00672297" w14:paraId="5FF13722" w14:textId="77777777">
        <w:tc>
          <w:tcPr>
            <w:tcW w:w="9360" w:type="dxa"/>
            <w:shd w:val="clear" w:color="auto" w:fill="F2F2F2"/>
          </w:tcPr>
          <w:p w14:paraId="277F02AE" w14:textId="77777777" w:rsidR="00672297" w:rsidRDefault="00A16EA3">
            <w:pPr>
              <w:jc w:val="left"/>
            </w:pPr>
            <w:r>
              <w:rPr>
                <w:rFonts w:ascii="Consolas" w:hAnsi="Consolas" w:cs="Consolas"/>
                <w:sz w:val="17"/>
                <w:szCs w:val="17"/>
              </w:rPr>
              <w:t>Volume Expansion % - In-Transit =</w:t>
            </w:r>
          </w:p>
          <w:p w14:paraId="4E968555" w14:textId="77777777" w:rsidR="00672297" w:rsidRDefault="00A16EA3">
            <w:pPr>
              <w:jc w:val="left"/>
            </w:pPr>
            <w:r>
              <w:rPr>
                <w:rFonts w:ascii="Consolas" w:hAnsi="Consolas" w:cs="Consolas"/>
                <w:sz w:val="17"/>
                <w:szCs w:val="17"/>
              </w:rPr>
              <w:t>CALCULATE (</w:t>
            </w:r>
          </w:p>
          <w:p w14:paraId="7F85E996" w14:textId="77777777" w:rsidR="00672297" w:rsidRDefault="00A16EA3">
            <w:pPr>
              <w:jc w:val="left"/>
            </w:pPr>
            <w:r>
              <w:rPr>
                <w:rFonts w:ascii="Consolas" w:hAnsi="Consolas" w:cs="Consolas"/>
                <w:sz w:val="17"/>
                <w:szCs w:val="17"/>
              </w:rPr>
              <w:t xml:space="preserve">    DIVIDE ( SUM ( vwDistillateBlendPotentialQuality[VolumeExpansionBbl] ), SUM ( vwDistillateBlendPotentialQuality[BatchVolumeBbl] ) ),</w:t>
            </w:r>
          </w:p>
          <w:p w14:paraId="4F5F2C48" w14:textId="77777777" w:rsidR="00672297" w:rsidRDefault="00A16EA3">
            <w:pPr>
              <w:jc w:val="left"/>
            </w:pPr>
            <w:r>
              <w:rPr>
                <w:rFonts w:ascii="Consolas" w:hAnsi="Consolas" w:cs="Consolas"/>
                <w:sz w:val="17"/>
                <w:szCs w:val="17"/>
              </w:rPr>
              <w:t xml:space="preserve">    vwDistillateBlendPotentialQuality[BatchStatus] = "In-Transit"</w:t>
            </w:r>
          </w:p>
          <w:p w14:paraId="1132ABB0" w14:textId="77777777" w:rsidR="00672297" w:rsidRDefault="00A16EA3">
            <w:pPr>
              <w:jc w:val="left"/>
            </w:pPr>
            <w:r>
              <w:rPr>
                <w:rFonts w:ascii="Consolas" w:hAnsi="Consolas" w:cs="Consolas"/>
                <w:sz w:val="17"/>
                <w:szCs w:val="17"/>
              </w:rPr>
              <w:t>)</w:t>
            </w:r>
          </w:p>
        </w:tc>
      </w:tr>
    </w:tbl>
    <w:p w14:paraId="43DCF608" w14:textId="77777777" w:rsidR="00672297" w:rsidRDefault="00A16EA3">
      <w:pPr>
        <w:pStyle w:val="Heading4"/>
        <w:rPr>
          <w:rFonts w:asciiTheme="minorHAnsi" w:hAnsiTheme="minorHAnsi" w:cstheme="minorBidi"/>
          <w:sz w:val="20"/>
          <w:szCs w:val="20"/>
        </w:rPr>
      </w:pPr>
      <w:bookmarkStart w:id="580" w:name="_Toc900950075"/>
      <w:r>
        <w:rPr>
          <w:rFonts w:asciiTheme="minorHAnsi" w:hAnsiTheme="minorHAnsi" w:cstheme="minorBidi"/>
          <w:sz w:val="20"/>
          <w:szCs w:val="20"/>
        </w:rPr>
        <w:t>Visual Types Used</w:t>
      </w:r>
      <w:bookmarkEnd w:id="580"/>
    </w:p>
    <w:p w14:paraId="0ED7733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Cards: Total Butane Potential, Total Transmix Potential, Total Ethanol Requirement, Total Volume Expansion (multi-row cards).</w:t>
      </w:r>
    </w:p>
    <w:p w14:paraId="7A6BC471"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Charts: three stacked column charts (Butane, Transmix, Ethanol) with the Terminal &gt; Batch ID drill-down.</w:t>
      </w:r>
    </w:p>
    <w:p w14:paraId="135C1D7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Tables: Batch-wise Blending Potential Detail Table (matrix).</w:t>
      </w:r>
    </w:p>
    <w:p w14:paraId="4FE3F06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Slicers: Region, Terminal, Product Grade, Batch Quality, Batch ID, Date; Last Refresh card.</w:t>
      </w:r>
    </w:p>
    <w:p w14:paraId="768A1E11" w14:textId="77777777" w:rsidR="00672297" w:rsidRDefault="00A16EA3">
      <w:pPr>
        <w:pStyle w:val="Heading4"/>
        <w:rPr>
          <w:rFonts w:asciiTheme="minorHAnsi" w:hAnsiTheme="minorHAnsi" w:cstheme="minorBidi"/>
          <w:sz w:val="20"/>
          <w:szCs w:val="20"/>
        </w:rPr>
      </w:pPr>
      <w:bookmarkStart w:id="581" w:name="_Toc900950076"/>
      <w:r>
        <w:rPr>
          <w:rFonts w:asciiTheme="minorHAnsi" w:hAnsiTheme="minorHAnsi" w:cstheme="minorBidi"/>
          <w:sz w:val="20"/>
          <w:szCs w:val="20"/>
        </w:rPr>
        <w:t>Power BI Attributes and Mapped Backend Table - Field Details</w:t>
      </w:r>
      <w:bookmarkEnd w:id="581"/>
    </w:p>
    <w:tbl>
      <w:tblPr>
        <w:tblStyle w:val="TableGrid"/>
        <w:tblW w:w="9360" w:type="dxa"/>
        <w:tblLayout w:type="fixed"/>
        <w:tblCellMar>
          <w:left w:w="70" w:type="dxa"/>
          <w:right w:w="70" w:type="dxa"/>
        </w:tblCellMar>
        <w:tblLook w:val="04A0" w:firstRow="1" w:lastRow="0" w:firstColumn="1" w:lastColumn="0" w:noHBand="0" w:noVBand="1"/>
      </w:tblPr>
      <w:tblGrid>
        <w:gridCol w:w="1404"/>
        <w:gridCol w:w="1310"/>
        <w:gridCol w:w="1310"/>
        <w:gridCol w:w="1404"/>
        <w:gridCol w:w="655"/>
        <w:gridCol w:w="655"/>
        <w:gridCol w:w="655"/>
        <w:gridCol w:w="1967"/>
      </w:tblGrid>
      <w:tr w:rsidR="00672297" w14:paraId="32AA54D6" w14:textId="77777777">
        <w:trPr>
          <w:cantSplit/>
          <w:tblHeader/>
        </w:trPr>
        <w:tc>
          <w:tcPr>
            <w:tcW w:w="1404" w:type="dxa"/>
            <w:shd w:val="clear" w:color="auto" w:fill="2F5496"/>
            <w:vAlign w:val="center"/>
          </w:tcPr>
          <w:p w14:paraId="2BB0680A" w14:textId="77777777" w:rsidR="00672297" w:rsidRDefault="00A16EA3">
            <w:pPr>
              <w:spacing w:before="20" w:after="20"/>
              <w:jc w:val="left"/>
            </w:pPr>
            <w:r>
              <w:rPr>
                <w:rFonts w:cstheme="minorHAnsi"/>
                <w:b/>
                <w:bCs/>
                <w:color w:val="FFFFFF"/>
                <w:sz w:val="16"/>
                <w:szCs w:val="16"/>
              </w:rPr>
              <w:t>Power BI Visualization Name</w:t>
            </w:r>
          </w:p>
        </w:tc>
        <w:tc>
          <w:tcPr>
            <w:tcW w:w="1310" w:type="dxa"/>
            <w:shd w:val="clear" w:color="auto" w:fill="2F5496"/>
            <w:vAlign w:val="center"/>
          </w:tcPr>
          <w:p w14:paraId="299416D5" w14:textId="77777777" w:rsidR="00672297" w:rsidRDefault="00A16EA3">
            <w:pPr>
              <w:spacing w:before="20" w:after="20"/>
              <w:jc w:val="left"/>
            </w:pPr>
            <w:r>
              <w:rPr>
                <w:rFonts w:cstheme="minorHAnsi"/>
                <w:b/>
                <w:bCs/>
                <w:color w:val="FFFFFF"/>
                <w:sz w:val="16"/>
                <w:szCs w:val="16"/>
              </w:rPr>
              <w:t>Power BI Attribute Name</w:t>
            </w:r>
          </w:p>
        </w:tc>
        <w:tc>
          <w:tcPr>
            <w:tcW w:w="1310" w:type="dxa"/>
            <w:shd w:val="clear" w:color="auto" w:fill="2F5496"/>
            <w:vAlign w:val="center"/>
          </w:tcPr>
          <w:p w14:paraId="313CC2FF" w14:textId="77777777" w:rsidR="00672297" w:rsidRDefault="00A16EA3">
            <w:pPr>
              <w:spacing w:before="20" w:after="20"/>
              <w:jc w:val="left"/>
            </w:pPr>
            <w:r>
              <w:rPr>
                <w:rFonts w:cstheme="minorHAnsi"/>
                <w:b/>
                <w:bCs/>
                <w:color w:val="FFFFFF"/>
                <w:sz w:val="16"/>
                <w:szCs w:val="16"/>
              </w:rPr>
              <w:t>Table / View (Semantic Model)</w:t>
            </w:r>
          </w:p>
        </w:tc>
        <w:tc>
          <w:tcPr>
            <w:tcW w:w="1404" w:type="dxa"/>
            <w:shd w:val="clear" w:color="auto" w:fill="2F5496"/>
            <w:vAlign w:val="center"/>
          </w:tcPr>
          <w:p w14:paraId="03116D68" w14:textId="77777777" w:rsidR="00672297" w:rsidRDefault="00A16EA3">
            <w:pPr>
              <w:spacing w:before="20" w:after="20"/>
              <w:jc w:val="left"/>
            </w:pPr>
            <w:r>
              <w:rPr>
                <w:rFonts w:cstheme="minorHAnsi"/>
                <w:b/>
                <w:bCs/>
                <w:color w:val="FFFFFF"/>
                <w:sz w:val="16"/>
                <w:szCs w:val="16"/>
              </w:rPr>
              <w:t>Field Name</w:t>
            </w:r>
          </w:p>
        </w:tc>
        <w:tc>
          <w:tcPr>
            <w:tcW w:w="655" w:type="dxa"/>
            <w:shd w:val="clear" w:color="auto" w:fill="2F5496"/>
            <w:vAlign w:val="center"/>
          </w:tcPr>
          <w:p w14:paraId="4E9EEE2C" w14:textId="77777777" w:rsidR="00672297" w:rsidRDefault="00A16EA3">
            <w:pPr>
              <w:spacing w:before="20" w:after="20"/>
              <w:jc w:val="left"/>
            </w:pPr>
            <w:r>
              <w:rPr>
                <w:rFonts w:cstheme="minorHAnsi"/>
                <w:b/>
                <w:bCs/>
                <w:color w:val="FFFFFF"/>
                <w:sz w:val="16"/>
                <w:szCs w:val="16"/>
              </w:rPr>
              <w:t>Measure (Y/N)</w:t>
            </w:r>
          </w:p>
        </w:tc>
        <w:tc>
          <w:tcPr>
            <w:tcW w:w="655" w:type="dxa"/>
            <w:shd w:val="clear" w:color="auto" w:fill="2F5496"/>
            <w:vAlign w:val="center"/>
          </w:tcPr>
          <w:p w14:paraId="4223DB17" w14:textId="77777777" w:rsidR="00672297" w:rsidRDefault="00A16EA3">
            <w:pPr>
              <w:spacing w:before="20" w:after="20"/>
              <w:jc w:val="left"/>
            </w:pPr>
            <w:r>
              <w:rPr>
                <w:rFonts w:cstheme="minorHAnsi"/>
                <w:b/>
                <w:bCs/>
                <w:color w:val="FFFFFF"/>
                <w:sz w:val="16"/>
                <w:szCs w:val="16"/>
              </w:rPr>
              <w:t>Report Filter (Y/N)</w:t>
            </w:r>
          </w:p>
        </w:tc>
        <w:tc>
          <w:tcPr>
            <w:tcW w:w="655" w:type="dxa"/>
            <w:shd w:val="clear" w:color="auto" w:fill="2F5496"/>
            <w:vAlign w:val="center"/>
          </w:tcPr>
          <w:p w14:paraId="7498C84F" w14:textId="77777777" w:rsidR="00672297" w:rsidRDefault="00A16EA3">
            <w:pPr>
              <w:spacing w:before="20" w:after="20"/>
              <w:jc w:val="left"/>
            </w:pPr>
            <w:r>
              <w:rPr>
                <w:rFonts w:cstheme="minorHAnsi"/>
                <w:b/>
                <w:bCs/>
                <w:color w:val="FFFFFF"/>
                <w:sz w:val="16"/>
                <w:szCs w:val="16"/>
              </w:rPr>
              <w:t>Direct Attribute (Y/N)</w:t>
            </w:r>
          </w:p>
        </w:tc>
        <w:tc>
          <w:tcPr>
            <w:tcW w:w="1967" w:type="dxa"/>
            <w:shd w:val="clear" w:color="auto" w:fill="2F5496"/>
            <w:vAlign w:val="center"/>
          </w:tcPr>
          <w:p w14:paraId="24497F6E" w14:textId="77777777" w:rsidR="00672297" w:rsidRDefault="00A16EA3">
            <w:pPr>
              <w:spacing w:before="20" w:after="20"/>
              <w:jc w:val="left"/>
            </w:pPr>
            <w:r>
              <w:rPr>
                <w:rFonts w:cstheme="minorHAnsi"/>
                <w:b/>
                <w:bCs/>
                <w:color w:val="FFFFFF"/>
                <w:sz w:val="16"/>
                <w:szCs w:val="16"/>
              </w:rPr>
              <w:t>Calculation / Logic</w:t>
            </w:r>
          </w:p>
        </w:tc>
      </w:tr>
      <w:tr w:rsidR="00672297" w14:paraId="5D285BD1" w14:textId="77777777">
        <w:trPr>
          <w:cantSplit/>
        </w:trPr>
        <w:tc>
          <w:tcPr>
            <w:tcW w:w="1404" w:type="dxa"/>
            <w:vAlign w:val="center"/>
          </w:tcPr>
          <w:p w14:paraId="4B856038" w14:textId="77777777" w:rsidR="00672297" w:rsidRDefault="00A16EA3">
            <w:pPr>
              <w:spacing w:before="20" w:after="20"/>
              <w:jc w:val="left"/>
            </w:pPr>
            <w:r>
              <w:rPr>
                <w:rFonts w:cstheme="minorHAnsi"/>
                <w:sz w:val="16"/>
                <w:szCs w:val="16"/>
              </w:rPr>
              <w:t>KPI Card - Butane</w:t>
            </w:r>
          </w:p>
        </w:tc>
        <w:tc>
          <w:tcPr>
            <w:tcW w:w="1310" w:type="dxa"/>
            <w:vAlign w:val="center"/>
          </w:tcPr>
          <w:p w14:paraId="56C93350" w14:textId="77777777" w:rsidR="00672297" w:rsidRDefault="00A16EA3">
            <w:pPr>
              <w:spacing w:before="20" w:after="20"/>
              <w:jc w:val="left"/>
            </w:pPr>
            <w:r>
              <w:rPr>
                <w:rFonts w:cstheme="minorHAnsi"/>
                <w:sz w:val="16"/>
                <w:szCs w:val="16"/>
              </w:rPr>
              <w:t>In-Transit / Scheduled / Total Butane Potential</w:t>
            </w:r>
          </w:p>
        </w:tc>
        <w:tc>
          <w:tcPr>
            <w:tcW w:w="1310" w:type="dxa"/>
            <w:vAlign w:val="center"/>
          </w:tcPr>
          <w:p w14:paraId="7FC25E46"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5EA797F1" w14:textId="77777777" w:rsidR="00672297" w:rsidRDefault="00A16EA3">
            <w:pPr>
              <w:spacing w:before="20" w:after="20"/>
              <w:jc w:val="left"/>
            </w:pPr>
            <w:r>
              <w:rPr>
                <w:rFonts w:cstheme="minorHAnsi"/>
                <w:sz w:val="16"/>
                <w:szCs w:val="16"/>
              </w:rPr>
              <w:t>ButanePotentialBbl</w:t>
            </w:r>
          </w:p>
        </w:tc>
        <w:tc>
          <w:tcPr>
            <w:tcW w:w="655" w:type="dxa"/>
            <w:vAlign w:val="center"/>
          </w:tcPr>
          <w:p w14:paraId="5E7CE3C6" w14:textId="77777777" w:rsidR="00672297" w:rsidRDefault="00A16EA3">
            <w:pPr>
              <w:spacing w:before="20" w:after="20"/>
              <w:jc w:val="left"/>
            </w:pPr>
            <w:r>
              <w:rPr>
                <w:rFonts w:cstheme="minorHAnsi"/>
                <w:sz w:val="16"/>
                <w:szCs w:val="16"/>
              </w:rPr>
              <w:t>Y</w:t>
            </w:r>
          </w:p>
        </w:tc>
        <w:tc>
          <w:tcPr>
            <w:tcW w:w="655" w:type="dxa"/>
            <w:vAlign w:val="center"/>
          </w:tcPr>
          <w:p w14:paraId="783AF9FE" w14:textId="77777777" w:rsidR="00672297" w:rsidRDefault="00A16EA3">
            <w:pPr>
              <w:spacing w:before="20" w:after="20"/>
              <w:jc w:val="left"/>
            </w:pPr>
            <w:r>
              <w:rPr>
                <w:rFonts w:cstheme="minorHAnsi"/>
                <w:sz w:val="16"/>
                <w:szCs w:val="16"/>
              </w:rPr>
              <w:t>N</w:t>
            </w:r>
          </w:p>
        </w:tc>
        <w:tc>
          <w:tcPr>
            <w:tcW w:w="655" w:type="dxa"/>
            <w:vAlign w:val="center"/>
          </w:tcPr>
          <w:p w14:paraId="09958807" w14:textId="77777777" w:rsidR="00672297" w:rsidRDefault="00A16EA3">
            <w:pPr>
              <w:spacing w:before="20" w:after="20"/>
              <w:jc w:val="left"/>
            </w:pPr>
            <w:r>
              <w:rPr>
                <w:rFonts w:cstheme="minorHAnsi"/>
                <w:sz w:val="16"/>
                <w:szCs w:val="16"/>
              </w:rPr>
              <w:t>N</w:t>
            </w:r>
          </w:p>
        </w:tc>
        <w:tc>
          <w:tcPr>
            <w:tcW w:w="1967" w:type="dxa"/>
            <w:vAlign w:val="center"/>
          </w:tcPr>
          <w:p w14:paraId="489026AB" w14:textId="77777777" w:rsidR="00672297" w:rsidRDefault="00A16EA3">
            <w:pPr>
              <w:spacing w:before="20" w:after="20"/>
              <w:jc w:val="left"/>
            </w:pPr>
            <w:r>
              <w:rPr>
                <w:rFonts w:cstheme="minorHAnsi"/>
                <w:sz w:val="16"/>
                <w:szCs w:val="16"/>
              </w:rPr>
              <w:t>[Butane Potential (bbl)] by status</w:t>
            </w:r>
          </w:p>
        </w:tc>
      </w:tr>
      <w:tr w:rsidR="00672297" w14:paraId="0045B217" w14:textId="77777777">
        <w:trPr>
          <w:cantSplit/>
        </w:trPr>
        <w:tc>
          <w:tcPr>
            <w:tcW w:w="1404" w:type="dxa"/>
            <w:vAlign w:val="center"/>
          </w:tcPr>
          <w:p w14:paraId="705737C4" w14:textId="77777777" w:rsidR="00672297" w:rsidRDefault="00A16EA3">
            <w:pPr>
              <w:spacing w:before="20" w:after="20"/>
              <w:jc w:val="left"/>
            </w:pPr>
            <w:r>
              <w:rPr>
                <w:rFonts w:cstheme="minorHAnsi"/>
                <w:sz w:val="16"/>
                <w:szCs w:val="16"/>
              </w:rPr>
              <w:t>KPI Card - Butane / Ethanol</w:t>
            </w:r>
          </w:p>
        </w:tc>
        <w:tc>
          <w:tcPr>
            <w:tcW w:w="1310" w:type="dxa"/>
            <w:vAlign w:val="center"/>
          </w:tcPr>
          <w:p w14:paraId="5D03480C" w14:textId="77777777" w:rsidR="00672297" w:rsidRDefault="00A16EA3">
            <w:pPr>
              <w:spacing w:before="20" w:after="20"/>
              <w:jc w:val="left"/>
            </w:pPr>
            <w:r>
              <w:rPr>
                <w:rFonts w:cstheme="minorHAnsi"/>
                <w:sz w:val="16"/>
                <w:szCs w:val="16"/>
              </w:rPr>
              <w:t>Total Planned Movement</w:t>
            </w:r>
          </w:p>
        </w:tc>
        <w:tc>
          <w:tcPr>
            <w:tcW w:w="1310" w:type="dxa"/>
            <w:vAlign w:val="center"/>
          </w:tcPr>
          <w:p w14:paraId="61EFD949"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496FB90F" w14:textId="77777777" w:rsidR="00672297" w:rsidRDefault="00A16EA3">
            <w:pPr>
              <w:spacing w:before="20" w:after="20"/>
              <w:jc w:val="left"/>
            </w:pPr>
            <w:r>
              <w:rPr>
                <w:rFonts w:cstheme="minorHAnsi"/>
                <w:sz w:val="16"/>
                <w:szCs w:val="16"/>
              </w:rPr>
              <w:t>ReceiptInTransitBbl</w:t>
            </w:r>
          </w:p>
        </w:tc>
        <w:tc>
          <w:tcPr>
            <w:tcW w:w="655" w:type="dxa"/>
            <w:vAlign w:val="center"/>
          </w:tcPr>
          <w:p w14:paraId="5E1B51BC" w14:textId="77777777" w:rsidR="00672297" w:rsidRDefault="00A16EA3">
            <w:pPr>
              <w:spacing w:before="20" w:after="20"/>
              <w:jc w:val="left"/>
            </w:pPr>
            <w:r>
              <w:rPr>
                <w:rFonts w:cstheme="minorHAnsi"/>
                <w:sz w:val="16"/>
                <w:szCs w:val="16"/>
              </w:rPr>
              <w:t>Y</w:t>
            </w:r>
          </w:p>
        </w:tc>
        <w:tc>
          <w:tcPr>
            <w:tcW w:w="655" w:type="dxa"/>
            <w:vAlign w:val="center"/>
          </w:tcPr>
          <w:p w14:paraId="591B789B" w14:textId="77777777" w:rsidR="00672297" w:rsidRDefault="00A16EA3">
            <w:pPr>
              <w:spacing w:before="20" w:after="20"/>
              <w:jc w:val="left"/>
            </w:pPr>
            <w:r>
              <w:rPr>
                <w:rFonts w:cstheme="minorHAnsi"/>
                <w:sz w:val="16"/>
                <w:szCs w:val="16"/>
              </w:rPr>
              <w:t>N</w:t>
            </w:r>
          </w:p>
        </w:tc>
        <w:tc>
          <w:tcPr>
            <w:tcW w:w="655" w:type="dxa"/>
            <w:vAlign w:val="center"/>
          </w:tcPr>
          <w:p w14:paraId="0DEEADF3" w14:textId="77777777" w:rsidR="00672297" w:rsidRDefault="00A16EA3">
            <w:pPr>
              <w:spacing w:before="20" w:after="20"/>
              <w:jc w:val="left"/>
            </w:pPr>
            <w:r>
              <w:rPr>
                <w:rFonts w:cstheme="minorHAnsi"/>
                <w:sz w:val="16"/>
                <w:szCs w:val="16"/>
              </w:rPr>
              <w:t>N</w:t>
            </w:r>
          </w:p>
        </w:tc>
        <w:tc>
          <w:tcPr>
            <w:tcW w:w="1967" w:type="dxa"/>
            <w:vAlign w:val="center"/>
          </w:tcPr>
          <w:p w14:paraId="1893FC60" w14:textId="77777777" w:rsidR="00672297" w:rsidRDefault="00A16EA3">
            <w:pPr>
              <w:spacing w:before="20" w:after="20"/>
              <w:jc w:val="left"/>
            </w:pPr>
            <w:r>
              <w:rPr>
                <w:rFonts w:cstheme="minorHAnsi"/>
                <w:sz w:val="16"/>
                <w:szCs w:val="16"/>
              </w:rPr>
              <w:t>[Total Planned Movement (bbl)]</w:t>
            </w:r>
          </w:p>
        </w:tc>
      </w:tr>
      <w:tr w:rsidR="00672297" w14:paraId="65D7CA5F" w14:textId="77777777">
        <w:trPr>
          <w:cantSplit/>
        </w:trPr>
        <w:tc>
          <w:tcPr>
            <w:tcW w:w="1404" w:type="dxa"/>
            <w:vAlign w:val="center"/>
          </w:tcPr>
          <w:p w14:paraId="0CCDCD36" w14:textId="77777777" w:rsidR="00672297" w:rsidRDefault="00A16EA3">
            <w:pPr>
              <w:spacing w:before="20" w:after="20"/>
              <w:jc w:val="left"/>
            </w:pPr>
            <w:r>
              <w:rPr>
                <w:rFonts w:cstheme="minorHAnsi"/>
                <w:sz w:val="16"/>
                <w:szCs w:val="16"/>
              </w:rPr>
              <w:t>KPI Card - Transmix</w:t>
            </w:r>
          </w:p>
        </w:tc>
        <w:tc>
          <w:tcPr>
            <w:tcW w:w="1310" w:type="dxa"/>
            <w:vAlign w:val="center"/>
          </w:tcPr>
          <w:p w14:paraId="4E465494" w14:textId="77777777" w:rsidR="00672297" w:rsidRDefault="00A16EA3">
            <w:pPr>
              <w:spacing w:before="20" w:after="20"/>
              <w:jc w:val="left"/>
            </w:pPr>
            <w:r>
              <w:rPr>
                <w:rFonts w:cstheme="minorHAnsi"/>
                <w:sz w:val="16"/>
                <w:szCs w:val="16"/>
              </w:rPr>
              <w:t>In-Transit / Scheduled / Total</w:t>
            </w:r>
          </w:p>
        </w:tc>
        <w:tc>
          <w:tcPr>
            <w:tcW w:w="1310" w:type="dxa"/>
            <w:vAlign w:val="center"/>
          </w:tcPr>
          <w:p w14:paraId="7B279050"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37D846D2" w14:textId="77777777" w:rsidR="00672297" w:rsidRDefault="00A16EA3">
            <w:pPr>
              <w:spacing w:before="20" w:after="20"/>
              <w:jc w:val="left"/>
            </w:pPr>
            <w:r>
              <w:rPr>
                <w:rFonts w:cstheme="minorHAnsi"/>
                <w:sz w:val="16"/>
                <w:szCs w:val="16"/>
              </w:rPr>
              <w:t>TransmixPotentialBbl</w:t>
            </w:r>
          </w:p>
        </w:tc>
        <w:tc>
          <w:tcPr>
            <w:tcW w:w="655" w:type="dxa"/>
            <w:vAlign w:val="center"/>
          </w:tcPr>
          <w:p w14:paraId="7F21C692" w14:textId="77777777" w:rsidR="00672297" w:rsidRDefault="00A16EA3">
            <w:pPr>
              <w:spacing w:before="20" w:after="20"/>
              <w:jc w:val="left"/>
            </w:pPr>
            <w:r>
              <w:rPr>
                <w:rFonts w:cstheme="minorHAnsi"/>
                <w:sz w:val="16"/>
                <w:szCs w:val="16"/>
              </w:rPr>
              <w:t>Y</w:t>
            </w:r>
          </w:p>
        </w:tc>
        <w:tc>
          <w:tcPr>
            <w:tcW w:w="655" w:type="dxa"/>
            <w:vAlign w:val="center"/>
          </w:tcPr>
          <w:p w14:paraId="4DCBB88A" w14:textId="77777777" w:rsidR="00672297" w:rsidRDefault="00A16EA3">
            <w:pPr>
              <w:spacing w:before="20" w:after="20"/>
              <w:jc w:val="left"/>
            </w:pPr>
            <w:r>
              <w:rPr>
                <w:rFonts w:cstheme="minorHAnsi"/>
                <w:sz w:val="16"/>
                <w:szCs w:val="16"/>
              </w:rPr>
              <w:t>N</w:t>
            </w:r>
          </w:p>
        </w:tc>
        <w:tc>
          <w:tcPr>
            <w:tcW w:w="655" w:type="dxa"/>
            <w:vAlign w:val="center"/>
          </w:tcPr>
          <w:p w14:paraId="1B735662" w14:textId="77777777" w:rsidR="00672297" w:rsidRDefault="00A16EA3">
            <w:pPr>
              <w:spacing w:before="20" w:after="20"/>
              <w:jc w:val="left"/>
            </w:pPr>
            <w:r>
              <w:rPr>
                <w:rFonts w:cstheme="minorHAnsi"/>
                <w:sz w:val="16"/>
                <w:szCs w:val="16"/>
              </w:rPr>
              <w:t>N</w:t>
            </w:r>
          </w:p>
        </w:tc>
        <w:tc>
          <w:tcPr>
            <w:tcW w:w="1967" w:type="dxa"/>
            <w:vAlign w:val="center"/>
          </w:tcPr>
          <w:p w14:paraId="32C5B5AF" w14:textId="77777777" w:rsidR="00672297" w:rsidRDefault="00A16EA3">
            <w:pPr>
              <w:spacing w:before="20" w:after="20"/>
              <w:jc w:val="left"/>
            </w:pPr>
            <w:r>
              <w:rPr>
                <w:rFonts w:cstheme="minorHAnsi"/>
                <w:sz w:val="16"/>
                <w:szCs w:val="16"/>
              </w:rPr>
              <w:t>[Transmix Potential (bbl)] by status</w:t>
            </w:r>
          </w:p>
        </w:tc>
      </w:tr>
      <w:tr w:rsidR="00672297" w14:paraId="646D7A8A" w14:textId="77777777">
        <w:trPr>
          <w:cantSplit/>
        </w:trPr>
        <w:tc>
          <w:tcPr>
            <w:tcW w:w="1404" w:type="dxa"/>
            <w:vAlign w:val="center"/>
          </w:tcPr>
          <w:p w14:paraId="227B8983" w14:textId="77777777" w:rsidR="00672297" w:rsidRDefault="00A16EA3">
            <w:pPr>
              <w:spacing w:before="20" w:after="20"/>
              <w:jc w:val="left"/>
            </w:pPr>
            <w:r>
              <w:rPr>
                <w:rFonts w:cstheme="minorHAnsi"/>
                <w:sz w:val="16"/>
                <w:szCs w:val="16"/>
              </w:rPr>
              <w:t>KPI Card - Ethanol</w:t>
            </w:r>
          </w:p>
        </w:tc>
        <w:tc>
          <w:tcPr>
            <w:tcW w:w="1310" w:type="dxa"/>
            <w:vAlign w:val="center"/>
          </w:tcPr>
          <w:p w14:paraId="785728C0" w14:textId="77777777" w:rsidR="00672297" w:rsidRDefault="00A16EA3">
            <w:pPr>
              <w:spacing w:before="20" w:after="20"/>
              <w:jc w:val="left"/>
            </w:pPr>
            <w:r>
              <w:rPr>
                <w:rFonts w:cstheme="minorHAnsi"/>
                <w:sz w:val="16"/>
                <w:szCs w:val="16"/>
              </w:rPr>
              <w:t>In-Transit / Scheduled / Total</w:t>
            </w:r>
          </w:p>
        </w:tc>
        <w:tc>
          <w:tcPr>
            <w:tcW w:w="1310" w:type="dxa"/>
            <w:vAlign w:val="center"/>
          </w:tcPr>
          <w:p w14:paraId="42C33680"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560EA3F1" w14:textId="77777777" w:rsidR="00672297" w:rsidRDefault="00A16EA3">
            <w:pPr>
              <w:spacing w:before="20" w:after="20"/>
              <w:jc w:val="left"/>
            </w:pPr>
            <w:r>
              <w:rPr>
                <w:rFonts w:cstheme="minorHAnsi"/>
                <w:sz w:val="16"/>
                <w:szCs w:val="16"/>
              </w:rPr>
              <w:t>EthanolRequirementBbl</w:t>
            </w:r>
          </w:p>
        </w:tc>
        <w:tc>
          <w:tcPr>
            <w:tcW w:w="655" w:type="dxa"/>
            <w:vAlign w:val="center"/>
          </w:tcPr>
          <w:p w14:paraId="0AB42D6B" w14:textId="77777777" w:rsidR="00672297" w:rsidRDefault="00A16EA3">
            <w:pPr>
              <w:spacing w:before="20" w:after="20"/>
              <w:jc w:val="left"/>
            </w:pPr>
            <w:r>
              <w:rPr>
                <w:rFonts w:cstheme="minorHAnsi"/>
                <w:sz w:val="16"/>
                <w:szCs w:val="16"/>
              </w:rPr>
              <w:t>Y</w:t>
            </w:r>
          </w:p>
        </w:tc>
        <w:tc>
          <w:tcPr>
            <w:tcW w:w="655" w:type="dxa"/>
            <w:vAlign w:val="center"/>
          </w:tcPr>
          <w:p w14:paraId="3D3F25AF" w14:textId="77777777" w:rsidR="00672297" w:rsidRDefault="00A16EA3">
            <w:pPr>
              <w:spacing w:before="20" w:after="20"/>
              <w:jc w:val="left"/>
            </w:pPr>
            <w:r>
              <w:rPr>
                <w:rFonts w:cstheme="minorHAnsi"/>
                <w:sz w:val="16"/>
                <w:szCs w:val="16"/>
              </w:rPr>
              <w:t>N</w:t>
            </w:r>
          </w:p>
        </w:tc>
        <w:tc>
          <w:tcPr>
            <w:tcW w:w="655" w:type="dxa"/>
            <w:vAlign w:val="center"/>
          </w:tcPr>
          <w:p w14:paraId="3A956CD0" w14:textId="77777777" w:rsidR="00672297" w:rsidRDefault="00A16EA3">
            <w:pPr>
              <w:spacing w:before="20" w:after="20"/>
              <w:jc w:val="left"/>
            </w:pPr>
            <w:r>
              <w:rPr>
                <w:rFonts w:cstheme="minorHAnsi"/>
                <w:sz w:val="16"/>
                <w:szCs w:val="16"/>
              </w:rPr>
              <w:t>N</w:t>
            </w:r>
          </w:p>
        </w:tc>
        <w:tc>
          <w:tcPr>
            <w:tcW w:w="1967" w:type="dxa"/>
            <w:vAlign w:val="center"/>
          </w:tcPr>
          <w:p w14:paraId="117C30EC" w14:textId="77777777" w:rsidR="00672297" w:rsidRDefault="00A16EA3">
            <w:pPr>
              <w:spacing w:before="20" w:after="20"/>
              <w:jc w:val="left"/>
            </w:pPr>
            <w:r>
              <w:rPr>
                <w:rFonts w:cstheme="minorHAnsi"/>
                <w:sz w:val="16"/>
                <w:szCs w:val="16"/>
              </w:rPr>
              <w:t>[Ethanol Requirement (bbl)] by status</w:t>
            </w:r>
          </w:p>
        </w:tc>
      </w:tr>
      <w:tr w:rsidR="00672297" w14:paraId="40B665BB" w14:textId="77777777">
        <w:trPr>
          <w:cantSplit/>
        </w:trPr>
        <w:tc>
          <w:tcPr>
            <w:tcW w:w="1404" w:type="dxa"/>
            <w:vAlign w:val="center"/>
          </w:tcPr>
          <w:p w14:paraId="5702F1CC" w14:textId="77777777" w:rsidR="00672297" w:rsidRDefault="00A16EA3">
            <w:pPr>
              <w:spacing w:before="20" w:after="20"/>
              <w:jc w:val="left"/>
            </w:pPr>
            <w:r>
              <w:rPr>
                <w:rFonts w:cstheme="minorHAnsi"/>
                <w:sz w:val="16"/>
                <w:szCs w:val="16"/>
              </w:rPr>
              <w:t>KPI Card - Volume Expansion</w:t>
            </w:r>
          </w:p>
        </w:tc>
        <w:tc>
          <w:tcPr>
            <w:tcW w:w="1310" w:type="dxa"/>
            <w:vAlign w:val="center"/>
          </w:tcPr>
          <w:p w14:paraId="27030E01" w14:textId="77777777" w:rsidR="00672297" w:rsidRDefault="00A16EA3">
            <w:pPr>
              <w:spacing w:before="20" w:after="20"/>
              <w:jc w:val="left"/>
            </w:pPr>
            <w:r>
              <w:rPr>
                <w:rFonts w:cstheme="minorHAnsi"/>
                <w:sz w:val="16"/>
                <w:szCs w:val="16"/>
              </w:rPr>
              <w:t>In-Transit / Scheduled / Total (bbl, %)</w:t>
            </w:r>
          </w:p>
        </w:tc>
        <w:tc>
          <w:tcPr>
            <w:tcW w:w="1310" w:type="dxa"/>
            <w:vAlign w:val="center"/>
          </w:tcPr>
          <w:p w14:paraId="3B3D0F9C"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308CA5F2" w14:textId="77777777" w:rsidR="00672297" w:rsidRDefault="00A16EA3">
            <w:pPr>
              <w:spacing w:before="20" w:after="20"/>
              <w:jc w:val="left"/>
            </w:pPr>
            <w:r>
              <w:rPr>
                <w:rFonts w:cstheme="minorHAnsi"/>
                <w:sz w:val="16"/>
                <w:szCs w:val="16"/>
              </w:rPr>
              <w:t>VolumeExpansionBbl, BatchVolumeBbl</w:t>
            </w:r>
          </w:p>
        </w:tc>
        <w:tc>
          <w:tcPr>
            <w:tcW w:w="655" w:type="dxa"/>
            <w:vAlign w:val="center"/>
          </w:tcPr>
          <w:p w14:paraId="1EC6F953" w14:textId="77777777" w:rsidR="00672297" w:rsidRDefault="00A16EA3">
            <w:pPr>
              <w:spacing w:before="20" w:after="20"/>
              <w:jc w:val="left"/>
            </w:pPr>
            <w:r>
              <w:rPr>
                <w:rFonts w:cstheme="minorHAnsi"/>
                <w:sz w:val="16"/>
                <w:szCs w:val="16"/>
              </w:rPr>
              <w:t>Y</w:t>
            </w:r>
          </w:p>
        </w:tc>
        <w:tc>
          <w:tcPr>
            <w:tcW w:w="655" w:type="dxa"/>
            <w:vAlign w:val="center"/>
          </w:tcPr>
          <w:p w14:paraId="5257B8C6" w14:textId="77777777" w:rsidR="00672297" w:rsidRDefault="00A16EA3">
            <w:pPr>
              <w:spacing w:before="20" w:after="20"/>
              <w:jc w:val="left"/>
            </w:pPr>
            <w:r>
              <w:rPr>
                <w:rFonts w:cstheme="minorHAnsi"/>
                <w:sz w:val="16"/>
                <w:szCs w:val="16"/>
              </w:rPr>
              <w:t>N</w:t>
            </w:r>
          </w:p>
        </w:tc>
        <w:tc>
          <w:tcPr>
            <w:tcW w:w="655" w:type="dxa"/>
            <w:vAlign w:val="center"/>
          </w:tcPr>
          <w:p w14:paraId="0A5852AF" w14:textId="77777777" w:rsidR="00672297" w:rsidRDefault="00A16EA3">
            <w:pPr>
              <w:spacing w:before="20" w:after="20"/>
              <w:jc w:val="left"/>
            </w:pPr>
            <w:r>
              <w:rPr>
                <w:rFonts w:cstheme="minorHAnsi"/>
                <w:sz w:val="16"/>
                <w:szCs w:val="16"/>
              </w:rPr>
              <w:t>N</w:t>
            </w:r>
          </w:p>
        </w:tc>
        <w:tc>
          <w:tcPr>
            <w:tcW w:w="1967" w:type="dxa"/>
            <w:vAlign w:val="center"/>
          </w:tcPr>
          <w:p w14:paraId="7968B360" w14:textId="77777777" w:rsidR="00672297" w:rsidRDefault="00A16EA3">
            <w:pPr>
              <w:spacing w:before="20" w:after="20"/>
              <w:jc w:val="left"/>
            </w:pPr>
            <w:r>
              <w:rPr>
                <w:rFonts w:cstheme="minorHAnsi"/>
                <w:sz w:val="16"/>
                <w:szCs w:val="16"/>
              </w:rPr>
              <w:t>[Volume Expansion (bbl)], [Volume Expansion %]</w:t>
            </w:r>
          </w:p>
        </w:tc>
      </w:tr>
      <w:tr w:rsidR="00672297" w14:paraId="209892AB" w14:textId="77777777">
        <w:trPr>
          <w:cantSplit/>
        </w:trPr>
        <w:tc>
          <w:tcPr>
            <w:tcW w:w="1404" w:type="dxa"/>
            <w:vAlign w:val="center"/>
          </w:tcPr>
          <w:p w14:paraId="30699A84" w14:textId="77777777" w:rsidR="00672297" w:rsidRDefault="00A16EA3">
            <w:pPr>
              <w:spacing w:before="20" w:after="20"/>
              <w:jc w:val="left"/>
            </w:pPr>
            <w:r>
              <w:rPr>
                <w:rFonts w:cstheme="minorHAnsi"/>
                <w:sz w:val="16"/>
                <w:szCs w:val="16"/>
              </w:rPr>
              <w:t>Terminal-wise charts (3)</w:t>
            </w:r>
          </w:p>
        </w:tc>
        <w:tc>
          <w:tcPr>
            <w:tcW w:w="1310" w:type="dxa"/>
            <w:vAlign w:val="center"/>
          </w:tcPr>
          <w:p w14:paraId="5E597CCA" w14:textId="77777777" w:rsidR="00672297" w:rsidRDefault="00A16EA3">
            <w:pPr>
              <w:spacing w:before="20" w:after="20"/>
              <w:jc w:val="left"/>
            </w:pPr>
            <w:r>
              <w:rPr>
                <w:rFonts w:cstheme="minorHAnsi"/>
                <w:sz w:val="16"/>
                <w:szCs w:val="16"/>
              </w:rPr>
              <w:t>Terminal &gt; Batch ID (axis)</w:t>
            </w:r>
          </w:p>
        </w:tc>
        <w:tc>
          <w:tcPr>
            <w:tcW w:w="1310" w:type="dxa"/>
            <w:vAlign w:val="center"/>
          </w:tcPr>
          <w:p w14:paraId="2A152C1F"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094A79D5" w14:textId="77777777" w:rsidR="00672297" w:rsidRDefault="00A16EA3">
            <w:pPr>
              <w:spacing w:before="20" w:after="20"/>
              <w:jc w:val="left"/>
            </w:pPr>
            <w:r>
              <w:rPr>
                <w:rFonts w:cstheme="minorHAnsi"/>
                <w:sz w:val="16"/>
                <w:szCs w:val="16"/>
              </w:rPr>
              <w:t>DestinationShortName / BatchID</w:t>
            </w:r>
          </w:p>
        </w:tc>
        <w:tc>
          <w:tcPr>
            <w:tcW w:w="655" w:type="dxa"/>
            <w:vAlign w:val="center"/>
          </w:tcPr>
          <w:p w14:paraId="09308852" w14:textId="77777777" w:rsidR="00672297" w:rsidRDefault="00A16EA3">
            <w:pPr>
              <w:spacing w:before="20" w:after="20"/>
              <w:jc w:val="left"/>
            </w:pPr>
            <w:r>
              <w:rPr>
                <w:rFonts w:cstheme="minorHAnsi"/>
                <w:sz w:val="16"/>
                <w:szCs w:val="16"/>
              </w:rPr>
              <w:t>N</w:t>
            </w:r>
          </w:p>
        </w:tc>
        <w:tc>
          <w:tcPr>
            <w:tcW w:w="655" w:type="dxa"/>
            <w:vAlign w:val="center"/>
          </w:tcPr>
          <w:p w14:paraId="25EA5E26" w14:textId="77777777" w:rsidR="00672297" w:rsidRDefault="00A16EA3">
            <w:pPr>
              <w:spacing w:before="20" w:after="20"/>
              <w:jc w:val="left"/>
            </w:pPr>
            <w:r>
              <w:rPr>
                <w:rFonts w:cstheme="minorHAnsi"/>
                <w:sz w:val="16"/>
                <w:szCs w:val="16"/>
              </w:rPr>
              <w:t>N</w:t>
            </w:r>
          </w:p>
        </w:tc>
        <w:tc>
          <w:tcPr>
            <w:tcW w:w="655" w:type="dxa"/>
            <w:vAlign w:val="center"/>
          </w:tcPr>
          <w:p w14:paraId="2B2A9FAA" w14:textId="77777777" w:rsidR="00672297" w:rsidRDefault="00A16EA3">
            <w:pPr>
              <w:spacing w:before="20" w:after="20"/>
              <w:jc w:val="left"/>
            </w:pPr>
            <w:r>
              <w:rPr>
                <w:rFonts w:cstheme="minorHAnsi"/>
                <w:sz w:val="16"/>
                <w:szCs w:val="16"/>
              </w:rPr>
              <w:t>Y</w:t>
            </w:r>
          </w:p>
        </w:tc>
        <w:tc>
          <w:tcPr>
            <w:tcW w:w="1967" w:type="dxa"/>
            <w:vAlign w:val="center"/>
          </w:tcPr>
          <w:p w14:paraId="1D3BF7A7" w14:textId="77777777" w:rsidR="00672297" w:rsidRDefault="00A16EA3">
            <w:pPr>
              <w:spacing w:before="20" w:after="20"/>
              <w:jc w:val="left"/>
            </w:pPr>
            <w:r>
              <w:rPr>
                <w:rFonts w:cstheme="minorHAnsi"/>
                <w:sz w:val="16"/>
                <w:szCs w:val="16"/>
              </w:rPr>
              <w:t>Drill-down hierarchy</w:t>
            </w:r>
          </w:p>
        </w:tc>
      </w:tr>
      <w:tr w:rsidR="00672297" w14:paraId="67F0D22C" w14:textId="77777777">
        <w:trPr>
          <w:cantSplit/>
        </w:trPr>
        <w:tc>
          <w:tcPr>
            <w:tcW w:w="1404" w:type="dxa"/>
            <w:vAlign w:val="center"/>
          </w:tcPr>
          <w:p w14:paraId="183F6B29" w14:textId="77777777" w:rsidR="00672297" w:rsidRDefault="00A16EA3">
            <w:pPr>
              <w:spacing w:before="20" w:after="20"/>
              <w:jc w:val="left"/>
            </w:pPr>
            <w:r>
              <w:rPr>
                <w:rFonts w:cstheme="minorHAnsi"/>
                <w:sz w:val="16"/>
                <w:szCs w:val="16"/>
              </w:rPr>
              <w:t>Terminal-wise charts (3)</w:t>
            </w:r>
          </w:p>
        </w:tc>
        <w:tc>
          <w:tcPr>
            <w:tcW w:w="1310" w:type="dxa"/>
            <w:vAlign w:val="center"/>
          </w:tcPr>
          <w:p w14:paraId="53FED0D8" w14:textId="77777777" w:rsidR="00672297" w:rsidRDefault="00A16EA3">
            <w:pPr>
              <w:spacing w:before="20" w:after="20"/>
              <w:jc w:val="left"/>
            </w:pPr>
            <w:r>
              <w:rPr>
                <w:rFonts w:cstheme="minorHAnsi"/>
                <w:sz w:val="16"/>
                <w:szCs w:val="16"/>
              </w:rPr>
              <w:t>Status (legend)</w:t>
            </w:r>
          </w:p>
        </w:tc>
        <w:tc>
          <w:tcPr>
            <w:tcW w:w="1310" w:type="dxa"/>
            <w:vAlign w:val="center"/>
          </w:tcPr>
          <w:p w14:paraId="719EDD36"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76994C49" w14:textId="77777777" w:rsidR="00672297" w:rsidRDefault="00A16EA3">
            <w:pPr>
              <w:spacing w:before="20" w:after="20"/>
              <w:jc w:val="left"/>
            </w:pPr>
            <w:r>
              <w:rPr>
                <w:rFonts w:cstheme="minorHAnsi"/>
                <w:sz w:val="16"/>
                <w:szCs w:val="16"/>
              </w:rPr>
              <w:t>BatchStatus</w:t>
            </w:r>
          </w:p>
        </w:tc>
        <w:tc>
          <w:tcPr>
            <w:tcW w:w="655" w:type="dxa"/>
            <w:vAlign w:val="center"/>
          </w:tcPr>
          <w:p w14:paraId="72108D78" w14:textId="77777777" w:rsidR="00672297" w:rsidRDefault="00A16EA3">
            <w:pPr>
              <w:spacing w:before="20" w:after="20"/>
              <w:jc w:val="left"/>
            </w:pPr>
            <w:r>
              <w:rPr>
                <w:rFonts w:cstheme="minorHAnsi"/>
                <w:sz w:val="16"/>
                <w:szCs w:val="16"/>
              </w:rPr>
              <w:t>N</w:t>
            </w:r>
          </w:p>
        </w:tc>
        <w:tc>
          <w:tcPr>
            <w:tcW w:w="655" w:type="dxa"/>
            <w:vAlign w:val="center"/>
          </w:tcPr>
          <w:p w14:paraId="001025AA" w14:textId="77777777" w:rsidR="00672297" w:rsidRDefault="00A16EA3">
            <w:pPr>
              <w:spacing w:before="20" w:after="20"/>
              <w:jc w:val="left"/>
            </w:pPr>
            <w:r>
              <w:rPr>
                <w:rFonts w:cstheme="minorHAnsi"/>
                <w:sz w:val="16"/>
                <w:szCs w:val="16"/>
              </w:rPr>
              <w:t>N</w:t>
            </w:r>
          </w:p>
        </w:tc>
        <w:tc>
          <w:tcPr>
            <w:tcW w:w="655" w:type="dxa"/>
            <w:vAlign w:val="center"/>
          </w:tcPr>
          <w:p w14:paraId="0681A1FC" w14:textId="77777777" w:rsidR="00672297" w:rsidRDefault="00A16EA3">
            <w:pPr>
              <w:spacing w:before="20" w:after="20"/>
              <w:jc w:val="left"/>
            </w:pPr>
            <w:r>
              <w:rPr>
                <w:rFonts w:cstheme="minorHAnsi"/>
                <w:sz w:val="16"/>
                <w:szCs w:val="16"/>
              </w:rPr>
              <w:t>Y</w:t>
            </w:r>
          </w:p>
        </w:tc>
        <w:tc>
          <w:tcPr>
            <w:tcW w:w="1967" w:type="dxa"/>
            <w:vAlign w:val="center"/>
          </w:tcPr>
          <w:p w14:paraId="362FEF01" w14:textId="77777777" w:rsidR="00672297" w:rsidRDefault="00672297">
            <w:pPr>
              <w:spacing w:before="20" w:after="20"/>
              <w:jc w:val="left"/>
            </w:pPr>
          </w:p>
        </w:tc>
      </w:tr>
      <w:tr w:rsidR="00672297" w14:paraId="2732E015" w14:textId="77777777">
        <w:trPr>
          <w:cantSplit/>
        </w:trPr>
        <w:tc>
          <w:tcPr>
            <w:tcW w:w="1404" w:type="dxa"/>
            <w:vAlign w:val="center"/>
          </w:tcPr>
          <w:p w14:paraId="1CBBBD53" w14:textId="77777777" w:rsidR="00672297" w:rsidRDefault="00A16EA3">
            <w:pPr>
              <w:spacing w:before="20" w:after="20"/>
              <w:jc w:val="left"/>
            </w:pPr>
            <w:r>
              <w:rPr>
                <w:rFonts w:cstheme="minorHAnsi"/>
                <w:sz w:val="16"/>
                <w:szCs w:val="16"/>
              </w:rPr>
              <w:t>Terminal-wise charts (3)</w:t>
            </w:r>
          </w:p>
        </w:tc>
        <w:tc>
          <w:tcPr>
            <w:tcW w:w="1310" w:type="dxa"/>
            <w:vAlign w:val="center"/>
          </w:tcPr>
          <w:p w14:paraId="695ADCBC" w14:textId="77777777" w:rsidR="00672297" w:rsidRDefault="00A16EA3">
            <w:pPr>
              <w:spacing w:before="20" w:after="20"/>
              <w:jc w:val="left"/>
            </w:pPr>
            <w:r>
              <w:rPr>
                <w:rFonts w:cstheme="minorHAnsi"/>
                <w:sz w:val="16"/>
                <w:szCs w:val="16"/>
              </w:rPr>
              <w:t>Value</w:t>
            </w:r>
          </w:p>
        </w:tc>
        <w:tc>
          <w:tcPr>
            <w:tcW w:w="1310" w:type="dxa"/>
            <w:vAlign w:val="center"/>
          </w:tcPr>
          <w:p w14:paraId="5DD3125B"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057402C8" w14:textId="77777777" w:rsidR="00672297" w:rsidRDefault="00A16EA3">
            <w:pPr>
              <w:spacing w:before="20" w:after="20"/>
              <w:jc w:val="left"/>
            </w:pPr>
            <w:r>
              <w:rPr>
                <w:rFonts w:cstheme="minorHAnsi"/>
                <w:sz w:val="16"/>
                <w:szCs w:val="16"/>
              </w:rPr>
              <w:t>ButanePotentialBbl / TransmixPotentialBbl / EthanolRequirementBbl</w:t>
            </w:r>
          </w:p>
        </w:tc>
        <w:tc>
          <w:tcPr>
            <w:tcW w:w="655" w:type="dxa"/>
            <w:vAlign w:val="center"/>
          </w:tcPr>
          <w:p w14:paraId="4E9B5E57" w14:textId="77777777" w:rsidR="00672297" w:rsidRDefault="00A16EA3">
            <w:pPr>
              <w:spacing w:before="20" w:after="20"/>
              <w:jc w:val="left"/>
            </w:pPr>
            <w:r>
              <w:rPr>
                <w:rFonts w:cstheme="minorHAnsi"/>
                <w:sz w:val="16"/>
                <w:szCs w:val="16"/>
              </w:rPr>
              <w:t>Y</w:t>
            </w:r>
          </w:p>
        </w:tc>
        <w:tc>
          <w:tcPr>
            <w:tcW w:w="655" w:type="dxa"/>
            <w:vAlign w:val="center"/>
          </w:tcPr>
          <w:p w14:paraId="397F0579" w14:textId="77777777" w:rsidR="00672297" w:rsidRDefault="00A16EA3">
            <w:pPr>
              <w:spacing w:before="20" w:after="20"/>
              <w:jc w:val="left"/>
            </w:pPr>
            <w:r>
              <w:rPr>
                <w:rFonts w:cstheme="minorHAnsi"/>
                <w:sz w:val="16"/>
                <w:szCs w:val="16"/>
              </w:rPr>
              <w:t>N</w:t>
            </w:r>
          </w:p>
        </w:tc>
        <w:tc>
          <w:tcPr>
            <w:tcW w:w="655" w:type="dxa"/>
            <w:vAlign w:val="center"/>
          </w:tcPr>
          <w:p w14:paraId="5901D2F0" w14:textId="77777777" w:rsidR="00672297" w:rsidRDefault="00A16EA3">
            <w:pPr>
              <w:spacing w:before="20" w:after="20"/>
              <w:jc w:val="left"/>
            </w:pPr>
            <w:r>
              <w:rPr>
                <w:rFonts w:cstheme="minorHAnsi"/>
                <w:sz w:val="16"/>
                <w:szCs w:val="16"/>
              </w:rPr>
              <w:t>N</w:t>
            </w:r>
          </w:p>
        </w:tc>
        <w:tc>
          <w:tcPr>
            <w:tcW w:w="1967" w:type="dxa"/>
            <w:vAlign w:val="center"/>
          </w:tcPr>
          <w:p w14:paraId="3606352D" w14:textId="77777777" w:rsidR="00672297" w:rsidRDefault="00A16EA3">
            <w:pPr>
              <w:spacing w:before="20" w:after="20"/>
              <w:jc w:val="left"/>
            </w:pPr>
            <w:r>
              <w:rPr>
                <w:rFonts w:cstheme="minorHAnsi"/>
                <w:sz w:val="16"/>
                <w:szCs w:val="16"/>
              </w:rPr>
              <w:t>One measure per chart</w:t>
            </w:r>
          </w:p>
        </w:tc>
      </w:tr>
      <w:tr w:rsidR="00672297" w14:paraId="4EF45CDA" w14:textId="77777777">
        <w:trPr>
          <w:cantSplit/>
        </w:trPr>
        <w:tc>
          <w:tcPr>
            <w:tcW w:w="1404" w:type="dxa"/>
            <w:vAlign w:val="center"/>
          </w:tcPr>
          <w:p w14:paraId="65CB4C36" w14:textId="77777777" w:rsidR="00672297" w:rsidRDefault="00A16EA3">
            <w:pPr>
              <w:spacing w:before="20" w:after="20"/>
              <w:jc w:val="left"/>
            </w:pPr>
            <w:r>
              <w:rPr>
                <w:rFonts w:cstheme="minorHAnsi"/>
                <w:sz w:val="16"/>
                <w:szCs w:val="16"/>
              </w:rPr>
              <w:t>Batch table</w:t>
            </w:r>
          </w:p>
        </w:tc>
        <w:tc>
          <w:tcPr>
            <w:tcW w:w="1310" w:type="dxa"/>
            <w:vAlign w:val="center"/>
          </w:tcPr>
          <w:p w14:paraId="43379181" w14:textId="77777777" w:rsidR="00672297" w:rsidRDefault="00A16EA3">
            <w:pPr>
              <w:spacing w:before="20" w:after="20"/>
              <w:jc w:val="left"/>
            </w:pPr>
            <w:r>
              <w:rPr>
                <w:rFonts w:cstheme="minorHAnsi"/>
                <w:sz w:val="16"/>
                <w:szCs w:val="16"/>
              </w:rPr>
              <w:t>Check</w:t>
            </w:r>
          </w:p>
        </w:tc>
        <w:tc>
          <w:tcPr>
            <w:tcW w:w="1310" w:type="dxa"/>
            <w:vAlign w:val="center"/>
          </w:tcPr>
          <w:p w14:paraId="45D5CC31"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360754D5" w14:textId="77777777" w:rsidR="00672297" w:rsidRDefault="00A16EA3">
            <w:pPr>
              <w:spacing w:before="20" w:after="20"/>
              <w:jc w:val="left"/>
            </w:pPr>
            <w:r>
              <w:rPr>
                <w:rFonts w:cstheme="minorHAnsi"/>
                <w:sz w:val="16"/>
                <w:szCs w:val="16"/>
              </w:rPr>
              <w:t>BatchID</w:t>
            </w:r>
          </w:p>
        </w:tc>
        <w:tc>
          <w:tcPr>
            <w:tcW w:w="655" w:type="dxa"/>
            <w:vAlign w:val="center"/>
          </w:tcPr>
          <w:p w14:paraId="524E51D5" w14:textId="77777777" w:rsidR="00672297" w:rsidRDefault="00A16EA3">
            <w:pPr>
              <w:spacing w:before="20" w:after="20"/>
              <w:jc w:val="left"/>
            </w:pPr>
            <w:r>
              <w:rPr>
                <w:rFonts w:cstheme="minorHAnsi"/>
                <w:sz w:val="16"/>
                <w:szCs w:val="16"/>
              </w:rPr>
              <w:t>N</w:t>
            </w:r>
          </w:p>
        </w:tc>
        <w:tc>
          <w:tcPr>
            <w:tcW w:w="655" w:type="dxa"/>
            <w:vAlign w:val="center"/>
          </w:tcPr>
          <w:p w14:paraId="21A64C25" w14:textId="77777777" w:rsidR="00672297" w:rsidRDefault="00A16EA3">
            <w:pPr>
              <w:spacing w:before="20" w:after="20"/>
              <w:jc w:val="left"/>
            </w:pPr>
            <w:r>
              <w:rPr>
                <w:rFonts w:cstheme="minorHAnsi"/>
                <w:sz w:val="16"/>
                <w:szCs w:val="16"/>
              </w:rPr>
              <w:t>Y</w:t>
            </w:r>
          </w:p>
        </w:tc>
        <w:tc>
          <w:tcPr>
            <w:tcW w:w="655" w:type="dxa"/>
            <w:vAlign w:val="center"/>
          </w:tcPr>
          <w:p w14:paraId="03C3F346" w14:textId="77777777" w:rsidR="00672297" w:rsidRDefault="00A16EA3">
            <w:pPr>
              <w:spacing w:before="20" w:after="20"/>
              <w:jc w:val="left"/>
            </w:pPr>
            <w:r>
              <w:rPr>
                <w:rFonts w:cstheme="minorHAnsi"/>
                <w:sz w:val="16"/>
                <w:szCs w:val="16"/>
              </w:rPr>
              <w:t>Y</w:t>
            </w:r>
          </w:p>
        </w:tc>
        <w:tc>
          <w:tcPr>
            <w:tcW w:w="1967" w:type="dxa"/>
            <w:vAlign w:val="center"/>
          </w:tcPr>
          <w:p w14:paraId="0F587104" w14:textId="77777777" w:rsidR="00672297" w:rsidRDefault="00A16EA3">
            <w:pPr>
              <w:spacing w:before="20" w:after="20"/>
              <w:jc w:val="left"/>
            </w:pPr>
            <w:r>
              <w:rPr>
                <w:rFonts w:cstheme="minorHAnsi"/>
                <w:sz w:val="16"/>
                <w:szCs w:val="16"/>
              </w:rPr>
              <w:t>Batch ID selection slicer</w:t>
            </w:r>
          </w:p>
        </w:tc>
      </w:tr>
      <w:tr w:rsidR="00672297" w14:paraId="069C6E86" w14:textId="77777777">
        <w:trPr>
          <w:cantSplit/>
        </w:trPr>
        <w:tc>
          <w:tcPr>
            <w:tcW w:w="1404" w:type="dxa"/>
            <w:vAlign w:val="center"/>
          </w:tcPr>
          <w:p w14:paraId="0F9AEC18" w14:textId="77777777" w:rsidR="00672297" w:rsidRDefault="00A16EA3">
            <w:pPr>
              <w:spacing w:before="20" w:after="20"/>
              <w:jc w:val="left"/>
            </w:pPr>
            <w:r>
              <w:rPr>
                <w:rFonts w:cstheme="minorHAnsi"/>
                <w:sz w:val="16"/>
                <w:szCs w:val="16"/>
              </w:rPr>
              <w:t>Batch table</w:t>
            </w:r>
          </w:p>
        </w:tc>
        <w:tc>
          <w:tcPr>
            <w:tcW w:w="1310" w:type="dxa"/>
            <w:vAlign w:val="center"/>
          </w:tcPr>
          <w:p w14:paraId="4560007A" w14:textId="77777777" w:rsidR="00672297" w:rsidRDefault="00A16EA3">
            <w:pPr>
              <w:spacing w:before="20" w:after="20"/>
              <w:jc w:val="left"/>
            </w:pPr>
            <w:r>
              <w:rPr>
                <w:rFonts w:cstheme="minorHAnsi"/>
                <w:sz w:val="16"/>
                <w:szCs w:val="16"/>
              </w:rPr>
              <w:t>Batch ID, Status, Product Name, Source, Destination</w:t>
            </w:r>
          </w:p>
        </w:tc>
        <w:tc>
          <w:tcPr>
            <w:tcW w:w="1310" w:type="dxa"/>
            <w:vAlign w:val="center"/>
          </w:tcPr>
          <w:p w14:paraId="0EFF2529"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6D414B64" w14:textId="77777777" w:rsidR="00672297" w:rsidRDefault="00A16EA3">
            <w:pPr>
              <w:spacing w:before="20" w:after="20"/>
              <w:jc w:val="left"/>
            </w:pPr>
            <w:r>
              <w:rPr>
                <w:rFonts w:cstheme="minorHAnsi"/>
                <w:sz w:val="16"/>
                <w:szCs w:val="16"/>
              </w:rPr>
              <w:t>BatchID, StatusCode, ProductName, Source, Destination</w:t>
            </w:r>
          </w:p>
        </w:tc>
        <w:tc>
          <w:tcPr>
            <w:tcW w:w="655" w:type="dxa"/>
            <w:vAlign w:val="center"/>
          </w:tcPr>
          <w:p w14:paraId="7CF62FB0" w14:textId="77777777" w:rsidR="00672297" w:rsidRDefault="00A16EA3">
            <w:pPr>
              <w:spacing w:before="20" w:after="20"/>
              <w:jc w:val="left"/>
            </w:pPr>
            <w:r>
              <w:rPr>
                <w:rFonts w:cstheme="minorHAnsi"/>
                <w:sz w:val="16"/>
                <w:szCs w:val="16"/>
              </w:rPr>
              <w:t>N</w:t>
            </w:r>
          </w:p>
        </w:tc>
        <w:tc>
          <w:tcPr>
            <w:tcW w:w="655" w:type="dxa"/>
            <w:vAlign w:val="center"/>
          </w:tcPr>
          <w:p w14:paraId="0B907697" w14:textId="77777777" w:rsidR="00672297" w:rsidRDefault="00A16EA3">
            <w:pPr>
              <w:spacing w:before="20" w:after="20"/>
              <w:jc w:val="left"/>
            </w:pPr>
            <w:r>
              <w:rPr>
                <w:rFonts w:cstheme="minorHAnsi"/>
                <w:sz w:val="16"/>
                <w:szCs w:val="16"/>
              </w:rPr>
              <w:t>N</w:t>
            </w:r>
          </w:p>
        </w:tc>
        <w:tc>
          <w:tcPr>
            <w:tcW w:w="655" w:type="dxa"/>
            <w:vAlign w:val="center"/>
          </w:tcPr>
          <w:p w14:paraId="402237E0" w14:textId="77777777" w:rsidR="00672297" w:rsidRDefault="00A16EA3">
            <w:pPr>
              <w:spacing w:before="20" w:after="20"/>
              <w:jc w:val="left"/>
            </w:pPr>
            <w:r>
              <w:rPr>
                <w:rFonts w:cstheme="minorHAnsi"/>
                <w:sz w:val="16"/>
                <w:szCs w:val="16"/>
              </w:rPr>
              <w:t>Y</w:t>
            </w:r>
          </w:p>
        </w:tc>
        <w:tc>
          <w:tcPr>
            <w:tcW w:w="1967" w:type="dxa"/>
            <w:vAlign w:val="center"/>
          </w:tcPr>
          <w:p w14:paraId="7BC66EFA" w14:textId="77777777" w:rsidR="00672297" w:rsidRDefault="00672297">
            <w:pPr>
              <w:spacing w:before="20" w:after="20"/>
              <w:jc w:val="left"/>
            </w:pPr>
          </w:p>
        </w:tc>
      </w:tr>
      <w:tr w:rsidR="00672297" w14:paraId="32C9871F" w14:textId="77777777">
        <w:trPr>
          <w:cantSplit/>
        </w:trPr>
        <w:tc>
          <w:tcPr>
            <w:tcW w:w="1404" w:type="dxa"/>
            <w:vAlign w:val="center"/>
          </w:tcPr>
          <w:p w14:paraId="3A48CE57" w14:textId="77777777" w:rsidR="00672297" w:rsidRDefault="00A16EA3">
            <w:pPr>
              <w:spacing w:before="20" w:after="20"/>
              <w:jc w:val="left"/>
            </w:pPr>
            <w:r>
              <w:rPr>
                <w:rFonts w:cstheme="minorHAnsi"/>
                <w:sz w:val="16"/>
                <w:szCs w:val="16"/>
              </w:rPr>
              <w:t>Batch table</w:t>
            </w:r>
          </w:p>
        </w:tc>
        <w:tc>
          <w:tcPr>
            <w:tcW w:w="1310" w:type="dxa"/>
            <w:vAlign w:val="center"/>
          </w:tcPr>
          <w:p w14:paraId="1620BA46" w14:textId="77777777" w:rsidR="00672297" w:rsidRDefault="00A16EA3">
            <w:pPr>
              <w:spacing w:before="20" w:after="20"/>
              <w:jc w:val="left"/>
            </w:pPr>
            <w:r>
              <w:rPr>
                <w:rFonts w:cstheme="minorHAnsi"/>
                <w:sz w:val="16"/>
                <w:szCs w:val="16"/>
              </w:rPr>
              <w:t>Batch Volume (BBL), Start Time, ETA</w:t>
            </w:r>
          </w:p>
        </w:tc>
        <w:tc>
          <w:tcPr>
            <w:tcW w:w="1310" w:type="dxa"/>
            <w:vAlign w:val="center"/>
          </w:tcPr>
          <w:p w14:paraId="0096BAAB"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3183DE2E" w14:textId="77777777" w:rsidR="00672297" w:rsidRDefault="00A16EA3">
            <w:pPr>
              <w:spacing w:before="20" w:after="20"/>
              <w:jc w:val="left"/>
            </w:pPr>
            <w:r>
              <w:rPr>
                <w:rFonts w:cstheme="minorHAnsi"/>
                <w:sz w:val="16"/>
                <w:szCs w:val="16"/>
              </w:rPr>
              <w:t>BatchVolumeBbl, StartDateTime, ETADateTime</w:t>
            </w:r>
          </w:p>
        </w:tc>
        <w:tc>
          <w:tcPr>
            <w:tcW w:w="655" w:type="dxa"/>
            <w:vAlign w:val="center"/>
          </w:tcPr>
          <w:p w14:paraId="2AEF5D0F" w14:textId="77777777" w:rsidR="00672297" w:rsidRDefault="00A16EA3">
            <w:pPr>
              <w:spacing w:before="20" w:after="20"/>
              <w:jc w:val="left"/>
            </w:pPr>
            <w:r>
              <w:rPr>
                <w:rFonts w:cstheme="minorHAnsi"/>
                <w:sz w:val="16"/>
                <w:szCs w:val="16"/>
              </w:rPr>
              <w:t>N</w:t>
            </w:r>
          </w:p>
        </w:tc>
        <w:tc>
          <w:tcPr>
            <w:tcW w:w="655" w:type="dxa"/>
            <w:vAlign w:val="center"/>
          </w:tcPr>
          <w:p w14:paraId="3BD1DF54" w14:textId="77777777" w:rsidR="00672297" w:rsidRDefault="00A16EA3">
            <w:pPr>
              <w:spacing w:before="20" w:after="20"/>
              <w:jc w:val="left"/>
            </w:pPr>
            <w:r>
              <w:rPr>
                <w:rFonts w:cstheme="minorHAnsi"/>
                <w:sz w:val="16"/>
                <w:szCs w:val="16"/>
              </w:rPr>
              <w:t>N</w:t>
            </w:r>
          </w:p>
        </w:tc>
        <w:tc>
          <w:tcPr>
            <w:tcW w:w="655" w:type="dxa"/>
            <w:vAlign w:val="center"/>
          </w:tcPr>
          <w:p w14:paraId="7D7177A9" w14:textId="77777777" w:rsidR="00672297" w:rsidRDefault="00A16EA3">
            <w:pPr>
              <w:spacing w:before="20" w:after="20"/>
              <w:jc w:val="left"/>
            </w:pPr>
            <w:r>
              <w:rPr>
                <w:rFonts w:cstheme="minorHAnsi"/>
                <w:sz w:val="16"/>
                <w:szCs w:val="16"/>
              </w:rPr>
              <w:t>Y</w:t>
            </w:r>
          </w:p>
        </w:tc>
        <w:tc>
          <w:tcPr>
            <w:tcW w:w="1967" w:type="dxa"/>
            <w:vAlign w:val="center"/>
          </w:tcPr>
          <w:p w14:paraId="05088456" w14:textId="77777777" w:rsidR="00672297" w:rsidRDefault="00672297">
            <w:pPr>
              <w:spacing w:before="20" w:after="20"/>
              <w:jc w:val="left"/>
            </w:pPr>
          </w:p>
        </w:tc>
      </w:tr>
      <w:tr w:rsidR="00672297" w14:paraId="2716BC81" w14:textId="77777777">
        <w:trPr>
          <w:cantSplit/>
        </w:trPr>
        <w:tc>
          <w:tcPr>
            <w:tcW w:w="1404" w:type="dxa"/>
            <w:vAlign w:val="center"/>
          </w:tcPr>
          <w:p w14:paraId="78518CB8" w14:textId="77777777" w:rsidR="00672297" w:rsidRDefault="00A16EA3">
            <w:pPr>
              <w:spacing w:before="20" w:after="20"/>
              <w:jc w:val="left"/>
            </w:pPr>
            <w:r>
              <w:rPr>
                <w:rFonts w:cstheme="minorHAnsi"/>
                <w:sz w:val="16"/>
                <w:szCs w:val="16"/>
              </w:rPr>
              <w:t>Batch table</w:t>
            </w:r>
          </w:p>
        </w:tc>
        <w:tc>
          <w:tcPr>
            <w:tcW w:w="1310" w:type="dxa"/>
            <w:vAlign w:val="center"/>
          </w:tcPr>
          <w:p w14:paraId="6B907497" w14:textId="77777777" w:rsidR="00672297" w:rsidRDefault="00A16EA3">
            <w:pPr>
              <w:spacing w:before="20" w:after="20"/>
              <w:jc w:val="left"/>
            </w:pPr>
            <w:r>
              <w:rPr>
                <w:rFonts w:cstheme="minorHAnsi"/>
                <w:sz w:val="16"/>
                <w:szCs w:val="16"/>
              </w:rPr>
              <w:t>RVP, IBP, T-10, T-50, T-90, TV/L, RON, MON, DON, FBP - PRE / POST / SPEC MIN / SPEC MAX</w:t>
            </w:r>
          </w:p>
        </w:tc>
        <w:tc>
          <w:tcPr>
            <w:tcW w:w="1310" w:type="dxa"/>
            <w:vAlign w:val="center"/>
          </w:tcPr>
          <w:p w14:paraId="1FD5A78A"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62891526" w14:textId="77777777" w:rsidR="00672297" w:rsidRDefault="00A16EA3">
            <w:pPr>
              <w:spacing w:before="20" w:after="20"/>
              <w:jc w:val="left"/>
            </w:pPr>
            <w:r>
              <w:rPr>
                <w:rFonts w:cstheme="minorHAnsi"/>
                <w:sz w:val="16"/>
                <w:szCs w:val="16"/>
              </w:rPr>
              <w:t>&lt;Property&gt;Pre / &lt;Property&gt;Post / &lt;Property&gt;SpecMin / &lt;Property&gt;SpecMax</w:t>
            </w:r>
          </w:p>
        </w:tc>
        <w:tc>
          <w:tcPr>
            <w:tcW w:w="655" w:type="dxa"/>
            <w:vAlign w:val="center"/>
          </w:tcPr>
          <w:p w14:paraId="3FFD3F9A" w14:textId="77777777" w:rsidR="00672297" w:rsidRDefault="00A16EA3">
            <w:pPr>
              <w:spacing w:before="20" w:after="20"/>
              <w:jc w:val="left"/>
            </w:pPr>
            <w:r>
              <w:rPr>
                <w:rFonts w:cstheme="minorHAnsi"/>
                <w:sz w:val="16"/>
                <w:szCs w:val="16"/>
              </w:rPr>
              <w:t>N</w:t>
            </w:r>
          </w:p>
        </w:tc>
        <w:tc>
          <w:tcPr>
            <w:tcW w:w="655" w:type="dxa"/>
            <w:vAlign w:val="center"/>
          </w:tcPr>
          <w:p w14:paraId="717DC6E4" w14:textId="77777777" w:rsidR="00672297" w:rsidRDefault="00A16EA3">
            <w:pPr>
              <w:spacing w:before="20" w:after="20"/>
              <w:jc w:val="left"/>
            </w:pPr>
            <w:r>
              <w:rPr>
                <w:rFonts w:cstheme="minorHAnsi"/>
                <w:sz w:val="16"/>
                <w:szCs w:val="16"/>
              </w:rPr>
              <w:t>N</w:t>
            </w:r>
          </w:p>
        </w:tc>
        <w:tc>
          <w:tcPr>
            <w:tcW w:w="655" w:type="dxa"/>
            <w:vAlign w:val="center"/>
          </w:tcPr>
          <w:p w14:paraId="014411C4" w14:textId="77777777" w:rsidR="00672297" w:rsidRDefault="00A16EA3">
            <w:pPr>
              <w:spacing w:before="20" w:after="20"/>
              <w:jc w:val="left"/>
            </w:pPr>
            <w:r>
              <w:rPr>
                <w:rFonts w:cstheme="minorHAnsi"/>
                <w:sz w:val="16"/>
                <w:szCs w:val="16"/>
              </w:rPr>
              <w:t>Y</w:t>
            </w:r>
          </w:p>
        </w:tc>
        <w:tc>
          <w:tcPr>
            <w:tcW w:w="1967" w:type="dxa"/>
            <w:vAlign w:val="center"/>
          </w:tcPr>
          <w:p w14:paraId="2B6A4646" w14:textId="77777777" w:rsidR="00672297" w:rsidRDefault="00672297">
            <w:pPr>
              <w:spacing w:before="20" w:after="20"/>
              <w:jc w:val="left"/>
            </w:pPr>
          </w:p>
        </w:tc>
      </w:tr>
      <w:tr w:rsidR="00672297" w14:paraId="38ED5A12" w14:textId="77777777">
        <w:trPr>
          <w:cantSplit/>
        </w:trPr>
        <w:tc>
          <w:tcPr>
            <w:tcW w:w="1404" w:type="dxa"/>
            <w:vAlign w:val="center"/>
          </w:tcPr>
          <w:p w14:paraId="2E4A745F" w14:textId="77777777" w:rsidR="00672297" w:rsidRDefault="00A16EA3">
            <w:pPr>
              <w:spacing w:before="20" w:after="20"/>
              <w:jc w:val="left"/>
            </w:pPr>
            <w:r>
              <w:rPr>
                <w:rFonts w:cstheme="minorHAnsi"/>
                <w:sz w:val="16"/>
                <w:szCs w:val="16"/>
              </w:rPr>
              <w:t>Batch table</w:t>
            </w:r>
          </w:p>
        </w:tc>
        <w:tc>
          <w:tcPr>
            <w:tcW w:w="1310" w:type="dxa"/>
            <w:vAlign w:val="center"/>
          </w:tcPr>
          <w:p w14:paraId="795F37FD" w14:textId="77777777" w:rsidR="00672297" w:rsidRDefault="00A16EA3">
            <w:pPr>
              <w:spacing w:before="20" w:after="20"/>
              <w:jc w:val="left"/>
            </w:pPr>
            <w:r>
              <w:rPr>
                <w:rFonts w:cstheme="minorHAnsi"/>
                <w:sz w:val="16"/>
                <w:szCs w:val="16"/>
              </w:rPr>
              <w:t>Butane / Transmix Potential VOL, %</w:t>
            </w:r>
          </w:p>
        </w:tc>
        <w:tc>
          <w:tcPr>
            <w:tcW w:w="1310" w:type="dxa"/>
            <w:vAlign w:val="center"/>
          </w:tcPr>
          <w:p w14:paraId="54F3D471"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2929C819" w14:textId="77777777" w:rsidR="00672297" w:rsidRDefault="00A16EA3">
            <w:pPr>
              <w:spacing w:before="20" w:after="20"/>
              <w:jc w:val="left"/>
            </w:pPr>
            <w:r>
              <w:rPr>
                <w:rFonts w:cstheme="minorHAnsi"/>
                <w:sz w:val="16"/>
                <w:szCs w:val="16"/>
              </w:rPr>
              <w:t>&lt;Component&gt;PotentialBbl / &lt;Component&gt;PotentialPct</w:t>
            </w:r>
          </w:p>
        </w:tc>
        <w:tc>
          <w:tcPr>
            <w:tcW w:w="655" w:type="dxa"/>
            <w:vAlign w:val="center"/>
          </w:tcPr>
          <w:p w14:paraId="42EE20C7" w14:textId="77777777" w:rsidR="00672297" w:rsidRDefault="00A16EA3">
            <w:pPr>
              <w:spacing w:before="20" w:after="20"/>
              <w:jc w:val="left"/>
            </w:pPr>
            <w:r>
              <w:rPr>
                <w:rFonts w:cstheme="minorHAnsi"/>
                <w:sz w:val="16"/>
                <w:szCs w:val="16"/>
              </w:rPr>
              <w:t>N</w:t>
            </w:r>
          </w:p>
        </w:tc>
        <w:tc>
          <w:tcPr>
            <w:tcW w:w="655" w:type="dxa"/>
            <w:vAlign w:val="center"/>
          </w:tcPr>
          <w:p w14:paraId="446C46E3" w14:textId="77777777" w:rsidR="00672297" w:rsidRDefault="00A16EA3">
            <w:pPr>
              <w:spacing w:before="20" w:after="20"/>
              <w:jc w:val="left"/>
            </w:pPr>
            <w:r>
              <w:rPr>
                <w:rFonts w:cstheme="minorHAnsi"/>
                <w:sz w:val="16"/>
                <w:szCs w:val="16"/>
              </w:rPr>
              <w:t>N</w:t>
            </w:r>
          </w:p>
        </w:tc>
        <w:tc>
          <w:tcPr>
            <w:tcW w:w="655" w:type="dxa"/>
            <w:vAlign w:val="center"/>
          </w:tcPr>
          <w:p w14:paraId="08E84F14" w14:textId="77777777" w:rsidR="00672297" w:rsidRDefault="00A16EA3">
            <w:pPr>
              <w:spacing w:before="20" w:after="20"/>
              <w:jc w:val="left"/>
            </w:pPr>
            <w:r>
              <w:rPr>
                <w:rFonts w:cstheme="minorHAnsi"/>
                <w:sz w:val="16"/>
                <w:szCs w:val="16"/>
              </w:rPr>
              <w:t>Y</w:t>
            </w:r>
          </w:p>
        </w:tc>
        <w:tc>
          <w:tcPr>
            <w:tcW w:w="1967" w:type="dxa"/>
            <w:vAlign w:val="center"/>
          </w:tcPr>
          <w:p w14:paraId="532E7939" w14:textId="77777777" w:rsidR="00672297" w:rsidRDefault="00672297">
            <w:pPr>
              <w:spacing w:before="20" w:after="20"/>
              <w:jc w:val="left"/>
            </w:pPr>
          </w:p>
        </w:tc>
      </w:tr>
      <w:tr w:rsidR="00672297" w14:paraId="1034C55E" w14:textId="77777777">
        <w:trPr>
          <w:cantSplit/>
        </w:trPr>
        <w:tc>
          <w:tcPr>
            <w:tcW w:w="1404" w:type="dxa"/>
            <w:vAlign w:val="center"/>
          </w:tcPr>
          <w:p w14:paraId="04A540A1" w14:textId="77777777" w:rsidR="00672297" w:rsidRDefault="00A16EA3">
            <w:pPr>
              <w:spacing w:before="20" w:after="20"/>
              <w:jc w:val="left"/>
            </w:pPr>
            <w:r>
              <w:rPr>
                <w:rFonts w:cstheme="minorHAnsi"/>
                <w:sz w:val="16"/>
                <w:szCs w:val="16"/>
              </w:rPr>
              <w:t>Batch table</w:t>
            </w:r>
          </w:p>
        </w:tc>
        <w:tc>
          <w:tcPr>
            <w:tcW w:w="1310" w:type="dxa"/>
            <w:vAlign w:val="center"/>
          </w:tcPr>
          <w:p w14:paraId="52AD1D08" w14:textId="77777777" w:rsidR="00672297" w:rsidRDefault="00A16EA3">
            <w:pPr>
              <w:spacing w:before="20" w:after="20"/>
              <w:jc w:val="left"/>
            </w:pPr>
            <w:r>
              <w:rPr>
                <w:rFonts w:cstheme="minorHAnsi"/>
                <w:sz w:val="16"/>
                <w:szCs w:val="16"/>
              </w:rPr>
              <w:t>Ethanol Requirement VOL, %</w:t>
            </w:r>
          </w:p>
        </w:tc>
        <w:tc>
          <w:tcPr>
            <w:tcW w:w="1310" w:type="dxa"/>
            <w:vAlign w:val="center"/>
          </w:tcPr>
          <w:p w14:paraId="563F8CC1"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5F07A193" w14:textId="77777777" w:rsidR="00672297" w:rsidRDefault="00A16EA3">
            <w:pPr>
              <w:spacing w:before="20" w:after="20"/>
              <w:jc w:val="left"/>
            </w:pPr>
            <w:r>
              <w:rPr>
                <w:rFonts w:cstheme="minorHAnsi"/>
                <w:sz w:val="16"/>
                <w:szCs w:val="16"/>
              </w:rPr>
              <w:t>EthanolRequirementBbl / EthanolRequirementPct</w:t>
            </w:r>
          </w:p>
        </w:tc>
        <w:tc>
          <w:tcPr>
            <w:tcW w:w="655" w:type="dxa"/>
            <w:vAlign w:val="center"/>
          </w:tcPr>
          <w:p w14:paraId="42CE7FF6" w14:textId="77777777" w:rsidR="00672297" w:rsidRDefault="00A16EA3">
            <w:pPr>
              <w:spacing w:before="20" w:after="20"/>
              <w:jc w:val="left"/>
            </w:pPr>
            <w:r>
              <w:rPr>
                <w:rFonts w:cstheme="minorHAnsi"/>
                <w:sz w:val="16"/>
                <w:szCs w:val="16"/>
              </w:rPr>
              <w:t>N</w:t>
            </w:r>
          </w:p>
        </w:tc>
        <w:tc>
          <w:tcPr>
            <w:tcW w:w="655" w:type="dxa"/>
            <w:vAlign w:val="center"/>
          </w:tcPr>
          <w:p w14:paraId="070FC801" w14:textId="77777777" w:rsidR="00672297" w:rsidRDefault="00A16EA3">
            <w:pPr>
              <w:spacing w:before="20" w:after="20"/>
              <w:jc w:val="left"/>
            </w:pPr>
            <w:r>
              <w:rPr>
                <w:rFonts w:cstheme="minorHAnsi"/>
                <w:sz w:val="16"/>
                <w:szCs w:val="16"/>
              </w:rPr>
              <w:t>N</w:t>
            </w:r>
          </w:p>
        </w:tc>
        <w:tc>
          <w:tcPr>
            <w:tcW w:w="655" w:type="dxa"/>
            <w:vAlign w:val="center"/>
          </w:tcPr>
          <w:p w14:paraId="0378745B" w14:textId="77777777" w:rsidR="00672297" w:rsidRDefault="00A16EA3">
            <w:pPr>
              <w:spacing w:before="20" w:after="20"/>
              <w:jc w:val="left"/>
            </w:pPr>
            <w:r>
              <w:rPr>
                <w:rFonts w:cstheme="minorHAnsi"/>
                <w:sz w:val="16"/>
                <w:szCs w:val="16"/>
              </w:rPr>
              <w:t>Y</w:t>
            </w:r>
          </w:p>
        </w:tc>
        <w:tc>
          <w:tcPr>
            <w:tcW w:w="1967" w:type="dxa"/>
            <w:vAlign w:val="center"/>
          </w:tcPr>
          <w:p w14:paraId="3F147E0E" w14:textId="77777777" w:rsidR="00672297" w:rsidRDefault="00672297">
            <w:pPr>
              <w:spacing w:before="20" w:after="20"/>
              <w:jc w:val="left"/>
            </w:pPr>
          </w:p>
        </w:tc>
      </w:tr>
      <w:tr w:rsidR="00672297" w14:paraId="03A31D92" w14:textId="77777777">
        <w:trPr>
          <w:cantSplit/>
        </w:trPr>
        <w:tc>
          <w:tcPr>
            <w:tcW w:w="1404" w:type="dxa"/>
            <w:vAlign w:val="center"/>
          </w:tcPr>
          <w:p w14:paraId="5384584D" w14:textId="77777777" w:rsidR="00672297" w:rsidRDefault="00A16EA3">
            <w:pPr>
              <w:spacing w:before="20" w:after="20"/>
              <w:jc w:val="left"/>
            </w:pPr>
            <w:r>
              <w:rPr>
                <w:rFonts w:cstheme="minorHAnsi"/>
                <w:sz w:val="16"/>
                <w:szCs w:val="16"/>
              </w:rPr>
              <w:t>Batch table</w:t>
            </w:r>
          </w:p>
        </w:tc>
        <w:tc>
          <w:tcPr>
            <w:tcW w:w="1310" w:type="dxa"/>
            <w:vAlign w:val="center"/>
          </w:tcPr>
          <w:p w14:paraId="173C61CF" w14:textId="77777777" w:rsidR="00672297" w:rsidRDefault="00A16EA3">
            <w:pPr>
              <w:spacing w:before="20" w:after="20"/>
              <w:jc w:val="left"/>
            </w:pPr>
            <w:r>
              <w:rPr>
                <w:rFonts w:cstheme="minorHAnsi"/>
                <w:sz w:val="16"/>
                <w:szCs w:val="16"/>
              </w:rPr>
              <w:t>Volume Expansion TOTAL VOL, VOL %</w:t>
            </w:r>
          </w:p>
        </w:tc>
        <w:tc>
          <w:tcPr>
            <w:tcW w:w="1310" w:type="dxa"/>
            <w:vAlign w:val="center"/>
          </w:tcPr>
          <w:p w14:paraId="028101E4"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2A324A71" w14:textId="77777777" w:rsidR="00672297" w:rsidRDefault="00A16EA3">
            <w:pPr>
              <w:spacing w:before="20" w:after="20"/>
              <w:jc w:val="left"/>
            </w:pPr>
            <w:r>
              <w:rPr>
                <w:rFonts w:cstheme="minorHAnsi"/>
                <w:sz w:val="16"/>
                <w:szCs w:val="16"/>
              </w:rPr>
              <w:t>VolumeExpansionBbl / VolumeExpansionPct</w:t>
            </w:r>
          </w:p>
        </w:tc>
        <w:tc>
          <w:tcPr>
            <w:tcW w:w="655" w:type="dxa"/>
            <w:vAlign w:val="center"/>
          </w:tcPr>
          <w:p w14:paraId="665E96E2" w14:textId="77777777" w:rsidR="00672297" w:rsidRDefault="00A16EA3">
            <w:pPr>
              <w:spacing w:before="20" w:after="20"/>
              <w:jc w:val="left"/>
            </w:pPr>
            <w:r>
              <w:rPr>
                <w:rFonts w:cstheme="minorHAnsi"/>
                <w:sz w:val="16"/>
                <w:szCs w:val="16"/>
              </w:rPr>
              <w:t>N</w:t>
            </w:r>
          </w:p>
        </w:tc>
        <w:tc>
          <w:tcPr>
            <w:tcW w:w="655" w:type="dxa"/>
            <w:vAlign w:val="center"/>
          </w:tcPr>
          <w:p w14:paraId="55CF5808" w14:textId="77777777" w:rsidR="00672297" w:rsidRDefault="00A16EA3">
            <w:pPr>
              <w:spacing w:before="20" w:after="20"/>
              <w:jc w:val="left"/>
            </w:pPr>
            <w:r>
              <w:rPr>
                <w:rFonts w:cstheme="minorHAnsi"/>
                <w:sz w:val="16"/>
                <w:szCs w:val="16"/>
              </w:rPr>
              <w:t>N</w:t>
            </w:r>
          </w:p>
        </w:tc>
        <w:tc>
          <w:tcPr>
            <w:tcW w:w="655" w:type="dxa"/>
            <w:vAlign w:val="center"/>
          </w:tcPr>
          <w:p w14:paraId="0E711562" w14:textId="77777777" w:rsidR="00672297" w:rsidRDefault="00A16EA3">
            <w:pPr>
              <w:spacing w:before="20" w:after="20"/>
              <w:jc w:val="left"/>
            </w:pPr>
            <w:r>
              <w:rPr>
                <w:rFonts w:cstheme="minorHAnsi"/>
                <w:sz w:val="16"/>
                <w:szCs w:val="16"/>
              </w:rPr>
              <w:t>Y</w:t>
            </w:r>
          </w:p>
        </w:tc>
        <w:tc>
          <w:tcPr>
            <w:tcW w:w="1967" w:type="dxa"/>
            <w:vAlign w:val="center"/>
          </w:tcPr>
          <w:p w14:paraId="234E085A" w14:textId="77777777" w:rsidR="00672297" w:rsidRDefault="00672297">
            <w:pPr>
              <w:spacing w:before="20" w:after="20"/>
              <w:jc w:val="left"/>
            </w:pPr>
          </w:p>
        </w:tc>
      </w:tr>
      <w:tr w:rsidR="00672297" w14:paraId="4AB30AD2" w14:textId="77777777">
        <w:trPr>
          <w:cantSplit/>
        </w:trPr>
        <w:tc>
          <w:tcPr>
            <w:tcW w:w="1404" w:type="dxa"/>
            <w:vAlign w:val="center"/>
          </w:tcPr>
          <w:p w14:paraId="23B21859" w14:textId="77777777" w:rsidR="00672297" w:rsidRDefault="00A16EA3">
            <w:pPr>
              <w:spacing w:before="20" w:after="20"/>
              <w:jc w:val="left"/>
            </w:pPr>
            <w:r>
              <w:rPr>
                <w:rFonts w:cstheme="minorHAnsi"/>
                <w:sz w:val="16"/>
                <w:szCs w:val="16"/>
              </w:rPr>
              <w:t>Slicer/Filter</w:t>
            </w:r>
          </w:p>
        </w:tc>
        <w:tc>
          <w:tcPr>
            <w:tcW w:w="1310" w:type="dxa"/>
            <w:vAlign w:val="center"/>
          </w:tcPr>
          <w:p w14:paraId="025CCB8D" w14:textId="77777777" w:rsidR="00672297" w:rsidRDefault="00A16EA3">
            <w:pPr>
              <w:spacing w:before="20" w:after="20"/>
              <w:jc w:val="left"/>
            </w:pPr>
            <w:r>
              <w:rPr>
                <w:rFonts w:cstheme="minorHAnsi"/>
                <w:sz w:val="16"/>
                <w:szCs w:val="16"/>
              </w:rPr>
              <w:t>Region, Terminal, Product Grade, Batch ID</w:t>
            </w:r>
          </w:p>
        </w:tc>
        <w:tc>
          <w:tcPr>
            <w:tcW w:w="1310" w:type="dxa"/>
            <w:vAlign w:val="center"/>
          </w:tcPr>
          <w:p w14:paraId="3CF9A30F" w14:textId="77777777" w:rsidR="00672297" w:rsidRDefault="00A16EA3">
            <w:pPr>
              <w:spacing w:before="20" w:after="20"/>
              <w:jc w:val="left"/>
            </w:pPr>
            <w:r>
              <w:rPr>
                <w:rFonts w:cstheme="minorHAnsi"/>
                <w:sz w:val="16"/>
                <w:szCs w:val="16"/>
              </w:rPr>
              <w:t>vwDistillateBlendPotentialQuality</w:t>
            </w:r>
          </w:p>
        </w:tc>
        <w:tc>
          <w:tcPr>
            <w:tcW w:w="1404" w:type="dxa"/>
            <w:vAlign w:val="center"/>
          </w:tcPr>
          <w:p w14:paraId="4FF15130" w14:textId="77777777" w:rsidR="00672297" w:rsidRDefault="00A16EA3">
            <w:pPr>
              <w:spacing w:before="20" w:after="20"/>
              <w:jc w:val="left"/>
            </w:pPr>
            <w:r>
              <w:rPr>
                <w:rFonts w:cstheme="minorHAnsi"/>
                <w:sz w:val="16"/>
                <w:szCs w:val="16"/>
              </w:rPr>
              <w:t>Region, Destination, ProductName, BatchID</w:t>
            </w:r>
          </w:p>
        </w:tc>
        <w:tc>
          <w:tcPr>
            <w:tcW w:w="655" w:type="dxa"/>
            <w:vAlign w:val="center"/>
          </w:tcPr>
          <w:p w14:paraId="77C48E01" w14:textId="77777777" w:rsidR="00672297" w:rsidRDefault="00A16EA3">
            <w:pPr>
              <w:spacing w:before="20" w:after="20"/>
              <w:jc w:val="left"/>
            </w:pPr>
            <w:r>
              <w:rPr>
                <w:rFonts w:cstheme="minorHAnsi"/>
                <w:sz w:val="16"/>
                <w:szCs w:val="16"/>
              </w:rPr>
              <w:t>N</w:t>
            </w:r>
          </w:p>
        </w:tc>
        <w:tc>
          <w:tcPr>
            <w:tcW w:w="655" w:type="dxa"/>
            <w:vAlign w:val="center"/>
          </w:tcPr>
          <w:p w14:paraId="4A88A7F6" w14:textId="77777777" w:rsidR="00672297" w:rsidRDefault="00A16EA3">
            <w:pPr>
              <w:spacing w:before="20" w:after="20"/>
              <w:jc w:val="left"/>
            </w:pPr>
            <w:r>
              <w:rPr>
                <w:rFonts w:cstheme="minorHAnsi"/>
                <w:sz w:val="16"/>
                <w:szCs w:val="16"/>
              </w:rPr>
              <w:t>Y</w:t>
            </w:r>
          </w:p>
        </w:tc>
        <w:tc>
          <w:tcPr>
            <w:tcW w:w="655" w:type="dxa"/>
            <w:vAlign w:val="center"/>
          </w:tcPr>
          <w:p w14:paraId="77A05BE9" w14:textId="77777777" w:rsidR="00672297" w:rsidRDefault="00A16EA3">
            <w:pPr>
              <w:spacing w:before="20" w:after="20"/>
              <w:jc w:val="left"/>
            </w:pPr>
            <w:r>
              <w:rPr>
                <w:rFonts w:cstheme="minorHAnsi"/>
                <w:sz w:val="16"/>
                <w:szCs w:val="16"/>
              </w:rPr>
              <w:t>Y</w:t>
            </w:r>
          </w:p>
        </w:tc>
        <w:tc>
          <w:tcPr>
            <w:tcW w:w="1967" w:type="dxa"/>
            <w:vAlign w:val="center"/>
          </w:tcPr>
          <w:p w14:paraId="5DF2E7CA" w14:textId="77777777" w:rsidR="00672297" w:rsidRDefault="00A16EA3">
            <w:pPr>
              <w:spacing w:before="20" w:after="20"/>
              <w:jc w:val="left"/>
            </w:pPr>
            <w:r>
              <w:rPr>
                <w:rFonts w:cstheme="minorHAnsi"/>
                <w:sz w:val="16"/>
                <w:szCs w:val="16"/>
              </w:rPr>
              <w:t>Batch ID search enabled</w:t>
            </w:r>
          </w:p>
        </w:tc>
      </w:tr>
      <w:tr w:rsidR="00672297" w14:paraId="60AD8E4F" w14:textId="77777777">
        <w:trPr>
          <w:cantSplit/>
        </w:trPr>
        <w:tc>
          <w:tcPr>
            <w:tcW w:w="1404" w:type="dxa"/>
            <w:vAlign w:val="center"/>
          </w:tcPr>
          <w:p w14:paraId="51B2FD58" w14:textId="77777777" w:rsidR="00672297" w:rsidRDefault="00A16EA3">
            <w:pPr>
              <w:spacing w:before="20" w:after="20"/>
              <w:jc w:val="left"/>
            </w:pPr>
            <w:r>
              <w:rPr>
                <w:rFonts w:cstheme="minorHAnsi"/>
                <w:sz w:val="16"/>
                <w:szCs w:val="16"/>
              </w:rPr>
              <w:t>Slicer/Filter</w:t>
            </w:r>
          </w:p>
        </w:tc>
        <w:tc>
          <w:tcPr>
            <w:tcW w:w="1310" w:type="dxa"/>
            <w:vAlign w:val="center"/>
          </w:tcPr>
          <w:p w14:paraId="5AADF7C0" w14:textId="77777777" w:rsidR="00672297" w:rsidRDefault="00A16EA3">
            <w:pPr>
              <w:spacing w:before="20" w:after="20"/>
              <w:jc w:val="left"/>
            </w:pPr>
            <w:r>
              <w:rPr>
                <w:rFonts w:cstheme="minorHAnsi"/>
                <w:sz w:val="16"/>
                <w:szCs w:val="16"/>
              </w:rPr>
              <w:t>Batch Quality</w:t>
            </w:r>
          </w:p>
        </w:tc>
        <w:tc>
          <w:tcPr>
            <w:tcW w:w="1310" w:type="dxa"/>
            <w:vAlign w:val="center"/>
          </w:tcPr>
          <w:p w14:paraId="5F067855" w14:textId="77777777" w:rsidR="00672297" w:rsidRDefault="00A16EA3">
            <w:pPr>
              <w:spacing w:before="20" w:after="20"/>
              <w:jc w:val="left"/>
            </w:pPr>
            <w:r>
              <w:rPr>
                <w:rFonts w:cstheme="minorHAnsi"/>
                <w:sz w:val="16"/>
                <w:szCs w:val="16"/>
              </w:rPr>
              <w:t>Field parameter</w:t>
            </w:r>
          </w:p>
        </w:tc>
        <w:tc>
          <w:tcPr>
            <w:tcW w:w="1404" w:type="dxa"/>
            <w:vAlign w:val="center"/>
          </w:tcPr>
          <w:p w14:paraId="16435130" w14:textId="77777777" w:rsidR="00672297" w:rsidRDefault="00A16EA3">
            <w:pPr>
              <w:spacing w:before="20" w:after="20"/>
              <w:jc w:val="left"/>
            </w:pPr>
            <w:r>
              <w:rPr>
                <w:rFonts w:cstheme="minorHAnsi"/>
                <w:sz w:val="16"/>
                <w:szCs w:val="16"/>
              </w:rPr>
              <w:t>Property columns</w:t>
            </w:r>
          </w:p>
        </w:tc>
        <w:tc>
          <w:tcPr>
            <w:tcW w:w="655" w:type="dxa"/>
            <w:vAlign w:val="center"/>
          </w:tcPr>
          <w:p w14:paraId="2F8E5F07" w14:textId="77777777" w:rsidR="00672297" w:rsidRDefault="00A16EA3">
            <w:pPr>
              <w:spacing w:before="20" w:after="20"/>
              <w:jc w:val="left"/>
            </w:pPr>
            <w:r>
              <w:rPr>
                <w:rFonts w:cstheme="minorHAnsi"/>
                <w:sz w:val="16"/>
                <w:szCs w:val="16"/>
              </w:rPr>
              <w:t>N</w:t>
            </w:r>
          </w:p>
        </w:tc>
        <w:tc>
          <w:tcPr>
            <w:tcW w:w="655" w:type="dxa"/>
            <w:vAlign w:val="center"/>
          </w:tcPr>
          <w:p w14:paraId="03E0590D" w14:textId="77777777" w:rsidR="00672297" w:rsidRDefault="00A16EA3">
            <w:pPr>
              <w:spacing w:before="20" w:after="20"/>
              <w:jc w:val="left"/>
            </w:pPr>
            <w:r>
              <w:rPr>
                <w:rFonts w:cstheme="minorHAnsi"/>
                <w:sz w:val="16"/>
                <w:szCs w:val="16"/>
              </w:rPr>
              <w:t>Y</w:t>
            </w:r>
          </w:p>
        </w:tc>
        <w:tc>
          <w:tcPr>
            <w:tcW w:w="655" w:type="dxa"/>
            <w:vAlign w:val="center"/>
          </w:tcPr>
          <w:p w14:paraId="50C50277" w14:textId="77777777" w:rsidR="00672297" w:rsidRDefault="00A16EA3">
            <w:pPr>
              <w:spacing w:before="20" w:after="20"/>
              <w:jc w:val="left"/>
            </w:pPr>
            <w:r>
              <w:rPr>
                <w:rFonts w:cstheme="minorHAnsi"/>
                <w:sz w:val="16"/>
                <w:szCs w:val="16"/>
              </w:rPr>
              <w:t>N</w:t>
            </w:r>
          </w:p>
        </w:tc>
        <w:tc>
          <w:tcPr>
            <w:tcW w:w="1967" w:type="dxa"/>
            <w:vAlign w:val="center"/>
          </w:tcPr>
          <w:p w14:paraId="30FC78A8" w14:textId="77777777" w:rsidR="00672297" w:rsidRDefault="00A16EA3">
            <w:pPr>
              <w:spacing w:before="20" w:after="20"/>
              <w:jc w:val="left"/>
            </w:pPr>
            <w:r>
              <w:rPr>
                <w:rFonts w:cstheme="minorHAnsi"/>
                <w:sz w:val="16"/>
                <w:szCs w:val="16"/>
              </w:rPr>
              <w:t>Field parameter selecting the property column groups shown</w:t>
            </w:r>
          </w:p>
        </w:tc>
      </w:tr>
      <w:tr w:rsidR="00672297" w14:paraId="264ECA80" w14:textId="77777777">
        <w:trPr>
          <w:cantSplit/>
        </w:trPr>
        <w:tc>
          <w:tcPr>
            <w:tcW w:w="1404" w:type="dxa"/>
            <w:vAlign w:val="center"/>
          </w:tcPr>
          <w:p w14:paraId="7D395F43" w14:textId="77777777" w:rsidR="00672297" w:rsidRDefault="00A16EA3">
            <w:pPr>
              <w:spacing w:before="20" w:after="20"/>
              <w:jc w:val="left"/>
            </w:pPr>
            <w:r>
              <w:rPr>
                <w:rFonts w:cstheme="minorHAnsi"/>
                <w:sz w:val="16"/>
                <w:szCs w:val="16"/>
              </w:rPr>
              <w:t>Slicer/Filter</w:t>
            </w:r>
          </w:p>
        </w:tc>
        <w:tc>
          <w:tcPr>
            <w:tcW w:w="1310" w:type="dxa"/>
            <w:vAlign w:val="center"/>
          </w:tcPr>
          <w:p w14:paraId="1D088321" w14:textId="77777777" w:rsidR="00672297" w:rsidRDefault="00A16EA3">
            <w:pPr>
              <w:spacing w:before="20" w:after="20"/>
              <w:jc w:val="left"/>
            </w:pPr>
            <w:r>
              <w:rPr>
                <w:rFonts w:cstheme="minorHAnsi"/>
                <w:sz w:val="16"/>
                <w:szCs w:val="16"/>
              </w:rPr>
              <w:t>Date</w:t>
            </w:r>
          </w:p>
        </w:tc>
        <w:tc>
          <w:tcPr>
            <w:tcW w:w="1310" w:type="dxa"/>
            <w:vAlign w:val="center"/>
          </w:tcPr>
          <w:p w14:paraId="6A9B5124" w14:textId="77777777" w:rsidR="00672297" w:rsidRDefault="00A16EA3">
            <w:pPr>
              <w:spacing w:before="20" w:after="20"/>
              <w:jc w:val="left"/>
            </w:pPr>
            <w:r>
              <w:rPr>
                <w:rFonts w:cstheme="minorHAnsi"/>
                <w:sz w:val="16"/>
                <w:szCs w:val="16"/>
              </w:rPr>
              <w:t>day_detail</w:t>
            </w:r>
          </w:p>
        </w:tc>
        <w:tc>
          <w:tcPr>
            <w:tcW w:w="1404" w:type="dxa"/>
            <w:vAlign w:val="center"/>
          </w:tcPr>
          <w:p w14:paraId="6384CF35" w14:textId="77777777" w:rsidR="00672297" w:rsidRDefault="00A16EA3">
            <w:pPr>
              <w:spacing w:before="20" w:after="20"/>
              <w:jc w:val="left"/>
            </w:pPr>
            <w:r>
              <w:rPr>
                <w:rFonts w:cstheme="minorHAnsi"/>
                <w:sz w:val="16"/>
                <w:szCs w:val="16"/>
              </w:rPr>
              <w:t>W_Date</w:t>
            </w:r>
          </w:p>
        </w:tc>
        <w:tc>
          <w:tcPr>
            <w:tcW w:w="655" w:type="dxa"/>
            <w:vAlign w:val="center"/>
          </w:tcPr>
          <w:p w14:paraId="790E0B21" w14:textId="77777777" w:rsidR="00672297" w:rsidRDefault="00A16EA3">
            <w:pPr>
              <w:spacing w:before="20" w:after="20"/>
              <w:jc w:val="left"/>
            </w:pPr>
            <w:r>
              <w:rPr>
                <w:rFonts w:cstheme="minorHAnsi"/>
                <w:sz w:val="16"/>
                <w:szCs w:val="16"/>
              </w:rPr>
              <w:t>N</w:t>
            </w:r>
          </w:p>
        </w:tc>
        <w:tc>
          <w:tcPr>
            <w:tcW w:w="655" w:type="dxa"/>
            <w:vAlign w:val="center"/>
          </w:tcPr>
          <w:p w14:paraId="2ACDD9E4" w14:textId="77777777" w:rsidR="00672297" w:rsidRDefault="00A16EA3">
            <w:pPr>
              <w:spacing w:before="20" w:after="20"/>
              <w:jc w:val="left"/>
            </w:pPr>
            <w:r>
              <w:rPr>
                <w:rFonts w:cstheme="minorHAnsi"/>
                <w:sz w:val="16"/>
                <w:szCs w:val="16"/>
              </w:rPr>
              <w:t>Y</w:t>
            </w:r>
          </w:p>
        </w:tc>
        <w:tc>
          <w:tcPr>
            <w:tcW w:w="655" w:type="dxa"/>
            <w:vAlign w:val="center"/>
          </w:tcPr>
          <w:p w14:paraId="362CBEB2" w14:textId="77777777" w:rsidR="00672297" w:rsidRDefault="00A16EA3">
            <w:pPr>
              <w:spacing w:before="20" w:after="20"/>
              <w:jc w:val="left"/>
            </w:pPr>
            <w:r>
              <w:rPr>
                <w:rFonts w:cstheme="minorHAnsi"/>
                <w:sz w:val="16"/>
                <w:szCs w:val="16"/>
              </w:rPr>
              <w:t>Y</w:t>
            </w:r>
          </w:p>
        </w:tc>
        <w:tc>
          <w:tcPr>
            <w:tcW w:w="1967" w:type="dxa"/>
            <w:vAlign w:val="center"/>
          </w:tcPr>
          <w:p w14:paraId="6D9C7559" w14:textId="77777777" w:rsidR="00672297" w:rsidRDefault="00A16EA3">
            <w:pPr>
              <w:spacing w:before="20" w:after="20"/>
              <w:jc w:val="left"/>
            </w:pPr>
            <w:r>
              <w:rPr>
                <w:rFonts w:cstheme="minorHAnsi"/>
                <w:sz w:val="16"/>
                <w:szCs w:val="16"/>
              </w:rPr>
              <w:t>Relationship on ETADate</w:t>
            </w:r>
          </w:p>
        </w:tc>
      </w:tr>
      <w:tr w:rsidR="00672297" w14:paraId="63738462" w14:textId="77777777">
        <w:trPr>
          <w:cantSplit/>
        </w:trPr>
        <w:tc>
          <w:tcPr>
            <w:tcW w:w="1404" w:type="dxa"/>
            <w:vAlign w:val="center"/>
          </w:tcPr>
          <w:p w14:paraId="37BB4B05" w14:textId="77777777" w:rsidR="00672297" w:rsidRDefault="00A16EA3">
            <w:pPr>
              <w:spacing w:before="20" w:after="20"/>
              <w:jc w:val="left"/>
            </w:pPr>
            <w:r>
              <w:rPr>
                <w:rFonts w:cstheme="minorHAnsi"/>
                <w:sz w:val="16"/>
                <w:szCs w:val="16"/>
              </w:rPr>
              <w:t>Card</w:t>
            </w:r>
          </w:p>
        </w:tc>
        <w:tc>
          <w:tcPr>
            <w:tcW w:w="1310" w:type="dxa"/>
            <w:vAlign w:val="center"/>
          </w:tcPr>
          <w:p w14:paraId="2739D356" w14:textId="77777777" w:rsidR="00672297" w:rsidRDefault="00A16EA3">
            <w:pPr>
              <w:spacing w:before="20" w:after="20"/>
              <w:jc w:val="left"/>
            </w:pPr>
            <w:r>
              <w:rPr>
                <w:rFonts w:cstheme="minorHAnsi"/>
                <w:sz w:val="16"/>
                <w:szCs w:val="16"/>
              </w:rPr>
              <w:t>Last Refresh</w:t>
            </w:r>
          </w:p>
        </w:tc>
        <w:tc>
          <w:tcPr>
            <w:tcW w:w="1310" w:type="dxa"/>
            <w:vAlign w:val="center"/>
          </w:tcPr>
          <w:p w14:paraId="706D5FE2" w14:textId="77777777" w:rsidR="00672297" w:rsidRDefault="00A16EA3">
            <w:pPr>
              <w:spacing w:before="20" w:after="20"/>
              <w:jc w:val="left"/>
            </w:pPr>
            <w:r>
              <w:rPr>
                <w:rFonts w:cstheme="minorHAnsi"/>
                <w:sz w:val="16"/>
                <w:szCs w:val="16"/>
              </w:rPr>
              <w:t>Last_Refresh</w:t>
            </w:r>
          </w:p>
        </w:tc>
        <w:tc>
          <w:tcPr>
            <w:tcW w:w="1404" w:type="dxa"/>
            <w:vAlign w:val="center"/>
          </w:tcPr>
          <w:p w14:paraId="2F04528B" w14:textId="77777777" w:rsidR="00672297" w:rsidRDefault="00A16EA3">
            <w:pPr>
              <w:spacing w:before="20" w:after="20"/>
              <w:jc w:val="left"/>
            </w:pPr>
            <w:r>
              <w:rPr>
                <w:rFonts w:cstheme="minorHAnsi"/>
                <w:sz w:val="16"/>
                <w:szCs w:val="16"/>
              </w:rPr>
              <w:t>Refresh DateTime</w:t>
            </w:r>
          </w:p>
        </w:tc>
        <w:tc>
          <w:tcPr>
            <w:tcW w:w="655" w:type="dxa"/>
            <w:vAlign w:val="center"/>
          </w:tcPr>
          <w:p w14:paraId="53DF78A2" w14:textId="77777777" w:rsidR="00672297" w:rsidRDefault="00A16EA3">
            <w:pPr>
              <w:spacing w:before="20" w:after="20"/>
              <w:jc w:val="left"/>
            </w:pPr>
            <w:r>
              <w:rPr>
                <w:rFonts w:cstheme="minorHAnsi"/>
                <w:sz w:val="16"/>
                <w:szCs w:val="16"/>
              </w:rPr>
              <w:t>Y</w:t>
            </w:r>
          </w:p>
        </w:tc>
        <w:tc>
          <w:tcPr>
            <w:tcW w:w="655" w:type="dxa"/>
            <w:vAlign w:val="center"/>
          </w:tcPr>
          <w:p w14:paraId="3F23CC66" w14:textId="77777777" w:rsidR="00672297" w:rsidRDefault="00A16EA3">
            <w:pPr>
              <w:spacing w:before="20" w:after="20"/>
              <w:jc w:val="left"/>
            </w:pPr>
            <w:r>
              <w:rPr>
                <w:rFonts w:cstheme="minorHAnsi"/>
                <w:sz w:val="16"/>
                <w:szCs w:val="16"/>
              </w:rPr>
              <w:t>N</w:t>
            </w:r>
          </w:p>
        </w:tc>
        <w:tc>
          <w:tcPr>
            <w:tcW w:w="655" w:type="dxa"/>
            <w:vAlign w:val="center"/>
          </w:tcPr>
          <w:p w14:paraId="5B652DF5" w14:textId="77777777" w:rsidR="00672297" w:rsidRDefault="00A16EA3">
            <w:pPr>
              <w:spacing w:before="20" w:after="20"/>
              <w:jc w:val="left"/>
            </w:pPr>
            <w:r>
              <w:rPr>
                <w:rFonts w:cstheme="minorHAnsi"/>
                <w:sz w:val="16"/>
                <w:szCs w:val="16"/>
              </w:rPr>
              <w:t>N</w:t>
            </w:r>
          </w:p>
        </w:tc>
        <w:tc>
          <w:tcPr>
            <w:tcW w:w="1967" w:type="dxa"/>
            <w:vAlign w:val="center"/>
          </w:tcPr>
          <w:p w14:paraId="53A10617" w14:textId="77777777" w:rsidR="00672297" w:rsidRDefault="00672297">
            <w:pPr>
              <w:spacing w:before="20" w:after="20"/>
              <w:jc w:val="left"/>
            </w:pPr>
          </w:p>
        </w:tc>
      </w:tr>
    </w:tbl>
    <w:p w14:paraId="61AA903F" w14:textId="60396AB4" w:rsidR="00672297" w:rsidRDefault="00A16EA3">
      <w:pPr>
        <w:pStyle w:val="Caption"/>
      </w:pPr>
      <w:bookmarkStart w:id="582" w:name="_Toc900950077"/>
      <w:bookmarkStart w:id="583" w:name="_Toc241574713"/>
      <w:bookmarkStart w:id="584" w:name="_Toc242554097"/>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24</w:t>
      </w:r>
      <w:r>
        <w:fldChar w:fldCharType="end"/>
      </w:r>
      <w:r>
        <w:t>: Blending Potential Dashboard Power BI Attributes Mapping</w:t>
      </w:r>
      <w:bookmarkEnd w:id="582"/>
      <w:bookmarkEnd w:id="583"/>
      <w:bookmarkEnd w:id="584"/>
    </w:p>
    <w:p w14:paraId="676CA942" w14:textId="77777777" w:rsidR="00672297" w:rsidRDefault="00A16EA3">
      <w:pPr>
        <w:pStyle w:val="Heading3"/>
        <w:rPr>
          <w:rFonts w:asciiTheme="minorHAnsi" w:hAnsiTheme="minorHAnsi" w:cstheme="minorBidi"/>
          <w:sz w:val="20"/>
          <w:szCs w:val="20"/>
        </w:rPr>
      </w:pPr>
      <w:bookmarkStart w:id="585" w:name="_Toc241574353"/>
      <w:bookmarkStart w:id="586" w:name="_Toc242553975"/>
      <w:r>
        <w:rPr>
          <w:rFonts w:asciiTheme="minorHAnsi" w:hAnsiTheme="minorHAnsi" w:cstheme="minorBidi"/>
          <w:sz w:val="20"/>
          <w:szCs w:val="20"/>
        </w:rPr>
        <w:t>Distillate Dashboard</w:t>
      </w:r>
      <w:bookmarkEnd w:id="585"/>
      <w:bookmarkEnd w:id="586"/>
    </w:p>
    <w:p w14:paraId="4EA64A27" w14:textId="77777777" w:rsidR="00672297" w:rsidRDefault="00A16EA3">
      <w:pPr>
        <w:pStyle w:val="Heading4"/>
        <w:rPr>
          <w:rFonts w:asciiTheme="minorHAnsi" w:hAnsiTheme="minorHAnsi" w:cstheme="minorBidi"/>
          <w:sz w:val="20"/>
          <w:szCs w:val="20"/>
        </w:rPr>
      </w:pPr>
      <w:bookmarkStart w:id="587" w:name="_Toc900950079"/>
      <w:r>
        <w:rPr>
          <w:rFonts w:asciiTheme="minorHAnsi" w:hAnsiTheme="minorHAnsi" w:cstheme="minorBidi"/>
          <w:sz w:val="20"/>
          <w:szCs w:val="20"/>
        </w:rPr>
        <w:t>Purpose and Business Objective</w:t>
      </w:r>
      <w:bookmarkEnd w:id="587"/>
    </w:p>
    <w:p w14:paraId="5C7799B3" w14:textId="77777777" w:rsidR="00672297" w:rsidRDefault="00A16EA3">
      <w:pPr>
        <w:rPr>
          <w:rFonts w:cstheme="minorHAnsi"/>
          <w:sz w:val="20"/>
          <w:szCs w:val="20"/>
        </w:rPr>
      </w:pPr>
      <w:r>
        <w:rPr>
          <w:rFonts w:cstheme="minorHAnsi"/>
          <w:sz w:val="20"/>
          <w:szCs w:val="20"/>
        </w:rPr>
        <w:t>The Distillate Dashboard monitors batch-level distillate quality (ULSD No 1, ULSD No 2, Jet Fuel, Kerosene) across scheduled and in-transit batches to the North Region terminals. It gives terminal-wise visibility of Flash Point, Sulphur, Adjusted Cloud Point, T-90 and FBP against specification, so that stakeholders can verify compliance before delivery and relate batch quality to the source refinery.</w:t>
      </w:r>
    </w:p>
    <w:p w14:paraId="73505891" w14:textId="77777777" w:rsidR="00672297" w:rsidRDefault="00A16EA3">
      <w:pPr>
        <w:pStyle w:val="Heading4"/>
        <w:rPr>
          <w:rFonts w:asciiTheme="minorHAnsi" w:hAnsiTheme="minorHAnsi" w:cstheme="minorBidi"/>
          <w:sz w:val="20"/>
          <w:szCs w:val="20"/>
        </w:rPr>
      </w:pPr>
      <w:bookmarkStart w:id="588" w:name="_Toc900950080"/>
      <w:r>
        <w:rPr>
          <w:rFonts w:asciiTheme="minorHAnsi" w:hAnsiTheme="minorHAnsi" w:cstheme="minorBidi"/>
          <w:sz w:val="20"/>
          <w:szCs w:val="20"/>
        </w:rPr>
        <w:t>Dashboard Wireframe</w:t>
      </w:r>
      <w:bookmarkEnd w:id="588"/>
    </w:p>
    <w:p w14:paraId="6C62AC22" w14:textId="3207E509" w:rsidR="00672297" w:rsidRDefault="00A16EA3">
      <w:pPr>
        <w:pStyle w:val="Caption"/>
      </w:pPr>
      <w:bookmarkStart w:id="589" w:name="_Toc900950081"/>
      <w:bookmarkStart w:id="590" w:name="_Toc241574762"/>
      <w:bookmarkStart w:id="591" w:name="_Toc242554164"/>
      <w:r>
        <w:t xml:space="preserve">Figure </w:t>
      </w:r>
      <w:r>
        <w:fldChar w:fldCharType="begin"/>
      </w:r>
      <w:r>
        <w:instrText>STYLEREF 1 \s</w:instrText>
      </w:r>
      <w:r>
        <w:fldChar w:fldCharType="separate"/>
      </w:r>
      <w:r w:rsidR="00FC42E7">
        <w:rPr>
          <w:noProof/>
        </w:rPr>
        <w:t>4</w:t>
      </w:r>
      <w:r>
        <w:fldChar w:fldCharType="end"/>
      </w:r>
      <w:r>
        <w:t>-</w:t>
      </w:r>
      <w:r>
        <w:fldChar w:fldCharType="begin"/>
      </w:r>
      <w:r>
        <w:instrText>SEQ Figure \* ARABIC \s 1</w:instrText>
      </w:r>
      <w:r>
        <w:fldChar w:fldCharType="separate"/>
      </w:r>
      <w:r w:rsidR="00FC42E7">
        <w:rPr>
          <w:noProof/>
        </w:rPr>
        <w:t>5</w:t>
      </w:r>
      <w:r>
        <w:fldChar w:fldCharType="end"/>
      </w:r>
      <w:r>
        <w:t>: Distillate Dashboard Wireframe</w:t>
      </w:r>
      <w:bookmarkEnd w:id="589"/>
      <w:bookmarkEnd w:id="590"/>
      <w:bookmarkEnd w:id="591"/>
    </w:p>
    <w:p w14:paraId="26952C30" w14:textId="00E7452B" w:rsidR="002A4DF3" w:rsidRDefault="00B818A6">
      <w:pPr>
        <w:rPr>
          <w:rFonts w:cstheme="minorHAnsi"/>
          <w:sz w:val="20"/>
          <w:szCs w:val="20"/>
        </w:rPr>
      </w:pPr>
      <w:r>
        <w:rPr>
          <w:rFonts w:cstheme="minorHAnsi"/>
          <w:sz w:val="20"/>
          <w:szCs w:val="20"/>
        </w:rPr>
        <w:t xml:space="preserve">Wireframe can be accessed through this link: </w:t>
      </w:r>
      <w:hyperlink r:id="rId52" w:history="1">
        <w:r>
          <w:rPr>
            <w:rStyle w:val="Hyperlink"/>
            <w:rFonts w:cstheme="minorHAnsi"/>
            <w:szCs w:val="20"/>
          </w:rPr>
          <w:t>Distillate Dashboard</w:t>
        </w:r>
      </w:hyperlink>
    </w:p>
    <w:p w14:paraId="20727F20" w14:textId="77777777" w:rsidR="00672297" w:rsidRDefault="00A16EA3">
      <w:pPr>
        <w:pStyle w:val="Heading4"/>
        <w:rPr>
          <w:rFonts w:asciiTheme="minorHAnsi" w:hAnsiTheme="minorHAnsi" w:cstheme="minorBidi"/>
          <w:sz w:val="20"/>
          <w:szCs w:val="20"/>
        </w:rPr>
      </w:pPr>
      <w:bookmarkStart w:id="592" w:name="_Toc900950082"/>
      <w:r>
        <w:rPr>
          <w:rFonts w:asciiTheme="minorHAnsi" w:hAnsiTheme="minorHAnsi" w:cstheme="minorBidi"/>
          <w:sz w:val="20"/>
          <w:szCs w:val="20"/>
        </w:rPr>
        <w:t>Report Pages</w:t>
      </w:r>
      <w:bookmarkEnd w:id="592"/>
    </w:p>
    <w:tbl>
      <w:tblPr>
        <w:tblStyle w:val="TableGrid"/>
        <w:tblW w:w="9360" w:type="dxa"/>
        <w:tblLayout w:type="fixed"/>
        <w:tblCellMar>
          <w:left w:w="70" w:type="dxa"/>
          <w:right w:w="70" w:type="dxa"/>
        </w:tblCellMar>
        <w:tblLook w:val="04A0" w:firstRow="1" w:lastRow="0" w:firstColumn="1" w:lastColumn="0" w:noHBand="0" w:noVBand="1"/>
      </w:tblPr>
      <w:tblGrid>
        <w:gridCol w:w="2340"/>
        <w:gridCol w:w="7020"/>
      </w:tblGrid>
      <w:tr w:rsidR="00672297" w14:paraId="5487E246" w14:textId="77777777">
        <w:trPr>
          <w:cantSplit/>
          <w:tblHeader/>
        </w:trPr>
        <w:tc>
          <w:tcPr>
            <w:tcW w:w="2340" w:type="dxa"/>
            <w:shd w:val="clear" w:color="auto" w:fill="2F5496"/>
            <w:vAlign w:val="center"/>
          </w:tcPr>
          <w:p w14:paraId="6383C251" w14:textId="77777777" w:rsidR="00672297" w:rsidRDefault="00A16EA3">
            <w:pPr>
              <w:spacing w:before="20" w:after="20"/>
              <w:jc w:val="left"/>
            </w:pPr>
            <w:r>
              <w:rPr>
                <w:rFonts w:cstheme="minorHAnsi"/>
                <w:b/>
                <w:bCs/>
                <w:color w:val="FFFFFF"/>
                <w:sz w:val="20"/>
                <w:szCs w:val="20"/>
              </w:rPr>
              <w:t>Page Name</w:t>
            </w:r>
          </w:p>
        </w:tc>
        <w:tc>
          <w:tcPr>
            <w:tcW w:w="7020" w:type="dxa"/>
            <w:shd w:val="clear" w:color="auto" w:fill="2F5496"/>
            <w:vAlign w:val="center"/>
          </w:tcPr>
          <w:p w14:paraId="50C29982" w14:textId="77777777" w:rsidR="00672297" w:rsidRDefault="00A16EA3">
            <w:pPr>
              <w:spacing w:before="20" w:after="20"/>
              <w:jc w:val="left"/>
            </w:pPr>
            <w:r>
              <w:rPr>
                <w:rFonts w:cstheme="minorHAnsi"/>
                <w:b/>
                <w:bCs/>
                <w:color w:val="FFFFFF"/>
                <w:sz w:val="20"/>
                <w:szCs w:val="20"/>
              </w:rPr>
              <w:t>Purpose</w:t>
            </w:r>
          </w:p>
        </w:tc>
      </w:tr>
      <w:tr w:rsidR="00672297" w14:paraId="0CB480EC" w14:textId="77777777">
        <w:trPr>
          <w:cantSplit/>
        </w:trPr>
        <w:tc>
          <w:tcPr>
            <w:tcW w:w="2340" w:type="dxa"/>
            <w:vAlign w:val="center"/>
          </w:tcPr>
          <w:p w14:paraId="7C006D4B" w14:textId="77777777" w:rsidR="00672297" w:rsidRDefault="00A16EA3">
            <w:pPr>
              <w:spacing w:before="20" w:after="20"/>
              <w:jc w:val="left"/>
            </w:pPr>
            <w:r>
              <w:rPr>
                <w:rFonts w:cstheme="minorHAnsi"/>
                <w:sz w:val="20"/>
                <w:szCs w:val="20"/>
              </w:rPr>
              <w:t>Distillate Quality</w:t>
            </w:r>
          </w:p>
        </w:tc>
        <w:tc>
          <w:tcPr>
            <w:tcW w:w="7020" w:type="dxa"/>
            <w:vAlign w:val="center"/>
          </w:tcPr>
          <w:p w14:paraId="376DDC98" w14:textId="77777777" w:rsidR="00672297" w:rsidRDefault="00A16EA3">
            <w:pPr>
              <w:spacing w:before="20" w:after="20"/>
              <w:jc w:val="left"/>
            </w:pPr>
            <w:r>
              <w:rPr>
                <w:rFonts w:cstheme="minorHAnsi"/>
                <w:sz w:val="20"/>
                <w:szCs w:val="20"/>
              </w:rPr>
              <w:t>KPI cards, terminal-wise quality charts and batch-level quality table.</w:t>
            </w:r>
          </w:p>
        </w:tc>
      </w:tr>
      <w:tr w:rsidR="00672297" w14:paraId="04F9F40D" w14:textId="77777777">
        <w:trPr>
          <w:cantSplit/>
        </w:trPr>
        <w:tc>
          <w:tcPr>
            <w:tcW w:w="2340" w:type="dxa"/>
            <w:vAlign w:val="center"/>
          </w:tcPr>
          <w:p w14:paraId="03C29F13" w14:textId="77777777" w:rsidR="00672297" w:rsidRDefault="00A16EA3">
            <w:pPr>
              <w:spacing w:before="20" w:after="20"/>
              <w:jc w:val="left"/>
            </w:pPr>
            <w:r>
              <w:rPr>
                <w:rFonts w:cstheme="minorHAnsi"/>
                <w:sz w:val="20"/>
                <w:szCs w:val="20"/>
              </w:rPr>
              <w:t>User Guide</w:t>
            </w:r>
          </w:p>
        </w:tc>
        <w:tc>
          <w:tcPr>
            <w:tcW w:w="7020" w:type="dxa"/>
            <w:vAlign w:val="center"/>
          </w:tcPr>
          <w:p w14:paraId="5C5D5E5D" w14:textId="77777777" w:rsidR="00672297" w:rsidRDefault="00A16EA3">
            <w:pPr>
              <w:spacing w:before="20" w:after="20"/>
              <w:jc w:val="left"/>
            </w:pPr>
            <w:r>
              <w:rPr>
                <w:rFonts w:cstheme="minorHAnsi"/>
                <w:sz w:val="20"/>
                <w:szCs w:val="20"/>
              </w:rPr>
              <w:t>Data sources, visuals, formulas and metrics.</w:t>
            </w:r>
          </w:p>
        </w:tc>
      </w:tr>
    </w:tbl>
    <w:p w14:paraId="0414372C" w14:textId="48C2A68D" w:rsidR="00672297" w:rsidRDefault="00A16EA3">
      <w:pPr>
        <w:pStyle w:val="Caption"/>
      </w:pPr>
      <w:bookmarkStart w:id="593" w:name="_Toc900950083"/>
      <w:bookmarkStart w:id="594" w:name="_Toc241574714"/>
      <w:bookmarkStart w:id="595" w:name="_Toc242554098"/>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25</w:t>
      </w:r>
      <w:r>
        <w:fldChar w:fldCharType="end"/>
      </w:r>
      <w:r>
        <w:t>: Distillate Dashboard Report Pages</w:t>
      </w:r>
      <w:bookmarkEnd w:id="593"/>
      <w:bookmarkEnd w:id="594"/>
      <w:bookmarkEnd w:id="595"/>
    </w:p>
    <w:p w14:paraId="1695390D" w14:textId="77777777" w:rsidR="00672297" w:rsidRDefault="00A16EA3">
      <w:pPr>
        <w:pStyle w:val="Heading4"/>
        <w:rPr>
          <w:rFonts w:asciiTheme="minorHAnsi" w:hAnsiTheme="minorHAnsi" w:cstheme="minorBidi"/>
          <w:sz w:val="20"/>
          <w:szCs w:val="20"/>
        </w:rPr>
      </w:pPr>
      <w:bookmarkStart w:id="596" w:name="_Toc900950084"/>
      <w:r>
        <w:rPr>
          <w:rFonts w:asciiTheme="minorHAnsi" w:hAnsiTheme="minorHAnsi" w:cstheme="minorBidi"/>
          <w:sz w:val="20"/>
          <w:szCs w:val="20"/>
        </w:rPr>
        <w:t>Visuals &amp; Features</w:t>
      </w:r>
      <w:bookmarkEnd w:id="596"/>
    </w:p>
    <w:p w14:paraId="75BA65AF"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KPI Summary Cards</w:t>
      </w:r>
      <w:r>
        <w:rPr>
          <w:rFonts w:cstheme="minorHAnsi"/>
          <w:sz w:val="20"/>
          <w:szCs w:val="20"/>
        </w:rPr>
        <w:t xml:space="preserve"> - five cards (Flash Point Avg °F, Sulphur Avg ppm, Adj. Cloud Point Avg °F, T-90 Avg °F, FBP Avg °F), each with a Scheduled and an In-Transit value; "--" when no batch has a value.</w:t>
      </w:r>
    </w:p>
    <w:p w14:paraId="0ADBF319"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Terminal-wise Quality Charts</w:t>
      </w:r>
      <w:r>
        <w:rPr>
          <w:rFonts w:cstheme="minorHAnsi"/>
          <w:sz w:val="20"/>
          <w:szCs w:val="20"/>
        </w:rPr>
        <w:t xml:space="preserve"> - five clustered column charts (Flash, Sulphur, Adj. Cloud, T-90, FBP); x-axis = terminal short name (for example East Sparta, Columbus W, Columbus E, Muncie, Speedway, Mt Vernon); series In-Transit and Scheduled; the spec limit as a dotted constant line (Flash: SPEC ≥ minimum; Sulphur, Adj. Cloud, FBP: SPEC ≤ maximum; T-90: minimum and maximum); value labels on bars.</w:t>
      </w:r>
    </w:p>
    <w:p w14:paraId="3309B7C3"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Batch-level Distillate Quality Table</w:t>
      </w:r>
      <w:r>
        <w:rPr>
          <w:rFonts w:cstheme="minorHAnsi"/>
          <w:sz w:val="20"/>
          <w:szCs w:val="20"/>
        </w:rPr>
        <w:t xml:space="preserve"> - Check, Batch ID, Status, Product Name, Origin, Origin Tank, Destination, Destination Tank, Batch Volume (bbl), Mode of Transport, Start Time, ETA, and Min / Actual / Max for Flash (°F), Sulphur (ppm), Adj. Cloud Point (°F), T-90 (°F), FBP (°F), Freezing Point (°F) and Viscosity (cSt); Actual green within spec and red off spec.</w:t>
      </w:r>
    </w:p>
    <w:p w14:paraId="16DB77BA"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Terminal Drill-Down View</w:t>
      </w:r>
      <w:r>
        <w:rPr>
          <w:rFonts w:cstheme="minorHAnsi"/>
          <w:sz w:val="20"/>
          <w:szCs w:val="20"/>
        </w:rPr>
        <w:t xml:space="preserve"> - drilling down on a terminal switches the five charts to batch-wise bars with a trend line over the bar heads; the spec line is kept and the table is filtered to the terminal.</w:t>
      </w:r>
    </w:p>
    <w:p w14:paraId="7C8CE3C6" w14:textId="77777777" w:rsidR="00672297" w:rsidRDefault="00A16EA3">
      <w:pPr>
        <w:pStyle w:val="Heading4"/>
        <w:rPr>
          <w:rFonts w:asciiTheme="minorHAnsi" w:hAnsiTheme="minorHAnsi" w:cstheme="minorBidi"/>
          <w:sz w:val="20"/>
          <w:szCs w:val="20"/>
        </w:rPr>
      </w:pPr>
      <w:bookmarkStart w:id="597" w:name="_Toc900950085"/>
      <w:r>
        <w:rPr>
          <w:rFonts w:asciiTheme="minorHAnsi" w:hAnsiTheme="minorHAnsi" w:cstheme="minorBidi"/>
          <w:sz w:val="20"/>
          <w:szCs w:val="20"/>
        </w:rPr>
        <w:t>Interactive Filters &amp; Controls</w:t>
      </w:r>
      <w:bookmarkEnd w:id="597"/>
    </w:p>
    <w:p w14:paraId="440B0E8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Refinery, Terminal, Product (default ULSD No 2), Batch Status (default Scheduled + In-Transit), Quality (property), Batch ID and Date filters, as in the wireframe filter row.</w:t>
      </w:r>
    </w:p>
    <w:p w14:paraId="77392496"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Apply Filters button; Search and Export on the table; Last Refresh timestamp.</w:t>
      </w:r>
    </w:p>
    <w:p w14:paraId="663D7CA3" w14:textId="77777777" w:rsidR="00672297" w:rsidRDefault="00A16EA3">
      <w:pPr>
        <w:pStyle w:val="Heading4"/>
        <w:rPr>
          <w:rFonts w:asciiTheme="minorHAnsi" w:hAnsiTheme="minorHAnsi" w:cstheme="minorBidi"/>
          <w:sz w:val="20"/>
          <w:szCs w:val="20"/>
        </w:rPr>
      </w:pPr>
      <w:bookmarkStart w:id="598" w:name="_Toc900950086"/>
      <w:r>
        <w:rPr>
          <w:rFonts w:asciiTheme="minorHAnsi" w:hAnsiTheme="minorHAnsi" w:cstheme="minorBidi"/>
          <w:sz w:val="20"/>
          <w:szCs w:val="20"/>
        </w:rPr>
        <w:t>Backend Data Sources &amp; Mapping</w:t>
      </w:r>
      <w:bookmarkEnd w:id="598"/>
    </w:p>
    <w:tbl>
      <w:tblPr>
        <w:tblStyle w:val="TableGrid"/>
        <w:tblW w:w="9360" w:type="dxa"/>
        <w:tblLayout w:type="fixed"/>
        <w:tblCellMar>
          <w:left w:w="70" w:type="dxa"/>
          <w:right w:w="70" w:type="dxa"/>
        </w:tblCellMar>
        <w:tblLook w:val="04A0" w:firstRow="1" w:lastRow="0" w:firstColumn="1" w:lastColumn="0" w:noHBand="0" w:noVBand="1"/>
      </w:tblPr>
      <w:tblGrid>
        <w:gridCol w:w="2433"/>
        <w:gridCol w:w="1310"/>
        <w:gridCol w:w="1872"/>
        <w:gridCol w:w="2620"/>
        <w:gridCol w:w="1125"/>
      </w:tblGrid>
      <w:tr w:rsidR="00672297" w14:paraId="58843837" w14:textId="77777777">
        <w:trPr>
          <w:cantSplit/>
          <w:tblHeader/>
        </w:trPr>
        <w:tc>
          <w:tcPr>
            <w:tcW w:w="2433" w:type="dxa"/>
            <w:shd w:val="clear" w:color="auto" w:fill="2F5496"/>
            <w:vAlign w:val="center"/>
          </w:tcPr>
          <w:p w14:paraId="5FE353A7" w14:textId="77777777" w:rsidR="00672297" w:rsidRDefault="00A16EA3">
            <w:pPr>
              <w:spacing w:before="20" w:after="20"/>
              <w:jc w:val="left"/>
            </w:pPr>
            <w:r>
              <w:rPr>
                <w:rFonts w:cstheme="minorHAnsi"/>
                <w:b/>
                <w:bCs/>
                <w:color w:val="FFFFFF"/>
                <w:sz w:val="18"/>
                <w:szCs w:val="18"/>
              </w:rPr>
              <w:t>Data Type</w:t>
            </w:r>
          </w:p>
        </w:tc>
        <w:tc>
          <w:tcPr>
            <w:tcW w:w="1310" w:type="dxa"/>
            <w:shd w:val="clear" w:color="auto" w:fill="2F5496"/>
            <w:vAlign w:val="center"/>
          </w:tcPr>
          <w:p w14:paraId="2F0D10B9" w14:textId="77777777" w:rsidR="00672297" w:rsidRDefault="00A16EA3">
            <w:pPr>
              <w:spacing w:before="20" w:after="20"/>
              <w:jc w:val="left"/>
            </w:pPr>
            <w:r>
              <w:rPr>
                <w:rFonts w:cstheme="minorHAnsi"/>
                <w:b/>
                <w:bCs/>
                <w:color w:val="FFFFFF"/>
                <w:sz w:val="18"/>
                <w:szCs w:val="18"/>
              </w:rPr>
              <w:t>Source System</w:t>
            </w:r>
          </w:p>
        </w:tc>
        <w:tc>
          <w:tcPr>
            <w:tcW w:w="1872" w:type="dxa"/>
            <w:shd w:val="clear" w:color="auto" w:fill="2F5496"/>
            <w:vAlign w:val="center"/>
          </w:tcPr>
          <w:p w14:paraId="234767FE" w14:textId="77777777" w:rsidR="00672297" w:rsidRDefault="00A16EA3">
            <w:pPr>
              <w:spacing w:before="20" w:after="20"/>
              <w:jc w:val="left"/>
            </w:pPr>
            <w:r>
              <w:rPr>
                <w:rFonts w:cstheme="minorHAnsi"/>
                <w:b/>
                <w:bCs/>
                <w:color w:val="FFFFFF"/>
                <w:sz w:val="18"/>
                <w:szCs w:val="18"/>
              </w:rPr>
              <w:t>Primary Table / Source</w:t>
            </w:r>
          </w:p>
        </w:tc>
        <w:tc>
          <w:tcPr>
            <w:tcW w:w="2620" w:type="dxa"/>
            <w:shd w:val="clear" w:color="auto" w:fill="2F5496"/>
            <w:vAlign w:val="center"/>
          </w:tcPr>
          <w:p w14:paraId="056D4C80" w14:textId="77777777" w:rsidR="00672297" w:rsidRDefault="00A16EA3">
            <w:pPr>
              <w:spacing w:before="20" w:after="20"/>
              <w:jc w:val="left"/>
            </w:pPr>
            <w:r>
              <w:rPr>
                <w:rFonts w:cstheme="minorHAnsi"/>
                <w:b/>
                <w:bCs/>
                <w:color w:val="FFFFFF"/>
                <w:sz w:val="18"/>
                <w:szCs w:val="18"/>
              </w:rPr>
              <w:t>Purpose</w:t>
            </w:r>
          </w:p>
        </w:tc>
        <w:tc>
          <w:tcPr>
            <w:tcW w:w="1125" w:type="dxa"/>
            <w:shd w:val="clear" w:color="auto" w:fill="2F5496"/>
            <w:vAlign w:val="center"/>
          </w:tcPr>
          <w:p w14:paraId="4D1C7A14" w14:textId="77777777" w:rsidR="00672297" w:rsidRDefault="00A16EA3">
            <w:pPr>
              <w:spacing w:before="20" w:after="20"/>
              <w:jc w:val="left"/>
            </w:pPr>
            <w:r>
              <w:rPr>
                <w:rFonts w:cstheme="minorHAnsi"/>
                <w:b/>
                <w:bCs/>
                <w:color w:val="FFFFFF"/>
                <w:sz w:val="18"/>
                <w:szCs w:val="18"/>
              </w:rPr>
              <w:t>IQDM</w:t>
            </w:r>
          </w:p>
        </w:tc>
      </w:tr>
      <w:tr w:rsidR="00672297" w14:paraId="2E3DF2CE" w14:textId="77777777">
        <w:trPr>
          <w:cantSplit/>
        </w:trPr>
        <w:tc>
          <w:tcPr>
            <w:tcW w:w="2433" w:type="dxa"/>
            <w:vAlign w:val="center"/>
          </w:tcPr>
          <w:p w14:paraId="636D85D9" w14:textId="77777777" w:rsidR="00672297" w:rsidRDefault="00A16EA3">
            <w:pPr>
              <w:spacing w:before="20" w:after="20"/>
              <w:jc w:val="left"/>
            </w:pPr>
            <w:r>
              <w:rPr>
                <w:rFonts w:cstheme="minorHAnsi"/>
                <w:sz w:val="18"/>
                <w:szCs w:val="18"/>
              </w:rPr>
              <w:t>Scheduled / In-Transit batches (refinery)</w:t>
            </w:r>
          </w:p>
        </w:tc>
        <w:tc>
          <w:tcPr>
            <w:tcW w:w="1310" w:type="dxa"/>
            <w:vAlign w:val="center"/>
          </w:tcPr>
          <w:p w14:paraId="7BB4B6F0" w14:textId="77777777" w:rsidR="00672297" w:rsidRDefault="00A16EA3">
            <w:pPr>
              <w:spacing w:before="20" w:after="20"/>
              <w:jc w:val="left"/>
            </w:pPr>
            <w:r>
              <w:rPr>
                <w:rFonts w:cstheme="minorHAnsi"/>
                <w:sz w:val="18"/>
                <w:szCs w:val="18"/>
              </w:rPr>
              <w:t>Refinery APS</w:t>
            </w:r>
          </w:p>
        </w:tc>
        <w:tc>
          <w:tcPr>
            <w:tcW w:w="1872" w:type="dxa"/>
            <w:vAlign w:val="center"/>
          </w:tcPr>
          <w:p w14:paraId="5EDAFE9C" w14:textId="77777777" w:rsidR="00672297" w:rsidRDefault="00A16EA3">
            <w:pPr>
              <w:spacing w:before="20" w:after="20"/>
              <w:jc w:val="left"/>
            </w:pPr>
            <w:r>
              <w:rPr>
                <w:rFonts w:cstheme="minorHAnsi"/>
                <w:sz w:val="18"/>
                <w:szCs w:val="18"/>
              </w:rPr>
              <w:t>_EVENT (event type 15)</w:t>
            </w:r>
          </w:p>
        </w:tc>
        <w:tc>
          <w:tcPr>
            <w:tcW w:w="2620" w:type="dxa"/>
            <w:vAlign w:val="center"/>
          </w:tcPr>
          <w:p w14:paraId="12669665" w14:textId="77777777" w:rsidR="00672297" w:rsidRDefault="00A16EA3">
            <w:pPr>
              <w:spacing w:before="20" w:after="20"/>
              <w:jc w:val="left"/>
            </w:pPr>
            <w:r>
              <w:rPr>
                <w:rFonts w:cstheme="minorHAnsi"/>
                <w:sz w:val="18"/>
                <w:szCs w:val="18"/>
              </w:rPr>
              <w:t>Batch schedule, source, destination, tanks, volumes, ETA</w:t>
            </w:r>
          </w:p>
        </w:tc>
        <w:tc>
          <w:tcPr>
            <w:tcW w:w="1125" w:type="dxa"/>
            <w:vAlign w:val="center"/>
          </w:tcPr>
          <w:p w14:paraId="04A44D81" w14:textId="77777777" w:rsidR="00672297" w:rsidRDefault="00A16EA3">
            <w:pPr>
              <w:spacing w:before="20" w:after="20"/>
              <w:jc w:val="left"/>
            </w:pPr>
            <w:r>
              <w:rPr>
                <w:rFonts w:cstheme="minorHAnsi"/>
                <w:sz w:val="18"/>
                <w:szCs w:val="18"/>
              </w:rPr>
              <w:t>Yes-R#1</w:t>
            </w:r>
          </w:p>
        </w:tc>
      </w:tr>
      <w:tr w:rsidR="00672297" w14:paraId="51713BC7" w14:textId="77777777">
        <w:trPr>
          <w:cantSplit/>
        </w:trPr>
        <w:tc>
          <w:tcPr>
            <w:tcW w:w="2433" w:type="dxa"/>
            <w:vAlign w:val="center"/>
          </w:tcPr>
          <w:p w14:paraId="1998915F" w14:textId="77777777" w:rsidR="00672297" w:rsidRDefault="00A16EA3">
            <w:pPr>
              <w:spacing w:before="20" w:after="20"/>
              <w:jc w:val="left"/>
            </w:pPr>
            <w:r>
              <w:rPr>
                <w:rFonts w:cstheme="minorHAnsi"/>
                <w:sz w:val="18"/>
                <w:szCs w:val="18"/>
              </w:rPr>
              <w:t>Scheduled / In-Transit movement (terminal)</w:t>
            </w:r>
          </w:p>
        </w:tc>
        <w:tc>
          <w:tcPr>
            <w:tcW w:w="1310" w:type="dxa"/>
            <w:vAlign w:val="center"/>
          </w:tcPr>
          <w:p w14:paraId="0D0D9666" w14:textId="77777777" w:rsidR="00672297" w:rsidRDefault="00A16EA3">
            <w:pPr>
              <w:spacing w:before="20" w:after="20"/>
              <w:jc w:val="left"/>
            </w:pPr>
            <w:r>
              <w:rPr>
                <w:rFonts w:cstheme="minorHAnsi"/>
                <w:sz w:val="18"/>
                <w:szCs w:val="18"/>
              </w:rPr>
              <w:t>Kittyhawk</w:t>
            </w:r>
          </w:p>
        </w:tc>
        <w:tc>
          <w:tcPr>
            <w:tcW w:w="1872" w:type="dxa"/>
            <w:vAlign w:val="center"/>
          </w:tcPr>
          <w:p w14:paraId="5D4F72F6" w14:textId="77777777" w:rsidR="00672297" w:rsidRDefault="00A16EA3">
            <w:pPr>
              <w:spacing w:before="20" w:after="20"/>
              <w:jc w:val="left"/>
            </w:pPr>
            <w:r>
              <w:rPr>
                <w:rFonts w:cstheme="minorHAnsi"/>
                <w:sz w:val="18"/>
                <w:szCs w:val="18"/>
              </w:rPr>
              <w:t>Transfer / BulkTransfer</w:t>
            </w:r>
          </w:p>
        </w:tc>
        <w:tc>
          <w:tcPr>
            <w:tcW w:w="2620" w:type="dxa"/>
            <w:vAlign w:val="center"/>
          </w:tcPr>
          <w:p w14:paraId="4BFA3224" w14:textId="77777777" w:rsidR="00672297" w:rsidRDefault="00A16EA3">
            <w:pPr>
              <w:spacing w:before="20" w:after="20"/>
              <w:jc w:val="left"/>
            </w:pPr>
            <w:r>
              <w:rPr>
                <w:rFonts w:cstheme="minorHAnsi"/>
                <w:sz w:val="18"/>
                <w:szCs w:val="18"/>
              </w:rPr>
              <w:t>Destination, tanks, volumes, ETA</w:t>
            </w:r>
          </w:p>
        </w:tc>
        <w:tc>
          <w:tcPr>
            <w:tcW w:w="1125" w:type="dxa"/>
            <w:vAlign w:val="center"/>
          </w:tcPr>
          <w:p w14:paraId="586262B2" w14:textId="77777777" w:rsidR="00672297" w:rsidRDefault="00A16EA3">
            <w:pPr>
              <w:spacing w:before="20" w:after="20"/>
              <w:jc w:val="left"/>
            </w:pPr>
            <w:r>
              <w:rPr>
                <w:rFonts w:cstheme="minorHAnsi"/>
                <w:sz w:val="18"/>
                <w:szCs w:val="18"/>
              </w:rPr>
              <w:t>Yes-R#2</w:t>
            </w:r>
          </w:p>
        </w:tc>
      </w:tr>
      <w:tr w:rsidR="00672297" w14:paraId="20DD852B" w14:textId="77777777">
        <w:trPr>
          <w:cantSplit/>
        </w:trPr>
        <w:tc>
          <w:tcPr>
            <w:tcW w:w="2433" w:type="dxa"/>
            <w:vAlign w:val="center"/>
          </w:tcPr>
          <w:p w14:paraId="000F1777" w14:textId="77777777" w:rsidR="00672297" w:rsidRDefault="00A16EA3">
            <w:pPr>
              <w:spacing w:before="20" w:after="20"/>
              <w:jc w:val="left"/>
            </w:pPr>
            <w:r>
              <w:rPr>
                <w:rFonts w:cstheme="minorHAnsi"/>
                <w:sz w:val="18"/>
                <w:szCs w:val="18"/>
              </w:rPr>
              <w:t>In-Transit movements (barges)</w:t>
            </w:r>
          </w:p>
        </w:tc>
        <w:tc>
          <w:tcPr>
            <w:tcW w:w="1310" w:type="dxa"/>
            <w:vAlign w:val="center"/>
          </w:tcPr>
          <w:p w14:paraId="5E03DF5C" w14:textId="77777777" w:rsidR="00672297" w:rsidRDefault="00A16EA3">
            <w:pPr>
              <w:spacing w:before="20" w:after="20"/>
              <w:jc w:val="left"/>
            </w:pPr>
            <w:r>
              <w:rPr>
                <w:rFonts w:cstheme="minorHAnsi"/>
                <w:sz w:val="18"/>
                <w:szCs w:val="18"/>
              </w:rPr>
              <w:t>Towworks</w:t>
            </w:r>
          </w:p>
        </w:tc>
        <w:tc>
          <w:tcPr>
            <w:tcW w:w="1872" w:type="dxa"/>
            <w:vAlign w:val="center"/>
          </w:tcPr>
          <w:p w14:paraId="559CAFED" w14:textId="77777777" w:rsidR="00672297" w:rsidRDefault="00A16EA3">
            <w:pPr>
              <w:spacing w:before="20" w:after="20"/>
              <w:jc w:val="left"/>
            </w:pPr>
            <w:r>
              <w:rPr>
                <w:rFonts w:cstheme="minorHAnsi"/>
                <w:sz w:val="18"/>
                <w:szCs w:val="18"/>
              </w:rPr>
              <w:t>v_OrderDetail</w:t>
            </w:r>
          </w:p>
        </w:tc>
        <w:tc>
          <w:tcPr>
            <w:tcW w:w="2620" w:type="dxa"/>
            <w:vAlign w:val="center"/>
          </w:tcPr>
          <w:p w14:paraId="771606F6" w14:textId="77777777" w:rsidR="00672297" w:rsidRDefault="00A16EA3">
            <w:pPr>
              <w:spacing w:before="20" w:after="20"/>
              <w:jc w:val="left"/>
            </w:pPr>
            <w:r>
              <w:rPr>
                <w:rFonts w:cstheme="minorHAnsi"/>
                <w:sz w:val="18"/>
                <w:szCs w:val="18"/>
              </w:rPr>
              <w:t>Movements, volumes, ETA</w:t>
            </w:r>
          </w:p>
        </w:tc>
        <w:tc>
          <w:tcPr>
            <w:tcW w:w="1125" w:type="dxa"/>
            <w:vAlign w:val="center"/>
          </w:tcPr>
          <w:p w14:paraId="231612D7" w14:textId="77777777" w:rsidR="00672297" w:rsidRDefault="00A16EA3">
            <w:pPr>
              <w:spacing w:before="20" w:after="20"/>
              <w:jc w:val="left"/>
            </w:pPr>
            <w:r>
              <w:rPr>
                <w:rFonts w:cstheme="minorHAnsi"/>
                <w:sz w:val="18"/>
                <w:szCs w:val="18"/>
              </w:rPr>
              <w:t>Yes-R#2</w:t>
            </w:r>
          </w:p>
        </w:tc>
      </w:tr>
      <w:tr w:rsidR="00672297" w14:paraId="278E0421" w14:textId="77777777">
        <w:trPr>
          <w:cantSplit/>
        </w:trPr>
        <w:tc>
          <w:tcPr>
            <w:tcW w:w="2433" w:type="dxa"/>
            <w:vAlign w:val="center"/>
          </w:tcPr>
          <w:p w14:paraId="6D4A8BE6" w14:textId="77777777" w:rsidR="00672297" w:rsidRDefault="00A16EA3">
            <w:pPr>
              <w:spacing w:before="20" w:after="20"/>
              <w:jc w:val="left"/>
            </w:pPr>
            <w:r>
              <w:rPr>
                <w:rFonts w:cstheme="minorHAnsi"/>
                <w:sz w:val="18"/>
                <w:szCs w:val="18"/>
              </w:rPr>
              <w:t>Certified qualities - refinery</w:t>
            </w:r>
          </w:p>
        </w:tc>
        <w:tc>
          <w:tcPr>
            <w:tcW w:w="1310" w:type="dxa"/>
            <w:vAlign w:val="center"/>
          </w:tcPr>
          <w:p w14:paraId="5FE5E91E" w14:textId="77777777" w:rsidR="00672297" w:rsidRDefault="00A16EA3">
            <w:pPr>
              <w:spacing w:before="20" w:after="20"/>
              <w:jc w:val="left"/>
            </w:pPr>
            <w:r>
              <w:rPr>
                <w:rFonts w:cstheme="minorHAnsi"/>
                <w:sz w:val="18"/>
                <w:szCs w:val="18"/>
              </w:rPr>
              <w:t>APS / LIMS</w:t>
            </w:r>
          </w:p>
        </w:tc>
        <w:tc>
          <w:tcPr>
            <w:tcW w:w="1872" w:type="dxa"/>
            <w:vAlign w:val="center"/>
          </w:tcPr>
          <w:p w14:paraId="122D19C4" w14:textId="77777777" w:rsidR="00672297" w:rsidRDefault="00A16EA3">
            <w:pPr>
              <w:spacing w:before="20" w:after="20"/>
              <w:jc w:val="left"/>
            </w:pPr>
            <w:r>
              <w:rPr>
                <w:rFonts w:cstheme="minorHAnsi"/>
                <w:sz w:val="18"/>
                <w:szCs w:val="18"/>
              </w:rPr>
              <w:t>Quality tags</w:t>
            </w:r>
          </w:p>
        </w:tc>
        <w:tc>
          <w:tcPr>
            <w:tcW w:w="2620" w:type="dxa"/>
            <w:vAlign w:val="center"/>
          </w:tcPr>
          <w:p w14:paraId="67421CF6" w14:textId="77777777" w:rsidR="00672297" w:rsidRDefault="00A16EA3">
            <w:pPr>
              <w:spacing w:before="20" w:after="20"/>
              <w:jc w:val="left"/>
            </w:pPr>
            <w:r>
              <w:rPr>
                <w:rFonts w:cstheme="minorHAnsi"/>
                <w:sz w:val="18"/>
                <w:szCs w:val="18"/>
              </w:rPr>
              <w:t>Flash, Sulphur, Adj. Cloud, T-90, FBP, Freezing Point, Viscosity</w:t>
            </w:r>
          </w:p>
        </w:tc>
        <w:tc>
          <w:tcPr>
            <w:tcW w:w="1125" w:type="dxa"/>
            <w:vAlign w:val="center"/>
          </w:tcPr>
          <w:p w14:paraId="6E5E0260" w14:textId="77777777" w:rsidR="00672297" w:rsidRDefault="00A16EA3">
            <w:pPr>
              <w:spacing w:before="20" w:after="20"/>
              <w:jc w:val="left"/>
            </w:pPr>
            <w:r>
              <w:rPr>
                <w:rFonts w:cstheme="minorHAnsi"/>
                <w:sz w:val="18"/>
                <w:szCs w:val="18"/>
              </w:rPr>
              <w:t>Yes-R#1</w:t>
            </w:r>
          </w:p>
        </w:tc>
      </w:tr>
      <w:tr w:rsidR="00672297" w14:paraId="70CD1B77" w14:textId="77777777">
        <w:trPr>
          <w:cantSplit/>
        </w:trPr>
        <w:tc>
          <w:tcPr>
            <w:tcW w:w="2433" w:type="dxa"/>
            <w:vAlign w:val="center"/>
          </w:tcPr>
          <w:p w14:paraId="0E412528" w14:textId="77777777" w:rsidR="00672297" w:rsidRDefault="00A16EA3">
            <w:pPr>
              <w:spacing w:before="20" w:after="20"/>
              <w:jc w:val="left"/>
            </w:pPr>
            <w:r>
              <w:rPr>
                <w:rFonts w:cstheme="minorHAnsi"/>
                <w:sz w:val="18"/>
                <w:szCs w:val="18"/>
              </w:rPr>
              <w:t>Certified qualities - terminal</w:t>
            </w:r>
          </w:p>
        </w:tc>
        <w:tc>
          <w:tcPr>
            <w:tcW w:w="1310" w:type="dxa"/>
            <w:vAlign w:val="center"/>
          </w:tcPr>
          <w:p w14:paraId="743B27BA" w14:textId="77777777" w:rsidR="00672297" w:rsidRDefault="00A16EA3">
            <w:pPr>
              <w:spacing w:before="20" w:after="20"/>
              <w:jc w:val="left"/>
            </w:pPr>
            <w:r>
              <w:rPr>
                <w:rFonts w:cstheme="minorHAnsi"/>
                <w:sz w:val="18"/>
                <w:szCs w:val="18"/>
              </w:rPr>
              <w:t>PQCore</w:t>
            </w:r>
          </w:p>
        </w:tc>
        <w:tc>
          <w:tcPr>
            <w:tcW w:w="1872" w:type="dxa"/>
            <w:vAlign w:val="center"/>
          </w:tcPr>
          <w:p w14:paraId="1C6FED41" w14:textId="77777777" w:rsidR="00672297" w:rsidRDefault="00A16EA3">
            <w:pPr>
              <w:spacing w:before="20" w:after="20"/>
              <w:jc w:val="left"/>
            </w:pPr>
            <w:r>
              <w:rPr>
                <w:rFonts w:cstheme="minorHAnsi"/>
                <w:sz w:val="18"/>
                <w:szCs w:val="18"/>
              </w:rPr>
              <w:t>Quality tags</w:t>
            </w:r>
          </w:p>
        </w:tc>
        <w:tc>
          <w:tcPr>
            <w:tcW w:w="2620" w:type="dxa"/>
            <w:vAlign w:val="center"/>
          </w:tcPr>
          <w:p w14:paraId="0CED92A2" w14:textId="77777777" w:rsidR="00672297" w:rsidRDefault="00A16EA3">
            <w:pPr>
              <w:spacing w:before="20" w:after="20"/>
              <w:jc w:val="left"/>
            </w:pPr>
            <w:r>
              <w:rPr>
                <w:rFonts w:cstheme="minorHAnsi"/>
                <w:sz w:val="18"/>
                <w:szCs w:val="18"/>
              </w:rPr>
              <w:t>Same properties at the terminal</w:t>
            </w:r>
          </w:p>
        </w:tc>
        <w:tc>
          <w:tcPr>
            <w:tcW w:w="1125" w:type="dxa"/>
            <w:vAlign w:val="center"/>
          </w:tcPr>
          <w:p w14:paraId="111F174A" w14:textId="77777777" w:rsidR="00672297" w:rsidRDefault="00A16EA3">
            <w:pPr>
              <w:spacing w:before="20" w:after="20"/>
              <w:jc w:val="left"/>
            </w:pPr>
            <w:r>
              <w:rPr>
                <w:rFonts w:cstheme="minorHAnsi"/>
                <w:sz w:val="18"/>
                <w:szCs w:val="18"/>
              </w:rPr>
              <w:t>Yes-R#2</w:t>
            </w:r>
          </w:p>
        </w:tc>
      </w:tr>
      <w:tr w:rsidR="00672297" w14:paraId="2D910895" w14:textId="77777777">
        <w:trPr>
          <w:cantSplit/>
        </w:trPr>
        <w:tc>
          <w:tcPr>
            <w:tcW w:w="2433" w:type="dxa"/>
            <w:vAlign w:val="center"/>
          </w:tcPr>
          <w:p w14:paraId="07A39D2B" w14:textId="77777777" w:rsidR="00672297" w:rsidRDefault="00A16EA3">
            <w:pPr>
              <w:spacing w:before="20" w:after="20"/>
              <w:jc w:val="left"/>
            </w:pPr>
            <w:r>
              <w:rPr>
                <w:rFonts w:cstheme="minorHAnsi"/>
                <w:sz w:val="18"/>
                <w:szCs w:val="18"/>
              </w:rPr>
              <w:t>Blend component movement / inventory (biodiesel)</w:t>
            </w:r>
          </w:p>
        </w:tc>
        <w:tc>
          <w:tcPr>
            <w:tcW w:w="1310" w:type="dxa"/>
            <w:vAlign w:val="center"/>
          </w:tcPr>
          <w:p w14:paraId="2AD134B1" w14:textId="77777777" w:rsidR="00672297" w:rsidRDefault="00A16EA3">
            <w:pPr>
              <w:spacing w:before="20" w:after="20"/>
              <w:jc w:val="left"/>
            </w:pPr>
            <w:r>
              <w:rPr>
                <w:rFonts w:cstheme="minorHAnsi"/>
                <w:sz w:val="18"/>
                <w:szCs w:val="18"/>
              </w:rPr>
              <w:t>Kittyhawk / PIAF</w:t>
            </w:r>
          </w:p>
        </w:tc>
        <w:tc>
          <w:tcPr>
            <w:tcW w:w="1872" w:type="dxa"/>
            <w:vAlign w:val="center"/>
          </w:tcPr>
          <w:p w14:paraId="36DF3B60" w14:textId="77777777" w:rsidR="00672297" w:rsidRDefault="00A16EA3">
            <w:pPr>
              <w:spacing w:before="20" w:after="20"/>
              <w:jc w:val="left"/>
            </w:pPr>
            <w:r>
              <w:rPr>
                <w:rFonts w:cstheme="minorHAnsi"/>
                <w:sz w:val="18"/>
                <w:szCs w:val="18"/>
              </w:rPr>
              <w:t>Transfer / Inventory / PI tags</w:t>
            </w:r>
          </w:p>
        </w:tc>
        <w:tc>
          <w:tcPr>
            <w:tcW w:w="2620" w:type="dxa"/>
            <w:vAlign w:val="center"/>
          </w:tcPr>
          <w:p w14:paraId="2CF599E2" w14:textId="77777777" w:rsidR="00672297" w:rsidRDefault="00A16EA3">
            <w:pPr>
              <w:spacing w:before="20" w:after="20"/>
              <w:jc w:val="left"/>
            </w:pPr>
            <w:r>
              <w:rPr>
                <w:rFonts w:cstheme="minorHAnsi"/>
                <w:sz w:val="18"/>
                <w:szCs w:val="18"/>
              </w:rPr>
              <w:t>Biodiesel planned movement and inventory</w:t>
            </w:r>
          </w:p>
        </w:tc>
        <w:tc>
          <w:tcPr>
            <w:tcW w:w="1125" w:type="dxa"/>
            <w:vAlign w:val="center"/>
          </w:tcPr>
          <w:p w14:paraId="651D3BEE" w14:textId="77777777" w:rsidR="00672297" w:rsidRDefault="00A16EA3">
            <w:pPr>
              <w:spacing w:before="20" w:after="20"/>
              <w:jc w:val="left"/>
            </w:pPr>
            <w:r>
              <w:rPr>
                <w:rFonts w:cstheme="minorHAnsi"/>
                <w:sz w:val="18"/>
                <w:szCs w:val="18"/>
              </w:rPr>
              <w:t>Yes-R#2 / R#4</w:t>
            </w:r>
          </w:p>
        </w:tc>
      </w:tr>
      <w:tr w:rsidR="00672297" w14:paraId="32AF86A2" w14:textId="77777777">
        <w:trPr>
          <w:cantSplit/>
        </w:trPr>
        <w:tc>
          <w:tcPr>
            <w:tcW w:w="2433" w:type="dxa"/>
            <w:vAlign w:val="center"/>
          </w:tcPr>
          <w:p w14:paraId="3002FDEB" w14:textId="77777777" w:rsidR="00672297" w:rsidRDefault="00A16EA3">
            <w:pPr>
              <w:spacing w:before="20" w:after="20"/>
              <w:jc w:val="left"/>
            </w:pPr>
            <w:r>
              <w:rPr>
                <w:rFonts w:cstheme="minorHAnsi"/>
                <w:sz w:val="18"/>
                <w:szCs w:val="18"/>
              </w:rPr>
              <w:t>Product specifications</w:t>
            </w:r>
          </w:p>
        </w:tc>
        <w:tc>
          <w:tcPr>
            <w:tcW w:w="1310" w:type="dxa"/>
            <w:vAlign w:val="center"/>
          </w:tcPr>
          <w:p w14:paraId="7DD3E647" w14:textId="77777777" w:rsidR="00672297" w:rsidRDefault="00A16EA3">
            <w:pPr>
              <w:spacing w:before="20" w:after="20"/>
              <w:jc w:val="left"/>
            </w:pPr>
            <w:r>
              <w:rPr>
                <w:rFonts w:cstheme="minorHAnsi"/>
                <w:sz w:val="18"/>
                <w:szCs w:val="18"/>
              </w:rPr>
              <w:t>PQ Spec Shop</w:t>
            </w:r>
          </w:p>
        </w:tc>
        <w:tc>
          <w:tcPr>
            <w:tcW w:w="1872" w:type="dxa"/>
            <w:vAlign w:val="center"/>
          </w:tcPr>
          <w:p w14:paraId="45361DB1" w14:textId="77777777" w:rsidR="00672297" w:rsidRDefault="00A16EA3">
            <w:pPr>
              <w:spacing w:before="20" w:after="20"/>
              <w:jc w:val="left"/>
            </w:pPr>
            <w:r>
              <w:rPr>
                <w:rFonts w:cstheme="minorHAnsi"/>
                <w:sz w:val="18"/>
                <w:szCs w:val="18"/>
              </w:rPr>
              <w:t>product_specification</w:t>
            </w:r>
          </w:p>
        </w:tc>
        <w:tc>
          <w:tcPr>
            <w:tcW w:w="2620" w:type="dxa"/>
            <w:vAlign w:val="center"/>
          </w:tcPr>
          <w:p w14:paraId="481DD85B" w14:textId="77777777" w:rsidR="00672297" w:rsidRDefault="00A16EA3">
            <w:pPr>
              <w:spacing w:before="20" w:after="20"/>
              <w:jc w:val="left"/>
            </w:pPr>
            <w:r>
              <w:rPr>
                <w:rFonts w:cstheme="minorHAnsi"/>
                <w:sz w:val="18"/>
                <w:szCs w:val="18"/>
              </w:rPr>
              <w:t>Min / Max per grade</w:t>
            </w:r>
          </w:p>
        </w:tc>
        <w:tc>
          <w:tcPr>
            <w:tcW w:w="1125" w:type="dxa"/>
            <w:vAlign w:val="center"/>
          </w:tcPr>
          <w:p w14:paraId="3C01F8B8" w14:textId="77777777" w:rsidR="00672297" w:rsidRDefault="00A16EA3">
            <w:pPr>
              <w:spacing w:before="20" w:after="20"/>
              <w:jc w:val="left"/>
            </w:pPr>
            <w:r>
              <w:rPr>
                <w:rFonts w:cstheme="minorHAnsi"/>
                <w:sz w:val="18"/>
                <w:szCs w:val="18"/>
              </w:rPr>
              <w:t>Yes-R#5</w:t>
            </w:r>
          </w:p>
        </w:tc>
      </w:tr>
      <w:tr w:rsidR="00672297" w14:paraId="1DCBB15B" w14:textId="77777777">
        <w:trPr>
          <w:cantSplit/>
        </w:trPr>
        <w:tc>
          <w:tcPr>
            <w:tcW w:w="2433" w:type="dxa"/>
            <w:vAlign w:val="center"/>
          </w:tcPr>
          <w:p w14:paraId="12CCBBE3" w14:textId="77777777" w:rsidR="00672297" w:rsidRDefault="00A16EA3">
            <w:pPr>
              <w:spacing w:before="20" w:after="20"/>
              <w:jc w:val="left"/>
            </w:pPr>
            <w:r>
              <w:rPr>
                <w:rFonts w:cstheme="minorHAnsi"/>
                <w:sz w:val="18"/>
                <w:szCs w:val="18"/>
              </w:rPr>
              <w:t>Terminal master</w:t>
            </w:r>
          </w:p>
        </w:tc>
        <w:tc>
          <w:tcPr>
            <w:tcW w:w="1310" w:type="dxa"/>
            <w:vAlign w:val="center"/>
          </w:tcPr>
          <w:p w14:paraId="5350AE6F" w14:textId="77777777" w:rsidR="00672297" w:rsidRDefault="00A16EA3">
            <w:pPr>
              <w:spacing w:before="20" w:after="20"/>
              <w:jc w:val="left"/>
            </w:pPr>
            <w:r>
              <w:rPr>
                <w:rFonts w:cstheme="minorHAnsi"/>
                <w:sz w:val="18"/>
                <w:szCs w:val="18"/>
              </w:rPr>
              <w:t>IQDM</w:t>
            </w:r>
          </w:p>
        </w:tc>
        <w:tc>
          <w:tcPr>
            <w:tcW w:w="1872" w:type="dxa"/>
            <w:vAlign w:val="center"/>
          </w:tcPr>
          <w:p w14:paraId="5940B04A" w14:textId="77777777" w:rsidR="00672297" w:rsidRDefault="00A16EA3">
            <w:pPr>
              <w:spacing w:before="20" w:after="20"/>
              <w:jc w:val="left"/>
            </w:pPr>
            <w:r>
              <w:rPr>
                <w:rFonts w:cstheme="minorHAnsi"/>
                <w:sz w:val="18"/>
                <w:szCs w:val="18"/>
              </w:rPr>
              <w:t>location</w:t>
            </w:r>
          </w:p>
        </w:tc>
        <w:tc>
          <w:tcPr>
            <w:tcW w:w="2620" w:type="dxa"/>
            <w:vAlign w:val="center"/>
          </w:tcPr>
          <w:p w14:paraId="21B7EA2A" w14:textId="77777777" w:rsidR="00672297" w:rsidRDefault="00A16EA3">
            <w:pPr>
              <w:spacing w:before="20" w:after="20"/>
              <w:jc w:val="left"/>
            </w:pPr>
            <w:r>
              <w:rPr>
                <w:rFonts w:cstheme="minorHAnsi"/>
                <w:sz w:val="18"/>
                <w:szCs w:val="18"/>
              </w:rPr>
              <w:t>Terminal names and region</w:t>
            </w:r>
          </w:p>
        </w:tc>
        <w:tc>
          <w:tcPr>
            <w:tcW w:w="1125" w:type="dxa"/>
            <w:vAlign w:val="center"/>
          </w:tcPr>
          <w:p w14:paraId="279F1A96" w14:textId="77777777" w:rsidR="00672297" w:rsidRDefault="00A16EA3">
            <w:pPr>
              <w:spacing w:before="20" w:after="20"/>
              <w:jc w:val="left"/>
            </w:pPr>
            <w:r>
              <w:rPr>
                <w:rFonts w:cstheme="minorHAnsi"/>
                <w:sz w:val="18"/>
                <w:szCs w:val="18"/>
              </w:rPr>
              <w:t>Yes</w:t>
            </w:r>
          </w:p>
        </w:tc>
      </w:tr>
    </w:tbl>
    <w:p w14:paraId="2A5FA0C3" w14:textId="67B559C9" w:rsidR="00672297" w:rsidRDefault="00A16EA3">
      <w:pPr>
        <w:pStyle w:val="Caption"/>
      </w:pPr>
      <w:bookmarkStart w:id="599" w:name="_Toc900950087"/>
      <w:bookmarkStart w:id="600" w:name="_Toc241574715"/>
      <w:bookmarkStart w:id="601" w:name="_Toc242554099"/>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26</w:t>
      </w:r>
      <w:r>
        <w:fldChar w:fldCharType="end"/>
      </w:r>
      <w:r>
        <w:t>: Distillate Dashboard Data Source Overview</w:t>
      </w:r>
      <w:bookmarkEnd w:id="599"/>
      <w:bookmarkEnd w:id="600"/>
      <w:bookmarkEnd w:id="601"/>
    </w:p>
    <w:tbl>
      <w:tblPr>
        <w:tblStyle w:val="TableGrid"/>
        <w:tblW w:w="9360" w:type="dxa"/>
        <w:tblLayout w:type="fixed"/>
        <w:tblCellMar>
          <w:left w:w="70" w:type="dxa"/>
          <w:right w:w="70" w:type="dxa"/>
        </w:tblCellMar>
        <w:tblLook w:val="04A0" w:firstRow="1" w:lastRow="0" w:firstColumn="1" w:lastColumn="0" w:noHBand="0" w:noVBand="1"/>
      </w:tblPr>
      <w:tblGrid>
        <w:gridCol w:w="1872"/>
        <w:gridCol w:w="1684"/>
        <w:gridCol w:w="1872"/>
        <w:gridCol w:w="1123"/>
        <w:gridCol w:w="2809"/>
      </w:tblGrid>
      <w:tr w:rsidR="00672297" w14:paraId="4A7CF4CD" w14:textId="77777777">
        <w:trPr>
          <w:cantSplit/>
          <w:tblHeader/>
        </w:trPr>
        <w:tc>
          <w:tcPr>
            <w:tcW w:w="1872" w:type="dxa"/>
            <w:shd w:val="clear" w:color="auto" w:fill="2F5496"/>
            <w:vAlign w:val="center"/>
          </w:tcPr>
          <w:p w14:paraId="31A7353A" w14:textId="77777777" w:rsidR="00672297" w:rsidRDefault="00A16EA3">
            <w:pPr>
              <w:spacing w:before="20" w:after="20"/>
              <w:jc w:val="left"/>
            </w:pPr>
            <w:r>
              <w:rPr>
                <w:rFonts w:cstheme="minorHAnsi"/>
                <w:b/>
                <w:bCs/>
                <w:color w:val="FFFFFF"/>
                <w:sz w:val="18"/>
                <w:szCs w:val="18"/>
              </w:rPr>
              <w:t>Dashboard Field</w:t>
            </w:r>
          </w:p>
        </w:tc>
        <w:tc>
          <w:tcPr>
            <w:tcW w:w="1684" w:type="dxa"/>
            <w:shd w:val="clear" w:color="auto" w:fill="2F5496"/>
            <w:vAlign w:val="center"/>
          </w:tcPr>
          <w:p w14:paraId="76B1CA7C" w14:textId="77777777" w:rsidR="00672297" w:rsidRDefault="00A16EA3">
            <w:pPr>
              <w:spacing w:before="20" w:after="20"/>
              <w:jc w:val="left"/>
            </w:pPr>
            <w:r>
              <w:rPr>
                <w:rFonts w:cstheme="minorHAnsi"/>
                <w:b/>
                <w:bCs/>
                <w:color w:val="FFFFFF"/>
                <w:sz w:val="18"/>
                <w:szCs w:val="18"/>
              </w:rPr>
              <w:t>Source Table</w:t>
            </w:r>
          </w:p>
        </w:tc>
        <w:tc>
          <w:tcPr>
            <w:tcW w:w="1872" w:type="dxa"/>
            <w:shd w:val="clear" w:color="auto" w:fill="2F5496"/>
            <w:vAlign w:val="center"/>
          </w:tcPr>
          <w:p w14:paraId="1DB1DDC7" w14:textId="77777777" w:rsidR="00672297" w:rsidRDefault="00A16EA3">
            <w:pPr>
              <w:spacing w:before="20" w:after="20"/>
              <w:jc w:val="left"/>
            </w:pPr>
            <w:r>
              <w:rPr>
                <w:rFonts w:cstheme="minorHAnsi"/>
                <w:b/>
                <w:bCs/>
                <w:color w:val="FFFFFF"/>
                <w:sz w:val="18"/>
                <w:szCs w:val="18"/>
              </w:rPr>
              <w:t>Field Used</w:t>
            </w:r>
          </w:p>
        </w:tc>
        <w:tc>
          <w:tcPr>
            <w:tcW w:w="1123" w:type="dxa"/>
            <w:shd w:val="clear" w:color="auto" w:fill="2F5496"/>
            <w:vAlign w:val="center"/>
          </w:tcPr>
          <w:p w14:paraId="4B95CFF8" w14:textId="77777777" w:rsidR="00672297" w:rsidRDefault="00A16EA3">
            <w:pPr>
              <w:spacing w:before="20" w:after="20"/>
              <w:jc w:val="left"/>
            </w:pPr>
            <w:r>
              <w:rPr>
                <w:rFonts w:cstheme="minorHAnsi"/>
                <w:b/>
                <w:bCs/>
                <w:color w:val="FFFFFF"/>
                <w:sz w:val="18"/>
                <w:szCs w:val="18"/>
              </w:rPr>
              <w:t>IQDM</w:t>
            </w:r>
          </w:p>
        </w:tc>
        <w:tc>
          <w:tcPr>
            <w:tcW w:w="2809" w:type="dxa"/>
            <w:shd w:val="clear" w:color="auto" w:fill="2F5496"/>
            <w:vAlign w:val="center"/>
          </w:tcPr>
          <w:p w14:paraId="4D582B2B" w14:textId="77777777" w:rsidR="00672297" w:rsidRDefault="00A16EA3">
            <w:pPr>
              <w:spacing w:before="20" w:after="20"/>
              <w:jc w:val="left"/>
            </w:pPr>
            <w:r>
              <w:rPr>
                <w:rFonts w:cstheme="minorHAnsi"/>
                <w:b/>
                <w:bCs/>
                <w:color w:val="FFFFFF"/>
                <w:sz w:val="18"/>
                <w:szCs w:val="18"/>
              </w:rPr>
              <w:t>VCB View Column</w:t>
            </w:r>
          </w:p>
        </w:tc>
      </w:tr>
      <w:tr w:rsidR="00672297" w14:paraId="210642F5" w14:textId="77777777">
        <w:trPr>
          <w:cantSplit/>
        </w:trPr>
        <w:tc>
          <w:tcPr>
            <w:tcW w:w="1872" w:type="dxa"/>
            <w:vAlign w:val="center"/>
          </w:tcPr>
          <w:p w14:paraId="36C830B1" w14:textId="77777777" w:rsidR="00672297" w:rsidRDefault="00A16EA3">
            <w:pPr>
              <w:spacing w:before="20" w:after="20"/>
              <w:jc w:val="left"/>
            </w:pPr>
            <w:r>
              <w:rPr>
                <w:rFonts w:cstheme="minorHAnsi"/>
                <w:sz w:val="18"/>
                <w:szCs w:val="18"/>
              </w:rPr>
              <w:t>Batch ID</w:t>
            </w:r>
          </w:p>
        </w:tc>
        <w:tc>
          <w:tcPr>
            <w:tcW w:w="1684" w:type="dxa"/>
            <w:vAlign w:val="center"/>
          </w:tcPr>
          <w:p w14:paraId="3900D66F" w14:textId="77777777" w:rsidR="00672297" w:rsidRDefault="00A16EA3">
            <w:pPr>
              <w:spacing w:before="20" w:after="20"/>
              <w:jc w:val="left"/>
            </w:pPr>
            <w:r>
              <w:rPr>
                <w:rFonts w:cstheme="minorHAnsi"/>
                <w:sz w:val="18"/>
                <w:szCs w:val="18"/>
              </w:rPr>
              <w:t>_EVENT</w:t>
            </w:r>
          </w:p>
        </w:tc>
        <w:tc>
          <w:tcPr>
            <w:tcW w:w="1872" w:type="dxa"/>
            <w:vAlign w:val="center"/>
          </w:tcPr>
          <w:p w14:paraId="702F3BE2" w14:textId="77777777" w:rsidR="00672297" w:rsidRDefault="00A16EA3">
            <w:pPr>
              <w:spacing w:before="20" w:after="20"/>
              <w:jc w:val="left"/>
            </w:pPr>
            <w:r>
              <w:rPr>
                <w:rFonts w:cstheme="minorHAnsi"/>
                <w:sz w:val="18"/>
                <w:szCs w:val="18"/>
              </w:rPr>
              <w:t>BATCH</w:t>
            </w:r>
          </w:p>
        </w:tc>
        <w:tc>
          <w:tcPr>
            <w:tcW w:w="1123" w:type="dxa"/>
            <w:vAlign w:val="center"/>
          </w:tcPr>
          <w:p w14:paraId="5F194BF4" w14:textId="77777777" w:rsidR="00672297" w:rsidRDefault="00A16EA3">
            <w:pPr>
              <w:spacing w:before="20" w:after="20"/>
              <w:jc w:val="left"/>
            </w:pPr>
            <w:r>
              <w:rPr>
                <w:rFonts w:cstheme="minorHAnsi"/>
                <w:sz w:val="18"/>
                <w:szCs w:val="18"/>
              </w:rPr>
              <w:t>Yes-R#1</w:t>
            </w:r>
          </w:p>
        </w:tc>
        <w:tc>
          <w:tcPr>
            <w:tcW w:w="2809" w:type="dxa"/>
            <w:vAlign w:val="center"/>
          </w:tcPr>
          <w:p w14:paraId="6883BD69" w14:textId="77777777" w:rsidR="00672297" w:rsidRDefault="00A16EA3">
            <w:pPr>
              <w:spacing w:before="20" w:after="20"/>
              <w:jc w:val="left"/>
            </w:pPr>
            <w:r>
              <w:rPr>
                <w:rFonts w:cstheme="minorHAnsi"/>
                <w:sz w:val="18"/>
                <w:szCs w:val="18"/>
              </w:rPr>
              <w:t>vwDistillateBatchQuality[BatchID]</w:t>
            </w:r>
          </w:p>
        </w:tc>
      </w:tr>
      <w:tr w:rsidR="00672297" w14:paraId="7CD3B71D" w14:textId="77777777">
        <w:trPr>
          <w:cantSplit/>
        </w:trPr>
        <w:tc>
          <w:tcPr>
            <w:tcW w:w="1872" w:type="dxa"/>
            <w:vAlign w:val="center"/>
          </w:tcPr>
          <w:p w14:paraId="0843745E" w14:textId="77777777" w:rsidR="00672297" w:rsidRDefault="00A16EA3">
            <w:pPr>
              <w:spacing w:before="20" w:after="20"/>
              <w:jc w:val="left"/>
            </w:pPr>
            <w:r>
              <w:rPr>
                <w:rFonts w:cstheme="minorHAnsi"/>
                <w:sz w:val="18"/>
                <w:szCs w:val="18"/>
              </w:rPr>
              <w:t>Origin / Origin Tank</w:t>
            </w:r>
          </w:p>
        </w:tc>
        <w:tc>
          <w:tcPr>
            <w:tcW w:w="1684" w:type="dxa"/>
            <w:vAlign w:val="center"/>
          </w:tcPr>
          <w:p w14:paraId="1ED3F8F1" w14:textId="77777777" w:rsidR="00672297" w:rsidRDefault="00A16EA3">
            <w:pPr>
              <w:spacing w:before="20" w:after="20"/>
              <w:jc w:val="left"/>
            </w:pPr>
            <w:r>
              <w:rPr>
                <w:rFonts w:cstheme="minorHAnsi"/>
                <w:sz w:val="18"/>
                <w:szCs w:val="18"/>
              </w:rPr>
              <w:t>_EVENT</w:t>
            </w:r>
          </w:p>
        </w:tc>
        <w:tc>
          <w:tcPr>
            <w:tcW w:w="1872" w:type="dxa"/>
            <w:vAlign w:val="center"/>
          </w:tcPr>
          <w:p w14:paraId="4501F145" w14:textId="77777777" w:rsidR="00672297" w:rsidRDefault="00A16EA3">
            <w:pPr>
              <w:spacing w:before="20" w:after="20"/>
              <w:jc w:val="left"/>
            </w:pPr>
            <w:r>
              <w:rPr>
                <w:rFonts w:cstheme="minorHAnsi"/>
                <w:sz w:val="18"/>
                <w:szCs w:val="18"/>
              </w:rPr>
              <w:t>Location / ID1</w:t>
            </w:r>
          </w:p>
        </w:tc>
        <w:tc>
          <w:tcPr>
            <w:tcW w:w="1123" w:type="dxa"/>
            <w:vAlign w:val="center"/>
          </w:tcPr>
          <w:p w14:paraId="7691B4FC" w14:textId="77777777" w:rsidR="00672297" w:rsidRDefault="00A16EA3">
            <w:pPr>
              <w:spacing w:before="20" w:after="20"/>
              <w:jc w:val="left"/>
            </w:pPr>
            <w:r>
              <w:rPr>
                <w:rFonts w:cstheme="minorHAnsi"/>
                <w:sz w:val="18"/>
                <w:szCs w:val="18"/>
              </w:rPr>
              <w:t>Yes-R#1</w:t>
            </w:r>
          </w:p>
        </w:tc>
        <w:tc>
          <w:tcPr>
            <w:tcW w:w="2809" w:type="dxa"/>
            <w:vAlign w:val="center"/>
          </w:tcPr>
          <w:p w14:paraId="4ED92E58" w14:textId="77777777" w:rsidR="00672297" w:rsidRDefault="00A16EA3">
            <w:pPr>
              <w:spacing w:before="20" w:after="20"/>
              <w:jc w:val="left"/>
            </w:pPr>
            <w:r>
              <w:rPr>
                <w:rFonts w:cstheme="minorHAnsi"/>
                <w:sz w:val="18"/>
                <w:szCs w:val="18"/>
              </w:rPr>
              <w:t>[Source] / [OriginTank]</w:t>
            </w:r>
          </w:p>
        </w:tc>
      </w:tr>
      <w:tr w:rsidR="00672297" w14:paraId="4ABE9BBF" w14:textId="77777777">
        <w:trPr>
          <w:cantSplit/>
        </w:trPr>
        <w:tc>
          <w:tcPr>
            <w:tcW w:w="1872" w:type="dxa"/>
            <w:vAlign w:val="center"/>
          </w:tcPr>
          <w:p w14:paraId="6124C8DF" w14:textId="77777777" w:rsidR="00672297" w:rsidRDefault="00A16EA3">
            <w:pPr>
              <w:spacing w:before="20" w:after="20"/>
              <w:jc w:val="left"/>
            </w:pPr>
            <w:r>
              <w:rPr>
                <w:rFonts w:cstheme="minorHAnsi"/>
                <w:sz w:val="18"/>
                <w:szCs w:val="18"/>
              </w:rPr>
              <w:t>Destination / Destination Tank</w:t>
            </w:r>
          </w:p>
        </w:tc>
        <w:tc>
          <w:tcPr>
            <w:tcW w:w="1684" w:type="dxa"/>
            <w:vAlign w:val="center"/>
          </w:tcPr>
          <w:p w14:paraId="5B3AFE3C" w14:textId="77777777" w:rsidR="00672297" w:rsidRDefault="00A16EA3">
            <w:pPr>
              <w:spacing w:before="20" w:after="20"/>
              <w:jc w:val="left"/>
            </w:pPr>
            <w:r>
              <w:rPr>
                <w:rFonts w:cstheme="minorHAnsi"/>
                <w:sz w:val="18"/>
                <w:szCs w:val="18"/>
              </w:rPr>
              <w:t>BulkTransfer / Transfer</w:t>
            </w:r>
          </w:p>
        </w:tc>
        <w:tc>
          <w:tcPr>
            <w:tcW w:w="1872" w:type="dxa"/>
            <w:vAlign w:val="center"/>
          </w:tcPr>
          <w:p w14:paraId="01381ADE" w14:textId="77777777" w:rsidR="00672297" w:rsidRDefault="00A16EA3">
            <w:pPr>
              <w:spacing w:before="20" w:after="20"/>
              <w:jc w:val="left"/>
            </w:pPr>
            <w:r>
              <w:rPr>
                <w:rFonts w:cstheme="minorHAnsi"/>
                <w:sz w:val="18"/>
                <w:szCs w:val="18"/>
              </w:rPr>
              <w:t>Destination / DestinationContainerCode</w:t>
            </w:r>
          </w:p>
        </w:tc>
        <w:tc>
          <w:tcPr>
            <w:tcW w:w="1123" w:type="dxa"/>
            <w:vAlign w:val="center"/>
          </w:tcPr>
          <w:p w14:paraId="606B6CAC" w14:textId="77777777" w:rsidR="00672297" w:rsidRDefault="00A16EA3">
            <w:pPr>
              <w:spacing w:before="20" w:after="20"/>
              <w:jc w:val="left"/>
            </w:pPr>
            <w:r>
              <w:rPr>
                <w:rFonts w:cstheme="minorHAnsi"/>
                <w:sz w:val="18"/>
                <w:szCs w:val="18"/>
              </w:rPr>
              <w:t>Yes-R#2</w:t>
            </w:r>
          </w:p>
        </w:tc>
        <w:tc>
          <w:tcPr>
            <w:tcW w:w="2809" w:type="dxa"/>
            <w:vAlign w:val="center"/>
          </w:tcPr>
          <w:p w14:paraId="1434DAE7" w14:textId="77777777" w:rsidR="00672297" w:rsidRDefault="00A16EA3">
            <w:pPr>
              <w:spacing w:before="20" w:after="20"/>
              <w:jc w:val="left"/>
            </w:pPr>
            <w:r>
              <w:rPr>
                <w:rFonts w:cstheme="minorHAnsi"/>
                <w:sz w:val="18"/>
                <w:szCs w:val="18"/>
              </w:rPr>
              <w:t>[Destination] / [DestinationTank]</w:t>
            </w:r>
          </w:p>
        </w:tc>
      </w:tr>
      <w:tr w:rsidR="00672297" w14:paraId="4400DF4F" w14:textId="77777777">
        <w:trPr>
          <w:cantSplit/>
        </w:trPr>
        <w:tc>
          <w:tcPr>
            <w:tcW w:w="1872" w:type="dxa"/>
            <w:vAlign w:val="center"/>
          </w:tcPr>
          <w:p w14:paraId="0D69C156" w14:textId="77777777" w:rsidR="00672297" w:rsidRDefault="00A16EA3">
            <w:pPr>
              <w:spacing w:before="20" w:after="20"/>
              <w:jc w:val="left"/>
            </w:pPr>
            <w:r>
              <w:rPr>
                <w:rFonts w:cstheme="minorHAnsi"/>
                <w:sz w:val="18"/>
                <w:szCs w:val="18"/>
              </w:rPr>
              <w:t>Start Time / ETA</w:t>
            </w:r>
          </w:p>
        </w:tc>
        <w:tc>
          <w:tcPr>
            <w:tcW w:w="1684" w:type="dxa"/>
            <w:vAlign w:val="center"/>
          </w:tcPr>
          <w:p w14:paraId="2D2AB6A4" w14:textId="77777777" w:rsidR="00672297" w:rsidRDefault="00A16EA3">
            <w:pPr>
              <w:spacing w:before="20" w:after="20"/>
              <w:jc w:val="left"/>
            </w:pPr>
            <w:r>
              <w:rPr>
                <w:rFonts w:cstheme="minorHAnsi"/>
                <w:sz w:val="18"/>
                <w:szCs w:val="18"/>
              </w:rPr>
              <w:t>_EVENT / BulkTransfer</w:t>
            </w:r>
          </w:p>
        </w:tc>
        <w:tc>
          <w:tcPr>
            <w:tcW w:w="1872" w:type="dxa"/>
            <w:vAlign w:val="center"/>
          </w:tcPr>
          <w:p w14:paraId="5AAD8678" w14:textId="77777777" w:rsidR="00672297" w:rsidRDefault="00A16EA3">
            <w:pPr>
              <w:spacing w:before="20" w:after="20"/>
              <w:jc w:val="left"/>
            </w:pPr>
            <w:r>
              <w:rPr>
                <w:rFonts w:cstheme="minorHAnsi"/>
                <w:sz w:val="18"/>
                <w:szCs w:val="18"/>
              </w:rPr>
              <w:t>START_ / estimated end</w:t>
            </w:r>
          </w:p>
        </w:tc>
        <w:tc>
          <w:tcPr>
            <w:tcW w:w="1123" w:type="dxa"/>
            <w:vAlign w:val="center"/>
          </w:tcPr>
          <w:p w14:paraId="4E0CA214" w14:textId="77777777" w:rsidR="00672297" w:rsidRDefault="00A16EA3">
            <w:pPr>
              <w:spacing w:before="20" w:after="20"/>
              <w:jc w:val="left"/>
            </w:pPr>
            <w:r>
              <w:rPr>
                <w:rFonts w:cstheme="minorHAnsi"/>
                <w:sz w:val="18"/>
                <w:szCs w:val="18"/>
              </w:rPr>
              <w:t>Yes-R#1 / R#2</w:t>
            </w:r>
          </w:p>
        </w:tc>
        <w:tc>
          <w:tcPr>
            <w:tcW w:w="2809" w:type="dxa"/>
            <w:vAlign w:val="center"/>
          </w:tcPr>
          <w:p w14:paraId="55B2B61A" w14:textId="77777777" w:rsidR="00672297" w:rsidRDefault="00A16EA3">
            <w:pPr>
              <w:spacing w:before="20" w:after="20"/>
              <w:jc w:val="left"/>
            </w:pPr>
            <w:r>
              <w:rPr>
                <w:rFonts w:cstheme="minorHAnsi"/>
                <w:sz w:val="18"/>
                <w:szCs w:val="18"/>
              </w:rPr>
              <w:t>[StartDateTime] / [ETADateTime]</w:t>
            </w:r>
          </w:p>
        </w:tc>
      </w:tr>
      <w:tr w:rsidR="00672297" w14:paraId="21D6F84A" w14:textId="77777777">
        <w:trPr>
          <w:cantSplit/>
        </w:trPr>
        <w:tc>
          <w:tcPr>
            <w:tcW w:w="1872" w:type="dxa"/>
            <w:vAlign w:val="center"/>
          </w:tcPr>
          <w:p w14:paraId="7083A7B2" w14:textId="77777777" w:rsidR="00672297" w:rsidRDefault="00A16EA3">
            <w:pPr>
              <w:spacing w:before="20" w:after="20"/>
              <w:jc w:val="left"/>
            </w:pPr>
            <w:r>
              <w:rPr>
                <w:rFonts w:cstheme="minorHAnsi"/>
                <w:sz w:val="18"/>
                <w:szCs w:val="18"/>
              </w:rPr>
              <w:t>Batch Volume (bbl)</w:t>
            </w:r>
          </w:p>
        </w:tc>
        <w:tc>
          <w:tcPr>
            <w:tcW w:w="1684" w:type="dxa"/>
            <w:vAlign w:val="center"/>
          </w:tcPr>
          <w:p w14:paraId="05C55B3E" w14:textId="77777777" w:rsidR="00672297" w:rsidRDefault="00A16EA3">
            <w:pPr>
              <w:spacing w:before="20" w:after="20"/>
              <w:jc w:val="left"/>
            </w:pPr>
            <w:r>
              <w:rPr>
                <w:rFonts w:cstheme="minorHAnsi"/>
                <w:sz w:val="18"/>
                <w:szCs w:val="18"/>
              </w:rPr>
              <w:t>_EVENT / BulkTransfer</w:t>
            </w:r>
          </w:p>
        </w:tc>
        <w:tc>
          <w:tcPr>
            <w:tcW w:w="1872" w:type="dxa"/>
            <w:vAlign w:val="center"/>
          </w:tcPr>
          <w:p w14:paraId="7F4A0B7F" w14:textId="77777777" w:rsidR="00672297" w:rsidRDefault="00A16EA3">
            <w:pPr>
              <w:spacing w:before="20" w:after="20"/>
              <w:jc w:val="left"/>
            </w:pPr>
            <w:r>
              <w:rPr>
                <w:rFonts w:cstheme="minorHAnsi"/>
                <w:sz w:val="18"/>
                <w:szCs w:val="18"/>
              </w:rPr>
              <w:t>VOLUME / ActualQuantity</w:t>
            </w:r>
          </w:p>
        </w:tc>
        <w:tc>
          <w:tcPr>
            <w:tcW w:w="1123" w:type="dxa"/>
            <w:vAlign w:val="center"/>
          </w:tcPr>
          <w:p w14:paraId="56A80D42" w14:textId="77777777" w:rsidR="00672297" w:rsidRDefault="00A16EA3">
            <w:pPr>
              <w:spacing w:before="20" w:after="20"/>
              <w:jc w:val="left"/>
            </w:pPr>
            <w:r>
              <w:rPr>
                <w:rFonts w:cstheme="minorHAnsi"/>
                <w:sz w:val="18"/>
                <w:szCs w:val="18"/>
              </w:rPr>
              <w:t>Yes-R#1 / R#2</w:t>
            </w:r>
          </w:p>
        </w:tc>
        <w:tc>
          <w:tcPr>
            <w:tcW w:w="2809" w:type="dxa"/>
            <w:vAlign w:val="center"/>
          </w:tcPr>
          <w:p w14:paraId="08117C37" w14:textId="77777777" w:rsidR="00672297" w:rsidRDefault="00A16EA3">
            <w:pPr>
              <w:spacing w:before="20" w:after="20"/>
              <w:jc w:val="left"/>
            </w:pPr>
            <w:r>
              <w:rPr>
                <w:rFonts w:cstheme="minorHAnsi"/>
                <w:sz w:val="18"/>
                <w:szCs w:val="18"/>
              </w:rPr>
              <w:t>[BatchVolumeBbl]</w:t>
            </w:r>
          </w:p>
        </w:tc>
      </w:tr>
      <w:tr w:rsidR="00672297" w14:paraId="64F7CDC1" w14:textId="77777777">
        <w:trPr>
          <w:cantSplit/>
        </w:trPr>
        <w:tc>
          <w:tcPr>
            <w:tcW w:w="1872" w:type="dxa"/>
            <w:vAlign w:val="center"/>
          </w:tcPr>
          <w:p w14:paraId="4EFFEC19" w14:textId="77777777" w:rsidR="00672297" w:rsidRDefault="00A16EA3">
            <w:pPr>
              <w:spacing w:before="20" w:after="20"/>
              <w:jc w:val="left"/>
            </w:pPr>
            <w:r>
              <w:rPr>
                <w:rFonts w:cstheme="minorHAnsi"/>
                <w:sz w:val="18"/>
                <w:szCs w:val="18"/>
              </w:rPr>
              <w:t>Mode of transport</w:t>
            </w:r>
          </w:p>
        </w:tc>
        <w:tc>
          <w:tcPr>
            <w:tcW w:w="1684" w:type="dxa"/>
            <w:vAlign w:val="center"/>
          </w:tcPr>
          <w:p w14:paraId="4B116448" w14:textId="77777777" w:rsidR="00672297" w:rsidRDefault="00A16EA3">
            <w:pPr>
              <w:spacing w:before="20" w:after="20"/>
              <w:jc w:val="left"/>
            </w:pPr>
            <w:r>
              <w:rPr>
                <w:rFonts w:cstheme="minorHAnsi"/>
                <w:sz w:val="18"/>
                <w:szCs w:val="18"/>
              </w:rPr>
              <w:t>TRAN_MODES</w:t>
            </w:r>
          </w:p>
        </w:tc>
        <w:tc>
          <w:tcPr>
            <w:tcW w:w="1872" w:type="dxa"/>
            <w:vAlign w:val="center"/>
          </w:tcPr>
          <w:p w14:paraId="7540F8E4" w14:textId="77777777" w:rsidR="00672297" w:rsidRDefault="00A16EA3">
            <w:pPr>
              <w:spacing w:before="20" w:after="20"/>
              <w:jc w:val="left"/>
            </w:pPr>
            <w:r>
              <w:rPr>
                <w:rFonts w:cstheme="minorHAnsi"/>
                <w:sz w:val="18"/>
                <w:szCs w:val="18"/>
              </w:rPr>
              <w:t>DESCRIPTION</w:t>
            </w:r>
          </w:p>
        </w:tc>
        <w:tc>
          <w:tcPr>
            <w:tcW w:w="1123" w:type="dxa"/>
            <w:vAlign w:val="center"/>
          </w:tcPr>
          <w:p w14:paraId="589941C1" w14:textId="77777777" w:rsidR="00672297" w:rsidRDefault="00A16EA3">
            <w:pPr>
              <w:spacing w:before="20" w:after="20"/>
              <w:jc w:val="left"/>
            </w:pPr>
            <w:r>
              <w:rPr>
                <w:rFonts w:cstheme="minorHAnsi"/>
                <w:sz w:val="18"/>
                <w:szCs w:val="18"/>
              </w:rPr>
              <w:t>Yes-R#1</w:t>
            </w:r>
          </w:p>
        </w:tc>
        <w:tc>
          <w:tcPr>
            <w:tcW w:w="2809" w:type="dxa"/>
            <w:vAlign w:val="center"/>
          </w:tcPr>
          <w:p w14:paraId="0A7C7DEE" w14:textId="77777777" w:rsidR="00672297" w:rsidRDefault="00A16EA3">
            <w:pPr>
              <w:spacing w:before="20" w:after="20"/>
              <w:jc w:val="left"/>
            </w:pPr>
            <w:r>
              <w:rPr>
                <w:rFonts w:cstheme="minorHAnsi"/>
                <w:sz w:val="18"/>
                <w:szCs w:val="18"/>
              </w:rPr>
              <w:t>[MOT]</w:t>
            </w:r>
          </w:p>
        </w:tc>
      </w:tr>
      <w:tr w:rsidR="00672297" w14:paraId="34B8C3D1" w14:textId="77777777">
        <w:trPr>
          <w:cantSplit/>
        </w:trPr>
        <w:tc>
          <w:tcPr>
            <w:tcW w:w="1872" w:type="dxa"/>
            <w:vAlign w:val="center"/>
          </w:tcPr>
          <w:p w14:paraId="119D4B18" w14:textId="77777777" w:rsidR="00672297" w:rsidRDefault="00A16EA3">
            <w:pPr>
              <w:spacing w:before="20" w:after="20"/>
              <w:jc w:val="left"/>
            </w:pPr>
            <w:r>
              <w:rPr>
                <w:rFonts w:cstheme="minorHAnsi"/>
                <w:sz w:val="18"/>
                <w:szCs w:val="18"/>
              </w:rPr>
              <w:t>Product Name (ULSD / Jet / Kero)</w:t>
            </w:r>
          </w:p>
        </w:tc>
        <w:tc>
          <w:tcPr>
            <w:tcW w:w="1684" w:type="dxa"/>
            <w:vAlign w:val="center"/>
          </w:tcPr>
          <w:p w14:paraId="5A56935C" w14:textId="77777777" w:rsidR="00672297" w:rsidRDefault="00A16EA3">
            <w:pPr>
              <w:spacing w:before="20" w:after="20"/>
              <w:jc w:val="left"/>
            </w:pPr>
            <w:r>
              <w:rPr>
                <w:rFonts w:cstheme="minorHAnsi"/>
                <w:sz w:val="18"/>
                <w:szCs w:val="18"/>
              </w:rPr>
              <w:t>PRODUCTS / material</w:t>
            </w:r>
          </w:p>
        </w:tc>
        <w:tc>
          <w:tcPr>
            <w:tcW w:w="1872" w:type="dxa"/>
            <w:vAlign w:val="center"/>
          </w:tcPr>
          <w:p w14:paraId="466020BD" w14:textId="77777777" w:rsidR="00672297" w:rsidRDefault="00A16EA3">
            <w:pPr>
              <w:spacing w:before="20" w:after="20"/>
              <w:jc w:val="left"/>
            </w:pPr>
            <w:r>
              <w:rPr>
                <w:rFonts w:cstheme="minorHAnsi"/>
                <w:sz w:val="18"/>
                <w:szCs w:val="18"/>
              </w:rPr>
              <w:t>DESCRIPTION</w:t>
            </w:r>
          </w:p>
        </w:tc>
        <w:tc>
          <w:tcPr>
            <w:tcW w:w="1123" w:type="dxa"/>
            <w:vAlign w:val="center"/>
          </w:tcPr>
          <w:p w14:paraId="70D4D736" w14:textId="77777777" w:rsidR="00672297" w:rsidRDefault="00A16EA3">
            <w:pPr>
              <w:spacing w:before="20" w:after="20"/>
              <w:jc w:val="left"/>
            </w:pPr>
            <w:r>
              <w:rPr>
                <w:rFonts w:cstheme="minorHAnsi"/>
                <w:sz w:val="18"/>
                <w:szCs w:val="18"/>
              </w:rPr>
              <w:t>Yes-R#1</w:t>
            </w:r>
          </w:p>
        </w:tc>
        <w:tc>
          <w:tcPr>
            <w:tcW w:w="2809" w:type="dxa"/>
            <w:vAlign w:val="center"/>
          </w:tcPr>
          <w:p w14:paraId="305129AE" w14:textId="77777777" w:rsidR="00672297" w:rsidRDefault="00A16EA3">
            <w:pPr>
              <w:spacing w:before="20" w:after="20"/>
              <w:jc w:val="left"/>
            </w:pPr>
            <w:r>
              <w:rPr>
                <w:rFonts w:cstheme="minorHAnsi"/>
                <w:sz w:val="18"/>
                <w:szCs w:val="18"/>
              </w:rPr>
              <w:t>[ProductName]</w:t>
            </w:r>
          </w:p>
        </w:tc>
      </w:tr>
      <w:tr w:rsidR="00672297" w14:paraId="1FE47E2C" w14:textId="77777777">
        <w:trPr>
          <w:cantSplit/>
        </w:trPr>
        <w:tc>
          <w:tcPr>
            <w:tcW w:w="1872" w:type="dxa"/>
            <w:vAlign w:val="center"/>
          </w:tcPr>
          <w:p w14:paraId="2F3CE6F8" w14:textId="77777777" w:rsidR="00672297" w:rsidRDefault="00A16EA3">
            <w:pPr>
              <w:spacing w:before="20" w:after="20"/>
              <w:jc w:val="left"/>
            </w:pPr>
            <w:r>
              <w:rPr>
                <w:rFonts w:cstheme="minorHAnsi"/>
                <w:sz w:val="18"/>
                <w:szCs w:val="18"/>
              </w:rPr>
              <w:t>Actual (Flash, Sulphur, Adj. Cloud, T-90, FBP, Freezing Point, Viscosity)</w:t>
            </w:r>
          </w:p>
        </w:tc>
        <w:tc>
          <w:tcPr>
            <w:tcW w:w="1684" w:type="dxa"/>
            <w:vAlign w:val="center"/>
          </w:tcPr>
          <w:p w14:paraId="4E757ADB" w14:textId="77777777" w:rsidR="00672297" w:rsidRDefault="00A16EA3">
            <w:pPr>
              <w:spacing w:before="20" w:after="20"/>
              <w:jc w:val="left"/>
            </w:pPr>
            <w:r>
              <w:rPr>
                <w:rFonts w:cstheme="minorHAnsi"/>
                <w:sz w:val="18"/>
                <w:szCs w:val="18"/>
              </w:rPr>
              <w:t>APS / LIMS; PQCore</w:t>
            </w:r>
          </w:p>
        </w:tc>
        <w:tc>
          <w:tcPr>
            <w:tcW w:w="1872" w:type="dxa"/>
            <w:vAlign w:val="center"/>
          </w:tcPr>
          <w:p w14:paraId="0BF6F755" w14:textId="77777777" w:rsidR="00672297" w:rsidRDefault="00A16EA3">
            <w:pPr>
              <w:spacing w:before="20" w:after="20"/>
              <w:jc w:val="left"/>
            </w:pPr>
            <w:r>
              <w:rPr>
                <w:rFonts w:cstheme="minorHAnsi"/>
                <w:sz w:val="18"/>
                <w:szCs w:val="18"/>
              </w:rPr>
              <w:t>Quality tags</w:t>
            </w:r>
          </w:p>
        </w:tc>
        <w:tc>
          <w:tcPr>
            <w:tcW w:w="1123" w:type="dxa"/>
            <w:vAlign w:val="center"/>
          </w:tcPr>
          <w:p w14:paraId="1C7B2E34" w14:textId="77777777" w:rsidR="00672297" w:rsidRDefault="00A16EA3">
            <w:pPr>
              <w:spacing w:before="20" w:after="20"/>
              <w:jc w:val="left"/>
            </w:pPr>
            <w:r>
              <w:rPr>
                <w:rFonts w:cstheme="minorHAnsi"/>
                <w:sz w:val="18"/>
                <w:szCs w:val="18"/>
              </w:rPr>
              <w:t>Yes-R#1 / R#2</w:t>
            </w:r>
          </w:p>
        </w:tc>
        <w:tc>
          <w:tcPr>
            <w:tcW w:w="2809" w:type="dxa"/>
            <w:vAlign w:val="center"/>
          </w:tcPr>
          <w:p w14:paraId="3CA84ED1" w14:textId="77777777" w:rsidR="00672297" w:rsidRDefault="00A16EA3">
            <w:pPr>
              <w:spacing w:before="20" w:after="20"/>
              <w:jc w:val="left"/>
            </w:pPr>
            <w:r>
              <w:rPr>
                <w:rFonts w:cstheme="minorHAnsi"/>
                <w:sz w:val="18"/>
                <w:szCs w:val="18"/>
              </w:rPr>
              <w:t>[&lt;Property&gt;Actual]</w:t>
            </w:r>
          </w:p>
        </w:tc>
      </w:tr>
      <w:tr w:rsidR="00672297" w14:paraId="7982F86F" w14:textId="77777777">
        <w:trPr>
          <w:cantSplit/>
        </w:trPr>
        <w:tc>
          <w:tcPr>
            <w:tcW w:w="1872" w:type="dxa"/>
            <w:vAlign w:val="center"/>
          </w:tcPr>
          <w:p w14:paraId="1BC91416" w14:textId="77777777" w:rsidR="00672297" w:rsidRDefault="00A16EA3">
            <w:pPr>
              <w:spacing w:before="20" w:after="20"/>
              <w:jc w:val="left"/>
            </w:pPr>
            <w:r>
              <w:rPr>
                <w:rFonts w:cstheme="minorHAnsi"/>
                <w:sz w:val="18"/>
                <w:szCs w:val="18"/>
              </w:rPr>
              <w:t>Min / Max</w:t>
            </w:r>
          </w:p>
        </w:tc>
        <w:tc>
          <w:tcPr>
            <w:tcW w:w="1684" w:type="dxa"/>
            <w:vAlign w:val="center"/>
          </w:tcPr>
          <w:p w14:paraId="0C144904" w14:textId="77777777" w:rsidR="00672297" w:rsidRDefault="00A16EA3">
            <w:pPr>
              <w:spacing w:before="20" w:after="20"/>
              <w:jc w:val="left"/>
            </w:pPr>
            <w:r>
              <w:rPr>
                <w:rFonts w:cstheme="minorHAnsi"/>
                <w:sz w:val="18"/>
                <w:szCs w:val="18"/>
              </w:rPr>
              <w:t>PQ Spec Shop</w:t>
            </w:r>
          </w:p>
        </w:tc>
        <w:tc>
          <w:tcPr>
            <w:tcW w:w="1872" w:type="dxa"/>
            <w:vAlign w:val="center"/>
          </w:tcPr>
          <w:p w14:paraId="0141DAB3" w14:textId="77777777" w:rsidR="00672297" w:rsidRDefault="00A16EA3">
            <w:pPr>
              <w:spacing w:before="20" w:after="20"/>
              <w:jc w:val="left"/>
            </w:pPr>
            <w:r>
              <w:rPr>
                <w:rFonts w:cstheme="minorHAnsi"/>
                <w:sz w:val="18"/>
                <w:szCs w:val="18"/>
              </w:rPr>
              <w:t>Specification rows</w:t>
            </w:r>
          </w:p>
        </w:tc>
        <w:tc>
          <w:tcPr>
            <w:tcW w:w="1123" w:type="dxa"/>
            <w:vAlign w:val="center"/>
          </w:tcPr>
          <w:p w14:paraId="566FBA00" w14:textId="77777777" w:rsidR="00672297" w:rsidRDefault="00A16EA3">
            <w:pPr>
              <w:spacing w:before="20" w:after="20"/>
              <w:jc w:val="left"/>
            </w:pPr>
            <w:r>
              <w:rPr>
                <w:rFonts w:cstheme="minorHAnsi"/>
                <w:sz w:val="18"/>
                <w:szCs w:val="18"/>
              </w:rPr>
              <w:t>Yes-R#5</w:t>
            </w:r>
          </w:p>
        </w:tc>
        <w:tc>
          <w:tcPr>
            <w:tcW w:w="2809" w:type="dxa"/>
            <w:vAlign w:val="center"/>
          </w:tcPr>
          <w:p w14:paraId="173F7BF4" w14:textId="77777777" w:rsidR="00672297" w:rsidRDefault="00A16EA3">
            <w:pPr>
              <w:spacing w:before="20" w:after="20"/>
              <w:jc w:val="left"/>
            </w:pPr>
            <w:r>
              <w:rPr>
                <w:rFonts w:cstheme="minorHAnsi"/>
                <w:sz w:val="18"/>
                <w:szCs w:val="18"/>
              </w:rPr>
              <w:t>[&lt;Property&gt;Min] / [&lt;Property&gt;Max]</w:t>
            </w:r>
          </w:p>
        </w:tc>
      </w:tr>
    </w:tbl>
    <w:p w14:paraId="3081AE64" w14:textId="31726463" w:rsidR="00672297" w:rsidRDefault="00A16EA3">
      <w:pPr>
        <w:pStyle w:val="Caption"/>
      </w:pPr>
      <w:bookmarkStart w:id="602" w:name="_Toc900950088"/>
      <w:bookmarkStart w:id="603" w:name="_Toc241574716"/>
      <w:bookmarkStart w:id="604" w:name="_Toc242554100"/>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27</w:t>
      </w:r>
      <w:r>
        <w:fldChar w:fldCharType="end"/>
      </w:r>
      <w:r>
        <w:t>: Distillate Dashboard Backend Field Mapping</w:t>
      </w:r>
      <w:bookmarkEnd w:id="602"/>
      <w:bookmarkEnd w:id="603"/>
      <w:bookmarkEnd w:id="604"/>
    </w:p>
    <w:p w14:paraId="7A0BF3BD" w14:textId="77777777" w:rsidR="00672297" w:rsidRDefault="00A16EA3">
      <w:pPr>
        <w:pStyle w:val="Heading4"/>
        <w:rPr>
          <w:rFonts w:asciiTheme="minorHAnsi" w:hAnsiTheme="minorHAnsi" w:cstheme="minorBidi"/>
          <w:sz w:val="20"/>
          <w:szCs w:val="20"/>
        </w:rPr>
      </w:pPr>
      <w:bookmarkStart w:id="605" w:name="_Toc900950089"/>
      <w:r>
        <w:rPr>
          <w:rFonts w:asciiTheme="minorHAnsi" w:hAnsiTheme="minorHAnsi" w:cstheme="minorBidi"/>
          <w:sz w:val="20"/>
          <w:szCs w:val="20"/>
        </w:rPr>
        <w:t>Calculation Logic</w:t>
      </w:r>
      <w:bookmarkEnd w:id="605"/>
    </w:p>
    <w:p w14:paraId="3792897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For each batch, the certified quality and the resolved spec limits come from vwDistillateBatchQuality (specification resolution below).</w:t>
      </w:r>
    </w:p>
    <w:p w14:paraId="0BB0014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KPI cards: average of Actual over the selected batches of the product, split by Status (Scheduled / In-Transit), as AVERAGEIFS in the wireframe.</w:t>
      </w:r>
    </w:p>
    <w:p w14:paraId="7A2DEE56"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Terminal-wise charts: average of Actual per destination terminal and status; spec line = resolved limit of the terminal (average of the batch limits, which are equal for one grade and terminal).</w:t>
      </w:r>
    </w:p>
    <w:p w14:paraId="4F1D4883"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Colour: green when within_spec_flag = 1, red when 0.</w:t>
      </w:r>
    </w:p>
    <w:p w14:paraId="31739964" w14:textId="77777777" w:rsidR="00672297" w:rsidRDefault="00A16EA3">
      <w:pPr>
        <w:pStyle w:val="Heading4"/>
        <w:rPr>
          <w:rFonts w:asciiTheme="minorHAnsi" w:hAnsiTheme="minorHAnsi" w:cstheme="minorBidi"/>
          <w:sz w:val="20"/>
          <w:szCs w:val="20"/>
        </w:rPr>
      </w:pPr>
      <w:bookmarkStart w:id="606" w:name="_Toc900950090"/>
      <w:r>
        <w:rPr>
          <w:rFonts w:asciiTheme="minorHAnsi" w:hAnsiTheme="minorHAnsi" w:cstheme="minorBidi"/>
          <w:sz w:val="20"/>
          <w:szCs w:val="20"/>
        </w:rPr>
        <w:t>Connection Details</w:t>
      </w:r>
      <w:bookmarkEnd w:id="606"/>
    </w:p>
    <w:p w14:paraId="3AD055F7" w14:textId="77777777" w:rsidR="00672297" w:rsidRDefault="00A16EA3">
      <w:pPr>
        <w:rPr>
          <w:rFonts w:cstheme="minorHAnsi"/>
          <w:sz w:val="20"/>
          <w:szCs w:val="20"/>
        </w:rPr>
      </w:pPr>
      <w:r>
        <w:rPr>
          <w:rFonts w:cstheme="minorHAnsi"/>
          <w:sz w:val="20"/>
          <w:szCs w:val="20"/>
        </w:rPr>
        <w:t>Server: com-dev-me2-com-shared-sql.database.windows.net; Database: iqdmdev (DEV) - parameters pServer / pDatabase (Connection Details, above).</w:t>
      </w:r>
    </w:p>
    <w:p w14:paraId="657EA6E4" w14:textId="77777777" w:rsidR="00672297" w:rsidRDefault="00A16EA3">
      <w:pPr>
        <w:pStyle w:val="Heading4"/>
        <w:rPr>
          <w:rFonts w:asciiTheme="minorHAnsi" w:hAnsiTheme="minorHAnsi" w:cstheme="minorBidi"/>
          <w:sz w:val="20"/>
          <w:szCs w:val="20"/>
        </w:rPr>
      </w:pPr>
      <w:bookmarkStart w:id="607" w:name="_Toc900950091"/>
      <w:r>
        <w:rPr>
          <w:rFonts w:asciiTheme="minorHAnsi" w:hAnsiTheme="minorHAnsi" w:cstheme="minorBidi"/>
          <w:sz w:val="20"/>
          <w:szCs w:val="20"/>
        </w:rPr>
        <w:t>Key Power Query Transformations</w:t>
      </w:r>
      <w:bookmarkEnd w:id="607"/>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2EAC0461" w14:textId="77777777">
        <w:trPr>
          <w:cantSplit/>
          <w:tblHeader/>
        </w:trPr>
        <w:tc>
          <w:tcPr>
            <w:tcW w:w="2808" w:type="dxa"/>
            <w:shd w:val="clear" w:color="auto" w:fill="2F5496"/>
            <w:vAlign w:val="center"/>
          </w:tcPr>
          <w:p w14:paraId="46D56194" w14:textId="77777777" w:rsidR="00672297" w:rsidRDefault="00A16EA3">
            <w:pPr>
              <w:spacing w:before="20" w:after="20"/>
              <w:jc w:val="left"/>
            </w:pPr>
            <w:r>
              <w:rPr>
                <w:rFonts w:cstheme="minorHAnsi"/>
                <w:b/>
                <w:bCs/>
                <w:color w:val="FFFFFF"/>
                <w:sz w:val="20"/>
                <w:szCs w:val="20"/>
              </w:rPr>
              <w:t>Table Name</w:t>
            </w:r>
          </w:p>
        </w:tc>
        <w:tc>
          <w:tcPr>
            <w:tcW w:w="6552" w:type="dxa"/>
            <w:shd w:val="clear" w:color="auto" w:fill="2F5496"/>
            <w:vAlign w:val="center"/>
          </w:tcPr>
          <w:p w14:paraId="030D4210" w14:textId="77777777" w:rsidR="00672297" w:rsidRDefault="00A16EA3">
            <w:pPr>
              <w:spacing w:before="20" w:after="20"/>
              <w:jc w:val="left"/>
            </w:pPr>
            <w:r>
              <w:rPr>
                <w:rFonts w:cstheme="minorHAnsi"/>
                <w:b/>
                <w:bCs/>
                <w:color w:val="FFFFFF"/>
                <w:sz w:val="20"/>
                <w:szCs w:val="20"/>
              </w:rPr>
              <w:t>Transformations Applied</w:t>
            </w:r>
          </w:p>
        </w:tc>
      </w:tr>
      <w:tr w:rsidR="00672297" w14:paraId="7FB98BFD" w14:textId="77777777">
        <w:trPr>
          <w:cantSplit/>
        </w:trPr>
        <w:tc>
          <w:tcPr>
            <w:tcW w:w="2808" w:type="dxa"/>
            <w:vAlign w:val="center"/>
          </w:tcPr>
          <w:p w14:paraId="1830C94C" w14:textId="77777777" w:rsidR="00672297" w:rsidRDefault="00A16EA3">
            <w:pPr>
              <w:spacing w:before="20" w:after="20"/>
              <w:jc w:val="left"/>
            </w:pPr>
            <w:r>
              <w:rPr>
                <w:rFonts w:cstheme="minorHAnsi"/>
                <w:sz w:val="20"/>
                <w:szCs w:val="20"/>
              </w:rPr>
              <w:t>vwDistillateBatchQuality</w:t>
            </w:r>
          </w:p>
        </w:tc>
        <w:tc>
          <w:tcPr>
            <w:tcW w:w="6552" w:type="dxa"/>
            <w:vAlign w:val="center"/>
          </w:tcPr>
          <w:p w14:paraId="22A71ABD" w14:textId="77777777" w:rsidR="00672297" w:rsidRDefault="00A16EA3">
            <w:pPr>
              <w:spacing w:before="20" w:after="20"/>
              <w:jc w:val="left"/>
            </w:pPr>
            <w:r>
              <w:rPr>
                <w:rFonts w:cstheme="minorHAnsi"/>
                <w:sz w:val="20"/>
                <w:szCs w:val="20"/>
              </w:rPr>
              <w:t>Columns renamed to the wireframe display names; units in the column names (°F, ppm, cSt)</w:t>
            </w:r>
          </w:p>
        </w:tc>
      </w:tr>
    </w:tbl>
    <w:p w14:paraId="0C3C661E" w14:textId="70BBCE02" w:rsidR="00672297" w:rsidRDefault="00A16EA3">
      <w:pPr>
        <w:pStyle w:val="Caption"/>
      </w:pPr>
      <w:bookmarkStart w:id="608" w:name="_Toc900950092"/>
      <w:bookmarkStart w:id="609" w:name="_Toc241574717"/>
      <w:bookmarkStart w:id="610" w:name="_Toc242554101"/>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28</w:t>
      </w:r>
      <w:r>
        <w:fldChar w:fldCharType="end"/>
      </w:r>
      <w:r>
        <w:t>: Distillate Dashboard Power Query Transformations</w:t>
      </w:r>
      <w:bookmarkEnd w:id="608"/>
      <w:bookmarkEnd w:id="609"/>
      <w:bookmarkEnd w:id="610"/>
    </w:p>
    <w:p w14:paraId="04265475" w14:textId="77777777" w:rsidR="00672297" w:rsidRDefault="00A16EA3">
      <w:pPr>
        <w:pStyle w:val="Heading4"/>
        <w:rPr>
          <w:rFonts w:asciiTheme="minorHAnsi" w:hAnsiTheme="minorHAnsi" w:cstheme="minorBidi"/>
          <w:sz w:val="20"/>
          <w:szCs w:val="20"/>
        </w:rPr>
      </w:pPr>
      <w:bookmarkStart w:id="611" w:name="_Toc900950093"/>
      <w:r>
        <w:rPr>
          <w:rFonts w:asciiTheme="minorHAnsi" w:hAnsiTheme="minorHAnsi" w:cstheme="minorBidi"/>
          <w:sz w:val="20"/>
          <w:szCs w:val="20"/>
        </w:rPr>
        <w:t>Data Model Design</w:t>
      </w:r>
      <w:bookmarkEnd w:id="611"/>
    </w:p>
    <w:p w14:paraId="4D82D1E3" w14:textId="77777777" w:rsidR="00672297" w:rsidRDefault="00A16EA3">
      <w:pPr>
        <w:rPr>
          <w:rFonts w:cstheme="minorHAnsi"/>
          <w:sz w:val="20"/>
          <w:szCs w:val="20"/>
        </w:rPr>
      </w:pPr>
      <w:r>
        <w:rPr>
          <w:rFonts w:cstheme="minorHAnsi"/>
          <w:sz w:val="20"/>
          <w:szCs w:val="20"/>
        </w:rPr>
        <w:t>Model type: star schema (Figure 4-2). The report uses vwDistillateBatchQuality, day_detail and Last_Refresh.</w:t>
      </w:r>
    </w:p>
    <w:p w14:paraId="2EBAD2F3" w14:textId="77777777" w:rsidR="00672297" w:rsidRDefault="00A16EA3">
      <w:pPr>
        <w:pStyle w:val="Heading4"/>
        <w:rPr>
          <w:rFonts w:asciiTheme="minorHAnsi" w:hAnsiTheme="minorHAnsi" w:cstheme="minorBidi"/>
          <w:sz w:val="20"/>
          <w:szCs w:val="20"/>
        </w:rPr>
      </w:pPr>
      <w:bookmarkStart w:id="612" w:name="_Toc900950094"/>
      <w:r>
        <w:rPr>
          <w:rFonts w:asciiTheme="minorHAnsi" w:hAnsiTheme="minorHAnsi" w:cstheme="minorBidi"/>
          <w:sz w:val="20"/>
          <w:szCs w:val="20"/>
        </w:rPr>
        <w:t>Tables / Views Loaded and Data Sources</w:t>
      </w:r>
      <w:bookmarkEnd w:id="612"/>
    </w:p>
    <w:tbl>
      <w:tblPr>
        <w:tblStyle w:val="TableGrid"/>
        <w:tblW w:w="9360" w:type="dxa"/>
        <w:tblLayout w:type="fixed"/>
        <w:tblCellMar>
          <w:left w:w="70" w:type="dxa"/>
          <w:right w:w="70" w:type="dxa"/>
        </w:tblCellMar>
        <w:tblLook w:val="04A0" w:firstRow="1" w:lastRow="0" w:firstColumn="1" w:lastColumn="0" w:noHBand="0" w:noVBand="1"/>
      </w:tblPr>
      <w:tblGrid>
        <w:gridCol w:w="2808"/>
        <w:gridCol w:w="1123"/>
        <w:gridCol w:w="2433"/>
        <w:gridCol w:w="2996"/>
      </w:tblGrid>
      <w:tr w:rsidR="00672297" w14:paraId="235A1CAD" w14:textId="77777777">
        <w:trPr>
          <w:cantSplit/>
          <w:tblHeader/>
        </w:trPr>
        <w:tc>
          <w:tcPr>
            <w:tcW w:w="2808" w:type="dxa"/>
            <w:shd w:val="clear" w:color="auto" w:fill="2F5496"/>
            <w:vAlign w:val="center"/>
          </w:tcPr>
          <w:p w14:paraId="503B73D1" w14:textId="77777777" w:rsidR="00672297" w:rsidRDefault="00A16EA3">
            <w:pPr>
              <w:spacing w:before="20" w:after="20"/>
              <w:jc w:val="left"/>
            </w:pPr>
            <w:r>
              <w:rPr>
                <w:rFonts w:cstheme="minorHAnsi"/>
                <w:b/>
                <w:bCs/>
                <w:color w:val="FFFFFF"/>
                <w:sz w:val="20"/>
                <w:szCs w:val="20"/>
              </w:rPr>
              <w:t>Table / View Name</w:t>
            </w:r>
          </w:p>
        </w:tc>
        <w:tc>
          <w:tcPr>
            <w:tcW w:w="1123" w:type="dxa"/>
            <w:shd w:val="clear" w:color="auto" w:fill="2F5496"/>
            <w:vAlign w:val="center"/>
          </w:tcPr>
          <w:p w14:paraId="13D6F3F7" w14:textId="77777777" w:rsidR="00672297" w:rsidRDefault="00A16EA3">
            <w:pPr>
              <w:spacing w:before="20" w:after="20"/>
              <w:jc w:val="left"/>
            </w:pPr>
            <w:r>
              <w:rPr>
                <w:rFonts w:cstheme="minorHAnsi"/>
                <w:b/>
                <w:bCs/>
                <w:color w:val="FFFFFF"/>
                <w:sz w:val="20"/>
                <w:szCs w:val="20"/>
              </w:rPr>
              <w:t>Type</w:t>
            </w:r>
          </w:p>
        </w:tc>
        <w:tc>
          <w:tcPr>
            <w:tcW w:w="2433" w:type="dxa"/>
            <w:shd w:val="clear" w:color="auto" w:fill="2F5496"/>
            <w:vAlign w:val="center"/>
          </w:tcPr>
          <w:p w14:paraId="385A18CE" w14:textId="77777777" w:rsidR="00672297" w:rsidRDefault="00A16EA3">
            <w:pPr>
              <w:spacing w:before="20" w:after="20"/>
              <w:jc w:val="left"/>
            </w:pPr>
            <w:r>
              <w:rPr>
                <w:rFonts w:cstheme="minorHAnsi"/>
                <w:b/>
                <w:bCs/>
                <w:color w:val="FFFFFF"/>
                <w:sz w:val="20"/>
                <w:szCs w:val="20"/>
              </w:rPr>
              <w:t>Source</w:t>
            </w:r>
          </w:p>
        </w:tc>
        <w:tc>
          <w:tcPr>
            <w:tcW w:w="2996" w:type="dxa"/>
            <w:shd w:val="clear" w:color="auto" w:fill="2F5496"/>
            <w:vAlign w:val="center"/>
          </w:tcPr>
          <w:p w14:paraId="73767B03" w14:textId="77777777" w:rsidR="00672297" w:rsidRDefault="00A16EA3">
            <w:pPr>
              <w:spacing w:before="20" w:after="20"/>
              <w:jc w:val="left"/>
            </w:pPr>
            <w:r>
              <w:rPr>
                <w:rFonts w:cstheme="minorHAnsi"/>
                <w:b/>
                <w:bCs/>
                <w:color w:val="FFFFFF"/>
                <w:sz w:val="20"/>
                <w:szCs w:val="20"/>
              </w:rPr>
              <w:t>Description</w:t>
            </w:r>
          </w:p>
        </w:tc>
      </w:tr>
      <w:tr w:rsidR="00672297" w14:paraId="6D012E74" w14:textId="77777777">
        <w:trPr>
          <w:cantSplit/>
        </w:trPr>
        <w:tc>
          <w:tcPr>
            <w:tcW w:w="2808" w:type="dxa"/>
            <w:vAlign w:val="center"/>
          </w:tcPr>
          <w:p w14:paraId="530AD29E" w14:textId="77777777" w:rsidR="00672297" w:rsidRDefault="00A16EA3">
            <w:pPr>
              <w:spacing w:before="20" w:after="20"/>
              <w:jc w:val="left"/>
            </w:pPr>
            <w:r>
              <w:rPr>
                <w:rFonts w:cstheme="minorHAnsi"/>
                <w:sz w:val="20"/>
                <w:szCs w:val="20"/>
              </w:rPr>
              <w:t>vwDistillateBatchQuality</w:t>
            </w:r>
          </w:p>
        </w:tc>
        <w:tc>
          <w:tcPr>
            <w:tcW w:w="1123" w:type="dxa"/>
            <w:vAlign w:val="center"/>
          </w:tcPr>
          <w:p w14:paraId="613ED2F6" w14:textId="77777777" w:rsidR="00672297" w:rsidRDefault="00A16EA3">
            <w:pPr>
              <w:spacing w:before="20" w:after="20"/>
              <w:jc w:val="left"/>
            </w:pPr>
            <w:r>
              <w:rPr>
                <w:rFonts w:cstheme="minorHAnsi"/>
                <w:sz w:val="20"/>
                <w:szCs w:val="20"/>
              </w:rPr>
              <w:t>Transaction</w:t>
            </w:r>
          </w:p>
        </w:tc>
        <w:tc>
          <w:tcPr>
            <w:tcW w:w="2433" w:type="dxa"/>
            <w:vAlign w:val="center"/>
          </w:tcPr>
          <w:p w14:paraId="422FFFDC" w14:textId="77777777" w:rsidR="00672297" w:rsidRDefault="00A16EA3">
            <w:pPr>
              <w:spacing w:before="20" w:after="20"/>
              <w:jc w:val="left"/>
            </w:pPr>
            <w:r>
              <w:rPr>
                <w:rFonts w:cstheme="minorHAnsi"/>
                <w:sz w:val="20"/>
                <w:szCs w:val="20"/>
              </w:rPr>
              <w:t>IQDM database - VCB view (chapter 3)</w:t>
            </w:r>
          </w:p>
        </w:tc>
        <w:tc>
          <w:tcPr>
            <w:tcW w:w="2996" w:type="dxa"/>
            <w:vAlign w:val="center"/>
          </w:tcPr>
          <w:p w14:paraId="46776241" w14:textId="77777777" w:rsidR="00672297" w:rsidRDefault="00A16EA3">
            <w:pPr>
              <w:spacing w:before="20" w:after="20"/>
              <w:jc w:val="left"/>
            </w:pPr>
            <w:r>
              <w:rPr>
                <w:rFonts w:cstheme="minorHAnsi"/>
                <w:sz w:val="20"/>
                <w:szCs w:val="20"/>
              </w:rPr>
              <w:t>Distillate batch Min / Actual / Max qualities; builds the cards, the five terminal-wise charts and the batch table</w:t>
            </w:r>
          </w:p>
        </w:tc>
      </w:tr>
      <w:tr w:rsidR="00672297" w14:paraId="6F3E198A" w14:textId="77777777">
        <w:trPr>
          <w:cantSplit/>
        </w:trPr>
        <w:tc>
          <w:tcPr>
            <w:tcW w:w="2808" w:type="dxa"/>
            <w:vAlign w:val="center"/>
          </w:tcPr>
          <w:p w14:paraId="616005FC" w14:textId="77777777" w:rsidR="00672297" w:rsidRDefault="00A16EA3">
            <w:pPr>
              <w:spacing w:before="20" w:after="20"/>
              <w:jc w:val="left"/>
            </w:pPr>
            <w:r>
              <w:rPr>
                <w:rFonts w:cstheme="minorHAnsi"/>
                <w:sz w:val="20"/>
                <w:szCs w:val="20"/>
              </w:rPr>
              <w:t>day_detail</w:t>
            </w:r>
          </w:p>
        </w:tc>
        <w:tc>
          <w:tcPr>
            <w:tcW w:w="1123" w:type="dxa"/>
            <w:vAlign w:val="center"/>
          </w:tcPr>
          <w:p w14:paraId="3BD2797A" w14:textId="77777777" w:rsidR="00672297" w:rsidRDefault="00A16EA3">
            <w:pPr>
              <w:spacing w:before="20" w:after="20"/>
              <w:jc w:val="left"/>
            </w:pPr>
            <w:r>
              <w:rPr>
                <w:rFonts w:cstheme="minorHAnsi"/>
                <w:sz w:val="20"/>
                <w:szCs w:val="20"/>
              </w:rPr>
              <w:t>Reference</w:t>
            </w:r>
          </w:p>
        </w:tc>
        <w:tc>
          <w:tcPr>
            <w:tcW w:w="2433" w:type="dxa"/>
            <w:vAlign w:val="center"/>
          </w:tcPr>
          <w:p w14:paraId="148B0A80" w14:textId="77777777" w:rsidR="00672297" w:rsidRDefault="00A16EA3">
            <w:pPr>
              <w:spacing w:before="20" w:after="20"/>
              <w:jc w:val="left"/>
            </w:pPr>
            <w:r>
              <w:rPr>
                <w:rFonts w:cstheme="minorHAnsi"/>
                <w:sz w:val="20"/>
                <w:szCs w:val="20"/>
              </w:rPr>
              <w:t>IQDM database</w:t>
            </w:r>
          </w:p>
        </w:tc>
        <w:tc>
          <w:tcPr>
            <w:tcW w:w="2996" w:type="dxa"/>
            <w:vAlign w:val="center"/>
          </w:tcPr>
          <w:p w14:paraId="351E876C" w14:textId="77777777" w:rsidR="00672297" w:rsidRDefault="00A16EA3">
            <w:pPr>
              <w:spacing w:before="20" w:after="20"/>
              <w:jc w:val="left"/>
            </w:pPr>
            <w:r>
              <w:rPr>
                <w:rFonts w:cstheme="minorHAnsi"/>
                <w:sz w:val="20"/>
                <w:szCs w:val="20"/>
              </w:rPr>
              <w:t>Calendar attributes</w:t>
            </w:r>
          </w:p>
        </w:tc>
      </w:tr>
      <w:tr w:rsidR="00672297" w14:paraId="10F1E2F8" w14:textId="77777777">
        <w:trPr>
          <w:cantSplit/>
        </w:trPr>
        <w:tc>
          <w:tcPr>
            <w:tcW w:w="2808" w:type="dxa"/>
            <w:vAlign w:val="center"/>
          </w:tcPr>
          <w:p w14:paraId="3C66C522" w14:textId="77777777" w:rsidR="00672297" w:rsidRDefault="00A16EA3">
            <w:pPr>
              <w:spacing w:before="20" w:after="20"/>
              <w:jc w:val="left"/>
            </w:pPr>
            <w:r>
              <w:rPr>
                <w:rFonts w:cstheme="minorHAnsi"/>
                <w:sz w:val="20"/>
                <w:szCs w:val="20"/>
              </w:rPr>
              <w:t>Last_Refresh</w:t>
            </w:r>
          </w:p>
        </w:tc>
        <w:tc>
          <w:tcPr>
            <w:tcW w:w="1123" w:type="dxa"/>
            <w:vAlign w:val="center"/>
          </w:tcPr>
          <w:p w14:paraId="4DA588E2" w14:textId="77777777" w:rsidR="00672297" w:rsidRDefault="00A16EA3">
            <w:pPr>
              <w:spacing w:before="20" w:after="20"/>
              <w:jc w:val="left"/>
            </w:pPr>
            <w:r>
              <w:rPr>
                <w:rFonts w:cstheme="minorHAnsi"/>
                <w:sz w:val="20"/>
                <w:szCs w:val="20"/>
              </w:rPr>
              <w:t>Parameter</w:t>
            </w:r>
          </w:p>
        </w:tc>
        <w:tc>
          <w:tcPr>
            <w:tcW w:w="2433" w:type="dxa"/>
            <w:vAlign w:val="center"/>
          </w:tcPr>
          <w:p w14:paraId="628136A4" w14:textId="77777777" w:rsidR="00672297" w:rsidRDefault="00A16EA3">
            <w:pPr>
              <w:spacing w:before="20" w:after="20"/>
              <w:jc w:val="left"/>
            </w:pPr>
            <w:r>
              <w:rPr>
                <w:rFonts w:cstheme="minorHAnsi"/>
                <w:sz w:val="20"/>
                <w:szCs w:val="20"/>
              </w:rPr>
              <w:t>Power Query</w:t>
            </w:r>
          </w:p>
        </w:tc>
        <w:tc>
          <w:tcPr>
            <w:tcW w:w="2996" w:type="dxa"/>
            <w:vAlign w:val="center"/>
          </w:tcPr>
          <w:p w14:paraId="121A2B0A" w14:textId="77777777" w:rsidR="00672297" w:rsidRDefault="00A16EA3">
            <w:pPr>
              <w:spacing w:before="20" w:after="20"/>
              <w:jc w:val="left"/>
            </w:pPr>
            <w:r>
              <w:rPr>
                <w:rFonts w:cstheme="minorHAnsi"/>
                <w:sz w:val="20"/>
                <w:szCs w:val="20"/>
              </w:rPr>
              <w:t>Last refresh timestamp</w:t>
            </w:r>
          </w:p>
        </w:tc>
      </w:tr>
    </w:tbl>
    <w:p w14:paraId="2A9D10BF" w14:textId="0DD75854" w:rsidR="00672297" w:rsidRDefault="00A16EA3">
      <w:pPr>
        <w:pStyle w:val="Caption"/>
      </w:pPr>
      <w:bookmarkStart w:id="613" w:name="_Toc900950095"/>
      <w:bookmarkStart w:id="614" w:name="_Toc241574718"/>
      <w:bookmarkStart w:id="615" w:name="_Toc242554102"/>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29</w:t>
      </w:r>
      <w:r>
        <w:fldChar w:fldCharType="end"/>
      </w:r>
      <w:r>
        <w:t>: Distillate Dashboard Tables / Views Loaded in Power BI</w:t>
      </w:r>
      <w:bookmarkEnd w:id="613"/>
      <w:bookmarkEnd w:id="614"/>
      <w:bookmarkEnd w:id="615"/>
    </w:p>
    <w:p w14:paraId="66984241" w14:textId="77777777" w:rsidR="00672297" w:rsidRDefault="00A16EA3">
      <w:pPr>
        <w:pStyle w:val="Heading4"/>
        <w:rPr>
          <w:rFonts w:asciiTheme="minorHAnsi" w:hAnsiTheme="minorHAnsi" w:cstheme="minorBidi"/>
          <w:sz w:val="20"/>
          <w:szCs w:val="20"/>
        </w:rPr>
      </w:pPr>
      <w:bookmarkStart w:id="616" w:name="_Toc900950096"/>
      <w:r>
        <w:rPr>
          <w:rFonts w:asciiTheme="minorHAnsi" w:hAnsiTheme="minorHAnsi" w:cstheme="minorBidi"/>
          <w:sz w:val="20"/>
          <w:szCs w:val="20"/>
        </w:rPr>
        <w:t>Relationships</w:t>
      </w:r>
      <w:bookmarkEnd w:id="616"/>
    </w:p>
    <w:tbl>
      <w:tblPr>
        <w:tblStyle w:val="TableGrid"/>
        <w:tblW w:w="9360" w:type="dxa"/>
        <w:tblLayout w:type="fixed"/>
        <w:tblCellMar>
          <w:left w:w="70" w:type="dxa"/>
          <w:right w:w="70" w:type="dxa"/>
        </w:tblCellMar>
        <w:tblLook w:val="04A0" w:firstRow="1" w:lastRow="0" w:firstColumn="1" w:lastColumn="0" w:noHBand="0" w:noVBand="1"/>
      </w:tblPr>
      <w:tblGrid>
        <w:gridCol w:w="2620"/>
        <w:gridCol w:w="2246"/>
        <w:gridCol w:w="1497"/>
        <w:gridCol w:w="1872"/>
        <w:gridCol w:w="1125"/>
      </w:tblGrid>
      <w:tr w:rsidR="00672297" w14:paraId="78C9809E" w14:textId="77777777">
        <w:trPr>
          <w:cantSplit/>
          <w:tblHeader/>
        </w:trPr>
        <w:tc>
          <w:tcPr>
            <w:tcW w:w="2620" w:type="dxa"/>
            <w:shd w:val="clear" w:color="auto" w:fill="2F5496"/>
            <w:vAlign w:val="center"/>
          </w:tcPr>
          <w:p w14:paraId="7A32B3C4" w14:textId="77777777" w:rsidR="00672297" w:rsidRDefault="00A16EA3">
            <w:pPr>
              <w:spacing w:before="20" w:after="20"/>
              <w:jc w:val="left"/>
            </w:pPr>
            <w:r>
              <w:rPr>
                <w:rFonts w:cstheme="minorHAnsi"/>
                <w:b/>
                <w:bCs/>
                <w:color w:val="FFFFFF"/>
                <w:sz w:val="18"/>
                <w:szCs w:val="18"/>
              </w:rPr>
              <w:t>From Table</w:t>
            </w:r>
          </w:p>
        </w:tc>
        <w:tc>
          <w:tcPr>
            <w:tcW w:w="2246" w:type="dxa"/>
            <w:shd w:val="clear" w:color="auto" w:fill="2F5496"/>
            <w:vAlign w:val="center"/>
          </w:tcPr>
          <w:p w14:paraId="06276596" w14:textId="77777777" w:rsidR="00672297" w:rsidRDefault="00A16EA3">
            <w:pPr>
              <w:spacing w:before="20" w:after="20"/>
              <w:jc w:val="left"/>
            </w:pPr>
            <w:r>
              <w:rPr>
                <w:rFonts w:cstheme="minorHAnsi"/>
                <w:b/>
                <w:bCs/>
                <w:color w:val="FFFFFF"/>
                <w:sz w:val="18"/>
                <w:szCs w:val="18"/>
              </w:rPr>
              <w:t>Column</w:t>
            </w:r>
          </w:p>
        </w:tc>
        <w:tc>
          <w:tcPr>
            <w:tcW w:w="1497" w:type="dxa"/>
            <w:shd w:val="clear" w:color="auto" w:fill="2F5496"/>
            <w:vAlign w:val="center"/>
          </w:tcPr>
          <w:p w14:paraId="3070D6E0" w14:textId="77777777" w:rsidR="00672297" w:rsidRDefault="00A16EA3">
            <w:pPr>
              <w:spacing w:before="20" w:after="20"/>
              <w:jc w:val="left"/>
            </w:pPr>
            <w:r>
              <w:rPr>
                <w:rFonts w:cstheme="minorHAnsi"/>
                <w:b/>
                <w:bCs/>
                <w:color w:val="FFFFFF"/>
                <w:sz w:val="18"/>
                <w:szCs w:val="18"/>
              </w:rPr>
              <w:t>To Table</w:t>
            </w:r>
          </w:p>
        </w:tc>
        <w:tc>
          <w:tcPr>
            <w:tcW w:w="1872" w:type="dxa"/>
            <w:shd w:val="clear" w:color="auto" w:fill="2F5496"/>
            <w:vAlign w:val="center"/>
          </w:tcPr>
          <w:p w14:paraId="73F02FBB" w14:textId="77777777" w:rsidR="00672297" w:rsidRDefault="00A16EA3">
            <w:pPr>
              <w:spacing w:before="20" w:after="20"/>
              <w:jc w:val="left"/>
            </w:pPr>
            <w:r>
              <w:rPr>
                <w:rFonts w:cstheme="minorHAnsi"/>
                <w:b/>
                <w:bCs/>
                <w:color w:val="FFFFFF"/>
                <w:sz w:val="18"/>
                <w:szCs w:val="18"/>
              </w:rPr>
              <w:t>Column</w:t>
            </w:r>
          </w:p>
        </w:tc>
        <w:tc>
          <w:tcPr>
            <w:tcW w:w="1125" w:type="dxa"/>
            <w:shd w:val="clear" w:color="auto" w:fill="2F5496"/>
            <w:vAlign w:val="center"/>
          </w:tcPr>
          <w:p w14:paraId="60640966" w14:textId="77777777" w:rsidR="00672297" w:rsidRDefault="00A16EA3">
            <w:pPr>
              <w:spacing w:before="20" w:after="20"/>
              <w:jc w:val="left"/>
            </w:pPr>
            <w:r>
              <w:rPr>
                <w:rFonts w:cstheme="minorHAnsi"/>
                <w:b/>
                <w:bCs/>
                <w:color w:val="FFFFFF"/>
                <w:sz w:val="18"/>
                <w:szCs w:val="18"/>
              </w:rPr>
              <w:t>Cardinality</w:t>
            </w:r>
          </w:p>
        </w:tc>
      </w:tr>
      <w:tr w:rsidR="00672297" w14:paraId="3C5A2CB1" w14:textId="77777777">
        <w:trPr>
          <w:cantSplit/>
        </w:trPr>
        <w:tc>
          <w:tcPr>
            <w:tcW w:w="2620" w:type="dxa"/>
            <w:vAlign w:val="center"/>
          </w:tcPr>
          <w:p w14:paraId="6558232F" w14:textId="77777777" w:rsidR="00672297" w:rsidRDefault="00A16EA3">
            <w:pPr>
              <w:spacing w:before="20" w:after="20"/>
              <w:jc w:val="left"/>
            </w:pPr>
            <w:r>
              <w:rPr>
                <w:rFonts w:cstheme="minorHAnsi"/>
                <w:sz w:val="18"/>
                <w:szCs w:val="18"/>
              </w:rPr>
              <w:t>vwDistillateBatchQuality</w:t>
            </w:r>
          </w:p>
        </w:tc>
        <w:tc>
          <w:tcPr>
            <w:tcW w:w="2246" w:type="dxa"/>
            <w:vAlign w:val="center"/>
          </w:tcPr>
          <w:p w14:paraId="014AB099" w14:textId="77777777" w:rsidR="00672297" w:rsidRDefault="00A16EA3">
            <w:pPr>
              <w:spacing w:before="20" w:after="20"/>
              <w:jc w:val="left"/>
            </w:pPr>
            <w:r>
              <w:rPr>
                <w:rFonts w:cstheme="minorHAnsi"/>
                <w:sz w:val="18"/>
                <w:szCs w:val="18"/>
              </w:rPr>
              <w:t>ETADate</w:t>
            </w:r>
          </w:p>
        </w:tc>
        <w:tc>
          <w:tcPr>
            <w:tcW w:w="1497" w:type="dxa"/>
            <w:vAlign w:val="center"/>
          </w:tcPr>
          <w:p w14:paraId="29658DFD" w14:textId="77777777" w:rsidR="00672297" w:rsidRDefault="00A16EA3">
            <w:pPr>
              <w:spacing w:before="20" w:after="20"/>
              <w:jc w:val="left"/>
            </w:pPr>
            <w:r>
              <w:rPr>
                <w:rFonts w:cstheme="minorHAnsi"/>
                <w:sz w:val="18"/>
                <w:szCs w:val="18"/>
              </w:rPr>
              <w:t>day_detail</w:t>
            </w:r>
          </w:p>
        </w:tc>
        <w:tc>
          <w:tcPr>
            <w:tcW w:w="1872" w:type="dxa"/>
            <w:vAlign w:val="center"/>
          </w:tcPr>
          <w:p w14:paraId="3804E36D" w14:textId="77777777" w:rsidR="00672297" w:rsidRDefault="00A16EA3">
            <w:pPr>
              <w:spacing w:before="20" w:after="20"/>
              <w:jc w:val="left"/>
            </w:pPr>
            <w:r>
              <w:rPr>
                <w:rFonts w:cstheme="minorHAnsi"/>
                <w:sz w:val="18"/>
                <w:szCs w:val="18"/>
              </w:rPr>
              <w:t>W_Date</w:t>
            </w:r>
          </w:p>
        </w:tc>
        <w:tc>
          <w:tcPr>
            <w:tcW w:w="1125" w:type="dxa"/>
            <w:vAlign w:val="center"/>
          </w:tcPr>
          <w:p w14:paraId="2E959AA3" w14:textId="77777777" w:rsidR="00672297" w:rsidRDefault="00A16EA3">
            <w:pPr>
              <w:spacing w:before="20" w:after="20"/>
              <w:jc w:val="left"/>
            </w:pPr>
            <w:r>
              <w:rPr>
                <w:rFonts w:cstheme="minorHAnsi"/>
                <w:sz w:val="18"/>
                <w:szCs w:val="18"/>
              </w:rPr>
              <w:t>Many-to-One</w:t>
            </w:r>
          </w:p>
        </w:tc>
      </w:tr>
    </w:tbl>
    <w:p w14:paraId="6A715518" w14:textId="62838E86" w:rsidR="00672297" w:rsidRDefault="00A16EA3">
      <w:pPr>
        <w:pStyle w:val="Caption"/>
      </w:pPr>
      <w:bookmarkStart w:id="617" w:name="_Toc900950097"/>
      <w:bookmarkStart w:id="618" w:name="_Toc241574719"/>
      <w:bookmarkStart w:id="619" w:name="_Toc242554103"/>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30</w:t>
      </w:r>
      <w:r>
        <w:fldChar w:fldCharType="end"/>
      </w:r>
      <w:r>
        <w:t>: Distillate Dashboard Relationships between Tables / Views in Power BI</w:t>
      </w:r>
      <w:bookmarkEnd w:id="617"/>
      <w:bookmarkEnd w:id="618"/>
      <w:bookmarkEnd w:id="619"/>
    </w:p>
    <w:p w14:paraId="18DA6EE9" w14:textId="77777777" w:rsidR="00672297" w:rsidRDefault="00A16EA3">
      <w:pPr>
        <w:pStyle w:val="Heading4"/>
        <w:rPr>
          <w:rFonts w:asciiTheme="minorHAnsi" w:hAnsiTheme="minorHAnsi" w:cstheme="minorBidi"/>
          <w:sz w:val="20"/>
          <w:szCs w:val="20"/>
        </w:rPr>
      </w:pPr>
      <w:bookmarkStart w:id="620" w:name="_Toc900950098"/>
      <w:r>
        <w:rPr>
          <w:rFonts w:asciiTheme="minorHAnsi" w:hAnsiTheme="minorHAnsi" w:cstheme="minorBidi"/>
          <w:sz w:val="20"/>
          <w:szCs w:val="20"/>
        </w:rPr>
        <w:t>Measures &amp; DAX Calculations</w:t>
      </w:r>
      <w:bookmarkEnd w:id="620"/>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2A63EF68" w14:textId="77777777">
        <w:trPr>
          <w:cantSplit/>
          <w:tblHeader/>
        </w:trPr>
        <w:tc>
          <w:tcPr>
            <w:tcW w:w="2808" w:type="dxa"/>
            <w:shd w:val="clear" w:color="auto" w:fill="2F5496"/>
            <w:vAlign w:val="center"/>
          </w:tcPr>
          <w:p w14:paraId="0EDD976C" w14:textId="77777777" w:rsidR="00672297" w:rsidRDefault="00A16EA3">
            <w:pPr>
              <w:spacing w:before="20" w:after="20"/>
              <w:jc w:val="left"/>
            </w:pPr>
            <w:r>
              <w:rPr>
                <w:rFonts w:cstheme="minorHAnsi"/>
                <w:b/>
                <w:bCs/>
                <w:color w:val="FFFFFF"/>
                <w:sz w:val="20"/>
                <w:szCs w:val="20"/>
              </w:rPr>
              <w:t>Measure Name</w:t>
            </w:r>
          </w:p>
        </w:tc>
        <w:tc>
          <w:tcPr>
            <w:tcW w:w="6552" w:type="dxa"/>
            <w:shd w:val="clear" w:color="auto" w:fill="2F5496"/>
            <w:vAlign w:val="center"/>
          </w:tcPr>
          <w:p w14:paraId="6606B53E" w14:textId="77777777" w:rsidR="00672297" w:rsidRDefault="00A16EA3">
            <w:pPr>
              <w:spacing w:before="20" w:after="20"/>
              <w:jc w:val="left"/>
            </w:pPr>
            <w:r>
              <w:rPr>
                <w:rFonts w:cstheme="minorHAnsi"/>
                <w:b/>
                <w:bCs/>
                <w:color w:val="FFFFFF"/>
                <w:sz w:val="20"/>
                <w:szCs w:val="20"/>
              </w:rPr>
              <w:t>DAX Logic</w:t>
            </w:r>
          </w:p>
        </w:tc>
      </w:tr>
      <w:tr w:rsidR="00672297" w14:paraId="56EA5996" w14:textId="77777777">
        <w:trPr>
          <w:cantSplit/>
        </w:trPr>
        <w:tc>
          <w:tcPr>
            <w:tcW w:w="2808" w:type="dxa"/>
            <w:vAlign w:val="center"/>
          </w:tcPr>
          <w:p w14:paraId="56E42120" w14:textId="77777777" w:rsidR="00672297" w:rsidRDefault="00A16EA3">
            <w:pPr>
              <w:spacing w:before="20" w:after="20"/>
              <w:jc w:val="left"/>
            </w:pPr>
            <w:r>
              <w:rPr>
                <w:rFonts w:cstheme="minorHAnsi"/>
                <w:sz w:val="20"/>
                <w:szCs w:val="20"/>
              </w:rPr>
              <w:t>&lt;Property&gt; Actual - Scheduled / - In-Transit</w:t>
            </w:r>
          </w:p>
        </w:tc>
        <w:tc>
          <w:tcPr>
            <w:tcW w:w="6552" w:type="dxa"/>
            <w:vAlign w:val="center"/>
          </w:tcPr>
          <w:p w14:paraId="08D7B93F" w14:textId="77777777" w:rsidR="00672297" w:rsidRDefault="00A16EA3">
            <w:pPr>
              <w:spacing w:before="20" w:after="20"/>
              <w:jc w:val="left"/>
            </w:pPr>
            <w:r>
              <w:rPr>
                <w:rFonts w:cstheme="minorHAnsi"/>
                <w:sz w:val="20"/>
                <w:szCs w:val="20"/>
              </w:rPr>
              <w:t>CALCULATE ( AVERAGE ( vwDistillateBatchQuality[&lt;Property&gt;Actual] ), vwDistillateBatchQuality[BatchStatus] = "Scheduled" ) / "In-Transit"</w:t>
            </w:r>
          </w:p>
        </w:tc>
      </w:tr>
      <w:tr w:rsidR="00672297" w14:paraId="2C1D9307" w14:textId="77777777">
        <w:trPr>
          <w:cantSplit/>
        </w:trPr>
        <w:tc>
          <w:tcPr>
            <w:tcW w:w="2808" w:type="dxa"/>
            <w:vAlign w:val="center"/>
          </w:tcPr>
          <w:p w14:paraId="777BB611" w14:textId="77777777" w:rsidR="00672297" w:rsidRDefault="00A16EA3">
            <w:pPr>
              <w:spacing w:before="20" w:after="20"/>
              <w:jc w:val="left"/>
            </w:pPr>
            <w:r>
              <w:rPr>
                <w:rFonts w:cstheme="minorHAnsi"/>
                <w:sz w:val="20"/>
                <w:szCs w:val="20"/>
              </w:rPr>
              <w:t>&lt;Property&gt; Spec Line</w:t>
            </w:r>
          </w:p>
        </w:tc>
        <w:tc>
          <w:tcPr>
            <w:tcW w:w="6552" w:type="dxa"/>
            <w:vAlign w:val="center"/>
          </w:tcPr>
          <w:p w14:paraId="60049D90" w14:textId="77777777" w:rsidR="00672297" w:rsidRDefault="00A16EA3">
            <w:pPr>
              <w:spacing w:before="20" w:after="20"/>
              <w:jc w:val="left"/>
            </w:pPr>
            <w:r>
              <w:rPr>
                <w:rFonts w:cstheme="minorHAnsi"/>
                <w:sz w:val="20"/>
                <w:szCs w:val="20"/>
              </w:rPr>
              <w:t>MIN ( [&lt;Property&gt;Min] ) (Flash) or MAX ( [&lt;Property&gt;Max] ) (Sulphur, Adj. Cloud, FBP); T-90 both</w:t>
            </w:r>
          </w:p>
        </w:tc>
      </w:tr>
      <w:tr w:rsidR="00672297" w14:paraId="0BE092CB" w14:textId="77777777">
        <w:trPr>
          <w:cantSplit/>
        </w:trPr>
        <w:tc>
          <w:tcPr>
            <w:tcW w:w="2808" w:type="dxa"/>
            <w:vAlign w:val="center"/>
          </w:tcPr>
          <w:p w14:paraId="059E34BC" w14:textId="77777777" w:rsidR="00672297" w:rsidRDefault="00A16EA3">
            <w:pPr>
              <w:spacing w:before="20" w:after="20"/>
              <w:jc w:val="left"/>
            </w:pPr>
            <w:r>
              <w:rPr>
                <w:rFonts w:cstheme="minorHAnsi"/>
                <w:sz w:val="20"/>
                <w:szCs w:val="20"/>
              </w:rPr>
              <w:t>&lt;Property&gt; Colour</w:t>
            </w:r>
          </w:p>
        </w:tc>
        <w:tc>
          <w:tcPr>
            <w:tcW w:w="6552" w:type="dxa"/>
            <w:vAlign w:val="center"/>
          </w:tcPr>
          <w:p w14:paraId="2159C4D3" w14:textId="77777777" w:rsidR="00672297" w:rsidRDefault="00A16EA3">
            <w:pPr>
              <w:spacing w:before="20" w:after="20"/>
              <w:jc w:val="left"/>
            </w:pPr>
            <w:r>
              <w:rPr>
                <w:rFonts w:cstheme="minorHAnsi"/>
                <w:sz w:val="20"/>
                <w:szCs w:val="20"/>
              </w:rPr>
              <w:t>Green / red from [&lt;Property&gt;WithinSpec]</w:t>
            </w:r>
          </w:p>
        </w:tc>
      </w:tr>
    </w:tbl>
    <w:p w14:paraId="416C3BCE" w14:textId="75CAAA8C" w:rsidR="00672297" w:rsidRDefault="00A16EA3">
      <w:pPr>
        <w:pStyle w:val="Caption"/>
      </w:pPr>
      <w:bookmarkStart w:id="621" w:name="_Toc900950099"/>
      <w:bookmarkStart w:id="622" w:name="_Toc241574720"/>
      <w:bookmarkStart w:id="623" w:name="_Toc242554104"/>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31</w:t>
      </w:r>
      <w:r>
        <w:fldChar w:fldCharType="end"/>
      </w:r>
      <w:r>
        <w:t>: Distillate Dashboard DAX Measures</w:t>
      </w:r>
      <w:bookmarkEnd w:id="621"/>
      <w:bookmarkEnd w:id="622"/>
      <w:bookmarkEnd w:id="623"/>
    </w:p>
    <w:p w14:paraId="703F214E" w14:textId="77777777" w:rsidR="00672297" w:rsidRDefault="00A16EA3">
      <w:pPr>
        <w:pStyle w:val="Heading4"/>
        <w:rPr>
          <w:rFonts w:asciiTheme="minorHAnsi" w:hAnsiTheme="minorHAnsi" w:cstheme="minorBidi"/>
          <w:sz w:val="20"/>
          <w:szCs w:val="20"/>
        </w:rPr>
      </w:pPr>
      <w:bookmarkStart w:id="624" w:name="_Toc900950100"/>
      <w:r>
        <w:rPr>
          <w:rFonts w:asciiTheme="minorHAnsi" w:hAnsiTheme="minorHAnsi" w:cstheme="minorBidi"/>
          <w:sz w:val="20"/>
          <w:szCs w:val="20"/>
        </w:rPr>
        <w:t>DAX Logic (Sample)</w:t>
      </w:r>
      <w:bookmarkEnd w:id="624"/>
    </w:p>
    <w:tbl>
      <w:tblPr>
        <w:tblStyle w:val="TableGrid"/>
        <w:tblW w:w="9360" w:type="dxa"/>
        <w:tblLayout w:type="fixed"/>
        <w:tblCellMar>
          <w:left w:w="115" w:type="dxa"/>
          <w:right w:w="115" w:type="dxa"/>
        </w:tblCellMar>
        <w:tblLook w:val="04A0" w:firstRow="1" w:lastRow="0" w:firstColumn="1" w:lastColumn="0" w:noHBand="0" w:noVBand="1"/>
      </w:tblPr>
      <w:tblGrid>
        <w:gridCol w:w="9360"/>
      </w:tblGrid>
      <w:tr w:rsidR="00672297" w14:paraId="741469C7" w14:textId="77777777">
        <w:tc>
          <w:tcPr>
            <w:tcW w:w="9360" w:type="dxa"/>
            <w:shd w:val="clear" w:color="auto" w:fill="F2F2F2"/>
          </w:tcPr>
          <w:p w14:paraId="40ED9483" w14:textId="77777777" w:rsidR="00672297" w:rsidRDefault="00A16EA3">
            <w:pPr>
              <w:jc w:val="left"/>
            </w:pPr>
            <w:r>
              <w:rPr>
                <w:rFonts w:ascii="Consolas" w:hAnsi="Consolas" w:cs="Consolas"/>
                <w:sz w:val="17"/>
                <w:szCs w:val="17"/>
              </w:rPr>
              <w:t>Flash Avg - Scheduled =</w:t>
            </w:r>
          </w:p>
          <w:p w14:paraId="75674412" w14:textId="77777777" w:rsidR="00672297" w:rsidRDefault="00A16EA3">
            <w:pPr>
              <w:jc w:val="left"/>
            </w:pPr>
            <w:r>
              <w:rPr>
                <w:rFonts w:ascii="Consolas" w:hAnsi="Consolas" w:cs="Consolas"/>
                <w:sz w:val="17"/>
                <w:szCs w:val="17"/>
              </w:rPr>
              <w:t>IF (</w:t>
            </w:r>
          </w:p>
          <w:p w14:paraId="15AB689E" w14:textId="77777777" w:rsidR="00672297" w:rsidRDefault="00A16EA3">
            <w:pPr>
              <w:jc w:val="left"/>
            </w:pPr>
            <w:r>
              <w:rPr>
                <w:rFonts w:ascii="Consolas" w:hAnsi="Consolas" w:cs="Consolas"/>
                <w:sz w:val="17"/>
                <w:szCs w:val="17"/>
              </w:rPr>
              <w:t xml:space="preserve">    ISBLANK ( CALCULATE ( AVERAGE ( vwDistillateBatchQuality[FlashActual] ), vwDistillateBatchQuality[BatchStatus] = "Scheduled" ) ),</w:t>
            </w:r>
          </w:p>
          <w:p w14:paraId="6BD93576" w14:textId="77777777" w:rsidR="00672297" w:rsidRDefault="00A16EA3">
            <w:pPr>
              <w:jc w:val="left"/>
            </w:pPr>
            <w:r>
              <w:rPr>
                <w:rFonts w:ascii="Consolas" w:hAnsi="Consolas" w:cs="Consolas"/>
                <w:sz w:val="17"/>
                <w:szCs w:val="17"/>
              </w:rPr>
              <w:t xml:space="preserve">    "--",</w:t>
            </w:r>
          </w:p>
          <w:p w14:paraId="06E4D553" w14:textId="77777777" w:rsidR="00672297" w:rsidRDefault="00A16EA3">
            <w:pPr>
              <w:jc w:val="left"/>
            </w:pPr>
            <w:r>
              <w:rPr>
                <w:rFonts w:ascii="Consolas" w:hAnsi="Consolas" w:cs="Consolas"/>
                <w:sz w:val="17"/>
                <w:szCs w:val="17"/>
              </w:rPr>
              <w:t xml:space="preserve">    CALCULATE ( AVERAGE ( vwDistillateBatchQuality[FlashActual] ), vwDistillateBatchQuality[BatchStatus] = "Scheduled" )</w:t>
            </w:r>
          </w:p>
          <w:p w14:paraId="13D88288" w14:textId="77777777" w:rsidR="00672297" w:rsidRDefault="00A16EA3">
            <w:pPr>
              <w:jc w:val="left"/>
            </w:pPr>
            <w:r>
              <w:rPr>
                <w:rFonts w:ascii="Consolas" w:hAnsi="Consolas" w:cs="Consolas"/>
                <w:sz w:val="17"/>
                <w:szCs w:val="17"/>
              </w:rPr>
              <w:t>)</w:t>
            </w:r>
          </w:p>
        </w:tc>
      </w:tr>
    </w:tbl>
    <w:p w14:paraId="4E2AF758" w14:textId="77777777" w:rsidR="00672297" w:rsidRDefault="00A16EA3">
      <w:pPr>
        <w:pStyle w:val="Heading4"/>
        <w:rPr>
          <w:rFonts w:asciiTheme="minorHAnsi" w:hAnsiTheme="minorHAnsi" w:cstheme="minorBidi"/>
          <w:sz w:val="20"/>
          <w:szCs w:val="20"/>
        </w:rPr>
      </w:pPr>
      <w:bookmarkStart w:id="625" w:name="_Toc900950101"/>
      <w:r>
        <w:rPr>
          <w:rFonts w:asciiTheme="minorHAnsi" w:hAnsiTheme="minorHAnsi" w:cstheme="minorBidi"/>
          <w:sz w:val="20"/>
          <w:szCs w:val="20"/>
        </w:rPr>
        <w:t>Visual Types Used</w:t>
      </w:r>
      <w:bookmarkEnd w:id="625"/>
    </w:p>
    <w:p w14:paraId="615FD52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Cards: Flash Point, Sulphur, Adj. Cloud Point, T-90, FBP averages (Scheduled / In-Transit).</w:t>
      </w:r>
    </w:p>
    <w:p w14:paraId="3480AEA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Charts: five clustered column charts with spec constant lines and the Terminal &gt; Batch ID drill-down.</w:t>
      </w:r>
    </w:p>
    <w:p w14:paraId="47BA1291"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Tables: Batch-level Distillate Quality Table (matrix).</w:t>
      </w:r>
    </w:p>
    <w:p w14:paraId="486717D9"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Slicers: Refinery, Terminal, Product, Batch Status, Quality, Batch ID, Date; Last Refresh card.</w:t>
      </w:r>
    </w:p>
    <w:p w14:paraId="360AAB23" w14:textId="77777777" w:rsidR="00672297" w:rsidRDefault="00A16EA3">
      <w:pPr>
        <w:pStyle w:val="Heading4"/>
        <w:rPr>
          <w:rFonts w:asciiTheme="minorHAnsi" w:hAnsiTheme="minorHAnsi" w:cstheme="minorBidi"/>
          <w:sz w:val="20"/>
          <w:szCs w:val="20"/>
        </w:rPr>
      </w:pPr>
      <w:bookmarkStart w:id="626" w:name="_Toc900950102"/>
      <w:r>
        <w:rPr>
          <w:rFonts w:asciiTheme="minorHAnsi" w:hAnsiTheme="minorHAnsi" w:cstheme="minorBidi"/>
          <w:sz w:val="20"/>
          <w:szCs w:val="20"/>
        </w:rPr>
        <w:t>Power BI Attributes and Mapped Backend Table - Field Details</w:t>
      </w:r>
      <w:bookmarkEnd w:id="626"/>
    </w:p>
    <w:tbl>
      <w:tblPr>
        <w:tblStyle w:val="TableGrid"/>
        <w:tblW w:w="9360" w:type="dxa"/>
        <w:tblLayout w:type="fixed"/>
        <w:tblCellMar>
          <w:left w:w="70" w:type="dxa"/>
          <w:right w:w="70" w:type="dxa"/>
        </w:tblCellMar>
        <w:tblLook w:val="04A0" w:firstRow="1" w:lastRow="0" w:firstColumn="1" w:lastColumn="0" w:noHBand="0" w:noVBand="1"/>
      </w:tblPr>
      <w:tblGrid>
        <w:gridCol w:w="1404"/>
        <w:gridCol w:w="1310"/>
        <w:gridCol w:w="1310"/>
        <w:gridCol w:w="1404"/>
        <w:gridCol w:w="655"/>
        <w:gridCol w:w="655"/>
        <w:gridCol w:w="655"/>
        <w:gridCol w:w="1967"/>
      </w:tblGrid>
      <w:tr w:rsidR="00672297" w14:paraId="408FC0C2" w14:textId="77777777">
        <w:trPr>
          <w:cantSplit/>
          <w:tblHeader/>
        </w:trPr>
        <w:tc>
          <w:tcPr>
            <w:tcW w:w="1404" w:type="dxa"/>
            <w:shd w:val="clear" w:color="auto" w:fill="2F5496"/>
            <w:vAlign w:val="center"/>
          </w:tcPr>
          <w:p w14:paraId="5254263F" w14:textId="77777777" w:rsidR="00672297" w:rsidRDefault="00A16EA3">
            <w:pPr>
              <w:spacing w:before="20" w:after="20"/>
              <w:jc w:val="left"/>
            </w:pPr>
            <w:r>
              <w:rPr>
                <w:rFonts w:cstheme="minorHAnsi"/>
                <w:b/>
                <w:bCs/>
                <w:color w:val="FFFFFF"/>
                <w:sz w:val="16"/>
                <w:szCs w:val="16"/>
              </w:rPr>
              <w:t>Power BI Visualization Name</w:t>
            </w:r>
          </w:p>
        </w:tc>
        <w:tc>
          <w:tcPr>
            <w:tcW w:w="1310" w:type="dxa"/>
            <w:shd w:val="clear" w:color="auto" w:fill="2F5496"/>
            <w:vAlign w:val="center"/>
          </w:tcPr>
          <w:p w14:paraId="014C1223" w14:textId="77777777" w:rsidR="00672297" w:rsidRDefault="00A16EA3">
            <w:pPr>
              <w:spacing w:before="20" w:after="20"/>
              <w:jc w:val="left"/>
            </w:pPr>
            <w:r>
              <w:rPr>
                <w:rFonts w:cstheme="minorHAnsi"/>
                <w:b/>
                <w:bCs/>
                <w:color w:val="FFFFFF"/>
                <w:sz w:val="16"/>
                <w:szCs w:val="16"/>
              </w:rPr>
              <w:t>Power BI Attribute Name</w:t>
            </w:r>
          </w:p>
        </w:tc>
        <w:tc>
          <w:tcPr>
            <w:tcW w:w="1310" w:type="dxa"/>
            <w:shd w:val="clear" w:color="auto" w:fill="2F5496"/>
            <w:vAlign w:val="center"/>
          </w:tcPr>
          <w:p w14:paraId="5E60749F" w14:textId="77777777" w:rsidR="00672297" w:rsidRDefault="00A16EA3">
            <w:pPr>
              <w:spacing w:before="20" w:after="20"/>
              <w:jc w:val="left"/>
            </w:pPr>
            <w:r>
              <w:rPr>
                <w:rFonts w:cstheme="minorHAnsi"/>
                <w:b/>
                <w:bCs/>
                <w:color w:val="FFFFFF"/>
                <w:sz w:val="16"/>
                <w:szCs w:val="16"/>
              </w:rPr>
              <w:t>Table / View (Semantic Model)</w:t>
            </w:r>
          </w:p>
        </w:tc>
        <w:tc>
          <w:tcPr>
            <w:tcW w:w="1404" w:type="dxa"/>
            <w:shd w:val="clear" w:color="auto" w:fill="2F5496"/>
            <w:vAlign w:val="center"/>
          </w:tcPr>
          <w:p w14:paraId="3566E289" w14:textId="77777777" w:rsidR="00672297" w:rsidRDefault="00A16EA3">
            <w:pPr>
              <w:spacing w:before="20" w:after="20"/>
              <w:jc w:val="left"/>
            </w:pPr>
            <w:r>
              <w:rPr>
                <w:rFonts w:cstheme="minorHAnsi"/>
                <w:b/>
                <w:bCs/>
                <w:color w:val="FFFFFF"/>
                <w:sz w:val="16"/>
                <w:szCs w:val="16"/>
              </w:rPr>
              <w:t>Field Name</w:t>
            </w:r>
          </w:p>
        </w:tc>
        <w:tc>
          <w:tcPr>
            <w:tcW w:w="655" w:type="dxa"/>
            <w:shd w:val="clear" w:color="auto" w:fill="2F5496"/>
            <w:vAlign w:val="center"/>
          </w:tcPr>
          <w:p w14:paraId="470D80DA" w14:textId="77777777" w:rsidR="00672297" w:rsidRDefault="00A16EA3">
            <w:pPr>
              <w:spacing w:before="20" w:after="20"/>
              <w:jc w:val="left"/>
            </w:pPr>
            <w:r>
              <w:rPr>
                <w:rFonts w:cstheme="minorHAnsi"/>
                <w:b/>
                <w:bCs/>
                <w:color w:val="FFFFFF"/>
                <w:sz w:val="16"/>
                <w:szCs w:val="16"/>
              </w:rPr>
              <w:t>Measure (Y/N)</w:t>
            </w:r>
          </w:p>
        </w:tc>
        <w:tc>
          <w:tcPr>
            <w:tcW w:w="655" w:type="dxa"/>
            <w:shd w:val="clear" w:color="auto" w:fill="2F5496"/>
            <w:vAlign w:val="center"/>
          </w:tcPr>
          <w:p w14:paraId="6C15184A" w14:textId="77777777" w:rsidR="00672297" w:rsidRDefault="00A16EA3">
            <w:pPr>
              <w:spacing w:before="20" w:after="20"/>
              <w:jc w:val="left"/>
            </w:pPr>
            <w:r>
              <w:rPr>
                <w:rFonts w:cstheme="minorHAnsi"/>
                <w:b/>
                <w:bCs/>
                <w:color w:val="FFFFFF"/>
                <w:sz w:val="16"/>
                <w:szCs w:val="16"/>
              </w:rPr>
              <w:t>Report Filter (Y/N)</w:t>
            </w:r>
          </w:p>
        </w:tc>
        <w:tc>
          <w:tcPr>
            <w:tcW w:w="655" w:type="dxa"/>
            <w:shd w:val="clear" w:color="auto" w:fill="2F5496"/>
            <w:vAlign w:val="center"/>
          </w:tcPr>
          <w:p w14:paraId="0051BAB5" w14:textId="77777777" w:rsidR="00672297" w:rsidRDefault="00A16EA3">
            <w:pPr>
              <w:spacing w:before="20" w:after="20"/>
              <w:jc w:val="left"/>
            </w:pPr>
            <w:r>
              <w:rPr>
                <w:rFonts w:cstheme="minorHAnsi"/>
                <w:b/>
                <w:bCs/>
                <w:color w:val="FFFFFF"/>
                <w:sz w:val="16"/>
                <w:szCs w:val="16"/>
              </w:rPr>
              <w:t>Direct Attribute (Y/N)</w:t>
            </w:r>
          </w:p>
        </w:tc>
        <w:tc>
          <w:tcPr>
            <w:tcW w:w="1967" w:type="dxa"/>
            <w:shd w:val="clear" w:color="auto" w:fill="2F5496"/>
            <w:vAlign w:val="center"/>
          </w:tcPr>
          <w:p w14:paraId="5A7473EA" w14:textId="77777777" w:rsidR="00672297" w:rsidRDefault="00A16EA3">
            <w:pPr>
              <w:spacing w:before="20" w:after="20"/>
              <w:jc w:val="left"/>
            </w:pPr>
            <w:r>
              <w:rPr>
                <w:rFonts w:cstheme="minorHAnsi"/>
                <w:b/>
                <w:bCs/>
                <w:color w:val="FFFFFF"/>
                <w:sz w:val="16"/>
                <w:szCs w:val="16"/>
              </w:rPr>
              <w:t>Calculation / Logic</w:t>
            </w:r>
          </w:p>
        </w:tc>
      </w:tr>
      <w:tr w:rsidR="00672297" w14:paraId="037C4F6D" w14:textId="77777777">
        <w:trPr>
          <w:cantSplit/>
        </w:trPr>
        <w:tc>
          <w:tcPr>
            <w:tcW w:w="1404" w:type="dxa"/>
            <w:vAlign w:val="center"/>
          </w:tcPr>
          <w:p w14:paraId="65E2B827" w14:textId="77777777" w:rsidR="00672297" w:rsidRDefault="00A16EA3">
            <w:pPr>
              <w:spacing w:before="20" w:after="20"/>
              <w:jc w:val="left"/>
            </w:pPr>
            <w:r>
              <w:rPr>
                <w:rFonts w:cstheme="minorHAnsi"/>
                <w:sz w:val="16"/>
                <w:szCs w:val="16"/>
              </w:rPr>
              <w:t>KPI Cards (5)</w:t>
            </w:r>
          </w:p>
        </w:tc>
        <w:tc>
          <w:tcPr>
            <w:tcW w:w="1310" w:type="dxa"/>
            <w:vAlign w:val="center"/>
          </w:tcPr>
          <w:p w14:paraId="45BF9CAA" w14:textId="77777777" w:rsidR="00672297" w:rsidRDefault="00A16EA3">
            <w:pPr>
              <w:spacing w:before="20" w:after="20"/>
              <w:jc w:val="left"/>
            </w:pPr>
            <w:r>
              <w:rPr>
                <w:rFonts w:cstheme="minorHAnsi"/>
                <w:sz w:val="16"/>
                <w:szCs w:val="16"/>
              </w:rPr>
              <w:t>Scheduled / In-Transit value</w:t>
            </w:r>
          </w:p>
        </w:tc>
        <w:tc>
          <w:tcPr>
            <w:tcW w:w="1310" w:type="dxa"/>
            <w:vAlign w:val="center"/>
          </w:tcPr>
          <w:p w14:paraId="62EA0032" w14:textId="77777777" w:rsidR="00672297" w:rsidRDefault="00A16EA3">
            <w:pPr>
              <w:spacing w:before="20" w:after="20"/>
              <w:jc w:val="left"/>
            </w:pPr>
            <w:r>
              <w:rPr>
                <w:rFonts w:cstheme="minorHAnsi"/>
                <w:sz w:val="16"/>
                <w:szCs w:val="16"/>
              </w:rPr>
              <w:t>vwDistillateBatchQuality</w:t>
            </w:r>
          </w:p>
        </w:tc>
        <w:tc>
          <w:tcPr>
            <w:tcW w:w="1404" w:type="dxa"/>
            <w:vAlign w:val="center"/>
          </w:tcPr>
          <w:p w14:paraId="46166138" w14:textId="77777777" w:rsidR="00672297" w:rsidRDefault="00A16EA3">
            <w:pPr>
              <w:spacing w:before="20" w:after="20"/>
              <w:jc w:val="left"/>
            </w:pPr>
            <w:r>
              <w:rPr>
                <w:rFonts w:cstheme="minorHAnsi"/>
                <w:sz w:val="16"/>
                <w:szCs w:val="16"/>
              </w:rPr>
              <w:t>&lt;Property&gt;Actual</w:t>
            </w:r>
          </w:p>
        </w:tc>
        <w:tc>
          <w:tcPr>
            <w:tcW w:w="655" w:type="dxa"/>
            <w:vAlign w:val="center"/>
          </w:tcPr>
          <w:p w14:paraId="639C8020" w14:textId="77777777" w:rsidR="00672297" w:rsidRDefault="00A16EA3">
            <w:pPr>
              <w:spacing w:before="20" w:after="20"/>
              <w:jc w:val="left"/>
            </w:pPr>
            <w:r>
              <w:rPr>
                <w:rFonts w:cstheme="minorHAnsi"/>
                <w:sz w:val="16"/>
                <w:szCs w:val="16"/>
              </w:rPr>
              <w:t>Y</w:t>
            </w:r>
          </w:p>
        </w:tc>
        <w:tc>
          <w:tcPr>
            <w:tcW w:w="655" w:type="dxa"/>
            <w:vAlign w:val="center"/>
          </w:tcPr>
          <w:p w14:paraId="05EC4337" w14:textId="77777777" w:rsidR="00672297" w:rsidRDefault="00A16EA3">
            <w:pPr>
              <w:spacing w:before="20" w:after="20"/>
              <w:jc w:val="left"/>
            </w:pPr>
            <w:r>
              <w:rPr>
                <w:rFonts w:cstheme="minorHAnsi"/>
                <w:sz w:val="16"/>
                <w:szCs w:val="16"/>
              </w:rPr>
              <w:t>N</w:t>
            </w:r>
          </w:p>
        </w:tc>
        <w:tc>
          <w:tcPr>
            <w:tcW w:w="655" w:type="dxa"/>
            <w:vAlign w:val="center"/>
          </w:tcPr>
          <w:p w14:paraId="53DB448F" w14:textId="77777777" w:rsidR="00672297" w:rsidRDefault="00A16EA3">
            <w:pPr>
              <w:spacing w:before="20" w:after="20"/>
              <w:jc w:val="left"/>
            </w:pPr>
            <w:r>
              <w:rPr>
                <w:rFonts w:cstheme="minorHAnsi"/>
                <w:sz w:val="16"/>
                <w:szCs w:val="16"/>
              </w:rPr>
              <w:t>N</w:t>
            </w:r>
          </w:p>
        </w:tc>
        <w:tc>
          <w:tcPr>
            <w:tcW w:w="1967" w:type="dxa"/>
            <w:vAlign w:val="center"/>
          </w:tcPr>
          <w:p w14:paraId="1DE208E7" w14:textId="77777777" w:rsidR="00672297" w:rsidRDefault="00A16EA3">
            <w:pPr>
              <w:spacing w:before="20" w:after="20"/>
              <w:jc w:val="left"/>
            </w:pPr>
            <w:r>
              <w:rPr>
                <w:rFonts w:cstheme="minorHAnsi"/>
                <w:sz w:val="16"/>
                <w:szCs w:val="16"/>
              </w:rPr>
              <w:t>[&lt;Property&gt; Actual - Scheduled] / [- In-Transit]</w:t>
            </w:r>
          </w:p>
        </w:tc>
      </w:tr>
      <w:tr w:rsidR="00672297" w14:paraId="525E26C3" w14:textId="77777777">
        <w:trPr>
          <w:cantSplit/>
        </w:trPr>
        <w:tc>
          <w:tcPr>
            <w:tcW w:w="1404" w:type="dxa"/>
            <w:vAlign w:val="center"/>
          </w:tcPr>
          <w:p w14:paraId="52FFC357" w14:textId="77777777" w:rsidR="00672297" w:rsidRDefault="00A16EA3">
            <w:pPr>
              <w:spacing w:before="20" w:after="20"/>
              <w:jc w:val="left"/>
            </w:pPr>
            <w:r>
              <w:rPr>
                <w:rFonts w:cstheme="minorHAnsi"/>
                <w:sz w:val="16"/>
                <w:szCs w:val="16"/>
              </w:rPr>
              <w:t>Terminal-wise charts (5)</w:t>
            </w:r>
          </w:p>
        </w:tc>
        <w:tc>
          <w:tcPr>
            <w:tcW w:w="1310" w:type="dxa"/>
            <w:vAlign w:val="center"/>
          </w:tcPr>
          <w:p w14:paraId="38F5CA08" w14:textId="77777777" w:rsidR="00672297" w:rsidRDefault="00A16EA3">
            <w:pPr>
              <w:spacing w:before="20" w:after="20"/>
              <w:jc w:val="left"/>
            </w:pPr>
            <w:r>
              <w:rPr>
                <w:rFonts w:cstheme="minorHAnsi"/>
                <w:sz w:val="16"/>
                <w:szCs w:val="16"/>
              </w:rPr>
              <w:t>Terminal &gt; Batch ID</w:t>
            </w:r>
          </w:p>
        </w:tc>
        <w:tc>
          <w:tcPr>
            <w:tcW w:w="1310" w:type="dxa"/>
            <w:vAlign w:val="center"/>
          </w:tcPr>
          <w:p w14:paraId="48545E30" w14:textId="77777777" w:rsidR="00672297" w:rsidRDefault="00A16EA3">
            <w:pPr>
              <w:spacing w:before="20" w:after="20"/>
              <w:jc w:val="left"/>
            </w:pPr>
            <w:r>
              <w:rPr>
                <w:rFonts w:cstheme="minorHAnsi"/>
                <w:sz w:val="16"/>
                <w:szCs w:val="16"/>
              </w:rPr>
              <w:t>vwDistillateBatchQuality</w:t>
            </w:r>
          </w:p>
        </w:tc>
        <w:tc>
          <w:tcPr>
            <w:tcW w:w="1404" w:type="dxa"/>
            <w:vAlign w:val="center"/>
          </w:tcPr>
          <w:p w14:paraId="67AE23A3" w14:textId="77777777" w:rsidR="00672297" w:rsidRDefault="00A16EA3">
            <w:pPr>
              <w:spacing w:before="20" w:after="20"/>
              <w:jc w:val="left"/>
            </w:pPr>
            <w:r>
              <w:rPr>
                <w:rFonts w:cstheme="minorHAnsi"/>
                <w:sz w:val="16"/>
                <w:szCs w:val="16"/>
              </w:rPr>
              <w:t>DestinationShortName / BatchID</w:t>
            </w:r>
          </w:p>
        </w:tc>
        <w:tc>
          <w:tcPr>
            <w:tcW w:w="655" w:type="dxa"/>
            <w:vAlign w:val="center"/>
          </w:tcPr>
          <w:p w14:paraId="1E9A1A01" w14:textId="77777777" w:rsidR="00672297" w:rsidRDefault="00A16EA3">
            <w:pPr>
              <w:spacing w:before="20" w:after="20"/>
              <w:jc w:val="left"/>
            </w:pPr>
            <w:r>
              <w:rPr>
                <w:rFonts w:cstheme="minorHAnsi"/>
                <w:sz w:val="16"/>
                <w:szCs w:val="16"/>
              </w:rPr>
              <w:t>N</w:t>
            </w:r>
          </w:p>
        </w:tc>
        <w:tc>
          <w:tcPr>
            <w:tcW w:w="655" w:type="dxa"/>
            <w:vAlign w:val="center"/>
          </w:tcPr>
          <w:p w14:paraId="18E46086" w14:textId="77777777" w:rsidR="00672297" w:rsidRDefault="00A16EA3">
            <w:pPr>
              <w:spacing w:before="20" w:after="20"/>
              <w:jc w:val="left"/>
            </w:pPr>
            <w:r>
              <w:rPr>
                <w:rFonts w:cstheme="minorHAnsi"/>
                <w:sz w:val="16"/>
                <w:szCs w:val="16"/>
              </w:rPr>
              <w:t>N</w:t>
            </w:r>
          </w:p>
        </w:tc>
        <w:tc>
          <w:tcPr>
            <w:tcW w:w="655" w:type="dxa"/>
            <w:vAlign w:val="center"/>
          </w:tcPr>
          <w:p w14:paraId="0C57A516" w14:textId="77777777" w:rsidR="00672297" w:rsidRDefault="00A16EA3">
            <w:pPr>
              <w:spacing w:before="20" w:after="20"/>
              <w:jc w:val="left"/>
            </w:pPr>
            <w:r>
              <w:rPr>
                <w:rFonts w:cstheme="minorHAnsi"/>
                <w:sz w:val="16"/>
                <w:szCs w:val="16"/>
              </w:rPr>
              <w:t>Y</w:t>
            </w:r>
          </w:p>
        </w:tc>
        <w:tc>
          <w:tcPr>
            <w:tcW w:w="1967" w:type="dxa"/>
            <w:vAlign w:val="center"/>
          </w:tcPr>
          <w:p w14:paraId="1964FD82" w14:textId="77777777" w:rsidR="00672297" w:rsidRDefault="00A16EA3">
            <w:pPr>
              <w:spacing w:before="20" w:after="20"/>
              <w:jc w:val="left"/>
            </w:pPr>
            <w:r>
              <w:rPr>
                <w:rFonts w:cstheme="minorHAnsi"/>
                <w:sz w:val="16"/>
                <w:szCs w:val="16"/>
              </w:rPr>
              <w:t>Drill-down hierarchy</w:t>
            </w:r>
          </w:p>
        </w:tc>
      </w:tr>
      <w:tr w:rsidR="00672297" w14:paraId="10960F8E" w14:textId="77777777">
        <w:trPr>
          <w:cantSplit/>
        </w:trPr>
        <w:tc>
          <w:tcPr>
            <w:tcW w:w="1404" w:type="dxa"/>
            <w:vAlign w:val="center"/>
          </w:tcPr>
          <w:p w14:paraId="0101EC12" w14:textId="77777777" w:rsidR="00672297" w:rsidRDefault="00A16EA3">
            <w:pPr>
              <w:spacing w:before="20" w:after="20"/>
              <w:jc w:val="left"/>
            </w:pPr>
            <w:r>
              <w:rPr>
                <w:rFonts w:cstheme="minorHAnsi"/>
                <w:sz w:val="16"/>
                <w:szCs w:val="16"/>
              </w:rPr>
              <w:t>Terminal-wise charts (5)</w:t>
            </w:r>
          </w:p>
        </w:tc>
        <w:tc>
          <w:tcPr>
            <w:tcW w:w="1310" w:type="dxa"/>
            <w:vAlign w:val="center"/>
          </w:tcPr>
          <w:p w14:paraId="41CA313A" w14:textId="77777777" w:rsidR="00672297" w:rsidRDefault="00A16EA3">
            <w:pPr>
              <w:spacing w:before="20" w:after="20"/>
              <w:jc w:val="left"/>
            </w:pPr>
            <w:r>
              <w:rPr>
                <w:rFonts w:cstheme="minorHAnsi"/>
                <w:sz w:val="16"/>
                <w:szCs w:val="16"/>
              </w:rPr>
              <w:t>In-Transit / Scheduled series</w:t>
            </w:r>
          </w:p>
        </w:tc>
        <w:tc>
          <w:tcPr>
            <w:tcW w:w="1310" w:type="dxa"/>
            <w:vAlign w:val="center"/>
          </w:tcPr>
          <w:p w14:paraId="04CF4AE0" w14:textId="77777777" w:rsidR="00672297" w:rsidRDefault="00A16EA3">
            <w:pPr>
              <w:spacing w:before="20" w:after="20"/>
              <w:jc w:val="left"/>
            </w:pPr>
            <w:r>
              <w:rPr>
                <w:rFonts w:cstheme="minorHAnsi"/>
                <w:sz w:val="16"/>
                <w:szCs w:val="16"/>
              </w:rPr>
              <w:t>vwDistillateBatchQuality</w:t>
            </w:r>
          </w:p>
        </w:tc>
        <w:tc>
          <w:tcPr>
            <w:tcW w:w="1404" w:type="dxa"/>
            <w:vAlign w:val="center"/>
          </w:tcPr>
          <w:p w14:paraId="1F783949" w14:textId="77777777" w:rsidR="00672297" w:rsidRDefault="00A16EA3">
            <w:pPr>
              <w:spacing w:before="20" w:after="20"/>
              <w:jc w:val="left"/>
            </w:pPr>
            <w:r>
              <w:rPr>
                <w:rFonts w:cstheme="minorHAnsi"/>
                <w:sz w:val="16"/>
                <w:szCs w:val="16"/>
              </w:rPr>
              <w:t>&lt;Property&gt;Actual</w:t>
            </w:r>
          </w:p>
        </w:tc>
        <w:tc>
          <w:tcPr>
            <w:tcW w:w="655" w:type="dxa"/>
            <w:vAlign w:val="center"/>
          </w:tcPr>
          <w:p w14:paraId="623A6B0D" w14:textId="77777777" w:rsidR="00672297" w:rsidRDefault="00A16EA3">
            <w:pPr>
              <w:spacing w:before="20" w:after="20"/>
              <w:jc w:val="left"/>
            </w:pPr>
            <w:r>
              <w:rPr>
                <w:rFonts w:cstheme="minorHAnsi"/>
                <w:sz w:val="16"/>
                <w:szCs w:val="16"/>
              </w:rPr>
              <w:t>Y</w:t>
            </w:r>
          </w:p>
        </w:tc>
        <w:tc>
          <w:tcPr>
            <w:tcW w:w="655" w:type="dxa"/>
            <w:vAlign w:val="center"/>
          </w:tcPr>
          <w:p w14:paraId="7629C123" w14:textId="77777777" w:rsidR="00672297" w:rsidRDefault="00A16EA3">
            <w:pPr>
              <w:spacing w:before="20" w:after="20"/>
              <w:jc w:val="left"/>
            </w:pPr>
            <w:r>
              <w:rPr>
                <w:rFonts w:cstheme="minorHAnsi"/>
                <w:sz w:val="16"/>
                <w:szCs w:val="16"/>
              </w:rPr>
              <w:t>N</w:t>
            </w:r>
          </w:p>
        </w:tc>
        <w:tc>
          <w:tcPr>
            <w:tcW w:w="655" w:type="dxa"/>
            <w:vAlign w:val="center"/>
          </w:tcPr>
          <w:p w14:paraId="3AE35FBD" w14:textId="77777777" w:rsidR="00672297" w:rsidRDefault="00A16EA3">
            <w:pPr>
              <w:spacing w:before="20" w:after="20"/>
              <w:jc w:val="left"/>
            </w:pPr>
            <w:r>
              <w:rPr>
                <w:rFonts w:cstheme="minorHAnsi"/>
                <w:sz w:val="16"/>
                <w:szCs w:val="16"/>
              </w:rPr>
              <w:t>N</w:t>
            </w:r>
          </w:p>
        </w:tc>
        <w:tc>
          <w:tcPr>
            <w:tcW w:w="1967" w:type="dxa"/>
            <w:vAlign w:val="center"/>
          </w:tcPr>
          <w:p w14:paraId="3FDCB199" w14:textId="77777777" w:rsidR="00672297" w:rsidRDefault="00A16EA3">
            <w:pPr>
              <w:spacing w:before="20" w:after="20"/>
              <w:jc w:val="left"/>
            </w:pPr>
            <w:r>
              <w:rPr>
                <w:rFonts w:cstheme="minorHAnsi"/>
                <w:sz w:val="16"/>
                <w:szCs w:val="16"/>
              </w:rPr>
              <w:t>Average by status</w:t>
            </w:r>
          </w:p>
        </w:tc>
      </w:tr>
      <w:tr w:rsidR="00672297" w14:paraId="031D1156" w14:textId="77777777">
        <w:trPr>
          <w:cantSplit/>
        </w:trPr>
        <w:tc>
          <w:tcPr>
            <w:tcW w:w="1404" w:type="dxa"/>
            <w:vAlign w:val="center"/>
          </w:tcPr>
          <w:p w14:paraId="67DF6D4F" w14:textId="77777777" w:rsidR="00672297" w:rsidRDefault="00A16EA3">
            <w:pPr>
              <w:spacing w:before="20" w:after="20"/>
              <w:jc w:val="left"/>
            </w:pPr>
            <w:r>
              <w:rPr>
                <w:rFonts w:cstheme="minorHAnsi"/>
                <w:sz w:val="16"/>
                <w:szCs w:val="16"/>
              </w:rPr>
              <w:t>Terminal-wise charts (5)</w:t>
            </w:r>
          </w:p>
        </w:tc>
        <w:tc>
          <w:tcPr>
            <w:tcW w:w="1310" w:type="dxa"/>
            <w:vAlign w:val="center"/>
          </w:tcPr>
          <w:p w14:paraId="01716EC8" w14:textId="77777777" w:rsidR="00672297" w:rsidRDefault="00A16EA3">
            <w:pPr>
              <w:spacing w:before="20" w:after="20"/>
              <w:jc w:val="left"/>
            </w:pPr>
            <w:r>
              <w:rPr>
                <w:rFonts w:cstheme="minorHAnsi"/>
                <w:sz w:val="16"/>
                <w:szCs w:val="16"/>
              </w:rPr>
              <w:t>Spec line</w:t>
            </w:r>
          </w:p>
        </w:tc>
        <w:tc>
          <w:tcPr>
            <w:tcW w:w="1310" w:type="dxa"/>
            <w:vAlign w:val="center"/>
          </w:tcPr>
          <w:p w14:paraId="77B3A487" w14:textId="77777777" w:rsidR="00672297" w:rsidRDefault="00A16EA3">
            <w:pPr>
              <w:spacing w:before="20" w:after="20"/>
              <w:jc w:val="left"/>
            </w:pPr>
            <w:r>
              <w:rPr>
                <w:rFonts w:cstheme="minorHAnsi"/>
                <w:sz w:val="16"/>
                <w:szCs w:val="16"/>
              </w:rPr>
              <w:t>vwDistillateBatchQuality</w:t>
            </w:r>
          </w:p>
        </w:tc>
        <w:tc>
          <w:tcPr>
            <w:tcW w:w="1404" w:type="dxa"/>
            <w:vAlign w:val="center"/>
          </w:tcPr>
          <w:p w14:paraId="41BBBFE3" w14:textId="77777777" w:rsidR="00672297" w:rsidRDefault="00A16EA3">
            <w:pPr>
              <w:spacing w:before="20" w:after="20"/>
              <w:jc w:val="left"/>
            </w:pPr>
            <w:r>
              <w:rPr>
                <w:rFonts w:cstheme="minorHAnsi"/>
                <w:sz w:val="16"/>
                <w:szCs w:val="16"/>
              </w:rPr>
              <w:t>&lt;Property&gt;Min / &lt;Property&gt;Max</w:t>
            </w:r>
          </w:p>
        </w:tc>
        <w:tc>
          <w:tcPr>
            <w:tcW w:w="655" w:type="dxa"/>
            <w:vAlign w:val="center"/>
          </w:tcPr>
          <w:p w14:paraId="5ABD3B9C" w14:textId="77777777" w:rsidR="00672297" w:rsidRDefault="00A16EA3">
            <w:pPr>
              <w:spacing w:before="20" w:after="20"/>
              <w:jc w:val="left"/>
            </w:pPr>
            <w:r>
              <w:rPr>
                <w:rFonts w:cstheme="minorHAnsi"/>
                <w:sz w:val="16"/>
                <w:szCs w:val="16"/>
              </w:rPr>
              <w:t>Y</w:t>
            </w:r>
          </w:p>
        </w:tc>
        <w:tc>
          <w:tcPr>
            <w:tcW w:w="655" w:type="dxa"/>
            <w:vAlign w:val="center"/>
          </w:tcPr>
          <w:p w14:paraId="28A4A8D7" w14:textId="77777777" w:rsidR="00672297" w:rsidRDefault="00A16EA3">
            <w:pPr>
              <w:spacing w:before="20" w:after="20"/>
              <w:jc w:val="left"/>
            </w:pPr>
            <w:r>
              <w:rPr>
                <w:rFonts w:cstheme="minorHAnsi"/>
                <w:sz w:val="16"/>
                <w:szCs w:val="16"/>
              </w:rPr>
              <w:t>N</w:t>
            </w:r>
          </w:p>
        </w:tc>
        <w:tc>
          <w:tcPr>
            <w:tcW w:w="655" w:type="dxa"/>
            <w:vAlign w:val="center"/>
          </w:tcPr>
          <w:p w14:paraId="4FEDF96D" w14:textId="77777777" w:rsidR="00672297" w:rsidRDefault="00A16EA3">
            <w:pPr>
              <w:spacing w:before="20" w:after="20"/>
              <w:jc w:val="left"/>
            </w:pPr>
            <w:r>
              <w:rPr>
                <w:rFonts w:cstheme="minorHAnsi"/>
                <w:sz w:val="16"/>
                <w:szCs w:val="16"/>
              </w:rPr>
              <w:t>N</w:t>
            </w:r>
          </w:p>
        </w:tc>
        <w:tc>
          <w:tcPr>
            <w:tcW w:w="1967" w:type="dxa"/>
            <w:vAlign w:val="center"/>
          </w:tcPr>
          <w:p w14:paraId="7786A2B6" w14:textId="77777777" w:rsidR="00672297" w:rsidRDefault="00A16EA3">
            <w:pPr>
              <w:spacing w:before="20" w:after="20"/>
              <w:jc w:val="left"/>
            </w:pPr>
            <w:r>
              <w:rPr>
                <w:rFonts w:cstheme="minorHAnsi"/>
                <w:sz w:val="16"/>
                <w:szCs w:val="16"/>
              </w:rPr>
              <w:t>Measure line (Flash: Min; Sulphur, Adj. Cloud, FBP: Max; T-90: both)</w:t>
            </w:r>
          </w:p>
        </w:tc>
      </w:tr>
      <w:tr w:rsidR="00672297" w14:paraId="4C2D491C" w14:textId="77777777">
        <w:trPr>
          <w:cantSplit/>
        </w:trPr>
        <w:tc>
          <w:tcPr>
            <w:tcW w:w="1404" w:type="dxa"/>
            <w:vAlign w:val="center"/>
          </w:tcPr>
          <w:p w14:paraId="0D2ED568" w14:textId="77777777" w:rsidR="00672297" w:rsidRDefault="00A16EA3">
            <w:pPr>
              <w:spacing w:before="20" w:after="20"/>
              <w:jc w:val="left"/>
            </w:pPr>
            <w:r>
              <w:rPr>
                <w:rFonts w:cstheme="minorHAnsi"/>
                <w:sz w:val="16"/>
                <w:szCs w:val="16"/>
              </w:rPr>
              <w:t>Quality table</w:t>
            </w:r>
          </w:p>
        </w:tc>
        <w:tc>
          <w:tcPr>
            <w:tcW w:w="1310" w:type="dxa"/>
            <w:vAlign w:val="center"/>
          </w:tcPr>
          <w:p w14:paraId="58BD9CFF" w14:textId="77777777" w:rsidR="00672297" w:rsidRDefault="00A16EA3">
            <w:pPr>
              <w:spacing w:before="20" w:after="20"/>
              <w:jc w:val="left"/>
            </w:pPr>
            <w:r>
              <w:rPr>
                <w:rFonts w:cstheme="minorHAnsi"/>
                <w:sz w:val="16"/>
                <w:szCs w:val="16"/>
              </w:rPr>
              <w:t>Check, Batch ID, Status, Product Name</w:t>
            </w:r>
          </w:p>
        </w:tc>
        <w:tc>
          <w:tcPr>
            <w:tcW w:w="1310" w:type="dxa"/>
            <w:vAlign w:val="center"/>
          </w:tcPr>
          <w:p w14:paraId="7D3CC587" w14:textId="77777777" w:rsidR="00672297" w:rsidRDefault="00A16EA3">
            <w:pPr>
              <w:spacing w:before="20" w:after="20"/>
              <w:jc w:val="left"/>
            </w:pPr>
            <w:r>
              <w:rPr>
                <w:rFonts w:cstheme="minorHAnsi"/>
                <w:sz w:val="16"/>
                <w:szCs w:val="16"/>
              </w:rPr>
              <w:t>vwDistillateBatchQuality</w:t>
            </w:r>
          </w:p>
        </w:tc>
        <w:tc>
          <w:tcPr>
            <w:tcW w:w="1404" w:type="dxa"/>
            <w:vAlign w:val="center"/>
          </w:tcPr>
          <w:p w14:paraId="1F72DA56" w14:textId="77777777" w:rsidR="00672297" w:rsidRDefault="00A16EA3">
            <w:pPr>
              <w:spacing w:before="20" w:after="20"/>
              <w:jc w:val="left"/>
            </w:pPr>
            <w:r>
              <w:rPr>
                <w:rFonts w:cstheme="minorHAnsi"/>
                <w:sz w:val="16"/>
                <w:szCs w:val="16"/>
              </w:rPr>
              <w:t>BatchID, BatchStatus, ProductName</w:t>
            </w:r>
          </w:p>
        </w:tc>
        <w:tc>
          <w:tcPr>
            <w:tcW w:w="655" w:type="dxa"/>
            <w:vAlign w:val="center"/>
          </w:tcPr>
          <w:p w14:paraId="142EC653" w14:textId="77777777" w:rsidR="00672297" w:rsidRDefault="00A16EA3">
            <w:pPr>
              <w:spacing w:before="20" w:after="20"/>
              <w:jc w:val="left"/>
            </w:pPr>
            <w:r>
              <w:rPr>
                <w:rFonts w:cstheme="minorHAnsi"/>
                <w:sz w:val="16"/>
                <w:szCs w:val="16"/>
              </w:rPr>
              <w:t>N</w:t>
            </w:r>
          </w:p>
        </w:tc>
        <w:tc>
          <w:tcPr>
            <w:tcW w:w="655" w:type="dxa"/>
            <w:vAlign w:val="center"/>
          </w:tcPr>
          <w:p w14:paraId="617B10A7" w14:textId="77777777" w:rsidR="00672297" w:rsidRDefault="00A16EA3">
            <w:pPr>
              <w:spacing w:before="20" w:after="20"/>
              <w:jc w:val="left"/>
            </w:pPr>
            <w:r>
              <w:rPr>
                <w:rFonts w:cstheme="minorHAnsi"/>
                <w:sz w:val="16"/>
                <w:szCs w:val="16"/>
              </w:rPr>
              <w:t>N</w:t>
            </w:r>
          </w:p>
        </w:tc>
        <w:tc>
          <w:tcPr>
            <w:tcW w:w="655" w:type="dxa"/>
            <w:vAlign w:val="center"/>
          </w:tcPr>
          <w:p w14:paraId="493AC0D7" w14:textId="77777777" w:rsidR="00672297" w:rsidRDefault="00A16EA3">
            <w:pPr>
              <w:spacing w:before="20" w:after="20"/>
              <w:jc w:val="left"/>
            </w:pPr>
            <w:r>
              <w:rPr>
                <w:rFonts w:cstheme="minorHAnsi"/>
                <w:sz w:val="16"/>
                <w:szCs w:val="16"/>
              </w:rPr>
              <w:t>Y</w:t>
            </w:r>
          </w:p>
        </w:tc>
        <w:tc>
          <w:tcPr>
            <w:tcW w:w="1967" w:type="dxa"/>
            <w:vAlign w:val="center"/>
          </w:tcPr>
          <w:p w14:paraId="6E04E0B4" w14:textId="77777777" w:rsidR="00672297" w:rsidRDefault="00672297">
            <w:pPr>
              <w:spacing w:before="20" w:after="20"/>
              <w:jc w:val="left"/>
            </w:pPr>
          </w:p>
        </w:tc>
      </w:tr>
      <w:tr w:rsidR="00672297" w14:paraId="21B582EC" w14:textId="77777777">
        <w:trPr>
          <w:cantSplit/>
        </w:trPr>
        <w:tc>
          <w:tcPr>
            <w:tcW w:w="1404" w:type="dxa"/>
            <w:vAlign w:val="center"/>
          </w:tcPr>
          <w:p w14:paraId="005A8A6C" w14:textId="77777777" w:rsidR="00672297" w:rsidRDefault="00A16EA3">
            <w:pPr>
              <w:spacing w:before="20" w:after="20"/>
              <w:jc w:val="left"/>
            </w:pPr>
            <w:r>
              <w:rPr>
                <w:rFonts w:cstheme="minorHAnsi"/>
                <w:sz w:val="16"/>
                <w:szCs w:val="16"/>
              </w:rPr>
              <w:t>Quality table</w:t>
            </w:r>
          </w:p>
        </w:tc>
        <w:tc>
          <w:tcPr>
            <w:tcW w:w="1310" w:type="dxa"/>
            <w:vAlign w:val="center"/>
          </w:tcPr>
          <w:p w14:paraId="2C7CFD25" w14:textId="77777777" w:rsidR="00672297" w:rsidRDefault="00A16EA3">
            <w:pPr>
              <w:spacing w:before="20" w:after="20"/>
              <w:jc w:val="left"/>
            </w:pPr>
            <w:r>
              <w:rPr>
                <w:rFonts w:cstheme="minorHAnsi"/>
                <w:sz w:val="16"/>
                <w:szCs w:val="16"/>
              </w:rPr>
              <w:t>Origin, Origin Tank, Destination, Destination Tank</w:t>
            </w:r>
          </w:p>
        </w:tc>
        <w:tc>
          <w:tcPr>
            <w:tcW w:w="1310" w:type="dxa"/>
            <w:vAlign w:val="center"/>
          </w:tcPr>
          <w:p w14:paraId="520838DA" w14:textId="77777777" w:rsidR="00672297" w:rsidRDefault="00A16EA3">
            <w:pPr>
              <w:spacing w:before="20" w:after="20"/>
              <w:jc w:val="left"/>
            </w:pPr>
            <w:r>
              <w:rPr>
                <w:rFonts w:cstheme="minorHAnsi"/>
                <w:sz w:val="16"/>
                <w:szCs w:val="16"/>
              </w:rPr>
              <w:t>vwDistillateBatchQuality</w:t>
            </w:r>
          </w:p>
        </w:tc>
        <w:tc>
          <w:tcPr>
            <w:tcW w:w="1404" w:type="dxa"/>
            <w:vAlign w:val="center"/>
          </w:tcPr>
          <w:p w14:paraId="2079E534" w14:textId="77777777" w:rsidR="00672297" w:rsidRDefault="00A16EA3">
            <w:pPr>
              <w:spacing w:before="20" w:after="20"/>
              <w:jc w:val="left"/>
            </w:pPr>
            <w:r>
              <w:rPr>
                <w:rFonts w:cstheme="minorHAnsi"/>
                <w:sz w:val="16"/>
                <w:szCs w:val="16"/>
              </w:rPr>
              <w:t>Source, OriginTank, Destination, DestinationTank</w:t>
            </w:r>
          </w:p>
        </w:tc>
        <w:tc>
          <w:tcPr>
            <w:tcW w:w="655" w:type="dxa"/>
            <w:vAlign w:val="center"/>
          </w:tcPr>
          <w:p w14:paraId="7F5AC5D7" w14:textId="77777777" w:rsidR="00672297" w:rsidRDefault="00A16EA3">
            <w:pPr>
              <w:spacing w:before="20" w:after="20"/>
              <w:jc w:val="left"/>
            </w:pPr>
            <w:r>
              <w:rPr>
                <w:rFonts w:cstheme="minorHAnsi"/>
                <w:sz w:val="16"/>
                <w:szCs w:val="16"/>
              </w:rPr>
              <w:t>N</w:t>
            </w:r>
          </w:p>
        </w:tc>
        <w:tc>
          <w:tcPr>
            <w:tcW w:w="655" w:type="dxa"/>
            <w:vAlign w:val="center"/>
          </w:tcPr>
          <w:p w14:paraId="5864D405" w14:textId="77777777" w:rsidR="00672297" w:rsidRDefault="00A16EA3">
            <w:pPr>
              <w:spacing w:before="20" w:after="20"/>
              <w:jc w:val="left"/>
            </w:pPr>
            <w:r>
              <w:rPr>
                <w:rFonts w:cstheme="minorHAnsi"/>
                <w:sz w:val="16"/>
                <w:szCs w:val="16"/>
              </w:rPr>
              <w:t>N</w:t>
            </w:r>
          </w:p>
        </w:tc>
        <w:tc>
          <w:tcPr>
            <w:tcW w:w="655" w:type="dxa"/>
            <w:vAlign w:val="center"/>
          </w:tcPr>
          <w:p w14:paraId="2F26BB07" w14:textId="77777777" w:rsidR="00672297" w:rsidRDefault="00A16EA3">
            <w:pPr>
              <w:spacing w:before="20" w:after="20"/>
              <w:jc w:val="left"/>
            </w:pPr>
            <w:r>
              <w:rPr>
                <w:rFonts w:cstheme="minorHAnsi"/>
                <w:sz w:val="16"/>
                <w:szCs w:val="16"/>
              </w:rPr>
              <w:t>Y</w:t>
            </w:r>
          </w:p>
        </w:tc>
        <w:tc>
          <w:tcPr>
            <w:tcW w:w="1967" w:type="dxa"/>
            <w:vAlign w:val="center"/>
          </w:tcPr>
          <w:p w14:paraId="7BE1D501" w14:textId="77777777" w:rsidR="00672297" w:rsidRDefault="00672297">
            <w:pPr>
              <w:spacing w:before="20" w:after="20"/>
              <w:jc w:val="left"/>
            </w:pPr>
          </w:p>
        </w:tc>
      </w:tr>
      <w:tr w:rsidR="00672297" w14:paraId="2B9DAD8A" w14:textId="77777777">
        <w:trPr>
          <w:cantSplit/>
        </w:trPr>
        <w:tc>
          <w:tcPr>
            <w:tcW w:w="1404" w:type="dxa"/>
            <w:vAlign w:val="center"/>
          </w:tcPr>
          <w:p w14:paraId="4B6C5F71" w14:textId="77777777" w:rsidR="00672297" w:rsidRDefault="00A16EA3">
            <w:pPr>
              <w:spacing w:before="20" w:after="20"/>
              <w:jc w:val="left"/>
            </w:pPr>
            <w:r>
              <w:rPr>
                <w:rFonts w:cstheme="minorHAnsi"/>
                <w:sz w:val="16"/>
                <w:szCs w:val="16"/>
              </w:rPr>
              <w:t>Quality table</w:t>
            </w:r>
          </w:p>
        </w:tc>
        <w:tc>
          <w:tcPr>
            <w:tcW w:w="1310" w:type="dxa"/>
            <w:vAlign w:val="center"/>
          </w:tcPr>
          <w:p w14:paraId="17964560" w14:textId="77777777" w:rsidR="00672297" w:rsidRDefault="00A16EA3">
            <w:pPr>
              <w:spacing w:before="20" w:after="20"/>
              <w:jc w:val="left"/>
            </w:pPr>
            <w:r>
              <w:rPr>
                <w:rFonts w:cstheme="minorHAnsi"/>
                <w:sz w:val="16"/>
                <w:szCs w:val="16"/>
              </w:rPr>
              <w:t>Batch volume (BBL), Mode of transport, Start Time, ETA</w:t>
            </w:r>
          </w:p>
        </w:tc>
        <w:tc>
          <w:tcPr>
            <w:tcW w:w="1310" w:type="dxa"/>
            <w:vAlign w:val="center"/>
          </w:tcPr>
          <w:p w14:paraId="7AF026BF" w14:textId="77777777" w:rsidR="00672297" w:rsidRDefault="00A16EA3">
            <w:pPr>
              <w:spacing w:before="20" w:after="20"/>
              <w:jc w:val="left"/>
            </w:pPr>
            <w:r>
              <w:rPr>
                <w:rFonts w:cstheme="minorHAnsi"/>
                <w:sz w:val="16"/>
                <w:szCs w:val="16"/>
              </w:rPr>
              <w:t>vwDistillateBatchQuality</w:t>
            </w:r>
          </w:p>
        </w:tc>
        <w:tc>
          <w:tcPr>
            <w:tcW w:w="1404" w:type="dxa"/>
            <w:vAlign w:val="center"/>
          </w:tcPr>
          <w:p w14:paraId="6A0B7A66" w14:textId="77777777" w:rsidR="00672297" w:rsidRDefault="00A16EA3">
            <w:pPr>
              <w:spacing w:before="20" w:after="20"/>
              <w:jc w:val="left"/>
            </w:pPr>
            <w:r>
              <w:rPr>
                <w:rFonts w:cstheme="minorHAnsi"/>
                <w:sz w:val="16"/>
                <w:szCs w:val="16"/>
              </w:rPr>
              <w:t>BatchVolumeBbl, MOT, StartDateTime, ETADateTime</w:t>
            </w:r>
          </w:p>
        </w:tc>
        <w:tc>
          <w:tcPr>
            <w:tcW w:w="655" w:type="dxa"/>
            <w:vAlign w:val="center"/>
          </w:tcPr>
          <w:p w14:paraId="55639590" w14:textId="77777777" w:rsidR="00672297" w:rsidRDefault="00A16EA3">
            <w:pPr>
              <w:spacing w:before="20" w:after="20"/>
              <w:jc w:val="left"/>
            </w:pPr>
            <w:r>
              <w:rPr>
                <w:rFonts w:cstheme="minorHAnsi"/>
                <w:sz w:val="16"/>
                <w:szCs w:val="16"/>
              </w:rPr>
              <w:t>N</w:t>
            </w:r>
          </w:p>
        </w:tc>
        <w:tc>
          <w:tcPr>
            <w:tcW w:w="655" w:type="dxa"/>
            <w:vAlign w:val="center"/>
          </w:tcPr>
          <w:p w14:paraId="686D8E7A" w14:textId="77777777" w:rsidR="00672297" w:rsidRDefault="00A16EA3">
            <w:pPr>
              <w:spacing w:before="20" w:after="20"/>
              <w:jc w:val="left"/>
            </w:pPr>
            <w:r>
              <w:rPr>
                <w:rFonts w:cstheme="minorHAnsi"/>
                <w:sz w:val="16"/>
                <w:szCs w:val="16"/>
              </w:rPr>
              <w:t>N</w:t>
            </w:r>
          </w:p>
        </w:tc>
        <w:tc>
          <w:tcPr>
            <w:tcW w:w="655" w:type="dxa"/>
            <w:vAlign w:val="center"/>
          </w:tcPr>
          <w:p w14:paraId="4DFFBE01" w14:textId="77777777" w:rsidR="00672297" w:rsidRDefault="00A16EA3">
            <w:pPr>
              <w:spacing w:before="20" w:after="20"/>
              <w:jc w:val="left"/>
            </w:pPr>
            <w:r>
              <w:rPr>
                <w:rFonts w:cstheme="minorHAnsi"/>
                <w:sz w:val="16"/>
                <w:szCs w:val="16"/>
              </w:rPr>
              <w:t>Y</w:t>
            </w:r>
          </w:p>
        </w:tc>
        <w:tc>
          <w:tcPr>
            <w:tcW w:w="1967" w:type="dxa"/>
            <w:vAlign w:val="center"/>
          </w:tcPr>
          <w:p w14:paraId="6729047A" w14:textId="77777777" w:rsidR="00672297" w:rsidRDefault="00672297">
            <w:pPr>
              <w:spacing w:before="20" w:after="20"/>
              <w:jc w:val="left"/>
            </w:pPr>
          </w:p>
        </w:tc>
      </w:tr>
      <w:tr w:rsidR="00672297" w14:paraId="67216145" w14:textId="77777777">
        <w:trPr>
          <w:cantSplit/>
        </w:trPr>
        <w:tc>
          <w:tcPr>
            <w:tcW w:w="1404" w:type="dxa"/>
            <w:vAlign w:val="center"/>
          </w:tcPr>
          <w:p w14:paraId="5B174C37" w14:textId="77777777" w:rsidR="00672297" w:rsidRDefault="00A16EA3">
            <w:pPr>
              <w:spacing w:before="20" w:after="20"/>
              <w:jc w:val="left"/>
            </w:pPr>
            <w:r>
              <w:rPr>
                <w:rFonts w:cstheme="minorHAnsi"/>
                <w:sz w:val="16"/>
                <w:szCs w:val="16"/>
              </w:rPr>
              <w:t>Quality table</w:t>
            </w:r>
          </w:p>
        </w:tc>
        <w:tc>
          <w:tcPr>
            <w:tcW w:w="1310" w:type="dxa"/>
            <w:vAlign w:val="center"/>
          </w:tcPr>
          <w:p w14:paraId="27D3C5F4" w14:textId="77777777" w:rsidR="00672297" w:rsidRDefault="00A16EA3">
            <w:pPr>
              <w:spacing w:before="20" w:after="20"/>
              <w:jc w:val="left"/>
            </w:pPr>
            <w:r>
              <w:rPr>
                <w:rFonts w:cstheme="minorHAnsi"/>
                <w:sz w:val="16"/>
                <w:szCs w:val="16"/>
              </w:rPr>
              <w:t>Flash, Sulphur, Adj. Cloud Point, T-90, FBP, Freezing Point, Viscosity - Min / Actual / Max</w:t>
            </w:r>
          </w:p>
        </w:tc>
        <w:tc>
          <w:tcPr>
            <w:tcW w:w="1310" w:type="dxa"/>
            <w:vAlign w:val="center"/>
          </w:tcPr>
          <w:p w14:paraId="025DF1AB" w14:textId="77777777" w:rsidR="00672297" w:rsidRDefault="00A16EA3">
            <w:pPr>
              <w:spacing w:before="20" w:after="20"/>
              <w:jc w:val="left"/>
            </w:pPr>
            <w:r>
              <w:rPr>
                <w:rFonts w:cstheme="minorHAnsi"/>
                <w:sz w:val="16"/>
                <w:szCs w:val="16"/>
              </w:rPr>
              <w:t>vwDistillateBatchQuality</w:t>
            </w:r>
          </w:p>
        </w:tc>
        <w:tc>
          <w:tcPr>
            <w:tcW w:w="1404" w:type="dxa"/>
            <w:vAlign w:val="center"/>
          </w:tcPr>
          <w:p w14:paraId="690CE04C" w14:textId="77777777" w:rsidR="00672297" w:rsidRDefault="00A16EA3">
            <w:pPr>
              <w:spacing w:before="20" w:after="20"/>
              <w:jc w:val="left"/>
            </w:pPr>
            <w:r>
              <w:rPr>
                <w:rFonts w:cstheme="minorHAnsi"/>
                <w:sz w:val="16"/>
                <w:szCs w:val="16"/>
              </w:rPr>
              <w:t>&lt;Property&gt;Min / &lt;Property&gt;Actual / &lt;Property&gt;Max</w:t>
            </w:r>
          </w:p>
        </w:tc>
        <w:tc>
          <w:tcPr>
            <w:tcW w:w="655" w:type="dxa"/>
            <w:vAlign w:val="center"/>
          </w:tcPr>
          <w:p w14:paraId="2E059FC6" w14:textId="77777777" w:rsidR="00672297" w:rsidRDefault="00A16EA3">
            <w:pPr>
              <w:spacing w:before="20" w:after="20"/>
              <w:jc w:val="left"/>
            </w:pPr>
            <w:r>
              <w:rPr>
                <w:rFonts w:cstheme="minorHAnsi"/>
                <w:sz w:val="16"/>
                <w:szCs w:val="16"/>
              </w:rPr>
              <w:t>N</w:t>
            </w:r>
          </w:p>
        </w:tc>
        <w:tc>
          <w:tcPr>
            <w:tcW w:w="655" w:type="dxa"/>
            <w:vAlign w:val="center"/>
          </w:tcPr>
          <w:p w14:paraId="28CF4972" w14:textId="77777777" w:rsidR="00672297" w:rsidRDefault="00A16EA3">
            <w:pPr>
              <w:spacing w:before="20" w:after="20"/>
              <w:jc w:val="left"/>
            </w:pPr>
            <w:r>
              <w:rPr>
                <w:rFonts w:cstheme="minorHAnsi"/>
                <w:sz w:val="16"/>
                <w:szCs w:val="16"/>
              </w:rPr>
              <w:t>N</w:t>
            </w:r>
          </w:p>
        </w:tc>
        <w:tc>
          <w:tcPr>
            <w:tcW w:w="655" w:type="dxa"/>
            <w:vAlign w:val="center"/>
          </w:tcPr>
          <w:p w14:paraId="33415E13" w14:textId="77777777" w:rsidR="00672297" w:rsidRDefault="00A16EA3">
            <w:pPr>
              <w:spacing w:before="20" w:after="20"/>
              <w:jc w:val="left"/>
            </w:pPr>
            <w:r>
              <w:rPr>
                <w:rFonts w:cstheme="minorHAnsi"/>
                <w:sz w:val="16"/>
                <w:szCs w:val="16"/>
              </w:rPr>
              <w:t>Y</w:t>
            </w:r>
          </w:p>
        </w:tc>
        <w:tc>
          <w:tcPr>
            <w:tcW w:w="1967" w:type="dxa"/>
            <w:vAlign w:val="center"/>
          </w:tcPr>
          <w:p w14:paraId="6DC2D990" w14:textId="77777777" w:rsidR="00672297" w:rsidRDefault="00A16EA3">
            <w:pPr>
              <w:spacing w:before="20" w:after="20"/>
              <w:jc w:val="left"/>
            </w:pPr>
            <w:r>
              <w:rPr>
                <w:rFonts w:cstheme="minorHAnsi"/>
                <w:sz w:val="16"/>
                <w:szCs w:val="16"/>
              </w:rPr>
              <w:t>Actual coloured by [&lt;Property&gt; Colour]</w:t>
            </w:r>
          </w:p>
        </w:tc>
      </w:tr>
      <w:tr w:rsidR="00672297" w14:paraId="1FAC43A2" w14:textId="77777777">
        <w:trPr>
          <w:cantSplit/>
        </w:trPr>
        <w:tc>
          <w:tcPr>
            <w:tcW w:w="1404" w:type="dxa"/>
            <w:vAlign w:val="center"/>
          </w:tcPr>
          <w:p w14:paraId="069D8CEE" w14:textId="77777777" w:rsidR="00672297" w:rsidRDefault="00A16EA3">
            <w:pPr>
              <w:spacing w:before="20" w:after="20"/>
              <w:jc w:val="left"/>
            </w:pPr>
            <w:r>
              <w:rPr>
                <w:rFonts w:cstheme="minorHAnsi"/>
                <w:sz w:val="16"/>
                <w:szCs w:val="16"/>
              </w:rPr>
              <w:t>Slicer/Filter</w:t>
            </w:r>
          </w:p>
        </w:tc>
        <w:tc>
          <w:tcPr>
            <w:tcW w:w="1310" w:type="dxa"/>
            <w:vAlign w:val="center"/>
          </w:tcPr>
          <w:p w14:paraId="65343969" w14:textId="77777777" w:rsidR="00672297" w:rsidRDefault="00A16EA3">
            <w:pPr>
              <w:spacing w:before="20" w:after="20"/>
              <w:jc w:val="left"/>
            </w:pPr>
            <w:r>
              <w:rPr>
                <w:rFonts w:cstheme="minorHAnsi"/>
                <w:sz w:val="16"/>
                <w:szCs w:val="16"/>
              </w:rPr>
              <w:t>Refinery / Terminal / Product / Batch Status / Batch ID</w:t>
            </w:r>
          </w:p>
        </w:tc>
        <w:tc>
          <w:tcPr>
            <w:tcW w:w="1310" w:type="dxa"/>
            <w:vAlign w:val="center"/>
          </w:tcPr>
          <w:p w14:paraId="1F8B5EC4" w14:textId="77777777" w:rsidR="00672297" w:rsidRDefault="00A16EA3">
            <w:pPr>
              <w:spacing w:before="20" w:after="20"/>
              <w:jc w:val="left"/>
            </w:pPr>
            <w:r>
              <w:rPr>
                <w:rFonts w:cstheme="minorHAnsi"/>
                <w:sz w:val="16"/>
                <w:szCs w:val="16"/>
              </w:rPr>
              <w:t>vwDistillateBatchQuality</w:t>
            </w:r>
          </w:p>
        </w:tc>
        <w:tc>
          <w:tcPr>
            <w:tcW w:w="1404" w:type="dxa"/>
            <w:vAlign w:val="center"/>
          </w:tcPr>
          <w:p w14:paraId="40BF5514" w14:textId="77777777" w:rsidR="00672297" w:rsidRDefault="00A16EA3">
            <w:pPr>
              <w:spacing w:before="20" w:after="20"/>
              <w:jc w:val="left"/>
            </w:pPr>
            <w:r>
              <w:rPr>
                <w:rFonts w:cstheme="minorHAnsi"/>
                <w:sz w:val="16"/>
                <w:szCs w:val="16"/>
              </w:rPr>
              <w:t>Source / Destination / ProductName / BatchStatus / BatchID</w:t>
            </w:r>
          </w:p>
        </w:tc>
        <w:tc>
          <w:tcPr>
            <w:tcW w:w="655" w:type="dxa"/>
            <w:vAlign w:val="center"/>
          </w:tcPr>
          <w:p w14:paraId="072FABDF" w14:textId="77777777" w:rsidR="00672297" w:rsidRDefault="00A16EA3">
            <w:pPr>
              <w:spacing w:before="20" w:after="20"/>
              <w:jc w:val="left"/>
            </w:pPr>
            <w:r>
              <w:rPr>
                <w:rFonts w:cstheme="minorHAnsi"/>
                <w:sz w:val="16"/>
                <w:szCs w:val="16"/>
              </w:rPr>
              <w:t>N</w:t>
            </w:r>
          </w:p>
        </w:tc>
        <w:tc>
          <w:tcPr>
            <w:tcW w:w="655" w:type="dxa"/>
            <w:vAlign w:val="center"/>
          </w:tcPr>
          <w:p w14:paraId="4AE1480D" w14:textId="77777777" w:rsidR="00672297" w:rsidRDefault="00A16EA3">
            <w:pPr>
              <w:spacing w:before="20" w:after="20"/>
              <w:jc w:val="left"/>
            </w:pPr>
            <w:r>
              <w:rPr>
                <w:rFonts w:cstheme="minorHAnsi"/>
                <w:sz w:val="16"/>
                <w:szCs w:val="16"/>
              </w:rPr>
              <w:t>Y</w:t>
            </w:r>
          </w:p>
        </w:tc>
        <w:tc>
          <w:tcPr>
            <w:tcW w:w="655" w:type="dxa"/>
            <w:vAlign w:val="center"/>
          </w:tcPr>
          <w:p w14:paraId="3F9603D9" w14:textId="77777777" w:rsidR="00672297" w:rsidRDefault="00A16EA3">
            <w:pPr>
              <w:spacing w:before="20" w:after="20"/>
              <w:jc w:val="left"/>
            </w:pPr>
            <w:r>
              <w:rPr>
                <w:rFonts w:cstheme="minorHAnsi"/>
                <w:sz w:val="16"/>
                <w:szCs w:val="16"/>
              </w:rPr>
              <w:t>Y</w:t>
            </w:r>
          </w:p>
        </w:tc>
        <w:tc>
          <w:tcPr>
            <w:tcW w:w="1967" w:type="dxa"/>
            <w:vAlign w:val="center"/>
          </w:tcPr>
          <w:p w14:paraId="791E6F99" w14:textId="77777777" w:rsidR="00672297" w:rsidRDefault="00A16EA3">
            <w:pPr>
              <w:spacing w:before="20" w:after="20"/>
              <w:jc w:val="left"/>
            </w:pPr>
            <w:r>
              <w:rPr>
                <w:rFonts w:cstheme="minorHAnsi"/>
                <w:sz w:val="16"/>
                <w:szCs w:val="16"/>
              </w:rPr>
              <w:t>Defaults: ULSD No 2; Scheduled + In-Transit</w:t>
            </w:r>
          </w:p>
        </w:tc>
      </w:tr>
      <w:tr w:rsidR="00672297" w14:paraId="6D324623" w14:textId="77777777">
        <w:trPr>
          <w:cantSplit/>
        </w:trPr>
        <w:tc>
          <w:tcPr>
            <w:tcW w:w="1404" w:type="dxa"/>
            <w:vAlign w:val="center"/>
          </w:tcPr>
          <w:p w14:paraId="2EAB6BDA" w14:textId="77777777" w:rsidR="00672297" w:rsidRDefault="00A16EA3">
            <w:pPr>
              <w:spacing w:before="20" w:after="20"/>
              <w:jc w:val="left"/>
            </w:pPr>
            <w:r>
              <w:rPr>
                <w:rFonts w:cstheme="minorHAnsi"/>
                <w:sz w:val="16"/>
                <w:szCs w:val="16"/>
              </w:rPr>
              <w:t>Slicer/Filter</w:t>
            </w:r>
          </w:p>
        </w:tc>
        <w:tc>
          <w:tcPr>
            <w:tcW w:w="1310" w:type="dxa"/>
            <w:vAlign w:val="center"/>
          </w:tcPr>
          <w:p w14:paraId="01556769" w14:textId="77777777" w:rsidR="00672297" w:rsidRDefault="00A16EA3">
            <w:pPr>
              <w:spacing w:before="20" w:after="20"/>
              <w:jc w:val="left"/>
            </w:pPr>
            <w:r>
              <w:rPr>
                <w:rFonts w:cstheme="minorHAnsi"/>
                <w:sz w:val="16"/>
                <w:szCs w:val="16"/>
              </w:rPr>
              <w:t>Quality</w:t>
            </w:r>
          </w:p>
        </w:tc>
        <w:tc>
          <w:tcPr>
            <w:tcW w:w="1310" w:type="dxa"/>
            <w:vAlign w:val="center"/>
          </w:tcPr>
          <w:p w14:paraId="446CD91F" w14:textId="77777777" w:rsidR="00672297" w:rsidRDefault="00A16EA3">
            <w:pPr>
              <w:spacing w:before="20" w:after="20"/>
              <w:jc w:val="left"/>
            </w:pPr>
            <w:r>
              <w:rPr>
                <w:rFonts w:cstheme="minorHAnsi"/>
                <w:sz w:val="16"/>
                <w:szCs w:val="16"/>
              </w:rPr>
              <w:t>Field parameter</w:t>
            </w:r>
          </w:p>
        </w:tc>
        <w:tc>
          <w:tcPr>
            <w:tcW w:w="1404" w:type="dxa"/>
            <w:vAlign w:val="center"/>
          </w:tcPr>
          <w:p w14:paraId="1ED25A06" w14:textId="77777777" w:rsidR="00672297" w:rsidRDefault="00A16EA3">
            <w:pPr>
              <w:spacing w:before="20" w:after="20"/>
              <w:jc w:val="left"/>
            </w:pPr>
            <w:r>
              <w:rPr>
                <w:rFonts w:cstheme="minorHAnsi"/>
                <w:sz w:val="16"/>
                <w:szCs w:val="16"/>
              </w:rPr>
              <w:t>Property columns</w:t>
            </w:r>
          </w:p>
        </w:tc>
        <w:tc>
          <w:tcPr>
            <w:tcW w:w="655" w:type="dxa"/>
            <w:vAlign w:val="center"/>
          </w:tcPr>
          <w:p w14:paraId="06D45C5E" w14:textId="77777777" w:rsidR="00672297" w:rsidRDefault="00A16EA3">
            <w:pPr>
              <w:spacing w:before="20" w:after="20"/>
              <w:jc w:val="left"/>
            </w:pPr>
            <w:r>
              <w:rPr>
                <w:rFonts w:cstheme="minorHAnsi"/>
                <w:sz w:val="16"/>
                <w:szCs w:val="16"/>
              </w:rPr>
              <w:t>N</w:t>
            </w:r>
          </w:p>
        </w:tc>
        <w:tc>
          <w:tcPr>
            <w:tcW w:w="655" w:type="dxa"/>
            <w:vAlign w:val="center"/>
          </w:tcPr>
          <w:p w14:paraId="1BE840DE" w14:textId="77777777" w:rsidR="00672297" w:rsidRDefault="00A16EA3">
            <w:pPr>
              <w:spacing w:before="20" w:after="20"/>
              <w:jc w:val="left"/>
            </w:pPr>
            <w:r>
              <w:rPr>
                <w:rFonts w:cstheme="minorHAnsi"/>
                <w:sz w:val="16"/>
                <w:szCs w:val="16"/>
              </w:rPr>
              <w:t>Y</w:t>
            </w:r>
          </w:p>
        </w:tc>
        <w:tc>
          <w:tcPr>
            <w:tcW w:w="655" w:type="dxa"/>
            <w:vAlign w:val="center"/>
          </w:tcPr>
          <w:p w14:paraId="380D3966" w14:textId="77777777" w:rsidR="00672297" w:rsidRDefault="00A16EA3">
            <w:pPr>
              <w:spacing w:before="20" w:after="20"/>
              <w:jc w:val="left"/>
            </w:pPr>
            <w:r>
              <w:rPr>
                <w:rFonts w:cstheme="minorHAnsi"/>
                <w:sz w:val="16"/>
                <w:szCs w:val="16"/>
              </w:rPr>
              <w:t>N</w:t>
            </w:r>
          </w:p>
        </w:tc>
        <w:tc>
          <w:tcPr>
            <w:tcW w:w="1967" w:type="dxa"/>
            <w:vAlign w:val="center"/>
          </w:tcPr>
          <w:p w14:paraId="6E5FD319" w14:textId="77777777" w:rsidR="00672297" w:rsidRDefault="00672297">
            <w:pPr>
              <w:spacing w:before="20" w:after="20"/>
              <w:jc w:val="left"/>
            </w:pPr>
          </w:p>
        </w:tc>
      </w:tr>
      <w:tr w:rsidR="00672297" w14:paraId="2DD22EA1" w14:textId="77777777">
        <w:trPr>
          <w:cantSplit/>
        </w:trPr>
        <w:tc>
          <w:tcPr>
            <w:tcW w:w="1404" w:type="dxa"/>
            <w:vAlign w:val="center"/>
          </w:tcPr>
          <w:p w14:paraId="3CB9A7D3" w14:textId="77777777" w:rsidR="00672297" w:rsidRDefault="00A16EA3">
            <w:pPr>
              <w:spacing w:before="20" w:after="20"/>
              <w:jc w:val="left"/>
            </w:pPr>
            <w:r>
              <w:rPr>
                <w:rFonts w:cstheme="minorHAnsi"/>
                <w:sz w:val="16"/>
                <w:szCs w:val="16"/>
              </w:rPr>
              <w:t>Slicer/Filter</w:t>
            </w:r>
          </w:p>
        </w:tc>
        <w:tc>
          <w:tcPr>
            <w:tcW w:w="1310" w:type="dxa"/>
            <w:vAlign w:val="center"/>
          </w:tcPr>
          <w:p w14:paraId="39680DEA" w14:textId="77777777" w:rsidR="00672297" w:rsidRDefault="00A16EA3">
            <w:pPr>
              <w:spacing w:before="20" w:after="20"/>
              <w:jc w:val="left"/>
            </w:pPr>
            <w:r>
              <w:rPr>
                <w:rFonts w:cstheme="minorHAnsi"/>
                <w:sz w:val="16"/>
                <w:szCs w:val="16"/>
              </w:rPr>
              <w:t>Date</w:t>
            </w:r>
          </w:p>
        </w:tc>
        <w:tc>
          <w:tcPr>
            <w:tcW w:w="1310" w:type="dxa"/>
            <w:vAlign w:val="center"/>
          </w:tcPr>
          <w:p w14:paraId="67EA8FB0" w14:textId="77777777" w:rsidR="00672297" w:rsidRDefault="00A16EA3">
            <w:pPr>
              <w:spacing w:before="20" w:after="20"/>
              <w:jc w:val="left"/>
            </w:pPr>
            <w:r>
              <w:rPr>
                <w:rFonts w:cstheme="minorHAnsi"/>
                <w:sz w:val="16"/>
                <w:szCs w:val="16"/>
              </w:rPr>
              <w:t>day_detail</w:t>
            </w:r>
          </w:p>
        </w:tc>
        <w:tc>
          <w:tcPr>
            <w:tcW w:w="1404" w:type="dxa"/>
            <w:vAlign w:val="center"/>
          </w:tcPr>
          <w:p w14:paraId="2C97504B" w14:textId="77777777" w:rsidR="00672297" w:rsidRDefault="00A16EA3">
            <w:pPr>
              <w:spacing w:before="20" w:after="20"/>
              <w:jc w:val="left"/>
            </w:pPr>
            <w:r>
              <w:rPr>
                <w:rFonts w:cstheme="minorHAnsi"/>
                <w:sz w:val="16"/>
                <w:szCs w:val="16"/>
              </w:rPr>
              <w:t>W_Date</w:t>
            </w:r>
          </w:p>
        </w:tc>
        <w:tc>
          <w:tcPr>
            <w:tcW w:w="655" w:type="dxa"/>
            <w:vAlign w:val="center"/>
          </w:tcPr>
          <w:p w14:paraId="43F022AA" w14:textId="77777777" w:rsidR="00672297" w:rsidRDefault="00A16EA3">
            <w:pPr>
              <w:spacing w:before="20" w:after="20"/>
              <w:jc w:val="left"/>
            </w:pPr>
            <w:r>
              <w:rPr>
                <w:rFonts w:cstheme="minorHAnsi"/>
                <w:sz w:val="16"/>
                <w:szCs w:val="16"/>
              </w:rPr>
              <w:t>N</w:t>
            </w:r>
          </w:p>
        </w:tc>
        <w:tc>
          <w:tcPr>
            <w:tcW w:w="655" w:type="dxa"/>
            <w:vAlign w:val="center"/>
          </w:tcPr>
          <w:p w14:paraId="6E6EB04B" w14:textId="77777777" w:rsidR="00672297" w:rsidRDefault="00A16EA3">
            <w:pPr>
              <w:spacing w:before="20" w:after="20"/>
              <w:jc w:val="left"/>
            </w:pPr>
            <w:r>
              <w:rPr>
                <w:rFonts w:cstheme="minorHAnsi"/>
                <w:sz w:val="16"/>
                <w:szCs w:val="16"/>
              </w:rPr>
              <w:t>Y</w:t>
            </w:r>
          </w:p>
        </w:tc>
        <w:tc>
          <w:tcPr>
            <w:tcW w:w="655" w:type="dxa"/>
            <w:vAlign w:val="center"/>
          </w:tcPr>
          <w:p w14:paraId="276E139A" w14:textId="77777777" w:rsidR="00672297" w:rsidRDefault="00A16EA3">
            <w:pPr>
              <w:spacing w:before="20" w:after="20"/>
              <w:jc w:val="left"/>
            </w:pPr>
            <w:r>
              <w:rPr>
                <w:rFonts w:cstheme="minorHAnsi"/>
                <w:sz w:val="16"/>
                <w:szCs w:val="16"/>
              </w:rPr>
              <w:t>Y</w:t>
            </w:r>
          </w:p>
        </w:tc>
        <w:tc>
          <w:tcPr>
            <w:tcW w:w="1967" w:type="dxa"/>
            <w:vAlign w:val="center"/>
          </w:tcPr>
          <w:p w14:paraId="44F2B337" w14:textId="77777777" w:rsidR="00672297" w:rsidRDefault="00A16EA3">
            <w:pPr>
              <w:spacing w:before="20" w:after="20"/>
              <w:jc w:val="left"/>
            </w:pPr>
            <w:r>
              <w:rPr>
                <w:rFonts w:cstheme="minorHAnsi"/>
                <w:sz w:val="16"/>
                <w:szCs w:val="16"/>
              </w:rPr>
              <w:t>Relationship on ETADate</w:t>
            </w:r>
          </w:p>
        </w:tc>
      </w:tr>
      <w:tr w:rsidR="00672297" w14:paraId="5FB27CD6" w14:textId="77777777">
        <w:trPr>
          <w:cantSplit/>
        </w:trPr>
        <w:tc>
          <w:tcPr>
            <w:tcW w:w="1404" w:type="dxa"/>
            <w:vAlign w:val="center"/>
          </w:tcPr>
          <w:p w14:paraId="7353B4AC" w14:textId="77777777" w:rsidR="00672297" w:rsidRDefault="00A16EA3">
            <w:pPr>
              <w:spacing w:before="20" w:after="20"/>
              <w:jc w:val="left"/>
            </w:pPr>
            <w:r>
              <w:rPr>
                <w:rFonts w:cstheme="minorHAnsi"/>
                <w:sz w:val="16"/>
                <w:szCs w:val="16"/>
              </w:rPr>
              <w:t>Card</w:t>
            </w:r>
          </w:p>
        </w:tc>
        <w:tc>
          <w:tcPr>
            <w:tcW w:w="1310" w:type="dxa"/>
            <w:vAlign w:val="center"/>
          </w:tcPr>
          <w:p w14:paraId="6D4710AF" w14:textId="77777777" w:rsidR="00672297" w:rsidRDefault="00A16EA3">
            <w:pPr>
              <w:spacing w:before="20" w:after="20"/>
              <w:jc w:val="left"/>
            </w:pPr>
            <w:r>
              <w:rPr>
                <w:rFonts w:cstheme="minorHAnsi"/>
                <w:sz w:val="16"/>
                <w:szCs w:val="16"/>
              </w:rPr>
              <w:t>Last Refresh</w:t>
            </w:r>
          </w:p>
        </w:tc>
        <w:tc>
          <w:tcPr>
            <w:tcW w:w="1310" w:type="dxa"/>
            <w:vAlign w:val="center"/>
          </w:tcPr>
          <w:p w14:paraId="5A58007C" w14:textId="77777777" w:rsidR="00672297" w:rsidRDefault="00A16EA3">
            <w:pPr>
              <w:spacing w:before="20" w:after="20"/>
              <w:jc w:val="left"/>
            </w:pPr>
            <w:r>
              <w:rPr>
                <w:rFonts w:cstheme="minorHAnsi"/>
                <w:sz w:val="16"/>
                <w:szCs w:val="16"/>
              </w:rPr>
              <w:t>Last_Refresh</w:t>
            </w:r>
          </w:p>
        </w:tc>
        <w:tc>
          <w:tcPr>
            <w:tcW w:w="1404" w:type="dxa"/>
            <w:vAlign w:val="center"/>
          </w:tcPr>
          <w:p w14:paraId="7D177913" w14:textId="77777777" w:rsidR="00672297" w:rsidRDefault="00A16EA3">
            <w:pPr>
              <w:spacing w:before="20" w:after="20"/>
              <w:jc w:val="left"/>
            </w:pPr>
            <w:r>
              <w:rPr>
                <w:rFonts w:cstheme="minorHAnsi"/>
                <w:sz w:val="16"/>
                <w:szCs w:val="16"/>
              </w:rPr>
              <w:t>Refresh DateTime</w:t>
            </w:r>
          </w:p>
        </w:tc>
        <w:tc>
          <w:tcPr>
            <w:tcW w:w="655" w:type="dxa"/>
            <w:vAlign w:val="center"/>
          </w:tcPr>
          <w:p w14:paraId="088CBA8D" w14:textId="77777777" w:rsidR="00672297" w:rsidRDefault="00A16EA3">
            <w:pPr>
              <w:spacing w:before="20" w:after="20"/>
              <w:jc w:val="left"/>
            </w:pPr>
            <w:r>
              <w:rPr>
                <w:rFonts w:cstheme="minorHAnsi"/>
                <w:sz w:val="16"/>
                <w:szCs w:val="16"/>
              </w:rPr>
              <w:t>Y</w:t>
            </w:r>
          </w:p>
        </w:tc>
        <w:tc>
          <w:tcPr>
            <w:tcW w:w="655" w:type="dxa"/>
            <w:vAlign w:val="center"/>
          </w:tcPr>
          <w:p w14:paraId="19DD7563" w14:textId="77777777" w:rsidR="00672297" w:rsidRDefault="00A16EA3">
            <w:pPr>
              <w:spacing w:before="20" w:after="20"/>
              <w:jc w:val="left"/>
            </w:pPr>
            <w:r>
              <w:rPr>
                <w:rFonts w:cstheme="minorHAnsi"/>
                <w:sz w:val="16"/>
                <w:szCs w:val="16"/>
              </w:rPr>
              <w:t>N</w:t>
            </w:r>
          </w:p>
        </w:tc>
        <w:tc>
          <w:tcPr>
            <w:tcW w:w="655" w:type="dxa"/>
            <w:vAlign w:val="center"/>
          </w:tcPr>
          <w:p w14:paraId="5FED195A" w14:textId="77777777" w:rsidR="00672297" w:rsidRDefault="00A16EA3">
            <w:pPr>
              <w:spacing w:before="20" w:after="20"/>
              <w:jc w:val="left"/>
            </w:pPr>
            <w:r>
              <w:rPr>
                <w:rFonts w:cstheme="minorHAnsi"/>
                <w:sz w:val="16"/>
                <w:szCs w:val="16"/>
              </w:rPr>
              <w:t>N</w:t>
            </w:r>
          </w:p>
        </w:tc>
        <w:tc>
          <w:tcPr>
            <w:tcW w:w="1967" w:type="dxa"/>
            <w:vAlign w:val="center"/>
          </w:tcPr>
          <w:p w14:paraId="25F268FD" w14:textId="77777777" w:rsidR="00672297" w:rsidRDefault="00672297">
            <w:pPr>
              <w:spacing w:before="20" w:after="20"/>
              <w:jc w:val="left"/>
            </w:pPr>
          </w:p>
        </w:tc>
      </w:tr>
    </w:tbl>
    <w:p w14:paraId="5D6C1028" w14:textId="33C0084B" w:rsidR="00672297" w:rsidRDefault="00A16EA3">
      <w:pPr>
        <w:pStyle w:val="Caption"/>
      </w:pPr>
      <w:bookmarkStart w:id="627" w:name="_Toc900950103"/>
      <w:bookmarkStart w:id="628" w:name="_Toc241574721"/>
      <w:bookmarkStart w:id="629" w:name="_Toc242554105"/>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32</w:t>
      </w:r>
      <w:r>
        <w:fldChar w:fldCharType="end"/>
      </w:r>
      <w:r>
        <w:t>: Distillate Dashboard Power BI Attributes Mapping</w:t>
      </w:r>
      <w:bookmarkEnd w:id="627"/>
      <w:bookmarkEnd w:id="628"/>
      <w:bookmarkEnd w:id="629"/>
    </w:p>
    <w:p w14:paraId="15B4B663" w14:textId="77777777" w:rsidR="00672297" w:rsidRDefault="00A16EA3">
      <w:pPr>
        <w:pStyle w:val="Heading3"/>
        <w:rPr>
          <w:rFonts w:asciiTheme="minorHAnsi" w:hAnsiTheme="minorHAnsi" w:cstheme="minorBidi"/>
          <w:sz w:val="20"/>
          <w:szCs w:val="20"/>
        </w:rPr>
      </w:pPr>
      <w:bookmarkStart w:id="630" w:name="_Toc241574354"/>
      <w:bookmarkStart w:id="631" w:name="_Toc242553976"/>
      <w:r>
        <w:rPr>
          <w:rFonts w:asciiTheme="minorHAnsi" w:hAnsiTheme="minorHAnsi" w:cstheme="minorBidi"/>
          <w:sz w:val="20"/>
          <w:szCs w:val="20"/>
        </w:rPr>
        <w:t>Supply Dashboard</w:t>
      </w:r>
      <w:bookmarkEnd w:id="630"/>
      <w:bookmarkEnd w:id="631"/>
    </w:p>
    <w:p w14:paraId="50C59E00" w14:textId="77777777" w:rsidR="00672297" w:rsidRDefault="00A16EA3">
      <w:pPr>
        <w:pStyle w:val="Heading4"/>
        <w:rPr>
          <w:rFonts w:asciiTheme="minorHAnsi" w:hAnsiTheme="minorHAnsi" w:cstheme="minorBidi"/>
          <w:sz w:val="20"/>
          <w:szCs w:val="20"/>
        </w:rPr>
      </w:pPr>
      <w:bookmarkStart w:id="632" w:name="_Toc900950105"/>
      <w:r>
        <w:rPr>
          <w:rFonts w:asciiTheme="minorHAnsi" w:hAnsiTheme="minorHAnsi" w:cstheme="minorBidi"/>
          <w:sz w:val="20"/>
          <w:szCs w:val="20"/>
        </w:rPr>
        <w:t>Purpose and Business Objective</w:t>
      </w:r>
      <w:bookmarkEnd w:id="632"/>
    </w:p>
    <w:p w14:paraId="484B3C04" w14:textId="77777777" w:rsidR="00672297" w:rsidRDefault="00A16EA3">
      <w:pPr>
        <w:rPr>
          <w:rFonts w:cstheme="minorHAnsi"/>
          <w:sz w:val="20"/>
          <w:szCs w:val="20"/>
        </w:rPr>
      </w:pPr>
      <w:r>
        <w:rPr>
          <w:rFonts w:cstheme="minorHAnsi"/>
          <w:sz w:val="20"/>
          <w:szCs w:val="20"/>
        </w:rPr>
        <w:t>The Supply Dashboard gives a consolidated view of blend component supply and demand (Butane, Ethanol, Transmix and Biodiesel) across the North Region terminals. It lets Supply Coordinators compare forward demand with tank inventory and planned inbound supply, and identify terminal-level gaps that require an action such as a planned delivery or an urgent re-supply.</w:t>
      </w:r>
    </w:p>
    <w:p w14:paraId="094A5360" w14:textId="77777777" w:rsidR="00672297" w:rsidRDefault="00A16EA3">
      <w:pPr>
        <w:pStyle w:val="Heading4"/>
        <w:rPr>
          <w:rFonts w:asciiTheme="minorHAnsi" w:hAnsiTheme="minorHAnsi" w:cstheme="minorBidi"/>
          <w:sz w:val="20"/>
          <w:szCs w:val="20"/>
        </w:rPr>
      </w:pPr>
      <w:bookmarkStart w:id="633" w:name="_Toc900950106"/>
      <w:r>
        <w:rPr>
          <w:rFonts w:asciiTheme="minorHAnsi" w:hAnsiTheme="minorHAnsi" w:cstheme="minorBidi"/>
          <w:sz w:val="20"/>
          <w:szCs w:val="20"/>
        </w:rPr>
        <w:t>Dashboard Wireframe</w:t>
      </w:r>
      <w:bookmarkEnd w:id="633"/>
    </w:p>
    <w:p w14:paraId="036D4F43" w14:textId="2F4EB640" w:rsidR="00672297" w:rsidRDefault="00A16EA3">
      <w:pPr>
        <w:pStyle w:val="Caption"/>
      </w:pPr>
      <w:bookmarkStart w:id="634" w:name="_Toc900950107"/>
      <w:bookmarkStart w:id="635" w:name="_Toc241574763"/>
      <w:bookmarkStart w:id="636" w:name="_Toc242554165"/>
      <w:r>
        <w:t xml:space="preserve">Figure </w:t>
      </w:r>
      <w:r>
        <w:fldChar w:fldCharType="begin"/>
      </w:r>
      <w:r>
        <w:instrText>STYLEREF 1 \s</w:instrText>
      </w:r>
      <w:r>
        <w:fldChar w:fldCharType="separate"/>
      </w:r>
      <w:r w:rsidR="00FC42E7">
        <w:rPr>
          <w:noProof/>
        </w:rPr>
        <w:t>4</w:t>
      </w:r>
      <w:r>
        <w:fldChar w:fldCharType="end"/>
      </w:r>
      <w:r>
        <w:t>-</w:t>
      </w:r>
      <w:r>
        <w:fldChar w:fldCharType="begin"/>
      </w:r>
      <w:r>
        <w:instrText>SEQ Figure \* ARABIC \s 1</w:instrText>
      </w:r>
      <w:r>
        <w:fldChar w:fldCharType="separate"/>
      </w:r>
      <w:r w:rsidR="00FC42E7">
        <w:rPr>
          <w:noProof/>
        </w:rPr>
        <w:t>6</w:t>
      </w:r>
      <w:r>
        <w:fldChar w:fldCharType="end"/>
      </w:r>
      <w:r>
        <w:t>: Supply Dashboard Wireframe</w:t>
      </w:r>
      <w:bookmarkEnd w:id="634"/>
      <w:bookmarkEnd w:id="635"/>
      <w:bookmarkEnd w:id="636"/>
    </w:p>
    <w:p w14:paraId="252CD5DF" w14:textId="4ED27D70" w:rsidR="002A4DF3" w:rsidRDefault="00B818A6">
      <w:pPr>
        <w:rPr>
          <w:rFonts w:cstheme="minorHAnsi"/>
          <w:sz w:val="20"/>
          <w:szCs w:val="20"/>
        </w:rPr>
      </w:pPr>
      <w:r>
        <w:rPr>
          <w:rFonts w:cstheme="minorHAnsi"/>
          <w:sz w:val="20"/>
          <w:szCs w:val="20"/>
        </w:rPr>
        <w:t xml:space="preserve">Wireframe can be accessed through this link: </w:t>
      </w:r>
      <w:hyperlink r:id="rId53" w:history="1">
        <w:r>
          <w:rPr>
            <w:rStyle w:val="Hyperlink"/>
            <w:rFonts w:cstheme="minorHAnsi"/>
            <w:szCs w:val="20"/>
          </w:rPr>
          <w:t>Supply Dashboard</w:t>
        </w:r>
      </w:hyperlink>
    </w:p>
    <w:p w14:paraId="13867876" w14:textId="77777777" w:rsidR="00672297" w:rsidRDefault="00A16EA3">
      <w:pPr>
        <w:pStyle w:val="Heading4"/>
        <w:rPr>
          <w:rFonts w:asciiTheme="minorHAnsi" w:hAnsiTheme="minorHAnsi" w:cstheme="minorBidi"/>
          <w:sz w:val="20"/>
          <w:szCs w:val="20"/>
        </w:rPr>
      </w:pPr>
      <w:bookmarkStart w:id="637" w:name="_Toc900950108"/>
      <w:r>
        <w:rPr>
          <w:rFonts w:asciiTheme="minorHAnsi" w:hAnsiTheme="minorHAnsi" w:cstheme="minorBidi"/>
          <w:sz w:val="20"/>
          <w:szCs w:val="20"/>
        </w:rPr>
        <w:t>Report Pages</w:t>
      </w:r>
      <w:bookmarkEnd w:id="637"/>
    </w:p>
    <w:tbl>
      <w:tblPr>
        <w:tblStyle w:val="TableGrid"/>
        <w:tblW w:w="9360" w:type="dxa"/>
        <w:tblLayout w:type="fixed"/>
        <w:tblCellMar>
          <w:left w:w="70" w:type="dxa"/>
          <w:right w:w="70" w:type="dxa"/>
        </w:tblCellMar>
        <w:tblLook w:val="04A0" w:firstRow="1" w:lastRow="0" w:firstColumn="1" w:lastColumn="0" w:noHBand="0" w:noVBand="1"/>
      </w:tblPr>
      <w:tblGrid>
        <w:gridCol w:w="2620"/>
        <w:gridCol w:w="6740"/>
      </w:tblGrid>
      <w:tr w:rsidR="00672297" w14:paraId="589BAC5D" w14:textId="77777777">
        <w:trPr>
          <w:cantSplit/>
          <w:tblHeader/>
        </w:trPr>
        <w:tc>
          <w:tcPr>
            <w:tcW w:w="2620" w:type="dxa"/>
            <w:shd w:val="clear" w:color="auto" w:fill="2F5496"/>
            <w:vAlign w:val="center"/>
          </w:tcPr>
          <w:p w14:paraId="28C80668" w14:textId="77777777" w:rsidR="00672297" w:rsidRDefault="00A16EA3">
            <w:pPr>
              <w:spacing w:before="20" w:after="20"/>
              <w:jc w:val="left"/>
            </w:pPr>
            <w:r>
              <w:rPr>
                <w:rFonts w:cstheme="minorHAnsi"/>
                <w:b/>
                <w:bCs/>
                <w:color w:val="FFFFFF"/>
                <w:sz w:val="20"/>
                <w:szCs w:val="20"/>
              </w:rPr>
              <w:t>Page Name</w:t>
            </w:r>
          </w:p>
        </w:tc>
        <w:tc>
          <w:tcPr>
            <w:tcW w:w="6740" w:type="dxa"/>
            <w:shd w:val="clear" w:color="auto" w:fill="2F5496"/>
            <w:vAlign w:val="center"/>
          </w:tcPr>
          <w:p w14:paraId="1CAA9ED2" w14:textId="77777777" w:rsidR="00672297" w:rsidRDefault="00A16EA3">
            <w:pPr>
              <w:spacing w:before="20" w:after="20"/>
              <w:jc w:val="left"/>
            </w:pPr>
            <w:r>
              <w:rPr>
                <w:rFonts w:cstheme="minorHAnsi"/>
                <w:b/>
                <w:bCs/>
                <w:color w:val="FFFFFF"/>
                <w:sz w:val="20"/>
                <w:szCs w:val="20"/>
              </w:rPr>
              <w:t>Purpose</w:t>
            </w:r>
          </w:p>
        </w:tc>
      </w:tr>
      <w:tr w:rsidR="00672297" w14:paraId="02776C6A" w14:textId="77777777">
        <w:trPr>
          <w:cantSplit/>
        </w:trPr>
        <w:tc>
          <w:tcPr>
            <w:tcW w:w="2620" w:type="dxa"/>
            <w:vAlign w:val="center"/>
          </w:tcPr>
          <w:p w14:paraId="67304FF6" w14:textId="77777777" w:rsidR="00672297" w:rsidRDefault="00A16EA3">
            <w:pPr>
              <w:spacing w:before="20" w:after="20"/>
              <w:jc w:val="left"/>
            </w:pPr>
            <w:r>
              <w:rPr>
                <w:rFonts w:cstheme="minorHAnsi"/>
                <w:sz w:val="20"/>
                <w:szCs w:val="20"/>
              </w:rPr>
              <w:t>Supply Plan</w:t>
            </w:r>
          </w:p>
        </w:tc>
        <w:tc>
          <w:tcPr>
            <w:tcW w:w="6740" w:type="dxa"/>
            <w:vAlign w:val="center"/>
          </w:tcPr>
          <w:p w14:paraId="43788AF3" w14:textId="77777777" w:rsidR="00672297" w:rsidRDefault="00A16EA3">
            <w:pPr>
              <w:spacing w:before="20" w:after="20"/>
              <w:jc w:val="left"/>
            </w:pPr>
            <w:r>
              <w:rPr>
                <w:rFonts w:cstheme="minorHAnsi"/>
                <w:sz w:val="20"/>
                <w:szCs w:val="20"/>
              </w:rPr>
              <w:t>Component cards, demand forecast chart and terminal x component supply table with recommended action.</w:t>
            </w:r>
          </w:p>
        </w:tc>
      </w:tr>
      <w:tr w:rsidR="00672297" w14:paraId="520E1238" w14:textId="77777777">
        <w:trPr>
          <w:cantSplit/>
        </w:trPr>
        <w:tc>
          <w:tcPr>
            <w:tcW w:w="2620" w:type="dxa"/>
            <w:vAlign w:val="center"/>
          </w:tcPr>
          <w:p w14:paraId="3A86D3B5" w14:textId="77777777" w:rsidR="00672297" w:rsidRDefault="00A16EA3">
            <w:pPr>
              <w:spacing w:before="20" w:after="20"/>
              <w:jc w:val="left"/>
            </w:pPr>
            <w:r>
              <w:rPr>
                <w:rFonts w:cstheme="minorHAnsi"/>
                <w:sz w:val="20"/>
                <w:szCs w:val="20"/>
              </w:rPr>
              <w:t>Terminal Daily Position (drill-through)</w:t>
            </w:r>
          </w:p>
        </w:tc>
        <w:tc>
          <w:tcPr>
            <w:tcW w:w="6740" w:type="dxa"/>
            <w:vAlign w:val="center"/>
          </w:tcPr>
          <w:p w14:paraId="61749F3F" w14:textId="77777777" w:rsidR="00672297" w:rsidRDefault="00A16EA3">
            <w:pPr>
              <w:spacing w:before="20" w:after="20"/>
              <w:jc w:val="left"/>
            </w:pPr>
            <w:r>
              <w:rPr>
                <w:rFonts w:cstheme="minorHAnsi"/>
                <w:sz w:val="20"/>
                <w:szCs w:val="20"/>
              </w:rPr>
              <w:t>Daily roll-forward for one terminal: opening inventory, receipt / in-transit, demand and net gap / surplus per component.</w:t>
            </w:r>
          </w:p>
        </w:tc>
      </w:tr>
      <w:tr w:rsidR="00672297" w14:paraId="395D9C67" w14:textId="77777777">
        <w:trPr>
          <w:cantSplit/>
        </w:trPr>
        <w:tc>
          <w:tcPr>
            <w:tcW w:w="2620" w:type="dxa"/>
            <w:vAlign w:val="center"/>
          </w:tcPr>
          <w:p w14:paraId="00DDE27D" w14:textId="77777777" w:rsidR="00672297" w:rsidRDefault="00A16EA3">
            <w:pPr>
              <w:spacing w:before="20" w:after="20"/>
              <w:jc w:val="left"/>
            </w:pPr>
            <w:r>
              <w:rPr>
                <w:rFonts w:cstheme="minorHAnsi"/>
                <w:sz w:val="20"/>
                <w:szCs w:val="20"/>
              </w:rPr>
              <w:t>User Guide</w:t>
            </w:r>
          </w:p>
        </w:tc>
        <w:tc>
          <w:tcPr>
            <w:tcW w:w="6740" w:type="dxa"/>
            <w:vAlign w:val="center"/>
          </w:tcPr>
          <w:p w14:paraId="5B46775A" w14:textId="77777777" w:rsidR="00672297" w:rsidRDefault="00A16EA3">
            <w:pPr>
              <w:spacing w:before="20" w:after="20"/>
              <w:jc w:val="left"/>
            </w:pPr>
            <w:r>
              <w:rPr>
                <w:rFonts w:cstheme="minorHAnsi"/>
                <w:sz w:val="20"/>
                <w:szCs w:val="20"/>
              </w:rPr>
              <w:t>Data sources, visuals, formulas and metrics.</w:t>
            </w:r>
          </w:p>
        </w:tc>
      </w:tr>
    </w:tbl>
    <w:p w14:paraId="5745DF27" w14:textId="5D74A809" w:rsidR="00672297" w:rsidRDefault="00A16EA3">
      <w:pPr>
        <w:pStyle w:val="Caption"/>
      </w:pPr>
      <w:bookmarkStart w:id="638" w:name="_Toc900950109"/>
      <w:bookmarkStart w:id="639" w:name="_Toc241574722"/>
      <w:bookmarkStart w:id="640" w:name="_Toc242554106"/>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33</w:t>
      </w:r>
      <w:r>
        <w:fldChar w:fldCharType="end"/>
      </w:r>
      <w:r>
        <w:t>: Supply Dashboard Report Pages</w:t>
      </w:r>
      <w:bookmarkEnd w:id="638"/>
      <w:bookmarkEnd w:id="639"/>
      <w:bookmarkEnd w:id="640"/>
    </w:p>
    <w:p w14:paraId="2E8EBCCD" w14:textId="77777777" w:rsidR="00672297" w:rsidRDefault="00A16EA3">
      <w:pPr>
        <w:pStyle w:val="Heading4"/>
        <w:rPr>
          <w:rFonts w:asciiTheme="minorHAnsi" w:hAnsiTheme="minorHAnsi" w:cstheme="minorBidi"/>
          <w:sz w:val="20"/>
          <w:szCs w:val="20"/>
        </w:rPr>
      </w:pPr>
      <w:bookmarkStart w:id="641" w:name="_Toc900950110"/>
      <w:r>
        <w:rPr>
          <w:rFonts w:asciiTheme="minorHAnsi" w:hAnsiTheme="minorHAnsi" w:cstheme="minorBidi"/>
          <w:sz w:val="20"/>
          <w:szCs w:val="20"/>
        </w:rPr>
        <w:t>Visuals &amp; Features</w:t>
      </w:r>
      <w:bookmarkEnd w:id="641"/>
    </w:p>
    <w:p w14:paraId="34EDD1F3"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Component cards</w:t>
      </w:r>
      <w:r>
        <w:rPr>
          <w:rFonts w:cstheme="minorHAnsi"/>
          <w:sz w:val="20"/>
          <w:szCs w:val="20"/>
        </w:rPr>
        <w:t xml:space="preserve"> (Butane, Ethanol, Transmix, Biodiesel): Potential Demand (bbl) and "Planned Supply + Inventory = Total" (bbl); for Transmix "Planned Inventory" (bbl).</w:t>
      </w:r>
    </w:p>
    <w:p w14:paraId="229C2A13"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Component Demand Forecast Chart</w:t>
      </w:r>
      <w:r>
        <w:rPr>
          <w:rFonts w:cstheme="minorHAnsi"/>
          <w:sz w:val="20"/>
          <w:szCs w:val="20"/>
        </w:rPr>
        <w:t xml:space="preserve"> - clustered column chart by terminal short name with Butane, Ethanol, Transmix and Biodiesel demand side by side.</w:t>
      </w:r>
    </w:p>
    <w:p w14:paraId="5C06E9BA"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Terminal x Component Supply Plan Table</w:t>
      </w:r>
      <w:r>
        <w:rPr>
          <w:rFonts w:cstheme="minorHAnsi"/>
          <w:sz w:val="20"/>
          <w:szCs w:val="20"/>
        </w:rPr>
        <w:t xml:space="preserve"> - CheckBox, Terminal; Butane: Demand, Tank Inventory, In-Transit, Net Gap; Ethanol: Demand, Tank Inventory, In-Transit, Net Gap / Surplus; Transmix: Demand, Tank Inventory, Net Gap; Biodiesel: Use, Tank Inventory, In-Transit, Net Gap; Recommended Action. Net gap colour: red below 0, green at or above 0; "—" where the terminal does not blend the component.</w:t>
      </w:r>
    </w:p>
    <w:p w14:paraId="104161B6"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Terminal Daily Position</w:t>
      </w:r>
      <w:r>
        <w:rPr>
          <w:rFonts w:cstheme="minorHAnsi"/>
          <w:sz w:val="20"/>
          <w:szCs w:val="20"/>
        </w:rPr>
        <w:t xml:space="preserve"> (drill-through on Terminal): Date; Butane opening inventory, receipt / in-transit movement, demand, net gap / surplus; Ethanol opening inventory, receipt / in-transit, demand, net gap / surplus; Transmix opening inventory, demand, net gap / surplus.</w:t>
      </w:r>
    </w:p>
    <w:p w14:paraId="374E2E20" w14:textId="77777777" w:rsidR="00672297" w:rsidRDefault="00A16EA3">
      <w:pPr>
        <w:pStyle w:val="Heading4"/>
        <w:rPr>
          <w:rFonts w:asciiTheme="minorHAnsi" w:hAnsiTheme="minorHAnsi" w:cstheme="minorBidi"/>
          <w:sz w:val="20"/>
          <w:szCs w:val="20"/>
        </w:rPr>
      </w:pPr>
      <w:bookmarkStart w:id="642" w:name="_Toc900950111"/>
      <w:r>
        <w:rPr>
          <w:rFonts w:asciiTheme="minorHAnsi" w:hAnsiTheme="minorHAnsi" w:cstheme="minorBidi"/>
          <w:sz w:val="20"/>
          <w:szCs w:val="20"/>
        </w:rPr>
        <w:t>Interactive Filters &amp; Controls</w:t>
      </w:r>
      <w:bookmarkEnd w:id="642"/>
    </w:p>
    <w:p w14:paraId="4D4C6581"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Refinery, Terminal, Component and Date Range filters (wireframe filter row); Region = North.</w:t>
      </w:r>
    </w:p>
    <w:p w14:paraId="06DEE49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Apply Filters, Export (Excel / CSV) and search by terminal in the table.</w:t>
      </w:r>
    </w:p>
    <w:p w14:paraId="2FF3A5A8" w14:textId="77777777" w:rsidR="00672297" w:rsidRDefault="00A16EA3">
      <w:pPr>
        <w:pStyle w:val="Heading4"/>
        <w:rPr>
          <w:rFonts w:asciiTheme="minorHAnsi" w:hAnsiTheme="minorHAnsi" w:cstheme="minorBidi"/>
          <w:sz w:val="20"/>
          <w:szCs w:val="20"/>
        </w:rPr>
      </w:pPr>
      <w:bookmarkStart w:id="643" w:name="_Toc900950112"/>
      <w:r>
        <w:rPr>
          <w:rFonts w:asciiTheme="minorHAnsi" w:hAnsiTheme="minorHAnsi" w:cstheme="minorBidi"/>
          <w:sz w:val="20"/>
          <w:szCs w:val="20"/>
        </w:rPr>
        <w:t>Backend Data Sources &amp; Mapping</w:t>
      </w:r>
      <w:bookmarkEnd w:id="643"/>
    </w:p>
    <w:tbl>
      <w:tblPr>
        <w:tblStyle w:val="TableGrid"/>
        <w:tblW w:w="9360" w:type="dxa"/>
        <w:tblLayout w:type="fixed"/>
        <w:tblCellMar>
          <w:left w:w="70" w:type="dxa"/>
          <w:right w:w="70" w:type="dxa"/>
        </w:tblCellMar>
        <w:tblLook w:val="04A0" w:firstRow="1" w:lastRow="0" w:firstColumn="1" w:lastColumn="0" w:noHBand="0" w:noVBand="1"/>
      </w:tblPr>
      <w:tblGrid>
        <w:gridCol w:w="2433"/>
        <w:gridCol w:w="1497"/>
        <w:gridCol w:w="2246"/>
        <w:gridCol w:w="2246"/>
        <w:gridCol w:w="938"/>
      </w:tblGrid>
      <w:tr w:rsidR="00672297" w14:paraId="6E3BFB2C" w14:textId="77777777">
        <w:trPr>
          <w:cantSplit/>
          <w:tblHeader/>
        </w:trPr>
        <w:tc>
          <w:tcPr>
            <w:tcW w:w="2433" w:type="dxa"/>
            <w:shd w:val="clear" w:color="auto" w:fill="2F5496"/>
            <w:vAlign w:val="center"/>
          </w:tcPr>
          <w:p w14:paraId="3126F819" w14:textId="77777777" w:rsidR="00672297" w:rsidRDefault="00A16EA3">
            <w:pPr>
              <w:spacing w:before="20" w:after="20"/>
              <w:jc w:val="left"/>
            </w:pPr>
            <w:r>
              <w:rPr>
                <w:rFonts w:cstheme="minorHAnsi"/>
                <w:b/>
                <w:bCs/>
                <w:color w:val="FFFFFF"/>
                <w:sz w:val="18"/>
                <w:szCs w:val="18"/>
              </w:rPr>
              <w:t>Data Type</w:t>
            </w:r>
          </w:p>
        </w:tc>
        <w:tc>
          <w:tcPr>
            <w:tcW w:w="1497" w:type="dxa"/>
            <w:shd w:val="clear" w:color="auto" w:fill="2F5496"/>
            <w:vAlign w:val="center"/>
          </w:tcPr>
          <w:p w14:paraId="3F08974C" w14:textId="77777777" w:rsidR="00672297" w:rsidRDefault="00A16EA3">
            <w:pPr>
              <w:spacing w:before="20" w:after="20"/>
              <w:jc w:val="left"/>
            </w:pPr>
            <w:r>
              <w:rPr>
                <w:rFonts w:cstheme="minorHAnsi"/>
                <w:b/>
                <w:bCs/>
                <w:color w:val="FFFFFF"/>
                <w:sz w:val="18"/>
                <w:szCs w:val="18"/>
              </w:rPr>
              <w:t>Source System</w:t>
            </w:r>
          </w:p>
        </w:tc>
        <w:tc>
          <w:tcPr>
            <w:tcW w:w="2246" w:type="dxa"/>
            <w:shd w:val="clear" w:color="auto" w:fill="2F5496"/>
            <w:vAlign w:val="center"/>
          </w:tcPr>
          <w:p w14:paraId="47A10BA3" w14:textId="77777777" w:rsidR="00672297" w:rsidRDefault="00A16EA3">
            <w:pPr>
              <w:spacing w:before="20" w:after="20"/>
              <w:jc w:val="left"/>
            </w:pPr>
            <w:r>
              <w:rPr>
                <w:rFonts w:cstheme="minorHAnsi"/>
                <w:b/>
                <w:bCs/>
                <w:color w:val="FFFFFF"/>
                <w:sz w:val="18"/>
                <w:szCs w:val="18"/>
              </w:rPr>
              <w:t>Primary Table / Source</w:t>
            </w:r>
          </w:p>
        </w:tc>
        <w:tc>
          <w:tcPr>
            <w:tcW w:w="2246" w:type="dxa"/>
            <w:shd w:val="clear" w:color="auto" w:fill="2F5496"/>
            <w:vAlign w:val="center"/>
          </w:tcPr>
          <w:p w14:paraId="08483B91" w14:textId="77777777" w:rsidR="00672297" w:rsidRDefault="00A16EA3">
            <w:pPr>
              <w:spacing w:before="20" w:after="20"/>
              <w:jc w:val="left"/>
            </w:pPr>
            <w:r>
              <w:rPr>
                <w:rFonts w:cstheme="minorHAnsi"/>
                <w:b/>
                <w:bCs/>
                <w:color w:val="FFFFFF"/>
                <w:sz w:val="18"/>
                <w:szCs w:val="18"/>
              </w:rPr>
              <w:t>Purpose</w:t>
            </w:r>
          </w:p>
        </w:tc>
        <w:tc>
          <w:tcPr>
            <w:tcW w:w="938" w:type="dxa"/>
            <w:shd w:val="clear" w:color="auto" w:fill="2F5496"/>
            <w:vAlign w:val="center"/>
          </w:tcPr>
          <w:p w14:paraId="5621EADD" w14:textId="77777777" w:rsidR="00672297" w:rsidRDefault="00A16EA3">
            <w:pPr>
              <w:spacing w:before="20" w:after="20"/>
              <w:jc w:val="left"/>
            </w:pPr>
            <w:r>
              <w:rPr>
                <w:rFonts w:cstheme="minorHAnsi"/>
                <w:b/>
                <w:bCs/>
                <w:color w:val="FFFFFF"/>
                <w:sz w:val="18"/>
                <w:szCs w:val="18"/>
              </w:rPr>
              <w:t>IQDM</w:t>
            </w:r>
          </w:p>
        </w:tc>
      </w:tr>
      <w:tr w:rsidR="00672297" w14:paraId="3537CB77" w14:textId="77777777">
        <w:trPr>
          <w:cantSplit/>
        </w:trPr>
        <w:tc>
          <w:tcPr>
            <w:tcW w:w="2433" w:type="dxa"/>
            <w:vAlign w:val="center"/>
          </w:tcPr>
          <w:p w14:paraId="0E1FAD7D" w14:textId="77777777" w:rsidR="00672297" w:rsidRDefault="00A16EA3">
            <w:pPr>
              <w:spacing w:before="20" w:after="20"/>
              <w:jc w:val="left"/>
            </w:pPr>
            <w:r>
              <w:rPr>
                <w:rFonts w:cstheme="minorHAnsi"/>
                <w:sz w:val="18"/>
                <w:szCs w:val="18"/>
              </w:rPr>
              <w:t>Component potential demand</w:t>
            </w:r>
          </w:p>
        </w:tc>
        <w:tc>
          <w:tcPr>
            <w:tcW w:w="1497" w:type="dxa"/>
            <w:vAlign w:val="center"/>
          </w:tcPr>
          <w:p w14:paraId="704F5A77" w14:textId="77777777" w:rsidR="00672297" w:rsidRDefault="00A16EA3">
            <w:pPr>
              <w:spacing w:before="20" w:after="20"/>
              <w:jc w:val="left"/>
            </w:pPr>
            <w:r>
              <w:rPr>
                <w:rFonts w:cstheme="minorHAnsi"/>
                <w:sz w:val="18"/>
                <w:szCs w:val="18"/>
              </w:rPr>
              <w:t>Calculated</w:t>
            </w:r>
          </w:p>
        </w:tc>
        <w:tc>
          <w:tcPr>
            <w:tcW w:w="2246" w:type="dxa"/>
            <w:vAlign w:val="center"/>
          </w:tcPr>
          <w:p w14:paraId="2F4E8111" w14:textId="77777777" w:rsidR="00672297" w:rsidRDefault="00A16EA3">
            <w:pPr>
              <w:spacing w:before="20" w:after="20"/>
              <w:jc w:val="left"/>
            </w:pPr>
            <w:r>
              <w:rPr>
                <w:rFonts w:cstheme="minorHAnsi"/>
                <w:sz w:val="18"/>
                <w:szCs w:val="18"/>
              </w:rPr>
              <w:t>Blend calculator output (gap DP-07); terminal configuration (gap DP-09)</w:t>
            </w:r>
          </w:p>
        </w:tc>
        <w:tc>
          <w:tcPr>
            <w:tcW w:w="2246" w:type="dxa"/>
            <w:vAlign w:val="center"/>
          </w:tcPr>
          <w:p w14:paraId="71BA2A23" w14:textId="77777777" w:rsidR="00672297" w:rsidRDefault="00A16EA3">
            <w:pPr>
              <w:spacing w:before="20" w:after="20"/>
              <w:jc w:val="left"/>
            </w:pPr>
            <w:r>
              <w:rPr>
                <w:rFonts w:cstheme="minorHAnsi"/>
                <w:sz w:val="18"/>
                <w:szCs w:val="18"/>
              </w:rPr>
              <w:t>Forward component demand per terminal</w:t>
            </w:r>
          </w:p>
        </w:tc>
        <w:tc>
          <w:tcPr>
            <w:tcW w:w="938" w:type="dxa"/>
            <w:vAlign w:val="center"/>
          </w:tcPr>
          <w:p w14:paraId="0DEF6D11" w14:textId="77777777" w:rsidR="00672297" w:rsidRDefault="00A16EA3">
            <w:pPr>
              <w:spacing w:before="20" w:after="20"/>
              <w:jc w:val="left"/>
            </w:pPr>
            <w:r>
              <w:rPr>
                <w:rFonts w:cstheme="minorHAnsi"/>
                <w:sz w:val="18"/>
                <w:szCs w:val="18"/>
              </w:rPr>
              <w:t>No</w:t>
            </w:r>
          </w:p>
        </w:tc>
      </w:tr>
      <w:tr w:rsidR="00672297" w14:paraId="42CDC55F" w14:textId="77777777">
        <w:trPr>
          <w:cantSplit/>
        </w:trPr>
        <w:tc>
          <w:tcPr>
            <w:tcW w:w="2433" w:type="dxa"/>
            <w:vAlign w:val="center"/>
          </w:tcPr>
          <w:p w14:paraId="3885671A" w14:textId="77777777" w:rsidR="00672297" w:rsidRDefault="00A16EA3">
            <w:pPr>
              <w:spacing w:before="20" w:after="20"/>
              <w:jc w:val="left"/>
            </w:pPr>
            <w:r>
              <w:rPr>
                <w:rFonts w:cstheme="minorHAnsi"/>
                <w:sz w:val="18"/>
                <w:szCs w:val="18"/>
              </w:rPr>
              <w:t>Blend component movement (planned / in-transit)</w:t>
            </w:r>
          </w:p>
        </w:tc>
        <w:tc>
          <w:tcPr>
            <w:tcW w:w="1497" w:type="dxa"/>
            <w:vAlign w:val="center"/>
          </w:tcPr>
          <w:p w14:paraId="70D1263C" w14:textId="77777777" w:rsidR="00672297" w:rsidRDefault="00A16EA3">
            <w:pPr>
              <w:spacing w:before="20" w:after="20"/>
              <w:jc w:val="left"/>
            </w:pPr>
            <w:r>
              <w:rPr>
                <w:rFonts w:cstheme="minorHAnsi"/>
                <w:sz w:val="18"/>
                <w:szCs w:val="18"/>
              </w:rPr>
              <w:t>Kittyhawk</w:t>
            </w:r>
          </w:p>
        </w:tc>
        <w:tc>
          <w:tcPr>
            <w:tcW w:w="2246" w:type="dxa"/>
            <w:vAlign w:val="center"/>
          </w:tcPr>
          <w:p w14:paraId="22B4CB2D" w14:textId="77777777" w:rsidR="00672297" w:rsidRDefault="00A16EA3">
            <w:pPr>
              <w:spacing w:before="20" w:after="20"/>
              <w:jc w:val="left"/>
            </w:pPr>
            <w:r>
              <w:rPr>
                <w:rFonts w:cstheme="minorHAnsi"/>
                <w:sz w:val="18"/>
                <w:szCs w:val="18"/>
              </w:rPr>
              <w:t>Transfer / BulkTransfer</w:t>
            </w:r>
          </w:p>
        </w:tc>
        <w:tc>
          <w:tcPr>
            <w:tcW w:w="2246" w:type="dxa"/>
            <w:vAlign w:val="center"/>
          </w:tcPr>
          <w:p w14:paraId="0CE34F19" w14:textId="77777777" w:rsidR="00672297" w:rsidRDefault="00A16EA3">
            <w:pPr>
              <w:spacing w:before="20" w:after="20"/>
              <w:jc w:val="left"/>
            </w:pPr>
            <w:r>
              <w:rPr>
                <w:rFonts w:cstheme="minorHAnsi"/>
                <w:sz w:val="18"/>
                <w:szCs w:val="18"/>
              </w:rPr>
              <w:t>Planned receipts of butane, ethanol, transmix, biodiesel</w:t>
            </w:r>
          </w:p>
        </w:tc>
        <w:tc>
          <w:tcPr>
            <w:tcW w:w="938" w:type="dxa"/>
            <w:vAlign w:val="center"/>
          </w:tcPr>
          <w:p w14:paraId="075E2C15" w14:textId="77777777" w:rsidR="00672297" w:rsidRDefault="00A16EA3">
            <w:pPr>
              <w:spacing w:before="20" w:after="20"/>
              <w:jc w:val="left"/>
            </w:pPr>
            <w:r>
              <w:rPr>
                <w:rFonts w:cstheme="minorHAnsi"/>
                <w:sz w:val="18"/>
                <w:szCs w:val="18"/>
              </w:rPr>
              <w:t>Yes-R#2</w:t>
            </w:r>
          </w:p>
        </w:tc>
      </w:tr>
      <w:tr w:rsidR="00672297" w14:paraId="366077A6" w14:textId="77777777">
        <w:trPr>
          <w:cantSplit/>
        </w:trPr>
        <w:tc>
          <w:tcPr>
            <w:tcW w:w="2433" w:type="dxa"/>
            <w:vAlign w:val="center"/>
          </w:tcPr>
          <w:p w14:paraId="6B1999A3" w14:textId="77777777" w:rsidR="00672297" w:rsidRDefault="00A16EA3">
            <w:pPr>
              <w:spacing w:before="20" w:after="20"/>
              <w:jc w:val="left"/>
            </w:pPr>
            <w:r>
              <w:rPr>
                <w:rFonts w:cstheme="minorHAnsi"/>
                <w:sz w:val="18"/>
                <w:szCs w:val="18"/>
              </w:rPr>
              <w:t>Blend component inventory</w:t>
            </w:r>
          </w:p>
        </w:tc>
        <w:tc>
          <w:tcPr>
            <w:tcW w:w="1497" w:type="dxa"/>
            <w:vAlign w:val="center"/>
          </w:tcPr>
          <w:p w14:paraId="5027F108" w14:textId="77777777" w:rsidR="00672297" w:rsidRDefault="00A16EA3">
            <w:pPr>
              <w:spacing w:before="20" w:after="20"/>
              <w:jc w:val="left"/>
            </w:pPr>
            <w:r>
              <w:rPr>
                <w:rFonts w:cstheme="minorHAnsi"/>
                <w:sz w:val="18"/>
                <w:szCs w:val="18"/>
              </w:rPr>
              <w:t>Kittyhawk</w:t>
            </w:r>
          </w:p>
        </w:tc>
        <w:tc>
          <w:tcPr>
            <w:tcW w:w="2246" w:type="dxa"/>
            <w:vAlign w:val="center"/>
          </w:tcPr>
          <w:p w14:paraId="2756B2A0" w14:textId="77777777" w:rsidR="00672297" w:rsidRDefault="00A16EA3">
            <w:pPr>
              <w:spacing w:before="20" w:after="20"/>
              <w:jc w:val="left"/>
            </w:pPr>
            <w:r>
              <w:rPr>
                <w:rFonts w:cstheme="minorHAnsi"/>
                <w:sz w:val="18"/>
                <w:szCs w:val="18"/>
              </w:rPr>
              <w:t>Inventory</w:t>
            </w:r>
          </w:p>
        </w:tc>
        <w:tc>
          <w:tcPr>
            <w:tcW w:w="2246" w:type="dxa"/>
            <w:vAlign w:val="center"/>
          </w:tcPr>
          <w:p w14:paraId="440F5B1F" w14:textId="77777777" w:rsidR="00672297" w:rsidRDefault="00A16EA3">
            <w:pPr>
              <w:spacing w:before="20" w:after="20"/>
              <w:jc w:val="left"/>
            </w:pPr>
            <w:r>
              <w:rPr>
                <w:rFonts w:cstheme="minorHAnsi"/>
                <w:sz w:val="18"/>
                <w:szCs w:val="18"/>
              </w:rPr>
              <w:t>Opening tank inventory</w:t>
            </w:r>
          </w:p>
        </w:tc>
        <w:tc>
          <w:tcPr>
            <w:tcW w:w="938" w:type="dxa"/>
            <w:vAlign w:val="center"/>
          </w:tcPr>
          <w:p w14:paraId="1C279A8B" w14:textId="77777777" w:rsidR="00672297" w:rsidRDefault="00A16EA3">
            <w:pPr>
              <w:spacing w:before="20" w:after="20"/>
              <w:jc w:val="left"/>
            </w:pPr>
            <w:r>
              <w:rPr>
                <w:rFonts w:cstheme="minorHAnsi"/>
                <w:sz w:val="18"/>
                <w:szCs w:val="18"/>
              </w:rPr>
              <w:t>Yes-R#4</w:t>
            </w:r>
          </w:p>
        </w:tc>
      </w:tr>
      <w:tr w:rsidR="00672297" w14:paraId="4132FCC6" w14:textId="77777777">
        <w:trPr>
          <w:cantSplit/>
        </w:trPr>
        <w:tc>
          <w:tcPr>
            <w:tcW w:w="2433" w:type="dxa"/>
            <w:vAlign w:val="center"/>
          </w:tcPr>
          <w:p w14:paraId="2DDAFB24" w14:textId="77777777" w:rsidR="00672297" w:rsidRDefault="00A16EA3">
            <w:pPr>
              <w:spacing w:before="20" w:after="20"/>
              <w:jc w:val="left"/>
            </w:pPr>
            <w:r>
              <w:rPr>
                <w:rFonts w:cstheme="minorHAnsi"/>
                <w:sz w:val="18"/>
                <w:szCs w:val="18"/>
              </w:rPr>
              <w:t>Blend component inventory</w:t>
            </w:r>
          </w:p>
        </w:tc>
        <w:tc>
          <w:tcPr>
            <w:tcW w:w="1497" w:type="dxa"/>
            <w:vAlign w:val="center"/>
          </w:tcPr>
          <w:p w14:paraId="44E153C4" w14:textId="77777777" w:rsidR="00672297" w:rsidRDefault="00A16EA3">
            <w:pPr>
              <w:spacing w:before="20" w:after="20"/>
              <w:jc w:val="left"/>
            </w:pPr>
            <w:r>
              <w:rPr>
                <w:rFonts w:cstheme="minorHAnsi"/>
                <w:sz w:val="18"/>
                <w:szCs w:val="18"/>
              </w:rPr>
              <w:t>PIAF</w:t>
            </w:r>
          </w:p>
        </w:tc>
        <w:tc>
          <w:tcPr>
            <w:tcW w:w="2246" w:type="dxa"/>
            <w:vAlign w:val="center"/>
          </w:tcPr>
          <w:p w14:paraId="13576F2E" w14:textId="77777777" w:rsidR="00672297" w:rsidRDefault="00A16EA3">
            <w:pPr>
              <w:spacing w:before="20" w:after="20"/>
              <w:jc w:val="left"/>
            </w:pPr>
            <w:r>
              <w:rPr>
                <w:rFonts w:cstheme="minorHAnsi"/>
                <w:sz w:val="18"/>
                <w:szCs w:val="18"/>
              </w:rPr>
              <w:t>PI tags (Net Standard Volume)</w:t>
            </w:r>
          </w:p>
        </w:tc>
        <w:tc>
          <w:tcPr>
            <w:tcW w:w="2246" w:type="dxa"/>
            <w:vAlign w:val="center"/>
          </w:tcPr>
          <w:p w14:paraId="1C50FD8C" w14:textId="77777777" w:rsidR="00672297" w:rsidRDefault="00A16EA3">
            <w:pPr>
              <w:spacing w:before="20" w:after="20"/>
              <w:jc w:val="left"/>
            </w:pPr>
            <w:r>
              <w:rPr>
                <w:rFonts w:cstheme="minorHAnsi"/>
                <w:sz w:val="18"/>
                <w:szCs w:val="18"/>
              </w:rPr>
              <w:t>Opening tank inventory</w:t>
            </w:r>
          </w:p>
        </w:tc>
        <w:tc>
          <w:tcPr>
            <w:tcW w:w="938" w:type="dxa"/>
            <w:vAlign w:val="center"/>
          </w:tcPr>
          <w:p w14:paraId="6A1BA26C" w14:textId="77777777" w:rsidR="00672297" w:rsidRDefault="00A16EA3">
            <w:pPr>
              <w:spacing w:before="20" w:after="20"/>
              <w:jc w:val="left"/>
            </w:pPr>
            <w:r>
              <w:rPr>
                <w:rFonts w:cstheme="minorHAnsi"/>
                <w:sz w:val="18"/>
                <w:szCs w:val="18"/>
              </w:rPr>
              <w:t>VCB R2</w:t>
            </w:r>
          </w:p>
        </w:tc>
      </w:tr>
      <w:tr w:rsidR="00672297" w14:paraId="67F71A14" w14:textId="77777777">
        <w:trPr>
          <w:cantSplit/>
        </w:trPr>
        <w:tc>
          <w:tcPr>
            <w:tcW w:w="2433" w:type="dxa"/>
            <w:vAlign w:val="center"/>
          </w:tcPr>
          <w:p w14:paraId="5C181537" w14:textId="77777777" w:rsidR="00672297" w:rsidRDefault="00A16EA3">
            <w:pPr>
              <w:spacing w:before="20" w:after="20"/>
              <w:jc w:val="left"/>
            </w:pPr>
            <w:r>
              <w:rPr>
                <w:rFonts w:cstheme="minorHAnsi"/>
                <w:sz w:val="18"/>
                <w:szCs w:val="18"/>
              </w:rPr>
              <w:t>Terminal configuration</w:t>
            </w:r>
          </w:p>
        </w:tc>
        <w:tc>
          <w:tcPr>
            <w:tcW w:w="1497" w:type="dxa"/>
            <w:vAlign w:val="center"/>
          </w:tcPr>
          <w:p w14:paraId="22F2BE4B" w14:textId="77777777" w:rsidR="00672297" w:rsidRDefault="00A16EA3">
            <w:pPr>
              <w:spacing w:before="20" w:after="20"/>
              <w:jc w:val="left"/>
            </w:pPr>
            <w:r>
              <w:rPr>
                <w:rFonts w:cstheme="minorHAnsi"/>
                <w:sz w:val="18"/>
                <w:szCs w:val="18"/>
              </w:rPr>
              <w:t>PQ Standard / Wireframes Mock Data</w:t>
            </w:r>
          </w:p>
        </w:tc>
        <w:tc>
          <w:tcPr>
            <w:tcW w:w="2246" w:type="dxa"/>
            <w:vAlign w:val="center"/>
          </w:tcPr>
          <w:p w14:paraId="557AF885" w14:textId="77777777" w:rsidR="00672297" w:rsidRDefault="00A16EA3">
            <w:pPr>
              <w:spacing w:before="20" w:after="20"/>
              <w:jc w:val="left"/>
            </w:pPr>
            <w:r>
              <w:rPr>
                <w:rFonts w:cstheme="minorHAnsi"/>
                <w:sz w:val="18"/>
                <w:szCs w:val="18"/>
              </w:rPr>
              <w:t>Terminal configuration (gap DP-09)</w:t>
            </w:r>
          </w:p>
        </w:tc>
        <w:tc>
          <w:tcPr>
            <w:tcW w:w="2246" w:type="dxa"/>
            <w:vAlign w:val="center"/>
          </w:tcPr>
          <w:p w14:paraId="699CE5C6" w14:textId="77777777" w:rsidR="00672297" w:rsidRDefault="00A16EA3">
            <w:pPr>
              <w:spacing w:before="20" w:after="20"/>
              <w:jc w:val="left"/>
            </w:pPr>
            <w:r>
              <w:rPr>
                <w:rFonts w:cstheme="minorHAnsi"/>
                <w:sz w:val="18"/>
                <w:szCs w:val="18"/>
              </w:rPr>
              <w:t>Blending-capability flags and blend %</w:t>
            </w:r>
          </w:p>
        </w:tc>
        <w:tc>
          <w:tcPr>
            <w:tcW w:w="938" w:type="dxa"/>
            <w:vAlign w:val="center"/>
          </w:tcPr>
          <w:p w14:paraId="4327C681" w14:textId="77777777" w:rsidR="00672297" w:rsidRDefault="00A16EA3">
            <w:pPr>
              <w:spacing w:before="20" w:after="20"/>
              <w:jc w:val="left"/>
            </w:pPr>
            <w:r>
              <w:rPr>
                <w:rFonts w:cstheme="minorHAnsi"/>
                <w:sz w:val="18"/>
                <w:szCs w:val="18"/>
              </w:rPr>
              <w:t>No (gap DP-09)</w:t>
            </w:r>
          </w:p>
        </w:tc>
      </w:tr>
      <w:tr w:rsidR="00672297" w14:paraId="1FF4D06C" w14:textId="77777777">
        <w:trPr>
          <w:cantSplit/>
        </w:trPr>
        <w:tc>
          <w:tcPr>
            <w:tcW w:w="2433" w:type="dxa"/>
            <w:vAlign w:val="center"/>
          </w:tcPr>
          <w:p w14:paraId="0DB05B98" w14:textId="77777777" w:rsidR="00672297" w:rsidRDefault="00A16EA3">
            <w:pPr>
              <w:spacing w:before="20" w:after="20"/>
              <w:jc w:val="left"/>
            </w:pPr>
            <w:r>
              <w:rPr>
                <w:rFonts w:cstheme="minorHAnsi"/>
                <w:sz w:val="18"/>
                <w:szCs w:val="18"/>
              </w:rPr>
              <w:t>Action thresholds</w:t>
            </w:r>
          </w:p>
        </w:tc>
        <w:tc>
          <w:tcPr>
            <w:tcW w:w="1497" w:type="dxa"/>
            <w:vAlign w:val="center"/>
          </w:tcPr>
          <w:p w14:paraId="41B68007" w14:textId="77777777" w:rsidR="00672297" w:rsidRDefault="00A16EA3">
            <w:pPr>
              <w:spacing w:before="20" w:after="20"/>
              <w:jc w:val="left"/>
            </w:pPr>
            <w:r>
              <w:rPr>
                <w:rFonts w:cstheme="minorHAnsi"/>
                <w:sz w:val="18"/>
                <w:szCs w:val="18"/>
              </w:rPr>
              <w:t>Wireframes Mock Data</w:t>
            </w:r>
          </w:p>
        </w:tc>
        <w:tc>
          <w:tcPr>
            <w:tcW w:w="2246" w:type="dxa"/>
            <w:vAlign w:val="center"/>
          </w:tcPr>
          <w:p w14:paraId="115A7406" w14:textId="77777777" w:rsidR="00672297" w:rsidRDefault="00A16EA3">
            <w:pPr>
              <w:spacing w:before="20" w:after="20"/>
              <w:jc w:val="left"/>
            </w:pPr>
            <w:r>
              <w:rPr>
                <w:rFonts w:cstheme="minorHAnsi"/>
                <w:sz w:val="18"/>
                <w:szCs w:val="18"/>
              </w:rPr>
              <w:t>Action thresholds (gap DP-12)</w:t>
            </w:r>
          </w:p>
        </w:tc>
        <w:tc>
          <w:tcPr>
            <w:tcW w:w="2246" w:type="dxa"/>
            <w:vAlign w:val="center"/>
          </w:tcPr>
          <w:p w14:paraId="5621B7BC" w14:textId="77777777" w:rsidR="00672297" w:rsidRDefault="00A16EA3">
            <w:pPr>
              <w:spacing w:before="20" w:after="20"/>
              <w:jc w:val="left"/>
            </w:pPr>
            <w:r>
              <w:rPr>
                <w:rFonts w:cstheme="minorHAnsi"/>
                <w:sz w:val="18"/>
                <w:szCs w:val="18"/>
              </w:rPr>
              <w:t>Recommended action bands</w:t>
            </w:r>
          </w:p>
        </w:tc>
        <w:tc>
          <w:tcPr>
            <w:tcW w:w="938" w:type="dxa"/>
            <w:vAlign w:val="center"/>
          </w:tcPr>
          <w:p w14:paraId="669291EB" w14:textId="77777777" w:rsidR="00672297" w:rsidRDefault="00A16EA3">
            <w:pPr>
              <w:spacing w:before="20" w:after="20"/>
              <w:jc w:val="left"/>
            </w:pPr>
            <w:r>
              <w:rPr>
                <w:rFonts w:cstheme="minorHAnsi"/>
                <w:sz w:val="18"/>
                <w:szCs w:val="18"/>
              </w:rPr>
              <w:t>No</w:t>
            </w:r>
          </w:p>
        </w:tc>
      </w:tr>
    </w:tbl>
    <w:p w14:paraId="0DEC6FDE" w14:textId="10CF6BBC" w:rsidR="00672297" w:rsidRDefault="00A16EA3">
      <w:pPr>
        <w:pStyle w:val="Caption"/>
      </w:pPr>
      <w:bookmarkStart w:id="644" w:name="_Toc900950113"/>
      <w:bookmarkStart w:id="645" w:name="_Toc241574723"/>
      <w:bookmarkStart w:id="646" w:name="_Toc242554107"/>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34</w:t>
      </w:r>
      <w:r>
        <w:fldChar w:fldCharType="end"/>
      </w:r>
      <w:r>
        <w:t>: Supply Dashboard Data Source Overview</w:t>
      </w:r>
      <w:bookmarkEnd w:id="644"/>
      <w:bookmarkEnd w:id="645"/>
      <w:bookmarkEnd w:id="646"/>
    </w:p>
    <w:tbl>
      <w:tblPr>
        <w:tblStyle w:val="TableGrid"/>
        <w:tblW w:w="9360" w:type="dxa"/>
        <w:tblLayout w:type="fixed"/>
        <w:tblCellMar>
          <w:left w:w="70" w:type="dxa"/>
          <w:right w:w="70" w:type="dxa"/>
        </w:tblCellMar>
        <w:tblLook w:val="04A0" w:firstRow="1" w:lastRow="0" w:firstColumn="1" w:lastColumn="0" w:noHBand="0" w:noVBand="1"/>
      </w:tblPr>
      <w:tblGrid>
        <w:gridCol w:w="1872"/>
        <w:gridCol w:w="1684"/>
        <w:gridCol w:w="1872"/>
        <w:gridCol w:w="1123"/>
        <w:gridCol w:w="2809"/>
      </w:tblGrid>
      <w:tr w:rsidR="00672297" w14:paraId="009A7606" w14:textId="77777777">
        <w:trPr>
          <w:cantSplit/>
          <w:tblHeader/>
        </w:trPr>
        <w:tc>
          <w:tcPr>
            <w:tcW w:w="1872" w:type="dxa"/>
            <w:shd w:val="clear" w:color="auto" w:fill="2F5496"/>
            <w:vAlign w:val="center"/>
          </w:tcPr>
          <w:p w14:paraId="428C46B4" w14:textId="77777777" w:rsidR="00672297" w:rsidRDefault="00A16EA3">
            <w:pPr>
              <w:spacing w:before="20" w:after="20"/>
              <w:jc w:val="left"/>
            </w:pPr>
            <w:r>
              <w:rPr>
                <w:rFonts w:cstheme="minorHAnsi"/>
                <w:b/>
                <w:bCs/>
                <w:color w:val="FFFFFF"/>
                <w:sz w:val="18"/>
                <w:szCs w:val="18"/>
              </w:rPr>
              <w:t>Dashboard Field</w:t>
            </w:r>
          </w:p>
        </w:tc>
        <w:tc>
          <w:tcPr>
            <w:tcW w:w="1684" w:type="dxa"/>
            <w:shd w:val="clear" w:color="auto" w:fill="2F5496"/>
            <w:vAlign w:val="center"/>
          </w:tcPr>
          <w:p w14:paraId="1A8143EE" w14:textId="77777777" w:rsidR="00672297" w:rsidRDefault="00A16EA3">
            <w:pPr>
              <w:spacing w:before="20" w:after="20"/>
              <w:jc w:val="left"/>
            </w:pPr>
            <w:r>
              <w:rPr>
                <w:rFonts w:cstheme="minorHAnsi"/>
                <w:b/>
                <w:bCs/>
                <w:color w:val="FFFFFF"/>
                <w:sz w:val="18"/>
                <w:szCs w:val="18"/>
              </w:rPr>
              <w:t>Source Table</w:t>
            </w:r>
          </w:p>
        </w:tc>
        <w:tc>
          <w:tcPr>
            <w:tcW w:w="1872" w:type="dxa"/>
            <w:shd w:val="clear" w:color="auto" w:fill="2F5496"/>
            <w:vAlign w:val="center"/>
          </w:tcPr>
          <w:p w14:paraId="6C17C173" w14:textId="77777777" w:rsidR="00672297" w:rsidRDefault="00A16EA3">
            <w:pPr>
              <w:spacing w:before="20" w:after="20"/>
              <w:jc w:val="left"/>
            </w:pPr>
            <w:r>
              <w:rPr>
                <w:rFonts w:cstheme="minorHAnsi"/>
                <w:b/>
                <w:bCs/>
                <w:color w:val="FFFFFF"/>
                <w:sz w:val="18"/>
                <w:szCs w:val="18"/>
              </w:rPr>
              <w:t>Field Used</w:t>
            </w:r>
          </w:p>
        </w:tc>
        <w:tc>
          <w:tcPr>
            <w:tcW w:w="1123" w:type="dxa"/>
            <w:shd w:val="clear" w:color="auto" w:fill="2F5496"/>
            <w:vAlign w:val="center"/>
          </w:tcPr>
          <w:p w14:paraId="66653743" w14:textId="77777777" w:rsidR="00672297" w:rsidRDefault="00A16EA3">
            <w:pPr>
              <w:spacing w:before="20" w:after="20"/>
              <w:jc w:val="left"/>
            </w:pPr>
            <w:r>
              <w:rPr>
                <w:rFonts w:cstheme="minorHAnsi"/>
                <w:b/>
                <w:bCs/>
                <w:color w:val="FFFFFF"/>
                <w:sz w:val="18"/>
                <w:szCs w:val="18"/>
              </w:rPr>
              <w:t>IQDM</w:t>
            </w:r>
          </w:p>
        </w:tc>
        <w:tc>
          <w:tcPr>
            <w:tcW w:w="2809" w:type="dxa"/>
            <w:shd w:val="clear" w:color="auto" w:fill="2F5496"/>
            <w:vAlign w:val="center"/>
          </w:tcPr>
          <w:p w14:paraId="5405E120" w14:textId="77777777" w:rsidR="00672297" w:rsidRDefault="00A16EA3">
            <w:pPr>
              <w:spacing w:before="20" w:after="20"/>
              <w:jc w:val="left"/>
            </w:pPr>
            <w:r>
              <w:rPr>
                <w:rFonts w:cstheme="minorHAnsi"/>
                <w:b/>
                <w:bCs/>
                <w:color w:val="FFFFFF"/>
                <w:sz w:val="18"/>
                <w:szCs w:val="18"/>
              </w:rPr>
              <w:t>VCB View Column</w:t>
            </w:r>
          </w:p>
        </w:tc>
      </w:tr>
      <w:tr w:rsidR="00672297" w14:paraId="1D37695B" w14:textId="77777777">
        <w:trPr>
          <w:cantSplit/>
        </w:trPr>
        <w:tc>
          <w:tcPr>
            <w:tcW w:w="1872" w:type="dxa"/>
            <w:vAlign w:val="center"/>
          </w:tcPr>
          <w:p w14:paraId="40AE7F26" w14:textId="77777777" w:rsidR="00672297" w:rsidRDefault="00A16EA3">
            <w:pPr>
              <w:spacing w:before="20" w:after="20"/>
              <w:jc w:val="left"/>
            </w:pPr>
            <w:r>
              <w:rPr>
                <w:rFonts w:cstheme="minorHAnsi"/>
                <w:sz w:val="18"/>
                <w:szCs w:val="18"/>
              </w:rPr>
              <w:t>Terminal</w:t>
            </w:r>
          </w:p>
        </w:tc>
        <w:tc>
          <w:tcPr>
            <w:tcW w:w="1684" w:type="dxa"/>
            <w:vAlign w:val="center"/>
          </w:tcPr>
          <w:p w14:paraId="0150ACC7" w14:textId="77777777" w:rsidR="00672297" w:rsidRDefault="00A16EA3">
            <w:pPr>
              <w:spacing w:before="20" w:after="20"/>
              <w:jc w:val="left"/>
            </w:pPr>
            <w:r>
              <w:rPr>
                <w:rFonts w:cstheme="minorHAnsi"/>
                <w:sz w:val="18"/>
                <w:szCs w:val="18"/>
              </w:rPr>
              <w:t>IQDM</w:t>
            </w:r>
          </w:p>
        </w:tc>
        <w:tc>
          <w:tcPr>
            <w:tcW w:w="1872" w:type="dxa"/>
            <w:vAlign w:val="center"/>
          </w:tcPr>
          <w:p w14:paraId="0F00F050" w14:textId="77777777" w:rsidR="00672297" w:rsidRDefault="00A16EA3">
            <w:pPr>
              <w:spacing w:before="20" w:after="20"/>
              <w:jc w:val="left"/>
            </w:pPr>
            <w:r>
              <w:rPr>
                <w:rFonts w:cstheme="minorHAnsi"/>
                <w:sz w:val="18"/>
                <w:szCs w:val="18"/>
              </w:rPr>
              <w:t>Location master</w:t>
            </w:r>
          </w:p>
        </w:tc>
        <w:tc>
          <w:tcPr>
            <w:tcW w:w="1123" w:type="dxa"/>
            <w:vAlign w:val="center"/>
          </w:tcPr>
          <w:p w14:paraId="320FF260" w14:textId="77777777" w:rsidR="00672297" w:rsidRDefault="00A16EA3">
            <w:pPr>
              <w:spacing w:before="20" w:after="20"/>
              <w:jc w:val="left"/>
            </w:pPr>
            <w:r>
              <w:rPr>
                <w:rFonts w:cstheme="minorHAnsi"/>
                <w:sz w:val="18"/>
                <w:szCs w:val="18"/>
              </w:rPr>
              <w:t>Yes</w:t>
            </w:r>
          </w:p>
        </w:tc>
        <w:tc>
          <w:tcPr>
            <w:tcW w:w="2809" w:type="dxa"/>
            <w:vAlign w:val="center"/>
          </w:tcPr>
          <w:p w14:paraId="28D20C87" w14:textId="77777777" w:rsidR="00672297" w:rsidRDefault="00A16EA3">
            <w:pPr>
              <w:spacing w:before="20" w:after="20"/>
              <w:jc w:val="left"/>
            </w:pPr>
            <w:r>
              <w:rPr>
                <w:rFonts w:cstheme="minorHAnsi"/>
                <w:sz w:val="18"/>
                <w:szCs w:val="18"/>
              </w:rPr>
              <w:t>vwBlendComponentSupplyDemand[Terminal]</w:t>
            </w:r>
          </w:p>
        </w:tc>
      </w:tr>
      <w:tr w:rsidR="00672297" w14:paraId="42ABB72C" w14:textId="77777777">
        <w:trPr>
          <w:cantSplit/>
        </w:trPr>
        <w:tc>
          <w:tcPr>
            <w:tcW w:w="1872" w:type="dxa"/>
            <w:vAlign w:val="center"/>
          </w:tcPr>
          <w:p w14:paraId="71D17CC5" w14:textId="77777777" w:rsidR="00672297" w:rsidRDefault="00A16EA3">
            <w:pPr>
              <w:spacing w:before="20" w:after="20"/>
              <w:jc w:val="left"/>
            </w:pPr>
            <w:r>
              <w:rPr>
                <w:rFonts w:cstheme="minorHAnsi"/>
                <w:sz w:val="18"/>
                <w:szCs w:val="18"/>
              </w:rPr>
              <w:t>Demand (Butane / Ethanol / Transmix / Biodiesel)</w:t>
            </w:r>
          </w:p>
        </w:tc>
        <w:tc>
          <w:tcPr>
            <w:tcW w:w="1684" w:type="dxa"/>
            <w:vAlign w:val="center"/>
          </w:tcPr>
          <w:p w14:paraId="0CAC7650" w14:textId="77777777" w:rsidR="00672297" w:rsidRDefault="00A16EA3">
            <w:pPr>
              <w:spacing w:before="20" w:after="20"/>
              <w:jc w:val="left"/>
            </w:pPr>
            <w:r>
              <w:rPr>
                <w:rFonts w:cstheme="minorHAnsi"/>
                <w:sz w:val="18"/>
                <w:szCs w:val="18"/>
              </w:rPr>
              <w:t>Calculated</w:t>
            </w:r>
          </w:p>
        </w:tc>
        <w:tc>
          <w:tcPr>
            <w:tcW w:w="1872" w:type="dxa"/>
            <w:vAlign w:val="center"/>
          </w:tcPr>
          <w:p w14:paraId="4F4383BF" w14:textId="77777777" w:rsidR="00672297" w:rsidRDefault="00A16EA3">
            <w:pPr>
              <w:spacing w:before="20" w:after="20"/>
              <w:jc w:val="left"/>
            </w:pPr>
            <w:r>
              <w:rPr>
                <w:rFonts w:cstheme="minorHAnsi"/>
                <w:sz w:val="18"/>
                <w:szCs w:val="18"/>
              </w:rPr>
              <w:t>Potential / requirement of arriving batches</w:t>
            </w:r>
          </w:p>
        </w:tc>
        <w:tc>
          <w:tcPr>
            <w:tcW w:w="1123" w:type="dxa"/>
            <w:vAlign w:val="center"/>
          </w:tcPr>
          <w:p w14:paraId="6C22286D" w14:textId="77777777" w:rsidR="00672297" w:rsidRDefault="00A16EA3">
            <w:pPr>
              <w:spacing w:before="20" w:after="20"/>
              <w:jc w:val="left"/>
            </w:pPr>
            <w:r>
              <w:rPr>
                <w:rFonts w:cstheme="minorHAnsi"/>
                <w:sz w:val="18"/>
                <w:szCs w:val="18"/>
              </w:rPr>
              <w:t>No</w:t>
            </w:r>
          </w:p>
        </w:tc>
        <w:tc>
          <w:tcPr>
            <w:tcW w:w="2809" w:type="dxa"/>
            <w:vAlign w:val="center"/>
          </w:tcPr>
          <w:p w14:paraId="7575C8F8" w14:textId="77777777" w:rsidR="00672297" w:rsidRDefault="00A16EA3">
            <w:pPr>
              <w:spacing w:before="20" w:after="20"/>
              <w:jc w:val="left"/>
            </w:pPr>
            <w:r>
              <w:rPr>
                <w:rFonts w:cstheme="minorHAnsi"/>
                <w:sz w:val="18"/>
                <w:szCs w:val="18"/>
              </w:rPr>
              <w:t>[DemandBbl]</w:t>
            </w:r>
          </w:p>
        </w:tc>
      </w:tr>
      <w:tr w:rsidR="00672297" w14:paraId="4649468D" w14:textId="77777777">
        <w:trPr>
          <w:cantSplit/>
        </w:trPr>
        <w:tc>
          <w:tcPr>
            <w:tcW w:w="1872" w:type="dxa"/>
            <w:vAlign w:val="center"/>
          </w:tcPr>
          <w:p w14:paraId="509EEE2C" w14:textId="77777777" w:rsidR="00672297" w:rsidRDefault="00A16EA3">
            <w:pPr>
              <w:spacing w:before="20" w:after="20"/>
              <w:jc w:val="left"/>
            </w:pPr>
            <w:r>
              <w:rPr>
                <w:rFonts w:cstheme="minorHAnsi"/>
                <w:sz w:val="18"/>
                <w:szCs w:val="18"/>
              </w:rPr>
              <w:t>Tank Inventory</w:t>
            </w:r>
          </w:p>
        </w:tc>
        <w:tc>
          <w:tcPr>
            <w:tcW w:w="1684" w:type="dxa"/>
            <w:vAlign w:val="center"/>
          </w:tcPr>
          <w:p w14:paraId="7C23E9FE" w14:textId="77777777" w:rsidR="00672297" w:rsidRDefault="00A16EA3">
            <w:pPr>
              <w:spacing w:before="20" w:after="20"/>
              <w:jc w:val="left"/>
            </w:pPr>
            <w:r>
              <w:rPr>
                <w:rFonts w:cstheme="minorHAnsi"/>
                <w:sz w:val="18"/>
                <w:szCs w:val="18"/>
              </w:rPr>
              <w:t>Kittyhawk Inventory / PIAF</w:t>
            </w:r>
          </w:p>
        </w:tc>
        <w:tc>
          <w:tcPr>
            <w:tcW w:w="1872" w:type="dxa"/>
            <w:vAlign w:val="center"/>
          </w:tcPr>
          <w:p w14:paraId="08D4B794" w14:textId="77777777" w:rsidR="00672297" w:rsidRDefault="00A16EA3">
            <w:pPr>
              <w:spacing w:before="20" w:after="20"/>
              <w:jc w:val="left"/>
            </w:pPr>
            <w:r>
              <w:rPr>
                <w:rFonts w:cstheme="minorHAnsi"/>
                <w:sz w:val="18"/>
                <w:szCs w:val="18"/>
              </w:rPr>
              <w:t>Net Quantity (gal / 42) / Net Standard Volume</w:t>
            </w:r>
          </w:p>
        </w:tc>
        <w:tc>
          <w:tcPr>
            <w:tcW w:w="1123" w:type="dxa"/>
            <w:vAlign w:val="center"/>
          </w:tcPr>
          <w:p w14:paraId="63935772" w14:textId="77777777" w:rsidR="00672297" w:rsidRDefault="00A16EA3">
            <w:pPr>
              <w:spacing w:before="20" w:after="20"/>
              <w:jc w:val="left"/>
            </w:pPr>
            <w:r>
              <w:rPr>
                <w:rFonts w:cstheme="minorHAnsi"/>
                <w:sz w:val="18"/>
                <w:szCs w:val="18"/>
              </w:rPr>
              <w:t>Yes-R#4 / VCB R2</w:t>
            </w:r>
          </w:p>
        </w:tc>
        <w:tc>
          <w:tcPr>
            <w:tcW w:w="2809" w:type="dxa"/>
            <w:vAlign w:val="center"/>
          </w:tcPr>
          <w:p w14:paraId="268E9079" w14:textId="77777777" w:rsidR="00672297" w:rsidRDefault="00A16EA3">
            <w:pPr>
              <w:spacing w:before="20" w:after="20"/>
              <w:jc w:val="left"/>
            </w:pPr>
            <w:r>
              <w:rPr>
                <w:rFonts w:cstheme="minorHAnsi"/>
                <w:sz w:val="18"/>
                <w:szCs w:val="18"/>
              </w:rPr>
              <w:t>[OpeningInventoryBbl]</w:t>
            </w:r>
          </w:p>
        </w:tc>
      </w:tr>
      <w:tr w:rsidR="00672297" w14:paraId="5FE0A45B" w14:textId="77777777">
        <w:trPr>
          <w:cantSplit/>
        </w:trPr>
        <w:tc>
          <w:tcPr>
            <w:tcW w:w="1872" w:type="dxa"/>
            <w:vAlign w:val="center"/>
          </w:tcPr>
          <w:p w14:paraId="04246BD7" w14:textId="77777777" w:rsidR="00672297" w:rsidRDefault="00A16EA3">
            <w:pPr>
              <w:spacing w:before="20" w:after="20"/>
              <w:jc w:val="left"/>
            </w:pPr>
            <w:r>
              <w:rPr>
                <w:rFonts w:cstheme="minorHAnsi"/>
                <w:sz w:val="18"/>
                <w:szCs w:val="18"/>
              </w:rPr>
              <w:t>In-Transit (planned supply)</w:t>
            </w:r>
          </w:p>
        </w:tc>
        <w:tc>
          <w:tcPr>
            <w:tcW w:w="1684" w:type="dxa"/>
            <w:vAlign w:val="center"/>
          </w:tcPr>
          <w:p w14:paraId="0449B7B4" w14:textId="77777777" w:rsidR="00672297" w:rsidRDefault="00A16EA3">
            <w:pPr>
              <w:spacing w:before="20" w:after="20"/>
              <w:jc w:val="left"/>
            </w:pPr>
            <w:r>
              <w:rPr>
                <w:rFonts w:cstheme="minorHAnsi"/>
                <w:sz w:val="18"/>
                <w:szCs w:val="18"/>
              </w:rPr>
              <w:t>BulkTransfer / Transfer</w:t>
            </w:r>
          </w:p>
        </w:tc>
        <w:tc>
          <w:tcPr>
            <w:tcW w:w="1872" w:type="dxa"/>
            <w:vAlign w:val="center"/>
          </w:tcPr>
          <w:p w14:paraId="1B192865" w14:textId="77777777" w:rsidR="00672297" w:rsidRDefault="00A16EA3">
            <w:pPr>
              <w:spacing w:before="20" w:after="20"/>
              <w:jc w:val="left"/>
            </w:pPr>
            <w:r>
              <w:rPr>
                <w:rFonts w:cstheme="minorHAnsi"/>
                <w:sz w:val="18"/>
                <w:szCs w:val="18"/>
              </w:rPr>
              <w:t>Net Quantity / Actual Quantity</w:t>
            </w:r>
          </w:p>
        </w:tc>
        <w:tc>
          <w:tcPr>
            <w:tcW w:w="1123" w:type="dxa"/>
            <w:vAlign w:val="center"/>
          </w:tcPr>
          <w:p w14:paraId="2F2F606B" w14:textId="77777777" w:rsidR="00672297" w:rsidRDefault="00A16EA3">
            <w:pPr>
              <w:spacing w:before="20" w:after="20"/>
              <w:jc w:val="left"/>
            </w:pPr>
            <w:r>
              <w:rPr>
                <w:rFonts w:cstheme="minorHAnsi"/>
                <w:sz w:val="18"/>
                <w:szCs w:val="18"/>
              </w:rPr>
              <w:t>Yes-R#2</w:t>
            </w:r>
          </w:p>
        </w:tc>
        <w:tc>
          <w:tcPr>
            <w:tcW w:w="2809" w:type="dxa"/>
            <w:vAlign w:val="center"/>
          </w:tcPr>
          <w:p w14:paraId="4792A56A" w14:textId="77777777" w:rsidR="00672297" w:rsidRDefault="00A16EA3">
            <w:pPr>
              <w:spacing w:before="20" w:after="20"/>
              <w:jc w:val="left"/>
            </w:pPr>
            <w:r>
              <w:rPr>
                <w:rFonts w:cstheme="minorHAnsi"/>
                <w:sz w:val="18"/>
                <w:szCs w:val="18"/>
              </w:rPr>
              <w:t>[ReceiptInTransitBbl]</w:t>
            </w:r>
          </w:p>
        </w:tc>
      </w:tr>
      <w:tr w:rsidR="00672297" w14:paraId="5F1F3367" w14:textId="77777777">
        <w:trPr>
          <w:cantSplit/>
        </w:trPr>
        <w:tc>
          <w:tcPr>
            <w:tcW w:w="1872" w:type="dxa"/>
            <w:vAlign w:val="center"/>
          </w:tcPr>
          <w:p w14:paraId="480E1086" w14:textId="77777777" w:rsidR="00672297" w:rsidRDefault="00A16EA3">
            <w:pPr>
              <w:spacing w:before="20" w:after="20"/>
              <w:jc w:val="left"/>
            </w:pPr>
            <w:r>
              <w:rPr>
                <w:rFonts w:cstheme="minorHAnsi"/>
                <w:sz w:val="18"/>
                <w:szCs w:val="18"/>
              </w:rPr>
              <w:t>Net Gap / Surplus</w:t>
            </w:r>
          </w:p>
        </w:tc>
        <w:tc>
          <w:tcPr>
            <w:tcW w:w="1684" w:type="dxa"/>
            <w:vAlign w:val="center"/>
          </w:tcPr>
          <w:p w14:paraId="5E9CB9DF" w14:textId="77777777" w:rsidR="00672297" w:rsidRDefault="00A16EA3">
            <w:pPr>
              <w:spacing w:before="20" w:after="20"/>
              <w:jc w:val="left"/>
            </w:pPr>
            <w:r>
              <w:rPr>
                <w:rFonts w:cstheme="minorHAnsi"/>
                <w:sz w:val="18"/>
                <w:szCs w:val="18"/>
              </w:rPr>
              <w:t>Calculated</w:t>
            </w:r>
          </w:p>
        </w:tc>
        <w:tc>
          <w:tcPr>
            <w:tcW w:w="1872" w:type="dxa"/>
            <w:vAlign w:val="center"/>
          </w:tcPr>
          <w:p w14:paraId="3D938E02" w14:textId="77777777" w:rsidR="00672297" w:rsidRDefault="00A16EA3">
            <w:pPr>
              <w:spacing w:before="20" w:after="20"/>
              <w:jc w:val="left"/>
            </w:pPr>
            <w:r>
              <w:rPr>
                <w:rFonts w:cstheme="minorHAnsi"/>
                <w:sz w:val="18"/>
                <w:szCs w:val="18"/>
              </w:rPr>
              <w:t>Inventory + In-Transit - Demand</w:t>
            </w:r>
          </w:p>
        </w:tc>
        <w:tc>
          <w:tcPr>
            <w:tcW w:w="1123" w:type="dxa"/>
            <w:vAlign w:val="center"/>
          </w:tcPr>
          <w:p w14:paraId="60BBAF14" w14:textId="77777777" w:rsidR="00672297" w:rsidRDefault="00A16EA3">
            <w:pPr>
              <w:spacing w:before="20" w:after="20"/>
              <w:jc w:val="left"/>
            </w:pPr>
            <w:r>
              <w:rPr>
                <w:rFonts w:cstheme="minorHAnsi"/>
                <w:sz w:val="18"/>
                <w:szCs w:val="18"/>
              </w:rPr>
              <w:t>No</w:t>
            </w:r>
          </w:p>
        </w:tc>
        <w:tc>
          <w:tcPr>
            <w:tcW w:w="2809" w:type="dxa"/>
            <w:vAlign w:val="center"/>
          </w:tcPr>
          <w:p w14:paraId="1B386FA1" w14:textId="77777777" w:rsidR="00672297" w:rsidRDefault="00A16EA3">
            <w:pPr>
              <w:spacing w:before="20" w:after="20"/>
              <w:jc w:val="left"/>
            </w:pPr>
            <w:r>
              <w:rPr>
                <w:rFonts w:cstheme="minorHAnsi"/>
                <w:sz w:val="18"/>
                <w:szCs w:val="18"/>
              </w:rPr>
              <w:t>[NetGapBbl] / measure</w:t>
            </w:r>
          </w:p>
        </w:tc>
      </w:tr>
      <w:tr w:rsidR="00672297" w14:paraId="03DAF3CB" w14:textId="77777777">
        <w:trPr>
          <w:cantSplit/>
        </w:trPr>
        <w:tc>
          <w:tcPr>
            <w:tcW w:w="1872" w:type="dxa"/>
            <w:vAlign w:val="center"/>
          </w:tcPr>
          <w:p w14:paraId="4B03CDEF" w14:textId="77777777" w:rsidR="00672297" w:rsidRDefault="00A16EA3">
            <w:pPr>
              <w:spacing w:before="20" w:after="20"/>
              <w:jc w:val="left"/>
            </w:pPr>
            <w:r>
              <w:rPr>
                <w:rFonts w:cstheme="minorHAnsi"/>
                <w:sz w:val="18"/>
                <w:szCs w:val="18"/>
              </w:rPr>
              <w:t>Recommended Action</w:t>
            </w:r>
          </w:p>
        </w:tc>
        <w:tc>
          <w:tcPr>
            <w:tcW w:w="1684" w:type="dxa"/>
            <w:vAlign w:val="center"/>
          </w:tcPr>
          <w:p w14:paraId="6C0029A8" w14:textId="77777777" w:rsidR="00672297" w:rsidRDefault="00A16EA3">
            <w:pPr>
              <w:spacing w:before="20" w:after="20"/>
              <w:jc w:val="left"/>
            </w:pPr>
            <w:r>
              <w:rPr>
                <w:rFonts w:cstheme="minorHAnsi"/>
                <w:sz w:val="18"/>
                <w:szCs w:val="18"/>
              </w:rPr>
              <w:t>Calculated</w:t>
            </w:r>
          </w:p>
        </w:tc>
        <w:tc>
          <w:tcPr>
            <w:tcW w:w="1872" w:type="dxa"/>
            <w:vAlign w:val="center"/>
          </w:tcPr>
          <w:p w14:paraId="5D4AF815" w14:textId="77777777" w:rsidR="00672297" w:rsidRDefault="00A16EA3">
            <w:pPr>
              <w:spacing w:before="20" w:after="20"/>
              <w:jc w:val="left"/>
            </w:pPr>
            <w:r>
              <w:rPr>
                <w:rFonts w:cstheme="minorHAnsi"/>
                <w:sz w:val="18"/>
                <w:szCs w:val="18"/>
              </w:rPr>
              <w:t>Threshold bands</w:t>
            </w:r>
          </w:p>
        </w:tc>
        <w:tc>
          <w:tcPr>
            <w:tcW w:w="1123" w:type="dxa"/>
            <w:vAlign w:val="center"/>
          </w:tcPr>
          <w:p w14:paraId="201C26C1" w14:textId="77777777" w:rsidR="00672297" w:rsidRDefault="00A16EA3">
            <w:pPr>
              <w:spacing w:before="20" w:after="20"/>
              <w:jc w:val="left"/>
            </w:pPr>
            <w:r>
              <w:rPr>
                <w:rFonts w:cstheme="minorHAnsi"/>
                <w:sz w:val="18"/>
                <w:szCs w:val="18"/>
              </w:rPr>
              <w:t>No</w:t>
            </w:r>
          </w:p>
        </w:tc>
        <w:tc>
          <w:tcPr>
            <w:tcW w:w="2809" w:type="dxa"/>
            <w:vAlign w:val="center"/>
          </w:tcPr>
          <w:p w14:paraId="73078DE1" w14:textId="77777777" w:rsidR="00672297" w:rsidRDefault="00A16EA3">
            <w:pPr>
              <w:spacing w:before="20" w:after="20"/>
              <w:jc w:val="left"/>
            </w:pPr>
            <w:r>
              <w:rPr>
                <w:rFonts w:cstheme="minorHAnsi"/>
                <w:sz w:val="18"/>
                <w:szCs w:val="18"/>
              </w:rPr>
              <w:t>Measure with [UrgentThresholdBbl], [PlanThresholdBbl]</w:t>
            </w:r>
          </w:p>
        </w:tc>
      </w:tr>
    </w:tbl>
    <w:p w14:paraId="01C75A63" w14:textId="6E8E0E3D" w:rsidR="00672297" w:rsidRDefault="00A16EA3">
      <w:pPr>
        <w:pStyle w:val="Caption"/>
      </w:pPr>
      <w:bookmarkStart w:id="647" w:name="_Toc900950114"/>
      <w:bookmarkStart w:id="648" w:name="_Toc241574724"/>
      <w:bookmarkStart w:id="649" w:name="_Toc242554108"/>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35</w:t>
      </w:r>
      <w:r>
        <w:fldChar w:fldCharType="end"/>
      </w:r>
      <w:r>
        <w:t>: Supply Dashboard Backend Field Mapping</w:t>
      </w:r>
      <w:bookmarkEnd w:id="647"/>
      <w:bookmarkEnd w:id="648"/>
      <w:bookmarkEnd w:id="649"/>
    </w:p>
    <w:p w14:paraId="57E33ED0" w14:textId="77777777" w:rsidR="00672297" w:rsidRDefault="00A16EA3">
      <w:pPr>
        <w:pStyle w:val="Heading4"/>
        <w:rPr>
          <w:rFonts w:asciiTheme="minorHAnsi" w:hAnsiTheme="minorHAnsi" w:cstheme="minorBidi"/>
          <w:sz w:val="20"/>
          <w:szCs w:val="20"/>
        </w:rPr>
      </w:pPr>
      <w:bookmarkStart w:id="650" w:name="_Toc900950115"/>
      <w:r>
        <w:rPr>
          <w:rFonts w:asciiTheme="minorHAnsi" w:hAnsiTheme="minorHAnsi" w:cstheme="minorBidi"/>
          <w:sz w:val="20"/>
          <w:szCs w:val="20"/>
        </w:rPr>
        <w:t>Calculation Logic: Gap &amp; Action</w:t>
      </w:r>
      <w:bookmarkEnd w:id="650"/>
    </w:p>
    <w:p w14:paraId="43ED89E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Potential Demand (Butane, Transmix) = sum of the component potential of the scheduled and in-transit batches arriving at the terminal in the date range; Ethanol demand = blend % x volume of those batches; Biodiesel use = B-blend % x distillate volume (gap RD-10).</w:t>
      </w:r>
    </w:p>
    <w:p w14:paraId="0AD059AF"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Tank Inventory = opening inventory on the first day of the range; In-Transit = sum of planned / in-transit receipts in the range.</w:t>
      </w:r>
    </w:p>
    <w:p w14:paraId="760D3E3A"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Net Gap (Butane, Ethanol, Biodiesel) = Tank Inventory + In-Transit - Demand; Net Gap (Transmix) = Tank Inventory - Demand (the wireframe has no transmix in-transit column).</w:t>
      </w:r>
    </w:p>
    <w:p w14:paraId="751924F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Recommended Action = threshold band (wireframe values, gap DP-12) containing the smallest net gap of the terminal: &lt;= -1,000 bbl "Urgent re-supply"; &lt; 0 "Plan delivery"; otherwise "OK" (wireframe). The wireframe labels "Plandelivery" and "Schedule delivery" are treated as "Plan delivery".</w:t>
      </w:r>
    </w:p>
    <w:p w14:paraId="60ACE9BB"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Daily roll-forward: Closing(d) = Opening(d) + Receipt(d) - Demand(d); Opening(d + 1) = Closing(d) (wireframe rows for Louisville Kramers Lane, 1 to 12 July).</w:t>
      </w:r>
    </w:p>
    <w:p w14:paraId="648F9375"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Terminals without blending capability for a component show "—" in that component’s columns.</w:t>
      </w:r>
    </w:p>
    <w:p w14:paraId="7318D840"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Card "Planned Supply + Inventory" = sum of In-Transit + sum of Tank Inventory = total, over the selected terminals. (The wireframe card formulas reference other columns; the design follows the card labels - gap RD-13.)</w:t>
      </w:r>
    </w:p>
    <w:p w14:paraId="1B2D0CE8" w14:textId="77777777" w:rsidR="00672297" w:rsidRDefault="00A16EA3">
      <w:pPr>
        <w:pStyle w:val="Heading4"/>
        <w:rPr>
          <w:rFonts w:asciiTheme="minorHAnsi" w:hAnsiTheme="minorHAnsi" w:cstheme="minorBidi"/>
          <w:sz w:val="20"/>
          <w:szCs w:val="20"/>
        </w:rPr>
      </w:pPr>
      <w:bookmarkStart w:id="651" w:name="_Toc900950116"/>
      <w:r>
        <w:rPr>
          <w:rFonts w:asciiTheme="minorHAnsi" w:hAnsiTheme="minorHAnsi" w:cstheme="minorBidi"/>
          <w:sz w:val="20"/>
          <w:szCs w:val="20"/>
        </w:rPr>
        <w:t>Measures &amp; DAX Calculations</w:t>
      </w:r>
      <w:bookmarkEnd w:id="651"/>
    </w:p>
    <w:tbl>
      <w:tblPr>
        <w:tblStyle w:val="TableGrid"/>
        <w:tblW w:w="9360" w:type="dxa"/>
        <w:tblLayout w:type="fixed"/>
        <w:tblCellMar>
          <w:left w:w="70" w:type="dxa"/>
          <w:right w:w="70" w:type="dxa"/>
        </w:tblCellMar>
        <w:tblLook w:val="04A0" w:firstRow="1" w:lastRow="0" w:firstColumn="1" w:lastColumn="0" w:noHBand="0" w:noVBand="1"/>
      </w:tblPr>
      <w:tblGrid>
        <w:gridCol w:w="2433"/>
        <w:gridCol w:w="6927"/>
      </w:tblGrid>
      <w:tr w:rsidR="00672297" w14:paraId="3CE0EBDD" w14:textId="77777777">
        <w:trPr>
          <w:cantSplit/>
          <w:tblHeader/>
        </w:trPr>
        <w:tc>
          <w:tcPr>
            <w:tcW w:w="2433" w:type="dxa"/>
            <w:shd w:val="clear" w:color="auto" w:fill="2F5496"/>
            <w:vAlign w:val="center"/>
          </w:tcPr>
          <w:p w14:paraId="2A54EB49" w14:textId="77777777" w:rsidR="00672297" w:rsidRDefault="00A16EA3">
            <w:pPr>
              <w:spacing w:before="20" w:after="20"/>
              <w:jc w:val="left"/>
            </w:pPr>
            <w:r>
              <w:rPr>
                <w:rFonts w:cstheme="minorHAnsi"/>
                <w:b/>
                <w:bCs/>
                <w:color w:val="FFFFFF"/>
                <w:sz w:val="20"/>
                <w:szCs w:val="20"/>
              </w:rPr>
              <w:t>Measure Name</w:t>
            </w:r>
          </w:p>
        </w:tc>
        <w:tc>
          <w:tcPr>
            <w:tcW w:w="6927" w:type="dxa"/>
            <w:shd w:val="clear" w:color="auto" w:fill="2F5496"/>
            <w:vAlign w:val="center"/>
          </w:tcPr>
          <w:p w14:paraId="16D3228B" w14:textId="77777777" w:rsidR="00672297" w:rsidRDefault="00A16EA3">
            <w:pPr>
              <w:spacing w:before="20" w:after="20"/>
              <w:jc w:val="left"/>
            </w:pPr>
            <w:r>
              <w:rPr>
                <w:rFonts w:cstheme="minorHAnsi"/>
                <w:b/>
                <w:bCs/>
                <w:color w:val="FFFFFF"/>
                <w:sz w:val="20"/>
                <w:szCs w:val="20"/>
              </w:rPr>
              <w:t>DAX Logic</w:t>
            </w:r>
          </w:p>
        </w:tc>
      </w:tr>
      <w:tr w:rsidR="00672297" w14:paraId="56B0883A" w14:textId="77777777">
        <w:trPr>
          <w:cantSplit/>
        </w:trPr>
        <w:tc>
          <w:tcPr>
            <w:tcW w:w="2433" w:type="dxa"/>
            <w:vAlign w:val="center"/>
          </w:tcPr>
          <w:p w14:paraId="1BC54E0F" w14:textId="77777777" w:rsidR="00672297" w:rsidRDefault="00A16EA3">
            <w:pPr>
              <w:spacing w:before="20" w:after="20"/>
              <w:jc w:val="left"/>
            </w:pPr>
            <w:r>
              <w:rPr>
                <w:rFonts w:cstheme="minorHAnsi"/>
                <w:sz w:val="20"/>
                <w:szCs w:val="20"/>
              </w:rPr>
              <w:t>Demand (bbl)</w:t>
            </w:r>
          </w:p>
        </w:tc>
        <w:tc>
          <w:tcPr>
            <w:tcW w:w="6927" w:type="dxa"/>
            <w:vAlign w:val="center"/>
          </w:tcPr>
          <w:p w14:paraId="7B5067F1" w14:textId="77777777" w:rsidR="00672297" w:rsidRDefault="00A16EA3">
            <w:pPr>
              <w:spacing w:before="20" w:after="20"/>
              <w:jc w:val="left"/>
            </w:pPr>
            <w:r>
              <w:rPr>
                <w:rFonts w:cstheme="minorHAnsi"/>
                <w:sz w:val="20"/>
                <w:szCs w:val="20"/>
              </w:rPr>
              <w:t>SUM ( vwBlendComponentSupplyDemand[DemandBbl] )</w:t>
            </w:r>
          </w:p>
        </w:tc>
      </w:tr>
      <w:tr w:rsidR="00672297" w14:paraId="1E737DF4" w14:textId="77777777">
        <w:trPr>
          <w:cantSplit/>
        </w:trPr>
        <w:tc>
          <w:tcPr>
            <w:tcW w:w="2433" w:type="dxa"/>
            <w:vAlign w:val="center"/>
          </w:tcPr>
          <w:p w14:paraId="4D6706B1" w14:textId="77777777" w:rsidR="00672297" w:rsidRDefault="00A16EA3">
            <w:pPr>
              <w:spacing w:before="20" w:after="20"/>
              <w:jc w:val="left"/>
            </w:pPr>
            <w:r>
              <w:rPr>
                <w:rFonts w:cstheme="minorHAnsi"/>
                <w:sz w:val="20"/>
                <w:szCs w:val="20"/>
              </w:rPr>
              <w:t>Tank Inventory (bbl)</w:t>
            </w:r>
          </w:p>
        </w:tc>
        <w:tc>
          <w:tcPr>
            <w:tcW w:w="6927" w:type="dxa"/>
            <w:vAlign w:val="center"/>
          </w:tcPr>
          <w:p w14:paraId="0478842E" w14:textId="77777777" w:rsidR="00672297" w:rsidRDefault="00A16EA3">
            <w:pPr>
              <w:spacing w:before="20" w:after="20"/>
              <w:jc w:val="left"/>
            </w:pPr>
            <w:r>
              <w:rPr>
                <w:rFonts w:cstheme="minorHAnsi"/>
                <w:sz w:val="20"/>
                <w:szCs w:val="20"/>
              </w:rPr>
              <w:t>CALCULATE ( SUM ( vwBlendComponentSupplyDemand[OpeningInventoryBbl] ), FIRSTDATE ( day_detail[W_Date] ) )</w:t>
            </w:r>
          </w:p>
        </w:tc>
      </w:tr>
      <w:tr w:rsidR="00672297" w14:paraId="0CE0F204" w14:textId="77777777">
        <w:trPr>
          <w:cantSplit/>
        </w:trPr>
        <w:tc>
          <w:tcPr>
            <w:tcW w:w="2433" w:type="dxa"/>
            <w:vAlign w:val="center"/>
          </w:tcPr>
          <w:p w14:paraId="4FB3B7AE" w14:textId="77777777" w:rsidR="00672297" w:rsidRDefault="00A16EA3">
            <w:pPr>
              <w:spacing w:before="20" w:after="20"/>
              <w:jc w:val="left"/>
            </w:pPr>
            <w:r>
              <w:rPr>
                <w:rFonts w:cstheme="minorHAnsi"/>
                <w:sz w:val="20"/>
                <w:szCs w:val="20"/>
              </w:rPr>
              <w:t>In-Transit (bbl)</w:t>
            </w:r>
          </w:p>
        </w:tc>
        <w:tc>
          <w:tcPr>
            <w:tcW w:w="6927" w:type="dxa"/>
            <w:vAlign w:val="center"/>
          </w:tcPr>
          <w:p w14:paraId="3C9A7756" w14:textId="77777777" w:rsidR="00672297" w:rsidRDefault="00A16EA3">
            <w:pPr>
              <w:spacing w:before="20" w:after="20"/>
              <w:jc w:val="left"/>
            </w:pPr>
            <w:r>
              <w:rPr>
                <w:rFonts w:cstheme="minorHAnsi"/>
                <w:sz w:val="20"/>
                <w:szCs w:val="20"/>
              </w:rPr>
              <w:t>SUM ( vwBlendComponentSupplyDemand[ReceiptInTransitBbl] )</w:t>
            </w:r>
          </w:p>
        </w:tc>
      </w:tr>
      <w:tr w:rsidR="00672297" w14:paraId="428C1B96" w14:textId="77777777">
        <w:trPr>
          <w:cantSplit/>
        </w:trPr>
        <w:tc>
          <w:tcPr>
            <w:tcW w:w="2433" w:type="dxa"/>
            <w:vAlign w:val="center"/>
          </w:tcPr>
          <w:p w14:paraId="2CB139C7" w14:textId="77777777" w:rsidR="00672297" w:rsidRDefault="00A16EA3">
            <w:pPr>
              <w:spacing w:before="20" w:after="20"/>
              <w:jc w:val="left"/>
            </w:pPr>
            <w:r>
              <w:rPr>
                <w:rFonts w:cstheme="minorHAnsi"/>
                <w:sz w:val="20"/>
                <w:szCs w:val="20"/>
              </w:rPr>
              <w:t>Net Gap (bbl)</w:t>
            </w:r>
          </w:p>
        </w:tc>
        <w:tc>
          <w:tcPr>
            <w:tcW w:w="6927" w:type="dxa"/>
            <w:vAlign w:val="center"/>
          </w:tcPr>
          <w:p w14:paraId="26025538" w14:textId="77777777" w:rsidR="00672297" w:rsidRDefault="00A16EA3">
            <w:pPr>
              <w:spacing w:before="20" w:after="20"/>
              <w:jc w:val="left"/>
            </w:pPr>
            <w:r>
              <w:rPr>
                <w:rFonts w:cstheme="minorHAnsi"/>
                <w:sz w:val="20"/>
                <w:szCs w:val="20"/>
              </w:rPr>
              <w:t>IF ( SELECTEDVALUE ( vwBlendComponentSupplyDemand[Component] ) = "Transmix", [Tank Inventory (bbl)] - [Demand (bbl)], [Tank Inventory (bbl)] + [In-Transit (bbl)] - [Demand (bbl)] )</w:t>
            </w:r>
          </w:p>
        </w:tc>
      </w:tr>
      <w:tr w:rsidR="00672297" w14:paraId="64B485C9" w14:textId="77777777">
        <w:trPr>
          <w:cantSplit/>
        </w:trPr>
        <w:tc>
          <w:tcPr>
            <w:tcW w:w="2433" w:type="dxa"/>
            <w:vAlign w:val="center"/>
          </w:tcPr>
          <w:p w14:paraId="140B25F5" w14:textId="77777777" w:rsidR="00672297" w:rsidRDefault="00A16EA3">
            <w:pPr>
              <w:spacing w:before="20" w:after="20"/>
              <w:jc w:val="left"/>
            </w:pPr>
            <w:r>
              <w:rPr>
                <w:rFonts w:cstheme="minorHAnsi"/>
                <w:sz w:val="20"/>
                <w:szCs w:val="20"/>
              </w:rPr>
              <w:t>Min Net Gap (bbl)</w:t>
            </w:r>
          </w:p>
        </w:tc>
        <w:tc>
          <w:tcPr>
            <w:tcW w:w="6927" w:type="dxa"/>
            <w:vAlign w:val="center"/>
          </w:tcPr>
          <w:p w14:paraId="0ABBE107" w14:textId="77777777" w:rsidR="00672297" w:rsidRDefault="00A16EA3">
            <w:pPr>
              <w:spacing w:before="20" w:after="20"/>
              <w:jc w:val="left"/>
            </w:pPr>
            <w:r>
              <w:rPr>
                <w:rFonts w:cstheme="minorHAnsi"/>
                <w:sz w:val="20"/>
                <w:szCs w:val="20"/>
              </w:rPr>
              <w:t>MINX ( FILTER ( VALUES ( vwBlendComponentSupplyDemand[Component] ), CALCULATE ( MAX ( vwBlendComponentSupplyDemand[BlendingCapableFlag] ) ) = 1 ), [Net Gap (bbl)] )</w:t>
            </w:r>
          </w:p>
        </w:tc>
      </w:tr>
      <w:tr w:rsidR="00672297" w14:paraId="185F3C93" w14:textId="77777777">
        <w:trPr>
          <w:cantSplit/>
        </w:trPr>
        <w:tc>
          <w:tcPr>
            <w:tcW w:w="2433" w:type="dxa"/>
            <w:vAlign w:val="center"/>
          </w:tcPr>
          <w:p w14:paraId="7C7D4B5B" w14:textId="77777777" w:rsidR="00672297" w:rsidRDefault="00A16EA3">
            <w:pPr>
              <w:spacing w:before="20" w:after="20"/>
              <w:jc w:val="left"/>
            </w:pPr>
            <w:r>
              <w:rPr>
                <w:rFonts w:cstheme="minorHAnsi"/>
                <w:sz w:val="20"/>
                <w:szCs w:val="20"/>
              </w:rPr>
              <w:t>Recommended Action</w:t>
            </w:r>
          </w:p>
        </w:tc>
        <w:tc>
          <w:tcPr>
            <w:tcW w:w="6927" w:type="dxa"/>
            <w:vAlign w:val="center"/>
          </w:tcPr>
          <w:p w14:paraId="6DC0CC01" w14:textId="77777777" w:rsidR="00672297" w:rsidRDefault="00A16EA3">
            <w:pPr>
              <w:spacing w:before="20" w:after="20"/>
              <w:jc w:val="left"/>
            </w:pPr>
            <w:r>
              <w:rPr>
                <w:rFonts w:cstheme="minorHAnsi"/>
                <w:sz w:val="20"/>
                <w:szCs w:val="20"/>
              </w:rPr>
              <w:t>VAR g = [Min Net Gap (bbl)] RETURN SWITCH ( TRUE(), g &lt;= MIN ( vwBlendComponentSupplyDemand[UrgentThresholdBbl] ), "Urgent re-supply", g &lt; MIN ( vwBlendComponentSupplyDemand[PlanThresholdBbl] ), "Plan delivery", "OK" )</w:t>
            </w:r>
          </w:p>
        </w:tc>
      </w:tr>
      <w:tr w:rsidR="00672297" w14:paraId="4BFB2A1A" w14:textId="77777777">
        <w:trPr>
          <w:cantSplit/>
        </w:trPr>
        <w:tc>
          <w:tcPr>
            <w:tcW w:w="2433" w:type="dxa"/>
            <w:vAlign w:val="center"/>
          </w:tcPr>
          <w:p w14:paraId="18A390C5" w14:textId="77777777" w:rsidR="00672297" w:rsidRDefault="00A16EA3">
            <w:pPr>
              <w:spacing w:before="20" w:after="20"/>
              <w:jc w:val="left"/>
            </w:pPr>
            <w:r>
              <w:rPr>
                <w:rFonts w:cstheme="minorHAnsi"/>
                <w:sz w:val="20"/>
                <w:szCs w:val="20"/>
              </w:rPr>
              <w:t>Planned Supply + Inventory (text)</w:t>
            </w:r>
          </w:p>
        </w:tc>
        <w:tc>
          <w:tcPr>
            <w:tcW w:w="6927" w:type="dxa"/>
            <w:vAlign w:val="center"/>
          </w:tcPr>
          <w:p w14:paraId="55F5A657" w14:textId="77777777" w:rsidR="00672297" w:rsidRDefault="00A16EA3">
            <w:pPr>
              <w:spacing w:before="20" w:after="20"/>
              <w:jc w:val="left"/>
            </w:pPr>
            <w:r>
              <w:rPr>
                <w:rFonts w:cstheme="minorHAnsi"/>
                <w:sz w:val="20"/>
                <w:szCs w:val="20"/>
              </w:rPr>
              <w:t>FORMAT ( [In-Transit (bbl)], "#,##0" ) &amp; " + " &amp; FORMAT ( [Tank Inventory (bbl)], "#,##0" ) &amp; " = " &amp; FORMAT ( [In-Transit (bbl)] + [Tank Inventory (bbl)], "#,##0" ) &amp; " Bbl"</w:t>
            </w:r>
          </w:p>
        </w:tc>
      </w:tr>
    </w:tbl>
    <w:p w14:paraId="7D8B00C2" w14:textId="3A33E70B" w:rsidR="00672297" w:rsidRDefault="00A16EA3">
      <w:pPr>
        <w:pStyle w:val="Caption"/>
      </w:pPr>
      <w:bookmarkStart w:id="652" w:name="_Toc900950117"/>
      <w:bookmarkStart w:id="653" w:name="_Toc241574725"/>
      <w:bookmarkStart w:id="654" w:name="_Toc242554109"/>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36</w:t>
      </w:r>
      <w:r>
        <w:fldChar w:fldCharType="end"/>
      </w:r>
      <w:r>
        <w:t>: Supply Dashboard DAX Measures</w:t>
      </w:r>
      <w:bookmarkEnd w:id="652"/>
      <w:bookmarkEnd w:id="653"/>
      <w:bookmarkEnd w:id="654"/>
    </w:p>
    <w:p w14:paraId="58A90018" w14:textId="77777777" w:rsidR="00672297" w:rsidRDefault="00A16EA3">
      <w:pPr>
        <w:pStyle w:val="Heading4"/>
        <w:rPr>
          <w:rFonts w:asciiTheme="minorHAnsi" w:hAnsiTheme="minorHAnsi" w:cstheme="minorBidi"/>
          <w:sz w:val="20"/>
          <w:szCs w:val="20"/>
        </w:rPr>
      </w:pPr>
      <w:bookmarkStart w:id="655" w:name="_Toc900950118"/>
      <w:r>
        <w:rPr>
          <w:rFonts w:asciiTheme="minorHAnsi" w:hAnsiTheme="minorHAnsi" w:cstheme="minorBidi"/>
          <w:sz w:val="20"/>
          <w:szCs w:val="20"/>
        </w:rPr>
        <w:t>Connection Details</w:t>
      </w:r>
      <w:bookmarkEnd w:id="655"/>
    </w:p>
    <w:p w14:paraId="66758F07" w14:textId="77777777" w:rsidR="00672297" w:rsidRDefault="00A16EA3">
      <w:pPr>
        <w:rPr>
          <w:rFonts w:cstheme="minorHAnsi"/>
          <w:sz w:val="20"/>
          <w:szCs w:val="20"/>
        </w:rPr>
      </w:pPr>
      <w:r>
        <w:rPr>
          <w:rFonts w:cstheme="minorHAnsi"/>
          <w:sz w:val="20"/>
          <w:szCs w:val="20"/>
        </w:rPr>
        <w:t>Server: com-dev-me2-com-shared-sql.database.windows.net; Database: iqdmdev (DEV) - parameters pServer / pDatabase (Connection Details, above).</w:t>
      </w:r>
    </w:p>
    <w:p w14:paraId="46FCF87A" w14:textId="77777777" w:rsidR="00672297" w:rsidRDefault="00A16EA3">
      <w:pPr>
        <w:pStyle w:val="Heading4"/>
        <w:rPr>
          <w:rFonts w:asciiTheme="minorHAnsi" w:hAnsiTheme="minorHAnsi" w:cstheme="minorBidi"/>
          <w:sz w:val="20"/>
          <w:szCs w:val="20"/>
        </w:rPr>
      </w:pPr>
      <w:bookmarkStart w:id="656" w:name="_Toc900950119"/>
      <w:r>
        <w:rPr>
          <w:rFonts w:asciiTheme="minorHAnsi" w:hAnsiTheme="minorHAnsi" w:cstheme="minorBidi"/>
          <w:sz w:val="20"/>
          <w:szCs w:val="20"/>
        </w:rPr>
        <w:t>Key Power Query Transformations</w:t>
      </w:r>
      <w:bookmarkEnd w:id="656"/>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5F6E0EA9" w14:textId="77777777">
        <w:trPr>
          <w:cantSplit/>
          <w:tblHeader/>
        </w:trPr>
        <w:tc>
          <w:tcPr>
            <w:tcW w:w="2808" w:type="dxa"/>
            <w:shd w:val="clear" w:color="auto" w:fill="2F5496"/>
            <w:vAlign w:val="center"/>
          </w:tcPr>
          <w:p w14:paraId="71D5409A" w14:textId="77777777" w:rsidR="00672297" w:rsidRDefault="00A16EA3">
            <w:pPr>
              <w:spacing w:before="20" w:after="20"/>
              <w:jc w:val="left"/>
            </w:pPr>
            <w:r>
              <w:rPr>
                <w:rFonts w:cstheme="minorHAnsi"/>
                <w:b/>
                <w:bCs/>
                <w:color w:val="FFFFFF"/>
                <w:sz w:val="20"/>
                <w:szCs w:val="20"/>
              </w:rPr>
              <w:t>Table Name</w:t>
            </w:r>
          </w:p>
        </w:tc>
        <w:tc>
          <w:tcPr>
            <w:tcW w:w="6552" w:type="dxa"/>
            <w:shd w:val="clear" w:color="auto" w:fill="2F5496"/>
            <w:vAlign w:val="center"/>
          </w:tcPr>
          <w:p w14:paraId="1D1C3D72" w14:textId="77777777" w:rsidR="00672297" w:rsidRDefault="00A16EA3">
            <w:pPr>
              <w:spacing w:before="20" w:after="20"/>
              <w:jc w:val="left"/>
            </w:pPr>
            <w:r>
              <w:rPr>
                <w:rFonts w:cstheme="minorHAnsi"/>
                <w:b/>
                <w:bCs/>
                <w:color w:val="FFFFFF"/>
                <w:sz w:val="20"/>
                <w:szCs w:val="20"/>
              </w:rPr>
              <w:t>Transformations Applied</w:t>
            </w:r>
          </w:p>
        </w:tc>
      </w:tr>
      <w:tr w:rsidR="00672297" w14:paraId="19B162EB" w14:textId="77777777">
        <w:trPr>
          <w:cantSplit/>
        </w:trPr>
        <w:tc>
          <w:tcPr>
            <w:tcW w:w="2808" w:type="dxa"/>
            <w:vAlign w:val="center"/>
          </w:tcPr>
          <w:p w14:paraId="1C3557D7" w14:textId="77777777" w:rsidR="00672297" w:rsidRDefault="00A16EA3">
            <w:pPr>
              <w:spacing w:before="20" w:after="20"/>
              <w:jc w:val="left"/>
            </w:pPr>
            <w:r>
              <w:rPr>
                <w:rFonts w:cstheme="minorHAnsi"/>
                <w:sz w:val="20"/>
                <w:szCs w:val="20"/>
              </w:rPr>
              <w:t>vwBlendComponentSupplyDemand</w:t>
            </w:r>
          </w:p>
        </w:tc>
        <w:tc>
          <w:tcPr>
            <w:tcW w:w="6552" w:type="dxa"/>
            <w:vAlign w:val="center"/>
          </w:tcPr>
          <w:p w14:paraId="4577A2E7" w14:textId="77777777" w:rsidR="00672297" w:rsidRDefault="00A16EA3">
            <w:pPr>
              <w:spacing w:before="20" w:after="20"/>
              <w:jc w:val="left"/>
            </w:pPr>
            <w:r>
              <w:rPr>
                <w:rFonts w:cstheme="minorHAnsi"/>
                <w:sz w:val="20"/>
                <w:szCs w:val="20"/>
              </w:rPr>
              <w:t>Columns renamed to the wireframe display names (Demand, Tank Inventory, In-Transit, Net Gap / Surplus); Component sort order Butane, Ethanol, Transmix, Biodiesel</w:t>
            </w:r>
          </w:p>
        </w:tc>
      </w:tr>
    </w:tbl>
    <w:p w14:paraId="452C9388" w14:textId="6F00CA0B" w:rsidR="00672297" w:rsidRDefault="00A16EA3">
      <w:pPr>
        <w:pStyle w:val="Caption"/>
      </w:pPr>
      <w:bookmarkStart w:id="657" w:name="_Toc900950120"/>
      <w:bookmarkStart w:id="658" w:name="_Toc241574726"/>
      <w:bookmarkStart w:id="659" w:name="_Toc242554110"/>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37</w:t>
      </w:r>
      <w:r>
        <w:fldChar w:fldCharType="end"/>
      </w:r>
      <w:r>
        <w:t>: Supply Dashboard Power Query Transformations</w:t>
      </w:r>
      <w:bookmarkEnd w:id="657"/>
      <w:bookmarkEnd w:id="658"/>
      <w:bookmarkEnd w:id="659"/>
    </w:p>
    <w:p w14:paraId="5A24B128" w14:textId="77777777" w:rsidR="00672297" w:rsidRDefault="00A16EA3">
      <w:pPr>
        <w:pStyle w:val="Heading4"/>
        <w:rPr>
          <w:rFonts w:asciiTheme="minorHAnsi" w:hAnsiTheme="minorHAnsi" w:cstheme="minorBidi"/>
          <w:sz w:val="20"/>
          <w:szCs w:val="20"/>
        </w:rPr>
      </w:pPr>
      <w:bookmarkStart w:id="660" w:name="_Toc900950121"/>
      <w:r>
        <w:rPr>
          <w:rFonts w:asciiTheme="minorHAnsi" w:hAnsiTheme="minorHAnsi" w:cstheme="minorBidi"/>
          <w:sz w:val="20"/>
          <w:szCs w:val="20"/>
        </w:rPr>
        <w:t>Data Model Design</w:t>
      </w:r>
      <w:bookmarkEnd w:id="660"/>
    </w:p>
    <w:p w14:paraId="4CAD22D2" w14:textId="77777777" w:rsidR="00672297" w:rsidRDefault="00A16EA3">
      <w:pPr>
        <w:rPr>
          <w:rFonts w:cstheme="minorHAnsi"/>
          <w:sz w:val="20"/>
          <w:szCs w:val="20"/>
        </w:rPr>
      </w:pPr>
      <w:r>
        <w:rPr>
          <w:rFonts w:cstheme="minorHAnsi"/>
          <w:sz w:val="20"/>
          <w:szCs w:val="20"/>
        </w:rPr>
        <w:t>Model type: star schema (Figure 4-2). The report uses vwBlendComponentSupplyDemand, day_detail and Last_Refresh.</w:t>
      </w:r>
    </w:p>
    <w:p w14:paraId="291DC395" w14:textId="77777777" w:rsidR="00672297" w:rsidRDefault="00A16EA3">
      <w:pPr>
        <w:pStyle w:val="Heading4"/>
        <w:rPr>
          <w:rFonts w:asciiTheme="minorHAnsi" w:hAnsiTheme="minorHAnsi" w:cstheme="minorBidi"/>
          <w:sz w:val="20"/>
          <w:szCs w:val="20"/>
        </w:rPr>
      </w:pPr>
      <w:bookmarkStart w:id="661" w:name="_Toc900950122"/>
      <w:r>
        <w:rPr>
          <w:rFonts w:asciiTheme="minorHAnsi" w:hAnsiTheme="minorHAnsi" w:cstheme="minorBidi"/>
          <w:sz w:val="20"/>
          <w:szCs w:val="20"/>
        </w:rPr>
        <w:t>Tables / Views Loaded and Data Sources</w:t>
      </w:r>
      <w:bookmarkEnd w:id="661"/>
    </w:p>
    <w:tbl>
      <w:tblPr>
        <w:tblStyle w:val="TableGrid"/>
        <w:tblW w:w="9360" w:type="dxa"/>
        <w:tblLayout w:type="fixed"/>
        <w:tblCellMar>
          <w:left w:w="70" w:type="dxa"/>
          <w:right w:w="70" w:type="dxa"/>
        </w:tblCellMar>
        <w:tblLook w:val="04A0" w:firstRow="1" w:lastRow="0" w:firstColumn="1" w:lastColumn="0" w:noHBand="0" w:noVBand="1"/>
      </w:tblPr>
      <w:tblGrid>
        <w:gridCol w:w="2808"/>
        <w:gridCol w:w="1123"/>
        <w:gridCol w:w="2433"/>
        <w:gridCol w:w="2996"/>
      </w:tblGrid>
      <w:tr w:rsidR="00672297" w14:paraId="79420CEC" w14:textId="77777777">
        <w:trPr>
          <w:cantSplit/>
          <w:tblHeader/>
        </w:trPr>
        <w:tc>
          <w:tcPr>
            <w:tcW w:w="2808" w:type="dxa"/>
            <w:shd w:val="clear" w:color="auto" w:fill="2F5496"/>
            <w:vAlign w:val="center"/>
          </w:tcPr>
          <w:p w14:paraId="75E4F72E" w14:textId="77777777" w:rsidR="00672297" w:rsidRDefault="00A16EA3">
            <w:pPr>
              <w:spacing w:before="20" w:after="20"/>
              <w:jc w:val="left"/>
            </w:pPr>
            <w:r>
              <w:rPr>
                <w:rFonts w:cstheme="minorHAnsi"/>
                <w:b/>
                <w:bCs/>
                <w:color w:val="FFFFFF"/>
                <w:sz w:val="20"/>
                <w:szCs w:val="20"/>
              </w:rPr>
              <w:t>Table / View Name</w:t>
            </w:r>
          </w:p>
        </w:tc>
        <w:tc>
          <w:tcPr>
            <w:tcW w:w="1123" w:type="dxa"/>
            <w:shd w:val="clear" w:color="auto" w:fill="2F5496"/>
            <w:vAlign w:val="center"/>
          </w:tcPr>
          <w:p w14:paraId="6BEB878F" w14:textId="77777777" w:rsidR="00672297" w:rsidRDefault="00A16EA3">
            <w:pPr>
              <w:spacing w:before="20" w:after="20"/>
              <w:jc w:val="left"/>
            </w:pPr>
            <w:r>
              <w:rPr>
                <w:rFonts w:cstheme="minorHAnsi"/>
                <w:b/>
                <w:bCs/>
                <w:color w:val="FFFFFF"/>
                <w:sz w:val="20"/>
                <w:szCs w:val="20"/>
              </w:rPr>
              <w:t>Type</w:t>
            </w:r>
          </w:p>
        </w:tc>
        <w:tc>
          <w:tcPr>
            <w:tcW w:w="2433" w:type="dxa"/>
            <w:shd w:val="clear" w:color="auto" w:fill="2F5496"/>
            <w:vAlign w:val="center"/>
          </w:tcPr>
          <w:p w14:paraId="45BC6FDC" w14:textId="77777777" w:rsidR="00672297" w:rsidRDefault="00A16EA3">
            <w:pPr>
              <w:spacing w:before="20" w:after="20"/>
              <w:jc w:val="left"/>
            </w:pPr>
            <w:r>
              <w:rPr>
                <w:rFonts w:cstheme="minorHAnsi"/>
                <w:b/>
                <w:bCs/>
                <w:color w:val="FFFFFF"/>
                <w:sz w:val="20"/>
                <w:szCs w:val="20"/>
              </w:rPr>
              <w:t>Source</w:t>
            </w:r>
          </w:p>
        </w:tc>
        <w:tc>
          <w:tcPr>
            <w:tcW w:w="2996" w:type="dxa"/>
            <w:shd w:val="clear" w:color="auto" w:fill="2F5496"/>
            <w:vAlign w:val="center"/>
          </w:tcPr>
          <w:p w14:paraId="691C2EF3" w14:textId="77777777" w:rsidR="00672297" w:rsidRDefault="00A16EA3">
            <w:pPr>
              <w:spacing w:before="20" w:after="20"/>
              <w:jc w:val="left"/>
            </w:pPr>
            <w:r>
              <w:rPr>
                <w:rFonts w:cstheme="minorHAnsi"/>
                <w:b/>
                <w:bCs/>
                <w:color w:val="FFFFFF"/>
                <w:sz w:val="20"/>
                <w:szCs w:val="20"/>
              </w:rPr>
              <w:t>Description</w:t>
            </w:r>
          </w:p>
        </w:tc>
      </w:tr>
      <w:tr w:rsidR="00672297" w14:paraId="1F58DE64" w14:textId="77777777">
        <w:trPr>
          <w:cantSplit/>
        </w:trPr>
        <w:tc>
          <w:tcPr>
            <w:tcW w:w="2808" w:type="dxa"/>
            <w:vAlign w:val="center"/>
          </w:tcPr>
          <w:p w14:paraId="75F6A21B" w14:textId="77777777" w:rsidR="00672297" w:rsidRDefault="00A16EA3">
            <w:pPr>
              <w:spacing w:before="20" w:after="20"/>
              <w:jc w:val="left"/>
            </w:pPr>
            <w:r>
              <w:rPr>
                <w:rFonts w:cstheme="minorHAnsi"/>
                <w:sz w:val="20"/>
                <w:szCs w:val="20"/>
              </w:rPr>
              <w:t>vwBlendComponentSupplyDemand</w:t>
            </w:r>
          </w:p>
        </w:tc>
        <w:tc>
          <w:tcPr>
            <w:tcW w:w="1123" w:type="dxa"/>
            <w:vAlign w:val="center"/>
          </w:tcPr>
          <w:p w14:paraId="11B5E710" w14:textId="77777777" w:rsidR="00672297" w:rsidRDefault="00A16EA3">
            <w:pPr>
              <w:spacing w:before="20" w:after="20"/>
              <w:jc w:val="left"/>
            </w:pPr>
            <w:r>
              <w:rPr>
                <w:rFonts w:cstheme="minorHAnsi"/>
                <w:sz w:val="20"/>
                <w:szCs w:val="20"/>
              </w:rPr>
              <w:t>Transaction</w:t>
            </w:r>
          </w:p>
        </w:tc>
        <w:tc>
          <w:tcPr>
            <w:tcW w:w="2433" w:type="dxa"/>
            <w:vAlign w:val="center"/>
          </w:tcPr>
          <w:p w14:paraId="0A6E1108" w14:textId="77777777" w:rsidR="00672297" w:rsidRDefault="00A16EA3">
            <w:pPr>
              <w:spacing w:before="20" w:after="20"/>
              <w:jc w:val="left"/>
            </w:pPr>
            <w:r>
              <w:rPr>
                <w:rFonts w:cstheme="minorHAnsi"/>
                <w:sz w:val="20"/>
                <w:szCs w:val="20"/>
              </w:rPr>
              <w:t>IQDM database - VCB view (chapter 3)</w:t>
            </w:r>
          </w:p>
        </w:tc>
        <w:tc>
          <w:tcPr>
            <w:tcW w:w="2996" w:type="dxa"/>
            <w:vAlign w:val="center"/>
          </w:tcPr>
          <w:p w14:paraId="3B900692" w14:textId="77777777" w:rsidR="00672297" w:rsidRDefault="00A16EA3">
            <w:pPr>
              <w:spacing w:before="20" w:after="20"/>
              <w:jc w:val="left"/>
            </w:pPr>
            <w:r>
              <w:rPr>
                <w:rFonts w:cstheme="minorHAnsi"/>
                <w:sz w:val="20"/>
                <w:szCs w:val="20"/>
              </w:rPr>
              <w:t>Daily position per terminal and component; builds the cards, the demand chart, the supply table and the daily drill-through</w:t>
            </w:r>
          </w:p>
        </w:tc>
      </w:tr>
      <w:tr w:rsidR="00672297" w14:paraId="7FB23266" w14:textId="77777777">
        <w:trPr>
          <w:cantSplit/>
        </w:trPr>
        <w:tc>
          <w:tcPr>
            <w:tcW w:w="2808" w:type="dxa"/>
            <w:vAlign w:val="center"/>
          </w:tcPr>
          <w:p w14:paraId="2F586384" w14:textId="77777777" w:rsidR="00672297" w:rsidRDefault="00A16EA3">
            <w:pPr>
              <w:spacing w:before="20" w:after="20"/>
              <w:jc w:val="left"/>
            </w:pPr>
            <w:r>
              <w:rPr>
                <w:rFonts w:cstheme="minorHAnsi"/>
                <w:sz w:val="20"/>
                <w:szCs w:val="20"/>
              </w:rPr>
              <w:t>day_detail</w:t>
            </w:r>
          </w:p>
        </w:tc>
        <w:tc>
          <w:tcPr>
            <w:tcW w:w="1123" w:type="dxa"/>
            <w:vAlign w:val="center"/>
          </w:tcPr>
          <w:p w14:paraId="6CEE99D7" w14:textId="77777777" w:rsidR="00672297" w:rsidRDefault="00A16EA3">
            <w:pPr>
              <w:spacing w:before="20" w:after="20"/>
              <w:jc w:val="left"/>
            </w:pPr>
            <w:r>
              <w:rPr>
                <w:rFonts w:cstheme="minorHAnsi"/>
                <w:sz w:val="20"/>
                <w:szCs w:val="20"/>
              </w:rPr>
              <w:t>Reference</w:t>
            </w:r>
          </w:p>
        </w:tc>
        <w:tc>
          <w:tcPr>
            <w:tcW w:w="2433" w:type="dxa"/>
            <w:vAlign w:val="center"/>
          </w:tcPr>
          <w:p w14:paraId="1890B39C" w14:textId="77777777" w:rsidR="00672297" w:rsidRDefault="00A16EA3">
            <w:pPr>
              <w:spacing w:before="20" w:after="20"/>
              <w:jc w:val="left"/>
            </w:pPr>
            <w:r>
              <w:rPr>
                <w:rFonts w:cstheme="minorHAnsi"/>
                <w:sz w:val="20"/>
                <w:szCs w:val="20"/>
              </w:rPr>
              <w:t>IQDM database</w:t>
            </w:r>
          </w:p>
        </w:tc>
        <w:tc>
          <w:tcPr>
            <w:tcW w:w="2996" w:type="dxa"/>
            <w:vAlign w:val="center"/>
          </w:tcPr>
          <w:p w14:paraId="02472DBC" w14:textId="77777777" w:rsidR="00672297" w:rsidRDefault="00A16EA3">
            <w:pPr>
              <w:spacing w:before="20" w:after="20"/>
              <w:jc w:val="left"/>
            </w:pPr>
            <w:r>
              <w:rPr>
                <w:rFonts w:cstheme="minorHAnsi"/>
                <w:sz w:val="20"/>
                <w:szCs w:val="20"/>
              </w:rPr>
              <w:t>Calendar attributes</w:t>
            </w:r>
          </w:p>
        </w:tc>
      </w:tr>
      <w:tr w:rsidR="00672297" w14:paraId="2C764D67" w14:textId="77777777">
        <w:trPr>
          <w:cantSplit/>
        </w:trPr>
        <w:tc>
          <w:tcPr>
            <w:tcW w:w="2808" w:type="dxa"/>
            <w:vAlign w:val="center"/>
          </w:tcPr>
          <w:p w14:paraId="72448098" w14:textId="77777777" w:rsidR="00672297" w:rsidRDefault="00A16EA3">
            <w:pPr>
              <w:spacing w:before="20" w:after="20"/>
              <w:jc w:val="left"/>
            </w:pPr>
            <w:r>
              <w:rPr>
                <w:rFonts w:cstheme="minorHAnsi"/>
                <w:sz w:val="20"/>
                <w:szCs w:val="20"/>
              </w:rPr>
              <w:t>Last_Refresh</w:t>
            </w:r>
          </w:p>
        </w:tc>
        <w:tc>
          <w:tcPr>
            <w:tcW w:w="1123" w:type="dxa"/>
            <w:vAlign w:val="center"/>
          </w:tcPr>
          <w:p w14:paraId="49063CA2" w14:textId="77777777" w:rsidR="00672297" w:rsidRDefault="00A16EA3">
            <w:pPr>
              <w:spacing w:before="20" w:after="20"/>
              <w:jc w:val="left"/>
            </w:pPr>
            <w:r>
              <w:rPr>
                <w:rFonts w:cstheme="minorHAnsi"/>
                <w:sz w:val="20"/>
                <w:szCs w:val="20"/>
              </w:rPr>
              <w:t>Parameter</w:t>
            </w:r>
          </w:p>
        </w:tc>
        <w:tc>
          <w:tcPr>
            <w:tcW w:w="2433" w:type="dxa"/>
            <w:vAlign w:val="center"/>
          </w:tcPr>
          <w:p w14:paraId="0F50DE9B" w14:textId="77777777" w:rsidR="00672297" w:rsidRDefault="00A16EA3">
            <w:pPr>
              <w:spacing w:before="20" w:after="20"/>
              <w:jc w:val="left"/>
            </w:pPr>
            <w:r>
              <w:rPr>
                <w:rFonts w:cstheme="minorHAnsi"/>
                <w:sz w:val="20"/>
                <w:szCs w:val="20"/>
              </w:rPr>
              <w:t>Power Query</w:t>
            </w:r>
          </w:p>
        </w:tc>
        <w:tc>
          <w:tcPr>
            <w:tcW w:w="2996" w:type="dxa"/>
            <w:vAlign w:val="center"/>
          </w:tcPr>
          <w:p w14:paraId="2C78AC4A" w14:textId="77777777" w:rsidR="00672297" w:rsidRDefault="00A16EA3">
            <w:pPr>
              <w:spacing w:before="20" w:after="20"/>
              <w:jc w:val="left"/>
            </w:pPr>
            <w:r>
              <w:rPr>
                <w:rFonts w:cstheme="minorHAnsi"/>
                <w:sz w:val="20"/>
                <w:szCs w:val="20"/>
              </w:rPr>
              <w:t>Last refresh timestamp</w:t>
            </w:r>
          </w:p>
        </w:tc>
      </w:tr>
    </w:tbl>
    <w:p w14:paraId="51843CF0" w14:textId="764E2BF2" w:rsidR="00672297" w:rsidRDefault="00A16EA3">
      <w:pPr>
        <w:pStyle w:val="Caption"/>
      </w:pPr>
      <w:bookmarkStart w:id="662" w:name="_Toc900950123"/>
      <w:bookmarkStart w:id="663" w:name="_Toc241574727"/>
      <w:bookmarkStart w:id="664" w:name="_Toc242554111"/>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38</w:t>
      </w:r>
      <w:r>
        <w:fldChar w:fldCharType="end"/>
      </w:r>
      <w:r>
        <w:t>: Supply Dashboard Tables / Views Loaded in Power BI</w:t>
      </w:r>
      <w:bookmarkEnd w:id="662"/>
      <w:bookmarkEnd w:id="663"/>
      <w:bookmarkEnd w:id="664"/>
    </w:p>
    <w:p w14:paraId="592298D4" w14:textId="77777777" w:rsidR="00672297" w:rsidRDefault="00A16EA3">
      <w:pPr>
        <w:pStyle w:val="Heading4"/>
        <w:rPr>
          <w:rFonts w:asciiTheme="minorHAnsi" w:hAnsiTheme="minorHAnsi" w:cstheme="minorBidi"/>
          <w:sz w:val="20"/>
          <w:szCs w:val="20"/>
        </w:rPr>
      </w:pPr>
      <w:bookmarkStart w:id="665" w:name="_Toc900950124"/>
      <w:r>
        <w:rPr>
          <w:rFonts w:asciiTheme="minorHAnsi" w:hAnsiTheme="minorHAnsi" w:cstheme="minorBidi"/>
          <w:sz w:val="20"/>
          <w:szCs w:val="20"/>
        </w:rPr>
        <w:t>Relationships</w:t>
      </w:r>
      <w:bookmarkEnd w:id="665"/>
    </w:p>
    <w:tbl>
      <w:tblPr>
        <w:tblStyle w:val="TableGrid"/>
        <w:tblW w:w="9360" w:type="dxa"/>
        <w:tblLayout w:type="fixed"/>
        <w:tblCellMar>
          <w:left w:w="70" w:type="dxa"/>
          <w:right w:w="70" w:type="dxa"/>
        </w:tblCellMar>
        <w:tblLook w:val="04A0" w:firstRow="1" w:lastRow="0" w:firstColumn="1" w:lastColumn="0" w:noHBand="0" w:noVBand="1"/>
      </w:tblPr>
      <w:tblGrid>
        <w:gridCol w:w="2620"/>
        <w:gridCol w:w="2246"/>
        <w:gridCol w:w="1497"/>
        <w:gridCol w:w="1872"/>
        <w:gridCol w:w="1125"/>
      </w:tblGrid>
      <w:tr w:rsidR="00672297" w14:paraId="3BE30548" w14:textId="77777777">
        <w:trPr>
          <w:cantSplit/>
          <w:tblHeader/>
        </w:trPr>
        <w:tc>
          <w:tcPr>
            <w:tcW w:w="2620" w:type="dxa"/>
            <w:shd w:val="clear" w:color="auto" w:fill="2F5496"/>
            <w:vAlign w:val="center"/>
          </w:tcPr>
          <w:p w14:paraId="1F4DEE76" w14:textId="77777777" w:rsidR="00672297" w:rsidRDefault="00A16EA3">
            <w:pPr>
              <w:spacing w:before="20" w:after="20"/>
              <w:jc w:val="left"/>
            </w:pPr>
            <w:r>
              <w:rPr>
                <w:rFonts w:cstheme="minorHAnsi"/>
                <w:b/>
                <w:bCs/>
                <w:color w:val="FFFFFF"/>
                <w:sz w:val="18"/>
                <w:szCs w:val="18"/>
              </w:rPr>
              <w:t>From Table</w:t>
            </w:r>
          </w:p>
        </w:tc>
        <w:tc>
          <w:tcPr>
            <w:tcW w:w="2246" w:type="dxa"/>
            <w:shd w:val="clear" w:color="auto" w:fill="2F5496"/>
            <w:vAlign w:val="center"/>
          </w:tcPr>
          <w:p w14:paraId="0BC1D87F" w14:textId="77777777" w:rsidR="00672297" w:rsidRDefault="00A16EA3">
            <w:pPr>
              <w:spacing w:before="20" w:after="20"/>
              <w:jc w:val="left"/>
            </w:pPr>
            <w:r>
              <w:rPr>
                <w:rFonts w:cstheme="minorHAnsi"/>
                <w:b/>
                <w:bCs/>
                <w:color w:val="FFFFFF"/>
                <w:sz w:val="18"/>
                <w:szCs w:val="18"/>
              </w:rPr>
              <w:t>Column</w:t>
            </w:r>
          </w:p>
        </w:tc>
        <w:tc>
          <w:tcPr>
            <w:tcW w:w="1497" w:type="dxa"/>
            <w:shd w:val="clear" w:color="auto" w:fill="2F5496"/>
            <w:vAlign w:val="center"/>
          </w:tcPr>
          <w:p w14:paraId="269B3962" w14:textId="77777777" w:rsidR="00672297" w:rsidRDefault="00A16EA3">
            <w:pPr>
              <w:spacing w:before="20" w:after="20"/>
              <w:jc w:val="left"/>
            </w:pPr>
            <w:r>
              <w:rPr>
                <w:rFonts w:cstheme="minorHAnsi"/>
                <w:b/>
                <w:bCs/>
                <w:color w:val="FFFFFF"/>
                <w:sz w:val="18"/>
                <w:szCs w:val="18"/>
              </w:rPr>
              <w:t>To Table</w:t>
            </w:r>
          </w:p>
        </w:tc>
        <w:tc>
          <w:tcPr>
            <w:tcW w:w="1872" w:type="dxa"/>
            <w:shd w:val="clear" w:color="auto" w:fill="2F5496"/>
            <w:vAlign w:val="center"/>
          </w:tcPr>
          <w:p w14:paraId="2BF535C0" w14:textId="77777777" w:rsidR="00672297" w:rsidRDefault="00A16EA3">
            <w:pPr>
              <w:spacing w:before="20" w:after="20"/>
              <w:jc w:val="left"/>
            </w:pPr>
            <w:r>
              <w:rPr>
                <w:rFonts w:cstheme="minorHAnsi"/>
                <w:b/>
                <w:bCs/>
                <w:color w:val="FFFFFF"/>
                <w:sz w:val="18"/>
                <w:szCs w:val="18"/>
              </w:rPr>
              <w:t>Column</w:t>
            </w:r>
          </w:p>
        </w:tc>
        <w:tc>
          <w:tcPr>
            <w:tcW w:w="1125" w:type="dxa"/>
            <w:shd w:val="clear" w:color="auto" w:fill="2F5496"/>
            <w:vAlign w:val="center"/>
          </w:tcPr>
          <w:p w14:paraId="791BD5B9" w14:textId="77777777" w:rsidR="00672297" w:rsidRDefault="00A16EA3">
            <w:pPr>
              <w:spacing w:before="20" w:after="20"/>
              <w:jc w:val="left"/>
            </w:pPr>
            <w:r>
              <w:rPr>
                <w:rFonts w:cstheme="minorHAnsi"/>
                <w:b/>
                <w:bCs/>
                <w:color w:val="FFFFFF"/>
                <w:sz w:val="18"/>
                <w:szCs w:val="18"/>
              </w:rPr>
              <w:t>Cardinality</w:t>
            </w:r>
          </w:p>
        </w:tc>
      </w:tr>
      <w:tr w:rsidR="00672297" w14:paraId="229343AB" w14:textId="77777777">
        <w:trPr>
          <w:cantSplit/>
        </w:trPr>
        <w:tc>
          <w:tcPr>
            <w:tcW w:w="2620" w:type="dxa"/>
            <w:vAlign w:val="center"/>
          </w:tcPr>
          <w:p w14:paraId="0F4E645D" w14:textId="77777777" w:rsidR="00672297" w:rsidRDefault="00A16EA3">
            <w:pPr>
              <w:spacing w:before="20" w:after="20"/>
              <w:jc w:val="left"/>
            </w:pPr>
            <w:r>
              <w:rPr>
                <w:rFonts w:cstheme="minorHAnsi"/>
                <w:sz w:val="18"/>
                <w:szCs w:val="18"/>
              </w:rPr>
              <w:t>vwBlendComponentSupplyDemand</w:t>
            </w:r>
          </w:p>
        </w:tc>
        <w:tc>
          <w:tcPr>
            <w:tcW w:w="2246" w:type="dxa"/>
            <w:vAlign w:val="center"/>
          </w:tcPr>
          <w:p w14:paraId="4D6D0905" w14:textId="77777777" w:rsidR="00672297" w:rsidRDefault="00A16EA3">
            <w:pPr>
              <w:spacing w:before="20" w:after="20"/>
              <w:jc w:val="left"/>
            </w:pPr>
            <w:r>
              <w:rPr>
                <w:rFonts w:cstheme="minorHAnsi"/>
                <w:sz w:val="18"/>
                <w:szCs w:val="18"/>
              </w:rPr>
              <w:t>PositionDate</w:t>
            </w:r>
          </w:p>
        </w:tc>
        <w:tc>
          <w:tcPr>
            <w:tcW w:w="1497" w:type="dxa"/>
            <w:vAlign w:val="center"/>
          </w:tcPr>
          <w:p w14:paraId="6AFFD85C" w14:textId="77777777" w:rsidR="00672297" w:rsidRDefault="00A16EA3">
            <w:pPr>
              <w:spacing w:before="20" w:after="20"/>
              <w:jc w:val="left"/>
            </w:pPr>
            <w:r>
              <w:rPr>
                <w:rFonts w:cstheme="minorHAnsi"/>
                <w:sz w:val="18"/>
                <w:szCs w:val="18"/>
              </w:rPr>
              <w:t>day_detail</w:t>
            </w:r>
          </w:p>
        </w:tc>
        <w:tc>
          <w:tcPr>
            <w:tcW w:w="1872" w:type="dxa"/>
            <w:vAlign w:val="center"/>
          </w:tcPr>
          <w:p w14:paraId="741C2F90" w14:textId="77777777" w:rsidR="00672297" w:rsidRDefault="00A16EA3">
            <w:pPr>
              <w:spacing w:before="20" w:after="20"/>
              <w:jc w:val="left"/>
            </w:pPr>
            <w:r>
              <w:rPr>
                <w:rFonts w:cstheme="minorHAnsi"/>
                <w:sz w:val="18"/>
                <w:szCs w:val="18"/>
              </w:rPr>
              <w:t>W_Date</w:t>
            </w:r>
          </w:p>
        </w:tc>
        <w:tc>
          <w:tcPr>
            <w:tcW w:w="1125" w:type="dxa"/>
            <w:vAlign w:val="center"/>
          </w:tcPr>
          <w:p w14:paraId="7859A81C" w14:textId="77777777" w:rsidR="00672297" w:rsidRDefault="00A16EA3">
            <w:pPr>
              <w:spacing w:before="20" w:after="20"/>
              <w:jc w:val="left"/>
            </w:pPr>
            <w:r>
              <w:rPr>
                <w:rFonts w:cstheme="minorHAnsi"/>
                <w:sz w:val="18"/>
                <w:szCs w:val="18"/>
              </w:rPr>
              <w:t>Many-to-One</w:t>
            </w:r>
          </w:p>
        </w:tc>
      </w:tr>
    </w:tbl>
    <w:p w14:paraId="0697B697" w14:textId="35140D93" w:rsidR="00672297" w:rsidRDefault="00A16EA3">
      <w:pPr>
        <w:pStyle w:val="Caption"/>
      </w:pPr>
      <w:bookmarkStart w:id="666" w:name="_Toc900950125"/>
      <w:bookmarkStart w:id="667" w:name="_Toc241574728"/>
      <w:bookmarkStart w:id="668" w:name="_Toc242554112"/>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39</w:t>
      </w:r>
      <w:r>
        <w:fldChar w:fldCharType="end"/>
      </w:r>
      <w:r>
        <w:t>: Supply Dashboard Relationships between Tables / Views in Power BI</w:t>
      </w:r>
      <w:bookmarkEnd w:id="666"/>
      <w:bookmarkEnd w:id="667"/>
      <w:bookmarkEnd w:id="668"/>
    </w:p>
    <w:p w14:paraId="05446C91" w14:textId="77777777" w:rsidR="00672297" w:rsidRDefault="00A16EA3">
      <w:pPr>
        <w:pStyle w:val="Heading4"/>
        <w:rPr>
          <w:rFonts w:asciiTheme="minorHAnsi" w:hAnsiTheme="minorHAnsi" w:cstheme="minorBidi"/>
          <w:sz w:val="20"/>
          <w:szCs w:val="20"/>
        </w:rPr>
      </w:pPr>
      <w:bookmarkStart w:id="669" w:name="_Toc900950126"/>
      <w:r>
        <w:rPr>
          <w:rFonts w:asciiTheme="minorHAnsi" w:hAnsiTheme="minorHAnsi" w:cstheme="minorBidi"/>
          <w:sz w:val="20"/>
          <w:szCs w:val="20"/>
        </w:rPr>
        <w:t>DAX Logic (Sample)</w:t>
      </w:r>
      <w:bookmarkEnd w:id="669"/>
    </w:p>
    <w:tbl>
      <w:tblPr>
        <w:tblStyle w:val="TableGrid"/>
        <w:tblW w:w="9360" w:type="dxa"/>
        <w:tblLayout w:type="fixed"/>
        <w:tblCellMar>
          <w:left w:w="115" w:type="dxa"/>
          <w:right w:w="115" w:type="dxa"/>
        </w:tblCellMar>
        <w:tblLook w:val="04A0" w:firstRow="1" w:lastRow="0" w:firstColumn="1" w:lastColumn="0" w:noHBand="0" w:noVBand="1"/>
      </w:tblPr>
      <w:tblGrid>
        <w:gridCol w:w="9360"/>
      </w:tblGrid>
      <w:tr w:rsidR="00672297" w14:paraId="352A4573" w14:textId="77777777">
        <w:tc>
          <w:tcPr>
            <w:tcW w:w="9360" w:type="dxa"/>
            <w:shd w:val="clear" w:color="auto" w:fill="F2F2F2"/>
          </w:tcPr>
          <w:p w14:paraId="2D05A283" w14:textId="77777777" w:rsidR="00672297" w:rsidRDefault="00A16EA3">
            <w:pPr>
              <w:jc w:val="left"/>
            </w:pPr>
            <w:r>
              <w:rPr>
                <w:rFonts w:ascii="Consolas" w:hAnsi="Consolas" w:cs="Consolas"/>
                <w:sz w:val="17"/>
                <w:szCs w:val="17"/>
              </w:rPr>
              <w:t>Recommended Action =</w:t>
            </w:r>
          </w:p>
          <w:p w14:paraId="4C383908" w14:textId="77777777" w:rsidR="00672297" w:rsidRDefault="00A16EA3">
            <w:pPr>
              <w:jc w:val="left"/>
            </w:pPr>
            <w:r>
              <w:rPr>
                <w:rFonts w:ascii="Consolas" w:hAnsi="Consolas" w:cs="Consolas"/>
                <w:sz w:val="17"/>
                <w:szCs w:val="17"/>
              </w:rPr>
              <w:t>VAR g = [Min Net Gap (bbl)]</w:t>
            </w:r>
          </w:p>
          <w:p w14:paraId="23F0BFA6" w14:textId="77777777" w:rsidR="00672297" w:rsidRDefault="00A16EA3">
            <w:pPr>
              <w:jc w:val="left"/>
            </w:pPr>
            <w:r>
              <w:rPr>
                <w:rFonts w:ascii="Consolas" w:hAnsi="Consolas" w:cs="Consolas"/>
                <w:sz w:val="17"/>
                <w:szCs w:val="17"/>
              </w:rPr>
              <w:t>RETURN</w:t>
            </w:r>
          </w:p>
          <w:p w14:paraId="65F511AD" w14:textId="77777777" w:rsidR="00672297" w:rsidRDefault="00A16EA3">
            <w:pPr>
              <w:jc w:val="left"/>
            </w:pPr>
            <w:r>
              <w:rPr>
                <w:rFonts w:ascii="Consolas" w:hAnsi="Consolas" w:cs="Consolas"/>
                <w:sz w:val="17"/>
                <w:szCs w:val="17"/>
              </w:rPr>
              <w:t xml:space="preserve">    SWITCH ( TRUE (),</w:t>
            </w:r>
          </w:p>
          <w:p w14:paraId="05B419E7" w14:textId="77777777" w:rsidR="00672297" w:rsidRDefault="00A16EA3">
            <w:pPr>
              <w:jc w:val="left"/>
            </w:pPr>
            <w:r>
              <w:rPr>
                <w:rFonts w:ascii="Consolas" w:hAnsi="Consolas" w:cs="Consolas"/>
                <w:sz w:val="17"/>
                <w:szCs w:val="17"/>
              </w:rPr>
              <w:t xml:space="preserve">        g &lt;= MIN ( vwBlendComponentSupplyDemand[UrgentThresholdBbl] ), "Urgent re-supply",</w:t>
            </w:r>
          </w:p>
          <w:p w14:paraId="695276A7" w14:textId="77777777" w:rsidR="00672297" w:rsidRDefault="00A16EA3">
            <w:pPr>
              <w:jc w:val="left"/>
            </w:pPr>
            <w:r>
              <w:rPr>
                <w:rFonts w:ascii="Consolas" w:hAnsi="Consolas" w:cs="Consolas"/>
                <w:sz w:val="17"/>
                <w:szCs w:val="17"/>
              </w:rPr>
              <w:t xml:space="preserve">        g &lt;  MIN ( vwBlendComponentSupplyDemand[PlanThresholdBbl] ), "Plan delivery",</w:t>
            </w:r>
          </w:p>
          <w:p w14:paraId="1B9EC64D" w14:textId="77777777" w:rsidR="00672297" w:rsidRDefault="00A16EA3">
            <w:pPr>
              <w:jc w:val="left"/>
            </w:pPr>
            <w:r>
              <w:rPr>
                <w:rFonts w:ascii="Consolas" w:hAnsi="Consolas" w:cs="Consolas"/>
                <w:sz w:val="17"/>
                <w:szCs w:val="17"/>
              </w:rPr>
              <w:t xml:space="preserve">        "OK" )</w:t>
            </w:r>
          </w:p>
        </w:tc>
      </w:tr>
    </w:tbl>
    <w:p w14:paraId="31B71F93" w14:textId="77777777" w:rsidR="00672297" w:rsidRDefault="00A16EA3">
      <w:pPr>
        <w:pStyle w:val="Heading4"/>
        <w:rPr>
          <w:rFonts w:asciiTheme="minorHAnsi" w:hAnsiTheme="minorHAnsi" w:cstheme="minorBidi"/>
          <w:sz w:val="20"/>
          <w:szCs w:val="20"/>
        </w:rPr>
      </w:pPr>
      <w:bookmarkStart w:id="670" w:name="_Toc900950127"/>
      <w:r>
        <w:rPr>
          <w:rFonts w:asciiTheme="minorHAnsi" w:hAnsiTheme="minorHAnsi" w:cstheme="minorBidi"/>
          <w:sz w:val="20"/>
          <w:szCs w:val="20"/>
        </w:rPr>
        <w:t>Visual Types Used</w:t>
      </w:r>
      <w:bookmarkEnd w:id="670"/>
    </w:p>
    <w:p w14:paraId="5943193A"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Cards: Butane, Ethanol, Transmix, Biodiesel (Potential Demand; Planned Supply + Inventory).</w:t>
      </w:r>
    </w:p>
    <w:p w14:paraId="7E2BA33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Charts: Component Demand Forecast (clustered column by terminal).</w:t>
      </w:r>
    </w:p>
    <w:p w14:paraId="6B20F9A0"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Tables: Terminal x Component Supply Plan Table (matrix); Terminal Daily Position (drill-through table).</w:t>
      </w:r>
    </w:p>
    <w:p w14:paraId="6B15532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Slicers: Refinery, Terminal, Component, Date range.</w:t>
      </w:r>
    </w:p>
    <w:p w14:paraId="2C23EBE4" w14:textId="77777777" w:rsidR="00672297" w:rsidRDefault="00A16EA3">
      <w:pPr>
        <w:pStyle w:val="Heading4"/>
        <w:rPr>
          <w:rFonts w:asciiTheme="minorHAnsi" w:hAnsiTheme="minorHAnsi" w:cstheme="minorBidi"/>
          <w:sz w:val="20"/>
          <w:szCs w:val="20"/>
        </w:rPr>
      </w:pPr>
      <w:bookmarkStart w:id="671" w:name="_Toc900950128"/>
      <w:r>
        <w:rPr>
          <w:rFonts w:asciiTheme="minorHAnsi" w:hAnsiTheme="minorHAnsi" w:cstheme="minorBidi"/>
          <w:sz w:val="20"/>
          <w:szCs w:val="20"/>
        </w:rPr>
        <w:t>Power BI Attributes and Mapped Backend Table - Field Details</w:t>
      </w:r>
      <w:bookmarkEnd w:id="671"/>
    </w:p>
    <w:tbl>
      <w:tblPr>
        <w:tblStyle w:val="TableGrid"/>
        <w:tblW w:w="9360" w:type="dxa"/>
        <w:tblLayout w:type="fixed"/>
        <w:tblCellMar>
          <w:left w:w="70" w:type="dxa"/>
          <w:right w:w="70" w:type="dxa"/>
        </w:tblCellMar>
        <w:tblLook w:val="04A0" w:firstRow="1" w:lastRow="0" w:firstColumn="1" w:lastColumn="0" w:noHBand="0" w:noVBand="1"/>
      </w:tblPr>
      <w:tblGrid>
        <w:gridCol w:w="1404"/>
        <w:gridCol w:w="1310"/>
        <w:gridCol w:w="1310"/>
        <w:gridCol w:w="1404"/>
        <w:gridCol w:w="655"/>
        <w:gridCol w:w="655"/>
        <w:gridCol w:w="655"/>
        <w:gridCol w:w="1967"/>
      </w:tblGrid>
      <w:tr w:rsidR="00672297" w14:paraId="34F10BE0" w14:textId="77777777">
        <w:trPr>
          <w:cantSplit/>
          <w:tblHeader/>
        </w:trPr>
        <w:tc>
          <w:tcPr>
            <w:tcW w:w="1404" w:type="dxa"/>
            <w:shd w:val="clear" w:color="auto" w:fill="2F5496"/>
            <w:vAlign w:val="center"/>
          </w:tcPr>
          <w:p w14:paraId="791D52E1" w14:textId="77777777" w:rsidR="00672297" w:rsidRDefault="00A16EA3">
            <w:pPr>
              <w:spacing w:before="20" w:after="20"/>
              <w:jc w:val="left"/>
            </w:pPr>
            <w:r>
              <w:rPr>
                <w:rFonts w:cstheme="minorHAnsi"/>
                <w:b/>
                <w:bCs/>
                <w:color w:val="FFFFFF"/>
                <w:sz w:val="16"/>
                <w:szCs w:val="16"/>
              </w:rPr>
              <w:t>Power BI Visualization Name</w:t>
            </w:r>
          </w:p>
        </w:tc>
        <w:tc>
          <w:tcPr>
            <w:tcW w:w="1310" w:type="dxa"/>
            <w:shd w:val="clear" w:color="auto" w:fill="2F5496"/>
            <w:vAlign w:val="center"/>
          </w:tcPr>
          <w:p w14:paraId="750185C2" w14:textId="77777777" w:rsidR="00672297" w:rsidRDefault="00A16EA3">
            <w:pPr>
              <w:spacing w:before="20" w:after="20"/>
              <w:jc w:val="left"/>
            </w:pPr>
            <w:r>
              <w:rPr>
                <w:rFonts w:cstheme="minorHAnsi"/>
                <w:b/>
                <w:bCs/>
                <w:color w:val="FFFFFF"/>
                <w:sz w:val="16"/>
                <w:szCs w:val="16"/>
              </w:rPr>
              <w:t>Power BI Attribute Name</w:t>
            </w:r>
          </w:p>
        </w:tc>
        <w:tc>
          <w:tcPr>
            <w:tcW w:w="1310" w:type="dxa"/>
            <w:shd w:val="clear" w:color="auto" w:fill="2F5496"/>
            <w:vAlign w:val="center"/>
          </w:tcPr>
          <w:p w14:paraId="567565C7" w14:textId="77777777" w:rsidR="00672297" w:rsidRDefault="00A16EA3">
            <w:pPr>
              <w:spacing w:before="20" w:after="20"/>
              <w:jc w:val="left"/>
            </w:pPr>
            <w:r>
              <w:rPr>
                <w:rFonts w:cstheme="minorHAnsi"/>
                <w:b/>
                <w:bCs/>
                <w:color w:val="FFFFFF"/>
                <w:sz w:val="16"/>
                <w:szCs w:val="16"/>
              </w:rPr>
              <w:t>Table / View (Semantic Model)</w:t>
            </w:r>
          </w:p>
        </w:tc>
        <w:tc>
          <w:tcPr>
            <w:tcW w:w="1404" w:type="dxa"/>
            <w:shd w:val="clear" w:color="auto" w:fill="2F5496"/>
            <w:vAlign w:val="center"/>
          </w:tcPr>
          <w:p w14:paraId="70CE5855" w14:textId="77777777" w:rsidR="00672297" w:rsidRDefault="00A16EA3">
            <w:pPr>
              <w:spacing w:before="20" w:after="20"/>
              <w:jc w:val="left"/>
            </w:pPr>
            <w:r>
              <w:rPr>
                <w:rFonts w:cstheme="minorHAnsi"/>
                <w:b/>
                <w:bCs/>
                <w:color w:val="FFFFFF"/>
                <w:sz w:val="16"/>
                <w:szCs w:val="16"/>
              </w:rPr>
              <w:t>Field Name</w:t>
            </w:r>
          </w:p>
        </w:tc>
        <w:tc>
          <w:tcPr>
            <w:tcW w:w="655" w:type="dxa"/>
            <w:shd w:val="clear" w:color="auto" w:fill="2F5496"/>
            <w:vAlign w:val="center"/>
          </w:tcPr>
          <w:p w14:paraId="371FBB4D" w14:textId="77777777" w:rsidR="00672297" w:rsidRDefault="00A16EA3">
            <w:pPr>
              <w:spacing w:before="20" w:after="20"/>
              <w:jc w:val="left"/>
            </w:pPr>
            <w:r>
              <w:rPr>
                <w:rFonts w:cstheme="minorHAnsi"/>
                <w:b/>
                <w:bCs/>
                <w:color w:val="FFFFFF"/>
                <w:sz w:val="16"/>
                <w:szCs w:val="16"/>
              </w:rPr>
              <w:t>Measure (Y/N)</w:t>
            </w:r>
          </w:p>
        </w:tc>
        <w:tc>
          <w:tcPr>
            <w:tcW w:w="655" w:type="dxa"/>
            <w:shd w:val="clear" w:color="auto" w:fill="2F5496"/>
            <w:vAlign w:val="center"/>
          </w:tcPr>
          <w:p w14:paraId="57614DB7" w14:textId="77777777" w:rsidR="00672297" w:rsidRDefault="00A16EA3">
            <w:pPr>
              <w:spacing w:before="20" w:after="20"/>
              <w:jc w:val="left"/>
            </w:pPr>
            <w:r>
              <w:rPr>
                <w:rFonts w:cstheme="minorHAnsi"/>
                <w:b/>
                <w:bCs/>
                <w:color w:val="FFFFFF"/>
                <w:sz w:val="16"/>
                <w:szCs w:val="16"/>
              </w:rPr>
              <w:t>Report Filter (Y/N)</w:t>
            </w:r>
          </w:p>
        </w:tc>
        <w:tc>
          <w:tcPr>
            <w:tcW w:w="655" w:type="dxa"/>
            <w:shd w:val="clear" w:color="auto" w:fill="2F5496"/>
            <w:vAlign w:val="center"/>
          </w:tcPr>
          <w:p w14:paraId="4AEF5007" w14:textId="77777777" w:rsidR="00672297" w:rsidRDefault="00A16EA3">
            <w:pPr>
              <w:spacing w:before="20" w:after="20"/>
              <w:jc w:val="left"/>
            </w:pPr>
            <w:r>
              <w:rPr>
                <w:rFonts w:cstheme="minorHAnsi"/>
                <w:b/>
                <w:bCs/>
                <w:color w:val="FFFFFF"/>
                <w:sz w:val="16"/>
                <w:szCs w:val="16"/>
              </w:rPr>
              <w:t>Direct Attribute (Y/N)</w:t>
            </w:r>
          </w:p>
        </w:tc>
        <w:tc>
          <w:tcPr>
            <w:tcW w:w="1967" w:type="dxa"/>
            <w:shd w:val="clear" w:color="auto" w:fill="2F5496"/>
            <w:vAlign w:val="center"/>
          </w:tcPr>
          <w:p w14:paraId="59DE019F" w14:textId="77777777" w:rsidR="00672297" w:rsidRDefault="00A16EA3">
            <w:pPr>
              <w:spacing w:before="20" w:after="20"/>
              <w:jc w:val="left"/>
            </w:pPr>
            <w:r>
              <w:rPr>
                <w:rFonts w:cstheme="minorHAnsi"/>
                <w:b/>
                <w:bCs/>
                <w:color w:val="FFFFFF"/>
                <w:sz w:val="16"/>
                <w:szCs w:val="16"/>
              </w:rPr>
              <w:t>Calculation / Logic</w:t>
            </w:r>
          </w:p>
        </w:tc>
      </w:tr>
      <w:tr w:rsidR="00672297" w14:paraId="3D44FE40" w14:textId="77777777">
        <w:trPr>
          <w:cantSplit/>
        </w:trPr>
        <w:tc>
          <w:tcPr>
            <w:tcW w:w="1404" w:type="dxa"/>
            <w:vAlign w:val="center"/>
          </w:tcPr>
          <w:p w14:paraId="1E61656C" w14:textId="77777777" w:rsidR="00672297" w:rsidRDefault="00A16EA3">
            <w:pPr>
              <w:spacing w:before="20" w:after="20"/>
              <w:jc w:val="left"/>
            </w:pPr>
            <w:r>
              <w:rPr>
                <w:rFonts w:cstheme="minorHAnsi"/>
                <w:sz w:val="16"/>
                <w:szCs w:val="16"/>
              </w:rPr>
              <w:t>Component Cards (4)</w:t>
            </w:r>
          </w:p>
        </w:tc>
        <w:tc>
          <w:tcPr>
            <w:tcW w:w="1310" w:type="dxa"/>
            <w:vAlign w:val="center"/>
          </w:tcPr>
          <w:p w14:paraId="197C99EF" w14:textId="77777777" w:rsidR="00672297" w:rsidRDefault="00A16EA3">
            <w:pPr>
              <w:spacing w:before="20" w:after="20"/>
              <w:jc w:val="left"/>
            </w:pPr>
            <w:r>
              <w:rPr>
                <w:rFonts w:cstheme="minorHAnsi"/>
                <w:sz w:val="16"/>
                <w:szCs w:val="16"/>
              </w:rPr>
              <w:t>Potential Demand</w:t>
            </w:r>
          </w:p>
        </w:tc>
        <w:tc>
          <w:tcPr>
            <w:tcW w:w="1310" w:type="dxa"/>
            <w:vAlign w:val="center"/>
          </w:tcPr>
          <w:p w14:paraId="5C2A140E"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555039B2" w14:textId="77777777" w:rsidR="00672297" w:rsidRDefault="00A16EA3">
            <w:pPr>
              <w:spacing w:before="20" w:after="20"/>
              <w:jc w:val="left"/>
            </w:pPr>
            <w:r>
              <w:rPr>
                <w:rFonts w:cstheme="minorHAnsi"/>
                <w:sz w:val="16"/>
                <w:szCs w:val="16"/>
              </w:rPr>
              <w:t>DemandBbl</w:t>
            </w:r>
          </w:p>
        </w:tc>
        <w:tc>
          <w:tcPr>
            <w:tcW w:w="655" w:type="dxa"/>
            <w:vAlign w:val="center"/>
          </w:tcPr>
          <w:p w14:paraId="01C24EFD" w14:textId="77777777" w:rsidR="00672297" w:rsidRDefault="00A16EA3">
            <w:pPr>
              <w:spacing w:before="20" w:after="20"/>
              <w:jc w:val="left"/>
            </w:pPr>
            <w:r>
              <w:rPr>
                <w:rFonts w:cstheme="minorHAnsi"/>
                <w:sz w:val="16"/>
                <w:szCs w:val="16"/>
              </w:rPr>
              <w:t>Y</w:t>
            </w:r>
          </w:p>
        </w:tc>
        <w:tc>
          <w:tcPr>
            <w:tcW w:w="655" w:type="dxa"/>
            <w:vAlign w:val="center"/>
          </w:tcPr>
          <w:p w14:paraId="165CF3EA" w14:textId="77777777" w:rsidR="00672297" w:rsidRDefault="00A16EA3">
            <w:pPr>
              <w:spacing w:before="20" w:after="20"/>
              <w:jc w:val="left"/>
            </w:pPr>
            <w:r>
              <w:rPr>
                <w:rFonts w:cstheme="minorHAnsi"/>
                <w:sz w:val="16"/>
                <w:szCs w:val="16"/>
              </w:rPr>
              <w:t>N</w:t>
            </w:r>
          </w:p>
        </w:tc>
        <w:tc>
          <w:tcPr>
            <w:tcW w:w="655" w:type="dxa"/>
            <w:vAlign w:val="center"/>
          </w:tcPr>
          <w:p w14:paraId="07060DBD" w14:textId="77777777" w:rsidR="00672297" w:rsidRDefault="00A16EA3">
            <w:pPr>
              <w:spacing w:before="20" w:after="20"/>
              <w:jc w:val="left"/>
            </w:pPr>
            <w:r>
              <w:rPr>
                <w:rFonts w:cstheme="minorHAnsi"/>
                <w:sz w:val="16"/>
                <w:szCs w:val="16"/>
              </w:rPr>
              <w:t>N</w:t>
            </w:r>
          </w:p>
        </w:tc>
        <w:tc>
          <w:tcPr>
            <w:tcW w:w="1967" w:type="dxa"/>
            <w:vAlign w:val="center"/>
          </w:tcPr>
          <w:p w14:paraId="0E49B8D8" w14:textId="77777777" w:rsidR="00672297" w:rsidRDefault="00A16EA3">
            <w:pPr>
              <w:spacing w:before="20" w:after="20"/>
              <w:jc w:val="left"/>
            </w:pPr>
            <w:r>
              <w:rPr>
                <w:rFonts w:cstheme="minorHAnsi"/>
                <w:sz w:val="16"/>
                <w:szCs w:val="16"/>
              </w:rPr>
              <w:t>[Demand (bbl)] per component</w:t>
            </w:r>
          </w:p>
        </w:tc>
      </w:tr>
      <w:tr w:rsidR="00672297" w14:paraId="5E3FB4AD" w14:textId="77777777">
        <w:trPr>
          <w:cantSplit/>
        </w:trPr>
        <w:tc>
          <w:tcPr>
            <w:tcW w:w="1404" w:type="dxa"/>
            <w:vAlign w:val="center"/>
          </w:tcPr>
          <w:p w14:paraId="1ADAB78B" w14:textId="77777777" w:rsidR="00672297" w:rsidRDefault="00A16EA3">
            <w:pPr>
              <w:spacing w:before="20" w:after="20"/>
              <w:jc w:val="left"/>
            </w:pPr>
            <w:r>
              <w:rPr>
                <w:rFonts w:cstheme="minorHAnsi"/>
                <w:sz w:val="16"/>
                <w:szCs w:val="16"/>
              </w:rPr>
              <w:t>Component Cards (4)</w:t>
            </w:r>
          </w:p>
        </w:tc>
        <w:tc>
          <w:tcPr>
            <w:tcW w:w="1310" w:type="dxa"/>
            <w:vAlign w:val="center"/>
          </w:tcPr>
          <w:p w14:paraId="53BFFE40" w14:textId="77777777" w:rsidR="00672297" w:rsidRDefault="00A16EA3">
            <w:pPr>
              <w:spacing w:before="20" w:after="20"/>
              <w:jc w:val="left"/>
            </w:pPr>
            <w:r>
              <w:rPr>
                <w:rFonts w:cstheme="minorHAnsi"/>
                <w:sz w:val="16"/>
                <w:szCs w:val="16"/>
              </w:rPr>
              <w:t>Planned Supply + Inventory</w:t>
            </w:r>
          </w:p>
        </w:tc>
        <w:tc>
          <w:tcPr>
            <w:tcW w:w="1310" w:type="dxa"/>
            <w:vAlign w:val="center"/>
          </w:tcPr>
          <w:p w14:paraId="0789C448"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4B3BA844" w14:textId="77777777" w:rsidR="00672297" w:rsidRDefault="00A16EA3">
            <w:pPr>
              <w:spacing w:before="20" w:after="20"/>
              <w:jc w:val="left"/>
            </w:pPr>
            <w:r>
              <w:rPr>
                <w:rFonts w:cstheme="minorHAnsi"/>
                <w:sz w:val="16"/>
                <w:szCs w:val="16"/>
              </w:rPr>
              <w:t>ReceiptInTransitBbl, OpeningInventoryBbl</w:t>
            </w:r>
          </w:p>
        </w:tc>
        <w:tc>
          <w:tcPr>
            <w:tcW w:w="655" w:type="dxa"/>
            <w:vAlign w:val="center"/>
          </w:tcPr>
          <w:p w14:paraId="4AB315B0" w14:textId="77777777" w:rsidR="00672297" w:rsidRDefault="00A16EA3">
            <w:pPr>
              <w:spacing w:before="20" w:after="20"/>
              <w:jc w:val="left"/>
            </w:pPr>
            <w:r>
              <w:rPr>
                <w:rFonts w:cstheme="minorHAnsi"/>
                <w:sz w:val="16"/>
                <w:szCs w:val="16"/>
              </w:rPr>
              <w:t>Y</w:t>
            </w:r>
          </w:p>
        </w:tc>
        <w:tc>
          <w:tcPr>
            <w:tcW w:w="655" w:type="dxa"/>
            <w:vAlign w:val="center"/>
          </w:tcPr>
          <w:p w14:paraId="5353EABC" w14:textId="77777777" w:rsidR="00672297" w:rsidRDefault="00A16EA3">
            <w:pPr>
              <w:spacing w:before="20" w:after="20"/>
              <w:jc w:val="left"/>
            </w:pPr>
            <w:r>
              <w:rPr>
                <w:rFonts w:cstheme="minorHAnsi"/>
                <w:sz w:val="16"/>
                <w:szCs w:val="16"/>
              </w:rPr>
              <w:t>N</w:t>
            </w:r>
          </w:p>
        </w:tc>
        <w:tc>
          <w:tcPr>
            <w:tcW w:w="655" w:type="dxa"/>
            <w:vAlign w:val="center"/>
          </w:tcPr>
          <w:p w14:paraId="55611A6B" w14:textId="77777777" w:rsidR="00672297" w:rsidRDefault="00A16EA3">
            <w:pPr>
              <w:spacing w:before="20" w:after="20"/>
              <w:jc w:val="left"/>
            </w:pPr>
            <w:r>
              <w:rPr>
                <w:rFonts w:cstheme="minorHAnsi"/>
                <w:sz w:val="16"/>
                <w:szCs w:val="16"/>
              </w:rPr>
              <w:t>N</w:t>
            </w:r>
          </w:p>
        </w:tc>
        <w:tc>
          <w:tcPr>
            <w:tcW w:w="1967" w:type="dxa"/>
            <w:vAlign w:val="center"/>
          </w:tcPr>
          <w:p w14:paraId="093F58D6" w14:textId="77777777" w:rsidR="00672297" w:rsidRDefault="00A16EA3">
            <w:pPr>
              <w:spacing w:before="20" w:after="20"/>
              <w:jc w:val="left"/>
            </w:pPr>
            <w:r>
              <w:rPr>
                <w:rFonts w:cstheme="minorHAnsi"/>
                <w:sz w:val="16"/>
                <w:szCs w:val="16"/>
              </w:rPr>
              <w:t>[Planned Supply + Inventory (text)]</w:t>
            </w:r>
          </w:p>
        </w:tc>
      </w:tr>
      <w:tr w:rsidR="00672297" w14:paraId="171DEAD3" w14:textId="77777777">
        <w:trPr>
          <w:cantSplit/>
        </w:trPr>
        <w:tc>
          <w:tcPr>
            <w:tcW w:w="1404" w:type="dxa"/>
            <w:vAlign w:val="center"/>
          </w:tcPr>
          <w:p w14:paraId="4D032DC2" w14:textId="77777777" w:rsidR="00672297" w:rsidRDefault="00A16EA3">
            <w:pPr>
              <w:spacing w:before="20" w:after="20"/>
              <w:jc w:val="left"/>
            </w:pPr>
            <w:r>
              <w:rPr>
                <w:rFonts w:cstheme="minorHAnsi"/>
                <w:sz w:val="16"/>
                <w:szCs w:val="16"/>
              </w:rPr>
              <w:t>Demand Forecast Chart</w:t>
            </w:r>
          </w:p>
        </w:tc>
        <w:tc>
          <w:tcPr>
            <w:tcW w:w="1310" w:type="dxa"/>
            <w:vAlign w:val="center"/>
          </w:tcPr>
          <w:p w14:paraId="0DFF4E4F" w14:textId="77777777" w:rsidR="00672297" w:rsidRDefault="00A16EA3">
            <w:pPr>
              <w:spacing w:before="20" w:after="20"/>
              <w:jc w:val="left"/>
            </w:pPr>
            <w:r>
              <w:rPr>
                <w:rFonts w:cstheme="minorHAnsi"/>
                <w:sz w:val="16"/>
                <w:szCs w:val="16"/>
              </w:rPr>
              <w:t>Terminal (axis) / Component (legend)</w:t>
            </w:r>
          </w:p>
        </w:tc>
        <w:tc>
          <w:tcPr>
            <w:tcW w:w="1310" w:type="dxa"/>
            <w:vAlign w:val="center"/>
          </w:tcPr>
          <w:p w14:paraId="166BF695"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46DF695A" w14:textId="77777777" w:rsidR="00672297" w:rsidRDefault="00A16EA3">
            <w:pPr>
              <w:spacing w:before="20" w:after="20"/>
              <w:jc w:val="left"/>
            </w:pPr>
            <w:r>
              <w:rPr>
                <w:rFonts w:cstheme="minorHAnsi"/>
                <w:sz w:val="16"/>
                <w:szCs w:val="16"/>
              </w:rPr>
              <w:t>TerminalShortName / Component</w:t>
            </w:r>
          </w:p>
        </w:tc>
        <w:tc>
          <w:tcPr>
            <w:tcW w:w="655" w:type="dxa"/>
            <w:vAlign w:val="center"/>
          </w:tcPr>
          <w:p w14:paraId="03D97685" w14:textId="77777777" w:rsidR="00672297" w:rsidRDefault="00A16EA3">
            <w:pPr>
              <w:spacing w:before="20" w:after="20"/>
              <w:jc w:val="left"/>
            </w:pPr>
            <w:r>
              <w:rPr>
                <w:rFonts w:cstheme="minorHAnsi"/>
                <w:sz w:val="16"/>
                <w:szCs w:val="16"/>
              </w:rPr>
              <w:t>N</w:t>
            </w:r>
          </w:p>
        </w:tc>
        <w:tc>
          <w:tcPr>
            <w:tcW w:w="655" w:type="dxa"/>
            <w:vAlign w:val="center"/>
          </w:tcPr>
          <w:p w14:paraId="48A4711B" w14:textId="77777777" w:rsidR="00672297" w:rsidRDefault="00A16EA3">
            <w:pPr>
              <w:spacing w:before="20" w:after="20"/>
              <w:jc w:val="left"/>
            </w:pPr>
            <w:r>
              <w:rPr>
                <w:rFonts w:cstheme="minorHAnsi"/>
                <w:sz w:val="16"/>
                <w:szCs w:val="16"/>
              </w:rPr>
              <w:t>N</w:t>
            </w:r>
          </w:p>
        </w:tc>
        <w:tc>
          <w:tcPr>
            <w:tcW w:w="655" w:type="dxa"/>
            <w:vAlign w:val="center"/>
          </w:tcPr>
          <w:p w14:paraId="6793F9C4" w14:textId="77777777" w:rsidR="00672297" w:rsidRDefault="00A16EA3">
            <w:pPr>
              <w:spacing w:before="20" w:after="20"/>
              <w:jc w:val="left"/>
            </w:pPr>
            <w:r>
              <w:rPr>
                <w:rFonts w:cstheme="minorHAnsi"/>
                <w:sz w:val="16"/>
                <w:szCs w:val="16"/>
              </w:rPr>
              <w:t>Y</w:t>
            </w:r>
          </w:p>
        </w:tc>
        <w:tc>
          <w:tcPr>
            <w:tcW w:w="1967" w:type="dxa"/>
            <w:vAlign w:val="center"/>
          </w:tcPr>
          <w:p w14:paraId="32E1AFB1" w14:textId="77777777" w:rsidR="00672297" w:rsidRDefault="00672297">
            <w:pPr>
              <w:spacing w:before="20" w:after="20"/>
              <w:jc w:val="left"/>
            </w:pPr>
          </w:p>
        </w:tc>
      </w:tr>
      <w:tr w:rsidR="00672297" w14:paraId="7B8624A9" w14:textId="77777777">
        <w:trPr>
          <w:cantSplit/>
        </w:trPr>
        <w:tc>
          <w:tcPr>
            <w:tcW w:w="1404" w:type="dxa"/>
            <w:vAlign w:val="center"/>
          </w:tcPr>
          <w:p w14:paraId="71C66C1A" w14:textId="77777777" w:rsidR="00672297" w:rsidRDefault="00A16EA3">
            <w:pPr>
              <w:spacing w:before="20" w:after="20"/>
              <w:jc w:val="left"/>
            </w:pPr>
            <w:r>
              <w:rPr>
                <w:rFonts w:cstheme="minorHAnsi"/>
                <w:sz w:val="16"/>
                <w:szCs w:val="16"/>
              </w:rPr>
              <w:t>Demand Forecast Chart</w:t>
            </w:r>
          </w:p>
        </w:tc>
        <w:tc>
          <w:tcPr>
            <w:tcW w:w="1310" w:type="dxa"/>
            <w:vAlign w:val="center"/>
          </w:tcPr>
          <w:p w14:paraId="642E1E46" w14:textId="77777777" w:rsidR="00672297" w:rsidRDefault="00A16EA3">
            <w:pPr>
              <w:spacing w:before="20" w:after="20"/>
              <w:jc w:val="left"/>
            </w:pPr>
            <w:r>
              <w:rPr>
                <w:rFonts w:cstheme="minorHAnsi"/>
                <w:sz w:val="16"/>
                <w:szCs w:val="16"/>
              </w:rPr>
              <w:t>Demand</w:t>
            </w:r>
          </w:p>
        </w:tc>
        <w:tc>
          <w:tcPr>
            <w:tcW w:w="1310" w:type="dxa"/>
            <w:vAlign w:val="center"/>
          </w:tcPr>
          <w:p w14:paraId="584C54F2"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0363A8E0" w14:textId="77777777" w:rsidR="00672297" w:rsidRDefault="00A16EA3">
            <w:pPr>
              <w:spacing w:before="20" w:after="20"/>
              <w:jc w:val="left"/>
            </w:pPr>
            <w:r>
              <w:rPr>
                <w:rFonts w:cstheme="minorHAnsi"/>
                <w:sz w:val="16"/>
                <w:szCs w:val="16"/>
              </w:rPr>
              <w:t>DemandBbl</w:t>
            </w:r>
          </w:p>
        </w:tc>
        <w:tc>
          <w:tcPr>
            <w:tcW w:w="655" w:type="dxa"/>
            <w:vAlign w:val="center"/>
          </w:tcPr>
          <w:p w14:paraId="21524E80" w14:textId="77777777" w:rsidR="00672297" w:rsidRDefault="00A16EA3">
            <w:pPr>
              <w:spacing w:before="20" w:after="20"/>
              <w:jc w:val="left"/>
            </w:pPr>
            <w:r>
              <w:rPr>
                <w:rFonts w:cstheme="minorHAnsi"/>
                <w:sz w:val="16"/>
                <w:szCs w:val="16"/>
              </w:rPr>
              <w:t>Y</w:t>
            </w:r>
          </w:p>
        </w:tc>
        <w:tc>
          <w:tcPr>
            <w:tcW w:w="655" w:type="dxa"/>
            <w:vAlign w:val="center"/>
          </w:tcPr>
          <w:p w14:paraId="6D9A5605" w14:textId="77777777" w:rsidR="00672297" w:rsidRDefault="00A16EA3">
            <w:pPr>
              <w:spacing w:before="20" w:after="20"/>
              <w:jc w:val="left"/>
            </w:pPr>
            <w:r>
              <w:rPr>
                <w:rFonts w:cstheme="minorHAnsi"/>
                <w:sz w:val="16"/>
                <w:szCs w:val="16"/>
              </w:rPr>
              <w:t>N</w:t>
            </w:r>
          </w:p>
        </w:tc>
        <w:tc>
          <w:tcPr>
            <w:tcW w:w="655" w:type="dxa"/>
            <w:vAlign w:val="center"/>
          </w:tcPr>
          <w:p w14:paraId="54E2EFA2" w14:textId="77777777" w:rsidR="00672297" w:rsidRDefault="00A16EA3">
            <w:pPr>
              <w:spacing w:before="20" w:after="20"/>
              <w:jc w:val="left"/>
            </w:pPr>
            <w:r>
              <w:rPr>
                <w:rFonts w:cstheme="minorHAnsi"/>
                <w:sz w:val="16"/>
                <w:szCs w:val="16"/>
              </w:rPr>
              <w:t>N</w:t>
            </w:r>
          </w:p>
        </w:tc>
        <w:tc>
          <w:tcPr>
            <w:tcW w:w="1967" w:type="dxa"/>
            <w:vAlign w:val="center"/>
          </w:tcPr>
          <w:p w14:paraId="210FF065" w14:textId="77777777" w:rsidR="00672297" w:rsidRDefault="00A16EA3">
            <w:pPr>
              <w:spacing w:before="20" w:after="20"/>
              <w:jc w:val="left"/>
            </w:pPr>
            <w:r>
              <w:rPr>
                <w:rFonts w:cstheme="minorHAnsi"/>
                <w:sz w:val="16"/>
                <w:szCs w:val="16"/>
              </w:rPr>
              <w:t>[Demand (bbl)]</w:t>
            </w:r>
          </w:p>
        </w:tc>
      </w:tr>
      <w:tr w:rsidR="00672297" w14:paraId="56D3A229" w14:textId="77777777">
        <w:trPr>
          <w:cantSplit/>
        </w:trPr>
        <w:tc>
          <w:tcPr>
            <w:tcW w:w="1404" w:type="dxa"/>
            <w:vAlign w:val="center"/>
          </w:tcPr>
          <w:p w14:paraId="64395CA8" w14:textId="77777777" w:rsidR="00672297" w:rsidRDefault="00A16EA3">
            <w:pPr>
              <w:spacing w:before="20" w:after="20"/>
              <w:jc w:val="left"/>
            </w:pPr>
            <w:r>
              <w:rPr>
                <w:rFonts w:cstheme="minorHAnsi"/>
                <w:sz w:val="16"/>
                <w:szCs w:val="16"/>
              </w:rPr>
              <w:t>Supply Plan Table</w:t>
            </w:r>
          </w:p>
        </w:tc>
        <w:tc>
          <w:tcPr>
            <w:tcW w:w="1310" w:type="dxa"/>
            <w:vAlign w:val="center"/>
          </w:tcPr>
          <w:p w14:paraId="07A47D37" w14:textId="77777777" w:rsidR="00672297" w:rsidRDefault="00A16EA3">
            <w:pPr>
              <w:spacing w:before="20" w:after="20"/>
              <w:jc w:val="left"/>
            </w:pPr>
            <w:r>
              <w:rPr>
                <w:rFonts w:cstheme="minorHAnsi"/>
                <w:sz w:val="16"/>
                <w:szCs w:val="16"/>
              </w:rPr>
              <w:t>CheckBox / Terminal</w:t>
            </w:r>
          </w:p>
        </w:tc>
        <w:tc>
          <w:tcPr>
            <w:tcW w:w="1310" w:type="dxa"/>
            <w:vAlign w:val="center"/>
          </w:tcPr>
          <w:p w14:paraId="4C6454D6"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401775E0" w14:textId="77777777" w:rsidR="00672297" w:rsidRDefault="00A16EA3">
            <w:pPr>
              <w:spacing w:before="20" w:after="20"/>
              <w:jc w:val="left"/>
            </w:pPr>
            <w:r>
              <w:rPr>
                <w:rFonts w:cstheme="minorHAnsi"/>
                <w:sz w:val="16"/>
                <w:szCs w:val="16"/>
              </w:rPr>
              <w:t>Terminal</w:t>
            </w:r>
          </w:p>
        </w:tc>
        <w:tc>
          <w:tcPr>
            <w:tcW w:w="655" w:type="dxa"/>
            <w:vAlign w:val="center"/>
          </w:tcPr>
          <w:p w14:paraId="5F11EDF0" w14:textId="77777777" w:rsidR="00672297" w:rsidRDefault="00A16EA3">
            <w:pPr>
              <w:spacing w:before="20" w:after="20"/>
              <w:jc w:val="left"/>
            </w:pPr>
            <w:r>
              <w:rPr>
                <w:rFonts w:cstheme="minorHAnsi"/>
                <w:sz w:val="16"/>
                <w:szCs w:val="16"/>
              </w:rPr>
              <w:t>N</w:t>
            </w:r>
          </w:p>
        </w:tc>
        <w:tc>
          <w:tcPr>
            <w:tcW w:w="655" w:type="dxa"/>
            <w:vAlign w:val="center"/>
          </w:tcPr>
          <w:p w14:paraId="4DE1E8AD" w14:textId="77777777" w:rsidR="00672297" w:rsidRDefault="00A16EA3">
            <w:pPr>
              <w:spacing w:before="20" w:after="20"/>
              <w:jc w:val="left"/>
            </w:pPr>
            <w:r>
              <w:rPr>
                <w:rFonts w:cstheme="minorHAnsi"/>
                <w:sz w:val="16"/>
                <w:szCs w:val="16"/>
              </w:rPr>
              <w:t>Y</w:t>
            </w:r>
          </w:p>
        </w:tc>
        <w:tc>
          <w:tcPr>
            <w:tcW w:w="655" w:type="dxa"/>
            <w:vAlign w:val="center"/>
          </w:tcPr>
          <w:p w14:paraId="6EA8228A" w14:textId="77777777" w:rsidR="00672297" w:rsidRDefault="00A16EA3">
            <w:pPr>
              <w:spacing w:before="20" w:after="20"/>
              <w:jc w:val="left"/>
            </w:pPr>
            <w:r>
              <w:rPr>
                <w:rFonts w:cstheme="minorHAnsi"/>
                <w:sz w:val="16"/>
                <w:szCs w:val="16"/>
              </w:rPr>
              <w:t>Y</w:t>
            </w:r>
          </w:p>
        </w:tc>
        <w:tc>
          <w:tcPr>
            <w:tcW w:w="1967" w:type="dxa"/>
            <w:vAlign w:val="center"/>
          </w:tcPr>
          <w:p w14:paraId="43420557" w14:textId="77777777" w:rsidR="00672297" w:rsidRDefault="00A16EA3">
            <w:pPr>
              <w:spacing w:before="20" w:after="20"/>
              <w:jc w:val="left"/>
            </w:pPr>
            <w:r>
              <w:rPr>
                <w:rFonts w:cstheme="minorHAnsi"/>
                <w:sz w:val="16"/>
                <w:szCs w:val="16"/>
              </w:rPr>
              <w:t>Terminal selection slicer</w:t>
            </w:r>
          </w:p>
        </w:tc>
      </w:tr>
      <w:tr w:rsidR="00672297" w14:paraId="11883C58" w14:textId="77777777">
        <w:trPr>
          <w:cantSplit/>
        </w:trPr>
        <w:tc>
          <w:tcPr>
            <w:tcW w:w="1404" w:type="dxa"/>
            <w:vAlign w:val="center"/>
          </w:tcPr>
          <w:p w14:paraId="1000EAA5" w14:textId="77777777" w:rsidR="00672297" w:rsidRDefault="00A16EA3">
            <w:pPr>
              <w:spacing w:before="20" w:after="20"/>
              <w:jc w:val="left"/>
            </w:pPr>
            <w:r>
              <w:rPr>
                <w:rFonts w:cstheme="minorHAnsi"/>
                <w:sz w:val="16"/>
                <w:szCs w:val="16"/>
              </w:rPr>
              <w:t>Supply Plan Table</w:t>
            </w:r>
          </w:p>
        </w:tc>
        <w:tc>
          <w:tcPr>
            <w:tcW w:w="1310" w:type="dxa"/>
            <w:vAlign w:val="center"/>
          </w:tcPr>
          <w:p w14:paraId="0E367710" w14:textId="77777777" w:rsidR="00672297" w:rsidRDefault="00A16EA3">
            <w:pPr>
              <w:spacing w:before="20" w:after="20"/>
              <w:jc w:val="left"/>
            </w:pPr>
            <w:r>
              <w:rPr>
                <w:rFonts w:cstheme="minorHAnsi"/>
                <w:sz w:val="16"/>
                <w:szCs w:val="16"/>
              </w:rPr>
              <w:t>Demand / Use</w:t>
            </w:r>
          </w:p>
        </w:tc>
        <w:tc>
          <w:tcPr>
            <w:tcW w:w="1310" w:type="dxa"/>
            <w:vAlign w:val="center"/>
          </w:tcPr>
          <w:p w14:paraId="5A82605A"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56B737BB" w14:textId="77777777" w:rsidR="00672297" w:rsidRDefault="00A16EA3">
            <w:pPr>
              <w:spacing w:before="20" w:after="20"/>
              <w:jc w:val="left"/>
            </w:pPr>
            <w:r>
              <w:rPr>
                <w:rFonts w:cstheme="minorHAnsi"/>
                <w:sz w:val="16"/>
                <w:szCs w:val="16"/>
              </w:rPr>
              <w:t>DemandBbl</w:t>
            </w:r>
          </w:p>
        </w:tc>
        <w:tc>
          <w:tcPr>
            <w:tcW w:w="655" w:type="dxa"/>
            <w:vAlign w:val="center"/>
          </w:tcPr>
          <w:p w14:paraId="4DE1F55F" w14:textId="77777777" w:rsidR="00672297" w:rsidRDefault="00A16EA3">
            <w:pPr>
              <w:spacing w:before="20" w:after="20"/>
              <w:jc w:val="left"/>
            </w:pPr>
            <w:r>
              <w:rPr>
                <w:rFonts w:cstheme="minorHAnsi"/>
                <w:sz w:val="16"/>
                <w:szCs w:val="16"/>
              </w:rPr>
              <w:t>Y</w:t>
            </w:r>
          </w:p>
        </w:tc>
        <w:tc>
          <w:tcPr>
            <w:tcW w:w="655" w:type="dxa"/>
            <w:vAlign w:val="center"/>
          </w:tcPr>
          <w:p w14:paraId="708F21B0" w14:textId="77777777" w:rsidR="00672297" w:rsidRDefault="00A16EA3">
            <w:pPr>
              <w:spacing w:before="20" w:after="20"/>
              <w:jc w:val="left"/>
            </w:pPr>
            <w:r>
              <w:rPr>
                <w:rFonts w:cstheme="minorHAnsi"/>
                <w:sz w:val="16"/>
                <w:szCs w:val="16"/>
              </w:rPr>
              <w:t>N</w:t>
            </w:r>
          </w:p>
        </w:tc>
        <w:tc>
          <w:tcPr>
            <w:tcW w:w="655" w:type="dxa"/>
            <w:vAlign w:val="center"/>
          </w:tcPr>
          <w:p w14:paraId="3E0C5785" w14:textId="77777777" w:rsidR="00672297" w:rsidRDefault="00A16EA3">
            <w:pPr>
              <w:spacing w:before="20" w:after="20"/>
              <w:jc w:val="left"/>
            </w:pPr>
            <w:r>
              <w:rPr>
                <w:rFonts w:cstheme="minorHAnsi"/>
                <w:sz w:val="16"/>
                <w:szCs w:val="16"/>
              </w:rPr>
              <w:t>N</w:t>
            </w:r>
          </w:p>
        </w:tc>
        <w:tc>
          <w:tcPr>
            <w:tcW w:w="1967" w:type="dxa"/>
            <w:vAlign w:val="center"/>
          </w:tcPr>
          <w:p w14:paraId="7A866972" w14:textId="77777777" w:rsidR="00672297" w:rsidRDefault="00672297">
            <w:pPr>
              <w:spacing w:before="20" w:after="20"/>
              <w:jc w:val="left"/>
            </w:pPr>
          </w:p>
        </w:tc>
      </w:tr>
      <w:tr w:rsidR="00672297" w14:paraId="3333EE5B" w14:textId="77777777">
        <w:trPr>
          <w:cantSplit/>
        </w:trPr>
        <w:tc>
          <w:tcPr>
            <w:tcW w:w="1404" w:type="dxa"/>
            <w:vAlign w:val="center"/>
          </w:tcPr>
          <w:p w14:paraId="327FAE3F" w14:textId="77777777" w:rsidR="00672297" w:rsidRDefault="00A16EA3">
            <w:pPr>
              <w:spacing w:before="20" w:after="20"/>
              <w:jc w:val="left"/>
            </w:pPr>
            <w:r>
              <w:rPr>
                <w:rFonts w:cstheme="minorHAnsi"/>
                <w:sz w:val="16"/>
                <w:szCs w:val="16"/>
              </w:rPr>
              <w:t>Supply Plan Table</w:t>
            </w:r>
          </w:p>
        </w:tc>
        <w:tc>
          <w:tcPr>
            <w:tcW w:w="1310" w:type="dxa"/>
            <w:vAlign w:val="center"/>
          </w:tcPr>
          <w:p w14:paraId="674C7C27" w14:textId="77777777" w:rsidR="00672297" w:rsidRDefault="00A16EA3">
            <w:pPr>
              <w:spacing w:before="20" w:after="20"/>
              <w:jc w:val="left"/>
            </w:pPr>
            <w:r>
              <w:rPr>
                <w:rFonts w:cstheme="minorHAnsi"/>
                <w:sz w:val="16"/>
                <w:szCs w:val="16"/>
              </w:rPr>
              <w:t>Tank Inventory</w:t>
            </w:r>
          </w:p>
        </w:tc>
        <w:tc>
          <w:tcPr>
            <w:tcW w:w="1310" w:type="dxa"/>
            <w:vAlign w:val="center"/>
          </w:tcPr>
          <w:p w14:paraId="7C43D921"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51EDB595" w14:textId="77777777" w:rsidR="00672297" w:rsidRDefault="00A16EA3">
            <w:pPr>
              <w:spacing w:before="20" w:after="20"/>
              <w:jc w:val="left"/>
            </w:pPr>
            <w:r>
              <w:rPr>
                <w:rFonts w:cstheme="minorHAnsi"/>
                <w:sz w:val="16"/>
                <w:szCs w:val="16"/>
              </w:rPr>
              <w:t>OpeningInventoryBbl</w:t>
            </w:r>
          </w:p>
        </w:tc>
        <w:tc>
          <w:tcPr>
            <w:tcW w:w="655" w:type="dxa"/>
            <w:vAlign w:val="center"/>
          </w:tcPr>
          <w:p w14:paraId="275BF2DE" w14:textId="77777777" w:rsidR="00672297" w:rsidRDefault="00A16EA3">
            <w:pPr>
              <w:spacing w:before="20" w:after="20"/>
              <w:jc w:val="left"/>
            </w:pPr>
            <w:r>
              <w:rPr>
                <w:rFonts w:cstheme="minorHAnsi"/>
                <w:sz w:val="16"/>
                <w:szCs w:val="16"/>
              </w:rPr>
              <w:t>Y</w:t>
            </w:r>
          </w:p>
        </w:tc>
        <w:tc>
          <w:tcPr>
            <w:tcW w:w="655" w:type="dxa"/>
            <w:vAlign w:val="center"/>
          </w:tcPr>
          <w:p w14:paraId="0D80EB0B" w14:textId="77777777" w:rsidR="00672297" w:rsidRDefault="00A16EA3">
            <w:pPr>
              <w:spacing w:before="20" w:after="20"/>
              <w:jc w:val="left"/>
            </w:pPr>
            <w:r>
              <w:rPr>
                <w:rFonts w:cstheme="minorHAnsi"/>
                <w:sz w:val="16"/>
                <w:szCs w:val="16"/>
              </w:rPr>
              <w:t>N</w:t>
            </w:r>
          </w:p>
        </w:tc>
        <w:tc>
          <w:tcPr>
            <w:tcW w:w="655" w:type="dxa"/>
            <w:vAlign w:val="center"/>
          </w:tcPr>
          <w:p w14:paraId="25C5C7E9" w14:textId="77777777" w:rsidR="00672297" w:rsidRDefault="00A16EA3">
            <w:pPr>
              <w:spacing w:before="20" w:after="20"/>
              <w:jc w:val="left"/>
            </w:pPr>
            <w:r>
              <w:rPr>
                <w:rFonts w:cstheme="minorHAnsi"/>
                <w:sz w:val="16"/>
                <w:szCs w:val="16"/>
              </w:rPr>
              <w:t>N</w:t>
            </w:r>
          </w:p>
        </w:tc>
        <w:tc>
          <w:tcPr>
            <w:tcW w:w="1967" w:type="dxa"/>
            <w:vAlign w:val="center"/>
          </w:tcPr>
          <w:p w14:paraId="2F92F0FD" w14:textId="77777777" w:rsidR="00672297" w:rsidRDefault="00A16EA3">
            <w:pPr>
              <w:spacing w:before="20" w:after="20"/>
              <w:jc w:val="left"/>
            </w:pPr>
            <w:r>
              <w:rPr>
                <w:rFonts w:cstheme="minorHAnsi"/>
                <w:sz w:val="16"/>
                <w:szCs w:val="16"/>
              </w:rPr>
              <w:t>[Tank Inventory (bbl)]</w:t>
            </w:r>
          </w:p>
        </w:tc>
      </w:tr>
      <w:tr w:rsidR="00672297" w14:paraId="68EB4116" w14:textId="77777777">
        <w:trPr>
          <w:cantSplit/>
        </w:trPr>
        <w:tc>
          <w:tcPr>
            <w:tcW w:w="1404" w:type="dxa"/>
            <w:vAlign w:val="center"/>
          </w:tcPr>
          <w:p w14:paraId="6A4BE7BB" w14:textId="77777777" w:rsidR="00672297" w:rsidRDefault="00A16EA3">
            <w:pPr>
              <w:spacing w:before="20" w:after="20"/>
              <w:jc w:val="left"/>
            </w:pPr>
            <w:r>
              <w:rPr>
                <w:rFonts w:cstheme="minorHAnsi"/>
                <w:sz w:val="16"/>
                <w:szCs w:val="16"/>
              </w:rPr>
              <w:t>Supply Plan Table</w:t>
            </w:r>
          </w:p>
        </w:tc>
        <w:tc>
          <w:tcPr>
            <w:tcW w:w="1310" w:type="dxa"/>
            <w:vAlign w:val="center"/>
          </w:tcPr>
          <w:p w14:paraId="7D05E67E" w14:textId="77777777" w:rsidR="00672297" w:rsidRDefault="00A16EA3">
            <w:pPr>
              <w:spacing w:before="20" w:after="20"/>
              <w:jc w:val="left"/>
            </w:pPr>
            <w:r>
              <w:rPr>
                <w:rFonts w:cstheme="minorHAnsi"/>
                <w:sz w:val="16"/>
                <w:szCs w:val="16"/>
              </w:rPr>
              <w:t>In-Transit</w:t>
            </w:r>
          </w:p>
        </w:tc>
        <w:tc>
          <w:tcPr>
            <w:tcW w:w="1310" w:type="dxa"/>
            <w:vAlign w:val="center"/>
          </w:tcPr>
          <w:p w14:paraId="66686FC0"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4F93FBE1" w14:textId="77777777" w:rsidR="00672297" w:rsidRDefault="00A16EA3">
            <w:pPr>
              <w:spacing w:before="20" w:after="20"/>
              <w:jc w:val="left"/>
            </w:pPr>
            <w:r>
              <w:rPr>
                <w:rFonts w:cstheme="minorHAnsi"/>
                <w:sz w:val="16"/>
                <w:szCs w:val="16"/>
              </w:rPr>
              <w:t>ReceiptInTransitBbl</w:t>
            </w:r>
          </w:p>
        </w:tc>
        <w:tc>
          <w:tcPr>
            <w:tcW w:w="655" w:type="dxa"/>
            <w:vAlign w:val="center"/>
          </w:tcPr>
          <w:p w14:paraId="7B32CC7D" w14:textId="77777777" w:rsidR="00672297" w:rsidRDefault="00A16EA3">
            <w:pPr>
              <w:spacing w:before="20" w:after="20"/>
              <w:jc w:val="left"/>
            </w:pPr>
            <w:r>
              <w:rPr>
                <w:rFonts w:cstheme="minorHAnsi"/>
                <w:sz w:val="16"/>
                <w:szCs w:val="16"/>
              </w:rPr>
              <w:t>Y</w:t>
            </w:r>
          </w:p>
        </w:tc>
        <w:tc>
          <w:tcPr>
            <w:tcW w:w="655" w:type="dxa"/>
            <w:vAlign w:val="center"/>
          </w:tcPr>
          <w:p w14:paraId="66DBCADF" w14:textId="77777777" w:rsidR="00672297" w:rsidRDefault="00A16EA3">
            <w:pPr>
              <w:spacing w:before="20" w:after="20"/>
              <w:jc w:val="left"/>
            </w:pPr>
            <w:r>
              <w:rPr>
                <w:rFonts w:cstheme="minorHAnsi"/>
                <w:sz w:val="16"/>
                <w:szCs w:val="16"/>
              </w:rPr>
              <w:t>N</w:t>
            </w:r>
          </w:p>
        </w:tc>
        <w:tc>
          <w:tcPr>
            <w:tcW w:w="655" w:type="dxa"/>
            <w:vAlign w:val="center"/>
          </w:tcPr>
          <w:p w14:paraId="1902C9C5" w14:textId="77777777" w:rsidR="00672297" w:rsidRDefault="00A16EA3">
            <w:pPr>
              <w:spacing w:before="20" w:after="20"/>
              <w:jc w:val="left"/>
            </w:pPr>
            <w:r>
              <w:rPr>
                <w:rFonts w:cstheme="minorHAnsi"/>
                <w:sz w:val="16"/>
                <w:szCs w:val="16"/>
              </w:rPr>
              <w:t>N</w:t>
            </w:r>
          </w:p>
        </w:tc>
        <w:tc>
          <w:tcPr>
            <w:tcW w:w="1967" w:type="dxa"/>
            <w:vAlign w:val="center"/>
          </w:tcPr>
          <w:p w14:paraId="1B034E9B" w14:textId="77777777" w:rsidR="00672297" w:rsidRDefault="00A16EA3">
            <w:pPr>
              <w:spacing w:before="20" w:after="20"/>
              <w:jc w:val="left"/>
            </w:pPr>
            <w:r>
              <w:rPr>
                <w:rFonts w:cstheme="minorHAnsi"/>
                <w:sz w:val="16"/>
                <w:szCs w:val="16"/>
              </w:rPr>
              <w:t>[In-Transit (bbl)]</w:t>
            </w:r>
          </w:p>
        </w:tc>
      </w:tr>
      <w:tr w:rsidR="00672297" w14:paraId="0FB804B5" w14:textId="77777777">
        <w:trPr>
          <w:cantSplit/>
        </w:trPr>
        <w:tc>
          <w:tcPr>
            <w:tcW w:w="1404" w:type="dxa"/>
            <w:vAlign w:val="center"/>
          </w:tcPr>
          <w:p w14:paraId="242CCC59" w14:textId="77777777" w:rsidR="00672297" w:rsidRDefault="00A16EA3">
            <w:pPr>
              <w:spacing w:before="20" w:after="20"/>
              <w:jc w:val="left"/>
            </w:pPr>
            <w:r>
              <w:rPr>
                <w:rFonts w:cstheme="minorHAnsi"/>
                <w:sz w:val="16"/>
                <w:szCs w:val="16"/>
              </w:rPr>
              <w:t>Supply Plan Table</w:t>
            </w:r>
          </w:p>
        </w:tc>
        <w:tc>
          <w:tcPr>
            <w:tcW w:w="1310" w:type="dxa"/>
            <w:vAlign w:val="center"/>
          </w:tcPr>
          <w:p w14:paraId="65A846A0" w14:textId="77777777" w:rsidR="00672297" w:rsidRDefault="00A16EA3">
            <w:pPr>
              <w:spacing w:before="20" w:after="20"/>
              <w:jc w:val="left"/>
            </w:pPr>
            <w:r>
              <w:rPr>
                <w:rFonts w:cstheme="minorHAnsi"/>
                <w:sz w:val="16"/>
                <w:szCs w:val="16"/>
              </w:rPr>
              <w:t>Net Gap / Surplus</w:t>
            </w:r>
          </w:p>
        </w:tc>
        <w:tc>
          <w:tcPr>
            <w:tcW w:w="1310" w:type="dxa"/>
            <w:vAlign w:val="center"/>
          </w:tcPr>
          <w:p w14:paraId="03AA4F3B"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37AE3B83" w14:textId="77777777" w:rsidR="00672297" w:rsidRDefault="00A16EA3">
            <w:pPr>
              <w:spacing w:before="20" w:after="20"/>
              <w:jc w:val="left"/>
            </w:pPr>
            <w:r>
              <w:rPr>
                <w:rFonts w:cstheme="minorHAnsi"/>
                <w:sz w:val="16"/>
                <w:szCs w:val="16"/>
              </w:rPr>
              <w:t>-</w:t>
            </w:r>
          </w:p>
        </w:tc>
        <w:tc>
          <w:tcPr>
            <w:tcW w:w="655" w:type="dxa"/>
            <w:vAlign w:val="center"/>
          </w:tcPr>
          <w:p w14:paraId="322DE975" w14:textId="77777777" w:rsidR="00672297" w:rsidRDefault="00A16EA3">
            <w:pPr>
              <w:spacing w:before="20" w:after="20"/>
              <w:jc w:val="left"/>
            </w:pPr>
            <w:r>
              <w:rPr>
                <w:rFonts w:cstheme="minorHAnsi"/>
                <w:sz w:val="16"/>
                <w:szCs w:val="16"/>
              </w:rPr>
              <w:t>Y</w:t>
            </w:r>
          </w:p>
        </w:tc>
        <w:tc>
          <w:tcPr>
            <w:tcW w:w="655" w:type="dxa"/>
            <w:vAlign w:val="center"/>
          </w:tcPr>
          <w:p w14:paraId="2661F151" w14:textId="77777777" w:rsidR="00672297" w:rsidRDefault="00A16EA3">
            <w:pPr>
              <w:spacing w:before="20" w:after="20"/>
              <w:jc w:val="left"/>
            </w:pPr>
            <w:r>
              <w:rPr>
                <w:rFonts w:cstheme="minorHAnsi"/>
                <w:sz w:val="16"/>
                <w:szCs w:val="16"/>
              </w:rPr>
              <w:t>N</w:t>
            </w:r>
          </w:p>
        </w:tc>
        <w:tc>
          <w:tcPr>
            <w:tcW w:w="655" w:type="dxa"/>
            <w:vAlign w:val="center"/>
          </w:tcPr>
          <w:p w14:paraId="167372AA" w14:textId="77777777" w:rsidR="00672297" w:rsidRDefault="00A16EA3">
            <w:pPr>
              <w:spacing w:before="20" w:after="20"/>
              <w:jc w:val="left"/>
            </w:pPr>
            <w:r>
              <w:rPr>
                <w:rFonts w:cstheme="minorHAnsi"/>
                <w:sz w:val="16"/>
                <w:szCs w:val="16"/>
              </w:rPr>
              <w:t>N</w:t>
            </w:r>
          </w:p>
        </w:tc>
        <w:tc>
          <w:tcPr>
            <w:tcW w:w="1967" w:type="dxa"/>
            <w:vAlign w:val="center"/>
          </w:tcPr>
          <w:p w14:paraId="6602AD1C" w14:textId="77777777" w:rsidR="00672297" w:rsidRDefault="00A16EA3">
            <w:pPr>
              <w:spacing w:before="20" w:after="20"/>
              <w:jc w:val="left"/>
            </w:pPr>
            <w:r>
              <w:rPr>
                <w:rFonts w:cstheme="minorHAnsi"/>
                <w:sz w:val="16"/>
                <w:szCs w:val="16"/>
              </w:rPr>
              <w:t>[Net Gap (bbl)]; red &lt; 0, green &gt;= 0; "—" when BlendingCapableFlag = 0</w:t>
            </w:r>
          </w:p>
        </w:tc>
      </w:tr>
      <w:tr w:rsidR="00672297" w14:paraId="12E5448A" w14:textId="77777777">
        <w:trPr>
          <w:cantSplit/>
        </w:trPr>
        <w:tc>
          <w:tcPr>
            <w:tcW w:w="1404" w:type="dxa"/>
            <w:vAlign w:val="center"/>
          </w:tcPr>
          <w:p w14:paraId="21995F0F" w14:textId="77777777" w:rsidR="00672297" w:rsidRDefault="00A16EA3">
            <w:pPr>
              <w:spacing w:before="20" w:after="20"/>
              <w:jc w:val="left"/>
            </w:pPr>
            <w:r>
              <w:rPr>
                <w:rFonts w:cstheme="minorHAnsi"/>
                <w:sz w:val="16"/>
                <w:szCs w:val="16"/>
              </w:rPr>
              <w:t>Supply Plan Table</w:t>
            </w:r>
          </w:p>
        </w:tc>
        <w:tc>
          <w:tcPr>
            <w:tcW w:w="1310" w:type="dxa"/>
            <w:vAlign w:val="center"/>
          </w:tcPr>
          <w:p w14:paraId="13E08AFC" w14:textId="77777777" w:rsidR="00672297" w:rsidRDefault="00A16EA3">
            <w:pPr>
              <w:spacing w:before="20" w:after="20"/>
              <w:jc w:val="left"/>
            </w:pPr>
            <w:r>
              <w:rPr>
                <w:rFonts w:cstheme="minorHAnsi"/>
                <w:sz w:val="16"/>
                <w:szCs w:val="16"/>
              </w:rPr>
              <w:t>Recommended Action</w:t>
            </w:r>
          </w:p>
        </w:tc>
        <w:tc>
          <w:tcPr>
            <w:tcW w:w="1310" w:type="dxa"/>
            <w:vAlign w:val="center"/>
          </w:tcPr>
          <w:p w14:paraId="2840926E"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503E583B" w14:textId="77777777" w:rsidR="00672297" w:rsidRDefault="00A16EA3">
            <w:pPr>
              <w:spacing w:before="20" w:after="20"/>
              <w:jc w:val="left"/>
            </w:pPr>
            <w:r>
              <w:rPr>
                <w:rFonts w:cstheme="minorHAnsi"/>
                <w:sz w:val="16"/>
                <w:szCs w:val="16"/>
              </w:rPr>
              <w:t>UrgentThresholdBbl, PlanThresholdBbl</w:t>
            </w:r>
          </w:p>
        </w:tc>
        <w:tc>
          <w:tcPr>
            <w:tcW w:w="655" w:type="dxa"/>
            <w:vAlign w:val="center"/>
          </w:tcPr>
          <w:p w14:paraId="02CBBA36" w14:textId="77777777" w:rsidR="00672297" w:rsidRDefault="00A16EA3">
            <w:pPr>
              <w:spacing w:before="20" w:after="20"/>
              <w:jc w:val="left"/>
            </w:pPr>
            <w:r>
              <w:rPr>
                <w:rFonts w:cstheme="minorHAnsi"/>
                <w:sz w:val="16"/>
                <w:szCs w:val="16"/>
              </w:rPr>
              <w:t>Y</w:t>
            </w:r>
          </w:p>
        </w:tc>
        <w:tc>
          <w:tcPr>
            <w:tcW w:w="655" w:type="dxa"/>
            <w:vAlign w:val="center"/>
          </w:tcPr>
          <w:p w14:paraId="5CB356DF" w14:textId="77777777" w:rsidR="00672297" w:rsidRDefault="00A16EA3">
            <w:pPr>
              <w:spacing w:before="20" w:after="20"/>
              <w:jc w:val="left"/>
            </w:pPr>
            <w:r>
              <w:rPr>
                <w:rFonts w:cstheme="minorHAnsi"/>
                <w:sz w:val="16"/>
                <w:szCs w:val="16"/>
              </w:rPr>
              <w:t>N</w:t>
            </w:r>
          </w:p>
        </w:tc>
        <w:tc>
          <w:tcPr>
            <w:tcW w:w="655" w:type="dxa"/>
            <w:vAlign w:val="center"/>
          </w:tcPr>
          <w:p w14:paraId="67189E20" w14:textId="77777777" w:rsidR="00672297" w:rsidRDefault="00A16EA3">
            <w:pPr>
              <w:spacing w:before="20" w:after="20"/>
              <w:jc w:val="left"/>
            </w:pPr>
            <w:r>
              <w:rPr>
                <w:rFonts w:cstheme="minorHAnsi"/>
                <w:sz w:val="16"/>
                <w:szCs w:val="16"/>
              </w:rPr>
              <w:t>N</w:t>
            </w:r>
          </w:p>
        </w:tc>
        <w:tc>
          <w:tcPr>
            <w:tcW w:w="1967" w:type="dxa"/>
            <w:vAlign w:val="center"/>
          </w:tcPr>
          <w:p w14:paraId="36771ECC" w14:textId="77777777" w:rsidR="00672297" w:rsidRDefault="00A16EA3">
            <w:pPr>
              <w:spacing w:before="20" w:after="20"/>
              <w:jc w:val="left"/>
            </w:pPr>
            <w:r>
              <w:rPr>
                <w:rFonts w:cstheme="minorHAnsi"/>
                <w:sz w:val="16"/>
                <w:szCs w:val="16"/>
              </w:rPr>
              <w:t>[Recommended Action]</w:t>
            </w:r>
          </w:p>
        </w:tc>
      </w:tr>
      <w:tr w:rsidR="00672297" w14:paraId="607F7B6F" w14:textId="77777777">
        <w:trPr>
          <w:cantSplit/>
        </w:trPr>
        <w:tc>
          <w:tcPr>
            <w:tcW w:w="1404" w:type="dxa"/>
            <w:vAlign w:val="center"/>
          </w:tcPr>
          <w:p w14:paraId="0083201A" w14:textId="77777777" w:rsidR="00672297" w:rsidRDefault="00A16EA3">
            <w:pPr>
              <w:spacing w:before="20" w:after="20"/>
              <w:jc w:val="left"/>
            </w:pPr>
            <w:r>
              <w:rPr>
                <w:rFonts w:cstheme="minorHAnsi"/>
                <w:sz w:val="16"/>
                <w:szCs w:val="16"/>
              </w:rPr>
              <w:t>Daily Position (drill-through)</w:t>
            </w:r>
          </w:p>
        </w:tc>
        <w:tc>
          <w:tcPr>
            <w:tcW w:w="1310" w:type="dxa"/>
            <w:vAlign w:val="center"/>
          </w:tcPr>
          <w:p w14:paraId="4173413D" w14:textId="77777777" w:rsidR="00672297" w:rsidRDefault="00A16EA3">
            <w:pPr>
              <w:spacing w:before="20" w:after="20"/>
              <w:jc w:val="left"/>
            </w:pPr>
            <w:r>
              <w:rPr>
                <w:rFonts w:cstheme="minorHAnsi"/>
                <w:sz w:val="16"/>
                <w:szCs w:val="16"/>
              </w:rPr>
              <w:t>Date</w:t>
            </w:r>
          </w:p>
        </w:tc>
        <w:tc>
          <w:tcPr>
            <w:tcW w:w="1310" w:type="dxa"/>
            <w:vAlign w:val="center"/>
          </w:tcPr>
          <w:p w14:paraId="7D9A990C"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2EEE6F80" w14:textId="77777777" w:rsidR="00672297" w:rsidRDefault="00A16EA3">
            <w:pPr>
              <w:spacing w:before="20" w:after="20"/>
              <w:jc w:val="left"/>
            </w:pPr>
            <w:r>
              <w:rPr>
                <w:rFonts w:cstheme="minorHAnsi"/>
                <w:sz w:val="16"/>
                <w:szCs w:val="16"/>
              </w:rPr>
              <w:t>PositionDate</w:t>
            </w:r>
          </w:p>
        </w:tc>
        <w:tc>
          <w:tcPr>
            <w:tcW w:w="655" w:type="dxa"/>
            <w:vAlign w:val="center"/>
          </w:tcPr>
          <w:p w14:paraId="0C384B02" w14:textId="77777777" w:rsidR="00672297" w:rsidRDefault="00A16EA3">
            <w:pPr>
              <w:spacing w:before="20" w:after="20"/>
              <w:jc w:val="left"/>
            </w:pPr>
            <w:r>
              <w:rPr>
                <w:rFonts w:cstheme="minorHAnsi"/>
                <w:sz w:val="16"/>
                <w:szCs w:val="16"/>
              </w:rPr>
              <w:t>N</w:t>
            </w:r>
          </w:p>
        </w:tc>
        <w:tc>
          <w:tcPr>
            <w:tcW w:w="655" w:type="dxa"/>
            <w:vAlign w:val="center"/>
          </w:tcPr>
          <w:p w14:paraId="66A24678" w14:textId="77777777" w:rsidR="00672297" w:rsidRDefault="00A16EA3">
            <w:pPr>
              <w:spacing w:before="20" w:after="20"/>
              <w:jc w:val="left"/>
            </w:pPr>
            <w:r>
              <w:rPr>
                <w:rFonts w:cstheme="minorHAnsi"/>
                <w:sz w:val="16"/>
                <w:szCs w:val="16"/>
              </w:rPr>
              <w:t>N</w:t>
            </w:r>
          </w:p>
        </w:tc>
        <w:tc>
          <w:tcPr>
            <w:tcW w:w="655" w:type="dxa"/>
            <w:vAlign w:val="center"/>
          </w:tcPr>
          <w:p w14:paraId="7A765304" w14:textId="77777777" w:rsidR="00672297" w:rsidRDefault="00A16EA3">
            <w:pPr>
              <w:spacing w:before="20" w:after="20"/>
              <w:jc w:val="left"/>
            </w:pPr>
            <w:r>
              <w:rPr>
                <w:rFonts w:cstheme="minorHAnsi"/>
                <w:sz w:val="16"/>
                <w:szCs w:val="16"/>
              </w:rPr>
              <w:t>Y</w:t>
            </w:r>
          </w:p>
        </w:tc>
        <w:tc>
          <w:tcPr>
            <w:tcW w:w="1967" w:type="dxa"/>
            <w:vAlign w:val="center"/>
          </w:tcPr>
          <w:p w14:paraId="285BB019" w14:textId="77777777" w:rsidR="00672297" w:rsidRDefault="00672297">
            <w:pPr>
              <w:spacing w:before="20" w:after="20"/>
              <w:jc w:val="left"/>
            </w:pPr>
          </w:p>
        </w:tc>
      </w:tr>
      <w:tr w:rsidR="00672297" w14:paraId="5176357C" w14:textId="77777777">
        <w:trPr>
          <w:cantSplit/>
        </w:trPr>
        <w:tc>
          <w:tcPr>
            <w:tcW w:w="1404" w:type="dxa"/>
            <w:vAlign w:val="center"/>
          </w:tcPr>
          <w:p w14:paraId="15AF2EB0" w14:textId="77777777" w:rsidR="00672297" w:rsidRDefault="00A16EA3">
            <w:pPr>
              <w:spacing w:before="20" w:after="20"/>
              <w:jc w:val="left"/>
            </w:pPr>
            <w:r>
              <w:rPr>
                <w:rFonts w:cstheme="minorHAnsi"/>
                <w:sz w:val="16"/>
                <w:szCs w:val="16"/>
              </w:rPr>
              <w:t>Daily Position (drill-through)</w:t>
            </w:r>
          </w:p>
        </w:tc>
        <w:tc>
          <w:tcPr>
            <w:tcW w:w="1310" w:type="dxa"/>
            <w:vAlign w:val="center"/>
          </w:tcPr>
          <w:p w14:paraId="7C9ED5D9" w14:textId="77777777" w:rsidR="00672297" w:rsidRDefault="00A16EA3">
            <w:pPr>
              <w:spacing w:before="20" w:after="20"/>
              <w:jc w:val="left"/>
            </w:pPr>
            <w:r>
              <w:rPr>
                <w:rFonts w:cstheme="minorHAnsi"/>
                <w:sz w:val="16"/>
                <w:szCs w:val="16"/>
              </w:rPr>
              <w:t>Opening Inventory / Receipt / Demand / Net Gap</w:t>
            </w:r>
          </w:p>
        </w:tc>
        <w:tc>
          <w:tcPr>
            <w:tcW w:w="1310" w:type="dxa"/>
            <w:vAlign w:val="center"/>
          </w:tcPr>
          <w:p w14:paraId="747EE3B5"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42F29CF3" w14:textId="77777777" w:rsidR="00672297" w:rsidRDefault="00A16EA3">
            <w:pPr>
              <w:spacing w:before="20" w:after="20"/>
              <w:jc w:val="left"/>
            </w:pPr>
            <w:r>
              <w:rPr>
                <w:rFonts w:cstheme="minorHAnsi"/>
                <w:sz w:val="16"/>
                <w:szCs w:val="16"/>
              </w:rPr>
              <w:t>OpeningInventoryBbl / ReceiptInTransitBbl / DemandBbl / NetGapBbl</w:t>
            </w:r>
          </w:p>
        </w:tc>
        <w:tc>
          <w:tcPr>
            <w:tcW w:w="655" w:type="dxa"/>
            <w:vAlign w:val="center"/>
          </w:tcPr>
          <w:p w14:paraId="707BFC67" w14:textId="77777777" w:rsidR="00672297" w:rsidRDefault="00A16EA3">
            <w:pPr>
              <w:spacing w:before="20" w:after="20"/>
              <w:jc w:val="left"/>
            </w:pPr>
            <w:r>
              <w:rPr>
                <w:rFonts w:cstheme="minorHAnsi"/>
                <w:sz w:val="16"/>
                <w:szCs w:val="16"/>
              </w:rPr>
              <w:t>N</w:t>
            </w:r>
          </w:p>
        </w:tc>
        <w:tc>
          <w:tcPr>
            <w:tcW w:w="655" w:type="dxa"/>
            <w:vAlign w:val="center"/>
          </w:tcPr>
          <w:p w14:paraId="5F8EEB5C" w14:textId="77777777" w:rsidR="00672297" w:rsidRDefault="00A16EA3">
            <w:pPr>
              <w:spacing w:before="20" w:after="20"/>
              <w:jc w:val="left"/>
            </w:pPr>
            <w:r>
              <w:rPr>
                <w:rFonts w:cstheme="minorHAnsi"/>
                <w:sz w:val="16"/>
                <w:szCs w:val="16"/>
              </w:rPr>
              <w:t>N</w:t>
            </w:r>
          </w:p>
        </w:tc>
        <w:tc>
          <w:tcPr>
            <w:tcW w:w="655" w:type="dxa"/>
            <w:vAlign w:val="center"/>
          </w:tcPr>
          <w:p w14:paraId="08E810A7" w14:textId="77777777" w:rsidR="00672297" w:rsidRDefault="00A16EA3">
            <w:pPr>
              <w:spacing w:before="20" w:after="20"/>
              <w:jc w:val="left"/>
            </w:pPr>
            <w:r>
              <w:rPr>
                <w:rFonts w:cstheme="minorHAnsi"/>
                <w:sz w:val="16"/>
                <w:szCs w:val="16"/>
              </w:rPr>
              <w:t>Y</w:t>
            </w:r>
          </w:p>
        </w:tc>
        <w:tc>
          <w:tcPr>
            <w:tcW w:w="1967" w:type="dxa"/>
            <w:vAlign w:val="center"/>
          </w:tcPr>
          <w:p w14:paraId="49D37D2E" w14:textId="77777777" w:rsidR="00672297" w:rsidRDefault="00A16EA3">
            <w:pPr>
              <w:spacing w:before="20" w:after="20"/>
              <w:jc w:val="left"/>
            </w:pPr>
            <w:r>
              <w:rPr>
                <w:rFonts w:cstheme="minorHAnsi"/>
                <w:sz w:val="16"/>
                <w:szCs w:val="16"/>
              </w:rPr>
              <w:t>Per component</w:t>
            </w:r>
          </w:p>
        </w:tc>
      </w:tr>
      <w:tr w:rsidR="00672297" w14:paraId="6BD2ACB0" w14:textId="77777777">
        <w:trPr>
          <w:cantSplit/>
        </w:trPr>
        <w:tc>
          <w:tcPr>
            <w:tcW w:w="1404" w:type="dxa"/>
            <w:vAlign w:val="center"/>
          </w:tcPr>
          <w:p w14:paraId="3EEEC5D7" w14:textId="77777777" w:rsidR="00672297" w:rsidRDefault="00A16EA3">
            <w:pPr>
              <w:spacing w:before="20" w:after="20"/>
              <w:jc w:val="left"/>
            </w:pPr>
            <w:r>
              <w:rPr>
                <w:rFonts w:cstheme="minorHAnsi"/>
                <w:sz w:val="16"/>
                <w:szCs w:val="16"/>
              </w:rPr>
              <w:t>Slicer/Filter</w:t>
            </w:r>
          </w:p>
        </w:tc>
        <w:tc>
          <w:tcPr>
            <w:tcW w:w="1310" w:type="dxa"/>
            <w:vAlign w:val="center"/>
          </w:tcPr>
          <w:p w14:paraId="6928A33E" w14:textId="77777777" w:rsidR="00672297" w:rsidRDefault="00A16EA3">
            <w:pPr>
              <w:spacing w:before="20" w:after="20"/>
              <w:jc w:val="left"/>
            </w:pPr>
            <w:r>
              <w:rPr>
                <w:rFonts w:cstheme="minorHAnsi"/>
                <w:sz w:val="16"/>
                <w:szCs w:val="16"/>
              </w:rPr>
              <w:t>Refinery / Terminal / Component</w:t>
            </w:r>
          </w:p>
        </w:tc>
        <w:tc>
          <w:tcPr>
            <w:tcW w:w="1310" w:type="dxa"/>
            <w:vAlign w:val="center"/>
          </w:tcPr>
          <w:p w14:paraId="570B6F11" w14:textId="77777777" w:rsidR="00672297" w:rsidRDefault="00A16EA3">
            <w:pPr>
              <w:spacing w:before="20" w:after="20"/>
              <w:jc w:val="left"/>
            </w:pPr>
            <w:r>
              <w:rPr>
                <w:rFonts w:cstheme="minorHAnsi"/>
                <w:sz w:val="16"/>
                <w:szCs w:val="16"/>
              </w:rPr>
              <w:t>vwBlendComponentSupplyDemand</w:t>
            </w:r>
          </w:p>
        </w:tc>
        <w:tc>
          <w:tcPr>
            <w:tcW w:w="1404" w:type="dxa"/>
            <w:vAlign w:val="center"/>
          </w:tcPr>
          <w:p w14:paraId="6CB0CE71" w14:textId="77777777" w:rsidR="00672297" w:rsidRDefault="00A16EA3">
            <w:pPr>
              <w:spacing w:before="20" w:after="20"/>
              <w:jc w:val="left"/>
            </w:pPr>
            <w:r>
              <w:rPr>
                <w:rFonts w:cstheme="minorHAnsi"/>
                <w:sz w:val="16"/>
                <w:szCs w:val="16"/>
              </w:rPr>
              <w:t>Source / Terminal / Component</w:t>
            </w:r>
          </w:p>
        </w:tc>
        <w:tc>
          <w:tcPr>
            <w:tcW w:w="655" w:type="dxa"/>
            <w:vAlign w:val="center"/>
          </w:tcPr>
          <w:p w14:paraId="55ECBB23" w14:textId="77777777" w:rsidR="00672297" w:rsidRDefault="00A16EA3">
            <w:pPr>
              <w:spacing w:before="20" w:after="20"/>
              <w:jc w:val="left"/>
            </w:pPr>
            <w:r>
              <w:rPr>
                <w:rFonts w:cstheme="minorHAnsi"/>
                <w:sz w:val="16"/>
                <w:szCs w:val="16"/>
              </w:rPr>
              <w:t>N</w:t>
            </w:r>
          </w:p>
        </w:tc>
        <w:tc>
          <w:tcPr>
            <w:tcW w:w="655" w:type="dxa"/>
            <w:vAlign w:val="center"/>
          </w:tcPr>
          <w:p w14:paraId="75D411BE" w14:textId="77777777" w:rsidR="00672297" w:rsidRDefault="00A16EA3">
            <w:pPr>
              <w:spacing w:before="20" w:after="20"/>
              <w:jc w:val="left"/>
            </w:pPr>
            <w:r>
              <w:rPr>
                <w:rFonts w:cstheme="minorHAnsi"/>
                <w:sz w:val="16"/>
                <w:szCs w:val="16"/>
              </w:rPr>
              <w:t>Y</w:t>
            </w:r>
          </w:p>
        </w:tc>
        <w:tc>
          <w:tcPr>
            <w:tcW w:w="655" w:type="dxa"/>
            <w:vAlign w:val="center"/>
          </w:tcPr>
          <w:p w14:paraId="63B992AB" w14:textId="77777777" w:rsidR="00672297" w:rsidRDefault="00A16EA3">
            <w:pPr>
              <w:spacing w:before="20" w:after="20"/>
              <w:jc w:val="left"/>
            </w:pPr>
            <w:r>
              <w:rPr>
                <w:rFonts w:cstheme="minorHAnsi"/>
                <w:sz w:val="16"/>
                <w:szCs w:val="16"/>
              </w:rPr>
              <w:t>Y</w:t>
            </w:r>
          </w:p>
        </w:tc>
        <w:tc>
          <w:tcPr>
            <w:tcW w:w="1967" w:type="dxa"/>
            <w:vAlign w:val="center"/>
          </w:tcPr>
          <w:p w14:paraId="613C92A5" w14:textId="77777777" w:rsidR="00672297" w:rsidRDefault="00672297">
            <w:pPr>
              <w:spacing w:before="20" w:after="20"/>
              <w:jc w:val="left"/>
            </w:pPr>
          </w:p>
        </w:tc>
      </w:tr>
      <w:tr w:rsidR="00672297" w14:paraId="38C8963B" w14:textId="77777777">
        <w:trPr>
          <w:cantSplit/>
        </w:trPr>
        <w:tc>
          <w:tcPr>
            <w:tcW w:w="1404" w:type="dxa"/>
            <w:vAlign w:val="center"/>
          </w:tcPr>
          <w:p w14:paraId="0C37D999" w14:textId="77777777" w:rsidR="00672297" w:rsidRDefault="00A16EA3">
            <w:pPr>
              <w:spacing w:before="20" w:after="20"/>
              <w:jc w:val="left"/>
            </w:pPr>
            <w:r>
              <w:rPr>
                <w:rFonts w:cstheme="minorHAnsi"/>
                <w:sz w:val="16"/>
                <w:szCs w:val="16"/>
              </w:rPr>
              <w:t>Slicer/Filter</w:t>
            </w:r>
          </w:p>
        </w:tc>
        <w:tc>
          <w:tcPr>
            <w:tcW w:w="1310" w:type="dxa"/>
            <w:vAlign w:val="center"/>
          </w:tcPr>
          <w:p w14:paraId="55A36739" w14:textId="77777777" w:rsidR="00672297" w:rsidRDefault="00A16EA3">
            <w:pPr>
              <w:spacing w:before="20" w:after="20"/>
              <w:jc w:val="left"/>
            </w:pPr>
            <w:r>
              <w:rPr>
                <w:rFonts w:cstheme="minorHAnsi"/>
                <w:sz w:val="16"/>
                <w:szCs w:val="16"/>
              </w:rPr>
              <w:t>Date Range</w:t>
            </w:r>
          </w:p>
        </w:tc>
        <w:tc>
          <w:tcPr>
            <w:tcW w:w="1310" w:type="dxa"/>
            <w:vAlign w:val="center"/>
          </w:tcPr>
          <w:p w14:paraId="78BBC8B9" w14:textId="77777777" w:rsidR="00672297" w:rsidRDefault="00A16EA3">
            <w:pPr>
              <w:spacing w:before="20" w:after="20"/>
              <w:jc w:val="left"/>
            </w:pPr>
            <w:r>
              <w:rPr>
                <w:rFonts w:cstheme="minorHAnsi"/>
                <w:sz w:val="16"/>
                <w:szCs w:val="16"/>
              </w:rPr>
              <w:t>day_detail</w:t>
            </w:r>
          </w:p>
        </w:tc>
        <w:tc>
          <w:tcPr>
            <w:tcW w:w="1404" w:type="dxa"/>
            <w:vAlign w:val="center"/>
          </w:tcPr>
          <w:p w14:paraId="57106B4C" w14:textId="77777777" w:rsidR="00672297" w:rsidRDefault="00A16EA3">
            <w:pPr>
              <w:spacing w:before="20" w:after="20"/>
              <w:jc w:val="left"/>
            </w:pPr>
            <w:r>
              <w:rPr>
                <w:rFonts w:cstheme="minorHAnsi"/>
                <w:sz w:val="16"/>
                <w:szCs w:val="16"/>
              </w:rPr>
              <w:t>W_Date</w:t>
            </w:r>
          </w:p>
        </w:tc>
        <w:tc>
          <w:tcPr>
            <w:tcW w:w="655" w:type="dxa"/>
            <w:vAlign w:val="center"/>
          </w:tcPr>
          <w:p w14:paraId="2BF139D2" w14:textId="77777777" w:rsidR="00672297" w:rsidRDefault="00A16EA3">
            <w:pPr>
              <w:spacing w:before="20" w:after="20"/>
              <w:jc w:val="left"/>
            </w:pPr>
            <w:r>
              <w:rPr>
                <w:rFonts w:cstheme="minorHAnsi"/>
                <w:sz w:val="16"/>
                <w:szCs w:val="16"/>
              </w:rPr>
              <w:t>N</w:t>
            </w:r>
          </w:p>
        </w:tc>
        <w:tc>
          <w:tcPr>
            <w:tcW w:w="655" w:type="dxa"/>
            <w:vAlign w:val="center"/>
          </w:tcPr>
          <w:p w14:paraId="604406C0" w14:textId="77777777" w:rsidR="00672297" w:rsidRDefault="00A16EA3">
            <w:pPr>
              <w:spacing w:before="20" w:after="20"/>
              <w:jc w:val="left"/>
            </w:pPr>
            <w:r>
              <w:rPr>
                <w:rFonts w:cstheme="minorHAnsi"/>
                <w:sz w:val="16"/>
                <w:szCs w:val="16"/>
              </w:rPr>
              <w:t>Y</w:t>
            </w:r>
          </w:p>
        </w:tc>
        <w:tc>
          <w:tcPr>
            <w:tcW w:w="655" w:type="dxa"/>
            <w:vAlign w:val="center"/>
          </w:tcPr>
          <w:p w14:paraId="2CC3EF4F" w14:textId="77777777" w:rsidR="00672297" w:rsidRDefault="00A16EA3">
            <w:pPr>
              <w:spacing w:before="20" w:after="20"/>
              <w:jc w:val="left"/>
            </w:pPr>
            <w:r>
              <w:rPr>
                <w:rFonts w:cstheme="minorHAnsi"/>
                <w:sz w:val="16"/>
                <w:szCs w:val="16"/>
              </w:rPr>
              <w:t>Y</w:t>
            </w:r>
          </w:p>
        </w:tc>
        <w:tc>
          <w:tcPr>
            <w:tcW w:w="1967" w:type="dxa"/>
            <w:vAlign w:val="center"/>
          </w:tcPr>
          <w:p w14:paraId="73C07154" w14:textId="77777777" w:rsidR="00672297" w:rsidRDefault="00A16EA3">
            <w:pPr>
              <w:spacing w:before="20" w:after="20"/>
              <w:jc w:val="left"/>
            </w:pPr>
            <w:r>
              <w:rPr>
                <w:rFonts w:cstheme="minorHAnsi"/>
                <w:sz w:val="16"/>
                <w:szCs w:val="16"/>
              </w:rPr>
              <w:t>Relationship on PositionDate</w:t>
            </w:r>
          </w:p>
        </w:tc>
      </w:tr>
    </w:tbl>
    <w:p w14:paraId="023832E0" w14:textId="5672E904" w:rsidR="00672297" w:rsidRDefault="00A16EA3">
      <w:pPr>
        <w:pStyle w:val="Caption"/>
      </w:pPr>
      <w:bookmarkStart w:id="672" w:name="_Toc900950129"/>
      <w:bookmarkStart w:id="673" w:name="_Toc241574729"/>
      <w:bookmarkStart w:id="674" w:name="_Toc242554113"/>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40</w:t>
      </w:r>
      <w:r>
        <w:fldChar w:fldCharType="end"/>
      </w:r>
      <w:r>
        <w:t>: Supply Dashboard Power BI Attributes Mapping</w:t>
      </w:r>
      <w:bookmarkEnd w:id="672"/>
      <w:bookmarkEnd w:id="673"/>
      <w:bookmarkEnd w:id="674"/>
    </w:p>
    <w:p w14:paraId="41045BE5" w14:textId="77777777" w:rsidR="00672297" w:rsidRDefault="00A16EA3">
      <w:pPr>
        <w:pStyle w:val="Heading3"/>
        <w:rPr>
          <w:rFonts w:asciiTheme="minorHAnsi" w:hAnsiTheme="minorHAnsi" w:cstheme="minorBidi"/>
          <w:sz w:val="20"/>
          <w:szCs w:val="20"/>
        </w:rPr>
      </w:pPr>
      <w:bookmarkStart w:id="675" w:name="_Toc241574355"/>
      <w:bookmarkStart w:id="676" w:name="_Toc242553977"/>
      <w:r>
        <w:rPr>
          <w:rFonts w:asciiTheme="minorHAnsi" w:hAnsiTheme="minorHAnsi" w:cstheme="minorBidi"/>
          <w:sz w:val="20"/>
          <w:szCs w:val="20"/>
        </w:rPr>
        <w:t>Gasoline KPI Dashboard</w:t>
      </w:r>
      <w:bookmarkEnd w:id="675"/>
      <w:bookmarkEnd w:id="676"/>
    </w:p>
    <w:p w14:paraId="5F463396" w14:textId="77777777" w:rsidR="00672297" w:rsidRDefault="00A16EA3">
      <w:pPr>
        <w:pStyle w:val="Heading4"/>
        <w:rPr>
          <w:rFonts w:asciiTheme="minorHAnsi" w:hAnsiTheme="minorHAnsi" w:cstheme="minorBidi"/>
          <w:sz w:val="20"/>
          <w:szCs w:val="20"/>
        </w:rPr>
      </w:pPr>
      <w:bookmarkStart w:id="677" w:name="_Toc900950131"/>
      <w:r>
        <w:rPr>
          <w:rFonts w:asciiTheme="minorHAnsi" w:hAnsiTheme="minorHAnsi" w:cstheme="minorBidi"/>
          <w:sz w:val="20"/>
          <w:szCs w:val="20"/>
        </w:rPr>
        <w:t>Purpose and Business Objective</w:t>
      </w:r>
      <w:bookmarkEnd w:id="677"/>
    </w:p>
    <w:p w14:paraId="2335F8B5" w14:textId="77777777" w:rsidR="00672297" w:rsidRDefault="00A16EA3">
      <w:pPr>
        <w:rPr>
          <w:rFonts w:cstheme="minorHAnsi"/>
          <w:sz w:val="20"/>
          <w:szCs w:val="20"/>
        </w:rPr>
      </w:pPr>
      <w:r>
        <w:rPr>
          <w:rFonts w:cstheme="minorHAnsi"/>
          <w:sz w:val="20"/>
          <w:szCs w:val="20"/>
        </w:rPr>
        <w:t>The Gasoline KPI Dashboard gives value-chain leadership a consolidated view of blending performance: Lost Opportunity (component volume that could have been blended but was not) and Value Loss (its dollar impact) across the gasoline pool. It identifies terminals that under-use their butane, transmix or ethanol blending capacity and quantifies the value leakage by week or month.</w:t>
      </w:r>
    </w:p>
    <w:p w14:paraId="6892EADA" w14:textId="77777777" w:rsidR="00672297" w:rsidRDefault="00A16EA3">
      <w:pPr>
        <w:pStyle w:val="Heading4"/>
        <w:rPr>
          <w:rFonts w:asciiTheme="minorHAnsi" w:hAnsiTheme="minorHAnsi" w:cstheme="minorBidi"/>
          <w:sz w:val="20"/>
          <w:szCs w:val="20"/>
        </w:rPr>
      </w:pPr>
      <w:bookmarkStart w:id="678" w:name="_Toc900950132"/>
      <w:r>
        <w:rPr>
          <w:rFonts w:asciiTheme="minorHAnsi" w:hAnsiTheme="minorHAnsi" w:cstheme="minorBidi"/>
          <w:sz w:val="20"/>
          <w:szCs w:val="20"/>
        </w:rPr>
        <w:t>Dashboard Wireframe</w:t>
      </w:r>
      <w:bookmarkEnd w:id="678"/>
    </w:p>
    <w:p w14:paraId="6748A8C0" w14:textId="316AB806" w:rsidR="00672297" w:rsidRDefault="00A16EA3">
      <w:pPr>
        <w:pStyle w:val="Caption"/>
      </w:pPr>
      <w:bookmarkStart w:id="679" w:name="_Toc900950133"/>
      <w:bookmarkStart w:id="680" w:name="_Toc241574764"/>
      <w:bookmarkStart w:id="681" w:name="_Toc242554166"/>
      <w:r>
        <w:t xml:space="preserve">Figure </w:t>
      </w:r>
      <w:r>
        <w:fldChar w:fldCharType="begin"/>
      </w:r>
      <w:r>
        <w:instrText>STYLEREF 1 \s</w:instrText>
      </w:r>
      <w:r>
        <w:fldChar w:fldCharType="separate"/>
      </w:r>
      <w:r w:rsidR="00FC42E7">
        <w:rPr>
          <w:noProof/>
        </w:rPr>
        <w:t>4</w:t>
      </w:r>
      <w:r>
        <w:fldChar w:fldCharType="end"/>
      </w:r>
      <w:r>
        <w:t>-</w:t>
      </w:r>
      <w:r>
        <w:fldChar w:fldCharType="begin"/>
      </w:r>
      <w:r>
        <w:instrText>SEQ Figure \* ARABIC \s 1</w:instrText>
      </w:r>
      <w:r>
        <w:fldChar w:fldCharType="separate"/>
      </w:r>
      <w:r w:rsidR="00FC42E7">
        <w:rPr>
          <w:noProof/>
        </w:rPr>
        <w:t>7</w:t>
      </w:r>
      <w:r>
        <w:fldChar w:fldCharType="end"/>
      </w:r>
      <w:r>
        <w:t>: Gasoline KPI Dashboard Wireframe</w:t>
      </w:r>
      <w:bookmarkEnd w:id="679"/>
      <w:bookmarkEnd w:id="680"/>
      <w:bookmarkEnd w:id="681"/>
    </w:p>
    <w:p w14:paraId="0B71AE0F" w14:textId="56FB3753" w:rsidR="002A4DF3" w:rsidRDefault="00B818A6">
      <w:pPr>
        <w:rPr>
          <w:rFonts w:cstheme="minorHAnsi"/>
          <w:sz w:val="20"/>
          <w:szCs w:val="20"/>
        </w:rPr>
      </w:pPr>
      <w:r>
        <w:rPr>
          <w:rFonts w:cstheme="minorHAnsi"/>
          <w:sz w:val="20"/>
          <w:szCs w:val="20"/>
        </w:rPr>
        <w:t xml:space="preserve">Wireframe can be accessed through this link: </w:t>
      </w:r>
      <w:hyperlink r:id="rId54" w:history="1">
        <w:r>
          <w:rPr>
            <w:rStyle w:val="Hyperlink"/>
            <w:rFonts w:cstheme="minorHAnsi"/>
            <w:szCs w:val="20"/>
          </w:rPr>
          <w:t>Gasoline KPI Dashboard</w:t>
        </w:r>
      </w:hyperlink>
    </w:p>
    <w:p w14:paraId="697EBBBE" w14:textId="77777777" w:rsidR="00672297" w:rsidRDefault="00A16EA3">
      <w:pPr>
        <w:pStyle w:val="Heading4"/>
        <w:rPr>
          <w:rFonts w:asciiTheme="minorHAnsi" w:hAnsiTheme="minorHAnsi" w:cstheme="minorBidi"/>
          <w:sz w:val="20"/>
          <w:szCs w:val="20"/>
        </w:rPr>
      </w:pPr>
      <w:bookmarkStart w:id="682" w:name="_Toc900950134"/>
      <w:r>
        <w:rPr>
          <w:rFonts w:asciiTheme="minorHAnsi" w:hAnsiTheme="minorHAnsi" w:cstheme="minorBidi"/>
          <w:sz w:val="20"/>
          <w:szCs w:val="20"/>
        </w:rPr>
        <w:t>Report Pages</w:t>
      </w:r>
      <w:bookmarkEnd w:id="682"/>
    </w:p>
    <w:tbl>
      <w:tblPr>
        <w:tblStyle w:val="TableGrid"/>
        <w:tblW w:w="9360" w:type="dxa"/>
        <w:tblLayout w:type="fixed"/>
        <w:tblCellMar>
          <w:left w:w="70" w:type="dxa"/>
          <w:right w:w="70" w:type="dxa"/>
        </w:tblCellMar>
        <w:tblLook w:val="04A0" w:firstRow="1" w:lastRow="0" w:firstColumn="1" w:lastColumn="0" w:noHBand="0" w:noVBand="1"/>
      </w:tblPr>
      <w:tblGrid>
        <w:gridCol w:w="2340"/>
        <w:gridCol w:w="7020"/>
      </w:tblGrid>
      <w:tr w:rsidR="00672297" w14:paraId="0539C019" w14:textId="77777777">
        <w:trPr>
          <w:cantSplit/>
          <w:tblHeader/>
        </w:trPr>
        <w:tc>
          <w:tcPr>
            <w:tcW w:w="2340" w:type="dxa"/>
            <w:shd w:val="clear" w:color="auto" w:fill="2F5496"/>
            <w:vAlign w:val="center"/>
          </w:tcPr>
          <w:p w14:paraId="3DF55ABD" w14:textId="77777777" w:rsidR="00672297" w:rsidRDefault="00A16EA3">
            <w:pPr>
              <w:spacing w:before="20" w:after="20"/>
              <w:jc w:val="left"/>
            </w:pPr>
            <w:r>
              <w:rPr>
                <w:rFonts w:cstheme="minorHAnsi"/>
                <w:b/>
                <w:bCs/>
                <w:color w:val="FFFFFF"/>
                <w:sz w:val="20"/>
                <w:szCs w:val="20"/>
              </w:rPr>
              <w:t>Page Name</w:t>
            </w:r>
          </w:p>
        </w:tc>
        <w:tc>
          <w:tcPr>
            <w:tcW w:w="7020" w:type="dxa"/>
            <w:shd w:val="clear" w:color="auto" w:fill="2F5496"/>
            <w:vAlign w:val="center"/>
          </w:tcPr>
          <w:p w14:paraId="08A6E206" w14:textId="77777777" w:rsidR="00672297" w:rsidRDefault="00A16EA3">
            <w:pPr>
              <w:spacing w:before="20" w:after="20"/>
              <w:jc w:val="left"/>
            </w:pPr>
            <w:r>
              <w:rPr>
                <w:rFonts w:cstheme="minorHAnsi"/>
                <w:b/>
                <w:bCs/>
                <w:color w:val="FFFFFF"/>
                <w:sz w:val="20"/>
                <w:szCs w:val="20"/>
              </w:rPr>
              <w:t>Purpose</w:t>
            </w:r>
          </w:p>
        </w:tc>
      </w:tr>
      <w:tr w:rsidR="00672297" w14:paraId="1B9CFF8B" w14:textId="77777777">
        <w:trPr>
          <w:cantSplit/>
        </w:trPr>
        <w:tc>
          <w:tcPr>
            <w:tcW w:w="2340" w:type="dxa"/>
            <w:vAlign w:val="center"/>
          </w:tcPr>
          <w:p w14:paraId="138B303D" w14:textId="77777777" w:rsidR="00672297" w:rsidRDefault="00A16EA3">
            <w:pPr>
              <w:spacing w:before="20" w:after="20"/>
              <w:jc w:val="left"/>
            </w:pPr>
            <w:r>
              <w:rPr>
                <w:rFonts w:cstheme="minorHAnsi"/>
                <w:sz w:val="20"/>
                <w:szCs w:val="20"/>
              </w:rPr>
              <w:t>Gasoline KPI</w:t>
            </w:r>
          </w:p>
        </w:tc>
        <w:tc>
          <w:tcPr>
            <w:tcW w:w="7020" w:type="dxa"/>
            <w:vAlign w:val="center"/>
          </w:tcPr>
          <w:p w14:paraId="5DC64DA1" w14:textId="77777777" w:rsidR="00672297" w:rsidRDefault="00A16EA3">
            <w:pPr>
              <w:spacing w:before="20" w:after="20"/>
              <w:jc w:val="left"/>
            </w:pPr>
            <w:r>
              <w:rPr>
                <w:rFonts w:cstheme="minorHAnsi"/>
                <w:sz w:val="20"/>
                <w:szCs w:val="20"/>
              </w:rPr>
              <w:t>Lost opportunity cards, volume-delta and value-loss charts, terminal KPI table.</w:t>
            </w:r>
          </w:p>
        </w:tc>
      </w:tr>
      <w:tr w:rsidR="00672297" w14:paraId="162AAD4B" w14:textId="77777777">
        <w:trPr>
          <w:cantSplit/>
        </w:trPr>
        <w:tc>
          <w:tcPr>
            <w:tcW w:w="2340" w:type="dxa"/>
            <w:vAlign w:val="center"/>
          </w:tcPr>
          <w:p w14:paraId="71043A1B" w14:textId="77777777" w:rsidR="00672297" w:rsidRDefault="00A16EA3">
            <w:pPr>
              <w:spacing w:before="20" w:after="20"/>
              <w:jc w:val="left"/>
            </w:pPr>
            <w:r>
              <w:rPr>
                <w:rFonts w:cstheme="minorHAnsi"/>
                <w:sz w:val="20"/>
                <w:szCs w:val="20"/>
              </w:rPr>
              <w:t>User Guide</w:t>
            </w:r>
          </w:p>
        </w:tc>
        <w:tc>
          <w:tcPr>
            <w:tcW w:w="7020" w:type="dxa"/>
            <w:vAlign w:val="center"/>
          </w:tcPr>
          <w:p w14:paraId="4A360A01" w14:textId="77777777" w:rsidR="00672297" w:rsidRDefault="00A16EA3">
            <w:pPr>
              <w:spacing w:before="20" w:after="20"/>
              <w:jc w:val="left"/>
            </w:pPr>
            <w:r>
              <w:rPr>
                <w:rFonts w:cstheme="minorHAnsi"/>
                <w:sz w:val="20"/>
                <w:szCs w:val="20"/>
              </w:rPr>
              <w:t>Data sources, visuals, formulas and metrics.</w:t>
            </w:r>
          </w:p>
        </w:tc>
      </w:tr>
    </w:tbl>
    <w:p w14:paraId="7E46E36B" w14:textId="5E61B28B" w:rsidR="00672297" w:rsidRDefault="00A16EA3">
      <w:pPr>
        <w:pStyle w:val="Caption"/>
      </w:pPr>
      <w:bookmarkStart w:id="683" w:name="_Toc900950135"/>
      <w:bookmarkStart w:id="684" w:name="_Toc241574730"/>
      <w:bookmarkStart w:id="685" w:name="_Toc242554114"/>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41</w:t>
      </w:r>
      <w:r>
        <w:fldChar w:fldCharType="end"/>
      </w:r>
      <w:r>
        <w:t>: Gasoline KPI Dashboard Report Pages</w:t>
      </w:r>
      <w:bookmarkEnd w:id="683"/>
      <w:bookmarkEnd w:id="684"/>
      <w:bookmarkEnd w:id="685"/>
    </w:p>
    <w:p w14:paraId="008F8386" w14:textId="77777777" w:rsidR="00672297" w:rsidRDefault="00A16EA3">
      <w:pPr>
        <w:pStyle w:val="Heading4"/>
        <w:rPr>
          <w:rFonts w:asciiTheme="minorHAnsi" w:hAnsiTheme="minorHAnsi" w:cstheme="minorBidi"/>
          <w:sz w:val="20"/>
          <w:szCs w:val="20"/>
        </w:rPr>
      </w:pPr>
      <w:bookmarkStart w:id="686" w:name="_Toc900950136"/>
      <w:r>
        <w:rPr>
          <w:rFonts w:asciiTheme="minorHAnsi" w:hAnsiTheme="minorHAnsi" w:cstheme="minorBidi"/>
          <w:sz w:val="20"/>
          <w:szCs w:val="20"/>
        </w:rPr>
        <w:t>Visuals &amp; Features</w:t>
      </w:r>
      <w:bookmarkEnd w:id="686"/>
    </w:p>
    <w:p w14:paraId="1CB564B4"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Lost Opportunity KPI Cards</w:t>
      </w:r>
      <w:r>
        <w:rPr>
          <w:rFonts w:cstheme="minorHAnsi"/>
          <w:sz w:val="20"/>
          <w:szCs w:val="20"/>
        </w:rPr>
        <w:t xml:space="preserve"> - Butane, Transmix, Ethanol and Total, each with Volume Loss (bbl) and Value Loss ($) for the selected period.</w:t>
      </w:r>
    </w:p>
    <w:p w14:paraId="75E509A2"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Opportunity Loss (Bbl)</w:t>
      </w:r>
      <w:r>
        <w:rPr>
          <w:rFonts w:cstheme="minorHAnsi"/>
          <w:sz w:val="20"/>
          <w:szCs w:val="20"/>
        </w:rPr>
        <w:t xml:space="preserve"> - clustered column chart by terminal short name with Butane, Ethanol, Transmix and Total volume delta (Potential - Actual); legend as in the wireframe (Butane Demand, Ethanol Demand, Transmix Demand, Total).</w:t>
      </w:r>
    </w:p>
    <w:p w14:paraId="6EAF72B0"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Opportunity Loss ($)</w:t>
      </w:r>
      <w:r>
        <w:rPr>
          <w:rFonts w:cstheme="minorHAnsi"/>
          <w:sz w:val="20"/>
          <w:szCs w:val="20"/>
        </w:rPr>
        <w:t xml:space="preserve"> - clustered column chart by terminal with the dollar value loss per component and Total, calculated with the MPR prices; value labels on bars.</w:t>
      </w:r>
    </w:p>
    <w:p w14:paraId="5BCFC2A5"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Event Summary Table</w:t>
      </w:r>
      <w:r>
        <w:rPr>
          <w:rFonts w:cstheme="minorHAnsi"/>
          <w:sz w:val="20"/>
          <w:szCs w:val="20"/>
        </w:rPr>
        <w:t xml:space="preserve"> - CheckBox, Source, Destination, Total Volume (bbl); Average qualities RVP, T-10, T-50, T-90, TV/L, FBP; Butane, Transmix and Ethanol (bbl): Potential, Actual, Delta, Value Loss ($); Total Loss: Volume (bbl), Value ($). The Value Loss ($) and Total Loss columns use the MPR prices. Search by keyword and download (export) above the table.</w:t>
      </w:r>
    </w:p>
    <w:p w14:paraId="4C6B25C2" w14:textId="77777777" w:rsidR="00672297" w:rsidRDefault="00A16EA3">
      <w:pPr>
        <w:pStyle w:val="Heading4"/>
        <w:rPr>
          <w:rFonts w:asciiTheme="minorHAnsi" w:hAnsiTheme="minorHAnsi" w:cstheme="minorBidi"/>
          <w:sz w:val="20"/>
          <w:szCs w:val="20"/>
        </w:rPr>
      </w:pPr>
      <w:bookmarkStart w:id="687" w:name="_Toc900950137"/>
      <w:r>
        <w:rPr>
          <w:rFonts w:asciiTheme="minorHAnsi" w:hAnsiTheme="minorHAnsi" w:cstheme="minorBidi"/>
          <w:sz w:val="20"/>
          <w:szCs w:val="20"/>
        </w:rPr>
        <w:t>Interactive Filters &amp; Controls</w:t>
      </w:r>
      <w:bookmarkEnd w:id="687"/>
    </w:p>
    <w:p w14:paraId="459459F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Refinery, Terminal, Grade (default 84 Blendgrade), Quality and Date (Select Period: week / month or custom range), as in the wireframe filter row.</w:t>
      </w:r>
    </w:p>
    <w:p w14:paraId="674B63EA"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Apply Filters, Search and Export.</w:t>
      </w:r>
    </w:p>
    <w:p w14:paraId="52450164" w14:textId="77777777" w:rsidR="00672297" w:rsidRDefault="00A16EA3">
      <w:pPr>
        <w:pStyle w:val="Heading4"/>
        <w:rPr>
          <w:rFonts w:asciiTheme="minorHAnsi" w:hAnsiTheme="minorHAnsi" w:cstheme="minorBidi"/>
          <w:sz w:val="20"/>
          <w:szCs w:val="20"/>
        </w:rPr>
      </w:pPr>
      <w:bookmarkStart w:id="688" w:name="_Toc900950138"/>
      <w:r>
        <w:rPr>
          <w:rFonts w:asciiTheme="minorHAnsi" w:hAnsiTheme="minorHAnsi" w:cstheme="minorBidi"/>
          <w:sz w:val="20"/>
          <w:szCs w:val="20"/>
        </w:rPr>
        <w:t>Backend Data Sources &amp; Mapping</w:t>
      </w:r>
      <w:bookmarkEnd w:id="688"/>
    </w:p>
    <w:tbl>
      <w:tblPr>
        <w:tblStyle w:val="TableGrid"/>
        <w:tblW w:w="9360" w:type="dxa"/>
        <w:tblLayout w:type="fixed"/>
        <w:tblCellMar>
          <w:left w:w="70" w:type="dxa"/>
          <w:right w:w="70" w:type="dxa"/>
        </w:tblCellMar>
        <w:tblLook w:val="04A0" w:firstRow="1" w:lastRow="0" w:firstColumn="1" w:lastColumn="0" w:noHBand="0" w:noVBand="1"/>
      </w:tblPr>
      <w:tblGrid>
        <w:gridCol w:w="2433"/>
        <w:gridCol w:w="1216"/>
        <w:gridCol w:w="2152"/>
        <w:gridCol w:w="2433"/>
        <w:gridCol w:w="1126"/>
      </w:tblGrid>
      <w:tr w:rsidR="00672297" w14:paraId="56EA75D9" w14:textId="77777777">
        <w:trPr>
          <w:cantSplit/>
          <w:tblHeader/>
        </w:trPr>
        <w:tc>
          <w:tcPr>
            <w:tcW w:w="2433" w:type="dxa"/>
            <w:shd w:val="clear" w:color="auto" w:fill="2F5496"/>
            <w:vAlign w:val="center"/>
          </w:tcPr>
          <w:p w14:paraId="3C533D0F" w14:textId="77777777" w:rsidR="00672297" w:rsidRDefault="00A16EA3">
            <w:pPr>
              <w:spacing w:before="20" w:after="20"/>
              <w:jc w:val="left"/>
            </w:pPr>
            <w:r>
              <w:rPr>
                <w:rFonts w:cstheme="minorHAnsi"/>
                <w:b/>
                <w:bCs/>
                <w:color w:val="FFFFFF"/>
                <w:sz w:val="18"/>
                <w:szCs w:val="18"/>
              </w:rPr>
              <w:t>Data Type</w:t>
            </w:r>
          </w:p>
        </w:tc>
        <w:tc>
          <w:tcPr>
            <w:tcW w:w="1216" w:type="dxa"/>
            <w:shd w:val="clear" w:color="auto" w:fill="2F5496"/>
            <w:vAlign w:val="center"/>
          </w:tcPr>
          <w:p w14:paraId="605A3938" w14:textId="77777777" w:rsidR="00672297" w:rsidRDefault="00A16EA3">
            <w:pPr>
              <w:spacing w:before="20" w:after="20"/>
              <w:jc w:val="left"/>
            </w:pPr>
            <w:r>
              <w:rPr>
                <w:rFonts w:cstheme="minorHAnsi"/>
                <w:b/>
                <w:bCs/>
                <w:color w:val="FFFFFF"/>
                <w:sz w:val="18"/>
                <w:szCs w:val="18"/>
              </w:rPr>
              <w:t>Source System</w:t>
            </w:r>
          </w:p>
        </w:tc>
        <w:tc>
          <w:tcPr>
            <w:tcW w:w="2152" w:type="dxa"/>
            <w:shd w:val="clear" w:color="auto" w:fill="2F5496"/>
            <w:vAlign w:val="center"/>
          </w:tcPr>
          <w:p w14:paraId="00521235" w14:textId="77777777" w:rsidR="00672297" w:rsidRDefault="00A16EA3">
            <w:pPr>
              <w:spacing w:before="20" w:after="20"/>
              <w:jc w:val="left"/>
            </w:pPr>
            <w:r>
              <w:rPr>
                <w:rFonts w:cstheme="minorHAnsi"/>
                <w:b/>
                <w:bCs/>
                <w:color w:val="FFFFFF"/>
                <w:sz w:val="18"/>
                <w:szCs w:val="18"/>
              </w:rPr>
              <w:t>Primary Table / Source</w:t>
            </w:r>
          </w:p>
        </w:tc>
        <w:tc>
          <w:tcPr>
            <w:tcW w:w="2433" w:type="dxa"/>
            <w:shd w:val="clear" w:color="auto" w:fill="2F5496"/>
            <w:vAlign w:val="center"/>
          </w:tcPr>
          <w:p w14:paraId="67912E34" w14:textId="77777777" w:rsidR="00672297" w:rsidRDefault="00A16EA3">
            <w:pPr>
              <w:spacing w:before="20" w:after="20"/>
              <w:jc w:val="left"/>
            </w:pPr>
            <w:r>
              <w:rPr>
                <w:rFonts w:cstheme="minorHAnsi"/>
                <w:b/>
                <w:bCs/>
                <w:color w:val="FFFFFF"/>
                <w:sz w:val="18"/>
                <w:szCs w:val="18"/>
              </w:rPr>
              <w:t>Purpose</w:t>
            </w:r>
          </w:p>
        </w:tc>
        <w:tc>
          <w:tcPr>
            <w:tcW w:w="1126" w:type="dxa"/>
            <w:shd w:val="clear" w:color="auto" w:fill="2F5496"/>
            <w:vAlign w:val="center"/>
          </w:tcPr>
          <w:p w14:paraId="47A66E83" w14:textId="77777777" w:rsidR="00672297" w:rsidRDefault="00A16EA3">
            <w:pPr>
              <w:spacing w:before="20" w:after="20"/>
              <w:jc w:val="left"/>
            </w:pPr>
            <w:r>
              <w:rPr>
                <w:rFonts w:cstheme="minorHAnsi"/>
                <w:b/>
                <w:bCs/>
                <w:color w:val="FFFFFF"/>
                <w:sz w:val="18"/>
                <w:szCs w:val="18"/>
              </w:rPr>
              <w:t>IQDM</w:t>
            </w:r>
          </w:p>
        </w:tc>
      </w:tr>
      <w:tr w:rsidR="00672297" w14:paraId="18CFC51A" w14:textId="77777777">
        <w:trPr>
          <w:cantSplit/>
        </w:trPr>
        <w:tc>
          <w:tcPr>
            <w:tcW w:w="2433" w:type="dxa"/>
            <w:vAlign w:val="center"/>
          </w:tcPr>
          <w:p w14:paraId="7BB7F300" w14:textId="77777777" w:rsidR="00672297" w:rsidRDefault="00A16EA3">
            <w:pPr>
              <w:spacing w:before="20" w:after="20"/>
              <w:jc w:val="left"/>
            </w:pPr>
            <w:r>
              <w:rPr>
                <w:rFonts w:cstheme="minorHAnsi"/>
                <w:sz w:val="18"/>
                <w:szCs w:val="18"/>
              </w:rPr>
              <w:t>Product-grade-wise blend potential</w:t>
            </w:r>
          </w:p>
        </w:tc>
        <w:tc>
          <w:tcPr>
            <w:tcW w:w="1216" w:type="dxa"/>
            <w:vAlign w:val="center"/>
          </w:tcPr>
          <w:p w14:paraId="5AF239CA" w14:textId="77777777" w:rsidR="00672297" w:rsidRDefault="00A16EA3">
            <w:pPr>
              <w:spacing w:before="20" w:after="20"/>
              <w:jc w:val="left"/>
            </w:pPr>
            <w:r>
              <w:rPr>
                <w:rFonts w:cstheme="minorHAnsi"/>
                <w:sz w:val="18"/>
                <w:szCs w:val="18"/>
              </w:rPr>
              <w:t>Calculation</w:t>
            </w:r>
          </w:p>
        </w:tc>
        <w:tc>
          <w:tcPr>
            <w:tcW w:w="2152" w:type="dxa"/>
            <w:vAlign w:val="center"/>
          </w:tcPr>
          <w:p w14:paraId="199FDEB7" w14:textId="77777777" w:rsidR="00672297" w:rsidRDefault="00A16EA3">
            <w:pPr>
              <w:spacing w:before="20" w:after="20"/>
              <w:jc w:val="left"/>
            </w:pPr>
            <w:r>
              <w:rPr>
                <w:rFonts w:cstheme="minorHAnsi"/>
                <w:sz w:val="18"/>
                <w:szCs w:val="18"/>
              </w:rPr>
              <w:t>Blend calculator output (gap DP-07)</w:t>
            </w:r>
          </w:p>
        </w:tc>
        <w:tc>
          <w:tcPr>
            <w:tcW w:w="2433" w:type="dxa"/>
            <w:vAlign w:val="center"/>
          </w:tcPr>
          <w:p w14:paraId="252FCE46" w14:textId="77777777" w:rsidR="00672297" w:rsidRDefault="00A16EA3">
            <w:pPr>
              <w:spacing w:before="20" w:after="20"/>
              <w:jc w:val="left"/>
            </w:pPr>
            <w:r>
              <w:rPr>
                <w:rFonts w:cstheme="minorHAnsi"/>
                <w:sz w:val="18"/>
                <w:szCs w:val="18"/>
              </w:rPr>
              <w:t>Component potential of the delivered batches</w:t>
            </w:r>
          </w:p>
        </w:tc>
        <w:tc>
          <w:tcPr>
            <w:tcW w:w="1126" w:type="dxa"/>
            <w:vAlign w:val="center"/>
          </w:tcPr>
          <w:p w14:paraId="36092B52" w14:textId="77777777" w:rsidR="00672297" w:rsidRDefault="00A16EA3">
            <w:pPr>
              <w:spacing w:before="20" w:after="20"/>
              <w:jc w:val="left"/>
            </w:pPr>
            <w:r>
              <w:rPr>
                <w:rFonts w:cstheme="minorHAnsi"/>
                <w:sz w:val="18"/>
                <w:szCs w:val="18"/>
              </w:rPr>
              <w:t>No</w:t>
            </w:r>
          </w:p>
        </w:tc>
      </w:tr>
      <w:tr w:rsidR="00672297" w14:paraId="342A3F79" w14:textId="77777777">
        <w:trPr>
          <w:cantSplit/>
        </w:trPr>
        <w:tc>
          <w:tcPr>
            <w:tcW w:w="2433" w:type="dxa"/>
            <w:vAlign w:val="center"/>
          </w:tcPr>
          <w:p w14:paraId="75C947E4" w14:textId="77777777" w:rsidR="00672297" w:rsidRDefault="00A16EA3">
            <w:pPr>
              <w:spacing w:before="20" w:after="20"/>
              <w:jc w:val="left"/>
            </w:pPr>
            <w:r>
              <w:rPr>
                <w:rFonts w:cstheme="minorHAnsi"/>
                <w:sz w:val="18"/>
                <w:szCs w:val="18"/>
              </w:rPr>
              <w:t>Product qualities pre-blending (refinery)</w:t>
            </w:r>
          </w:p>
        </w:tc>
        <w:tc>
          <w:tcPr>
            <w:tcW w:w="1216" w:type="dxa"/>
            <w:vAlign w:val="center"/>
          </w:tcPr>
          <w:p w14:paraId="45D7E0AD" w14:textId="77777777" w:rsidR="00672297" w:rsidRDefault="00A16EA3">
            <w:pPr>
              <w:spacing w:before="20" w:after="20"/>
              <w:jc w:val="left"/>
            </w:pPr>
            <w:r>
              <w:rPr>
                <w:rFonts w:cstheme="minorHAnsi"/>
                <w:sz w:val="18"/>
                <w:szCs w:val="18"/>
              </w:rPr>
              <w:t>LIMS</w:t>
            </w:r>
          </w:p>
        </w:tc>
        <w:tc>
          <w:tcPr>
            <w:tcW w:w="2152" w:type="dxa"/>
            <w:vAlign w:val="center"/>
          </w:tcPr>
          <w:p w14:paraId="05D32797" w14:textId="77777777" w:rsidR="00672297" w:rsidRDefault="00A16EA3">
            <w:pPr>
              <w:spacing w:before="20" w:after="20"/>
              <w:jc w:val="left"/>
            </w:pPr>
            <w:r>
              <w:rPr>
                <w:rFonts w:cstheme="minorHAnsi"/>
                <w:sz w:val="18"/>
                <w:szCs w:val="18"/>
              </w:rPr>
              <w:t>Sample results</w:t>
            </w:r>
          </w:p>
        </w:tc>
        <w:tc>
          <w:tcPr>
            <w:tcW w:w="2433" w:type="dxa"/>
            <w:vAlign w:val="center"/>
          </w:tcPr>
          <w:p w14:paraId="10A27E10" w14:textId="77777777" w:rsidR="00672297" w:rsidRDefault="00A16EA3">
            <w:pPr>
              <w:spacing w:before="20" w:after="20"/>
              <w:jc w:val="left"/>
            </w:pPr>
            <w:r>
              <w:rPr>
                <w:rFonts w:cstheme="minorHAnsi"/>
                <w:sz w:val="18"/>
                <w:szCs w:val="18"/>
              </w:rPr>
              <w:t>RVP, T-10, T-50, T-90, TV/L, FBP</w:t>
            </w:r>
          </w:p>
        </w:tc>
        <w:tc>
          <w:tcPr>
            <w:tcW w:w="1126" w:type="dxa"/>
            <w:vAlign w:val="center"/>
          </w:tcPr>
          <w:p w14:paraId="44CAD3C0" w14:textId="77777777" w:rsidR="00672297" w:rsidRDefault="00A16EA3">
            <w:pPr>
              <w:spacing w:before="20" w:after="20"/>
              <w:jc w:val="left"/>
            </w:pPr>
            <w:r>
              <w:rPr>
                <w:rFonts w:cstheme="minorHAnsi"/>
                <w:sz w:val="18"/>
                <w:szCs w:val="18"/>
              </w:rPr>
              <w:t>Yes-R#1</w:t>
            </w:r>
          </w:p>
        </w:tc>
      </w:tr>
      <w:tr w:rsidR="00672297" w14:paraId="710E4E51" w14:textId="77777777">
        <w:trPr>
          <w:cantSplit/>
        </w:trPr>
        <w:tc>
          <w:tcPr>
            <w:tcW w:w="2433" w:type="dxa"/>
            <w:vAlign w:val="center"/>
          </w:tcPr>
          <w:p w14:paraId="53D1CCD0" w14:textId="77777777" w:rsidR="00672297" w:rsidRDefault="00A16EA3">
            <w:pPr>
              <w:spacing w:before="20" w:after="20"/>
              <w:jc w:val="left"/>
            </w:pPr>
            <w:r>
              <w:rPr>
                <w:rFonts w:cstheme="minorHAnsi"/>
                <w:sz w:val="18"/>
                <w:szCs w:val="18"/>
              </w:rPr>
              <w:t>Product qualities pre-blending (terminal)</w:t>
            </w:r>
          </w:p>
        </w:tc>
        <w:tc>
          <w:tcPr>
            <w:tcW w:w="1216" w:type="dxa"/>
            <w:vAlign w:val="center"/>
          </w:tcPr>
          <w:p w14:paraId="32AB28D2" w14:textId="77777777" w:rsidR="00672297" w:rsidRDefault="00A16EA3">
            <w:pPr>
              <w:spacing w:before="20" w:after="20"/>
              <w:jc w:val="left"/>
            </w:pPr>
            <w:r>
              <w:rPr>
                <w:rFonts w:cstheme="minorHAnsi"/>
                <w:sz w:val="18"/>
                <w:szCs w:val="18"/>
              </w:rPr>
              <w:t>PQCore</w:t>
            </w:r>
          </w:p>
        </w:tc>
        <w:tc>
          <w:tcPr>
            <w:tcW w:w="2152" w:type="dxa"/>
            <w:vAlign w:val="center"/>
          </w:tcPr>
          <w:p w14:paraId="6B49D149" w14:textId="77777777" w:rsidR="00672297" w:rsidRDefault="00A16EA3">
            <w:pPr>
              <w:spacing w:before="20" w:after="20"/>
              <w:jc w:val="left"/>
            </w:pPr>
            <w:r>
              <w:rPr>
                <w:rFonts w:cstheme="minorHAnsi"/>
                <w:sz w:val="18"/>
                <w:szCs w:val="18"/>
              </w:rPr>
              <w:t>Sample results</w:t>
            </w:r>
          </w:p>
        </w:tc>
        <w:tc>
          <w:tcPr>
            <w:tcW w:w="2433" w:type="dxa"/>
            <w:vAlign w:val="center"/>
          </w:tcPr>
          <w:p w14:paraId="09EEC4ED" w14:textId="77777777" w:rsidR="00672297" w:rsidRDefault="00A16EA3">
            <w:pPr>
              <w:spacing w:before="20" w:after="20"/>
              <w:jc w:val="left"/>
            </w:pPr>
            <w:r>
              <w:rPr>
                <w:rFonts w:cstheme="minorHAnsi"/>
                <w:sz w:val="18"/>
                <w:szCs w:val="18"/>
              </w:rPr>
              <w:t>Actual qualities</w:t>
            </w:r>
          </w:p>
        </w:tc>
        <w:tc>
          <w:tcPr>
            <w:tcW w:w="1126" w:type="dxa"/>
            <w:vAlign w:val="center"/>
          </w:tcPr>
          <w:p w14:paraId="28055EB0" w14:textId="77777777" w:rsidR="00672297" w:rsidRDefault="00A16EA3">
            <w:pPr>
              <w:spacing w:before="20" w:after="20"/>
              <w:jc w:val="left"/>
            </w:pPr>
            <w:r>
              <w:rPr>
                <w:rFonts w:cstheme="minorHAnsi"/>
                <w:sz w:val="18"/>
                <w:szCs w:val="18"/>
              </w:rPr>
              <w:t>Yes-R#2</w:t>
            </w:r>
          </w:p>
        </w:tc>
      </w:tr>
      <w:tr w:rsidR="00672297" w14:paraId="3B2D060F" w14:textId="77777777">
        <w:trPr>
          <w:cantSplit/>
        </w:trPr>
        <w:tc>
          <w:tcPr>
            <w:tcW w:w="2433" w:type="dxa"/>
            <w:vAlign w:val="center"/>
          </w:tcPr>
          <w:p w14:paraId="4CDF6519" w14:textId="77777777" w:rsidR="00672297" w:rsidRDefault="00A16EA3">
            <w:pPr>
              <w:spacing w:before="20" w:after="20"/>
              <w:jc w:val="left"/>
            </w:pPr>
            <w:r>
              <w:rPr>
                <w:rFonts w:cstheme="minorHAnsi"/>
                <w:sz w:val="18"/>
                <w:szCs w:val="18"/>
              </w:rPr>
              <w:t>Product qualities post-blending</w:t>
            </w:r>
          </w:p>
        </w:tc>
        <w:tc>
          <w:tcPr>
            <w:tcW w:w="1216" w:type="dxa"/>
            <w:vAlign w:val="center"/>
          </w:tcPr>
          <w:p w14:paraId="31364AAC" w14:textId="77777777" w:rsidR="00672297" w:rsidRDefault="00A16EA3">
            <w:pPr>
              <w:spacing w:before="20" w:after="20"/>
              <w:jc w:val="left"/>
            </w:pPr>
            <w:r>
              <w:rPr>
                <w:rFonts w:cstheme="minorHAnsi"/>
                <w:sz w:val="18"/>
                <w:szCs w:val="18"/>
              </w:rPr>
              <w:t>PQCore</w:t>
            </w:r>
          </w:p>
        </w:tc>
        <w:tc>
          <w:tcPr>
            <w:tcW w:w="2152" w:type="dxa"/>
            <w:vAlign w:val="center"/>
          </w:tcPr>
          <w:p w14:paraId="0ADB731E" w14:textId="77777777" w:rsidR="00672297" w:rsidRDefault="00A16EA3">
            <w:pPr>
              <w:spacing w:before="20" w:after="20"/>
              <w:jc w:val="left"/>
            </w:pPr>
            <w:r>
              <w:rPr>
                <w:rFonts w:cstheme="minorHAnsi"/>
                <w:sz w:val="18"/>
                <w:szCs w:val="18"/>
              </w:rPr>
              <w:t>Sample results</w:t>
            </w:r>
          </w:p>
        </w:tc>
        <w:tc>
          <w:tcPr>
            <w:tcW w:w="2433" w:type="dxa"/>
            <w:vAlign w:val="center"/>
          </w:tcPr>
          <w:p w14:paraId="1FDBF614" w14:textId="77777777" w:rsidR="00672297" w:rsidRDefault="00A16EA3">
            <w:pPr>
              <w:spacing w:before="20" w:after="20"/>
              <w:jc w:val="left"/>
            </w:pPr>
            <w:r>
              <w:rPr>
                <w:rFonts w:cstheme="minorHAnsi"/>
                <w:sz w:val="18"/>
                <w:szCs w:val="18"/>
              </w:rPr>
              <w:t>Actual and calculated qualities</w:t>
            </w:r>
          </w:p>
        </w:tc>
        <w:tc>
          <w:tcPr>
            <w:tcW w:w="1126" w:type="dxa"/>
            <w:vAlign w:val="center"/>
          </w:tcPr>
          <w:p w14:paraId="547C2F3C" w14:textId="77777777" w:rsidR="00672297" w:rsidRDefault="00A16EA3">
            <w:pPr>
              <w:spacing w:before="20" w:after="20"/>
              <w:jc w:val="left"/>
            </w:pPr>
            <w:r>
              <w:rPr>
                <w:rFonts w:cstheme="minorHAnsi"/>
                <w:sz w:val="18"/>
                <w:szCs w:val="18"/>
              </w:rPr>
              <w:t>Yes-R#2</w:t>
            </w:r>
          </w:p>
        </w:tc>
      </w:tr>
      <w:tr w:rsidR="00672297" w14:paraId="34341AB2" w14:textId="77777777">
        <w:trPr>
          <w:cantSplit/>
        </w:trPr>
        <w:tc>
          <w:tcPr>
            <w:tcW w:w="2433" w:type="dxa"/>
            <w:vAlign w:val="center"/>
          </w:tcPr>
          <w:p w14:paraId="494E518E" w14:textId="77777777" w:rsidR="00672297" w:rsidRDefault="00A16EA3">
            <w:pPr>
              <w:spacing w:before="20" w:after="20"/>
              <w:jc w:val="left"/>
            </w:pPr>
            <w:r>
              <w:rPr>
                <w:rFonts w:cstheme="minorHAnsi"/>
                <w:sz w:val="18"/>
                <w:szCs w:val="18"/>
              </w:rPr>
              <w:t>Product movements</w:t>
            </w:r>
          </w:p>
        </w:tc>
        <w:tc>
          <w:tcPr>
            <w:tcW w:w="1216" w:type="dxa"/>
            <w:vAlign w:val="center"/>
          </w:tcPr>
          <w:p w14:paraId="5C9B81D6" w14:textId="77777777" w:rsidR="00672297" w:rsidRDefault="00A16EA3">
            <w:pPr>
              <w:spacing w:before="20" w:after="20"/>
              <w:jc w:val="left"/>
            </w:pPr>
            <w:r>
              <w:rPr>
                <w:rFonts w:cstheme="minorHAnsi"/>
                <w:sz w:val="18"/>
                <w:szCs w:val="18"/>
              </w:rPr>
              <w:t>Kittyhawk</w:t>
            </w:r>
          </w:p>
        </w:tc>
        <w:tc>
          <w:tcPr>
            <w:tcW w:w="2152" w:type="dxa"/>
            <w:vAlign w:val="center"/>
          </w:tcPr>
          <w:p w14:paraId="54D0D2FF" w14:textId="77777777" w:rsidR="00672297" w:rsidRDefault="00A16EA3">
            <w:pPr>
              <w:spacing w:before="20" w:after="20"/>
              <w:jc w:val="left"/>
            </w:pPr>
            <w:r>
              <w:rPr>
                <w:rFonts w:cstheme="minorHAnsi"/>
                <w:sz w:val="18"/>
                <w:szCs w:val="18"/>
              </w:rPr>
              <w:t>BulkTransfer / Transfer</w:t>
            </w:r>
          </w:p>
        </w:tc>
        <w:tc>
          <w:tcPr>
            <w:tcW w:w="2433" w:type="dxa"/>
            <w:vAlign w:val="center"/>
          </w:tcPr>
          <w:p w14:paraId="6A3B5BD2" w14:textId="77777777" w:rsidR="00672297" w:rsidRDefault="00A16EA3">
            <w:pPr>
              <w:spacing w:before="20" w:after="20"/>
              <w:jc w:val="left"/>
            </w:pPr>
            <w:r>
              <w:rPr>
                <w:rFonts w:cstheme="minorHAnsi"/>
                <w:sz w:val="18"/>
                <w:szCs w:val="18"/>
              </w:rPr>
              <w:t>Delivered volume per terminal</w:t>
            </w:r>
          </w:p>
        </w:tc>
        <w:tc>
          <w:tcPr>
            <w:tcW w:w="1126" w:type="dxa"/>
            <w:vAlign w:val="center"/>
          </w:tcPr>
          <w:p w14:paraId="023E89AB" w14:textId="77777777" w:rsidR="00672297" w:rsidRDefault="00A16EA3">
            <w:pPr>
              <w:spacing w:before="20" w:after="20"/>
              <w:jc w:val="left"/>
            </w:pPr>
            <w:r>
              <w:rPr>
                <w:rFonts w:cstheme="minorHAnsi"/>
                <w:sz w:val="18"/>
                <w:szCs w:val="18"/>
              </w:rPr>
              <w:t>Yes-R#2</w:t>
            </w:r>
          </w:p>
        </w:tc>
      </w:tr>
      <w:tr w:rsidR="00672297" w14:paraId="358A09CB" w14:textId="77777777">
        <w:trPr>
          <w:cantSplit/>
        </w:trPr>
        <w:tc>
          <w:tcPr>
            <w:tcW w:w="2433" w:type="dxa"/>
            <w:vAlign w:val="center"/>
          </w:tcPr>
          <w:p w14:paraId="4DF0F3A2" w14:textId="77777777" w:rsidR="00672297" w:rsidRDefault="00A16EA3">
            <w:pPr>
              <w:spacing w:before="20" w:after="20"/>
              <w:jc w:val="left"/>
            </w:pPr>
            <w:r>
              <w:rPr>
                <w:rFonts w:cstheme="minorHAnsi"/>
                <w:sz w:val="18"/>
                <w:szCs w:val="18"/>
              </w:rPr>
              <w:t>Blend component flows (actual)</w:t>
            </w:r>
          </w:p>
        </w:tc>
        <w:tc>
          <w:tcPr>
            <w:tcW w:w="1216" w:type="dxa"/>
            <w:vAlign w:val="center"/>
          </w:tcPr>
          <w:p w14:paraId="2FBF7DF2" w14:textId="77777777" w:rsidR="00672297" w:rsidRDefault="00A16EA3">
            <w:pPr>
              <w:spacing w:before="20" w:after="20"/>
              <w:jc w:val="left"/>
            </w:pPr>
            <w:r>
              <w:rPr>
                <w:rFonts w:cstheme="minorHAnsi"/>
                <w:sz w:val="18"/>
                <w:szCs w:val="18"/>
              </w:rPr>
              <w:t>PIAF</w:t>
            </w:r>
          </w:p>
        </w:tc>
        <w:tc>
          <w:tcPr>
            <w:tcW w:w="2152" w:type="dxa"/>
            <w:vAlign w:val="center"/>
          </w:tcPr>
          <w:p w14:paraId="604F7C90" w14:textId="77777777" w:rsidR="00672297" w:rsidRDefault="00A16EA3">
            <w:pPr>
              <w:spacing w:before="20" w:after="20"/>
              <w:jc w:val="left"/>
            </w:pPr>
            <w:r>
              <w:rPr>
                <w:rFonts w:cstheme="minorHAnsi"/>
                <w:sz w:val="18"/>
                <w:szCs w:val="18"/>
              </w:rPr>
              <w:t>PI tags (daily totalizers)</w:t>
            </w:r>
          </w:p>
        </w:tc>
        <w:tc>
          <w:tcPr>
            <w:tcW w:w="2433" w:type="dxa"/>
            <w:vAlign w:val="center"/>
          </w:tcPr>
          <w:p w14:paraId="646A7D5F" w14:textId="77777777" w:rsidR="00672297" w:rsidRDefault="00A16EA3">
            <w:pPr>
              <w:spacing w:before="20" w:after="20"/>
              <w:jc w:val="left"/>
            </w:pPr>
            <w:r>
              <w:rPr>
                <w:rFonts w:cstheme="minorHAnsi"/>
                <w:sz w:val="18"/>
                <w:szCs w:val="18"/>
              </w:rPr>
              <w:t>Actual component volumes blended</w:t>
            </w:r>
          </w:p>
        </w:tc>
        <w:tc>
          <w:tcPr>
            <w:tcW w:w="1126" w:type="dxa"/>
            <w:vAlign w:val="center"/>
          </w:tcPr>
          <w:p w14:paraId="64589647" w14:textId="1CFAEA70" w:rsidR="00672297" w:rsidRDefault="00A16EA3">
            <w:pPr>
              <w:spacing w:before="20" w:after="20"/>
              <w:jc w:val="left"/>
            </w:pPr>
            <w:r>
              <w:rPr>
                <w:rFonts w:cstheme="minorHAnsi"/>
                <w:sz w:val="18"/>
                <w:szCs w:val="18"/>
              </w:rPr>
              <w:t xml:space="preserve">No (VCB </w:t>
            </w:r>
            <w:r w:rsidR="00371C86">
              <w:rPr>
                <w:rFonts w:cstheme="minorHAnsi"/>
                <w:sz w:val="18"/>
                <w:szCs w:val="18"/>
              </w:rPr>
              <w:t>R3</w:t>
            </w:r>
            <w:r>
              <w:rPr>
                <w:rFonts w:cstheme="minorHAnsi"/>
                <w:sz w:val="18"/>
                <w:szCs w:val="18"/>
              </w:rPr>
              <w:t>)</w:t>
            </w:r>
          </w:p>
        </w:tc>
      </w:tr>
      <w:tr w:rsidR="00672297" w14:paraId="343C1842" w14:textId="77777777">
        <w:trPr>
          <w:cantSplit/>
        </w:trPr>
        <w:tc>
          <w:tcPr>
            <w:tcW w:w="2433" w:type="dxa"/>
            <w:vAlign w:val="center"/>
          </w:tcPr>
          <w:p w14:paraId="0BA68F16" w14:textId="77777777" w:rsidR="00672297" w:rsidRDefault="00A16EA3">
            <w:pPr>
              <w:spacing w:before="20" w:after="20"/>
              <w:jc w:val="left"/>
            </w:pPr>
            <w:r>
              <w:rPr>
                <w:rFonts w:cstheme="minorHAnsi"/>
                <w:sz w:val="18"/>
                <w:szCs w:val="18"/>
              </w:rPr>
              <w:t>Blend component movement (actual)</w:t>
            </w:r>
          </w:p>
        </w:tc>
        <w:tc>
          <w:tcPr>
            <w:tcW w:w="1216" w:type="dxa"/>
            <w:vAlign w:val="center"/>
          </w:tcPr>
          <w:p w14:paraId="0FCBE668" w14:textId="77777777" w:rsidR="00672297" w:rsidRDefault="00A16EA3">
            <w:pPr>
              <w:spacing w:before="20" w:after="20"/>
              <w:jc w:val="left"/>
            </w:pPr>
            <w:r>
              <w:rPr>
                <w:rFonts w:cstheme="minorHAnsi"/>
                <w:sz w:val="18"/>
                <w:szCs w:val="18"/>
              </w:rPr>
              <w:t>Kittyhawk</w:t>
            </w:r>
          </w:p>
        </w:tc>
        <w:tc>
          <w:tcPr>
            <w:tcW w:w="2152" w:type="dxa"/>
            <w:vAlign w:val="center"/>
          </w:tcPr>
          <w:p w14:paraId="1C52EC17" w14:textId="77777777" w:rsidR="00672297" w:rsidRDefault="00A16EA3">
            <w:pPr>
              <w:spacing w:before="20" w:after="20"/>
              <w:jc w:val="left"/>
            </w:pPr>
            <w:r>
              <w:rPr>
                <w:rFonts w:cstheme="minorHAnsi"/>
                <w:sz w:val="18"/>
                <w:szCs w:val="18"/>
              </w:rPr>
              <w:t>Transaction upload</w:t>
            </w:r>
          </w:p>
        </w:tc>
        <w:tc>
          <w:tcPr>
            <w:tcW w:w="2433" w:type="dxa"/>
            <w:vAlign w:val="center"/>
          </w:tcPr>
          <w:p w14:paraId="3437ECB2" w14:textId="77777777" w:rsidR="00672297" w:rsidRDefault="00A16EA3">
            <w:pPr>
              <w:spacing w:before="20" w:after="20"/>
              <w:jc w:val="left"/>
            </w:pPr>
            <w:r>
              <w:rPr>
                <w:rFonts w:cstheme="minorHAnsi"/>
                <w:sz w:val="18"/>
                <w:szCs w:val="18"/>
              </w:rPr>
              <w:t>Actual component volumes blended</w:t>
            </w:r>
          </w:p>
        </w:tc>
        <w:tc>
          <w:tcPr>
            <w:tcW w:w="1126" w:type="dxa"/>
            <w:vAlign w:val="center"/>
          </w:tcPr>
          <w:p w14:paraId="6080474C" w14:textId="77777777" w:rsidR="00672297" w:rsidRDefault="00A16EA3">
            <w:pPr>
              <w:spacing w:before="20" w:after="20"/>
              <w:jc w:val="left"/>
            </w:pPr>
            <w:r>
              <w:rPr>
                <w:rFonts w:cstheme="minorHAnsi"/>
                <w:sz w:val="18"/>
                <w:szCs w:val="18"/>
              </w:rPr>
              <w:t>No (VCB R3)</w:t>
            </w:r>
          </w:p>
        </w:tc>
      </w:tr>
      <w:tr w:rsidR="00672297" w14:paraId="259DBA5A" w14:textId="77777777">
        <w:trPr>
          <w:cantSplit/>
        </w:trPr>
        <w:tc>
          <w:tcPr>
            <w:tcW w:w="2433" w:type="dxa"/>
            <w:vAlign w:val="center"/>
          </w:tcPr>
          <w:p w14:paraId="007B7A2A" w14:textId="77777777" w:rsidR="00672297" w:rsidRDefault="00A16EA3">
            <w:pPr>
              <w:spacing w:before="20" w:after="20"/>
              <w:jc w:val="left"/>
            </w:pPr>
            <w:r>
              <w:rPr>
                <w:rFonts w:cstheme="minorHAnsi"/>
                <w:sz w:val="18"/>
                <w:szCs w:val="18"/>
              </w:rPr>
              <w:t>Component / product pricing</w:t>
            </w:r>
          </w:p>
        </w:tc>
        <w:tc>
          <w:tcPr>
            <w:tcW w:w="1216" w:type="dxa"/>
            <w:vAlign w:val="center"/>
          </w:tcPr>
          <w:p w14:paraId="1C0A5D19" w14:textId="77777777" w:rsidR="00672297" w:rsidRDefault="00A16EA3">
            <w:pPr>
              <w:spacing w:before="20" w:after="20"/>
              <w:jc w:val="left"/>
            </w:pPr>
            <w:r>
              <w:rPr>
                <w:rFonts w:cstheme="minorHAnsi"/>
                <w:sz w:val="18"/>
                <w:szCs w:val="18"/>
              </w:rPr>
              <w:t>MPR (API)</w:t>
            </w:r>
          </w:p>
        </w:tc>
        <w:tc>
          <w:tcPr>
            <w:tcW w:w="2152" w:type="dxa"/>
            <w:vAlign w:val="center"/>
          </w:tcPr>
          <w:p w14:paraId="54A258A1" w14:textId="77777777" w:rsidR="00672297" w:rsidRDefault="00A16EA3">
            <w:pPr>
              <w:spacing w:before="20" w:after="20"/>
              <w:jc w:val="left"/>
            </w:pPr>
            <w:r>
              <w:rPr>
                <w:rFonts w:cstheme="minorHAnsi"/>
                <w:sz w:val="18"/>
                <w:szCs w:val="18"/>
              </w:rPr>
              <w:t>MPR_Price in Power BI; joined on globalCode + productAbbreviation</w:t>
            </w:r>
          </w:p>
        </w:tc>
        <w:tc>
          <w:tcPr>
            <w:tcW w:w="2433" w:type="dxa"/>
            <w:vAlign w:val="center"/>
          </w:tcPr>
          <w:p w14:paraId="732F07F1" w14:textId="77777777" w:rsidR="00672297" w:rsidRDefault="00A16EA3">
            <w:pPr>
              <w:spacing w:before="20" w:after="20"/>
              <w:jc w:val="left"/>
            </w:pPr>
            <w:r>
              <w:rPr>
                <w:rFonts w:cstheme="minorHAnsi"/>
                <w:sz w:val="18"/>
                <w:szCs w:val="18"/>
              </w:rPr>
              <w:t>Prices for the value loss</w:t>
            </w:r>
          </w:p>
        </w:tc>
        <w:tc>
          <w:tcPr>
            <w:tcW w:w="1126" w:type="dxa"/>
            <w:vAlign w:val="center"/>
          </w:tcPr>
          <w:p w14:paraId="6E509CD6" w14:textId="77777777" w:rsidR="00672297" w:rsidRDefault="00A16EA3">
            <w:pPr>
              <w:spacing w:before="20" w:after="20"/>
              <w:jc w:val="left"/>
            </w:pPr>
            <w:r>
              <w:rPr>
                <w:rFonts w:cstheme="minorHAnsi"/>
                <w:sz w:val="18"/>
                <w:szCs w:val="18"/>
              </w:rPr>
              <w:t>No (VCB R3; not stored in IQDM)</w:t>
            </w:r>
          </w:p>
        </w:tc>
      </w:tr>
      <w:tr w:rsidR="00672297" w14:paraId="3DCB7072" w14:textId="77777777">
        <w:trPr>
          <w:cantSplit/>
        </w:trPr>
        <w:tc>
          <w:tcPr>
            <w:tcW w:w="2433" w:type="dxa"/>
            <w:vAlign w:val="center"/>
          </w:tcPr>
          <w:p w14:paraId="2F02C4DF" w14:textId="77777777" w:rsidR="00672297" w:rsidRDefault="00A16EA3">
            <w:pPr>
              <w:spacing w:before="20" w:after="20"/>
              <w:jc w:val="left"/>
            </w:pPr>
            <w:r>
              <w:rPr>
                <w:rFonts w:cstheme="minorHAnsi"/>
                <w:sz w:val="18"/>
                <w:szCs w:val="18"/>
              </w:rPr>
              <w:t>Grade specifications</w:t>
            </w:r>
          </w:p>
        </w:tc>
        <w:tc>
          <w:tcPr>
            <w:tcW w:w="1216" w:type="dxa"/>
            <w:vAlign w:val="center"/>
          </w:tcPr>
          <w:p w14:paraId="18475F01" w14:textId="77777777" w:rsidR="00672297" w:rsidRDefault="00A16EA3">
            <w:pPr>
              <w:spacing w:before="20" w:after="20"/>
              <w:jc w:val="left"/>
            </w:pPr>
            <w:r>
              <w:rPr>
                <w:rFonts w:cstheme="minorHAnsi"/>
                <w:sz w:val="18"/>
                <w:szCs w:val="18"/>
              </w:rPr>
              <w:t>PQ Spec Shop</w:t>
            </w:r>
          </w:p>
        </w:tc>
        <w:tc>
          <w:tcPr>
            <w:tcW w:w="2152" w:type="dxa"/>
            <w:vAlign w:val="center"/>
          </w:tcPr>
          <w:p w14:paraId="0514617D" w14:textId="77777777" w:rsidR="00672297" w:rsidRDefault="00A16EA3">
            <w:pPr>
              <w:spacing w:before="20" w:after="20"/>
              <w:jc w:val="left"/>
            </w:pPr>
            <w:r>
              <w:rPr>
                <w:rFonts w:cstheme="minorHAnsi"/>
                <w:sz w:val="18"/>
                <w:szCs w:val="18"/>
              </w:rPr>
              <w:t>product_specification</w:t>
            </w:r>
          </w:p>
        </w:tc>
        <w:tc>
          <w:tcPr>
            <w:tcW w:w="2433" w:type="dxa"/>
            <w:vAlign w:val="center"/>
          </w:tcPr>
          <w:p w14:paraId="79ECADC2" w14:textId="77777777" w:rsidR="00672297" w:rsidRDefault="00A16EA3">
            <w:pPr>
              <w:spacing w:before="20" w:after="20"/>
              <w:jc w:val="left"/>
            </w:pPr>
            <w:r>
              <w:rPr>
                <w:rFonts w:cstheme="minorHAnsi"/>
                <w:sz w:val="18"/>
                <w:szCs w:val="18"/>
              </w:rPr>
              <w:t>Quality benchmarking</w:t>
            </w:r>
          </w:p>
        </w:tc>
        <w:tc>
          <w:tcPr>
            <w:tcW w:w="1126" w:type="dxa"/>
            <w:vAlign w:val="center"/>
          </w:tcPr>
          <w:p w14:paraId="07D2D1E8" w14:textId="77777777" w:rsidR="00672297" w:rsidRDefault="00A16EA3">
            <w:pPr>
              <w:spacing w:before="20" w:after="20"/>
              <w:jc w:val="left"/>
            </w:pPr>
            <w:r>
              <w:rPr>
                <w:rFonts w:cstheme="minorHAnsi"/>
                <w:sz w:val="18"/>
                <w:szCs w:val="18"/>
              </w:rPr>
              <w:t>Yes-R#5</w:t>
            </w:r>
          </w:p>
        </w:tc>
      </w:tr>
    </w:tbl>
    <w:p w14:paraId="40A5A3F9" w14:textId="4BE7EE56" w:rsidR="00672297" w:rsidRDefault="00A16EA3">
      <w:pPr>
        <w:pStyle w:val="Caption"/>
      </w:pPr>
      <w:bookmarkStart w:id="689" w:name="_Toc900950139"/>
      <w:bookmarkStart w:id="690" w:name="_Toc241574731"/>
      <w:bookmarkStart w:id="691" w:name="_Toc242554115"/>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42</w:t>
      </w:r>
      <w:r>
        <w:fldChar w:fldCharType="end"/>
      </w:r>
      <w:r>
        <w:t>: Gasoline KPI Dashboard Data Source Overview</w:t>
      </w:r>
      <w:bookmarkEnd w:id="689"/>
      <w:bookmarkEnd w:id="690"/>
      <w:bookmarkEnd w:id="691"/>
    </w:p>
    <w:tbl>
      <w:tblPr>
        <w:tblStyle w:val="TableGrid"/>
        <w:tblW w:w="9360" w:type="dxa"/>
        <w:tblLayout w:type="fixed"/>
        <w:tblCellMar>
          <w:left w:w="70" w:type="dxa"/>
          <w:right w:w="70" w:type="dxa"/>
        </w:tblCellMar>
        <w:tblLook w:val="04A0" w:firstRow="1" w:lastRow="0" w:firstColumn="1" w:lastColumn="0" w:noHBand="0" w:noVBand="1"/>
      </w:tblPr>
      <w:tblGrid>
        <w:gridCol w:w="1872"/>
        <w:gridCol w:w="1684"/>
        <w:gridCol w:w="1872"/>
        <w:gridCol w:w="1123"/>
        <w:gridCol w:w="2809"/>
      </w:tblGrid>
      <w:tr w:rsidR="00672297" w14:paraId="6044AF53" w14:textId="77777777">
        <w:trPr>
          <w:cantSplit/>
          <w:tblHeader/>
        </w:trPr>
        <w:tc>
          <w:tcPr>
            <w:tcW w:w="1872" w:type="dxa"/>
            <w:shd w:val="clear" w:color="auto" w:fill="2F5496"/>
            <w:vAlign w:val="center"/>
          </w:tcPr>
          <w:p w14:paraId="2D906A24" w14:textId="77777777" w:rsidR="00672297" w:rsidRDefault="00A16EA3">
            <w:pPr>
              <w:spacing w:before="20" w:after="20"/>
              <w:jc w:val="left"/>
            </w:pPr>
            <w:r>
              <w:rPr>
                <w:rFonts w:cstheme="minorHAnsi"/>
                <w:b/>
                <w:bCs/>
                <w:color w:val="FFFFFF"/>
                <w:sz w:val="18"/>
                <w:szCs w:val="18"/>
              </w:rPr>
              <w:t>Dashboard Field</w:t>
            </w:r>
          </w:p>
        </w:tc>
        <w:tc>
          <w:tcPr>
            <w:tcW w:w="1684" w:type="dxa"/>
            <w:shd w:val="clear" w:color="auto" w:fill="2F5496"/>
            <w:vAlign w:val="center"/>
          </w:tcPr>
          <w:p w14:paraId="1844A306" w14:textId="77777777" w:rsidR="00672297" w:rsidRDefault="00A16EA3">
            <w:pPr>
              <w:spacing w:before="20" w:after="20"/>
              <w:jc w:val="left"/>
            </w:pPr>
            <w:r>
              <w:rPr>
                <w:rFonts w:cstheme="minorHAnsi"/>
                <w:b/>
                <w:bCs/>
                <w:color w:val="FFFFFF"/>
                <w:sz w:val="18"/>
                <w:szCs w:val="18"/>
              </w:rPr>
              <w:t>Source Table</w:t>
            </w:r>
          </w:p>
        </w:tc>
        <w:tc>
          <w:tcPr>
            <w:tcW w:w="1872" w:type="dxa"/>
            <w:shd w:val="clear" w:color="auto" w:fill="2F5496"/>
            <w:vAlign w:val="center"/>
          </w:tcPr>
          <w:p w14:paraId="1C2EDCA5" w14:textId="77777777" w:rsidR="00672297" w:rsidRDefault="00A16EA3">
            <w:pPr>
              <w:spacing w:before="20" w:after="20"/>
              <w:jc w:val="left"/>
            </w:pPr>
            <w:r>
              <w:rPr>
                <w:rFonts w:cstheme="minorHAnsi"/>
                <w:b/>
                <w:bCs/>
                <w:color w:val="FFFFFF"/>
                <w:sz w:val="18"/>
                <w:szCs w:val="18"/>
              </w:rPr>
              <w:t>Field Used</w:t>
            </w:r>
          </w:p>
        </w:tc>
        <w:tc>
          <w:tcPr>
            <w:tcW w:w="1123" w:type="dxa"/>
            <w:shd w:val="clear" w:color="auto" w:fill="2F5496"/>
            <w:vAlign w:val="center"/>
          </w:tcPr>
          <w:p w14:paraId="4CD37A03" w14:textId="77777777" w:rsidR="00672297" w:rsidRDefault="00A16EA3">
            <w:pPr>
              <w:spacing w:before="20" w:after="20"/>
              <w:jc w:val="left"/>
            </w:pPr>
            <w:r>
              <w:rPr>
                <w:rFonts w:cstheme="minorHAnsi"/>
                <w:b/>
                <w:bCs/>
                <w:color w:val="FFFFFF"/>
                <w:sz w:val="18"/>
                <w:szCs w:val="18"/>
              </w:rPr>
              <w:t>IQDM</w:t>
            </w:r>
          </w:p>
        </w:tc>
        <w:tc>
          <w:tcPr>
            <w:tcW w:w="2809" w:type="dxa"/>
            <w:shd w:val="clear" w:color="auto" w:fill="2F5496"/>
            <w:vAlign w:val="center"/>
          </w:tcPr>
          <w:p w14:paraId="67FC9749" w14:textId="77777777" w:rsidR="00672297" w:rsidRDefault="00A16EA3">
            <w:pPr>
              <w:spacing w:before="20" w:after="20"/>
              <w:jc w:val="left"/>
            </w:pPr>
            <w:r>
              <w:rPr>
                <w:rFonts w:cstheme="minorHAnsi"/>
                <w:b/>
                <w:bCs/>
                <w:color w:val="FFFFFF"/>
                <w:sz w:val="18"/>
                <w:szCs w:val="18"/>
              </w:rPr>
              <w:t>VCB View Column</w:t>
            </w:r>
          </w:p>
        </w:tc>
      </w:tr>
      <w:tr w:rsidR="00672297" w14:paraId="0375C2C7" w14:textId="77777777">
        <w:trPr>
          <w:cantSplit/>
        </w:trPr>
        <w:tc>
          <w:tcPr>
            <w:tcW w:w="1872" w:type="dxa"/>
            <w:vAlign w:val="center"/>
          </w:tcPr>
          <w:p w14:paraId="4606DAE5" w14:textId="77777777" w:rsidR="00672297" w:rsidRDefault="00A16EA3">
            <w:pPr>
              <w:spacing w:before="20" w:after="20"/>
              <w:jc w:val="left"/>
            </w:pPr>
            <w:r>
              <w:rPr>
                <w:rFonts w:cstheme="minorHAnsi"/>
                <w:sz w:val="18"/>
                <w:szCs w:val="18"/>
              </w:rPr>
              <w:t>Source / Destination</w:t>
            </w:r>
          </w:p>
        </w:tc>
        <w:tc>
          <w:tcPr>
            <w:tcW w:w="1684" w:type="dxa"/>
            <w:vAlign w:val="center"/>
          </w:tcPr>
          <w:p w14:paraId="10085192" w14:textId="77777777" w:rsidR="00672297" w:rsidRDefault="00A16EA3">
            <w:pPr>
              <w:spacing w:before="20" w:after="20"/>
              <w:jc w:val="left"/>
            </w:pPr>
            <w:r>
              <w:rPr>
                <w:rFonts w:cstheme="minorHAnsi"/>
                <w:sz w:val="18"/>
                <w:szCs w:val="18"/>
              </w:rPr>
              <w:t>_EVENT / BulkTransfer</w:t>
            </w:r>
          </w:p>
        </w:tc>
        <w:tc>
          <w:tcPr>
            <w:tcW w:w="1872" w:type="dxa"/>
            <w:vAlign w:val="center"/>
          </w:tcPr>
          <w:p w14:paraId="2A2E015E" w14:textId="77777777" w:rsidR="00672297" w:rsidRDefault="00A16EA3">
            <w:pPr>
              <w:spacing w:before="20" w:after="20"/>
              <w:jc w:val="left"/>
            </w:pPr>
            <w:r>
              <w:rPr>
                <w:rFonts w:cstheme="minorHAnsi"/>
                <w:sz w:val="18"/>
                <w:szCs w:val="18"/>
              </w:rPr>
              <w:t>Location / Destination</w:t>
            </w:r>
          </w:p>
        </w:tc>
        <w:tc>
          <w:tcPr>
            <w:tcW w:w="1123" w:type="dxa"/>
            <w:vAlign w:val="center"/>
          </w:tcPr>
          <w:p w14:paraId="41F736E2" w14:textId="77777777" w:rsidR="00672297" w:rsidRDefault="00A16EA3">
            <w:pPr>
              <w:spacing w:before="20" w:after="20"/>
              <w:jc w:val="left"/>
            </w:pPr>
            <w:r>
              <w:rPr>
                <w:rFonts w:cstheme="minorHAnsi"/>
                <w:sz w:val="18"/>
                <w:szCs w:val="18"/>
              </w:rPr>
              <w:t>Yes-R#1 / R#2</w:t>
            </w:r>
          </w:p>
        </w:tc>
        <w:tc>
          <w:tcPr>
            <w:tcW w:w="2809" w:type="dxa"/>
            <w:vAlign w:val="center"/>
          </w:tcPr>
          <w:p w14:paraId="44015DBC" w14:textId="77777777" w:rsidR="00672297" w:rsidRDefault="00A16EA3">
            <w:pPr>
              <w:spacing w:before="20" w:after="20"/>
              <w:jc w:val="left"/>
            </w:pPr>
            <w:r>
              <w:rPr>
                <w:rFonts w:cstheme="minorHAnsi"/>
                <w:sz w:val="18"/>
                <w:szCs w:val="18"/>
              </w:rPr>
              <w:t>vwGasolineBlendingKPI[Source] / [Destination]</w:t>
            </w:r>
          </w:p>
        </w:tc>
      </w:tr>
      <w:tr w:rsidR="00672297" w14:paraId="676FD92D" w14:textId="77777777">
        <w:trPr>
          <w:cantSplit/>
        </w:trPr>
        <w:tc>
          <w:tcPr>
            <w:tcW w:w="1872" w:type="dxa"/>
            <w:vAlign w:val="center"/>
          </w:tcPr>
          <w:p w14:paraId="57BDF8B9" w14:textId="77777777" w:rsidR="00672297" w:rsidRDefault="00A16EA3">
            <w:pPr>
              <w:spacing w:before="20" w:after="20"/>
              <w:jc w:val="left"/>
            </w:pPr>
            <w:r>
              <w:rPr>
                <w:rFonts w:cstheme="minorHAnsi"/>
                <w:sz w:val="18"/>
                <w:szCs w:val="18"/>
              </w:rPr>
              <w:t>Total Volume (bbl)</w:t>
            </w:r>
          </w:p>
        </w:tc>
        <w:tc>
          <w:tcPr>
            <w:tcW w:w="1684" w:type="dxa"/>
            <w:vAlign w:val="center"/>
          </w:tcPr>
          <w:p w14:paraId="2DFBC665" w14:textId="77777777" w:rsidR="00672297" w:rsidRDefault="00A16EA3">
            <w:pPr>
              <w:spacing w:before="20" w:after="20"/>
              <w:jc w:val="left"/>
            </w:pPr>
            <w:r>
              <w:rPr>
                <w:rFonts w:cstheme="minorHAnsi"/>
                <w:sz w:val="18"/>
                <w:szCs w:val="18"/>
              </w:rPr>
              <w:t>BulkTransfer / Transfer</w:t>
            </w:r>
          </w:p>
        </w:tc>
        <w:tc>
          <w:tcPr>
            <w:tcW w:w="1872" w:type="dxa"/>
            <w:vAlign w:val="center"/>
          </w:tcPr>
          <w:p w14:paraId="2EF6EDD4" w14:textId="77777777" w:rsidR="00672297" w:rsidRDefault="00A16EA3">
            <w:pPr>
              <w:spacing w:before="20" w:after="20"/>
              <w:jc w:val="left"/>
            </w:pPr>
            <w:r>
              <w:rPr>
                <w:rFonts w:cstheme="minorHAnsi"/>
                <w:sz w:val="18"/>
                <w:szCs w:val="18"/>
              </w:rPr>
              <w:t>Actual Quantity</w:t>
            </w:r>
          </w:p>
        </w:tc>
        <w:tc>
          <w:tcPr>
            <w:tcW w:w="1123" w:type="dxa"/>
            <w:vAlign w:val="center"/>
          </w:tcPr>
          <w:p w14:paraId="520EAF63" w14:textId="77777777" w:rsidR="00672297" w:rsidRDefault="00A16EA3">
            <w:pPr>
              <w:spacing w:before="20" w:after="20"/>
              <w:jc w:val="left"/>
            </w:pPr>
            <w:r>
              <w:rPr>
                <w:rFonts w:cstheme="minorHAnsi"/>
                <w:sz w:val="18"/>
                <w:szCs w:val="18"/>
              </w:rPr>
              <w:t>Yes-R#2</w:t>
            </w:r>
          </w:p>
        </w:tc>
        <w:tc>
          <w:tcPr>
            <w:tcW w:w="2809" w:type="dxa"/>
            <w:vAlign w:val="center"/>
          </w:tcPr>
          <w:p w14:paraId="186B4CD9" w14:textId="77777777" w:rsidR="00672297" w:rsidRDefault="00A16EA3">
            <w:pPr>
              <w:spacing w:before="20" w:after="20"/>
              <w:jc w:val="left"/>
            </w:pPr>
            <w:r>
              <w:rPr>
                <w:rFonts w:cstheme="minorHAnsi"/>
                <w:sz w:val="18"/>
                <w:szCs w:val="18"/>
              </w:rPr>
              <w:t>[TotalVolumeBbl]</w:t>
            </w:r>
          </w:p>
        </w:tc>
      </w:tr>
      <w:tr w:rsidR="00672297" w14:paraId="238EBE01" w14:textId="77777777">
        <w:trPr>
          <w:cantSplit/>
        </w:trPr>
        <w:tc>
          <w:tcPr>
            <w:tcW w:w="1872" w:type="dxa"/>
            <w:vAlign w:val="center"/>
          </w:tcPr>
          <w:p w14:paraId="48EB83F7" w14:textId="77777777" w:rsidR="00672297" w:rsidRDefault="00A16EA3">
            <w:pPr>
              <w:spacing w:before="20" w:after="20"/>
              <w:jc w:val="left"/>
            </w:pPr>
            <w:r>
              <w:rPr>
                <w:rFonts w:cstheme="minorHAnsi"/>
                <w:sz w:val="18"/>
                <w:szCs w:val="18"/>
              </w:rPr>
              <w:t>Average qualities (RVP, T-10, T-50, T-90, TV/L, FBP)</w:t>
            </w:r>
          </w:p>
        </w:tc>
        <w:tc>
          <w:tcPr>
            <w:tcW w:w="1684" w:type="dxa"/>
            <w:vAlign w:val="center"/>
          </w:tcPr>
          <w:p w14:paraId="0E3274CC" w14:textId="77777777" w:rsidR="00672297" w:rsidRDefault="00A16EA3">
            <w:pPr>
              <w:spacing w:before="20" w:after="20"/>
              <w:jc w:val="left"/>
            </w:pPr>
            <w:r>
              <w:rPr>
                <w:rFonts w:cstheme="minorHAnsi"/>
                <w:sz w:val="18"/>
                <w:szCs w:val="18"/>
              </w:rPr>
              <w:t>LIMS / PQCore</w:t>
            </w:r>
          </w:p>
        </w:tc>
        <w:tc>
          <w:tcPr>
            <w:tcW w:w="1872" w:type="dxa"/>
            <w:vAlign w:val="center"/>
          </w:tcPr>
          <w:p w14:paraId="40B77653" w14:textId="77777777" w:rsidR="00672297" w:rsidRDefault="00A16EA3">
            <w:pPr>
              <w:spacing w:before="20" w:after="20"/>
              <w:jc w:val="left"/>
            </w:pPr>
            <w:r>
              <w:rPr>
                <w:rFonts w:cstheme="minorHAnsi"/>
                <w:sz w:val="18"/>
                <w:szCs w:val="18"/>
              </w:rPr>
              <w:t>Quality tags</w:t>
            </w:r>
          </w:p>
        </w:tc>
        <w:tc>
          <w:tcPr>
            <w:tcW w:w="1123" w:type="dxa"/>
            <w:vAlign w:val="center"/>
          </w:tcPr>
          <w:p w14:paraId="59431B2D" w14:textId="77777777" w:rsidR="00672297" w:rsidRDefault="00A16EA3">
            <w:pPr>
              <w:spacing w:before="20" w:after="20"/>
              <w:jc w:val="left"/>
            </w:pPr>
            <w:r>
              <w:rPr>
                <w:rFonts w:cstheme="minorHAnsi"/>
                <w:sz w:val="18"/>
                <w:szCs w:val="18"/>
              </w:rPr>
              <w:t>Yes-R#1 / R#2</w:t>
            </w:r>
          </w:p>
        </w:tc>
        <w:tc>
          <w:tcPr>
            <w:tcW w:w="2809" w:type="dxa"/>
            <w:vAlign w:val="center"/>
          </w:tcPr>
          <w:p w14:paraId="7E76830E" w14:textId="77777777" w:rsidR="00672297" w:rsidRDefault="00A16EA3">
            <w:pPr>
              <w:spacing w:before="20" w:after="20"/>
              <w:jc w:val="left"/>
            </w:pPr>
            <w:r>
              <w:rPr>
                <w:rFonts w:cstheme="minorHAnsi"/>
                <w:sz w:val="18"/>
                <w:szCs w:val="18"/>
              </w:rPr>
              <w:t>[RVP], [T10], [T50], [T90], [TVL], [FBP]</w:t>
            </w:r>
          </w:p>
        </w:tc>
      </w:tr>
      <w:tr w:rsidR="00672297" w14:paraId="2F1241A0" w14:textId="77777777">
        <w:trPr>
          <w:cantSplit/>
        </w:trPr>
        <w:tc>
          <w:tcPr>
            <w:tcW w:w="1872" w:type="dxa"/>
            <w:vAlign w:val="center"/>
          </w:tcPr>
          <w:p w14:paraId="361BE10A" w14:textId="77777777" w:rsidR="00672297" w:rsidRDefault="00A16EA3">
            <w:pPr>
              <w:spacing w:before="20" w:after="20"/>
              <w:jc w:val="left"/>
            </w:pPr>
            <w:r>
              <w:rPr>
                <w:rFonts w:cstheme="minorHAnsi"/>
                <w:sz w:val="18"/>
                <w:szCs w:val="18"/>
              </w:rPr>
              <w:t>Potential (Butane, Transmix, Ethanol)</w:t>
            </w:r>
          </w:p>
        </w:tc>
        <w:tc>
          <w:tcPr>
            <w:tcW w:w="1684" w:type="dxa"/>
            <w:vAlign w:val="center"/>
          </w:tcPr>
          <w:p w14:paraId="66950AB5" w14:textId="77777777" w:rsidR="00672297" w:rsidRDefault="00A16EA3">
            <w:pPr>
              <w:spacing w:before="20" w:after="20"/>
              <w:jc w:val="left"/>
            </w:pPr>
            <w:r>
              <w:rPr>
                <w:rFonts w:cstheme="minorHAnsi"/>
                <w:sz w:val="18"/>
                <w:szCs w:val="18"/>
              </w:rPr>
              <w:t>Blend calculator</w:t>
            </w:r>
          </w:p>
        </w:tc>
        <w:tc>
          <w:tcPr>
            <w:tcW w:w="1872" w:type="dxa"/>
            <w:vAlign w:val="center"/>
          </w:tcPr>
          <w:p w14:paraId="7EC8A5EE" w14:textId="77777777" w:rsidR="00672297" w:rsidRDefault="00A16EA3">
            <w:pPr>
              <w:spacing w:before="20" w:after="20"/>
              <w:jc w:val="left"/>
            </w:pPr>
            <w:r>
              <w:rPr>
                <w:rFonts w:cstheme="minorHAnsi"/>
                <w:sz w:val="18"/>
                <w:szCs w:val="18"/>
              </w:rPr>
              <w:t>potential_volume_bbl</w:t>
            </w:r>
          </w:p>
        </w:tc>
        <w:tc>
          <w:tcPr>
            <w:tcW w:w="1123" w:type="dxa"/>
            <w:vAlign w:val="center"/>
          </w:tcPr>
          <w:p w14:paraId="7292960A" w14:textId="77777777" w:rsidR="00672297" w:rsidRDefault="00A16EA3">
            <w:pPr>
              <w:spacing w:before="20" w:after="20"/>
              <w:jc w:val="left"/>
            </w:pPr>
            <w:r>
              <w:rPr>
                <w:rFonts w:cstheme="minorHAnsi"/>
                <w:sz w:val="18"/>
                <w:szCs w:val="18"/>
              </w:rPr>
              <w:t>No</w:t>
            </w:r>
          </w:p>
        </w:tc>
        <w:tc>
          <w:tcPr>
            <w:tcW w:w="2809" w:type="dxa"/>
            <w:vAlign w:val="center"/>
          </w:tcPr>
          <w:p w14:paraId="7C930420" w14:textId="77777777" w:rsidR="00672297" w:rsidRDefault="00A16EA3">
            <w:pPr>
              <w:spacing w:before="20" w:after="20"/>
              <w:jc w:val="left"/>
            </w:pPr>
            <w:r>
              <w:rPr>
                <w:rFonts w:cstheme="minorHAnsi"/>
                <w:sz w:val="18"/>
                <w:szCs w:val="18"/>
              </w:rPr>
              <w:t>[ButanePotentialBbl], [TransmixPotentialBbl], [EthanolPotentialBbl]</w:t>
            </w:r>
          </w:p>
        </w:tc>
      </w:tr>
      <w:tr w:rsidR="00672297" w14:paraId="03F3CA91" w14:textId="77777777">
        <w:trPr>
          <w:cantSplit/>
        </w:trPr>
        <w:tc>
          <w:tcPr>
            <w:tcW w:w="1872" w:type="dxa"/>
            <w:vAlign w:val="center"/>
          </w:tcPr>
          <w:p w14:paraId="6A6C76A8" w14:textId="77777777" w:rsidR="00672297" w:rsidRDefault="00A16EA3">
            <w:pPr>
              <w:spacing w:before="20" w:after="20"/>
              <w:jc w:val="left"/>
            </w:pPr>
            <w:r>
              <w:rPr>
                <w:rFonts w:cstheme="minorHAnsi"/>
                <w:sz w:val="18"/>
                <w:szCs w:val="18"/>
              </w:rPr>
              <w:t>Actual (Butane, Transmix, Ethanol)</w:t>
            </w:r>
          </w:p>
        </w:tc>
        <w:tc>
          <w:tcPr>
            <w:tcW w:w="1684" w:type="dxa"/>
            <w:vAlign w:val="center"/>
          </w:tcPr>
          <w:p w14:paraId="5E10FB92" w14:textId="77777777" w:rsidR="00672297" w:rsidRDefault="00A16EA3">
            <w:pPr>
              <w:spacing w:before="20" w:after="20"/>
              <w:jc w:val="left"/>
            </w:pPr>
            <w:r>
              <w:rPr>
                <w:rFonts w:cstheme="minorHAnsi"/>
                <w:sz w:val="18"/>
                <w:szCs w:val="18"/>
              </w:rPr>
              <w:t>PIAF / Kittyhawk transaction upload</w:t>
            </w:r>
          </w:p>
        </w:tc>
        <w:tc>
          <w:tcPr>
            <w:tcW w:w="1872" w:type="dxa"/>
            <w:vAlign w:val="center"/>
          </w:tcPr>
          <w:p w14:paraId="4C90097F" w14:textId="77777777" w:rsidR="00672297" w:rsidRDefault="00A16EA3">
            <w:pPr>
              <w:spacing w:before="20" w:after="20"/>
              <w:jc w:val="left"/>
            </w:pPr>
            <w:r>
              <w:rPr>
                <w:rFonts w:cstheme="minorHAnsi"/>
                <w:sz w:val="18"/>
                <w:szCs w:val="18"/>
              </w:rPr>
              <w:t>Daily totalizers / Net Quantity</w:t>
            </w:r>
          </w:p>
        </w:tc>
        <w:tc>
          <w:tcPr>
            <w:tcW w:w="1123" w:type="dxa"/>
            <w:vAlign w:val="center"/>
          </w:tcPr>
          <w:p w14:paraId="4CC937D6" w14:textId="77777777" w:rsidR="00672297" w:rsidRDefault="00A16EA3">
            <w:pPr>
              <w:spacing w:before="20" w:after="20"/>
              <w:jc w:val="left"/>
            </w:pPr>
            <w:r>
              <w:rPr>
                <w:rFonts w:cstheme="minorHAnsi"/>
                <w:sz w:val="18"/>
                <w:szCs w:val="18"/>
              </w:rPr>
              <w:t>No</w:t>
            </w:r>
          </w:p>
        </w:tc>
        <w:tc>
          <w:tcPr>
            <w:tcW w:w="2809" w:type="dxa"/>
            <w:vAlign w:val="center"/>
          </w:tcPr>
          <w:p w14:paraId="5E6FD964" w14:textId="77777777" w:rsidR="00672297" w:rsidRDefault="00A16EA3">
            <w:pPr>
              <w:spacing w:before="20" w:after="20"/>
              <w:jc w:val="left"/>
            </w:pPr>
            <w:r>
              <w:rPr>
                <w:rFonts w:cstheme="minorHAnsi"/>
                <w:sz w:val="18"/>
                <w:szCs w:val="18"/>
              </w:rPr>
              <w:t>[ButaneActualBbl], [TransmixActualBbl], [EthanolActualBbl]</w:t>
            </w:r>
          </w:p>
        </w:tc>
      </w:tr>
      <w:tr w:rsidR="00672297" w14:paraId="2DFF302A" w14:textId="77777777">
        <w:trPr>
          <w:cantSplit/>
        </w:trPr>
        <w:tc>
          <w:tcPr>
            <w:tcW w:w="1872" w:type="dxa"/>
            <w:vAlign w:val="center"/>
          </w:tcPr>
          <w:p w14:paraId="3AAECC1B" w14:textId="77777777" w:rsidR="00672297" w:rsidRDefault="00A16EA3">
            <w:pPr>
              <w:spacing w:before="20" w:after="20"/>
              <w:jc w:val="left"/>
            </w:pPr>
            <w:r>
              <w:rPr>
                <w:rFonts w:cstheme="minorHAnsi"/>
                <w:sz w:val="18"/>
                <w:szCs w:val="18"/>
              </w:rPr>
              <w:t>Product price (Gasoline)</w:t>
            </w:r>
          </w:p>
        </w:tc>
        <w:tc>
          <w:tcPr>
            <w:tcW w:w="1684" w:type="dxa"/>
            <w:vAlign w:val="center"/>
          </w:tcPr>
          <w:p w14:paraId="5ED900D2" w14:textId="77777777" w:rsidR="00672297" w:rsidRDefault="00A16EA3">
            <w:pPr>
              <w:spacing w:before="20" w:after="20"/>
              <w:jc w:val="left"/>
            </w:pPr>
            <w:r>
              <w:rPr>
                <w:rFonts w:cstheme="minorHAnsi"/>
                <w:sz w:val="18"/>
                <w:szCs w:val="18"/>
              </w:rPr>
              <w:t>MPR</w:t>
            </w:r>
          </w:p>
        </w:tc>
        <w:tc>
          <w:tcPr>
            <w:tcW w:w="1872" w:type="dxa"/>
            <w:vAlign w:val="center"/>
          </w:tcPr>
          <w:p w14:paraId="46017066" w14:textId="77777777" w:rsidR="00672297" w:rsidRDefault="00A16EA3">
            <w:pPr>
              <w:spacing w:before="20" w:after="20"/>
              <w:jc w:val="left"/>
            </w:pPr>
            <w:r>
              <w:rPr>
                <w:rFonts w:cstheme="minorHAnsi"/>
                <w:sz w:val="18"/>
                <w:szCs w:val="18"/>
              </w:rPr>
              <w:t>MPR ID 11566, 13067</w:t>
            </w:r>
          </w:p>
        </w:tc>
        <w:tc>
          <w:tcPr>
            <w:tcW w:w="1123" w:type="dxa"/>
            <w:vAlign w:val="center"/>
          </w:tcPr>
          <w:p w14:paraId="4041D96A" w14:textId="77777777" w:rsidR="00672297" w:rsidRDefault="00A16EA3">
            <w:pPr>
              <w:spacing w:before="20" w:after="20"/>
              <w:jc w:val="left"/>
            </w:pPr>
            <w:r>
              <w:rPr>
                <w:rFonts w:cstheme="minorHAnsi"/>
                <w:sz w:val="18"/>
                <w:szCs w:val="18"/>
              </w:rPr>
              <w:t>No</w:t>
            </w:r>
          </w:p>
        </w:tc>
        <w:tc>
          <w:tcPr>
            <w:tcW w:w="2809" w:type="dxa"/>
            <w:vAlign w:val="center"/>
          </w:tcPr>
          <w:p w14:paraId="393E819D" w14:textId="77777777" w:rsidR="00672297" w:rsidRDefault="00A16EA3">
            <w:pPr>
              <w:spacing w:before="20" w:after="20"/>
              <w:jc w:val="left"/>
            </w:pPr>
            <w:r>
              <w:rPr>
                <w:rFonts w:cstheme="minorHAnsi"/>
                <w:sz w:val="18"/>
                <w:szCs w:val="18"/>
              </w:rPr>
              <w:t>MPR_Price[AveragePrice] (product row via PriceKey)</w:t>
            </w:r>
          </w:p>
        </w:tc>
      </w:tr>
      <w:tr w:rsidR="00672297" w14:paraId="3590B6DB" w14:textId="77777777">
        <w:trPr>
          <w:cantSplit/>
        </w:trPr>
        <w:tc>
          <w:tcPr>
            <w:tcW w:w="1872" w:type="dxa"/>
            <w:vAlign w:val="center"/>
          </w:tcPr>
          <w:p w14:paraId="31E783B7" w14:textId="77777777" w:rsidR="00672297" w:rsidRDefault="00A16EA3">
            <w:pPr>
              <w:spacing w:before="20" w:after="20"/>
              <w:jc w:val="left"/>
            </w:pPr>
            <w:r>
              <w:rPr>
                <w:rFonts w:cstheme="minorHAnsi"/>
                <w:sz w:val="18"/>
                <w:szCs w:val="18"/>
              </w:rPr>
              <w:t>Component price (Butane)</w:t>
            </w:r>
          </w:p>
        </w:tc>
        <w:tc>
          <w:tcPr>
            <w:tcW w:w="1684" w:type="dxa"/>
            <w:vAlign w:val="center"/>
          </w:tcPr>
          <w:p w14:paraId="19B4CFC3" w14:textId="77777777" w:rsidR="00672297" w:rsidRDefault="00A16EA3">
            <w:pPr>
              <w:spacing w:before="20" w:after="20"/>
              <w:jc w:val="left"/>
            </w:pPr>
            <w:r>
              <w:rPr>
                <w:rFonts w:cstheme="minorHAnsi"/>
                <w:sz w:val="18"/>
                <w:szCs w:val="18"/>
              </w:rPr>
              <w:t>MPR</w:t>
            </w:r>
          </w:p>
        </w:tc>
        <w:tc>
          <w:tcPr>
            <w:tcW w:w="1872" w:type="dxa"/>
            <w:vAlign w:val="center"/>
          </w:tcPr>
          <w:p w14:paraId="48931BDE" w14:textId="77777777" w:rsidR="00672297" w:rsidRDefault="00A16EA3">
            <w:pPr>
              <w:spacing w:before="20" w:after="20"/>
              <w:jc w:val="left"/>
            </w:pPr>
            <w:r>
              <w:rPr>
                <w:rFonts w:cstheme="minorHAnsi"/>
                <w:sz w:val="18"/>
                <w:szCs w:val="18"/>
              </w:rPr>
              <w:t>MPR ID 859</w:t>
            </w:r>
          </w:p>
        </w:tc>
        <w:tc>
          <w:tcPr>
            <w:tcW w:w="1123" w:type="dxa"/>
            <w:vAlign w:val="center"/>
          </w:tcPr>
          <w:p w14:paraId="4EA0FE0C" w14:textId="77777777" w:rsidR="00672297" w:rsidRDefault="00A16EA3">
            <w:pPr>
              <w:spacing w:before="20" w:after="20"/>
              <w:jc w:val="left"/>
            </w:pPr>
            <w:r>
              <w:rPr>
                <w:rFonts w:cstheme="minorHAnsi"/>
                <w:sz w:val="18"/>
                <w:szCs w:val="18"/>
              </w:rPr>
              <w:t>No</w:t>
            </w:r>
          </w:p>
        </w:tc>
        <w:tc>
          <w:tcPr>
            <w:tcW w:w="2809" w:type="dxa"/>
            <w:vAlign w:val="center"/>
          </w:tcPr>
          <w:p w14:paraId="113EE981" w14:textId="77777777" w:rsidR="00672297" w:rsidRDefault="00A16EA3">
            <w:pPr>
              <w:spacing w:before="20" w:after="20"/>
              <w:jc w:val="left"/>
            </w:pPr>
            <w:r>
              <w:rPr>
                <w:rFonts w:cstheme="minorHAnsi"/>
                <w:sz w:val="18"/>
                <w:szCs w:val="18"/>
              </w:rPr>
              <w:t>MPR_Price[AveragePrice] (butane row)</w:t>
            </w:r>
          </w:p>
        </w:tc>
      </w:tr>
      <w:tr w:rsidR="00672297" w14:paraId="5392431E" w14:textId="77777777">
        <w:trPr>
          <w:cantSplit/>
        </w:trPr>
        <w:tc>
          <w:tcPr>
            <w:tcW w:w="1872" w:type="dxa"/>
            <w:vAlign w:val="center"/>
          </w:tcPr>
          <w:p w14:paraId="0BC3C3DB" w14:textId="77777777" w:rsidR="00672297" w:rsidRDefault="00A16EA3">
            <w:pPr>
              <w:spacing w:before="20" w:after="20"/>
              <w:jc w:val="left"/>
            </w:pPr>
            <w:r>
              <w:rPr>
                <w:rFonts w:cstheme="minorHAnsi"/>
                <w:sz w:val="18"/>
                <w:szCs w:val="18"/>
              </w:rPr>
              <w:t>Component price (Ethanol)</w:t>
            </w:r>
          </w:p>
        </w:tc>
        <w:tc>
          <w:tcPr>
            <w:tcW w:w="1684" w:type="dxa"/>
            <w:vAlign w:val="center"/>
          </w:tcPr>
          <w:p w14:paraId="703D694B" w14:textId="77777777" w:rsidR="00672297" w:rsidRDefault="00A16EA3">
            <w:pPr>
              <w:spacing w:before="20" w:after="20"/>
              <w:jc w:val="left"/>
            </w:pPr>
            <w:r>
              <w:rPr>
                <w:rFonts w:cstheme="minorHAnsi"/>
                <w:sz w:val="18"/>
                <w:szCs w:val="18"/>
              </w:rPr>
              <w:t>MPR</w:t>
            </w:r>
          </w:p>
        </w:tc>
        <w:tc>
          <w:tcPr>
            <w:tcW w:w="1872" w:type="dxa"/>
            <w:vAlign w:val="center"/>
          </w:tcPr>
          <w:p w14:paraId="7EFD600C" w14:textId="77777777" w:rsidR="00672297" w:rsidRDefault="00A16EA3">
            <w:pPr>
              <w:spacing w:before="20" w:after="20"/>
              <w:jc w:val="left"/>
            </w:pPr>
            <w:r>
              <w:rPr>
                <w:rFonts w:cstheme="minorHAnsi"/>
                <w:sz w:val="18"/>
                <w:szCs w:val="18"/>
              </w:rPr>
              <w:t>MPR ID 16749, 10960</w:t>
            </w:r>
          </w:p>
        </w:tc>
        <w:tc>
          <w:tcPr>
            <w:tcW w:w="1123" w:type="dxa"/>
            <w:vAlign w:val="center"/>
          </w:tcPr>
          <w:p w14:paraId="595AABA9" w14:textId="77777777" w:rsidR="00672297" w:rsidRDefault="00A16EA3">
            <w:pPr>
              <w:spacing w:before="20" w:after="20"/>
              <w:jc w:val="left"/>
            </w:pPr>
            <w:r>
              <w:rPr>
                <w:rFonts w:cstheme="minorHAnsi"/>
                <w:sz w:val="18"/>
                <w:szCs w:val="18"/>
              </w:rPr>
              <w:t>No</w:t>
            </w:r>
          </w:p>
        </w:tc>
        <w:tc>
          <w:tcPr>
            <w:tcW w:w="2809" w:type="dxa"/>
            <w:vAlign w:val="center"/>
          </w:tcPr>
          <w:p w14:paraId="0678639D" w14:textId="77777777" w:rsidR="00672297" w:rsidRDefault="00A16EA3">
            <w:pPr>
              <w:spacing w:before="20" w:after="20"/>
              <w:jc w:val="left"/>
            </w:pPr>
            <w:r>
              <w:rPr>
                <w:rFonts w:cstheme="minorHAnsi"/>
                <w:sz w:val="18"/>
                <w:szCs w:val="18"/>
              </w:rPr>
              <w:t>MPR_Price[AveragePrice] (ethanol row)</w:t>
            </w:r>
          </w:p>
        </w:tc>
      </w:tr>
      <w:tr w:rsidR="00672297" w14:paraId="366FB269" w14:textId="77777777">
        <w:trPr>
          <w:cantSplit/>
        </w:trPr>
        <w:tc>
          <w:tcPr>
            <w:tcW w:w="1872" w:type="dxa"/>
            <w:vAlign w:val="center"/>
          </w:tcPr>
          <w:p w14:paraId="2D25C1DF" w14:textId="77777777" w:rsidR="00672297" w:rsidRDefault="00A16EA3">
            <w:pPr>
              <w:spacing w:before="20" w:after="20"/>
              <w:jc w:val="left"/>
            </w:pPr>
            <w:r>
              <w:rPr>
                <w:rFonts w:cstheme="minorHAnsi"/>
                <w:sz w:val="18"/>
                <w:szCs w:val="18"/>
              </w:rPr>
              <w:t>Component price (Transmix)</w:t>
            </w:r>
          </w:p>
        </w:tc>
        <w:tc>
          <w:tcPr>
            <w:tcW w:w="1684" w:type="dxa"/>
            <w:vAlign w:val="center"/>
          </w:tcPr>
          <w:p w14:paraId="1C8B580A" w14:textId="77777777" w:rsidR="00672297" w:rsidRDefault="00A16EA3">
            <w:pPr>
              <w:spacing w:before="20" w:after="20"/>
              <w:jc w:val="left"/>
            </w:pPr>
            <w:r>
              <w:rPr>
                <w:rFonts w:cstheme="minorHAnsi"/>
                <w:sz w:val="18"/>
                <w:szCs w:val="18"/>
              </w:rPr>
              <w:t>MPR</w:t>
            </w:r>
          </w:p>
        </w:tc>
        <w:tc>
          <w:tcPr>
            <w:tcW w:w="1872" w:type="dxa"/>
            <w:vAlign w:val="center"/>
          </w:tcPr>
          <w:p w14:paraId="28BD2AD0" w14:textId="77777777" w:rsidR="00672297" w:rsidRDefault="00A16EA3">
            <w:pPr>
              <w:spacing w:before="20" w:after="20"/>
              <w:jc w:val="left"/>
            </w:pPr>
            <w:r>
              <w:rPr>
                <w:rFonts w:cstheme="minorHAnsi"/>
                <w:sz w:val="18"/>
                <w:szCs w:val="18"/>
              </w:rPr>
              <w:t>MPR ID 15094, 15100</w:t>
            </w:r>
          </w:p>
        </w:tc>
        <w:tc>
          <w:tcPr>
            <w:tcW w:w="1123" w:type="dxa"/>
            <w:vAlign w:val="center"/>
          </w:tcPr>
          <w:p w14:paraId="7C20235C" w14:textId="77777777" w:rsidR="00672297" w:rsidRDefault="00A16EA3">
            <w:pPr>
              <w:spacing w:before="20" w:after="20"/>
              <w:jc w:val="left"/>
            </w:pPr>
            <w:r>
              <w:rPr>
                <w:rFonts w:cstheme="minorHAnsi"/>
                <w:sz w:val="18"/>
                <w:szCs w:val="18"/>
              </w:rPr>
              <w:t>No</w:t>
            </w:r>
          </w:p>
        </w:tc>
        <w:tc>
          <w:tcPr>
            <w:tcW w:w="2809" w:type="dxa"/>
            <w:vAlign w:val="center"/>
          </w:tcPr>
          <w:p w14:paraId="77F96A4B" w14:textId="77777777" w:rsidR="00672297" w:rsidRDefault="00A16EA3">
            <w:pPr>
              <w:spacing w:before="20" w:after="20"/>
              <w:jc w:val="left"/>
            </w:pPr>
            <w:r>
              <w:rPr>
                <w:rFonts w:cstheme="minorHAnsi"/>
                <w:sz w:val="18"/>
                <w:szCs w:val="18"/>
              </w:rPr>
              <w:t>MPR_Price[AveragePrice] (transmix row)</w:t>
            </w:r>
          </w:p>
        </w:tc>
      </w:tr>
      <w:tr w:rsidR="00672297" w14:paraId="0354D296" w14:textId="77777777">
        <w:trPr>
          <w:cantSplit/>
        </w:trPr>
        <w:tc>
          <w:tcPr>
            <w:tcW w:w="1872" w:type="dxa"/>
            <w:vAlign w:val="center"/>
          </w:tcPr>
          <w:p w14:paraId="761C4706" w14:textId="77777777" w:rsidR="00672297" w:rsidRDefault="00A16EA3">
            <w:pPr>
              <w:spacing w:before="20" w:after="20"/>
              <w:jc w:val="left"/>
            </w:pPr>
            <w:r>
              <w:rPr>
                <w:rFonts w:cstheme="minorHAnsi"/>
                <w:sz w:val="18"/>
                <w:szCs w:val="18"/>
              </w:rPr>
              <w:t>Product specifications</w:t>
            </w:r>
          </w:p>
        </w:tc>
        <w:tc>
          <w:tcPr>
            <w:tcW w:w="1684" w:type="dxa"/>
            <w:vAlign w:val="center"/>
          </w:tcPr>
          <w:p w14:paraId="35DDAC10" w14:textId="77777777" w:rsidR="00672297" w:rsidRDefault="00A16EA3">
            <w:pPr>
              <w:spacing w:before="20" w:after="20"/>
              <w:jc w:val="left"/>
            </w:pPr>
            <w:r>
              <w:rPr>
                <w:rFonts w:cstheme="minorHAnsi"/>
                <w:sz w:val="18"/>
                <w:szCs w:val="18"/>
              </w:rPr>
              <w:t>PQ Spec Shop</w:t>
            </w:r>
          </w:p>
        </w:tc>
        <w:tc>
          <w:tcPr>
            <w:tcW w:w="1872" w:type="dxa"/>
            <w:vAlign w:val="center"/>
          </w:tcPr>
          <w:p w14:paraId="141EB775" w14:textId="77777777" w:rsidR="00672297" w:rsidRDefault="00A16EA3">
            <w:pPr>
              <w:spacing w:before="20" w:after="20"/>
              <w:jc w:val="left"/>
            </w:pPr>
            <w:r>
              <w:rPr>
                <w:rFonts w:cstheme="minorHAnsi"/>
                <w:sz w:val="18"/>
                <w:szCs w:val="18"/>
              </w:rPr>
              <w:t>Specification rows</w:t>
            </w:r>
          </w:p>
        </w:tc>
        <w:tc>
          <w:tcPr>
            <w:tcW w:w="1123" w:type="dxa"/>
            <w:vAlign w:val="center"/>
          </w:tcPr>
          <w:p w14:paraId="7970CE94" w14:textId="77777777" w:rsidR="00672297" w:rsidRDefault="00A16EA3">
            <w:pPr>
              <w:spacing w:before="20" w:after="20"/>
              <w:jc w:val="left"/>
            </w:pPr>
            <w:r>
              <w:rPr>
                <w:rFonts w:cstheme="minorHAnsi"/>
                <w:sz w:val="18"/>
                <w:szCs w:val="18"/>
              </w:rPr>
              <w:t>Yes-R#5</w:t>
            </w:r>
          </w:p>
        </w:tc>
        <w:tc>
          <w:tcPr>
            <w:tcW w:w="2809" w:type="dxa"/>
            <w:vAlign w:val="center"/>
          </w:tcPr>
          <w:p w14:paraId="77B2041D" w14:textId="77777777" w:rsidR="00672297" w:rsidRDefault="00A16EA3">
            <w:pPr>
              <w:spacing w:before="20" w:after="20"/>
              <w:jc w:val="left"/>
            </w:pPr>
            <w:r>
              <w:rPr>
                <w:rFonts w:cstheme="minorHAnsi"/>
                <w:sz w:val="18"/>
                <w:szCs w:val="18"/>
              </w:rPr>
              <w:t>Used inside the view (not imported)</w:t>
            </w:r>
          </w:p>
        </w:tc>
      </w:tr>
    </w:tbl>
    <w:p w14:paraId="681F7651" w14:textId="4BCC7D40" w:rsidR="00672297" w:rsidRDefault="00A16EA3">
      <w:pPr>
        <w:pStyle w:val="Caption"/>
      </w:pPr>
      <w:bookmarkStart w:id="692" w:name="_Toc900950140"/>
      <w:bookmarkStart w:id="693" w:name="_Toc241574732"/>
      <w:bookmarkStart w:id="694" w:name="_Toc242554116"/>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43</w:t>
      </w:r>
      <w:r>
        <w:fldChar w:fldCharType="end"/>
      </w:r>
      <w:r>
        <w:t>: Gasoline KPI Dashboard Backend Field Mapping</w:t>
      </w:r>
      <w:bookmarkEnd w:id="692"/>
      <w:bookmarkEnd w:id="693"/>
      <w:bookmarkEnd w:id="694"/>
    </w:p>
    <w:p w14:paraId="1A0AF99E" w14:textId="77777777" w:rsidR="00672297" w:rsidRDefault="00A16EA3">
      <w:pPr>
        <w:pStyle w:val="Heading4"/>
        <w:rPr>
          <w:rFonts w:asciiTheme="minorHAnsi" w:hAnsiTheme="minorHAnsi" w:cstheme="minorBidi"/>
          <w:sz w:val="20"/>
          <w:szCs w:val="20"/>
        </w:rPr>
      </w:pPr>
      <w:bookmarkStart w:id="695" w:name="_Toc900950141"/>
      <w:r>
        <w:rPr>
          <w:rFonts w:asciiTheme="minorHAnsi" w:hAnsiTheme="minorHAnsi" w:cstheme="minorBidi"/>
          <w:sz w:val="20"/>
          <w:szCs w:val="20"/>
        </w:rPr>
        <w:t>Calculation Logic: Value Loss</w:t>
      </w:r>
      <w:bookmarkEnd w:id="695"/>
    </w:p>
    <w:p w14:paraId="3216D401"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Potential = sum of the component potential of the gasoline batches delivered to the terminal in the period.</w:t>
      </w:r>
    </w:p>
    <w:p w14:paraId="30CFE74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Actual = component volume actually blended at the terminal in the period (PIAF flows / transaction upload; precedence gap DP-13). The wireframe fills Actual with placeholder ratios (89 % of potential for butane, 85 % for transmix, 98 % for ethanol) - gap RD-06.</w:t>
      </w:r>
    </w:p>
    <w:p w14:paraId="32E8827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Delta (Volume Loss) = Potential - Actual, per terminal and component.</w:t>
      </w:r>
    </w:p>
    <w:p w14:paraId="1CE293E9"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Differential price ($/bbl) = gasoline (CBOB) price - component price, both from MPR_Price (MPR API): the gasoline price through the globalCode + productAbbreviation join of the row, the component price by its productAbbreviation; prices in $/gal x 42. Wireframe example: CBOB 2.94 $/gal = 123.48 $/bbl; butane (MPR 859) 0.959 $/gal = 40.278 $/bbl; CBOB - butane = 83.202 $/bbl; ethanol (MPR 16749) 1.8718 $/gal = 78.6156 $/bbl, CBOB - ethanol = 44.8644 $/bbl; transmix = 0.65 x 3.204 + 0.35 x 2.985 - 0.2176 = 2.90975 $/gal = 122.2095 $/bbl, CBOB - transmix = 1.2705 $/bbl (gap RD-07).</w:t>
      </w:r>
    </w:p>
    <w:p w14:paraId="3B510259"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Value Loss per component = Delta x Differential price; Total Loss = sum over Butane, Transmix and Ethanol (volume and value).</w:t>
      </w:r>
    </w:p>
    <w:p w14:paraId="2DD3ECB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Average qualities = average of the certified qualities of the delivered batches (gap RD-08). Terminal short name for the chart axis = text before the first comma of the terminal name.</w:t>
      </w:r>
    </w:p>
    <w:p w14:paraId="362D2743" w14:textId="77777777" w:rsidR="00672297" w:rsidRDefault="00A16EA3">
      <w:pPr>
        <w:pStyle w:val="Heading4"/>
        <w:rPr>
          <w:rFonts w:asciiTheme="minorHAnsi" w:hAnsiTheme="minorHAnsi" w:cstheme="minorBidi"/>
          <w:sz w:val="20"/>
          <w:szCs w:val="20"/>
        </w:rPr>
      </w:pPr>
      <w:bookmarkStart w:id="696" w:name="_Toc900950142"/>
      <w:r>
        <w:rPr>
          <w:rFonts w:asciiTheme="minorHAnsi" w:hAnsiTheme="minorHAnsi" w:cstheme="minorBidi"/>
          <w:sz w:val="20"/>
          <w:szCs w:val="20"/>
        </w:rPr>
        <w:t>Measures &amp; DAX Calculations</w:t>
      </w:r>
      <w:bookmarkEnd w:id="696"/>
    </w:p>
    <w:tbl>
      <w:tblPr>
        <w:tblStyle w:val="TableGrid"/>
        <w:tblW w:w="9360" w:type="dxa"/>
        <w:tblLayout w:type="fixed"/>
        <w:tblCellMar>
          <w:left w:w="70" w:type="dxa"/>
          <w:right w:w="70" w:type="dxa"/>
        </w:tblCellMar>
        <w:tblLook w:val="04A0" w:firstRow="1" w:lastRow="0" w:firstColumn="1" w:lastColumn="0" w:noHBand="0" w:noVBand="1"/>
      </w:tblPr>
      <w:tblGrid>
        <w:gridCol w:w="2620"/>
        <w:gridCol w:w="6740"/>
      </w:tblGrid>
      <w:tr w:rsidR="00672297" w14:paraId="2A6ACB51" w14:textId="77777777">
        <w:trPr>
          <w:cantSplit/>
          <w:tblHeader/>
        </w:trPr>
        <w:tc>
          <w:tcPr>
            <w:tcW w:w="2620" w:type="dxa"/>
            <w:shd w:val="clear" w:color="auto" w:fill="2F5496"/>
            <w:vAlign w:val="center"/>
          </w:tcPr>
          <w:p w14:paraId="7D47F5B3" w14:textId="77777777" w:rsidR="00672297" w:rsidRDefault="00A16EA3">
            <w:pPr>
              <w:spacing w:before="20" w:after="20"/>
              <w:jc w:val="left"/>
            </w:pPr>
            <w:r>
              <w:rPr>
                <w:rFonts w:cstheme="minorHAnsi"/>
                <w:b/>
                <w:bCs/>
                <w:color w:val="FFFFFF"/>
                <w:sz w:val="20"/>
                <w:szCs w:val="20"/>
              </w:rPr>
              <w:t>Measure Name</w:t>
            </w:r>
          </w:p>
        </w:tc>
        <w:tc>
          <w:tcPr>
            <w:tcW w:w="6740" w:type="dxa"/>
            <w:shd w:val="clear" w:color="auto" w:fill="2F5496"/>
            <w:vAlign w:val="center"/>
          </w:tcPr>
          <w:p w14:paraId="4CA9D55A" w14:textId="77777777" w:rsidR="00672297" w:rsidRDefault="00A16EA3">
            <w:pPr>
              <w:spacing w:before="20" w:after="20"/>
              <w:jc w:val="left"/>
            </w:pPr>
            <w:r>
              <w:rPr>
                <w:rFonts w:cstheme="minorHAnsi"/>
                <w:b/>
                <w:bCs/>
                <w:color w:val="FFFFFF"/>
                <w:sz w:val="20"/>
                <w:szCs w:val="20"/>
              </w:rPr>
              <w:t>DAX Logic</w:t>
            </w:r>
          </w:p>
        </w:tc>
      </w:tr>
      <w:tr w:rsidR="00672297" w14:paraId="22438ECF" w14:textId="77777777">
        <w:trPr>
          <w:cantSplit/>
        </w:trPr>
        <w:tc>
          <w:tcPr>
            <w:tcW w:w="2620" w:type="dxa"/>
            <w:vAlign w:val="center"/>
          </w:tcPr>
          <w:p w14:paraId="5E06B24C" w14:textId="77777777" w:rsidR="00672297" w:rsidRDefault="00A16EA3">
            <w:pPr>
              <w:spacing w:before="20" w:after="20"/>
              <w:jc w:val="left"/>
            </w:pPr>
            <w:r>
              <w:rPr>
                <w:rFonts w:cstheme="minorHAnsi"/>
                <w:sz w:val="20"/>
                <w:szCs w:val="20"/>
              </w:rPr>
              <w:t>Total Volume (bbl)</w:t>
            </w:r>
          </w:p>
        </w:tc>
        <w:tc>
          <w:tcPr>
            <w:tcW w:w="6740" w:type="dxa"/>
            <w:vAlign w:val="center"/>
          </w:tcPr>
          <w:p w14:paraId="41F2FF93" w14:textId="77777777" w:rsidR="00672297" w:rsidRDefault="00A16EA3">
            <w:pPr>
              <w:spacing w:before="20" w:after="20"/>
              <w:jc w:val="left"/>
            </w:pPr>
            <w:r>
              <w:rPr>
                <w:rFonts w:cstheme="minorHAnsi"/>
                <w:sz w:val="20"/>
                <w:szCs w:val="20"/>
              </w:rPr>
              <w:t>SUM ( vwGasolineBlendingKPI[TotalVolumeBbl] )</w:t>
            </w:r>
          </w:p>
        </w:tc>
      </w:tr>
      <w:tr w:rsidR="00672297" w14:paraId="78F16D66" w14:textId="77777777">
        <w:trPr>
          <w:cantSplit/>
        </w:trPr>
        <w:tc>
          <w:tcPr>
            <w:tcW w:w="2620" w:type="dxa"/>
            <w:vAlign w:val="center"/>
          </w:tcPr>
          <w:p w14:paraId="14CA5DF7" w14:textId="77777777" w:rsidR="00672297" w:rsidRDefault="00A16EA3">
            <w:pPr>
              <w:spacing w:before="20" w:after="20"/>
              <w:jc w:val="left"/>
            </w:pPr>
            <w:r>
              <w:rPr>
                <w:rFonts w:cstheme="minorHAnsi"/>
                <w:sz w:val="20"/>
                <w:szCs w:val="20"/>
              </w:rPr>
              <w:t>&lt;Component&gt; Potential / Actual / Delta (bbl)</w:t>
            </w:r>
          </w:p>
        </w:tc>
        <w:tc>
          <w:tcPr>
            <w:tcW w:w="6740" w:type="dxa"/>
            <w:vAlign w:val="center"/>
          </w:tcPr>
          <w:p w14:paraId="32837A23" w14:textId="77777777" w:rsidR="00672297" w:rsidRDefault="00A16EA3">
            <w:pPr>
              <w:spacing w:before="20" w:after="20"/>
              <w:jc w:val="left"/>
            </w:pPr>
            <w:r>
              <w:rPr>
                <w:rFonts w:cstheme="minorHAnsi"/>
                <w:sz w:val="20"/>
                <w:szCs w:val="20"/>
              </w:rPr>
              <w:t>SUM ( vwGasolineBlendingKPI[&lt;Component&gt;PotentialBbl] ) / SUM ( [&lt;Component&gt;ActualBbl] ) / SUM ( [&lt;Component&gt;DeltaBbl] )</w:t>
            </w:r>
          </w:p>
        </w:tc>
      </w:tr>
      <w:tr w:rsidR="00672297" w14:paraId="46812814" w14:textId="77777777">
        <w:trPr>
          <w:cantSplit/>
        </w:trPr>
        <w:tc>
          <w:tcPr>
            <w:tcW w:w="2620" w:type="dxa"/>
            <w:vAlign w:val="center"/>
          </w:tcPr>
          <w:p w14:paraId="60FED657" w14:textId="77777777" w:rsidR="00672297" w:rsidRDefault="00A16EA3">
            <w:pPr>
              <w:spacing w:before="20" w:after="20"/>
              <w:jc w:val="left"/>
            </w:pPr>
            <w:r>
              <w:rPr>
                <w:rFonts w:cstheme="minorHAnsi"/>
                <w:sz w:val="20"/>
                <w:szCs w:val="20"/>
              </w:rPr>
              <w:t>Gasoline Price ($/bbl)</w:t>
            </w:r>
          </w:p>
        </w:tc>
        <w:tc>
          <w:tcPr>
            <w:tcW w:w="6740" w:type="dxa"/>
            <w:vAlign w:val="center"/>
          </w:tcPr>
          <w:p w14:paraId="2B71C436" w14:textId="77777777" w:rsidR="00672297" w:rsidRDefault="00A16EA3">
            <w:pPr>
              <w:spacing w:before="20" w:after="20"/>
              <w:jc w:val="left"/>
            </w:pPr>
            <w:r>
              <w:rPr>
                <w:rFonts w:cstheme="minorHAnsi"/>
                <w:sz w:val="20"/>
                <w:szCs w:val="20"/>
              </w:rPr>
              <w:t>RELATED ( MPR_Price[AveragePrice] ) in row context (product of the row through PriceKey)</w:t>
            </w:r>
          </w:p>
        </w:tc>
      </w:tr>
      <w:tr w:rsidR="00672297" w14:paraId="6AD455FB" w14:textId="77777777">
        <w:trPr>
          <w:cantSplit/>
        </w:trPr>
        <w:tc>
          <w:tcPr>
            <w:tcW w:w="2620" w:type="dxa"/>
            <w:vAlign w:val="center"/>
          </w:tcPr>
          <w:p w14:paraId="63EB66A6" w14:textId="77777777" w:rsidR="00672297" w:rsidRDefault="00A16EA3">
            <w:pPr>
              <w:spacing w:before="20" w:after="20"/>
              <w:jc w:val="left"/>
            </w:pPr>
            <w:r>
              <w:rPr>
                <w:rFonts w:cstheme="minorHAnsi"/>
                <w:sz w:val="20"/>
                <w:szCs w:val="20"/>
              </w:rPr>
              <w:t>&lt;Component&gt; Price ($/bbl)</w:t>
            </w:r>
          </w:p>
        </w:tc>
        <w:tc>
          <w:tcPr>
            <w:tcW w:w="6740" w:type="dxa"/>
            <w:vAlign w:val="center"/>
          </w:tcPr>
          <w:p w14:paraId="58CDD0E9" w14:textId="77777777" w:rsidR="00672297" w:rsidRDefault="00A16EA3">
            <w:pPr>
              <w:spacing w:before="20" w:after="20"/>
              <w:jc w:val="left"/>
            </w:pPr>
            <w:r>
              <w:rPr>
                <w:rFonts w:cstheme="minorHAnsi"/>
                <w:sz w:val="20"/>
                <w:szCs w:val="20"/>
              </w:rPr>
              <w:t>CALCULATE ( AVERAGE ( MPR_Price[AveragePrice] ), REMOVEFILTERS ( MPR_Price ), MPR_Price[productAbbreviation] = "&lt;component abbreviation&gt;" )</w:t>
            </w:r>
          </w:p>
        </w:tc>
      </w:tr>
      <w:tr w:rsidR="00672297" w14:paraId="0283C5E6" w14:textId="77777777">
        <w:trPr>
          <w:cantSplit/>
        </w:trPr>
        <w:tc>
          <w:tcPr>
            <w:tcW w:w="2620" w:type="dxa"/>
            <w:vAlign w:val="center"/>
          </w:tcPr>
          <w:p w14:paraId="6EF36821" w14:textId="77777777" w:rsidR="00672297" w:rsidRDefault="00A16EA3">
            <w:pPr>
              <w:spacing w:before="20" w:after="20"/>
              <w:jc w:val="left"/>
            </w:pPr>
            <w:r>
              <w:rPr>
                <w:rFonts w:cstheme="minorHAnsi"/>
                <w:sz w:val="20"/>
                <w:szCs w:val="20"/>
              </w:rPr>
              <w:t>Butane Value Loss ($)</w:t>
            </w:r>
          </w:p>
        </w:tc>
        <w:tc>
          <w:tcPr>
            <w:tcW w:w="6740" w:type="dxa"/>
            <w:vAlign w:val="center"/>
          </w:tcPr>
          <w:p w14:paraId="0AEEB433" w14:textId="77777777" w:rsidR="00672297" w:rsidRDefault="00A16EA3">
            <w:pPr>
              <w:spacing w:before="20" w:after="20"/>
              <w:jc w:val="left"/>
            </w:pPr>
            <w:r>
              <w:rPr>
                <w:rFonts w:cstheme="minorHAnsi"/>
                <w:sz w:val="20"/>
                <w:szCs w:val="20"/>
              </w:rPr>
              <w:t>SUMX ( vwGasolineBlendingKPI, vwGasolineBlendingKPI[ButaneDeltaBbl] * ( RELATED ( MPR_Price[AveragePrice] ) - [Butane Price ($/bbl)] ) )</w:t>
            </w:r>
          </w:p>
        </w:tc>
      </w:tr>
      <w:tr w:rsidR="00672297" w14:paraId="01CD2164" w14:textId="77777777">
        <w:trPr>
          <w:cantSplit/>
        </w:trPr>
        <w:tc>
          <w:tcPr>
            <w:tcW w:w="2620" w:type="dxa"/>
            <w:vAlign w:val="center"/>
          </w:tcPr>
          <w:p w14:paraId="144BB2F8" w14:textId="77777777" w:rsidR="00672297" w:rsidRDefault="00A16EA3">
            <w:pPr>
              <w:spacing w:before="20" w:after="20"/>
              <w:jc w:val="left"/>
            </w:pPr>
            <w:r>
              <w:rPr>
                <w:rFonts w:cstheme="minorHAnsi"/>
                <w:sz w:val="20"/>
                <w:szCs w:val="20"/>
              </w:rPr>
              <w:t>Transmix Value Loss ($)</w:t>
            </w:r>
          </w:p>
        </w:tc>
        <w:tc>
          <w:tcPr>
            <w:tcW w:w="6740" w:type="dxa"/>
            <w:vAlign w:val="center"/>
          </w:tcPr>
          <w:p w14:paraId="371D803B" w14:textId="77777777" w:rsidR="00672297" w:rsidRDefault="00A16EA3">
            <w:pPr>
              <w:spacing w:before="20" w:after="20"/>
              <w:jc w:val="left"/>
            </w:pPr>
            <w:r>
              <w:rPr>
                <w:rFonts w:cstheme="minorHAnsi"/>
                <w:sz w:val="20"/>
                <w:szCs w:val="20"/>
              </w:rPr>
              <w:t>SUMX ( vwGasolineBlendingKPI, vwGasolineBlendingKPI[TransmixDeltaBbl] * ( RELATED ( MPR_Price[AveragePrice] ) - [Transmix Price ($/bbl)] ) )</w:t>
            </w:r>
          </w:p>
        </w:tc>
      </w:tr>
      <w:tr w:rsidR="00672297" w14:paraId="572D8DFC" w14:textId="77777777">
        <w:trPr>
          <w:cantSplit/>
        </w:trPr>
        <w:tc>
          <w:tcPr>
            <w:tcW w:w="2620" w:type="dxa"/>
            <w:vAlign w:val="center"/>
          </w:tcPr>
          <w:p w14:paraId="3586B785" w14:textId="77777777" w:rsidR="00672297" w:rsidRDefault="00A16EA3">
            <w:pPr>
              <w:spacing w:before="20" w:after="20"/>
              <w:jc w:val="left"/>
            </w:pPr>
            <w:r>
              <w:rPr>
                <w:rFonts w:cstheme="minorHAnsi"/>
                <w:sz w:val="20"/>
                <w:szCs w:val="20"/>
              </w:rPr>
              <w:t>Ethanol Value Loss ($)</w:t>
            </w:r>
          </w:p>
        </w:tc>
        <w:tc>
          <w:tcPr>
            <w:tcW w:w="6740" w:type="dxa"/>
            <w:vAlign w:val="center"/>
          </w:tcPr>
          <w:p w14:paraId="0C3B3A05" w14:textId="77777777" w:rsidR="00672297" w:rsidRDefault="00A16EA3">
            <w:pPr>
              <w:spacing w:before="20" w:after="20"/>
              <w:jc w:val="left"/>
            </w:pPr>
            <w:r>
              <w:rPr>
                <w:rFonts w:cstheme="minorHAnsi"/>
                <w:sz w:val="20"/>
                <w:szCs w:val="20"/>
              </w:rPr>
              <w:t>SUMX ( vwGasolineBlendingKPI, vwGasolineBlendingKPI[EthanolDeltaBbl] * ( RELATED ( MPR_Price[AveragePrice] ) - [Ethanol Price ($/bbl)] ) )</w:t>
            </w:r>
          </w:p>
        </w:tc>
      </w:tr>
      <w:tr w:rsidR="00672297" w14:paraId="7998C595" w14:textId="77777777">
        <w:trPr>
          <w:cantSplit/>
        </w:trPr>
        <w:tc>
          <w:tcPr>
            <w:tcW w:w="2620" w:type="dxa"/>
            <w:vAlign w:val="center"/>
          </w:tcPr>
          <w:p w14:paraId="09ACD0EB" w14:textId="77777777" w:rsidR="00672297" w:rsidRDefault="00A16EA3">
            <w:pPr>
              <w:spacing w:before="20" w:after="20"/>
              <w:jc w:val="left"/>
            </w:pPr>
            <w:r>
              <w:rPr>
                <w:rFonts w:cstheme="minorHAnsi"/>
                <w:sz w:val="20"/>
                <w:szCs w:val="20"/>
              </w:rPr>
              <w:t>Total Volume Loss (bbl)</w:t>
            </w:r>
          </w:p>
        </w:tc>
        <w:tc>
          <w:tcPr>
            <w:tcW w:w="6740" w:type="dxa"/>
            <w:vAlign w:val="center"/>
          </w:tcPr>
          <w:p w14:paraId="45D78F14" w14:textId="77777777" w:rsidR="00672297" w:rsidRDefault="00A16EA3">
            <w:pPr>
              <w:spacing w:before="20" w:after="20"/>
              <w:jc w:val="left"/>
            </w:pPr>
            <w:r>
              <w:rPr>
                <w:rFonts w:cstheme="minorHAnsi"/>
                <w:sz w:val="20"/>
                <w:szCs w:val="20"/>
              </w:rPr>
              <w:t>SUM ( vwGasolineBlendingKPI[TotalDeltaBbl] )</w:t>
            </w:r>
          </w:p>
        </w:tc>
      </w:tr>
      <w:tr w:rsidR="00672297" w14:paraId="74F2EE6E" w14:textId="77777777">
        <w:trPr>
          <w:cantSplit/>
        </w:trPr>
        <w:tc>
          <w:tcPr>
            <w:tcW w:w="2620" w:type="dxa"/>
            <w:vAlign w:val="center"/>
          </w:tcPr>
          <w:p w14:paraId="74E0E4BB" w14:textId="77777777" w:rsidR="00672297" w:rsidRDefault="00A16EA3">
            <w:pPr>
              <w:spacing w:before="20" w:after="20"/>
              <w:jc w:val="left"/>
            </w:pPr>
            <w:r>
              <w:rPr>
                <w:rFonts w:cstheme="minorHAnsi"/>
                <w:sz w:val="20"/>
                <w:szCs w:val="20"/>
              </w:rPr>
              <w:t>Total Value Loss ($)</w:t>
            </w:r>
          </w:p>
        </w:tc>
        <w:tc>
          <w:tcPr>
            <w:tcW w:w="6740" w:type="dxa"/>
            <w:vAlign w:val="center"/>
          </w:tcPr>
          <w:p w14:paraId="72B3C0A8" w14:textId="77777777" w:rsidR="00672297" w:rsidRDefault="00A16EA3">
            <w:pPr>
              <w:spacing w:before="20" w:after="20"/>
              <w:jc w:val="left"/>
            </w:pPr>
            <w:r>
              <w:rPr>
                <w:rFonts w:cstheme="minorHAnsi"/>
                <w:sz w:val="20"/>
                <w:szCs w:val="20"/>
              </w:rPr>
              <w:t>[Butane Value Loss ($)] + [Transmix Value Loss ($)] + [Ethanol Value Loss ($)]</w:t>
            </w:r>
          </w:p>
        </w:tc>
      </w:tr>
    </w:tbl>
    <w:p w14:paraId="26B1E67A" w14:textId="00110EDC" w:rsidR="00672297" w:rsidRDefault="00A16EA3">
      <w:pPr>
        <w:pStyle w:val="Caption"/>
      </w:pPr>
      <w:bookmarkStart w:id="697" w:name="_Toc900950143"/>
      <w:bookmarkStart w:id="698" w:name="_Toc241574733"/>
      <w:bookmarkStart w:id="699" w:name="_Toc242554117"/>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44</w:t>
      </w:r>
      <w:r>
        <w:fldChar w:fldCharType="end"/>
      </w:r>
      <w:r>
        <w:t>: Gasoline KPI Dashboard DAX Measures</w:t>
      </w:r>
      <w:bookmarkEnd w:id="697"/>
      <w:bookmarkEnd w:id="698"/>
      <w:bookmarkEnd w:id="699"/>
    </w:p>
    <w:p w14:paraId="11E39B2F" w14:textId="77777777" w:rsidR="00672297" w:rsidRDefault="00A16EA3">
      <w:pPr>
        <w:pStyle w:val="Heading4"/>
        <w:rPr>
          <w:rFonts w:asciiTheme="minorHAnsi" w:hAnsiTheme="minorHAnsi" w:cstheme="minorBidi"/>
          <w:sz w:val="20"/>
          <w:szCs w:val="20"/>
        </w:rPr>
      </w:pPr>
      <w:bookmarkStart w:id="700" w:name="_Toc900950144"/>
      <w:r>
        <w:rPr>
          <w:rFonts w:asciiTheme="minorHAnsi" w:hAnsiTheme="minorHAnsi" w:cstheme="minorBidi"/>
          <w:sz w:val="20"/>
          <w:szCs w:val="20"/>
        </w:rPr>
        <w:t>Connection Details</w:t>
      </w:r>
      <w:bookmarkEnd w:id="700"/>
    </w:p>
    <w:p w14:paraId="63C50AC7" w14:textId="77777777" w:rsidR="00672297" w:rsidRDefault="00A16EA3">
      <w:pPr>
        <w:rPr>
          <w:rFonts w:cstheme="minorHAnsi"/>
          <w:sz w:val="20"/>
          <w:szCs w:val="20"/>
        </w:rPr>
      </w:pPr>
      <w:r>
        <w:rPr>
          <w:rFonts w:cstheme="minorHAnsi"/>
          <w:sz w:val="20"/>
          <w:szCs w:val="20"/>
        </w:rPr>
        <w:t>Server: com-dev-me2-com-shared-sql.database.windows.net; Database: iqdmdev (DEV) - parameters pServer / pDatabase (Connection Details, above). MPR prices: MPR API (Web connector, Import).</w:t>
      </w:r>
    </w:p>
    <w:p w14:paraId="193B50AF" w14:textId="77777777" w:rsidR="00672297" w:rsidRDefault="00A16EA3">
      <w:pPr>
        <w:pStyle w:val="Heading4"/>
        <w:rPr>
          <w:rFonts w:asciiTheme="minorHAnsi" w:hAnsiTheme="minorHAnsi" w:cstheme="minorBidi"/>
          <w:sz w:val="20"/>
          <w:szCs w:val="20"/>
        </w:rPr>
      </w:pPr>
      <w:bookmarkStart w:id="701" w:name="_Toc900950145"/>
      <w:r>
        <w:rPr>
          <w:rFonts w:asciiTheme="minorHAnsi" w:hAnsiTheme="minorHAnsi" w:cstheme="minorBidi"/>
          <w:sz w:val="20"/>
          <w:szCs w:val="20"/>
        </w:rPr>
        <w:t>Key Power Query Transformations</w:t>
      </w:r>
      <w:bookmarkEnd w:id="701"/>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1788F929" w14:textId="77777777">
        <w:trPr>
          <w:cantSplit/>
          <w:tblHeader/>
        </w:trPr>
        <w:tc>
          <w:tcPr>
            <w:tcW w:w="2808" w:type="dxa"/>
            <w:shd w:val="clear" w:color="auto" w:fill="2F5496"/>
            <w:vAlign w:val="center"/>
          </w:tcPr>
          <w:p w14:paraId="1392FBA1" w14:textId="77777777" w:rsidR="00672297" w:rsidRDefault="00A16EA3">
            <w:pPr>
              <w:spacing w:before="20" w:after="20"/>
              <w:jc w:val="left"/>
            </w:pPr>
            <w:r>
              <w:rPr>
                <w:rFonts w:cstheme="minorHAnsi"/>
                <w:b/>
                <w:bCs/>
                <w:color w:val="FFFFFF"/>
                <w:sz w:val="20"/>
                <w:szCs w:val="20"/>
              </w:rPr>
              <w:t>Table Name</w:t>
            </w:r>
          </w:p>
        </w:tc>
        <w:tc>
          <w:tcPr>
            <w:tcW w:w="6552" w:type="dxa"/>
            <w:shd w:val="clear" w:color="auto" w:fill="2F5496"/>
            <w:vAlign w:val="center"/>
          </w:tcPr>
          <w:p w14:paraId="08CC0FDB" w14:textId="77777777" w:rsidR="00672297" w:rsidRDefault="00A16EA3">
            <w:pPr>
              <w:spacing w:before="20" w:after="20"/>
              <w:jc w:val="left"/>
            </w:pPr>
            <w:r>
              <w:rPr>
                <w:rFonts w:cstheme="minorHAnsi"/>
                <w:b/>
                <w:bCs/>
                <w:color w:val="FFFFFF"/>
                <w:sz w:val="20"/>
                <w:szCs w:val="20"/>
              </w:rPr>
              <w:t>Transformations Applied</w:t>
            </w:r>
          </w:p>
        </w:tc>
      </w:tr>
      <w:tr w:rsidR="00672297" w14:paraId="5A84CED1" w14:textId="77777777">
        <w:trPr>
          <w:cantSplit/>
        </w:trPr>
        <w:tc>
          <w:tcPr>
            <w:tcW w:w="2808" w:type="dxa"/>
            <w:vAlign w:val="center"/>
          </w:tcPr>
          <w:p w14:paraId="7CCB6100" w14:textId="77777777" w:rsidR="00672297" w:rsidRDefault="00A16EA3">
            <w:pPr>
              <w:spacing w:before="20" w:after="20"/>
              <w:jc w:val="left"/>
            </w:pPr>
            <w:r>
              <w:rPr>
                <w:rFonts w:cstheme="minorHAnsi"/>
                <w:sz w:val="20"/>
                <w:szCs w:val="20"/>
              </w:rPr>
              <w:t>vwGasolineBlendingKPI</w:t>
            </w:r>
          </w:p>
        </w:tc>
        <w:tc>
          <w:tcPr>
            <w:tcW w:w="6552" w:type="dxa"/>
            <w:vAlign w:val="center"/>
          </w:tcPr>
          <w:p w14:paraId="2155254D" w14:textId="77777777" w:rsidR="00672297" w:rsidRDefault="00A16EA3">
            <w:pPr>
              <w:spacing w:before="20" w:after="20"/>
              <w:jc w:val="left"/>
            </w:pPr>
            <w:r>
              <w:rPr>
                <w:rFonts w:cstheme="minorHAnsi"/>
                <w:sz w:val="20"/>
                <w:szCs w:val="20"/>
              </w:rPr>
              <w:t>Columns renamed to the wireframe display names; PriceKey = globalCode &amp; "|" &amp; productAbbreviation added</w:t>
            </w:r>
          </w:p>
        </w:tc>
      </w:tr>
      <w:tr w:rsidR="00672297" w14:paraId="009ED372" w14:textId="77777777">
        <w:trPr>
          <w:cantSplit/>
        </w:trPr>
        <w:tc>
          <w:tcPr>
            <w:tcW w:w="2808" w:type="dxa"/>
            <w:vAlign w:val="center"/>
          </w:tcPr>
          <w:p w14:paraId="33FF0B95" w14:textId="77777777" w:rsidR="00672297" w:rsidRDefault="00A16EA3">
            <w:pPr>
              <w:spacing w:before="20" w:after="20"/>
              <w:jc w:val="left"/>
            </w:pPr>
            <w:r>
              <w:rPr>
                <w:rFonts w:cstheme="minorHAnsi"/>
                <w:sz w:val="20"/>
                <w:szCs w:val="20"/>
              </w:rPr>
              <w:t>MPR_Price</w:t>
            </w:r>
          </w:p>
        </w:tc>
        <w:tc>
          <w:tcPr>
            <w:tcW w:w="6552" w:type="dxa"/>
            <w:vAlign w:val="center"/>
          </w:tcPr>
          <w:p w14:paraId="5A6C1CEF" w14:textId="77777777" w:rsidR="00672297" w:rsidRDefault="00A16EA3">
            <w:pPr>
              <w:spacing w:before="20" w:after="20"/>
              <w:jc w:val="left"/>
            </w:pPr>
            <w:r>
              <w:rPr>
                <w:rFonts w:cstheme="minorHAnsi"/>
                <w:sz w:val="20"/>
                <w:szCs w:val="20"/>
              </w:rPr>
              <w:t>Loaded from the MPR API (see Key Power Query Transformations of the semantic model); PriceKey added; unique on PriceKey</w:t>
            </w:r>
          </w:p>
        </w:tc>
      </w:tr>
    </w:tbl>
    <w:p w14:paraId="68226EFD" w14:textId="3F783E7C" w:rsidR="00672297" w:rsidRDefault="00A16EA3">
      <w:pPr>
        <w:pStyle w:val="Caption"/>
      </w:pPr>
      <w:bookmarkStart w:id="702" w:name="_Toc900950146"/>
      <w:bookmarkStart w:id="703" w:name="_Toc241574734"/>
      <w:bookmarkStart w:id="704" w:name="_Toc242554118"/>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45</w:t>
      </w:r>
      <w:r>
        <w:fldChar w:fldCharType="end"/>
      </w:r>
      <w:r>
        <w:t>: Gasoline KPI Dashboard Power Query Transformations</w:t>
      </w:r>
      <w:bookmarkEnd w:id="702"/>
      <w:bookmarkEnd w:id="703"/>
      <w:bookmarkEnd w:id="704"/>
    </w:p>
    <w:p w14:paraId="0C08D10E" w14:textId="77777777" w:rsidR="00672297" w:rsidRDefault="00A16EA3">
      <w:pPr>
        <w:pStyle w:val="Heading4"/>
        <w:rPr>
          <w:rFonts w:asciiTheme="minorHAnsi" w:hAnsiTheme="minorHAnsi" w:cstheme="minorBidi"/>
          <w:sz w:val="20"/>
          <w:szCs w:val="20"/>
        </w:rPr>
      </w:pPr>
      <w:bookmarkStart w:id="705" w:name="_Toc900950147"/>
      <w:r>
        <w:rPr>
          <w:rFonts w:asciiTheme="minorHAnsi" w:hAnsiTheme="minorHAnsi" w:cstheme="minorBidi"/>
          <w:sz w:val="20"/>
          <w:szCs w:val="20"/>
        </w:rPr>
        <w:t>Data Model Design</w:t>
      </w:r>
      <w:bookmarkEnd w:id="705"/>
    </w:p>
    <w:p w14:paraId="4948CFAA" w14:textId="77777777" w:rsidR="00672297" w:rsidRDefault="00A16EA3">
      <w:pPr>
        <w:rPr>
          <w:rFonts w:cstheme="minorHAnsi"/>
          <w:sz w:val="20"/>
          <w:szCs w:val="20"/>
        </w:rPr>
      </w:pPr>
      <w:r>
        <w:rPr>
          <w:rFonts w:cstheme="minorHAnsi"/>
          <w:sz w:val="20"/>
          <w:szCs w:val="20"/>
        </w:rPr>
        <w:t>Model type: star schema (Figure 4-2). The report uses vwGasolineBlendingKPI, day_detail and Last_Refresh, and MPR_Price joined on globalCode + productAbbreviation.</w:t>
      </w:r>
    </w:p>
    <w:p w14:paraId="095394D6" w14:textId="77777777" w:rsidR="00672297" w:rsidRDefault="00A16EA3">
      <w:pPr>
        <w:pStyle w:val="Heading4"/>
        <w:rPr>
          <w:rFonts w:asciiTheme="minorHAnsi" w:hAnsiTheme="minorHAnsi" w:cstheme="minorBidi"/>
          <w:sz w:val="20"/>
          <w:szCs w:val="20"/>
        </w:rPr>
      </w:pPr>
      <w:bookmarkStart w:id="706" w:name="_Toc900950148"/>
      <w:r>
        <w:rPr>
          <w:rFonts w:asciiTheme="minorHAnsi" w:hAnsiTheme="minorHAnsi" w:cstheme="minorBidi"/>
          <w:sz w:val="20"/>
          <w:szCs w:val="20"/>
        </w:rPr>
        <w:t>Tables / Views Loaded and Data Sources</w:t>
      </w:r>
      <w:bookmarkEnd w:id="706"/>
    </w:p>
    <w:tbl>
      <w:tblPr>
        <w:tblStyle w:val="TableGrid"/>
        <w:tblW w:w="9360" w:type="dxa"/>
        <w:tblLayout w:type="fixed"/>
        <w:tblCellMar>
          <w:left w:w="70" w:type="dxa"/>
          <w:right w:w="70" w:type="dxa"/>
        </w:tblCellMar>
        <w:tblLook w:val="04A0" w:firstRow="1" w:lastRow="0" w:firstColumn="1" w:lastColumn="0" w:noHBand="0" w:noVBand="1"/>
      </w:tblPr>
      <w:tblGrid>
        <w:gridCol w:w="2808"/>
        <w:gridCol w:w="1123"/>
        <w:gridCol w:w="2433"/>
        <w:gridCol w:w="2996"/>
      </w:tblGrid>
      <w:tr w:rsidR="00672297" w14:paraId="676B94DF" w14:textId="77777777">
        <w:trPr>
          <w:cantSplit/>
          <w:tblHeader/>
        </w:trPr>
        <w:tc>
          <w:tcPr>
            <w:tcW w:w="2808" w:type="dxa"/>
            <w:shd w:val="clear" w:color="auto" w:fill="2F5496"/>
            <w:vAlign w:val="center"/>
          </w:tcPr>
          <w:p w14:paraId="668194AE" w14:textId="77777777" w:rsidR="00672297" w:rsidRDefault="00A16EA3">
            <w:pPr>
              <w:spacing w:before="20" w:after="20"/>
              <w:jc w:val="left"/>
            </w:pPr>
            <w:r>
              <w:rPr>
                <w:rFonts w:cstheme="minorHAnsi"/>
                <w:b/>
                <w:bCs/>
                <w:color w:val="FFFFFF"/>
                <w:sz w:val="20"/>
                <w:szCs w:val="20"/>
              </w:rPr>
              <w:t>Table / View Name</w:t>
            </w:r>
          </w:p>
        </w:tc>
        <w:tc>
          <w:tcPr>
            <w:tcW w:w="1123" w:type="dxa"/>
            <w:shd w:val="clear" w:color="auto" w:fill="2F5496"/>
            <w:vAlign w:val="center"/>
          </w:tcPr>
          <w:p w14:paraId="1431C73B" w14:textId="77777777" w:rsidR="00672297" w:rsidRDefault="00A16EA3">
            <w:pPr>
              <w:spacing w:before="20" w:after="20"/>
              <w:jc w:val="left"/>
            </w:pPr>
            <w:r>
              <w:rPr>
                <w:rFonts w:cstheme="minorHAnsi"/>
                <w:b/>
                <w:bCs/>
                <w:color w:val="FFFFFF"/>
                <w:sz w:val="20"/>
                <w:szCs w:val="20"/>
              </w:rPr>
              <w:t>Type</w:t>
            </w:r>
          </w:p>
        </w:tc>
        <w:tc>
          <w:tcPr>
            <w:tcW w:w="2433" w:type="dxa"/>
            <w:shd w:val="clear" w:color="auto" w:fill="2F5496"/>
            <w:vAlign w:val="center"/>
          </w:tcPr>
          <w:p w14:paraId="54B4EB1D" w14:textId="77777777" w:rsidR="00672297" w:rsidRDefault="00A16EA3">
            <w:pPr>
              <w:spacing w:before="20" w:after="20"/>
              <w:jc w:val="left"/>
            </w:pPr>
            <w:r>
              <w:rPr>
                <w:rFonts w:cstheme="minorHAnsi"/>
                <w:b/>
                <w:bCs/>
                <w:color w:val="FFFFFF"/>
                <w:sz w:val="20"/>
                <w:szCs w:val="20"/>
              </w:rPr>
              <w:t>Source</w:t>
            </w:r>
          </w:p>
        </w:tc>
        <w:tc>
          <w:tcPr>
            <w:tcW w:w="2996" w:type="dxa"/>
            <w:shd w:val="clear" w:color="auto" w:fill="2F5496"/>
            <w:vAlign w:val="center"/>
          </w:tcPr>
          <w:p w14:paraId="3BAC98B8" w14:textId="77777777" w:rsidR="00672297" w:rsidRDefault="00A16EA3">
            <w:pPr>
              <w:spacing w:before="20" w:after="20"/>
              <w:jc w:val="left"/>
            </w:pPr>
            <w:r>
              <w:rPr>
                <w:rFonts w:cstheme="minorHAnsi"/>
                <w:b/>
                <w:bCs/>
                <w:color w:val="FFFFFF"/>
                <w:sz w:val="20"/>
                <w:szCs w:val="20"/>
              </w:rPr>
              <w:t>Description</w:t>
            </w:r>
          </w:p>
        </w:tc>
      </w:tr>
      <w:tr w:rsidR="00672297" w14:paraId="5A9CC9C2" w14:textId="77777777">
        <w:trPr>
          <w:cantSplit/>
        </w:trPr>
        <w:tc>
          <w:tcPr>
            <w:tcW w:w="2808" w:type="dxa"/>
            <w:vAlign w:val="center"/>
          </w:tcPr>
          <w:p w14:paraId="253B1A89" w14:textId="77777777" w:rsidR="00672297" w:rsidRDefault="00A16EA3">
            <w:pPr>
              <w:spacing w:before="20" w:after="20"/>
              <w:jc w:val="left"/>
            </w:pPr>
            <w:r>
              <w:rPr>
                <w:rFonts w:cstheme="minorHAnsi"/>
                <w:sz w:val="20"/>
                <w:szCs w:val="20"/>
              </w:rPr>
              <w:t>vwGasolineBlendingKPI</w:t>
            </w:r>
          </w:p>
        </w:tc>
        <w:tc>
          <w:tcPr>
            <w:tcW w:w="1123" w:type="dxa"/>
            <w:vAlign w:val="center"/>
          </w:tcPr>
          <w:p w14:paraId="6775C658" w14:textId="77777777" w:rsidR="00672297" w:rsidRDefault="00A16EA3">
            <w:pPr>
              <w:spacing w:before="20" w:after="20"/>
              <w:jc w:val="left"/>
            </w:pPr>
            <w:r>
              <w:rPr>
                <w:rFonts w:cstheme="minorHAnsi"/>
                <w:sz w:val="20"/>
                <w:szCs w:val="20"/>
              </w:rPr>
              <w:t>Transaction</w:t>
            </w:r>
          </w:p>
        </w:tc>
        <w:tc>
          <w:tcPr>
            <w:tcW w:w="2433" w:type="dxa"/>
            <w:vAlign w:val="center"/>
          </w:tcPr>
          <w:p w14:paraId="2C47103C" w14:textId="77777777" w:rsidR="00672297" w:rsidRDefault="00A16EA3">
            <w:pPr>
              <w:spacing w:before="20" w:after="20"/>
              <w:jc w:val="left"/>
            </w:pPr>
            <w:r>
              <w:rPr>
                <w:rFonts w:cstheme="minorHAnsi"/>
                <w:sz w:val="20"/>
                <w:szCs w:val="20"/>
              </w:rPr>
              <w:t>IQDM database - VCB view (chapter 3)</w:t>
            </w:r>
          </w:p>
        </w:tc>
        <w:tc>
          <w:tcPr>
            <w:tcW w:w="2996" w:type="dxa"/>
            <w:vAlign w:val="center"/>
          </w:tcPr>
          <w:p w14:paraId="3D46A7B6" w14:textId="77777777" w:rsidR="00672297" w:rsidRDefault="00A16EA3">
            <w:pPr>
              <w:spacing w:before="20" w:after="20"/>
              <w:jc w:val="left"/>
            </w:pPr>
            <w:r>
              <w:rPr>
                <w:rFonts w:cstheme="minorHAnsi"/>
                <w:sz w:val="20"/>
                <w:szCs w:val="20"/>
              </w:rPr>
              <w:t>Potential, actual and delta volumes and average qualities per terminal, source, grade and day</w:t>
            </w:r>
          </w:p>
        </w:tc>
      </w:tr>
      <w:tr w:rsidR="00672297" w14:paraId="06B19752" w14:textId="77777777">
        <w:trPr>
          <w:cantSplit/>
        </w:trPr>
        <w:tc>
          <w:tcPr>
            <w:tcW w:w="2808" w:type="dxa"/>
            <w:vAlign w:val="center"/>
          </w:tcPr>
          <w:p w14:paraId="4BF4ECBF" w14:textId="77777777" w:rsidR="00672297" w:rsidRDefault="00A16EA3">
            <w:pPr>
              <w:spacing w:before="20" w:after="20"/>
              <w:jc w:val="left"/>
            </w:pPr>
            <w:r>
              <w:rPr>
                <w:rFonts w:cstheme="minorHAnsi"/>
                <w:sz w:val="20"/>
                <w:szCs w:val="20"/>
              </w:rPr>
              <w:t>MPR_Price</w:t>
            </w:r>
          </w:p>
        </w:tc>
        <w:tc>
          <w:tcPr>
            <w:tcW w:w="1123" w:type="dxa"/>
            <w:vAlign w:val="center"/>
          </w:tcPr>
          <w:p w14:paraId="0E2B29FD" w14:textId="77777777" w:rsidR="00672297" w:rsidRDefault="00A16EA3">
            <w:pPr>
              <w:spacing w:before="20" w:after="20"/>
              <w:jc w:val="left"/>
            </w:pPr>
            <w:r>
              <w:rPr>
                <w:rFonts w:cstheme="minorHAnsi"/>
                <w:sz w:val="20"/>
                <w:szCs w:val="20"/>
              </w:rPr>
              <w:t>Reference</w:t>
            </w:r>
          </w:p>
        </w:tc>
        <w:tc>
          <w:tcPr>
            <w:tcW w:w="2433" w:type="dxa"/>
            <w:vAlign w:val="center"/>
          </w:tcPr>
          <w:p w14:paraId="28F69725" w14:textId="77777777" w:rsidR="00672297" w:rsidRDefault="00A16EA3">
            <w:pPr>
              <w:spacing w:before="20" w:after="20"/>
              <w:jc w:val="left"/>
            </w:pPr>
            <w:r>
              <w:rPr>
                <w:rFonts w:cstheme="minorHAnsi"/>
                <w:sz w:val="20"/>
                <w:szCs w:val="20"/>
              </w:rPr>
              <w:t>MPR API (MPR database) - stored in Power BI only</w:t>
            </w:r>
          </w:p>
        </w:tc>
        <w:tc>
          <w:tcPr>
            <w:tcW w:w="2996" w:type="dxa"/>
            <w:vAlign w:val="center"/>
          </w:tcPr>
          <w:p w14:paraId="17111DD1" w14:textId="77777777" w:rsidR="00672297" w:rsidRDefault="00A16EA3">
            <w:pPr>
              <w:spacing w:before="20" w:after="20"/>
              <w:jc w:val="left"/>
            </w:pPr>
            <w:r>
              <w:rPr>
                <w:rFonts w:cstheme="minorHAnsi"/>
                <w:sz w:val="20"/>
                <w:szCs w:val="20"/>
              </w:rPr>
              <w:t>Prices for the value-loss measures</w:t>
            </w:r>
          </w:p>
        </w:tc>
      </w:tr>
      <w:tr w:rsidR="00672297" w14:paraId="0CDB883B" w14:textId="77777777">
        <w:trPr>
          <w:cantSplit/>
        </w:trPr>
        <w:tc>
          <w:tcPr>
            <w:tcW w:w="2808" w:type="dxa"/>
            <w:vAlign w:val="center"/>
          </w:tcPr>
          <w:p w14:paraId="6606E7B3" w14:textId="77777777" w:rsidR="00672297" w:rsidRDefault="00A16EA3">
            <w:pPr>
              <w:spacing w:before="20" w:after="20"/>
              <w:jc w:val="left"/>
            </w:pPr>
            <w:r>
              <w:rPr>
                <w:rFonts w:cstheme="minorHAnsi"/>
                <w:sz w:val="20"/>
                <w:szCs w:val="20"/>
              </w:rPr>
              <w:t>day_detail</w:t>
            </w:r>
          </w:p>
        </w:tc>
        <w:tc>
          <w:tcPr>
            <w:tcW w:w="1123" w:type="dxa"/>
            <w:vAlign w:val="center"/>
          </w:tcPr>
          <w:p w14:paraId="31F39FBC" w14:textId="77777777" w:rsidR="00672297" w:rsidRDefault="00A16EA3">
            <w:pPr>
              <w:spacing w:before="20" w:after="20"/>
              <w:jc w:val="left"/>
            </w:pPr>
            <w:r>
              <w:rPr>
                <w:rFonts w:cstheme="minorHAnsi"/>
                <w:sz w:val="20"/>
                <w:szCs w:val="20"/>
              </w:rPr>
              <w:t>Reference</w:t>
            </w:r>
          </w:p>
        </w:tc>
        <w:tc>
          <w:tcPr>
            <w:tcW w:w="2433" w:type="dxa"/>
            <w:vAlign w:val="center"/>
          </w:tcPr>
          <w:p w14:paraId="6A43C3BD" w14:textId="77777777" w:rsidR="00672297" w:rsidRDefault="00A16EA3">
            <w:pPr>
              <w:spacing w:before="20" w:after="20"/>
              <w:jc w:val="left"/>
            </w:pPr>
            <w:r>
              <w:rPr>
                <w:rFonts w:cstheme="minorHAnsi"/>
                <w:sz w:val="20"/>
                <w:szCs w:val="20"/>
              </w:rPr>
              <w:t>IQDM database</w:t>
            </w:r>
          </w:p>
        </w:tc>
        <w:tc>
          <w:tcPr>
            <w:tcW w:w="2996" w:type="dxa"/>
            <w:vAlign w:val="center"/>
          </w:tcPr>
          <w:p w14:paraId="44B91EB3" w14:textId="77777777" w:rsidR="00672297" w:rsidRDefault="00A16EA3">
            <w:pPr>
              <w:spacing w:before="20" w:after="20"/>
              <w:jc w:val="left"/>
            </w:pPr>
            <w:r>
              <w:rPr>
                <w:rFonts w:cstheme="minorHAnsi"/>
                <w:sz w:val="20"/>
                <w:szCs w:val="20"/>
              </w:rPr>
              <w:t>Calendar attributes</w:t>
            </w:r>
          </w:p>
        </w:tc>
      </w:tr>
      <w:tr w:rsidR="00672297" w14:paraId="0CA8D7D1" w14:textId="77777777">
        <w:trPr>
          <w:cantSplit/>
        </w:trPr>
        <w:tc>
          <w:tcPr>
            <w:tcW w:w="2808" w:type="dxa"/>
            <w:vAlign w:val="center"/>
          </w:tcPr>
          <w:p w14:paraId="5D05F2AF" w14:textId="77777777" w:rsidR="00672297" w:rsidRDefault="00A16EA3">
            <w:pPr>
              <w:spacing w:before="20" w:after="20"/>
              <w:jc w:val="left"/>
            </w:pPr>
            <w:r>
              <w:rPr>
                <w:rFonts w:cstheme="minorHAnsi"/>
                <w:sz w:val="20"/>
                <w:szCs w:val="20"/>
              </w:rPr>
              <w:t>Last_Refresh</w:t>
            </w:r>
          </w:p>
        </w:tc>
        <w:tc>
          <w:tcPr>
            <w:tcW w:w="1123" w:type="dxa"/>
            <w:vAlign w:val="center"/>
          </w:tcPr>
          <w:p w14:paraId="483C06B4" w14:textId="77777777" w:rsidR="00672297" w:rsidRDefault="00A16EA3">
            <w:pPr>
              <w:spacing w:before="20" w:after="20"/>
              <w:jc w:val="left"/>
            </w:pPr>
            <w:r>
              <w:rPr>
                <w:rFonts w:cstheme="minorHAnsi"/>
                <w:sz w:val="20"/>
                <w:szCs w:val="20"/>
              </w:rPr>
              <w:t>Parameter</w:t>
            </w:r>
          </w:p>
        </w:tc>
        <w:tc>
          <w:tcPr>
            <w:tcW w:w="2433" w:type="dxa"/>
            <w:vAlign w:val="center"/>
          </w:tcPr>
          <w:p w14:paraId="41DA0D25" w14:textId="77777777" w:rsidR="00672297" w:rsidRDefault="00A16EA3">
            <w:pPr>
              <w:spacing w:before="20" w:after="20"/>
              <w:jc w:val="left"/>
            </w:pPr>
            <w:r>
              <w:rPr>
                <w:rFonts w:cstheme="minorHAnsi"/>
                <w:sz w:val="20"/>
                <w:szCs w:val="20"/>
              </w:rPr>
              <w:t>Power Query</w:t>
            </w:r>
          </w:p>
        </w:tc>
        <w:tc>
          <w:tcPr>
            <w:tcW w:w="2996" w:type="dxa"/>
            <w:vAlign w:val="center"/>
          </w:tcPr>
          <w:p w14:paraId="6537118A" w14:textId="77777777" w:rsidR="00672297" w:rsidRDefault="00A16EA3">
            <w:pPr>
              <w:spacing w:before="20" w:after="20"/>
              <w:jc w:val="left"/>
            </w:pPr>
            <w:r>
              <w:rPr>
                <w:rFonts w:cstheme="minorHAnsi"/>
                <w:sz w:val="20"/>
                <w:szCs w:val="20"/>
              </w:rPr>
              <w:t>Last refresh timestamp</w:t>
            </w:r>
          </w:p>
        </w:tc>
      </w:tr>
    </w:tbl>
    <w:p w14:paraId="446C29FE" w14:textId="46802CDB" w:rsidR="00672297" w:rsidRDefault="00A16EA3">
      <w:pPr>
        <w:pStyle w:val="Caption"/>
      </w:pPr>
      <w:bookmarkStart w:id="707" w:name="_Toc900950149"/>
      <w:bookmarkStart w:id="708" w:name="_Toc241574735"/>
      <w:bookmarkStart w:id="709" w:name="_Toc242554119"/>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46</w:t>
      </w:r>
      <w:r>
        <w:fldChar w:fldCharType="end"/>
      </w:r>
      <w:r>
        <w:t>: Gasoline KPI Dashboard Tables / Views Loaded in Power BI</w:t>
      </w:r>
      <w:bookmarkEnd w:id="707"/>
      <w:bookmarkEnd w:id="708"/>
      <w:bookmarkEnd w:id="709"/>
    </w:p>
    <w:p w14:paraId="0493D08A" w14:textId="77777777" w:rsidR="00672297" w:rsidRDefault="00A16EA3">
      <w:pPr>
        <w:pStyle w:val="Heading4"/>
        <w:rPr>
          <w:rFonts w:asciiTheme="minorHAnsi" w:hAnsiTheme="minorHAnsi" w:cstheme="minorBidi"/>
          <w:sz w:val="20"/>
          <w:szCs w:val="20"/>
        </w:rPr>
      </w:pPr>
      <w:bookmarkStart w:id="710" w:name="_Toc900950150"/>
      <w:r>
        <w:rPr>
          <w:rFonts w:asciiTheme="minorHAnsi" w:hAnsiTheme="minorHAnsi" w:cstheme="minorBidi"/>
          <w:sz w:val="20"/>
          <w:szCs w:val="20"/>
        </w:rPr>
        <w:t>Relationships</w:t>
      </w:r>
      <w:bookmarkEnd w:id="710"/>
    </w:p>
    <w:tbl>
      <w:tblPr>
        <w:tblStyle w:val="TableGrid"/>
        <w:tblW w:w="9360" w:type="dxa"/>
        <w:tblLayout w:type="fixed"/>
        <w:tblCellMar>
          <w:left w:w="70" w:type="dxa"/>
          <w:right w:w="70" w:type="dxa"/>
        </w:tblCellMar>
        <w:tblLook w:val="04A0" w:firstRow="1" w:lastRow="0" w:firstColumn="1" w:lastColumn="0" w:noHBand="0" w:noVBand="1"/>
      </w:tblPr>
      <w:tblGrid>
        <w:gridCol w:w="2620"/>
        <w:gridCol w:w="2246"/>
        <w:gridCol w:w="1497"/>
        <w:gridCol w:w="1872"/>
        <w:gridCol w:w="1125"/>
      </w:tblGrid>
      <w:tr w:rsidR="00672297" w14:paraId="0F251517" w14:textId="77777777">
        <w:trPr>
          <w:cantSplit/>
          <w:tblHeader/>
        </w:trPr>
        <w:tc>
          <w:tcPr>
            <w:tcW w:w="2620" w:type="dxa"/>
            <w:shd w:val="clear" w:color="auto" w:fill="2F5496"/>
            <w:vAlign w:val="center"/>
          </w:tcPr>
          <w:p w14:paraId="35B3FAC0" w14:textId="77777777" w:rsidR="00672297" w:rsidRDefault="00A16EA3">
            <w:pPr>
              <w:spacing w:before="20" w:after="20"/>
              <w:jc w:val="left"/>
            </w:pPr>
            <w:r>
              <w:rPr>
                <w:rFonts w:cstheme="minorHAnsi"/>
                <w:b/>
                <w:bCs/>
                <w:color w:val="FFFFFF"/>
                <w:sz w:val="18"/>
                <w:szCs w:val="18"/>
              </w:rPr>
              <w:t>From Table</w:t>
            </w:r>
          </w:p>
        </w:tc>
        <w:tc>
          <w:tcPr>
            <w:tcW w:w="2246" w:type="dxa"/>
            <w:shd w:val="clear" w:color="auto" w:fill="2F5496"/>
            <w:vAlign w:val="center"/>
          </w:tcPr>
          <w:p w14:paraId="54A76F91" w14:textId="77777777" w:rsidR="00672297" w:rsidRDefault="00A16EA3">
            <w:pPr>
              <w:spacing w:before="20" w:after="20"/>
              <w:jc w:val="left"/>
            </w:pPr>
            <w:r>
              <w:rPr>
                <w:rFonts w:cstheme="minorHAnsi"/>
                <w:b/>
                <w:bCs/>
                <w:color w:val="FFFFFF"/>
                <w:sz w:val="18"/>
                <w:szCs w:val="18"/>
              </w:rPr>
              <w:t>Column</w:t>
            </w:r>
          </w:p>
        </w:tc>
        <w:tc>
          <w:tcPr>
            <w:tcW w:w="1497" w:type="dxa"/>
            <w:shd w:val="clear" w:color="auto" w:fill="2F5496"/>
            <w:vAlign w:val="center"/>
          </w:tcPr>
          <w:p w14:paraId="366FE305" w14:textId="77777777" w:rsidR="00672297" w:rsidRDefault="00A16EA3">
            <w:pPr>
              <w:spacing w:before="20" w:after="20"/>
              <w:jc w:val="left"/>
            </w:pPr>
            <w:r>
              <w:rPr>
                <w:rFonts w:cstheme="minorHAnsi"/>
                <w:b/>
                <w:bCs/>
                <w:color w:val="FFFFFF"/>
                <w:sz w:val="18"/>
                <w:szCs w:val="18"/>
              </w:rPr>
              <w:t>To Table</w:t>
            </w:r>
          </w:p>
        </w:tc>
        <w:tc>
          <w:tcPr>
            <w:tcW w:w="1872" w:type="dxa"/>
            <w:shd w:val="clear" w:color="auto" w:fill="2F5496"/>
            <w:vAlign w:val="center"/>
          </w:tcPr>
          <w:p w14:paraId="7D650C62" w14:textId="77777777" w:rsidR="00672297" w:rsidRDefault="00A16EA3">
            <w:pPr>
              <w:spacing w:before="20" w:after="20"/>
              <w:jc w:val="left"/>
            </w:pPr>
            <w:r>
              <w:rPr>
                <w:rFonts w:cstheme="minorHAnsi"/>
                <w:b/>
                <w:bCs/>
                <w:color w:val="FFFFFF"/>
                <w:sz w:val="18"/>
                <w:szCs w:val="18"/>
              </w:rPr>
              <w:t>Column</w:t>
            </w:r>
          </w:p>
        </w:tc>
        <w:tc>
          <w:tcPr>
            <w:tcW w:w="1125" w:type="dxa"/>
            <w:shd w:val="clear" w:color="auto" w:fill="2F5496"/>
            <w:vAlign w:val="center"/>
          </w:tcPr>
          <w:p w14:paraId="2898F614" w14:textId="77777777" w:rsidR="00672297" w:rsidRDefault="00A16EA3">
            <w:pPr>
              <w:spacing w:before="20" w:after="20"/>
              <w:jc w:val="left"/>
            </w:pPr>
            <w:r>
              <w:rPr>
                <w:rFonts w:cstheme="minorHAnsi"/>
                <w:b/>
                <w:bCs/>
                <w:color w:val="FFFFFF"/>
                <w:sz w:val="18"/>
                <w:szCs w:val="18"/>
              </w:rPr>
              <w:t>Cardinality</w:t>
            </w:r>
          </w:p>
        </w:tc>
      </w:tr>
      <w:tr w:rsidR="00672297" w14:paraId="417593C2" w14:textId="77777777">
        <w:trPr>
          <w:cantSplit/>
        </w:trPr>
        <w:tc>
          <w:tcPr>
            <w:tcW w:w="2620" w:type="dxa"/>
            <w:vAlign w:val="center"/>
          </w:tcPr>
          <w:p w14:paraId="1CA6D332" w14:textId="77777777" w:rsidR="00672297" w:rsidRDefault="00A16EA3">
            <w:pPr>
              <w:spacing w:before="20" w:after="20"/>
              <w:jc w:val="left"/>
            </w:pPr>
            <w:r>
              <w:rPr>
                <w:rFonts w:cstheme="minorHAnsi"/>
                <w:sz w:val="18"/>
                <w:szCs w:val="18"/>
              </w:rPr>
              <w:t>vwGasolineBlendingKPI</w:t>
            </w:r>
          </w:p>
        </w:tc>
        <w:tc>
          <w:tcPr>
            <w:tcW w:w="2246" w:type="dxa"/>
            <w:vAlign w:val="center"/>
          </w:tcPr>
          <w:p w14:paraId="4700F5B6" w14:textId="77777777" w:rsidR="00672297" w:rsidRDefault="00A16EA3">
            <w:pPr>
              <w:spacing w:before="20" w:after="20"/>
              <w:jc w:val="left"/>
            </w:pPr>
            <w:r>
              <w:rPr>
                <w:rFonts w:cstheme="minorHAnsi"/>
                <w:sz w:val="18"/>
                <w:szCs w:val="18"/>
              </w:rPr>
              <w:t>ActivityDate</w:t>
            </w:r>
          </w:p>
        </w:tc>
        <w:tc>
          <w:tcPr>
            <w:tcW w:w="1497" w:type="dxa"/>
            <w:vAlign w:val="center"/>
          </w:tcPr>
          <w:p w14:paraId="0ADF2B13" w14:textId="77777777" w:rsidR="00672297" w:rsidRDefault="00A16EA3">
            <w:pPr>
              <w:spacing w:before="20" w:after="20"/>
              <w:jc w:val="left"/>
            </w:pPr>
            <w:r>
              <w:rPr>
                <w:rFonts w:cstheme="minorHAnsi"/>
                <w:sz w:val="18"/>
                <w:szCs w:val="18"/>
              </w:rPr>
              <w:t>day_detail</w:t>
            </w:r>
          </w:p>
        </w:tc>
        <w:tc>
          <w:tcPr>
            <w:tcW w:w="1872" w:type="dxa"/>
            <w:vAlign w:val="center"/>
          </w:tcPr>
          <w:p w14:paraId="2E843738" w14:textId="77777777" w:rsidR="00672297" w:rsidRDefault="00A16EA3">
            <w:pPr>
              <w:spacing w:before="20" w:after="20"/>
              <w:jc w:val="left"/>
            </w:pPr>
            <w:r>
              <w:rPr>
                <w:rFonts w:cstheme="minorHAnsi"/>
                <w:sz w:val="18"/>
                <w:szCs w:val="18"/>
              </w:rPr>
              <w:t>W_Date</w:t>
            </w:r>
          </w:p>
        </w:tc>
        <w:tc>
          <w:tcPr>
            <w:tcW w:w="1125" w:type="dxa"/>
            <w:vAlign w:val="center"/>
          </w:tcPr>
          <w:p w14:paraId="2147257B" w14:textId="77777777" w:rsidR="00672297" w:rsidRDefault="00A16EA3">
            <w:pPr>
              <w:spacing w:before="20" w:after="20"/>
              <w:jc w:val="left"/>
            </w:pPr>
            <w:r>
              <w:rPr>
                <w:rFonts w:cstheme="minorHAnsi"/>
                <w:sz w:val="18"/>
                <w:szCs w:val="18"/>
              </w:rPr>
              <w:t>Many-to-One</w:t>
            </w:r>
          </w:p>
        </w:tc>
      </w:tr>
      <w:tr w:rsidR="00672297" w14:paraId="10D2B87D" w14:textId="77777777">
        <w:trPr>
          <w:cantSplit/>
        </w:trPr>
        <w:tc>
          <w:tcPr>
            <w:tcW w:w="2620" w:type="dxa"/>
            <w:vAlign w:val="center"/>
          </w:tcPr>
          <w:p w14:paraId="56B25C88" w14:textId="77777777" w:rsidR="00672297" w:rsidRDefault="00A16EA3">
            <w:pPr>
              <w:spacing w:before="20" w:after="20"/>
              <w:jc w:val="left"/>
            </w:pPr>
            <w:r>
              <w:rPr>
                <w:rFonts w:cstheme="minorHAnsi"/>
                <w:sz w:val="18"/>
                <w:szCs w:val="18"/>
              </w:rPr>
              <w:t>vwGasolineBlendingKPI</w:t>
            </w:r>
          </w:p>
        </w:tc>
        <w:tc>
          <w:tcPr>
            <w:tcW w:w="2246" w:type="dxa"/>
            <w:vAlign w:val="center"/>
          </w:tcPr>
          <w:p w14:paraId="1394AC32" w14:textId="77777777" w:rsidR="00672297" w:rsidRDefault="00A16EA3">
            <w:pPr>
              <w:spacing w:before="20" w:after="20"/>
              <w:jc w:val="left"/>
            </w:pPr>
            <w:r>
              <w:rPr>
                <w:rFonts w:cstheme="minorHAnsi"/>
                <w:sz w:val="18"/>
                <w:szCs w:val="18"/>
              </w:rPr>
              <w:t>PriceKey (globalCode | productAbbreviation)</w:t>
            </w:r>
          </w:p>
        </w:tc>
        <w:tc>
          <w:tcPr>
            <w:tcW w:w="1497" w:type="dxa"/>
            <w:vAlign w:val="center"/>
          </w:tcPr>
          <w:p w14:paraId="499EA506" w14:textId="77777777" w:rsidR="00672297" w:rsidRDefault="00A16EA3">
            <w:pPr>
              <w:spacing w:before="20" w:after="20"/>
              <w:jc w:val="left"/>
            </w:pPr>
            <w:r>
              <w:rPr>
                <w:rFonts w:cstheme="minorHAnsi"/>
                <w:sz w:val="18"/>
                <w:szCs w:val="18"/>
              </w:rPr>
              <w:t>MPR_Price</w:t>
            </w:r>
          </w:p>
        </w:tc>
        <w:tc>
          <w:tcPr>
            <w:tcW w:w="1872" w:type="dxa"/>
            <w:vAlign w:val="center"/>
          </w:tcPr>
          <w:p w14:paraId="662DAD1F" w14:textId="77777777" w:rsidR="00672297" w:rsidRDefault="00A16EA3">
            <w:pPr>
              <w:spacing w:before="20" w:after="20"/>
              <w:jc w:val="left"/>
            </w:pPr>
            <w:r>
              <w:rPr>
                <w:rFonts w:cstheme="minorHAnsi"/>
                <w:sz w:val="18"/>
                <w:szCs w:val="18"/>
              </w:rPr>
              <w:t>PriceKey (globalCode | productAbbreviation)</w:t>
            </w:r>
          </w:p>
        </w:tc>
        <w:tc>
          <w:tcPr>
            <w:tcW w:w="1125" w:type="dxa"/>
            <w:vAlign w:val="center"/>
          </w:tcPr>
          <w:p w14:paraId="01576538" w14:textId="77777777" w:rsidR="00672297" w:rsidRDefault="00A16EA3">
            <w:pPr>
              <w:spacing w:before="20" w:after="20"/>
              <w:jc w:val="left"/>
            </w:pPr>
            <w:r>
              <w:rPr>
                <w:rFonts w:cstheme="minorHAnsi"/>
                <w:sz w:val="18"/>
                <w:szCs w:val="18"/>
              </w:rPr>
              <w:t>Many-to-One</w:t>
            </w:r>
          </w:p>
        </w:tc>
      </w:tr>
    </w:tbl>
    <w:p w14:paraId="7EFC4E27" w14:textId="023053F1" w:rsidR="00672297" w:rsidRDefault="00A16EA3">
      <w:pPr>
        <w:pStyle w:val="Caption"/>
      </w:pPr>
      <w:bookmarkStart w:id="711" w:name="_Toc900950151"/>
      <w:bookmarkStart w:id="712" w:name="_Toc241574736"/>
      <w:bookmarkStart w:id="713" w:name="_Toc242554120"/>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47</w:t>
      </w:r>
      <w:r>
        <w:fldChar w:fldCharType="end"/>
      </w:r>
      <w:r>
        <w:t>: Gasoline KPI Dashboard Relationships between Tables / Views in Power BI</w:t>
      </w:r>
      <w:bookmarkEnd w:id="711"/>
      <w:bookmarkEnd w:id="712"/>
      <w:bookmarkEnd w:id="713"/>
    </w:p>
    <w:p w14:paraId="304F2318" w14:textId="77777777" w:rsidR="00672297" w:rsidRDefault="00A16EA3">
      <w:pPr>
        <w:pStyle w:val="Heading4"/>
        <w:rPr>
          <w:rFonts w:asciiTheme="minorHAnsi" w:hAnsiTheme="minorHAnsi" w:cstheme="minorBidi"/>
          <w:sz w:val="20"/>
          <w:szCs w:val="20"/>
        </w:rPr>
      </w:pPr>
      <w:bookmarkStart w:id="714" w:name="_Toc900950152"/>
      <w:r>
        <w:rPr>
          <w:rFonts w:asciiTheme="minorHAnsi" w:hAnsiTheme="minorHAnsi" w:cstheme="minorBidi"/>
          <w:sz w:val="20"/>
          <w:szCs w:val="20"/>
        </w:rPr>
        <w:t>DAX Logic (Sample)</w:t>
      </w:r>
      <w:bookmarkEnd w:id="714"/>
    </w:p>
    <w:tbl>
      <w:tblPr>
        <w:tblStyle w:val="TableGrid"/>
        <w:tblW w:w="9360" w:type="dxa"/>
        <w:tblLayout w:type="fixed"/>
        <w:tblCellMar>
          <w:left w:w="115" w:type="dxa"/>
          <w:right w:w="115" w:type="dxa"/>
        </w:tblCellMar>
        <w:tblLook w:val="04A0" w:firstRow="1" w:lastRow="0" w:firstColumn="1" w:lastColumn="0" w:noHBand="0" w:noVBand="1"/>
      </w:tblPr>
      <w:tblGrid>
        <w:gridCol w:w="9360"/>
      </w:tblGrid>
      <w:tr w:rsidR="00672297" w14:paraId="1CF880FC" w14:textId="77777777">
        <w:tc>
          <w:tcPr>
            <w:tcW w:w="9360" w:type="dxa"/>
            <w:shd w:val="clear" w:color="auto" w:fill="F2F2F2"/>
          </w:tcPr>
          <w:p w14:paraId="670227C2" w14:textId="77777777" w:rsidR="00672297" w:rsidRDefault="00A16EA3">
            <w:pPr>
              <w:jc w:val="left"/>
            </w:pPr>
            <w:r>
              <w:rPr>
                <w:rFonts w:ascii="Consolas" w:hAnsi="Consolas" w:cs="Consolas"/>
                <w:sz w:val="17"/>
                <w:szCs w:val="17"/>
              </w:rPr>
              <w:t>Butane Value Loss ($) =</w:t>
            </w:r>
          </w:p>
          <w:p w14:paraId="58BC27B9" w14:textId="77777777" w:rsidR="00672297" w:rsidRDefault="00A16EA3">
            <w:pPr>
              <w:jc w:val="left"/>
            </w:pPr>
            <w:r>
              <w:rPr>
                <w:rFonts w:ascii="Consolas" w:hAnsi="Consolas" w:cs="Consolas"/>
                <w:sz w:val="17"/>
                <w:szCs w:val="17"/>
              </w:rPr>
              <w:t>SUMX (</w:t>
            </w:r>
          </w:p>
          <w:p w14:paraId="454CD3C6" w14:textId="77777777" w:rsidR="00672297" w:rsidRDefault="00A16EA3">
            <w:pPr>
              <w:jc w:val="left"/>
            </w:pPr>
            <w:r>
              <w:rPr>
                <w:rFonts w:ascii="Consolas" w:hAnsi="Consolas" w:cs="Consolas"/>
                <w:sz w:val="17"/>
                <w:szCs w:val="17"/>
              </w:rPr>
              <w:t xml:space="preserve">    vwGasolineBlendingKPI,</w:t>
            </w:r>
          </w:p>
          <w:p w14:paraId="2F653E87" w14:textId="77777777" w:rsidR="00672297" w:rsidRDefault="00A16EA3">
            <w:pPr>
              <w:jc w:val="left"/>
            </w:pPr>
            <w:r>
              <w:rPr>
                <w:rFonts w:ascii="Consolas" w:hAnsi="Consolas" w:cs="Consolas"/>
                <w:sz w:val="17"/>
                <w:szCs w:val="17"/>
              </w:rPr>
              <w:t xml:space="preserve">    vwGasolineBlendingKPI[ButaneDeltaBbl]</w:t>
            </w:r>
          </w:p>
          <w:p w14:paraId="5A1C9496" w14:textId="77777777" w:rsidR="00672297" w:rsidRDefault="00A16EA3">
            <w:pPr>
              <w:jc w:val="left"/>
            </w:pPr>
            <w:r>
              <w:rPr>
                <w:rFonts w:ascii="Consolas" w:hAnsi="Consolas" w:cs="Consolas"/>
                <w:sz w:val="17"/>
                <w:szCs w:val="17"/>
              </w:rPr>
              <w:t xml:space="preserve">        * ( RELATED ( MPR_Price[AveragePrice] )        -- gasoline price of the row (globalCode + productAbbreviation)</w:t>
            </w:r>
          </w:p>
          <w:p w14:paraId="157D2CA4" w14:textId="77777777" w:rsidR="00672297" w:rsidRDefault="00A16EA3">
            <w:pPr>
              <w:jc w:val="left"/>
            </w:pPr>
            <w:r>
              <w:rPr>
                <w:rFonts w:ascii="Consolas" w:hAnsi="Consolas" w:cs="Consolas"/>
                <w:sz w:val="17"/>
                <w:szCs w:val="17"/>
              </w:rPr>
              <w:t xml:space="preserve">            - [Butane Price ($/bbl)] )                  -- component price from MPR_Price</w:t>
            </w:r>
          </w:p>
          <w:p w14:paraId="7E264380" w14:textId="77777777" w:rsidR="00672297" w:rsidRDefault="00A16EA3">
            <w:pPr>
              <w:jc w:val="left"/>
            </w:pPr>
            <w:r>
              <w:rPr>
                <w:rFonts w:ascii="Consolas" w:hAnsi="Consolas" w:cs="Consolas"/>
                <w:sz w:val="17"/>
                <w:szCs w:val="17"/>
              </w:rPr>
              <w:t>)</w:t>
            </w:r>
          </w:p>
        </w:tc>
      </w:tr>
    </w:tbl>
    <w:p w14:paraId="04790437" w14:textId="77777777" w:rsidR="00672297" w:rsidRDefault="00A16EA3">
      <w:pPr>
        <w:pStyle w:val="Heading4"/>
        <w:rPr>
          <w:rFonts w:asciiTheme="minorHAnsi" w:hAnsiTheme="minorHAnsi" w:cstheme="minorBidi"/>
          <w:sz w:val="20"/>
          <w:szCs w:val="20"/>
        </w:rPr>
      </w:pPr>
      <w:bookmarkStart w:id="715" w:name="_Toc900950153"/>
      <w:r>
        <w:rPr>
          <w:rFonts w:asciiTheme="minorHAnsi" w:hAnsiTheme="minorHAnsi" w:cstheme="minorBidi"/>
          <w:sz w:val="20"/>
          <w:szCs w:val="20"/>
        </w:rPr>
        <w:t>Visual Types Used</w:t>
      </w:r>
      <w:bookmarkEnd w:id="715"/>
    </w:p>
    <w:p w14:paraId="31A35C1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Cards: Butane, Transmix, Ethanol, Total (Volume Loss, Value Loss).</w:t>
      </w:r>
    </w:p>
    <w:p w14:paraId="6310BB5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Charts: Opportunity Loss (Bbl) and Opportunity Loss ($) clustered column charts by terminal.</w:t>
      </w:r>
    </w:p>
    <w:p w14:paraId="13EFE26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Tables: Event Summary Table (matrix).</w:t>
      </w:r>
    </w:p>
    <w:p w14:paraId="74CD7589"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Slicers: Refinery, Terminal, Grade, Quality, Date (Select Period).</w:t>
      </w:r>
    </w:p>
    <w:p w14:paraId="09230D19" w14:textId="77777777" w:rsidR="00672297" w:rsidRDefault="00A16EA3">
      <w:pPr>
        <w:pStyle w:val="Heading4"/>
        <w:rPr>
          <w:rFonts w:asciiTheme="minorHAnsi" w:hAnsiTheme="minorHAnsi" w:cstheme="minorBidi"/>
          <w:sz w:val="20"/>
          <w:szCs w:val="20"/>
        </w:rPr>
      </w:pPr>
      <w:bookmarkStart w:id="716" w:name="_Toc900950154"/>
      <w:r>
        <w:rPr>
          <w:rFonts w:asciiTheme="minorHAnsi" w:hAnsiTheme="minorHAnsi" w:cstheme="minorBidi"/>
          <w:sz w:val="20"/>
          <w:szCs w:val="20"/>
        </w:rPr>
        <w:t>Power BI Attributes and Mapped Backend Table - Field Details</w:t>
      </w:r>
      <w:bookmarkEnd w:id="716"/>
    </w:p>
    <w:tbl>
      <w:tblPr>
        <w:tblStyle w:val="TableGrid"/>
        <w:tblW w:w="9360" w:type="dxa"/>
        <w:tblLayout w:type="fixed"/>
        <w:tblCellMar>
          <w:left w:w="70" w:type="dxa"/>
          <w:right w:w="70" w:type="dxa"/>
        </w:tblCellMar>
        <w:tblLook w:val="04A0" w:firstRow="1" w:lastRow="0" w:firstColumn="1" w:lastColumn="0" w:noHBand="0" w:noVBand="1"/>
      </w:tblPr>
      <w:tblGrid>
        <w:gridCol w:w="1404"/>
        <w:gridCol w:w="1310"/>
        <w:gridCol w:w="1310"/>
        <w:gridCol w:w="1404"/>
        <w:gridCol w:w="655"/>
        <w:gridCol w:w="655"/>
        <w:gridCol w:w="655"/>
        <w:gridCol w:w="1967"/>
      </w:tblGrid>
      <w:tr w:rsidR="00672297" w14:paraId="41801BC8" w14:textId="77777777">
        <w:trPr>
          <w:cantSplit/>
          <w:tblHeader/>
        </w:trPr>
        <w:tc>
          <w:tcPr>
            <w:tcW w:w="1404" w:type="dxa"/>
            <w:shd w:val="clear" w:color="auto" w:fill="2F5496"/>
            <w:vAlign w:val="center"/>
          </w:tcPr>
          <w:p w14:paraId="20BA232B" w14:textId="77777777" w:rsidR="00672297" w:rsidRDefault="00A16EA3">
            <w:pPr>
              <w:spacing w:before="20" w:after="20"/>
              <w:jc w:val="left"/>
            </w:pPr>
            <w:r>
              <w:rPr>
                <w:rFonts w:cstheme="minorHAnsi"/>
                <w:b/>
                <w:bCs/>
                <w:color w:val="FFFFFF"/>
                <w:sz w:val="16"/>
                <w:szCs w:val="16"/>
              </w:rPr>
              <w:t>Power BI Visualization Name</w:t>
            </w:r>
          </w:p>
        </w:tc>
        <w:tc>
          <w:tcPr>
            <w:tcW w:w="1310" w:type="dxa"/>
            <w:shd w:val="clear" w:color="auto" w:fill="2F5496"/>
            <w:vAlign w:val="center"/>
          </w:tcPr>
          <w:p w14:paraId="1FE3ED1C" w14:textId="77777777" w:rsidR="00672297" w:rsidRDefault="00A16EA3">
            <w:pPr>
              <w:spacing w:before="20" w:after="20"/>
              <w:jc w:val="left"/>
            </w:pPr>
            <w:r>
              <w:rPr>
                <w:rFonts w:cstheme="minorHAnsi"/>
                <w:b/>
                <w:bCs/>
                <w:color w:val="FFFFFF"/>
                <w:sz w:val="16"/>
                <w:szCs w:val="16"/>
              </w:rPr>
              <w:t>Power BI Attribute Name</w:t>
            </w:r>
          </w:p>
        </w:tc>
        <w:tc>
          <w:tcPr>
            <w:tcW w:w="1310" w:type="dxa"/>
            <w:shd w:val="clear" w:color="auto" w:fill="2F5496"/>
            <w:vAlign w:val="center"/>
          </w:tcPr>
          <w:p w14:paraId="060BFF67" w14:textId="77777777" w:rsidR="00672297" w:rsidRDefault="00A16EA3">
            <w:pPr>
              <w:spacing w:before="20" w:after="20"/>
              <w:jc w:val="left"/>
            </w:pPr>
            <w:r>
              <w:rPr>
                <w:rFonts w:cstheme="minorHAnsi"/>
                <w:b/>
                <w:bCs/>
                <w:color w:val="FFFFFF"/>
                <w:sz w:val="16"/>
                <w:szCs w:val="16"/>
              </w:rPr>
              <w:t>Table / View (Semantic Model)</w:t>
            </w:r>
          </w:p>
        </w:tc>
        <w:tc>
          <w:tcPr>
            <w:tcW w:w="1404" w:type="dxa"/>
            <w:shd w:val="clear" w:color="auto" w:fill="2F5496"/>
            <w:vAlign w:val="center"/>
          </w:tcPr>
          <w:p w14:paraId="1551B6B0" w14:textId="77777777" w:rsidR="00672297" w:rsidRDefault="00A16EA3">
            <w:pPr>
              <w:spacing w:before="20" w:after="20"/>
              <w:jc w:val="left"/>
            </w:pPr>
            <w:r>
              <w:rPr>
                <w:rFonts w:cstheme="minorHAnsi"/>
                <w:b/>
                <w:bCs/>
                <w:color w:val="FFFFFF"/>
                <w:sz w:val="16"/>
                <w:szCs w:val="16"/>
              </w:rPr>
              <w:t>Field Name</w:t>
            </w:r>
          </w:p>
        </w:tc>
        <w:tc>
          <w:tcPr>
            <w:tcW w:w="655" w:type="dxa"/>
            <w:shd w:val="clear" w:color="auto" w:fill="2F5496"/>
            <w:vAlign w:val="center"/>
          </w:tcPr>
          <w:p w14:paraId="7ADA2E1D" w14:textId="77777777" w:rsidR="00672297" w:rsidRDefault="00A16EA3">
            <w:pPr>
              <w:spacing w:before="20" w:after="20"/>
              <w:jc w:val="left"/>
            </w:pPr>
            <w:r>
              <w:rPr>
                <w:rFonts w:cstheme="minorHAnsi"/>
                <w:b/>
                <w:bCs/>
                <w:color w:val="FFFFFF"/>
                <w:sz w:val="16"/>
                <w:szCs w:val="16"/>
              </w:rPr>
              <w:t>Measure (Y/N)</w:t>
            </w:r>
          </w:p>
        </w:tc>
        <w:tc>
          <w:tcPr>
            <w:tcW w:w="655" w:type="dxa"/>
            <w:shd w:val="clear" w:color="auto" w:fill="2F5496"/>
            <w:vAlign w:val="center"/>
          </w:tcPr>
          <w:p w14:paraId="1F2806DF" w14:textId="77777777" w:rsidR="00672297" w:rsidRDefault="00A16EA3">
            <w:pPr>
              <w:spacing w:before="20" w:after="20"/>
              <w:jc w:val="left"/>
            </w:pPr>
            <w:r>
              <w:rPr>
                <w:rFonts w:cstheme="minorHAnsi"/>
                <w:b/>
                <w:bCs/>
                <w:color w:val="FFFFFF"/>
                <w:sz w:val="16"/>
                <w:szCs w:val="16"/>
              </w:rPr>
              <w:t>Report Filter (Y/N)</w:t>
            </w:r>
          </w:p>
        </w:tc>
        <w:tc>
          <w:tcPr>
            <w:tcW w:w="655" w:type="dxa"/>
            <w:shd w:val="clear" w:color="auto" w:fill="2F5496"/>
            <w:vAlign w:val="center"/>
          </w:tcPr>
          <w:p w14:paraId="5D9C680F" w14:textId="77777777" w:rsidR="00672297" w:rsidRDefault="00A16EA3">
            <w:pPr>
              <w:spacing w:before="20" w:after="20"/>
              <w:jc w:val="left"/>
            </w:pPr>
            <w:r>
              <w:rPr>
                <w:rFonts w:cstheme="minorHAnsi"/>
                <w:b/>
                <w:bCs/>
                <w:color w:val="FFFFFF"/>
                <w:sz w:val="16"/>
                <w:szCs w:val="16"/>
              </w:rPr>
              <w:t>Direct Attribute (Y/N)</w:t>
            </w:r>
          </w:p>
        </w:tc>
        <w:tc>
          <w:tcPr>
            <w:tcW w:w="1967" w:type="dxa"/>
            <w:shd w:val="clear" w:color="auto" w:fill="2F5496"/>
            <w:vAlign w:val="center"/>
          </w:tcPr>
          <w:p w14:paraId="5450F97D" w14:textId="77777777" w:rsidR="00672297" w:rsidRDefault="00A16EA3">
            <w:pPr>
              <w:spacing w:before="20" w:after="20"/>
              <w:jc w:val="left"/>
            </w:pPr>
            <w:r>
              <w:rPr>
                <w:rFonts w:cstheme="minorHAnsi"/>
                <w:b/>
                <w:bCs/>
                <w:color w:val="FFFFFF"/>
                <w:sz w:val="16"/>
                <w:szCs w:val="16"/>
              </w:rPr>
              <w:t>Calculation / Logic</w:t>
            </w:r>
          </w:p>
        </w:tc>
      </w:tr>
      <w:tr w:rsidR="00672297" w14:paraId="56752CE0" w14:textId="77777777">
        <w:trPr>
          <w:cantSplit/>
        </w:trPr>
        <w:tc>
          <w:tcPr>
            <w:tcW w:w="1404" w:type="dxa"/>
            <w:vAlign w:val="center"/>
          </w:tcPr>
          <w:p w14:paraId="6AB6ACA8" w14:textId="77777777" w:rsidR="00672297" w:rsidRDefault="00A16EA3">
            <w:pPr>
              <w:spacing w:before="20" w:after="20"/>
              <w:jc w:val="left"/>
            </w:pPr>
            <w:r>
              <w:rPr>
                <w:rFonts w:cstheme="minorHAnsi"/>
                <w:sz w:val="16"/>
                <w:szCs w:val="16"/>
              </w:rPr>
              <w:t>Lost Opportunity Cards (4)</w:t>
            </w:r>
          </w:p>
        </w:tc>
        <w:tc>
          <w:tcPr>
            <w:tcW w:w="1310" w:type="dxa"/>
            <w:vAlign w:val="center"/>
          </w:tcPr>
          <w:p w14:paraId="7D0AA389" w14:textId="77777777" w:rsidR="00672297" w:rsidRDefault="00A16EA3">
            <w:pPr>
              <w:spacing w:before="20" w:after="20"/>
              <w:jc w:val="left"/>
            </w:pPr>
            <w:r>
              <w:rPr>
                <w:rFonts w:cstheme="minorHAnsi"/>
                <w:sz w:val="16"/>
                <w:szCs w:val="16"/>
              </w:rPr>
              <w:t>Volume Loss</w:t>
            </w:r>
          </w:p>
        </w:tc>
        <w:tc>
          <w:tcPr>
            <w:tcW w:w="1310" w:type="dxa"/>
            <w:vAlign w:val="center"/>
          </w:tcPr>
          <w:p w14:paraId="1C30BE4D" w14:textId="77777777" w:rsidR="00672297" w:rsidRDefault="00A16EA3">
            <w:pPr>
              <w:spacing w:before="20" w:after="20"/>
              <w:jc w:val="left"/>
            </w:pPr>
            <w:r>
              <w:rPr>
                <w:rFonts w:cstheme="minorHAnsi"/>
                <w:sz w:val="16"/>
                <w:szCs w:val="16"/>
              </w:rPr>
              <w:t>vwGasolineBlendingKPI</w:t>
            </w:r>
          </w:p>
        </w:tc>
        <w:tc>
          <w:tcPr>
            <w:tcW w:w="1404" w:type="dxa"/>
            <w:vAlign w:val="center"/>
          </w:tcPr>
          <w:p w14:paraId="15014972" w14:textId="77777777" w:rsidR="00672297" w:rsidRDefault="00A16EA3">
            <w:pPr>
              <w:spacing w:before="20" w:after="20"/>
              <w:jc w:val="left"/>
            </w:pPr>
            <w:r>
              <w:rPr>
                <w:rFonts w:cstheme="minorHAnsi"/>
                <w:sz w:val="16"/>
                <w:szCs w:val="16"/>
              </w:rPr>
              <w:t>ButaneDeltaBbl / TransmixDeltaBbl / EthanolDeltaBbl / TotalDeltaBbl</w:t>
            </w:r>
          </w:p>
        </w:tc>
        <w:tc>
          <w:tcPr>
            <w:tcW w:w="655" w:type="dxa"/>
            <w:vAlign w:val="center"/>
          </w:tcPr>
          <w:p w14:paraId="6D6B5A1A" w14:textId="77777777" w:rsidR="00672297" w:rsidRDefault="00A16EA3">
            <w:pPr>
              <w:spacing w:before="20" w:after="20"/>
              <w:jc w:val="left"/>
            </w:pPr>
            <w:r>
              <w:rPr>
                <w:rFonts w:cstheme="minorHAnsi"/>
                <w:sz w:val="16"/>
                <w:szCs w:val="16"/>
              </w:rPr>
              <w:t>Y</w:t>
            </w:r>
          </w:p>
        </w:tc>
        <w:tc>
          <w:tcPr>
            <w:tcW w:w="655" w:type="dxa"/>
            <w:vAlign w:val="center"/>
          </w:tcPr>
          <w:p w14:paraId="4A6C806B" w14:textId="77777777" w:rsidR="00672297" w:rsidRDefault="00A16EA3">
            <w:pPr>
              <w:spacing w:before="20" w:after="20"/>
              <w:jc w:val="left"/>
            </w:pPr>
            <w:r>
              <w:rPr>
                <w:rFonts w:cstheme="minorHAnsi"/>
                <w:sz w:val="16"/>
                <w:szCs w:val="16"/>
              </w:rPr>
              <w:t>N</w:t>
            </w:r>
          </w:p>
        </w:tc>
        <w:tc>
          <w:tcPr>
            <w:tcW w:w="655" w:type="dxa"/>
            <w:vAlign w:val="center"/>
          </w:tcPr>
          <w:p w14:paraId="3F877525" w14:textId="77777777" w:rsidR="00672297" w:rsidRDefault="00A16EA3">
            <w:pPr>
              <w:spacing w:before="20" w:after="20"/>
              <w:jc w:val="left"/>
            </w:pPr>
            <w:r>
              <w:rPr>
                <w:rFonts w:cstheme="minorHAnsi"/>
                <w:sz w:val="16"/>
                <w:szCs w:val="16"/>
              </w:rPr>
              <w:t>N</w:t>
            </w:r>
          </w:p>
        </w:tc>
        <w:tc>
          <w:tcPr>
            <w:tcW w:w="1967" w:type="dxa"/>
            <w:vAlign w:val="center"/>
          </w:tcPr>
          <w:p w14:paraId="4AA5D1F9" w14:textId="77777777" w:rsidR="00672297" w:rsidRDefault="00A16EA3">
            <w:pPr>
              <w:spacing w:before="20" w:after="20"/>
              <w:jc w:val="left"/>
            </w:pPr>
            <w:r>
              <w:rPr>
                <w:rFonts w:cstheme="minorHAnsi"/>
                <w:sz w:val="16"/>
                <w:szCs w:val="16"/>
              </w:rPr>
              <w:t>Sum of delta per component; Total</w:t>
            </w:r>
          </w:p>
        </w:tc>
      </w:tr>
      <w:tr w:rsidR="00672297" w14:paraId="1FDD6F2B" w14:textId="77777777">
        <w:trPr>
          <w:cantSplit/>
        </w:trPr>
        <w:tc>
          <w:tcPr>
            <w:tcW w:w="1404" w:type="dxa"/>
            <w:vAlign w:val="center"/>
          </w:tcPr>
          <w:p w14:paraId="68476B09" w14:textId="77777777" w:rsidR="00672297" w:rsidRDefault="00A16EA3">
            <w:pPr>
              <w:spacing w:before="20" w:after="20"/>
              <w:jc w:val="left"/>
            </w:pPr>
            <w:r>
              <w:rPr>
                <w:rFonts w:cstheme="minorHAnsi"/>
                <w:sz w:val="16"/>
                <w:szCs w:val="16"/>
              </w:rPr>
              <w:t>Lost Opportunity Cards (4)</w:t>
            </w:r>
          </w:p>
        </w:tc>
        <w:tc>
          <w:tcPr>
            <w:tcW w:w="1310" w:type="dxa"/>
            <w:vAlign w:val="center"/>
          </w:tcPr>
          <w:p w14:paraId="16E2140F" w14:textId="77777777" w:rsidR="00672297" w:rsidRDefault="00A16EA3">
            <w:pPr>
              <w:spacing w:before="20" w:after="20"/>
              <w:jc w:val="left"/>
            </w:pPr>
            <w:r>
              <w:rPr>
                <w:rFonts w:cstheme="minorHAnsi"/>
                <w:sz w:val="16"/>
                <w:szCs w:val="16"/>
              </w:rPr>
              <w:t>Value Loss</w:t>
            </w:r>
          </w:p>
        </w:tc>
        <w:tc>
          <w:tcPr>
            <w:tcW w:w="1310" w:type="dxa"/>
            <w:vAlign w:val="center"/>
          </w:tcPr>
          <w:p w14:paraId="7A284A7A" w14:textId="77777777" w:rsidR="00672297" w:rsidRDefault="00A16EA3">
            <w:pPr>
              <w:spacing w:before="20" w:after="20"/>
              <w:jc w:val="left"/>
            </w:pPr>
            <w:r>
              <w:rPr>
                <w:rFonts w:cstheme="minorHAnsi"/>
                <w:sz w:val="16"/>
                <w:szCs w:val="16"/>
              </w:rPr>
              <w:t>vwGasolineBlendingKPI + MPR_Price</w:t>
            </w:r>
          </w:p>
        </w:tc>
        <w:tc>
          <w:tcPr>
            <w:tcW w:w="1404" w:type="dxa"/>
            <w:vAlign w:val="center"/>
          </w:tcPr>
          <w:p w14:paraId="76BE3203" w14:textId="77777777" w:rsidR="00672297" w:rsidRDefault="00A16EA3">
            <w:pPr>
              <w:spacing w:before="20" w:after="20"/>
              <w:jc w:val="left"/>
            </w:pPr>
            <w:r>
              <w:rPr>
                <w:rFonts w:cstheme="minorHAnsi"/>
                <w:sz w:val="16"/>
                <w:szCs w:val="16"/>
              </w:rPr>
              <w:t>&lt;Component&gt;DeltaBbl, AveragePrice</w:t>
            </w:r>
          </w:p>
        </w:tc>
        <w:tc>
          <w:tcPr>
            <w:tcW w:w="655" w:type="dxa"/>
            <w:vAlign w:val="center"/>
          </w:tcPr>
          <w:p w14:paraId="79919B7E" w14:textId="77777777" w:rsidR="00672297" w:rsidRDefault="00A16EA3">
            <w:pPr>
              <w:spacing w:before="20" w:after="20"/>
              <w:jc w:val="left"/>
            </w:pPr>
            <w:r>
              <w:rPr>
                <w:rFonts w:cstheme="minorHAnsi"/>
                <w:sz w:val="16"/>
                <w:szCs w:val="16"/>
              </w:rPr>
              <w:t>Y</w:t>
            </w:r>
          </w:p>
        </w:tc>
        <w:tc>
          <w:tcPr>
            <w:tcW w:w="655" w:type="dxa"/>
            <w:vAlign w:val="center"/>
          </w:tcPr>
          <w:p w14:paraId="62071B18" w14:textId="77777777" w:rsidR="00672297" w:rsidRDefault="00A16EA3">
            <w:pPr>
              <w:spacing w:before="20" w:after="20"/>
              <w:jc w:val="left"/>
            </w:pPr>
            <w:r>
              <w:rPr>
                <w:rFonts w:cstheme="minorHAnsi"/>
                <w:sz w:val="16"/>
                <w:szCs w:val="16"/>
              </w:rPr>
              <w:t>N</w:t>
            </w:r>
          </w:p>
        </w:tc>
        <w:tc>
          <w:tcPr>
            <w:tcW w:w="655" w:type="dxa"/>
            <w:vAlign w:val="center"/>
          </w:tcPr>
          <w:p w14:paraId="45A75E55" w14:textId="77777777" w:rsidR="00672297" w:rsidRDefault="00A16EA3">
            <w:pPr>
              <w:spacing w:before="20" w:after="20"/>
              <w:jc w:val="left"/>
            </w:pPr>
            <w:r>
              <w:rPr>
                <w:rFonts w:cstheme="minorHAnsi"/>
                <w:sz w:val="16"/>
                <w:szCs w:val="16"/>
              </w:rPr>
              <w:t>N</w:t>
            </w:r>
          </w:p>
        </w:tc>
        <w:tc>
          <w:tcPr>
            <w:tcW w:w="1967" w:type="dxa"/>
            <w:vAlign w:val="center"/>
          </w:tcPr>
          <w:p w14:paraId="40DAAAF6" w14:textId="77777777" w:rsidR="00672297" w:rsidRDefault="00A16EA3">
            <w:pPr>
              <w:spacing w:before="20" w:after="20"/>
              <w:jc w:val="left"/>
            </w:pPr>
            <w:r>
              <w:rPr>
                <w:rFonts w:cstheme="minorHAnsi"/>
                <w:sz w:val="16"/>
                <w:szCs w:val="16"/>
              </w:rPr>
              <w:t>[&lt;Component&gt; Value Loss ($)], [Total Value Loss ($)] - MPR</w:t>
            </w:r>
          </w:p>
        </w:tc>
      </w:tr>
      <w:tr w:rsidR="00672297" w14:paraId="26D627E8" w14:textId="77777777">
        <w:trPr>
          <w:cantSplit/>
        </w:trPr>
        <w:tc>
          <w:tcPr>
            <w:tcW w:w="1404" w:type="dxa"/>
            <w:vAlign w:val="center"/>
          </w:tcPr>
          <w:p w14:paraId="0CFE8942" w14:textId="77777777" w:rsidR="00672297" w:rsidRDefault="00A16EA3">
            <w:pPr>
              <w:spacing w:before="20" w:after="20"/>
              <w:jc w:val="left"/>
            </w:pPr>
            <w:r>
              <w:rPr>
                <w:rFonts w:cstheme="minorHAnsi"/>
                <w:sz w:val="16"/>
                <w:szCs w:val="16"/>
              </w:rPr>
              <w:t>Opportunity Loss (Bbl) chart</w:t>
            </w:r>
          </w:p>
        </w:tc>
        <w:tc>
          <w:tcPr>
            <w:tcW w:w="1310" w:type="dxa"/>
            <w:vAlign w:val="center"/>
          </w:tcPr>
          <w:p w14:paraId="1BE46B24" w14:textId="77777777" w:rsidR="00672297" w:rsidRDefault="00A16EA3">
            <w:pPr>
              <w:spacing w:before="20" w:after="20"/>
              <w:jc w:val="left"/>
            </w:pPr>
            <w:r>
              <w:rPr>
                <w:rFonts w:cstheme="minorHAnsi"/>
                <w:sz w:val="16"/>
                <w:szCs w:val="16"/>
              </w:rPr>
              <w:t>Terminal / series</w:t>
            </w:r>
          </w:p>
        </w:tc>
        <w:tc>
          <w:tcPr>
            <w:tcW w:w="1310" w:type="dxa"/>
            <w:vAlign w:val="center"/>
          </w:tcPr>
          <w:p w14:paraId="24EF0677" w14:textId="77777777" w:rsidR="00672297" w:rsidRDefault="00A16EA3">
            <w:pPr>
              <w:spacing w:before="20" w:after="20"/>
              <w:jc w:val="left"/>
            </w:pPr>
            <w:r>
              <w:rPr>
                <w:rFonts w:cstheme="minorHAnsi"/>
                <w:sz w:val="16"/>
                <w:szCs w:val="16"/>
              </w:rPr>
              <w:t>vwGasolineBlendingKPI</w:t>
            </w:r>
          </w:p>
        </w:tc>
        <w:tc>
          <w:tcPr>
            <w:tcW w:w="1404" w:type="dxa"/>
            <w:vAlign w:val="center"/>
          </w:tcPr>
          <w:p w14:paraId="00D7DA87" w14:textId="77777777" w:rsidR="00672297" w:rsidRDefault="00A16EA3">
            <w:pPr>
              <w:spacing w:before="20" w:after="20"/>
              <w:jc w:val="left"/>
            </w:pPr>
            <w:r>
              <w:rPr>
                <w:rFonts w:cstheme="minorHAnsi"/>
                <w:sz w:val="16"/>
                <w:szCs w:val="16"/>
              </w:rPr>
              <w:t>DestinationShortName; Butane, Ethanol, Transmix, Total delta</w:t>
            </w:r>
          </w:p>
        </w:tc>
        <w:tc>
          <w:tcPr>
            <w:tcW w:w="655" w:type="dxa"/>
            <w:vAlign w:val="center"/>
          </w:tcPr>
          <w:p w14:paraId="73E7119B" w14:textId="77777777" w:rsidR="00672297" w:rsidRDefault="00A16EA3">
            <w:pPr>
              <w:spacing w:before="20" w:after="20"/>
              <w:jc w:val="left"/>
            </w:pPr>
            <w:r>
              <w:rPr>
                <w:rFonts w:cstheme="minorHAnsi"/>
                <w:sz w:val="16"/>
                <w:szCs w:val="16"/>
              </w:rPr>
              <w:t>Y</w:t>
            </w:r>
          </w:p>
        </w:tc>
        <w:tc>
          <w:tcPr>
            <w:tcW w:w="655" w:type="dxa"/>
            <w:vAlign w:val="center"/>
          </w:tcPr>
          <w:p w14:paraId="029B59BB" w14:textId="77777777" w:rsidR="00672297" w:rsidRDefault="00A16EA3">
            <w:pPr>
              <w:spacing w:before="20" w:after="20"/>
              <w:jc w:val="left"/>
            </w:pPr>
            <w:r>
              <w:rPr>
                <w:rFonts w:cstheme="minorHAnsi"/>
                <w:sz w:val="16"/>
                <w:szCs w:val="16"/>
              </w:rPr>
              <w:t>N</w:t>
            </w:r>
          </w:p>
        </w:tc>
        <w:tc>
          <w:tcPr>
            <w:tcW w:w="655" w:type="dxa"/>
            <w:vAlign w:val="center"/>
          </w:tcPr>
          <w:p w14:paraId="1CCE01AD" w14:textId="77777777" w:rsidR="00672297" w:rsidRDefault="00A16EA3">
            <w:pPr>
              <w:spacing w:before="20" w:after="20"/>
              <w:jc w:val="left"/>
            </w:pPr>
            <w:r>
              <w:rPr>
                <w:rFonts w:cstheme="minorHAnsi"/>
                <w:sz w:val="16"/>
                <w:szCs w:val="16"/>
              </w:rPr>
              <w:t>N</w:t>
            </w:r>
          </w:p>
        </w:tc>
        <w:tc>
          <w:tcPr>
            <w:tcW w:w="1967" w:type="dxa"/>
            <w:vAlign w:val="center"/>
          </w:tcPr>
          <w:p w14:paraId="2622F9CE" w14:textId="77777777" w:rsidR="00672297" w:rsidRDefault="00A16EA3">
            <w:pPr>
              <w:spacing w:before="20" w:after="20"/>
              <w:jc w:val="left"/>
            </w:pPr>
            <w:r>
              <w:rPr>
                <w:rFonts w:cstheme="minorHAnsi"/>
                <w:sz w:val="16"/>
                <w:szCs w:val="16"/>
              </w:rPr>
              <w:t>Delta measures</w:t>
            </w:r>
          </w:p>
        </w:tc>
      </w:tr>
      <w:tr w:rsidR="00672297" w14:paraId="0901D63B" w14:textId="77777777">
        <w:trPr>
          <w:cantSplit/>
        </w:trPr>
        <w:tc>
          <w:tcPr>
            <w:tcW w:w="1404" w:type="dxa"/>
            <w:vAlign w:val="center"/>
          </w:tcPr>
          <w:p w14:paraId="00C5C17B" w14:textId="77777777" w:rsidR="00672297" w:rsidRDefault="00A16EA3">
            <w:pPr>
              <w:spacing w:before="20" w:after="20"/>
              <w:jc w:val="left"/>
            </w:pPr>
            <w:r>
              <w:rPr>
                <w:rFonts w:cstheme="minorHAnsi"/>
                <w:sz w:val="16"/>
                <w:szCs w:val="16"/>
              </w:rPr>
              <w:t>Opportunity Loss ($) chart</w:t>
            </w:r>
          </w:p>
        </w:tc>
        <w:tc>
          <w:tcPr>
            <w:tcW w:w="1310" w:type="dxa"/>
            <w:vAlign w:val="center"/>
          </w:tcPr>
          <w:p w14:paraId="3D9C4920" w14:textId="77777777" w:rsidR="00672297" w:rsidRDefault="00A16EA3">
            <w:pPr>
              <w:spacing w:before="20" w:after="20"/>
              <w:jc w:val="left"/>
            </w:pPr>
            <w:r>
              <w:rPr>
                <w:rFonts w:cstheme="minorHAnsi"/>
                <w:sz w:val="16"/>
                <w:szCs w:val="16"/>
              </w:rPr>
              <w:t>Terminal / series</w:t>
            </w:r>
          </w:p>
        </w:tc>
        <w:tc>
          <w:tcPr>
            <w:tcW w:w="1310" w:type="dxa"/>
            <w:vAlign w:val="center"/>
          </w:tcPr>
          <w:p w14:paraId="2FAE285E" w14:textId="77777777" w:rsidR="00672297" w:rsidRDefault="00A16EA3">
            <w:pPr>
              <w:spacing w:before="20" w:after="20"/>
              <w:jc w:val="left"/>
            </w:pPr>
            <w:r>
              <w:rPr>
                <w:rFonts w:cstheme="minorHAnsi"/>
                <w:sz w:val="16"/>
                <w:szCs w:val="16"/>
              </w:rPr>
              <w:t>vwGasolineBlendingKPI + MPR_Price</w:t>
            </w:r>
          </w:p>
        </w:tc>
        <w:tc>
          <w:tcPr>
            <w:tcW w:w="1404" w:type="dxa"/>
            <w:vAlign w:val="center"/>
          </w:tcPr>
          <w:p w14:paraId="474F77FD" w14:textId="77777777" w:rsidR="00672297" w:rsidRDefault="00A16EA3">
            <w:pPr>
              <w:spacing w:before="20" w:after="20"/>
              <w:jc w:val="left"/>
            </w:pPr>
            <w:r>
              <w:rPr>
                <w:rFonts w:cstheme="minorHAnsi"/>
                <w:sz w:val="16"/>
                <w:szCs w:val="16"/>
              </w:rPr>
              <w:t>DestinationShortName; value-loss measures</w:t>
            </w:r>
          </w:p>
        </w:tc>
        <w:tc>
          <w:tcPr>
            <w:tcW w:w="655" w:type="dxa"/>
            <w:vAlign w:val="center"/>
          </w:tcPr>
          <w:p w14:paraId="4EBAF695" w14:textId="77777777" w:rsidR="00672297" w:rsidRDefault="00A16EA3">
            <w:pPr>
              <w:spacing w:before="20" w:after="20"/>
              <w:jc w:val="left"/>
            </w:pPr>
            <w:r>
              <w:rPr>
                <w:rFonts w:cstheme="minorHAnsi"/>
                <w:sz w:val="16"/>
                <w:szCs w:val="16"/>
              </w:rPr>
              <w:t>Y</w:t>
            </w:r>
          </w:p>
        </w:tc>
        <w:tc>
          <w:tcPr>
            <w:tcW w:w="655" w:type="dxa"/>
            <w:vAlign w:val="center"/>
          </w:tcPr>
          <w:p w14:paraId="75928B84" w14:textId="77777777" w:rsidR="00672297" w:rsidRDefault="00A16EA3">
            <w:pPr>
              <w:spacing w:before="20" w:after="20"/>
              <w:jc w:val="left"/>
            </w:pPr>
            <w:r>
              <w:rPr>
                <w:rFonts w:cstheme="minorHAnsi"/>
                <w:sz w:val="16"/>
                <w:szCs w:val="16"/>
              </w:rPr>
              <w:t>N</w:t>
            </w:r>
          </w:p>
        </w:tc>
        <w:tc>
          <w:tcPr>
            <w:tcW w:w="655" w:type="dxa"/>
            <w:vAlign w:val="center"/>
          </w:tcPr>
          <w:p w14:paraId="11FF3B8B" w14:textId="77777777" w:rsidR="00672297" w:rsidRDefault="00A16EA3">
            <w:pPr>
              <w:spacing w:before="20" w:after="20"/>
              <w:jc w:val="left"/>
            </w:pPr>
            <w:r>
              <w:rPr>
                <w:rFonts w:cstheme="minorHAnsi"/>
                <w:sz w:val="16"/>
                <w:szCs w:val="16"/>
              </w:rPr>
              <w:t>N</w:t>
            </w:r>
          </w:p>
        </w:tc>
        <w:tc>
          <w:tcPr>
            <w:tcW w:w="1967" w:type="dxa"/>
            <w:vAlign w:val="center"/>
          </w:tcPr>
          <w:p w14:paraId="079C0F41" w14:textId="77777777" w:rsidR="00672297" w:rsidRDefault="00A16EA3">
            <w:pPr>
              <w:spacing w:before="20" w:after="20"/>
              <w:jc w:val="left"/>
            </w:pPr>
            <w:r>
              <w:rPr>
                <w:rFonts w:cstheme="minorHAnsi"/>
                <w:sz w:val="16"/>
                <w:szCs w:val="16"/>
              </w:rPr>
              <w:t>[&lt;Component&gt; Value Loss ($)], [Total Value Loss ($)] - MPR</w:t>
            </w:r>
          </w:p>
        </w:tc>
      </w:tr>
      <w:tr w:rsidR="00672297" w14:paraId="46E177D3" w14:textId="77777777">
        <w:trPr>
          <w:cantSplit/>
        </w:trPr>
        <w:tc>
          <w:tcPr>
            <w:tcW w:w="1404" w:type="dxa"/>
            <w:vAlign w:val="center"/>
          </w:tcPr>
          <w:p w14:paraId="26844FF4" w14:textId="77777777" w:rsidR="00672297" w:rsidRDefault="00A16EA3">
            <w:pPr>
              <w:spacing w:before="20" w:after="20"/>
              <w:jc w:val="left"/>
            </w:pPr>
            <w:r>
              <w:rPr>
                <w:rFonts w:cstheme="minorHAnsi"/>
                <w:sz w:val="16"/>
                <w:szCs w:val="16"/>
              </w:rPr>
              <w:t>Event Summary Table</w:t>
            </w:r>
          </w:p>
        </w:tc>
        <w:tc>
          <w:tcPr>
            <w:tcW w:w="1310" w:type="dxa"/>
            <w:vAlign w:val="center"/>
          </w:tcPr>
          <w:p w14:paraId="3CFC1829" w14:textId="77777777" w:rsidR="00672297" w:rsidRDefault="00A16EA3">
            <w:pPr>
              <w:spacing w:before="20" w:after="20"/>
              <w:jc w:val="left"/>
            </w:pPr>
            <w:r>
              <w:rPr>
                <w:rFonts w:cstheme="minorHAnsi"/>
                <w:sz w:val="16"/>
                <w:szCs w:val="16"/>
              </w:rPr>
              <w:t>CheckBox / Source / Destination</w:t>
            </w:r>
          </w:p>
        </w:tc>
        <w:tc>
          <w:tcPr>
            <w:tcW w:w="1310" w:type="dxa"/>
            <w:vAlign w:val="center"/>
          </w:tcPr>
          <w:p w14:paraId="2E37B28A" w14:textId="77777777" w:rsidR="00672297" w:rsidRDefault="00A16EA3">
            <w:pPr>
              <w:spacing w:before="20" w:after="20"/>
              <w:jc w:val="left"/>
            </w:pPr>
            <w:r>
              <w:rPr>
                <w:rFonts w:cstheme="minorHAnsi"/>
                <w:sz w:val="16"/>
                <w:szCs w:val="16"/>
              </w:rPr>
              <w:t>vwGasolineBlendingKPI</w:t>
            </w:r>
          </w:p>
        </w:tc>
        <w:tc>
          <w:tcPr>
            <w:tcW w:w="1404" w:type="dxa"/>
            <w:vAlign w:val="center"/>
          </w:tcPr>
          <w:p w14:paraId="29C92336" w14:textId="77777777" w:rsidR="00672297" w:rsidRDefault="00A16EA3">
            <w:pPr>
              <w:spacing w:before="20" w:after="20"/>
              <w:jc w:val="left"/>
            </w:pPr>
            <w:r>
              <w:rPr>
                <w:rFonts w:cstheme="minorHAnsi"/>
                <w:sz w:val="16"/>
                <w:szCs w:val="16"/>
              </w:rPr>
              <w:t>Source / Destination</w:t>
            </w:r>
          </w:p>
        </w:tc>
        <w:tc>
          <w:tcPr>
            <w:tcW w:w="655" w:type="dxa"/>
            <w:vAlign w:val="center"/>
          </w:tcPr>
          <w:p w14:paraId="2458A89C" w14:textId="77777777" w:rsidR="00672297" w:rsidRDefault="00A16EA3">
            <w:pPr>
              <w:spacing w:before="20" w:after="20"/>
              <w:jc w:val="left"/>
            </w:pPr>
            <w:r>
              <w:rPr>
                <w:rFonts w:cstheme="minorHAnsi"/>
                <w:sz w:val="16"/>
                <w:szCs w:val="16"/>
              </w:rPr>
              <w:t>N</w:t>
            </w:r>
          </w:p>
        </w:tc>
        <w:tc>
          <w:tcPr>
            <w:tcW w:w="655" w:type="dxa"/>
            <w:vAlign w:val="center"/>
          </w:tcPr>
          <w:p w14:paraId="784921EA" w14:textId="77777777" w:rsidR="00672297" w:rsidRDefault="00A16EA3">
            <w:pPr>
              <w:spacing w:before="20" w:after="20"/>
              <w:jc w:val="left"/>
            </w:pPr>
            <w:r>
              <w:rPr>
                <w:rFonts w:cstheme="minorHAnsi"/>
                <w:sz w:val="16"/>
                <w:szCs w:val="16"/>
              </w:rPr>
              <w:t>Y</w:t>
            </w:r>
          </w:p>
        </w:tc>
        <w:tc>
          <w:tcPr>
            <w:tcW w:w="655" w:type="dxa"/>
            <w:vAlign w:val="center"/>
          </w:tcPr>
          <w:p w14:paraId="28A70585" w14:textId="77777777" w:rsidR="00672297" w:rsidRDefault="00A16EA3">
            <w:pPr>
              <w:spacing w:before="20" w:after="20"/>
              <w:jc w:val="left"/>
            </w:pPr>
            <w:r>
              <w:rPr>
                <w:rFonts w:cstheme="minorHAnsi"/>
                <w:sz w:val="16"/>
                <w:szCs w:val="16"/>
              </w:rPr>
              <w:t>Y</w:t>
            </w:r>
          </w:p>
        </w:tc>
        <w:tc>
          <w:tcPr>
            <w:tcW w:w="1967" w:type="dxa"/>
            <w:vAlign w:val="center"/>
          </w:tcPr>
          <w:p w14:paraId="2A8B8E5E" w14:textId="77777777" w:rsidR="00672297" w:rsidRDefault="00672297">
            <w:pPr>
              <w:spacing w:before="20" w:after="20"/>
              <w:jc w:val="left"/>
            </w:pPr>
          </w:p>
        </w:tc>
      </w:tr>
      <w:tr w:rsidR="00672297" w14:paraId="03D0B029" w14:textId="77777777">
        <w:trPr>
          <w:cantSplit/>
        </w:trPr>
        <w:tc>
          <w:tcPr>
            <w:tcW w:w="1404" w:type="dxa"/>
            <w:vAlign w:val="center"/>
          </w:tcPr>
          <w:p w14:paraId="52BEC506" w14:textId="77777777" w:rsidR="00672297" w:rsidRDefault="00A16EA3">
            <w:pPr>
              <w:spacing w:before="20" w:after="20"/>
              <w:jc w:val="left"/>
            </w:pPr>
            <w:r>
              <w:rPr>
                <w:rFonts w:cstheme="minorHAnsi"/>
                <w:sz w:val="16"/>
                <w:szCs w:val="16"/>
              </w:rPr>
              <w:t>Event Summary Table</w:t>
            </w:r>
          </w:p>
        </w:tc>
        <w:tc>
          <w:tcPr>
            <w:tcW w:w="1310" w:type="dxa"/>
            <w:vAlign w:val="center"/>
          </w:tcPr>
          <w:p w14:paraId="7B995C2E" w14:textId="77777777" w:rsidR="00672297" w:rsidRDefault="00A16EA3">
            <w:pPr>
              <w:spacing w:before="20" w:after="20"/>
              <w:jc w:val="left"/>
            </w:pPr>
            <w:r>
              <w:rPr>
                <w:rFonts w:cstheme="minorHAnsi"/>
                <w:sz w:val="16"/>
                <w:szCs w:val="16"/>
              </w:rPr>
              <w:t>Total Volume (Bbl)</w:t>
            </w:r>
          </w:p>
        </w:tc>
        <w:tc>
          <w:tcPr>
            <w:tcW w:w="1310" w:type="dxa"/>
            <w:vAlign w:val="center"/>
          </w:tcPr>
          <w:p w14:paraId="45724B38" w14:textId="77777777" w:rsidR="00672297" w:rsidRDefault="00A16EA3">
            <w:pPr>
              <w:spacing w:before="20" w:after="20"/>
              <w:jc w:val="left"/>
            </w:pPr>
            <w:r>
              <w:rPr>
                <w:rFonts w:cstheme="minorHAnsi"/>
                <w:sz w:val="16"/>
                <w:szCs w:val="16"/>
              </w:rPr>
              <w:t>vwGasolineBlendingKPI</w:t>
            </w:r>
          </w:p>
        </w:tc>
        <w:tc>
          <w:tcPr>
            <w:tcW w:w="1404" w:type="dxa"/>
            <w:vAlign w:val="center"/>
          </w:tcPr>
          <w:p w14:paraId="4CBC7C95" w14:textId="77777777" w:rsidR="00672297" w:rsidRDefault="00A16EA3">
            <w:pPr>
              <w:spacing w:before="20" w:after="20"/>
              <w:jc w:val="left"/>
            </w:pPr>
            <w:r>
              <w:rPr>
                <w:rFonts w:cstheme="minorHAnsi"/>
                <w:sz w:val="16"/>
                <w:szCs w:val="16"/>
              </w:rPr>
              <w:t>TotalVolumeBbl</w:t>
            </w:r>
          </w:p>
        </w:tc>
        <w:tc>
          <w:tcPr>
            <w:tcW w:w="655" w:type="dxa"/>
            <w:vAlign w:val="center"/>
          </w:tcPr>
          <w:p w14:paraId="760446C7" w14:textId="77777777" w:rsidR="00672297" w:rsidRDefault="00A16EA3">
            <w:pPr>
              <w:spacing w:before="20" w:after="20"/>
              <w:jc w:val="left"/>
            </w:pPr>
            <w:r>
              <w:rPr>
                <w:rFonts w:cstheme="minorHAnsi"/>
                <w:sz w:val="16"/>
                <w:szCs w:val="16"/>
              </w:rPr>
              <w:t>Y</w:t>
            </w:r>
          </w:p>
        </w:tc>
        <w:tc>
          <w:tcPr>
            <w:tcW w:w="655" w:type="dxa"/>
            <w:vAlign w:val="center"/>
          </w:tcPr>
          <w:p w14:paraId="1D1C3AA7" w14:textId="77777777" w:rsidR="00672297" w:rsidRDefault="00A16EA3">
            <w:pPr>
              <w:spacing w:before="20" w:after="20"/>
              <w:jc w:val="left"/>
            </w:pPr>
            <w:r>
              <w:rPr>
                <w:rFonts w:cstheme="minorHAnsi"/>
                <w:sz w:val="16"/>
                <w:szCs w:val="16"/>
              </w:rPr>
              <w:t>N</w:t>
            </w:r>
          </w:p>
        </w:tc>
        <w:tc>
          <w:tcPr>
            <w:tcW w:w="655" w:type="dxa"/>
            <w:vAlign w:val="center"/>
          </w:tcPr>
          <w:p w14:paraId="5F02E3F8" w14:textId="77777777" w:rsidR="00672297" w:rsidRDefault="00A16EA3">
            <w:pPr>
              <w:spacing w:before="20" w:after="20"/>
              <w:jc w:val="left"/>
            </w:pPr>
            <w:r>
              <w:rPr>
                <w:rFonts w:cstheme="minorHAnsi"/>
                <w:sz w:val="16"/>
                <w:szCs w:val="16"/>
              </w:rPr>
              <w:t>N</w:t>
            </w:r>
          </w:p>
        </w:tc>
        <w:tc>
          <w:tcPr>
            <w:tcW w:w="1967" w:type="dxa"/>
            <w:vAlign w:val="center"/>
          </w:tcPr>
          <w:p w14:paraId="0CF08FFE" w14:textId="77777777" w:rsidR="00672297" w:rsidRDefault="00A16EA3">
            <w:pPr>
              <w:spacing w:before="20" w:after="20"/>
              <w:jc w:val="left"/>
            </w:pPr>
            <w:r>
              <w:rPr>
                <w:rFonts w:cstheme="minorHAnsi"/>
                <w:sz w:val="16"/>
                <w:szCs w:val="16"/>
              </w:rPr>
              <w:t>Sum</w:t>
            </w:r>
          </w:p>
        </w:tc>
      </w:tr>
      <w:tr w:rsidR="00672297" w14:paraId="495006BE" w14:textId="77777777">
        <w:trPr>
          <w:cantSplit/>
        </w:trPr>
        <w:tc>
          <w:tcPr>
            <w:tcW w:w="1404" w:type="dxa"/>
            <w:vAlign w:val="center"/>
          </w:tcPr>
          <w:p w14:paraId="7802C0CD" w14:textId="77777777" w:rsidR="00672297" w:rsidRDefault="00A16EA3">
            <w:pPr>
              <w:spacing w:before="20" w:after="20"/>
              <w:jc w:val="left"/>
            </w:pPr>
            <w:r>
              <w:rPr>
                <w:rFonts w:cstheme="minorHAnsi"/>
                <w:sz w:val="16"/>
                <w:szCs w:val="16"/>
              </w:rPr>
              <w:t>Event Summary Table</w:t>
            </w:r>
          </w:p>
        </w:tc>
        <w:tc>
          <w:tcPr>
            <w:tcW w:w="1310" w:type="dxa"/>
            <w:vAlign w:val="center"/>
          </w:tcPr>
          <w:p w14:paraId="1CAB633F" w14:textId="77777777" w:rsidR="00672297" w:rsidRDefault="00A16EA3">
            <w:pPr>
              <w:spacing w:before="20" w:after="20"/>
              <w:jc w:val="left"/>
            </w:pPr>
            <w:r>
              <w:rPr>
                <w:rFonts w:cstheme="minorHAnsi"/>
                <w:sz w:val="16"/>
                <w:szCs w:val="16"/>
              </w:rPr>
              <w:t>RVP, T-10, T-50, T-90, TV/L, FBP</w:t>
            </w:r>
          </w:p>
        </w:tc>
        <w:tc>
          <w:tcPr>
            <w:tcW w:w="1310" w:type="dxa"/>
            <w:vAlign w:val="center"/>
          </w:tcPr>
          <w:p w14:paraId="760B3B94" w14:textId="77777777" w:rsidR="00672297" w:rsidRDefault="00A16EA3">
            <w:pPr>
              <w:spacing w:before="20" w:after="20"/>
              <w:jc w:val="left"/>
            </w:pPr>
            <w:r>
              <w:rPr>
                <w:rFonts w:cstheme="minorHAnsi"/>
                <w:sz w:val="16"/>
                <w:szCs w:val="16"/>
              </w:rPr>
              <w:t>vwGasolineBlendingKPI</w:t>
            </w:r>
          </w:p>
        </w:tc>
        <w:tc>
          <w:tcPr>
            <w:tcW w:w="1404" w:type="dxa"/>
            <w:vAlign w:val="center"/>
          </w:tcPr>
          <w:p w14:paraId="27F998D9" w14:textId="77777777" w:rsidR="00672297" w:rsidRDefault="00A16EA3">
            <w:pPr>
              <w:spacing w:before="20" w:after="20"/>
              <w:jc w:val="left"/>
            </w:pPr>
            <w:r>
              <w:rPr>
                <w:rFonts w:cstheme="minorHAnsi"/>
                <w:sz w:val="16"/>
                <w:szCs w:val="16"/>
              </w:rPr>
              <w:t>RVP, T10, T50, T90, TVL, FBP</w:t>
            </w:r>
          </w:p>
        </w:tc>
        <w:tc>
          <w:tcPr>
            <w:tcW w:w="655" w:type="dxa"/>
            <w:vAlign w:val="center"/>
          </w:tcPr>
          <w:p w14:paraId="2D698EE1" w14:textId="77777777" w:rsidR="00672297" w:rsidRDefault="00A16EA3">
            <w:pPr>
              <w:spacing w:before="20" w:after="20"/>
              <w:jc w:val="left"/>
            </w:pPr>
            <w:r>
              <w:rPr>
                <w:rFonts w:cstheme="minorHAnsi"/>
                <w:sz w:val="16"/>
                <w:szCs w:val="16"/>
              </w:rPr>
              <w:t>Y</w:t>
            </w:r>
          </w:p>
        </w:tc>
        <w:tc>
          <w:tcPr>
            <w:tcW w:w="655" w:type="dxa"/>
            <w:vAlign w:val="center"/>
          </w:tcPr>
          <w:p w14:paraId="459B239B" w14:textId="77777777" w:rsidR="00672297" w:rsidRDefault="00A16EA3">
            <w:pPr>
              <w:spacing w:before="20" w:after="20"/>
              <w:jc w:val="left"/>
            </w:pPr>
            <w:r>
              <w:rPr>
                <w:rFonts w:cstheme="minorHAnsi"/>
                <w:sz w:val="16"/>
                <w:szCs w:val="16"/>
              </w:rPr>
              <w:t>N</w:t>
            </w:r>
          </w:p>
        </w:tc>
        <w:tc>
          <w:tcPr>
            <w:tcW w:w="655" w:type="dxa"/>
            <w:vAlign w:val="center"/>
          </w:tcPr>
          <w:p w14:paraId="6BB1D14A" w14:textId="77777777" w:rsidR="00672297" w:rsidRDefault="00A16EA3">
            <w:pPr>
              <w:spacing w:before="20" w:after="20"/>
              <w:jc w:val="left"/>
            </w:pPr>
            <w:r>
              <w:rPr>
                <w:rFonts w:cstheme="minorHAnsi"/>
                <w:sz w:val="16"/>
                <w:szCs w:val="16"/>
              </w:rPr>
              <w:t>N</w:t>
            </w:r>
          </w:p>
        </w:tc>
        <w:tc>
          <w:tcPr>
            <w:tcW w:w="1967" w:type="dxa"/>
            <w:vAlign w:val="center"/>
          </w:tcPr>
          <w:p w14:paraId="1FB6F7E0" w14:textId="77777777" w:rsidR="00672297" w:rsidRDefault="00A16EA3">
            <w:pPr>
              <w:spacing w:before="20" w:after="20"/>
              <w:jc w:val="left"/>
            </w:pPr>
            <w:r>
              <w:rPr>
                <w:rFonts w:cstheme="minorHAnsi"/>
                <w:sz w:val="16"/>
                <w:szCs w:val="16"/>
              </w:rPr>
              <w:t>Average</w:t>
            </w:r>
          </w:p>
        </w:tc>
      </w:tr>
      <w:tr w:rsidR="00672297" w14:paraId="48F32DDC" w14:textId="77777777">
        <w:trPr>
          <w:cantSplit/>
        </w:trPr>
        <w:tc>
          <w:tcPr>
            <w:tcW w:w="1404" w:type="dxa"/>
            <w:vAlign w:val="center"/>
          </w:tcPr>
          <w:p w14:paraId="1E1F93F9" w14:textId="77777777" w:rsidR="00672297" w:rsidRDefault="00A16EA3">
            <w:pPr>
              <w:spacing w:before="20" w:after="20"/>
              <w:jc w:val="left"/>
            </w:pPr>
            <w:r>
              <w:rPr>
                <w:rFonts w:cstheme="minorHAnsi"/>
                <w:sz w:val="16"/>
                <w:szCs w:val="16"/>
              </w:rPr>
              <w:t>Event Summary Table</w:t>
            </w:r>
          </w:p>
        </w:tc>
        <w:tc>
          <w:tcPr>
            <w:tcW w:w="1310" w:type="dxa"/>
            <w:vAlign w:val="center"/>
          </w:tcPr>
          <w:p w14:paraId="3C7C6EFB" w14:textId="77777777" w:rsidR="00672297" w:rsidRDefault="00A16EA3">
            <w:pPr>
              <w:spacing w:before="20" w:after="20"/>
              <w:jc w:val="left"/>
            </w:pPr>
            <w:r>
              <w:rPr>
                <w:rFonts w:cstheme="minorHAnsi"/>
                <w:sz w:val="16"/>
                <w:szCs w:val="16"/>
              </w:rPr>
              <w:t>Butane / Transmix / Ethanol - Potential, Actual, Delta</w:t>
            </w:r>
          </w:p>
        </w:tc>
        <w:tc>
          <w:tcPr>
            <w:tcW w:w="1310" w:type="dxa"/>
            <w:vAlign w:val="center"/>
          </w:tcPr>
          <w:p w14:paraId="0CBA5D84" w14:textId="77777777" w:rsidR="00672297" w:rsidRDefault="00A16EA3">
            <w:pPr>
              <w:spacing w:before="20" w:after="20"/>
              <w:jc w:val="left"/>
            </w:pPr>
            <w:r>
              <w:rPr>
                <w:rFonts w:cstheme="minorHAnsi"/>
                <w:sz w:val="16"/>
                <w:szCs w:val="16"/>
              </w:rPr>
              <w:t>vwGasolineBlendingKPI</w:t>
            </w:r>
          </w:p>
        </w:tc>
        <w:tc>
          <w:tcPr>
            <w:tcW w:w="1404" w:type="dxa"/>
            <w:vAlign w:val="center"/>
          </w:tcPr>
          <w:p w14:paraId="64A24B9F" w14:textId="77777777" w:rsidR="00672297" w:rsidRDefault="00A16EA3">
            <w:pPr>
              <w:spacing w:before="20" w:after="20"/>
              <w:jc w:val="left"/>
            </w:pPr>
            <w:r>
              <w:rPr>
                <w:rFonts w:cstheme="minorHAnsi"/>
                <w:sz w:val="16"/>
                <w:szCs w:val="16"/>
              </w:rPr>
              <w:t>&lt;Component&gt;PotentialBbl, &lt;Component&gt;ActualBbl, &lt;Component&gt;DeltaBbl</w:t>
            </w:r>
          </w:p>
        </w:tc>
        <w:tc>
          <w:tcPr>
            <w:tcW w:w="655" w:type="dxa"/>
            <w:vAlign w:val="center"/>
          </w:tcPr>
          <w:p w14:paraId="413BF538" w14:textId="77777777" w:rsidR="00672297" w:rsidRDefault="00A16EA3">
            <w:pPr>
              <w:spacing w:before="20" w:after="20"/>
              <w:jc w:val="left"/>
            </w:pPr>
            <w:r>
              <w:rPr>
                <w:rFonts w:cstheme="minorHAnsi"/>
                <w:sz w:val="16"/>
                <w:szCs w:val="16"/>
              </w:rPr>
              <w:t>Y</w:t>
            </w:r>
          </w:p>
        </w:tc>
        <w:tc>
          <w:tcPr>
            <w:tcW w:w="655" w:type="dxa"/>
            <w:vAlign w:val="center"/>
          </w:tcPr>
          <w:p w14:paraId="343B32BF" w14:textId="77777777" w:rsidR="00672297" w:rsidRDefault="00A16EA3">
            <w:pPr>
              <w:spacing w:before="20" w:after="20"/>
              <w:jc w:val="left"/>
            </w:pPr>
            <w:r>
              <w:rPr>
                <w:rFonts w:cstheme="minorHAnsi"/>
                <w:sz w:val="16"/>
                <w:szCs w:val="16"/>
              </w:rPr>
              <w:t>N</w:t>
            </w:r>
          </w:p>
        </w:tc>
        <w:tc>
          <w:tcPr>
            <w:tcW w:w="655" w:type="dxa"/>
            <w:vAlign w:val="center"/>
          </w:tcPr>
          <w:p w14:paraId="5E169536" w14:textId="77777777" w:rsidR="00672297" w:rsidRDefault="00A16EA3">
            <w:pPr>
              <w:spacing w:before="20" w:after="20"/>
              <w:jc w:val="left"/>
            </w:pPr>
            <w:r>
              <w:rPr>
                <w:rFonts w:cstheme="minorHAnsi"/>
                <w:sz w:val="16"/>
                <w:szCs w:val="16"/>
              </w:rPr>
              <w:t>N</w:t>
            </w:r>
          </w:p>
        </w:tc>
        <w:tc>
          <w:tcPr>
            <w:tcW w:w="1967" w:type="dxa"/>
            <w:vAlign w:val="center"/>
          </w:tcPr>
          <w:p w14:paraId="236731EE" w14:textId="77777777" w:rsidR="00672297" w:rsidRDefault="00A16EA3">
            <w:pPr>
              <w:spacing w:before="20" w:after="20"/>
              <w:jc w:val="left"/>
            </w:pPr>
            <w:r>
              <w:rPr>
                <w:rFonts w:cstheme="minorHAnsi"/>
                <w:sz w:val="16"/>
                <w:szCs w:val="16"/>
              </w:rPr>
              <w:t>Sum</w:t>
            </w:r>
          </w:p>
        </w:tc>
      </w:tr>
      <w:tr w:rsidR="00672297" w14:paraId="2124F268" w14:textId="77777777">
        <w:trPr>
          <w:cantSplit/>
        </w:trPr>
        <w:tc>
          <w:tcPr>
            <w:tcW w:w="1404" w:type="dxa"/>
            <w:vAlign w:val="center"/>
          </w:tcPr>
          <w:p w14:paraId="343325D1" w14:textId="77777777" w:rsidR="00672297" w:rsidRDefault="00A16EA3">
            <w:pPr>
              <w:spacing w:before="20" w:after="20"/>
              <w:jc w:val="left"/>
            </w:pPr>
            <w:r>
              <w:rPr>
                <w:rFonts w:cstheme="minorHAnsi"/>
                <w:sz w:val="16"/>
                <w:szCs w:val="16"/>
              </w:rPr>
              <w:t>Event Summary Table</w:t>
            </w:r>
          </w:p>
        </w:tc>
        <w:tc>
          <w:tcPr>
            <w:tcW w:w="1310" w:type="dxa"/>
            <w:vAlign w:val="center"/>
          </w:tcPr>
          <w:p w14:paraId="293E950D" w14:textId="77777777" w:rsidR="00672297" w:rsidRDefault="00A16EA3">
            <w:pPr>
              <w:spacing w:before="20" w:after="20"/>
              <w:jc w:val="left"/>
            </w:pPr>
            <w:r>
              <w:rPr>
                <w:rFonts w:cstheme="minorHAnsi"/>
                <w:sz w:val="16"/>
                <w:szCs w:val="16"/>
              </w:rPr>
              <w:t>Butane / Transmix / Ethanol - Value Loss ($)</w:t>
            </w:r>
          </w:p>
        </w:tc>
        <w:tc>
          <w:tcPr>
            <w:tcW w:w="1310" w:type="dxa"/>
            <w:vAlign w:val="center"/>
          </w:tcPr>
          <w:p w14:paraId="60E8CA32" w14:textId="77777777" w:rsidR="00672297" w:rsidRDefault="00A16EA3">
            <w:pPr>
              <w:spacing w:before="20" w:after="20"/>
              <w:jc w:val="left"/>
            </w:pPr>
            <w:r>
              <w:rPr>
                <w:rFonts w:cstheme="minorHAnsi"/>
                <w:sz w:val="16"/>
                <w:szCs w:val="16"/>
              </w:rPr>
              <w:t>vwGasolineBlendingKPI + MPR_Price</w:t>
            </w:r>
          </w:p>
        </w:tc>
        <w:tc>
          <w:tcPr>
            <w:tcW w:w="1404" w:type="dxa"/>
            <w:vAlign w:val="center"/>
          </w:tcPr>
          <w:p w14:paraId="5DA1BC06" w14:textId="77777777" w:rsidR="00672297" w:rsidRDefault="00A16EA3">
            <w:pPr>
              <w:spacing w:before="20" w:after="20"/>
              <w:jc w:val="left"/>
            </w:pPr>
            <w:r>
              <w:rPr>
                <w:rFonts w:cstheme="minorHAnsi"/>
                <w:sz w:val="16"/>
                <w:szCs w:val="16"/>
              </w:rPr>
              <w:t>&lt;Component&gt;DeltaBbl, AveragePrice</w:t>
            </w:r>
          </w:p>
        </w:tc>
        <w:tc>
          <w:tcPr>
            <w:tcW w:w="655" w:type="dxa"/>
            <w:vAlign w:val="center"/>
          </w:tcPr>
          <w:p w14:paraId="20B7268C" w14:textId="77777777" w:rsidR="00672297" w:rsidRDefault="00A16EA3">
            <w:pPr>
              <w:spacing w:before="20" w:after="20"/>
              <w:jc w:val="left"/>
            </w:pPr>
            <w:r>
              <w:rPr>
                <w:rFonts w:cstheme="minorHAnsi"/>
                <w:sz w:val="16"/>
                <w:szCs w:val="16"/>
              </w:rPr>
              <w:t>Y</w:t>
            </w:r>
          </w:p>
        </w:tc>
        <w:tc>
          <w:tcPr>
            <w:tcW w:w="655" w:type="dxa"/>
            <w:vAlign w:val="center"/>
          </w:tcPr>
          <w:p w14:paraId="2D4E7FB5" w14:textId="77777777" w:rsidR="00672297" w:rsidRDefault="00A16EA3">
            <w:pPr>
              <w:spacing w:before="20" w:after="20"/>
              <w:jc w:val="left"/>
            </w:pPr>
            <w:r>
              <w:rPr>
                <w:rFonts w:cstheme="minorHAnsi"/>
                <w:sz w:val="16"/>
                <w:szCs w:val="16"/>
              </w:rPr>
              <w:t>N</w:t>
            </w:r>
          </w:p>
        </w:tc>
        <w:tc>
          <w:tcPr>
            <w:tcW w:w="655" w:type="dxa"/>
            <w:vAlign w:val="center"/>
          </w:tcPr>
          <w:p w14:paraId="37861B18" w14:textId="77777777" w:rsidR="00672297" w:rsidRDefault="00A16EA3">
            <w:pPr>
              <w:spacing w:before="20" w:after="20"/>
              <w:jc w:val="left"/>
            </w:pPr>
            <w:r>
              <w:rPr>
                <w:rFonts w:cstheme="minorHAnsi"/>
                <w:sz w:val="16"/>
                <w:szCs w:val="16"/>
              </w:rPr>
              <w:t>N</w:t>
            </w:r>
          </w:p>
        </w:tc>
        <w:tc>
          <w:tcPr>
            <w:tcW w:w="1967" w:type="dxa"/>
            <w:vAlign w:val="center"/>
          </w:tcPr>
          <w:p w14:paraId="2ECA477A" w14:textId="77777777" w:rsidR="00672297" w:rsidRDefault="00A16EA3">
            <w:pPr>
              <w:spacing w:before="20" w:after="20"/>
              <w:jc w:val="left"/>
            </w:pPr>
            <w:r>
              <w:rPr>
                <w:rFonts w:cstheme="minorHAnsi"/>
                <w:sz w:val="16"/>
                <w:szCs w:val="16"/>
              </w:rPr>
              <w:t>Delta x (gasoline price - component price) - MPR</w:t>
            </w:r>
          </w:p>
        </w:tc>
      </w:tr>
      <w:tr w:rsidR="00672297" w14:paraId="489922B7" w14:textId="77777777">
        <w:trPr>
          <w:cantSplit/>
        </w:trPr>
        <w:tc>
          <w:tcPr>
            <w:tcW w:w="1404" w:type="dxa"/>
            <w:vAlign w:val="center"/>
          </w:tcPr>
          <w:p w14:paraId="21744684" w14:textId="77777777" w:rsidR="00672297" w:rsidRDefault="00A16EA3">
            <w:pPr>
              <w:spacing w:before="20" w:after="20"/>
              <w:jc w:val="left"/>
            </w:pPr>
            <w:r>
              <w:rPr>
                <w:rFonts w:cstheme="minorHAnsi"/>
                <w:sz w:val="16"/>
                <w:szCs w:val="16"/>
              </w:rPr>
              <w:t>Event Summary Table</w:t>
            </w:r>
          </w:p>
        </w:tc>
        <w:tc>
          <w:tcPr>
            <w:tcW w:w="1310" w:type="dxa"/>
            <w:vAlign w:val="center"/>
          </w:tcPr>
          <w:p w14:paraId="04C1FB6A" w14:textId="77777777" w:rsidR="00672297" w:rsidRDefault="00A16EA3">
            <w:pPr>
              <w:spacing w:before="20" w:after="20"/>
              <w:jc w:val="left"/>
            </w:pPr>
            <w:r>
              <w:rPr>
                <w:rFonts w:cstheme="minorHAnsi"/>
                <w:sz w:val="16"/>
                <w:szCs w:val="16"/>
              </w:rPr>
              <w:t>Total Loss - Volume (Bbl) / Value ($)</w:t>
            </w:r>
          </w:p>
        </w:tc>
        <w:tc>
          <w:tcPr>
            <w:tcW w:w="1310" w:type="dxa"/>
            <w:vAlign w:val="center"/>
          </w:tcPr>
          <w:p w14:paraId="20D6D399" w14:textId="77777777" w:rsidR="00672297" w:rsidRDefault="00A16EA3">
            <w:pPr>
              <w:spacing w:before="20" w:after="20"/>
              <w:jc w:val="left"/>
            </w:pPr>
            <w:r>
              <w:rPr>
                <w:rFonts w:cstheme="minorHAnsi"/>
                <w:sz w:val="16"/>
                <w:szCs w:val="16"/>
              </w:rPr>
              <w:t>vwGasolineBlendingKPI + MPR_Price</w:t>
            </w:r>
          </w:p>
        </w:tc>
        <w:tc>
          <w:tcPr>
            <w:tcW w:w="1404" w:type="dxa"/>
            <w:vAlign w:val="center"/>
          </w:tcPr>
          <w:p w14:paraId="6C804FFF" w14:textId="77777777" w:rsidR="00672297" w:rsidRDefault="00A16EA3">
            <w:pPr>
              <w:spacing w:before="20" w:after="20"/>
              <w:jc w:val="left"/>
            </w:pPr>
            <w:r>
              <w:rPr>
                <w:rFonts w:cstheme="minorHAnsi"/>
                <w:sz w:val="16"/>
                <w:szCs w:val="16"/>
              </w:rPr>
              <w:t>TotalDeltaBbl; value-loss measures</w:t>
            </w:r>
          </w:p>
        </w:tc>
        <w:tc>
          <w:tcPr>
            <w:tcW w:w="655" w:type="dxa"/>
            <w:vAlign w:val="center"/>
          </w:tcPr>
          <w:p w14:paraId="1189EB6A" w14:textId="77777777" w:rsidR="00672297" w:rsidRDefault="00A16EA3">
            <w:pPr>
              <w:spacing w:before="20" w:after="20"/>
              <w:jc w:val="left"/>
            </w:pPr>
            <w:r>
              <w:rPr>
                <w:rFonts w:cstheme="minorHAnsi"/>
                <w:sz w:val="16"/>
                <w:szCs w:val="16"/>
              </w:rPr>
              <w:t>Y</w:t>
            </w:r>
          </w:p>
        </w:tc>
        <w:tc>
          <w:tcPr>
            <w:tcW w:w="655" w:type="dxa"/>
            <w:vAlign w:val="center"/>
          </w:tcPr>
          <w:p w14:paraId="73190C0F" w14:textId="77777777" w:rsidR="00672297" w:rsidRDefault="00A16EA3">
            <w:pPr>
              <w:spacing w:before="20" w:after="20"/>
              <w:jc w:val="left"/>
            </w:pPr>
            <w:r>
              <w:rPr>
                <w:rFonts w:cstheme="minorHAnsi"/>
                <w:sz w:val="16"/>
                <w:szCs w:val="16"/>
              </w:rPr>
              <w:t>N</w:t>
            </w:r>
          </w:p>
        </w:tc>
        <w:tc>
          <w:tcPr>
            <w:tcW w:w="655" w:type="dxa"/>
            <w:vAlign w:val="center"/>
          </w:tcPr>
          <w:p w14:paraId="22F09163" w14:textId="77777777" w:rsidR="00672297" w:rsidRDefault="00A16EA3">
            <w:pPr>
              <w:spacing w:before="20" w:after="20"/>
              <w:jc w:val="left"/>
            </w:pPr>
            <w:r>
              <w:rPr>
                <w:rFonts w:cstheme="minorHAnsi"/>
                <w:sz w:val="16"/>
                <w:szCs w:val="16"/>
              </w:rPr>
              <w:t>N</w:t>
            </w:r>
          </w:p>
        </w:tc>
        <w:tc>
          <w:tcPr>
            <w:tcW w:w="1967" w:type="dxa"/>
            <w:vAlign w:val="center"/>
          </w:tcPr>
          <w:p w14:paraId="02065936" w14:textId="77777777" w:rsidR="00672297" w:rsidRDefault="00A16EA3">
            <w:pPr>
              <w:spacing w:before="20" w:after="20"/>
              <w:jc w:val="left"/>
            </w:pPr>
            <w:r>
              <w:rPr>
                <w:rFonts w:cstheme="minorHAnsi"/>
                <w:sz w:val="16"/>
                <w:szCs w:val="16"/>
              </w:rPr>
              <w:t>[Total Volume Loss (bbl)] / [Total Value Loss ($)] - MPR</w:t>
            </w:r>
          </w:p>
        </w:tc>
      </w:tr>
      <w:tr w:rsidR="00672297" w14:paraId="4BBFBC13" w14:textId="77777777">
        <w:trPr>
          <w:cantSplit/>
        </w:trPr>
        <w:tc>
          <w:tcPr>
            <w:tcW w:w="1404" w:type="dxa"/>
            <w:vAlign w:val="center"/>
          </w:tcPr>
          <w:p w14:paraId="35D5A5DE" w14:textId="77777777" w:rsidR="00672297" w:rsidRDefault="00A16EA3">
            <w:pPr>
              <w:spacing w:before="20" w:after="20"/>
              <w:jc w:val="left"/>
            </w:pPr>
            <w:r>
              <w:rPr>
                <w:rFonts w:cstheme="minorHAnsi"/>
                <w:sz w:val="16"/>
                <w:szCs w:val="16"/>
              </w:rPr>
              <w:t>Slicer/Filter</w:t>
            </w:r>
          </w:p>
        </w:tc>
        <w:tc>
          <w:tcPr>
            <w:tcW w:w="1310" w:type="dxa"/>
            <w:vAlign w:val="center"/>
          </w:tcPr>
          <w:p w14:paraId="604908E4" w14:textId="77777777" w:rsidR="00672297" w:rsidRDefault="00A16EA3">
            <w:pPr>
              <w:spacing w:before="20" w:after="20"/>
              <w:jc w:val="left"/>
            </w:pPr>
            <w:r>
              <w:rPr>
                <w:rFonts w:cstheme="minorHAnsi"/>
                <w:sz w:val="16"/>
                <w:szCs w:val="16"/>
              </w:rPr>
              <w:t>Refinery / Terminal / Grade</w:t>
            </w:r>
          </w:p>
        </w:tc>
        <w:tc>
          <w:tcPr>
            <w:tcW w:w="1310" w:type="dxa"/>
            <w:vAlign w:val="center"/>
          </w:tcPr>
          <w:p w14:paraId="6CE70B76" w14:textId="77777777" w:rsidR="00672297" w:rsidRDefault="00A16EA3">
            <w:pPr>
              <w:spacing w:before="20" w:after="20"/>
              <w:jc w:val="left"/>
            </w:pPr>
            <w:r>
              <w:rPr>
                <w:rFonts w:cstheme="minorHAnsi"/>
                <w:sz w:val="16"/>
                <w:szCs w:val="16"/>
              </w:rPr>
              <w:t>vwGasolineBlendingKPI</w:t>
            </w:r>
          </w:p>
        </w:tc>
        <w:tc>
          <w:tcPr>
            <w:tcW w:w="1404" w:type="dxa"/>
            <w:vAlign w:val="center"/>
          </w:tcPr>
          <w:p w14:paraId="76AF98A3" w14:textId="77777777" w:rsidR="00672297" w:rsidRDefault="00A16EA3">
            <w:pPr>
              <w:spacing w:before="20" w:after="20"/>
              <w:jc w:val="left"/>
            </w:pPr>
            <w:r>
              <w:rPr>
                <w:rFonts w:cstheme="minorHAnsi"/>
                <w:sz w:val="16"/>
                <w:szCs w:val="16"/>
              </w:rPr>
              <w:t>Source / Destination / Grade</w:t>
            </w:r>
          </w:p>
        </w:tc>
        <w:tc>
          <w:tcPr>
            <w:tcW w:w="655" w:type="dxa"/>
            <w:vAlign w:val="center"/>
          </w:tcPr>
          <w:p w14:paraId="497F9F46" w14:textId="77777777" w:rsidR="00672297" w:rsidRDefault="00A16EA3">
            <w:pPr>
              <w:spacing w:before="20" w:after="20"/>
              <w:jc w:val="left"/>
            </w:pPr>
            <w:r>
              <w:rPr>
                <w:rFonts w:cstheme="minorHAnsi"/>
                <w:sz w:val="16"/>
                <w:szCs w:val="16"/>
              </w:rPr>
              <w:t>N</w:t>
            </w:r>
          </w:p>
        </w:tc>
        <w:tc>
          <w:tcPr>
            <w:tcW w:w="655" w:type="dxa"/>
            <w:vAlign w:val="center"/>
          </w:tcPr>
          <w:p w14:paraId="400E1639" w14:textId="77777777" w:rsidR="00672297" w:rsidRDefault="00A16EA3">
            <w:pPr>
              <w:spacing w:before="20" w:after="20"/>
              <w:jc w:val="left"/>
            </w:pPr>
            <w:r>
              <w:rPr>
                <w:rFonts w:cstheme="minorHAnsi"/>
                <w:sz w:val="16"/>
                <w:szCs w:val="16"/>
              </w:rPr>
              <w:t>Y</w:t>
            </w:r>
          </w:p>
        </w:tc>
        <w:tc>
          <w:tcPr>
            <w:tcW w:w="655" w:type="dxa"/>
            <w:vAlign w:val="center"/>
          </w:tcPr>
          <w:p w14:paraId="777761B8" w14:textId="77777777" w:rsidR="00672297" w:rsidRDefault="00A16EA3">
            <w:pPr>
              <w:spacing w:before="20" w:after="20"/>
              <w:jc w:val="left"/>
            </w:pPr>
            <w:r>
              <w:rPr>
                <w:rFonts w:cstheme="minorHAnsi"/>
                <w:sz w:val="16"/>
                <w:szCs w:val="16"/>
              </w:rPr>
              <w:t>Y</w:t>
            </w:r>
          </w:p>
        </w:tc>
        <w:tc>
          <w:tcPr>
            <w:tcW w:w="1967" w:type="dxa"/>
            <w:vAlign w:val="center"/>
          </w:tcPr>
          <w:p w14:paraId="39ECC7F4" w14:textId="77777777" w:rsidR="00672297" w:rsidRDefault="00A16EA3">
            <w:pPr>
              <w:spacing w:before="20" w:after="20"/>
              <w:jc w:val="left"/>
            </w:pPr>
            <w:r>
              <w:rPr>
                <w:rFonts w:cstheme="minorHAnsi"/>
                <w:sz w:val="16"/>
                <w:szCs w:val="16"/>
              </w:rPr>
              <w:t>Grade default 84 Blendgrade</w:t>
            </w:r>
          </w:p>
        </w:tc>
      </w:tr>
      <w:tr w:rsidR="00672297" w14:paraId="1D9243A6" w14:textId="77777777">
        <w:trPr>
          <w:cantSplit/>
        </w:trPr>
        <w:tc>
          <w:tcPr>
            <w:tcW w:w="1404" w:type="dxa"/>
            <w:vAlign w:val="center"/>
          </w:tcPr>
          <w:p w14:paraId="159EF5FA" w14:textId="77777777" w:rsidR="00672297" w:rsidRDefault="00A16EA3">
            <w:pPr>
              <w:spacing w:before="20" w:after="20"/>
              <w:jc w:val="left"/>
            </w:pPr>
            <w:r>
              <w:rPr>
                <w:rFonts w:cstheme="minorHAnsi"/>
                <w:sz w:val="16"/>
                <w:szCs w:val="16"/>
              </w:rPr>
              <w:t>Slicer/Filter</w:t>
            </w:r>
          </w:p>
        </w:tc>
        <w:tc>
          <w:tcPr>
            <w:tcW w:w="1310" w:type="dxa"/>
            <w:vAlign w:val="center"/>
          </w:tcPr>
          <w:p w14:paraId="0E4F3FD4" w14:textId="77777777" w:rsidR="00672297" w:rsidRDefault="00A16EA3">
            <w:pPr>
              <w:spacing w:before="20" w:after="20"/>
              <w:jc w:val="left"/>
            </w:pPr>
            <w:r>
              <w:rPr>
                <w:rFonts w:cstheme="minorHAnsi"/>
                <w:sz w:val="16"/>
                <w:szCs w:val="16"/>
              </w:rPr>
              <w:t>Date (Week / Month)</w:t>
            </w:r>
          </w:p>
        </w:tc>
        <w:tc>
          <w:tcPr>
            <w:tcW w:w="1310" w:type="dxa"/>
            <w:vAlign w:val="center"/>
          </w:tcPr>
          <w:p w14:paraId="115070D9" w14:textId="77777777" w:rsidR="00672297" w:rsidRDefault="00A16EA3">
            <w:pPr>
              <w:spacing w:before="20" w:after="20"/>
              <w:jc w:val="left"/>
            </w:pPr>
            <w:r>
              <w:rPr>
                <w:rFonts w:cstheme="minorHAnsi"/>
                <w:sz w:val="16"/>
                <w:szCs w:val="16"/>
              </w:rPr>
              <w:t>day_detail</w:t>
            </w:r>
          </w:p>
        </w:tc>
        <w:tc>
          <w:tcPr>
            <w:tcW w:w="1404" w:type="dxa"/>
            <w:vAlign w:val="center"/>
          </w:tcPr>
          <w:p w14:paraId="5605FD96" w14:textId="77777777" w:rsidR="00672297" w:rsidRDefault="00A16EA3">
            <w:pPr>
              <w:spacing w:before="20" w:after="20"/>
              <w:jc w:val="left"/>
            </w:pPr>
            <w:r>
              <w:rPr>
                <w:rFonts w:cstheme="minorHAnsi"/>
                <w:sz w:val="16"/>
                <w:szCs w:val="16"/>
              </w:rPr>
              <w:t>W_Date, Week, Month</w:t>
            </w:r>
          </w:p>
        </w:tc>
        <w:tc>
          <w:tcPr>
            <w:tcW w:w="655" w:type="dxa"/>
            <w:vAlign w:val="center"/>
          </w:tcPr>
          <w:p w14:paraId="3EDE4BA5" w14:textId="77777777" w:rsidR="00672297" w:rsidRDefault="00A16EA3">
            <w:pPr>
              <w:spacing w:before="20" w:after="20"/>
              <w:jc w:val="left"/>
            </w:pPr>
            <w:r>
              <w:rPr>
                <w:rFonts w:cstheme="minorHAnsi"/>
                <w:sz w:val="16"/>
                <w:szCs w:val="16"/>
              </w:rPr>
              <w:t>N</w:t>
            </w:r>
          </w:p>
        </w:tc>
        <w:tc>
          <w:tcPr>
            <w:tcW w:w="655" w:type="dxa"/>
            <w:vAlign w:val="center"/>
          </w:tcPr>
          <w:p w14:paraId="7108BED9" w14:textId="77777777" w:rsidR="00672297" w:rsidRDefault="00A16EA3">
            <w:pPr>
              <w:spacing w:before="20" w:after="20"/>
              <w:jc w:val="left"/>
            </w:pPr>
            <w:r>
              <w:rPr>
                <w:rFonts w:cstheme="minorHAnsi"/>
                <w:sz w:val="16"/>
                <w:szCs w:val="16"/>
              </w:rPr>
              <w:t>Y</w:t>
            </w:r>
          </w:p>
        </w:tc>
        <w:tc>
          <w:tcPr>
            <w:tcW w:w="655" w:type="dxa"/>
            <w:vAlign w:val="center"/>
          </w:tcPr>
          <w:p w14:paraId="778E76BA" w14:textId="77777777" w:rsidR="00672297" w:rsidRDefault="00A16EA3">
            <w:pPr>
              <w:spacing w:before="20" w:after="20"/>
              <w:jc w:val="left"/>
            </w:pPr>
            <w:r>
              <w:rPr>
                <w:rFonts w:cstheme="minorHAnsi"/>
                <w:sz w:val="16"/>
                <w:szCs w:val="16"/>
              </w:rPr>
              <w:t>Y</w:t>
            </w:r>
          </w:p>
        </w:tc>
        <w:tc>
          <w:tcPr>
            <w:tcW w:w="1967" w:type="dxa"/>
            <w:vAlign w:val="center"/>
          </w:tcPr>
          <w:p w14:paraId="2F6DACFD" w14:textId="77777777" w:rsidR="00672297" w:rsidRDefault="00A16EA3">
            <w:pPr>
              <w:spacing w:before="20" w:after="20"/>
              <w:jc w:val="left"/>
            </w:pPr>
            <w:r>
              <w:rPr>
                <w:rFonts w:cstheme="minorHAnsi"/>
                <w:sz w:val="16"/>
                <w:szCs w:val="16"/>
              </w:rPr>
              <w:t>Relationship on ActivityDate</w:t>
            </w:r>
          </w:p>
        </w:tc>
      </w:tr>
    </w:tbl>
    <w:p w14:paraId="0F39F3B3" w14:textId="13CB692B" w:rsidR="00672297" w:rsidRDefault="00A16EA3">
      <w:pPr>
        <w:pStyle w:val="Caption"/>
      </w:pPr>
      <w:bookmarkStart w:id="717" w:name="_Toc900950155"/>
      <w:bookmarkStart w:id="718" w:name="_Toc241574737"/>
      <w:bookmarkStart w:id="719" w:name="_Toc242554121"/>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48</w:t>
      </w:r>
      <w:r>
        <w:fldChar w:fldCharType="end"/>
      </w:r>
      <w:r>
        <w:t>: Gasoline KPI Dashboard Power BI Attributes Mapping</w:t>
      </w:r>
      <w:bookmarkEnd w:id="717"/>
      <w:bookmarkEnd w:id="718"/>
      <w:bookmarkEnd w:id="719"/>
    </w:p>
    <w:p w14:paraId="3D46DCF0" w14:textId="77777777" w:rsidR="00672297" w:rsidRDefault="00A16EA3">
      <w:pPr>
        <w:pStyle w:val="Heading3"/>
        <w:rPr>
          <w:rFonts w:asciiTheme="minorHAnsi" w:hAnsiTheme="minorHAnsi" w:cstheme="minorBidi"/>
          <w:sz w:val="20"/>
          <w:szCs w:val="20"/>
        </w:rPr>
      </w:pPr>
      <w:bookmarkStart w:id="720" w:name="_Toc241574356"/>
      <w:bookmarkStart w:id="721" w:name="_Toc242553978"/>
      <w:r>
        <w:rPr>
          <w:rFonts w:asciiTheme="minorHAnsi" w:hAnsiTheme="minorHAnsi" w:cstheme="minorBidi"/>
          <w:sz w:val="20"/>
          <w:szCs w:val="20"/>
        </w:rPr>
        <w:t>Distillate KPI Dashboard</w:t>
      </w:r>
      <w:bookmarkEnd w:id="720"/>
      <w:bookmarkEnd w:id="721"/>
    </w:p>
    <w:p w14:paraId="6296C4E4" w14:textId="77777777" w:rsidR="00672297" w:rsidRDefault="00A16EA3">
      <w:pPr>
        <w:pStyle w:val="Heading4"/>
        <w:rPr>
          <w:rFonts w:asciiTheme="minorHAnsi" w:hAnsiTheme="minorHAnsi" w:cstheme="minorBidi"/>
          <w:sz w:val="20"/>
          <w:szCs w:val="20"/>
        </w:rPr>
      </w:pPr>
      <w:bookmarkStart w:id="722" w:name="_Toc900950157"/>
      <w:r>
        <w:rPr>
          <w:rFonts w:asciiTheme="minorHAnsi" w:hAnsiTheme="minorHAnsi" w:cstheme="minorBidi"/>
          <w:sz w:val="20"/>
          <w:szCs w:val="20"/>
        </w:rPr>
        <w:t>Purpose and Business Objective</w:t>
      </w:r>
      <w:bookmarkEnd w:id="722"/>
    </w:p>
    <w:p w14:paraId="4D0C59A3" w14:textId="77777777" w:rsidR="00672297" w:rsidRDefault="00A16EA3">
      <w:pPr>
        <w:rPr>
          <w:rFonts w:cstheme="minorHAnsi"/>
          <w:sz w:val="20"/>
          <w:szCs w:val="20"/>
        </w:rPr>
      </w:pPr>
      <w:r>
        <w:rPr>
          <w:rFonts w:cstheme="minorHAnsi"/>
          <w:sz w:val="20"/>
          <w:szCs w:val="20"/>
        </w:rPr>
        <w:t>The Distillate KPI Dashboard gives value-chain leadership a consolidated view of distillate quality give-away and the associated value loss across ULSD, Jet and Kero grades. Give-away is on-spec material produced tighter than the specification; the dashboard quantifies it in property terms and translates it into dollar value loss.</w:t>
      </w:r>
    </w:p>
    <w:p w14:paraId="6DD790E3" w14:textId="77777777" w:rsidR="00672297" w:rsidRDefault="00A16EA3">
      <w:pPr>
        <w:pStyle w:val="Heading4"/>
        <w:rPr>
          <w:rFonts w:asciiTheme="minorHAnsi" w:hAnsiTheme="minorHAnsi" w:cstheme="minorBidi"/>
          <w:sz w:val="20"/>
          <w:szCs w:val="20"/>
        </w:rPr>
      </w:pPr>
      <w:bookmarkStart w:id="723" w:name="_Toc900950158"/>
      <w:r>
        <w:rPr>
          <w:rFonts w:asciiTheme="minorHAnsi" w:hAnsiTheme="minorHAnsi" w:cstheme="minorBidi"/>
          <w:sz w:val="20"/>
          <w:szCs w:val="20"/>
        </w:rPr>
        <w:t>Dashboard Wireframe</w:t>
      </w:r>
      <w:bookmarkEnd w:id="723"/>
    </w:p>
    <w:p w14:paraId="01DE4A08" w14:textId="4362C438" w:rsidR="00672297" w:rsidRDefault="00A16EA3">
      <w:pPr>
        <w:pStyle w:val="Caption"/>
      </w:pPr>
      <w:bookmarkStart w:id="724" w:name="_Toc900950159"/>
      <w:bookmarkStart w:id="725" w:name="_Toc241574765"/>
      <w:bookmarkStart w:id="726" w:name="_Toc242554167"/>
      <w:r>
        <w:t xml:space="preserve">Figure </w:t>
      </w:r>
      <w:r>
        <w:fldChar w:fldCharType="begin"/>
      </w:r>
      <w:r>
        <w:instrText>STYLEREF 1 \s</w:instrText>
      </w:r>
      <w:r>
        <w:fldChar w:fldCharType="separate"/>
      </w:r>
      <w:r w:rsidR="00FC42E7">
        <w:rPr>
          <w:noProof/>
        </w:rPr>
        <w:t>4</w:t>
      </w:r>
      <w:r>
        <w:fldChar w:fldCharType="end"/>
      </w:r>
      <w:r>
        <w:t>-</w:t>
      </w:r>
      <w:r>
        <w:fldChar w:fldCharType="begin"/>
      </w:r>
      <w:r>
        <w:instrText>SEQ Figure \* ARABIC \s 1</w:instrText>
      </w:r>
      <w:r>
        <w:fldChar w:fldCharType="separate"/>
      </w:r>
      <w:r w:rsidR="00FC42E7">
        <w:rPr>
          <w:noProof/>
        </w:rPr>
        <w:t>8</w:t>
      </w:r>
      <w:r>
        <w:fldChar w:fldCharType="end"/>
      </w:r>
      <w:r>
        <w:t>: Distillate KPI Dashboard Wireframe</w:t>
      </w:r>
      <w:bookmarkEnd w:id="724"/>
      <w:bookmarkEnd w:id="725"/>
      <w:bookmarkEnd w:id="726"/>
    </w:p>
    <w:p w14:paraId="52204CCA" w14:textId="25C6E333" w:rsidR="002A4DF3" w:rsidRDefault="00B818A6">
      <w:pPr>
        <w:rPr>
          <w:rFonts w:cstheme="minorHAnsi"/>
          <w:sz w:val="20"/>
          <w:szCs w:val="20"/>
        </w:rPr>
      </w:pPr>
      <w:r>
        <w:rPr>
          <w:rFonts w:cstheme="minorHAnsi"/>
          <w:sz w:val="20"/>
          <w:szCs w:val="20"/>
        </w:rPr>
        <w:t xml:space="preserve">Wireframe can be accessed through this link: </w:t>
      </w:r>
      <w:hyperlink r:id="rId55" w:history="1">
        <w:r>
          <w:rPr>
            <w:rStyle w:val="Hyperlink"/>
            <w:rFonts w:cstheme="minorHAnsi"/>
            <w:szCs w:val="20"/>
          </w:rPr>
          <w:t>Distillate KPI Dashboard</w:t>
        </w:r>
      </w:hyperlink>
    </w:p>
    <w:p w14:paraId="47CAC83B" w14:textId="77777777" w:rsidR="00672297" w:rsidRDefault="00A16EA3">
      <w:pPr>
        <w:pStyle w:val="Heading4"/>
        <w:rPr>
          <w:rFonts w:asciiTheme="minorHAnsi" w:hAnsiTheme="minorHAnsi" w:cstheme="minorBidi"/>
          <w:sz w:val="20"/>
          <w:szCs w:val="20"/>
        </w:rPr>
      </w:pPr>
      <w:bookmarkStart w:id="727" w:name="_Toc900950160"/>
      <w:r>
        <w:rPr>
          <w:rFonts w:asciiTheme="minorHAnsi" w:hAnsiTheme="minorHAnsi" w:cstheme="minorBidi"/>
          <w:sz w:val="20"/>
          <w:szCs w:val="20"/>
        </w:rPr>
        <w:t>Report Pages</w:t>
      </w:r>
      <w:bookmarkEnd w:id="727"/>
    </w:p>
    <w:tbl>
      <w:tblPr>
        <w:tblStyle w:val="TableGrid"/>
        <w:tblW w:w="9360" w:type="dxa"/>
        <w:tblLayout w:type="fixed"/>
        <w:tblCellMar>
          <w:left w:w="70" w:type="dxa"/>
          <w:right w:w="70" w:type="dxa"/>
        </w:tblCellMar>
        <w:tblLook w:val="04A0" w:firstRow="1" w:lastRow="0" w:firstColumn="1" w:lastColumn="0" w:noHBand="0" w:noVBand="1"/>
      </w:tblPr>
      <w:tblGrid>
        <w:gridCol w:w="2340"/>
        <w:gridCol w:w="7020"/>
      </w:tblGrid>
      <w:tr w:rsidR="00672297" w14:paraId="674F8D67" w14:textId="77777777">
        <w:trPr>
          <w:cantSplit/>
          <w:tblHeader/>
        </w:trPr>
        <w:tc>
          <w:tcPr>
            <w:tcW w:w="2340" w:type="dxa"/>
            <w:shd w:val="clear" w:color="auto" w:fill="2F5496"/>
            <w:vAlign w:val="center"/>
          </w:tcPr>
          <w:p w14:paraId="49706989" w14:textId="77777777" w:rsidR="00672297" w:rsidRDefault="00A16EA3">
            <w:pPr>
              <w:spacing w:before="20" w:after="20"/>
              <w:jc w:val="left"/>
            </w:pPr>
            <w:r>
              <w:rPr>
                <w:rFonts w:cstheme="minorHAnsi"/>
                <w:b/>
                <w:bCs/>
                <w:color w:val="FFFFFF"/>
                <w:sz w:val="20"/>
                <w:szCs w:val="20"/>
              </w:rPr>
              <w:t>Page Name</w:t>
            </w:r>
          </w:p>
        </w:tc>
        <w:tc>
          <w:tcPr>
            <w:tcW w:w="7020" w:type="dxa"/>
            <w:shd w:val="clear" w:color="auto" w:fill="2F5496"/>
            <w:vAlign w:val="center"/>
          </w:tcPr>
          <w:p w14:paraId="788D7F0A" w14:textId="77777777" w:rsidR="00672297" w:rsidRDefault="00A16EA3">
            <w:pPr>
              <w:spacing w:before="20" w:after="20"/>
              <w:jc w:val="left"/>
            </w:pPr>
            <w:r>
              <w:rPr>
                <w:rFonts w:cstheme="minorHAnsi"/>
                <w:b/>
                <w:bCs/>
                <w:color w:val="FFFFFF"/>
                <w:sz w:val="20"/>
                <w:szCs w:val="20"/>
              </w:rPr>
              <w:t>Purpose</w:t>
            </w:r>
          </w:p>
        </w:tc>
      </w:tr>
      <w:tr w:rsidR="00672297" w14:paraId="0F5969AF" w14:textId="77777777">
        <w:trPr>
          <w:cantSplit/>
        </w:trPr>
        <w:tc>
          <w:tcPr>
            <w:tcW w:w="2340" w:type="dxa"/>
            <w:vAlign w:val="center"/>
          </w:tcPr>
          <w:p w14:paraId="71F0A279" w14:textId="77777777" w:rsidR="00672297" w:rsidRDefault="00A16EA3">
            <w:pPr>
              <w:spacing w:before="20" w:after="20"/>
              <w:jc w:val="left"/>
            </w:pPr>
            <w:r>
              <w:rPr>
                <w:rFonts w:cstheme="minorHAnsi"/>
                <w:sz w:val="20"/>
                <w:szCs w:val="20"/>
              </w:rPr>
              <w:t>Distillate KPI</w:t>
            </w:r>
          </w:p>
        </w:tc>
        <w:tc>
          <w:tcPr>
            <w:tcW w:w="7020" w:type="dxa"/>
            <w:vAlign w:val="center"/>
          </w:tcPr>
          <w:p w14:paraId="3795F80A" w14:textId="77777777" w:rsidR="00672297" w:rsidRDefault="00A16EA3">
            <w:pPr>
              <w:spacing w:before="20" w:after="20"/>
              <w:jc w:val="left"/>
            </w:pPr>
            <w:r>
              <w:rPr>
                <w:rFonts w:cstheme="minorHAnsi"/>
                <w:sz w:val="20"/>
                <w:szCs w:val="20"/>
              </w:rPr>
              <w:t>Give-away cards, property give-away chart, dollar value loss chart, terminal KPI table.</w:t>
            </w:r>
          </w:p>
        </w:tc>
      </w:tr>
      <w:tr w:rsidR="00672297" w14:paraId="5F4D65F3" w14:textId="77777777">
        <w:trPr>
          <w:cantSplit/>
        </w:trPr>
        <w:tc>
          <w:tcPr>
            <w:tcW w:w="2340" w:type="dxa"/>
            <w:vAlign w:val="center"/>
          </w:tcPr>
          <w:p w14:paraId="74380E13" w14:textId="77777777" w:rsidR="00672297" w:rsidRDefault="00A16EA3">
            <w:pPr>
              <w:spacing w:before="20" w:after="20"/>
              <w:jc w:val="left"/>
            </w:pPr>
            <w:r>
              <w:rPr>
                <w:rFonts w:cstheme="minorHAnsi"/>
                <w:sz w:val="20"/>
                <w:szCs w:val="20"/>
              </w:rPr>
              <w:t>User Guide</w:t>
            </w:r>
          </w:p>
        </w:tc>
        <w:tc>
          <w:tcPr>
            <w:tcW w:w="7020" w:type="dxa"/>
            <w:vAlign w:val="center"/>
          </w:tcPr>
          <w:p w14:paraId="2580F540" w14:textId="77777777" w:rsidR="00672297" w:rsidRDefault="00A16EA3">
            <w:pPr>
              <w:spacing w:before="20" w:after="20"/>
              <w:jc w:val="left"/>
            </w:pPr>
            <w:r>
              <w:rPr>
                <w:rFonts w:cstheme="minorHAnsi"/>
                <w:sz w:val="20"/>
                <w:szCs w:val="20"/>
              </w:rPr>
              <w:t>Data sources, visuals, formulas and metrics.</w:t>
            </w:r>
          </w:p>
        </w:tc>
      </w:tr>
    </w:tbl>
    <w:p w14:paraId="374D02FB" w14:textId="186930EC" w:rsidR="00672297" w:rsidRDefault="00A16EA3">
      <w:pPr>
        <w:pStyle w:val="Caption"/>
      </w:pPr>
      <w:bookmarkStart w:id="728" w:name="_Toc900950161"/>
      <w:bookmarkStart w:id="729" w:name="_Toc241574738"/>
      <w:bookmarkStart w:id="730" w:name="_Toc242554122"/>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49</w:t>
      </w:r>
      <w:r>
        <w:fldChar w:fldCharType="end"/>
      </w:r>
      <w:r>
        <w:t>: Distillate KPI Dashboard Report Pages</w:t>
      </w:r>
      <w:bookmarkEnd w:id="728"/>
      <w:bookmarkEnd w:id="729"/>
      <w:bookmarkEnd w:id="730"/>
    </w:p>
    <w:p w14:paraId="207819A6" w14:textId="77777777" w:rsidR="00672297" w:rsidRDefault="00A16EA3">
      <w:pPr>
        <w:pStyle w:val="Heading4"/>
        <w:rPr>
          <w:rFonts w:asciiTheme="minorHAnsi" w:hAnsiTheme="minorHAnsi" w:cstheme="minorBidi"/>
          <w:sz w:val="20"/>
          <w:szCs w:val="20"/>
        </w:rPr>
      </w:pPr>
      <w:bookmarkStart w:id="731" w:name="_Toc900950162"/>
      <w:r>
        <w:rPr>
          <w:rFonts w:asciiTheme="minorHAnsi" w:hAnsiTheme="minorHAnsi" w:cstheme="minorBidi"/>
          <w:sz w:val="20"/>
          <w:szCs w:val="20"/>
        </w:rPr>
        <w:t>Visuals &amp; Features</w:t>
      </w:r>
      <w:bookmarkEnd w:id="731"/>
    </w:p>
    <w:p w14:paraId="3A7CAD34"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Give-Away KPI Cards</w:t>
      </w:r>
      <w:r>
        <w:rPr>
          <w:rFonts w:cstheme="minorHAnsi"/>
          <w:sz w:val="20"/>
          <w:szCs w:val="20"/>
        </w:rPr>
        <w:t xml:space="preserve"> - Flash Give-Away (Avg Δ vs spec, °F), Sulphur Give-Away (Avg Δ vs spec, ppm), T-90 Give-Away (Avg Δ vs spec, °F), each with the subtitle "Max x · n = terminals"; Total Value Loss ($) with the subtitle "Avg $ per terminal · n = terminals".</w:t>
      </w:r>
    </w:p>
    <w:p w14:paraId="5C0D6AB2"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Property Give-Away Δ Chart</w:t>
      </w:r>
      <w:r>
        <w:rPr>
          <w:rFonts w:cstheme="minorHAnsi"/>
          <w:sz w:val="20"/>
          <w:szCs w:val="20"/>
        </w:rPr>
        <w:t xml:space="preserve"> - Δ per property by terminal for Flash, Sulphur, Adj. Cloud, T-90, FBP, Freezing Point and Viscosity. The wireframe offers two layouts (sheet Give-Away Samples): A - two-axis line chart with properties grouped by scale, B - small multiples, one line per property on its own axis. Layout B is recommended because the properties have different units and scales (gap RD-12).</w:t>
      </w:r>
    </w:p>
    <w:p w14:paraId="09C32175"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Dollar Value Give - Opportunity Loss ($)</w:t>
      </w:r>
      <w:r>
        <w:rPr>
          <w:rFonts w:cstheme="minorHAnsi"/>
          <w:sz w:val="20"/>
          <w:szCs w:val="20"/>
        </w:rPr>
        <w:t xml:space="preserve"> - clustered column chart by terminal with the value loss of Flash, Sulphur, Cloud, T-90, FBP, Freeze, Viscosity and Total, calculated with the MPR prices; value labels on bars.</w:t>
      </w:r>
    </w:p>
    <w:p w14:paraId="1DE74379" w14:textId="77777777" w:rsidR="00672297" w:rsidRDefault="00A16EA3" w:rsidP="00652CF3">
      <w:pPr>
        <w:pStyle w:val="ListParagraph"/>
        <w:numPr>
          <w:ilvl w:val="0"/>
          <w:numId w:val="5"/>
        </w:numPr>
        <w:jc w:val="left"/>
        <w:rPr>
          <w:rFonts w:cstheme="minorHAnsi"/>
          <w:sz w:val="20"/>
          <w:szCs w:val="20"/>
        </w:rPr>
      </w:pPr>
      <w:r>
        <w:rPr>
          <w:rFonts w:cstheme="minorHAnsi"/>
          <w:b/>
          <w:bCs/>
          <w:sz w:val="20"/>
          <w:szCs w:val="20"/>
        </w:rPr>
        <w:t>Event Summary Table</w:t>
      </w:r>
      <w:r>
        <w:rPr>
          <w:rFonts w:cstheme="minorHAnsi"/>
          <w:sz w:val="20"/>
          <w:szCs w:val="20"/>
        </w:rPr>
        <w:t xml:space="preserve"> - Check Box, Source, Destination, Product, Total Volume (bbl); for Flash, Sulphur, Adj. Cloud Point, T-90, FBP, Freezing Point and Viscosity: Min, Actual, Max, Delta, Value Loss; Total Value Loss. The Value Loss and Total Value Loss columns use the MPR prices. Search by keyword and download (export) above the table.</w:t>
      </w:r>
    </w:p>
    <w:p w14:paraId="4C1434C0" w14:textId="77777777" w:rsidR="00672297" w:rsidRDefault="00A16EA3">
      <w:pPr>
        <w:pStyle w:val="Heading4"/>
        <w:rPr>
          <w:rFonts w:asciiTheme="minorHAnsi" w:hAnsiTheme="minorHAnsi" w:cstheme="minorBidi"/>
          <w:sz w:val="20"/>
          <w:szCs w:val="20"/>
        </w:rPr>
      </w:pPr>
      <w:bookmarkStart w:id="732" w:name="_Toc900950163"/>
      <w:r>
        <w:rPr>
          <w:rFonts w:asciiTheme="minorHAnsi" w:hAnsiTheme="minorHAnsi" w:cstheme="minorBidi"/>
          <w:sz w:val="20"/>
          <w:szCs w:val="20"/>
        </w:rPr>
        <w:t>Interactive Filters &amp; Controls</w:t>
      </w:r>
      <w:bookmarkEnd w:id="732"/>
    </w:p>
    <w:p w14:paraId="3E3881A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Refinery, Terminal, Grade (default ULSD No 2), Quality (property) and Date Range (wireframe filter row).</w:t>
      </w:r>
    </w:p>
    <w:p w14:paraId="18D24CE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Apply Filters, Search and Export.</w:t>
      </w:r>
    </w:p>
    <w:p w14:paraId="56DC9846" w14:textId="77777777" w:rsidR="00672297" w:rsidRDefault="00A16EA3">
      <w:pPr>
        <w:pStyle w:val="Heading4"/>
        <w:rPr>
          <w:rFonts w:asciiTheme="minorHAnsi" w:hAnsiTheme="minorHAnsi" w:cstheme="minorBidi"/>
          <w:sz w:val="20"/>
          <w:szCs w:val="20"/>
        </w:rPr>
      </w:pPr>
      <w:bookmarkStart w:id="733" w:name="_Toc900950164"/>
      <w:r>
        <w:rPr>
          <w:rFonts w:asciiTheme="minorHAnsi" w:hAnsiTheme="minorHAnsi" w:cstheme="minorBidi"/>
          <w:sz w:val="20"/>
          <w:szCs w:val="20"/>
        </w:rPr>
        <w:t>Backend Data Sources &amp; Mapping</w:t>
      </w:r>
      <w:bookmarkEnd w:id="733"/>
    </w:p>
    <w:tbl>
      <w:tblPr>
        <w:tblStyle w:val="TableGrid"/>
        <w:tblW w:w="9360" w:type="dxa"/>
        <w:tblLayout w:type="fixed"/>
        <w:tblCellMar>
          <w:left w:w="70" w:type="dxa"/>
          <w:right w:w="70" w:type="dxa"/>
        </w:tblCellMar>
        <w:tblLook w:val="04A0" w:firstRow="1" w:lastRow="0" w:firstColumn="1" w:lastColumn="0" w:noHBand="0" w:noVBand="1"/>
      </w:tblPr>
      <w:tblGrid>
        <w:gridCol w:w="2246"/>
        <w:gridCol w:w="1404"/>
        <w:gridCol w:w="2340"/>
        <w:gridCol w:w="2246"/>
        <w:gridCol w:w="1124"/>
      </w:tblGrid>
      <w:tr w:rsidR="00672297" w14:paraId="4DAC97A5" w14:textId="77777777">
        <w:trPr>
          <w:cantSplit/>
          <w:tblHeader/>
        </w:trPr>
        <w:tc>
          <w:tcPr>
            <w:tcW w:w="2246" w:type="dxa"/>
            <w:shd w:val="clear" w:color="auto" w:fill="2F5496"/>
            <w:vAlign w:val="center"/>
          </w:tcPr>
          <w:p w14:paraId="67CAA046" w14:textId="77777777" w:rsidR="00672297" w:rsidRDefault="00A16EA3">
            <w:pPr>
              <w:spacing w:before="20" w:after="20"/>
              <w:jc w:val="left"/>
            </w:pPr>
            <w:r>
              <w:rPr>
                <w:rFonts w:cstheme="minorHAnsi"/>
                <w:b/>
                <w:bCs/>
                <w:color w:val="FFFFFF"/>
                <w:sz w:val="18"/>
                <w:szCs w:val="18"/>
              </w:rPr>
              <w:t>Data Type</w:t>
            </w:r>
          </w:p>
        </w:tc>
        <w:tc>
          <w:tcPr>
            <w:tcW w:w="1404" w:type="dxa"/>
            <w:shd w:val="clear" w:color="auto" w:fill="2F5496"/>
            <w:vAlign w:val="center"/>
          </w:tcPr>
          <w:p w14:paraId="63739E61" w14:textId="77777777" w:rsidR="00672297" w:rsidRDefault="00A16EA3">
            <w:pPr>
              <w:spacing w:before="20" w:after="20"/>
              <w:jc w:val="left"/>
            </w:pPr>
            <w:r>
              <w:rPr>
                <w:rFonts w:cstheme="minorHAnsi"/>
                <w:b/>
                <w:bCs/>
                <w:color w:val="FFFFFF"/>
                <w:sz w:val="18"/>
                <w:szCs w:val="18"/>
              </w:rPr>
              <w:t>Source System</w:t>
            </w:r>
          </w:p>
        </w:tc>
        <w:tc>
          <w:tcPr>
            <w:tcW w:w="2340" w:type="dxa"/>
            <w:shd w:val="clear" w:color="auto" w:fill="2F5496"/>
            <w:vAlign w:val="center"/>
          </w:tcPr>
          <w:p w14:paraId="658FE03A" w14:textId="77777777" w:rsidR="00672297" w:rsidRDefault="00A16EA3">
            <w:pPr>
              <w:spacing w:before="20" w:after="20"/>
              <w:jc w:val="left"/>
            </w:pPr>
            <w:r>
              <w:rPr>
                <w:rFonts w:cstheme="minorHAnsi"/>
                <w:b/>
                <w:bCs/>
                <w:color w:val="FFFFFF"/>
                <w:sz w:val="18"/>
                <w:szCs w:val="18"/>
              </w:rPr>
              <w:t>Primary Table / Source</w:t>
            </w:r>
          </w:p>
        </w:tc>
        <w:tc>
          <w:tcPr>
            <w:tcW w:w="2246" w:type="dxa"/>
            <w:shd w:val="clear" w:color="auto" w:fill="2F5496"/>
            <w:vAlign w:val="center"/>
          </w:tcPr>
          <w:p w14:paraId="5B9A0DF9" w14:textId="77777777" w:rsidR="00672297" w:rsidRDefault="00A16EA3">
            <w:pPr>
              <w:spacing w:before="20" w:after="20"/>
              <w:jc w:val="left"/>
            </w:pPr>
            <w:r>
              <w:rPr>
                <w:rFonts w:cstheme="minorHAnsi"/>
                <w:b/>
                <w:bCs/>
                <w:color w:val="FFFFFF"/>
                <w:sz w:val="18"/>
                <w:szCs w:val="18"/>
              </w:rPr>
              <w:t>Purpose</w:t>
            </w:r>
          </w:p>
        </w:tc>
        <w:tc>
          <w:tcPr>
            <w:tcW w:w="1124" w:type="dxa"/>
            <w:shd w:val="clear" w:color="auto" w:fill="2F5496"/>
            <w:vAlign w:val="center"/>
          </w:tcPr>
          <w:p w14:paraId="401701CB" w14:textId="77777777" w:rsidR="00672297" w:rsidRDefault="00A16EA3">
            <w:pPr>
              <w:spacing w:before="20" w:after="20"/>
              <w:jc w:val="left"/>
            </w:pPr>
            <w:r>
              <w:rPr>
                <w:rFonts w:cstheme="minorHAnsi"/>
                <w:b/>
                <w:bCs/>
                <w:color w:val="FFFFFF"/>
                <w:sz w:val="18"/>
                <w:szCs w:val="18"/>
              </w:rPr>
              <w:t>IQDM</w:t>
            </w:r>
          </w:p>
        </w:tc>
      </w:tr>
      <w:tr w:rsidR="00672297" w14:paraId="572D828C" w14:textId="77777777">
        <w:trPr>
          <w:cantSplit/>
        </w:trPr>
        <w:tc>
          <w:tcPr>
            <w:tcW w:w="2246" w:type="dxa"/>
            <w:vAlign w:val="center"/>
          </w:tcPr>
          <w:p w14:paraId="7142790B" w14:textId="77777777" w:rsidR="00672297" w:rsidRDefault="00A16EA3">
            <w:pPr>
              <w:spacing w:before="20" w:after="20"/>
              <w:jc w:val="left"/>
            </w:pPr>
            <w:r>
              <w:rPr>
                <w:rFonts w:cstheme="minorHAnsi"/>
                <w:sz w:val="18"/>
                <w:szCs w:val="18"/>
              </w:rPr>
              <w:t>Batch quality</w:t>
            </w:r>
          </w:p>
        </w:tc>
        <w:tc>
          <w:tcPr>
            <w:tcW w:w="1404" w:type="dxa"/>
            <w:vAlign w:val="center"/>
          </w:tcPr>
          <w:p w14:paraId="1E2A8E9D" w14:textId="77777777" w:rsidR="00672297" w:rsidRDefault="00A16EA3">
            <w:pPr>
              <w:spacing w:before="20" w:after="20"/>
              <w:jc w:val="left"/>
            </w:pPr>
            <w:r>
              <w:rPr>
                <w:rFonts w:cstheme="minorHAnsi"/>
                <w:sz w:val="18"/>
                <w:szCs w:val="18"/>
              </w:rPr>
              <w:t>LIMS / PQCore</w:t>
            </w:r>
          </w:p>
        </w:tc>
        <w:tc>
          <w:tcPr>
            <w:tcW w:w="2340" w:type="dxa"/>
            <w:vAlign w:val="center"/>
          </w:tcPr>
          <w:p w14:paraId="61ADDB00" w14:textId="77777777" w:rsidR="00672297" w:rsidRDefault="00A16EA3">
            <w:pPr>
              <w:spacing w:before="20" w:after="20"/>
              <w:jc w:val="left"/>
            </w:pPr>
            <w:r>
              <w:rPr>
                <w:rFonts w:cstheme="minorHAnsi"/>
                <w:sz w:val="18"/>
                <w:szCs w:val="18"/>
              </w:rPr>
              <w:t>Sample results</w:t>
            </w:r>
          </w:p>
        </w:tc>
        <w:tc>
          <w:tcPr>
            <w:tcW w:w="2246" w:type="dxa"/>
            <w:vAlign w:val="center"/>
          </w:tcPr>
          <w:p w14:paraId="65B77127" w14:textId="77777777" w:rsidR="00672297" w:rsidRDefault="00A16EA3">
            <w:pPr>
              <w:spacing w:before="20" w:after="20"/>
              <w:jc w:val="left"/>
            </w:pPr>
            <w:r>
              <w:rPr>
                <w:rFonts w:cstheme="minorHAnsi"/>
                <w:sz w:val="18"/>
                <w:szCs w:val="18"/>
              </w:rPr>
              <w:t>Actual Flash, Sulphur, Adj. Cloud, T-90, FBP, Freezing Point, Viscosity per batch</w:t>
            </w:r>
          </w:p>
        </w:tc>
        <w:tc>
          <w:tcPr>
            <w:tcW w:w="1124" w:type="dxa"/>
            <w:vAlign w:val="center"/>
          </w:tcPr>
          <w:p w14:paraId="497CE36C" w14:textId="77777777" w:rsidR="00672297" w:rsidRDefault="00A16EA3">
            <w:pPr>
              <w:spacing w:before="20" w:after="20"/>
              <w:jc w:val="left"/>
            </w:pPr>
            <w:r>
              <w:rPr>
                <w:rFonts w:cstheme="minorHAnsi"/>
                <w:sz w:val="18"/>
                <w:szCs w:val="18"/>
              </w:rPr>
              <w:t>Yes-R#1 / R#2</w:t>
            </w:r>
          </w:p>
        </w:tc>
      </w:tr>
      <w:tr w:rsidR="00672297" w14:paraId="32DFBF33" w14:textId="77777777">
        <w:trPr>
          <w:cantSplit/>
        </w:trPr>
        <w:tc>
          <w:tcPr>
            <w:tcW w:w="2246" w:type="dxa"/>
            <w:vAlign w:val="center"/>
          </w:tcPr>
          <w:p w14:paraId="07F6064F" w14:textId="77777777" w:rsidR="00672297" w:rsidRDefault="00A16EA3">
            <w:pPr>
              <w:spacing w:before="20" w:after="20"/>
              <w:jc w:val="left"/>
            </w:pPr>
            <w:r>
              <w:rPr>
                <w:rFonts w:cstheme="minorHAnsi"/>
                <w:sz w:val="18"/>
                <w:szCs w:val="18"/>
              </w:rPr>
              <w:t>Grade specifications</w:t>
            </w:r>
          </w:p>
        </w:tc>
        <w:tc>
          <w:tcPr>
            <w:tcW w:w="1404" w:type="dxa"/>
            <w:vAlign w:val="center"/>
          </w:tcPr>
          <w:p w14:paraId="045CC930" w14:textId="77777777" w:rsidR="00672297" w:rsidRDefault="00A16EA3">
            <w:pPr>
              <w:spacing w:before="20" w:after="20"/>
              <w:jc w:val="left"/>
            </w:pPr>
            <w:r>
              <w:rPr>
                <w:rFonts w:cstheme="minorHAnsi"/>
                <w:sz w:val="18"/>
                <w:szCs w:val="18"/>
              </w:rPr>
              <w:t>PQ Spec Shop</w:t>
            </w:r>
          </w:p>
        </w:tc>
        <w:tc>
          <w:tcPr>
            <w:tcW w:w="2340" w:type="dxa"/>
            <w:vAlign w:val="center"/>
          </w:tcPr>
          <w:p w14:paraId="769EEAA9" w14:textId="77777777" w:rsidR="00672297" w:rsidRDefault="00A16EA3">
            <w:pPr>
              <w:spacing w:before="20" w:after="20"/>
              <w:jc w:val="left"/>
            </w:pPr>
            <w:r>
              <w:rPr>
                <w:rFonts w:cstheme="minorHAnsi"/>
                <w:sz w:val="18"/>
                <w:szCs w:val="18"/>
              </w:rPr>
              <w:t>product_specification</w:t>
            </w:r>
          </w:p>
        </w:tc>
        <w:tc>
          <w:tcPr>
            <w:tcW w:w="2246" w:type="dxa"/>
            <w:vAlign w:val="center"/>
          </w:tcPr>
          <w:p w14:paraId="499D4663" w14:textId="77777777" w:rsidR="00672297" w:rsidRDefault="00A16EA3">
            <w:pPr>
              <w:spacing w:before="20" w:after="20"/>
              <w:jc w:val="left"/>
            </w:pPr>
            <w:r>
              <w:rPr>
                <w:rFonts w:cstheme="minorHAnsi"/>
                <w:sz w:val="18"/>
                <w:szCs w:val="18"/>
              </w:rPr>
              <w:t>Limits for the give-away calculation</w:t>
            </w:r>
          </w:p>
        </w:tc>
        <w:tc>
          <w:tcPr>
            <w:tcW w:w="1124" w:type="dxa"/>
            <w:vAlign w:val="center"/>
          </w:tcPr>
          <w:p w14:paraId="31A21A82" w14:textId="77777777" w:rsidR="00672297" w:rsidRDefault="00A16EA3">
            <w:pPr>
              <w:spacing w:before="20" w:after="20"/>
              <w:jc w:val="left"/>
            </w:pPr>
            <w:r>
              <w:rPr>
                <w:rFonts w:cstheme="minorHAnsi"/>
                <w:sz w:val="18"/>
                <w:szCs w:val="18"/>
              </w:rPr>
              <w:t>Yes-R#5</w:t>
            </w:r>
          </w:p>
        </w:tc>
      </w:tr>
      <w:tr w:rsidR="00672297" w14:paraId="71BD78C3" w14:textId="77777777">
        <w:trPr>
          <w:cantSplit/>
        </w:trPr>
        <w:tc>
          <w:tcPr>
            <w:tcW w:w="2246" w:type="dxa"/>
            <w:vAlign w:val="center"/>
          </w:tcPr>
          <w:p w14:paraId="4CB6D66D" w14:textId="77777777" w:rsidR="00672297" w:rsidRDefault="00A16EA3">
            <w:pPr>
              <w:spacing w:before="20" w:after="20"/>
              <w:jc w:val="left"/>
            </w:pPr>
            <w:r>
              <w:rPr>
                <w:rFonts w:cstheme="minorHAnsi"/>
                <w:sz w:val="18"/>
                <w:szCs w:val="18"/>
              </w:rPr>
              <w:t>Blend component movements</w:t>
            </w:r>
          </w:p>
        </w:tc>
        <w:tc>
          <w:tcPr>
            <w:tcW w:w="1404" w:type="dxa"/>
            <w:vAlign w:val="center"/>
          </w:tcPr>
          <w:p w14:paraId="1D4CF7B4" w14:textId="77777777" w:rsidR="00672297" w:rsidRDefault="00A16EA3">
            <w:pPr>
              <w:spacing w:before="20" w:after="20"/>
              <w:jc w:val="left"/>
            </w:pPr>
            <w:r>
              <w:rPr>
                <w:rFonts w:cstheme="minorHAnsi"/>
                <w:sz w:val="18"/>
                <w:szCs w:val="18"/>
              </w:rPr>
              <w:t>Kittyhawk</w:t>
            </w:r>
          </w:p>
        </w:tc>
        <w:tc>
          <w:tcPr>
            <w:tcW w:w="2340" w:type="dxa"/>
            <w:vAlign w:val="center"/>
          </w:tcPr>
          <w:p w14:paraId="2CC781A5" w14:textId="77777777" w:rsidR="00672297" w:rsidRDefault="00A16EA3">
            <w:pPr>
              <w:spacing w:before="20" w:after="20"/>
              <w:jc w:val="left"/>
            </w:pPr>
            <w:r>
              <w:rPr>
                <w:rFonts w:cstheme="minorHAnsi"/>
                <w:sz w:val="18"/>
                <w:szCs w:val="18"/>
              </w:rPr>
              <w:t>Transaction upload</w:t>
            </w:r>
          </w:p>
        </w:tc>
        <w:tc>
          <w:tcPr>
            <w:tcW w:w="2246" w:type="dxa"/>
            <w:vAlign w:val="center"/>
          </w:tcPr>
          <w:p w14:paraId="7CC554D4" w14:textId="77777777" w:rsidR="00672297" w:rsidRDefault="00A16EA3">
            <w:pPr>
              <w:spacing w:before="20" w:after="20"/>
              <w:jc w:val="left"/>
            </w:pPr>
            <w:r>
              <w:rPr>
                <w:rFonts w:cstheme="minorHAnsi"/>
                <w:sz w:val="18"/>
                <w:szCs w:val="18"/>
              </w:rPr>
              <w:t>Biodiesel blended (net quantity)</w:t>
            </w:r>
          </w:p>
        </w:tc>
        <w:tc>
          <w:tcPr>
            <w:tcW w:w="1124" w:type="dxa"/>
            <w:vAlign w:val="center"/>
          </w:tcPr>
          <w:p w14:paraId="39544A91" w14:textId="77777777" w:rsidR="00672297" w:rsidRDefault="00A16EA3">
            <w:pPr>
              <w:spacing w:before="20" w:after="20"/>
              <w:jc w:val="left"/>
            </w:pPr>
            <w:r>
              <w:rPr>
                <w:rFonts w:cstheme="minorHAnsi"/>
                <w:sz w:val="18"/>
                <w:szCs w:val="18"/>
              </w:rPr>
              <w:t>No (VCB R3)</w:t>
            </w:r>
          </w:p>
        </w:tc>
      </w:tr>
      <w:tr w:rsidR="00672297" w14:paraId="432E33B4" w14:textId="77777777">
        <w:trPr>
          <w:cantSplit/>
        </w:trPr>
        <w:tc>
          <w:tcPr>
            <w:tcW w:w="2246" w:type="dxa"/>
            <w:vAlign w:val="center"/>
          </w:tcPr>
          <w:p w14:paraId="0CCEB3C0" w14:textId="77777777" w:rsidR="00672297" w:rsidRDefault="00A16EA3">
            <w:pPr>
              <w:spacing w:before="20" w:after="20"/>
              <w:jc w:val="left"/>
            </w:pPr>
            <w:r>
              <w:rPr>
                <w:rFonts w:cstheme="minorHAnsi"/>
                <w:sz w:val="18"/>
                <w:szCs w:val="18"/>
              </w:rPr>
              <w:t>Blend component flows</w:t>
            </w:r>
          </w:p>
        </w:tc>
        <w:tc>
          <w:tcPr>
            <w:tcW w:w="1404" w:type="dxa"/>
            <w:vAlign w:val="center"/>
          </w:tcPr>
          <w:p w14:paraId="70D2773B" w14:textId="77777777" w:rsidR="00672297" w:rsidRDefault="00A16EA3">
            <w:pPr>
              <w:spacing w:before="20" w:after="20"/>
              <w:jc w:val="left"/>
            </w:pPr>
            <w:r>
              <w:rPr>
                <w:rFonts w:cstheme="minorHAnsi"/>
                <w:sz w:val="18"/>
                <w:szCs w:val="18"/>
              </w:rPr>
              <w:t>PIAF</w:t>
            </w:r>
          </w:p>
        </w:tc>
        <w:tc>
          <w:tcPr>
            <w:tcW w:w="2340" w:type="dxa"/>
            <w:vAlign w:val="center"/>
          </w:tcPr>
          <w:p w14:paraId="55351243" w14:textId="77777777" w:rsidR="00672297" w:rsidRDefault="00A16EA3">
            <w:pPr>
              <w:spacing w:before="20" w:after="20"/>
              <w:jc w:val="left"/>
            </w:pPr>
            <w:r>
              <w:rPr>
                <w:rFonts w:cstheme="minorHAnsi"/>
                <w:sz w:val="18"/>
                <w:szCs w:val="18"/>
              </w:rPr>
              <w:t>PI tags</w:t>
            </w:r>
          </w:p>
        </w:tc>
        <w:tc>
          <w:tcPr>
            <w:tcW w:w="2246" w:type="dxa"/>
            <w:vAlign w:val="center"/>
          </w:tcPr>
          <w:p w14:paraId="700A69AE" w14:textId="77777777" w:rsidR="00672297" w:rsidRDefault="00A16EA3">
            <w:pPr>
              <w:spacing w:before="20" w:after="20"/>
              <w:jc w:val="left"/>
            </w:pPr>
            <w:r>
              <w:rPr>
                <w:rFonts w:cstheme="minorHAnsi"/>
                <w:sz w:val="18"/>
                <w:szCs w:val="18"/>
              </w:rPr>
              <w:t>Actual blend-component consumption</w:t>
            </w:r>
          </w:p>
        </w:tc>
        <w:tc>
          <w:tcPr>
            <w:tcW w:w="1124" w:type="dxa"/>
            <w:vAlign w:val="center"/>
          </w:tcPr>
          <w:p w14:paraId="5A853424" w14:textId="55A02B36" w:rsidR="00672297" w:rsidRDefault="00A16EA3">
            <w:pPr>
              <w:spacing w:before="20" w:after="20"/>
              <w:jc w:val="left"/>
            </w:pPr>
            <w:r>
              <w:rPr>
                <w:rFonts w:cstheme="minorHAnsi"/>
                <w:sz w:val="18"/>
                <w:szCs w:val="18"/>
              </w:rPr>
              <w:t xml:space="preserve">No (VCB </w:t>
            </w:r>
            <w:r w:rsidR="00371C86">
              <w:rPr>
                <w:rFonts w:cstheme="minorHAnsi"/>
                <w:sz w:val="18"/>
                <w:szCs w:val="18"/>
              </w:rPr>
              <w:t>R3</w:t>
            </w:r>
            <w:r>
              <w:rPr>
                <w:rFonts w:cstheme="minorHAnsi"/>
                <w:sz w:val="18"/>
                <w:szCs w:val="18"/>
              </w:rPr>
              <w:t>)</w:t>
            </w:r>
          </w:p>
        </w:tc>
      </w:tr>
      <w:tr w:rsidR="00672297" w14:paraId="51F283CB" w14:textId="77777777">
        <w:trPr>
          <w:cantSplit/>
        </w:trPr>
        <w:tc>
          <w:tcPr>
            <w:tcW w:w="2246" w:type="dxa"/>
            <w:vAlign w:val="center"/>
          </w:tcPr>
          <w:p w14:paraId="5E824613" w14:textId="77777777" w:rsidR="00672297" w:rsidRDefault="00A16EA3">
            <w:pPr>
              <w:spacing w:before="20" w:after="20"/>
              <w:jc w:val="left"/>
            </w:pPr>
            <w:r>
              <w:rPr>
                <w:rFonts w:cstheme="minorHAnsi"/>
                <w:sz w:val="18"/>
                <w:szCs w:val="18"/>
              </w:rPr>
              <w:t>Give-away value / pricing</w:t>
            </w:r>
          </w:p>
        </w:tc>
        <w:tc>
          <w:tcPr>
            <w:tcW w:w="1404" w:type="dxa"/>
            <w:vAlign w:val="center"/>
          </w:tcPr>
          <w:p w14:paraId="46C71DE5" w14:textId="77777777" w:rsidR="00672297" w:rsidRDefault="00A16EA3">
            <w:pPr>
              <w:spacing w:before="20" w:after="20"/>
              <w:jc w:val="left"/>
            </w:pPr>
            <w:r>
              <w:rPr>
                <w:rFonts w:cstheme="minorHAnsi"/>
                <w:sz w:val="18"/>
                <w:szCs w:val="18"/>
              </w:rPr>
              <w:t>MPR (API)</w:t>
            </w:r>
          </w:p>
        </w:tc>
        <w:tc>
          <w:tcPr>
            <w:tcW w:w="2340" w:type="dxa"/>
            <w:vAlign w:val="center"/>
          </w:tcPr>
          <w:p w14:paraId="5FD2AF9C" w14:textId="77777777" w:rsidR="00672297" w:rsidRDefault="00A16EA3">
            <w:pPr>
              <w:spacing w:before="20" w:after="20"/>
              <w:jc w:val="left"/>
            </w:pPr>
            <w:r>
              <w:rPr>
                <w:rFonts w:cstheme="minorHAnsi"/>
                <w:sz w:val="18"/>
                <w:szCs w:val="18"/>
              </w:rPr>
              <w:t>MPR_Price in Power BI; joined on globalCode + productAbbreviation</w:t>
            </w:r>
          </w:p>
        </w:tc>
        <w:tc>
          <w:tcPr>
            <w:tcW w:w="2246" w:type="dxa"/>
            <w:vAlign w:val="center"/>
          </w:tcPr>
          <w:p w14:paraId="30A7D036" w14:textId="77777777" w:rsidR="00672297" w:rsidRDefault="00A16EA3">
            <w:pPr>
              <w:spacing w:before="20" w:after="20"/>
              <w:jc w:val="left"/>
            </w:pPr>
            <w:r>
              <w:rPr>
                <w:rFonts w:cstheme="minorHAnsi"/>
                <w:sz w:val="18"/>
                <w:szCs w:val="18"/>
              </w:rPr>
              <w:t>$ per unit of give-away per bbl</w:t>
            </w:r>
          </w:p>
        </w:tc>
        <w:tc>
          <w:tcPr>
            <w:tcW w:w="1124" w:type="dxa"/>
            <w:vAlign w:val="center"/>
          </w:tcPr>
          <w:p w14:paraId="30EB679B" w14:textId="77777777" w:rsidR="00672297" w:rsidRDefault="00A16EA3">
            <w:pPr>
              <w:spacing w:before="20" w:after="20"/>
              <w:jc w:val="left"/>
            </w:pPr>
            <w:r>
              <w:rPr>
                <w:rFonts w:cstheme="minorHAnsi"/>
                <w:sz w:val="18"/>
                <w:szCs w:val="18"/>
              </w:rPr>
              <w:t>No (VCB R3; not stored in IQDM)</w:t>
            </w:r>
          </w:p>
        </w:tc>
      </w:tr>
      <w:tr w:rsidR="00672297" w14:paraId="5994DC88" w14:textId="77777777">
        <w:trPr>
          <w:cantSplit/>
        </w:trPr>
        <w:tc>
          <w:tcPr>
            <w:tcW w:w="2246" w:type="dxa"/>
            <w:vAlign w:val="center"/>
          </w:tcPr>
          <w:p w14:paraId="5FB6DE75" w14:textId="77777777" w:rsidR="00672297" w:rsidRDefault="00A16EA3">
            <w:pPr>
              <w:spacing w:before="20" w:after="20"/>
              <w:jc w:val="left"/>
            </w:pPr>
            <w:r>
              <w:rPr>
                <w:rFonts w:cstheme="minorHAnsi"/>
                <w:sz w:val="18"/>
                <w:szCs w:val="18"/>
              </w:rPr>
              <w:t>Product movement</w:t>
            </w:r>
          </w:p>
        </w:tc>
        <w:tc>
          <w:tcPr>
            <w:tcW w:w="1404" w:type="dxa"/>
            <w:vAlign w:val="center"/>
          </w:tcPr>
          <w:p w14:paraId="058114EF" w14:textId="77777777" w:rsidR="00672297" w:rsidRDefault="00A16EA3">
            <w:pPr>
              <w:spacing w:before="20" w:after="20"/>
              <w:jc w:val="left"/>
            </w:pPr>
            <w:r>
              <w:rPr>
                <w:rFonts w:cstheme="minorHAnsi"/>
                <w:sz w:val="18"/>
                <w:szCs w:val="18"/>
              </w:rPr>
              <w:t>Kittyhawk</w:t>
            </w:r>
          </w:p>
        </w:tc>
        <w:tc>
          <w:tcPr>
            <w:tcW w:w="2340" w:type="dxa"/>
            <w:vAlign w:val="center"/>
          </w:tcPr>
          <w:p w14:paraId="440CD3EA" w14:textId="77777777" w:rsidR="00672297" w:rsidRDefault="00A16EA3">
            <w:pPr>
              <w:spacing w:before="20" w:after="20"/>
              <w:jc w:val="left"/>
            </w:pPr>
            <w:r>
              <w:rPr>
                <w:rFonts w:cstheme="minorHAnsi"/>
                <w:sz w:val="18"/>
                <w:szCs w:val="18"/>
              </w:rPr>
              <w:t>Transfer / BulkTransfer</w:t>
            </w:r>
          </w:p>
        </w:tc>
        <w:tc>
          <w:tcPr>
            <w:tcW w:w="2246" w:type="dxa"/>
            <w:vAlign w:val="center"/>
          </w:tcPr>
          <w:p w14:paraId="3B2A8F99" w14:textId="77777777" w:rsidR="00672297" w:rsidRDefault="00A16EA3">
            <w:pPr>
              <w:spacing w:before="20" w:after="20"/>
              <w:jc w:val="left"/>
            </w:pPr>
            <w:r>
              <w:rPr>
                <w:rFonts w:cstheme="minorHAnsi"/>
                <w:sz w:val="18"/>
                <w:szCs w:val="18"/>
              </w:rPr>
              <w:t>Terminal destination and volume</w:t>
            </w:r>
          </w:p>
        </w:tc>
        <w:tc>
          <w:tcPr>
            <w:tcW w:w="1124" w:type="dxa"/>
            <w:vAlign w:val="center"/>
          </w:tcPr>
          <w:p w14:paraId="6AD3C762" w14:textId="77777777" w:rsidR="00672297" w:rsidRDefault="00A16EA3">
            <w:pPr>
              <w:spacing w:before="20" w:after="20"/>
              <w:jc w:val="left"/>
            </w:pPr>
            <w:r>
              <w:rPr>
                <w:rFonts w:cstheme="minorHAnsi"/>
                <w:sz w:val="18"/>
                <w:szCs w:val="18"/>
              </w:rPr>
              <w:t>Yes-R#2</w:t>
            </w:r>
          </w:p>
        </w:tc>
      </w:tr>
    </w:tbl>
    <w:p w14:paraId="3EDD36D5" w14:textId="5CEF9E3B" w:rsidR="00672297" w:rsidRDefault="00A16EA3">
      <w:pPr>
        <w:pStyle w:val="Caption"/>
      </w:pPr>
      <w:bookmarkStart w:id="734" w:name="_Toc900950165"/>
      <w:bookmarkStart w:id="735" w:name="_Toc241574739"/>
      <w:bookmarkStart w:id="736" w:name="_Toc242554123"/>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50</w:t>
      </w:r>
      <w:r>
        <w:fldChar w:fldCharType="end"/>
      </w:r>
      <w:r>
        <w:t>: Distillate KPI Dashboard Data Source Overview</w:t>
      </w:r>
      <w:bookmarkEnd w:id="734"/>
      <w:bookmarkEnd w:id="735"/>
      <w:bookmarkEnd w:id="736"/>
    </w:p>
    <w:tbl>
      <w:tblPr>
        <w:tblStyle w:val="TableGrid"/>
        <w:tblW w:w="9360" w:type="dxa"/>
        <w:tblLayout w:type="fixed"/>
        <w:tblCellMar>
          <w:left w:w="70" w:type="dxa"/>
          <w:right w:w="70" w:type="dxa"/>
        </w:tblCellMar>
        <w:tblLook w:val="04A0" w:firstRow="1" w:lastRow="0" w:firstColumn="1" w:lastColumn="0" w:noHBand="0" w:noVBand="1"/>
      </w:tblPr>
      <w:tblGrid>
        <w:gridCol w:w="1872"/>
        <w:gridCol w:w="1684"/>
        <w:gridCol w:w="1872"/>
        <w:gridCol w:w="1123"/>
        <w:gridCol w:w="2809"/>
      </w:tblGrid>
      <w:tr w:rsidR="00672297" w14:paraId="17E62D87" w14:textId="77777777">
        <w:trPr>
          <w:cantSplit/>
          <w:tblHeader/>
        </w:trPr>
        <w:tc>
          <w:tcPr>
            <w:tcW w:w="1872" w:type="dxa"/>
            <w:shd w:val="clear" w:color="auto" w:fill="2F5496"/>
            <w:vAlign w:val="center"/>
          </w:tcPr>
          <w:p w14:paraId="478D52A9" w14:textId="77777777" w:rsidR="00672297" w:rsidRDefault="00A16EA3">
            <w:pPr>
              <w:spacing w:before="20" w:after="20"/>
              <w:jc w:val="left"/>
            </w:pPr>
            <w:r>
              <w:rPr>
                <w:rFonts w:cstheme="minorHAnsi"/>
                <w:b/>
                <w:bCs/>
                <w:color w:val="FFFFFF"/>
                <w:sz w:val="18"/>
                <w:szCs w:val="18"/>
              </w:rPr>
              <w:t>Dashboard Field</w:t>
            </w:r>
          </w:p>
        </w:tc>
        <w:tc>
          <w:tcPr>
            <w:tcW w:w="1684" w:type="dxa"/>
            <w:shd w:val="clear" w:color="auto" w:fill="2F5496"/>
            <w:vAlign w:val="center"/>
          </w:tcPr>
          <w:p w14:paraId="13A8E99A" w14:textId="77777777" w:rsidR="00672297" w:rsidRDefault="00A16EA3">
            <w:pPr>
              <w:spacing w:before="20" w:after="20"/>
              <w:jc w:val="left"/>
            </w:pPr>
            <w:r>
              <w:rPr>
                <w:rFonts w:cstheme="minorHAnsi"/>
                <w:b/>
                <w:bCs/>
                <w:color w:val="FFFFFF"/>
                <w:sz w:val="18"/>
                <w:szCs w:val="18"/>
              </w:rPr>
              <w:t>Source Table</w:t>
            </w:r>
          </w:p>
        </w:tc>
        <w:tc>
          <w:tcPr>
            <w:tcW w:w="1872" w:type="dxa"/>
            <w:shd w:val="clear" w:color="auto" w:fill="2F5496"/>
            <w:vAlign w:val="center"/>
          </w:tcPr>
          <w:p w14:paraId="52166201" w14:textId="77777777" w:rsidR="00672297" w:rsidRDefault="00A16EA3">
            <w:pPr>
              <w:spacing w:before="20" w:after="20"/>
              <w:jc w:val="left"/>
            </w:pPr>
            <w:r>
              <w:rPr>
                <w:rFonts w:cstheme="minorHAnsi"/>
                <w:b/>
                <w:bCs/>
                <w:color w:val="FFFFFF"/>
                <w:sz w:val="18"/>
                <w:szCs w:val="18"/>
              </w:rPr>
              <w:t>Field Used</w:t>
            </w:r>
          </w:p>
        </w:tc>
        <w:tc>
          <w:tcPr>
            <w:tcW w:w="1123" w:type="dxa"/>
            <w:shd w:val="clear" w:color="auto" w:fill="2F5496"/>
            <w:vAlign w:val="center"/>
          </w:tcPr>
          <w:p w14:paraId="3FBAAEE2" w14:textId="77777777" w:rsidR="00672297" w:rsidRDefault="00A16EA3">
            <w:pPr>
              <w:spacing w:before="20" w:after="20"/>
              <w:jc w:val="left"/>
            </w:pPr>
            <w:r>
              <w:rPr>
                <w:rFonts w:cstheme="minorHAnsi"/>
                <w:b/>
                <w:bCs/>
                <w:color w:val="FFFFFF"/>
                <w:sz w:val="18"/>
                <w:szCs w:val="18"/>
              </w:rPr>
              <w:t>IQDM</w:t>
            </w:r>
          </w:p>
        </w:tc>
        <w:tc>
          <w:tcPr>
            <w:tcW w:w="2809" w:type="dxa"/>
            <w:shd w:val="clear" w:color="auto" w:fill="2F5496"/>
            <w:vAlign w:val="center"/>
          </w:tcPr>
          <w:p w14:paraId="77D3EADE" w14:textId="77777777" w:rsidR="00672297" w:rsidRDefault="00A16EA3">
            <w:pPr>
              <w:spacing w:before="20" w:after="20"/>
              <w:jc w:val="left"/>
            </w:pPr>
            <w:r>
              <w:rPr>
                <w:rFonts w:cstheme="minorHAnsi"/>
                <w:b/>
                <w:bCs/>
                <w:color w:val="FFFFFF"/>
                <w:sz w:val="18"/>
                <w:szCs w:val="18"/>
              </w:rPr>
              <w:t>VCB View Column</w:t>
            </w:r>
          </w:p>
        </w:tc>
      </w:tr>
      <w:tr w:rsidR="00672297" w14:paraId="6923A23B" w14:textId="77777777">
        <w:trPr>
          <w:cantSplit/>
        </w:trPr>
        <w:tc>
          <w:tcPr>
            <w:tcW w:w="1872" w:type="dxa"/>
            <w:vAlign w:val="center"/>
          </w:tcPr>
          <w:p w14:paraId="746D56A7" w14:textId="77777777" w:rsidR="00672297" w:rsidRDefault="00A16EA3">
            <w:pPr>
              <w:spacing w:before="20" w:after="20"/>
              <w:jc w:val="left"/>
            </w:pPr>
            <w:r>
              <w:rPr>
                <w:rFonts w:cstheme="minorHAnsi"/>
                <w:sz w:val="18"/>
                <w:szCs w:val="18"/>
              </w:rPr>
              <w:t>Source / Destination / Product</w:t>
            </w:r>
          </w:p>
        </w:tc>
        <w:tc>
          <w:tcPr>
            <w:tcW w:w="1684" w:type="dxa"/>
            <w:vAlign w:val="center"/>
          </w:tcPr>
          <w:p w14:paraId="21A230DE" w14:textId="77777777" w:rsidR="00672297" w:rsidRDefault="00A16EA3">
            <w:pPr>
              <w:spacing w:before="20" w:after="20"/>
              <w:jc w:val="left"/>
            </w:pPr>
            <w:r>
              <w:rPr>
                <w:rFonts w:cstheme="minorHAnsi"/>
                <w:sz w:val="18"/>
                <w:szCs w:val="18"/>
              </w:rPr>
              <w:t>_EVENT / BulkTransfer / PRODUCTS</w:t>
            </w:r>
          </w:p>
        </w:tc>
        <w:tc>
          <w:tcPr>
            <w:tcW w:w="1872" w:type="dxa"/>
            <w:vAlign w:val="center"/>
          </w:tcPr>
          <w:p w14:paraId="66397336" w14:textId="77777777" w:rsidR="00672297" w:rsidRDefault="00A16EA3">
            <w:pPr>
              <w:spacing w:before="20" w:after="20"/>
              <w:jc w:val="left"/>
            </w:pPr>
            <w:r>
              <w:rPr>
                <w:rFonts w:cstheme="minorHAnsi"/>
                <w:sz w:val="18"/>
                <w:szCs w:val="18"/>
              </w:rPr>
              <w:t>Location / Destination / DESCRIPTION</w:t>
            </w:r>
          </w:p>
        </w:tc>
        <w:tc>
          <w:tcPr>
            <w:tcW w:w="1123" w:type="dxa"/>
            <w:vAlign w:val="center"/>
          </w:tcPr>
          <w:p w14:paraId="4505D228" w14:textId="77777777" w:rsidR="00672297" w:rsidRDefault="00A16EA3">
            <w:pPr>
              <w:spacing w:before="20" w:after="20"/>
              <w:jc w:val="left"/>
            </w:pPr>
            <w:r>
              <w:rPr>
                <w:rFonts w:cstheme="minorHAnsi"/>
                <w:sz w:val="18"/>
                <w:szCs w:val="18"/>
              </w:rPr>
              <w:t>Yes-R#1 / R#2</w:t>
            </w:r>
          </w:p>
        </w:tc>
        <w:tc>
          <w:tcPr>
            <w:tcW w:w="2809" w:type="dxa"/>
            <w:vAlign w:val="center"/>
          </w:tcPr>
          <w:p w14:paraId="0B5C25D2" w14:textId="77777777" w:rsidR="00672297" w:rsidRDefault="00A16EA3">
            <w:pPr>
              <w:spacing w:before="20" w:after="20"/>
              <w:jc w:val="left"/>
            </w:pPr>
            <w:r>
              <w:rPr>
                <w:rFonts w:cstheme="minorHAnsi"/>
                <w:sz w:val="18"/>
                <w:szCs w:val="18"/>
              </w:rPr>
              <w:t>vwDistillateBlendingKPI[Source] / [Destination] / [Product]</w:t>
            </w:r>
          </w:p>
        </w:tc>
      </w:tr>
      <w:tr w:rsidR="00672297" w14:paraId="1A6B62AA" w14:textId="77777777">
        <w:trPr>
          <w:cantSplit/>
        </w:trPr>
        <w:tc>
          <w:tcPr>
            <w:tcW w:w="1872" w:type="dxa"/>
            <w:vAlign w:val="center"/>
          </w:tcPr>
          <w:p w14:paraId="1713B370" w14:textId="77777777" w:rsidR="00672297" w:rsidRDefault="00A16EA3">
            <w:pPr>
              <w:spacing w:before="20" w:after="20"/>
              <w:jc w:val="left"/>
            </w:pPr>
            <w:r>
              <w:rPr>
                <w:rFonts w:cstheme="minorHAnsi"/>
                <w:sz w:val="18"/>
                <w:szCs w:val="18"/>
              </w:rPr>
              <w:t>Total Volume (bbl)</w:t>
            </w:r>
          </w:p>
        </w:tc>
        <w:tc>
          <w:tcPr>
            <w:tcW w:w="1684" w:type="dxa"/>
            <w:vAlign w:val="center"/>
          </w:tcPr>
          <w:p w14:paraId="69D788C8" w14:textId="77777777" w:rsidR="00672297" w:rsidRDefault="00A16EA3">
            <w:pPr>
              <w:spacing w:before="20" w:after="20"/>
              <w:jc w:val="left"/>
            </w:pPr>
            <w:r>
              <w:rPr>
                <w:rFonts w:cstheme="minorHAnsi"/>
                <w:sz w:val="18"/>
                <w:szCs w:val="18"/>
              </w:rPr>
              <w:t>BulkTransfer / Transfer</w:t>
            </w:r>
          </w:p>
        </w:tc>
        <w:tc>
          <w:tcPr>
            <w:tcW w:w="1872" w:type="dxa"/>
            <w:vAlign w:val="center"/>
          </w:tcPr>
          <w:p w14:paraId="0CA74A3C" w14:textId="77777777" w:rsidR="00672297" w:rsidRDefault="00A16EA3">
            <w:pPr>
              <w:spacing w:before="20" w:after="20"/>
              <w:jc w:val="left"/>
            </w:pPr>
            <w:r>
              <w:rPr>
                <w:rFonts w:cstheme="minorHAnsi"/>
                <w:sz w:val="18"/>
                <w:szCs w:val="18"/>
              </w:rPr>
              <w:t>Actual Quantity</w:t>
            </w:r>
          </w:p>
        </w:tc>
        <w:tc>
          <w:tcPr>
            <w:tcW w:w="1123" w:type="dxa"/>
            <w:vAlign w:val="center"/>
          </w:tcPr>
          <w:p w14:paraId="08D790A7" w14:textId="77777777" w:rsidR="00672297" w:rsidRDefault="00A16EA3">
            <w:pPr>
              <w:spacing w:before="20" w:after="20"/>
              <w:jc w:val="left"/>
            </w:pPr>
            <w:r>
              <w:rPr>
                <w:rFonts w:cstheme="minorHAnsi"/>
                <w:sz w:val="18"/>
                <w:szCs w:val="18"/>
              </w:rPr>
              <w:t>Yes-R#2</w:t>
            </w:r>
          </w:p>
        </w:tc>
        <w:tc>
          <w:tcPr>
            <w:tcW w:w="2809" w:type="dxa"/>
            <w:vAlign w:val="center"/>
          </w:tcPr>
          <w:p w14:paraId="50D51AA1" w14:textId="77777777" w:rsidR="00672297" w:rsidRDefault="00A16EA3">
            <w:pPr>
              <w:spacing w:before="20" w:after="20"/>
              <w:jc w:val="left"/>
            </w:pPr>
            <w:r>
              <w:rPr>
                <w:rFonts w:cstheme="minorHAnsi"/>
                <w:sz w:val="18"/>
                <w:szCs w:val="18"/>
              </w:rPr>
              <w:t>[TotalVolumeBbl]</w:t>
            </w:r>
          </w:p>
        </w:tc>
      </w:tr>
      <w:tr w:rsidR="00672297" w14:paraId="3A840886" w14:textId="77777777">
        <w:trPr>
          <w:cantSplit/>
        </w:trPr>
        <w:tc>
          <w:tcPr>
            <w:tcW w:w="1872" w:type="dxa"/>
            <w:vAlign w:val="center"/>
          </w:tcPr>
          <w:p w14:paraId="24B4D4DF" w14:textId="77777777" w:rsidR="00672297" w:rsidRDefault="00A16EA3">
            <w:pPr>
              <w:spacing w:before="20" w:after="20"/>
              <w:jc w:val="left"/>
            </w:pPr>
            <w:r>
              <w:rPr>
                <w:rFonts w:cstheme="minorHAnsi"/>
                <w:sz w:val="18"/>
                <w:szCs w:val="18"/>
              </w:rPr>
              <w:t>Actual (per property)</w:t>
            </w:r>
          </w:p>
        </w:tc>
        <w:tc>
          <w:tcPr>
            <w:tcW w:w="1684" w:type="dxa"/>
            <w:vAlign w:val="center"/>
          </w:tcPr>
          <w:p w14:paraId="485742EE" w14:textId="77777777" w:rsidR="00672297" w:rsidRDefault="00A16EA3">
            <w:pPr>
              <w:spacing w:before="20" w:after="20"/>
              <w:jc w:val="left"/>
            </w:pPr>
            <w:r>
              <w:rPr>
                <w:rFonts w:cstheme="minorHAnsi"/>
                <w:sz w:val="18"/>
                <w:szCs w:val="18"/>
              </w:rPr>
              <w:t>LIMS sample results / PQCore</w:t>
            </w:r>
          </w:p>
        </w:tc>
        <w:tc>
          <w:tcPr>
            <w:tcW w:w="1872" w:type="dxa"/>
            <w:vAlign w:val="center"/>
          </w:tcPr>
          <w:p w14:paraId="56AF8F15" w14:textId="77777777" w:rsidR="00672297" w:rsidRDefault="00A16EA3">
            <w:pPr>
              <w:spacing w:before="20" w:after="20"/>
              <w:jc w:val="left"/>
            </w:pPr>
            <w:r>
              <w:rPr>
                <w:rFonts w:cstheme="minorHAnsi"/>
                <w:sz w:val="18"/>
                <w:szCs w:val="18"/>
              </w:rPr>
              <w:t>Quality tag values</w:t>
            </w:r>
          </w:p>
        </w:tc>
        <w:tc>
          <w:tcPr>
            <w:tcW w:w="1123" w:type="dxa"/>
            <w:vAlign w:val="center"/>
          </w:tcPr>
          <w:p w14:paraId="281104AD" w14:textId="77777777" w:rsidR="00672297" w:rsidRDefault="00A16EA3">
            <w:pPr>
              <w:spacing w:before="20" w:after="20"/>
              <w:jc w:val="left"/>
            </w:pPr>
            <w:r>
              <w:rPr>
                <w:rFonts w:cstheme="minorHAnsi"/>
                <w:sz w:val="18"/>
                <w:szCs w:val="18"/>
              </w:rPr>
              <w:t>Yes-R#1 / R#2</w:t>
            </w:r>
          </w:p>
        </w:tc>
        <w:tc>
          <w:tcPr>
            <w:tcW w:w="2809" w:type="dxa"/>
            <w:vAlign w:val="center"/>
          </w:tcPr>
          <w:p w14:paraId="2FED37D7" w14:textId="77777777" w:rsidR="00672297" w:rsidRDefault="00A16EA3">
            <w:pPr>
              <w:spacing w:before="20" w:after="20"/>
              <w:jc w:val="left"/>
            </w:pPr>
            <w:r>
              <w:rPr>
                <w:rFonts w:cstheme="minorHAnsi"/>
                <w:sz w:val="18"/>
                <w:szCs w:val="18"/>
              </w:rPr>
              <w:t>[&lt;Property&gt;Actual]</w:t>
            </w:r>
          </w:p>
        </w:tc>
      </w:tr>
      <w:tr w:rsidR="00672297" w14:paraId="67C7432B" w14:textId="77777777">
        <w:trPr>
          <w:cantSplit/>
        </w:trPr>
        <w:tc>
          <w:tcPr>
            <w:tcW w:w="1872" w:type="dxa"/>
            <w:vAlign w:val="center"/>
          </w:tcPr>
          <w:p w14:paraId="7647D937" w14:textId="77777777" w:rsidR="00672297" w:rsidRDefault="00A16EA3">
            <w:pPr>
              <w:spacing w:before="20" w:after="20"/>
              <w:jc w:val="left"/>
            </w:pPr>
            <w:r>
              <w:rPr>
                <w:rFonts w:cstheme="minorHAnsi"/>
                <w:sz w:val="18"/>
                <w:szCs w:val="18"/>
              </w:rPr>
              <w:t>Min / Max</w:t>
            </w:r>
          </w:p>
        </w:tc>
        <w:tc>
          <w:tcPr>
            <w:tcW w:w="1684" w:type="dxa"/>
            <w:vAlign w:val="center"/>
          </w:tcPr>
          <w:p w14:paraId="3D64F955" w14:textId="77777777" w:rsidR="00672297" w:rsidRDefault="00A16EA3">
            <w:pPr>
              <w:spacing w:before="20" w:after="20"/>
              <w:jc w:val="left"/>
            </w:pPr>
            <w:r>
              <w:rPr>
                <w:rFonts w:cstheme="minorHAnsi"/>
                <w:sz w:val="18"/>
                <w:szCs w:val="18"/>
              </w:rPr>
              <w:t>PQ Spec Shop</w:t>
            </w:r>
          </w:p>
        </w:tc>
        <w:tc>
          <w:tcPr>
            <w:tcW w:w="1872" w:type="dxa"/>
            <w:vAlign w:val="center"/>
          </w:tcPr>
          <w:p w14:paraId="65BE1083" w14:textId="77777777" w:rsidR="00672297" w:rsidRDefault="00A16EA3">
            <w:pPr>
              <w:spacing w:before="20" w:after="20"/>
              <w:jc w:val="left"/>
            </w:pPr>
            <w:r>
              <w:rPr>
                <w:rFonts w:cstheme="minorHAnsi"/>
                <w:sz w:val="18"/>
                <w:szCs w:val="18"/>
              </w:rPr>
              <w:t>Specification rows</w:t>
            </w:r>
          </w:p>
        </w:tc>
        <w:tc>
          <w:tcPr>
            <w:tcW w:w="1123" w:type="dxa"/>
            <w:vAlign w:val="center"/>
          </w:tcPr>
          <w:p w14:paraId="478C5B3D" w14:textId="77777777" w:rsidR="00672297" w:rsidRDefault="00A16EA3">
            <w:pPr>
              <w:spacing w:before="20" w:after="20"/>
              <w:jc w:val="left"/>
            </w:pPr>
            <w:r>
              <w:rPr>
                <w:rFonts w:cstheme="minorHAnsi"/>
                <w:sz w:val="18"/>
                <w:szCs w:val="18"/>
              </w:rPr>
              <w:t>Yes-R#5</w:t>
            </w:r>
          </w:p>
        </w:tc>
        <w:tc>
          <w:tcPr>
            <w:tcW w:w="2809" w:type="dxa"/>
            <w:vAlign w:val="center"/>
          </w:tcPr>
          <w:p w14:paraId="6E951158" w14:textId="77777777" w:rsidR="00672297" w:rsidRDefault="00A16EA3">
            <w:pPr>
              <w:spacing w:before="20" w:after="20"/>
              <w:jc w:val="left"/>
            </w:pPr>
            <w:r>
              <w:rPr>
                <w:rFonts w:cstheme="minorHAnsi"/>
                <w:sz w:val="18"/>
                <w:szCs w:val="18"/>
              </w:rPr>
              <w:t>[&lt;Property&gt;Min] / [&lt;Property&gt;Max]</w:t>
            </w:r>
          </w:p>
        </w:tc>
      </w:tr>
      <w:tr w:rsidR="00672297" w14:paraId="6CBA778F" w14:textId="77777777">
        <w:trPr>
          <w:cantSplit/>
        </w:trPr>
        <w:tc>
          <w:tcPr>
            <w:tcW w:w="1872" w:type="dxa"/>
            <w:vAlign w:val="center"/>
          </w:tcPr>
          <w:p w14:paraId="6268BF88" w14:textId="77777777" w:rsidR="00672297" w:rsidRDefault="00A16EA3">
            <w:pPr>
              <w:spacing w:before="20" w:after="20"/>
              <w:jc w:val="left"/>
            </w:pPr>
            <w:r>
              <w:rPr>
                <w:rFonts w:cstheme="minorHAnsi"/>
                <w:sz w:val="18"/>
                <w:szCs w:val="18"/>
              </w:rPr>
              <w:t>Delta</w:t>
            </w:r>
          </w:p>
        </w:tc>
        <w:tc>
          <w:tcPr>
            <w:tcW w:w="1684" w:type="dxa"/>
            <w:vAlign w:val="center"/>
          </w:tcPr>
          <w:p w14:paraId="6788A85C" w14:textId="77777777" w:rsidR="00672297" w:rsidRDefault="00A16EA3">
            <w:pPr>
              <w:spacing w:before="20" w:after="20"/>
              <w:jc w:val="left"/>
            </w:pPr>
            <w:r>
              <w:rPr>
                <w:rFonts w:cstheme="minorHAnsi"/>
                <w:sz w:val="18"/>
                <w:szCs w:val="18"/>
              </w:rPr>
              <w:t>Calculated</w:t>
            </w:r>
          </w:p>
        </w:tc>
        <w:tc>
          <w:tcPr>
            <w:tcW w:w="1872" w:type="dxa"/>
            <w:vAlign w:val="center"/>
          </w:tcPr>
          <w:p w14:paraId="00AFB71B" w14:textId="77777777" w:rsidR="00672297" w:rsidRDefault="00A16EA3">
            <w:pPr>
              <w:spacing w:before="20" w:after="20"/>
              <w:jc w:val="left"/>
            </w:pPr>
            <w:r>
              <w:rPr>
                <w:rFonts w:cstheme="minorHAnsi"/>
                <w:sz w:val="18"/>
                <w:szCs w:val="18"/>
              </w:rPr>
              <w:t>give_away_delta</w:t>
            </w:r>
          </w:p>
        </w:tc>
        <w:tc>
          <w:tcPr>
            <w:tcW w:w="1123" w:type="dxa"/>
            <w:vAlign w:val="center"/>
          </w:tcPr>
          <w:p w14:paraId="70102693" w14:textId="77777777" w:rsidR="00672297" w:rsidRDefault="00A16EA3">
            <w:pPr>
              <w:spacing w:before="20" w:after="20"/>
              <w:jc w:val="left"/>
            </w:pPr>
            <w:r>
              <w:rPr>
                <w:rFonts w:cstheme="minorHAnsi"/>
                <w:sz w:val="18"/>
                <w:szCs w:val="18"/>
              </w:rPr>
              <w:t>No</w:t>
            </w:r>
          </w:p>
        </w:tc>
        <w:tc>
          <w:tcPr>
            <w:tcW w:w="2809" w:type="dxa"/>
            <w:vAlign w:val="center"/>
          </w:tcPr>
          <w:p w14:paraId="36A4D635" w14:textId="77777777" w:rsidR="00672297" w:rsidRDefault="00A16EA3">
            <w:pPr>
              <w:spacing w:before="20" w:after="20"/>
              <w:jc w:val="left"/>
            </w:pPr>
            <w:r>
              <w:rPr>
                <w:rFonts w:cstheme="minorHAnsi"/>
                <w:sz w:val="18"/>
                <w:szCs w:val="18"/>
              </w:rPr>
              <w:t>[&lt;Property&gt;Delta]</w:t>
            </w:r>
          </w:p>
        </w:tc>
      </w:tr>
      <w:tr w:rsidR="00672297" w14:paraId="31EE4773" w14:textId="77777777">
        <w:trPr>
          <w:cantSplit/>
        </w:trPr>
        <w:tc>
          <w:tcPr>
            <w:tcW w:w="1872" w:type="dxa"/>
            <w:vAlign w:val="center"/>
          </w:tcPr>
          <w:p w14:paraId="48898DA7" w14:textId="77777777" w:rsidR="00672297" w:rsidRDefault="00A16EA3">
            <w:pPr>
              <w:spacing w:before="20" w:after="20"/>
              <w:jc w:val="left"/>
            </w:pPr>
            <w:r>
              <w:rPr>
                <w:rFonts w:cstheme="minorHAnsi"/>
                <w:sz w:val="18"/>
                <w:szCs w:val="18"/>
              </w:rPr>
              <w:t>Value Loss</w:t>
            </w:r>
          </w:p>
        </w:tc>
        <w:tc>
          <w:tcPr>
            <w:tcW w:w="1684" w:type="dxa"/>
            <w:vAlign w:val="center"/>
          </w:tcPr>
          <w:p w14:paraId="600C1E4D" w14:textId="77777777" w:rsidR="00672297" w:rsidRDefault="00A16EA3">
            <w:pPr>
              <w:spacing w:before="20" w:after="20"/>
              <w:jc w:val="left"/>
            </w:pPr>
            <w:r>
              <w:rPr>
                <w:rFonts w:cstheme="minorHAnsi"/>
                <w:sz w:val="18"/>
                <w:szCs w:val="18"/>
              </w:rPr>
              <w:t>Calculated</w:t>
            </w:r>
          </w:p>
        </w:tc>
        <w:tc>
          <w:tcPr>
            <w:tcW w:w="1872" w:type="dxa"/>
            <w:vAlign w:val="center"/>
          </w:tcPr>
          <w:p w14:paraId="4BF3599F" w14:textId="77777777" w:rsidR="00672297" w:rsidRDefault="00A16EA3">
            <w:pPr>
              <w:spacing w:before="20" w:after="20"/>
              <w:jc w:val="left"/>
            </w:pPr>
            <w:r>
              <w:rPr>
                <w:rFonts w:cstheme="minorHAnsi"/>
                <w:sz w:val="18"/>
                <w:szCs w:val="18"/>
              </w:rPr>
              <w:t>value_loss_usd</w:t>
            </w:r>
          </w:p>
        </w:tc>
        <w:tc>
          <w:tcPr>
            <w:tcW w:w="1123" w:type="dxa"/>
            <w:vAlign w:val="center"/>
          </w:tcPr>
          <w:p w14:paraId="51C206F2" w14:textId="77777777" w:rsidR="00672297" w:rsidRDefault="00A16EA3">
            <w:pPr>
              <w:spacing w:before="20" w:after="20"/>
              <w:jc w:val="left"/>
            </w:pPr>
            <w:r>
              <w:rPr>
                <w:rFonts w:cstheme="minorHAnsi"/>
                <w:sz w:val="18"/>
                <w:szCs w:val="18"/>
              </w:rPr>
              <w:t>No</w:t>
            </w:r>
          </w:p>
        </w:tc>
        <w:tc>
          <w:tcPr>
            <w:tcW w:w="2809" w:type="dxa"/>
            <w:vAlign w:val="center"/>
          </w:tcPr>
          <w:p w14:paraId="1B91581E" w14:textId="77777777" w:rsidR="00672297" w:rsidRDefault="00A16EA3">
            <w:pPr>
              <w:spacing w:before="20" w:after="20"/>
              <w:jc w:val="left"/>
            </w:pPr>
            <w:r>
              <w:rPr>
                <w:rFonts w:cstheme="minorHAnsi"/>
                <w:sz w:val="18"/>
                <w:szCs w:val="18"/>
              </w:rPr>
              <w:t>Measure: [&lt;Property&gt;Delta] x [TotalVolumeBbl] x MPR factor</w:t>
            </w:r>
          </w:p>
        </w:tc>
      </w:tr>
      <w:tr w:rsidR="00672297" w14:paraId="1DD6678D" w14:textId="77777777">
        <w:trPr>
          <w:cantSplit/>
        </w:trPr>
        <w:tc>
          <w:tcPr>
            <w:tcW w:w="1872" w:type="dxa"/>
            <w:vAlign w:val="center"/>
          </w:tcPr>
          <w:p w14:paraId="1D37C45F" w14:textId="77777777" w:rsidR="00672297" w:rsidRDefault="00A16EA3">
            <w:pPr>
              <w:spacing w:before="20" w:after="20"/>
              <w:jc w:val="left"/>
            </w:pPr>
            <w:r>
              <w:rPr>
                <w:rFonts w:cstheme="minorHAnsi"/>
                <w:sz w:val="18"/>
                <w:szCs w:val="18"/>
              </w:rPr>
              <w:t>Product prices (ULSD, Jet, Kero) / biodiesel price</w:t>
            </w:r>
          </w:p>
        </w:tc>
        <w:tc>
          <w:tcPr>
            <w:tcW w:w="1684" w:type="dxa"/>
            <w:vAlign w:val="center"/>
          </w:tcPr>
          <w:p w14:paraId="7F752FD3" w14:textId="77777777" w:rsidR="00672297" w:rsidRDefault="00A16EA3">
            <w:pPr>
              <w:spacing w:before="20" w:after="20"/>
              <w:jc w:val="left"/>
            </w:pPr>
            <w:r>
              <w:rPr>
                <w:rFonts w:cstheme="minorHAnsi"/>
                <w:sz w:val="18"/>
                <w:szCs w:val="18"/>
              </w:rPr>
              <w:t>MPR</w:t>
            </w:r>
          </w:p>
        </w:tc>
        <w:tc>
          <w:tcPr>
            <w:tcW w:w="1872" w:type="dxa"/>
            <w:vAlign w:val="center"/>
          </w:tcPr>
          <w:p w14:paraId="4DB89E26" w14:textId="77777777" w:rsidR="00672297" w:rsidRDefault="00A16EA3">
            <w:pPr>
              <w:spacing w:before="20" w:after="20"/>
              <w:jc w:val="left"/>
            </w:pPr>
            <w:r>
              <w:rPr>
                <w:rFonts w:cstheme="minorHAnsi"/>
                <w:sz w:val="18"/>
                <w:szCs w:val="18"/>
              </w:rPr>
              <w:t>MPR ID - not provided (gap RD-07)</w:t>
            </w:r>
          </w:p>
        </w:tc>
        <w:tc>
          <w:tcPr>
            <w:tcW w:w="1123" w:type="dxa"/>
            <w:vAlign w:val="center"/>
          </w:tcPr>
          <w:p w14:paraId="3E97F23E" w14:textId="77777777" w:rsidR="00672297" w:rsidRDefault="00A16EA3">
            <w:pPr>
              <w:spacing w:before="20" w:after="20"/>
              <w:jc w:val="left"/>
            </w:pPr>
            <w:r>
              <w:rPr>
                <w:rFonts w:cstheme="minorHAnsi"/>
                <w:sz w:val="18"/>
                <w:szCs w:val="18"/>
              </w:rPr>
              <w:t>No</w:t>
            </w:r>
          </w:p>
        </w:tc>
        <w:tc>
          <w:tcPr>
            <w:tcW w:w="2809" w:type="dxa"/>
            <w:vAlign w:val="center"/>
          </w:tcPr>
          <w:p w14:paraId="66351794" w14:textId="77777777" w:rsidR="00672297" w:rsidRDefault="00A16EA3">
            <w:pPr>
              <w:spacing w:before="20" w:after="20"/>
              <w:jc w:val="left"/>
            </w:pPr>
            <w:r>
              <w:rPr>
                <w:rFonts w:cstheme="minorHAnsi"/>
                <w:sz w:val="18"/>
                <w:szCs w:val="18"/>
              </w:rPr>
              <w:t>MPR_Price[AveragePrice] (via PriceKey)</w:t>
            </w:r>
          </w:p>
        </w:tc>
      </w:tr>
    </w:tbl>
    <w:p w14:paraId="454F5D72" w14:textId="48B05B0A" w:rsidR="00672297" w:rsidRDefault="00A16EA3">
      <w:pPr>
        <w:pStyle w:val="Caption"/>
      </w:pPr>
      <w:bookmarkStart w:id="737" w:name="_Toc900950166"/>
      <w:bookmarkStart w:id="738" w:name="_Toc241574740"/>
      <w:bookmarkStart w:id="739" w:name="_Toc242554124"/>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51</w:t>
      </w:r>
      <w:r>
        <w:fldChar w:fldCharType="end"/>
      </w:r>
      <w:r>
        <w:t>: Distillate KPI Dashboard Backend Field Mapping</w:t>
      </w:r>
      <w:bookmarkEnd w:id="737"/>
      <w:bookmarkEnd w:id="738"/>
      <w:bookmarkEnd w:id="739"/>
    </w:p>
    <w:p w14:paraId="10C0B45C" w14:textId="77777777" w:rsidR="00672297" w:rsidRDefault="00A16EA3">
      <w:pPr>
        <w:pStyle w:val="Heading4"/>
        <w:rPr>
          <w:rFonts w:asciiTheme="minorHAnsi" w:hAnsiTheme="minorHAnsi" w:cstheme="minorBidi"/>
          <w:sz w:val="20"/>
          <w:szCs w:val="20"/>
        </w:rPr>
      </w:pPr>
      <w:bookmarkStart w:id="740" w:name="_Toc900950167"/>
      <w:r>
        <w:rPr>
          <w:rFonts w:asciiTheme="minorHAnsi" w:hAnsiTheme="minorHAnsi" w:cstheme="minorBidi"/>
          <w:sz w:val="20"/>
          <w:szCs w:val="20"/>
        </w:rPr>
        <w:t>Calculation Logic: Give-Away &amp; Value Loss</w:t>
      </w:r>
      <w:bookmarkEnd w:id="740"/>
    </w:p>
    <w:p w14:paraId="4BD3EE0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For each delivered batch and property: MIN-type limit (Flash) Δ = Actual - Min; MAX-type limit (Sulphur, Adj. Cloud Point, T-90, FBP, Freezing Point, Viscosity) Δ = Max - Actual. Δ is counted only when the batch is on specification for the property; an off-spec batch has Δ = 0 and is flagged. A limit of "R" gives no Δ.</w:t>
      </w:r>
    </w:p>
    <w:p w14:paraId="1C5EB299"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Value Loss per property = Δ x Total Volume (bbl) x $ per unit of give-away per bbl, taken from MPR_Price for the product of the row (joined on globalCode + productAbbreviation). Which MPR field prices each property is gap DP-11; the wireframe test values are Flash 0.10, Sulphur 0.10, Adj. Cloud 0.08, T-90 0.08, FBP 0.01, Viscosity 0.01 and none for Freezing Point.</w:t>
      </w:r>
    </w:p>
    <w:p w14:paraId="77F65253"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Total Value Loss per terminal = sum over the properties; card Total Value Loss = sum over the terminals, subtitle average per terminal and terminal count.</w:t>
      </w:r>
    </w:p>
    <w:p w14:paraId="3FC1239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Terminal Actual = average of the batch actuals delivered to the terminal in the period (the wireframe shows averages such as Flash 137.917 °F); give-away cards = average Δ over the terminals, with the maximum and the count n.</w:t>
      </w:r>
    </w:p>
    <w:p w14:paraId="6F7EAE1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Example (wireframe, Champaign, ULSD No 2, 210,674 bbl): Flash Δ = 137.917 - 130 = 7.917 °F, value loss = 210,674 x 7.917 x 0.10 = $166,791.</w:t>
      </w:r>
    </w:p>
    <w:p w14:paraId="69EAAE6E" w14:textId="77777777" w:rsidR="00672297" w:rsidRDefault="00A16EA3">
      <w:pPr>
        <w:pStyle w:val="Heading4"/>
        <w:rPr>
          <w:rFonts w:asciiTheme="minorHAnsi" w:hAnsiTheme="minorHAnsi" w:cstheme="minorBidi"/>
          <w:sz w:val="20"/>
          <w:szCs w:val="20"/>
        </w:rPr>
      </w:pPr>
      <w:bookmarkStart w:id="741" w:name="_Toc900950168"/>
      <w:r>
        <w:rPr>
          <w:rFonts w:asciiTheme="minorHAnsi" w:hAnsiTheme="minorHAnsi" w:cstheme="minorBidi"/>
          <w:sz w:val="20"/>
          <w:szCs w:val="20"/>
        </w:rPr>
        <w:t>Measures &amp; DAX Calculations</w:t>
      </w:r>
      <w:bookmarkEnd w:id="741"/>
    </w:p>
    <w:tbl>
      <w:tblPr>
        <w:tblStyle w:val="TableGrid"/>
        <w:tblW w:w="9360" w:type="dxa"/>
        <w:tblLayout w:type="fixed"/>
        <w:tblCellMar>
          <w:left w:w="70" w:type="dxa"/>
          <w:right w:w="70" w:type="dxa"/>
        </w:tblCellMar>
        <w:tblLook w:val="04A0" w:firstRow="1" w:lastRow="0" w:firstColumn="1" w:lastColumn="0" w:noHBand="0" w:noVBand="1"/>
      </w:tblPr>
      <w:tblGrid>
        <w:gridCol w:w="2620"/>
        <w:gridCol w:w="6740"/>
      </w:tblGrid>
      <w:tr w:rsidR="00672297" w14:paraId="78B206FD" w14:textId="77777777">
        <w:trPr>
          <w:cantSplit/>
          <w:tblHeader/>
        </w:trPr>
        <w:tc>
          <w:tcPr>
            <w:tcW w:w="2620" w:type="dxa"/>
            <w:shd w:val="clear" w:color="auto" w:fill="2F5496"/>
            <w:vAlign w:val="center"/>
          </w:tcPr>
          <w:p w14:paraId="6B32A3C6" w14:textId="77777777" w:rsidR="00672297" w:rsidRDefault="00A16EA3">
            <w:pPr>
              <w:spacing w:before="20" w:after="20"/>
              <w:jc w:val="left"/>
            </w:pPr>
            <w:r>
              <w:rPr>
                <w:rFonts w:cstheme="minorHAnsi"/>
                <w:b/>
                <w:bCs/>
                <w:color w:val="FFFFFF"/>
                <w:sz w:val="20"/>
                <w:szCs w:val="20"/>
              </w:rPr>
              <w:t>Measure Name</w:t>
            </w:r>
          </w:p>
        </w:tc>
        <w:tc>
          <w:tcPr>
            <w:tcW w:w="6740" w:type="dxa"/>
            <w:shd w:val="clear" w:color="auto" w:fill="2F5496"/>
            <w:vAlign w:val="center"/>
          </w:tcPr>
          <w:p w14:paraId="10C1DFC3" w14:textId="77777777" w:rsidR="00672297" w:rsidRDefault="00A16EA3">
            <w:pPr>
              <w:spacing w:before="20" w:after="20"/>
              <w:jc w:val="left"/>
            </w:pPr>
            <w:r>
              <w:rPr>
                <w:rFonts w:cstheme="minorHAnsi"/>
                <w:b/>
                <w:bCs/>
                <w:color w:val="FFFFFF"/>
                <w:sz w:val="20"/>
                <w:szCs w:val="20"/>
              </w:rPr>
              <w:t>DAX Logic</w:t>
            </w:r>
          </w:p>
        </w:tc>
      </w:tr>
      <w:tr w:rsidR="00672297" w14:paraId="5299EFFF" w14:textId="77777777">
        <w:trPr>
          <w:cantSplit/>
        </w:trPr>
        <w:tc>
          <w:tcPr>
            <w:tcW w:w="2620" w:type="dxa"/>
            <w:vAlign w:val="center"/>
          </w:tcPr>
          <w:p w14:paraId="60C31F3B" w14:textId="77777777" w:rsidR="00672297" w:rsidRDefault="00A16EA3">
            <w:pPr>
              <w:spacing w:before="20" w:after="20"/>
              <w:jc w:val="left"/>
            </w:pPr>
            <w:r>
              <w:rPr>
                <w:rFonts w:cstheme="minorHAnsi"/>
                <w:sz w:val="20"/>
                <w:szCs w:val="20"/>
              </w:rPr>
              <w:t>&lt;Property&gt; Give-Away Δ</w:t>
            </w:r>
          </w:p>
        </w:tc>
        <w:tc>
          <w:tcPr>
            <w:tcW w:w="6740" w:type="dxa"/>
            <w:vAlign w:val="center"/>
          </w:tcPr>
          <w:p w14:paraId="3891F612" w14:textId="77777777" w:rsidR="00672297" w:rsidRDefault="00A16EA3">
            <w:pPr>
              <w:spacing w:before="20" w:after="20"/>
              <w:jc w:val="left"/>
            </w:pPr>
            <w:r>
              <w:rPr>
                <w:rFonts w:cstheme="minorHAnsi"/>
                <w:sz w:val="20"/>
                <w:szCs w:val="20"/>
              </w:rPr>
              <w:t>AVERAGE ( vwDistillateBlendingKPI[&lt;Property&gt;Delta] )</w:t>
            </w:r>
          </w:p>
        </w:tc>
      </w:tr>
      <w:tr w:rsidR="00672297" w14:paraId="639916B3" w14:textId="77777777">
        <w:trPr>
          <w:cantSplit/>
        </w:trPr>
        <w:tc>
          <w:tcPr>
            <w:tcW w:w="2620" w:type="dxa"/>
            <w:vAlign w:val="center"/>
          </w:tcPr>
          <w:p w14:paraId="7698F335" w14:textId="77777777" w:rsidR="00672297" w:rsidRDefault="00A16EA3">
            <w:pPr>
              <w:spacing w:before="20" w:after="20"/>
              <w:jc w:val="left"/>
            </w:pPr>
            <w:r>
              <w:rPr>
                <w:rFonts w:cstheme="minorHAnsi"/>
                <w:sz w:val="20"/>
                <w:szCs w:val="20"/>
              </w:rPr>
              <w:t>Avg &lt;Property&gt; Give-Away Δ (card)</w:t>
            </w:r>
          </w:p>
        </w:tc>
        <w:tc>
          <w:tcPr>
            <w:tcW w:w="6740" w:type="dxa"/>
            <w:vAlign w:val="center"/>
          </w:tcPr>
          <w:p w14:paraId="64B735D5" w14:textId="77777777" w:rsidR="00672297" w:rsidRDefault="00A16EA3">
            <w:pPr>
              <w:spacing w:before="20" w:after="20"/>
              <w:jc w:val="left"/>
            </w:pPr>
            <w:r>
              <w:rPr>
                <w:rFonts w:cstheme="minorHAnsi"/>
                <w:sz w:val="20"/>
                <w:szCs w:val="20"/>
              </w:rPr>
              <w:t>AVERAGEX ( VALUES ( vwDistillateBlendingKPI[Destination] ), [&lt;Property&gt; Give-Away Δ] )</w:t>
            </w:r>
          </w:p>
        </w:tc>
      </w:tr>
      <w:tr w:rsidR="00672297" w14:paraId="6AC3074D" w14:textId="77777777">
        <w:trPr>
          <w:cantSplit/>
        </w:trPr>
        <w:tc>
          <w:tcPr>
            <w:tcW w:w="2620" w:type="dxa"/>
            <w:vAlign w:val="center"/>
          </w:tcPr>
          <w:p w14:paraId="0308C791" w14:textId="77777777" w:rsidR="00672297" w:rsidRDefault="00A16EA3">
            <w:pPr>
              <w:spacing w:before="20" w:after="20"/>
              <w:jc w:val="left"/>
            </w:pPr>
            <w:r>
              <w:rPr>
                <w:rFonts w:cstheme="minorHAnsi"/>
                <w:sz w:val="20"/>
                <w:szCs w:val="20"/>
              </w:rPr>
              <w:t>Max &lt;Property&gt; Give-Away Δ</w:t>
            </w:r>
          </w:p>
        </w:tc>
        <w:tc>
          <w:tcPr>
            <w:tcW w:w="6740" w:type="dxa"/>
            <w:vAlign w:val="center"/>
          </w:tcPr>
          <w:p w14:paraId="02DCC6CB" w14:textId="77777777" w:rsidR="00672297" w:rsidRDefault="00A16EA3">
            <w:pPr>
              <w:spacing w:before="20" w:after="20"/>
              <w:jc w:val="left"/>
            </w:pPr>
            <w:r>
              <w:rPr>
                <w:rFonts w:cstheme="minorHAnsi"/>
                <w:sz w:val="20"/>
                <w:szCs w:val="20"/>
              </w:rPr>
              <w:t>MAXX ( VALUES ( vwDistillateBlendingKPI[Destination] ), [&lt;Property&gt; Give-Away Δ] )</w:t>
            </w:r>
          </w:p>
        </w:tc>
      </w:tr>
      <w:tr w:rsidR="00672297" w14:paraId="134B518A" w14:textId="77777777">
        <w:trPr>
          <w:cantSplit/>
        </w:trPr>
        <w:tc>
          <w:tcPr>
            <w:tcW w:w="2620" w:type="dxa"/>
            <w:vAlign w:val="center"/>
          </w:tcPr>
          <w:p w14:paraId="56FC1698" w14:textId="77777777" w:rsidR="00672297" w:rsidRDefault="00A16EA3">
            <w:pPr>
              <w:spacing w:before="20" w:after="20"/>
              <w:jc w:val="left"/>
            </w:pPr>
            <w:r>
              <w:rPr>
                <w:rFonts w:cstheme="minorHAnsi"/>
                <w:sz w:val="20"/>
                <w:szCs w:val="20"/>
              </w:rPr>
              <w:t>Terminal Count</w:t>
            </w:r>
          </w:p>
        </w:tc>
        <w:tc>
          <w:tcPr>
            <w:tcW w:w="6740" w:type="dxa"/>
            <w:vAlign w:val="center"/>
          </w:tcPr>
          <w:p w14:paraId="1FFBA08F" w14:textId="77777777" w:rsidR="00672297" w:rsidRDefault="00A16EA3">
            <w:pPr>
              <w:spacing w:before="20" w:after="20"/>
              <w:jc w:val="left"/>
            </w:pPr>
            <w:r>
              <w:rPr>
                <w:rFonts w:cstheme="minorHAnsi"/>
                <w:sz w:val="20"/>
                <w:szCs w:val="20"/>
              </w:rPr>
              <w:t>COUNTROWS ( FILTER ( VALUES ( vwDistillateBlendingKPI[Destination] ), NOT ISBLANK ( [Flash Give-Away Δ] ) ) )</w:t>
            </w:r>
          </w:p>
        </w:tc>
      </w:tr>
      <w:tr w:rsidR="00672297" w14:paraId="4FB10653" w14:textId="77777777">
        <w:trPr>
          <w:cantSplit/>
        </w:trPr>
        <w:tc>
          <w:tcPr>
            <w:tcW w:w="2620" w:type="dxa"/>
            <w:vAlign w:val="center"/>
          </w:tcPr>
          <w:p w14:paraId="4B83C877" w14:textId="77777777" w:rsidR="00672297" w:rsidRDefault="00A16EA3">
            <w:pPr>
              <w:spacing w:before="20" w:after="20"/>
              <w:jc w:val="left"/>
            </w:pPr>
            <w:r>
              <w:rPr>
                <w:rFonts w:cstheme="minorHAnsi"/>
                <w:sz w:val="20"/>
                <w:szCs w:val="20"/>
              </w:rPr>
              <w:t>&lt;Property&gt; Value Loss ($)</w:t>
            </w:r>
          </w:p>
        </w:tc>
        <w:tc>
          <w:tcPr>
            <w:tcW w:w="6740" w:type="dxa"/>
            <w:vAlign w:val="center"/>
          </w:tcPr>
          <w:p w14:paraId="19AE52F3" w14:textId="77777777" w:rsidR="00672297" w:rsidRDefault="00A16EA3">
            <w:pPr>
              <w:spacing w:before="20" w:after="20"/>
              <w:jc w:val="left"/>
            </w:pPr>
            <w:r>
              <w:rPr>
                <w:rFonts w:cstheme="minorHAnsi"/>
                <w:sz w:val="20"/>
                <w:szCs w:val="20"/>
              </w:rPr>
              <w:t>SUMX ( vwDistillateBlendingKPI, vwDistillateBlendingKPI[&lt;Property&gt;Delta] * vwDistillateBlendingKPI[TotalVolumeBbl] * [&lt;Property&gt; MPR Factor] ) - Flash, Sulphur, Adj. Cloud, T-90, FBP, Freezing Point, Viscosity</w:t>
            </w:r>
          </w:p>
        </w:tc>
      </w:tr>
      <w:tr w:rsidR="00672297" w14:paraId="6B635D19" w14:textId="77777777">
        <w:trPr>
          <w:cantSplit/>
        </w:trPr>
        <w:tc>
          <w:tcPr>
            <w:tcW w:w="2620" w:type="dxa"/>
            <w:vAlign w:val="center"/>
          </w:tcPr>
          <w:p w14:paraId="554C7405" w14:textId="77777777" w:rsidR="00672297" w:rsidRDefault="00A16EA3">
            <w:pPr>
              <w:spacing w:before="20" w:after="20"/>
              <w:jc w:val="left"/>
            </w:pPr>
            <w:r>
              <w:rPr>
                <w:rFonts w:cstheme="minorHAnsi"/>
                <w:sz w:val="20"/>
                <w:szCs w:val="20"/>
              </w:rPr>
              <w:t>&lt;Property&gt; MPR Factor</w:t>
            </w:r>
          </w:p>
        </w:tc>
        <w:tc>
          <w:tcPr>
            <w:tcW w:w="6740" w:type="dxa"/>
            <w:vAlign w:val="center"/>
          </w:tcPr>
          <w:p w14:paraId="710BC3CC" w14:textId="77777777" w:rsidR="00672297" w:rsidRDefault="00A16EA3">
            <w:pPr>
              <w:spacing w:before="20" w:after="20"/>
              <w:jc w:val="left"/>
            </w:pPr>
            <w:r>
              <w:rPr>
                <w:rFonts w:cstheme="minorHAnsi"/>
                <w:sz w:val="20"/>
                <w:szCs w:val="20"/>
              </w:rPr>
              <w:t>$ per unit of give-away per bbl from MPR_Price for the product of the row (via PriceKey); MPR field per property: gap DP-11. Wireframe test values: Flash 0.10, Sulphur 0.10, Adj. Cloud 0.08, T-90 0.08, FBP 0.01, Viscosity 0.01</w:t>
            </w:r>
          </w:p>
        </w:tc>
      </w:tr>
      <w:tr w:rsidR="00672297" w14:paraId="0CC098FC" w14:textId="77777777">
        <w:trPr>
          <w:cantSplit/>
        </w:trPr>
        <w:tc>
          <w:tcPr>
            <w:tcW w:w="2620" w:type="dxa"/>
            <w:vAlign w:val="center"/>
          </w:tcPr>
          <w:p w14:paraId="5DF768D0" w14:textId="77777777" w:rsidR="00672297" w:rsidRDefault="00A16EA3">
            <w:pPr>
              <w:spacing w:before="20" w:after="20"/>
              <w:jc w:val="left"/>
            </w:pPr>
            <w:r>
              <w:rPr>
                <w:rFonts w:cstheme="minorHAnsi"/>
                <w:sz w:val="20"/>
                <w:szCs w:val="20"/>
              </w:rPr>
              <w:t>Total Value Loss ($)</w:t>
            </w:r>
          </w:p>
        </w:tc>
        <w:tc>
          <w:tcPr>
            <w:tcW w:w="6740" w:type="dxa"/>
            <w:vAlign w:val="center"/>
          </w:tcPr>
          <w:p w14:paraId="777CE095" w14:textId="77777777" w:rsidR="00672297" w:rsidRDefault="00A16EA3">
            <w:pPr>
              <w:spacing w:before="20" w:after="20"/>
              <w:jc w:val="left"/>
            </w:pPr>
            <w:r>
              <w:rPr>
                <w:rFonts w:cstheme="minorHAnsi"/>
                <w:sz w:val="20"/>
                <w:szCs w:val="20"/>
              </w:rPr>
              <w:t>Sum of the seven &lt;Property&gt; Value Loss ($) measures</w:t>
            </w:r>
          </w:p>
        </w:tc>
      </w:tr>
      <w:tr w:rsidR="00672297" w14:paraId="69A0A308" w14:textId="77777777">
        <w:trPr>
          <w:cantSplit/>
        </w:trPr>
        <w:tc>
          <w:tcPr>
            <w:tcW w:w="2620" w:type="dxa"/>
            <w:vAlign w:val="center"/>
          </w:tcPr>
          <w:p w14:paraId="53B9C1E7" w14:textId="77777777" w:rsidR="00672297" w:rsidRDefault="00A16EA3">
            <w:pPr>
              <w:spacing w:before="20" w:after="20"/>
              <w:jc w:val="left"/>
            </w:pPr>
            <w:r>
              <w:rPr>
                <w:rFonts w:cstheme="minorHAnsi"/>
                <w:sz w:val="20"/>
                <w:szCs w:val="20"/>
              </w:rPr>
              <w:t>Avg Value Loss per Terminal ($)</w:t>
            </w:r>
          </w:p>
        </w:tc>
        <w:tc>
          <w:tcPr>
            <w:tcW w:w="6740" w:type="dxa"/>
            <w:vAlign w:val="center"/>
          </w:tcPr>
          <w:p w14:paraId="1850AA44" w14:textId="77777777" w:rsidR="00672297" w:rsidRDefault="00A16EA3">
            <w:pPr>
              <w:spacing w:before="20" w:after="20"/>
              <w:jc w:val="left"/>
            </w:pPr>
            <w:r>
              <w:rPr>
                <w:rFonts w:cstheme="minorHAnsi"/>
                <w:sz w:val="20"/>
                <w:szCs w:val="20"/>
              </w:rPr>
              <w:t>AVERAGEX ( VALUES ( vwDistillateBlendingKPI[Destination] ), [Total Value Loss ($)] )</w:t>
            </w:r>
          </w:p>
        </w:tc>
      </w:tr>
      <w:tr w:rsidR="00672297" w14:paraId="7D8941FB" w14:textId="77777777">
        <w:trPr>
          <w:cantSplit/>
        </w:trPr>
        <w:tc>
          <w:tcPr>
            <w:tcW w:w="2620" w:type="dxa"/>
            <w:vAlign w:val="center"/>
          </w:tcPr>
          <w:p w14:paraId="529B49D0" w14:textId="77777777" w:rsidR="00672297" w:rsidRDefault="00A16EA3">
            <w:pPr>
              <w:spacing w:before="20" w:after="20"/>
              <w:jc w:val="left"/>
            </w:pPr>
            <w:r>
              <w:rPr>
                <w:rFonts w:cstheme="minorHAnsi"/>
                <w:sz w:val="20"/>
                <w:szCs w:val="20"/>
              </w:rPr>
              <w:t>Card subtitle</w:t>
            </w:r>
          </w:p>
        </w:tc>
        <w:tc>
          <w:tcPr>
            <w:tcW w:w="6740" w:type="dxa"/>
            <w:vAlign w:val="center"/>
          </w:tcPr>
          <w:p w14:paraId="2A6B9D96" w14:textId="77777777" w:rsidR="00672297" w:rsidRDefault="00A16EA3">
            <w:pPr>
              <w:spacing w:before="20" w:after="20"/>
              <w:jc w:val="left"/>
            </w:pPr>
            <w:r>
              <w:rPr>
                <w:rFonts w:cstheme="minorHAnsi"/>
                <w:sz w:val="20"/>
                <w:szCs w:val="20"/>
              </w:rPr>
              <w:t>"Max " &amp; FORMAT ( [Max &lt;Property&gt; Give-Away Δ], "0.0" ) &amp; " · n=" &amp; [Terminal Count]</w:t>
            </w:r>
          </w:p>
        </w:tc>
      </w:tr>
    </w:tbl>
    <w:p w14:paraId="15B526C2" w14:textId="28D8CC66" w:rsidR="00672297" w:rsidRDefault="00A16EA3">
      <w:pPr>
        <w:pStyle w:val="Caption"/>
      </w:pPr>
      <w:bookmarkStart w:id="742" w:name="_Toc900950169"/>
      <w:bookmarkStart w:id="743" w:name="_Toc241574741"/>
      <w:bookmarkStart w:id="744" w:name="_Toc242554125"/>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52</w:t>
      </w:r>
      <w:r>
        <w:fldChar w:fldCharType="end"/>
      </w:r>
      <w:r>
        <w:t>: Distillate KPI Dashboard DAX Measures</w:t>
      </w:r>
      <w:bookmarkEnd w:id="742"/>
      <w:bookmarkEnd w:id="743"/>
      <w:bookmarkEnd w:id="744"/>
    </w:p>
    <w:p w14:paraId="619C9B98" w14:textId="77777777" w:rsidR="00672297" w:rsidRDefault="00A16EA3">
      <w:pPr>
        <w:pStyle w:val="Heading4"/>
        <w:rPr>
          <w:rFonts w:asciiTheme="minorHAnsi" w:hAnsiTheme="minorHAnsi" w:cstheme="minorBidi"/>
          <w:sz w:val="20"/>
          <w:szCs w:val="20"/>
        </w:rPr>
      </w:pPr>
      <w:bookmarkStart w:id="745" w:name="_Toc900950170"/>
      <w:r>
        <w:rPr>
          <w:rFonts w:asciiTheme="minorHAnsi" w:hAnsiTheme="minorHAnsi" w:cstheme="minorBidi"/>
          <w:sz w:val="20"/>
          <w:szCs w:val="20"/>
        </w:rPr>
        <w:t>Connection Details</w:t>
      </w:r>
      <w:bookmarkEnd w:id="745"/>
    </w:p>
    <w:p w14:paraId="5009FC1F" w14:textId="77777777" w:rsidR="00672297" w:rsidRDefault="00A16EA3">
      <w:pPr>
        <w:rPr>
          <w:rFonts w:cstheme="minorHAnsi"/>
          <w:sz w:val="20"/>
          <w:szCs w:val="20"/>
        </w:rPr>
      </w:pPr>
      <w:r>
        <w:rPr>
          <w:rFonts w:cstheme="minorHAnsi"/>
          <w:sz w:val="20"/>
          <w:szCs w:val="20"/>
        </w:rPr>
        <w:t>Server: com-dev-me2-com-shared-sql.database.windows.net; Database: iqdmdev (DEV) - parameters pServer / pDatabase (Connection Details, above). MPR prices: MPR API (Web connector, Import).</w:t>
      </w:r>
    </w:p>
    <w:p w14:paraId="2A1A0C4D" w14:textId="77777777" w:rsidR="00672297" w:rsidRDefault="00A16EA3">
      <w:pPr>
        <w:pStyle w:val="Heading4"/>
        <w:rPr>
          <w:rFonts w:asciiTheme="minorHAnsi" w:hAnsiTheme="minorHAnsi" w:cstheme="minorBidi"/>
          <w:sz w:val="20"/>
          <w:szCs w:val="20"/>
        </w:rPr>
      </w:pPr>
      <w:bookmarkStart w:id="746" w:name="_Toc900950171"/>
      <w:r>
        <w:rPr>
          <w:rFonts w:asciiTheme="minorHAnsi" w:hAnsiTheme="minorHAnsi" w:cstheme="minorBidi"/>
          <w:sz w:val="20"/>
          <w:szCs w:val="20"/>
        </w:rPr>
        <w:t>Key Power Query Transformations</w:t>
      </w:r>
      <w:bookmarkEnd w:id="746"/>
    </w:p>
    <w:tbl>
      <w:tblPr>
        <w:tblStyle w:val="TableGrid"/>
        <w:tblW w:w="9360" w:type="dxa"/>
        <w:tblLayout w:type="fixed"/>
        <w:tblCellMar>
          <w:left w:w="70" w:type="dxa"/>
          <w:right w:w="70" w:type="dxa"/>
        </w:tblCellMar>
        <w:tblLook w:val="04A0" w:firstRow="1" w:lastRow="0" w:firstColumn="1" w:lastColumn="0" w:noHBand="0" w:noVBand="1"/>
      </w:tblPr>
      <w:tblGrid>
        <w:gridCol w:w="2808"/>
        <w:gridCol w:w="6552"/>
      </w:tblGrid>
      <w:tr w:rsidR="00672297" w14:paraId="148EC65B" w14:textId="77777777">
        <w:trPr>
          <w:cantSplit/>
          <w:tblHeader/>
        </w:trPr>
        <w:tc>
          <w:tcPr>
            <w:tcW w:w="2808" w:type="dxa"/>
            <w:shd w:val="clear" w:color="auto" w:fill="2F5496"/>
            <w:vAlign w:val="center"/>
          </w:tcPr>
          <w:p w14:paraId="4456B40C" w14:textId="77777777" w:rsidR="00672297" w:rsidRDefault="00A16EA3">
            <w:pPr>
              <w:spacing w:before="20" w:after="20"/>
              <w:jc w:val="left"/>
            </w:pPr>
            <w:r>
              <w:rPr>
                <w:rFonts w:cstheme="minorHAnsi"/>
                <w:b/>
                <w:bCs/>
                <w:color w:val="FFFFFF"/>
                <w:sz w:val="20"/>
                <w:szCs w:val="20"/>
              </w:rPr>
              <w:t>Table Name</w:t>
            </w:r>
          </w:p>
        </w:tc>
        <w:tc>
          <w:tcPr>
            <w:tcW w:w="6552" w:type="dxa"/>
            <w:shd w:val="clear" w:color="auto" w:fill="2F5496"/>
            <w:vAlign w:val="center"/>
          </w:tcPr>
          <w:p w14:paraId="4D46148A" w14:textId="77777777" w:rsidR="00672297" w:rsidRDefault="00A16EA3">
            <w:pPr>
              <w:spacing w:before="20" w:after="20"/>
              <w:jc w:val="left"/>
            </w:pPr>
            <w:r>
              <w:rPr>
                <w:rFonts w:cstheme="minorHAnsi"/>
                <w:b/>
                <w:bCs/>
                <w:color w:val="FFFFFF"/>
                <w:sz w:val="20"/>
                <w:szCs w:val="20"/>
              </w:rPr>
              <w:t>Transformations Applied</w:t>
            </w:r>
          </w:p>
        </w:tc>
      </w:tr>
      <w:tr w:rsidR="00672297" w14:paraId="1F314042" w14:textId="77777777">
        <w:trPr>
          <w:cantSplit/>
        </w:trPr>
        <w:tc>
          <w:tcPr>
            <w:tcW w:w="2808" w:type="dxa"/>
            <w:vAlign w:val="center"/>
          </w:tcPr>
          <w:p w14:paraId="445C4AD4" w14:textId="77777777" w:rsidR="00672297" w:rsidRDefault="00A16EA3">
            <w:pPr>
              <w:spacing w:before="20" w:after="20"/>
              <w:jc w:val="left"/>
            </w:pPr>
            <w:r>
              <w:rPr>
                <w:rFonts w:cstheme="minorHAnsi"/>
                <w:sz w:val="20"/>
                <w:szCs w:val="20"/>
              </w:rPr>
              <w:t>vwDistillateBlendingKPI</w:t>
            </w:r>
          </w:p>
        </w:tc>
        <w:tc>
          <w:tcPr>
            <w:tcW w:w="6552" w:type="dxa"/>
            <w:vAlign w:val="center"/>
          </w:tcPr>
          <w:p w14:paraId="23AF8294" w14:textId="77777777" w:rsidR="00672297" w:rsidRDefault="00A16EA3">
            <w:pPr>
              <w:spacing w:before="20" w:after="20"/>
              <w:jc w:val="left"/>
            </w:pPr>
            <w:r>
              <w:rPr>
                <w:rFonts w:cstheme="minorHAnsi"/>
                <w:sz w:val="20"/>
                <w:szCs w:val="20"/>
              </w:rPr>
              <w:t>Columns renamed to the wireframe display names; PriceKey = globalCode &amp; "|" &amp; productAbbreviation added</w:t>
            </w:r>
          </w:p>
        </w:tc>
      </w:tr>
      <w:tr w:rsidR="00672297" w14:paraId="08C7F7FB" w14:textId="77777777">
        <w:trPr>
          <w:cantSplit/>
        </w:trPr>
        <w:tc>
          <w:tcPr>
            <w:tcW w:w="2808" w:type="dxa"/>
            <w:vAlign w:val="center"/>
          </w:tcPr>
          <w:p w14:paraId="3F7AEB4F" w14:textId="77777777" w:rsidR="00672297" w:rsidRDefault="00A16EA3">
            <w:pPr>
              <w:spacing w:before="20" w:after="20"/>
              <w:jc w:val="left"/>
            </w:pPr>
            <w:r>
              <w:rPr>
                <w:rFonts w:cstheme="minorHAnsi"/>
                <w:sz w:val="20"/>
                <w:szCs w:val="20"/>
              </w:rPr>
              <w:t>MPR_Price</w:t>
            </w:r>
          </w:p>
        </w:tc>
        <w:tc>
          <w:tcPr>
            <w:tcW w:w="6552" w:type="dxa"/>
            <w:vAlign w:val="center"/>
          </w:tcPr>
          <w:p w14:paraId="69A20C8A" w14:textId="77777777" w:rsidR="00672297" w:rsidRDefault="00A16EA3">
            <w:pPr>
              <w:spacing w:before="20" w:after="20"/>
              <w:jc w:val="left"/>
            </w:pPr>
            <w:r>
              <w:rPr>
                <w:rFonts w:cstheme="minorHAnsi"/>
                <w:sz w:val="20"/>
                <w:szCs w:val="20"/>
              </w:rPr>
              <w:t>Loaded from the MPR API; PriceKey added; unique on PriceKey</w:t>
            </w:r>
          </w:p>
        </w:tc>
      </w:tr>
    </w:tbl>
    <w:p w14:paraId="7A811698" w14:textId="49B40151" w:rsidR="00672297" w:rsidRDefault="00A16EA3">
      <w:pPr>
        <w:pStyle w:val="Caption"/>
      </w:pPr>
      <w:bookmarkStart w:id="747" w:name="_Toc900950172"/>
      <w:bookmarkStart w:id="748" w:name="_Toc241574742"/>
      <w:bookmarkStart w:id="749" w:name="_Toc242554126"/>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53</w:t>
      </w:r>
      <w:r>
        <w:fldChar w:fldCharType="end"/>
      </w:r>
      <w:r>
        <w:t>: Distillate KPI Dashboard Power Query Transformations</w:t>
      </w:r>
      <w:bookmarkEnd w:id="747"/>
      <w:bookmarkEnd w:id="748"/>
      <w:bookmarkEnd w:id="749"/>
    </w:p>
    <w:p w14:paraId="454CD12F" w14:textId="77777777" w:rsidR="00672297" w:rsidRDefault="00A16EA3">
      <w:pPr>
        <w:pStyle w:val="Heading4"/>
        <w:rPr>
          <w:rFonts w:asciiTheme="minorHAnsi" w:hAnsiTheme="minorHAnsi" w:cstheme="minorBidi"/>
          <w:sz w:val="20"/>
          <w:szCs w:val="20"/>
        </w:rPr>
      </w:pPr>
      <w:bookmarkStart w:id="750" w:name="_Toc900950173"/>
      <w:r>
        <w:rPr>
          <w:rFonts w:asciiTheme="minorHAnsi" w:hAnsiTheme="minorHAnsi" w:cstheme="minorBidi"/>
          <w:sz w:val="20"/>
          <w:szCs w:val="20"/>
        </w:rPr>
        <w:t>Data Model Design</w:t>
      </w:r>
      <w:bookmarkEnd w:id="750"/>
    </w:p>
    <w:p w14:paraId="2F01DD9A" w14:textId="77777777" w:rsidR="00672297" w:rsidRDefault="00A16EA3">
      <w:pPr>
        <w:rPr>
          <w:rFonts w:cstheme="minorHAnsi"/>
          <w:sz w:val="20"/>
          <w:szCs w:val="20"/>
        </w:rPr>
      </w:pPr>
      <w:r>
        <w:rPr>
          <w:rFonts w:cstheme="minorHAnsi"/>
          <w:sz w:val="20"/>
          <w:szCs w:val="20"/>
        </w:rPr>
        <w:t>Model type: star schema (Figure 4-2). The report uses vwDistillateBlendingKPI, day_detail and Last_Refresh, and MPR_Price joined on globalCode + productAbbreviation.</w:t>
      </w:r>
    </w:p>
    <w:p w14:paraId="759F3B80" w14:textId="77777777" w:rsidR="00672297" w:rsidRDefault="00A16EA3">
      <w:pPr>
        <w:pStyle w:val="Heading4"/>
        <w:rPr>
          <w:rFonts w:asciiTheme="minorHAnsi" w:hAnsiTheme="minorHAnsi" w:cstheme="minorBidi"/>
          <w:sz w:val="20"/>
          <w:szCs w:val="20"/>
        </w:rPr>
      </w:pPr>
      <w:bookmarkStart w:id="751" w:name="_Toc900950174"/>
      <w:r>
        <w:rPr>
          <w:rFonts w:asciiTheme="minorHAnsi" w:hAnsiTheme="minorHAnsi" w:cstheme="minorBidi"/>
          <w:sz w:val="20"/>
          <w:szCs w:val="20"/>
        </w:rPr>
        <w:t>Tables / Views Loaded and Data Sources</w:t>
      </w:r>
      <w:bookmarkEnd w:id="751"/>
    </w:p>
    <w:tbl>
      <w:tblPr>
        <w:tblStyle w:val="TableGrid"/>
        <w:tblW w:w="9360" w:type="dxa"/>
        <w:tblLayout w:type="fixed"/>
        <w:tblCellMar>
          <w:left w:w="70" w:type="dxa"/>
          <w:right w:w="70" w:type="dxa"/>
        </w:tblCellMar>
        <w:tblLook w:val="04A0" w:firstRow="1" w:lastRow="0" w:firstColumn="1" w:lastColumn="0" w:noHBand="0" w:noVBand="1"/>
      </w:tblPr>
      <w:tblGrid>
        <w:gridCol w:w="2808"/>
        <w:gridCol w:w="1123"/>
        <w:gridCol w:w="2433"/>
        <w:gridCol w:w="2996"/>
      </w:tblGrid>
      <w:tr w:rsidR="00672297" w14:paraId="36587A49" w14:textId="77777777">
        <w:trPr>
          <w:cantSplit/>
          <w:tblHeader/>
        </w:trPr>
        <w:tc>
          <w:tcPr>
            <w:tcW w:w="2808" w:type="dxa"/>
            <w:shd w:val="clear" w:color="auto" w:fill="2F5496"/>
            <w:vAlign w:val="center"/>
          </w:tcPr>
          <w:p w14:paraId="78BAA68A" w14:textId="77777777" w:rsidR="00672297" w:rsidRDefault="00A16EA3">
            <w:pPr>
              <w:spacing w:before="20" w:after="20"/>
              <w:jc w:val="left"/>
            </w:pPr>
            <w:r>
              <w:rPr>
                <w:rFonts w:cstheme="minorHAnsi"/>
                <w:b/>
                <w:bCs/>
                <w:color w:val="FFFFFF"/>
                <w:sz w:val="20"/>
                <w:szCs w:val="20"/>
              </w:rPr>
              <w:t>Table / View Name</w:t>
            </w:r>
          </w:p>
        </w:tc>
        <w:tc>
          <w:tcPr>
            <w:tcW w:w="1123" w:type="dxa"/>
            <w:shd w:val="clear" w:color="auto" w:fill="2F5496"/>
            <w:vAlign w:val="center"/>
          </w:tcPr>
          <w:p w14:paraId="2B9404E1" w14:textId="77777777" w:rsidR="00672297" w:rsidRDefault="00A16EA3">
            <w:pPr>
              <w:spacing w:before="20" w:after="20"/>
              <w:jc w:val="left"/>
            </w:pPr>
            <w:r>
              <w:rPr>
                <w:rFonts w:cstheme="minorHAnsi"/>
                <w:b/>
                <w:bCs/>
                <w:color w:val="FFFFFF"/>
                <w:sz w:val="20"/>
                <w:szCs w:val="20"/>
              </w:rPr>
              <w:t>Type</w:t>
            </w:r>
          </w:p>
        </w:tc>
        <w:tc>
          <w:tcPr>
            <w:tcW w:w="2433" w:type="dxa"/>
            <w:shd w:val="clear" w:color="auto" w:fill="2F5496"/>
            <w:vAlign w:val="center"/>
          </w:tcPr>
          <w:p w14:paraId="688BF23E" w14:textId="77777777" w:rsidR="00672297" w:rsidRDefault="00A16EA3">
            <w:pPr>
              <w:spacing w:before="20" w:after="20"/>
              <w:jc w:val="left"/>
            </w:pPr>
            <w:r>
              <w:rPr>
                <w:rFonts w:cstheme="minorHAnsi"/>
                <w:b/>
                <w:bCs/>
                <w:color w:val="FFFFFF"/>
                <w:sz w:val="20"/>
                <w:szCs w:val="20"/>
              </w:rPr>
              <w:t>Source</w:t>
            </w:r>
          </w:p>
        </w:tc>
        <w:tc>
          <w:tcPr>
            <w:tcW w:w="2996" w:type="dxa"/>
            <w:shd w:val="clear" w:color="auto" w:fill="2F5496"/>
            <w:vAlign w:val="center"/>
          </w:tcPr>
          <w:p w14:paraId="5BD931CD" w14:textId="77777777" w:rsidR="00672297" w:rsidRDefault="00A16EA3">
            <w:pPr>
              <w:spacing w:before="20" w:after="20"/>
              <w:jc w:val="left"/>
            </w:pPr>
            <w:r>
              <w:rPr>
                <w:rFonts w:cstheme="minorHAnsi"/>
                <w:b/>
                <w:bCs/>
                <w:color w:val="FFFFFF"/>
                <w:sz w:val="20"/>
                <w:szCs w:val="20"/>
              </w:rPr>
              <w:t>Description</w:t>
            </w:r>
          </w:p>
        </w:tc>
      </w:tr>
      <w:tr w:rsidR="00672297" w14:paraId="69A25225" w14:textId="77777777">
        <w:trPr>
          <w:cantSplit/>
        </w:trPr>
        <w:tc>
          <w:tcPr>
            <w:tcW w:w="2808" w:type="dxa"/>
            <w:vAlign w:val="center"/>
          </w:tcPr>
          <w:p w14:paraId="7B58232C" w14:textId="77777777" w:rsidR="00672297" w:rsidRDefault="00A16EA3">
            <w:pPr>
              <w:spacing w:before="20" w:after="20"/>
              <w:jc w:val="left"/>
            </w:pPr>
            <w:r>
              <w:rPr>
                <w:rFonts w:cstheme="minorHAnsi"/>
                <w:sz w:val="20"/>
                <w:szCs w:val="20"/>
              </w:rPr>
              <w:t>vwDistillateBlendingKPI</w:t>
            </w:r>
          </w:p>
        </w:tc>
        <w:tc>
          <w:tcPr>
            <w:tcW w:w="1123" w:type="dxa"/>
            <w:vAlign w:val="center"/>
          </w:tcPr>
          <w:p w14:paraId="7F4A5B52" w14:textId="77777777" w:rsidR="00672297" w:rsidRDefault="00A16EA3">
            <w:pPr>
              <w:spacing w:before="20" w:after="20"/>
              <w:jc w:val="left"/>
            </w:pPr>
            <w:r>
              <w:rPr>
                <w:rFonts w:cstheme="minorHAnsi"/>
                <w:sz w:val="20"/>
                <w:szCs w:val="20"/>
              </w:rPr>
              <w:t>Transaction</w:t>
            </w:r>
          </w:p>
        </w:tc>
        <w:tc>
          <w:tcPr>
            <w:tcW w:w="2433" w:type="dxa"/>
            <w:vAlign w:val="center"/>
          </w:tcPr>
          <w:p w14:paraId="629E613B" w14:textId="77777777" w:rsidR="00672297" w:rsidRDefault="00A16EA3">
            <w:pPr>
              <w:spacing w:before="20" w:after="20"/>
              <w:jc w:val="left"/>
            </w:pPr>
            <w:r>
              <w:rPr>
                <w:rFonts w:cstheme="minorHAnsi"/>
                <w:sz w:val="20"/>
                <w:szCs w:val="20"/>
              </w:rPr>
              <w:t>IQDM database - VCB view (chapter 3)</w:t>
            </w:r>
          </w:p>
        </w:tc>
        <w:tc>
          <w:tcPr>
            <w:tcW w:w="2996" w:type="dxa"/>
            <w:vAlign w:val="center"/>
          </w:tcPr>
          <w:p w14:paraId="71050BCB" w14:textId="77777777" w:rsidR="00672297" w:rsidRDefault="00A16EA3">
            <w:pPr>
              <w:spacing w:before="20" w:after="20"/>
              <w:jc w:val="left"/>
            </w:pPr>
            <w:r>
              <w:rPr>
                <w:rFonts w:cstheme="minorHAnsi"/>
                <w:sz w:val="20"/>
                <w:szCs w:val="20"/>
              </w:rPr>
              <w:t>Min / Actual / Max / Delta per property per terminal, source, product and day</w:t>
            </w:r>
          </w:p>
        </w:tc>
      </w:tr>
      <w:tr w:rsidR="00672297" w14:paraId="3734E9F0" w14:textId="77777777">
        <w:trPr>
          <w:cantSplit/>
        </w:trPr>
        <w:tc>
          <w:tcPr>
            <w:tcW w:w="2808" w:type="dxa"/>
            <w:vAlign w:val="center"/>
          </w:tcPr>
          <w:p w14:paraId="133648C2" w14:textId="77777777" w:rsidR="00672297" w:rsidRDefault="00A16EA3">
            <w:pPr>
              <w:spacing w:before="20" w:after="20"/>
              <w:jc w:val="left"/>
            </w:pPr>
            <w:r>
              <w:rPr>
                <w:rFonts w:cstheme="minorHAnsi"/>
                <w:sz w:val="20"/>
                <w:szCs w:val="20"/>
              </w:rPr>
              <w:t>MPR_Price</w:t>
            </w:r>
          </w:p>
        </w:tc>
        <w:tc>
          <w:tcPr>
            <w:tcW w:w="1123" w:type="dxa"/>
            <w:vAlign w:val="center"/>
          </w:tcPr>
          <w:p w14:paraId="249202DC" w14:textId="77777777" w:rsidR="00672297" w:rsidRDefault="00A16EA3">
            <w:pPr>
              <w:spacing w:before="20" w:after="20"/>
              <w:jc w:val="left"/>
            </w:pPr>
            <w:r>
              <w:rPr>
                <w:rFonts w:cstheme="minorHAnsi"/>
                <w:sz w:val="20"/>
                <w:szCs w:val="20"/>
              </w:rPr>
              <w:t>Reference</w:t>
            </w:r>
          </w:p>
        </w:tc>
        <w:tc>
          <w:tcPr>
            <w:tcW w:w="2433" w:type="dxa"/>
            <w:vAlign w:val="center"/>
          </w:tcPr>
          <w:p w14:paraId="1084773C" w14:textId="77777777" w:rsidR="00672297" w:rsidRDefault="00A16EA3">
            <w:pPr>
              <w:spacing w:before="20" w:after="20"/>
              <w:jc w:val="left"/>
            </w:pPr>
            <w:r>
              <w:rPr>
                <w:rFonts w:cstheme="minorHAnsi"/>
                <w:sz w:val="20"/>
                <w:szCs w:val="20"/>
              </w:rPr>
              <w:t>MPR API (MPR database) - stored in Power BI only</w:t>
            </w:r>
          </w:p>
        </w:tc>
        <w:tc>
          <w:tcPr>
            <w:tcW w:w="2996" w:type="dxa"/>
            <w:vAlign w:val="center"/>
          </w:tcPr>
          <w:p w14:paraId="44DEECF2" w14:textId="77777777" w:rsidR="00672297" w:rsidRDefault="00A16EA3">
            <w:pPr>
              <w:spacing w:before="20" w:after="20"/>
              <w:jc w:val="left"/>
            </w:pPr>
            <w:r>
              <w:rPr>
                <w:rFonts w:cstheme="minorHAnsi"/>
                <w:sz w:val="20"/>
                <w:szCs w:val="20"/>
              </w:rPr>
              <w:t>Prices for the value-loss measures</w:t>
            </w:r>
          </w:p>
        </w:tc>
      </w:tr>
      <w:tr w:rsidR="00672297" w14:paraId="61A9BC79" w14:textId="77777777">
        <w:trPr>
          <w:cantSplit/>
        </w:trPr>
        <w:tc>
          <w:tcPr>
            <w:tcW w:w="2808" w:type="dxa"/>
            <w:vAlign w:val="center"/>
          </w:tcPr>
          <w:p w14:paraId="03FF76DB" w14:textId="77777777" w:rsidR="00672297" w:rsidRDefault="00A16EA3">
            <w:pPr>
              <w:spacing w:before="20" w:after="20"/>
              <w:jc w:val="left"/>
            </w:pPr>
            <w:r>
              <w:rPr>
                <w:rFonts w:cstheme="minorHAnsi"/>
                <w:sz w:val="20"/>
                <w:szCs w:val="20"/>
              </w:rPr>
              <w:t>day_detail</w:t>
            </w:r>
          </w:p>
        </w:tc>
        <w:tc>
          <w:tcPr>
            <w:tcW w:w="1123" w:type="dxa"/>
            <w:vAlign w:val="center"/>
          </w:tcPr>
          <w:p w14:paraId="7A7F5ACA" w14:textId="77777777" w:rsidR="00672297" w:rsidRDefault="00A16EA3">
            <w:pPr>
              <w:spacing w:before="20" w:after="20"/>
              <w:jc w:val="left"/>
            </w:pPr>
            <w:r>
              <w:rPr>
                <w:rFonts w:cstheme="minorHAnsi"/>
                <w:sz w:val="20"/>
                <w:szCs w:val="20"/>
              </w:rPr>
              <w:t>Reference</w:t>
            </w:r>
          </w:p>
        </w:tc>
        <w:tc>
          <w:tcPr>
            <w:tcW w:w="2433" w:type="dxa"/>
            <w:vAlign w:val="center"/>
          </w:tcPr>
          <w:p w14:paraId="02CAF02C" w14:textId="77777777" w:rsidR="00672297" w:rsidRDefault="00A16EA3">
            <w:pPr>
              <w:spacing w:before="20" w:after="20"/>
              <w:jc w:val="left"/>
            </w:pPr>
            <w:r>
              <w:rPr>
                <w:rFonts w:cstheme="minorHAnsi"/>
                <w:sz w:val="20"/>
                <w:szCs w:val="20"/>
              </w:rPr>
              <w:t>IQDM database</w:t>
            </w:r>
          </w:p>
        </w:tc>
        <w:tc>
          <w:tcPr>
            <w:tcW w:w="2996" w:type="dxa"/>
            <w:vAlign w:val="center"/>
          </w:tcPr>
          <w:p w14:paraId="3E6C73F8" w14:textId="77777777" w:rsidR="00672297" w:rsidRDefault="00A16EA3">
            <w:pPr>
              <w:spacing w:before="20" w:after="20"/>
              <w:jc w:val="left"/>
            </w:pPr>
            <w:r>
              <w:rPr>
                <w:rFonts w:cstheme="minorHAnsi"/>
                <w:sz w:val="20"/>
                <w:szCs w:val="20"/>
              </w:rPr>
              <w:t>Calendar attributes</w:t>
            </w:r>
          </w:p>
        </w:tc>
      </w:tr>
      <w:tr w:rsidR="00672297" w14:paraId="73D02D9A" w14:textId="77777777">
        <w:trPr>
          <w:cantSplit/>
        </w:trPr>
        <w:tc>
          <w:tcPr>
            <w:tcW w:w="2808" w:type="dxa"/>
            <w:vAlign w:val="center"/>
          </w:tcPr>
          <w:p w14:paraId="47B05475" w14:textId="77777777" w:rsidR="00672297" w:rsidRDefault="00A16EA3">
            <w:pPr>
              <w:spacing w:before="20" w:after="20"/>
              <w:jc w:val="left"/>
            </w:pPr>
            <w:r>
              <w:rPr>
                <w:rFonts w:cstheme="minorHAnsi"/>
                <w:sz w:val="20"/>
                <w:szCs w:val="20"/>
              </w:rPr>
              <w:t>Last_Refresh</w:t>
            </w:r>
          </w:p>
        </w:tc>
        <w:tc>
          <w:tcPr>
            <w:tcW w:w="1123" w:type="dxa"/>
            <w:vAlign w:val="center"/>
          </w:tcPr>
          <w:p w14:paraId="52A4F8ED" w14:textId="77777777" w:rsidR="00672297" w:rsidRDefault="00A16EA3">
            <w:pPr>
              <w:spacing w:before="20" w:after="20"/>
              <w:jc w:val="left"/>
            </w:pPr>
            <w:r>
              <w:rPr>
                <w:rFonts w:cstheme="minorHAnsi"/>
                <w:sz w:val="20"/>
                <w:szCs w:val="20"/>
              </w:rPr>
              <w:t>Parameter</w:t>
            </w:r>
          </w:p>
        </w:tc>
        <w:tc>
          <w:tcPr>
            <w:tcW w:w="2433" w:type="dxa"/>
            <w:vAlign w:val="center"/>
          </w:tcPr>
          <w:p w14:paraId="1DEE6F92" w14:textId="77777777" w:rsidR="00672297" w:rsidRDefault="00A16EA3">
            <w:pPr>
              <w:spacing w:before="20" w:after="20"/>
              <w:jc w:val="left"/>
            </w:pPr>
            <w:r>
              <w:rPr>
                <w:rFonts w:cstheme="minorHAnsi"/>
                <w:sz w:val="20"/>
                <w:szCs w:val="20"/>
              </w:rPr>
              <w:t>Power Query</w:t>
            </w:r>
          </w:p>
        </w:tc>
        <w:tc>
          <w:tcPr>
            <w:tcW w:w="2996" w:type="dxa"/>
            <w:vAlign w:val="center"/>
          </w:tcPr>
          <w:p w14:paraId="5F3AF4DA" w14:textId="77777777" w:rsidR="00672297" w:rsidRDefault="00A16EA3">
            <w:pPr>
              <w:spacing w:before="20" w:after="20"/>
              <w:jc w:val="left"/>
            </w:pPr>
            <w:r>
              <w:rPr>
                <w:rFonts w:cstheme="minorHAnsi"/>
                <w:sz w:val="20"/>
                <w:szCs w:val="20"/>
              </w:rPr>
              <w:t>Last refresh timestamp</w:t>
            </w:r>
          </w:p>
        </w:tc>
      </w:tr>
    </w:tbl>
    <w:p w14:paraId="1472680E" w14:textId="74DA95C0" w:rsidR="00672297" w:rsidRDefault="00A16EA3">
      <w:pPr>
        <w:pStyle w:val="Caption"/>
      </w:pPr>
      <w:bookmarkStart w:id="752" w:name="_Toc900950175"/>
      <w:bookmarkStart w:id="753" w:name="_Toc241574743"/>
      <w:bookmarkStart w:id="754" w:name="_Toc242554127"/>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54</w:t>
      </w:r>
      <w:r>
        <w:fldChar w:fldCharType="end"/>
      </w:r>
      <w:r>
        <w:t>: Distillate KPI Dashboard Tables / Views Loaded in Power BI</w:t>
      </w:r>
      <w:bookmarkEnd w:id="752"/>
      <w:bookmarkEnd w:id="753"/>
      <w:bookmarkEnd w:id="754"/>
    </w:p>
    <w:p w14:paraId="040EA559" w14:textId="77777777" w:rsidR="00672297" w:rsidRDefault="00A16EA3">
      <w:pPr>
        <w:pStyle w:val="Heading4"/>
        <w:rPr>
          <w:rFonts w:asciiTheme="minorHAnsi" w:hAnsiTheme="minorHAnsi" w:cstheme="minorBidi"/>
          <w:sz w:val="20"/>
          <w:szCs w:val="20"/>
        </w:rPr>
      </w:pPr>
      <w:bookmarkStart w:id="755" w:name="_Toc900950176"/>
      <w:r>
        <w:rPr>
          <w:rFonts w:asciiTheme="minorHAnsi" w:hAnsiTheme="minorHAnsi" w:cstheme="minorBidi"/>
          <w:sz w:val="20"/>
          <w:szCs w:val="20"/>
        </w:rPr>
        <w:t>Relationships</w:t>
      </w:r>
      <w:bookmarkEnd w:id="755"/>
    </w:p>
    <w:tbl>
      <w:tblPr>
        <w:tblStyle w:val="TableGrid"/>
        <w:tblW w:w="9360" w:type="dxa"/>
        <w:tblLayout w:type="fixed"/>
        <w:tblCellMar>
          <w:left w:w="70" w:type="dxa"/>
          <w:right w:w="70" w:type="dxa"/>
        </w:tblCellMar>
        <w:tblLook w:val="04A0" w:firstRow="1" w:lastRow="0" w:firstColumn="1" w:lastColumn="0" w:noHBand="0" w:noVBand="1"/>
      </w:tblPr>
      <w:tblGrid>
        <w:gridCol w:w="2620"/>
        <w:gridCol w:w="2246"/>
        <w:gridCol w:w="1497"/>
        <w:gridCol w:w="1872"/>
        <w:gridCol w:w="1125"/>
      </w:tblGrid>
      <w:tr w:rsidR="00672297" w14:paraId="0AECAD0F" w14:textId="77777777">
        <w:trPr>
          <w:cantSplit/>
          <w:tblHeader/>
        </w:trPr>
        <w:tc>
          <w:tcPr>
            <w:tcW w:w="2620" w:type="dxa"/>
            <w:shd w:val="clear" w:color="auto" w:fill="2F5496"/>
            <w:vAlign w:val="center"/>
          </w:tcPr>
          <w:p w14:paraId="40EA0D04" w14:textId="77777777" w:rsidR="00672297" w:rsidRDefault="00A16EA3">
            <w:pPr>
              <w:spacing w:before="20" w:after="20"/>
              <w:jc w:val="left"/>
            </w:pPr>
            <w:r>
              <w:rPr>
                <w:rFonts w:cstheme="minorHAnsi"/>
                <w:b/>
                <w:bCs/>
                <w:color w:val="FFFFFF"/>
                <w:sz w:val="18"/>
                <w:szCs w:val="18"/>
              </w:rPr>
              <w:t>From Table</w:t>
            </w:r>
          </w:p>
        </w:tc>
        <w:tc>
          <w:tcPr>
            <w:tcW w:w="2246" w:type="dxa"/>
            <w:shd w:val="clear" w:color="auto" w:fill="2F5496"/>
            <w:vAlign w:val="center"/>
          </w:tcPr>
          <w:p w14:paraId="6E022971" w14:textId="77777777" w:rsidR="00672297" w:rsidRDefault="00A16EA3">
            <w:pPr>
              <w:spacing w:before="20" w:after="20"/>
              <w:jc w:val="left"/>
            </w:pPr>
            <w:r>
              <w:rPr>
                <w:rFonts w:cstheme="minorHAnsi"/>
                <w:b/>
                <w:bCs/>
                <w:color w:val="FFFFFF"/>
                <w:sz w:val="18"/>
                <w:szCs w:val="18"/>
              </w:rPr>
              <w:t>Column</w:t>
            </w:r>
          </w:p>
        </w:tc>
        <w:tc>
          <w:tcPr>
            <w:tcW w:w="1497" w:type="dxa"/>
            <w:shd w:val="clear" w:color="auto" w:fill="2F5496"/>
            <w:vAlign w:val="center"/>
          </w:tcPr>
          <w:p w14:paraId="63FCCFD5" w14:textId="77777777" w:rsidR="00672297" w:rsidRDefault="00A16EA3">
            <w:pPr>
              <w:spacing w:before="20" w:after="20"/>
              <w:jc w:val="left"/>
            </w:pPr>
            <w:r>
              <w:rPr>
                <w:rFonts w:cstheme="minorHAnsi"/>
                <w:b/>
                <w:bCs/>
                <w:color w:val="FFFFFF"/>
                <w:sz w:val="18"/>
                <w:szCs w:val="18"/>
              </w:rPr>
              <w:t>To Table</w:t>
            </w:r>
          </w:p>
        </w:tc>
        <w:tc>
          <w:tcPr>
            <w:tcW w:w="1872" w:type="dxa"/>
            <w:shd w:val="clear" w:color="auto" w:fill="2F5496"/>
            <w:vAlign w:val="center"/>
          </w:tcPr>
          <w:p w14:paraId="74BDFAEA" w14:textId="77777777" w:rsidR="00672297" w:rsidRDefault="00A16EA3">
            <w:pPr>
              <w:spacing w:before="20" w:after="20"/>
              <w:jc w:val="left"/>
            </w:pPr>
            <w:r>
              <w:rPr>
                <w:rFonts w:cstheme="minorHAnsi"/>
                <w:b/>
                <w:bCs/>
                <w:color w:val="FFFFFF"/>
                <w:sz w:val="18"/>
                <w:szCs w:val="18"/>
              </w:rPr>
              <w:t>Column</w:t>
            </w:r>
          </w:p>
        </w:tc>
        <w:tc>
          <w:tcPr>
            <w:tcW w:w="1125" w:type="dxa"/>
            <w:shd w:val="clear" w:color="auto" w:fill="2F5496"/>
            <w:vAlign w:val="center"/>
          </w:tcPr>
          <w:p w14:paraId="374FC95C" w14:textId="77777777" w:rsidR="00672297" w:rsidRDefault="00A16EA3">
            <w:pPr>
              <w:spacing w:before="20" w:after="20"/>
              <w:jc w:val="left"/>
            </w:pPr>
            <w:r>
              <w:rPr>
                <w:rFonts w:cstheme="minorHAnsi"/>
                <w:b/>
                <w:bCs/>
                <w:color w:val="FFFFFF"/>
                <w:sz w:val="18"/>
                <w:szCs w:val="18"/>
              </w:rPr>
              <w:t>Cardinality</w:t>
            </w:r>
          </w:p>
        </w:tc>
      </w:tr>
      <w:tr w:rsidR="00672297" w14:paraId="19A4F0AD" w14:textId="77777777">
        <w:trPr>
          <w:cantSplit/>
        </w:trPr>
        <w:tc>
          <w:tcPr>
            <w:tcW w:w="2620" w:type="dxa"/>
            <w:vAlign w:val="center"/>
          </w:tcPr>
          <w:p w14:paraId="34B7DBBC" w14:textId="77777777" w:rsidR="00672297" w:rsidRDefault="00A16EA3">
            <w:pPr>
              <w:spacing w:before="20" w:after="20"/>
              <w:jc w:val="left"/>
            </w:pPr>
            <w:r>
              <w:rPr>
                <w:rFonts w:cstheme="minorHAnsi"/>
                <w:sz w:val="18"/>
                <w:szCs w:val="18"/>
              </w:rPr>
              <w:t>vwDistillateBlendingKPI</w:t>
            </w:r>
          </w:p>
        </w:tc>
        <w:tc>
          <w:tcPr>
            <w:tcW w:w="2246" w:type="dxa"/>
            <w:vAlign w:val="center"/>
          </w:tcPr>
          <w:p w14:paraId="0C75997C" w14:textId="77777777" w:rsidR="00672297" w:rsidRDefault="00A16EA3">
            <w:pPr>
              <w:spacing w:before="20" w:after="20"/>
              <w:jc w:val="left"/>
            </w:pPr>
            <w:r>
              <w:rPr>
                <w:rFonts w:cstheme="minorHAnsi"/>
                <w:sz w:val="18"/>
                <w:szCs w:val="18"/>
              </w:rPr>
              <w:t>ActivityDate</w:t>
            </w:r>
          </w:p>
        </w:tc>
        <w:tc>
          <w:tcPr>
            <w:tcW w:w="1497" w:type="dxa"/>
            <w:vAlign w:val="center"/>
          </w:tcPr>
          <w:p w14:paraId="168DE9E3" w14:textId="77777777" w:rsidR="00672297" w:rsidRDefault="00A16EA3">
            <w:pPr>
              <w:spacing w:before="20" w:after="20"/>
              <w:jc w:val="left"/>
            </w:pPr>
            <w:r>
              <w:rPr>
                <w:rFonts w:cstheme="minorHAnsi"/>
                <w:sz w:val="18"/>
                <w:szCs w:val="18"/>
              </w:rPr>
              <w:t>day_detail</w:t>
            </w:r>
          </w:p>
        </w:tc>
        <w:tc>
          <w:tcPr>
            <w:tcW w:w="1872" w:type="dxa"/>
            <w:vAlign w:val="center"/>
          </w:tcPr>
          <w:p w14:paraId="5D527A03" w14:textId="77777777" w:rsidR="00672297" w:rsidRDefault="00A16EA3">
            <w:pPr>
              <w:spacing w:before="20" w:after="20"/>
              <w:jc w:val="left"/>
            </w:pPr>
            <w:r>
              <w:rPr>
                <w:rFonts w:cstheme="minorHAnsi"/>
                <w:sz w:val="18"/>
                <w:szCs w:val="18"/>
              </w:rPr>
              <w:t>W_Date</w:t>
            </w:r>
          </w:p>
        </w:tc>
        <w:tc>
          <w:tcPr>
            <w:tcW w:w="1125" w:type="dxa"/>
            <w:vAlign w:val="center"/>
          </w:tcPr>
          <w:p w14:paraId="401FA90B" w14:textId="77777777" w:rsidR="00672297" w:rsidRDefault="00A16EA3">
            <w:pPr>
              <w:spacing w:before="20" w:after="20"/>
              <w:jc w:val="left"/>
            </w:pPr>
            <w:r>
              <w:rPr>
                <w:rFonts w:cstheme="minorHAnsi"/>
                <w:sz w:val="18"/>
                <w:szCs w:val="18"/>
              </w:rPr>
              <w:t>Many-to-One</w:t>
            </w:r>
          </w:p>
        </w:tc>
      </w:tr>
      <w:tr w:rsidR="00672297" w14:paraId="08D7D98D" w14:textId="77777777">
        <w:trPr>
          <w:cantSplit/>
        </w:trPr>
        <w:tc>
          <w:tcPr>
            <w:tcW w:w="2620" w:type="dxa"/>
            <w:vAlign w:val="center"/>
          </w:tcPr>
          <w:p w14:paraId="67B1E2FA" w14:textId="77777777" w:rsidR="00672297" w:rsidRDefault="00A16EA3">
            <w:pPr>
              <w:spacing w:before="20" w:after="20"/>
              <w:jc w:val="left"/>
            </w:pPr>
            <w:r>
              <w:rPr>
                <w:rFonts w:cstheme="minorHAnsi"/>
                <w:sz w:val="18"/>
                <w:szCs w:val="18"/>
              </w:rPr>
              <w:t>vwDistillateBlendingKPI</w:t>
            </w:r>
          </w:p>
        </w:tc>
        <w:tc>
          <w:tcPr>
            <w:tcW w:w="2246" w:type="dxa"/>
            <w:vAlign w:val="center"/>
          </w:tcPr>
          <w:p w14:paraId="2E5D91A0" w14:textId="77777777" w:rsidR="00672297" w:rsidRDefault="00A16EA3">
            <w:pPr>
              <w:spacing w:before="20" w:after="20"/>
              <w:jc w:val="left"/>
            </w:pPr>
            <w:r>
              <w:rPr>
                <w:rFonts w:cstheme="minorHAnsi"/>
                <w:sz w:val="18"/>
                <w:szCs w:val="18"/>
              </w:rPr>
              <w:t>PriceKey (globalCode | productAbbreviation)</w:t>
            </w:r>
          </w:p>
        </w:tc>
        <w:tc>
          <w:tcPr>
            <w:tcW w:w="1497" w:type="dxa"/>
            <w:vAlign w:val="center"/>
          </w:tcPr>
          <w:p w14:paraId="56A863D1" w14:textId="77777777" w:rsidR="00672297" w:rsidRDefault="00A16EA3">
            <w:pPr>
              <w:spacing w:before="20" w:after="20"/>
              <w:jc w:val="left"/>
            </w:pPr>
            <w:r>
              <w:rPr>
                <w:rFonts w:cstheme="minorHAnsi"/>
                <w:sz w:val="18"/>
                <w:szCs w:val="18"/>
              </w:rPr>
              <w:t>MPR_Price</w:t>
            </w:r>
          </w:p>
        </w:tc>
        <w:tc>
          <w:tcPr>
            <w:tcW w:w="1872" w:type="dxa"/>
            <w:vAlign w:val="center"/>
          </w:tcPr>
          <w:p w14:paraId="150A27B7" w14:textId="77777777" w:rsidR="00672297" w:rsidRDefault="00A16EA3">
            <w:pPr>
              <w:spacing w:before="20" w:after="20"/>
              <w:jc w:val="left"/>
            </w:pPr>
            <w:r>
              <w:rPr>
                <w:rFonts w:cstheme="minorHAnsi"/>
                <w:sz w:val="18"/>
                <w:szCs w:val="18"/>
              </w:rPr>
              <w:t>PriceKey (globalCode | productAbbreviation)</w:t>
            </w:r>
          </w:p>
        </w:tc>
        <w:tc>
          <w:tcPr>
            <w:tcW w:w="1125" w:type="dxa"/>
            <w:vAlign w:val="center"/>
          </w:tcPr>
          <w:p w14:paraId="41A24257" w14:textId="77777777" w:rsidR="00672297" w:rsidRDefault="00A16EA3">
            <w:pPr>
              <w:spacing w:before="20" w:after="20"/>
              <w:jc w:val="left"/>
            </w:pPr>
            <w:r>
              <w:rPr>
                <w:rFonts w:cstheme="minorHAnsi"/>
                <w:sz w:val="18"/>
                <w:szCs w:val="18"/>
              </w:rPr>
              <w:t>Many-to-One</w:t>
            </w:r>
          </w:p>
        </w:tc>
      </w:tr>
    </w:tbl>
    <w:p w14:paraId="5BC1B6CF" w14:textId="4BAFC282" w:rsidR="00672297" w:rsidRDefault="00A16EA3">
      <w:pPr>
        <w:pStyle w:val="Caption"/>
      </w:pPr>
      <w:bookmarkStart w:id="756" w:name="_Toc900950177"/>
      <w:bookmarkStart w:id="757" w:name="_Toc241574744"/>
      <w:bookmarkStart w:id="758" w:name="_Toc242554128"/>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55</w:t>
      </w:r>
      <w:r>
        <w:fldChar w:fldCharType="end"/>
      </w:r>
      <w:r>
        <w:t>: Distillate KPI Dashboard Relationships between Tables / Views in Power BI</w:t>
      </w:r>
      <w:bookmarkEnd w:id="756"/>
      <w:bookmarkEnd w:id="757"/>
      <w:bookmarkEnd w:id="758"/>
    </w:p>
    <w:p w14:paraId="318F1312" w14:textId="77777777" w:rsidR="00672297" w:rsidRDefault="00A16EA3">
      <w:pPr>
        <w:pStyle w:val="Heading4"/>
        <w:rPr>
          <w:rFonts w:asciiTheme="minorHAnsi" w:hAnsiTheme="minorHAnsi" w:cstheme="minorBidi"/>
          <w:sz w:val="20"/>
          <w:szCs w:val="20"/>
        </w:rPr>
      </w:pPr>
      <w:bookmarkStart w:id="759" w:name="_Toc900950178"/>
      <w:r>
        <w:rPr>
          <w:rFonts w:asciiTheme="minorHAnsi" w:hAnsiTheme="minorHAnsi" w:cstheme="minorBidi"/>
          <w:sz w:val="20"/>
          <w:szCs w:val="20"/>
        </w:rPr>
        <w:t>DAX Logic (Sample)</w:t>
      </w:r>
      <w:bookmarkEnd w:id="759"/>
    </w:p>
    <w:tbl>
      <w:tblPr>
        <w:tblStyle w:val="TableGrid"/>
        <w:tblW w:w="9360" w:type="dxa"/>
        <w:tblLayout w:type="fixed"/>
        <w:tblCellMar>
          <w:left w:w="115" w:type="dxa"/>
          <w:right w:w="115" w:type="dxa"/>
        </w:tblCellMar>
        <w:tblLook w:val="04A0" w:firstRow="1" w:lastRow="0" w:firstColumn="1" w:lastColumn="0" w:noHBand="0" w:noVBand="1"/>
      </w:tblPr>
      <w:tblGrid>
        <w:gridCol w:w="9360"/>
      </w:tblGrid>
      <w:tr w:rsidR="00672297" w14:paraId="4CD79A54" w14:textId="77777777">
        <w:tc>
          <w:tcPr>
            <w:tcW w:w="9360" w:type="dxa"/>
            <w:shd w:val="clear" w:color="auto" w:fill="F2F2F2"/>
          </w:tcPr>
          <w:p w14:paraId="58DB5448" w14:textId="77777777" w:rsidR="00672297" w:rsidRDefault="00A16EA3">
            <w:pPr>
              <w:jc w:val="left"/>
            </w:pPr>
            <w:r>
              <w:rPr>
                <w:rFonts w:ascii="Consolas" w:hAnsi="Consolas" w:cs="Consolas"/>
                <w:sz w:val="17"/>
                <w:szCs w:val="17"/>
              </w:rPr>
              <w:t>Flash Value Loss ($) =</w:t>
            </w:r>
          </w:p>
          <w:p w14:paraId="713D3794" w14:textId="77777777" w:rsidR="00672297" w:rsidRDefault="00A16EA3">
            <w:pPr>
              <w:jc w:val="left"/>
            </w:pPr>
            <w:r>
              <w:rPr>
                <w:rFonts w:ascii="Consolas" w:hAnsi="Consolas" w:cs="Consolas"/>
                <w:sz w:val="17"/>
                <w:szCs w:val="17"/>
              </w:rPr>
              <w:t>SUMX (</w:t>
            </w:r>
          </w:p>
          <w:p w14:paraId="548A1868" w14:textId="77777777" w:rsidR="00672297" w:rsidRDefault="00A16EA3">
            <w:pPr>
              <w:jc w:val="left"/>
            </w:pPr>
            <w:r>
              <w:rPr>
                <w:rFonts w:ascii="Consolas" w:hAnsi="Consolas" w:cs="Consolas"/>
                <w:sz w:val="17"/>
                <w:szCs w:val="17"/>
              </w:rPr>
              <w:t xml:space="preserve">    vwDistillateBlendingKPI,</w:t>
            </w:r>
          </w:p>
          <w:p w14:paraId="50D7407F" w14:textId="77777777" w:rsidR="00672297" w:rsidRDefault="00A16EA3">
            <w:pPr>
              <w:jc w:val="left"/>
            </w:pPr>
            <w:r>
              <w:rPr>
                <w:rFonts w:ascii="Consolas" w:hAnsi="Consolas" w:cs="Consolas"/>
                <w:sz w:val="17"/>
                <w:szCs w:val="17"/>
              </w:rPr>
              <w:t xml:space="preserve">    vwDistillateBlendingKPI[FlashDelta] * vwDistillateBlendingKPI[TotalVolumeBbl] * [Flash MPR Factor]</w:t>
            </w:r>
          </w:p>
          <w:p w14:paraId="6CD2257F" w14:textId="77777777" w:rsidR="00672297" w:rsidRDefault="00A16EA3">
            <w:pPr>
              <w:jc w:val="left"/>
            </w:pPr>
            <w:r>
              <w:rPr>
                <w:rFonts w:ascii="Consolas" w:hAnsi="Consolas" w:cs="Consolas"/>
                <w:sz w:val="17"/>
                <w:szCs w:val="17"/>
              </w:rPr>
              <w:t>)</w:t>
            </w:r>
          </w:p>
          <w:p w14:paraId="54F55F6A" w14:textId="77777777" w:rsidR="00672297" w:rsidRDefault="00672297">
            <w:pPr>
              <w:jc w:val="left"/>
            </w:pPr>
          </w:p>
          <w:p w14:paraId="645A3D19" w14:textId="77777777" w:rsidR="00672297" w:rsidRDefault="00A16EA3">
            <w:pPr>
              <w:jc w:val="left"/>
            </w:pPr>
            <w:r>
              <w:rPr>
                <w:rFonts w:ascii="Consolas" w:hAnsi="Consolas" w:cs="Consolas"/>
                <w:sz w:val="17"/>
                <w:szCs w:val="17"/>
              </w:rPr>
              <w:t>Total Value Loss ($) =</w:t>
            </w:r>
          </w:p>
          <w:p w14:paraId="74E6CEE1" w14:textId="77777777" w:rsidR="00672297" w:rsidRDefault="00A16EA3">
            <w:pPr>
              <w:jc w:val="left"/>
            </w:pPr>
            <w:r>
              <w:rPr>
                <w:rFonts w:ascii="Consolas" w:hAnsi="Consolas" w:cs="Consolas"/>
                <w:sz w:val="17"/>
                <w:szCs w:val="17"/>
              </w:rPr>
              <w:t xml:space="preserve">    [Flash Value Loss ($)] + [Sulphur Value Loss ($)] + [Adj Cloud Value Loss ($)] + [T-90 Value Loss ($)]</w:t>
            </w:r>
          </w:p>
          <w:p w14:paraId="559B9608" w14:textId="77777777" w:rsidR="00672297" w:rsidRDefault="00A16EA3">
            <w:pPr>
              <w:jc w:val="left"/>
            </w:pPr>
            <w:r>
              <w:rPr>
                <w:rFonts w:ascii="Consolas" w:hAnsi="Consolas" w:cs="Consolas"/>
                <w:sz w:val="17"/>
                <w:szCs w:val="17"/>
              </w:rPr>
              <w:t xml:space="preserve">        + [FBP Value Loss ($)] + [Freezing Point Value Loss ($)] + [Viscosity Value Loss ($)]</w:t>
            </w:r>
          </w:p>
        </w:tc>
      </w:tr>
    </w:tbl>
    <w:p w14:paraId="0648782A" w14:textId="77777777" w:rsidR="00672297" w:rsidRDefault="00A16EA3">
      <w:pPr>
        <w:pStyle w:val="Heading4"/>
        <w:rPr>
          <w:rFonts w:asciiTheme="minorHAnsi" w:hAnsiTheme="minorHAnsi" w:cstheme="minorBidi"/>
          <w:sz w:val="20"/>
          <w:szCs w:val="20"/>
        </w:rPr>
      </w:pPr>
      <w:bookmarkStart w:id="760" w:name="_Toc900950179"/>
      <w:r>
        <w:rPr>
          <w:rFonts w:asciiTheme="minorHAnsi" w:hAnsiTheme="minorHAnsi" w:cstheme="minorBidi"/>
          <w:sz w:val="20"/>
          <w:szCs w:val="20"/>
        </w:rPr>
        <w:t>Visual Types Used</w:t>
      </w:r>
      <w:bookmarkEnd w:id="760"/>
    </w:p>
    <w:p w14:paraId="25368919"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Cards: Flash, Sulphur and T-90 Give-Away (Avg Δ vs spec); Total Value Loss.</w:t>
      </w:r>
    </w:p>
    <w:p w14:paraId="3836538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Charts: Property Give-Away Δ chart; Dollar Value Give - Opportunity Loss ($) clustered column chart.</w:t>
      </w:r>
    </w:p>
    <w:p w14:paraId="172E6A63"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Tables: Event Summary Table (matrix).</w:t>
      </w:r>
    </w:p>
    <w:p w14:paraId="6AB4085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Slicers: Refinery, Terminal, Grade, Quality, Date range.</w:t>
      </w:r>
    </w:p>
    <w:p w14:paraId="17B1E507" w14:textId="77777777" w:rsidR="00672297" w:rsidRDefault="00A16EA3">
      <w:pPr>
        <w:pStyle w:val="Heading4"/>
        <w:rPr>
          <w:rFonts w:asciiTheme="minorHAnsi" w:hAnsiTheme="minorHAnsi" w:cstheme="minorBidi"/>
          <w:sz w:val="20"/>
          <w:szCs w:val="20"/>
        </w:rPr>
      </w:pPr>
      <w:bookmarkStart w:id="761" w:name="_Toc900950180"/>
      <w:r>
        <w:rPr>
          <w:rFonts w:asciiTheme="minorHAnsi" w:hAnsiTheme="minorHAnsi" w:cstheme="minorBidi"/>
          <w:sz w:val="20"/>
          <w:szCs w:val="20"/>
        </w:rPr>
        <w:t>Power BI Attributes and Mapped Backend Table - Field Details</w:t>
      </w:r>
      <w:bookmarkEnd w:id="761"/>
    </w:p>
    <w:tbl>
      <w:tblPr>
        <w:tblStyle w:val="TableGrid"/>
        <w:tblW w:w="9360" w:type="dxa"/>
        <w:tblLayout w:type="fixed"/>
        <w:tblCellMar>
          <w:left w:w="70" w:type="dxa"/>
          <w:right w:w="70" w:type="dxa"/>
        </w:tblCellMar>
        <w:tblLook w:val="04A0" w:firstRow="1" w:lastRow="0" w:firstColumn="1" w:lastColumn="0" w:noHBand="0" w:noVBand="1"/>
      </w:tblPr>
      <w:tblGrid>
        <w:gridCol w:w="1404"/>
        <w:gridCol w:w="1310"/>
        <w:gridCol w:w="1310"/>
        <w:gridCol w:w="1404"/>
        <w:gridCol w:w="655"/>
        <w:gridCol w:w="655"/>
        <w:gridCol w:w="655"/>
        <w:gridCol w:w="1967"/>
      </w:tblGrid>
      <w:tr w:rsidR="00672297" w14:paraId="523CBDAC" w14:textId="77777777">
        <w:trPr>
          <w:cantSplit/>
          <w:tblHeader/>
        </w:trPr>
        <w:tc>
          <w:tcPr>
            <w:tcW w:w="1404" w:type="dxa"/>
            <w:shd w:val="clear" w:color="auto" w:fill="2F5496"/>
            <w:vAlign w:val="center"/>
          </w:tcPr>
          <w:p w14:paraId="1EAC0015" w14:textId="77777777" w:rsidR="00672297" w:rsidRDefault="00A16EA3">
            <w:pPr>
              <w:spacing w:before="20" w:after="20"/>
              <w:jc w:val="left"/>
            </w:pPr>
            <w:r>
              <w:rPr>
                <w:rFonts w:cstheme="minorHAnsi"/>
                <w:b/>
                <w:bCs/>
                <w:color w:val="FFFFFF"/>
                <w:sz w:val="16"/>
                <w:szCs w:val="16"/>
              </w:rPr>
              <w:t>Power BI Visualization Name</w:t>
            </w:r>
          </w:p>
        </w:tc>
        <w:tc>
          <w:tcPr>
            <w:tcW w:w="1310" w:type="dxa"/>
            <w:shd w:val="clear" w:color="auto" w:fill="2F5496"/>
            <w:vAlign w:val="center"/>
          </w:tcPr>
          <w:p w14:paraId="478BE47E" w14:textId="77777777" w:rsidR="00672297" w:rsidRDefault="00A16EA3">
            <w:pPr>
              <w:spacing w:before="20" w:after="20"/>
              <w:jc w:val="left"/>
            </w:pPr>
            <w:r>
              <w:rPr>
                <w:rFonts w:cstheme="minorHAnsi"/>
                <w:b/>
                <w:bCs/>
                <w:color w:val="FFFFFF"/>
                <w:sz w:val="16"/>
                <w:szCs w:val="16"/>
              </w:rPr>
              <w:t>Power BI Attribute Name</w:t>
            </w:r>
          </w:p>
        </w:tc>
        <w:tc>
          <w:tcPr>
            <w:tcW w:w="1310" w:type="dxa"/>
            <w:shd w:val="clear" w:color="auto" w:fill="2F5496"/>
            <w:vAlign w:val="center"/>
          </w:tcPr>
          <w:p w14:paraId="5CC99ED2" w14:textId="77777777" w:rsidR="00672297" w:rsidRDefault="00A16EA3">
            <w:pPr>
              <w:spacing w:before="20" w:after="20"/>
              <w:jc w:val="left"/>
            </w:pPr>
            <w:r>
              <w:rPr>
                <w:rFonts w:cstheme="minorHAnsi"/>
                <w:b/>
                <w:bCs/>
                <w:color w:val="FFFFFF"/>
                <w:sz w:val="16"/>
                <w:szCs w:val="16"/>
              </w:rPr>
              <w:t>Table / View (Semantic Model)</w:t>
            </w:r>
          </w:p>
        </w:tc>
        <w:tc>
          <w:tcPr>
            <w:tcW w:w="1404" w:type="dxa"/>
            <w:shd w:val="clear" w:color="auto" w:fill="2F5496"/>
            <w:vAlign w:val="center"/>
          </w:tcPr>
          <w:p w14:paraId="3DDED174" w14:textId="77777777" w:rsidR="00672297" w:rsidRDefault="00A16EA3">
            <w:pPr>
              <w:spacing w:before="20" w:after="20"/>
              <w:jc w:val="left"/>
            </w:pPr>
            <w:r>
              <w:rPr>
                <w:rFonts w:cstheme="minorHAnsi"/>
                <w:b/>
                <w:bCs/>
                <w:color w:val="FFFFFF"/>
                <w:sz w:val="16"/>
                <w:szCs w:val="16"/>
              </w:rPr>
              <w:t>Field Name</w:t>
            </w:r>
          </w:p>
        </w:tc>
        <w:tc>
          <w:tcPr>
            <w:tcW w:w="655" w:type="dxa"/>
            <w:shd w:val="clear" w:color="auto" w:fill="2F5496"/>
            <w:vAlign w:val="center"/>
          </w:tcPr>
          <w:p w14:paraId="28162FF3" w14:textId="77777777" w:rsidR="00672297" w:rsidRDefault="00A16EA3">
            <w:pPr>
              <w:spacing w:before="20" w:after="20"/>
              <w:jc w:val="left"/>
            </w:pPr>
            <w:r>
              <w:rPr>
                <w:rFonts w:cstheme="minorHAnsi"/>
                <w:b/>
                <w:bCs/>
                <w:color w:val="FFFFFF"/>
                <w:sz w:val="16"/>
                <w:szCs w:val="16"/>
              </w:rPr>
              <w:t>Measure (Y/N)</w:t>
            </w:r>
          </w:p>
        </w:tc>
        <w:tc>
          <w:tcPr>
            <w:tcW w:w="655" w:type="dxa"/>
            <w:shd w:val="clear" w:color="auto" w:fill="2F5496"/>
            <w:vAlign w:val="center"/>
          </w:tcPr>
          <w:p w14:paraId="763A4AD3" w14:textId="77777777" w:rsidR="00672297" w:rsidRDefault="00A16EA3">
            <w:pPr>
              <w:spacing w:before="20" w:after="20"/>
              <w:jc w:val="left"/>
            </w:pPr>
            <w:r>
              <w:rPr>
                <w:rFonts w:cstheme="minorHAnsi"/>
                <w:b/>
                <w:bCs/>
                <w:color w:val="FFFFFF"/>
                <w:sz w:val="16"/>
                <w:szCs w:val="16"/>
              </w:rPr>
              <w:t>Report Filter (Y/N)</w:t>
            </w:r>
          </w:p>
        </w:tc>
        <w:tc>
          <w:tcPr>
            <w:tcW w:w="655" w:type="dxa"/>
            <w:shd w:val="clear" w:color="auto" w:fill="2F5496"/>
            <w:vAlign w:val="center"/>
          </w:tcPr>
          <w:p w14:paraId="355580C8" w14:textId="77777777" w:rsidR="00672297" w:rsidRDefault="00A16EA3">
            <w:pPr>
              <w:spacing w:before="20" w:after="20"/>
              <w:jc w:val="left"/>
            </w:pPr>
            <w:r>
              <w:rPr>
                <w:rFonts w:cstheme="minorHAnsi"/>
                <w:b/>
                <w:bCs/>
                <w:color w:val="FFFFFF"/>
                <w:sz w:val="16"/>
                <w:szCs w:val="16"/>
              </w:rPr>
              <w:t>Direct Attribute (Y/N)</w:t>
            </w:r>
          </w:p>
        </w:tc>
        <w:tc>
          <w:tcPr>
            <w:tcW w:w="1967" w:type="dxa"/>
            <w:shd w:val="clear" w:color="auto" w:fill="2F5496"/>
            <w:vAlign w:val="center"/>
          </w:tcPr>
          <w:p w14:paraId="2C3A4383" w14:textId="77777777" w:rsidR="00672297" w:rsidRDefault="00A16EA3">
            <w:pPr>
              <w:spacing w:before="20" w:after="20"/>
              <w:jc w:val="left"/>
            </w:pPr>
            <w:r>
              <w:rPr>
                <w:rFonts w:cstheme="minorHAnsi"/>
                <w:b/>
                <w:bCs/>
                <w:color w:val="FFFFFF"/>
                <w:sz w:val="16"/>
                <w:szCs w:val="16"/>
              </w:rPr>
              <w:t>Calculation / Logic</w:t>
            </w:r>
          </w:p>
        </w:tc>
      </w:tr>
      <w:tr w:rsidR="00672297" w14:paraId="0E6CB34F" w14:textId="77777777">
        <w:trPr>
          <w:cantSplit/>
        </w:trPr>
        <w:tc>
          <w:tcPr>
            <w:tcW w:w="1404" w:type="dxa"/>
            <w:vAlign w:val="center"/>
          </w:tcPr>
          <w:p w14:paraId="7F455B74" w14:textId="77777777" w:rsidR="00672297" w:rsidRDefault="00A16EA3">
            <w:pPr>
              <w:spacing w:before="20" w:after="20"/>
              <w:jc w:val="left"/>
            </w:pPr>
            <w:r>
              <w:rPr>
                <w:rFonts w:cstheme="minorHAnsi"/>
                <w:sz w:val="16"/>
                <w:szCs w:val="16"/>
              </w:rPr>
              <w:t>Give-Away Cards (3)</w:t>
            </w:r>
          </w:p>
        </w:tc>
        <w:tc>
          <w:tcPr>
            <w:tcW w:w="1310" w:type="dxa"/>
            <w:vAlign w:val="center"/>
          </w:tcPr>
          <w:p w14:paraId="22D26788" w14:textId="77777777" w:rsidR="00672297" w:rsidRDefault="00A16EA3">
            <w:pPr>
              <w:spacing w:before="20" w:after="20"/>
              <w:jc w:val="left"/>
            </w:pPr>
            <w:r>
              <w:rPr>
                <w:rFonts w:cstheme="minorHAnsi"/>
                <w:sz w:val="16"/>
                <w:szCs w:val="16"/>
              </w:rPr>
              <w:t>Avg Delta vs Spec; Max · n</w:t>
            </w:r>
          </w:p>
        </w:tc>
        <w:tc>
          <w:tcPr>
            <w:tcW w:w="1310" w:type="dxa"/>
            <w:vAlign w:val="center"/>
          </w:tcPr>
          <w:p w14:paraId="7CDA7F94" w14:textId="77777777" w:rsidR="00672297" w:rsidRDefault="00A16EA3">
            <w:pPr>
              <w:spacing w:before="20" w:after="20"/>
              <w:jc w:val="left"/>
            </w:pPr>
            <w:r>
              <w:rPr>
                <w:rFonts w:cstheme="minorHAnsi"/>
                <w:sz w:val="16"/>
                <w:szCs w:val="16"/>
              </w:rPr>
              <w:t>vwDistillateBlendingKPI</w:t>
            </w:r>
          </w:p>
        </w:tc>
        <w:tc>
          <w:tcPr>
            <w:tcW w:w="1404" w:type="dxa"/>
            <w:vAlign w:val="center"/>
          </w:tcPr>
          <w:p w14:paraId="655D534A" w14:textId="77777777" w:rsidR="00672297" w:rsidRDefault="00A16EA3">
            <w:pPr>
              <w:spacing w:before="20" w:after="20"/>
              <w:jc w:val="left"/>
            </w:pPr>
            <w:r>
              <w:rPr>
                <w:rFonts w:cstheme="minorHAnsi"/>
                <w:sz w:val="16"/>
                <w:szCs w:val="16"/>
              </w:rPr>
              <w:t>FlashDelta / SulphurDelta / T90Delta</w:t>
            </w:r>
          </w:p>
        </w:tc>
        <w:tc>
          <w:tcPr>
            <w:tcW w:w="655" w:type="dxa"/>
            <w:vAlign w:val="center"/>
          </w:tcPr>
          <w:p w14:paraId="485127E8" w14:textId="77777777" w:rsidR="00672297" w:rsidRDefault="00A16EA3">
            <w:pPr>
              <w:spacing w:before="20" w:after="20"/>
              <w:jc w:val="left"/>
            </w:pPr>
            <w:r>
              <w:rPr>
                <w:rFonts w:cstheme="minorHAnsi"/>
                <w:sz w:val="16"/>
                <w:szCs w:val="16"/>
              </w:rPr>
              <w:t>Y</w:t>
            </w:r>
          </w:p>
        </w:tc>
        <w:tc>
          <w:tcPr>
            <w:tcW w:w="655" w:type="dxa"/>
            <w:vAlign w:val="center"/>
          </w:tcPr>
          <w:p w14:paraId="6C74C9F1" w14:textId="77777777" w:rsidR="00672297" w:rsidRDefault="00A16EA3">
            <w:pPr>
              <w:spacing w:before="20" w:after="20"/>
              <w:jc w:val="left"/>
            </w:pPr>
            <w:r>
              <w:rPr>
                <w:rFonts w:cstheme="minorHAnsi"/>
                <w:sz w:val="16"/>
                <w:szCs w:val="16"/>
              </w:rPr>
              <w:t>N</w:t>
            </w:r>
          </w:p>
        </w:tc>
        <w:tc>
          <w:tcPr>
            <w:tcW w:w="655" w:type="dxa"/>
            <w:vAlign w:val="center"/>
          </w:tcPr>
          <w:p w14:paraId="57741A83" w14:textId="77777777" w:rsidR="00672297" w:rsidRDefault="00A16EA3">
            <w:pPr>
              <w:spacing w:before="20" w:after="20"/>
              <w:jc w:val="left"/>
            </w:pPr>
            <w:r>
              <w:rPr>
                <w:rFonts w:cstheme="minorHAnsi"/>
                <w:sz w:val="16"/>
                <w:szCs w:val="16"/>
              </w:rPr>
              <w:t>N</w:t>
            </w:r>
          </w:p>
        </w:tc>
        <w:tc>
          <w:tcPr>
            <w:tcW w:w="1967" w:type="dxa"/>
            <w:vAlign w:val="center"/>
          </w:tcPr>
          <w:p w14:paraId="1C29E617" w14:textId="77777777" w:rsidR="00672297" w:rsidRDefault="00A16EA3">
            <w:pPr>
              <w:spacing w:before="20" w:after="20"/>
              <w:jc w:val="left"/>
            </w:pPr>
            <w:r>
              <w:rPr>
                <w:rFonts w:cstheme="minorHAnsi"/>
                <w:sz w:val="16"/>
                <w:szCs w:val="16"/>
              </w:rPr>
              <w:t>[Avg &lt;Property&gt; Give-Away Δ (card)], [Card subtitle]</w:t>
            </w:r>
          </w:p>
        </w:tc>
      </w:tr>
      <w:tr w:rsidR="00672297" w14:paraId="460684A9" w14:textId="77777777">
        <w:trPr>
          <w:cantSplit/>
        </w:trPr>
        <w:tc>
          <w:tcPr>
            <w:tcW w:w="1404" w:type="dxa"/>
            <w:vAlign w:val="center"/>
          </w:tcPr>
          <w:p w14:paraId="7B27A4F4" w14:textId="77777777" w:rsidR="00672297" w:rsidRDefault="00A16EA3">
            <w:pPr>
              <w:spacing w:before="20" w:after="20"/>
              <w:jc w:val="left"/>
            </w:pPr>
            <w:r>
              <w:rPr>
                <w:rFonts w:cstheme="minorHAnsi"/>
                <w:sz w:val="16"/>
                <w:szCs w:val="16"/>
              </w:rPr>
              <w:t>Total Value Loss Card</w:t>
            </w:r>
          </w:p>
        </w:tc>
        <w:tc>
          <w:tcPr>
            <w:tcW w:w="1310" w:type="dxa"/>
            <w:vAlign w:val="center"/>
          </w:tcPr>
          <w:p w14:paraId="3AF01AE1" w14:textId="77777777" w:rsidR="00672297" w:rsidRDefault="00A16EA3">
            <w:pPr>
              <w:spacing w:before="20" w:after="20"/>
              <w:jc w:val="left"/>
            </w:pPr>
            <w:r>
              <w:rPr>
                <w:rFonts w:cstheme="minorHAnsi"/>
                <w:sz w:val="16"/>
                <w:szCs w:val="16"/>
              </w:rPr>
              <w:t>Total / Avg $ · n</w:t>
            </w:r>
          </w:p>
        </w:tc>
        <w:tc>
          <w:tcPr>
            <w:tcW w:w="1310" w:type="dxa"/>
            <w:vAlign w:val="center"/>
          </w:tcPr>
          <w:p w14:paraId="2843F57E" w14:textId="77777777" w:rsidR="00672297" w:rsidRDefault="00A16EA3">
            <w:pPr>
              <w:spacing w:before="20" w:after="20"/>
              <w:jc w:val="left"/>
            </w:pPr>
            <w:r>
              <w:rPr>
                <w:rFonts w:cstheme="minorHAnsi"/>
                <w:sz w:val="16"/>
                <w:szCs w:val="16"/>
              </w:rPr>
              <w:t>vwDistillateBlendingKPI + MPR_Price</w:t>
            </w:r>
          </w:p>
        </w:tc>
        <w:tc>
          <w:tcPr>
            <w:tcW w:w="1404" w:type="dxa"/>
            <w:vAlign w:val="center"/>
          </w:tcPr>
          <w:p w14:paraId="522DAEC0" w14:textId="77777777" w:rsidR="00672297" w:rsidRDefault="00A16EA3">
            <w:pPr>
              <w:spacing w:before="20" w:after="20"/>
              <w:jc w:val="left"/>
            </w:pPr>
            <w:r>
              <w:rPr>
                <w:rFonts w:cstheme="minorHAnsi"/>
                <w:sz w:val="16"/>
                <w:szCs w:val="16"/>
              </w:rPr>
              <w:t>&lt;Property&gt;Delta, TotalVolumeBbl, AveragePrice</w:t>
            </w:r>
          </w:p>
        </w:tc>
        <w:tc>
          <w:tcPr>
            <w:tcW w:w="655" w:type="dxa"/>
            <w:vAlign w:val="center"/>
          </w:tcPr>
          <w:p w14:paraId="3D95DCA2" w14:textId="77777777" w:rsidR="00672297" w:rsidRDefault="00A16EA3">
            <w:pPr>
              <w:spacing w:before="20" w:after="20"/>
              <w:jc w:val="left"/>
            </w:pPr>
            <w:r>
              <w:rPr>
                <w:rFonts w:cstheme="minorHAnsi"/>
                <w:sz w:val="16"/>
                <w:szCs w:val="16"/>
              </w:rPr>
              <w:t>Y</w:t>
            </w:r>
          </w:p>
        </w:tc>
        <w:tc>
          <w:tcPr>
            <w:tcW w:w="655" w:type="dxa"/>
            <w:vAlign w:val="center"/>
          </w:tcPr>
          <w:p w14:paraId="393E075F" w14:textId="77777777" w:rsidR="00672297" w:rsidRDefault="00A16EA3">
            <w:pPr>
              <w:spacing w:before="20" w:after="20"/>
              <w:jc w:val="left"/>
            </w:pPr>
            <w:r>
              <w:rPr>
                <w:rFonts w:cstheme="minorHAnsi"/>
                <w:sz w:val="16"/>
                <w:szCs w:val="16"/>
              </w:rPr>
              <w:t>N</w:t>
            </w:r>
          </w:p>
        </w:tc>
        <w:tc>
          <w:tcPr>
            <w:tcW w:w="655" w:type="dxa"/>
            <w:vAlign w:val="center"/>
          </w:tcPr>
          <w:p w14:paraId="1BAD9D28" w14:textId="77777777" w:rsidR="00672297" w:rsidRDefault="00A16EA3">
            <w:pPr>
              <w:spacing w:before="20" w:after="20"/>
              <w:jc w:val="left"/>
            </w:pPr>
            <w:r>
              <w:rPr>
                <w:rFonts w:cstheme="minorHAnsi"/>
                <w:sz w:val="16"/>
                <w:szCs w:val="16"/>
              </w:rPr>
              <w:t>N</w:t>
            </w:r>
          </w:p>
        </w:tc>
        <w:tc>
          <w:tcPr>
            <w:tcW w:w="1967" w:type="dxa"/>
            <w:vAlign w:val="center"/>
          </w:tcPr>
          <w:p w14:paraId="6E72D29B" w14:textId="77777777" w:rsidR="00672297" w:rsidRDefault="00A16EA3">
            <w:pPr>
              <w:spacing w:before="20" w:after="20"/>
              <w:jc w:val="left"/>
            </w:pPr>
            <w:r>
              <w:rPr>
                <w:rFonts w:cstheme="minorHAnsi"/>
                <w:sz w:val="16"/>
                <w:szCs w:val="16"/>
              </w:rPr>
              <w:t>[Total Value Loss ($)] - MPR</w:t>
            </w:r>
          </w:p>
        </w:tc>
      </w:tr>
      <w:tr w:rsidR="00672297" w14:paraId="2F928BAB" w14:textId="77777777">
        <w:trPr>
          <w:cantSplit/>
        </w:trPr>
        <w:tc>
          <w:tcPr>
            <w:tcW w:w="1404" w:type="dxa"/>
            <w:vAlign w:val="center"/>
          </w:tcPr>
          <w:p w14:paraId="031C2715" w14:textId="77777777" w:rsidR="00672297" w:rsidRDefault="00A16EA3">
            <w:pPr>
              <w:spacing w:before="20" w:after="20"/>
              <w:jc w:val="left"/>
            </w:pPr>
            <w:r>
              <w:rPr>
                <w:rFonts w:cstheme="minorHAnsi"/>
                <w:sz w:val="16"/>
                <w:szCs w:val="16"/>
              </w:rPr>
              <w:t>Property Give-Away Δ Chart</w:t>
            </w:r>
          </w:p>
        </w:tc>
        <w:tc>
          <w:tcPr>
            <w:tcW w:w="1310" w:type="dxa"/>
            <w:vAlign w:val="center"/>
          </w:tcPr>
          <w:p w14:paraId="6A140261" w14:textId="77777777" w:rsidR="00672297" w:rsidRDefault="00A16EA3">
            <w:pPr>
              <w:spacing w:before="20" w:after="20"/>
              <w:jc w:val="left"/>
            </w:pPr>
            <w:r>
              <w:rPr>
                <w:rFonts w:cstheme="minorHAnsi"/>
                <w:sz w:val="16"/>
                <w:szCs w:val="16"/>
              </w:rPr>
              <w:t>Terminal / Property</w:t>
            </w:r>
          </w:p>
        </w:tc>
        <w:tc>
          <w:tcPr>
            <w:tcW w:w="1310" w:type="dxa"/>
            <w:vAlign w:val="center"/>
          </w:tcPr>
          <w:p w14:paraId="1CAC3476" w14:textId="77777777" w:rsidR="00672297" w:rsidRDefault="00A16EA3">
            <w:pPr>
              <w:spacing w:before="20" w:after="20"/>
              <w:jc w:val="left"/>
            </w:pPr>
            <w:r>
              <w:rPr>
                <w:rFonts w:cstheme="minorHAnsi"/>
                <w:sz w:val="16"/>
                <w:szCs w:val="16"/>
              </w:rPr>
              <w:t>vwDistillateBlendingKPI</w:t>
            </w:r>
          </w:p>
        </w:tc>
        <w:tc>
          <w:tcPr>
            <w:tcW w:w="1404" w:type="dxa"/>
            <w:vAlign w:val="center"/>
          </w:tcPr>
          <w:p w14:paraId="15654898" w14:textId="77777777" w:rsidR="00672297" w:rsidRDefault="00A16EA3">
            <w:pPr>
              <w:spacing w:before="20" w:after="20"/>
              <w:jc w:val="left"/>
            </w:pPr>
            <w:r>
              <w:rPr>
                <w:rFonts w:cstheme="minorHAnsi"/>
                <w:sz w:val="16"/>
                <w:szCs w:val="16"/>
              </w:rPr>
              <w:t>DestinationShortName; &lt;Property&gt;Delta</w:t>
            </w:r>
          </w:p>
        </w:tc>
        <w:tc>
          <w:tcPr>
            <w:tcW w:w="655" w:type="dxa"/>
            <w:vAlign w:val="center"/>
          </w:tcPr>
          <w:p w14:paraId="699EABC2" w14:textId="77777777" w:rsidR="00672297" w:rsidRDefault="00A16EA3">
            <w:pPr>
              <w:spacing w:before="20" w:after="20"/>
              <w:jc w:val="left"/>
            </w:pPr>
            <w:r>
              <w:rPr>
                <w:rFonts w:cstheme="minorHAnsi"/>
                <w:sz w:val="16"/>
                <w:szCs w:val="16"/>
              </w:rPr>
              <w:t>Y</w:t>
            </w:r>
          </w:p>
        </w:tc>
        <w:tc>
          <w:tcPr>
            <w:tcW w:w="655" w:type="dxa"/>
            <w:vAlign w:val="center"/>
          </w:tcPr>
          <w:p w14:paraId="073028B1" w14:textId="77777777" w:rsidR="00672297" w:rsidRDefault="00A16EA3">
            <w:pPr>
              <w:spacing w:before="20" w:after="20"/>
              <w:jc w:val="left"/>
            </w:pPr>
            <w:r>
              <w:rPr>
                <w:rFonts w:cstheme="minorHAnsi"/>
                <w:sz w:val="16"/>
                <w:szCs w:val="16"/>
              </w:rPr>
              <w:t>N</w:t>
            </w:r>
          </w:p>
        </w:tc>
        <w:tc>
          <w:tcPr>
            <w:tcW w:w="655" w:type="dxa"/>
            <w:vAlign w:val="center"/>
          </w:tcPr>
          <w:p w14:paraId="5D95C167" w14:textId="77777777" w:rsidR="00672297" w:rsidRDefault="00A16EA3">
            <w:pPr>
              <w:spacing w:before="20" w:after="20"/>
              <w:jc w:val="left"/>
            </w:pPr>
            <w:r>
              <w:rPr>
                <w:rFonts w:cstheme="minorHAnsi"/>
                <w:sz w:val="16"/>
                <w:szCs w:val="16"/>
              </w:rPr>
              <w:t>N</w:t>
            </w:r>
          </w:p>
        </w:tc>
        <w:tc>
          <w:tcPr>
            <w:tcW w:w="1967" w:type="dxa"/>
            <w:vAlign w:val="center"/>
          </w:tcPr>
          <w:p w14:paraId="5529619C" w14:textId="77777777" w:rsidR="00672297" w:rsidRDefault="00A16EA3">
            <w:pPr>
              <w:spacing w:before="20" w:after="20"/>
              <w:jc w:val="left"/>
            </w:pPr>
            <w:r>
              <w:rPr>
                <w:rFonts w:cstheme="minorHAnsi"/>
                <w:sz w:val="16"/>
                <w:szCs w:val="16"/>
              </w:rPr>
              <w:t>[&lt;Property&gt; Give-Away Δ]</w:t>
            </w:r>
          </w:p>
        </w:tc>
      </w:tr>
      <w:tr w:rsidR="00672297" w14:paraId="45D5966F" w14:textId="77777777">
        <w:trPr>
          <w:cantSplit/>
        </w:trPr>
        <w:tc>
          <w:tcPr>
            <w:tcW w:w="1404" w:type="dxa"/>
            <w:vAlign w:val="center"/>
          </w:tcPr>
          <w:p w14:paraId="2404EB7A" w14:textId="77777777" w:rsidR="00672297" w:rsidRDefault="00A16EA3">
            <w:pPr>
              <w:spacing w:before="20" w:after="20"/>
              <w:jc w:val="left"/>
            </w:pPr>
            <w:r>
              <w:rPr>
                <w:rFonts w:cstheme="minorHAnsi"/>
                <w:sz w:val="16"/>
                <w:szCs w:val="16"/>
              </w:rPr>
              <w:t>Dollar Value Give - Opportunity Loss ($) chart</w:t>
            </w:r>
          </w:p>
        </w:tc>
        <w:tc>
          <w:tcPr>
            <w:tcW w:w="1310" w:type="dxa"/>
            <w:vAlign w:val="center"/>
          </w:tcPr>
          <w:p w14:paraId="6BCA5E51" w14:textId="77777777" w:rsidR="00672297" w:rsidRDefault="00A16EA3">
            <w:pPr>
              <w:spacing w:before="20" w:after="20"/>
              <w:jc w:val="left"/>
            </w:pPr>
            <w:r>
              <w:rPr>
                <w:rFonts w:cstheme="minorHAnsi"/>
                <w:sz w:val="16"/>
                <w:szCs w:val="16"/>
              </w:rPr>
              <w:t>Terminal / Flash, Sulphur, Cloud, T-90, FBP, Freeze, Viscosity, Total</w:t>
            </w:r>
          </w:p>
        </w:tc>
        <w:tc>
          <w:tcPr>
            <w:tcW w:w="1310" w:type="dxa"/>
            <w:vAlign w:val="center"/>
          </w:tcPr>
          <w:p w14:paraId="4D912FB4" w14:textId="77777777" w:rsidR="00672297" w:rsidRDefault="00A16EA3">
            <w:pPr>
              <w:spacing w:before="20" w:after="20"/>
              <w:jc w:val="left"/>
            </w:pPr>
            <w:r>
              <w:rPr>
                <w:rFonts w:cstheme="minorHAnsi"/>
                <w:sz w:val="16"/>
                <w:szCs w:val="16"/>
              </w:rPr>
              <w:t>vwDistillateBlendingKPI + MPR_Price</w:t>
            </w:r>
          </w:p>
        </w:tc>
        <w:tc>
          <w:tcPr>
            <w:tcW w:w="1404" w:type="dxa"/>
            <w:vAlign w:val="center"/>
          </w:tcPr>
          <w:p w14:paraId="55DFE3FB" w14:textId="77777777" w:rsidR="00672297" w:rsidRDefault="00A16EA3">
            <w:pPr>
              <w:spacing w:before="20" w:after="20"/>
              <w:jc w:val="left"/>
            </w:pPr>
            <w:r>
              <w:rPr>
                <w:rFonts w:cstheme="minorHAnsi"/>
                <w:sz w:val="16"/>
                <w:szCs w:val="16"/>
              </w:rPr>
              <w:t>&lt;Property&gt;Delta, TotalVolumeBbl, AveragePrice</w:t>
            </w:r>
          </w:p>
        </w:tc>
        <w:tc>
          <w:tcPr>
            <w:tcW w:w="655" w:type="dxa"/>
            <w:vAlign w:val="center"/>
          </w:tcPr>
          <w:p w14:paraId="0939FAFD" w14:textId="77777777" w:rsidR="00672297" w:rsidRDefault="00A16EA3">
            <w:pPr>
              <w:spacing w:before="20" w:after="20"/>
              <w:jc w:val="left"/>
            </w:pPr>
            <w:r>
              <w:rPr>
                <w:rFonts w:cstheme="minorHAnsi"/>
                <w:sz w:val="16"/>
                <w:szCs w:val="16"/>
              </w:rPr>
              <w:t>Y</w:t>
            </w:r>
          </w:p>
        </w:tc>
        <w:tc>
          <w:tcPr>
            <w:tcW w:w="655" w:type="dxa"/>
            <w:vAlign w:val="center"/>
          </w:tcPr>
          <w:p w14:paraId="105E777B" w14:textId="77777777" w:rsidR="00672297" w:rsidRDefault="00A16EA3">
            <w:pPr>
              <w:spacing w:before="20" w:after="20"/>
              <w:jc w:val="left"/>
            </w:pPr>
            <w:r>
              <w:rPr>
                <w:rFonts w:cstheme="minorHAnsi"/>
                <w:sz w:val="16"/>
                <w:szCs w:val="16"/>
              </w:rPr>
              <w:t>N</w:t>
            </w:r>
          </w:p>
        </w:tc>
        <w:tc>
          <w:tcPr>
            <w:tcW w:w="655" w:type="dxa"/>
            <w:vAlign w:val="center"/>
          </w:tcPr>
          <w:p w14:paraId="131A6CAC" w14:textId="77777777" w:rsidR="00672297" w:rsidRDefault="00A16EA3">
            <w:pPr>
              <w:spacing w:before="20" w:after="20"/>
              <w:jc w:val="left"/>
            </w:pPr>
            <w:r>
              <w:rPr>
                <w:rFonts w:cstheme="minorHAnsi"/>
                <w:sz w:val="16"/>
                <w:szCs w:val="16"/>
              </w:rPr>
              <w:t>N</w:t>
            </w:r>
          </w:p>
        </w:tc>
        <w:tc>
          <w:tcPr>
            <w:tcW w:w="1967" w:type="dxa"/>
            <w:vAlign w:val="center"/>
          </w:tcPr>
          <w:p w14:paraId="77C7C4CB" w14:textId="77777777" w:rsidR="00672297" w:rsidRDefault="00A16EA3">
            <w:pPr>
              <w:spacing w:before="20" w:after="20"/>
              <w:jc w:val="left"/>
            </w:pPr>
            <w:r>
              <w:rPr>
                <w:rFonts w:cstheme="minorHAnsi"/>
                <w:sz w:val="16"/>
                <w:szCs w:val="16"/>
              </w:rPr>
              <w:t>[&lt;Property&gt; Value Loss ($)], [Total Value Loss ($)] - MPR</w:t>
            </w:r>
          </w:p>
        </w:tc>
      </w:tr>
      <w:tr w:rsidR="00672297" w14:paraId="450C45F3" w14:textId="77777777">
        <w:trPr>
          <w:cantSplit/>
        </w:trPr>
        <w:tc>
          <w:tcPr>
            <w:tcW w:w="1404" w:type="dxa"/>
            <w:vAlign w:val="center"/>
          </w:tcPr>
          <w:p w14:paraId="2DF8EF60" w14:textId="77777777" w:rsidR="00672297" w:rsidRDefault="00A16EA3">
            <w:pPr>
              <w:spacing w:before="20" w:after="20"/>
              <w:jc w:val="left"/>
            </w:pPr>
            <w:r>
              <w:rPr>
                <w:rFonts w:cstheme="minorHAnsi"/>
                <w:sz w:val="16"/>
                <w:szCs w:val="16"/>
              </w:rPr>
              <w:t>Event Summary Table</w:t>
            </w:r>
          </w:p>
        </w:tc>
        <w:tc>
          <w:tcPr>
            <w:tcW w:w="1310" w:type="dxa"/>
            <w:vAlign w:val="center"/>
          </w:tcPr>
          <w:p w14:paraId="4204018E" w14:textId="77777777" w:rsidR="00672297" w:rsidRDefault="00A16EA3">
            <w:pPr>
              <w:spacing w:before="20" w:after="20"/>
              <w:jc w:val="left"/>
            </w:pPr>
            <w:r>
              <w:rPr>
                <w:rFonts w:cstheme="minorHAnsi"/>
                <w:sz w:val="16"/>
                <w:szCs w:val="16"/>
              </w:rPr>
              <w:t>Check Box, Source, Destination, Product</w:t>
            </w:r>
          </w:p>
        </w:tc>
        <w:tc>
          <w:tcPr>
            <w:tcW w:w="1310" w:type="dxa"/>
            <w:vAlign w:val="center"/>
          </w:tcPr>
          <w:p w14:paraId="2EBC6999" w14:textId="77777777" w:rsidR="00672297" w:rsidRDefault="00A16EA3">
            <w:pPr>
              <w:spacing w:before="20" w:after="20"/>
              <w:jc w:val="left"/>
            </w:pPr>
            <w:r>
              <w:rPr>
                <w:rFonts w:cstheme="minorHAnsi"/>
                <w:sz w:val="16"/>
                <w:szCs w:val="16"/>
              </w:rPr>
              <w:t>vwDistillateBlendingKPI</w:t>
            </w:r>
          </w:p>
        </w:tc>
        <w:tc>
          <w:tcPr>
            <w:tcW w:w="1404" w:type="dxa"/>
            <w:vAlign w:val="center"/>
          </w:tcPr>
          <w:p w14:paraId="0D2BD13A" w14:textId="77777777" w:rsidR="00672297" w:rsidRDefault="00A16EA3">
            <w:pPr>
              <w:spacing w:before="20" w:after="20"/>
              <w:jc w:val="left"/>
            </w:pPr>
            <w:r>
              <w:rPr>
                <w:rFonts w:cstheme="minorHAnsi"/>
                <w:sz w:val="16"/>
                <w:szCs w:val="16"/>
              </w:rPr>
              <w:t>Source, Destination, Product</w:t>
            </w:r>
          </w:p>
        </w:tc>
        <w:tc>
          <w:tcPr>
            <w:tcW w:w="655" w:type="dxa"/>
            <w:vAlign w:val="center"/>
          </w:tcPr>
          <w:p w14:paraId="65064BD9" w14:textId="77777777" w:rsidR="00672297" w:rsidRDefault="00A16EA3">
            <w:pPr>
              <w:spacing w:before="20" w:after="20"/>
              <w:jc w:val="left"/>
            </w:pPr>
            <w:r>
              <w:rPr>
                <w:rFonts w:cstheme="minorHAnsi"/>
                <w:sz w:val="16"/>
                <w:szCs w:val="16"/>
              </w:rPr>
              <w:t>N</w:t>
            </w:r>
          </w:p>
        </w:tc>
        <w:tc>
          <w:tcPr>
            <w:tcW w:w="655" w:type="dxa"/>
            <w:vAlign w:val="center"/>
          </w:tcPr>
          <w:p w14:paraId="3D98C35C" w14:textId="77777777" w:rsidR="00672297" w:rsidRDefault="00A16EA3">
            <w:pPr>
              <w:spacing w:before="20" w:after="20"/>
              <w:jc w:val="left"/>
            </w:pPr>
            <w:r>
              <w:rPr>
                <w:rFonts w:cstheme="minorHAnsi"/>
                <w:sz w:val="16"/>
                <w:szCs w:val="16"/>
              </w:rPr>
              <w:t>Y</w:t>
            </w:r>
          </w:p>
        </w:tc>
        <w:tc>
          <w:tcPr>
            <w:tcW w:w="655" w:type="dxa"/>
            <w:vAlign w:val="center"/>
          </w:tcPr>
          <w:p w14:paraId="288B801B" w14:textId="77777777" w:rsidR="00672297" w:rsidRDefault="00A16EA3">
            <w:pPr>
              <w:spacing w:before="20" w:after="20"/>
              <w:jc w:val="left"/>
            </w:pPr>
            <w:r>
              <w:rPr>
                <w:rFonts w:cstheme="minorHAnsi"/>
                <w:sz w:val="16"/>
                <w:szCs w:val="16"/>
              </w:rPr>
              <w:t>Y</w:t>
            </w:r>
          </w:p>
        </w:tc>
        <w:tc>
          <w:tcPr>
            <w:tcW w:w="1967" w:type="dxa"/>
            <w:vAlign w:val="center"/>
          </w:tcPr>
          <w:p w14:paraId="0ABE63EE" w14:textId="77777777" w:rsidR="00672297" w:rsidRDefault="00672297">
            <w:pPr>
              <w:spacing w:before="20" w:after="20"/>
              <w:jc w:val="left"/>
            </w:pPr>
          </w:p>
        </w:tc>
      </w:tr>
      <w:tr w:rsidR="00672297" w14:paraId="3A9B4D94" w14:textId="77777777">
        <w:trPr>
          <w:cantSplit/>
        </w:trPr>
        <w:tc>
          <w:tcPr>
            <w:tcW w:w="1404" w:type="dxa"/>
            <w:vAlign w:val="center"/>
          </w:tcPr>
          <w:p w14:paraId="02E466BB" w14:textId="77777777" w:rsidR="00672297" w:rsidRDefault="00A16EA3">
            <w:pPr>
              <w:spacing w:before="20" w:after="20"/>
              <w:jc w:val="left"/>
            </w:pPr>
            <w:r>
              <w:rPr>
                <w:rFonts w:cstheme="minorHAnsi"/>
                <w:sz w:val="16"/>
                <w:szCs w:val="16"/>
              </w:rPr>
              <w:t>Event Summary Table</w:t>
            </w:r>
          </w:p>
        </w:tc>
        <w:tc>
          <w:tcPr>
            <w:tcW w:w="1310" w:type="dxa"/>
            <w:vAlign w:val="center"/>
          </w:tcPr>
          <w:p w14:paraId="0F45B32F" w14:textId="77777777" w:rsidR="00672297" w:rsidRDefault="00A16EA3">
            <w:pPr>
              <w:spacing w:before="20" w:after="20"/>
              <w:jc w:val="left"/>
            </w:pPr>
            <w:r>
              <w:rPr>
                <w:rFonts w:cstheme="minorHAnsi"/>
                <w:sz w:val="16"/>
                <w:szCs w:val="16"/>
              </w:rPr>
              <w:t>Total Volume (Bbl)</w:t>
            </w:r>
          </w:p>
        </w:tc>
        <w:tc>
          <w:tcPr>
            <w:tcW w:w="1310" w:type="dxa"/>
            <w:vAlign w:val="center"/>
          </w:tcPr>
          <w:p w14:paraId="7FF7BBBC" w14:textId="77777777" w:rsidR="00672297" w:rsidRDefault="00A16EA3">
            <w:pPr>
              <w:spacing w:before="20" w:after="20"/>
              <w:jc w:val="left"/>
            </w:pPr>
            <w:r>
              <w:rPr>
                <w:rFonts w:cstheme="minorHAnsi"/>
                <w:sz w:val="16"/>
                <w:szCs w:val="16"/>
              </w:rPr>
              <w:t>vwDistillateBlendingKPI</w:t>
            </w:r>
          </w:p>
        </w:tc>
        <w:tc>
          <w:tcPr>
            <w:tcW w:w="1404" w:type="dxa"/>
            <w:vAlign w:val="center"/>
          </w:tcPr>
          <w:p w14:paraId="5DEA0BD6" w14:textId="77777777" w:rsidR="00672297" w:rsidRDefault="00A16EA3">
            <w:pPr>
              <w:spacing w:before="20" w:after="20"/>
              <w:jc w:val="left"/>
            </w:pPr>
            <w:r>
              <w:rPr>
                <w:rFonts w:cstheme="minorHAnsi"/>
                <w:sz w:val="16"/>
                <w:szCs w:val="16"/>
              </w:rPr>
              <w:t>TotalVolumeBbl</w:t>
            </w:r>
          </w:p>
        </w:tc>
        <w:tc>
          <w:tcPr>
            <w:tcW w:w="655" w:type="dxa"/>
            <w:vAlign w:val="center"/>
          </w:tcPr>
          <w:p w14:paraId="76D50A59" w14:textId="77777777" w:rsidR="00672297" w:rsidRDefault="00A16EA3">
            <w:pPr>
              <w:spacing w:before="20" w:after="20"/>
              <w:jc w:val="left"/>
            </w:pPr>
            <w:r>
              <w:rPr>
                <w:rFonts w:cstheme="minorHAnsi"/>
                <w:sz w:val="16"/>
                <w:szCs w:val="16"/>
              </w:rPr>
              <w:t>Y</w:t>
            </w:r>
          </w:p>
        </w:tc>
        <w:tc>
          <w:tcPr>
            <w:tcW w:w="655" w:type="dxa"/>
            <w:vAlign w:val="center"/>
          </w:tcPr>
          <w:p w14:paraId="65FAF0F7" w14:textId="77777777" w:rsidR="00672297" w:rsidRDefault="00A16EA3">
            <w:pPr>
              <w:spacing w:before="20" w:after="20"/>
              <w:jc w:val="left"/>
            </w:pPr>
            <w:r>
              <w:rPr>
                <w:rFonts w:cstheme="minorHAnsi"/>
                <w:sz w:val="16"/>
                <w:szCs w:val="16"/>
              </w:rPr>
              <w:t>N</w:t>
            </w:r>
          </w:p>
        </w:tc>
        <w:tc>
          <w:tcPr>
            <w:tcW w:w="655" w:type="dxa"/>
            <w:vAlign w:val="center"/>
          </w:tcPr>
          <w:p w14:paraId="66FB1EA7" w14:textId="77777777" w:rsidR="00672297" w:rsidRDefault="00A16EA3">
            <w:pPr>
              <w:spacing w:before="20" w:after="20"/>
              <w:jc w:val="left"/>
            </w:pPr>
            <w:r>
              <w:rPr>
                <w:rFonts w:cstheme="minorHAnsi"/>
                <w:sz w:val="16"/>
                <w:szCs w:val="16"/>
              </w:rPr>
              <w:t>N</w:t>
            </w:r>
          </w:p>
        </w:tc>
        <w:tc>
          <w:tcPr>
            <w:tcW w:w="1967" w:type="dxa"/>
            <w:vAlign w:val="center"/>
          </w:tcPr>
          <w:p w14:paraId="4AD3CE39" w14:textId="77777777" w:rsidR="00672297" w:rsidRDefault="00A16EA3">
            <w:pPr>
              <w:spacing w:before="20" w:after="20"/>
              <w:jc w:val="left"/>
            </w:pPr>
            <w:r>
              <w:rPr>
                <w:rFonts w:cstheme="minorHAnsi"/>
                <w:sz w:val="16"/>
                <w:szCs w:val="16"/>
              </w:rPr>
              <w:t>Sum</w:t>
            </w:r>
          </w:p>
        </w:tc>
      </w:tr>
      <w:tr w:rsidR="00672297" w14:paraId="1EDAABF2" w14:textId="77777777">
        <w:trPr>
          <w:cantSplit/>
        </w:trPr>
        <w:tc>
          <w:tcPr>
            <w:tcW w:w="1404" w:type="dxa"/>
            <w:vAlign w:val="center"/>
          </w:tcPr>
          <w:p w14:paraId="72FBFDAE" w14:textId="77777777" w:rsidR="00672297" w:rsidRDefault="00A16EA3">
            <w:pPr>
              <w:spacing w:before="20" w:after="20"/>
              <w:jc w:val="left"/>
            </w:pPr>
            <w:r>
              <w:rPr>
                <w:rFonts w:cstheme="minorHAnsi"/>
                <w:sz w:val="16"/>
                <w:szCs w:val="16"/>
              </w:rPr>
              <w:t>Event Summary Table</w:t>
            </w:r>
          </w:p>
        </w:tc>
        <w:tc>
          <w:tcPr>
            <w:tcW w:w="1310" w:type="dxa"/>
            <w:vAlign w:val="center"/>
          </w:tcPr>
          <w:p w14:paraId="483FF106" w14:textId="77777777" w:rsidR="00672297" w:rsidRDefault="00A16EA3">
            <w:pPr>
              <w:spacing w:before="20" w:after="20"/>
              <w:jc w:val="left"/>
            </w:pPr>
            <w:r>
              <w:rPr>
                <w:rFonts w:cstheme="minorHAnsi"/>
                <w:sz w:val="16"/>
                <w:szCs w:val="16"/>
              </w:rPr>
              <w:t>Flash, Sulphur, Adj. Cloud Point, T-90, FBP, Freezing Point, Viscosity - Min / Actual / Max / Delta</w:t>
            </w:r>
          </w:p>
        </w:tc>
        <w:tc>
          <w:tcPr>
            <w:tcW w:w="1310" w:type="dxa"/>
            <w:vAlign w:val="center"/>
          </w:tcPr>
          <w:p w14:paraId="580E53E9" w14:textId="77777777" w:rsidR="00672297" w:rsidRDefault="00A16EA3">
            <w:pPr>
              <w:spacing w:before="20" w:after="20"/>
              <w:jc w:val="left"/>
            </w:pPr>
            <w:r>
              <w:rPr>
                <w:rFonts w:cstheme="minorHAnsi"/>
                <w:sz w:val="16"/>
                <w:szCs w:val="16"/>
              </w:rPr>
              <w:t>vwDistillateBlendingKPI</w:t>
            </w:r>
          </w:p>
        </w:tc>
        <w:tc>
          <w:tcPr>
            <w:tcW w:w="1404" w:type="dxa"/>
            <w:vAlign w:val="center"/>
          </w:tcPr>
          <w:p w14:paraId="38B5FE97" w14:textId="77777777" w:rsidR="00672297" w:rsidRDefault="00A16EA3">
            <w:pPr>
              <w:spacing w:before="20" w:after="20"/>
              <w:jc w:val="left"/>
            </w:pPr>
            <w:r>
              <w:rPr>
                <w:rFonts w:cstheme="minorHAnsi"/>
                <w:sz w:val="16"/>
                <w:szCs w:val="16"/>
              </w:rPr>
              <w:t>&lt;Property&gt;Min / &lt;Property&gt;Actual / &lt;Property&gt;Max / &lt;Property&gt;Delta</w:t>
            </w:r>
          </w:p>
        </w:tc>
        <w:tc>
          <w:tcPr>
            <w:tcW w:w="655" w:type="dxa"/>
            <w:vAlign w:val="center"/>
          </w:tcPr>
          <w:p w14:paraId="38F4C4BE" w14:textId="77777777" w:rsidR="00672297" w:rsidRDefault="00A16EA3">
            <w:pPr>
              <w:spacing w:before="20" w:after="20"/>
              <w:jc w:val="left"/>
            </w:pPr>
            <w:r>
              <w:rPr>
                <w:rFonts w:cstheme="minorHAnsi"/>
                <w:sz w:val="16"/>
                <w:szCs w:val="16"/>
              </w:rPr>
              <w:t>Y</w:t>
            </w:r>
          </w:p>
        </w:tc>
        <w:tc>
          <w:tcPr>
            <w:tcW w:w="655" w:type="dxa"/>
            <w:vAlign w:val="center"/>
          </w:tcPr>
          <w:p w14:paraId="212C775B" w14:textId="77777777" w:rsidR="00672297" w:rsidRDefault="00A16EA3">
            <w:pPr>
              <w:spacing w:before="20" w:after="20"/>
              <w:jc w:val="left"/>
            </w:pPr>
            <w:r>
              <w:rPr>
                <w:rFonts w:cstheme="minorHAnsi"/>
                <w:sz w:val="16"/>
                <w:szCs w:val="16"/>
              </w:rPr>
              <w:t>N</w:t>
            </w:r>
          </w:p>
        </w:tc>
        <w:tc>
          <w:tcPr>
            <w:tcW w:w="655" w:type="dxa"/>
            <w:vAlign w:val="center"/>
          </w:tcPr>
          <w:p w14:paraId="41EB98BA" w14:textId="77777777" w:rsidR="00672297" w:rsidRDefault="00A16EA3">
            <w:pPr>
              <w:spacing w:before="20" w:after="20"/>
              <w:jc w:val="left"/>
            </w:pPr>
            <w:r>
              <w:rPr>
                <w:rFonts w:cstheme="minorHAnsi"/>
                <w:sz w:val="16"/>
                <w:szCs w:val="16"/>
              </w:rPr>
              <w:t>N</w:t>
            </w:r>
          </w:p>
        </w:tc>
        <w:tc>
          <w:tcPr>
            <w:tcW w:w="1967" w:type="dxa"/>
            <w:vAlign w:val="center"/>
          </w:tcPr>
          <w:p w14:paraId="064EFA08" w14:textId="77777777" w:rsidR="00672297" w:rsidRDefault="00A16EA3">
            <w:pPr>
              <w:spacing w:before="20" w:after="20"/>
              <w:jc w:val="left"/>
            </w:pPr>
            <w:r>
              <w:rPr>
                <w:rFonts w:cstheme="minorHAnsi"/>
                <w:sz w:val="16"/>
                <w:szCs w:val="16"/>
              </w:rPr>
              <w:t>Min / Average / Max / Average</w:t>
            </w:r>
          </w:p>
        </w:tc>
      </w:tr>
      <w:tr w:rsidR="00672297" w14:paraId="59C84BD5" w14:textId="77777777">
        <w:trPr>
          <w:cantSplit/>
        </w:trPr>
        <w:tc>
          <w:tcPr>
            <w:tcW w:w="1404" w:type="dxa"/>
            <w:vAlign w:val="center"/>
          </w:tcPr>
          <w:p w14:paraId="46032EBE" w14:textId="77777777" w:rsidR="00672297" w:rsidRDefault="00A16EA3">
            <w:pPr>
              <w:spacing w:before="20" w:after="20"/>
              <w:jc w:val="left"/>
            </w:pPr>
            <w:r>
              <w:rPr>
                <w:rFonts w:cstheme="minorHAnsi"/>
                <w:sz w:val="16"/>
                <w:szCs w:val="16"/>
              </w:rPr>
              <w:t>Event Summary Table</w:t>
            </w:r>
          </w:p>
        </w:tc>
        <w:tc>
          <w:tcPr>
            <w:tcW w:w="1310" w:type="dxa"/>
            <w:vAlign w:val="center"/>
          </w:tcPr>
          <w:p w14:paraId="032501F9" w14:textId="77777777" w:rsidR="00672297" w:rsidRDefault="00A16EA3">
            <w:pPr>
              <w:spacing w:before="20" w:after="20"/>
              <w:jc w:val="left"/>
            </w:pPr>
            <w:r>
              <w:rPr>
                <w:rFonts w:cstheme="minorHAnsi"/>
                <w:sz w:val="16"/>
                <w:szCs w:val="16"/>
              </w:rPr>
              <w:t>Value Loss per property</w:t>
            </w:r>
          </w:p>
        </w:tc>
        <w:tc>
          <w:tcPr>
            <w:tcW w:w="1310" w:type="dxa"/>
            <w:vAlign w:val="center"/>
          </w:tcPr>
          <w:p w14:paraId="3DC963DB" w14:textId="77777777" w:rsidR="00672297" w:rsidRDefault="00A16EA3">
            <w:pPr>
              <w:spacing w:before="20" w:after="20"/>
              <w:jc w:val="left"/>
            </w:pPr>
            <w:r>
              <w:rPr>
                <w:rFonts w:cstheme="minorHAnsi"/>
                <w:sz w:val="16"/>
                <w:szCs w:val="16"/>
              </w:rPr>
              <w:t>vwDistillateBlendingKPI + MPR_Price</w:t>
            </w:r>
          </w:p>
        </w:tc>
        <w:tc>
          <w:tcPr>
            <w:tcW w:w="1404" w:type="dxa"/>
            <w:vAlign w:val="center"/>
          </w:tcPr>
          <w:p w14:paraId="72089D74" w14:textId="77777777" w:rsidR="00672297" w:rsidRDefault="00A16EA3">
            <w:pPr>
              <w:spacing w:before="20" w:after="20"/>
              <w:jc w:val="left"/>
            </w:pPr>
            <w:r>
              <w:rPr>
                <w:rFonts w:cstheme="minorHAnsi"/>
                <w:sz w:val="16"/>
                <w:szCs w:val="16"/>
              </w:rPr>
              <w:t>&lt;Property&gt;Delta, TotalVolumeBbl, AveragePrice</w:t>
            </w:r>
          </w:p>
        </w:tc>
        <w:tc>
          <w:tcPr>
            <w:tcW w:w="655" w:type="dxa"/>
            <w:vAlign w:val="center"/>
          </w:tcPr>
          <w:p w14:paraId="4F8D5444" w14:textId="77777777" w:rsidR="00672297" w:rsidRDefault="00A16EA3">
            <w:pPr>
              <w:spacing w:before="20" w:after="20"/>
              <w:jc w:val="left"/>
            </w:pPr>
            <w:r>
              <w:rPr>
                <w:rFonts w:cstheme="minorHAnsi"/>
                <w:sz w:val="16"/>
                <w:szCs w:val="16"/>
              </w:rPr>
              <w:t>Y</w:t>
            </w:r>
          </w:p>
        </w:tc>
        <w:tc>
          <w:tcPr>
            <w:tcW w:w="655" w:type="dxa"/>
            <w:vAlign w:val="center"/>
          </w:tcPr>
          <w:p w14:paraId="7BE6888B" w14:textId="77777777" w:rsidR="00672297" w:rsidRDefault="00A16EA3">
            <w:pPr>
              <w:spacing w:before="20" w:after="20"/>
              <w:jc w:val="left"/>
            </w:pPr>
            <w:r>
              <w:rPr>
                <w:rFonts w:cstheme="minorHAnsi"/>
                <w:sz w:val="16"/>
                <w:szCs w:val="16"/>
              </w:rPr>
              <w:t>N</w:t>
            </w:r>
          </w:p>
        </w:tc>
        <w:tc>
          <w:tcPr>
            <w:tcW w:w="655" w:type="dxa"/>
            <w:vAlign w:val="center"/>
          </w:tcPr>
          <w:p w14:paraId="56114683" w14:textId="77777777" w:rsidR="00672297" w:rsidRDefault="00A16EA3">
            <w:pPr>
              <w:spacing w:before="20" w:after="20"/>
              <w:jc w:val="left"/>
            </w:pPr>
            <w:r>
              <w:rPr>
                <w:rFonts w:cstheme="minorHAnsi"/>
                <w:sz w:val="16"/>
                <w:szCs w:val="16"/>
              </w:rPr>
              <w:t>N</w:t>
            </w:r>
          </w:p>
        </w:tc>
        <w:tc>
          <w:tcPr>
            <w:tcW w:w="1967" w:type="dxa"/>
            <w:vAlign w:val="center"/>
          </w:tcPr>
          <w:p w14:paraId="6FCAFFE8" w14:textId="77777777" w:rsidR="00672297" w:rsidRDefault="00A16EA3">
            <w:pPr>
              <w:spacing w:before="20" w:after="20"/>
              <w:jc w:val="left"/>
            </w:pPr>
            <w:r>
              <w:rPr>
                <w:rFonts w:cstheme="minorHAnsi"/>
                <w:sz w:val="16"/>
                <w:szCs w:val="16"/>
              </w:rPr>
              <w:t>[&lt;Property&gt; Value Loss ($)] - MPR</w:t>
            </w:r>
          </w:p>
        </w:tc>
      </w:tr>
      <w:tr w:rsidR="00672297" w14:paraId="6D364FAE" w14:textId="77777777">
        <w:trPr>
          <w:cantSplit/>
        </w:trPr>
        <w:tc>
          <w:tcPr>
            <w:tcW w:w="1404" w:type="dxa"/>
            <w:vAlign w:val="center"/>
          </w:tcPr>
          <w:p w14:paraId="74122196" w14:textId="77777777" w:rsidR="00672297" w:rsidRDefault="00A16EA3">
            <w:pPr>
              <w:spacing w:before="20" w:after="20"/>
              <w:jc w:val="left"/>
            </w:pPr>
            <w:r>
              <w:rPr>
                <w:rFonts w:cstheme="minorHAnsi"/>
                <w:sz w:val="16"/>
                <w:szCs w:val="16"/>
              </w:rPr>
              <w:t>Event Summary Table</w:t>
            </w:r>
          </w:p>
        </w:tc>
        <w:tc>
          <w:tcPr>
            <w:tcW w:w="1310" w:type="dxa"/>
            <w:vAlign w:val="center"/>
          </w:tcPr>
          <w:p w14:paraId="769F7751" w14:textId="77777777" w:rsidR="00672297" w:rsidRDefault="00A16EA3">
            <w:pPr>
              <w:spacing w:before="20" w:after="20"/>
              <w:jc w:val="left"/>
            </w:pPr>
            <w:r>
              <w:rPr>
                <w:rFonts w:cstheme="minorHAnsi"/>
                <w:sz w:val="16"/>
                <w:szCs w:val="16"/>
              </w:rPr>
              <w:t>Total Value Loss</w:t>
            </w:r>
          </w:p>
        </w:tc>
        <w:tc>
          <w:tcPr>
            <w:tcW w:w="1310" w:type="dxa"/>
            <w:vAlign w:val="center"/>
          </w:tcPr>
          <w:p w14:paraId="5EB15A21" w14:textId="77777777" w:rsidR="00672297" w:rsidRDefault="00A16EA3">
            <w:pPr>
              <w:spacing w:before="20" w:after="20"/>
              <w:jc w:val="left"/>
            </w:pPr>
            <w:r>
              <w:rPr>
                <w:rFonts w:cstheme="minorHAnsi"/>
                <w:sz w:val="16"/>
                <w:szCs w:val="16"/>
              </w:rPr>
              <w:t>vwDistillateBlendingKPI + MPR_Price</w:t>
            </w:r>
          </w:p>
        </w:tc>
        <w:tc>
          <w:tcPr>
            <w:tcW w:w="1404" w:type="dxa"/>
            <w:vAlign w:val="center"/>
          </w:tcPr>
          <w:p w14:paraId="54DB9FFE" w14:textId="77777777" w:rsidR="00672297" w:rsidRDefault="00A16EA3">
            <w:pPr>
              <w:spacing w:before="20" w:after="20"/>
              <w:jc w:val="left"/>
            </w:pPr>
            <w:r>
              <w:rPr>
                <w:rFonts w:cstheme="minorHAnsi"/>
                <w:sz w:val="16"/>
                <w:szCs w:val="16"/>
              </w:rPr>
              <w:t>-</w:t>
            </w:r>
          </w:p>
        </w:tc>
        <w:tc>
          <w:tcPr>
            <w:tcW w:w="655" w:type="dxa"/>
            <w:vAlign w:val="center"/>
          </w:tcPr>
          <w:p w14:paraId="0895C4B8" w14:textId="77777777" w:rsidR="00672297" w:rsidRDefault="00A16EA3">
            <w:pPr>
              <w:spacing w:before="20" w:after="20"/>
              <w:jc w:val="left"/>
            </w:pPr>
            <w:r>
              <w:rPr>
                <w:rFonts w:cstheme="minorHAnsi"/>
                <w:sz w:val="16"/>
                <w:szCs w:val="16"/>
              </w:rPr>
              <w:t>Y</w:t>
            </w:r>
          </w:p>
        </w:tc>
        <w:tc>
          <w:tcPr>
            <w:tcW w:w="655" w:type="dxa"/>
            <w:vAlign w:val="center"/>
          </w:tcPr>
          <w:p w14:paraId="74A87A77" w14:textId="77777777" w:rsidR="00672297" w:rsidRDefault="00A16EA3">
            <w:pPr>
              <w:spacing w:before="20" w:after="20"/>
              <w:jc w:val="left"/>
            </w:pPr>
            <w:r>
              <w:rPr>
                <w:rFonts w:cstheme="minorHAnsi"/>
                <w:sz w:val="16"/>
                <w:szCs w:val="16"/>
              </w:rPr>
              <w:t>N</w:t>
            </w:r>
          </w:p>
        </w:tc>
        <w:tc>
          <w:tcPr>
            <w:tcW w:w="655" w:type="dxa"/>
            <w:vAlign w:val="center"/>
          </w:tcPr>
          <w:p w14:paraId="7E6F2D33" w14:textId="77777777" w:rsidR="00672297" w:rsidRDefault="00A16EA3">
            <w:pPr>
              <w:spacing w:before="20" w:after="20"/>
              <w:jc w:val="left"/>
            </w:pPr>
            <w:r>
              <w:rPr>
                <w:rFonts w:cstheme="minorHAnsi"/>
                <w:sz w:val="16"/>
                <w:szCs w:val="16"/>
              </w:rPr>
              <w:t>N</w:t>
            </w:r>
          </w:p>
        </w:tc>
        <w:tc>
          <w:tcPr>
            <w:tcW w:w="1967" w:type="dxa"/>
            <w:vAlign w:val="center"/>
          </w:tcPr>
          <w:p w14:paraId="0A25F50B" w14:textId="77777777" w:rsidR="00672297" w:rsidRDefault="00A16EA3">
            <w:pPr>
              <w:spacing w:before="20" w:after="20"/>
              <w:jc w:val="left"/>
            </w:pPr>
            <w:r>
              <w:rPr>
                <w:rFonts w:cstheme="minorHAnsi"/>
                <w:sz w:val="16"/>
                <w:szCs w:val="16"/>
              </w:rPr>
              <w:t>[Total Value Loss ($)] - MPR</w:t>
            </w:r>
          </w:p>
        </w:tc>
      </w:tr>
      <w:tr w:rsidR="00672297" w14:paraId="60CFAF25" w14:textId="77777777">
        <w:trPr>
          <w:cantSplit/>
        </w:trPr>
        <w:tc>
          <w:tcPr>
            <w:tcW w:w="1404" w:type="dxa"/>
            <w:vAlign w:val="center"/>
          </w:tcPr>
          <w:p w14:paraId="579BB840" w14:textId="77777777" w:rsidR="00672297" w:rsidRDefault="00A16EA3">
            <w:pPr>
              <w:spacing w:before="20" w:after="20"/>
              <w:jc w:val="left"/>
            </w:pPr>
            <w:r>
              <w:rPr>
                <w:rFonts w:cstheme="minorHAnsi"/>
                <w:sz w:val="16"/>
                <w:szCs w:val="16"/>
              </w:rPr>
              <w:t>Slicer/Filter</w:t>
            </w:r>
          </w:p>
        </w:tc>
        <w:tc>
          <w:tcPr>
            <w:tcW w:w="1310" w:type="dxa"/>
            <w:vAlign w:val="center"/>
          </w:tcPr>
          <w:p w14:paraId="0BF85AC7" w14:textId="77777777" w:rsidR="00672297" w:rsidRDefault="00A16EA3">
            <w:pPr>
              <w:spacing w:before="20" w:after="20"/>
              <w:jc w:val="left"/>
            </w:pPr>
            <w:r>
              <w:rPr>
                <w:rFonts w:cstheme="minorHAnsi"/>
                <w:sz w:val="16"/>
                <w:szCs w:val="16"/>
              </w:rPr>
              <w:t>Refinery / Terminal / Grade</w:t>
            </w:r>
          </w:p>
        </w:tc>
        <w:tc>
          <w:tcPr>
            <w:tcW w:w="1310" w:type="dxa"/>
            <w:vAlign w:val="center"/>
          </w:tcPr>
          <w:p w14:paraId="51BF2A81" w14:textId="77777777" w:rsidR="00672297" w:rsidRDefault="00A16EA3">
            <w:pPr>
              <w:spacing w:before="20" w:after="20"/>
              <w:jc w:val="left"/>
            </w:pPr>
            <w:r>
              <w:rPr>
                <w:rFonts w:cstheme="minorHAnsi"/>
                <w:sz w:val="16"/>
                <w:szCs w:val="16"/>
              </w:rPr>
              <w:t>vwDistillateBlendingKPI</w:t>
            </w:r>
          </w:p>
        </w:tc>
        <w:tc>
          <w:tcPr>
            <w:tcW w:w="1404" w:type="dxa"/>
            <w:vAlign w:val="center"/>
          </w:tcPr>
          <w:p w14:paraId="2DCE8921" w14:textId="77777777" w:rsidR="00672297" w:rsidRDefault="00A16EA3">
            <w:pPr>
              <w:spacing w:before="20" w:after="20"/>
              <w:jc w:val="left"/>
            </w:pPr>
            <w:r>
              <w:rPr>
                <w:rFonts w:cstheme="minorHAnsi"/>
                <w:sz w:val="16"/>
                <w:szCs w:val="16"/>
              </w:rPr>
              <w:t>Source / Destination / Product</w:t>
            </w:r>
          </w:p>
        </w:tc>
        <w:tc>
          <w:tcPr>
            <w:tcW w:w="655" w:type="dxa"/>
            <w:vAlign w:val="center"/>
          </w:tcPr>
          <w:p w14:paraId="676F90E6" w14:textId="77777777" w:rsidR="00672297" w:rsidRDefault="00A16EA3">
            <w:pPr>
              <w:spacing w:before="20" w:after="20"/>
              <w:jc w:val="left"/>
            </w:pPr>
            <w:r>
              <w:rPr>
                <w:rFonts w:cstheme="minorHAnsi"/>
                <w:sz w:val="16"/>
                <w:szCs w:val="16"/>
              </w:rPr>
              <w:t>N</w:t>
            </w:r>
          </w:p>
        </w:tc>
        <w:tc>
          <w:tcPr>
            <w:tcW w:w="655" w:type="dxa"/>
            <w:vAlign w:val="center"/>
          </w:tcPr>
          <w:p w14:paraId="3E16C68F" w14:textId="77777777" w:rsidR="00672297" w:rsidRDefault="00A16EA3">
            <w:pPr>
              <w:spacing w:before="20" w:after="20"/>
              <w:jc w:val="left"/>
            </w:pPr>
            <w:r>
              <w:rPr>
                <w:rFonts w:cstheme="minorHAnsi"/>
                <w:sz w:val="16"/>
                <w:szCs w:val="16"/>
              </w:rPr>
              <w:t>Y</w:t>
            </w:r>
          </w:p>
        </w:tc>
        <w:tc>
          <w:tcPr>
            <w:tcW w:w="655" w:type="dxa"/>
            <w:vAlign w:val="center"/>
          </w:tcPr>
          <w:p w14:paraId="0ACC3139" w14:textId="77777777" w:rsidR="00672297" w:rsidRDefault="00A16EA3">
            <w:pPr>
              <w:spacing w:before="20" w:after="20"/>
              <w:jc w:val="left"/>
            </w:pPr>
            <w:r>
              <w:rPr>
                <w:rFonts w:cstheme="minorHAnsi"/>
                <w:sz w:val="16"/>
                <w:szCs w:val="16"/>
              </w:rPr>
              <w:t>Y</w:t>
            </w:r>
          </w:p>
        </w:tc>
        <w:tc>
          <w:tcPr>
            <w:tcW w:w="1967" w:type="dxa"/>
            <w:vAlign w:val="center"/>
          </w:tcPr>
          <w:p w14:paraId="5688FFF1" w14:textId="77777777" w:rsidR="00672297" w:rsidRDefault="00A16EA3">
            <w:pPr>
              <w:spacing w:before="20" w:after="20"/>
              <w:jc w:val="left"/>
            </w:pPr>
            <w:r>
              <w:rPr>
                <w:rFonts w:cstheme="minorHAnsi"/>
                <w:sz w:val="16"/>
                <w:szCs w:val="16"/>
              </w:rPr>
              <w:t>Grade default ULSD No 2</w:t>
            </w:r>
          </w:p>
        </w:tc>
      </w:tr>
      <w:tr w:rsidR="00672297" w14:paraId="35485732" w14:textId="77777777">
        <w:trPr>
          <w:cantSplit/>
        </w:trPr>
        <w:tc>
          <w:tcPr>
            <w:tcW w:w="1404" w:type="dxa"/>
            <w:vAlign w:val="center"/>
          </w:tcPr>
          <w:p w14:paraId="1A7EFC2E" w14:textId="77777777" w:rsidR="00672297" w:rsidRDefault="00A16EA3">
            <w:pPr>
              <w:spacing w:before="20" w:after="20"/>
              <w:jc w:val="left"/>
            </w:pPr>
            <w:r>
              <w:rPr>
                <w:rFonts w:cstheme="minorHAnsi"/>
                <w:sz w:val="16"/>
                <w:szCs w:val="16"/>
              </w:rPr>
              <w:t>Slicer/Filter</w:t>
            </w:r>
          </w:p>
        </w:tc>
        <w:tc>
          <w:tcPr>
            <w:tcW w:w="1310" w:type="dxa"/>
            <w:vAlign w:val="center"/>
          </w:tcPr>
          <w:p w14:paraId="149D2D1B" w14:textId="77777777" w:rsidR="00672297" w:rsidRDefault="00A16EA3">
            <w:pPr>
              <w:spacing w:before="20" w:after="20"/>
              <w:jc w:val="left"/>
            </w:pPr>
            <w:r>
              <w:rPr>
                <w:rFonts w:cstheme="minorHAnsi"/>
                <w:sz w:val="16"/>
                <w:szCs w:val="16"/>
              </w:rPr>
              <w:t>Quality</w:t>
            </w:r>
          </w:p>
        </w:tc>
        <w:tc>
          <w:tcPr>
            <w:tcW w:w="1310" w:type="dxa"/>
            <w:vAlign w:val="center"/>
          </w:tcPr>
          <w:p w14:paraId="6CD827B8" w14:textId="77777777" w:rsidR="00672297" w:rsidRDefault="00A16EA3">
            <w:pPr>
              <w:spacing w:before="20" w:after="20"/>
              <w:jc w:val="left"/>
            </w:pPr>
            <w:r>
              <w:rPr>
                <w:rFonts w:cstheme="minorHAnsi"/>
                <w:sz w:val="16"/>
                <w:szCs w:val="16"/>
              </w:rPr>
              <w:t>Field parameter</w:t>
            </w:r>
          </w:p>
        </w:tc>
        <w:tc>
          <w:tcPr>
            <w:tcW w:w="1404" w:type="dxa"/>
            <w:vAlign w:val="center"/>
          </w:tcPr>
          <w:p w14:paraId="3B789F8D" w14:textId="77777777" w:rsidR="00672297" w:rsidRDefault="00A16EA3">
            <w:pPr>
              <w:spacing w:before="20" w:after="20"/>
              <w:jc w:val="left"/>
            </w:pPr>
            <w:r>
              <w:rPr>
                <w:rFonts w:cstheme="minorHAnsi"/>
                <w:sz w:val="16"/>
                <w:szCs w:val="16"/>
              </w:rPr>
              <w:t>Property columns</w:t>
            </w:r>
          </w:p>
        </w:tc>
        <w:tc>
          <w:tcPr>
            <w:tcW w:w="655" w:type="dxa"/>
            <w:vAlign w:val="center"/>
          </w:tcPr>
          <w:p w14:paraId="1D8DB8AB" w14:textId="77777777" w:rsidR="00672297" w:rsidRDefault="00A16EA3">
            <w:pPr>
              <w:spacing w:before="20" w:after="20"/>
              <w:jc w:val="left"/>
            </w:pPr>
            <w:r>
              <w:rPr>
                <w:rFonts w:cstheme="minorHAnsi"/>
                <w:sz w:val="16"/>
                <w:szCs w:val="16"/>
              </w:rPr>
              <w:t>N</w:t>
            </w:r>
          </w:p>
        </w:tc>
        <w:tc>
          <w:tcPr>
            <w:tcW w:w="655" w:type="dxa"/>
            <w:vAlign w:val="center"/>
          </w:tcPr>
          <w:p w14:paraId="60F246CB" w14:textId="77777777" w:rsidR="00672297" w:rsidRDefault="00A16EA3">
            <w:pPr>
              <w:spacing w:before="20" w:after="20"/>
              <w:jc w:val="left"/>
            </w:pPr>
            <w:r>
              <w:rPr>
                <w:rFonts w:cstheme="minorHAnsi"/>
                <w:sz w:val="16"/>
                <w:szCs w:val="16"/>
              </w:rPr>
              <w:t>Y</w:t>
            </w:r>
          </w:p>
        </w:tc>
        <w:tc>
          <w:tcPr>
            <w:tcW w:w="655" w:type="dxa"/>
            <w:vAlign w:val="center"/>
          </w:tcPr>
          <w:p w14:paraId="4992CF4F" w14:textId="77777777" w:rsidR="00672297" w:rsidRDefault="00A16EA3">
            <w:pPr>
              <w:spacing w:before="20" w:after="20"/>
              <w:jc w:val="left"/>
            </w:pPr>
            <w:r>
              <w:rPr>
                <w:rFonts w:cstheme="minorHAnsi"/>
                <w:sz w:val="16"/>
                <w:szCs w:val="16"/>
              </w:rPr>
              <w:t>N</w:t>
            </w:r>
          </w:p>
        </w:tc>
        <w:tc>
          <w:tcPr>
            <w:tcW w:w="1967" w:type="dxa"/>
            <w:vAlign w:val="center"/>
          </w:tcPr>
          <w:p w14:paraId="2027E351" w14:textId="77777777" w:rsidR="00672297" w:rsidRDefault="00672297">
            <w:pPr>
              <w:spacing w:before="20" w:after="20"/>
              <w:jc w:val="left"/>
            </w:pPr>
          </w:p>
        </w:tc>
      </w:tr>
      <w:tr w:rsidR="00672297" w14:paraId="177F3C93" w14:textId="77777777">
        <w:trPr>
          <w:cantSplit/>
        </w:trPr>
        <w:tc>
          <w:tcPr>
            <w:tcW w:w="1404" w:type="dxa"/>
            <w:vAlign w:val="center"/>
          </w:tcPr>
          <w:p w14:paraId="3345D88E" w14:textId="77777777" w:rsidR="00672297" w:rsidRDefault="00A16EA3">
            <w:pPr>
              <w:spacing w:before="20" w:after="20"/>
              <w:jc w:val="left"/>
            </w:pPr>
            <w:r>
              <w:rPr>
                <w:rFonts w:cstheme="minorHAnsi"/>
                <w:sz w:val="16"/>
                <w:szCs w:val="16"/>
              </w:rPr>
              <w:t>Slicer/Filter</w:t>
            </w:r>
          </w:p>
        </w:tc>
        <w:tc>
          <w:tcPr>
            <w:tcW w:w="1310" w:type="dxa"/>
            <w:vAlign w:val="center"/>
          </w:tcPr>
          <w:p w14:paraId="19918CB1" w14:textId="77777777" w:rsidR="00672297" w:rsidRDefault="00A16EA3">
            <w:pPr>
              <w:spacing w:before="20" w:after="20"/>
              <w:jc w:val="left"/>
            </w:pPr>
            <w:r>
              <w:rPr>
                <w:rFonts w:cstheme="minorHAnsi"/>
                <w:sz w:val="16"/>
                <w:szCs w:val="16"/>
              </w:rPr>
              <w:t>Date Range</w:t>
            </w:r>
          </w:p>
        </w:tc>
        <w:tc>
          <w:tcPr>
            <w:tcW w:w="1310" w:type="dxa"/>
            <w:vAlign w:val="center"/>
          </w:tcPr>
          <w:p w14:paraId="7FCF1240" w14:textId="77777777" w:rsidR="00672297" w:rsidRDefault="00A16EA3">
            <w:pPr>
              <w:spacing w:before="20" w:after="20"/>
              <w:jc w:val="left"/>
            </w:pPr>
            <w:r>
              <w:rPr>
                <w:rFonts w:cstheme="minorHAnsi"/>
                <w:sz w:val="16"/>
                <w:szCs w:val="16"/>
              </w:rPr>
              <w:t>day_detail</w:t>
            </w:r>
          </w:p>
        </w:tc>
        <w:tc>
          <w:tcPr>
            <w:tcW w:w="1404" w:type="dxa"/>
            <w:vAlign w:val="center"/>
          </w:tcPr>
          <w:p w14:paraId="45FC2B0B" w14:textId="77777777" w:rsidR="00672297" w:rsidRDefault="00A16EA3">
            <w:pPr>
              <w:spacing w:before="20" w:after="20"/>
              <w:jc w:val="left"/>
            </w:pPr>
            <w:r>
              <w:rPr>
                <w:rFonts w:cstheme="minorHAnsi"/>
                <w:sz w:val="16"/>
                <w:szCs w:val="16"/>
              </w:rPr>
              <w:t>W_Date</w:t>
            </w:r>
          </w:p>
        </w:tc>
        <w:tc>
          <w:tcPr>
            <w:tcW w:w="655" w:type="dxa"/>
            <w:vAlign w:val="center"/>
          </w:tcPr>
          <w:p w14:paraId="760C2055" w14:textId="77777777" w:rsidR="00672297" w:rsidRDefault="00A16EA3">
            <w:pPr>
              <w:spacing w:before="20" w:after="20"/>
              <w:jc w:val="left"/>
            </w:pPr>
            <w:r>
              <w:rPr>
                <w:rFonts w:cstheme="minorHAnsi"/>
                <w:sz w:val="16"/>
                <w:szCs w:val="16"/>
              </w:rPr>
              <w:t>N</w:t>
            </w:r>
          </w:p>
        </w:tc>
        <w:tc>
          <w:tcPr>
            <w:tcW w:w="655" w:type="dxa"/>
            <w:vAlign w:val="center"/>
          </w:tcPr>
          <w:p w14:paraId="4A4146D4" w14:textId="77777777" w:rsidR="00672297" w:rsidRDefault="00A16EA3">
            <w:pPr>
              <w:spacing w:before="20" w:after="20"/>
              <w:jc w:val="left"/>
            </w:pPr>
            <w:r>
              <w:rPr>
                <w:rFonts w:cstheme="minorHAnsi"/>
                <w:sz w:val="16"/>
                <w:szCs w:val="16"/>
              </w:rPr>
              <w:t>Y</w:t>
            </w:r>
          </w:p>
        </w:tc>
        <w:tc>
          <w:tcPr>
            <w:tcW w:w="655" w:type="dxa"/>
            <w:vAlign w:val="center"/>
          </w:tcPr>
          <w:p w14:paraId="454706DC" w14:textId="77777777" w:rsidR="00672297" w:rsidRDefault="00A16EA3">
            <w:pPr>
              <w:spacing w:before="20" w:after="20"/>
              <w:jc w:val="left"/>
            </w:pPr>
            <w:r>
              <w:rPr>
                <w:rFonts w:cstheme="minorHAnsi"/>
                <w:sz w:val="16"/>
                <w:szCs w:val="16"/>
              </w:rPr>
              <w:t>Y</w:t>
            </w:r>
          </w:p>
        </w:tc>
        <w:tc>
          <w:tcPr>
            <w:tcW w:w="1967" w:type="dxa"/>
            <w:vAlign w:val="center"/>
          </w:tcPr>
          <w:p w14:paraId="50DF0993" w14:textId="77777777" w:rsidR="00672297" w:rsidRDefault="00A16EA3">
            <w:pPr>
              <w:spacing w:before="20" w:after="20"/>
              <w:jc w:val="left"/>
            </w:pPr>
            <w:r>
              <w:rPr>
                <w:rFonts w:cstheme="minorHAnsi"/>
                <w:sz w:val="16"/>
                <w:szCs w:val="16"/>
              </w:rPr>
              <w:t>Relationship on ActivityDate</w:t>
            </w:r>
          </w:p>
        </w:tc>
      </w:tr>
    </w:tbl>
    <w:p w14:paraId="074383A9" w14:textId="2FDF8BF1" w:rsidR="00672297" w:rsidRDefault="00A16EA3">
      <w:pPr>
        <w:pStyle w:val="Caption"/>
      </w:pPr>
      <w:bookmarkStart w:id="762" w:name="_Toc900950181"/>
      <w:bookmarkStart w:id="763" w:name="_Toc241574745"/>
      <w:bookmarkStart w:id="764" w:name="_Toc242554129"/>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56</w:t>
      </w:r>
      <w:r>
        <w:fldChar w:fldCharType="end"/>
      </w:r>
      <w:r>
        <w:t>: Distillate KPI Dashboard Power BI Attributes Mapping</w:t>
      </w:r>
      <w:bookmarkEnd w:id="762"/>
      <w:bookmarkEnd w:id="763"/>
      <w:bookmarkEnd w:id="764"/>
    </w:p>
    <w:p w14:paraId="441E9CF9" w14:textId="77777777" w:rsidR="00672297" w:rsidRDefault="00A16EA3">
      <w:pPr>
        <w:pStyle w:val="Heading3"/>
        <w:rPr>
          <w:rFonts w:asciiTheme="minorHAnsi" w:hAnsiTheme="minorHAnsi" w:cstheme="minorBidi"/>
          <w:sz w:val="20"/>
          <w:szCs w:val="20"/>
        </w:rPr>
      </w:pPr>
      <w:bookmarkStart w:id="765" w:name="_Toc241574357"/>
      <w:bookmarkStart w:id="766" w:name="_Toc242553979"/>
      <w:r>
        <w:rPr>
          <w:rFonts w:asciiTheme="minorHAnsi" w:hAnsiTheme="minorHAnsi" w:cstheme="minorBidi"/>
          <w:sz w:val="20"/>
          <w:szCs w:val="20"/>
        </w:rPr>
        <w:t>Placeholder Dashboard (Reserved)</w:t>
      </w:r>
      <w:bookmarkEnd w:id="765"/>
      <w:bookmarkEnd w:id="766"/>
    </w:p>
    <w:p w14:paraId="6578C73C" w14:textId="77777777" w:rsidR="00672297" w:rsidRDefault="00A16EA3">
      <w:pPr>
        <w:rPr>
          <w:rFonts w:cstheme="minorHAnsi"/>
          <w:sz w:val="20"/>
          <w:szCs w:val="20"/>
        </w:rPr>
      </w:pPr>
      <w:r>
        <w:rPr>
          <w:rFonts w:cstheme="minorHAnsi"/>
          <w:sz w:val="20"/>
          <w:szCs w:val="20"/>
        </w:rPr>
        <w:t>The seventh dashboard is reserved for an additional requirement that may arise during the functional review or from business-user feedback. No requirement or wireframe is provided for it (gap RD-16). When confirmed, it follows the semantic model, security model and refresh strategy of the dashboards above and is documented in this section.</w:t>
      </w:r>
    </w:p>
    <w:p w14:paraId="65802D46" w14:textId="77777777" w:rsidR="00672297" w:rsidRDefault="00A16EA3">
      <w:pPr>
        <w:pStyle w:val="Heading3"/>
        <w:rPr>
          <w:rFonts w:asciiTheme="minorHAnsi" w:hAnsiTheme="minorHAnsi" w:cstheme="minorBidi"/>
          <w:sz w:val="20"/>
          <w:szCs w:val="20"/>
        </w:rPr>
      </w:pPr>
      <w:bookmarkStart w:id="767" w:name="_Toc241574358"/>
      <w:bookmarkStart w:id="768" w:name="_Toc242553980"/>
      <w:r>
        <w:rPr>
          <w:rFonts w:asciiTheme="minorHAnsi" w:hAnsiTheme="minorHAnsi" w:cstheme="minorBidi"/>
          <w:sz w:val="20"/>
          <w:szCs w:val="20"/>
        </w:rPr>
        <w:t>Specification Resolution &amp; Waiver Handling</w:t>
      </w:r>
      <w:bookmarkEnd w:id="767"/>
      <w:bookmarkEnd w:id="768"/>
    </w:p>
    <w:p w14:paraId="0155C687" w14:textId="77777777" w:rsidR="00672297" w:rsidRDefault="00A16EA3">
      <w:pPr>
        <w:rPr>
          <w:rFonts w:cstheme="minorHAnsi"/>
          <w:sz w:val="20"/>
          <w:szCs w:val="20"/>
        </w:rPr>
      </w:pPr>
      <w:r>
        <w:rPr>
          <w:rFonts w:cstheme="minorHAnsi"/>
          <w:sz w:val="20"/>
          <w:szCs w:val="20"/>
        </w:rPr>
        <w:t>The VCB dashboards resolve the applicable specification of a batch in two stages - a refinery-wide lookup keyed to the batch’s source refinery and destination state, then a terminal-level override wherever the terminal tests that parameter - and finally apply approved waivers. The logic is implemented in the batch quality and KPI views (chapter 3) and feeds the Spec vs Actual comparisons and the give-away / opportunity-loss calculations.</w:t>
      </w:r>
    </w:p>
    <w:p w14:paraId="52ADD254" w14:textId="77777777" w:rsidR="00672297" w:rsidRDefault="00A16EA3">
      <w:pPr>
        <w:pStyle w:val="Heading4"/>
        <w:rPr>
          <w:rFonts w:asciiTheme="minorHAnsi" w:hAnsiTheme="minorHAnsi" w:cstheme="minorBidi"/>
          <w:sz w:val="20"/>
          <w:szCs w:val="20"/>
        </w:rPr>
      </w:pPr>
      <w:bookmarkStart w:id="769" w:name="_Toc900950184"/>
      <w:r>
        <w:rPr>
          <w:rFonts w:asciiTheme="minorHAnsi" w:hAnsiTheme="minorHAnsi" w:cstheme="minorBidi"/>
          <w:sz w:val="20"/>
          <w:szCs w:val="20"/>
        </w:rPr>
        <w:t>Stage 1 – Refinery-Wide Specification Consolidation</w:t>
      </w:r>
      <w:bookmarkEnd w:id="769"/>
    </w:p>
    <w:p w14:paraId="716ABD93"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Identify the source refinery of the batch (Robinson, Catlettsburg, Canton, Detroit).</w:t>
      </w:r>
    </w:p>
    <w:p w14:paraId="26F7ACA3"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Find the destination terminal and derive its state from master data (gap DP-14); this stage works at state level, not terminal level.</w:t>
      </w:r>
    </w:p>
    <w:p w14:paraId="06A6A2FD"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Apply the specification rows of the unique Source Refinery x Destination State combination (product_specification.terminal_location_id is NULL). The consolidated skeleton carries RON, MON, RVP, FBP, benzene, API, sulphur, copper, oxygen stability and related properties, structured by month / season.</w:t>
      </w:r>
    </w:p>
    <w:p w14:paraId="41C7791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Seasonal transition: where a month qualifies under two seasonal classes, the more conservative target applies by default; March and April are handled separately because a pipeline may require a tighter specification ahead of the seasonal deadline; neat and E10 RVP values are both retained where present.</w:t>
      </w:r>
    </w:p>
    <w:p w14:paraId="1C7DFFAA" w14:textId="77777777" w:rsidR="00672297" w:rsidRDefault="00A16EA3">
      <w:pPr>
        <w:pStyle w:val="Heading4"/>
        <w:rPr>
          <w:rFonts w:asciiTheme="minorHAnsi" w:hAnsiTheme="minorHAnsi" w:cstheme="minorBidi"/>
          <w:sz w:val="20"/>
          <w:szCs w:val="20"/>
        </w:rPr>
      </w:pPr>
      <w:bookmarkStart w:id="770" w:name="_Toc900950185"/>
      <w:r>
        <w:rPr>
          <w:rFonts w:asciiTheme="minorHAnsi" w:hAnsiTheme="minorHAnsi" w:cstheme="minorBidi"/>
          <w:sz w:val="20"/>
          <w:szCs w:val="20"/>
        </w:rPr>
        <w:t>Stage 2 – Terminal-Level Override</w:t>
      </w:r>
      <w:bookmarkEnd w:id="770"/>
    </w:p>
    <w:p w14:paraId="28C5E417"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Terminal-tested parameters are overridden by the terminal’s own row (terminal_location_id populated): RVP, T-50, TV/L and FBP (gasoline) and Flash Point (distillate).</w:t>
      </w:r>
    </w:p>
    <w:p w14:paraId="4ACC1D3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Refinery-only parameters are carried through unchanged: RON / MON / AKI, benzene, copper, sulphur, API and similar properties.</w:t>
      </w:r>
    </w:p>
    <w:p w14:paraId="1388F503" w14:textId="77777777" w:rsidR="00672297" w:rsidRDefault="00A16EA3">
      <w:pPr>
        <w:pStyle w:val="Heading4"/>
        <w:rPr>
          <w:rFonts w:asciiTheme="minorHAnsi" w:hAnsiTheme="minorHAnsi" w:cstheme="minorBidi"/>
          <w:sz w:val="20"/>
          <w:szCs w:val="20"/>
        </w:rPr>
      </w:pPr>
      <w:bookmarkStart w:id="771" w:name="_Toc900950186"/>
      <w:r>
        <w:rPr>
          <w:rFonts w:asciiTheme="minorHAnsi" w:hAnsiTheme="minorHAnsi" w:cstheme="minorBidi"/>
          <w:sz w:val="20"/>
          <w:szCs w:val="20"/>
        </w:rPr>
        <w:t>Waiver Selection</w:t>
      </w:r>
      <w:bookmarkEnd w:id="771"/>
    </w:p>
    <w:p w14:paraId="082C3282" w14:textId="77777777" w:rsidR="00672297" w:rsidRDefault="00A16EA3">
      <w:pPr>
        <w:rPr>
          <w:rFonts w:cstheme="minorHAnsi"/>
          <w:sz w:val="20"/>
          <w:szCs w:val="20"/>
        </w:rPr>
      </w:pPr>
      <w:r>
        <w:rPr>
          <w:rFonts w:cstheme="minorHAnsi"/>
          <w:sz w:val="20"/>
          <w:szCs w:val="20"/>
        </w:rPr>
        <w:t>Approved quality waivers are applied at State level or for a specific Batch through the Waiver Selection Interface. The Corporate PQ / Quality Advisor team maintains the waivers (waiver type, validity period, revised quality value or revised specification) - source and structure not defined, gap DP-08. A valid batch waiver takes precedence over a state waiver, which takes precedence over Stage 2 and Stage 1; the resolved row carries spec_source = Waiver.</w:t>
      </w:r>
    </w:p>
    <w:p w14:paraId="229A6478" w14:textId="77777777" w:rsidR="00672297" w:rsidRDefault="00A16EA3">
      <w:pPr>
        <w:pStyle w:val="Heading2"/>
        <w:rPr>
          <w:rFonts w:asciiTheme="minorHAnsi" w:hAnsiTheme="minorHAnsi" w:cstheme="minorBidi"/>
          <w:sz w:val="20"/>
          <w:szCs w:val="20"/>
        </w:rPr>
      </w:pPr>
      <w:bookmarkStart w:id="772" w:name="_Toc241574359"/>
      <w:bookmarkStart w:id="773" w:name="_Toc242553981"/>
      <w:r>
        <w:rPr>
          <w:rFonts w:asciiTheme="minorHAnsi" w:hAnsiTheme="minorHAnsi" w:cstheme="minorBidi"/>
          <w:sz w:val="20"/>
          <w:szCs w:val="20"/>
        </w:rPr>
        <w:t>Release 2 - VCB Dashboards</w:t>
      </w:r>
      <w:bookmarkEnd w:id="772"/>
      <w:bookmarkEnd w:id="773"/>
    </w:p>
    <w:p w14:paraId="180D0EC3" w14:textId="77777777" w:rsidR="00672297" w:rsidRDefault="00A16EA3">
      <w:pPr>
        <w:rPr>
          <w:rFonts w:cstheme="minorHAnsi"/>
          <w:sz w:val="20"/>
          <w:szCs w:val="20"/>
        </w:rPr>
      </w:pPr>
      <w:r>
        <w:rPr>
          <w:rFonts w:cstheme="minorHAnsi"/>
          <w:sz w:val="20"/>
          <w:szCs w:val="20"/>
        </w:rPr>
        <w:t>The provided functional material and Wireframes Mock Data define no additional dashboard for Release 2 (gap RD-09). Release 2 changes the data behind the Release 1 dashboards:</w:t>
      </w:r>
    </w:p>
    <w:p w14:paraId="47FC0709" w14:textId="610085F4" w:rsidR="00672297" w:rsidRDefault="00A16EA3" w:rsidP="00652CF3">
      <w:pPr>
        <w:pStyle w:val="ListParagraph"/>
        <w:numPr>
          <w:ilvl w:val="0"/>
          <w:numId w:val="5"/>
        </w:numPr>
        <w:jc w:val="left"/>
        <w:rPr>
          <w:rFonts w:cstheme="minorHAnsi"/>
          <w:sz w:val="20"/>
          <w:szCs w:val="20"/>
        </w:rPr>
      </w:pPr>
      <w:r>
        <w:rPr>
          <w:rFonts w:cstheme="minorHAnsi"/>
          <w:sz w:val="20"/>
          <w:szCs w:val="20"/>
        </w:rPr>
        <w:t>The PIAF blend component data (VCB_blend_component_detail) becomes available: blend component tank inventory for the Supply dashboard and Blending Potential planned-movement cards.</w:t>
      </w:r>
    </w:p>
    <w:p w14:paraId="2AA6C6F4" w14:textId="1C4DA27B" w:rsidR="00672297" w:rsidRDefault="00A16EA3" w:rsidP="00652CF3">
      <w:pPr>
        <w:pStyle w:val="ListParagraph"/>
        <w:numPr>
          <w:ilvl w:val="0"/>
          <w:numId w:val="5"/>
        </w:numPr>
        <w:jc w:val="left"/>
        <w:rPr>
          <w:rFonts w:cstheme="minorHAnsi"/>
          <w:sz w:val="20"/>
          <w:szCs w:val="20"/>
        </w:rPr>
      </w:pPr>
      <w:r>
        <w:rPr>
          <w:rFonts w:cstheme="minorHAnsi"/>
          <w:sz w:val="20"/>
          <w:szCs w:val="20"/>
        </w:rPr>
        <w:t xml:space="preserve">VCB Release 3 </w:t>
      </w:r>
      <w:r w:rsidR="00371C86">
        <w:rPr>
          <w:rFonts w:cstheme="minorHAnsi"/>
          <w:sz w:val="20"/>
          <w:szCs w:val="20"/>
        </w:rPr>
        <w:t xml:space="preserve">adds the daily component flows as Actual for the Gasoline KPI dashboard, the analyzer qualities at the butane injectors, the </w:t>
      </w:r>
      <w:r>
        <w:rPr>
          <w:rFonts w:cstheme="minorHAnsi"/>
          <w:sz w:val="20"/>
          <w:szCs w:val="20"/>
        </w:rPr>
        <w:t>transaction upload movements (Actual for the Gasoline KPI and Distillate KPI views) and the MPR API prices imported into MPR_Price (Value Loss of the Gasoline KPI and Distillate KPI dashboards).</w:t>
      </w:r>
    </w:p>
    <w:p w14:paraId="5B2B3A95"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The six views and the measures are already designed for these sources; no report redesign is required, only refresh and validation of the affected visuals.</w:t>
      </w:r>
    </w:p>
    <w:p w14:paraId="24734BF5" w14:textId="77777777" w:rsidR="00672297" w:rsidRDefault="00A16EA3">
      <w:pPr>
        <w:pStyle w:val="Heading2"/>
        <w:rPr>
          <w:rFonts w:asciiTheme="minorHAnsi" w:hAnsiTheme="minorHAnsi" w:cstheme="minorBidi"/>
          <w:sz w:val="20"/>
          <w:szCs w:val="20"/>
        </w:rPr>
      </w:pPr>
      <w:bookmarkStart w:id="774" w:name="_Toc241574360"/>
      <w:bookmarkStart w:id="775" w:name="_Toc242553982"/>
      <w:r>
        <w:rPr>
          <w:rFonts w:asciiTheme="minorHAnsi" w:hAnsiTheme="minorHAnsi" w:cstheme="minorBidi"/>
          <w:sz w:val="20"/>
          <w:szCs w:val="20"/>
        </w:rPr>
        <w:t>Security Design</w:t>
      </w:r>
      <w:bookmarkEnd w:id="774"/>
      <w:bookmarkEnd w:id="775"/>
    </w:p>
    <w:p w14:paraId="7635CA12" w14:textId="77777777" w:rsidR="00672297" w:rsidRDefault="00A16EA3">
      <w:pPr>
        <w:pStyle w:val="Heading3"/>
        <w:rPr>
          <w:rFonts w:asciiTheme="minorHAnsi" w:hAnsiTheme="minorHAnsi" w:cstheme="minorBidi"/>
          <w:sz w:val="20"/>
          <w:szCs w:val="20"/>
        </w:rPr>
      </w:pPr>
      <w:bookmarkStart w:id="776" w:name="_Toc241574361"/>
      <w:bookmarkStart w:id="777" w:name="_Toc242553983"/>
      <w:r>
        <w:rPr>
          <w:rFonts w:asciiTheme="minorHAnsi" w:hAnsiTheme="minorHAnsi" w:cstheme="minorBidi"/>
          <w:sz w:val="20"/>
          <w:szCs w:val="20"/>
        </w:rPr>
        <w:t>Workspace Access</w:t>
      </w:r>
      <w:bookmarkEnd w:id="776"/>
      <w:bookmarkEnd w:id="777"/>
    </w:p>
    <w:p w14:paraId="08960D1A" w14:textId="77777777" w:rsidR="00672297" w:rsidRDefault="00A16EA3">
      <w:pPr>
        <w:rPr>
          <w:rFonts w:cstheme="minorHAnsi"/>
          <w:sz w:val="20"/>
          <w:szCs w:val="20"/>
        </w:rPr>
      </w:pPr>
      <w:r>
        <w:rPr>
          <w:rFonts w:cstheme="minorHAnsi"/>
          <w:sz w:val="20"/>
          <w:szCs w:val="20"/>
        </w:rPr>
        <w:t>The VCB reports are published to a dedicated VCB workspace and distributed through a Power BI app. The workspace name and the AD groups are not provided (gap RD-02); the IQDM workspace (IQDM) and groups are shown as the pattern to follow. In Power BI Service, go to Workspace settings &gt; Manage access and add the people or AD groups below.</w:t>
      </w:r>
    </w:p>
    <w:tbl>
      <w:tblPr>
        <w:tblStyle w:val="TableGrid"/>
        <w:tblW w:w="9360" w:type="dxa"/>
        <w:tblLayout w:type="fixed"/>
        <w:tblCellMar>
          <w:left w:w="70" w:type="dxa"/>
          <w:right w:w="70" w:type="dxa"/>
        </w:tblCellMar>
        <w:tblLook w:val="04A0" w:firstRow="1" w:lastRow="0" w:firstColumn="1" w:lastColumn="0" w:noHBand="0" w:noVBand="1"/>
      </w:tblPr>
      <w:tblGrid>
        <w:gridCol w:w="2340"/>
        <w:gridCol w:w="2808"/>
        <w:gridCol w:w="4212"/>
      </w:tblGrid>
      <w:tr w:rsidR="00672297" w14:paraId="2B2A3062" w14:textId="77777777">
        <w:trPr>
          <w:cantSplit/>
          <w:tblHeader/>
        </w:trPr>
        <w:tc>
          <w:tcPr>
            <w:tcW w:w="2340" w:type="dxa"/>
            <w:shd w:val="clear" w:color="auto" w:fill="2F5496"/>
            <w:vAlign w:val="center"/>
          </w:tcPr>
          <w:p w14:paraId="7F815BF5" w14:textId="77777777" w:rsidR="00672297" w:rsidRDefault="00A16EA3">
            <w:pPr>
              <w:spacing w:before="20" w:after="20"/>
              <w:jc w:val="left"/>
            </w:pPr>
            <w:r>
              <w:rPr>
                <w:rFonts w:cstheme="minorHAnsi"/>
                <w:b/>
                <w:bCs/>
                <w:color w:val="FFFFFF"/>
                <w:sz w:val="20"/>
                <w:szCs w:val="20"/>
              </w:rPr>
              <w:t>Role</w:t>
            </w:r>
          </w:p>
        </w:tc>
        <w:tc>
          <w:tcPr>
            <w:tcW w:w="2808" w:type="dxa"/>
            <w:shd w:val="clear" w:color="auto" w:fill="2F5496"/>
            <w:vAlign w:val="center"/>
          </w:tcPr>
          <w:p w14:paraId="20B1CB14" w14:textId="77777777" w:rsidR="00672297" w:rsidRDefault="00A16EA3">
            <w:pPr>
              <w:spacing w:before="20" w:after="20"/>
              <w:jc w:val="left"/>
            </w:pPr>
            <w:r>
              <w:rPr>
                <w:rFonts w:cstheme="minorHAnsi"/>
                <w:b/>
                <w:bCs/>
                <w:color w:val="FFFFFF"/>
                <w:sz w:val="20"/>
                <w:szCs w:val="20"/>
              </w:rPr>
              <w:t>Access Level</w:t>
            </w:r>
          </w:p>
        </w:tc>
        <w:tc>
          <w:tcPr>
            <w:tcW w:w="4212" w:type="dxa"/>
            <w:shd w:val="clear" w:color="auto" w:fill="2F5496"/>
            <w:vAlign w:val="center"/>
          </w:tcPr>
          <w:p w14:paraId="5FC88885" w14:textId="77777777" w:rsidR="00672297" w:rsidRDefault="00A16EA3">
            <w:pPr>
              <w:spacing w:before="20" w:after="20"/>
              <w:jc w:val="left"/>
            </w:pPr>
            <w:r>
              <w:rPr>
                <w:rFonts w:cstheme="minorHAnsi"/>
                <w:b/>
                <w:bCs/>
                <w:color w:val="FFFFFF"/>
                <w:sz w:val="20"/>
                <w:szCs w:val="20"/>
              </w:rPr>
              <w:t>Members</w:t>
            </w:r>
          </w:p>
        </w:tc>
      </w:tr>
      <w:tr w:rsidR="00672297" w14:paraId="44083D76" w14:textId="77777777">
        <w:trPr>
          <w:cantSplit/>
        </w:trPr>
        <w:tc>
          <w:tcPr>
            <w:tcW w:w="2340" w:type="dxa"/>
            <w:vAlign w:val="center"/>
          </w:tcPr>
          <w:p w14:paraId="0C8EDFD2" w14:textId="77777777" w:rsidR="00672297" w:rsidRDefault="00A16EA3">
            <w:pPr>
              <w:spacing w:before="20" w:after="20"/>
              <w:jc w:val="left"/>
            </w:pPr>
            <w:r>
              <w:rPr>
                <w:rFonts w:cstheme="minorHAnsi"/>
                <w:sz w:val="20"/>
                <w:szCs w:val="20"/>
              </w:rPr>
              <w:t>Developer</w:t>
            </w:r>
          </w:p>
        </w:tc>
        <w:tc>
          <w:tcPr>
            <w:tcW w:w="2808" w:type="dxa"/>
            <w:vAlign w:val="center"/>
          </w:tcPr>
          <w:p w14:paraId="602D21F3" w14:textId="77777777" w:rsidR="00672297" w:rsidRDefault="00A16EA3">
            <w:pPr>
              <w:spacing w:before="20" w:after="20"/>
              <w:jc w:val="left"/>
            </w:pPr>
            <w:r>
              <w:rPr>
                <w:rFonts w:cstheme="minorHAnsi"/>
                <w:sz w:val="20"/>
                <w:szCs w:val="20"/>
              </w:rPr>
              <w:t>Admin / Member</w:t>
            </w:r>
          </w:p>
        </w:tc>
        <w:tc>
          <w:tcPr>
            <w:tcW w:w="4212" w:type="dxa"/>
            <w:vAlign w:val="center"/>
          </w:tcPr>
          <w:p w14:paraId="3E7C5CFD" w14:textId="77777777" w:rsidR="00672297" w:rsidRDefault="00A16EA3">
            <w:pPr>
              <w:spacing w:before="20" w:after="20"/>
              <w:jc w:val="left"/>
            </w:pPr>
            <w:r>
              <w:rPr>
                <w:rFonts w:cstheme="minorHAnsi"/>
                <w:sz w:val="20"/>
                <w:szCs w:val="20"/>
              </w:rPr>
              <w:t>Dashboard team developers</w:t>
            </w:r>
          </w:p>
        </w:tc>
      </w:tr>
      <w:tr w:rsidR="00672297" w14:paraId="0B337EFB" w14:textId="77777777">
        <w:trPr>
          <w:cantSplit/>
        </w:trPr>
        <w:tc>
          <w:tcPr>
            <w:tcW w:w="2340" w:type="dxa"/>
            <w:vAlign w:val="center"/>
          </w:tcPr>
          <w:p w14:paraId="0B2AB2C2" w14:textId="77777777" w:rsidR="00672297" w:rsidRDefault="00A16EA3">
            <w:pPr>
              <w:spacing w:before="20" w:after="20"/>
              <w:jc w:val="left"/>
            </w:pPr>
            <w:r>
              <w:rPr>
                <w:rFonts w:cstheme="minorHAnsi"/>
                <w:sz w:val="20"/>
                <w:szCs w:val="20"/>
              </w:rPr>
              <w:t>Business User</w:t>
            </w:r>
          </w:p>
        </w:tc>
        <w:tc>
          <w:tcPr>
            <w:tcW w:w="2808" w:type="dxa"/>
            <w:vAlign w:val="center"/>
          </w:tcPr>
          <w:p w14:paraId="00187C9F" w14:textId="77777777" w:rsidR="00672297" w:rsidRDefault="00A16EA3">
            <w:pPr>
              <w:spacing w:before="20" w:after="20"/>
              <w:jc w:val="left"/>
            </w:pPr>
            <w:r>
              <w:rPr>
                <w:rFonts w:cstheme="minorHAnsi"/>
                <w:sz w:val="20"/>
                <w:szCs w:val="20"/>
              </w:rPr>
              <w:t>Viewer (through the app)</w:t>
            </w:r>
          </w:p>
        </w:tc>
        <w:tc>
          <w:tcPr>
            <w:tcW w:w="4212" w:type="dxa"/>
            <w:vAlign w:val="center"/>
          </w:tcPr>
          <w:p w14:paraId="46717F75" w14:textId="77777777" w:rsidR="00672297" w:rsidRDefault="00A16EA3">
            <w:pPr>
              <w:spacing w:before="20" w:after="20"/>
              <w:jc w:val="left"/>
            </w:pPr>
            <w:r>
              <w:rPr>
                <w:rFonts w:cstheme="minorHAnsi"/>
                <w:sz w:val="20"/>
                <w:szCs w:val="20"/>
              </w:rPr>
              <w:t>AD groups of the dashboards</w:t>
            </w:r>
          </w:p>
        </w:tc>
      </w:tr>
      <w:tr w:rsidR="00672297" w14:paraId="3BE41615" w14:textId="77777777">
        <w:trPr>
          <w:cantSplit/>
        </w:trPr>
        <w:tc>
          <w:tcPr>
            <w:tcW w:w="2340" w:type="dxa"/>
            <w:vAlign w:val="center"/>
          </w:tcPr>
          <w:p w14:paraId="519B0B45" w14:textId="77777777" w:rsidR="00672297" w:rsidRDefault="00A16EA3">
            <w:pPr>
              <w:spacing w:before="20" w:after="20"/>
              <w:jc w:val="left"/>
            </w:pPr>
            <w:r>
              <w:rPr>
                <w:rFonts w:cstheme="minorHAnsi"/>
                <w:sz w:val="20"/>
                <w:szCs w:val="20"/>
              </w:rPr>
              <w:t>User Group / AD Group</w:t>
            </w:r>
          </w:p>
        </w:tc>
        <w:tc>
          <w:tcPr>
            <w:tcW w:w="2808" w:type="dxa"/>
            <w:vAlign w:val="center"/>
          </w:tcPr>
          <w:p w14:paraId="440C36B9" w14:textId="77777777" w:rsidR="00672297" w:rsidRDefault="00A16EA3">
            <w:pPr>
              <w:spacing w:before="20" w:after="20"/>
              <w:jc w:val="left"/>
            </w:pPr>
            <w:r>
              <w:rPr>
                <w:rFonts w:cstheme="minorHAnsi"/>
                <w:sz w:val="20"/>
                <w:szCs w:val="20"/>
              </w:rPr>
              <w:t>Viewer</w:t>
            </w:r>
          </w:p>
        </w:tc>
        <w:tc>
          <w:tcPr>
            <w:tcW w:w="4212" w:type="dxa"/>
            <w:vAlign w:val="center"/>
          </w:tcPr>
          <w:p w14:paraId="239C3D30" w14:textId="77777777" w:rsidR="00672297" w:rsidRDefault="00A16EA3">
            <w:pPr>
              <w:spacing w:before="20" w:after="20"/>
              <w:jc w:val="left"/>
            </w:pPr>
            <w:r>
              <w:rPr>
                <w:rFonts w:cstheme="minorHAnsi"/>
                <w:sz w:val="20"/>
                <w:szCs w:val="20"/>
              </w:rPr>
              <w:t>Per-dashboard AD groups (below)</w:t>
            </w:r>
          </w:p>
        </w:tc>
      </w:tr>
    </w:tbl>
    <w:p w14:paraId="382FED95" w14:textId="33B83404" w:rsidR="00672297" w:rsidRDefault="00A16EA3">
      <w:pPr>
        <w:pStyle w:val="Caption"/>
      </w:pPr>
      <w:bookmarkStart w:id="778" w:name="_Toc900950190"/>
      <w:bookmarkStart w:id="779" w:name="_Toc241574746"/>
      <w:bookmarkStart w:id="780" w:name="_Toc242554130"/>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57</w:t>
      </w:r>
      <w:r>
        <w:fldChar w:fldCharType="end"/>
      </w:r>
      <w:r>
        <w:t>: Workspace Access</w:t>
      </w:r>
      <w:bookmarkEnd w:id="778"/>
      <w:bookmarkEnd w:id="779"/>
      <w:bookmarkEnd w:id="780"/>
    </w:p>
    <w:p w14:paraId="21BA51AF" w14:textId="77777777" w:rsidR="00672297" w:rsidRDefault="00A16EA3">
      <w:pPr>
        <w:pStyle w:val="Heading3"/>
        <w:rPr>
          <w:rFonts w:asciiTheme="minorHAnsi" w:hAnsiTheme="minorHAnsi" w:cstheme="minorBidi"/>
          <w:sz w:val="20"/>
          <w:szCs w:val="20"/>
        </w:rPr>
      </w:pPr>
      <w:bookmarkStart w:id="781" w:name="_Toc241574362"/>
      <w:bookmarkStart w:id="782" w:name="_Toc242553984"/>
      <w:r>
        <w:rPr>
          <w:rFonts w:asciiTheme="minorHAnsi" w:hAnsiTheme="minorHAnsi" w:cstheme="minorBidi"/>
          <w:sz w:val="20"/>
          <w:szCs w:val="20"/>
        </w:rPr>
        <w:t>Dashboard Level Security</w:t>
      </w:r>
      <w:bookmarkEnd w:id="781"/>
      <w:bookmarkEnd w:id="782"/>
    </w:p>
    <w:p w14:paraId="03DC7747" w14:textId="77777777" w:rsidR="00672297" w:rsidRDefault="00A16EA3">
      <w:pPr>
        <w:rPr>
          <w:rFonts w:cstheme="minorHAnsi"/>
          <w:sz w:val="20"/>
          <w:szCs w:val="20"/>
        </w:rPr>
      </w:pPr>
      <w:r>
        <w:rPr>
          <w:rFonts w:cstheme="minorHAnsi"/>
          <w:sz w:val="20"/>
          <w:szCs w:val="20"/>
        </w:rPr>
        <w:t>Which user has which dashboard is controlled on the Power BI side with app audiences:</w:t>
      </w:r>
    </w:p>
    <w:p w14:paraId="3BD883F5"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Create one AD group per dashboard.</w:t>
      </w:r>
    </w:p>
    <w:p w14:paraId="7C4B2B70"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Assign each AD group to the audience of its dashboard in the Power BI app.</w:t>
      </w:r>
    </w:p>
    <w:p w14:paraId="6ACE54E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 user who needs more than one dashboard is added to each of the required AD groups.</w:t>
      </w:r>
    </w:p>
    <w:tbl>
      <w:tblPr>
        <w:tblStyle w:val="TableGrid"/>
        <w:tblW w:w="9360" w:type="dxa"/>
        <w:tblLayout w:type="fixed"/>
        <w:tblCellMar>
          <w:left w:w="70" w:type="dxa"/>
          <w:right w:w="70" w:type="dxa"/>
        </w:tblCellMar>
        <w:tblLook w:val="04A0" w:firstRow="1" w:lastRow="0" w:firstColumn="1" w:lastColumn="0" w:noHBand="0" w:noVBand="1"/>
      </w:tblPr>
      <w:tblGrid>
        <w:gridCol w:w="2340"/>
        <w:gridCol w:w="4212"/>
        <w:gridCol w:w="2808"/>
      </w:tblGrid>
      <w:tr w:rsidR="00672297" w14:paraId="150E0DC8" w14:textId="77777777">
        <w:trPr>
          <w:cantSplit/>
          <w:tblHeader/>
        </w:trPr>
        <w:tc>
          <w:tcPr>
            <w:tcW w:w="2340" w:type="dxa"/>
            <w:shd w:val="clear" w:color="auto" w:fill="2F5496"/>
            <w:vAlign w:val="center"/>
          </w:tcPr>
          <w:p w14:paraId="089D285F" w14:textId="77777777" w:rsidR="00672297" w:rsidRDefault="00A16EA3">
            <w:pPr>
              <w:spacing w:before="20" w:after="20"/>
              <w:jc w:val="left"/>
            </w:pPr>
            <w:r>
              <w:rPr>
                <w:rFonts w:cstheme="minorHAnsi"/>
                <w:b/>
                <w:bCs/>
                <w:color w:val="FFFFFF"/>
                <w:sz w:val="20"/>
                <w:szCs w:val="20"/>
              </w:rPr>
              <w:t>Dashboard</w:t>
            </w:r>
          </w:p>
        </w:tc>
        <w:tc>
          <w:tcPr>
            <w:tcW w:w="4212" w:type="dxa"/>
            <w:shd w:val="clear" w:color="auto" w:fill="2F5496"/>
            <w:vAlign w:val="center"/>
          </w:tcPr>
          <w:p w14:paraId="10228C5F" w14:textId="77777777" w:rsidR="00672297" w:rsidRDefault="00A16EA3">
            <w:pPr>
              <w:spacing w:before="20" w:after="20"/>
              <w:jc w:val="left"/>
            </w:pPr>
            <w:r>
              <w:rPr>
                <w:rFonts w:cstheme="minorHAnsi"/>
                <w:b/>
                <w:bCs/>
                <w:color w:val="FFFFFF"/>
                <w:sz w:val="20"/>
                <w:szCs w:val="20"/>
              </w:rPr>
              <w:t>AD Group (following the IQDM naming pattern)</w:t>
            </w:r>
          </w:p>
        </w:tc>
        <w:tc>
          <w:tcPr>
            <w:tcW w:w="2808" w:type="dxa"/>
            <w:shd w:val="clear" w:color="auto" w:fill="2F5496"/>
            <w:vAlign w:val="center"/>
          </w:tcPr>
          <w:p w14:paraId="186FD368" w14:textId="77777777" w:rsidR="00672297" w:rsidRDefault="00A16EA3">
            <w:pPr>
              <w:spacing w:before="20" w:after="20"/>
              <w:jc w:val="left"/>
            </w:pPr>
            <w:r>
              <w:rPr>
                <w:rFonts w:cstheme="minorHAnsi"/>
                <w:b/>
                <w:bCs/>
                <w:color w:val="FFFFFF"/>
                <w:sz w:val="20"/>
                <w:szCs w:val="20"/>
              </w:rPr>
              <w:t>User List</w:t>
            </w:r>
          </w:p>
        </w:tc>
      </w:tr>
      <w:tr w:rsidR="00672297" w14:paraId="792B7A1D" w14:textId="77777777">
        <w:trPr>
          <w:cantSplit/>
        </w:trPr>
        <w:tc>
          <w:tcPr>
            <w:tcW w:w="2340" w:type="dxa"/>
            <w:vAlign w:val="center"/>
          </w:tcPr>
          <w:p w14:paraId="573372B1" w14:textId="77777777" w:rsidR="00672297" w:rsidRDefault="00A16EA3">
            <w:pPr>
              <w:spacing w:before="20" w:after="20"/>
              <w:jc w:val="left"/>
            </w:pPr>
            <w:r>
              <w:rPr>
                <w:rFonts w:cstheme="minorHAnsi"/>
                <w:sz w:val="20"/>
                <w:szCs w:val="20"/>
              </w:rPr>
              <w:t>Refinery-Wide</w:t>
            </w:r>
          </w:p>
        </w:tc>
        <w:tc>
          <w:tcPr>
            <w:tcW w:w="4212" w:type="dxa"/>
            <w:vAlign w:val="center"/>
          </w:tcPr>
          <w:p w14:paraId="6BC3E39D" w14:textId="77777777" w:rsidR="00672297" w:rsidRDefault="00A16EA3">
            <w:pPr>
              <w:spacing w:before="20" w:after="20"/>
              <w:jc w:val="left"/>
            </w:pPr>
            <w:r>
              <w:rPr>
                <w:rFonts w:cstheme="minorHAnsi"/>
                <w:sz w:val="20"/>
                <w:szCs w:val="20"/>
              </w:rPr>
              <w:t>VCB_RefineryWide_PowerBI_Read</w:t>
            </w:r>
          </w:p>
        </w:tc>
        <w:tc>
          <w:tcPr>
            <w:tcW w:w="2808" w:type="dxa"/>
            <w:vAlign w:val="center"/>
          </w:tcPr>
          <w:p w14:paraId="54FFECC7" w14:textId="77777777" w:rsidR="00672297" w:rsidRDefault="00A16EA3">
            <w:pPr>
              <w:spacing w:before="20" w:after="20"/>
              <w:jc w:val="left"/>
            </w:pPr>
            <w:r>
              <w:rPr>
                <w:rFonts w:cstheme="minorHAnsi"/>
                <w:sz w:val="20"/>
                <w:szCs w:val="20"/>
              </w:rPr>
              <w:t>Gap RD-02</w:t>
            </w:r>
          </w:p>
        </w:tc>
      </w:tr>
      <w:tr w:rsidR="00672297" w14:paraId="5C40BCCB" w14:textId="77777777">
        <w:trPr>
          <w:cantSplit/>
        </w:trPr>
        <w:tc>
          <w:tcPr>
            <w:tcW w:w="2340" w:type="dxa"/>
            <w:vAlign w:val="center"/>
          </w:tcPr>
          <w:p w14:paraId="13F892FD" w14:textId="77777777" w:rsidR="00672297" w:rsidRDefault="00A16EA3">
            <w:pPr>
              <w:spacing w:before="20" w:after="20"/>
              <w:jc w:val="left"/>
            </w:pPr>
            <w:r>
              <w:rPr>
                <w:rFonts w:cstheme="minorHAnsi"/>
                <w:sz w:val="20"/>
                <w:szCs w:val="20"/>
              </w:rPr>
              <w:t>Blending Potential</w:t>
            </w:r>
          </w:p>
        </w:tc>
        <w:tc>
          <w:tcPr>
            <w:tcW w:w="4212" w:type="dxa"/>
            <w:vAlign w:val="center"/>
          </w:tcPr>
          <w:p w14:paraId="422BAF7A" w14:textId="77777777" w:rsidR="00672297" w:rsidRDefault="00A16EA3">
            <w:pPr>
              <w:spacing w:before="20" w:after="20"/>
              <w:jc w:val="left"/>
            </w:pPr>
            <w:r>
              <w:rPr>
                <w:rFonts w:cstheme="minorHAnsi"/>
                <w:sz w:val="20"/>
                <w:szCs w:val="20"/>
              </w:rPr>
              <w:t>VCB_BlendingPotential_PowerBI_Read</w:t>
            </w:r>
          </w:p>
        </w:tc>
        <w:tc>
          <w:tcPr>
            <w:tcW w:w="2808" w:type="dxa"/>
            <w:vAlign w:val="center"/>
          </w:tcPr>
          <w:p w14:paraId="20F7C4AC" w14:textId="77777777" w:rsidR="00672297" w:rsidRDefault="00A16EA3">
            <w:pPr>
              <w:spacing w:before="20" w:after="20"/>
              <w:jc w:val="left"/>
            </w:pPr>
            <w:r>
              <w:rPr>
                <w:rFonts w:cstheme="minorHAnsi"/>
                <w:sz w:val="20"/>
                <w:szCs w:val="20"/>
              </w:rPr>
              <w:t>Gap RD-02</w:t>
            </w:r>
          </w:p>
        </w:tc>
      </w:tr>
      <w:tr w:rsidR="00672297" w14:paraId="6146E198" w14:textId="77777777">
        <w:trPr>
          <w:cantSplit/>
        </w:trPr>
        <w:tc>
          <w:tcPr>
            <w:tcW w:w="2340" w:type="dxa"/>
            <w:vAlign w:val="center"/>
          </w:tcPr>
          <w:p w14:paraId="3A97AE6F" w14:textId="77777777" w:rsidR="00672297" w:rsidRDefault="00A16EA3">
            <w:pPr>
              <w:spacing w:before="20" w:after="20"/>
              <w:jc w:val="left"/>
            </w:pPr>
            <w:r>
              <w:rPr>
                <w:rFonts w:cstheme="minorHAnsi"/>
                <w:sz w:val="20"/>
                <w:szCs w:val="20"/>
              </w:rPr>
              <w:t>Distillate</w:t>
            </w:r>
          </w:p>
        </w:tc>
        <w:tc>
          <w:tcPr>
            <w:tcW w:w="4212" w:type="dxa"/>
            <w:vAlign w:val="center"/>
          </w:tcPr>
          <w:p w14:paraId="680BA75F" w14:textId="77777777" w:rsidR="00672297" w:rsidRDefault="00A16EA3">
            <w:pPr>
              <w:spacing w:before="20" w:after="20"/>
              <w:jc w:val="left"/>
            </w:pPr>
            <w:r>
              <w:rPr>
                <w:rFonts w:cstheme="minorHAnsi"/>
                <w:sz w:val="20"/>
                <w:szCs w:val="20"/>
              </w:rPr>
              <w:t>VCB_Distillate_PowerBI_Read</w:t>
            </w:r>
          </w:p>
        </w:tc>
        <w:tc>
          <w:tcPr>
            <w:tcW w:w="2808" w:type="dxa"/>
            <w:vAlign w:val="center"/>
          </w:tcPr>
          <w:p w14:paraId="2220D98E" w14:textId="77777777" w:rsidR="00672297" w:rsidRDefault="00A16EA3">
            <w:pPr>
              <w:spacing w:before="20" w:after="20"/>
              <w:jc w:val="left"/>
            </w:pPr>
            <w:r>
              <w:rPr>
                <w:rFonts w:cstheme="minorHAnsi"/>
                <w:sz w:val="20"/>
                <w:szCs w:val="20"/>
              </w:rPr>
              <w:t>Gap RD-02</w:t>
            </w:r>
          </w:p>
        </w:tc>
      </w:tr>
      <w:tr w:rsidR="00672297" w14:paraId="21E257FA" w14:textId="77777777">
        <w:trPr>
          <w:cantSplit/>
        </w:trPr>
        <w:tc>
          <w:tcPr>
            <w:tcW w:w="2340" w:type="dxa"/>
            <w:vAlign w:val="center"/>
          </w:tcPr>
          <w:p w14:paraId="77496938" w14:textId="77777777" w:rsidR="00672297" w:rsidRDefault="00A16EA3">
            <w:pPr>
              <w:spacing w:before="20" w:after="20"/>
              <w:jc w:val="left"/>
            </w:pPr>
            <w:r>
              <w:rPr>
                <w:rFonts w:cstheme="minorHAnsi"/>
                <w:sz w:val="20"/>
                <w:szCs w:val="20"/>
              </w:rPr>
              <w:t>Supply</w:t>
            </w:r>
          </w:p>
        </w:tc>
        <w:tc>
          <w:tcPr>
            <w:tcW w:w="4212" w:type="dxa"/>
            <w:vAlign w:val="center"/>
          </w:tcPr>
          <w:p w14:paraId="565683DA" w14:textId="77777777" w:rsidR="00672297" w:rsidRDefault="00A16EA3">
            <w:pPr>
              <w:spacing w:before="20" w:after="20"/>
              <w:jc w:val="left"/>
            </w:pPr>
            <w:r>
              <w:rPr>
                <w:rFonts w:cstheme="minorHAnsi"/>
                <w:sz w:val="20"/>
                <w:szCs w:val="20"/>
              </w:rPr>
              <w:t>VCB_Supply_PowerBI_Read</w:t>
            </w:r>
          </w:p>
        </w:tc>
        <w:tc>
          <w:tcPr>
            <w:tcW w:w="2808" w:type="dxa"/>
            <w:vAlign w:val="center"/>
          </w:tcPr>
          <w:p w14:paraId="500D1B6F" w14:textId="77777777" w:rsidR="00672297" w:rsidRDefault="00A16EA3">
            <w:pPr>
              <w:spacing w:before="20" w:after="20"/>
              <w:jc w:val="left"/>
            </w:pPr>
            <w:r>
              <w:rPr>
                <w:rFonts w:cstheme="minorHAnsi"/>
                <w:sz w:val="20"/>
                <w:szCs w:val="20"/>
              </w:rPr>
              <w:t>Gap RD-02</w:t>
            </w:r>
          </w:p>
        </w:tc>
      </w:tr>
      <w:tr w:rsidR="00672297" w14:paraId="2E016E16" w14:textId="77777777">
        <w:trPr>
          <w:cantSplit/>
        </w:trPr>
        <w:tc>
          <w:tcPr>
            <w:tcW w:w="2340" w:type="dxa"/>
            <w:vAlign w:val="center"/>
          </w:tcPr>
          <w:p w14:paraId="0355E5D2" w14:textId="77777777" w:rsidR="00672297" w:rsidRDefault="00A16EA3">
            <w:pPr>
              <w:spacing w:before="20" w:after="20"/>
              <w:jc w:val="left"/>
            </w:pPr>
            <w:r>
              <w:rPr>
                <w:rFonts w:cstheme="minorHAnsi"/>
                <w:sz w:val="20"/>
                <w:szCs w:val="20"/>
              </w:rPr>
              <w:t>Gasoline KPI</w:t>
            </w:r>
          </w:p>
        </w:tc>
        <w:tc>
          <w:tcPr>
            <w:tcW w:w="4212" w:type="dxa"/>
            <w:vAlign w:val="center"/>
          </w:tcPr>
          <w:p w14:paraId="115E4E28" w14:textId="77777777" w:rsidR="00672297" w:rsidRDefault="00A16EA3">
            <w:pPr>
              <w:spacing w:before="20" w:after="20"/>
              <w:jc w:val="left"/>
            </w:pPr>
            <w:r>
              <w:rPr>
                <w:rFonts w:cstheme="minorHAnsi"/>
                <w:sz w:val="20"/>
                <w:szCs w:val="20"/>
              </w:rPr>
              <w:t>VCB_GasolineKPI_PowerBI_Read</w:t>
            </w:r>
          </w:p>
        </w:tc>
        <w:tc>
          <w:tcPr>
            <w:tcW w:w="2808" w:type="dxa"/>
            <w:vAlign w:val="center"/>
          </w:tcPr>
          <w:p w14:paraId="69E91617" w14:textId="77777777" w:rsidR="00672297" w:rsidRDefault="00A16EA3">
            <w:pPr>
              <w:spacing w:before="20" w:after="20"/>
              <w:jc w:val="left"/>
            </w:pPr>
            <w:r>
              <w:rPr>
                <w:rFonts w:cstheme="minorHAnsi"/>
                <w:sz w:val="20"/>
                <w:szCs w:val="20"/>
              </w:rPr>
              <w:t>Gap RD-02</w:t>
            </w:r>
          </w:p>
        </w:tc>
      </w:tr>
      <w:tr w:rsidR="00672297" w14:paraId="2A6EF945" w14:textId="77777777">
        <w:trPr>
          <w:cantSplit/>
        </w:trPr>
        <w:tc>
          <w:tcPr>
            <w:tcW w:w="2340" w:type="dxa"/>
            <w:vAlign w:val="center"/>
          </w:tcPr>
          <w:p w14:paraId="07E913E4" w14:textId="77777777" w:rsidR="00672297" w:rsidRDefault="00A16EA3">
            <w:pPr>
              <w:spacing w:before="20" w:after="20"/>
              <w:jc w:val="left"/>
            </w:pPr>
            <w:r>
              <w:rPr>
                <w:rFonts w:cstheme="minorHAnsi"/>
                <w:sz w:val="20"/>
                <w:szCs w:val="20"/>
              </w:rPr>
              <w:t>Distillate KPI</w:t>
            </w:r>
          </w:p>
        </w:tc>
        <w:tc>
          <w:tcPr>
            <w:tcW w:w="4212" w:type="dxa"/>
            <w:vAlign w:val="center"/>
          </w:tcPr>
          <w:p w14:paraId="13ACD9C3" w14:textId="77777777" w:rsidR="00672297" w:rsidRDefault="00A16EA3">
            <w:pPr>
              <w:spacing w:before="20" w:after="20"/>
              <w:jc w:val="left"/>
            </w:pPr>
            <w:r>
              <w:rPr>
                <w:rFonts w:cstheme="minorHAnsi"/>
                <w:sz w:val="20"/>
                <w:szCs w:val="20"/>
              </w:rPr>
              <w:t>VCB_DistillateKPI_PowerBI_Read</w:t>
            </w:r>
          </w:p>
        </w:tc>
        <w:tc>
          <w:tcPr>
            <w:tcW w:w="2808" w:type="dxa"/>
            <w:vAlign w:val="center"/>
          </w:tcPr>
          <w:p w14:paraId="692ACFB3" w14:textId="77777777" w:rsidR="00672297" w:rsidRDefault="00A16EA3">
            <w:pPr>
              <w:spacing w:before="20" w:after="20"/>
              <w:jc w:val="left"/>
            </w:pPr>
            <w:r>
              <w:rPr>
                <w:rFonts w:cstheme="minorHAnsi"/>
                <w:sz w:val="20"/>
                <w:szCs w:val="20"/>
              </w:rPr>
              <w:t>Gap RD-02</w:t>
            </w:r>
          </w:p>
        </w:tc>
      </w:tr>
    </w:tbl>
    <w:p w14:paraId="7E5D8D7A" w14:textId="7B1E598D" w:rsidR="00672297" w:rsidRDefault="00A16EA3">
      <w:pPr>
        <w:pStyle w:val="Caption"/>
      </w:pPr>
      <w:bookmarkStart w:id="783" w:name="_Toc900950192"/>
      <w:bookmarkStart w:id="784" w:name="_Toc241574747"/>
      <w:bookmarkStart w:id="785" w:name="_Toc242554131"/>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58</w:t>
      </w:r>
      <w:r>
        <w:fldChar w:fldCharType="end"/>
      </w:r>
      <w:r>
        <w:t>: Dashboard Level Access</w:t>
      </w:r>
      <w:bookmarkEnd w:id="783"/>
      <w:bookmarkEnd w:id="784"/>
      <w:bookmarkEnd w:id="785"/>
    </w:p>
    <w:p w14:paraId="6609711C" w14:textId="77777777" w:rsidR="00672297" w:rsidRDefault="00A16EA3">
      <w:pPr>
        <w:pStyle w:val="Heading3"/>
        <w:rPr>
          <w:rFonts w:asciiTheme="minorHAnsi" w:hAnsiTheme="minorHAnsi" w:cstheme="minorBidi"/>
          <w:sz w:val="20"/>
          <w:szCs w:val="20"/>
        </w:rPr>
      </w:pPr>
      <w:bookmarkStart w:id="786" w:name="_Toc241574363"/>
      <w:bookmarkStart w:id="787" w:name="_Toc242553985"/>
      <w:r>
        <w:rPr>
          <w:rFonts w:asciiTheme="minorHAnsi" w:hAnsiTheme="minorHAnsi" w:cstheme="minorBidi"/>
          <w:sz w:val="20"/>
          <w:szCs w:val="20"/>
        </w:rPr>
        <w:t>Row-Level Security</w:t>
      </w:r>
      <w:bookmarkEnd w:id="786"/>
      <w:bookmarkEnd w:id="787"/>
    </w:p>
    <w:p w14:paraId="13453FAD" w14:textId="77777777" w:rsidR="00672297" w:rsidRDefault="00A16EA3">
      <w:pPr>
        <w:rPr>
          <w:rFonts w:cstheme="minorHAnsi"/>
          <w:sz w:val="20"/>
          <w:szCs w:val="20"/>
        </w:rPr>
      </w:pPr>
      <w:r>
        <w:rPr>
          <w:rFonts w:cstheme="minorHAnsi"/>
          <w:sz w:val="20"/>
          <w:szCs w:val="20"/>
        </w:rPr>
        <w:t>The provided material does not require restricting data by region, refinery or terminal for any user group: Region, Refinery and Terminal are user filters. No RLS role is therefore defined (gap RD-15). If required later, a role filtering the Region / Destination column of each view against a user-to-location mapping table is added per view.</w:t>
      </w:r>
    </w:p>
    <w:p w14:paraId="62A89707" w14:textId="77777777" w:rsidR="00672297" w:rsidRDefault="00A16EA3">
      <w:pPr>
        <w:pStyle w:val="Heading2"/>
        <w:rPr>
          <w:rFonts w:asciiTheme="minorHAnsi" w:hAnsiTheme="minorHAnsi" w:cstheme="minorBidi"/>
          <w:sz w:val="20"/>
          <w:szCs w:val="20"/>
        </w:rPr>
      </w:pPr>
      <w:bookmarkStart w:id="788" w:name="_Toc241574364"/>
      <w:bookmarkStart w:id="789" w:name="_Toc242553986"/>
      <w:r>
        <w:rPr>
          <w:rFonts w:asciiTheme="minorHAnsi" w:hAnsiTheme="minorHAnsi" w:cstheme="minorBidi"/>
          <w:sz w:val="20"/>
          <w:szCs w:val="20"/>
        </w:rPr>
        <w:t>Performance Optimization</w:t>
      </w:r>
      <w:bookmarkEnd w:id="788"/>
      <w:bookmarkEnd w:id="789"/>
    </w:p>
    <w:p w14:paraId="78B6D6CF"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Star schema with single-direction relationships; business logic in the SQL views, not in calculated columns.</w:t>
      </w:r>
    </w:p>
    <w:p w14:paraId="195BB94A"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Measures preferred over calculated columns; only the needed columns of each view are imported.</w:t>
      </w:r>
    </w:p>
    <w:p w14:paraId="6EE0098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Reporting views filter to the North Region and to the retained history before import; indexes on the VCB tables per chapter 3.</w:t>
      </w:r>
    </w:p>
    <w:p w14:paraId="23DB2C8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Aggregations at terminal / component / day level in the reporting views for the Supply and Gasoline KPI facts.</w:t>
      </w:r>
    </w:p>
    <w:p w14:paraId="2A473964"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Target: page render under 5 seconds with the default filters (to be confirmed in performance testing).</w:t>
      </w:r>
    </w:p>
    <w:p w14:paraId="097173B8" w14:textId="77777777" w:rsidR="00672297" w:rsidRDefault="00A16EA3">
      <w:pPr>
        <w:pStyle w:val="Heading2"/>
        <w:rPr>
          <w:rFonts w:asciiTheme="minorHAnsi" w:hAnsiTheme="minorHAnsi" w:cstheme="minorBidi"/>
          <w:sz w:val="20"/>
          <w:szCs w:val="20"/>
        </w:rPr>
      </w:pPr>
      <w:bookmarkStart w:id="790" w:name="_Toc241574365"/>
      <w:bookmarkStart w:id="791" w:name="_Toc242553987"/>
      <w:r>
        <w:rPr>
          <w:rFonts w:asciiTheme="minorHAnsi" w:hAnsiTheme="minorHAnsi" w:cstheme="minorBidi"/>
          <w:sz w:val="20"/>
          <w:szCs w:val="20"/>
        </w:rPr>
        <w:t>Report Refresh Strategy</w:t>
      </w:r>
      <w:bookmarkEnd w:id="790"/>
      <w:bookmarkEnd w:id="791"/>
    </w:p>
    <w:tbl>
      <w:tblPr>
        <w:tblStyle w:val="TableGrid"/>
        <w:tblW w:w="9360" w:type="dxa"/>
        <w:tblLayout w:type="fixed"/>
        <w:tblCellMar>
          <w:left w:w="70" w:type="dxa"/>
          <w:right w:w="70" w:type="dxa"/>
        </w:tblCellMar>
        <w:tblLook w:val="04A0" w:firstRow="1" w:lastRow="0" w:firstColumn="1" w:lastColumn="0" w:noHBand="0" w:noVBand="1"/>
      </w:tblPr>
      <w:tblGrid>
        <w:gridCol w:w="2059"/>
        <w:gridCol w:w="7301"/>
      </w:tblGrid>
      <w:tr w:rsidR="00672297" w14:paraId="6A417BF9" w14:textId="77777777">
        <w:trPr>
          <w:cantSplit/>
          <w:tblHeader/>
        </w:trPr>
        <w:tc>
          <w:tcPr>
            <w:tcW w:w="2059" w:type="dxa"/>
            <w:shd w:val="clear" w:color="auto" w:fill="2F5496"/>
            <w:vAlign w:val="center"/>
          </w:tcPr>
          <w:p w14:paraId="60710AC5" w14:textId="77777777" w:rsidR="00672297" w:rsidRDefault="00A16EA3">
            <w:pPr>
              <w:spacing w:before="20" w:after="20"/>
              <w:jc w:val="left"/>
            </w:pPr>
            <w:r>
              <w:rPr>
                <w:rFonts w:cstheme="minorHAnsi"/>
                <w:b/>
                <w:bCs/>
                <w:color w:val="FFFFFF"/>
                <w:sz w:val="20"/>
                <w:szCs w:val="20"/>
              </w:rPr>
              <w:t>Type</w:t>
            </w:r>
          </w:p>
        </w:tc>
        <w:tc>
          <w:tcPr>
            <w:tcW w:w="7301" w:type="dxa"/>
            <w:shd w:val="clear" w:color="auto" w:fill="2F5496"/>
            <w:vAlign w:val="center"/>
          </w:tcPr>
          <w:p w14:paraId="6BB718DB" w14:textId="77777777" w:rsidR="00672297" w:rsidRDefault="00A16EA3">
            <w:pPr>
              <w:spacing w:before="20" w:after="20"/>
              <w:jc w:val="left"/>
            </w:pPr>
            <w:r>
              <w:rPr>
                <w:rFonts w:cstheme="minorHAnsi"/>
                <w:b/>
                <w:bCs/>
                <w:color w:val="FFFFFF"/>
                <w:sz w:val="20"/>
                <w:szCs w:val="20"/>
              </w:rPr>
              <w:t>Details</w:t>
            </w:r>
          </w:p>
        </w:tc>
      </w:tr>
      <w:tr w:rsidR="00672297" w14:paraId="5C3B0924" w14:textId="77777777">
        <w:trPr>
          <w:cantSplit/>
        </w:trPr>
        <w:tc>
          <w:tcPr>
            <w:tcW w:w="2059" w:type="dxa"/>
            <w:vAlign w:val="center"/>
          </w:tcPr>
          <w:p w14:paraId="6D3DE761" w14:textId="77777777" w:rsidR="00672297" w:rsidRDefault="00A16EA3">
            <w:pPr>
              <w:spacing w:before="20" w:after="20"/>
              <w:jc w:val="left"/>
            </w:pPr>
            <w:r>
              <w:rPr>
                <w:rFonts w:cstheme="minorHAnsi"/>
                <w:sz w:val="20"/>
                <w:szCs w:val="20"/>
              </w:rPr>
              <w:t>Refresh Mode</w:t>
            </w:r>
          </w:p>
        </w:tc>
        <w:tc>
          <w:tcPr>
            <w:tcW w:w="7301" w:type="dxa"/>
            <w:vAlign w:val="center"/>
          </w:tcPr>
          <w:p w14:paraId="7AE271F7" w14:textId="77777777" w:rsidR="00672297" w:rsidRDefault="00A16EA3">
            <w:pPr>
              <w:spacing w:before="20" w:after="20"/>
              <w:jc w:val="left"/>
            </w:pPr>
            <w:r>
              <w:rPr>
                <w:rFonts w:cstheme="minorHAnsi"/>
                <w:sz w:val="20"/>
                <w:szCs w:val="20"/>
              </w:rPr>
              <w:t>Scheduled refresh of the Import semantic model through the on-premises data gateway (IQDM views) and the MPR API call (MPR_Price)</w:t>
            </w:r>
          </w:p>
        </w:tc>
      </w:tr>
      <w:tr w:rsidR="00672297" w14:paraId="08D21D13" w14:textId="77777777">
        <w:trPr>
          <w:cantSplit/>
        </w:trPr>
        <w:tc>
          <w:tcPr>
            <w:tcW w:w="2059" w:type="dxa"/>
            <w:vAlign w:val="center"/>
          </w:tcPr>
          <w:p w14:paraId="5FDA8005" w14:textId="77777777" w:rsidR="00672297" w:rsidRDefault="00A16EA3">
            <w:pPr>
              <w:spacing w:before="20" w:after="20"/>
              <w:jc w:val="left"/>
            </w:pPr>
            <w:r>
              <w:rPr>
                <w:rFonts w:cstheme="minorHAnsi"/>
                <w:sz w:val="20"/>
                <w:szCs w:val="20"/>
              </w:rPr>
              <w:t>Frequency</w:t>
            </w:r>
          </w:p>
        </w:tc>
        <w:tc>
          <w:tcPr>
            <w:tcW w:w="7301" w:type="dxa"/>
            <w:vAlign w:val="center"/>
          </w:tcPr>
          <w:p w14:paraId="5C6E26C4" w14:textId="4F6C1F3D" w:rsidR="00672297" w:rsidRDefault="00A16EA3">
            <w:pPr>
              <w:spacing w:before="20" w:after="20"/>
              <w:jc w:val="left"/>
            </w:pPr>
            <w:r>
              <w:rPr>
                <w:rFonts w:cstheme="minorHAnsi"/>
                <w:sz w:val="20"/>
                <w:szCs w:val="20"/>
              </w:rPr>
              <w:t xml:space="preserve">Daily, </w:t>
            </w:r>
            <w:r w:rsidR="000A106D">
              <w:rPr>
                <w:rFonts w:cstheme="minorHAnsi"/>
                <w:sz w:val="20"/>
                <w:szCs w:val="20"/>
              </w:rPr>
              <w:t>after the IQDM interface and VCB integration loads</w:t>
            </w:r>
            <w:r>
              <w:rPr>
                <w:rFonts w:cstheme="minorHAnsi"/>
                <w:sz w:val="20"/>
                <w:szCs w:val="20"/>
              </w:rPr>
              <w:t>; the time is not yet set (gaps RD-03 and DP-17)</w:t>
            </w:r>
          </w:p>
        </w:tc>
      </w:tr>
      <w:tr w:rsidR="00672297" w14:paraId="337D1281" w14:textId="77777777">
        <w:trPr>
          <w:cantSplit/>
        </w:trPr>
        <w:tc>
          <w:tcPr>
            <w:tcW w:w="2059" w:type="dxa"/>
            <w:vAlign w:val="center"/>
          </w:tcPr>
          <w:p w14:paraId="7FB21CA4" w14:textId="77777777" w:rsidR="00672297" w:rsidRDefault="00A16EA3">
            <w:pPr>
              <w:spacing w:before="20" w:after="20"/>
              <w:jc w:val="left"/>
            </w:pPr>
            <w:r>
              <w:rPr>
                <w:rFonts w:cstheme="minorHAnsi"/>
                <w:sz w:val="20"/>
                <w:szCs w:val="20"/>
              </w:rPr>
              <w:t>Dependencies</w:t>
            </w:r>
          </w:p>
        </w:tc>
        <w:tc>
          <w:tcPr>
            <w:tcW w:w="7301" w:type="dxa"/>
            <w:vAlign w:val="center"/>
          </w:tcPr>
          <w:p w14:paraId="6F01CF5D" w14:textId="77777777" w:rsidR="00672297" w:rsidRDefault="00A16EA3">
            <w:pPr>
              <w:spacing w:before="20" w:after="20"/>
              <w:jc w:val="left"/>
            </w:pPr>
            <w:r>
              <w:rPr>
                <w:rFonts w:cstheme="minorHAnsi"/>
                <w:sz w:val="20"/>
                <w:szCs w:val="20"/>
              </w:rPr>
              <w:t>IQDM loads of transfer_detail, quality_detail and inventory_detail; VCB PIAF and transaction upload loads; blend calculator load (gap DP-07); database-team loads of specifications and reference data; availability of the MPR API</w:t>
            </w:r>
          </w:p>
        </w:tc>
      </w:tr>
      <w:tr w:rsidR="00672297" w14:paraId="662D0FD2" w14:textId="77777777">
        <w:trPr>
          <w:cantSplit/>
        </w:trPr>
        <w:tc>
          <w:tcPr>
            <w:tcW w:w="2059" w:type="dxa"/>
            <w:vAlign w:val="center"/>
          </w:tcPr>
          <w:p w14:paraId="603BB21B" w14:textId="77777777" w:rsidR="00672297" w:rsidRDefault="00A16EA3">
            <w:pPr>
              <w:spacing w:before="20" w:after="20"/>
              <w:jc w:val="left"/>
            </w:pPr>
            <w:r>
              <w:rPr>
                <w:rFonts w:cstheme="minorHAnsi"/>
                <w:sz w:val="20"/>
                <w:szCs w:val="20"/>
              </w:rPr>
              <w:t>MPR prices</w:t>
            </w:r>
          </w:p>
        </w:tc>
        <w:tc>
          <w:tcPr>
            <w:tcW w:w="7301" w:type="dxa"/>
            <w:vAlign w:val="center"/>
          </w:tcPr>
          <w:p w14:paraId="6D2CAE71" w14:textId="77777777" w:rsidR="00672297" w:rsidRDefault="00A16EA3">
            <w:pPr>
              <w:spacing w:before="20" w:after="20"/>
              <w:jc w:val="left"/>
            </w:pPr>
            <w:r>
              <w:rPr>
                <w:rFonts w:cstheme="minorHAnsi"/>
                <w:sz w:val="20"/>
                <w:szCs w:val="20"/>
              </w:rPr>
              <w:t>Fetched from the MPR API at each refresh and stored in MPR_Price in the semantic model only (not in IQDM); the period requested is set by pPriceStartDate / pPriceEndDate (gap RD-01)</w:t>
            </w:r>
          </w:p>
        </w:tc>
      </w:tr>
      <w:tr w:rsidR="00672297" w14:paraId="19C18DC6" w14:textId="77777777">
        <w:trPr>
          <w:cantSplit/>
        </w:trPr>
        <w:tc>
          <w:tcPr>
            <w:tcW w:w="2059" w:type="dxa"/>
            <w:vAlign w:val="center"/>
          </w:tcPr>
          <w:p w14:paraId="69C4E558" w14:textId="77777777" w:rsidR="00672297" w:rsidRDefault="00A16EA3">
            <w:pPr>
              <w:spacing w:before="20" w:after="20"/>
              <w:jc w:val="left"/>
            </w:pPr>
            <w:r>
              <w:rPr>
                <w:rFonts w:cstheme="minorHAnsi"/>
                <w:sz w:val="20"/>
                <w:szCs w:val="20"/>
              </w:rPr>
              <w:t>Failure handling</w:t>
            </w:r>
          </w:p>
        </w:tc>
        <w:tc>
          <w:tcPr>
            <w:tcW w:w="7301" w:type="dxa"/>
            <w:vAlign w:val="center"/>
          </w:tcPr>
          <w:p w14:paraId="419F5D0D" w14:textId="77777777" w:rsidR="00672297" w:rsidRDefault="00A16EA3">
            <w:pPr>
              <w:spacing w:before="20" w:after="20"/>
              <w:jc w:val="left"/>
            </w:pPr>
            <w:r>
              <w:rPr>
                <w:rFonts w:cstheme="minorHAnsi"/>
                <w:sz w:val="20"/>
                <w:szCs w:val="20"/>
              </w:rPr>
              <w:t>Refresh failure e-mail to the dataset owner; the Last Refresh card shows the timestamp of the last successful refresh</w:t>
            </w:r>
          </w:p>
        </w:tc>
      </w:tr>
    </w:tbl>
    <w:p w14:paraId="3168946F" w14:textId="7C686BBF" w:rsidR="00672297" w:rsidRDefault="00A16EA3">
      <w:pPr>
        <w:pStyle w:val="Caption"/>
      </w:pPr>
      <w:bookmarkStart w:id="792" w:name="_Toc900950196"/>
      <w:bookmarkStart w:id="793" w:name="_Toc241574748"/>
      <w:bookmarkStart w:id="794" w:name="_Toc242554132"/>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59</w:t>
      </w:r>
      <w:r>
        <w:fldChar w:fldCharType="end"/>
      </w:r>
      <w:r>
        <w:t>: Report Refresh Strategy</w:t>
      </w:r>
      <w:bookmarkEnd w:id="792"/>
      <w:bookmarkEnd w:id="793"/>
      <w:bookmarkEnd w:id="794"/>
    </w:p>
    <w:p w14:paraId="1413464F" w14:textId="77777777" w:rsidR="00672297" w:rsidRDefault="00A16EA3">
      <w:pPr>
        <w:pStyle w:val="Heading2"/>
        <w:rPr>
          <w:rFonts w:asciiTheme="minorHAnsi" w:hAnsiTheme="minorHAnsi" w:cstheme="minorBidi"/>
          <w:sz w:val="20"/>
          <w:szCs w:val="20"/>
        </w:rPr>
      </w:pPr>
      <w:bookmarkStart w:id="795" w:name="_Toc241574366"/>
      <w:bookmarkStart w:id="796" w:name="_Toc242553988"/>
      <w:r>
        <w:rPr>
          <w:rFonts w:asciiTheme="minorHAnsi" w:hAnsiTheme="minorHAnsi" w:cstheme="minorBidi"/>
          <w:sz w:val="20"/>
          <w:szCs w:val="20"/>
        </w:rPr>
        <w:t>Deployment &amp; Release Management</w:t>
      </w:r>
      <w:bookmarkEnd w:id="795"/>
      <w:bookmarkEnd w:id="796"/>
    </w:p>
    <w:p w14:paraId="427D1253" w14:textId="77777777" w:rsidR="00672297" w:rsidRDefault="00A16EA3">
      <w:pPr>
        <w:pStyle w:val="Heading3"/>
        <w:rPr>
          <w:rFonts w:asciiTheme="minorHAnsi" w:hAnsiTheme="minorHAnsi" w:cstheme="minorBidi"/>
          <w:sz w:val="20"/>
          <w:szCs w:val="20"/>
        </w:rPr>
      </w:pPr>
      <w:bookmarkStart w:id="797" w:name="_Toc241574367"/>
      <w:bookmarkStart w:id="798" w:name="_Toc242553989"/>
      <w:r>
        <w:rPr>
          <w:rFonts w:asciiTheme="minorHAnsi" w:hAnsiTheme="minorHAnsi" w:cstheme="minorBidi"/>
          <w:sz w:val="20"/>
          <w:szCs w:val="20"/>
        </w:rPr>
        <w:t>Environments</w:t>
      </w:r>
      <w:bookmarkEnd w:id="797"/>
      <w:bookmarkEnd w:id="798"/>
    </w:p>
    <w:p w14:paraId="5334DAE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Development (DEV - iqdmdev)</w:t>
      </w:r>
    </w:p>
    <w:p w14:paraId="2DBDFD0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QA (iqdmqa)</w:t>
      </w:r>
    </w:p>
    <w:p w14:paraId="6CA1933E"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UAT (database: gap DP-01)</w:t>
      </w:r>
    </w:p>
    <w:p w14:paraId="0D9AA238"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Production (database: gap DP-01)</w:t>
      </w:r>
    </w:p>
    <w:p w14:paraId="004DF904" w14:textId="77777777" w:rsidR="00672297" w:rsidRDefault="00A16EA3">
      <w:pPr>
        <w:pStyle w:val="Heading3"/>
        <w:rPr>
          <w:rFonts w:asciiTheme="minorHAnsi" w:hAnsiTheme="minorHAnsi" w:cstheme="minorBidi"/>
          <w:sz w:val="20"/>
          <w:szCs w:val="20"/>
        </w:rPr>
      </w:pPr>
      <w:bookmarkStart w:id="799" w:name="_Toc241574368"/>
      <w:bookmarkStart w:id="800" w:name="_Toc242553990"/>
      <w:r>
        <w:rPr>
          <w:rFonts w:asciiTheme="minorHAnsi" w:hAnsiTheme="minorHAnsi" w:cstheme="minorBidi"/>
          <w:sz w:val="20"/>
          <w:szCs w:val="20"/>
        </w:rPr>
        <w:t>Deployment Method</w:t>
      </w:r>
      <w:bookmarkEnd w:id="799"/>
      <w:bookmarkEnd w:id="800"/>
    </w:p>
    <w:p w14:paraId="4A56CA8C"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Power BI deployment pipelines (DEV &gt; QA &gt; UAT &gt; PROD) with deployment rules on the pServer / pDatabase parameters, if the workspace is on Premium / Fabric capacity (gap RD-14).</w:t>
      </w:r>
    </w:p>
    <w:p w14:paraId="7EA52A42" w14:textId="77777777" w:rsidR="00672297" w:rsidRDefault="00A16EA3" w:rsidP="00652CF3">
      <w:pPr>
        <w:pStyle w:val="ListParagraph"/>
        <w:numPr>
          <w:ilvl w:val="0"/>
          <w:numId w:val="5"/>
        </w:numPr>
        <w:jc w:val="left"/>
        <w:rPr>
          <w:rFonts w:cstheme="minorHAnsi"/>
          <w:sz w:val="20"/>
          <w:szCs w:val="20"/>
        </w:rPr>
      </w:pPr>
      <w:r>
        <w:rPr>
          <w:rFonts w:cstheme="minorHAnsi"/>
          <w:sz w:val="20"/>
          <w:szCs w:val="20"/>
        </w:rPr>
        <w:t>Otherwise manual publish from Power BI Desktop to each environment workspace, with the parameters changed before publishing.</w:t>
      </w:r>
    </w:p>
    <w:p w14:paraId="2153268E" w14:textId="77777777" w:rsidR="00672297" w:rsidRDefault="00A16EA3">
      <w:pPr>
        <w:pStyle w:val="Heading2"/>
        <w:rPr>
          <w:rFonts w:asciiTheme="minorHAnsi" w:hAnsiTheme="minorHAnsi" w:cstheme="minorBidi"/>
          <w:sz w:val="20"/>
          <w:szCs w:val="20"/>
        </w:rPr>
      </w:pPr>
      <w:bookmarkStart w:id="801" w:name="_Toc241574369"/>
      <w:bookmarkStart w:id="802" w:name="_Toc242553991"/>
      <w:r>
        <w:rPr>
          <w:rFonts w:asciiTheme="minorHAnsi" w:hAnsiTheme="minorHAnsi" w:cstheme="minorBidi"/>
          <w:sz w:val="20"/>
          <w:szCs w:val="20"/>
        </w:rPr>
        <w:t>Testing &amp; Validation</w:t>
      </w:r>
      <w:bookmarkEnd w:id="801"/>
      <w:bookmarkEnd w:id="802"/>
    </w:p>
    <w:tbl>
      <w:tblPr>
        <w:tblStyle w:val="TableGrid"/>
        <w:tblW w:w="9360" w:type="dxa"/>
        <w:tblLayout w:type="fixed"/>
        <w:tblCellMar>
          <w:left w:w="70" w:type="dxa"/>
          <w:right w:w="70" w:type="dxa"/>
        </w:tblCellMar>
        <w:tblLook w:val="04A0" w:firstRow="1" w:lastRow="0" w:firstColumn="1" w:lastColumn="0" w:noHBand="0" w:noVBand="1"/>
      </w:tblPr>
      <w:tblGrid>
        <w:gridCol w:w="2059"/>
        <w:gridCol w:w="7301"/>
      </w:tblGrid>
      <w:tr w:rsidR="00672297" w14:paraId="23087B84" w14:textId="77777777">
        <w:trPr>
          <w:cantSplit/>
          <w:tblHeader/>
        </w:trPr>
        <w:tc>
          <w:tcPr>
            <w:tcW w:w="2059" w:type="dxa"/>
            <w:shd w:val="clear" w:color="auto" w:fill="2F5496"/>
            <w:vAlign w:val="center"/>
          </w:tcPr>
          <w:p w14:paraId="0DFAE3BD" w14:textId="77777777" w:rsidR="00672297" w:rsidRDefault="00A16EA3">
            <w:pPr>
              <w:spacing w:before="20" w:after="20"/>
              <w:jc w:val="left"/>
            </w:pPr>
            <w:r>
              <w:rPr>
                <w:rFonts w:cstheme="minorHAnsi"/>
                <w:b/>
                <w:bCs/>
                <w:color w:val="FFFFFF"/>
                <w:sz w:val="20"/>
                <w:szCs w:val="20"/>
              </w:rPr>
              <w:t>Test Type</w:t>
            </w:r>
          </w:p>
        </w:tc>
        <w:tc>
          <w:tcPr>
            <w:tcW w:w="7301" w:type="dxa"/>
            <w:shd w:val="clear" w:color="auto" w:fill="2F5496"/>
            <w:vAlign w:val="center"/>
          </w:tcPr>
          <w:p w14:paraId="6CFF8E71" w14:textId="77777777" w:rsidR="00672297" w:rsidRDefault="00A16EA3">
            <w:pPr>
              <w:spacing w:before="20" w:after="20"/>
              <w:jc w:val="left"/>
            </w:pPr>
            <w:r>
              <w:rPr>
                <w:rFonts w:cstheme="minorHAnsi"/>
                <w:b/>
                <w:bCs/>
                <w:color w:val="FFFFFF"/>
                <w:sz w:val="20"/>
                <w:szCs w:val="20"/>
              </w:rPr>
              <w:t>Description</w:t>
            </w:r>
          </w:p>
        </w:tc>
      </w:tr>
      <w:tr w:rsidR="00672297" w14:paraId="4F8B4D66" w14:textId="77777777">
        <w:trPr>
          <w:cantSplit/>
        </w:trPr>
        <w:tc>
          <w:tcPr>
            <w:tcW w:w="2059" w:type="dxa"/>
            <w:vAlign w:val="center"/>
          </w:tcPr>
          <w:p w14:paraId="1777312D" w14:textId="77777777" w:rsidR="00672297" w:rsidRDefault="00A16EA3">
            <w:pPr>
              <w:spacing w:before="20" w:after="20"/>
              <w:jc w:val="left"/>
            </w:pPr>
            <w:r>
              <w:rPr>
                <w:rFonts w:cstheme="minorHAnsi"/>
                <w:sz w:val="20"/>
                <w:szCs w:val="20"/>
              </w:rPr>
              <w:t>Data Validation</w:t>
            </w:r>
          </w:p>
        </w:tc>
        <w:tc>
          <w:tcPr>
            <w:tcW w:w="7301" w:type="dxa"/>
            <w:vAlign w:val="center"/>
          </w:tcPr>
          <w:p w14:paraId="52A643FE" w14:textId="77777777" w:rsidR="00672297" w:rsidRDefault="00A16EA3">
            <w:pPr>
              <w:spacing w:before="20" w:after="20"/>
              <w:jc w:val="left"/>
            </w:pPr>
            <w:r>
              <w:rPr>
                <w:rFonts w:cstheme="minorHAnsi"/>
                <w:sz w:val="20"/>
                <w:szCs w:val="20"/>
              </w:rPr>
              <w:t>Source vs Power BI: batch counts and volumes per terminal and status against transfer_detail; quality actuals and spec limits against quality_detail and product_specification.</w:t>
            </w:r>
          </w:p>
        </w:tc>
      </w:tr>
      <w:tr w:rsidR="00672297" w14:paraId="528E8A6B" w14:textId="77777777">
        <w:trPr>
          <w:cantSplit/>
        </w:trPr>
        <w:tc>
          <w:tcPr>
            <w:tcW w:w="2059" w:type="dxa"/>
            <w:vAlign w:val="center"/>
          </w:tcPr>
          <w:p w14:paraId="2E253200" w14:textId="77777777" w:rsidR="00672297" w:rsidRDefault="00A16EA3">
            <w:pPr>
              <w:spacing w:before="20" w:after="20"/>
              <w:jc w:val="left"/>
            </w:pPr>
            <w:r>
              <w:rPr>
                <w:rFonts w:cstheme="minorHAnsi"/>
                <w:sz w:val="20"/>
                <w:szCs w:val="20"/>
              </w:rPr>
              <w:t>Calculation Validation</w:t>
            </w:r>
          </w:p>
        </w:tc>
        <w:tc>
          <w:tcPr>
            <w:tcW w:w="7301" w:type="dxa"/>
            <w:vAlign w:val="center"/>
          </w:tcPr>
          <w:p w14:paraId="63FBEBB6" w14:textId="77777777" w:rsidR="00672297" w:rsidRDefault="00A16EA3">
            <w:pPr>
              <w:spacing w:before="20" w:after="20"/>
              <w:jc w:val="left"/>
            </w:pPr>
            <w:r>
              <w:rPr>
                <w:rFonts w:cstheme="minorHAnsi"/>
                <w:sz w:val="20"/>
                <w:szCs w:val="20"/>
              </w:rPr>
              <w:t>KPIs reproduced from the Wireframes Mock Data formulas: blend potential totals and volume expansion; post-blend octane; supply net gap, recommended action and daily roll-forward; gasoline volume and value loss with the Sheet1 differentials; distillate give-away Δ and value loss.</w:t>
            </w:r>
          </w:p>
        </w:tc>
      </w:tr>
      <w:tr w:rsidR="00672297" w14:paraId="5EB00D68" w14:textId="77777777">
        <w:trPr>
          <w:cantSplit/>
        </w:trPr>
        <w:tc>
          <w:tcPr>
            <w:tcW w:w="2059" w:type="dxa"/>
            <w:vAlign w:val="center"/>
          </w:tcPr>
          <w:p w14:paraId="41611AE4" w14:textId="77777777" w:rsidR="00672297" w:rsidRDefault="00A16EA3">
            <w:pPr>
              <w:spacing w:before="20" w:after="20"/>
              <w:jc w:val="left"/>
            </w:pPr>
            <w:r>
              <w:rPr>
                <w:rFonts w:cstheme="minorHAnsi"/>
                <w:sz w:val="20"/>
                <w:szCs w:val="20"/>
              </w:rPr>
              <w:t>Specification Resolution</w:t>
            </w:r>
          </w:p>
        </w:tc>
        <w:tc>
          <w:tcPr>
            <w:tcW w:w="7301" w:type="dxa"/>
            <w:vAlign w:val="center"/>
          </w:tcPr>
          <w:p w14:paraId="45516582" w14:textId="77777777" w:rsidR="00672297" w:rsidRDefault="00A16EA3">
            <w:pPr>
              <w:spacing w:before="20" w:after="20"/>
              <w:jc w:val="left"/>
            </w:pPr>
            <w:r>
              <w:rPr>
                <w:rFonts w:cstheme="minorHAnsi"/>
                <w:sz w:val="20"/>
                <w:szCs w:val="20"/>
              </w:rPr>
              <w:t>Stage 1, Stage 2 and waiver precedence tested with batches of each refinery / state / terminal combination.</w:t>
            </w:r>
          </w:p>
        </w:tc>
      </w:tr>
      <w:tr w:rsidR="00672297" w14:paraId="439455CE" w14:textId="77777777">
        <w:trPr>
          <w:cantSplit/>
        </w:trPr>
        <w:tc>
          <w:tcPr>
            <w:tcW w:w="2059" w:type="dxa"/>
            <w:vAlign w:val="center"/>
          </w:tcPr>
          <w:p w14:paraId="22FF3F2D" w14:textId="77777777" w:rsidR="00672297" w:rsidRDefault="00A16EA3">
            <w:pPr>
              <w:spacing w:before="20" w:after="20"/>
              <w:jc w:val="left"/>
            </w:pPr>
            <w:r>
              <w:rPr>
                <w:rFonts w:cstheme="minorHAnsi"/>
                <w:sz w:val="20"/>
                <w:szCs w:val="20"/>
              </w:rPr>
              <w:t>Security Testing</w:t>
            </w:r>
          </w:p>
        </w:tc>
        <w:tc>
          <w:tcPr>
            <w:tcW w:w="7301" w:type="dxa"/>
            <w:vAlign w:val="center"/>
          </w:tcPr>
          <w:p w14:paraId="35276682" w14:textId="77777777" w:rsidR="00672297" w:rsidRDefault="00A16EA3">
            <w:pPr>
              <w:spacing w:before="20" w:after="20"/>
              <w:jc w:val="left"/>
            </w:pPr>
            <w:r>
              <w:rPr>
                <w:rFonts w:cstheme="minorHAnsi"/>
                <w:sz w:val="20"/>
                <w:szCs w:val="20"/>
              </w:rPr>
              <w:t>Dashboard access per AD group / app audience.</w:t>
            </w:r>
          </w:p>
        </w:tc>
      </w:tr>
      <w:tr w:rsidR="00672297" w14:paraId="40B7FF0B" w14:textId="77777777">
        <w:trPr>
          <w:cantSplit/>
        </w:trPr>
        <w:tc>
          <w:tcPr>
            <w:tcW w:w="2059" w:type="dxa"/>
            <w:vAlign w:val="center"/>
          </w:tcPr>
          <w:p w14:paraId="2CAC8BBD" w14:textId="77777777" w:rsidR="00672297" w:rsidRDefault="00A16EA3">
            <w:pPr>
              <w:spacing w:before="20" w:after="20"/>
              <w:jc w:val="left"/>
            </w:pPr>
            <w:r>
              <w:rPr>
                <w:rFonts w:cstheme="minorHAnsi"/>
                <w:sz w:val="20"/>
                <w:szCs w:val="20"/>
              </w:rPr>
              <w:t>Performance</w:t>
            </w:r>
          </w:p>
        </w:tc>
        <w:tc>
          <w:tcPr>
            <w:tcW w:w="7301" w:type="dxa"/>
            <w:vAlign w:val="center"/>
          </w:tcPr>
          <w:p w14:paraId="7279AB92" w14:textId="77777777" w:rsidR="00672297" w:rsidRDefault="00A16EA3">
            <w:pPr>
              <w:spacing w:before="20" w:after="20"/>
              <w:jc w:val="left"/>
            </w:pPr>
            <w:r>
              <w:rPr>
                <w:rFonts w:cstheme="minorHAnsi"/>
                <w:sz w:val="20"/>
                <w:szCs w:val="20"/>
              </w:rPr>
              <w:t>Load time and visual response with the default filters and with the full history.</w:t>
            </w:r>
          </w:p>
        </w:tc>
      </w:tr>
      <w:tr w:rsidR="00672297" w14:paraId="2E91139C" w14:textId="77777777">
        <w:trPr>
          <w:cantSplit/>
        </w:trPr>
        <w:tc>
          <w:tcPr>
            <w:tcW w:w="2059" w:type="dxa"/>
            <w:vAlign w:val="center"/>
          </w:tcPr>
          <w:p w14:paraId="6DC01E56" w14:textId="77777777" w:rsidR="00672297" w:rsidRDefault="00A16EA3">
            <w:pPr>
              <w:spacing w:before="20" w:after="20"/>
              <w:jc w:val="left"/>
            </w:pPr>
            <w:r>
              <w:rPr>
                <w:rFonts w:cstheme="minorHAnsi"/>
                <w:sz w:val="20"/>
                <w:szCs w:val="20"/>
              </w:rPr>
              <w:t>Refresh</w:t>
            </w:r>
          </w:p>
        </w:tc>
        <w:tc>
          <w:tcPr>
            <w:tcW w:w="7301" w:type="dxa"/>
            <w:vAlign w:val="center"/>
          </w:tcPr>
          <w:p w14:paraId="7E58C52C" w14:textId="77777777" w:rsidR="00672297" w:rsidRDefault="00A16EA3">
            <w:pPr>
              <w:spacing w:before="20" w:after="20"/>
              <w:jc w:val="left"/>
            </w:pPr>
            <w:r>
              <w:rPr>
                <w:rFonts w:cstheme="minorHAnsi"/>
                <w:sz w:val="20"/>
                <w:szCs w:val="20"/>
              </w:rPr>
              <w:t>Scheduled refresh succeeds after the interface loads; Last Refresh shows the new timestamp.</w:t>
            </w:r>
          </w:p>
        </w:tc>
      </w:tr>
    </w:tbl>
    <w:p w14:paraId="0EAA0D6F" w14:textId="7E71C8B5" w:rsidR="00672297" w:rsidRDefault="00A16EA3">
      <w:pPr>
        <w:pStyle w:val="Caption"/>
      </w:pPr>
      <w:bookmarkStart w:id="803" w:name="_Toc900950201"/>
      <w:bookmarkStart w:id="804" w:name="_Toc241574749"/>
      <w:bookmarkStart w:id="805" w:name="_Toc242554133"/>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60</w:t>
      </w:r>
      <w:r>
        <w:fldChar w:fldCharType="end"/>
      </w:r>
      <w:r>
        <w:t>: Testing and Validation</w:t>
      </w:r>
      <w:bookmarkEnd w:id="803"/>
      <w:bookmarkEnd w:id="804"/>
      <w:bookmarkEnd w:id="805"/>
    </w:p>
    <w:p w14:paraId="2CD212EC" w14:textId="77777777" w:rsidR="00672297" w:rsidRDefault="00A16EA3">
      <w:pPr>
        <w:pStyle w:val="Heading2"/>
        <w:rPr>
          <w:rFonts w:asciiTheme="minorHAnsi" w:hAnsiTheme="minorHAnsi" w:cstheme="minorBidi"/>
          <w:sz w:val="20"/>
          <w:szCs w:val="20"/>
        </w:rPr>
      </w:pPr>
      <w:bookmarkStart w:id="806" w:name="_Toc241574370"/>
      <w:bookmarkStart w:id="807" w:name="_Toc242553992"/>
      <w:r>
        <w:rPr>
          <w:rFonts w:asciiTheme="minorHAnsi" w:hAnsiTheme="minorHAnsi" w:cstheme="minorBidi"/>
          <w:sz w:val="20"/>
          <w:szCs w:val="20"/>
        </w:rPr>
        <w:t>Reports and Dashboards Gaps Requiring Confirmation</w:t>
      </w:r>
      <w:bookmarkEnd w:id="806"/>
      <w:bookmarkEnd w:id="807"/>
    </w:p>
    <w:p w14:paraId="122CB909" w14:textId="77777777" w:rsidR="00672297" w:rsidRDefault="00A16EA3">
      <w:pPr>
        <w:rPr>
          <w:rFonts w:cstheme="minorHAnsi"/>
          <w:sz w:val="20"/>
          <w:szCs w:val="20"/>
        </w:rPr>
      </w:pPr>
      <w:r>
        <w:rPr>
          <w:rFonts w:cstheme="minorHAnsi"/>
          <w:sz w:val="20"/>
          <w:szCs w:val="20"/>
        </w:rPr>
        <w:t>The items below cannot be determined from the provided documents and Wireframes Mock Data and must be confirmed before the build of the affected report elements. Data platform gaps (DP-xx) are listed in chapter 3.</w:t>
      </w:r>
    </w:p>
    <w:tbl>
      <w:tblPr>
        <w:tblStyle w:val="TableGrid"/>
        <w:tblW w:w="9360" w:type="dxa"/>
        <w:tblLayout w:type="fixed"/>
        <w:tblCellMar>
          <w:left w:w="70" w:type="dxa"/>
          <w:right w:w="70" w:type="dxa"/>
        </w:tblCellMar>
        <w:tblLook w:val="04A0" w:firstRow="1" w:lastRow="0" w:firstColumn="1" w:lastColumn="0" w:noHBand="0" w:noVBand="1"/>
      </w:tblPr>
      <w:tblGrid>
        <w:gridCol w:w="748"/>
        <w:gridCol w:w="4867"/>
        <w:gridCol w:w="2340"/>
        <w:gridCol w:w="1405"/>
      </w:tblGrid>
      <w:tr w:rsidR="00672297" w14:paraId="365352C3" w14:textId="77777777">
        <w:trPr>
          <w:cantSplit/>
          <w:tblHeader/>
        </w:trPr>
        <w:tc>
          <w:tcPr>
            <w:tcW w:w="748" w:type="dxa"/>
            <w:shd w:val="clear" w:color="auto" w:fill="2F5496"/>
            <w:vAlign w:val="center"/>
          </w:tcPr>
          <w:p w14:paraId="58C344D1" w14:textId="77777777" w:rsidR="00672297" w:rsidRDefault="00A16EA3">
            <w:pPr>
              <w:spacing w:before="20" w:after="20"/>
              <w:jc w:val="left"/>
            </w:pPr>
            <w:r>
              <w:rPr>
                <w:rFonts w:cstheme="minorHAnsi"/>
                <w:b/>
                <w:bCs/>
                <w:color w:val="FFFFFF"/>
                <w:sz w:val="20"/>
                <w:szCs w:val="20"/>
              </w:rPr>
              <w:t>ID</w:t>
            </w:r>
          </w:p>
        </w:tc>
        <w:tc>
          <w:tcPr>
            <w:tcW w:w="4867" w:type="dxa"/>
            <w:shd w:val="clear" w:color="auto" w:fill="2F5496"/>
            <w:vAlign w:val="center"/>
          </w:tcPr>
          <w:p w14:paraId="5633E8C1" w14:textId="77777777" w:rsidR="00672297" w:rsidRDefault="00A16EA3">
            <w:pPr>
              <w:spacing w:before="20" w:after="20"/>
              <w:jc w:val="left"/>
            </w:pPr>
            <w:r>
              <w:rPr>
                <w:rFonts w:cstheme="minorHAnsi"/>
                <w:b/>
                <w:bCs/>
                <w:color w:val="FFFFFF"/>
                <w:sz w:val="20"/>
                <w:szCs w:val="20"/>
              </w:rPr>
              <w:t>Gap</w:t>
            </w:r>
          </w:p>
        </w:tc>
        <w:tc>
          <w:tcPr>
            <w:tcW w:w="2340" w:type="dxa"/>
            <w:shd w:val="clear" w:color="auto" w:fill="2F5496"/>
            <w:vAlign w:val="center"/>
          </w:tcPr>
          <w:p w14:paraId="2075245C" w14:textId="77777777" w:rsidR="00672297" w:rsidRDefault="00A16EA3">
            <w:pPr>
              <w:spacing w:before="20" w:after="20"/>
              <w:jc w:val="left"/>
            </w:pPr>
            <w:r>
              <w:rPr>
                <w:rFonts w:cstheme="minorHAnsi"/>
                <w:b/>
                <w:bCs/>
                <w:color w:val="FFFFFF"/>
                <w:sz w:val="20"/>
                <w:szCs w:val="20"/>
              </w:rPr>
              <w:t>Affected Dashboards / Elements</w:t>
            </w:r>
          </w:p>
        </w:tc>
        <w:tc>
          <w:tcPr>
            <w:tcW w:w="1405" w:type="dxa"/>
            <w:shd w:val="clear" w:color="auto" w:fill="2F5496"/>
            <w:vAlign w:val="center"/>
          </w:tcPr>
          <w:p w14:paraId="490094A5" w14:textId="77777777" w:rsidR="00672297" w:rsidRDefault="00A16EA3">
            <w:pPr>
              <w:spacing w:before="20" w:after="20"/>
              <w:jc w:val="left"/>
            </w:pPr>
            <w:r>
              <w:rPr>
                <w:rFonts w:cstheme="minorHAnsi"/>
                <w:b/>
                <w:bCs/>
                <w:color w:val="FFFFFF"/>
                <w:sz w:val="20"/>
                <w:szCs w:val="20"/>
              </w:rPr>
              <w:t>Owner</w:t>
            </w:r>
          </w:p>
        </w:tc>
      </w:tr>
      <w:tr w:rsidR="00672297" w14:paraId="5C27966E" w14:textId="77777777">
        <w:trPr>
          <w:cantSplit/>
        </w:trPr>
        <w:tc>
          <w:tcPr>
            <w:tcW w:w="748" w:type="dxa"/>
            <w:vAlign w:val="center"/>
          </w:tcPr>
          <w:p w14:paraId="359ACDFE" w14:textId="77777777" w:rsidR="00672297" w:rsidRDefault="00A16EA3">
            <w:pPr>
              <w:spacing w:before="20" w:after="20"/>
              <w:jc w:val="left"/>
            </w:pPr>
            <w:r>
              <w:rPr>
                <w:rFonts w:cstheme="minorHAnsi"/>
                <w:sz w:val="20"/>
                <w:szCs w:val="20"/>
              </w:rPr>
              <w:t>RD-01</w:t>
            </w:r>
          </w:p>
        </w:tc>
        <w:tc>
          <w:tcPr>
            <w:tcW w:w="4867" w:type="dxa"/>
            <w:vAlign w:val="center"/>
          </w:tcPr>
          <w:p w14:paraId="0EDD6A3C" w14:textId="77777777" w:rsidR="00672297" w:rsidRDefault="00A16EA3">
            <w:pPr>
              <w:spacing w:before="20" w:after="20"/>
              <w:jc w:val="left"/>
            </w:pPr>
            <w:r>
              <w:rPr>
                <w:rFonts w:cstheme="minorHAnsi"/>
                <w:sz w:val="20"/>
                <w:szCs w:val="20"/>
              </w:rPr>
              <w:t>Price period(s) requested from the MPR API at refresh (StartDate / EndDate) and, if several periods are needed for week / month history, the period column added to PriceKey.</w:t>
            </w:r>
          </w:p>
        </w:tc>
        <w:tc>
          <w:tcPr>
            <w:tcW w:w="2340" w:type="dxa"/>
            <w:vAlign w:val="center"/>
          </w:tcPr>
          <w:p w14:paraId="5F4134EB" w14:textId="77777777" w:rsidR="00672297" w:rsidRDefault="00A16EA3">
            <w:pPr>
              <w:spacing w:before="20" w:after="20"/>
              <w:jc w:val="left"/>
            </w:pPr>
            <w:r>
              <w:rPr>
                <w:rFonts w:cstheme="minorHAnsi"/>
                <w:sz w:val="20"/>
                <w:szCs w:val="20"/>
              </w:rPr>
              <w:t>Gasoline KPI, Distillate KPI value loss</w:t>
            </w:r>
          </w:p>
        </w:tc>
        <w:tc>
          <w:tcPr>
            <w:tcW w:w="1405" w:type="dxa"/>
            <w:vAlign w:val="center"/>
          </w:tcPr>
          <w:p w14:paraId="63981341" w14:textId="77777777" w:rsidR="00672297" w:rsidRDefault="00A16EA3">
            <w:pPr>
              <w:spacing w:before="20" w:after="20"/>
              <w:jc w:val="left"/>
            </w:pPr>
            <w:r>
              <w:rPr>
                <w:rFonts w:cstheme="minorHAnsi"/>
                <w:sz w:val="20"/>
                <w:szCs w:val="20"/>
              </w:rPr>
              <w:t>Dashboard / integration team</w:t>
            </w:r>
          </w:p>
        </w:tc>
      </w:tr>
      <w:tr w:rsidR="00672297" w14:paraId="03BB425A" w14:textId="77777777">
        <w:trPr>
          <w:cantSplit/>
        </w:trPr>
        <w:tc>
          <w:tcPr>
            <w:tcW w:w="748" w:type="dxa"/>
            <w:vAlign w:val="center"/>
          </w:tcPr>
          <w:p w14:paraId="75C2D06D" w14:textId="77777777" w:rsidR="00672297" w:rsidRDefault="00A16EA3">
            <w:pPr>
              <w:spacing w:before="20" w:after="20"/>
              <w:jc w:val="left"/>
            </w:pPr>
            <w:r>
              <w:rPr>
                <w:rFonts w:cstheme="minorHAnsi"/>
                <w:sz w:val="20"/>
                <w:szCs w:val="20"/>
              </w:rPr>
              <w:t>RD-02</w:t>
            </w:r>
          </w:p>
        </w:tc>
        <w:tc>
          <w:tcPr>
            <w:tcW w:w="4867" w:type="dxa"/>
            <w:vAlign w:val="center"/>
          </w:tcPr>
          <w:p w14:paraId="4DC2D6F7" w14:textId="77777777" w:rsidR="00672297" w:rsidRDefault="00A16EA3">
            <w:pPr>
              <w:spacing w:before="20" w:after="20"/>
              <w:jc w:val="left"/>
            </w:pPr>
            <w:r>
              <w:rPr>
                <w:rFonts w:cstheme="minorHAnsi"/>
                <w:sz w:val="20"/>
                <w:szCs w:val="20"/>
              </w:rPr>
              <w:t>VCB workspace name, AD groups and members.</w:t>
            </w:r>
          </w:p>
        </w:tc>
        <w:tc>
          <w:tcPr>
            <w:tcW w:w="2340" w:type="dxa"/>
            <w:vAlign w:val="center"/>
          </w:tcPr>
          <w:p w14:paraId="46BD94D3" w14:textId="77777777" w:rsidR="00672297" w:rsidRDefault="00A16EA3">
            <w:pPr>
              <w:spacing w:before="20" w:after="20"/>
              <w:jc w:val="left"/>
            </w:pPr>
            <w:r>
              <w:rPr>
                <w:rFonts w:cstheme="minorHAnsi"/>
                <w:sz w:val="20"/>
                <w:szCs w:val="20"/>
              </w:rPr>
              <w:t>Security</w:t>
            </w:r>
          </w:p>
        </w:tc>
        <w:tc>
          <w:tcPr>
            <w:tcW w:w="1405" w:type="dxa"/>
            <w:vAlign w:val="center"/>
          </w:tcPr>
          <w:p w14:paraId="72034D59" w14:textId="77777777" w:rsidR="00672297" w:rsidRDefault="00A16EA3">
            <w:pPr>
              <w:spacing w:before="20" w:after="20"/>
              <w:jc w:val="left"/>
            </w:pPr>
            <w:r>
              <w:rPr>
                <w:rFonts w:cstheme="minorHAnsi"/>
                <w:sz w:val="20"/>
                <w:szCs w:val="20"/>
              </w:rPr>
              <w:t>Product owner</w:t>
            </w:r>
          </w:p>
        </w:tc>
      </w:tr>
      <w:tr w:rsidR="00672297" w14:paraId="789E0AAB" w14:textId="77777777">
        <w:trPr>
          <w:cantSplit/>
        </w:trPr>
        <w:tc>
          <w:tcPr>
            <w:tcW w:w="748" w:type="dxa"/>
            <w:vAlign w:val="center"/>
          </w:tcPr>
          <w:p w14:paraId="41ED2347" w14:textId="77777777" w:rsidR="00672297" w:rsidRDefault="00A16EA3">
            <w:pPr>
              <w:spacing w:before="20" w:after="20"/>
              <w:jc w:val="left"/>
            </w:pPr>
            <w:r>
              <w:rPr>
                <w:rFonts w:cstheme="minorHAnsi"/>
                <w:sz w:val="20"/>
                <w:szCs w:val="20"/>
              </w:rPr>
              <w:t>RD-03</w:t>
            </w:r>
          </w:p>
        </w:tc>
        <w:tc>
          <w:tcPr>
            <w:tcW w:w="4867" w:type="dxa"/>
            <w:vAlign w:val="center"/>
          </w:tcPr>
          <w:p w14:paraId="416F378E" w14:textId="77777777" w:rsidR="00672297" w:rsidRDefault="00A16EA3">
            <w:pPr>
              <w:spacing w:before="20" w:after="20"/>
              <w:jc w:val="left"/>
            </w:pPr>
            <w:r>
              <w:rPr>
                <w:rFonts w:cstheme="minorHAnsi"/>
                <w:sz w:val="20"/>
                <w:szCs w:val="20"/>
              </w:rPr>
              <w:t>Scheduled refresh time of the semantic model.</w:t>
            </w:r>
          </w:p>
        </w:tc>
        <w:tc>
          <w:tcPr>
            <w:tcW w:w="2340" w:type="dxa"/>
            <w:vAlign w:val="center"/>
          </w:tcPr>
          <w:p w14:paraId="62B3177A" w14:textId="77777777" w:rsidR="00672297" w:rsidRDefault="00A16EA3">
            <w:pPr>
              <w:spacing w:before="20" w:after="20"/>
              <w:jc w:val="left"/>
            </w:pPr>
            <w:r>
              <w:rPr>
                <w:rFonts w:cstheme="minorHAnsi"/>
                <w:sz w:val="20"/>
                <w:szCs w:val="20"/>
              </w:rPr>
              <w:t>All</w:t>
            </w:r>
          </w:p>
        </w:tc>
        <w:tc>
          <w:tcPr>
            <w:tcW w:w="1405" w:type="dxa"/>
            <w:vAlign w:val="center"/>
          </w:tcPr>
          <w:p w14:paraId="0B989BCF" w14:textId="77777777" w:rsidR="00672297" w:rsidRDefault="00A16EA3">
            <w:pPr>
              <w:spacing w:before="20" w:after="20"/>
              <w:jc w:val="left"/>
            </w:pPr>
            <w:r>
              <w:rPr>
                <w:rFonts w:cstheme="minorHAnsi"/>
                <w:sz w:val="20"/>
                <w:szCs w:val="20"/>
              </w:rPr>
              <w:t>Dashboard team</w:t>
            </w:r>
          </w:p>
        </w:tc>
      </w:tr>
      <w:tr w:rsidR="00672297" w14:paraId="107530D5" w14:textId="77777777">
        <w:trPr>
          <w:cantSplit/>
        </w:trPr>
        <w:tc>
          <w:tcPr>
            <w:tcW w:w="748" w:type="dxa"/>
            <w:vAlign w:val="center"/>
          </w:tcPr>
          <w:p w14:paraId="620C4458" w14:textId="77777777" w:rsidR="00672297" w:rsidRDefault="00A16EA3">
            <w:pPr>
              <w:spacing w:before="20" w:after="20"/>
              <w:jc w:val="left"/>
            </w:pPr>
            <w:r>
              <w:rPr>
                <w:rFonts w:cstheme="minorHAnsi"/>
                <w:sz w:val="20"/>
                <w:szCs w:val="20"/>
              </w:rPr>
              <w:t>RD-04</w:t>
            </w:r>
          </w:p>
        </w:tc>
        <w:tc>
          <w:tcPr>
            <w:tcW w:w="4867" w:type="dxa"/>
            <w:vAlign w:val="center"/>
          </w:tcPr>
          <w:p w14:paraId="0BA6D87C" w14:textId="77777777" w:rsidR="00672297" w:rsidRDefault="00A16EA3">
            <w:pPr>
              <w:spacing w:before="20" w:after="20"/>
              <w:jc w:val="left"/>
            </w:pPr>
            <w:r>
              <w:rPr>
                <w:rFonts w:cstheme="minorHAnsi"/>
                <w:sz w:val="20"/>
                <w:szCs w:val="20"/>
              </w:rPr>
              <w:t>The workbook has no Gasoline page for the Refinery-Wide dashboard; gasoline fields are taken from the functional design.</w:t>
            </w:r>
          </w:p>
        </w:tc>
        <w:tc>
          <w:tcPr>
            <w:tcW w:w="2340" w:type="dxa"/>
            <w:vAlign w:val="center"/>
          </w:tcPr>
          <w:p w14:paraId="1ACBD1D5" w14:textId="77777777" w:rsidR="00672297" w:rsidRDefault="00A16EA3">
            <w:pPr>
              <w:spacing w:before="20" w:after="20"/>
              <w:jc w:val="left"/>
            </w:pPr>
            <w:r>
              <w:rPr>
                <w:rFonts w:cstheme="minorHAnsi"/>
                <w:sz w:val="20"/>
                <w:szCs w:val="20"/>
              </w:rPr>
              <w:t>Refinery-Wide - Gasoline page</w:t>
            </w:r>
          </w:p>
        </w:tc>
        <w:tc>
          <w:tcPr>
            <w:tcW w:w="1405" w:type="dxa"/>
            <w:vAlign w:val="center"/>
          </w:tcPr>
          <w:p w14:paraId="183DA87B" w14:textId="77777777" w:rsidR="00672297" w:rsidRDefault="00A16EA3">
            <w:pPr>
              <w:spacing w:before="20" w:after="20"/>
              <w:jc w:val="left"/>
            </w:pPr>
            <w:r>
              <w:rPr>
                <w:rFonts w:cstheme="minorHAnsi"/>
                <w:sz w:val="20"/>
                <w:szCs w:val="20"/>
              </w:rPr>
              <w:t>VCB functional team</w:t>
            </w:r>
          </w:p>
        </w:tc>
      </w:tr>
      <w:tr w:rsidR="00672297" w14:paraId="3DC22F6B" w14:textId="77777777">
        <w:trPr>
          <w:cantSplit/>
        </w:trPr>
        <w:tc>
          <w:tcPr>
            <w:tcW w:w="748" w:type="dxa"/>
            <w:vAlign w:val="center"/>
          </w:tcPr>
          <w:p w14:paraId="7ADF0D0E" w14:textId="77777777" w:rsidR="00672297" w:rsidRDefault="00A16EA3">
            <w:pPr>
              <w:spacing w:before="20" w:after="20"/>
              <w:jc w:val="left"/>
            </w:pPr>
            <w:r>
              <w:rPr>
                <w:rFonts w:cstheme="minorHAnsi"/>
                <w:sz w:val="20"/>
                <w:szCs w:val="20"/>
              </w:rPr>
              <w:t>RD-05</w:t>
            </w:r>
          </w:p>
        </w:tc>
        <w:tc>
          <w:tcPr>
            <w:tcW w:w="4867" w:type="dxa"/>
            <w:vAlign w:val="center"/>
          </w:tcPr>
          <w:p w14:paraId="5A04BC55" w14:textId="77777777" w:rsidR="00672297" w:rsidRDefault="00A16EA3">
            <w:pPr>
              <w:spacing w:before="20" w:after="20"/>
              <w:jc w:val="left"/>
            </w:pPr>
            <w:r>
              <w:rPr>
                <w:rFonts w:cstheme="minorHAnsi"/>
                <w:sz w:val="20"/>
                <w:szCs w:val="20"/>
              </w:rPr>
              <w:t>Role of APS event type 17 (listed in the wireframe next to type 15).</w:t>
            </w:r>
          </w:p>
        </w:tc>
        <w:tc>
          <w:tcPr>
            <w:tcW w:w="2340" w:type="dxa"/>
            <w:vAlign w:val="center"/>
          </w:tcPr>
          <w:p w14:paraId="02B9F89A" w14:textId="77777777" w:rsidR="00672297" w:rsidRDefault="00A16EA3">
            <w:pPr>
              <w:spacing w:before="20" w:after="20"/>
              <w:jc w:val="left"/>
            </w:pPr>
            <w:r>
              <w:rPr>
                <w:rFonts w:cstheme="minorHAnsi"/>
                <w:sz w:val="20"/>
                <w:szCs w:val="20"/>
              </w:rPr>
              <w:t>Refinery-Wide</w:t>
            </w:r>
          </w:p>
        </w:tc>
        <w:tc>
          <w:tcPr>
            <w:tcW w:w="1405" w:type="dxa"/>
            <w:vAlign w:val="center"/>
          </w:tcPr>
          <w:p w14:paraId="3382D8C1" w14:textId="77777777" w:rsidR="00672297" w:rsidRDefault="00A16EA3">
            <w:pPr>
              <w:spacing w:before="20" w:after="20"/>
              <w:jc w:val="left"/>
            </w:pPr>
            <w:r>
              <w:rPr>
                <w:rFonts w:cstheme="minorHAnsi"/>
                <w:sz w:val="20"/>
                <w:szCs w:val="20"/>
              </w:rPr>
              <w:t>VCB functional team</w:t>
            </w:r>
          </w:p>
        </w:tc>
      </w:tr>
      <w:tr w:rsidR="00672297" w14:paraId="54EA1254" w14:textId="77777777">
        <w:trPr>
          <w:cantSplit/>
        </w:trPr>
        <w:tc>
          <w:tcPr>
            <w:tcW w:w="748" w:type="dxa"/>
            <w:vAlign w:val="center"/>
          </w:tcPr>
          <w:p w14:paraId="5DA1FB67" w14:textId="77777777" w:rsidR="00672297" w:rsidRDefault="00A16EA3">
            <w:pPr>
              <w:spacing w:before="20" w:after="20"/>
              <w:jc w:val="left"/>
            </w:pPr>
            <w:r>
              <w:rPr>
                <w:rFonts w:cstheme="minorHAnsi"/>
                <w:sz w:val="20"/>
                <w:szCs w:val="20"/>
              </w:rPr>
              <w:t>RD-06</w:t>
            </w:r>
          </w:p>
        </w:tc>
        <w:tc>
          <w:tcPr>
            <w:tcW w:w="4867" w:type="dxa"/>
            <w:vAlign w:val="center"/>
          </w:tcPr>
          <w:p w14:paraId="2A368EF6" w14:textId="77777777" w:rsidR="00672297" w:rsidRDefault="00A16EA3">
            <w:pPr>
              <w:spacing w:before="20" w:after="20"/>
              <w:jc w:val="left"/>
            </w:pPr>
            <w:r>
              <w:rPr>
                <w:rFonts w:cstheme="minorHAnsi"/>
                <w:sz w:val="20"/>
                <w:szCs w:val="20"/>
              </w:rPr>
              <w:t>Source and basis of the actual blended component volumes (wireframe uses placeholder ratios) and of the potential of delivered batches.</w:t>
            </w:r>
          </w:p>
        </w:tc>
        <w:tc>
          <w:tcPr>
            <w:tcW w:w="2340" w:type="dxa"/>
            <w:vAlign w:val="center"/>
          </w:tcPr>
          <w:p w14:paraId="0A174677" w14:textId="77777777" w:rsidR="00672297" w:rsidRDefault="00A16EA3">
            <w:pPr>
              <w:spacing w:before="20" w:after="20"/>
              <w:jc w:val="left"/>
            </w:pPr>
            <w:r>
              <w:rPr>
                <w:rFonts w:cstheme="minorHAnsi"/>
                <w:sz w:val="20"/>
                <w:szCs w:val="20"/>
              </w:rPr>
              <w:t>Gasoline KPI</w:t>
            </w:r>
          </w:p>
        </w:tc>
        <w:tc>
          <w:tcPr>
            <w:tcW w:w="1405" w:type="dxa"/>
            <w:vAlign w:val="center"/>
          </w:tcPr>
          <w:p w14:paraId="39F70791" w14:textId="77777777" w:rsidR="00672297" w:rsidRDefault="00A16EA3">
            <w:pPr>
              <w:spacing w:before="20" w:after="20"/>
              <w:jc w:val="left"/>
            </w:pPr>
            <w:r>
              <w:rPr>
                <w:rFonts w:cstheme="minorHAnsi"/>
                <w:sz w:val="20"/>
                <w:szCs w:val="20"/>
              </w:rPr>
              <w:t>VCB functional team</w:t>
            </w:r>
          </w:p>
        </w:tc>
      </w:tr>
      <w:tr w:rsidR="00672297" w14:paraId="12AA12AD" w14:textId="77777777">
        <w:trPr>
          <w:cantSplit/>
        </w:trPr>
        <w:tc>
          <w:tcPr>
            <w:tcW w:w="748" w:type="dxa"/>
            <w:vAlign w:val="center"/>
          </w:tcPr>
          <w:p w14:paraId="32CDF363" w14:textId="77777777" w:rsidR="00672297" w:rsidRDefault="00A16EA3">
            <w:pPr>
              <w:spacing w:before="20" w:after="20"/>
              <w:jc w:val="left"/>
            </w:pPr>
            <w:r>
              <w:rPr>
                <w:rFonts w:cstheme="minorHAnsi"/>
                <w:sz w:val="20"/>
                <w:szCs w:val="20"/>
              </w:rPr>
              <w:t>RD-07</w:t>
            </w:r>
          </w:p>
        </w:tc>
        <w:tc>
          <w:tcPr>
            <w:tcW w:w="4867" w:type="dxa"/>
            <w:vAlign w:val="center"/>
          </w:tcPr>
          <w:p w14:paraId="21FEF2C3" w14:textId="77777777" w:rsidR="00672297" w:rsidRDefault="00A16EA3">
            <w:pPr>
              <w:spacing w:before="20" w:after="20"/>
              <w:jc w:val="left"/>
            </w:pPr>
            <w:r>
              <w:rPr>
                <w:rFonts w:cstheme="minorHAnsi"/>
                <w:sz w:val="20"/>
                <w:szCs w:val="20"/>
              </w:rPr>
              <w:t>Component abbreviations and MPR tags in the MPR data (gasoline 11566 / 13067; butane 859; ethanol 16749 / 10960; transmix 15094 / 15100 with the 65 / 35 weighting and 0.2176 $/gal deduction of the wireframe) and the distillate / biodiesel price tags.</w:t>
            </w:r>
          </w:p>
        </w:tc>
        <w:tc>
          <w:tcPr>
            <w:tcW w:w="2340" w:type="dxa"/>
            <w:vAlign w:val="center"/>
          </w:tcPr>
          <w:p w14:paraId="4CB3D57E" w14:textId="77777777" w:rsidR="00672297" w:rsidRDefault="00A16EA3">
            <w:pPr>
              <w:spacing w:before="20" w:after="20"/>
              <w:jc w:val="left"/>
            </w:pPr>
            <w:r>
              <w:rPr>
                <w:rFonts w:cstheme="minorHAnsi"/>
                <w:sz w:val="20"/>
                <w:szCs w:val="20"/>
              </w:rPr>
              <w:t>Gasoline KPI, Distillate KPI</w:t>
            </w:r>
          </w:p>
        </w:tc>
        <w:tc>
          <w:tcPr>
            <w:tcW w:w="1405" w:type="dxa"/>
            <w:vAlign w:val="center"/>
          </w:tcPr>
          <w:p w14:paraId="2A121486" w14:textId="77777777" w:rsidR="00672297" w:rsidRDefault="00A16EA3">
            <w:pPr>
              <w:spacing w:before="20" w:after="20"/>
              <w:jc w:val="left"/>
            </w:pPr>
            <w:r>
              <w:rPr>
                <w:rFonts w:cstheme="minorHAnsi"/>
                <w:sz w:val="20"/>
                <w:szCs w:val="20"/>
              </w:rPr>
              <w:t>VCB functional team</w:t>
            </w:r>
          </w:p>
        </w:tc>
      </w:tr>
      <w:tr w:rsidR="00672297" w14:paraId="0BA752E6" w14:textId="77777777">
        <w:trPr>
          <w:cantSplit/>
        </w:trPr>
        <w:tc>
          <w:tcPr>
            <w:tcW w:w="748" w:type="dxa"/>
            <w:vAlign w:val="center"/>
          </w:tcPr>
          <w:p w14:paraId="219B40F4" w14:textId="77777777" w:rsidR="00672297" w:rsidRDefault="00A16EA3">
            <w:pPr>
              <w:spacing w:before="20" w:after="20"/>
              <w:jc w:val="left"/>
            </w:pPr>
            <w:r>
              <w:rPr>
                <w:rFonts w:cstheme="minorHAnsi"/>
                <w:sz w:val="20"/>
                <w:szCs w:val="20"/>
              </w:rPr>
              <w:t>RD-08</w:t>
            </w:r>
          </w:p>
        </w:tc>
        <w:tc>
          <w:tcPr>
            <w:tcW w:w="4867" w:type="dxa"/>
            <w:vAlign w:val="center"/>
          </w:tcPr>
          <w:p w14:paraId="5C179CC4" w14:textId="77777777" w:rsidR="00672297" w:rsidRDefault="00A16EA3">
            <w:pPr>
              <w:spacing w:before="20" w:after="20"/>
              <w:jc w:val="left"/>
            </w:pPr>
            <w:r>
              <w:rPr>
                <w:rFonts w:cstheme="minorHAnsi"/>
                <w:sz w:val="20"/>
                <w:szCs w:val="20"/>
              </w:rPr>
              <w:t>Averaging method for qualities (simple average as in the wireframe, or volume-weighted).</w:t>
            </w:r>
          </w:p>
        </w:tc>
        <w:tc>
          <w:tcPr>
            <w:tcW w:w="2340" w:type="dxa"/>
            <w:vAlign w:val="center"/>
          </w:tcPr>
          <w:p w14:paraId="10E5FA06" w14:textId="77777777" w:rsidR="00672297" w:rsidRDefault="00A16EA3">
            <w:pPr>
              <w:spacing w:before="20" w:after="20"/>
              <w:jc w:val="left"/>
            </w:pPr>
            <w:r>
              <w:rPr>
                <w:rFonts w:cstheme="minorHAnsi"/>
                <w:sz w:val="20"/>
                <w:szCs w:val="20"/>
              </w:rPr>
              <w:t>Distillate, Gasoline KPI, Distillate KPI</w:t>
            </w:r>
          </w:p>
        </w:tc>
        <w:tc>
          <w:tcPr>
            <w:tcW w:w="1405" w:type="dxa"/>
            <w:vAlign w:val="center"/>
          </w:tcPr>
          <w:p w14:paraId="61B58474" w14:textId="77777777" w:rsidR="00672297" w:rsidRDefault="00A16EA3">
            <w:pPr>
              <w:spacing w:before="20" w:after="20"/>
              <w:jc w:val="left"/>
            </w:pPr>
            <w:r>
              <w:rPr>
                <w:rFonts w:cstheme="minorHAnsi"/>
                <w:sz w:val="20"/>
                <w:szCs w:val="20"/>
              </w:rPr>
              <w:t>VCB functional team</w:t>
            </w:r>
          </w:p>
        </w:tc>
      </w:tr>
      <w:tr w:rsidR="00672297" w14:paraId="101F7EDB" w14:textId="77777777">
        <w:trPr>
          <w:cantSplit/>
        </w:trPr>
        <w:tc>
          <w:tcPr>
            <w:tcW w:w="748" w:type="dxa"/>
            <w:vAlign w:val="center"/>
          </w:tcPr>
          <w:p w14:paraId="2D240597" w14:textId="77777777" w:rsidR="00672297" w:rsidRDefault="00A16EA3">
            <w:pPr>
              <w:spacing w:before="20" w:after="20"/>
              <w:jc w:val="left"/>
            </w:pPr>
            <w:r>
              <w:rPr>
                <w:rFonts w:cstheme="minorHAnsi"/>
                <w:sz w:val="20"/>
                <w:szCs w:val="20"/>
              </w:rPr>
              <w:t>RD-09</w:t>
            </w:r>
          </w:p>
        </w:tc>
        <w:tc>
          <w:tcPr>
            <w:tcW w:w="4867" w:type="dxa"/>
            <w:vAlign w:val="center"/>
          </w:tcPr>
          <w:p w14:paraId="59F748FF" w14:textId="77777777" w:rsidR="00672297" w:rsidRDefault="00A16EA3">
            <w:pPr>
              <w:spacing w:before="20" w:after="20"/>
              <w:jc w:val="left"/>
            </w:pPr>
            <w:r>
              <w:rPr>
                <w:rFonts w:cstheme="minorHAnsi"/>
                <w:sz w:val="20"/>
                <w:szCs w:val="20"/>
              </w:rPr>
              <w:t>No Release 2 dashboard is defined in the provided material.</w:t>
            </w:r>
          </w:p>
        </w:tc>
        <w:tc>
          <w:tcPr>
            <w:tcW w:w="2340" w:type="dxa"/>
            <w:vAlign w:val="center"/>
          </w:tcPr>
          <w:p w14:paraId="7EB841FD" w14:textId="77777777" w:rsidR="00672297" w:rsidRDefault="00A16EA3">
            <w:pPr>
              <w:spacing w:before="20" w:after="20"/>
              <w:jc w:val="left"/>
            </w:pPr>
            <w:r>
              <w:rPr>
                <w:rFonts w:cstheme="minorHAnsi"/>
                <w:sz w:val="20"/>
                <w:szCs w:val="20"/>
              </w:rPr>
              <w:t>Release 2</w:t>
            </w:r>
          </w:p>
        </w:tc>
        <w:tc>
          <w:tcPr>
            <w:tcW w:w="1405" w:type="dxa"/>
            <w:vAlign w:val="center"/>
          </w:tcPr>
          <w:p w14:paraId="7DC88190" w14:textId="77777777" w:rsidR="00672297" w:rsidRDefault="00A16EA3">
            <w:pPr>
              <w:spacing w:before="20" w:after="20"/>
              <w:jc w:val="left"/>
            </w:pPr>
            <w:r>
              <w:rPr>
                <w:rFonts w:cstheme="minorHAnsi"/>
                <w:sz w:val="20"/>
                <w:szCs w:val="20"/>
              </w:rPr>
              <w:t>Product owner</w:t>
            </w:r>
          </w:p>
        </w:tc>
      </w:tr>
      <w:tr w:rsidR="00672297" w14:paraId="6B4858EC" w14:textId="77777777">
        <w:trPr>
          <w:cantSplit/>
        </w:trPr>
        <w:tc>
          <w:tcPr>
            <w:tcW w:w="748" w:type="dxa"/>
            <w:vAlign w:val="center"/>
          </w:tcPr>
          <w:p w14:paraId="23524FAF" w14:textId="77777777" w:rsidR="00672297" w:rsidRDefault="00A16EA3">
            <w:pPr>
              <w:spacing w:before="20" w:after="20"/>
              <w:jc w:val="left"/>
            </w:pPr>
            <w:r>
              <w:rPr>
                <w:rFonts w:cstheme="minorHAnsi"/>
                <w:sz w:val="20"/>
                <w:szCs w:val="20"/>
              </w:rPr>
              <w:t>RD-10</w:t>
            </w:r>
          </w:p>
        </w:tc>
        <w:tc>
          <w:tcPr>
            <w:tcW w:w="4867" w:type="dxa"/>
            <w:vAlign w:val="center"/>
          </w:tcPr>
          <w:p w14:paraId="27C7A1ED" w14:textId="77777777" w:rsidR="00672297" w:rsidRDefault="00A16EA3">
            <w:pPr>
              <w:spacing w:before="20" w:after="20"/>
              <w:jc w:val="left"/>
            </w:pPr>
            <w:r>
              <w:rPr>
                <w:rFonts w:cstheme="minorHAnsi"/>
                <w:sz w:val="20"/>
                <w:szCs w:val="20"/>
              </w:rPr>
              <w:t>Biodiesel demand / use calculation (B5 to B20 blend percentage and volume basis).</w:t>
            </w:r>
          </w:p>
        </w:tc>
        <w:tc>
          <w:tcPr>
            <w:tcW w:w="2340" w:type="dxa"/>
            <w:vAlign w:val="center"/>
          </w:tcPr>
          <w:p w14:paraId="309BC12A" w14:textId="77777777" w:rsidR="00672297" w:rsidRDefault="00A16EA3">
            <w:pPr>
              <w:spacing w:before="20" w:after="20"/>
              <w:jc w:val="left"/>
            </w:pPr>
            <w:r>
              <w:rPr>
                <w:rFonts w:cstheme="minorHAnsi"/>
                <w:sz w:val="20"/>
                <w:szCs w:val="20"/>
              </w:rPr>
              <w:t>Supply</w:t>
            </w:r>
          </w:p>
        </w:tc>
        <w:tc>
          <w:tcPr>
            <w:tcW w:w="1405" w:type="dxa"/>
            <w:vAlign w:val="center"/>
          </w:tcPr>
          <w:p w14:paraId="624E2758" w14:textId="77777777" w:rsidR="00672297" w:rsidRDefault="00A16EA3">
            <w:pPr>
              <w:spacing w:before="20" w:after="20"/>
              <w:jc w:val="left"/>
            </w:pPr>
            <w:r>
              <w:rPr>
                <w:rFonts w:cstheme="minorHAnsi"/>
                <w:sz w:val="20"/>
                <w:szCs w:val="20"/>
              </w:rPr>
              <w:t>VCB functional team</w:t>
            </w:r>
          </w:p>
        </w:tc>
      </w:tr>
      <w:tr w:rsidR="00672297" w14:paraId="7A3E9549" w14:textId="77777777">
        <w:trPr>
          <w:cantSplit/>
        </w:trPr>
        <w:tc>
          <w:tcPr>
            <w:tcW w:w="748" w:type="dxa"/>
            <w:vAlign w:val="center"/>
          </w:tcPr>
          <w:p w14:paraId="51883C89" w14:textId="77777777" w:rsidR="00672297" w:rsidRDefault="00A16EA3">
            <w:pPr>
              <w:spacing w:before="20" w:after="20"/>
              <w:jc w:val="left"/>
            </w:pPr>
            <w:r>
              <w:rPr>
                <w:rFonts w:cstheme="minorHAnsi"/>
                <w:sz w:val="20"/>
                <w:szCs w:val="20"/>
              </w:rPr>
              <w:t>RD-11</w:t>
            </w:r>
          </w:p>
        </w:tc>
        <w:tc>
          <w:tcPr>
            <w:tcW w:w="4867" w:type="dxa"/>
            <w:vAlign w:val="center"/>
          </w:tcPr>
          <w:p w14:paraId="728735B3" w14:textId="77777777" w:rsidR="00672297" w:rsidRDefault="00A16EA3">
            <w:pPr>
              <w:spacing w:before="20" w:after="20"/>
              <w:jc w:val="left"/>
            </w:pPr>
            <w:r>
              <w:rPr>
                <w:rFonts w:cstheme="minorHAnsi"/>
                <w:sz w:val="20"/>
                <w:szCs w:val="20"/>
              </w:rPr>
              <w:t>Acceptance of the Batch ID selection slicer as the implementation of the Check / CheckBox column.</w:t>
            </w:r>
          </w:p>
        </w:tc>
        <w:tc>
          <w:tcPr>
            <w:tcW w:w="2340" w:type="dxa"/>
            <w:vAlign w:val="center"/>
          </w:tcPr>
          <w:p w14:paraId="4823FD60" w14:textId="77777777" w:rsidR="00672297" w:rsidRDefault="00A16EA3">
            <w:pPr>
              <w:spacing w:before="20" w:after="20"/>
              <w:jc w:val="left"/>
            </w:pPr>
            <w:r>
              <w:rPr>
                <w:rFonts w:cstheme="minorHAnsi"/>
                <w:sz w:val="20"/>
                <w:szCs w:val="20"/>
              </w:rPr>
              <w:t>Blending Potential, Distillate, Supply, KPI dashboards</w:t>
            </w:r>
          </w:p>
        </w:tc>
        <w:tc>
          <w:tcPr>
            <w:tcW w:w="1405" w:type="dxa"/>
            <w:vAlign w:val="center"/>
          </w:tcPr>
          <w:p w14:paraId="27BC34B4" w14:textId="77777777" w:rsidR="00672297" w:rsidRDefault="00A16EA3">
            <w:pPr>
              <w:spacing w:before="20" w:after="20"/>
              <w:jc w:val="left"/>
            </w:pPr>
            <w:r>
              <w:rPr>
                <w:rFonts w:cstheme="minorHAnsi"/>
                <w:sz w:val="20"/>
                <w:szCs w:val="20"/>
              </w:rPr>
              <w:t>Business users</w:t>
            </w:r>
          </w:p>
        </w:tc>
      </w:tr>
      <w:tr w:rsidR="00672297" w14:paraId="036CD637" w14:textId="77777777">
        <w:trPr>
          <w:cantSplit/>
        </w:trPr>
        <w:tc>
          <w:tcPr>
            <w:tcW w:w="748" w:type="dxa"/>
            <w:vAlign w:val="center"/>
          </w:tcPr>
          <w:p w14:paraId="4DF1FEB1" w14:textId="77777777" w:rsidR="00672297" w:rsidRDefault="00A16EA3">
            <w:pPr>
              <w:spacing w:before="20" w:after="20"/>
              <w:jc w:val="left"/>
            </w:pPr>
            <w:r>
              <w:rPr>
                <w:rFonts w:cstheme="minorHAnsi"/>
                <w:sz w:val="20"/>
                <w:szCs w:val="20"/>
              </w:rPr>
              <w:t>RD-12</w:t>
            </w:r>
          </w:p>
        </w:tc>
        <w:tc>
          <w:tcPr>
            <w:tcW w:w="4867" w:type="dxa"/>
            <w:vAlign w:val="center"/>
          </w:tcPr>
          <w:p w14:paraId="57C498CD" w14:textId="77777777" w:rsidR="00672297" w:rsidRDefault="00A16EA3">
            <w:pPr>
              <w:spacing w:before="20" w:after="20"/>
              <w:jc w:val="left"/>
            </w:pPr>
            <w:r>
              <w:rPr>
                <w:rFonts w:cstheme="minorHAnsi"/>
                <w:sz w:val="20"/>
                <w:szCs w:val="20"/>
              </w:rPr>
              <w:t>Choice of the give-away chart layout (wireframe samples A and B).</w:t>
            </w:r>
          </w:p>
        </w:tc>
        <w:tc>
          <w:tcPr>
            <w:tcW w:w="2340" w:type="dxa"/>
            <w:vAlign w:val="center"/>
          </w:tcPr>
          <w:p w14:paraId="2C26DBC6" w14:textId="77777777" w:rsidR="00672297" w:rsidRDefault="00A16EA3">
            <w:pPr>
              <w:spacing w:before="20" w:after="20"/>
              <w:jc w:val="left"/>
            </w:pPr>
            <w:r>
              <w:rPr>
                <w:rFonts w:cstheme="minorHAnsi"/>
                <w:sz w:val="20"/>
                <w:szCs w:val="20"/>
              </w:rPr>
              <w:t>Distillate KPI</w:t>
            </w:r>
          </w:p>
        </w:tc>
        <w:tc>
          <w:tcPr>
            <w:tcW w:w="1405" w:type="dxa"/>
            <w:vAlign w:val="center"/>
          </w:tcPr>
          <w:p w14:paraId="69C9F299" w14:textId="77777777" w:rsidR="00672297" w:rsidRDefault="00A16EA3">
            <w:pPr>
              <w:spacing w:before="20" w:after="20"/>
              <w:jc w:val="left"/>
            </w:pPr>
            <w:r>
              <w:rPr>
                <w:rFonts w:cstheme="minorHAnsi"/>
                <w:sz w:val="20"/>
                <w:szCs w:val="20"/>
              </w:rPr>
              <w:t>Business users</w:t>
            </w:r>
          </w:p>
        </w:tc>
      </w:tr>
      <w:tr w:rsidR="00672297" w14:paraId="3C89A557" w14:textId="77777777">
        <w:trPr>
          <w:cantSplit/>
        </w:trPr>
        <w:tc>
          <w:tcPr>
            <w:tcW w:w="748" w:type="dxa"/>
            <w:vAlign w:val="center"/>
          </w:tcPr>
          <w:p w14:paraId="0162AE69" w14:textId="77777777" w:rsidR="00672297" w:rsidRDefault="00A16EA3">
            <w:pPr>
              <w:spacing w:before="20" w:after="20"/>
              <w:jc w:val="left"/>
            </w:pPr>
            <w:r>
              <w:rPr>
                <w:rFonts w:cstheme="minorHAnsi"/>
                <w:sz w:val="20"/>
                <w:szCs w:val="20"/>
              </w:rPr>
              <w:t>RD-13</w:t>
            </w:r>
          </w:p>
        </w:tc>
        <w:tc>
          <w:tcPr>
            <w:tcW w:w="4867" w:type="dxa"/>
            <w:vAlign w:val="center"/>
          </w:tcPr>
          <w:p w14:paraId="41C9AEFD" w14:textId="77777777" w:rsidR="00672297" w:rsidRDefault="00A16EA3">
            <w:pPr>
              <w:spacing w:before="20" w:after="20"/>
              <w:jc w:val="left"/>
            </w:pPr>
            <w:r>
              <w:rPr>
                <w:rFonts w:cstheme="minorHAnsi"/>
                <w:sz w:val="20"/>
                <w:szCs w:val="20"/>
              </w:rPr>
              <w:t>Wireframe formula inconsistencies to confirm: Transmix Value Loss card sums the volume column; post-blend RON of the first batch ignores transmix; Supply card formulas reference other columns; action labels "Plandelivery" / "Schedule delivery".</w:t>
            </w:r>
          </w:p>
        </w:tc>
        <w:tc>
          <w:tcPr>
            <w:tcW w:w="2340" w:type="dxa"/>
            <w:vAlign w:val="center"/>
          </w:tcPr>
          <w:p w14:paraId="714AE644" w14:textId="77777777" w:rsidR="00672297" w:rsidRDefault="00A16EA3">
            <w:pPr>
              <w:spacing w:before="20" w:after="20"/>
              <w:jc w:val="left"/>
            </w:pPr>
            <w:r>
              <w:rPr>
                <w:rFonts w:cstheme="minorHAnsi"/>
                <w:sz w:val="20"/>
                <w:szCs w:val="20"/>
              </w:rPr>
              <w:t>Gasoline KPI, Blending Potential, Supply</w:t>
            </w:r>
          </w:p>
        </w:tc>
        <w:tc>
          <w:tcPr>
            <w:tcW w:w="1405" w:type="dxa"/>
            <w:vAlign w:val="center"/>
          </w:tcPr>
          <w:p w14:paraId="6170B982" w14:textId="77777777" w:rsidR="00672297" w:rsidRDefault="00A16EA3">
            <w:pPr>
              <w:spacing w:before="20" w:after="20"/>
              <w:jc w:val="left"/>
            </w:pPr>
            <w:r>
              <w:rPr>
                <w:rFonts w:cstheme="minorHAnsi"/>
                <w:sz w:val="20"/>
                <w:szCs w:val="20"/>
              </w:rPr>
              <w:t>VCB functional team</w:t>
            </w:r>
          </w:p>
        </w:tc>
      </w:tr>
      <w:tr w:rsidR="00672297" w14:paraId="040A64B1" w14:textId="77777777">
        <w:trPr>
          <w:cantSplit/>
        </w:trPr>
        <w:tc>
          <w:tcPr>
            <w:tcW w:w="748" w:type="dxa"/>
            <w:vAlign w:val="center"/>
          </w:tcPr>
          <w:p w14:paraId="0798D0C7" w14:textId="77777777" w:rsidR="00672297" w:rsidRDefault="00A16EA3">
            <w:pPr>
              <w:spacing w:before="20" w:after="20"/>
              <w:jc w:val="left"/>
            </w:pPr>
            <w:r>
              <w:rPr>
                <w:rFonts w:cstheme="minorHAnsi"/>
                <w:sz w:val="20"/>
                <w:szCs w:val="20"/>
              </w:rPr>
              <w:t>RD-14</w:t>
            </w:r>
          </w:p>
        </w:tc>
        <w:tc>
          <w:tcPr>
            <w:tcW w:w="4867" w:type="dxa"/>
            <w:vAlign w:val="center"/>
          </w:tcPr>
          <w:p w14:paraId="0C8E116D" w14:textId="77777777" w:rsidR="00672297" w:rsidRDefault="00A16EA3">
            <w:pPr>
              <w:spacing w:before="20" w:after="20"/>
              <w:jc w:val="left"/>
            </w:pPr>
            <w:r>
              <w:rPr>
                <w:rFonts w:cstheme="minorHAnsi"/>
                <w:sz w:val="20"/>
                <w:szCs w:val="20"/>
              </w:rPr>
              <w:t>Availability of Power BI deployment pipelines (Premium / Fabric capacity).</w:t>
            </w:r>
          </w:p>
        </w:tc>
        <w:tc>
          <w:tcPr>
            <w:tcW w:w="2340" w:type="dxa"/>
            <w:vAlign w:val="center"/>
          </w:tcPr>
          <w:p w14:paraId="413F3FBD" w14:textId="77777777" w:rsidR="00672297" w:rsidRDefault="00A16EA3">
            <w:pPr>
              <w:spacing w:before="20" w:after="20"/>
              <w:jc w:val="left"/>
            </w:pPr>
            <w:r>
              <w:rPr>
                <w:rFonts w:cstheme="minorHAnsi"/>
                <w:sz w:val="20"/>
                <w:szCs w:val="20"/>
              </w:rPr>
              <w:t>Deployment</w:t>
            </w:r>
          </w:p>
        </w:tc>
        <w:tc>
          <w:tcPr>
            <w:tcW w:w="1405" w:type="dxa"/>
            <w:vAlign w:val="center"/>
          </w:tcPr>
          <w:p w14:paraId="327D17E4" w14:textId="77777777" w:rsidR="00672297" w:rsidRDefault="00A16EA3">
            <w:pPr>
              <w:spacing w:before="20" w:after="20"/>
              <w:jc w:val="left"/>
            </w:pPr>
            <w:r>
              <w:rPr>
                <w:rFonts w:cstheme="minorHAnsi"/>
                <w:sz w:val="20"/>
                <w:szCs w:val="20"/>
              </w:rPr>
              <w:t>Platform team</w:t>
            </w:r>
          </w:p>
        </w:tc>
      </w:tr>
      <w:tr w:rsidR="00672297" w14:paraId="1D359D0C" w14:textId="77777777">
        <w:trPr>
          <w:cantSplit/>
        </w:trPr>
        <w:tc>
          <w:tcPr>
            <w:tcW w:w="748" w:type="dxa"/>
            <w:vAlign w:val="center"/>
          </w:tcPr>
          <w:p w14:paraId="1DC58C21" w14:textId="77777777" w:rsidR="00672297" w:rsidRDefault="00A16EA3">
            <w:pPr>
              <w:spacing w:before="20" w:after="20"/>
              <w:jc w:val="left"/>
            </w:pPr>
            <w:r>
              <w:rPr>
                <w:rFonts w:cstheme="minorHAnsi"/>
                <w:sz w:val="20"/>
                <w:szCs w:val="20"/>
              </w:rPr>
              <w:t>RD-15</w:t>
            </w:r>
          </w:p>
        </w:tc>
        <w:tc>
          <w:tcPr>
            <w:tcW w:w="4867" w:type="dxa"/>
            <w:vAlign w:val="center"/>
          </w:tcPr>
          <w:p w14:paraId="3E9D9FCF" w14:textId="77777777" w:rsidR="00672297" w:rsidRDefault="00A16EA3">
            <w:pPr>
              <w:spacing w:before="20" w:after="20"/>
              <w:jc w:val="left"/>
            </w:pPr>
            <w:r>
              <w:rPr>
                <w:rFonts w:cstheme="minorHAnsi"/>
                <w:sz w:val="20"/>
                <w:szCs w:val="20"/>
              </w:rPr>
              <w:t>Confirmation that no row-level security is required.</w:t>
            </w:r>
          </w:p>
        </w:tc>
        <w:tc>
          <w:tcPr>
            <w:tcW w:w="2340" w:type="dxa"/>
            <w:vAlign w:val="center"/>
          </w:tcPr>
          <w:p w14:paraId="4008AF87" w14:textId="77777777" w:rsidR="00672297" w:rsidRDefault="00A16EA3">
            <w:pPr>
              <w:spacing w:before="20" w:after="20"/>
              <w:jc w:val="left"/>
            </w:pPr>
            <w:r>
              <w:rPr>
                <w:rFonts w:cstheme="minorHAnsi"/>
                <w:sz w:val="20"/>
                <w:szCs w:val="20"/>
              </w:rPr>
              <w:t>Security</w:t>
            </w:r>
          </w:p>
        </w:tc>
        <w:tc>
          <w:tcPr>
            <w:tcW w:w="1405" w:type="dxa"/>
            <w:vAlign w:val="center"/>
          </w:tcPr>
          <w:p w14:paraId="28429407" w14:textId="77777777" w:rsidR="00672297" w:rsidRDefault="00A16EA3">
            <w:pPr>
              <w:spacing w:before="20" w:after="20"/>
              <w:jc w:val="left"/>
            </w:pPr>
            <w:r>
              <w:rPr>
                <w:rFonts w:cstheme="minorHAnsi"/>
                <w:sz w:val="20"/>
                <w:szCs w:val="20"/>
              </w:rPr>
              <w:t>Product owner</w:t>
            </w:r>
          </w:p>
        </w:tc>
      </w:tr>
      <w:tr w:rsidR="00672297" w14:paraId="2AAC2463" w14:textId="77777777">
        <w:trPr>
          <w:cantSplit/>
        </w:trPr>
        <w:tc>
          <w:tcPr>
            <w:tcW w:w="748" w:type="dxa"/>
            <w:vAlign w:val="center"/>
          </w:tcPr>
          <w:p w14:paraId="2CD69A4B" w14:textId="77777777" w:rsidR="00672297" w:rsidRDefault="00A16EA3">
            <w:pPr>
              <w:spacing w:before="20" w:after="20"/>
              <w:jc w:val="left"/>
            </w:pPr>
            <w:r>
              <w:rPr>
                <w:rFonts w:cstheme="minorHAnsi"/>
                <w:sz w:val="20"/>
                <w:szCs w:val="20"/>
              </w:rPr>
              <w:t>RD-16</w:t>
            </w:r>
          </w:p>
        </w:tc>
        <w:tc>
          <w:tcPr>
            <w:tcW w:w="4867" w:type="dxa"/>
            <w:vAlign w:val="center"/>
          </w:tcPr>
          <w:p w14:paraId="3FEA0D48" w14:textId="77777777" w:rsidR="00672297" w:rsidRDefault="00A16EA3">
            <w:pPr>
              <w:spacing w:before="20" w:after="20"/>
              <w:jc w:val="left"/>
            </w:pPr>
            <w:r>
              <w:rPr>
                <w:rFonts w:cstheme="minorHAnsi"/>
                <w:sz w:val="20"/>
                <w:szCs w:val="20"/>
              </w:rPr>
              <w:t>Requirement of the placeholder dashboard.</w:t>
            </w:r>
          </w:p>
        </w:tc>
        <w:tc>
          <w:tcPr>
            <w:tcW w:w="2340" w:type="dxa"/>
            <w:vAlign w:val="center"/>
          </w:tcPr>
          <w:p w14:paraId="110C5B6D" w14:textId="77777777" w:rsidR="00672297" w:rsidRDefault="00A16EA3">
            <w:pPr>
              <w:spacing w:before="20" w:after="20"/>
              <w:jc w:val="left"/>
            </w:pPr>
            <w:r>
              <w:rPr>
                <w:rFonts w:cstheme="minorHAnsi"/>
                <w:sz w:val="20"/>
                <w:szCs w:val="20"/>
              </w:rPr>
              <w:t>Placeholder</w:t>
            </w:r>
          </w:p>
        </w:tc>
        <w:tc>
          <w:tcPr>
            <w:tcW w:w="1405" w:type="dxa"/>
            <w:vAlign w:val="center"/>
          </w:tcPr>
          <w:p w14:paraId="221C1707" w14:textId="77777777" w:rsidR="00672297" w:rsidRDefault="00A16EA3">
            <w:pPr>
              <w:spacing w:before="20" w:after="20"/>
              <w:jc w:val="left"/>
            </w:pPr>
            <w:r>
              <w:rPr>
                <w:rFonts w:cstheme="minorHAnsi"/>
                <w:sz w:val="20"/>
                <w:szCs w:val="20"/>
              </w:rPr>
              <w:t>Product owner</w:t>
            </w:r>
          </w:p>
        </w:tc>
      </w:tr>
      <w:tr w:rsidR="00672297" w14:paraId="3EDD5B67" w14:textId="77777777">
        <w:trPr>
          <w:cantSplit/>
        </w:trPr>
        <w:tc>
          <w:tcPr>
            <w:tcW w:w="748" w:type="dxa"/>
            <w:vAlign w:val="center"/>
          </w:tcPr>
          <w:p w14:paraId="28FCB053" w14:textId="77777777" w:rsidR="00672297" w:rsidRDefault="00A16EA3">
            <w:pPr>
              <w:spacing w:before="20" w:after="20"/>
              <w:jc w:val="left"/>
            </w:pPr>
            <w:r>
              <w:rPr>
                <w:rFonts w:cstheme="minorHAnsi"/>
                <w:sz w:val="20"/>
                <w:szCs w:val="20"/>
              </w:rPr>
              <w:t>RD-17</w:t>
            </w:r>
          </w:p>
        </w:tc>
        <w:tc>
          <w:tcPr>
            <w:tcW w:w="4867" w:type="dxa"/>
            <w:vAlign w:val="center"/>
          </w:tcPr>
          <w:p w14:paraId="01052923" w14:textId="77777777" w:rsidR="00672297" w:rsidRDefault="00A16EA3">
            <w:pPr>
              <w:spacing w:before="20" w:after="20"/>
              <w:jc w:val="left"/>
            </w:pPr>
            <w:r>
              <w:rPr>
                <w:rFonts w:cstheme="minorHAnsi"/>
                <w:sz w:val="20"/>
                <w:szCs w:val="20"/>
              </w:rPr>
              <w:t>Section 2 states that MPR prices are never persisted; the agreed design stores them in the Power BI semantic model (import). Confirm with information security that holding MPR prices in the dataset is acceptable.</w:t>
            </w:r>
          </w:p>
        </w:tc>
        <w:tc>
          <w:tcPr>
            <w:tcW w:w="2340" w:type="dxa"/>
            <w:vAlign w:val="center"/>
          </w:tcPr>
          <w:p w14:paraId="3E07D40B" w14:textId="77777777" w:rsidR="00672297" w:rsidRDefault="00A16EA3">
            <w:pPr>
              <w:spacing w:before="20" w:after="20"/>
              <w:jc w:val="left"/>
            </w:pPr>
            <w:r>
              <w:rPr>
                <w:rFonts w:cstheme="minorHAnsi"/>
                <w:sz w:val="20"/>
                <w:szCs w:val="20"/>
              </w:rPr>
              <w:t>Gasoline KPI, Distillate KPI</w:t>
            </w:r>
          </w:p>
        </w:tc>
        <w:tc>
          <w:tcPr>
            <w:tcW w:w="1405" w:type="dxa"/>
            <w:vAlign w:val="center"/>
          </w:tcPr>
          <w:p w14:paraId="4D5E89E8" w14:textId="77777777" w:rsidR="00672297" w:rsidRDefault="00A16EA3">
            <w:pPr>
              <w:spacing w:before="20" w:after="20"/>
              <w:jc w:val="left"/>
            </w:pPr>
            <w:r>
              <w:rPr>
                <w:rFonts w:cstheme="minorHAnsi"/>
                <w:sz w:val="20"/>
                <w:szCs w:val="20"/>
              </w:rPr>
              <w:t>Product owner / security</w:t>
            </w:r>
          </w:p>
        </w:tc>
      </w:tr>
      <w:tr w:rsidR="00672297" w14:paraId="42089157" w14:textId="77777777">
        <w:trPr>
          <w:cantSplit/>
        </w:trPr>
        <w:tc>
          <w:tcPr>
            <w:tcW w:w="748" w:type="dxa"/>
            <w:vAlign w:val="center"/>
          </w:tcPr>
          <w:p w14:paraId="4D085B41" w14:textId="77777777" w:rsidR="00672297" w:rsidRDefault="00A16EA3">
            <w:pPr>
              <w:spacing w:before="20" w:after="20"/>
              <w:jc w:val="left"/>
            </w:pPr>
            <w:r>
              <w:rPr>
                <w:rFonts w:cstheme="minorHAnsi"/>
                <w:sz w:val="20"/>
                <w:szCs w:val="20"/>
              </w:rPr>
              <w:t>RD-18</w:t>
            </w:r>
          </w:p>
        </w:tc>
        <w:tc>
          <w:tcPr>
            <w:tcW w:w="4867" w:type="dxa"/>
            <w:vAlign w:val="center"/>
          </w:tcPr>
          <w:p w14:paraId="54A1A879" w14:textId="77777777" w:rsidR="00672297" w:rsidRDefault="00A16EA3">
            <w:pPr>
              <w:spacing w:before="20" w:after="20"/>
              <w:jc w:val="left"/>
            </w:pPr>
            <w:r>
              <w:rPr>
                <w:rFonts w:cstheme="minorHAnsi"/>
                <w:sz w:val="20"/>
                <w:szCs w:val="20"/>
              </w:rPr>
              <w:t>The view name vwDistillateBlendPotentialQuality serves the Blending Potential (gasoline) dashboard; confirm the view-to-dashboard mapping used in this chapter.</w:t>
            </w:r>
          </w:p>
        </w:tc>
        <w:tc>
          <w:tcPr>
            <w:tcW w:w="2340" w:type="dxa"/>
            <w:vAlign w:val="center"/>
          </w:tcPr>
          <w:p w14:paraId="58C91E52" w14:textId="77777777" w:rsidR="00672297" w:rsidRDefault="00A16EA3">
            <w:pPr>
              <w:spacing w:before="20" w:after="20"/>
              <w:jc w:val="left"/>
            </w:pPr>
            <w:r>
              <w:rPr>
                <w:rFonts w:cstheme="minorHAnsi"/>
                <w:sz w:val="20"/>
                <w:szCs w:val="20"/>
              </w:rPr>
              <w:t>Blending Potential</w:t>
            </w:r>
          </w:p>
        </w:tc>
        <w:tc>
          <w:tcPr>
            <w:tcW w:w="1405" w:type="dxa"/>
            <w:vAlign w:val="center"/>
          </w:tcPr>
          <w:p w14:paraId="369D0D00" w14:textId="77777777" w:rsidR="00672297" w:rsidRDefault="00A16EA3">
            <w:pPr>
              <w:spacing w:before="20" w:after="20"/>
              <w:jc w:val="left"/>
            </w:pPr>
            <w:r>
              <w:rPr>
                <w:rFonts w:cstheme="minorHAnsi"/>
                <w:sz w:val="20"/>
                <w:szCs w:val="20"/>
              </w:rPr>
              <w:t>Database / dashboard team</w:t>
            </w:r>
          </w:p>
        </w:tc>
      </w:tr>
    </w:tbl>
    <w:p w14:paraId="5DBC965D" w14:textId="65C93849" w:rsidR="00672297" w:rsidRDefault="00A16EA3">
      <w:pPr>
        <w:pStyle w:val="Caption"/>
      </w:pPr>
      <w:bookmarkStart w:id="808" w:name="_Toc900950203"/>
      <w:bookmarkStart w:id="809" w:name="_Toc241574750"/>
      <w:bookmarkStart w:id="810" w:name="_Toc242554134"/>
      <w:r>
        <w:t xml:space="preserve">Table </w:t>
      </w:r>
      <w:r>
        <w:fldChar w:fldCharType="begin"/>
      </w:r>
      <w:r>
        <w:instrText>STYLEREF 1 \s</w:instrText>
      </w:r>
      <w:r>
        <w:fldChar w:fldCharType="separate"/>
      </w:r>
      <w:r w:rsidR="00FC42E7">
        <w:rPr>
          <w:noProof/>
        </w:rPr>
        <w:t>4</w:t>
      </w:r>
      <w:r>
        <w:fldChar w:fldCharType="end"/>
      </w:r>
      <w:r>
        <w:t>-</w:t>
      </w:r>
      <w:r>
        <w:fldChar w:fldCharType="begin"/>
      </w:r>
      <w:r>
        <w:instrText>SEQ Table \* ARABIC \s 1</w:instrText>
      </w:r>
      <w:r>
        <w:fldChar w:fldCharType="separate"/>
      </w:r>
      <w:r w:rsidR="00FC42E7">
        <w:rPr>
          <w:noProof/>
        </w:rPr>
        <w:t>61</w:t>
      </w:r>
      <w:r>
        <w:fldChar w:fldCharType="end"/>
      </w:r>
      <w:r>
        <w:t>: Reports and Dashboards Gaps Requiring Confirmation</w:t>
      </w:r>
      <w:bookmarkEnd w:id="808"/>
      <w:bookmarkEnd w:id="809"/>
      <w:bookmarkEnd w:id="810"/>
    </w:p>
    <w:p w14:paraId="4DD909EA" w14:textId="77777777" w:rsidR="00724494" w:rsidRPr="00E83BEF" w:rsidRDefault="00724494">
      <w:pPr>
        <w:rPr>
          <w:rFonts w:cstheme="minorHAnsi"/>
          <w:b/>
          <w:bCs/>
          <w:sz w:val="20"/>
          <w:szCs w:val="20"/>
        </w:rPr>
      </w:pPr>
      <w:r w:rsidRPr="00E83BEF">
        <w:rPr>
          <w:rFonts w:cstheme="minorHAnsi"/>
          <w:sz w:val="20"/>
          <w:szCs w:val="20"/>
        </w:rPr>
        <w:br w:type="page"/>
      </w:r>
    </w:p>
    <w:p w14:paraId="1692107B" w14:textId="7BFD9033" w:rsidR="0013274F" w:rsidRPr="00E83BEF" w:rsidRDefault="1B2D6F25" w:rsidP="00173AD0">
      <w:pPr>
        <w:pStyle w:val="Heading1"/>
        <w:rPr>
          <w:rFonts w:asciiTheme="minorHAnsi" w:hAnsiTheme="minorHAnsi" w:cstheme="minorBidi"/>
          <w:sz w:val="20"/>
          <w:szCs w:val="20"/>
          <w:lang w:val="en-IN"/>
        </w:rPr>
      </w:pPr>
      <w:bookmarkStart w:id="811" w:name="_Toc371176088"/>
      <w:bookmarkStart w:id="812" w:name="_Toc1108466201"/>
      <w:bookmarkStart w:id="813" w:name="_Toc241574371"/>
      <w:bookmarkStart w:id="814" w:name="_Toc242553993"/>
      <w:r w:rsidRPr="7F6E7DEF">
        <w:rPr>
          <w:rFonts w:asciiTheme="minorHAnsi" w:hAnsiTheme="minorHAnsi" w:cstheme="minorBidi"/>
          <w:sz w:val="20"/>
          <w:szCs w:val="20"/>
        </w:rPr>
        <w:t>Appendix</w:t>
      </w:r>
      <w:bookmarkEnd w:id="811"/>
      <w:bookmarkEnd w:id="812"/>
      <w:bookmarkEnd w:id="813"/>
      <w:bookmarkEnd w:id="814"/>
    </w:p>
    <w:p w14:paraId="28D1D811" w14:textId="6FD29238" w:rsidR="0013274F" w:rsidRPr="00E83BEF" w:rsidRDefault="1B2D6F25" w:rsidP="003172D3">
      <w:pPr>
        <w:pStyle w:val="Heading2"/>
        <w:rPr>
          <w:rFonts w:asciiTheme="minorHAnsi" w:hAnsiTheme="minorHAnsi" w:cstheme="minorBidi"/>
          <w:sz w:val="20"/>
          <w:szCs w:val="20"/>
        </w:rPr>
      </w:pPr>
      <w:bookmarkStart w:id="815" w:name="_Toc228272894"/>
      <w:bookmarkStart w:id="816" w:name="_Toc1713824718"/>
      <w:bookmarkStart w:id="817" w:name="_Toc2102340008"/>
      <w:bookmarkStart w:id="818" w:name="_Toc241574372"/>
      <w:bookmarkStart w:id="819" w:name="_Toc242553994"/>
      <w:r w:rsidRPr="7F6E7DEF">
        <w:rPr>
          <w:rFonts w:asciiTheme="minorHAnsi" w:hAnsiTheme="minorHAnsi" w:cstheme="minorBidi"/>
          <w:sz w:val="20"/>
          <w:szCs w:val="20"/>
        </w:rPr>
        <w:t>Glossary of Terms</w:t>
      </w:r>
      <w:bookmarkEnd w:id="815"/>
      <w:bookmarkEnd w:id="816"/>
      <w:bookmarkEnd w:id="817"/>
      <w:bookmarkEnd w:id="818"/>
      <w:bookmarkEnd w:id="819"/>
    </w:p>
    <w:p w14:paraId="5CBBAEE1" w14:textId="77777777" w:rsidR="00871AE8" w:rsidRPr="00E83BEF" w:rsidRDefault="00871AE8" w:rsidP="00871AE8">
      <w:pPr>
        <w:rPr>
          <w:rFonts w:cstheme="minorHAnsi"/>
          <w:sz w:val="20"/>
          <w:szCs w:val="20"/>
        </w:rPr>
      </w:pPr>
      <w:r w:rsidRPr="00E83BEF">
        <w:rPr>
          <w:rFonts w:cstheme="minorHAnsi"/>
          <w:sz w:val="20"/>
          <w:szCs w:val="20"/>
        </w:rPr>
        <w:t>The following table illustrates the Glossary of terms used in this document.</w:t>
      </w:r>
    </w:p>
    <w:tbl>
      <w:tblPr>
        <w:tblStyle w:val="TableGrid"/>
        <w:tblW w:w="9356" w:type="dxa"/>
        <w:tblInd w:w="-5" w:type="dxa"/>
        <w:tblLook w:val="04A0" w:firstRow="1" w:lastRow="0" w:firstColumn="1" w:lastColumn="0" w:noHBand="0" w:noVBand="1"/>
      </w:tblPr>
      <w:tblGrid>
        <w:gridCol w:w="788"/>
        <w:gridCol w:w="3119"/>
        <w:gridCol w:w="5449"/>
      </w:tblGrid>
      <w:tr w:rsidR="00871AE8" w:rsidRPr="00E83BEF" w14:paraId="28CA10F1" w14:textId="77777777" w:rsidTr="00FA546F">
        <w:trPr>
          <w:trHeight w:val="251"/>
        </w:trPr>
        <w:tc>
          <w:tcPr>
            <w:tcW w:w="788" w:type="dxa"/>
            <w:shd w:val="clear" w:color="auto" w:fill="2F5597"/>
          </w:tcPr>
          <w:p w14:paraId="2730D91D" w14:textId="77777777" w:rsidR="00871AE8" w:rsidRPr="00E83BEF" w:rsidRDefault="00871AE8" w:rsidP="00476D2B">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3119" w:type="dxa"/>
            <w:shd w:val="clear" w:color="auto" w:fill="2F5597"/>
          </w:tcPr>
          <w:p w14:paraId="1805EC2E" w14:textId="77777777" w:rsidR="00871AE8" w:rsidRPr="00E83BEF" w:rsidRDefault="00871AE8"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Name</w:t>
            </w:r>
          </w:p>
        </w:tc>
        <w:tc>
          <w:tcPr>
            <w:tcW w:w="5449" w:type="dxa"/>
            <w:shd w:val="clear" w:color="auto" w:fill="2F5496"/>
          </w:tcPr>
          <w:p w14:paraId="36424E7E" w14:textId="77777777" w:rsidR="00871AE8" w:rsidRPr="00E83BEF" w:rsidRDefault="00871AE8"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Description</w:t>
            </w:r>
          </w:p>
        </w:tc>
      </w:tr>
      <w:tr w:rsidR="00871AE8" w:rsidRPr="00E83BEF" w14:paraId="38DB488E" w14:textId="77777777" w:rsidTr="000E7FA6">
        <w:trPr>
          <w:trHeight w:val="256"/>
        </w:trPr>
        <w:tc>
          <w:tcPr>
            <w:tcW w:w="788" w:type="dxa"/>
          </w:tcPr>
          <w:p w14:paraId="6AF8A6DE" w14:textId="212F13A6" w:rsidR="00871AE8" w:rsidRPr="00E83BEF" w:rsidRDefault="003406A6" w:rsidP="00476D2B">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3119" w:type="dxa"/>
          </w:tcPr>
          <w:p w14:paraId="60269120" w14:textId="0B757FB7" w:rsidR="00871AE8" w:rsidRPr="00E83BEF" w:rsidRDefault="00871AE8" w:rsidP="00476D2B">
            <w:pPr>
              <w:pStyle w:val="Bodycopy"/>
              <w:keepNext/>
              <w:rPr>
                <w:rFonts w:asciiTheme="minorHAnsi" w:hAnsiTheme="minorHAnsi" w:cstheme="minorHAnsi"/>
              </w:rPr>
            </w:pPr>
            <w:r w:rsidRPr="00E83BEF">
              <w:rPr>
                <w:rFonts w:asciiTheme="minorHAnsi" w:hAnsiTheme="minorHAnsi" w:cstheme="minorHAnsi"/>
              </w:rPr>
              <w:t>A</w:t>
            </w:r>
            <w:r w:rsidR="00A27272" w:rsidRPr="00E83BEF">
              <w:rPr>
                <w:rFonts w:asciiTheme="minorHAnsi" w:hAnsiTheme="minorHAnsi" w:cstheme="minorHAnsi"/>
              </w:rPr>
              <w:t>P</w:t>
            </w:r>
            <w:r w:rsidRPr="00E83BEF">
              <w:rPr>
                <w:rFonts w:asciiTheme="minorHAnsi" w:hAnsiTheme="minorHAnsi" w:cstheme="minorHAnsi"/>
              </w:rPr>
              <w:t>S</w:t>
            </w:r>
          </w:p>
        </w:tc>
        <w:tc>
          <w:tcPr>
            <w:tcW w:w="5449" w:type="dxa"/>
          </w:tcPr>
          <w:p w14:paraId="429A69D8" w14:textId="1A5CAFB6" w:rsidR="00871AE8" w:rsidRPr="00E83BEF" w:rsidRDefault="00F81E63" w:rsidP="00476D2B">
            <w:pPr>
              <w:pStyle w:val="Bodycopy"/>
              <w:keepNext/>
              <w:rPr>
                <w:rFonts w:asciiTheme="minorHAnsi" w:hAnsiTheme="minorHAnsi" w:cstheme="minorHAnsi"/>
              </w:rPr>
            </w:pPr>
            <w:r>
              <w:rPr>
                <w:rFonts w:asciiTheme="minorHAnsi" w:hAnsiTheme="minorHAnsi" w:cstheme="minorHAnsi"/>
              </w:rPr>
              <w:t>Aspen Petroleum Scheduler, the refinery scheduling system (source of scheduled inventory, quality and events).</w:t>
            </w:r>
          </w:p>
        </w:tc>
      </w:tr>
      <w:tr w:rsidR="00A835AE" w:rsidRPr="00E83BEF" w14:paraId="38316BBE" w14:textId="77777777" w:rsidTr="000E7FA6">
        <w:trPr>
          <w:trHeight w:val="256"/>
        </w:trPr>
        <w:tc>
          <w:tcPr>
            <w:tcW w:w="788" w:type="dxa"/>
          </w:tcPr>
          <w:p w14:paraId="3F21A3A6" w14:textId="0BDEAB72" w:rsidR="00A835AE" w:rsidRPr="00E83BEF" w:rsidRDefault="003406A6" w:rsidP="00476D2B">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2</w:t>
            </w:r>
          </w:p>
        </w:tc>
        <w:tc>
          <w:tcPr>
            <w:tcW w:w="3119" w:type="dxa"/>
          </w:tcPr>
          <w:p w14:paraId="088FFC3D" w14:textId="07E29ED9" w:rsidR="00A835AE" w:rsidRPr="00E83BEF" w:rsidRDefault="00E35D0B" w:rsidP="00476D2B">
            <w:pPr>
              <w:pStyle w:val="Bodycopy"/>
              <w:keepNext/>
              <w:rPr>
                <w:rFonts w:asciiTheme="minorHAnsi" w:hAnsiTheme="minorHAnsi" w:cstheme="minorHAnsi"/>
              </w:rPr>
            </w:pPr>
            <w:r w:rsidRPr="00E83BEF">
              <w:rPr>
                <w:rFonts w:asciiTheme="minorHAnsi" w:hAnsiTheme="minorHAnsi" w:cstheme="minorHAnsi"/>
              </w:rPr>
              <w:t>OSI PI</w:t>
            </w:r>
          </w:p>
        </w:tc>
        <w:tc>
          <w:tcPr>
            <w:tcW w:w="5449" w:type="dxa"/>
          </w:tcPr>
          <w:p w14:paraId="16CC56FA" w14:textId="04886B07" w:rsidR="00A835AE" w:rsidRPr="00E83BEF" w:rsidRDefault="00A212FF" w:rsidP="00476D2B">
            <w:pPr>
              <w:pStyle w:val="Bodycopy"/>
              <w:keepNext/>
              <w:rPr>
                <w:rFonts w:asciiTheme="minorHAnsi" w:hAnsiTheme="minorHAnsi" w:cstheme="minorHAnsi"/>
              </w:rPr>
            </w:pPr>
            <w:r>
              <w:rPr>
                <w:rFonts w:asciiTheme="minorHAnsi" w:hAnsiTheme="minorHAnsi" w:cstheme="minorHAnsi"/>
              </w:rPr>
              <w:t>Plant historian (OSIsoft PI); source of the tank, injector and analyzer readings read through PIAF.</w:t>
            </w:r>
          </w:p>
        </w:tc>
      </w:tr>
      <w:tr w:rsidR="00A835AE" w:rsidRPr="00E83BEF" w14:paraId="03FE421B" w14:textId="77777777" w:rsidTr="000E7FA6">
        <w:trPr>
          <w:trHeight w:val="256"/>
        </w:trPr>
        <w:tc>
          <w:tcPr>
            <w:tcW w:w="788" w:type="dxa"/>
          </w:tcPr>
          <w:p w14:paraId="6207BBB7" w14:textId="2DF74E27" w:rsidR="00A835AE" w:rsidRPr="00E83BEF" w:rsidRDefault="003406A6" w:rsidP="00476D2B">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3</w:t>
            </w:r>
          </w:p>
        </w:tc>
        <w:tc>
          <w:tcPr>
            <w:tcW w:w="3119" w:type="dxa"/>
          </w:tcPr>
          <w:p w14:paraId="5DB9590F" w14:textId="485C6468" w:rsidR="00A835AE" w:rsidRPr="00E83BEF" w:rsidRDefault="00A835AE" w:rsidP="00476D2B">
            <w:pPr>
              <w:pStyle w:val="Bodycopy"/>
              <w:keepNext/>
              <w:rPr>
                <w:rFonts w:asciiTheme="minorHAnsi" w:hAnsiTheme="minorHAnsi" w:cstheme="minorHAnsi"/>
              </w:rPr>
            </w:pPr>
            <w:r w:rsidRPr="00E83BEF">
              <w:rPr>
                <w:rFonts w:asciiTheme="minorHAnsi" w:hAnsiTheme="minorHAnsi" w:cstheme="minorHAnsi"/>
                <w:lang w:val="en-US"/>
              </w:rPr>
              <w:t>Service Bus</w:t>
            </w:r>
          </w:p>
        </w:tc>
        <w:tc>
          <w:tcPr>
            <w:tcW w:w="5449" w:type="dxa"/>
          </w:tcPr>
          <w:p w14:paraId="2A9A7EC6" w14:textId="1B84BA8E" w:rsidR="00A835AE" w:rsidRPr="00E83BEF" w:rsidRDefault="00A835AE" w:rsidP="00476D2B">
            <w:pPr>
              <w:pStyle w:val="Bodycopy"/>
              <w:keepNext/>
              <w:rPr>
                <w:rFonts w:asciiTheme="minorHAnsi" w:hAnsiTheme="minorHAnsi" w:cstheme="minorHAnsi"/>
              </w:rPr>
            </w:pPr>
            <w:r w:rsidRPr="00E83BEF">
              <w:rPr>
                <w:rFonts w:asciiTheme="minorHAnsi" w:hAnsiTheme="minorHAnsi" w:cstheme="minorHAnsi"/>
              </w:rPr>
              <w:t>Azure messaging service used for reliable request/response message transfer.</w:t>
            </w:r>
          </w:p>
        </w:tc>
      </w:tr>
      <w:tr w:rsidR="00A835AE" w:rsidRPr="00E83BEF" w14:paraId="43C80C7C" w14:textId="77777777" w:rsidTr="000E7FA6">
        <w:trPr>
          <w:trHeight w:val="256"/>
        </w:trPr>
        <w:tc>
          <w:tcPr>
            <w:tcW w:w="788" w:type="dxa"/>
          </w:tcPr>
          <w:p w14:paraId="2F7FE6EE" w14:textId="14AA0A8A" w:rsidR="00A835AE" w:rsidRPr="00E83BEF" w:rsidRDefault="003406A6" w:rsidP="00476D2B">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4</w:t>
            </w:r>
          </w:p>
        </w:tc>
        <w:tc>
          <w:tcPr>
            <w:tcW w:w="3119" w:type="dxa"/>
          </w:tcPr>
          <w:p w14:paraId="58CB0F74" w14:textId="64D77AF1" w:rsidR="00A835AE" w:rsidRPr="00E83BEF" w:rsidRDefault="00A835AE" w:rsidP="00476D2B">
            <w:pPr>
              <w:pStyle w:val="Bodycopy"/>
              <w:keepNext/>
              <w:rPr>
                <w:rFonts w:asciiTheme="minorHAnsi" w:hAnsiTheme="minorHAnsi" w:cstheme="minorHAnsi"/>
              </w:rPr>
            </w:pPr>
            <w:r w:rsidRPr="00E83BEF">
              <w:rPr>
                <w:rFonts w:asciiTheme="minorHAnsi" w:hAnsiTheme="minorHAnsi" w:cstheme="minorHAnsi"/>
              </w:rPr>
              <w:t>Profisee</w:t>
            </w:r>
          </w:p>
        </w:tc>
        <w:tc>
          <w:tcPr>
            <w:tcW w:w="5449" w:type="dxa"/>
          </w:tcPr>
          <w:p w14:paraId="011CAA90" w14:textId="173996E0" w:rsidR="00A835AE" w:rsidRPr="00E83BEF" w:rsidRDefault="00A212FF" w:rsidP="00476D2B">
            <w:pPr>
              <w:pStyle w:val="Bodycopy"/>
              <w:keepNext/>
              <w:rPr>
                <w:rFonts w:asciiTheme="minorHAnsi" w:hAnsiTheme="minorHAnsi" w:cstheme="minorHAnsi"/>
              </w:rPr>
            </w:pPr>
            <w:r>
              <w:rPr>
                <w:rFonts w:asciiTheme="minorHAnsi" w:hAnsiTheme="minorHAnsi" w:cstheme="minorHAnsi"/>
              </w:rPr>
              <w:t>Master data management system used for code mapping.</w:t>
            </w:r>
          </w:p>
        </w:tc>
      </w:tr>
      <w:tr w:rsidR="560C2F6D" w:rsidRPr="00E83BEF" w14:paraId="2FA59A3E" w14:textId="77777777" w:rsidTr="560C2F6D">
        <w:trPr>
          <w:trHeight w:val="256"/>
        </w:trPr>
        <w:tc>
          <w:tcPr>
            <w:tcW w:w="788" w:type="dxa"/>
          </w:tcPr>
          <w:p w14:paraId="3F2692F2" w14:textId="2600ED27" w:rsidR="560C2F6D" w:rsidRPr="00E83BEF"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5</w:t>
            </w:r>
          </w:p>
        </w:tc>
        <w:tc>
          <w:tcPr>
            <w:tcW w:w="3119" w:type="dxa"/>
          </w:tcPr>
          <w:p w14:paraId="73AB4706" w14:textId="5366A6A9" w:rsidR="560C2F6D" w:rsidRPr="00E83BEF" w:rsidRDefault="2F1A8E19" w:rsidP="560C2F6D">
            <w:pPr>
              <w:pStyle w:val="Bodycopy"/>
              <w:rPr>
                <w:rFonts w:asciiTheme="minorHAnsi" w:hAnsiTheme="minorHAnsi" w:cstheme="minorHAnsi"/>
              </w:rPr>
            </w:pPr>
            <w:r w:rsidRPr="00E83BEF">
              <w:rPr>
                <w:rFonts w:asciiTheme="minorHAnsi" w:hAnsiTheme="minorHAnsi" w:cstheme="minorHAnsi"/>
              </w:rPr>
              <w:t>LIMS</w:t>
            </w:r>
          </w:p>
        </w:tc>
        <w:tc>
          <w:tcPr>
            <w:tcW w:w="5449" w:type="dxa"/>
          </w:tcPr>
          <w:p w14:paraId="6C326624" w14:textId="6D829EB0" w:rsidR="560C2F6D" w:rsidRPr="00E83BEF" w:rsidRDefault="47126B66" w:rsidP="00406F6D">
            <w:pPr>
              <w:pStyle w:val="Bodycopy"/>
              <w:keepNext/>
              <w:rPr>
                <w:rFonts w:asciiTheme="minorHAnsi" w:hAnsiTheme="minorHAnsi" w:cstheme="minorHAnsi"/>
              </w:rPr>
            </w:pPr>
            <w:r w:rsidRPr="00E83BEF">
              <w:rPr>
                <w:rFonts w:asciiTheme="minorHAnsi" w:hAnsiTheme="minorHAnsi" w:cstheme="minorHAnsi"/>
              </w:rPr>
              <w:t>Laboratory Information Management System. It is the system used to manage laboratory samples, quality tests, results, and compliance data for crude oil, intermediates, and finished products.</w:t>
            </w:r>
          </w:p>
        </w:tc>
      </w:tr>
      <w:tr w:rsidR="00B16C02" w:rsidRPr="00E83BEF" w14:paraId="22CC0CC0" w14:textId="77777777" w:rsidTr="560C2F6D">
        <w:trPr>
          <w:trHeight w:val="256"/>
        </w:trPr>
        <w:tc>
          <w:tcPr>
            <w:tcW w:w="788" w:type="dxa"/>
          </w:tcPr>
          <w:p w14:paraId="6117D7B0" w14:textId="0D7E79DA" w:rsidR="00B16C02" w:rsidRPr="00E83BEF"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6</w:t>
            </w:r>
          </w:p>
        </w:tc>
        <w:tc>
          <w:tcPr>
            <w:tcW w:w="3119" w:type="dxa"/>
          </w:tcPr>
          <w:p w14:paraId="6ABA5C91" w14:textId="1047148B" w:rsidR="00B16C02" w:rsidRPr="00E83BEF" w:rsidRDefault="00B16C02" w:rsidP="560C2F6D">
            <w:pPr>
              <w:pStyle w:val="Bodycopy"/>
              <w:rPr>
                <w:rFonts w:asciiTheme="minorHAnsi" w:hAnsiTheme="minorHAnsi" w:cstheme="minorHAnsi"/>
              </w:rPr>
            </w:pPr>
            <w:r>
              <w:rPr>
                <w:rFonts w:asciiTheme="minorHAnsi" w:hAnsiTheme="minorHAnsi" w:cstheme="minorHAnsi"/>
              </w:rPr>
              <w:t>VCB</w:t>
            </w:r>
          </w:p>
        </w:tc>
        <w:tc>
          <w:tcPr>
            <w:tcW w:w="5449" w:type="dxa"/>
          </w:tcPr>
          <w:p w14:paraId="0A7E1A85" w14:textId="2CE9F5F1" w:rsidR="00B16C02" w:rsidRPr="00E83BEF" w:rsidRDefault="00CE45AF" w:rsidP="00406F6D">
            <w:pPr>
              <w:pStyle w:val="Bodycopy"/>
              <w:keepNext/>
              <w:rPr>
                <w:rFonts w:asciiTheme="minorHAnsi" w:hAnsiTheme="minorHAnsi" w:cstheme="minorHAnsi"/>
              </w:rPr>
            </w:pPr>
            <w:r>
              <w:rPr>
                <w:rFonts w:asciiTheme="minorHAnsi" w:hAnsiTheme="minorHAnsi" w:cstheme="minorHAnsi"/>
              </w:rPr>
              <w:t>Value Chain Blending: the initiative that delivers the blending visibility and KPI dashboards for the North Region refineries and terminals.</w:t>
            </w:r>
          </w:p>
        </w:tc>
      </w:tr>
      <w:tr w:rsidR="00B16C02" w:rsidRPr="00E83BEF" w14:paraId="51CE6B85" w14:textId="77777777" w:rsidTr="560C2F6D">
        <w:trPr>
          <w:trHeight w:val="256"/>
        </w:trPr>
        <w:tc>
          <w:tcPr>
            <w:tcW w:w="788" w:type="dxa"/>
          </w:tcPr>
          <w:p w14:paraId="0787F34A" w14:textId="78C9D607"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7</w:t>
            </w:r>
          </w:p>
        </w:tc>
        <w:tc>
          <w:tcPr>
            <w:tcW w:w="3119" w:type="dxa"/>
          </w:tcPr>
          <w:p w14:paraId="058D1E1A" w14:textId="4ACA8389" w:rsidR="00B16C02" w:rsidRDefault="00B16C02" w:rsidP="560C2F6D">
            <w:pPr>
              <w:pStyle w:val="Bodycopy"/>
              <w:rPr>
                <w:rFonts w:asciiTheme="minorHAnsi" w:hAnsiTheme="minorHAnsi" w:cstheme="minorHAnsi"/>
              </w:rPr>
            </w:pPr>
            <w:r>
              <w:rPr>
                <w:rFonts w:asciiTheme="minorHAnsi" w:hAnsiTheme="minorHAnsi" w:cstheme="minorHAnsi"/>
              </w:rPr>
              <w:t>PIAF</w:t>
            </w:r>
          </w:p>
        </w:tc>
        <w:tc>
          <w:tcPr>
            <w:tcW w:w="5449" w:type="dxa"/>
          </w:tcPr>
          <w:p w14:paraId="11C8721D" w14:textId="56250558" w:rsidR="00B16C02" w:rsidRDefault="00B16C02" w:rsidP="00406F6D">
            <w:pPr>
              <w:pStyle w:val="Bodycopy"/>
              <w:keepNext/>
              <w:rPr>
                <w:rFonts w:asciiTheme="minorHAnsi" w:hAnsiTheme="minorHAnsi" w:cstheme="minorHAnsi"/>
              </w:rPr>
            </w:pPr>
            <w:r>
              <w:rPr>
                <w:rFonts w:asciiTheme="minorHAnsi" w:hAnsiTheme="minorHAnsi" w:cstheme="minorHAnsi"/>
              </w:rPr>
              <w:t>PI Asset Framework: the asset model of the OSI PI historian; the terminals' tank, injector and analyzer readings are read from its tags.</w:t>
            </w:r>
          </w:p>
        </w:tc>
      </w:tr>
      <w:tr w:rsidR="00B16C02" w:rsidRPr="00E83BEF" w14:paraId="76198B34" w14:textId="77777777" w:rsidTr="560C2F6D">
        <w:trPr>
          <w:trHeight w:val="256"/>
        </w:trPr>
        <w:tc>
          <w:tcPr>
            <w:tcW w:w="788" w:type="dxa"/>
          </w:tcPr>
          <w:p w14:paraId="3CD90EC9" w14:textId="0785DE85"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8</w:t>
            </w:r>
          </w:p>
        </w:tc>
        <w:tc>
          <w:tcPr>
            <w:tcW w:w="3119" w:type="dxa"/>
          </w:tcPr>
          <w:p w14:paraId="6E191B85" w14:textId="4FB88BB5" w:rsidR="00B16C02" w:rsidRDefault="00B16C02" w:rsidP="560C2F6D">
            <w:pPr>
              <w:pStyle w:val="Bodycopy"/>
              <w:rPr>
                <w:rFonts w:asciiTheme="minorHAnsi" w:hAnsiTheme="minorHAnsi" w:cstheme="minorHAnsi"/>
              </w:rPr>
            </w:pPr>
            <w:r>
              <w:rPr>
                <w:rFonts w:asciiTheme="minorHAnsi" w:hAnsiTheme="minorHAnsi" w:cstheme="minorHAnsi"/>
              </w:rPr>
              <w:t>Kittyhawk</w:t>
            </w:r>
          </w:p>
        </w:tc>
        <w:tc>
          <w:tcPr>
            <w:tcW w:w="5449" w:type="dxa"/>
          </w:tcPr>
          <w:p w14:paraId="5441A9BD" w14:textId="051FB42C" w:rsidR="00B16C02" w:rsidRDefault="00CE45AF" w:rsidP="00406F6D">
            <w:pPr>
              <w:pStyle w:val="Bodycopy"/>
              <w:keepNext/>
              <w:rPr>
                <w:rFonts w:asciiTheme="minorHAnsi" w:hAnsiTheme="minorHAnsi" w:cstheme="minorHAnsi"/>
              </w:rPr>
            </w:pPr>
            <w:r>
              <w:rPr>
                <w:rFonts w:asciiTheme="minorHAnsi" w:hAnsiTheme="minorHAnsi" w:cstheme="minorHAnsi"/>
              </w:rPr>
              <w:t>Terminal inventory and movement system, read through its OData service. Its inventory and movement data reach the IQDM database through the IQDM integrations; the transaction upload is read by the VCB Kittyhawk integration.</w:t>
            </w:r>
          </w:p>
        </w:tc>
      </w:tr>
      <w:tr w:rsidR="00B16C02" w:rsidRPr="00E83BEF" w14:paraId="192429B2" w14:textId="77777777" w:rsidTr="560C2F6D">
        <w:trPr>
          <w:trHeight w:val="256"/>
        </w:trPr>
        <w:tc>
          <w:tcPr>
            <w:tcW w:w="788" w:type="dxa"/>
          </w:tcPr>
          <w:p w14:paraId="0BE0AEF1" w14:textId="2AC52140"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9</w:t>
            </w:r>
          </w:p>
        </w:tc>
        <w:tc>
          <w:tcPr>
            <w:tcW w:w="3119" w:type="dxa"/>
          </w:tcPr>
          <w:p w14:paraId="45A4194F" w14:textId="57BF2272" w:rsidR="00B16C02" w:rsidRDefault="00B16C02" w:rsidP="560C2F6D">
            <w:pPr>
              <w:pStyle w:val="Bodycopy"/>
              <w:rPr>
                <w:rFonts w:asciiTheme="minorHAnsi" w:hAnsiTheme="minorHAnsi" w:cstheme="minorHAnsi"/>
              </w:rPr>
            </w:pPr>
            <w:r>
              <w:rPr>
                <w:rFonts w:asciiTheme="minorHAnsi" w:hAnsiTheme="minorHAnsi" w:cstheme="minorHAnsi"/>
              </w:rPr>
              <w:t>Towworks</w:t>
            </w:r>
          </w:p>
        </w:tc>
        <w:tc>
          <w:tcPr>
            <w:tcW w:w="5449" w:type="dxa"/>
          </w:tcPr>
          <w:p w14:paraId="436BC9A9" w14:textId="5A995FA8" w:rsidR="00B16C02" w:rsidRDefault="00B16C02" w:rsidP="00406F6D">
            <w:pPr>
              <w:pStyle w:val="Bodycopy"/>
              <w:keepNext/>
              <w:rPr>
                <w:rFonts w:asciiTheme="minorHAnsi" w:hAnsiTheme="minorHAnsi" w:cstheme="minorHAnsi"/>
              </w:rPr>
            </w:pPr>
            <w:r>
              <w:rPr>
                <w:rFonts w:asciiTheme="minorHAnsi" w:hAnsiTheme="minorHAnsi" w:cstheme="minorHAnsi"/>
              </w:rPr>
              <w:t>Barge scheduling and movement system for the in-transit barge movements.</w:t>
            </w:r>
          </w:p>
        </w:tc>
      </w:tr>
      <w:tr w:rsidR="00B16C02" w:rsidRPr="00E83BEF" w14:paraId="4AED36BF" w14:textId="77777777" w:rsidTr="560C2F6D">
        <w:trPr>
          <w:trHeight w:val="256"/>
        </w:trPr>
        <w:tc>
          <w:tcPr>
            <w:tcW w:w="788" w:type="dxa"/>
          </w:tcPr>
          <w:p w14:paraId="626DCF18" w14:textId="01E813A3"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10</w:t>
            </w:r>
          </w:p>
        </w:tc>
        <w:tc>
          <w:tcPr>
            <w:tcW w:w="3119" w:type="dxa"/>
          </w:tcPr>
          <w:p w14:paraId="29AEA735" w14:textId="5FB8838F" w:rsidR="00B16C02" w:rsidRDefault="00B16C02" w:rsidP="560C2F6D">
            <w:pPr>
              <w:pStyle w:val="Bodycopy"/>
              <w:rPr>
                <w:rFonts w:asciiTheme="minorHAnsi" w:hAnsiTheme="minorHAnsi" w:cstheme="minorHAnsi"/>
              </w:rPr>
            </w:pPr>
            <w:r>
              <w:rPr>
                <w:rFonts w:asciiTheme="minorHAnsi" w:hAnsiTheme="minorHAnsi" w:cstheme="minorHAnsi"/>
              </w:rPr>
              <w:t>MPR</w:t>
            </w:r>
          </w:p>
        </w:tc>
        <w:tc>
          <w:tcPr>
            <w:tcW w:w="5449" w:type="dxa"/>
          </w:tcPr>
          <w:p w14:paraId="2C516DC7" w14:textId="09FC5D2B" w:rsidR="00B16C02" w:rsidRDefault="00E8030F" w:rsidP="00406F6D">
            <w:pPr>
              <w:pStyle w:val="Bodycopy"/>
              <w:keepNext/>
              <w:rPr>
                <w:rFonts w:asciiTheme="minorHAnsi" w:hAnsiTheme="minorHAnsi" w:cstheme="minorHAnsi"/>
              </w:rPr>
            </w:pPr>
            <w:r>
              <w:rPr>
                <w:rFonts w:asciiTheme="minorHAnsi" w:hAnsiTheme="minorHAnsi" w:cstheme="minorHAnsi"/>
              </w:rPr>
              <w:t xml:space="preserve">Marathon Pricing Repository: </w:t>
            </w:r>
            <w:r w:rsidR="00CE45AF">
              <w:rPr>
                <w:rFonts w:asciiTheme="minorHAnsi" w:hAnsiTheme="minorHAnsi" w:cstheme="minorHAnsi"/>
              </w:rPr>
              <w:t>the SQL database of settled prices, read on demand by the Cost API through the platform price service.</w:t>
            </w:r>
          </w:p>
        </w:tc>
      </w:tr>
      <w:tr w:rsidR="00B16C02" w:rsidRPr="00E83BEF" w14:paraId="44440A79" w14:textId="77777777" w:rsidTr="560C2F6D">
        <w:trPr>
          <w:trHeight w:val="256"/>
        </w:trPr>
        <w:tc>
          <w:tcPr>
            <w:tcW w:w="788" w:type="dxa"/>
          </w:tcPr>
          <w:p w14:paraId="6EFAA5F5" w14:textId="7E1D51E7"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11</w:t>
            </w:r>
          </w:p>
        </w:tc>
        <w:tc>
          <w:tcPr>
            <w:tcW w:w="3119" w:type="dxa"/>
          </w:tcPr>
          <w:p w14:paraId="20BD95A0" w14:textId="5A73A1A8" w:rsidR="00B16C02" w:rsidRDefault="00B16C02" w:rsidP="560C2F6D">
            <w:pPr>
              <w:pStyle w:val="Bodycopy"/>
              <w:rPr>
                <w:rFonts w:asciiTheme="minorHAnsi" w:hAnsiTheme="minorHAnsi" w:cstheme="minorHAnsi"/>
              </w:rPr>
            </w:pPr>
            <w:r>
              <w:rPr>
                <w:rFonts w:asciiTheme="minorHAnsi" w:hAnsiTheme="minorHAnsi" w:cstheme="minorHAnsi"/>
              </w:rPr>
              <w:t>CIP</w:t>
            </w:r>
          </w:p>
        </w:tc>
        <w:tc>
          <w:tcPr>
            <w:tcW w:w="5449" w:type="dxa"/>
          </w:tcPr>
          <w:p w14:paraId="2421EB13" w14:textId="5E4FA3FF" w:rsidR="00B16C02" w:rsidRDefault="00B16C02" w:rsidP="00406F6D">
            <w:pPr>
              <w:pStyle w:val="Bodycopy"/>
              <w:keepNext/>
              <w:rPr>
                <w:rFonts w:asciiTheme="minorHAnsi" w:hAnsiTheme="minorHAnsi" w:cstheme="minorHAnsi"/>
              </w:rPr>
            </w:pPr>
            <w:r>
              <w:rPr>
                <w:rFonts w:asciiTheme="minorHAnsi" w:hAnsiTheme="minorHAnsi" w:cstheme="minorHAnsi"/>
              </w:rPr>
              <w:t xml:space="preserve">Commercial Integration Platform: the Azure App Services, Azure Functions and Service Bus solution </w:t>
            </w:r>
            <w:r w:rsidR="00AA30D8">
              <w:rPr>
                <w:rFonts w:asciiTheme="minorHAnsi" w:hAnsiTheme="minorHAnsi" w:cstheme="minorHAnsi"/>
              </w:rPr>
              <w:t>in which the IQDM and VCB integrations run</w:t>
            </w:r>
            <w:r>
              <w:rPr>
                <w:rFonts w:asciiTheme="minorHAnsi" w:hAnsiTheme="minorHAnsi" w:cstheme="minorHAnsi"/>
              </w:rPr>
              <w:t>.</w:t>
            </w:r>
          </w:p>
        </w:tc>
      </w:tr>
      <w:tr w:rsidR="00B16C02" w:rsidRPr="00E83BEF" w14:paraId="0C745A02" w14:textId="77777777" w:rsidTr="560C2F6D">
        <w:trPr>
          <w:trHeight w:val="256"/>
        </w:trPr>
        <w:tc>
          <w:tcPr>
            <w:tcW w:w="788" w:type="dxa"/>
          </w:tcPr>
          <w:p w14:paraId="49AAAD8C" w14:textId="223C7D1F"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12</w:t>
            </w:r>
          </w:p>
        </w:tc>
        <w:tc>
          <w:tcPr>
            <w:tcW w:w="3119" w:type="dxa"/>
          </w:tcPr>
          <w:p w14:paraId="33D0C1DB" w14:textId="32777118" w:rsidR="00B16C02" w:rsidRDefault="00B16C02" w:rsidP="560C2F6D">
            <w:pPr>
              <w:pStyle w:val="Bodycopy"/>
              <w:rPr>
                <w:rFonts w:asciiTheme="minorHAnsi" w:hAnsiTheme="minorHAnsi" w:cstheme="minorHAnsi"/>
              </w:rPr>
            </w:pPr>
            <w:r>
              <w:rPr>
                <w:rFonts w:asciiTheme="minorHAnsi" w:hAnsiTheme="minorHAnsi" w:cstheme="minorHAnsi"/>
              </w:rPr>
              <w:t>PQ Spec Shop</w:t>
            </w:r>
          </w:p>
        </w:tc>
        <w:tc>
          <w:tcPr>
            <w:tcW w:w="5449" w:type="dxa"/>
          </w:tcPr>
          <w:p w14:paraId="6AA9BAE9" w14:textId="7EEBC5AE" w:rsidR="00B16C02" w:rsidRDefault="00E8030F" w:rsidP="00406F6D">
            <w:pPr>
              <w:pStyle w:val="Bodycopy"/>
              <w:keepNext/>
              <w:rPr>
                <w:rFonts w:asciiTheme="minorHAnsi" w:hAnsiTheme="minorHAnsi" w:cstheme="minorHAnsi"/>
              </w:rPr>
            </w:pPr>
            <w:r>
              <w:rPr>
                <w:rFonts w:asciiTheme="minorHAnsi" w:hAnsiTheme="minorHAnsi" w:cstheme="minorHAnsi"/>
              </w:rPr>
              <w:t>Product-quality specification system: the source of the product specifications at terminals, loaded into the IQDM database by the database team until IQDM Release 5.</w:t>
            </w:r>
          </w:p>
        </w:tc>
      </w:tr>
      <w:tr w:rsidR="00B16C02" w:rsidRPr="00E83BEF" w14:paraId="1D20A65B" w14:textId="77777777" w:rsidTr="560C2F6D">
        <w:trPr>
          <w:trHeight w:val="256"/>
        </w:trPr>
        <w:tc>
          <w:tcPr>
            <w:tcW w:w="788" w:type="dxa"/>
          </w:tcPr>
          <w:p w14:paraId="280F28D6" w14:textId="5363BDC4"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13</w:t>
            </w:r>
          </w:p>
        </w:tc>
        <w:tc>
          <w:tcPr>
            <w:tcW w:w="3119" w:type="dxa"/>
          </w:tcPr>
          <w:p w14:paraId="689E62CC" w14:textId="32952BB0" w:rsidR="00B16C02" w:rsidRDefault="00B16C02" w:rsidP="560C2F6D">
            <w:pPr>
              <w:pStyle w:val="Bodycopy"/>
              <w:rPr>
                <w:rFonts w:asciiTheme="minorHAnsi" w:hAnsiTheme="minorHAnsi" w:cstheme="minorHAnsi"/>
              </w:rPr>
            </w:pPr>
            <w:r>
              <w:rPr>
                <w:rFonts w:asciiTheme="minorHAnsi" w:hAnsiTheme="minorHAnsi" w:cstheme="minorHAnsi"/>
              </w:rPr>
              <w:t>Semantic Service</w:t>
            </w:r>
          </w:p>
        </w:tc>
        <w:tc>
          <w:tcPr>
            <w:tcW w:w="5449" w:type="dxa"/>
          </w:tcPr>
          <w:p w14:paraId="1F4109C6" w14:textId="55A40BFB" w:rsidR="00B16C02" w:rsidRDefault="00CE45AF" w:rsidP="00406F6D">
            <w:pPr>
              <w:pStyle w:val="Bodycopy"/>
              <w:keepNext/>
              <w:rPr>
                <w:rFonts w:asciiTheme="minorHAnsi" w:hAnsiTheme="minorHAnsi" w:cstheme="minorHAnsi"/>
              </w:rPr>
            </w:pPr>
            <w:r>
              <w:rPr>
                <w:rFonts w:asciiTheme="minorHAnsi" w:hAnsiTheme="minorHAnsi" w:cstheme="minorHAnsi"/>
              </w:rPr>
              <w:t>MPC service, called through the CIP Semantic wrapper, that translates source-system codes into Profisee codes and Profisee codes into IQDM codes.</w:t>
            </w:r>
          </w:p>
        </w:tc>
      </w:tr>
      <w:tr w:rsidR="00B16C02" w:rsidRPr="00E83BEF" w14:paraId="3C0C7BA7" w14:textId="77777777" w:rsidTr="560C2F6D">
        <w:trPr>
          <w:trHeight w:val="256"/>
        </w:trPr>
        <w:tc>
          <w:tcPr>
            <w:tcW w:w="788" w:type="dxa"/>
          </w:tcPr>
          <w:p w14:paraId="4BF151F0" w14:textId="5F45D40D"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14</w:t>
            </w:r>
          </w:p>
        </w:tc>
        <w:tc>
          <w:tcPr>
            <w:tcW w:w="3119" w:type="dxa"/>
          </w:tcPr>
          <w:p w14:paraId="03E14094" w14:textId="38EC3DD4" w:rsidR="00B16C02" w:rsidRDefault="00B16C02" w:rsidP="560C2F6D">
            <w:pPr>
              <w:pStyle w:val="Bodycopy"/>
              <w:rPr>
                <w:rFonts w:asciiTheme="minorHAnsi" w:hAnsiTheme="minorHAnsi" w:cstheme="minorHAnsi"/>
              </w:rPr>
            </w:pPr>
            <w:r>
              <w:rPr>
                <w:rFonts w:asciiTheme="minorHAnsi" w:hAnsiTheme="minorHAnsi" w:cstheme="minorHAnsi"/>
              </w:rPr>
              <w:t>OData</w:t>
            </w:r>
          </w:p>
        </w:tc>
        <w:tc>
          <w:tcPr>
            <w:tcW w:w="5449" w:type="dxa"/>
          </w:tcPr>
          <w:p w14:paraId="73771FD1" w14:textId="5A0CD232" w:rsidR="00B16C02" w:rsidRDefault="00B16C02" w:rsidP="00406F6D">
            <w:pPr>
              <w:pStyle w:val="Bodycopy"/>
              <w:keepNext/>
              <w:rPr>
                <w:rFonts w:asciiTheme="minorHAnsi" w:hAnsiTheme="minorHAnsi" w:cstheme="minorHAnsi"/>
              </w:rPr>
            </w:pPr>
            <w:r>
              <w:rPr>
                <w:rFonts w:asciiTheme="minorHAnsi" w:hAnsiTheme="minorHAnsi" w:cstheme="minorHAnsi"/>
              </w:rPr>
              <w:t>Open Data Protocol: the web query service through which Kittyhawk data is read.</w:t>
            </w:r>
          </w:p>
        </w:tc>
      </w:tr>
      <w:tr w:rsidR="00A212FF" w:rsidRPr="00E83BEF" w14:paraId="6323E15B" w14:textId="77777777" w:rsidTr="560C2F6D">
        <w:trPr>
          <w:trHeight w:val="256"/>
        </w:trPr>
        <w:tc>
          <w:tcPr>
            <w:tcW w:w="788" w:type="dxa"/>
          </w:tcPr>
          <w:p w14:paraId="0C75306E" w14:textId="72893ACB" w:rsidR="00A212FF" w:rsidRDefault="00A212FF"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15</w:t>
            </w:r>
          </w:p>
        </w:tc>
        <w:tc>
          <w:tcPr>
            <w:tcW w:w="3119" w:type="dxa"/>
          </w:tcPr>
          <w:p w14:paraId="06CF9A45" w14:textId="15A17CAD" w:rsidR="00A212FF" w:rsidRDefault="00A212FF" w:rsidP="560C2F6D">
            <w:pPr>
              <w:pStyle w:val="Bodycopy"/>
              <w:rPr>
                <w:rFonts w:asciiTheme="minorHAnsi" w:hAnsiTheme="minorHAnsi" w:cstheme="minorHAnsi"/>
              </w:rPr>
            </w:pPr>
            <w:r>
              <w:rPr>
                <w:rFonts w:asciiTheme="minorHAnsi" w:hAnsiTheme="minorHAnsi" w:cstheme="minorHAnsi"/>
              </w:rPr>
              <w:t>PQCore</w:t>
            </w:r>
          </w:p>
        </w:tc>
        <w:tc>
          <w:tcPr>
            <w:tcW w:w="5449" w:type="dxa"/>
          </w:tcPr>
          <w:p w14:paraId="655E0648" w14:textId="5E14C419" w:rsidR="00A212FF" w:rsidRDefault="00A212FF" w:rsidP="00406F6D">
            <w:pPr>
              <w:pStyle w:val="Bodycopy"/>
              <w:keepNext/>
              <w:rPr>
                <w:rFonts w:asciiTheme="minorHAnsi" w:hAnsiTheme="minorHAnsi" w:cstheme="minorHAnsi"/>
              </w:rPr>
            </w:pPr>
            <w:r>
              <w:rPr>
                <w:rFonts w:asciiTheme="minorHAnsi" w:hAnsiTheme="minorHAnsi" w:cstheme="minorHAnsi"/>
              </w:rPr>
              <w:t xml:space="preserve">Product-quality results system; source of the terminal actual quality data </w:t>
            </w:r>
            <w:r w:rsidR="00AA30D8">
              <w:rPr>
                <w:rFonts w:asciiTheme="minorHAnsi" w:hAnsiTheme="minorHAnsi" w:cstheme="minorHAnsi"/>
              </w:rPr>
              <w:t>(IQDM integration)</w:t>
            </w:r>
            <w:r>
              <w:rPr>
                <w:rFonts w:asciiTheme="minorHAnsi" w:hAnsiTheme="minorHAnsi" w:cstheme="minorHAnsi"/>
              </w:rPr>
              <w:t>.</w:t>
            </w:r>
          </w:p>
        </w:tc>
      </w:tr>
      <w:tr w:rsidR="00A212FF" w:rsidRPr="00E83BEF" w14:paraId="10BC76B7" w14:textId="77777777" w:rsidTr="560C2F6D">
        <w:trPr>
          <w:trHeight w:val="256"/>
        </w:trPr>
        <w:tc>
          <w:tcPr>
            <w:tcW w:w="788" w:type="dxa"/>
          </w:tcPr>
          <w:p w14:paraId="658CF3F3" w14:textId="2923170F" w:rsidR="00A212FF" w:rsidRDefault="00A212FF"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16</w:t>
            </w:r>
          </w:p>
        </w:tc>
        <w:tc>
          <w:tcPr>
            <w:tcW w:w="3119" w:type="dxa"/>
          </w:tcPr>
          <w:p w14:paraId="6B779275" w14:textId="4238665A" w:rsidR="00A212FF" w:rsidRDefault="00A212FF" w:rsidP="560C2F6D">
            <w:pPr>
              <w:pStyle w:val="Bodycopy"/>
              <w:rPr>
                <w:rFonts w:asciiTheme="minorHAnsi" w:hAnsiTheme="minorHAnsi" w:cstheme="minorHAnsi"/>
              </w:rPr>
            </w:pPr>
            <w:r>
              <w:rPr>
                <w:rFonts w:asciiTheme="minorHAnsi" w:hAnsiTheme="minorHAnsi" w:cstheme="minorHAnsi"/>
              </w:rPr>
              <w:t>IQDM</w:t>
            </w:r>
          </w:p>
        </w:tc>
        <w:tc>
          <w:tcPr>
            <w:tcW w:w="5449" w:type="dxa"/>
          </w:tcPr>
          <w:p w14:paraId="653A82E5" w14:textId="37D36372" w:rsidR="00A212FF" w:rsidRDefault="00A212FF" w:rsidP="00406F6D">
            <w:pPr>
              <w:pStyle w:val="Bodycopy"/>
              <w:keepNext/>
              <w:rPr>
                <w:rFonts w:asciiTheme="minorHAnsi" w:hAnsiTheme="minorHAnsi" w:cstheme="minorHAnsi"/>
              </w:rPr>
            </w:pPr>
            <w:r>
              <w:rPr>
                <w:rFonts w:asciiTheme="minorHAnsi" w:hAnsiTheme="minorHAnsi" w:cstheme="minorHAnsi"/>
              </w:rPr>
              <w:t xml:space="preserve">Inventory and Quality Data Management: </w:t>
            </w:r>
            <w:r w:rsidR="00AA30D8">
              <w:rPr>
                <w:rFonts w:asciiTheme="minorHAnsi" w:hAnsiTheme="minorHAnsi" w:cstheme="minorHAnsi"/>
              </w:rPr>
              <w:t>the database and integrations that VCB builds on</w:t>
            </w:r>
            <w:r>
              <w:rPr>
                <w:rFonts w:asciiTheme="minorHAnsi" w:hAnsiTheme="minorHAnsi" w:cstheme="minorHAnsi"/>
              </w:rPr>
              <w:t>.</w:t>
            </w:r>
          </w:p>
        </w:tc>
      </w:tr>
      <w:tr w:rsidR="00CE45AF" w:rsidRPr="00E83BEF" w14:paraId="4CA1A65C" w14:textId="77777777" w:rsidTr="560C2F6D">
        <w:trPr>
          <w:trHeight w:val="256"/>
        </w:trPr>
        <w:tc>
          <w:tcPr>
            <w:tcW w:w="788" w:type="dxa"/>
          </w:tcPr>
          <w:p w14:paraId="45503F8A" w14:textId="707808A3" w:rsidR="00CE45AF" w:rsidRDefault="00CE45AF"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17</w:t>
            </w:r>
          </w:p>
        </w:tc>
        <w:tc>
          <w:tcPr>
            <w:tcW w:w="3119" w:type="dxa"/>
          </w:tcPr>
          <w:p w14:paraId="32A26A4C" w14:textId="47F040A9" w:rsidR="00CE45AF" w:rsidRDefault="00CE45AF" w:rsidP="560C2F6D">
            <w:pPr>
              <w:pStyle w:val="Bodycopy"/>
              <w:rPr>
                <w:rFonts w:asciiTheme="minorHAnsi" w:hAnsiTheme="minorHAnsi" w:cstheme="minorHAnsi"/>
              </w:rPr>
            </w:pPr>
            <w:r>
              <w:rPr>
                <w:rFonts w:asciiTheme="minorHAnsi" w:hAnsiTheme="minorHAnsi" w:cstheme="minorHAnsi"/>
              </w:rPr>
              <w:t>Cost API</w:t>
            </w:r>
          </w:p>
        </w:tc>
        <w:tc>
          <w:tcPr>
            <w:tcW w:w="5449" w:type="dxa"/>
          </w:tcPr>
          <w:p w14:paraId="1BD4C54C" w14:textId="44CA7071" w:rsidR="00CE45AF" w:rsidRDefault="00CE45AF" w:rsidP="00406F6D">
            <w:pPr>
              <w:pStyle w:val="Bodycopy"/>
              <w:keepNext/>
              <w:rPr>
                <w:rFonts w:asciiTheme="minorHAnsi" w:hAnsiTheme="minorHAnsi" w:cstheme="minorHAnsi"/>
              </w:rPr>
            </w:pPr>
            <w:r>
              <w:rPr>
                <w:rFonts w:asciiTheme="minorHAnsi" w:hAnsiTheme="minorHAnsi" w:cstheme="minorHAnsi"/>
              </w:rPr>
              <w:t xml:space="preserve">Web API of the CIP Cost domain that the VCB dashboards call for prices. </w:t>
            </w:r>
            <w:r w:rsidR="000A106D">
              <w:rPr>
                <w:rFonts w:asciiTheme="minorHAnsi" w:hAnsiTheme="minorHAnsi" w:cstheme="minorHAnsi"/>
              </w:rPr>
              <w:t>Its Price Request and Price Response Services read MPR through the platform price service.</w:t>
            </w:r>
          </w:p>
        </w:tc>
      </w:tr>
      <w:tr w:rsidR="00CE45AF" w:rsidRPr="00E83BEF" w14:paraId="551078A4" w14:textId="77777777" w:rsidTr="560C2F6D">
        <w:trPr>
          <w:trHeight w:val="256"/>
        </w:trPr>
        <w:tc>
          <w:tcPr>
            <w:tcW w:w="788" w:type="dxa"/>
          </w:tcPr>
          <w:p w14:paraId="65EAE6B7" w14:textId="73F0FDB3" w:rsidR="00CE45AF" w:rsidRDefault="00CE45AF"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18</w:t>
            </w:r>
          </w:p>
        </w:tc>
        <w:tc>
          <w:tcPr>
            <w:tcW w:w="3119" w:type="dxa"/>
          </w:tcPr>
          <w:p w14:paraId="7FA1EAB8" w14:textId="7F41AFDD" w:rsidR="00CE45AF" w:rsidRDefault="00CE45AF" w:rsidP="560C2F6D">
            <w:pPr>
              <w:pStyle w:val="Bodycopy"/>
              <w:rPr>
                <w:rFonts w:asciiTheme="minorHAnsi" w:hAnsiTheme="minorHAnsi" w:cstheme="minorHAnsi"/>
              </w:rPr>
            </w:pPr>
            <w:r>
              <w:rPr>
                <w:rFonts w:asciiTheme="minorHAnsi" w:hAnsiTheme="minorHAnsi" w:cstheme="minorHAnsi"/>
              </w:rPr>
              <w:t>Durable function</w:t>
            </w:r>
          </w:p>
        </w:tc>
        <w:tc>
          <w:tcPr>
            <w:tcW w:w="5449" w:type="dxa"/>
          </w:tcPr>
          <w:p w14:paraId="01B698CC" w14:textId="1604AA99" w:rsidR="00CE45AF" w:rsidRDefault="00CE45AF" w:rsidP="00406F6D">
            <w:pPr>
              <w:pStyle w:val="Bodycopy"/>
              <w:keepNext/>
              <w:rPr>
                <w:rFonts w:asciiTheme="minorHAnsi" w:hAnsiTheme="minorHAnsi" w:cstheme="minorHAnsi"/>
              </w:rPr>
            </w:pPr>
            <w:r>
              <w:rPr>
                <w:rFonts w:asciiTheme="minorHAnsi" w:hAnsiTheme="minorHAnsi" w:cstheme="minorHAnsi"/>
              </w:rPr>
              <w:t>Azure Durable Function: an Azure Function that runs a workflow of steps (trigger, orchestrator and activities) and keeps its state between them.</w:t>
            </w:r>
          </w:p>
        </w:tc>
      </w:tr>
      <w:tr w:rsidR="00CE45AF" w:rsidRPr="00E83BEF" w14:paraId="600AEAE3" w14:textId="77777777" w:rsidTr="560C2F6D">
        <w:trPr>
          <w:trHeight w:val="256"/>
        </w:trPr>
        <w:tc>
          <w:tcPr>
            <w:tcW w:w="788" w:type="dxa"/>
          </w:tcPr>
          <w:p w14:paraId="45316B01" w14:textId="1DE1F390" w:rsidR="00CE45AF" w:rsidRDefault="00CE45AF"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19</w:t>
            </w:r>
          </w:p>
        </w:tc>
        <w:tc>
          <w:tcPr>
            <w:tcW w:w="3119" w:type="dxa"/>
          </w:tcPr>
          <w:p w14:paraId="13E2DDB5" w14:textId="0049AC3D" w:rsidR="00CE45AF" w:rsidRDefault="00CE45AF" w:rsidP="560C2F6D">
            <w:pPr>
              <w:pStyle w:val="Bodycopy"/>
              <w:rPr>
                <w:rFonts w:asciiTheme="minorHAnsi" w:hAnsiTheme="minorHAnsi" w:cstheme="minorHAnsi"/>
              </w:rPr>
            </w:pPr>
            <w:r>
              <w:rPr>
                <w:rFonts w:asciiTheme="minorHAnsi" w:hAnsiTheme="minorHAnsi" w:cstheme="minorHAnsi"/>
              </w:rPr>
              <w:t>PI Web API</w:t>
            </w:r>
          </w:p>
        </w:tc>
        <w:tc>
          <w:tcPr>
            <w:tcW w:w="5449" w:type="dxa"/>
          </w:tcPr>
          <w:p w14:paraId="01602227" w14:textId="25615A3B" w:rsidR="00CE45AF" w:rsidRDefault="00CE45AF" w:rsidP="00406F6D">
            <w:pPr>
              <w:pStyle w:val="Bodycopy"/>
              <w:keepNext/>
              <w:rPr>
                <w:rFonts w:asciiTheme="minorHAnsi" w:hAnsiTheme="minorHAnsi" w:cstheme="minorHAnsi"/>
              </w:rPr>
            </w:pPr>
            <w:r>
              <w:rPr>
                <w:rFonts w:asciiTheme="minorHAnsi" w:hAnsiTheme="minorHAnsi" w:cstheme="minorHAnsi"/>
              </w:rPr>
              <w:t>Web service of the OSI PI system through which the PIAF values are read, in batches through the PI proxy function of the platform.</w:t>
            </w:r>
          </w:p>
        </w:tc>
      </w:tr>
      <w:tr w:rsidR="00CE45AF" w:rsidRPr="00E83BEF" w14:paraId="7A50F60B" w14:textId="77777777" w:rsidTr="560C2F6D">
        <w:trPr>
          <w:trHeight w:val="256"/>
        </w:trPr>
        <w:tc>
          <w:tcPr>
            <w:tcW w:w="788" w:type="dxa"/>
          </w:tcPr>
          <w:p w14:paraId="57699F40" w14:textId="0EFC01CE" w:rsidR="00CE45AF" w:rsidRDefault="00CE45AF"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20</w:t>
            </w:r>
          </w:p>
        </w:tc>
        <w:tc>
          <w:tcPr>
            <w:tcW w:w="3119" w:type="dxa"/>
          </w:tcPr>
          <w:p w14:paraId="0A0F3D9C" w14:textId="74DDEE69" w:rsidR="00CE45AF" w:rsidRDefault="00CE45AF" w:rsidP="560C2F6D">
            <w:pPr>
              <w:pStyle w:val="Bodycopy"/>
              <w:rPr>
                <w:rFonts w:asciiTheme="minorHAnsi" w:hAnsiTheme="minorHAnsi" w:cstheme="minorHAnsi"/>
              </w:rPr>
            </w:pPr>
            <w:r>
              <w:rPr>
                <w:rFonts w:asciiTheme="minorHAnsi" w:hAnsiTheme="minorHAnsi" w:cstheme="minorHAnsi"/>
              </w:rPr>
              <w:t>Transaction upload</w:t>
            </w:r>
          </w:p>
        </w:tc>
        <w:tc>
          <w:tcPr>
            <w:tcW w:w="5449" w:type="dxa"/>
          </w:tcPr>
          <w:p w14:paraId="05BB379B" w14:textId="0110234A" w:rsidR="00CE45AF" w:rsidRDefault="00CE45AF" w:rsidP="00406F6D">
            <w:pPr>
              <w:pStyle w:val="Bodycopy"/>
              <w:keepNext/>
              <w:rPr>
                <w:rFonts w:asciiTheme="minorHAnsi" w:hAnsiTheme="minorHAnsi" w:cstheme="minorHAnsi"/>
              </w:rPr>
            </w:pPr>
            <w:r>
              <w:rPr>
                <w:rFonts w:asciiTheme="minorHAnsi" w:hAnsiTheme="minorHAnsi" w:cstheme="minorHAnsi"/>
              </w:rPr>
              <w:t>Kittyhawk record of the transactions at a terminal (table mpc.TransactionUpload), read by the VCB Kittyhawk integration.</w:t>
            </w:r>
          </w:p>
        </w:tc>
      </w:tr>
    </w:tbl>
    <w:p w14:paraId="633754C3" w14:textId="5F183192" w:rsidR="00871AE8" w:rsidRPr="00E83BEF" w:rsidRDefault="00DC66DC" w:rsidP="00DC66DC">
      <w:pPr>
        <w:pStyle w:val="Caption"/>
      </w:pPr>
      <w:bookmarkStart w:id="820" w:name="_Toc241311535"/>
      <w:bookmarkStart w:id="821" w:name="_Toc241574751"/>
      <w:bookmarkStart w:id="822" w:name="_Toc242554135"/>
      <w:r>
        <w:t xml:space="preserve">Table </w:t>
      </w:r>
      <w:r>
        <w:fldChar w:fldCharType="begin"/>
      </w:r>
      <w:r>
        <w:instrText>STYLEREF 1 \s</w:instrText>
      </w:r>
      <w:r>
        <w:fldChar w:fldCharType="separate"/>
      </w:r>
      <w:r w:rsidR="00FC42E7">
        <w:rPr>
          <w:noProof/>
        </w:rPr>
        <w:t>5</w:t>
      </w:r>
      <w:r>
        <w:fldChar w:fldCharType="end"/>
      </w:r>
      <w:r>
        <w:t>-</w:t>
      </w:r>
      <w:r>
        <w:fldChar w:fldCharType="begin"/>
      </w:r>
      <w:r>
        <w:instrText>SEQ Table \* ARABIC \s 1</w:instrText>
      </w:r>
      <w:r>
        <w:fldChar w:fldCharType="separate"/>
      </w:r>
      <w:r w:rsidR="00FC42E7">
        <w:rPr>
          <w:noProof/>
        </w:rPr>
        <w:t>1</w:t>
      </w:r>
      <w:r>
        <w:fldChar w:fldCharType="end"/>
      </w:r>
      <w:r w:rsidR="00514BDC">
        <w:t>: Glossary of Terms</w:t>
      </w:r>
      <w:bookmarkEnd w:id="820"/>
      <w:bookmarkEnd w:id="821"/>
      <w:bookmarkEnd w:id="822"/>
    </w:p>
    <w:p w14:paraId="6365EABF" w14:textId="77777777" w:rsidR="008A4F32" w:rsidRDefault="1DEEEAF1" w:rsidP="003172D3">
      <w:pPr>
        <w:pStyle w:val="Heading2"/>
        <w:rPr>
          <w:rFonts w:asciiTheme="minorHAnsi" w:hAnsiTheme="minorHAnsi" w:cstheme="minorBidi"/>
          <w:sz w:val="20"/>
          <w:szCs w:val="20"/>
        </w:rPr>
      </w:pPr>
      <w:bookmarkStart w:id="823" w:name="_Toc228272895"/>
      <w:bookmarkStart w:id="824" w:name="_Toc910180045"/>
      <w:bookmarkStart w:id="825" w:name="_Toc1881356800"/>
      <w:bookmarkStart w:id="826" w:name="_Toc241574373"/>
      <w:bookmarkStart w:id="827" w:name="_Toc242553995"/>
      <w:r w:rsidRPr="7F6E7DEF">
        <w:rPr>
          <w:rFonts w:asciiTheme="minorHAnsi" w:hAnsiTheme="minorHAnsi" w:cstheme="minorBidi"/>
          <w:sz w:val="20"/>
          <w:szCs w:val="20"/>
        </w:rPr>
        <w:t>Acronyms &amp; Abbreviations</w:t>
      </w:r>
      <w:bookmarkEnd w:id="823"/>
      <w:bookmarkEnd w:id="824"/>
      <w:bookmarkEnd w:id="825"/>
      <w:bookmarkEnd w:id="826"/>
      <w:bookmarkEnd w:id="827"/>
    </w:p>
    <w:p w14:paraId="42626416" w14:textId="57EB8C88" w:rsidR="00F06387" w:rsidRPr="00E83BEF" w:rsidRDefault="008A4F32" w:rsidP="008A4F32">
      <w:r>
        <w:t>The following table lists the acronyms and abbreviations used in this document.</w:t>
      </w:r>
    </w:p>
    <w:tbl>
      <w:tblPr>
        <w:tblStyle w:val="TableGrid"/>
        <w:tblW w:w="9356" w:type="dxa"/>
        <w:tblInd w:w="-5" w:type="dxa"/>
        <w:tblLook w:val="04A0" w:firstRow="1" w:lastRow="0" w:firstColumn="1" w:lastColumn="0" w:noHBand="0" w:noVBand="1"/>
      </w:tblPr>
      <w:tblGrid>
        <w:gridCol w:w="709"/>
        <w:gridCol w:w="3260"/>
        <w:gridCol w:w="5387"/>
      </w:tblGrid>
      <w:tr w:rsidR="001C31A5" w:rsidRPr="00E83BEF" w14:paraId="482D9084" w14:textId="77777777" w:rsidTr="00FD78D2">
        <w:trPr>
          <w:trHeight w:val="251"/>
        </w:trPr>
        <w:tc>
          <w:tcPr>
            <w:tcW w:w="709" w:type="dxa"/>
            <w:shd w:val="clear" w:color="auto" w:fill="2F5597"/>
          </w:tcPr>
          <w:p w14:paraId="1C0B6FDF" w14:textId="77777777" w:rsidR="00F06387" w:rsidRPr="00E83BEF" w:rsidRDefault="00F06387" w:rsidP="00434ACD">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3260" w:type="dxa"/>
            <w:shd w:val="clear" w:color="auto" w:fill="2F5597"/>
          </w:tcPr>
          <w:p w14:paraId="7DCF7083" w14:textId="77777777" w:rsidR="00F06387" w:rsidRPr="00E83BEF" w:rsidRDefault="00F06387" w:rsidP="00434ACD">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Abbreviation</w:t>
            </w:r>
          </w:p>
        </w:tc>
        <w:tc>
          <w:tcPr>
            <w:tcW w:w="5387" w:type="dxa"/>
            <w:shd w:val="clear" w:color="auto" w:fill="2F5597"/>
          </w:tcPr>
          <w:p w14:paraId="1A1C3BC4" w14:textId="77777777" w:rsidR="00F06387" w:rsidRPr="00E83BEF" w:rsidRDefault="00F06387" w:rsidP="00434ACD">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Meaning</w:t>
            </w:r>
          </w:p>
        </w:tc>
      </w:tr>
      <w:tr w:rsidR="00FD78D2" w:rsidRPr="00E83BEF" w14:paraId="2B49D320" w14:textId="77777777" w:rsidTr="00FD78D2">
        <w:trPr>
          <w:trHeight w:val="300"/>
        </w:trPr>
        <w:tc>
          <w:tcPr>
            <w:tcW w:w="709" w:type="dxa"/>
            <w:noWrap/>
            <w:hideMark/>
          </w:tcPr>
          <w:p w14:paraId="0DE1DB93" w14:textId="52C78EDE" w:rsidR="00FD78D2" w:rsidRPr="00E83BEF" w:rsidRDefault="00A212FF" w:rsidP="00FD78D2">
            <w:pPr>
              <w:jc w:val="right"/>
              <w:rPr>
                <w:rFonts w:eastAsia="Times New Roman" w:cstheme="minorHAnsi"/>
                <w:color w:val="000000"/>
                <w:sz w:val="20"/>
                <w:szCs w:val="20"/>
                <w:lang w:val="en-IN" w:eastAsia="en-IN"/>
              </w:rPr>
            </w:pPr>
            <w:bookmarkStart w:id="828" w:name="_Toc195113313"/>
            <w:r>
              <w:rPr>
                <w:rFonts w:eastAsia="Times New Roman" w:cstheme="minorHAnsi"/>
                <w:color w:val="000000"/>
                <w:sz w:val="20"/>
                <w:szCs w:val="20"/>
                <w:lang w:val="en-IN" w:eastAsia="en-IN"/>
              </w:rPr>
              <w:t>1</w:t>
            </w:r>
          </w:p>
        </w:tc>
        <w:tc>
          <w:tcPr>
            <w:tcW w:w="3260" w:type="dxa"/>
            <w:noWrap/>
            <w:hideMark/>
          </w:tcPr>
          <w:p w14:paraId="2CB141F0"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APS</w:t>
            </w:r>
          </w:p>
        </w:tc>
        <w:tc>
          <w:tcPr>
            <w:tcW w:w="5387" w:type="dxa"/>
            <w:noWrap/>
            <w:hideMark/>
          </w:tcPr>
          <w:p w14:paraId="273B5C1F"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Aspen Petroleum Scheduler</w:t>
            </w:r>
          </w:p>
        </w:tc>
      </w:tr>
      <w:tr w:rsidR="00FD78D2" w:rsidRPr="00E83BEF" w14:paraId="4C777ED8" w14:textId="77777777" w:rsidTr="00FD78D2">
        <w:trPr>
          <w:trHeight w:val="300"/>
        </w:trPr>
        <w:tc>
          <w:tcPr>
            <w:tcW w:w="709" w:type="dxa"/>
            <w:noWrap/>
            <w:hideMark/>
          </w:tcPr>
          <w:p w14:paraId="4A353F80" w14:textId="17B672A3"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w:t>
            </w:r>
          </w:p>
        </w:tc>
        <w:tc>
          <w:tcPr>
            <w:tcW w:w="3260" w:type="dxa"/>
            <w:noWrap/>
            <w:hideMark/>
          </w:tcPr>
          <w:p w14:paraId="77D1F946"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MPC</w:t>
            </w:r>
          </w:p>
        </w:tc>
        <w:tc>
          <w:tcPr>
            <w:tcW w:w="5387" w:type="dxa"/>
            <w:noWrap/>
            <w:hideMark/>
          </w:tcPr>
          <w:p w14:paraId="4D54E239"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Marathon Petroleum Corporation</w:t>
            </w:r>
          </w:p>
        </w:tc>
      </w:tr>
      <w:tr w:rsidR="00FD78D2" w:rsidRPr="00E83BEF" w14:paraId="73D05078" w14:textId="77777777" w:rsidTr="00FD78D2">
        <w:trPr>
          <w:trHeight w:val="300"/>
        </w:trPr>
        <w:tc>
          <w:tcPr>
            <w:tcW w:w="709" w:type="dxa"/>
            <w:noWrap/>
            <w:hideMark/>
          </w:tcPr>
          <w:p w14:paraId="1F4A1204" w14:textId="5A65A79B"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w:t>
            </w:r>
          </w:p>
        </w:tc>
        <w:tc>
          <w:tcPr>
            <w:tcW w:w="3260" w:type="dxa"/>
            <w:noWrap/>
            <w:hideMark/>
          </w:tcPr>
          <w:p w14:paraId="77A1EC5B"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MDM</w:t>
            </w:r>
          </w:p>
        </w:tc>
        <w:tc>
          <w:tcPr>
            <w:tcW w:w="5387" w:type="dxa"/>
            <w:noWrap/>
            <w:hideMark/>
          </w:tcPr>
          <w:p w14:paraId="19F55526"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Master Data Management</w:t>
            </w:r>
          </w:p>
        </w:tc>
      </w:tr>
      <w:tr w:rsidR="00FD78D2" w:rsidRPr="00E83BEF" w14:paraId="08A3E599" w14:textId="77777777" w:rsidTr="00FD78D2">
        <w:trPr>
          <w:trHeight w:val="300"/>
        </w:trPr>
        <w:tc>
          <w:tcPr>
            <w:tcW w:w="709" w:type="dxa"/>
            <w:noWrap/>
            <w:hideMark/>
          </w:tcPr>
          <w:p w14:paraId="19ABF83E" w14:textId="7579B5D9"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w:t>
            </w:r>
          </w:p>
        </w:tc>
        <w:tc>
          <w:tcPr>
            <w:tcW w:w="3260" w:type="dxa"/>
            <w:noWrap/>
            <w:hideMark/>
          </w:tcPr>
          <w:p w14:paraId="755F24AF"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UOM / UoM</w:t>
            </w:r>
          </w:p>
        </w:tc>
        <w:tc>
          <w:tcPr>
            <w:tcW w:w="5387" w:type="dxa"/>
            <w:noWrap/>
            <w:hideMark/>
          </w:tcPr>
          <w:p w14:paraId="5E0F3653"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Unit of Measure</w:t>
            </w:r>
          </w:p>
        </w:tc>
      </w:tr>
      <w:tr w:rsidR="00FD78D2" w:rsidRPr="00E83BEF" w14:paraId="1B20FB42" w14:textId="77777777" w:rsidTr="00FD78D2">
        <w:trPr>
          <w:trHeight w:val="300"/>
        </w:trPr>
        <w:tc>
          <w:tcPr>
            <w:tcW w:w="709" w:type="dxa"/>
            <w:noWrap/>
            <w:hideMark/>
          </w:tcPr>
          <w:p w14:paraId="12ABD116" w14:textId="5C3573A8"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w:t>
            </w:r>
          </w:p>
        </w:tc>
        <w:tc>
          <w:tcPr>
            <w:tcW w:w="3260" w:type="dxa"/>
            <w:noWrap/>
            <w:hideMark/>
          </w:tcPr>
          <w:p w14:paraId="6480FCCD"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PBI</w:t>
            </w:r>
          </w:p>
        </w:tc>
        <w:tc>
          <w:tcPr>
            <w:tcW w:w="5387" w:type="dxa"/>
            <w:noWrap/>
            <w:hideMark/>
          </w:tcPr>
          <w:p w14:paraId="436F2D13"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Product Backlog Item</w:t>
            </w:r>
          </w:p>
        </w:tc>
      </w:tr>
      <w:tr w:rsidR="00FD78D2" w:rsidRPr="00E83BEF" w14:paraId="068F41A4" w14:textId="77777777" w:rsidTr="00FD78D2">
        <w:trPr>
          <w:trHeight w:val="300"/>
        </w:trPr>
        <w:tc>
          <w:tcPr>
            <w:tcW w:w="709" w:type="dxa"/>
            <w:noWrap/>
            <w:hideMark/>
          </w:tcPr>
          <w:p w14:paraId="5B53E625" w14:textId="477881E6"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6</w:t>
            </w:r>
          </w:p>
        </w:tc>
        <w:tc>
          <w:tcPr>
            <w:tcW w:w="3260" w:type="dxa"/>
            <w:noWrap/>
            <w:hideMark/>
          </w:tcPr>
          <w:p w14:paraId="3CB10B1C"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IaC</w:t>
            </w:r>
          </w:p>
        </w:tc>
        <w:tc>
          <w:tcPr>
            <w:tcW w:w="5387" w:type="dxa"/>
            <w:noWrap/>
            <w:hideMark/>
          </w:tcPr>
          <w:p w14:paraId="6F03F9B3"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Infrastructure as Code</w:t>
            </w:r>
          </w:p>
        </w:tc>
      </w:tr>
      <w:tr w:rsidR="00FD78D2" w:rsidRPr="00E83BEF" w14:paraId="0A404B9A" w14:textId="77777777" w:rsidTr="00FD78D2">
        <w:trPr>
          <w:trHeight w:val="300"/>
        </w:trPr>
        <w:tc>
          <w:tcPr>
            <w:tcW w:w="709" w:type="dxa"/>
            <w:noWrap/>
            <w:hideMark/>
          </w:tcPr>
          <w:p w14:paraId="40D5DC90" w14:textId="529A67FA"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7</w:t>
            </w:r>
          </w:p>
        </w:tc>
        <w:tc>
          <w:tcPr>
            <w:tcW w:w="3260" w:type="dxa"/>
            <w:noWrap/>
            <w:hideMark/>
          </w:tcPr>
          <w:p w14:paraId="677B4BB0"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CRON</w:t>
            </w:r>
          </w:p>
        </w:tc>
        <w:tc>
          <w:tcPr>
            <w:tcW w:w="5387" w:type="dxa"/>
            <w:noWrap/>
            <w:hideMark/>
          </w:tcPr>
          <w:p w14:paraId="001394CE" w14:textId="17E4B884" w:rsidR="00FD78D2" w:rsidRPr="00E83BEF" w:rsidRDefault="00331194"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Time-based job schedule expression (not an acronym)</w:t>
            </w:r>
          </w:p>
        </w:tc>
      </w:tr>
      <w:tr w:rsidR="00FD78D2" w:rsidRPr="00E83BEF" w14:paraId="215CD2DA" w14:textId="77777777" w:rsidTr="00FD78D2">
        <w:trPr>
          <w:trHeight w:val="300"/>
        </w:trPr>
        <w:tc>
          <w:tcPr>
            <w:tcW w:w="709" w:type="dxa"/>
            <w:noWrap/>
            <w:hideMark/>
          </w:tcPr>
          <w:p w14:paraId="5FA0FF3A" w14:textId="29F72D03"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8</w:t>
            </w:r>
          </w:p>
        </w:tc>
        <w:tc>
          <w:tcPr>
            <w:tcW w:w="3260" w:type="dxa"/>
            <w:noWrap/>
            <w:hideMark/>
          </w:tcPr>
          <w:p w14:paraId="3E6C48FA" w14:textId="7D81B1F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API</w:t>
            </w:r>
          </w:p>
        </w:tc>
        <w:tc>
          <w:tcPr>
            <w:tcW w:w="5387" w:type="dxa"/>
            <w:noWrap/>
            <w:hideMark/>
          </w:tcPr>
          <w:p w14:paraId="5B387E94" w14:textId="73962E1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Application Programming Interface</w:t>
            </w:r>
          </w:p>
        </w:tc>
      </w:tr>
      <w:tr w:rsidR="00FD78D2" w:rsidRPr="00E83BEF" w14:paraId="0CAC7693" w14:textId="77777777" w:rsidTr="00FD78D2">
        <w:trPr>
          <w:trHeight w:val="300"/>
        </w:trPr>
        <w:tc>
          <w:tcPr>
            <w:tcW w:w="709" w:type="dxa"/>
            <w:noWrap/>
            <w:hideMark/>
          </w:tcPr>
          <w:p w14:paraId="0111BBEF" w14:textId="67FD8B22"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9</w:t>
            </w:r>
          </w:p>
        </w:tc>
        <w:tc>
          <w:tcPr>
            <w:tcW w:w="3260" w:type="dxa"/>
            <w:noWrap/>
            <w:hideMark/>
          </w:tcPr>
          <w:p w14:paraId="20635EEC" w14:textId="7C1A78B5"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PI</w:t>
            </w:r>
          </w:p>
        </w:tc>
        <w:tc>
          <w:tcPr>
            <w:tcW w:w="5387" w:type="dxa"/>
            <w:noWrap/>
            <w:hideMark/>
          </w:tcPr>
          <w:p w14:paraId="1F3D45D3" w14:textId="1E95A89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Plant Information System (OSI PI Historian)</w:t>
            </w:r>
          </w:p>
        </w:tc>
      </w:tr>
      <w:tr w:rsidR="00FD78D2" w:rsidRPr="00E83BEF" w14:paraId="199F43FB" w14:textId="77777777" w:rsidTr="00FD78D2">
        <w:trPr>
          <w:trHeight w:val="300"/>
        </w:trPr>
        <w:tc>
          <w:tcPr>
            <w:tcW w:w="709" w:type="dxa"/>
            <w:noWrap/>
            <w:hideMark/>
          </w:tcPr>
          <w:p w14:paraId="4F4DA919" w14:textId="2A71BA35"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10</w:t>
            </w:r>
          </w:p>
        </w:tc>
        <w:tc>
          <w:tcPr>
            <w:tcW w:w="3260" w:type="dxa"/>
            <w:noWrap/>
            <w:hideMark/>
          </w:tcPr>
          <w:p w14:paraId="715D1569" w14:textId="1C9FD165"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LIMS</w:t>
            </w:r>
          </w:p>
        </w:tc>
        <w:tc>
          <w:tcPr>
            <w:tcW w:w="5387" w:type="dxa"/>
            <w:noWrap/>
            <w:hideMark/>
          </w:tcPr>
          <w:p w14:paraId="1B0B3FE7" w14:textId="3A30D5C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Laboratory Information Management </w:t>
            </w:r>
            <w:r w:rsidR="00FD78D2" w:rsidRPr="00E83BEF">
              <w:rPr>
                <w:rFonts w:eastAsia="Times New Roman" w:cstheme="minorHAnsi"/>
                <w:color w:val="000000"/>
                <w:sz w:val="20"/>
                <w:szCs w:val="20"/>
                <w:lang w:val="en-IN" w:eastAsia="en-IN"/>
              </w:rPr>
              <w:t>System</w:t>
            </w:r>
          </w:p>
        </w:tc>
      </w:tr>
      <w:tr w:rsidR="00FD78D2" w:rsidRPr="00E83BEF" w14:paraId="3331B4E8" w14:textId="77777777" w:rsidTr="00FD78D2">
        <w:trPr>
          <w:trHeight w:val="300"/>
        </w:trPr>
        <w:tc>
          <w:tcPr>
            <w:tcW w:w="709" w:type="dxa"/>
            <w:noWrap/>
            <w:hideMark/>
          </w:tcPr>
          <w:p w14:paraId="0DFFBD78" w14:textId="16F5B80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11</w:t>
            </w:r>
          </w:p>
        </w:tc>
        <w:tc>
          <w:tcPr>
            <w:tcW w:w="3260" w:type="dxa"/>
            <w:noWrap/>
            <w:hideMark/>
          </w:tcPr>
          <w:p w14:paraId="27144A6F" w14:textId="4E801D85"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IQDM</w:t>
            </w:r>
          </w:p>
        </w:tc>
        <w:tc>
          <w:tcPr>
            <w:tcW w:w="5387" w:type="dxa"/>
            <w:noWrap/>
            <w:hideMark/>
          </w:tcPr>
          <w:p w14:paraId="507853BF" w14:textId="0D4B4411" w:rsidR="00FD78D2" w:rsidRPr="00E83BEF" w:rsidRDefault="00CE45AF"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Inventory and Quality Data Management</w:t>
            </w:r>
          </w:p>
        </w:tc>
      </w:tr>
      <w:tr w:rsidR="00FD78D2" w:rsidRPr="00E83BEF" w14:paraId="1CF7A5E5" w14:textId="77777777" w:rsidTr="00FD78D2">
        <w:trPr>
          <w:trHeight w:val="300"/>
        </w:trPr>
        <w:tc>
          <w:tcPr>
            <w:tcW w:w="709" w:type="dxa"/>
            <w:noWrap/>
            <w:hideMark/>
          </w:tcPr>
          <w:p w14:paraId="14F5FF0D" w14:textId="52FB85C5"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12</w:t>
            </w:r>
          </w:p>
        </w:tc>
        <w:tc>
          <w:tcPr>
            <w:tcW w:w="3260" w:type="dxa"/>
            <w:noWrap/>
            <w:hideMark/>
          </w:tcPr>
          <w:p w14:paraId="3C46563D" w14:textId="2F65728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RS</w:t>
            </w:r>
          </w:p>
        </w:tc>
        <w:tc>
          <w:tcPr>
            <w:tcW w:w="5387" w:type="dxa"/>
            <w:noWrap/>
            <w:hideMark/>
          </w:tcPr>
          <w:p w14:paraId="716724B2" w14:textId="61E67DF3"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Reference System</w:t>
            </w:r>
          </w:p>
        </w:tc>
      </w:tr>
      <w:tr w:rsidR="00FD78D2" w:rsidRPr="00E83BEF" w14:paraId="010F894F" w14:textId="77777777" w:rsidTr="00FD78D2">
        <w:trPr>
          <w:trHeight w:val="300"/>
        </w:trPr>
        <w:tc>
          <w:tcPr>
            <w:tcW w:w="709" w:type="dxa"/>
            <w:noWrap/>
            <w:hideMark/>
          </w:tcPr>
          <w:p w14:paraId="63A404F3" w14:textId="56EB5B9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13</w:t>
            </w:r>
          </w:p>
        </w:tc>
        <w:tc>
          <w:tcPr>
            <w:tcW w:w="3260" w:type="dxa"/>
            <w:noWrap/>
            <w:hideMark/>
          </w:tcPr>
          <w:p w14:paraId="265ED86A" w14:textId="1CB9AB3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MBO</w:t>
            </w:r>
          </w:p>
        </w:tc>
        <w:tc>
          <w:tcPr>
            <w:tcW w:w="5387" w:type="dxa"/>
            <w:noWrap/>
            <w:hideMark/>
          </w:tcPr>
          <w:p w14:paraId="1FA110D5" w14:textId="19EAFEB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Model Business Object</w:t>
            </w:r>
          </w:p>
        </w:tc>
      </w:tr>
      <w:tr w:rsidR="00FD78D2" w:rsidRPr="00E83BEF" w14:paraId="29E8B1F6" w14:textId="77777777" w:rsidTr="00FD78D2">
        <w:trPr>
          <w:trHeight w:val="300"/>
        </w:trPr>
        <w:tc>
          <w:tcPr>
            <w:tcW w:w="709" w:type="dxa"/>
            <w:noWrap/>
            <w:hideMark/>
          </w:tcPr>
          <w:p w14:paraId="4C134B94" w14:textId="2392E725"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14</w:t>
            </w:r>
          </w:p>
        </w:tc>
        <w:tc>
          <w:tcPr>
            <w:tcW w:w="3260" w:type="dxa"/>
            <w:noWrap/>
            <w:hideMark/>
          </w:tcPr>
          <w:p w14:paraId="1B47493B" w14:textId="5FB8360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UDF</w:t>
            </w:r>
          </w:p>
        </w:tc>
        <w:tc>
          <w:tcPr>
            <w:tcW w:w="5387" w:type="dxa"/>
            <w:noWrap/>
            <w:hideMark/>
          </w:tcPr>
          <w:p w14:paraId="18D120EC" w14:textId="38FE3AAF"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User Defined Function</w:t>
            </w:r>
          </w:p>
        </w:tc>
      </w:tr>
      <w:tr w:rsidR="00FD78D2" w:rsidRPr="00E83BEF" w14:paraId="0AA21F7A" w14:textId="77777777" w:rsidTr="00FD78D2">
        <w:trPr>
          <w:trHeight w:val="300"/>
        </w:trPr>
        <w:tc>
          <w:tcPr>
            <w:tcW w:w="709" w:type="dxa"/>
            <w:noWrap/>
            <w:hideMark/>
          </w:tcPr>
          <w:p w14:paraId="5EFFF4FF" w14:textId="652E484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15</w:t>
            </w:r>
          </w:p>
        </w:tc>
        <w:tc>
          <w:tcPr>
            <w:tcW w:w="3260" w:type="dxa"/>
            <w:noWrap/>
            <w:hideMark/>
          </w:tcPr>
          <w:p w14:paraId="1C66B12E" w14:textId="79F037C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HTTP</w:t>
            </w:r>
          </w:p>
        </w:tc>
        <w:tc>
          <w:tcPr>
            <w:tcW w:w="5387" w:type="dxa"/>
            <w:noWrap/>
            <w:hideMark/>
          </w:tcPr>
          <w:p w14:paraId="2AA803AF" w14:textId="0F999ED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HyperText Transfer Protocol</w:t>
            </w:r>
          </w:p>
        </w:tc>
      </w:tr>
      <w:tr w:rsidR="00FD78D2" w:rsidRPr="00E83BEF" w14:paraId="384EC15D" w14:textId="77777777" w:rsidTr="00FD78D2">
        <w:trPr>
          <w:trHeight w:val="300"/>
        </w:trPr>
        <w:tc>
          <w:tcPr>
            <w:tcW w:w="709" w:type="dxa"/>
            <w:noWrap/>
            <w:hideMark/>
          </w:tcPr>
          <w:p w14:paraId="089E4911" w14:textId="474C2066"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16</w:t>
            </w:r>
          </w:p>
        </w:tc>
        <w:tc>
          <w:tcPr>
            <w:tcW w:w="3260" w:type="dxa"/>
            <w:noWrap/>
            <w:hideMark/>
          </w:tcPr>
          <w:p w14:paraId="3B65B810" w14:textId="3DC83AF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JSON</w:t>
            </w:r>
          </w:p>
        </w:tc>
        <w:tc>
          <w:tcPr>
            <w:tcW w:w="5387" w:type="dxa"/>
            <w:noWrap/>
            <w:hideMark/>
          </w:tcPr>
          <w:p w14:paraId="48532211" w14:textId="458B378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JavaScript Object Notation</w:t>
            </w:r>
          </w:p>
        </w:tc>
      </w:tr>
      <w:tr w:rsidR="00FD78D2" w:rsidRPr="00E83BEF" w14:paraId="21AFD29C" w14:textId="77777777" w:rsidTr="00FD78D2">
        <w:trPr>
          <w:trHeight w:val="300"/>
        </w:trPr>
        <w:tc>
          <w:tcPr>
            <w:tcW w:w="709" w:type="dxa"/>
            <w:noWrap/>
            <w:hideMark/>
          </w:tcPr>
          <w:p w14:paraId="405CE8CC" w14:textId="2EDBA83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17</w:t>
            </w:r>
          </w:p>
        </w:tc>
        <w:tc>
          <w:tcPr>
            <w:tcW w:w="3260" w:type="dxa"/>
            <w:noWrap/>
            <w:hideMark/>
          </w:tcPr>
          <w:p w14:paraId="475BB60C" w14:textId="22C4878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ETL</w:t>
            </w:r>
          </w:p>
        </w:tc>
        <w:tc>
          <w:tcPr>
            <w:tcW w:w="5387" w:type="dxa"/>
            <w:noWrap/>
            <w:hideMark/>
          </w:tcPr>
          <w:p w14:paraId="2463BF54" w14:textId="6890BC1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Extract, Transform, Load</w:t>
            </w:r>
          </w:p>
        </w:tc>
      </w:tr>
      <w:tr w:rsidR="00FD78D2" w:rsidRPr="00E83BEF" w14:paraId="3D83EF2C" w14:textId="77777777" w:rsidTr="00FD78D2">
        <w:trPr>
          <w:trHeight w:val="300"/>
        </w:trPr>
        <w:tc>
          <w:tcPr>
            <w:tcW w:w="709" w:type="dxa"/>
            <w:noWrap/>
            <w:hideMark/>
          </w:tcPr>
          <w:p w14:paraId="712F5D05" w14:textId="0B86603C"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18</w:t>
            </w:r>
          </w:p>
        </w:tc>
        <w:tc>
          <w:tcPr>
            <w:tcW w:w="3260" w:type="dxa"/>
            <w:noWrap/>
            <w:hideMark/>
          </w:tcPr>
          <w:p w14:paraId="41108B6B" w14:textId="2DA1DD5A"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CI/CD</w:t>
            </w:r>
          </w:p>
        </w:tc>
        <w:tc>
          <w:tcPr>
            <w:tcW w:w="5387" w:type="dxa"/>
            <w:noWrap/>
            <w:hideMark/>
          </w:tcPr>
          <w:p w14:paraId="32C1526D" w14:textId="35B5A1C8"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Continuous Integration / Continuous Deployment</w:t>
            </w:r>
          </w:p>
        </w:tc>
      </w:tr>
      <w:tr w:rsidR="00FD78D2" w:rsidRPr="00E83BEF" w14:paraId="4C5BC195" w14:textId="77777777" w:rsidTr="00FD78D2">
        <w:trPr>
          <w:trHeight w:val="300"/>
        </w:trPr>
        <w:tc>
          <w:tcPr>
            <w:tcW w:w="709" w:type="dxa"/>
            <w:noWrap/>
            <w:hideMark/>
          </w:tcPr>
          <w:p w14:paraId="097B4115" w14:textId="09F68F3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19</w:t>
            </w:r>
          </w:p>
        </w:tc>
        <w:tc>
          <w:tcPr>
            <w:tcW w:w="3260" w:type="dxa"/>
            <w:noWrap/>
            <w:hideMark/>
          </w:tcPr>
          <w:p w14:paraId="587C6ACA" w14:textId="38AE5D2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ADO</w:t>
            </w:r>
          </w:p>
        </w:tc>
        <w:tc>
          <w:tcPr>
            <w:tcW w:w="5387" w:type="dxa"/>
            <w:noWrap/>
            <w:hideMark/>
          </w:tcPr>
          <w:p w14:paraId="3819AF02" w14:textId="1438C75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Azure DevOps</w:t>
            </w:r>
          </w:p>
        </w:tc>
      </w:tr>
      <w:tr w:rsidR="00FD78D2" w:rsidRPr="00E83BEF" w14:paraId="36BA298F" w14:textId="77777777" w:rsidTr="00FD78D2">
        <w:trPr>
          <w:trHeight w:val="300"/>
        </w:trPr>
        <w:tc>
          <w:tcPr>
            <w:tcW w:w="709" w:type="dxa"/>
            <w:noWrap/>
            <w:hideMark/>
          </w:tcPr>
          <w:p w14:paraId="771E5382" w14:textId="460063F5"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20</w:t>
            </w:r>
          </w:p>
        </w:tc>
        <w:tc>
          <w:tcPr>
            <w:tcW w:w="3260" w:type="dxa"/>
            <w:noWrap/>
            <w:hideMark/>
          </w:tcPr>
          <w:p w14:paraId="61768F05" w14:textId="2BC31A08"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SPG</w:t>
            </w:r>
          </w:p>
        </w:tc>
        <w:tc>
          <w:tcPr>
            <w:tcW w:w="5387" w:type="dxa"/>
            <w:noWrap/>
            <w:hideMark/>
          </w:tcPr>
          <w:p w14:paraId="1C59A921" w14:textId="76CA714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Specific Gravity</w:t>
            </w:r>
          </w:p>
        </w:tc>
      </w:tr>
      <w:tr w:rsidR="00FD78D2" w:rsidRPr="00E83BEF" w14:paraId="1989DCFC" w14:textId="77777777" w:rsidTr="00FD78D2">
        <w:trPr>
          <w:trHeight w:val="300"/>
        </w:trPr>
        <w:tc>
          <w:tcPr>
            <w:tcW w:w="709" w:type="dxa"/>
            <w:noWrap/>
            <w:hideMark/>
          </w:tcPr>
          <w:p w14:paraId="1ED9333C" w14:textId="75352CA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21</w:t>
            </w:r>
          </w:p>
        </w:tc>
        <w:tc>
          <w:tcPr>
            <w:tcW w:w="3260" w:type="dxa"/>
            <w:noWrap/>
            <w:hideMark/>
          </w:tcPr>
          <w:p w14:paraId="0D8F47F0" w14:textId="5C639FA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RON</w:t>
            </w:r>
          </w:p>
        </w:tc>
        <w:tc>
          <w:tcPr>
            <w:tcW w:w="5387" w:type="dxa"/>
            <w:noWrap/>
            <w:hideMark/>
          </w:tcPr>
          <w:p w14:paraId="4CC76C12" w14:textId="74F1489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Research Octane Number</w:t>
            </w:r>
          </w:p>
        </w:tc>
      </w:tr>
      <w:tr w:rsidR="00FD78D2" w:rsidRPr="00E83BEF" w14:paraId="5CD74770" w14:textId="77777777" w:rsidTr="00FD78D2">
        <w:trPr>
          <w:trHeight w:val="300"/>
        </w:trPr>
        <w:tc>
          <w:tcPr>
            <w:tcW w:w="709" w:type="dxa"/>
            <w:noWrap/>
            <w:hideMark/>
          </w:tcPr>
          <w:p w14:paraId="58EF7F58" w14:textId="38DEB99B"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22</w:t>
            </w:r>
          </w:p>
        </w:tc>
        <w:tc>
          <w:tcPr>
            <w:tcW w:w="3260" w:type="dxa"/>
            <w:noWrap/>
            <w:hideMark/>
          </w:tcPr>
          <w:p w14:paraId="76F53DF7" w14:textId="4F6B2526"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MON</w:t>
            </w:r>
          </w:p>
        </w:tc>
        <w:tc>
          <w:tcPr>
            <w:tcW w:w="5387" w:type="dxa"/>
            <w:noWrap/>
            <w:hideMark/>
          </w:tcPr>
          <w:p w14:paraId="39571542" w14:textId="5C7D0BB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Motor Octane </w:t>
            </w:r>
            <w:r w:rsidR="00FD78D2" w:rsidRPr="00E83BEF">
              <w:rPr>
                <w:rFonts w:eastAsia="Times New Roman" w:cstheme="minorHAnsi"/>
                <w:color w:val="000000"/>
                <w:sz w:val="20"/>
                <w:szCs w:val="20"/>
                <w:lang w:val="en-IN" w:eastAsia="en-IN"/>
              </w:rPr>
              <w:t>Number</w:t>
            </w:r>
          </w:p>
        </w:tc>
      </w:tr>
      <w:tr w:rsidR="00FD78D2" w:rsidRPr="00E83BEF" w14:paraId="59E85333" w14:textId="77777777" w:rsidTr="00FD78D2">
        <w:trPr>
          <w:trHeight w:val="300"/>
        </w:trPr>
        <w:tc>
          <w:tcPr>
            <w:tcW w:w="709" w:type="dxa"/>
            <w:noWrap/>
            <w:hideMark/>
          </w:tcPr>
          <w:p w14:paraId="49DC71F2" w14:textId="6BEB0762"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23</w:t>
            </w:r>
          </w:p>
        </w:tc>
        <w:tc>
          <w:tcPr>
            <w:tcW w:w="3260" w:type="dxa"/>
            <w:noWrap/>
            <w:hideMark/>
          </w:tcPr>
          <w:p w14:paraId="290C3E16" w14:textId="07E0DF7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SUL</w:t>
            </w:r>
          </w:p>
        </w:tc>
        <w:tc>
          <w:tcPr>
            <w:tcW w:w="5387" w:type="dxa"/>
            <w:noWrap/>
            <w:hideMark/>
          </w:tcPr>
          <w:p w14:paraId="55B69E6B" w14:textId="58E90B9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Sulfur</w:t>
            </w:r>
          </w:p>
        </w:tc>
      </w:tr>
      <w:tr w:rsidR="00FD78D2" w:rsidRPr="00E83BEF" w14:paraId="1DEEACF2" w14:textId="77777777" w:rsidTr="00FD78D2">
        <w:trPr>
          <w:trHeight w:val="300"/>
        </w:trPr>
        <w:tc>
          <w:tcPr>
            <w:tcW w:w="709" w:type="dxa"/>
            <w:noWrap/>
            <w:hideMark/>
          </w:tcPr>
          <w:p w14:paraId="40CCADAF" w14:textId="06F67909"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24</w:t>
            </w:r>
          </w:p>
        </w:tc>
        <w:tc>
          <w:tcPr>
            <w:tcW w:w="3260" w:type="dxa"/>
            <w:noWrap/>
            <w:hideMark/>
          </w:tcPr>
          <w:p w14:paraId="072FEA78" w14:textId="3C0B8DF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w:t>
            </w:r>
          </w:p>
        </w:tc>
        <w:tc>
          <w:tcPr>
            <w:tcW w:w="5387" w:type="dxa"/>
            <w:noWrap/>
            <w:hideMark/>
          </w:tcPr>
          <w:p w14:paraId="5442B38B" w14:textId="2251A37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Volume</w:t>
            </w:r>
          </w:p>
        </w:tc>
      </w:tr>
      <w:tr w:rsidR="00FD78D2" w:rsidRPr="00E83BEF" w14:paraId="1A8DBA95" w14:textId="77777777" w:rsidTr="00FD78D2">
        <w:trPr>
          <w:trHeight w:val="300"/>
        </w:trPr>
        <w:tc>
          <w:tcPr>
            <w:tcW w:w="709" w:type="dxa"/>
            <w:noWrap/>
            <w:hideMark/>
          </w:tcPr>
          <w:p w14:paraId="686D8465" w14:textId="3A86F254"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25</w:t>
            </w:r>
          </w:p>
        </w:tc>
        <w:tc>
          <w:tcPr>
            <w:tcW w:w="3260" w:type="dxa"/>
            <w:noWrap/>
            <w:hideMark/>
          </w:tcPr>
          <w:p w14:paraId="4C7D17A4" w14:textId="6D64B77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MAT</w:t>
            </w:r>
          </w:p>
        </w:tc>
        <w:tc>
          <w:tcPr>
            <w:tcW w:w="5387" w:type="dxa"/>
            <w:noWrap/>
            <w:hideMark/>
          </w:tcPr>
          <w:p w14:paraId="7600DF91" w14:textId="4BDE850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Material</w:t>
            </w:r>
          </w:p>
        </w:tc>
      </w:tr>
      <w:tr w:rsidR="00FD78D2" w:rsidRPr="00E83BEF" w14:paraId="79B9266E" w14:textId="77777777" w:rsidTr="00FD78D2">
        <w:trPr>
          <w:trHeight w:val="300"/>
        </w:trPr>
        <w:tc>
          <w:tcPr>
            <w:tcW w:w="709" w:type="dxa"/>
            <w:noWrap/>
            <w:hideMark/>
          </w:tcPr>
          <w:p w14:paraId="4A3BB82D" w14:textId="59E725A3"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26</w:t>
            </w:r>
          </w:p>
        </w:tc>
        <w:tc>
          <w:tcPr>
            <w:tcW w:w="3260" w:type="dxa"/>
            <w:noWrap/>
            <w:hideMark/>
          </w:tcPr>
          <w:p w14:paraId="70156C36" w14:textId="6F98A1E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TAG</w:t>
            </w:r>
          </w:p>
        </w:tc>
        <w:tc>
          <w:tcPr>
            <w:tcW w:w="5387" w:type="dxa"/>
            <w:noWrap/>
            <w:hideMark/>
          </w:tcPr>
          <w:p w14:paraId="00E559F8" w14:textId="4D86EF4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Identifier for PI/APS Data Points</w:t>
            </w:r>
          </w:p>
        </w:tc>
      </w:tr>
      <w:tr w:rsidR="00FD78D2" w:rsidRPr="00E83BEF" w14:paraId="73B2BF46" w14:textId="77777777" w:rsidTr="00FD78D2">
        <w:trPr>
          <w:trHeight w:val="300"/>
        </w:trPr>
        <w:tc>
          <w:tcPr>
            <w:tcW w:w="709" w:type="dxa"/>
            <w:noWrap/>
            <w:hideMark/>
          </w:tcPr>
          <w:p w14:paraId="4F0431AA" w14:textId="5BBF36EA"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27</w:t>
            </w:r>
          </w:p>
        </w:tc>
        <w:tc>
          <w:tcPr>
            <w:tcW w:w="3260" w:type="dxa"/>
            <w:noWrap/>
            <w:hideMark/>
          </w:tcPr>
          <w:p w14:paraId="6EF214C1" w14:textId="20183CA7"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DEV</w:t>
            </w:r>
          </w:p>
        </w:tc>
        <w:tc>
          <w:tcPr>
            <w:tcW w:w="5387" w:type="dxa"/>
            <w:noWrap/>
            <w:hideMark/>
          </w:tcPr>
          <w:p w14:paraId="581333B0" w14:textId="5CDB99A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Development Environment</w:t>
            </w:r>
          </w:p>
        </w:tc>
      </w:tr>
      <w:tr w:rsidR="00FD78D2" w:rsidRPr="00E83BEF" w14:paraId="7D2FC290" w14:textId="77777777" w:rsidTr="00FD78D2">
        <w:trPr>
          <w:trHeight w:val="300"/>
        </w:trPr>
        <w:tc>
          <w:tcPr>
            <w:tcW w:w="709" w:type="dxa"/>
            <w:noWrap/>
            <w:hideMark/>
          </w:tcPr>
          <w:p w14:paraId="2B60E68E" w14:textId="199AF89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28</w:t>
            </w:r>
          </w:p>
        </w:tc>
        <w:tc>
          <w:tcPr>
            <w:tcW w:w="3260" w:type="dxa"/>
            <w:noWrap/>
            <w:hideMark/>
          </w:tcPr>
          <w:p w14:paraId="3F798E75" w14:textId="1E58BC8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TEST</w:t>
            </w:r>
          </w:p>
        </w:tc>
        <w:tc>
          <w:tcPr>
            <w:tcW w:w="5387" w:type="dxa"/>
            <w:noWrap/>
            <w:hideMark/>
          </w:tcPr>
          <w:p w14:paraId="355AF32D" w14:textId="4D44371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Testing </w:t>
            </w:r>
            <w:r w:rsidR="00FD78D2" w:rsidRPr="00E83BEF">
              <w:rPr>
                <w:rFonts w:eastAsia="Times New Roman" w:cstheme="minorHAnsi"/>
                <w:color w:val="000000"/>
                <w:sz w:val="20"/>
                <w:szCs w:val="20"/>
                <w:lang w:val="en-IN" w:eastAsia="en-IN"/>
              </w:rPr>
              <w:t>Environment</w:t>
            </w:r>
          </w:p>
        </w:tc>
      </w:tr>
      <w:tr w:rsidR="00FD78D2" w:rsidRPr="00E83BEF" w14:paraId="313475EE" w14:textId="77777777" w:rsidTr="00FD78D2">
        <w:trPr>
          <w:trHeight w:val="300"/>
        </w:trPr>
        <w:tc>
          <w:tcPr>
            <w:tcW w:w="709" w:type="dxa"/>
            <w:noWrap/>
            <w:hideMark/>
          </w:tcPr>
          <w:p w14:paraId="2C47F783" w14:textId="669E3B3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29</w:t>
            </w:r>
          </w:p>
        </w:tc>
        <w:tc>
          <w:tcPr>
            <w:tcW w:w="3260" w:type="dxa"/>
            <w:noWrap/>
            <w:hideMark/>
          </w:tcPr>
          <w:p w14:paraId="5FEF3754" w14:textId="1362AED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UAT</w:t>
            </w:r>
          </w:p>
        </w:tc>
        <w:tc>
          <w:tcPr>
            <w:tcW w:w="5387" w:type="dxa"/>
            <w:noWrap/>
            <w:hideMark/>
          </w:tcPr>
          <w:p w14:paraId="772A6A14" w14:textId="4BD9AA38"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User Acceptance Testing</w:t>
            </w:r>
          </w:p>
        </w:tc>
      </w:tr>
      <w:tr w:rsidR="00FD78D2" w:rsidRPr="00E83BEF" w14:paraId="1DD40B0C" w14:textId="77777777" w:rsidTr="00FD78D2">
        <w:trPr>
          <w:trHeight w:val="300"/>
        </w:trPr>
        <w:tc>
          <w:tcPr>
            <w:tcW w:w="709" w:type="dxa"/>
            <w:noWrap/>
            <w:hideMark/>
          </w:tcPr>
          <w:p w14:paraId="449CFE42" w14:textId="2E44957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30</w:t>
            </w:r>
          </w:p>
        </w:tc>
        <w:tc>
          <w:tcPr>
            <w:tcW w:w="3260" w:type="dxa"/>
            <w:noWrap/>
            <w:hideMark/>
          </w:tcPr>
          <w:p w14:paraId="55D2F8CD" w14:textId="31E6000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PROD</w:t>
            </w:r>
          </w:p>
        </w:tc>
        <w:tc>
          <w:tcPr>
            <w:tcW w:w="5387" w:type="dxa"/>
            <w:noWrap/>
            <w:hideMark/>
          </w:tcPr>
          <w:p w14:paraId="199FAD9C" w14:textId="5F9C388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Production Environment</w:t>
            </w:r>
          </w:p>
        </w:tc>
      </w:tr>
      <w:tr w:rsidR="00FD78D2" w:rsidRPr="00E83BEF" w14:paraId="5B32E0F3" w14:textId="77777777" w:rsidTr="00FD78D2">
        <w:trPr>
          <w:trHeight w:val="300"/>
        </w:trPr>
        <w:tc>
          <w:tcPr>
            <w:tcW w:w="709" w:type="dxa"/>
            <w:noWrap/>
            <w:hideMark/>
          </w:tcPr>
          <w:p w14:paraId="6AB888E0" w14:textId="439948A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31</w:t>
            </w:r>
          </w:p>
        </w:tc>
        <w:tc>
          <w:tcPr>
            <w:tcW w:w="3260" w:type="dxa"/>
            <w:noWrap/>
            <w:hideMark/>
          </w:tcPr>
          <w:p w14:paraId="4467D816" w14:textId="6AE621F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DF</w:t>
            </w:r>
          </w:p>
        </w:tc>
        <w:tc>
          <w:tcPr>
            <w:tcW w:w="5387" w:type="dxa"/>
            <w:noWrap/>
            <w:hideMark/>
          </w:tcPr>
          <w:p w14:paraId="5ED98E3F" w14:textId="19B2A9C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Durable Function</w:t>
            </w:r>
          </w:p>
        </w:tc>
      </w:tr>
      <w:tr w:rsidR="00FD78D2" w:rsidRPr="00E83BEF" w14:paraId="056B22A9" w14:textId="77777777" w:rsidTr="00FD78D2">
        <w:trPr>
          <w:trHeight w:val="300"/>
        </w:trPr>
        <w:tc>
          <w:tcPr>
            <w:tcW w:w="709" w:type="dxa"/>
            <w:noWrap/>
            <w:hideMark/>
          </w:tcPr>
          <w:p w14:paraId="49ECB0DB" w14:textId="2F4805EE"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32</w:t>
            </w:r>
          </w:p>
        </w:tc>
        <w:tc>
          <w:tcPr>
            <w:tcW w:w="3260" w:type="dxa"/>
            <w:noWrap/>
            <w:hideMark/>
          </w:tcPr>
          <w:p w14:paraId="18498E96" w14:textId="4C4AA73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SB</w:t>
            </w:r>
          </w:p>
        </w:tc>
        <w:tc>
          <w:tcPr>
            <w:tcW w:w="5387" w:type="dxa"/>
            <w:noWrap/>
            <w:hideMark/>
          </w:tcPr>
          <w:p w14:paraId="58EFDFD7" w14:textId="66FCD14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Azure Service Bus</w:t>
            </w:r>
          </w:p>
        </w:tc>
      </w:tr>
      <w:tr w:rsidR="00FD78D2" w:rsidRPr="00E83BEF" w14:paraId="2667BACC" w14:textId="77777777" w:rsidTr="00FD78D2">
        <w:trPr>
          <w:trHeight w:val="300"/>
        </w:trPr>
        <w:tc>
          <w:tcPr>
            <w:tcW w:w="709" w:type="dxa"/>
            <w:noWrap/>
            <w:hideMark/>
          </w:tcPr>
          <w:p w14:paraId="7A1D61EB" w14:textId="333477A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33</w:t>
            </w:r>
          </w:p>
        </w:tc>
        <w:tc>
          <w:tcPr>
            <w:tcW w:w="3260" w:type="dxa"/>
            <w:noWrap/>
            <w:hideMark/>
          </w:tcPr>
          <w:p w14:paraId="54425ADF" w14:textId="39CFFE4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RG</w:t>
            </w:r>
          </w:p>
        </w:tc>
        <w:tc>
          <w:tcPr>
            <w:tcW w:w="5387" w:type="dxa"/>
            <w:noWrap/>
            <w:hideMark/>
          </w:tcPr>
          <w:p w14:paraId="10A50970" w14:textId="7B5A0BF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Resource Group</w:t>
            </w:r>
          </w:p>
        </w:tc>
      </w:tr>
      <w:tr w:rsidR="00FD78D2" w:rsidRPr="00E83BEF" w14:paraId="309965A0" w14:textId="77777777" w:rsidTr="00FD78D2">
        <w:trPr>
          <w:trHeight w:val="300"/>
        </w:trPr>
        <w:tc>
          <w:tcPr>
            <w:tcW w:w="709" w:type="dxa"/>
            <w:noWrap/>
            <w:hideMark/>
          </w:tcPr>
          <w:p w14:paraId="7475E4EB" w14:textId="6F777398"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34</w:t>
            </w:r>
          </w:p>
        </w:tc>
        <w:tc>
          <w:tcPr>
            <w:tcW w:w="3260" w:type="dxa"/>
            <w:noWrap/>
            <w:hideMark/>
          </w:tcPr>
          <w:p w14:paraId="69DC1024" w14:textId="063CEF2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ASE</w:t>
            </w:r>
          </w:p>
        </w:tc>
        <w:tc>
          <w:tcPr>
            <w:tcW w:w="5387" w:type="dxa"/>
            <w:noWrap/>
            <w:hideMark/>
          </w:tcPr>
          <w:p w14:paraId="3A643030" w14:textId="6AAE9CA7"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App Service Environment</w:t>
            </w:r>
          </w:p>
        </w:tc>
      </w:tr>
      <w:tr w:rsidR="00FD78D2" w:rsidRPr="00E83BEF" w14:paraId="47086306" w14:textId="77777777" w:rsidTr="00FD78D2">
        <w:trPr>
          <w:trHeight w:val="300"/>
        </w:trPr>
        <w:tc>
          <w:tcPr>
            <w:tcW w:w="709" w:type="dxa"/>
            <w:noWrap/>
            <w:hideMark/>
          </w:tcPr>
          <w:p w14:paraId="07DC69D8" w14:textId="46AD2A1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35</w:t>
            </w:r>
          </w:p>
        </w:tc>
        <w:tc>
          <w:tcPr>
            <w:tcW w:w="3260" w:type="dxa"/>
            <w:noWrap/>
            <w:hideMark/>
          </w:tcPr>
          <w:p w14:paraId="2DD53838" w14:textId="2A63C68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KPI</w:t>
            </w:r>
          </w:p>
        </w:tc>
        <w:tc>
          <w:tcPr>
            <w:tcW w:w="5387" w:type="dxa"/>
            <w:noWrap/>
            <w:hideMark/>
          </w:tcPr>
          <w:p w14:paraId="67DA9163" w14:textId="50C2DFD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Key Performance Indicator</w:t>
            </w:r>
          </w:p>
        </w:tc>
      </w:tr>
      <w:tr w:rsidR="00FD78D2" w:rsidRPr="00E83BEF" w14:paraId="7264C880" w14:textId="77777777" w:rsidTr="00FD78D2">
        <w:trPr>
          <w:trHeight w:val="300"/>
        </w:trPr>
        <w:tc>
          <w:tcPr>
            <w:tcW w:w="709" w:type="dxa"/>
            <w:noWrap/>
            <w:hideMark/>
          </w:tcPr>
          <w:p w14:paraId="27CBB1C7" w14:textId="35A26F9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36</w:t>
            </w:r>
          </w:p>
        </w:tc>
        <w:tc>
          <w:tcPr>
            <w:tcW w:w="3260" w:type="dxa"/>
            <w:noWrap/>
            <w:hideMark/>
          </w:tcPr>
          <w:p w14:paraId="4C6FD58A" w14:textId="722B1AF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ID</w:t>
            </w:r>
          </w:p>
        </w:tc>
        <w:tc>
          <w:tcPr>
            <w:tcW w:w="5387" w:type="dxa"/>
            <w:noWrap/>
            <w:hideMark/>
          </w:tcPr>
          <w:p w14:paraId="795FFC73" w14:textId="7AB70677"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Identifier (Generic Field in APS Events)</w:t>
            </w:r>
          </w:p>
        </w:tc>
      </w:tr>
      <w:tr w:rsidR="00FD78D2" w:rsidRPr="00E83BEF" w14:paraId="39367D7F" w14:textId="77777777" w:rsidTr="00FD78D2">
        <w:trPr>
          <w:trHeight w:val="300"/>
        </w:trPr>
        <w:tc>
          <w:tcPr>
            <w:tcW w:w="709" w:type="dxa"/>
            <w:noWrap/>
            <w:hideMark/>
          </w:tcPr>
          <w:p w14:paraId="1F6CD91A" w14:textId="15F62814"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37</w:t>
            </w:r>
          </w:p>
        </w:tc>
        <w:tc>
          <w:tcPr>
            <w:tcW w:w="3260" w:type="dxa"/>
            <w:noWrap/>
            <w:hideMark/>
          </w:tcPr>
          <w:p w14:paraId="2DD18500" w14:textId="7D0D7FB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ID1 / ID2 / ID3</w:t>
            </w:r>
          </w:p>
        </w:tc>
        <w:tc>
          <w:tcPr>
            <w:tcW w:w="5387" w:type="dxa"/>
            <w:noWrap/>
            <w:hideMark/>
          </w:tcPr>
          <w:p w14:paraId="59E82093" w14:textId="09E87847"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APS Event Fields for Source, Destination, and Transport Mapping</w:t>
            </w:r>
          </w:p>
        </w:tc>
      </w:tr>
      <w:tr w:rsidR="00FD78D2" w:rsidRPr="00E83BEF" w14:paraId="0F2C93BD" w14:textId="77777777" w:rsidTr="00FD78D2">
        <w:trPr>
          <w:trHeight w:val="300"/>
        </w:trPr>
        <w:tc>
          <w:tcPr>
            <w:tcW w:w="709" w:type="dxa"/>
            <w:noWrap/>
            <w:hideMark/>
          </w:tcPr>
          <w:p w14:paraId="7A793FA9" w14:textId="17E24802"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38</w:t>
            </w:r>
          </w:p>
        </w:tc>
        <w:tc>
          <w:tcPr>
            <w:tcW w:w="3260" w:type="dxa"/>
            <w:noWrap/>
            <w:hideMark/>
          </w:tcPr>
          <w:p w14:paraId="188C1E06" w14:textId="5C34DDB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PL</w:t>
            </w:r>
          </w:p>
        </w:tc>
        <w:tc>
          <w:tcPr>
            <w:tcW w:w="5387" w:type="dxa"/>
            <w:noWrap/>
            <w:hideMark/>
          </w:tcPr>
          <w:p w14:paraId="526887BF" w14:textId="732B51A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Pipeline</w:t>
            </w:r>
          </w:p>
        </w:tc>
      </w:tr>
      <w:tr w:rsidR="00FD78D2" w:rsidRPr="00E83BEF" w14:paraId="5D2DBD6E" w14:textId="77777777" w:rsidTr="00FD78D2">
        <w:trPr>
          <w:trHeight w:val="300"/>
        </w:trPr>
        <w:tc>
          <w:tcPr>
            <w:tcW w:w="709" w:type="dxa"/>
            <w:noWrap/>
            <w:hideMark/>
          </w:tcPr>
          <w:p w14:paraId="3C2C7BF9" w14:textId="637AF1C0"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39</w:t>
            </w:r>
          </w:p>
        </w:tc>
        <w:tc>
          <w:tcPr>
            <w:tcW w:w="3260" w:type="dxa"/>
            <w:noWrap/>
            <w:hideMark/>
          </w:tcPr>
          <w:p w14:paraId="119CCFC9" w14:textId="1BB996A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MoT</w:t>
            </w:r>
          </w:p>
        </w:tc>
        <w:tc>
          <w:tcPr>
            <w:tcW w:w="5387" w:type="dxa"/>
            <w:noWrap/>
            <w:hideMark/>
          </w:tcPr>
          <w:p w14:paraId="47DBFAB5" w14:textId="39D4C62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Mode of Transport</w:t>
            </w:r>
          </w:p>
        </w:tc>
      </w:tr>
      <w:tr w:rsidR="00FD78D2" w:rsidRPr="00E83BEF" w14:paraId="39E2AD0D" w14:textId="77777777" w:rsidTr="00FD78D2">
        <w:trPr>
          <w:trHeight w:val="300"/>
        </w:trPr>
        <w:tc>
          <w:tcPr>
            <w:tcW w:w="709" w:type="dxa"/>
            <w:noWrap/>
            <w:hideMark/>
          </w:tcPr>
          <w:p w14:paraId="3EC91055" w14:textId="5ABFAFE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40</w:t>
            </w:r>
          </w:p>
        </w:tc>
        <w:tc>
          <w:tcPr>
            <w:tcW w:w="3260" w:type="dxa"/>
            <w:noWrap/>
            <w:hideMark/>
          </w:tcPr>
          <w:p w14:paraId="428471E2" w14:textId="14F0CF3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DTO</w:t>
            </w:r>
          </w:p>
        </w:tc>
        <w:tc>
          <w:tcPr>
            <w:tcW w:w="5387" w:type="dxa"/>
            <w:noWrap/>
            <w:hideMark/>
          </w:tcPr>
          <w:p w14:paraId="6E11BF3E" w14:textId="754AB7EA"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Data Transfer Object</w:t>
            </w:r>
          </w:p>
        </w:tc>
      </w:tr>
      <w:tr w:rsidR="00FD78D2" w:rsidRPr="00E83BEF" w14:paraId="657B07A2" w14:textId="77777777" w:rsidTr="00FD78D2">
        <w:trPr>
          <w:trHeight w:val="300"/>
        </w:trPr>
        <w:tc>
          <w:tcPr>
            <w:tcW w:w="709" w:type="dxa"/>
            <w:noWrap/>
            <w:hideMark/>
          </w:tcPr>
          <w:p w14:paraId="4815AB8E" w14:textId="0AC3746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41</w:t>
            </w:r>
          </w:p>
        </w:tc>
        <w:tc>
          <w:tcPr>
            <w:tcW w:w="3260" w:type="dxa"/>
            <w:noWrap/>
            <w:hideMark/>
          </w:tcPr>
          <w:p w14:paraId="02634CA4" w14:textId="638E96B6"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UTC</w:t>
            </w:r>
          </w:p>
        </w:tc>
        <w:tc>
          <w:tcPr>
            <w:tcW w:w="5387" w:type="dxa"/>
            <w:noWrap/>
            <w:hideMark/>
          </w:tcPr>
          <w:p w14:paraId="367FF231" w14:textId="7038A8A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Coordinated Universal Time</w:t>
            </w:r>
          </w:p>
        </w:tc>
      </w:tr>
      <w:tr w:rsidR="00FD78D2" w:rsidRPr="00E83BEF" w14:paraId="33386A51" w14:textId="77777777" w:rsidTr="00FD78D2">
        <w:trPr>
          <w:trHeight w:val="300"/>
        </w:trPr>
        <w:tc>
          <w:tcPr>
            <w:tcW w:w="709" w:type="dxa"/>
            <w:noWrap/>
            <w:hideMark/>
          </w:tcPr>
          <w:p w14:paraId="3BE0CDC9" w14:textId="1B7A3FEC"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42</w:t>
            </w:r>
          </w:p>
        </w:tc>
        <w:tc>
          <w:tcPr>
            <w:tcW w:w="3260" w:type="dxa"/>
            <w:noWrap/>
            <w:hideMark/>
          </w:tcPr>
          <w:p w14:paraId="3A435C21" w14:textId="7B0699A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CST</w:t>
            </w:r>
          </w:p>
        </w:tc>
        <w:tc>
          <w:tcPr>
            <w:tcW w:w="5387" w:type="dxa"/>
            <w:noWrap/>
            <w:hideMark/>
          </w:tcPr>
          <w:p w14:paraId="45323C19" w14:textId="4742664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Central Standard </w:t>
            </w:r>
            <w:r w:rsidR="00FD78D2" w:rsidRPr="00E83BEF">
              <w:rPr>
                <w:rFonts w:eastAsia="Times New Roman" w:cstheme="minorHAnsi"/>
                <w:color w:val="000000"/>
                <w:sz w:val="20"/>
                <w:szCs w:val="20"/>
                <w:lang w:val="en-IN" w:eastAsia="en-IN"/>
              </w:rPr>
              <w:t>Time</w:t>
            </w:r>
          </w:p>
        </w:tc>
      </w:tr>
      <w:tr w:rsidR="00FD78D2" w:rsidRPr="00E83BEF" w14:paraId="32B639F0" w14:textId="77777777" w:rsidTr="00FD78D2">
        <w:trPr>
          <w:trHeight w:val="300"/>
        </w:trPr>
        <w:tc>
          <w:tcPr>
            <w:tcW w:w="709" w:type="dxa"/>
            <w:noWrap/>
            <w:hideMark/>
          </w:tcPr>
          <w:p w14:paraId="16537A19" w14:textId="37CE37D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43</w:t>
            </w:r>
          </w:p>
        </w:tc>
        <w:tc>
          <w:tcPr>
            <w:tcW w:w="3260" w:type="dxa"/>
            <w:noWrap/>
            <w:hideMark/>
          </w:tcPr>
          <w:p w14:paraId="1B7FCE4D" w14:textId="5BB7CCA5"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DB</w:t>
            </w:r>
          </w:p>
        </w:tc>
        <w:tc>
          <w:tcPr>
            <w:tcW w:w="5387" w:type="dxa"/>
            <w:noWrap/>
            <w:hideMark/>
          </w:tcPr>
          <w:p w14:paraId="111A22D0" w14:textId="3532B2A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Database</w:t>
            </w:r>
          </w:p>
        </w:tc>
      </w:tr>
      <w:tr w:rsidR="00FD78D2" w:rsidRPr="00E83BEF" w14:paraId="3DD5FE4A" w14:textId="77777777" w:rsidTr="00FD78D2">
        <w:trPr>
          <w:trHeight w:val="300"/>
        </w:trPr>
        <w:tc>
          <w:tcPr>
            <w:tcW w:w="709" w:type="dxa"/>
            <w:noWrap/>
            <w:hideMark/>
          </w:tcPr>
          <w:p w14:paraId="13D984C1" w14:textId="43DC8E9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44</w:t>
            </w:r>
          </w:p>
        </w:tc>
        <w:tc>
          <w:tcPr>
            <w:tcW w:w="3260" w:type="dxa"/>
            <w:noWrap/>
            <w:hideMark/>
          </w:tcPr>
          <w:p w14:paraId="1AC6AE6A" w14:textId="7312F0BF"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SQL</w:t>
            </w:r>
          </w:p>
        </w:tc>
        <w:tc>
          <w:tcPr>
            <w:tcW w:w="5387" w:type="dxa"/>
            <w:noWrap/>
            <w:hideMark/>
          </w:tcPr>
          <w:p w14:paraId="531DEB3A" w14:textId="38AAD24A"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Structured Query Language</w:t>
            </w:r>
          </w:p>
        </w:tc>
      </w:tr>
      <w:tr w:rsidR="00FD78D2" w:rsidRPr="00E83BEF" w14:paraId="4199D94A" w14:textId="77777777" w:rsidTr="00FD78D2">
        <w:trPr>
          <w:trHeight w:val="300"/>
        </w:trPr>
        <w:tc>
          <w:tcPr>
            <w:tcW w:w="709" w:type="dxa"/>
            <w:noWrap/>
            <w:hideMark/>
          </w:tcPr>
          <w:p w14:paraId="55893E24" w14:textId="69E3A0DC"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45</w:t>
            </w:r>
          </w:p>
        </w:tc>
        <w:tc>
          <w:tcPr>
            <w:tcW w:w="3260" w:type="dxa"/>
            <w:noWrap/>
            <w:hideMark/>
          </w:tcPr>
          <w:p w14:paraId="0D21BC14" w14:textId="45C6C95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WPF</w:t>
            </w:r>
          </w:p>
        </w:tc>
        <w:tc>
          <w:tcPr>
            <w:tcW w:w="5387" w:type="dxa"/>
            <w:noWrap/>
            <w:hideMark/>
          </w:tcPr>
          <w:p w14:paraId="62390C4D" w14:textId="7627F2B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Windows Presentation Foundation</w:t>
            </w:r>
          </w:p>
        </w:tc>
      </w:tr>
      <w:tr w:rsidR="00FD78D2" w:rsidRPr="00E83BEF" w14:paraId="3AA4A0F8" w14:textId="77777777" w:rsidTr="00FD78D2">
        <w:trPr>
          <w:trHeight w:val="300"/>
        </w:trPr>
        <w:tc>
          <w:tcPr>
            <w:tcW w:w="709" w:type="dxa"/>
            <w:noWrap/>
            <w:hideMark/>
          </w:tcPr>
          <w:p w14:paraId="4631B443" w14:textId="5B0EFC18"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46</w:t>
            </w:r>
          </w:p>
        </w:tc>
        <w:tc>
          <w:tcPr>
            <w:tcW w:w="3260" w:type="dxa"/>
            <w:noWrap/>
            <w:hideMark/>
          </w:tcPr>
          <w:p w14:paraId="7BDD5A02" w14:textId="689547C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x64</w:t>
            </w:r>
          </w:p>
        </w:tc>
        <w:tc>
          <w:tcPr>
            <w:tcW w:w="5387" w:type="dxa"/>
            <w:noWrap/>
            <w:hideMark/>
          </w:tcPr>
          <w:p w14:paraId="75D2FF9A" w14:textId="41F04689" w:rsidR="00FD78D2" w:rsidRPr="00E83BEF" w:rsidRDefault="006C2289" w:rsidP="00406F6D">
            <w:pPr>
              <w:keepNext/>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64-bit Architecture</w:t>
            </w:r>
          </w:p>
        </w:tc>
      </w:tr>
      <w:tr w:rsidR="003406A6" w:rsidRPr="00E83BEF" w14:paraId="6791C50B" w14:textId="77777777" w:rsidTr="00FD78D2">
        <w:trPr>
          <w:trHeight w:val="300"/>
        </w:trPr>
        <w:tc>
          <w:tcPr>
            <w:tcW w:w="709" w:type="dxa"/>
            <w:noWrap/>
          </w:tcPr>
          <w:p w14:paraId="389826C4" w14:textId="68EA06CC"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47</w:t>
            </w:r>
          </w:p>
        </w:tc>
        <w:tc>
          <w:tcPr>
            <w:tcW w:w="3260" w:type="dxa"/>
            <w:noWrap/>
          </w:tcPr>
          <w:p w14:paraId="4013EEB1" w14:textId="5E4124EA" w:rsidR="003406A6" w:rsidRPr="00E83BEF"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VCB</w:t>
            </w:r>
          </w:p>
        </w:tc>
        <w:tc>
          <w:tcPr>
            <w:tcW w:w="5387" w:type="dxa"/>
            <w:noWrap/>
          </w:tcPr>
          <w:p w14:paraId="57B8CCB3" w14:textId="043210C2" w:rsidR="003406A6" w:rsidRPr="00E83BEF"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Value Chain Blending</w:t>
            </w:r>
          </w:p>
        </w:tc>
      </w:tr>
      <w:tr w:rsidR="003406A6" w:rsidRPr="00E83BEF" w14:paraId="60D45CB3" w14:textId="77777777" w:rsidTr="00FD78D2">
        <w:trPr>
          <w:trHeight w:val="300"/>
        </w:trPr>
        <w:tc>
          <w:tcPr>
            <w:tcW w:w="709" w:type="dxa"/>
            <w:noWrap/>
          </w:tcPr>
          <w:p w14:paraId="7A77BE0B" w14:textId="7513B764"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48</w:t>
            </w:r>
          </w:p>
        </w:tc>
        <w:tc>
          <w:tcPr>
            <w:tcW w:w="3260" w:type="dxa"/>
            <w:noWrap/>
          </w:tcPr>
          <w:p w14:paraId="5EC2B689" w14:textId="4DF51678"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PIAF</w:t>
            </w:r>
          </w:p>
        </w:tc>
        <w:tc>
          <w:tcPr>
            <w:tcW w:w="5387" w:type="dxa"/>
            <w:noWrap/>
          </w:tcPr>
          <w:p w14:paraId="6EE1A06D" w14:textId="4E6BD275"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PI Asset Framework</w:t>
            </w:r>
          </w:p>
        </w:tc>
      </w:tr>
      <w:tr w:rsidR="003406A6" w:rsidRPr="00E83BEF" w14:paraId="3DBBFE83" w14:textId="77777777" w:rsidTr="00FD78D2">
        <w:trPr>
          <w:trHeight w:val="300"/>
        </w:trPr>
        <w:tc>
          <w:tcPr>
            <w:tcW w:w="709" w:type="dxa"/>
            <w:noWrap/>
          </w:tcPr>
          <w:p w14:paraId="3FA2A586" w14:textId="106F7E21"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49</w:t>
            </w:r>
          </w:p>
        </w:tc>
        <w:tc>
          <w:tcPr>
            <w:tcW w:w="3260" w:type="dxa"/>
            <w:noWrap/>
          </w:tcPr>
          <w:p w14:paraId="5DB4D0FB" w14:textId="701FB9EF"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MPR</w:t>
            </w:r>
          </w:p>
        </w:tc>
        <w:tc>
          <w:tcPr>
            <w:tcW w:w="5387" w:type="dxa"/>
            <w:noWrap/>
          </w:tcPr>
          <w:p w14:paraId="7CC21C13" w14:textId="0C2CF792"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Marathon Pricing Repository</w:t>
            </w:r>
          </w:p>
        </w:tc>
      </w:tr>
      <w:tr w:rsidR="003406A6" w:rsidRPr="00E83BEF" w14:paraId="4055F721" w14:textId="77777777" w:rsidTr="00FD78D2">
        <w:trPr>
          <w:trHeight w:val="300"/>
        </w:trPr>
        <w:tc>
          <w:tcPr>
            <w:tcW w:w="709" w:type="dxa"/>
            <w:noWrap/>
          </w:tcPr>
          <w:p w14:paraId="22394D9B" w14:textId="204662C6"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50</w:t>
            </w:r>
          </w:p>
        </w:tc>
        <w:tc>
          <w:tcPr>
            <w:tcW w:w="3260" w:type="dxa"/>
            <w:noWrap/>
          </w:tcPr>
          <w:p w14:paraId="0B62EB49" w14:textId="3CF691C4"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CIP</w:t>
            </w:r>
          </w:p>
        </w:tc>
        <w:tc>
          <w:tcPr>
            <w:tcW w:w="5387" w:type="dxa"/>
            <w:noWrap/>
          </w:tcPr>
          <w:p w14:paraId="6CE8F6EE" w14:textId="5A42F1CE"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Commercial Integration Platform</w:t>
            </w:r>
          </w:p>
        </w:tc>
      </w:tr>
      <w:tr w:rsidR="003406A6" w:rsidRPr="00E83BEF" w14:paraId="3AF9F688" w14:textId="77777777" w:rsidTr="00FD78D2">
        <w:trPr>
          <w:trHeight w:val="300"/>
        </w:trPr>
        <w:tc>
          <w:tcPr>
            <w:tcW w:w="709" w:type="dxa"/>
            <w:noWrap/>
          </w:tcPr>
          <w:p w14:paraId="1B049F9D" w14:textId="474814E7"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51</w:t>
            </w:r>
          </w:p>
        </w:tc>
        <w:tc>
          <w:tcPr>
            <w:tcW w:w="3260" w:type="dxa"/>
            <w:noWrap/>
          </w:tcPr>
          <w:p w14:paraId="1B6C0981" w14:textId="2273A409"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PQ</w:t>
            </w:r>
          </w:p>
        </w:tc>
        <w:tc>
          <w:tcPr>
            <w:tcW w:w="5387" w:type="dxa"/>
            <w:noWrap/>
          </w:tcPr>
          <w:p w14:paraId="1AB55E93" w14:textId="4968C4EF"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Product Quality (PQ Spec Shop, PQCore)</w:t>
            </w:r>
          </w:p>
        </w:tc>
      </w:tr>
      <w:tr w:rsidR="003406A6" w:rsidRPr="00E83BEF" w14:paraId="417FE023" w14:textId="77777777" w:rsidTr="00FD78D2">
        <w:trPr>
          <w:trHeight w:val="300"/>
        </w:trPr>
        <w:tc>
          <w:tcPr>
            <w:tcW w:w="709" w:type="dxa"/>
            <w:noWrap/>
          </w:tcPr>
          <w:p w14:paraId="0842BAEF" w14:textId="3356CCFE"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52</w:t>
            </w:r>
          </w:p>
        </w:tc>
        <w:tc>
          <w:tcPr>
            <w:tcW w:w="3260" w:type="dxa"/>
            <w:noWrap/>
          </w:tcPr>
          <w:p w14:paraId="030A2584" w14:textId="61C68344"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OData</w:t>
            </w:r>
          </w:p>
        </w:tc>
        <w:tc>
          <w:tcPr>
            <w:tcW w:w="5387" w:type="dxa"/>
            <w:noWrap/>
          </w:tcPr>
          <w:p w14:paraId="374DDF64" w14:textId="17A6BEC4"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Open Data Protocol</w:t>
            </w:r>
          </w:p>
        </w:tc>
      </w:tr>
      <w:tr w:rsidR="003406A6" w:rsidRPr="00E83BEF" w14:paraId="1F779A31" w14:textId="77777777" w:rsidTr="00FD78D2">
        <w:trPr>
          <w:trHeight w:val="300"/>
        </w:trPr>
        <w:tc>
          <w:tcPr>
            <w:tcW w:w="709" w:type="dxa"/>
            <w:noWrap/>
          </w:tcPr>
          <w:p w14:paraId="124817F6" w14:textId="2402F568"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53</w:t>
            </w:r>
          </w:p>
        </w:tc>
        <w:tc>
          <w:tcPr>
            <w:tcW w:w="3260" w:type="dxa"/>
            <w:noWrap/>
          </w:tcPr>
          <w:p w14:paraId="72CBEE17" w14:textId="4A62FCE7"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RVP</w:t>
            </w:r>
          </w:p>
        </w:tc>
        <w:tc>
          <w:tcPr>
            <w:tcW w:w="5387" w:type="dxa"/>
            <w:noWrap/>
          </w:tcPr>
          <w:p w14:paraId="1479CB44" w14:textId="72C8CDE3" w:rsidR="003406A6" w:rsidRDefault="00331194"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Reid Vapor Pressure</w:t>
            </w:r>
          </w:p>
        </w:tc>
      </w:tr>
      <w:tr w:rsidR="003406A6" w:rsidRPr="00E83BEF" w14:paraId="6C50F162" w14:textId="77777777" w:rsidTr="00FD78D2">
        <w:trPr>
          <w:trHeight w:val="300"/>
        </w:trPr>
        <w:tc>
          <w:tcPr>
            <w:tcW w:w="709" w:type="dxa"/>
            <w:noWrap/>
          </w:tcPr>
          <w:p w14:paraId="30434534" w14:textId="208D550D"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54</w:t>
            </w:r>
          </w:p>
        </w:tc>
        <w:tc>
          <w:tcPr>
            <w:tcW w:w="3260" w:type="dxa"/>
            <w:noWrap/>
          </w:tcPr>
          <w:p w14:paraId="1FC2B369" w14:textId="78492666"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IBP / FBP</w:t>
            </w:r>
          </w:p>
        </w:tc>
        <w:tc>
          <w:tcPr>
            <w:tcW w:w="5387" w:type="dxa"/>
            <w:noWrap/>
          </w:tcPr>
          <w:p w14:paraId="0B69939F" w14:textId="2953032E"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Initial / Final Boiling Point</w:t>
            </w:r>
          </w:p>
        </w:tc>
      </w:tr>
      <w:tr w:rsidR="00A212FF" w:rsidRPr="00E83BEF" w14:paraId="65E560B7" w14:textId="77777777" w:rsidTr="00FD78D2">
        <w:trPr>
          <w:trHeight w:val="300"/>
        </w:trPr>
        <w:tc>
          <w:tcPr>
            <w:tcW w:w="709" w:type="dxa"/>
            <w:noWrap/>
          </w:tcPr>
          <w:p w14:paraId="5B0558EA" w14:textId="2DD4941A" w:rsidR="00A212F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55</w:t>
            </w:r>
          </w:p>
        </w:tc>
        <w:tc>
          <w:tcPr>
            <w:tcW w:w="3260" w:type="dxa"/>
            <w:noWrap/>
          </w:tcPr>
          <w:p w14:paraId="7730E6BD" w14:textId="2BBC3C20" w:rsidR="00A212FF" w:rsidRDefault="00A212FF"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AD</w:t>
            </w:r>
          </w:p>
        </w:tc>
        <w:tc>
          <w:tcPr>
            <w:tcW w:w="5387" w:type="dxa"/>
            <w:noWrap/>
          </w:tcPr>
          <w:p w14:paraId="2A10E9C8" w14:textId="57C8433D" w:rsidR="00A212FF" w:rsidRDefault="00F73C79"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Active Directory (Entra ID)</w:t>
            </w:r>
          </w:p>
        </w:tc>
      </w:tr>
      <w:tr w:rsidR="00A212FF" w:rsidRPr="00E83BEF" w14:paraId="21CF453D" w14:textId="77777777" w:rsidTr="00FD78D2">
        <w:trPr>
          <w:trHeight w:val="300"/>
        </w:trPr>
        <w:tc>
          <w:tcPr>
            <w:tcW w:w="709" w:type="dxa"/>
            <w:noWrap/>
          </w:tcPr>
          <w:p w14:paraId="30A9B4B2" w14:textId="4F42689C" w:rsidR="00A212F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56</w:t>
            </w:r>
          </w:p>
        </w:tc>
        <w:tc>
          <w:tcPr>
            <w:tcW w:w="3260" w:type="dxa"/>
            <w:noWrap/>
          </w:tcPr>
          <w:p w14:paraId="7985D332" w14:textId="27A008EF" w:rsidR="00A212FF" w:rsidRDefault="00A212FF"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QA</w:t>
            </w:r>
          </w:p>
        </w:tc>
        <w:tc>
          <w:tcPr>
            <w:tcW w:w="5387" w:type="dxa"/>
            <w:noWrap/>
          </w:tcPr>
          <w:p w14:paraId="1E0430C2" w14:textId="41836F26" w:rsidR="00A212FF" w:rsidRDefault="00A212FF"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Quality Assurance (test environment)</w:t>
            </w:r>
          </w:p>
        </w:tc>
      </w:tr>
      <w:tr w:rsidR="007364BC" w:rsidRPr="00E83BEF" w14:paraId="2C50577F" w14:textId="77777777" w:rsidTr="00FD78D2">
        <w:trPr>
          <w:trHeight w:val="300"/>
        </w:trPr>
        <w:tc>
          <w:tcPr>
            <w:tcW w:w="709" w:type="dxa"/>
            <w:noWrap/>
          </w:tcPr>
          <w:p w14:paraId="2EDE5254" w14:textId="21396560" w:rsidR="007364BC" w:rsidRDefault="007364BC"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57</w:t>
            </w:r>
          </w:p>
        </w:tc>
        <w:tc>
          <w:tcPr>
            <w:tcW w:w="3260" w:type="dxa"/>
            <w:noWrap/>
          </w:tcPr>
          <w:p w14:paraId="22092886" w14:textId="31F2DD3B" w:rsidR="007364BC" w:rsidRDefault="007364BC"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VCO</w:t>
            </w:r>
          </w:p>
        </w:tc>
        <w:tc>
          <w:tcPr>
            <w:tcW w:w="5387" w:type="dxa"/>
            <w:noWrap/>
          </w:tcPr>
          <w:p w14:paraId="54647103" w14:textId="4D1DF39B" w:rsidR="007364BC" w:rsidRDefault="007364BC"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Value Chain Optimization</w:t>
            </w:r>
          </w:p>
        </w:tc>
      </w:tr>
      <w:tr w:rsidR="00F91B3B" w:rsidRPr="00E83BEF" w14:paraId="262BB3A5" w14:textId="77777777" w:rsidTr="00FD78D2">
        <w:trPr>
          <w:trHeight w:val="300"/>
        </w:trPr>
        <w:tc>
          <w:tcPr>
            <w:tcW w:w="709" w:type="dxa"/>
            <w:noWrap/>
          </w:tcPr>
          <w:p w14:paraId="425460A9" w14:textId="75979682" w:rsidR="00F91B3B" w:rsidRDefault="00F91B3B"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58</w:t>
            </w:r>
          </w:p>
        </w:tc>
        <w:tc>
          <w:tcPr>
            <w:tcW w:w="3260" w:type="dxa"/>
            <w:noWrap/>
          </w:tcPr>
          <w:p w14:paraId="3A0D1660" w14:textId="5375E3B3" w:rsidR="00F91B3B" w:rsidRDefault="00F91B3B"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GUID</w:t>
            </w:r>
          </w:p>
        </w:tc>
        <w:tc>
          <w:tcPr>
            <w:tcW w:w="5387" w:type="dxa"/>
            <w:noWrap/>
          </w:tcPr>
          <w:p w14:paraId="232038B1" w14:textId="6CAD2836" w:rsidR="00F91B3B" w:rsidRDefault="00F91B3B"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Globally Unique Identifier</w:t>
            </w:r>
          </w:p>
        </w:tc>
      </w:tr>
      <w:tr w:rsidR="00F91B3B" w:rsidRPr="00E83BEF" w14:paraId="1F09380D" w14:textId="77777777" w:rsidTr="00FD78D2">
        <w:trPr>
          <w:trHeight w:val="300"/>
        </w:trPr>
        <w:tc>
          <w:tcPr>
            <w:tcW w:w="709" w:type="dxa"/>
            <w:noWrap/>
          </w:tcPr>
          <w:p w14:paraId="3E4DB458" w14:textId="3FB80385" w:rsidR="00F91B3B" w:rsidRDefault="00F91B3B"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59</w:t>
            </w:r>
          </w:p>
        </w:tc>
        <w:tc>
          <w:tcPr>
            <w:tcW w:w="3260" w:type="dxa"/>
            <w:noWrap/>
          </w:tcPr>
          <w:p w14:paraId="460C5A2D" w14:textId="116BD305" w:rsidR="00F91B3B" w:rsidRDefault="00F91B3B"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XREF</w:t>
            </w:r>
          </w:p>
        </w:tc>
        <w:tc>
          <w:tcPr>
            <w:tcW w:w="5387" w:type="dxa"/>
            <w:noWrap/>
          </w:tcPr>
          <w:p w14:paraId="62EC51C1" w14:textId="708B2827" w:rsidR="00F91B3B" w:rsidRDefault="00F91B3B"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Cross-reference (code mapping between two systems)</w:t>
            </w:r>
          </w:p>
        </w:tc>
      </w:tr>
      <w:tr w:rsidR="00CE45AF" w:rsidRPr="00E83BEF" w14:paraId="488FA1D2" w14:textId="77777777" w:rsidTr="00FD78D2">
        <w:trPr>
          <w:trHeight w:val="300"/>
        </w:trPr>
        <w:tc>
          <w:tcPr>
            <w:tcW w:w="709" w:type="dxa"/>
            <w:noWrap/>
          </w:tcPr>
          <w:p w14:paraId="26768BCF" w14:textId="493FBFC4" w:rsidR="00CE45AF" w:rsidRDefault="00CE45A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60</w:t>
            </w:r>
          </w:p>
        </w:tc>
        <w:tc>
          <w:tcPr>
            <w:tcW w:w="3260" w:type="dxa"/>
            <w:noWrap/>
          </w:tcPr>
          <w:p w14:paraId="2CDE5D4A" w14:textId="2DACB12C" w:rsidR="00CE45AF" w:rsidRDefault="00CE45AF"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AF</w:t>
            </w:r>
          </w:p>
        </w:tc>
        <w:tc>
          <w:tcPr>
            <w:tcW w:w="5387" w:type="dxa"/>
            <w:noWrap/>
          </w:tcPr>
          <w:p w14:paraId="69ADB898" w14:textId="5515BF32" w:rsidR="00CE45AF" w:rsidRDefault="00CE45AF"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Asset Framework (PI Asset Framework)</w:t>
            </w:r>
          </w:p>
        </w:tc>
      </w:tr>
    </w:tbl>
    <w:p w14:paraId="49BDFAFF" w14:textId="42A4BC3F" w:rsidR="00B44053" w:rsidRPr="00E83BEF" w:rsidRDefault="00DC66DC" w:rsidP="00DC66DC">
      <w:pPr>
        <w:pStyle w:val="Caption"/>
      </w:pPr>
      <w:bookmarkStart w:id="829" w:name="_Toc241311536"/>
      <w:bookmarkStart w:id="830" w:name="_Toc241574752"/>
      <w:bookmarkStart w:id="831" w:name="_Toc242554136"/>
      <w:r>
        <w:t xml:space="preserve">Table </w:t>
      </w:r>
      <w:r>
        <w:fldChar w:fldCharType="begin"/>
      </w:r>
      <w:r>
        <w:instrText>STYLEREF 1 \s</w:instrText>
      </w:r>
      <w:r>
        <w:fldChar w:fldCharType="separate"/>
      </w:r>
      <w:r w:rsidR="00FC42E7">
        <w:rPr>
          <w:noProof/>
        </w:rPr>
        <w:t>5</w:t>
      </w:r>
      <w:r>
        <w:fldChar w:fldCharType="end"/>
      </w:r>
      <w:r>
        <w:t>-</w:t>
      </w:r>
      <w:r>
        <w:fldChar w:fldCharType="begin"/>
      </w:r>
      <w:r>
        <w:instrText>SEQ Table \* ARABIC \s 1</w:instrText>
      </w:r>
      <w:r>
        <w:fldChar w:fldCharType="separate"/>
      </w:r>
      <w:r w:rsidR="00FC42E7">
        <w:rPr>
          <w:noProof/>
        </w:rPr>
        <w:t>2</w:t>
      </w:r>
      <w:r>
        <w:fldChar w:fldCharType="end"/>
      </w:r>
      <w:r w:rsidR="00514BDC">
        <w:t>: Acronyms &amp; Abbreviations</w:t>
      </w:r>
      <w:bookmarkEnd w:id="829"/>
      <w:bookmarkEnd w:id="830"/>
      <w:bookmarkEnd w:id="831"/>
    </w:p>
    <w:p w14:paraId="36A7574E" w14:textId="77777777" w:rsidR="00406F6D" w:rsidRPr="00E83BEF" w:rsidRDefault="00406F6D" w:rsidP="00406F6D">
      <w:pPr>
        <w:rPr>
          <w:rFonts w:cstheme="minorHAnsi"/>
          <w:sz w:val="20"/>
          <w:szCs w:val="20"/>
        </w:rPr>
      </w:pPr>
    </w:p>
    <w:p w14:paraId="124ADA2B" w14:textId="6A6D2FFB" w:rsidR="009C2186" w:rsidRPr="00E83BEF" w:rsidRDefault="00754413" w:rsidP="00EE4755">
      <w:pPr>
        <w:pStyle w:val="Heading2"/>
        <w:jc w:val="left"/>
        <w:rPr>
          <w:rFonts w:asciiTheme="minorHAnsi" w:hAnsiTheme="minorHAnsi" w:cstheme="minorBidi"/>
          <w:sz w:val="20"/>
          <w:szCs w:val="20"/>
        </w:rPr>
      </w:pPr>
      <w:bookmarkStart w:id="832" w:name="_Toc993371394"/>
      <w:bookmarkStart w:id="833" w:name="_Toc1047413953"/>
      <w:bookmarkStart w:id="834" w:name="_Toc241574374"/>
      <w:bookmarkStart w:id="835" w:name="_Toc242553996"/>
      <w:bookmarkStart w:id="836" w:name="_Toc189856040"/>
      <w:bookmarkStart w:id="837" w:name="_Toc228272896"/>
      <w:bookmarkEnd w:id="2"/>
      <w:bookmarkEnd w:id="3"/>
      <w:bookmarkEnd w:id="4"/>
      <w:bookmarkEnd w:id="5"/>
      <w:bookmarkEnd w:id="6"/>
      <w:bookmarkEnd w:id="86"/>
      <w:bookmarkEnd w:id="87"/>
      <w:bookmarkEnd w:id="828"/>
      <w:r w:rsidRPr="7F6E7DEF">
        <w:rPr>
          <w:rFonts w:asciiTheme="minorHAnsi" w:hAnsiTheme="minorHAnsi" w:cstheme="minorBidi"/>
          <w:sz w:val="20"/>
          <w:szCs w:val="20"/>
        </w:rPr>
        <w:t>Data Sizing</w:t>
      </w:r>
      <w:bookmarkEnd w:id="832"/>
      <w:bookmarkEnd w:id="833"/>
      <w:bookmarkEnd w:id="834"/>
      <w:bookmarkEnd w:id="835"/>
    </w:p>
    <w:p w14:paraId="1F820F1D" w14:textId="1A80A67F" w:rsidR="00E15161" w:rsidRPr="00B676AC" w:rsidRDefault="00E15161" w:rsidP="00B676AC">
      <w:pPr>
        <w:rPr>
          <w:rFonts w:ascii="Calibri" w:hAnsi="Calibri" w:cs="Calibri"/>
          <w:sz w:val="20"/>
        </w:rPr>
      </w:pPr>
      <w:bookmarkStart w:id="838" w:name="_Toc419849050"/>
      <w:bookmarkStart w:id="839" w:name="_Toc1628217772"/>
      <w:r w:rsidRPr="00B676AC">
        <w:rPr>
          <w:rFonts w:ascii="Calibri" w:hAnsi="Calibri" w:cs="Calibri"/>
          <w:sz w:val="20"/>
        </w:rPr>
        <w:t xml:space="preserve">Data sizing for VCB is provided by the database team. For the IQDM sizing, </w:t>
      </w:r>
      <w:r w:rsidR="00331194">
        <w:rPr>
          <w:rFonts w:ascii="Calibri" w:hAnsi="Calibri" w:cs="Calibri"/>
          <w:sz w:val="20"/>
        </w:rPr>
        <w:t>see the IQDM Technical Design Document V3.0</w:t>
      </w:r>
      <w:r w:rsidRPr="00B676AC">
        <w:rPr>
          <w:rFonts w:ascii="Calibri" w:hAnsi="Calibri" w:cs="Calibri"/>
          <w:sz w:val="20"/>
        </w:rPr>
        <w:t>, section Data Sizing.</w:t>
      </w:r>
    </w:p>
    <w:p w14:paraId="06EACB6A" w14:textId="0DC992B9" w:rsidR="00D9022F" w:rsidRPr="00E83BEF" w:rsidRDefault="00E80BD3" w:rsidP="003330FA">
      <w:pPr>
        <w:pStyle w:val="Heading2"/>
        <w:rPr>
          <w:rFonts w:asciiTheme="minorHAnsi" w:hAnsiTheme="minorHAnsi" w:cstheme="minorBidi"/>
          <w:sz w:val="20"/>
          <w:szCs w:val="20"/>
        </w:rPr>
      </w:pPr>
      <w:bookmarkStart w:id="840" w:name="_Toc241574375"/>
      <w:bookmarkStart w:id="841" w:name="_Toc242553997"/>
      <w:bookmarkEnd w:id="836"/>
      <w:bookmarkEnd w:id="837"/>
      <w:bookmarkEnd w:id="838"/>
      <w:bookmarkEnd w:id="839"/>
      <w:r>
        <w:rPr>
          <w:rFonts w:asciiTheme="minorHAnsi" w:hAnsiTheme="minorHAnsi" w:cstheme="minorBidi"/>
          <w:sz w:val="20"/>
          <w:szCs w:val="20"/>
        </w:rPr>
        <w:t>Reference Configuration Data</w:t>
      </w:r>
      <w:bookmarkEnd w:id="840"/>
      <w:bookmarkEnd w:id="841"/>
    </w:p>
    <w:p w14:paraId="3EFF0780" w14:textId="6EA079F4" w:rsidR="00FD45B3" w:rsidRPr="00B676AC" w:rsidRDefault="00FD45B3" w:rsidP="00B676AC">
      <w:pPr>
        <w:rPr>
          <w:rFonts w:ascii="Calibri" w:hAnsi="Calibri" w:cs="Calibri"/>
          <w:sz w:val="20"/>
        </w:rPr>
      </w:pPr>
      <w:bookmarkStart w:id="842" w:name="_Toc265824293"/>
      <w:bookmarkStart w:id="843" w:name="_Toc17926894"/>
      <w:r w:rsidRPr="00B676AC">
        <w:rPr>
          <w:rFonts w:ascii="Calibri" w:hAnsi="Calibri" w:cs="Calibri"/>
          <w:sz w:val="20"/>
        </w:rPr>
        <w:t xml:space="preserve">The VCB reference configuration is provided with the VCB_ tables by the database team. For the IQDM reference configuration, </w:t>
      </w:r>
      <w:r w:rsidR="00331194">
        <w:rPr>
          <w:rFonts w:ascii="Calibri" w:hAnsi="Calibri" w:cs="Calibri"/>
          <w:sz w:val="20"/>
        </w:rPr>
        <w:t>see the IQDM Technical Design Document V3.0</w:t>
      </w:r>
      <w:r w:rsidRPr="00B676AC">
        <w:rPr>
          <w:rFonts w:ascii="Calibri" w:hAnsi="Calibri" w:cs="Calibri"/>
          <w:sz w:val="20"/>
        </w:rPr>
        <w:t>.</w:t>
      </w:r>
    </w:p>
    <w:p w14:paraId="40CFE555" w14:textId="2E122541" w:rsidR="00B527CD" w:rsidRPr="00E83BEF" w:rsidRDefault="5AF3F74A" w:rsidP="0A29FD7E">
      <w:pPr>
        <w:pStyle w:val="Heading2"/>
        <w:rPr>
          <w:rFonts w:asciiTheme="minorHAnsi" w:hAnsiTheme="minorHAnsi" w:cstheme="minorBidi"/>
          <w:sz w:val="20"/>
          <w:szCs w:val="20"/>
        </w:rPr>
      </w:pPr>
      <w:bookmarkStart w:id="844" w:name="_Toc241574376"/>
      <w:bookmarkStart w:id="845" w:name="_Toc242553998"/>
      <w:r w:rsidRPr="7F6E7DEF">
        <w:rPr>
          <w:rFonts w:asciiTheme="minorHAnsi" w:hAnsiTheme="minorHAnsi" w:cstheme="minorBidi"/>
          <w:sz w:val="20"/>
          <w:szCs w:val="20"/>
        </w:rPr>
        <w:t>Open Queries</w:t>
      </w:r>
      <w:bookmarkEnd w:id="842"/>
      <w:bookmarkEnd w:id="843"/>
      <w:bookmarkEnd w:id="844"/>
      <w:bookmarkEnd w:id="845"/>
    </w:p>
    <w:p w14:paraId="3C6CA436" w14:textId="5E8D32AF" w:rsidR="002C0989" w:rsidRPr="00E83BEF" w:rsidRDefault="007364BC" w:rsidP="002C0989">
      <w:pPr>
        <w:rPr>
          <w:rFonts w:cstheme="minorHAnsi"/>
          <w:sz w:val="20"/>
          <w:szCs w:val="20"/>
        </w:rPr>
      </w:pPr>
      <w:r>
        <w:rPr>
          <w:rFonts w:cstheme="minorHAnsi"/>
          <w:sz w:val="20"/>
          <w:szCs w:val="20"/>
        </w:rPr>
        <w:t>The open queries, clarifications and dependencies identified during the design phase are tracked in the workbook Value Chain Blending FDS Query.xlsx (sheet Query) in the folder of this document. They are under discussion with the stakeholders and require resolution before implementation.</w:t>
      </w:r>
    </w:p>
    <w:p w14:paraId="041746F4" w14:textId="661535C2" w:rsidR="00B527CD" w:rsidRDefault="00DF6E2D" w:rsidP="009540A4">
      <w:hyperlink r:id="rId56" w:history="1">
        <w:r>
          <w:rPr>
            <w:rStyle w:val="Hyperlink"/>
            <w:rFonts w:asciiTheme="minorHAnsi" w:hAnsiTheme="minorHAnsi"/>
            <w:sz w:val="22"/>
          </w:rPr>
          <w:t>Value Chain Blending FDS Query.xlsx</w:t>
        </w:r>
      </w:hyperlink>
    </w:p>
    <w:sectPr w:rsidR="00B527CD" w:rsidSect="0094541D">
      <w:headerReference w:type="even" r:id="rId57"/>
      <w:headerReference w:type="default" r:id="rId58"/>
      <w:footerReference w:type="even" r:id="rId59"/>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ah, Bhakti" w:date="2026-10-12T13:02:00Z" w:initials="BS">
    <w:p w14:paraId="630CBC38" w14:textId="77777777" w:rsidR="001844CC" w:rsidRDefault="00C169AC" w:rsidP="001844CC">
      <w:pPr>
        <w:pStyle w:val="CommentText"/>
        <w:jc w:val="left"/>
      </w:pPr>
      <w:r>
        <w:rPr>
          <w:rStyle w:val="CommentReference"/>
        </w:rPr>
        <w:annotationRef/>
      </w:r>
      <w:r w:rsidR="001844CC">
        <w:t>Do we need all names here?</w:t>
      </w:r>
    </w:p>
  </w:comment>
  <w:comment w:id="1" w:author="Shah, Bhakti" w:date="2026-10-12T13:03:00Z" w:initials="BS">
    <w:p w14:paraId="2FD5FF94" w14:textId="77777777" w:rsidR="001844CC" w:rsidRDefault="001844CC" w:rsidP="001844CC">
      <w:pPr>
        <w:pStyle w:val="CommentText"/>
        <w:jc w:val="left"/>
      </w:pPr>
      <w:r>
        <w:rPr>
          <w:rStyle w:val="CommentReference"/>
        </w:rPr>
        <w:annotationRef/>
      </w:r>
      <w:r>
        <w:t>Update date</w:t>
      </w:r>
    </w:p>
  </w:comment>
  <w:comment w:id="19" w:author="Shah, Bhakti" w:date="2026-10-12T14:34:00Z" w:initials="BS">
    <w:p w14:paraId="7735308E" w14:textId="77777777" w:rsidR="00FD4A0A" w:rsidRDefault="00FD4A0A" w:rsidP="00FD4A0A">
      <w:pPr>
        <w:pStyle w:val="CommentText"/>
        <w:jc w:val="left"/>
      </w:pPr>
      <w:r>
        <w:rPr>
          <w:rStyle w:val="CommentReference"/>
        </w:rPr>
        <w:annotationRef/>
      </w:r>
      <w:r>
        <w:t>This line is confusing</w:t>
      </w:r>
    </w:p>
  </w:comment>
  <w:comment w:id="20" w:author="Shah, Bhakti" w:date="2026-10-12T14:35:00Z" w:initials="BS">
    <w:p w14:paraId="3896E6C6" w14:textId="77777777" w:rsidR="00ED3C9E" w:rsidRDefault="00ED3C9E" w:rsidP="00ED3C9E">
      <w:pPr>
        <w:pStyle w:val="CommentText"/>
        <w:jc w:val="left"/>
      </w:pPr>
      <w:r>
        <w:rPr>
          <w:rStyle w:val="CommentReference"/>
        </w:rPr>
        <w:annotationRef/>
      </w:r>
      <w:r>
        <w:t>What does add lives mean?</w:t>
      </w:r>
    </w:p>
  </w:comment>
  <w:comment w:id="30" w:author="Shah, Bhakti" w:date="2026-10-12T14:32:00Z" w:initials="BS">
    <w:p w14:paraId="0959B262" w14:textId="77777777" w:rsidR="00723F56" w:rsidRDefault="00723F56" w:rsidP="00723F56">
      <w:pPr>
        <w:pStyle w:val="CommentText"/>
        <w:jc w:val="left"/>
      </w:pPr>
      <w:r>
        <w:rPr>
          <w:rStyle w:val="CommentReference"/>
        </w:rPr>
        <w:annotationRef/>
      </w:r>
      <w:r>
        <w:t>Add links to all documents</w:t>
      </w:r>
    </w:p>
  </w:comment>
  <w:comment w:id="41" w:author="Shah, Bhakti" w:date="2026-10-12T14:39:00Z" w:initials="BS">
    <w:p w14:paraId="03F93815" w14:textId="77777777" w:rsidR="00C60DB8" w:rsidRDefault="00C60DB8" w:rsidP="00C60DB8">
      <w:pPr>
        <w:pStyle w:val="CommentText"/>
        <w:jc w:val="left"/>
      </w:pPr>
      <w:r>
        <w:rPr>
          <w:rStyle w:val="CommentReference"/>
        </w:rPr>
        <w:annotationRef/>
      </w:r>
      <w:r>
        <w:t>Rename this to section</w:t>
      </w:r>
    </w:p>
  </w:comment>
  <w:comment w:id="42" w:author="Shah, Bhakti" w:date="2026-10-12T14:39:00Z" w:initials="BS">
    <w:p w14:paraId="513EE92A" w14:textId="77777777" w:rsidR="006B2FF0" w:rsidRDefault="006B2FF0" w:rsidP="006B2FF0">
      <w:pPr>
        <w:pStyle w:val="CommentText"/>
        <w:jc w:val="left"/>
      </w:pPr>
      <w:r>
        <w:rPr>
          <w:rStyle w:val="CommentReference"/>
        </w:rPr>
        <w:annotationRef/>
      </w:r>
      <w:r>
        <w:t>This is not correct. We do not bring in-transit movements from APS</w:t>
      </w:r>
    </w:p>
  </w:comment>
  <w:comment w:id="43" w:author="Shah, Bhakti" w:date="2026-10-12T14:40:00Z" w:initials="BS">
    <w:p w14:paraId="7A5984A7" w14:textId="77777777" w:rsidR="0000562F" w:rsidRDefault="0000562F" w:rsidP="0000562F">
      <w:pPr>
        <w:pStyle w:val="CommentText"/>
        <w:jc w:val="left"/>
      </w:pPr>
      <w:r>
        <w:rPr>
          <w:rStyle w:val="CommentReference"/>
        </w:rPr>
        <w:annotationRef/>
      </w:r>
      <w:r>
        <w:t>This is not correct. We do not bring Scheduled movements from KH in release-2. it is part of R3</w:t>
      </w:r>
    </w:p>
  </w:comment>
  <w:comment w:id="44" w:author="Shah, Bhakti" w:date="2026-10-12T14:41:00Z" w:initials="BS">
    <w:p w14:paraId="2CDF7EDB" w14:textId="77777777" w:rsidR="0021066B" w:rsidRDefault="0021066B" w:rsidP="0021066B">
      <w:pPr>
        <w:pStyle w:val="CommentText"/>
        <w:jc w:val="left"/>
      </w:pPr>
      <w:r>
        <w:rPr>
          <w:rStyle w:val="CommentReference"/>
        </w:rPr>
        <w:annotationRef/>
      </w:r>
      <w:r>
        <w:t>This is not correct too.</w:t>
      </w:r>
    </w:p>
  </w:comment>
  <w:comment w:id="45" w:author="Shah, Bhakti" w:date="2026-10-12T16:37:00Z" w:initials="BS">
    <w:p w14:paraId="5AD06376" w14:textId="77777777" w:rsidR="00D42E72" w:rsidRDefault="00D42E72" w:rsidP="00D42E72">
      <w:pPr>
        <w:pStyle w:val="CommentText"/>
        <w:jc w:val="left"/>
      </w:pPr>
      <w:r>
        <w:rPr>
          <w:rStyle w:val="CommentReference"/>
        </w:rPr>
        <w:annotationRef/>
      </w:r>
      <w:r>
        <w:t>Add VCB Release Scope here</w:t>
      </w:r>
    </w:p>
  </w:comment>
  <w:comment w:id="56" w:author="Shah, Bhakti" w:date="2026-10-12T14:44:00Z" w:initials="BS">
    <w:p w14:paraId="6A96A236" w14:textId="77777777" w:rsidR="00D03DF3" w:rsidRDefault="00D03DF3" w:rsidP="00D03DF3">
      <w:pPr>
        <w:pStyle w:val="CommentText"/>
        <w:jc w:val="left"/>
      </w:pPr>
      <w:r>
        <w:rPr>
          <w:rStyle w:val="CommentReference"/>
        </w:rPr>
        <w:annotationRef/>
      </w:r>
      <w:r>
        <w:t>This should be part of assumptions section</w:t>
      </w:r>
    </w:p>
  </w:comment>
  <w:comment w:id="59" w:author="Shah, Bhakti" w:date="2026-10-12T14:44:00Z" w:initials="BS">
    <w:p w14:paraId="3238086E" w14:textId="77777777" w:rsidR="00C67D5A" w:rsidRDefault="00C67D5A" w:rsidP="00C67D5A">
      <w:pPr>
        <w:pStyle w:val="CommentText"/>
        <w:jc w:val="left"/>
      </w:pPr>
      <w:r>
        <w:rPr>
          <w:rStyle w:val="CommentReference"/>
        </w:rPr>
        <w:annotationRef/>
      </w:r>
      <w:r>
        <w:t>Reframe this.</w:t>
      </w:r>
    </w:p>
  </w:comment>
  <w:comment w:id="65" w:author="Shah, Bhakti" w:date="2026-10-12T14:46:00Z" w:initials="BS">
    <w:p w14:paraId="4E19D786" w14:textId="77777777" w:rsidR="00FF0697" w:rsidRDefault="00FF0697" w:rsidP="00FF0697">
      <w:pPr>
        <w:pStyle w:val="CommentText"/>
        <w:jc w:val="left"/>
      </w:pPr>
      <w:r>
        <w:rPr>
          <w:rStyle w:val="CommentReference"/>
        </w:rPr>
        <w:annotationRef/>
      </w:r>
      <w:r>
        <w:t>This is not correct. We do cross-reference for barge movements too for locations.</w:t>
      </w:r>
    </w:p>
  </w:comment>
  <w:comment w:id="74" w:author="Shah, Bhakti" w:date="2026-10-12T14:49:00Z" w:initials="BS">
    <w:p w14:paraId="0947627F" w14:textId="77777777" w:rsidR="002F4DE9" w:rsidRDefault="002F4DE9" w:rsidP="002F4DE9">
      <w:pPr>
        <w:pStyle w:val="CommentText"/>
        <w:jc w:val="left"/>
      </w:pPr>
      <w:r>
        <w:rPr>
          <w:rStyle w:val="CommentReference"/>
        </w:rPr>
        <w:annotationRef/>
      </w:r>
      <w:r>
        <w:t>Add link of ADO Board</w:t>
      </w:r>
    </w:p>
  </w:comment>
  <w:comment w:id="81" w:author="Shah, Bhakti" w:date="2026-10-12T14:50:00Z" w:initials="BS">
    <w:p w14:paraId="6EC69D2C" w14:textId="77777777" w:rsidR="00316946" w:rsidRDefault="00316946" w:rsidP="00316946">
      <w:pPr>
        <w:pStyle w:val="CommentText"/>
        <w:jc w:val="left"/>
      </w:pPr>
      <w:r>
        <w:rPr>
          <w:rStyle w:val="CommentReference"/>
        </w:rPr>
        <w:annotationRef/>
      </w:r>
      <w:r>
        <w:t>This should be MPR DB</w:t>
      </w:r>
    </w:p>
  </w:comment>
  <w:comment w:id="88" w:author="Shah, Bhakti" w:date="2026-10-12T14:57:00Z" w:initials="BS">
    <w:p w14:paraId="37C75FB2" w14:textId="77777777" w:rsidR="00393110" w:rsidRDefault="00393110" w:rsidP="00393110">
      <w:pPr>
        <w:pStyle w:val="CommentText"/>
        <w:jc w:val="left"/>
      </w:pPr>
      <w:r>
        <w:rPr>
          <w:rStyle w:val="CommentReference"/>
        </w:rPr>
        <w:annotationRef/>
      </w:r>
      <w:r>
        <w:t>How is this going to be possible?</w:t>
      </w:r>
    </w:p>
  </w:comment>
  <w:comment w:id="89" w:author="Shah, Bhakti" w:date="2026-10-12T14:58:00Z" w:initials="BS">
    <w:p w14:paraId="73904B70" w14:textId="77777777" w:rsidR="0065713D" w:rsidRDefault="0065713D" w:rsidP="0065713D">
      <w:pPr>
        <w:pStyle w:val="CommentText"/>
        <w:jc w:val="left"/>
      </w:pPr>
      <w:r>
        <w:rPr>
          <w:rStyle w:val="CommentReference"/>
        </w:rPr>
        <w:annotationRef/>
      </w:r>
      <w:r>
        <w:t>Are we planning to process the message present in dead letter queue?</w:t>
      </w:r>
    </w:p>
  </w:comment>
  <w:comment w:id="110" w:author="Shah, Bhakti" w:date="2026-10-12T15:03:00Z" w:initials="BS">
    <w:p w14:paraId="4AF3FF85" w14:textId="77777777" w:rsidR="00F02C78" w:rsidRDefault="00F02C78" w:rsidP="00F02C78">
      <w:pPr>
        <w:pStyle w:val="CommentText"/>
        <w:jc w:val="left"/>
      </w:pPr>
      <w:r>
        <w:rPr>
          <w:rStyle w:val="CommentReference"/>
        </w:rPr>
        <w:annotationRef/>
      </w:r>
      <w:r>
        <w:t>No need to keep isImport for pricing API as it is always going to be true</w:t>
      </w:r>
    </w:p>
  </w:comment>
  <w:comment w:id="115" w:author="Shah, Bhakti" w:date="2026-10-12T15:05:00Z" w:initials="BS">
    <w:p w14:paraId="227E8A30" w14:textId="77777777" w:rsidR="005C2597" w:rsidRDefault="005C2597" w:rsidP="005C2597">
      <w:pPr>
        <w:pStyle w:val="CommentText"/>
        <w:jc w:val="left"/>
      </w:pPr>
      <w:r>
        <w:rPr>
          <w:rStyle w:val="CommentReference"/>
        </w:rPr>
        <w:annotationRef/>
      </w:r>
      <w:r>
        <w:t>This will only work in case of refinery</w:t>
      </w:r>
    </w:p>
  </w:comment>
  <w:comment w:id="116" w:author="Shah, Bhakti" w:date="2026-10-12T15:06:00Z" w:initials="BS">
    <w:p w14:paraId="6AB6DF3E" w14:textId="77777777" w:rsidR="001E01D5" w:rsidRDefault="001E01D5" w:rsidP="001E01D5">
      <w:pPr>
        <w:pStyle w:val="CommentText"/>
        <w:jc w:val="left"/>
      </w:pPr>
      <w:r>
        <w:rPr>
          <w:rStyle w:val="CommentReference"/>
        </w:rPr>
        <w:annotationRef/>
      </w:r>
      <w:r>
        <w:t>This is not proper, it can be either true or false</w:t>
      </w:r>
    </w:p>
  </w:comment>
  <w:comment w:id="121" w:author="Shah, Bhakti" w:date="2026-10-12T15:07:00Z" w:initials="BS">
    <w:p w14:paraId="7071A617" w14:textId="77777777" w:rsidR="000A05B0" w:rsidRDefault="000A05B0" w:rsidP="000A05B0">
      <w:pPr>
        <w:pStyle w:val="CommentText"/>
        <w:jc w:val="left"/>
      </w:pPr>
      <w:r>
        <w:rPr>
          <w:rStyle w:val="CommentReference"/>
        </w:rPr>
        <w:annotationRef/>
      </w:r>
      <w:r>
        <w:t>Which is the other part?</w:t>
      </w:r>
    </w:p>
  </w:comment>
  <w:comment w:id="122" w:author="Shah, Bhakti" w:date="2026-10-12T15:08:00Z" w:initials="BS">
    <w:p w14:paraId="2C8A00AA" w14:textId="77777777" w:rsidR="000537B0" w:rsidRDefault="000537B0" w:rsidP="000537B0">
      <w:pPr>
        <w:pStyle w:val="CommentText"/>
        <w:jc w:val="left"/>
      </w:pPr>
      <w:r>
        <w:rPr>
          <w:rStyle w:val="CommentReference"/>
        </w:rPr>
        <w:annotationRef/>
      </w:r>
      <w:r>
        <w:t>Add , in place of “and”</w:t>
      </w:r>
    </w:p>
  </w:comment>
  <w:comment w:id="123" w:author="Shah, Bhakti" w:date="2026-10-12T15:08:00Z" w:initials="BS">
    <w:p w14:paraId="3519825D" w14:textId="77777777" w:rsidR="000537B0" w:rsidRDefault="000537B0" w:rsidP="000537B0">
      <w:pPr>
        <w:pStyle w:val="CommentText"/>
        <w:jc w:val="left"/>
      </w:pPr>
      <w:r>
        <w:rPr>
          <w:rStyle w:val="CommentReference"/>
        </w:rPr>
        <w:annotationRef/>
      </w:r>
      <w:r>
        <w:t>This should be local codes, not profisee codes</w:t>
      </w:r>
    </w:p>
  </w:comment>
  <w:comment w:id="124" w:author="Shah, Bhakti" w:date="2026-10-12T15:09:00Z" w:initials="BS">
    <w:p w14:paraId="55908C1B" w14:textId="77777777" w:rsidR="000E738C" w:rsidRDefault="000E738C" w:rsidP="000E738C">
      <w:pPr>
        <w:pStyle w:val="CommentText"/>
        <w:jc w:val="left"/>
      </w:pPr>
      <w:r>
        <w:rPr>
          <w:rStyle w:val="CommentReference"/>
        </w:rPr>
        <w:annotationRef/>
      </w:r>
      <w:r>
        <w:t>This is not correct. If same row is sent again, record should be updated</w:t>
      </w:r>
    </w:p>
  </w:comment>
  <w:comment w:id="133" w:author="Shah, Bhakti" w:date="2026-10-12T15:11:00Z" w:initials="BS">
    <w:p w14:paraId="1BA86C49" w14:textId="77777777" w:rsidR="00E159FA" w:rsidRDefault="00E159FA" w:rsidP="00E159FA">
      <w:pPr>
        <w:pStyle w:val="CommentText"/>
        <w:jc w:val="left"/>
      </w:pPr>
      <w:r>
        <w:rPr>
          <w:rStyle w:val="CommentReference"/>
        </w:rPr>
        <w:annotationRef/>
      </w:r>
      <w:r>
        <w:t>Replace standard with global</w:t>
      </w:r>
    </w:p>
  </w:comment>
  <w:comment w:id="134" w:author="Shah, Bhakti" w:date="2026-10-12T15:12:00Z" w:initials="BS">
    <w:p w14:paraId="0D99CDFA" w14:textId="77777777" w:rsidR="002B6892" w:rsidRDefault="002B6892" w:rsidP="002B6892">
      <w:pPr>
        <w:pStyle w:val="CommentText"/>
        <w:jc w:val="left"/>
      </w:pPr>
      <w:r>
        <w:rPr>
          <w:rStyle w:val="CommentReference"/>
        </w:rPr>
        <w:annotationRef/>
      </w:r>
      <w:r>
        <w:t>What does last part of this sentence mean?</w:t>
      </w:r>
    </w:p>
  </w:comment>
  <w:comment w:id="135" w:author="Shah, Bhakti" w:date="2026-10-12T15:12:00Z" w:initials="BS">
    <w:p w14:paraId="2B629387" w14:textId="77777777" w:rsidR="002B6892" w:rsidRDefault="002B6892" w:rsidP="002B6892">
      <w:pPr>
        <w:pStyle w:val="CommentText"/>
        <w:jc w:val="left"/>
      </w:pPr>
      <w:r>
        <w:rPr>
          <w:rStyle w:val="CommentReference"/>
        </w:rPr>
        <w:annotationRef/>
      </w:r>
      <w:r>
        <w:t xml:space="preserve">Add mapping tables </w:t>
      </w:r>
    </w:p>
  </w:comment>
  <w:comment w:id="143" w:author="Shah, Bhakti" w:date="2026-10-12T15:13:00Z" w:initials="BS">
    <w:p w14:paraId="6959FF06" w14:textId="77777777" w:rsidR="00FC793A" w:rsidRDefault="00FC793A" w:rsidP="00FC793A">
      <w:pPr>
        <w:pStyle w:val="CommentText"/>
        <w:jc w:val="left"/>
      </w:pPr>
      <w:r>
        <w:rPr>
          <w:rStyle w:val="CommentReference"/>
        </w:rPr>
        <w:annotationRef/>
      </w:r>
      <w:r>
        <w:t>Prcie service is a separate service, Is should not have isImport parameter</w:t>
      </w:r>
    </w:p>
  </w:comment>
  <w:comment w:id="144" w:author="Shah, Bhakti" w:date="2026-10-12T15:14:00Z" w:initials="BS">
    <w:p w14:paraId="47E6F2A1" w14:textId="77777777" w:rsidR="001D4C79" w:rsidRDefault="001D4C79" w:rsidP="001D4C79">
      <w:pPr>
        <w:pStyle w:val="CommentText"/>
        <w:jc w:val="left"/>
      </w:pPr>
      <w:r>
        <w:rPr>
          <w:rStyle w:val="CommentReference"/>
        </w:rPr>
        <w:annotationRef/>
      </w:r>
      <w:r>
        <w:t>Please write this in technical terms, like call back API etc.</w:t>
      </w:r>
    </w:p>
  </w:comment>
  <w:comment w:id="145" w:author="Shah, Bhakti" w:date="2026-10-12T15:15:00Z" w:initials="BS">
    <w:p w14:paraId="3300D916" w14:textId="77777777" w:rsidR="005E445E" w:rsidRDefault="005E445E" w:rsidP="005E445E">
      <w:pPr>
        <w:pStyle w:val="CommentText"/>
        <w:jc w:val="left"/>
      </w:pPr>
      <w:r>
        <w:rPr>
          <w:rStyle w:val="CommentReference"/>
        </w:rPr>
        <w:annotationRef/>
      </w:r>
      <w:r>
        <w:t>Use Global codes</w:t>
      </w:r>
    </w:p>
  </w:comment>
  <w:comment w:id="147" w:author="Shah, Bhakti" w:date="2026-10-12T15:16:00Z" w:initials="BS">
    <w:p w14:paraId="2B750FFB" w14:textId="77777777" w:rsidR="00A262ED" w:rsidRDefault="00A262ED" w:rsidP="00A262ED">
      <w:pPr>
        <w:pStyle w:val="CommentText"/>
        <w:jc w:val="left"/>
      </w:pPr>
      <w:r>
        <w:rPr>
          <w:rStyle w:val="CommentReference"/>
        </w:rPr>
        <w:annotationRef/>
      </w:r>
      <w:r>
        <w:t>These details should be kept with header section</w:t>
      </w:r>
    </w:p>
  </w:comment>
  <w:comment w:id="151" w:author="Shah, Bhakti" w:date="2026-10-12T15:18:00Z" w:initials="BS">
    <w:p w14:paraId="25BEBD14" w14:textId="77777777" w:rsidR="00E3559C" w:rsidRDefault="00E3559C" w:rsidP="00E3559C">
      <w:pPr>
        <w:pStyle w:val="CommentText"/>
        <w:jc w:val="left"/>
      </w:pPr>
      <w:r>
        <w:rPr>
          <w:rStyle w:val="CommentReference"/>
        </w:rPr>
        <w:annotationRef/>
      </w:r>
      <w:r>
        <w:t>It should be scheduled</w:t>
      </w:r>
    </w:p>
  </w:comment>
  <w:comment w:id="156" w:author="Shah, Bhakti" w:date="2026-10-12T15:20:00Z" w:initials="BS">
    <w:p w14:paraId="5D91788D" w14:textId="77777777" w:rsidR="003011DE" w:rsidRDefault="003011DE" w:rsidP="003011DE">
      <w:pPr>
        <w:pStyle w:val="CommentText"/>
        <w:jc w:val="left"/>
      </w:pPr>
      <w:r>
        <w:rPr>
          <w:rStyle w:val="CommentReference"/>
        </w:rPr>
        <w:annotationRef/>
      </w:r>
      <w:r>
        <w:t>This is not correct</w:t>
      </w:r>
    </w:p>
  </w:comment>
  <w:comment w:id="161" w:author="Shah, Bhakti" w:date="2026-10-12T15:22:00Z" w:initials="BS">
    <w:p w14:paraId="3866E668" w14:textId="77777777" w:rsidR="00BC5CC0" w:rsidRDefault="00BC5CC0" w:rsidP="00BC5CC0">
      <w:pPr>
        <w:pStyle w:val="CommentText"/>
        <w:jc w:val="left"/>
      </w:pPr>
      <w:r>
        <w:rPr>
          <w:rStyle w:val="CommentReference"/>
        </w:rPr>
        <w:annotationRef/>
      </w:r>
      <w:r>
        <w:t>What does this mean? Daily flow is already covered in previous point</w:t>
      </w:r>
    </w:p>
  </w:comment>
  <w:comment w:id="219" w:author="Rayaguru, Kamal Kumar" w:date="2026-09-28T14:43:00Z" w:initials="RK">
    <w:p w14:paraId="166385EC" w14:textId="63C8692A" w:rsidR="00F570F1" w:rsidRDefault="00F570F1">
      <w:pPr>
        <w:pStyle w:val="CommentText"/>
      </w:pPr>
      <w:r>
        <w:rPr>
          <w:rStyle w:val="CommentReference"/>
        </w:rPr>
        <w:annotationRef/>
      </w:r>
      <w:r w:rsidRPr="2F6B3248">
        <w:t>May be we need to give a bit more details here such as what function, what config we would be using</w:t>
      </w:r>
    </w:p>
  </w:comment>
  <w:comment w:id="240" w:author="Rayaguru, Kamal Kumar" w:date="2026-09-28T14:40:00Z" w:initials="RK">
    <w:p w14:paraId="2AE875C6" w14:textId="77777777" w:rsidR="00AA30D8" w:rsidRDefault="00AA30D8">
      <w:pPr>
        <w:pStyle w:val="CommentText"/>
      </w:pPr>
      <w:r>
        <w:rPr>
          <w:rStyle w:val="CommentReference"/>
        </w:rPr>
        <w:annotationRef/>
      </w:r>
      <w:r w:rsidRPr="1F357F7C">
        <w:t>May be we need to give a bit more details here such as what function, what config we would be using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0CBC38" w15:done="0"/>
  <w15:commentEx w15:paraId="2FD5FF94" w15:done="0"/>
  <w15:commentEx w15:paraId="7735308E" w15:done="0"/>
  <w15:commentEx w15:paraId="3896E6C6" w15:done="0"/>
  <w15:commentEx w15:paraId="0959B262" w15:done="0"/>
  <w15:commentEx w15:paraId="03F93815" w15:done="0"/>
  <w15:commentEx w15:paraId="513EE92A" w15:done="0"/>
  <w15:commentEx w15:paraId="7A5984A7" w15:done="0"/>
  <w15:commentEx w15:paraId="2CDF7EDB" w15:done="0"/>
  <w15:commentEx w15:paraId="5AD06376" w15:done="0"/>
  <w15:commentEx w15:paraId="6A96A236" w15:done="0"/>
  <w15:commentEx w15:paraId="3238086E" w15:done="0"/>
  <w15:commentEx w15:paraId="4E19D786" w15:done="0"/>
  <w15:commentEx w15:paraId="0947627F" w15:done="0"/>
  <w15:commentEx w15:paraId="6EC69D2C" w15:done="0"/>
  <w15:commentEx w15:paraId="37C75FB2" w15:done="0"/>
  <w15:commentEx w15:paraId="73904B70" w15:done="0"/>
  <w15:commentEx w15:paraId="4AF3FF85" w15:done="0"/>
  <w15:commentEx w15:paraId="227E8A30" w15:done="0"/>
  <w15:commentEx w15:paraId="6AB6DF3E" w15:done="0"/>
  <w15:commentEx w15:paraId="7071A617" w15:done="0"/>
  <w15:commentEx w15:paraId="2C8A00AA" w15:done="0"/>
  <w15:commentEx w15:paraId="3519825D" w15:done="0"/>
  <w15:commentEx w15:paraId="55908C1B" w15:done="0"/>
  <w15:commentEx w15:paraId="1BA86C49" w15:done="0"/>
  <w15:commentEx w15:paraId="0D99CDFA" w15:done="0"/>
  <w15:commentEx w15:paraId="2B629387" w15:done="0"/>
  <w15:commentEx w15:paraId="6959FF06" w15:done="0"/>
  <w15:commentEx w15:paraId="47E6F2A1" w15:done="0"/>
  <w15:commentEx w15:paraId="3300D916" w15:done="0"/>
  <w15:commentEx w15:paraId="2B750FFB" w15:done="0"/>
  <w15:commentEx w15:paraId="25BEBD14" w15:done="0"/>
  <w15:commentEx w15:paraId="5D91788D" w15:done="0"/>
  <w15:commentEx w15:paraId="3866E668" w15:done="0"/>
  <w15:commentEx w15:paraId="166385EC" w15:done="1"/>
  <w15:commentEx w15:paraId="2AE875C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3A12EF" w16cex:dateUtc="2026-10-12T07:32:00Z"/>
  <w16cex:commentExtensible w16cex:durableId="4366A180" w16cex:dateUtc="2026-10-12T07:33:00Z"/>
  <w16cex:commentExtensible w16cex:durableId="1A105885" w16cex:dateUtc="2026-10-12T09:04:00Z"/>
  <w16cex:commentExtensible w16cex:durableId="3343784D" w16cex:dateUtc="2026-10-12T09:05:00Z"/>
  <w16cex:commentExtensible w16cex:durableId="3BBE720B" w16cex:dateUtc="2026-10-12T09:02:00Z"/>
  <w16cex:commentExtensible w16cex:durableId="2F0BE2E1" w16cex:dateUtc="2026-10-12T09:09:00Z"/>
  <w16cex:commentExtensible w16cex:durableId="3A536FF8" w16cex:dateUtc="2026-10-12T09:09:00Z"/>
  <w16cex:commentExtensible w16cex:durableId="2823C425" w16cex:dateUtc="2026-10-12T09:10:00Z"/>
  <w16cex:commentExtensible w16cex:durableId="2E0CA713" w16cex:dateUtc="2026-10-12T09:11:00Z"/>
  <w16cex:commentExtensible w16cex:durableId="0ABE5593" w16cex:dateUtc="2026-10-12T11:07:00Z"/>
  <w16cex:commentExtensible w16cex:durableId="08295826" w16cex:dateUtc="2026-10-12T09:14:00Z"/>
  <w16cex:commentExtensible w16cex:durableId="77421AF0" w16cex:dateUtc="2026-10-12T09:14:00Z"/>
  <w16cex:commentExtensible w16cex:durableId="2CE77197" w16cex:dateUtc="2026-10-12T09:16:00Z"/>
  <w16cex:commentExtensible w16cex:durableId="3F116AEA" w16cex:dateUtc="2026-10-12T09:19:00Z"/>
  <w16cex:commentExtensible w16cex:durableId="6D1080E4" w16cex:dateUtc="2026-10-12T09:20:00Z"/>
  <w16cex:commentExtensible w16cex:durableId="6E3884B9" w16cex:dateUtc="2026-10-12T09:27:00Z"/>
  <w16cex:commentExtensible w16cex:durableId="3756AD64" w16cex:dateUtc="2026-10-12T09:28:00Z"/>
  <w16cex:commentExtensible w16cex:durableId="07574A55" w16cex:dateUtc="2026-10-12T09:33:00Z"/>
  <w16cex:commentExtensible w16cex:durableId="14C684A2" w16cex:dateUtc="2026-10-12T09:35:00Z"/>
  <w16cex:commentExtensible w16cex:durableId="74CCFBB7" w16cex:dateUtc="2026-10-12T09:36:00Z"/>
  <w16cex:commentExtensible w16cex:durableId="40528572" w16cex:dateUtc="2026-10-12T09:37:00Z"/>
  <w16cex:commentExtensible w16cex:durableId="790BA408" w16cex:dateUtc="2026-10-12T09:38:00Z"/>
  <w16cex:commentExtensible w16cex:durableId="6BFF9BA7" w16cex:dateUtc="2026-10-12T09:38:00Z"/>
  <w16cex:commentExtensible w16cex:durableId="296AAAA1" w16cex:dateUtc="2026-10-12T09:39:00Z"/>
  <w16cex:commentExtensible w16cex:durableId="1C360978" w16cex:dateUtc="2026-10-12T09:41:00Z"/>
  <w16cex:commentExtensible w16cex:durableId="78656B04" w16cex:dateUtc="2026-10-12T09:42:00Z"/>
  <w16cex:commentExtensible w16cex:durableId="26B8D0A7" w16cex:dateUtc="2026-10-12T09:42:00Z"/>
  <w16cex:commentExtensible w16cex:durableId="31A7D2D6" w16cex:dateUtc="2026-10-12T09:43:00Z"/>
  <w16cex:commentExtensible w16cex:durableId="1715199E" w16cex:dateUtc="2026-10-12T09:44:00Z"/>
  <w16cex:commentExtensible w16cex:durableId="7ED471E4" w16cex:dateUtc="2026-10-12T09:45:00Z"/>
  <w16cex:commentExtensible w16cex:durableId="0C482091" w16cex:dateUtc="2026-10-12T09:46:00Z"/>
  <w16cex:commentExtensible w16cex:durableId="446E1CE0" w16cex:dateUtc="2026-10-12T09:48:00Z"/>
  <w16cex:commentExtensible w16cex:durableId="5BBC1E14" w16cex:dateUtc="2026-10-12T09:50:00Z"/>
  <w16cex:commentExtensible w16cex:durableId="2D72FD26" w16cex:dateUtc="2026-10-12T09:52:00Z"/>
  <w16cex:commentExtensible w16cex:durableId="52EA6467" w16cex:dateUtc="2026-09-28T09:13:00Z">
    <w16cex:extLst>
      <w16:ext w16:uri="{CE6994B0-6A32-4C9F-8C6B-6E91EDA988CE}">
        <cr:reactions xmlns:cr="http://schemas.microsoft.com/office/comments/2020/reactions">
          <cr:reaction reactionType="1">
            <cr:reactionInfo dateUtc="2026-10-05T04:01:04Z">
              <cr:user userId="S::jprajapati@marathonpetroleum.com::1e096cd8-41a4-465b-95a4-a11b38e2228c" userProvider="AD" userName="Prajapati, Jayesh"/>
            </cr:reactionInfo>
          </cr:reaction>
        </cr:reactions>
      </w16:ext>
    </w16cex:extLst>
  </w16cex:commentExtensible>
  <w16cex:commentExtensible w16cex:durableId="7E680619" w16cex:dateUtc="2026-09-28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0CBC38" w16cid:durableId="333A12EF"/>
  <w16cid:commentId w16cid:paraId="2FD5FF94" w16cid:durableId="4366A180"/>
  <w16cid:commentId w16cid:paraId="7735308E" w16cid:durableId="1A105885"/>
  <w16cid:commentId w16cid:paraId="3896E6C6" w16cid:durableId="3343784D"/>
  <w16cid:commentId w16cid:paraId="0959B262" w16cid:durableId="3BBE720B"/>
  <w16cid:commentId w16cid:paraId="03F93815" w16cid:durableId="2F0BE2E1"/>
  <w16cid:commentId w16cid:paraId="513EE92A" w16cid:durableId="3A536FF8"/>
  <w16cid:commentId w16cid:paraId="7A5984A7" w16cid:durableId="2823C425"/>
  <w16cid:commentId w16cid:paraId="2CDF7EDB" w16cid:durableId="2E0CA713"/>
  <w16cid:commentId w16cid:paraId="5AD06376" w16cid:durableId="0ABE5593"/>
  <w16cid:commentId w16cid:paraId="6A96A236" w16cid:durableId="08295826"/>
  <w16cid:commentId w16cid:paraId="3238086E" w16cid:durableId="77421AF0"/>
  <w16cid:commentId w16cid:paraId="4E19D786" w16cid:durableId="2CE77197"/>
  <w16cid:commentId w16cid:paraId="0947627F" w16cid:durableId="3F116AEA"/>
  <w16cid:commentId w16cid:paraId="6EC69D2C" w16cid:durableId="6D1080E4"/>
  <w16cid:commentId w16cid:paraId="37C75FB2" w16cid:durableId="6E3884B9"/>
  <w16cid:commentId w16cid:paraId="73904B70" w16cid:durableId="3756AD64"/>
  <w16cid:commentId w16cid:paraId="4AF3FF85" w16cid:durableId="07574A55"/>
  <w16cid:commentId w16cid:paraId="227E8A30" w16cid:durableId="14C684A2"/>
  <w16cid:commentId w16cid:paraId="6AB6DF3E" w16cid:durableId="74CCFBB7"/>
  <w16cid:commentId w16cid:paraId="7071A617" w16cid:durableId="40528572"/>
  <w16cid:commentId w16cid:paraId="2C8A00AA" w16cid:durableId="790BA408"/>
  <w16cid:commentId w16cid:paraId="3519825D" w16cid:durableId="6BFF9BA7"/>
  <w16cid:commentId w16cid:paraId="55908C1B" w16cid:durableId="296AAAA1"/>
  <w16cid:commentId w16cid:paraId="1BA86C49" w16cid:durableId="1C360978"/>
  <w16cid:commentId w16cid:paraId="0D99CDFA" w16cid:durableId="78656B04"/>
  <w16cid:commentId w16cid:paraId="2B629387" w16cid:durableId="26B8D0A7"/>
  <w16cid:commentId w16cid:paraId="6959FF06" w16cid:durableId="31A7D2D6"/>
  <w16cid:commentId w16cid:paraId="47E6F2A1" w16cid:durableId="1715199E"/>
  <w16cid:commentId w16cid:paraId="3300D916" w16cid:durableId="7ED471E4"/>
  <w16cid:commentId w16cid:paraId="2B750FFB" w16cid:durableId="0C482091"/>
  <w16cid:commentId w16cid:paraId="25BEBD14" w16cid:durableId="446E1CE0"/>
  <w16cid:commentId w16cid:paraId="5D91788D" w16cid:durableId="5BBC1E14"/>
  <w16cid:commentId w16cid:paraId="3866E668" w16cid:durableId="2D72FD26"/>
  <w16cid:commentId w16cid:paraId="166385EC" w16cid:durableId="52EA6467"/>
  <w16cid:commentId w16cid:paraId="2AE875C6" w16cid:durableId="7E6806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9F193" w14:textId="77777777" w:rsidR="006B2C87" w:rsidRDefault="006B2C87" w:rsidP="007A424C">
      <w:pPr>
        <w:spacing w:after="0" w:line="240" w:lineRule="auto"/>
      </w:pPr>
      <w:r>
        <w:separator/>
      </w:r>
    </w:p>
  </w:endnote>
  <w:endnote w:type="continuationSeparator" w:id="0">
    <w:p w14:paraId="2C8B356E" w14:textId="77777777" w:rsidR="006B2C87" w:rsidRDefault="006B2C87" w:rsidP="007A424C">
      <w:pPr>
        <w:spacing w:after="0" w:line="240" w:lineRule="auto"/>
      </w:pPr>
      <w:r>
        <w:continuationSeparator/>
      </w:r>
    </w:p>
  </w:endnote>
  <w:endnote w:type="continuationNotice" w:id="1">
    <w:p w14:paraId="17FEFDBF" w14:textId="77777777" w:rsidR="006B2C87" w:rsidRDefault="006B2C8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Mangal">
    <w:panose1 w:val="00000400000000000000"/>
    <w:charset w:val="01"/>
    <w:family w:val="roman"/>
    <w:pitch w:val="variable"/>
    <w:sig w:usb0="00002000" w:usb1="00000000" w:usb2="00000000" w:usb3="00000000" w:csb0="0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Narrow">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Raavi">
    <w:panose1 w:val="02000500000000000000"/>
    <w:charset w:val="01"/>
    <w:family w:val="roman"/>
    <w:pitch w:val="variable"/>
  </w:font>
  <w:font w:name="Graphik">
    <w:altName w:val="Calibri"/>
    <w:charset w:val="00"/>
    <w:family w:val="swiss"/>
    <w:pitch w:val="variable"/>
    <w:sig w:usb0="00000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85"/>
      <w:gridCol w:w="3185"/>
      <w:gridCol w:w="3185"/>
    </w:tblGrid>
    <w:tr w:rsidR="48344301" w14:paraId="61277AF9" w14:textId="77777777" w:rsidTr="48344301">
      <w:trPr>
        <w:trHeight w:val="300"/>
      </w:trPr>
      <w:tc>
        <w:tcPr>
          <w:tcW w:w="3185" w:type="dxa"/>
        </w:tcPr>
        <w:p w14:paraId="0AB81EE4" w14:textId="1DF67E47" w:rsidR="48344301" w:rsidRDefault="48344301" w:rsidP="48344301">
          <w:pPr>
            <w:ind w:left="-115"/>
            <w:jc w:val="left"/>
          </w:pPr>
        </w:p>
      </w:tc>
      <w:tc>
        <w:tcPr>
          <w:tcW w:w="3185" w:type="dxa"/>
        </w:tcPr>
        <w:p w14:paraId="2C31ECE4" w14:textId="2EA170A4" w:rsidR="48344301" w:rsidRDefault="48344301" w:rsidP="48344301">
          <w:pPr>
            <w:jc w:val="center"/>
          </w:pPr>
        </w:p>
      </w:tc>
      <w:tc>
        <w:tcPr>
          <w:tcW w:w="3185" w:type="dxa"/>
        </w:tcPr>
        <w:p w14:paraId="53CE2078" w14:textId="6C8C8FAC" w:rsidR="48344301" w:rsidRDefault="48344301" w:rsidP="48344301">
          <w:pPr>
            <w:ind w:right="-115"/>
            <w:jc w:val="right"/>
          </w:pPr>
        </w:p>
      </w:tc>
    </w:tr>
  </w:tbl>
  <w:p w14:paraId="3BDFA399" w14:textId="43B63F14" w:rsidR="48344301" w:rsidRDefault="48344301" w:rsidP="483443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6709900"/>
      <w:docPartObj>
        <w:docPartGallery w:val="Page Numbers (Bottom of Page)"/>
        <w:docPartUnique/>
      </w:docPartObj>
    </w:sdtPr>
    <w:sdtEndPr>
      <w:rPr>
        <w:noProof/>
      </w:rPr>
    </w:sdtEndPr>
    <w:sdtContent>
      <w:p w14:paraId="25030BDA" w14:textId="7B956242" w:rsidR="0094541D" w:rsidRDefault="0094541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099A85" w14:textId="77777777" w:rsidR="0094541D" w:rsidRDefault="009454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2014"/>
      <w:docPartObj>
        <w:docPartGallery w:val="Page Numbers (Bottom of Page)"/>
        <w:docPartUnique/>
      </w:docPartObj>
    </w:sdtPr>
    <w:sdtEndPr>
      <w:rPr>
        <w:noProof/>
      </w:rPr>
    </w:sdtEndPr>
    <w:sdtContent>
      <w:p w14:paraId="1517B570" w14:textId="7FF2041F" w:rsidR="00AD2490" w:rsidRDefault="00AD249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AB2382A" w14:textId="77777777" w:rsidR="00DE6FB3" w:rsidRDefault="00DE6FB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0744886"/>
      <w:docPartObj>
        <w:docPartGallery w:val="Page Numbers (Bottom of Page)"/>
        <w:docPartUnique/>
      </w:docPartObj>
    </w:sdtPr>
    <w:sdtEndPr>
      <w:rPr>
        <w:noProof/>
      </w:rPr>
    </w:sdtEndPr>
    <w:sdtContent>
      <w:p w14:paraId="084DA7D5" w14:textId="521122CD" w:rsidR="00AD2490" w:rsidRDefault="00AD249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B46F13" w14:textId="6B01753C" w:rsidR="48344301" w:rsidRDefault="48344301" w:rsidP="483443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9111B" w14:textId="77777777" w:rsidR="006B2C87" w:rsidRDefault="006B2C87" w:rsidP="007A424C">
      <w:pPr>
        <w:spacing w:after="0" w:line="240" w:lineRule="auto"/>
      </w:pPr>
      <w:r>
        <w:separator/>
      </w:r>
    </w:p>
  </w:footnote>
  <w:footnote w:type="continuationSeparator" w:id="0">
    <w:p w14:paraId="37D1D47B" w14:textId="77777777" w:rsidR="006B2C87" w:rsidRDefault="006B2C87" w:rsidP="007A424C">
      <w:pPr>
        <w:spacing w:after="0" w:line="240" w:lineRule="auto"/>
      </w:pPr>
      <w:r>
        <w:continuationSeparator/>
      </w:r>
    </w:p>
  </w:footnote>
  <w:footnote w:type="continuationNotice" w:id="1">
    <w:p w14:paraId="7F6990C7" w14:textId="77777777" w:rsidR="006B2C87" w:rsidRDefault="006B2C8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85"/>
      <w:gridCol w:w="3185"/>
      <w:gridCol w:w="3185"/>
    </w:tblGrid>
    <w:tr w:rsidR="48344301" w14:paraId="1730204D" w14:textId="77777777" w:rsidTr="48344301">
      <w:trPr>
        <w:trHeight w:val="300"/>
      </w:trPr>
      <w:tc>
        <w:tcPr>
          <w:tcW w:w="3185" w:type="dxa"/>
        </w:tcPr>
        <w:p w14:paraId="46EA6114" w14:textId="19D1CE76" w:rsidR="48344301" w:rsidRDefault="48344301" w:rsidP="48344301">
          <w:pPr>
            <w:ind w:left="-115"/>
            <w:jc w:val="left"/>
          </w:pPr>
        </w:p>
      </w:tc>
      <w:tc>
        <w:tcPr>
          <w:tcW w:w="3185" w:type="dxa"/>
        </w:tcPr>
        <w:p w14:paraId="063C2175" w14:textId="0CE1C5BE" w:rsidR="48344301" w:rsidRDefault="48344301" w:rsidP="48344301">
          <w:pPr>
            <w:jc w:val="center"/>
          </w:pPr>
        </w:p>
      </w:tc>
      <w:tc>
        <w:tcPr>
          <w:tcW w:w="3185" w:type="dxa"/>
        </w:tcPr>
        <w:p w14:paraId="4711AABF" w14:textId="557A721F" w:rsidR="48344301" w:rsidRDefault="48344301" w:rsidP="48344301">
          <w:pPr>
            <w:ind w:right="-115"/>
            <w:jc w:val="right"/>
          </w:pPr>
        </w:p>
      </w:tc>
    </w:tr>
  </w:tbl>
  <w:p w14:paraId="68C0D733" w14:textId="0857C5A1" w:rsidR="48344301" w:rsidRDefault="4834430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85"/>
      <w:gridCol w:w="3185"/>
      <w:gridCol w:w="3185"/>
    </w:tblGrid>
    <w:tr w:rsidR="4804EFF9" w14:paraId="35CF8DFB" w14:textId="77777777" w:rsidTr="4804EFF9">
      <w:trPr>
        <w:trHeight w:val="300"/>
      </w:trPr>
      <w:tc>
        <w:tcPr>
          <w:tcW w:w="3185" w:type="dxa"/>
        </w:tcPr>
        <w:p w14:paraId="42A8A3E1" w14:textId="09B7DDBD" w:rsidR="4804EFF9" w:rsidRDefault="4804EFF9" w:rsidP="4804EFF9">
          <w:pPr>
            <w:ind w:left="-115"/>
            <w:jc w:val="left"/>
          </w:pPr>
        </w:p>
      </w:tc>
      <w:tc>
        <w:tcPr>
          <w:tcW w:w="3185" w:type="dxa"/>
        </w:tcPr>
        <w:p w14:paraId="4B57FF68" w14:textId="468A7889" w:rsidR="4804EFF9" w:rsidRDefault="4804EFF9" w:rsidP="4804EFF9">
          <w:pPr>
            <w:jc w:val="center"/>
          </w:pPr>
        </w:p>
      </w:tc>
      <w:tc>
        <w:tcPr>
          <w:tcW w:w="3185" w:type="dxa"/>
        </w:tcPr>
        <w:p w14:paraId="1E186478" w14:textId="39006168" w:rsidR="4804EFF9" w:rsidRDefault="4804EFF9" w:rsidP="4804EFF9">
          <w:pPr>
            <w:ind w:right="-115"/>
            <w:jc w:val="right"/>
          </w:pPr>
        </w:p>
      </w:tc>
    </w:tr>
  </w:tbl>
  <w:p w14:paraId="31D83583" w14:textId="1FB8F69C" w:rsidR="4804EFF9" w:rsidRDefault="4804EF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8344301" w14:paraId="769394C3" w14:textId="77777777" w:rsidTr="48344301">
      <w:trPr>
        <w:trHeight w:val="300"/>
      </w:trPr>
      <w:tc>
        <w:tcPr>
          <w:tcW w:w="3120" w:type="dxa"/>
        </w:tcPr>
        <w:p w14:paraId="00EC85D6" w14:textId="2C7A4D3E" w:rsidR="48344301" w:rsidRDefault="48344301" w:rsidP="48344301">
          <w:pPr>
            <w:ind w:left="-115"/>
            <w:jc w:val="left"/>
          </w:pPr>
        </w:p>
      </w:tc>
      <w:tc>
        <w:tcPr>
          <w:tcW w:w="3120" w:type="dxa"/>
        </w:tcPr>
        <w:p w14:paraId="151EF9FC" w14:textId="62446C8E" w:rsidR="48344301" w:rsidRDefault="48344301" w:rsidP="48344301">
          <w:pPr>
            <w:jc w:val="center"/>
          </w:pPr>
        </w:p>
      </w:tc>
      <w:tc>
        <w:tcPr>
          <w:tcW w:w="3120" w:type="dxa"/>
        </w:tcPr>
        <w:p w14:paraId="7FE37F44" w14:textId="74447077" w:rsidR="48344301" w:rsidRDefault="48344301" w:rsidP="48344301">
          <w:pPr>
            <w:ind w:right="-115"/>
            <w:jc w:val="right"/>
          </w:pPr>
        </w:p>
      </w:tc>
    </w:tr>
  </w:tbl>
  <w:p w14:paraId="157A72E9" w14:textId="1711DB09" w:rsidR="48344301" w:rsidRDefault="4834430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804EFF9" w14:paraId="464D891D" w14:textId="77777777" w:rsidTr="4804EFF9">
      <w:trPr>
        <w:trHeight w:val="300"/>
      </w:trPr>
      <w:tc>
        <w:tcPr>
          <w:tcW w:w="3120" w:type="dxa"/>
        </w:tcPr>
        <w:p w14:paraId="63F54D34" w14:textId="47232D4C" w:rsidR="4804EFF9" w:rsidRDefault="4804EFF9" w:rsidP="4804EFF9">
          <w:pPr>
            <w:ind w:left="-115"/>
            <w:jc w:val="left"/>
          </w:pPr>
        </w:p>
      </w:tc>
      <w:tc>
        <w:tcPr>
          <w:tcW w:w="3120" w:type="dxa"/>
        </w:tcPr>
        <w:p w14:paraId="57FFC27A" w14:textId="149F99A3" w:rsidR="4804EFF9" w:rsidRDefault="4804EFF9" w:rsidP="4804EFF9">
          <w:pPr>
            <w:jc w:val="center"/>
          </w:pPr>
        </w:p>
      </w:tc>
      <w:tc>
        <w:tcPr>
          <w:tcW w:w="3120" w:type="dxa"/>
        </w:tcPr>
        <w:p w14:paraId="342810F9" w14:textId="5840E89F" w:rsidR="4804EFF9" w:rsidRDefault="4804EFF9" w:rsidP="4804EFF9">
          <w:pPr>
            <w:ind w:right="-115"/>
            <w:jc w:val="right"/>
          </w:pPr>
        </w:p>
      </w:tc>
    </w:tr>
  </w:tbl>
  <w:p w14:paraId="50833E5C" w14:textId="0101CE5F" w:rsidR="4804EFF9" w:rsidRDefault="4804EFF9"/>
</w:hdr>
</file>

<file path=word/intelligence2.xml><?xml version="1.0" encoding="utf-8"?>
<int2:intelligence xmlns:int2="http://schemas.microsoft.com/office/intelligence/2020/intelligence" xmlns:oel="http://schemas.microsoft.com/office/2019/extlst">
  <int2:observations>
    <int2:textHash int2:hashCode="8OTmJmEWv37CX9" int2:id="1bR9mrMI">
      <int2:state int2:value="Rejected" int2:type="spell"/>
    </int2:textHash>
    <int2:textHash int2:hashCode="jIuRz252AdnHdx" int2:id="2DgEJ6YE">
      <int2:state int2:value="Rejected" int2:type="spell"/>
    </int2:textHash>
    <int2:textHash int2:hashCode="gd5cwKLZWHB4Np" int2:id="3EohKb6K">
      <int2:state int2:value="Rejected" int2:type="spell"/>
    </int2:textHash>
    <int2:textHash int2:hashCode="NEbF7ZM2/6gqcl" int2:id="8SIngZp1">
      <int2:state int2:value="Rejected" int2:type="spell"/>
    </int2:textHash>
    <int2:textHash int2:hashCode="6234I+Lg4h5OG1" int2:id="9cLN2pIM">
      <int2:state int2:value="Rejected" int2:type="spell"/>
    </int2:textHash>
    <int2:textHash int2:hashCode="i7iriTpybWn0Ab" int2:id="BDq7cM3L">
      <int2:state int2:value="Rejected" int2:type="spell"/>
    </int2:textHash>
    <int2:textHash int2:hashCode="NhDZvPUdG4MxhB" int2:id="DwpFkoZx">
      <int2:state int2:value="Rejected" int2:type="spell"/>
    </int2:textHash>
    <int2:textHash int2:hashCode="stCZfi+AqIGdI4" int2:id="K8aPfCwt">
      <int2:state int2:value="Rejected" int2:type="spell"/>
    </int2:textHash>
    <int2:textHash int2:hashCode="xh1SM/6WPti5Sk" int2:id="LF91tkfp">
      <int2:state int2:value="Rejected" int2:type="spell"/>
    </int2:textHash>
    <int2:textHash int2:hashCode="JPKXcgf4tSc78Z" int2:id="NKXUy8lG">
      <int2:state int2:value="Rejected" int2:type="spell"/>
    </int2:textHash>
    <int2:textHash int2:hashCode="mPLKp/ojtQw7mc" int2:id="Ok1lu3PD">
      <int2:state int2:value="Rejected" int2:type="spell"/>
    </int2:textHash>
    <int2:textHash int2:hashCode="tXhmXOR7bcS18K" int2:id="PF9NikE2">
      <int2:state int2:value="Rejected" int2:type="spell"/>
    </int2:textHash>
    <int2:textHash int2:hashCode="V/YTw3dobA4a6q" int2:id="Rv4pgnM1">
      <int2:state int2:value="Rejected" int2:type="spell"/>
    </int2:textHash>
    <int2:textHash int2:hashCode="aiiFfcHcAP4Z+m" int2:id="Scp8LB0Z">
      <int2:state int2:value="Rejected" int2:type="spell"/>
    </int2:textHash>
    <int2:textHash int2:hashCode="kNlimnKly1qBPa" int2:id="Vt62qa36">
      <int2:state int2:value="Rejected" int2:type="spell"/>
    </int2:textHash>
    <int2:textHash int2:hashCode="RajYluCN9btN8Q" int2:id="WZv0sEpp">
      <int2:state int2:value="Rejected" int2:type="spell"/>
    </int2:textHash>
    <int2:textHash int2:hashCode="Vzmr1wLkqQkwvL" int2:id="aq0TBvuC">
      <int2:state int2:value="Rejected" int2:type="spell"/>
    </int2:textHash>
    <int2:textHash int2:hashCode="ohnc/r6Xp2sEa5" int2:id="elg05CHv">
      <int2:state int2:value="Rejected" int2:type="spell"/>
    </int2:textHash>
    <int2:textHash int2:hashCode="8zrQ+M64z7AsGB" int2:id="kdT0aY2k">
      <int2:state int2:value="Rejected" int2:type="spell"/>
    </int2:textHash>
    <int2:textHash int2:hashCode="cSyyyYUfotVFxS" int2:id="ng72Fbuu">
      <int2:state int2:value="Rejected" int2:type="spell"/>
    </int2:textHash>
    <int2:textHash int2:hashCode="xKIk4p3xkXfJYc" int2:id="qNSb87Np">
      <int2:state int2:value="Rejected" int2:type="spell"/>
    </int2:textHash>
    <int2:textHash int2:hashCode="a8f0xvCyxqntWK" int2:id="qhwhPPmv">
      <int2:state int2:value="Rejected" int2:type="spell"/>
    </int2:textHash>
    <int2:textHash int2:hashCode="iN/l6si4DYtQtA" int2:id="rRjyDyJJ">
      <int2:state int2:value="Rejected" int2:type="spell"/>
    </int2:textHash>
    <int2:textHash int2:hashCode="SETI4RD8ympAxC" int2:id="w43LfXL7">
      <int2:state int2:value="Rejected" int2:type="spell"/>
    </int2:textHash>
    <int2:textHash int2:hashCode="EzxbtHEqygUwX5" int2:id="ym1nn5W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3A6F63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107865"/>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 w15:restartNumberingAfterBreak="0">
    <w:nsid w:val="043A460D"/>
    <w:multiLevelType w:val="hybridMultilevel"/>
    <w:tmpl w:val="81507E34"/>
    <w:lvl w:ilvl="0" w:tplc="239ECB38">
      <w:start w:val="1"/>
      <w:numFmt w:val="bullet"/>
      <w:lvlText w:val=""/>
      <w:lvlJc w:val="left"/>
      <w:pPr>
        <w:ind w:left="720" w:hanging="360"/>
      </w:pPr>
      <w:rPr>
        <w:rFonts w:ascii="Symbol" w:eastAsia="Symbol" w:hAnsi="Symbol" w:cs="Symbol"/>
      </w:rPr>
    </w:lvl>
    <w:lvl w:ilvl="1" w:tplc="CBDAFED6">
      <w:start w:val="1"/>
      <w:numFmt w:val="bullet"/>
      <w:lvlText w:val="o"/>
      <w:lvlJc w:val="left"/>
      <w:pPr>
        <w:ind w:left="1440" w:hanging="360"/>
      </w:pPr>
      <w:rPr>
        <w:rFonts w:ascii="Courier New" w:eastAsia="Courier New" w:hAnsi="Courier New" w:cs="Courier New"/>
      </w:rPr>
    </w:lvl>
    <w:lvl w:ilvl="2" w:tplc="E4F664CC">
      <w:start w:val="1"/>
      <w:numFmt w:val="bullet"/>
      <w:lvlText w:val=""/>
      <w:lvlJc w:val="left"/>
      <w:pPr>
        <w:ind w:left="2160" w:hanging="360"/>
      </w:pPr>
      <w:rPr>
        <w:rFonts w:ascii="Wingdings" w:eastAsia="Wingdings" w:hAnsi="Wingdings" w:cs="Wingdings"/>
      </w:rPr>
    </w:lvl>
    <w:lvl w:ilvl="3" w:tplc="70307BD0">
      <w:start w:val="1"/>
      <w:numFmt w:val="bullet"/>
      <w:lvlText w:val=""/>
      <w:lvlJc w:val="left"/>
      <w:pPr>
        <w:ind w:left="2880" w:hanging="360"/>
      </w:pPr>
      <w:rPr>
        <w:rFonts w:ascii="Symbol" w:eastAsia="Symbol" w:hAnsi="Symbol" w:cs="Symbol"/>
      </w:rPr>
    </w:lvl>
    <w:lvl w:ilvl="4" w:tplc="679E7EF8">
      <w:start w:val="1"/>
      <w:numFmt w:val="bullet"/>
      <w:lvlText w:val="o"/>
      <w:lvlJc w:val="left"/>
      <w:pPr>
        <w:ind w:left="3600" w:hanging="360"/>
      </w:pPr>
      <w:rPr>
        <w:rFonts w:ascii="Courier New" w:eastAsia="Courier New" w:hAnsi="Courier New" w:cs="Courier New"/>
      </w:rPr>
    </w:lvl>
    <w:lvl w:ilvl="5" w:tplc="95043720">
      <w:start w:val="1"/>
      <w:numFmt w:val="bullet"/>
      <w:lvlText w:val=""/>
      <w:lvlJc w:val="left"/>
      <w:pPr>
        <w:ind w:left="4320" w:hanging="360"/>
      </w:pPr>
      <w:rPr>
        <w:rFonts w:ascii="Wingdings" w:eastAsia="Wingdings" w:hAnsi="Wingdings" w:cs="Wingdings"/>
      </w:rPr>
    </w:lvl>
    <w:lvl w:ilvl="6" w:tplc="38B2856A">
      <w:start w:val="1"/>
      <w:numFmt w:val="bullet"/>
      <w:lvlText w:val=""/>
      <w:lvlJc w:val="left"/>
      <w:pPr>
        <w:ind w:left="5040" w:hanging="360"/>
      </w:pPr>
      <w:rPr>
        <w:rFonts w:ascii="Symbol" w:eastAsia="Symbol" w:hAnsi="Symbol" w:cs="Symbol"/>
      </w:rPr>
    </w:lvl>
    <w:lvl w:ilvl="7" w:tplc="B1FCB7C2">
      <w:start w:val="1"/>
      <w:numFmt w:val="bullet"/>
      <w:lvlText w:val="o"/>
      <w:lvlJc w:val="left"/>
      <w:pPr>
        <w:ind w:left="5760" w:hanging="360"/>
      </w:pPr>
      <w:rPr>
        <w:rFonts w:ascii="Courier New" w:eastAsia="Courier New" w:hAnsi="Courier New" w:cs="Courier New"/>
      </w:rPr>
    </w:lvl>
    <w:lvl w:ilvl="8" w:tplc="0C4AB3E0">
      <w:start w:val="1"/>
      <w:numFmt w:val="bullet"/>
      <w:lvlText w:val=""/>
      <w:lvlJc w:val="left"/>
      <w:pPr>
        <w:ind w:left="6480" w:hanging="360"/>
      </w:pPr>
      <w:rPr>
        <w:rFonts w:ascii="Wingdings" w:eastAsia="Wingdings" w:hAnsi="Wingdings" w:cs="Wingdings"/>
      </w:rPr>
    </w:lvl>
  </w:abstractNum>
  <w:abstractNum w:abstractNumId="3" w15:restartNumberingAfterBreak="0">
    <w:nsid w:val="07481503"/>
    <w:multiLevelType w:val="multilevel"/>
    <w:tmpl w:val="5670589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 w15:restartNumberingAfterBreak="0">
    <w:nsid w:val="0BF72E1F"/>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5" w15:restartNumberingAfterBreak="0">
    <w:nsid w:val="0D117C9E"/>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6" w15:restartNumberingAfterBreak="0">
    <w:nsid w:val="0D396D32"/>
    <w:multiLevelType w:val="multilevel"/>
    <w:tmpl w:val="5670589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15:restartNumberingAfterBreak="0">
    <w:nsid w:val="13431B00"/>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15:restartNumberingAfterBreak="0">
    <w:nsid w:val="17705D68"/>
    <w:multiLevelType w:val="multilevel"/>
    <w:tmpl w:val="5670589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9" w15:restartNumberingAfterBreak="0">
    <w:nsid w:val="1A723352"/>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15:restartNumberingAfterBreak="0">
    <w:nsid w:val="34136D8A"/>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1" w15:restartNumberingAfterBreak="0">
    <w:nsid w:val="35373036"/>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2" w15:restartNumberingAfterBreak="0">
    <w:nsid w:val="3892DC94"/>
    <w:multiLevelType w:val="hybridMultilevel"/>
    <w:tmpl w:val="D28E2DB6"/>
    <w:lvl w:ilvl="0" w:tplc="0492B366">
      <w:start w:val="1"/>
      <w:numFmt w:val="bullet"/>
      <w:lvlText w:val=""/>
      <w:lvlJc w:val="left"/>
      <w:pPr>
        <w:ind w:left="720" w:hanging="360"/>
      </w:pPr>
      <w:rPr>
        <w:rFonts w:ascii="Symbol" w:hAnsi="Symbol" w:hint="default"/>
      </w:rPr>
    </w:lvl>
    <w:lvl w:ilvl="1" w:tplc="C568DA64">
      <w:start w:val="1"/>
      <w:numFmt w:val="bullet"/>
      <w:lvlText w:val="o"/>
      <w:lvlJc w:val="left"/>
      <w:pPr>
        <w:ind w:left="1440" w:hanging="360"/>
      </w:pPr>
      <w:rPr>
        <w:rFonts w:ascii="Courier New" w:hAnsi="Courier New" w:hint="default"/>
      </w:rPr>
    </w:lvl>
    <w:lvl w:ilvl="2" w:tplc="CBB43F08">
      <w:start w:val="1"/>
      <w:numFmt w:val="bullet"/>
      <w:lvlText w:val=""/>
      <w:lvlJc w:val="left"/>
      <w:pPr>
        <w:ind w:left="2160" w:hanging="360"/>
      </w:pPr>
      <w:rPr>
        <w:rFonts w:ascii="Wingdings" w:hAnsi="Wingdings" w:hint="default"/>
      </w:rPr>
    </w:lvl>
    <w:lvl w:ilvl="3" w:tplc="8EB091D8">
      <w:start w:val="1"/>
      <w:numFmt w:val="bullet"/>
      <w:lvlText w:val=""/>
      <w:lvlJc w:val="left"/>
      <w:pPr>
        <w:ind w:left="2880" w:hanging="360"/>
      </w:pPr>
      <w:rPr>
        <w:rFonts w:ascii="Symbol" w:hAnsi="Symbol" w:hint="default"/>
      </w:rPr>
    </w:lvl>
    <w:lvl w:ilvl="4" w:tplc="943C6F70">
      <w:start w:val="1"/>
      <w:numFmt w:val="bullet"/>
      <w:lvlText w:val="o"/>
      <w:lvlJc w:val="left"/>
      <w:pPr>
        <w:ind w:left="3600" w:hanging="360"/>
      </w:pPr>
      <w:rPr>
        <w:rFonts w:ascii="Courier New" w:hAnsi="Courier New" w:hint="default"/>
      </w:rPr>
    </w:lvl>
    <w:lvl w:ilvl="5" w:tplc="A1BE9472">
      <w:start w:val="1"/>
      <w:numFmt w:val="bullet"/>
      <w:lvlText w:val=""/>
      <w:lvlJc w:val="left"/>
      <w:pPr>
        <w:ind w:left="4320" w:hanging="360"/>
      </w:pPr>
      <w:rPr>
        <w:rFonts w:ascii="Wingdings" w:hAnsi="Wingdings" w:hint="default"/>
      </w:rPr>
    </w:lvl>
    <w:lvl w:ilvl="6" w:tplc="6072914C">
      <w:start w:val="1"/>
      <w:numFmt w:val="bullet"/>
      <w:lvlText w:val=""/>
      <w:lvlJc w:val="left"/>
      <w:pPr>
        <w:ind w:left="5040" w:hanging="360"/>
      </w:pPr>
      <w:rPr>
        <w:rFonts w:ascii="Symbol" w:hAnsi="Symbol" w:hint="default"/>
      </w:rPr>
    </w:lvl>
    <w:lvl w:ilvl="7" w:tplc="9C12DBA6">
      <w:start w:val="1"/>
      <w:numFmt w:val="bullet"/>
      <w:lvlText w:val="o"/>
      <w:lvlJc w:val="left"/>
      <w:pPr>
        <w:ind w:left="5760" w:hanging="360"/>
      </w:pPr>
      <w:rPr>
        <w:rFonts w:ascii="Courier New" w:hAnsi="Courier New" w:hint="default"/>
      </w:rPr>
    </w:lvl>
    <w:lvl w:ilvl="8" w:tplc="EBA4ABF8">
      <w:start w:val="1"/>
      <w:numFmt w:val="bullet"/>
      <w:lvlText w:val=""/>
      <w:lvlJc w:val="left"/>
      <w:pPr>
        <w:ind w:left="6480" w:hanging="360"/>
      </w:pPr>
      <w:rPr>
        <w:rFonts w:ascii="Wingdings" w:hAnsi="Wingdings" w:hint="default"/>
      </w:rPr>
    </w:lvl>
  </w:abstractNum>
  <w:abstractNum w:abstractNumId="13" w15:restartNumberingAfterBreak="0">
    <w:nsid w:val="3EE10AF1"/>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 w15:restartNumberingAfterBreak="0">
    <w:nsid w:val="3F86380E"/>
    <w:multiLevelType w:val="hybridMultilevel"/>
    <w:tmpl w:val="09C404F0"/>
    <w:lvl w:ilvl="0" w:tplc="40090001">
      <w:start w:val="1"/>
      <w:numFmt w:val="bullet"/>
      <w:lvlText w:val=""/>
      <w:lvlJc w:val="left"/>
      <w:pPr>
        <w:ind w:left="785"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10400A5"/>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6" w15:restartNumberingAfterBreak="0">
    <w:nsid w:val="430FA40F"/>
    <w:multiLevelType w:val="hybridMultilevel"/>
    <w:tmpl w:val="C750F328"/>
    <w:lvl w:ilvl="0" w:tplc="E57ECB68">
      <w:start w:val="1"/>
      <w:numFmt w:val="bullet"/>
      <w:lvlText w:val=""/>
      <w:lvlJc w:val="left"/>
      <w:pPr>
        <w:ind w:left="720" w:hanging="360"/>
      </w:pPr>
      <w:rPr>
        <w:rFonts w:ascii="Symbol" w:hAnsi="Symbol" w:hint="default"/>
      </w:rPr>
    </w:lvl>
    <w:lvl w:ilvl="1" w:tplc="EFC03B5A">
      <w:start w:val="1"/>
      <w:numFmt w:val="bullet"/>
      <w:lvlText w:val="o"/>
      <w:lvlJc w:val="left"/>
      <w:pPr>
        <w:ind w:left="1440" w:hanging="360"/>
      </w:pPr>
      <w:rPr>
        <w:rFonts w:ascii="Courier New" w:hAnsi="Courier New" w:hint="default"/>
      </w:rPr>
    </w:lvl>
    <w:lvl w:ilvl="2" w:tplc="3C62D964">
      <w:start w:val="1"/>
      <w:numFmt w:val="bullet"/>
      <w:lvlText w:val=""/>
      <w:lvlJc w:val="left"/>
      <w:pPr>
        <w:ind w:left="2160" w:hanging="360"/>
      </w:pPr>
      <w:rPr>
        <w:rFonts w:ascii="Wingdings" w:hAnsi="Wingdings" w:hint="default"/>
      </w:rPr>
    </w:lvl>
    <w:lvl w:ilvl="3" w:tplc="604254DC">
      <w:start w:val="1"/>
      <w:numFmt w:val="bullet"/>
      <w:lvlText w:val=""/>
      <w:lvlJc w:val="left"/>
      <w:pPr>
        <w:ind w:left="2880" w:hanging="360"/>
      </w:pPr>
      <w:rPr>
        <w:rFonts w:ascii="Symbol" w:hAnsi="Symbol" w:hint="default"/>
      </w:rPr>
    </w:lvl>
    <w:lvl w:ilvl="4" w:tplc="EBE0993A">
      <w:start w:val="1"/>
      <w:numFmt w:val="bullet"/>
      <w:lvlText w:val="o"/>
      <w:lvlJc w:val="left"/>
      <w:pPr>
        <w:ind w:left="3600" w:hanging="360"/>
      </w:pPr>
      <w:rPr>
        <w:rFonts w:ascii="Courier New" w:hAnsi="Courier New" w:hint="default"/>
      </w:rPr>
    </w:lvl>
    <w:lvl w:ilvl="5" w:tplc="C2109250">
      <w:start w:val="1"/>
      <w:numFmt w:val="bullet"/>
      <w:lvlText w:val=""/>
      <w:lvlJc w:val="left"/>
      <w:pPr>
        <w:ind w:left="4320" w:hanging="360"/>
      </w:pPr>
      <w:rPr>
        <w:rFonts w:ascii="Wingdings" w:hAnsi="Wingdings" w:hint="default"/>
      </w:rPr>
    </w:lvl>
    <w:lvl w:ilvl="6" w:tplc="B4DCE068">
      <w:start w:val="1"/>
      <w:numFmt w:val="bullet"/>
      <w:lvlText w:val=""/>
      <w:lvlJc w:val="left"/>
      <w:pPr>
        <w:ind w:left="5040" w:hanging="360"/>
      </w:pPr>
      <w:rPr>
        <w:rFonts w:ascii="Symbol" w:hAnsi="Symbol" w:hint="default"/>
      </w:rPr>
    </w:lvl>
    <w:lvl w:ilvl="7" w:tplc="8236B86A">
      <w:start w:val="1"/>
      <w:numFmt w:val="bullet"/>
      <w:lvlText w:val="o"/>
      <w:lvlJc w:val="left"/>
      <w:pPr>
        <w:ind w:left="5760" w:hanging="360"/>
      </w:pPr>
      <w:rPr>
        <w:rFonts w:ascii="Courier New" w:hAnsi="Courier New" w:hint="default"/>
      </w:rPr>
    </w:lvl>
    <w:lvl w:ilvl="8" w:tplc="51FEF03A">
      <w:start w:val="1"/>
      <w:numFmt w:val="bullet"/>
      <w:lvlText w:val=""/>
      <w:lvlJc w:val="left"/>
      <w:pPr>
        <w:ind w:left="6480" w:hanging="360"/>
      </w:pPr>
      <w:rPr>
        <w:rFonts w:ascii="Wingdings" w:hAnsi="Wingdings" w:hint="default"/>
      </w:rPr>
    </w:lvl>
  </w:abstractNum>
  <w:abstractNum w:abstractNumId="17" w15:restartNumberingAfterBreak="0">
    <w:nsid w:val="471F4201"/>
    <w:multiLevelType w:val="multilevel"/>
    <w:tmpl w:val="B28AC9E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648"/>
        </w:tabs>
        <w:ind w:left="648" w:hanging="648"/>
      </w:pPr>
    </w:lvl>
    <w:lvl w:ilvl="2">
      <w:start w:val="1"/>
      <w:numFmt w:val="decimal"/>
      <w:pStyle w:val="Heading3"/>
      <w:lvlText w:val="%1.%2.%3"/>
      <w:lvlJc w:val="left"/>
      <w:pPr>
        <w:tabs>
          <w:tab w:val="num" w:pos="864"/>
        </w:tabs>
        <w:ind w:left="864" w:hanging="864"/>
      </w:pPr>
    </w:lvl>
    <w:lvl w:ilvl="3">
      <w:start w:val="1"/>
      <w:numFmt w:val="decimal"/>
      <w:pStyle w:val="Heading4"/>
      <w:lvlText w:val="%1.%2.%3.%4"/>
      <w:lvlJc w:val="left"/>
      <w:pPr>
        <w:tabs>
          <w:tab w:val="num" w:pos="1080"/>
        </w:tabs>
        <w:ind w:left="1080" w:hanging="1080"/>
      </w:pPr>
    </w:lvl>
    <w:lvl w:ilvl="4">
      <w:start w:val="1"/>
      <w:numFmt w:val="decimal"/>
      <w:pStyle w:val="Heading5"/>
      <w:lvlText w:val="%1.%2.%3.%4.%5"/>
      <w:lvlJc w:val="left"/>
      <w:pPr>
        <w:tabs>
          <w:tab w:val="num" w:pos="1296"/>
        </w:tabs>
        <w:ind w:left="1296" w:hanging="1296"/>
      </w:pPr>
    </w:lvl>
    <w:lvl w:ilvl="5">
      <w:start w:val="1"/>
      <w:numFmt w:val="decimal"/>
      <w:pStyle w:val="Heading6"/>
      <w:lvlText w:val="%1.%2.%3.%4.%5.%6"/>
      <w:lvlJc w:val="left"/>
      <w:pPr>
        <w:tabs>
          <w:tab w:val="num" w:pos="1512"/>
        </w:tabs>
        <w:ind w:left="1512" w:hanging="1512"/>
      </w:pPr>
    </w:lvl>
    <w:lvl w:ilvl="6">
      <w:start w:val="1"/>
      <w:numFmt w:val="decimal"/>
      <w:pStyle w:val="Heading7"/>
      <w:lvlText w:val="%1.%2.%3.%4.%5.%6.%7"/>
      <w:lvlJc w:val="left"/>
      <w:pPr>
        <w:tabs>
          <w:tab w:val="num" w:pos="1728"/>
        </w:tabs>
        <w:ind w:left="1728" w:hanging="1728"/>
      </w:pPr>
    </w:lvl>
    <w:lvl w:ilvl="7">
      <w:start w:val="1"/>
      <w:numFmt w:val="decimal"/>
      <w:pStyle w:val="Heading8"/>
      <w:lvlText w:val="%1.%2.%3.%4.%5.%6.%7.%8"/>
      <w:lvlJc w:val="left"/>
      <w:pPr>
        <w:tabs>
          <w:tab w:val="num" w:pos="1944"/>
        </w:tabs>
        <w:ind w:left="1944" w:hanging="1944"/>
      </w:pPr>
    </w:lvl>
    <w:lvl w:ilvl="8">
      <w:start w:val="1"/>
      <w:numFmt w:val="decimal"/>
      <w:pStyle w:val="Heading9"/>
      <w:lvlText w:val="%1.%2.%3.%4.%5.%6.%7.%8.%9"/>
      <w:lvlJc w:val="left"/>
      <w:pPr>
        <w:tabs>
          <w:tab w:val="num" w:pos="2160"/>
        </w:tabs>
        <w:ind w:left="2160" w:hanging="2160"/>
      </w:pPr>
    </w:lvl>
  </w:abstractNum>
  <w:abstractNum w:abstractNumId="18" w15:restartNumberingAfterBreak="0">
    <w:nsid w:val="488445DA"/>
    <w:multiLevelType w:val="multilevel"/>
    <w:tmpl w:val="5670589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9" w15:restartNumberingAfterBreak="0">
    <w:nsid w:val="4B6F3916"/>
    <w:multiLevelType w:val="multilevel"/>
    <w:tmpl w:val="5670589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0" w15:restartNumberingAfterBreak="0">
    <w:nsid w:val="51322B2C"/>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1" w15:restartNumberingAfterBreak="0">
    <w:nsid w:val="513F2869"/>
    <w:multiLevelType w:val="multilevel"/>
    <w:tmpl w:val="31527A18"/>
    <w:styleLink w:val="111111"/>
    <w:lvl w:ilvl="0">
      <w:start w:val="1"/>
      <w:numFmt w:val="decimal"/>
      <w:pStyle w:val="Style1"/>
      <w:lvlText w:val="%1"/>
      <w:lvlJc w:val="left"/>
      <w:pPr>
        <w:ind w:left="536" w:hanging="432"/>
      </w:pPr>
      <w:rPr>
        <w:rFonts w:ascii="Trebuchet MS" w:eastAsia="Trebuchet MS" w:hAnsi="Trebuchet MS" w:hint="default"/>
        <w:b/>
        <w:bCs/>
        <w:color w:val="FFC000" w:themeColor="accent4"/>
        <w:w w:val="102"/>
        <w:sz w:val="31"/>
        <w:szCs w:val="31"/>
      </w:rPr>
    </w:lvl>
    <w:lvl w:ilvl="1">
      <w:start w:val="1"/>
      <w:numFmt w:val="decimal"/>
      <w:lvlText w:val="%1.%2"/>
      <w:lvlJc w:val="left"/>
      <w:pPr>
        <w:ind w:left="680" w:hanging="576"/>
      </w:pPr>
      <w:rPr>
        <w:rFonts w:ascii="Trebuchet MS" w:eastAsia="Trebuchet MS" w:hAnsi="Trebuchet MS" w:hint="default"/>
        <w:b/>
        <w:bCs/>
        <w:color w:val="FFC000" w:themeColor="accent4"/>
        <w:w w:val="99"/>
        <w:sz w:val="28"/>
        <w:szCs w:val="28"/>
      </w:rPr>
    </w:lvl>
    <w:lvl w:ilvl="2">
      <w:start w:val="1"/>
      <w:numFmt w:val="bullet"/>
      <w:lvlText w:val=""/>
      <w:lvlJc w:val="left"/>
      <w:pPr>
        <w:ind w:left="824" w:hanging="360"/>
      </w:pPr>
      <w:rPr>
        <w:rFonts w:ascii="Symbol" w:eastAsia="Symbol" w:hAnsi="Symbol" w:hint="default"/>
        <w:w w:val="102"/>
        <w:sz w:val="21"/>
        <w:szCs w:val="21"/>
      </w:rPr>
    </w:lvl>
    <w:lvl w:ilvl="3">
      <w:start w:val="1"/>
      <w:numFmt w:val="bullet"/>
      <w:lvlText w:val="o"/>
      <w:lvlJc w:val="left"/>
      <w:pPr>
        <w:ind w:left="1544" w:hanging="360"/>
      </w:pPr>
      <w:rPr>
        <w:rFonts w:ascii="Courier New" w:eastAsia="Courier New" w:hAnsi="Courier New" w:hint="default"/>
        <w:w w:val="102"/>
        <w:sz w:val="21"/>
        <w:szCs w:val="21"/>
      </w:rPr>
    </w:lvl>
    <w:lvl w:ilvl="4">
      <w:start w:val="1"/>
      <w:numFmt w:val="bullet"/>
      <w:lvlText w:val="•"/>
      <w:lvlJc w:val="left"/>
      <w:pPr>
        <w:ind w:left="2681" w:hanging="360"/>
      </w:pPr>
      <w:rPr>
        <w:rFonts w:hint="default"/>
      </w:rPr>
    </w:lvl>
    <w:lvl w:ilvl="5">
      <w:start w:val="1"/>
      <w:numFmt w:val="bullet"/>
      <w:lvlText w:val="•"/>
      <w:lvlJc w:val="left"/>
      <w:pPr>
        <w:ind w:left="3817" w:hanging="360"/>
      </w:pPr>
      <w:rPr>
        <w:rFonts w:hint="default"/>
      </w:rPr>
    </w:lvl>
    <w:lvl w:ilvl="6">
      <w:start w:val="1"/>
      <w:numFmt w:val="bullet"/>
      <w:lvlText w:val="•"/>
      <w:lvlJc w:val="left"/>
      <w:pPr>
        <w:ind w:left="4954" w:hanging="360"/>
      </w:pPr>
      <w:rPr>
        <w:rFonts w:hint="default"/>
      </w:rPr>
    </w:lvl>
    <w:lvl w:ilvl="7">
      <w:start w:val="1"/>
      <w:numFmt w:val="bullet"/>
      <w:lvlText w:val="•"/>
      <w:lvlJc w:val="left"/>
      <w:pPr>
        <w:ind w:left="6090" w:hanging="360"/>
      </w:pPr>
      <w:rPr>
        <w:rFonts w:hint="default"/>
      </w:rPr>
    </w:lvl>
    <w:lvl w:ilvl="8">
      <w:start w:val="1"/>
      <w:numFmt w:val="bullet"/>
      <w:lvlText w:val="•"/>
      <w:lvlJc w:val="left"/>
      <w:pPr>
        <w:ind w:left="7227" w:hanging="360"/>
      </w:pPr>
      <w:rPr>
        <w:rFonts w:hint="default"/>
      </w:rPr>
    </w:lvl>
  </w:abstractNum>
  <w:abstractNum w:abstractNumId="22" w15:restartNumberingAfterBreak="0">
    <w:nsid w:val="545A4003"/>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3" w15:restartNumberingAfterBreak="0">
    <w:nsid w:val="5DA95E99"/>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73930E37"/>
    <w:multiLevelType w:val="multilevel"/>
    <w:tmpl w:val="5670589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5" w15:restartNumberingAfterBreak="0">
    <w:nsid w:val="76E03A77"/>
    <w:multiLevelType w:val="multilevel"/>
    <w:tmpl w:val="56705898"/>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6" w15:restartNumberingAfterBreak="0">
    <w:nsid w:val="776409B6"/>
    <w:multiLevelType w:val="multilevel"/>
    <w:tmpl w:val="A8124102"/>
    <w:styleLink w:val="CurrentList1"/>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950984"/>
    <w:multiLevelType w:val="multilevel"/>
    <w:tmpl w:val="5670589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8" w15:restartNumberingAfterBreak="0">
    <w:nsid w:val="7E886CD4"/>
    <w:multiLevelType w:val="hybridMultilevel"/>
    <w:tmpl w:val="C234E5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57760118">
    <w:abstractNumId w:val="16"/>
  </w:num>
  <w:num w:numId="2" w16cid:durableId="1666932480">
    <w:abstractNumId w:val="12"/>
  </w:num>
  <w:num w:numId="3" w16cid:durableId="1601404454">
    <w:abstractNumId w:val="21"/>
  </w:num>
  <w:num w:numId="4" w16cid:durableId="178735663">
    <w:abstractNumId w:val="14"/>
  </w:num>
  <w:num w:numId="5" w16cid:durableId="2073195972">
    <w:abstractNumId w:val="2"/>
  </w:num>
  <w:num w:numId="6" w16cid:durableId="1761173887">
    <w:abstractNumId w:val="28"/>
  </w:num>
  <w:num w:numId="7" w16cid:durableId="1020813838">
    <w:abstractNumId w:val="26"/>
  </w:num>
  <w:num w:numId="8" w16cid:durableId="242881740">
    <w:abstractNumId w:val="17"/>
  </w:num>
  <w:num w:numId="9" w16cid:durableId="213128686">
    <w:abstractNumId w:val="0"/>
  </w:num>
  <w:num w:numId="10" w16cid:durableId="68159668">
    <w:abstractNumId w:val="7"/>
  </w:num>
  <w:num w:numId="11" w16cid:durableId="979117850">
    <w:abstractNumId w:val="15"/>
  </w:num>
  <w:num w:numId="12" w16cid:durableId="1812166837">
    <w:abstractNumId w:val="1"/>
  </w:num>
  <w:num w:numId="13" w16cid:durableId="494227976">
    <w:abstractNumId w:val="20"/>
  </w:num>
  <w:num w:numId="14" w16cid:durableId="880169345">
    <w:abstractNumId w:val="25"/>
  </w:num>
  <w:num w:numId="15" w16cid:durableId="1259289164">
    <w:abstractNumId w:val="10"/>
  </w:num>
  <w:num w:numId="16" w16cid:durableId="170225299">
    <w:abstractNumId w:val="23"/>
  </w:num>
  <w:num w:numId="17" w16cid:durableId="1790010933">
    <w:abstractNumId w:val="13"/>
  </w:num>
  <w:num w:numId="18" w16cid:durableId="1855264503">
    <w:abstractNumId w:val="11"/>
  </w:num>
  <w:num w:numId="19" w16cid:durableId="457995201">
    <w:abstractNumId w:val="4"/>
  </w:num>
  <w:num w:numId="20" w16cid:durableId="41491881">
    <w:abstractNumId w:val="9"/>
  </w:num>
  <w:num w:numId="21" w16cid:durableId="1629362122">
    <w:abstractNumId w:val="22"/>
  </w:num>
  <w:num w:numId="22" w16cid:durableId="147135095">
    <w:abstractNumId w:val="5"/>
  </w:num>
  <w:num w:numId="23" w16cid:durableId="1769110572">
    <w:abstractNumId w:val="27"/>
  </w:num>
  <w:num w:numId="24" w16cid:durableId="1927877919">
    <w:abstractNumId w:val="6"/>
  </w:num>
  <w:num w:numId="25" w16cid:durableId="1270624999">
    <w:abstractNumId w:val="8"/>
  </w:num>
  <w:num w:numId="26" w16cid:durableId="1684549905">
    <w:abstractNumId w:val="3"/>
  </w:num>
  <w:num w:numId="27" w16cid:durableId="1264220146">
    <w:abstractNumId w:val="18"/>
  </w:num>
  <w:num w:numId="28" w16cid:durableId="758915820">
    <w:abstractNumId w:val="24"/>
  </w:num>
  <w:num w:numId="29" w16cid:durableId="922296797">
    <w:abstractNumId w:val="19"/>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h, Bhakti">
    <w15:presenceInfo w15:providerId="AD" w15:userId="S::BShah@marathonpetroleum.com::26a1b639-cc69-4d60-ac41-c86c77504d9c"/>
  </w15:person>
  <w15:person w15:author="Rayaguru, Kamal Kumar">
    <w15:presenceInfo w15:providerId="AD" w15:userId="S::krayaguru@marathonpetroleum.com::151faf74-0ede-41f2-8072-ace94a336e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5DC"/>
    <w:rsid w:val="000000D6"/>
    <w:rsid w:val="0000012D"/>
    <w:rsid w:val="000001C9"/>
    <w:rsid w:val="000002F3"/>
    <w:rsid w:val="000004DD"/>
    <w:rsid w:val="0000078B"/>
    <w:rsid w:val="0000099A"/>
    <w:rsid w:val="00000ABC"/>
    <w:rsid w:val="00000E37"/>
    <w:rsid w:val="00000F21"/>
    <w:rsid w:val="000010DF"/>
    <w:rsid w:val="00001244"/>
    <w:rsid w:val="00001427"/>
    <w:rsid w:val="000014B8"/>
    <w:rsid w:val="000017CF"/>
    <w:rsid w:val="000017DA"/>
    <w:rsid w:val="000018CE"/>
    <w:rsid w:val="00001D5A"/>
    <w:rsid w:val="00001E31"/>
    <w:rsid w:val="00001E3C"/>
    <w:rsid w:val="00002362"/>
    <w:rsid w:val="000023F7"/>
    <w:rsid w:val="0000250F"/>
    <w:rsid w:val="0000267D"/>
    <w:rsid w:val="00002694"/>
    <w:rsid w:val="000026A9"/>
    <w:rsid w:val="0000278A"/>
    <w:rsid w:val="0000287C"/>
    <w:rsid w:val="000028D7"/>
    <w:rsid w:val="000028D9"/>
    <w:rsid w:val="000028F8"/>
    <w:rsid w:val="00002930"/>
    <w:rsid w:val="0000294D"/>
    <w:rsid w:val="00002AC0"/>
    <w:rsid w:val="00002B69"/>
    <w:rsid w:val="00002CB5"/>
    <w:rsid w:val="00002D8A"/>
    <w:rsid w:val="00003080"/>
    <w:rsid w:val="00003098"/>
    <w:rsid w:val="00003241"/>
    <w:rsid w:val="000032F6"/>
    <w:rsid w:val="00003617"/>
    <w:rsid w:val="00003683"/>
    <w:rsid w:val="00003A36"/>
    <w:rsid w:val="00003A86"/>
    <w:rsid w:val="00003B09"/>
    <w:rsid w:val="00003B8D"/>
    <w:rsid w:val="00003C75"/>
    <w:rsid w:val="00003FDF"/>
    <w:rsid w:val="0000401A"/>
    <w:rsid w:val="0000403E"/>
    <w:rsid w:val="000040AB"/>
    <w:rsid w:val="000040AC"/>
    <w:rsid w:val="000040CE"/>
    <w:rsid w:val="0000416F"/>
    <w:rsid w:val="0000445C"/>
    <w:rsid w:val="0000445F"/>
    <w:rsid w:val="00004661"/>
    <w:rsid w:val="00004684"/>
    <w:rsid w:val="000046B3"/>
    <w:rsid w:val="00004790"/>
    <w:rsid w:val="0000485B"/>
    <w:rsid w:val="00004861"/>
    <w:rsid w:val="00004916"/>
    <w:rsid w:val="00004E63"/>
    <w:rsid w:val="00004FDF"/>
    <w:rsid w:val="000050BD"/>
    <w:rsid w:val="00005101"/>
    <w:rsid w:val="000051DF"/>
    <w:rsid w:val="00005457"/>
    <w:rsid w:val="0000562F"/>
    <w:rsid w:val="000056BF"/>
    <w:rsid w:val="000059C3"/>
    <w:rsid w:val="00005E92"/>
    <w:rsid w:val="00005EB5"/>
    <w:rsid w:val="00005F32"/>
    <w:rsid w:val="00005F64"/>
    <w:rsid w:val="00005FB3"/>
    <w:rsid w:val="000061F2"/>
    <w:rsid w:val="00006829"/>
    <w:rsid w:val="00006918"/>
    <w:rsid w:val="00006933"/>
    <w:rsid w:val="0000693F"/>
    <w:rsid w:val="00006B71"/>
    <w:rsid w:val="00006D1C"/>
    <w:rsid w:val="00006D4C"/>
    <w:rsid w:val="00006DB2"/>
    <w:rsid w:val="00006EE8"/>
    <w:rsid w:val="00006F27"/>
    <w:rsid w:val="00006F6F"/>
    <w:rsid w:val="00006FA4"/>
    <w:rsid w:val="0000711D"/>
    <w:rsid w:val="00007304"/>
    <w:rsid w:val="00007459"/>
    <w:rsid w:val="00007647"/>
    <w:rsid w:val="0000768D"/>
    <w:rsid w:val="000078AA"/>
    <w:rsid w:val="000079C3"/>
    <w:rsid w:val="00007A7A"/>
    <w:rsid w:val="00007AD5"/>
    <w:rsid w:val="00007B25"/>
    <w:rsid w:val="00007C86"/>
    <w:rsid w:val="00007D95"/>
    <w:rsid w:val="00007E67"/>
    <w:rsid w:val="000102C7"/>
    <w:rsid w:val="0001030B"/>
    <w:rsid w:val="000103C0"/>
    <w:rsid w:val="0001049F"/>
    <w:rsid w:val="0001054B"/>
    <w:rsid w:val="0001055B"/>
    <w:rsid w:val="0001066A"/>
    <w:rsid w:val="000106D2"/>
    <w:rsid w:val="000108F0"/>
    <w:rsid w:val="00010958"/>
    <w:rsid w:val="00010A55"/>
    <w:rsid w:val="00010A83"/>
    <w:rsid w:val="00010AB3"/>
    <w:rsid w:val="00010B50"/>
    <w:rsid w:val="00010BAD"/>
    <w:rsid w:val="00010D85"/>
    <w:rsid w:val="00010E47"/>
    <w:rsid w:val="00010E91"/>
    <w:rsid w:val="00010F13"/>
    <w:rsid w:val="0001106B"/>
    <w:rsid w:val="00011133"/>
    <w:rsid w:val="00011224"/>
    <w:rsid w:val="0001136A"/>
    <w:rsid w:val="0001150D"/>
    <w:rsid w:val="00011779"/>
    <w:rsid w:val="00011793"/>
    <w:rsid w:val="0001188F"/>
    <w:rsid w:val="00011890"/>
    <w:rsid w:val="00011911"/>
    <w:rsid w:val="00011A6D"/>
    <w:rsid w:val="00011A98"/>
    <w:rsid w:val="00011B3D"/>
    <w:rsid w:val="00011B51"/>
    <w:rsid w:val="00011B9C"/>
    <w:rsid w:val="00011DAD"/>
    <w:rsid w:val="000120D9"/>
    <w:rsid w:val="000120F4"/>
    <w:rsid w:val="000121C6"/>
    <w:rsid w:val="000121D2"/>
    <w:rsid w:val="00012353"/>
    <w:rsid w:val="00012358"/>
    <w:rsid w:val="000124C0"/>
    <w:rsid w:val="000125FE"/>
    <w:rsid w:val="00012643"/>
    <w:rsid w:val="0001267C"/>
    <w:rsid w:val="000126E6"/>
    <w:rsid w:val="000127B3"/>
    <w:rsid w:val="0001298B"/>
    <w:rsid w:val="00012A30"/>
    <w:rsid w:val="00012A4D"/>
    <w:rsid w:val="00012E20"/>
    <w:rsid w:val="00012F24"/>
    <w:rsid w:val="00012FDA"/>
    <w:rsid w:val="000130DC"/>
    <w:rsid w:val="000131E2"/>
    <w:rsid w:val="000131F9"/>
    <w:rsid w:val="00013214"/>
    <w:rsid w:val="0001324A"/>
    <w:rsid w:val="00013313"/>
    <w:rsid w:val="000133E0"/>
    <w:rsid w:val="00013429"/>
    <w:rsid w:val="0001351A"/>
    <w:rsid w:val="000136AF"/>
    <w:rsid w:val="00013873"/>
    <w:rsid w:val="00013942"/>
    <w:rsid w:val="000139FB"/>
    <w:rsid w:val="00013BFD"/>
    <w:rsid w:val="000141B8"/>
    <w:rsid w:val="0001439E"/>
    <w:rsid w:val="0001446B"/>
    <w:rsid w:val="0001466D"/>
    <w:rsid w:val="0001468B"/>
    <w:rsid w:val="000148C4"/>
    <w:rsid w:val="0001490E"/>
    <w:rsid w:val="00014ABA"/>
    <w:rsid w:val="00014BC8"/>
    <w:rsid w:val="00014C3F"/>
    <w:rsid w:val="00014C87"/>
    <w:rsid w:val="00014CC5"/>
    <w:rsid w:val="00014D40"/>
    <w:rsid w:val="00014ED9"/>
    <w:rsid w:val="00014F0E"/>
    <w:rsid w:val="00014FF4"/>
    <w:rsid w:val="00015352"/>
    <w:rsid w:val="00015354"/>
    <w:rsid w:val="00015655"/>
    <w:rsid w:val="00015719"/>
    <w:rsid w:val="00015725"/>
    <w:rsid w:val="0001578D"/>
    <w:rsid w:val="00015D3E"/>
    <w:rsid w:val="00015EFB"/>
    <w:rsid w:val="00015F5A"/>
    <w:rsid w:val="0001601B"/>
    <w:rsid w:val="0001629E"/>
    <w:rsid w:val="0001648F"/>
    <w:rsid w:val="000165E4"/>
    <w:rsid w:val="00016902"/>
    <w:rsid w:val="0001692B"/>
    <w:rsid w:val="00016AC9"/>
    <w:rsid w:val="00016B33"/>
    <w:rsid w:val="00016C08"/>
    <w:rsid w:val="00016D4B"/>
    <w:rsid w:val="00016D77"/>
    <w:rsid w:val="0001723C"/>
    <w:rsid w:val="000173DA"/>
    <w:rsid w:val="00017487"/>
    <w:rsid w:val="000174E7"/>
    <w:rsid w:val="000174EB"/>
    <w:rsid w:val="00017506"/>
    <w:rsid w:val="00017564"/>
    <w:rsid w:val="000175E3"/>
    <w:rsid w:val="00017622"/>
    <w:rsid w:val="0001779E"/>
    <w:rsid w:val="000177D9"/>
    <w:rsid w:val="000178F3"/>
    <w:rsid w:val="00017AC3"/>
    <w:rsid w:val="00017F04"/>
    <w:rsid w:val="0002005E"/>
    <w:rsid w:val="000200AF"/>
    <w:rsid w:val="0002019A"/>
    <w:rsid w:val="000201B6"/>
    <w:rsid w:val="000204DC"/>
    <w:rsid w:val="0002066B"/>
    <w:rsid w:val="000209C0"/>
    <w:rsid w:val="000209FD"/>
    <w:rsid w:val="00020B5F"/>
    <w:rsid w:val="00020C21"/>
    <w:rsid w:val="00020F76"/>
    <w:rsid w:val="00020FAB"/>
    <w:rsid w:val="00021277"/>
    <w:rsid w:val="000212FA"/>
    <w:rsid w:val="00021313"/>
    <w:rsid w:val="0002133F"/>
    <w:rsid w:val="00021374"/>
    <w:rsid w:val="0002148A"/>
    <w:rsid w:val="000214B7"/>
    <w:rsid w:val="0002153D"/>
    <w:rsid w:val="000215B5"/>
    <w:rsid w:val="00021646"/>
    <w:rsid w:val="000216FE"/>
    <w:rsid w:val="0002180F"/>
    <w:rsid w:val="000218F0"/>
    <w:rsid w:val="00021BA9"/>
    <w:rsid w:val="00021C3D"/>
    <w:rsid w:val="00021D64"/>
    <w:rsid w:val="00021ED2"/>
    <w:rsid w:val="00022064"/>
    <w:rsid w:val="00022090"/>
    <w:rsid w:val="00022273"/>
    <w:rsid w:val="000222AC"/>
    <w:rsid w:val="000222DA"/>
    <w:rsid w:val="000222FC"/>
    <w:rsid w:val="0002235D"/>
    <w:rsid w:val="00022456"/>
    <w:rsid w:val="00022506"/>
    <w:rsid w:val="00022558"/>
    <w:rsid w:val="0002262F"/>
    <w:rsid w:val="00022666"/>
    <w:rsid w:val="000227DA"/>
    <w:rsid w:val="000228A7"/>
    <w:rsid w:val="00022A07"/>
    <w:rsid w:val="00022B10"/>
    <w:rsid w:val="00022C3E"/>
    <w:rsid w:val="00022D3B"/>
    <w:rsid w:val="00022D8D"/>
    <w:rsid w:val="00023310"/>
    <w:rsid w:val="000233B7"/>
    <w:rsid w:val="0002341D"/>
    <w:rsid w:val="000235A1"/>
    <w:rsid w:val="0002374C"/>
    <w:rsid w:val="00023796"/>
    <w:rsid w:val="0002379D"/>
    <w:rsid w:val="00023879"/>
    <w:rsid w:val="000238B4"/>
    <w:rsid w:val="00023B10"/>
    <w:rsid w:val="00023BBE"/>
    <w:rsid w:val="00023D61"/>
    <w:rsid w:val="00023DE0"/>
    <w:rsid w:val="00023E9B"/>
    <w:rsid w:val="00024047"/>
    <w:rsid w:val="00024213"/>
    <w:rsid w:val="000242F3"/>
    <w:rsid w:val="00024412"/>
    <w:rsid w:val="00024447"/>
    <w:rsid w:val="0002447B"/>
    <w:rsid w:val="000244C3"/>
    <w:rsid w:val="000244E7"/>
    <w:rsid w:val="00024577"/>
    <w:rsid w:val="000247E7"/>
    <w:rsid w:val="0002496A"/>
    <w:rsid w:val="000249A3"/>
    <w:rsid w:val="00024B7F"/>
    <w:rsid w:val="00024C98"/>
    <w:rsid w:val="00024D38"/>
    <w:rsid w:val="00024DA5"/>
    <w:rsid w:val="00024F03"/>
    <w:rsid w:val="00025050"/>
    <w:rsid w:val="000250BF"/>
    <w:rsid w:val="0002527E"/>
    <w:rsid w:val="000252EA"/>
    <w:rsid w:val="000253E5"/>
    <w:rsid w:val="00025478"/>
    <w:rsid w:val="000256A9"/>
    <w:rsid w:val="00025738"/>
    <w:rsid w:val="000257C4"/>
    <w:rsid w:val="00025847"/>
    <w:rsid w:val="000258E8"/>
    <w:rsid w:val="00025C72"/>
    <w:rsid w:val="00025E7C"/>
    <w:rsid w:val="00025EBB"/>
    <w:rsid w:val="00025F09"/>
    <w:rsid w:val="000260A2"/>
    <w:rsid w:val="00026133"/>
    <w:rsid w:val="0002635B"/>
    <w:rsid w:val="00026433"/>
    <w:rsid w:val="00026511"/>
    <w:rsid w:val="000268E1"/>
    <w:rsid w:val="00026947"/>
    <w:rsid w:val="00026950"/>
    <w:rsid w:val="00026998"/>
    <w:rsid w:val="000269BA"/>
    <w:rsid w:val="00026B60"/>
    <w:rsid w:val="00026E3F"/>
    <w:rsid w:val="00026EFE"/>
    <w:rsid w:val="00027182"/>
    <w:rsid w:val="0002721E"/>
    <w:rsid w:val="00027258"/>
    <w:rsid w:val="00027462"/>
    <w:rsid w:val="000274B3"/>
    <w:rsid w:val="000275F3"/>
    <w:rsid w:val="00027954"/>
    <w:rsid w:val="00027975"/>
    <w:rsid w:val="000279A5"/>
    <w:rsid w:val="00027A2D"/>
    <w:rsid w:val="00027AAE"/>
    <w:rsid w:val="00027AF6"/>
    <w:rsid w:val="00027B0D"/>
    <w:rsid w:val="00027B92"/>
    <w:rsid w:val="00027C5D"/>
    <w:rsid w:val="00027C73"/>
    <w:rsid w:val="00027CAE"/>
    <w:rsid w:val="00027D9A"/>
    <w:rsid w:val="00027DF0"/>
    <w:rsid w:val="00030213"/>
    <w:rsid w:val="000302E1"/>
    <w:rsid w:val="000302FD"/>
    <w:rsid w:val="000305A0"/>
    <w:rsid w:val="0003061A"/>
    <w:rsid w:val="0003065E"/>
    <w:rsid w:val="00030681"/>
    <w:rsid w:val="00030682"/>
    <w:rsid w:val="000307D8"/>
    <w:rsid w:val="00030869"/>
    <w:rsid w:val="000308B6"/>
    <w:rsid w:val="00030908"/>
    <w:rsid w:val="000309F9"/>
    <w:rsid w:val="00030F8F"/>
    <w:rsid w:val="00031024"/>
    <w:rsid w:val="00031130"/>
    <w:rsid w:val="000314A0"/>
    <w:rsid w:val="000315AB"/>
    <w:rsid w:val="00031612"/>
    <w:rsid w:val="00031679"/>
    <w:rsid w:val="0003168D"/>
    <w:rsid w:val="00031906"/>
    <w:rsid w:val="0003197B"/>
    <w:rsid w:val="000319B2"/>
    <w:rsid w:val="00031D32"/>
    <w:rsid w:val="00031D57"/>
    <w:rsid w:val="00031D83"/>
    <w:rsid w:val="00031D8A"/>
    <w:rsid w:val="00031EC7"/>
    <w:rsid w:val="000321E0"/>
    <w:rsid w:val="0003221D"/>
    <w:rsid w:val="00032232"/>
    <w:rsid w:val="00032266"/>
    <w:rsid w:val="0003230B"/>
    <w:rsid w:val="00032330"/>
    <w:rsid w:val="000323F2"/>
    <w:rsid w:val="000325D2"/>
    <w:rsid w:val="000325DD"/>
    <w:rsid w:val="000325F1"/>
    <w:rsid w:val="00032875"/>
    <w:rsid w:val="0003294A"/>
    <w:rsid w:val="000329FE"/>
    <w:rsid w:val="00032C61"/>
    <w:rsid w:val="00032FA1"/>
    <w:rsid w:val="00033205"/>
    <w:rsid w:val="00033267"/>
    <w:rsid w:val="000334B7"/>
    <w:rsid w:val="000335BB"/>
    <w:rsid w:val="000336BE"/>
    <w:rsid w:val="00033711"/>
    <w:rsid w:val="0003382D"/>
    <w:rsid w:val="0003384E"/>
    <w:rsid w:val="00033981"/>
    <w:rsid w:val="00033ADD"/>
    <w:rsid w:val="00033C36"/>
    <w:rsid w:val="00033DF5"/>
    <w:rsid w:val="00034181"/>
    <w:rsid w:val="000341A4"/>
    <w:rsid w:val="00034210"/>
    <w:rsid w:val="0003421C"/>
    <w:rsid w:val="0003442A"/>
    <w:rsid w:val="000345CE"/>
    <w:rsid w:val="00034684"/>
    <w:rsid w:val="000346DE"/>
    <w:rsid w:val="000347CC"/>
    <w:rsid w:val="00034846"/>
    <w:rsid w:val="000348B0"/>
    <w:rsid w:val="000348F2"/>
    <w:rsid w:val="00034A96"/>
    <w:rsid w:val="00034F02"/>
    <w:rsid w:val="00034F5F"/>
    <w:rsid w:val="00034FCE"/>
    <w:rsid w:val="00035141"/>
    <w:rsid w:val="000351A9"/>
    <w:rsid w:val="000352E4"/>
    <w:rsid w:val="000353CE"/>
    <w:rsid w:val="00035459"/>
    <w:rsid w:val="00035509"/>
    <w:rsid w:val="000357FA"/>
    <w:rsid w:val="0003587B"/>
    <w:rsid w:val="0003589F"/>
    <w:rsid w:val="00035AB4"/>
    <w:rsid w:val="00035ABA"/>
    <w:rsid w:val="00035BA0"/>
    <w:rsid w:val="00035C66"/>
    <w:rsid w:val="00035E06"/>
    <w:rsid w:val="00035F5F"/>
    <w:rsid w:val="00035F6E"/>
    <w:rsid w:val="00036233"/>
    <w:rsid w:val="000362AF"/>
    <w:rsid w:val="0003647A"/>
    <w:rsid w:val="00036525"/>
    <w:rsid w:val="00036570"/>
    <w:rsid w:val="000365AE"/>
    <w:rsid w:val="000366A5"/>
    <w:rsid w:val="00036710"/>
    <w:rsid w:val="000368AE"/>
    <w:rsid w:val="00036A15"/>
    <w:rsid w:val="00036B93"/>
    <w:rsid w:val="00036EB3"/>
    <w:rsid w:val="00036F9E"/>
    <w:rsid w:val="00037027"/>
    <w:rsid w:val="000370C1"/>
    <w:rsid w:val="000370CE"/>
    <w:rsid w:val="00037220"/>
    <w:rsid w:val="000373AB"/>
    <w:rsid w:val="000373C6"/>
    <w:rsid w:val="00037528"/>
    <w:rsid w:val="00037802"/>
    <w:rsid w:val="00037829"/>
    <w:rsid w:val="00037839"/>
    <w:rsid w:val="0003792A"/>
    <w:rsid w:val="00037A90"/>
    <w:rsid w:val="00037B28"/>
    <w:rsid w:val="00037BAD"/>
    <w:rsid w:val="00037BC2"/>
    <w:rsid w:val="00037BD7"/>
    <w:rsid w:val="00037CF2"/>
    <w:rsid w:val="00037E86"/>
    <w:rsid w:val="00037F84"/>
    <w:rsid w:val="00037FA1"/>
    <w:rsid w:val="000382D6"/>
    <w:rsid w:val="00040089"/>
    <w:rsid w:val="000401A3"/>
    <w:rsid w:val="00040260"/>
    <w:rsid w:val="000402B2"/>
    <w:rsid w:val="000402DF"/>
    <w:rsid w:val="000402F0"/>
    <w:rsid w:val="00040454"/>
    <w:rsid w:val="000404C8"/>
    <w:rsid w:val="0004052B"/>
    <w:rsid w:val="0004065A"/>
    <w:rsid w:val="000407E5"/>
    <w:rsid w:val="000409B2"/>
    <w:rsid w:val="00040A04"/>
    <w:rsid w:val="00040B61"/>
    <w:rsid w:val="00040D0D"/>
    <w:rsid w:val="00040D65"/>
    <w:rsid w:val="00040D7A"/>
    <w:rsid w:val="00040D8B"/>
    <w:rsid w:val="00040E1D"/>
    <w:rsid w:val="00041025"/>
    <w:rsid w:val="0004102C"/>
    <w:rsid w:val="00041062"/>
    <w:rsid w:val="000411CF"/>
    <w:rsid w:val="0004146B"/>
    <w:rsid w:val="00041527"/>
    <w:rsid w:val="000415D7"/>
    <w:rsid w:val="00041894"/>
    <w:rsid w:val="00041918"/>
    <w:rsid w:val="00041922"/>
    <w:rsid w:val="0004199F"/>
    <w:rsid w:val="00041A26"/>
    <w:rsid w:val="00041ABA"/>
    <w:rsid w:val="00041B13"/>
    <w:rsid w:val="00041FA6"/>
    <w:rsid w:val="00041FCA"/>
    <w:rsid w:val="00041FD9"/>
    <w:rsid w:val="00042003"/>
    <w:rsid w:val="000420C6"/>
    <w:rsid w:val="00042152"/>
    <w:rsid w:val="0004224B"/>
    <w:rsid w:val="000422BE"/>
    <w:rsid w:val="000423DD"/>
    <w:rsid w:val="0004246E"/>
    <w:rsid w:val="00042619"/>
    <w:rsid w:val="000428B0"/>
    <w:rsid w:val="00042936"/>
    <w:rsid w:val="000429AD"/>
    <w:rsid w:val="00042A63"/>
    <w:rsid w:val="00042AE6"/>
    <w:rsid w:val="00042AF4"/>
    <w:rsid w:val="00043065"/>
    <w:rsid w:val="000430D1"/>
    <w:rsid w:val="00043291"/>
    <w:rsid w:val="00043451"/>
    <w:rsid w:val="000434C9"/>
    <w:rsid w:val="00043545"/>
    <w:rsid w:val="0004367B"/>
    <w:rsid w:val="000436F2"/>
    <w:rsid w:val="00043886"/>
    <w:rsid w:val="0004388C"/>
    <w:rsid w:val="00043B78"/>
    <w:rsid w:val="00043BE6"/>
    <w:rsid w:val="00043D7E"/>
    <w:rsid w:val="00043E43"/>
    <w:rsid w:val="00043FC3"/>
    <w:rsid w:val="00044023"/>
    <w:rsid w:val="000440B6"/>
    <w:rsid w:val="00044170"/>
    <w:rsid w:val="00044177"/>
    <w:rsid w:val="0004418F"/>
    <w:rsid w:val="00044230"/>
    <w:rsid w:val="000442CB"/>
    <w:rsid w:val="00044391"/>
    <w:rsid w:val="00044393"/>
    <w:rsid w:val="000444DB"/>
    <w:rsid w:val="000445C7"/>
    <w:rsid w:val="00044751"/>
    <w:rsid w:val="000447B3"/>
    <w:rsid w:val="0004493D"/>
    <w:rsid w:val="00044942"/>
    <w:rsid w:val="00044A3D"/>
    <w:rsid w:val="00044BE5"/>
    <w:rsid w:val="00044F0C"/>
    <w:rsid w:val="00044FA6"/>
    <w:rsid w:val="00044FC9"/>
    <w:rsid w:val="00045001"/>
    <w:rsid w:val="0004548A"/>
    <w:rsid w:val="00045832"/>
    <w:rsid w:val="00045847"/>
    <w:rsid w:val="000459A9"/>
    <w:rsid w:val="000459DF"/>
    <w:rsid w:val="00045AE7"/>
    <w:rsid w:val="00045B24"/>
    <w:rsid w:val="00045B88"/>
    <w:rsid w:val="00045BA4"/>
    <w:rsid w:val="00045EB7"/>
    <w:rsid w:val="00045F0C"/>
    <w:rsid w:val="00045F63"/>
    <w:rsid w:val="000460A9"/>
    <w:rsid w:val="0004613D"/>
    <w:rsid w:val="00046287"/>
    <w:rsid w:val="00046311"/>
    <w:rsid w:val="00046561"/>
    <w:rsid w:val="000465C4"/>
    <w:rsid w:val="000465DC"/>
    <w:rsid w:val="0004666C"/>
    <w:rsid w:val="000467E1"/>
    <w:rsid w:val="000467FF"/>
    <w:rsid w:val="0004695C"/>
    <w:rsid w:val="0004696A"/>
    <w:rsid w:val="00046AD2"/>
    <w:rsid w:val="00046BF3"/>
    <w:rsid w:val="00046C2A"/>
    <w:rsid w:val="00046CFA"/>
    <w:rsid w:val="00046D12"/>
    <w:rsid w:val="00046D58"/>
    <w:rsid w:val="00046E50"/>
    <w:rsid w:val="00046FE2"/>
    <w:rsid w:val="00047070"/>
    <w:rsid w:val="00047126"/>
    <w:rsid w:val="00047591"/>
    <w:rsid w:val="00047927"/>
    <w:rsid w:val="00047A8C"/>
    <w:rsid w:val="00047B1D"/>
    <w:rsid w:val="00047B99"/>
    <w:rsid w:val="00047C3F"/>
    <w:rsid w:val="00047CED"/>
    <w:rsid w:val="00047DA0"/>
    <w:rsid w:val="00047E27"/>
    <w:rsid w:val="00047F2E"/>
    <w:rsid w:val="000500CD"/>
    <w:rsid w:val="0005018F"/>
    <w:rsid w:val="000501D3"/>
    <w:rsid w:val="000503C2"/>
    <w:rsid w:val="000503E9"/>
    <w:rsid w:val="00050592"/>
    <w:rsid w:val="0005060A"/>
    <w:rsid w:val="00050722"/>
    <w:rsid w:val="00050887"/>
    <w:rsid w:val="000508C1"/>
    <w:rsid w:val="00050971"/>
    <w:rsid w:val="00050AC1"/>
    <w:rsid w:val="00050BEF"/>
    <w:rsid w:val="00050C56"/>
    <w:rsid w:val="00050CDB"/>
    <w:rsid w:val="00050D0B"/>
    <w:rsid w:val="00050D38"/>
    <w:rsid w:val="00050EE6"/>
    <w:rsid w:val="00050FCE"/>
    <w:rsid w:val="00051017"/>
    <w:rsid w:val="00051045"/>
    <w:rsid w:val="000517D4"/>
    <w:rsid w:val="000518F5"/>
    <w:rsid w:val="000519C9"/>
    <w:rsid w:val="000519F7"/>
    <w:rsid w:val="00051BE7"/>
    <w:rsid w:val="00051CAB"/>
    <w:rsid w:val="00051DD3"/>
    <w:rsid w:val="00051E23"/>
    <w:rsid w:val="00051E8B"/>
    <w:rsid w:val="0005205C"/>
    <w:rsid w:val="00052090"/>
    <w:rsid w:val="000522E9"/>
    <w:rsid w:val="000523F2"/>
    <w:rsid w:val="00052416"/>
    <w:rsid w:val="000524DE"/>
    <w:rsid w:val="0005256A"/>
    <w:rsid w:val="000529B0"/>
    <w:rsid w:val="00052AA8"/>
    <w:rsid w:val="00052BEB"/>
    <w:rsid w:val="00052D04"/>
    <w:rsid w:val="00052E7A"/>
    <w:rsid w:val="000532D1"/>
    <w:rsid w:val="00053607"/>
    <w:rsid w:val="00053678"/>
    <w:rsid w:val="000536DA"/>
    <w:rsid w:val="0005375C"/>
    <w:rsid w:val="000537B0"/>
    <w:rsid w:val="000537CB"/>
    <w:rsid w:val="00053924"/>
    <w:rsid w:val="000539B7"/>
    <w:rsid w:val="00053B85"/>
    <w:rsid w:val="00053E35"/>
    <w:rsid w:val="00053EBD"/>
    <w:rsid w:val="00053EE8"/>
    <w:rsid w:val="00053F32"/>
    <w:rsid w:val="00053FC0"/>
    <w:rsid w:val="000541B7"/>
    <w:rsid w:val="0005438D"/>
    <w:rsid w:val="0005444C"/>
    <w:rsid w:val="00054553"/>
    <w:rsid w:val="0005474E"/>
    <w:rsid w:val="00054848"/>
    <w:rsid w:val="000548CB"/>
    <w:rsid w:val="000549BC"/>
    <w:rsid w:val="000549E0"/>
    <w:rsid w:val="00054ADB"/>
    <w:rsid w:val="00054B06"/>
    <w:rsid w:val="00054E54"/>
    <w:rsid w:val="00054E97"/>
    <w:rsid w:val="00054EDC"/>
    <w:rsid w:val="00055013"/>
    <w:rsid w:val="000550BB"/>
    <w:rsid w:val="0005530E"/>
    <w:rsid w:val="000554BC"/>
    <w:rsid w:val="00055581"/>
    <w:rsid w:val="00055617"/>
    <w:rsid w:val="0005575B"/>
    <w:rsid w:val="00055797"/>
    <w:rsid w:val="000558D1"/>
    <w:rsid w:val="00055A5B"/>
    <w:rsid w:val="00055A97"/>
    <w:rsid w:val="00055AF8"/>
    <w:rsid w:val="00055B25"/>
    <w:rsid w:val="00055B41"/>
    <w:rsid w:val="00055B50"/>
    <w:rsid w:val="00055C3B"/>
    <w:rsid w:val="00055CB7"/>
    <w:rsid w:val="00055DAE"/>
    <w:rsid w:val="00055E95"/>
    <w:rsid w:val="00055F96"/>
    <w:rsid w:val="0005600A"/>
    <w:rsid w:val="0005620B"/>
    <w:rsid w:val="00056230"/>
    <w:rsid w:val="000562FE"/>
    <w:rsid w:val="00056414"/>
    <w:rsid w:val="00056448"/>
    <w:rsid w:val="00056498"/>
    <w:rsid w:val="00056559"/>
    <w:rsid w:val="000565BE"/>
    <w:rsid w:val="00056701"/>
    <w:rsid w:val="0005681B"/>
    <w:rsid w:val="00056917"/>
    <w:rsid w:val="000569D2"/>
    <w:rsid w:val="000569E3"/>
    <w:rsid w:val="00056B1E"/>
    <w:rsid w:val="00056B4F"/>
    <w:rsid w:val="00056BDD"/>
    <w:rsid w:val="00056D32"/>
    <w:rsid w:val="00056D7E"/>
    <w:rsid w:val="00056E24"/>
    <w:rsid w:val="00056F10"/>
    <w:rsid w:val="00056F1C"/>
    <w:rsid w:val="00056F5B"/>
    <w:rsid w:val="00056F78"/>
    <w:rsid w:val="00056F8E"/>
    <w:rsid w:val="00057086"/>
    <w:rsid w:val="000571CD"/>
    <w:rsid w:val="000571E9"/>
    <w:rsid w:val="0005734B"/>
    <w:rsid w:val="0005741E"/>
    <w:rsid w:val="000574EA"/>
    <w:rsid w:val="000575D1"/>
    <w:rsid w:val="00057633"/>
    <w:rsid w:val="000576F4"/>
    <w:rsid w:val="00057726"/>
    <w:rsid w:val="000578F6"/>
    <w:rsid w:val="000579E9"/>
    <w:rsid w:val="00057A4D"/>
    <w:rsid w:val="00057AE3"/>
    <w:rsid w:val="00057B7F"/>
    <w:rsid w:val="00057B84"/>
    <w:rsid w:val="00057CC8"/>
    <w:rsid w:val="00057E2B"/>
    <w:rsid w:val="00057F4A"/>
    <w:rsid w:val="00057F55"/>
    <w:rsid w:val="00057FBA"/>
    <w:rsid w:val="00060097"/>
    <w:rsid w:val="0006011E"/>
    <w:rsid w:val="00060579"/>
    <w:rsid w:val="0006063D"/>
    <w:rsid w:val="00060682"/>
    <w:rsid w:val="0006068F"/>
    <w:rsid w:val="000606EF"/>
    <w:rsid w:val="00060704"/>
    <w:rsid w:val="00060718"/>
    <w:rsid w:val="00060771"/>
    <w:rsid w:val="00060982"/>
    <w:rsid w:val="00060AAE"/>
    <w:rsid w:val="00060BC2"/>
    <w:rsid w:val="00060D93"/>
    <w:rsid w:val="00060DFB"/>
    <w:rsid w:val="00060F8F"/>
    <w:rsid w:val="00060FFC"/>
    <w:rsid w:val="000611D0"/>
    <w:rsid w:val="000611DD"/>
    <w:rsid w:val="00061274"/>
    <w:rsid w:val="000612EB"/>
    <w:rsid w:val="000613D3"/>
    <w:rsid w:val="0006155C"/>
    <w:rsid w:val="00061759"/>
    <w:rsid w:val="000617AB"/>
    <w:rsid w:val="00061A29"/>
    <w:rsid w:val="00061A83"/>
    <w:rsid w:val="00061ABD"/>
    <w:rsid w:val="00061EC7"/>
    <w:rsid w:val="00061FBE"/>
    <w:rsid w:val="00061FC4"/>
    <w:rsid w:val="00062031"/>
    <w:rsid w:val="0006213D"/>
    <w:rsid w:val="0006223E"/>
    <w:rsid w:val="0006241E"/>
    <w:rsid w:val="0006258A"/>
    <w:rsid w:val="000625FD"/>
    <w:rsid w:val="00062691"/>
    <w:rsid w:val="00062AC8"/>
    <w:rsid w:val="00062C1C"/>
    <w:rsid w:val="00062CEF"/>
    <w:rsid w:val="00062D20"/>
    <w:rsid w:val="00062DF5"/>
    <w:rsid w:val="00062EFD"/>
    <w:rsid w:val="00063249"/>
    <w:rsid w:val="00063266"/>
    <w:rsid w:val="0006327C"/>
    <w:rsid w:val="000632C2"/>
    <w:rsid w:val="00063430"/>
    <w:rsid w:val="00063434"/>
    <w:rsid w:val="00063511"/>
    <w:rsid w:val="00063578"/>
    <w:rsid w:val="0006359E"/>
    <w:rsid w:val="000636DB"/>
    <w:rsid w:val="0006380F"/>
    <w:rsid w:val="000638B9"/>
    <w:rsid w:val="00063A82"/>
    <w:rsid w:val="00063C5B"/>
    <w:rsid w:val="00063C97"/>
    <w:rsid w:val="00063DD6"/>
    <w:rsid w:val="0006404D"/>
    <w:rsid w:val="000640D2"/>
    <w:rsid w:val="000640DF"/>
    <w:rsid w:val="00064228"/>
    <w:rsid w:val="0006466B"/>
    <w:rsid w:val="00064B07"/>
    <w:rsid w:val="00064B86"/>
    <w:rsid w:val="00064C65"/>
    <w:rsid w:val="00064D1B"/>
    <w:rsid w:val="00064D4A"/>
    <w:rsid w:val="00064E7A"/>
    <w:rsid w:val="00064EE2"/>
    <w:rsid w:val="00064F27"/>
    <w:rsid w:val="00064F57"/>
    <w:rsid w:val="00064FB3"/>
    <w:rsid w:val="00065073"/>
    <w:rsid w:val="000651B0"/>
    <w:rsid w:val="000651EA"/>
    <w:rsid w:val="0006527E"/>
    <w:rsid w:val="00065332"/>
    <w:rsid w:val="000654CC"/>
    <w:rsid w:val="000654D0"/>
    <w:rsid w:val="00065514"/>
    <w:rsid w:val="0006555B"/>
    <w:rsid w:val="000655BD"/>
    <w:rsid w:val="000655D2"/>
    <w:rsid w:val="000657E3"/>
    <w:rsid w:val="00065816"/>
    <w:rsid w:val="0006592E"/>
    <w:rsid w:val="00065D77"/>
    <w:rsid w:val="00065D8D"/>
    <w:rsid w:val="00065DCC"/>
    <w:rsid w:val="000660BF"/>
    <w:rsid w:val="000661EC"/>
    <w:rsid w:val="000662F6"/>
    <w:rsid w:val="000663D3"/>
    <w:rsid w:val="00066546"/>
    <w:rsid w:val="000667BB"/>
    <w:rsid w:val="000669A7"/>
    <w:rsid w:val="00066AFD"/>
    <w:rsid w:val="00066C25"/>
    <w:rsid w:val="00066CDE"/>
    <w:rsid w:val="00066CF5"/>
    <w:rsid w:val="000670C5"/>
    <w:rsid w:val="00067150"/>
    <w:rsid w:val="000672A4"/>
    <w:rsid w:val="00067334"/>
    <w:rsid w:val="000674D1"/>
    <w:rsid w:val="0006756B"/>
    <w:rsid w:val="000675D4"/>
    <w:rsid w:val="00067651"/>
    <w:rsid w:val="00067705"/>
    <w:rsid w:val="000677BA"/>
    <w:rsid w:val="00067803"/>
    <w:rsid w:val="000679A0"/>
    <w:rsid w:val="00067A7B"/>
    <w:rsid w:val="00067B06"/>
    <w:rsid w:val="00067B7B"/>
    <w:rsid w:val="00067F4E"/>
    <w:rsid w:val="00070047"/>
    <w:rsid w:val="00070078"/>
    <w:rsid w:val="000700F4"/>
    <w:rsid w:val="0007022D"/>
    <w:rsid w:val="00070303"/>
    <w:rsid w:val="0007035A"/>
    <w:rsid w:val="00070541"/>
    <w:rsid w:val="000705C4"/>
    <w:rsid w:val="000706C9"/>
    <w:rsid w:val="000707B1"/>
    <w:rsid w:val="000708A5"/>
    <w:rsid w:val="00070A31"/>
    <w:rsid w:val="00070B03"/>
    <w:rsid w:val="00070D41"/>
    <w:rsid w:val="00071005"/>
    <w:rsid w:val="000711EC"/>
    <w:rsid w:val="000711F4"/>
    <w:rsid w:val="00071208"/>
    <w:rsid w:val="00071475"/>
    <w:rsid w:val="0007161F"/>
    <w:rsid w:val="000717A8"/>
    <w:rsid w:val="000717B6"/>
    <w:rsid w:val="000717C2"/>
    <w:rsid w:val="00071801"/>
    <w:rsid w:val="000718A2"/>
    <w:rsid w:val="000718F7"/>
    <w:rsid w:val="0007193B"/>
    <w:rsid w:val="00071DB2"/>
    <w:rsid w:val="00071F80"/>
    <w:rsid w:val="00071F85"/>
    <w:rsid w:val="00071FA0"/>
    <w:rsid w:val="00072016"/>
    <w:rsid w:val="000720E1"/>
    <w:rsid w:val="0007216D"/>
    <w:rsid w:val="000721CB"/>
    <w:rsid w:val="000723BA"/>
    <w:rsid w:val="000723CB"/>
    <w:rsid w:val="000725F0"/>
    <w:rsid w:val="00072613"/>
    <w:rsid w:val="0007266D"/>
    <w:rsid w:val="00072769"/>
    <w:rsid w:val="00072778"/>
    <w:rsid w:val="00072809"/>
    <w:rsid w:val="00072819"/>
    <w:rsid w:val="000729BC"/>
    <w:rsid w:val="00072A12"/>
    <w:rsid w:val="00072A33"/>
    <w:rsid w:val="00072A67"/>
    <w:rsid w:val="00072B0B"/>
    <w:rsid w:val="00072C87"/>
    <w:rsid w:val="00072CAE"/>
    <w:rsid w:val="00072DAD"/>
    <w:rsid w:val="00072DEC"/>
    <w:rsid w:val="00072E04"/>
    <w:rsid w:val="00072FEB"/>
    <w:rsid w:val="0007320E"/>
    <w:rsid w:val="0007327A"/>
    <w:rsid w:val="00073286"/>
    <w:rsid w:val="00073433"/>
    <w:rsid w:val="000735E1"/>
    <w:rsid w:val="00073785"/>
    <w:rsid w:val="00073A91"/>
    <w:rsid w:val="00073C5A"/>
    <w:rsid w:val="00073C8F"/>
    <w:rsid w:val="00073D50"/>
    <w:rsid w:val="00073D56"/>
    <w:rsid w:val="00073E46"/>
    <w:rsid w:val="00073EB4"/>
    <w:rsid w:val="00073FE7"/>
    <w:rsid w:val="0007408F"/>
    <w:rsid w:val="00074431"/>
    <w:rsid w:val="00074485"/>
    <w:rsid w:val="00074553"/>
    <w:rsid w:val="000747B8"/>
    <w:rsid w:val="0007480B"/>
    <w:rsid w:val="00074994"/>
    <w:rsid w:val="00074F53"/>
    <w:rsid w:val="00074FA7"/>
    <w:rsid w:val="0007509B"/>
    <w:rsid w:val="000751CF"/>
    <w:rsid w:val="000751E0"/>
    <w:rsid w:val="000751F0"/>
    <w:rsid w:val="0007544B"/>
    <w:rsid w:val="00075500"/>
    <w:rsid w:val="000755D3"/>
    <w:rsid w:val="0007572F"/>
    <w:rsid w:val="00075942"/>
    <w:rsid w:val="000759BD"/>
    <w:rsid w:val="00075CA3"/>
    <w:rsid w:val="00075D04"/>
    <w:rsid w:val="00075F44"/>
    <w:rsid w:val="00076068"/>
    <w:rsid w:val="000760F7"/>
    <w:rsid w:val="0007613A"/>
    <w:rsid w:val="0007617D"/>
    <w:rsid w:val="00076200"/>
    <w:rsid w:val="0007621D"/>
    <w:rsid w:val="0007624E"/>
    <w:rsid w:val="0007633A"/>
    <w:rsid w:val="00076360"/>
    <w:rsid w:val="00076652"/>
    <w:rsid w:val="0007676B"/>
    <w:rsid w:val="0007677F"/>
    <w:rsid w:val="000768E1"/>
    <w:rsid w:val="00076988"/>
    <w:rsid w:val="000769A4"/>
    <w:rsid w:val="00076AED"/>
    <w:rsid w:val="00076C2B"/>
    <w:rsid w:val="00076CF6"/>
    <w:rsid w:val="00076D6B"/>
    <w:rsid w:val="00076FC5"/>
    <w:rsid w:val="00077021"/>
    <w:rsid w:val="00077186"/>
    <w:rsid w:val="00077259"/>
    <w:rsid w:val="00077328"/>
    <w:rsid w:val="0007767A"/>
    <w:rsid w:val="000777D3"/>
    <w:rsid w:val="0007784C"/>
    <w:rsid w:val="00077A22"/>
    <w:rsid w:val="00077EA8"/>
    <w:rsid w:val="00077ECF"/>
    <w:rsid w:val="00077EF6"/>
    <w:rsid w:val="00077F04"/>
    <w:rsid w:val="00077F08"/>
    <w:rsid w:val="00080040"/>
    <w:rsid w:val="00080134"/>
    <w:rsid w:val="00080254"/>
    <w:rsid w:val="000802F9"/>
    <w:rsid w:val="00080328"/>
    <w:rsid w:val="00080410"/>
    <w:rsid w:val="000805B7"/>
    <w:rsid w:val="000805E6"/>
    <w:rsid w:val="00080891"/>
    <w:rsid w:val="000808A1"/>
    <w:rsid w:val="000808DE"/>
    <w:rsid w:val="00080B6C"/>
    <w:rsid w:val="00080BB8"/>
    <w:rsid w:val="00080C2A"/>
    <w:rsid w:val="00080CDE"/>
    <w:rsid w:val="00081132"/>
    <w:rsid w:val="00081195"/>
    <w:rsid w:val="0008143D"/>
    <w:rsid w:val="00081566"/>
    <w:rsid w:val="00081615"/>
    <w:rsid w:val="000816EE"/>
    <w:rsid w:val="000817E0"/>
    <w:rsid w:val="00081C51"/>
    <w:rsid w:val="00081DDC"/>
    <w:rsid w:val="00081FBA"/>
    <w:rsid w:val="00082043"/>
    <w:rsid w:val="0008223B"/>
    <w:rsid w:val="00082401"/>
    <w:rsid w:val="00082559"/>
    <w:rsid w:val="000825AB"/>
    <w:rsid w:val="00082654"/>
    <w:rsid w:val="000826C4"/>
    <w:rsid w:val="00082767"/>
    <w:rsid w:val="00082A98"/>
    <w:rsid w:val="00082ABE"/>
    <w:rsid w:val="00083170"/>
    <w:rsid w:val="00083331"/>
    <w:rsid w:val="000835F7"/>
    <w:rsid w:val="00083619"/>
    <w:rsid w:val="00083762"/>
    <w:rsid w:val="000837C9"/>
    <w:rsid w:val="00083851"/>
    <w:rsid w:val="000838B5"/>
    <w:rsid w:val="000838C2"/>
    <w:rsid w:val="00083987"/>
    <w:rsid w:val="000839F5"/>
    <w:rsid w:val="00083A52"/>
    <w:rsid w:val="00083B5E"/>
    <w:rsid w:val="00083B99"/>
    <w:rsid w:val="00083D76"/>
    <w:rsid w:val="00083DFF"/>
    <w:rsid w:val="00083E9F"/>
    <w:rsid w:val="0008408E"/>
    <w:rsid w:val="0008428B"/>
    <w:rsid w:val="000842F0"/>
    <w:rsid w:val="0008440E"/>
    <w:rsid w:val="00084603"/>
    <w:rsid w:val="000846EB"/>
    <w:rsid w:val="0008484B"/>
    <w:rsid w:val="00084870"/>
    <w:rsid w:val="00084983"/>
    <w:rsid w:val="00084989"/>
    <w:rsid w:val="000849D6"/>
    <w:rsid w:val="000849E4"/>
    <w:rsid w:val="00084B5D"/>
    <w:rsid w:val="00084B72"/>
    <w:rsid w:val="00084D0A"/>
    <w:rsid w:val="00084D3C"/>
    <w:rsid w:val="00084E37"/>
    <w:rsid w:val="00084EC8"/>
    <w:rsid w:val="00084FED"/>
    <w:rsid w:val="00085018"/>
    <w:rsid w:val="00085197"/>
    <w:rsid w:val="000851A6"/>
    <w:rsid w:val="000852F9"/>
    <w:rsid w:val="00085325"/>
    <w:rsid w:val="00085334"/>
    <w:rsid w:val="00085440"/>
    <w:rsid w:val="00085508"/>
    <w:rsid w:val="00085911"/>
    <w:rsid w:val="00085A88"/>
    <w:rsid w:val="00085AC4"/>
    <w:rsid w:val="00085BFA"/>
    <w:rsid w:val="00085C88"/>
    <w:rsid w:val="00085E3C"/>
    <w:rsid w:val="00085EA9"/>
    <w:rsid w:val="00085F2D"/>
    <w:rsid w:val="00086069"/>
    <w:rsid w:val="000862EA"/>
    <w:rsid w:val="00086434"/>
    <w:rsid w:val="0008648F"/>
    <w:rsid w:val="000864DA"/>
    <w:rsid w:val="00086521"/>
    <w:rsid w:val="0008654B"/>
    <w:rsid w:val="00086761"/>
    <w:rsid w:val="00086850"/>
    <w:rsid w:val="000869B2"/>
    <w:rsid w:val="00086AE3"/>
    <w:rsid w:val="00086C5C"/>
    <w:rsid w:val="00086D20"/>
    <w:rsid w:val="00086EEE"/>
    <w:rsid w:val="00086F2C"/>
    <w:rsid w:val="00086F87"/>
    <w:rsid w:val="00086FEA"/>
    <w:rsid w:val="00087278"/>
    <w:rsid w:val="0008739E"/>
    <w:rsid w:val="00087409"/>
    <w:rsid w:val="000874AB"/>
    <w:rsid w:val="00087595"/>
    <w:rsid w:val="00087765"/>
    <w:rsid w:val="00087827"/>
    <w:rsid w:val="00087A13"/>
    <w:rsid w:val="00087A19"/>
    <w:rsid w:val="00087A87"/>
    <w:rsid w:val="00087E12"/>
    <w:rsid w:val="00087E48"/>
    <w:rsid w:val="00090214"/>
    <w:rsid w:val="00090226"/>
    <w:rsid w:val="0009036B"/>
    <w:rsid w:val="000904FB"/>
    <w:rsid w:val="00090685"/>
    <w:rsid w:val="000906C5"/>
    <w:rsid w:val="00090771"/>
    <w:rsid w:val="000907BE"/>
    <w:rsid w:val="00090816"/>
    <w:rsid w:val="00090977"/>
    <w:rsid w:val="00090D8B"/>
    <w:rsid w:val="000914F2"/>
    <w:rsid w:val="0009169B"/>
    <w:rsid w:val="00091842"/>
    <w:rsid w:val="00091940"/>
    <w:rsid w:val="00091973"/>
    <w:rsid w:val="00091AEB"/>
    <w:rsid w:val="00091C00"/>
    <w:rsid w:val="00091CB6"/>
    <w:rsid w:val="00091D60"/>
    <w:rsid w:val="00091D77"/>
    <w:rsid w:val="00091F7B"/>
    <w:rsid w:val="000920B0"/>
    <w:rsid w:val="00092388"/>
    <w:rsid w:val="000923F9"/>
    <w:rsid w:val="0009249C"/>
    <w:rsid w:val="0009254B"/>
    <w:rsid w:val="00092661"/>
    <w:rsid w:val="000927D0"/>
    <w:rsid w:val="00092801"/>
    <w:rsid w:val="0009281D"/>
    <w:rsid w:val="000928B1"/>
    <w:rsid w:val="00092914"/>
    <w:rsid w:val="0009291F"/>
    <w:rsid w:val="00092952"/>
    <w:rsid w:val="00092988"/>
    <w:rsid w:val="00092BF3"/>
    <w:rsid w:val="00092FFD"/>
    <w:rsid w:val="00093005"/>
    <w:rsid w:val="00093070"/>
    <w:rsid w:val="00093083"/>
    <w:rsid w:val="0009319D"/>
    <w:rsid w:val="00093230"/>
    <w:rsid w:val="00093244"/>
    <w:rsid w:val="0009325A"/>
    <w:rsid w:val="000933EA"/>
    <w:rsid w:val="000935AA"/>
    <w:rsid w:val="000936BB"/>
    <w:rsid w:val="0009379F"/>
    <w:rsid w:val="000937A0"/>
    <w:rsid w:val="00093B9C"/>
    <w:rsid w:val="00093DC6"/>
    <w:rsid w:val="00093E37"/>
    <w:rsid w:val="0009417E"/>
    <w:rsid w:val="000945A8"/>
    <w:rsid w:val="000947CC"/>
    <w:rsid w:val="000948A9"/>
    <w:rsid w:val="000949DE"/>
    <w:rsid w:val="00094A2E"/>
    <w:rsid w:val="00094B7A"/>
    <w:rsid w:val="00094BDB"/>
    <w:rsid w:val="00094DDB"/>
    <w:rsid w:val="00094FAD"/>
    <w:rsid w:val="0009502D"/>
    <w:rsid w:val="0009504D"/>
    <w:rsid w:val="00095266"/>
    <w:rsid w:val="0009530E"/>
    <w:rsid w:val="0009536F"/>
    <w:rsid w:val="0009547E"/>
    <w:rsid w:val="0009556D"/>
    <w:rsid w:val="0009569C"/>
    <w:rsid w:val="000956B5"/>
    <w:rsid w:val="00095751"/>
    <w:rsid w:val="0009596C"/>
    <w:rsid w:val="00095AF4"/>
    <w:rsid w:val="00095B1F"/>
    <w:rsid w:val="00095B25"/>
    <w:rsid w:val="00095BE0"/>
    <w:rsid w:val="00095C64"/>
    <w:rsid w:val="0009602D"/>
    <w:rsid w:val="00096042"/>
    <w:rsid w:val="000961F8"/>
    <w:rsid w:val="00096452"/>
    <w:rsid w:val="0009648E"/>
    <w:rsid w:val="000964D1"/>
    <w:rsid w:val="000965FD"/>
    <w:rsid w:val="00096601"/>
    <w:rsid w:val="000967EA"/>
    <w:rsid w:val="00096813"/>
    <w:rsid w:val="00096896"/>
    <w:rsid w:val="00096981"/>
    <w:rsid w:val="00096BA5"/>
    <w:rsid w:val="00096D8C"/>
    <w:rsid w:val="00096DC1"/>
    <w:rsid w:val="00096DF4"/>
    <w:rsid w:val="00096E78"/>
    <w:rsid w:val="00096FFC"/>
    <w:rsid w:val="0009719B"/>
    <w:rsid w:val="000972EE"/>
    <w:rsid w:val="00097426"/>
    <w:rsid w:val="000975E2"/>
    <w:rsid w:val="000976CB"/>
    <w:rsid w:val="0009778D"/>
    <w:rsid w:val="000977F4"/>
    <w:rsid w:val="00097948"/>
    <w:rsid w:val="00097A50"/>
    <w:rsid w:val="00097B06"/>
    <w:rsid w:val="00097B4A"/>
    <w:rsid w:val="00097CA9"/>
    <w:rsid w:val="00097DE9"/>
    <w:rsid w:val="00097E3D"/>
    <w:rsid w:val="00097EC8"/>
    <w:rsid w:val="00097F1F"/>
    <w:rsid w:val="000A0197"/>
    <w:rsid w:val="000A01C6"/>
    <w:rsid w:val="000A031A"/>
    <w:rsid w:val="000A0340"/>
    <w:rsid w:val="000A03E0"/>
    <w:rsid w:val="000A0488"/>
    <w:rsid w:val="000A05B0"/>
    <w:rsid w:val="000A06CB"/>
    <w:rsid w:val="000A077A"/>
    <w:rsid w:val="000A0894"/>
    <w:rsid w:val="000A08B4"/>
    <w:rsid w:val="000A08DB"/>
    <w:rsid w:val="000A0AC9"/>
    <w:rsid w:val="000A0AE4"/>
    <w:rsid w:val="000A0BA0"/>
    <w:rsid w:val="000A106D"/>
    <w:rsid w:val="000A1250"/>
    <w:rsid w:val="000A1438"/>
    <w:rsid w:val="000A1472"/>
    <w:rsid w:val="000A14ED"/>
    <w:rsid w:val="000A15FF"/>
    <w:rsid w:val="000A160B"/>
    <w:rsid w:val="000A1665"/>
    <w:rsid w:val="000A1797"/>
    <w:rsid w:val="000A186C"/>
    <w:rsid w:val="000A1970"/>
    <w:rsid w:val="000A1992"/>
    <w:rsid w:val="000A19C6"/>
    <w:rsid w:val="000A1A70"/>
    <w:rsid w:val="000A1ADC"/>
    <w:rsid w:val="000A1C4E"/>
    <w:rsid w:val="000A1C93"/>
    <w:rsid w:val="000A1CA6"/>
    <w:rsid w:val="000A1D7C"/>
    <w:rsid w:val="000A1D8F"/>
    <w:rsid w:val="000A1EDB"/>
    <w:rsid w:val="000A20EC"/>
    <w:rsid w:val="000A21BE"/>
    <w:rsid w:val="000A22F0"/>
    <w:rsid w:val="000A2340"/>
    <w:rsid w:val="000A23C6"/>
    <w:rsid w:val="000A24E7"/>
    <w:rsid w:val="000A24F3"/>
    <w:rsid w:val="000A25DE"/>
    <w:rsid w:val="000A26B4"/>
    <w:rsid w:val="000A2708"/>
    <w:rsid w:val="000A2B2B"/>
    <w:rsid w:val="000A2BD0"/>
    <w:rsid w:val="000A2D94"/>
    <w:rsid w:val="000A31CB"/>
    <w:rsid w:val="000A3583"/>
    <w:rsid w:val="000A3739"/>
    <w:rsid w:val="000A37C7"/>
    <w:rsid w:val="000A37C9"/>
    <w:rsid w:val="000A382E"/>
    <w:rsid w:val="000A38B5"/>
    <w:rsid w:val="000A3C4A"/>
    <w:rsid w:val="000A3DBD"/>
    <w:rsid w:val="000A3E95"/>
    <w:rsid w:val="000A3F60"/>
    <w:rsid w:val="000A3F7C"/>
    <w:rsid w:val="000A3F9A"/>
    <w:rsid w:val="000A3FD3"/>
    <w:rsid w:val="000A3FD7"/>
    <w:rsid w:val="000A4028"/>
    <w:rsid w:val="000A4085"/>
    <w:rsid w:val="000A40E0"/>
    <w:rsid w:val="000A43A8"/>
    <w:rsid w:val="000A480B"/>
    <w:rsid w:val="000A4885"/>
    <w:rsid w:val="000A49F5"/>
    <w:rsid w:val="000A4B9A"/>
    <w:rsid w:val="000A4CB8"/>
    <w:rsid w:val="000A4F3E"/>
    <w:rsid w:val="000A4F41"/>
    <w:rsid w:val="000A50D6"/>
    <w:rsid w:val="000A5199"/>
    <w:rsid w:val="000A51B7"/>
    <w:rsid w:val="000A526E"/>
    <w:rsid w:val="000A52AE"/>
    <w:rsid w:val="000A52D7"/>
    <w:rsid w:val="000A537A"/>
    <w:rsid w:val="000A549B"/>
    <w:rsid w:val="000A57C7"/>
    <w:rsid w:val="000A58A0"/>
    <w:rsid w:val="000A591A"/>
    <w:rsid w:val="000A59E1"/>
    <w:rsid w:val="000A5C84"/>
    <w:rsid w:val="000A5D0E"/>
    <w:rsid w:val="000A5D1C"/>
    <w:rsid w:val="000A5D86"/>
    <w:rsid w:val="000A6171"/>
    <w:rsid w:val="000A63E9"/>
    <w:rsid w:val="000A653E"/>
    <w:rsid w:val="000A6797"/>
    <w:rsid w:val="000A690D"/>
    <w:rsid w:val="000A6A3C"/>
    <w:rsid w:val="000A6C1B"/>
    <w:rsid w:val="000A6CFF"/>
    <w:rsid w:val="000A6DEA"/>
    <w:rsid w:val="000A6EB6"/>
    <w:rsid w:val="000A6F04"/>
    <w:rsid w:val="000A6F1D"/>
    <w:rsid w:val="000A6F85"/>
    <w:rsid w:val="000A7014"/>
    <w:rsid w:val="000A71A8"/>
    <w:rsid w:val="000A71AD"/>
    <w:rsid w:val="000A71D7"/>
    <w:rsid w:val="000A722A"/>
    <w:rsid w:val="000A765F"/>
    <w:rsid w:val="000A7860"/>
    <w:rsid w:val="000A786C"/>
    <w:rsid w:val="000A7924"/>
    <w:rsid w:val="000A79DA"/>
    <w:rsid w:val="000A7CDA"/>
    <w:rsid w:val="000A7CDC"/>
    <w:rsid w:val="000A7D56"/>
    <w:rsid w:val="000A7F3A"/>
    <w:rsid w:val="000A7FE5"/>
    <w:rsid w:val="000B0011"/>
    <w:rsid w:val="000B0016"/>
    <w:rsid w:val="000B0176"/>
    <w:rsid w:val="000B0198"/>
    <w:rsid w:val="000B027A"/>
    <w:rsid w:val="000B0285"/>
    <w:rsid w:val="000B0315"/>
    <w:rsid w:val="000B0487"/>
    <w:rsid w:val="000B048E"/>
    <w:rsid w:val="000B04F3"/>
    <w:rsid w:val="000B0514"/>
    <w:rsid w:val="000B0878"/>
    <w:rsid w:val="000B08D8"/>
    <w:rsid w:val="000B09D8"/>
    <w:rsid w:val="000B0A71"/>
    <w:rsid w:val="000B0A7D"/>
    <w:rsid w:val="000B0A88"/>
    <w:rsid w:val="000B0ABB"/>
    <w:rsid w:val="000B0CC6"/>
    <w:rsid w:val="000B0D32"/>
    <w:rsid w:val="000B0DCA"/>
    <w:rsid w:val="000B0DF7"/>
    <w:rsid w:val="000B0F28"/>
    <w:rsid w:val="000B121F"/>
    <w:rsid w:val="000B1426"/>
    <w:rsid w:val="000B1458"/>
    <w:rsid w:val="000B15D0"/>
    <w:rsid w:val="000B16A6"/>
    <w:rsid w:val="000B1732"/>
    <w:rsid w:val="000B1770"/>
    <w:rsid w:val="000B18BD"/>
    <w:rsid w:val="000B19D6"/>
    <w:rsid w:val="000B1D95"/>
    <w:rsid w:val="000B1DDD"/>
    <w:rsid w:val="000B1F2C"/>
    <w:rsid w:val="000B2362"/>
    <w:rsid w:val="000B240D"/>
    <w:rsid w:val="000B2774"/>
    <w:rsid w:val="000B29F6"/>
    <w:rsid w:val="000B2A4E"/>
    <w:rsid w:val="000B2AB1"/>
    <w:rsid w:val="000B2D51"/>
    <w:rsid w:val="000B2D9F"/>
    <w:rsid w:val="000B2DED"/>
    <w:rsid w:val="000B2E9A"/>
    <w:rsid w:val="000B2F01"/>
    <w:rsid w:val="000B2F4E"/>
    <w:rsid w:val="000B307A"/>
    <w:rsid w:val="000B311E"/>
    <w:rsid w:val="000B3139"/>
    <w:rsid w:val="000B314D"/>
    <w:rsid w:val="000B31C5"/>
    <w:rsid w:val="000B3290"/>
    <w:rsid w:val="000B3300"/>
    <w:rsid w:val="000B333F"/>
    <w:rsid w:val="000B335B"/>
    <w:rsid w:val="000B3384"/>
    <w:rsid w:val="000B3513"/>
    <w:rsid w:val="000B35E7"/>
    <w:rsid w:val="000B36B9"/>
    <w:rsid w:val="000B373C"/>
    <w:rsid w:val="000B38E5"/>
    <w:rsid w:val="000B3ADC"/>
    <w:rsid w:val="000B3B6E"/>
    <w:rsid w:val="000B3C25"/>
    <w:rsid w:val="000B3D1E"/>
    <w:rsid w:val="000B3D4B"/>
    <w:rsid w:val="000B3EF9"/>
    <w:rsid w:val="000B3F49"/>
    <w:rsid w:val="000B3FA4"/>
    <w:rsid w:val="000B40E5"/>
    <w:rsid w:val="000B40F5"/>
    <w:rsid w:val="000B4101"/>
    <w:rsid w:val="000B4102"/>
    <w:rsid w:val="000B4195"/>
    <w:rsid w:val="000B42CA"/>
    <w:rsid w:val="000B4398"/>
    <w:rsid w:val="000B448B"/>
    <w:rsid w:val="000B4603"/>
    <w:rsid w:val="000B478D"/>
    <w:rsid w:val="000B4798"/>
    <w:rsid w:val="000B47D7"/>
    <w:rsid w:val="000B4852"/>
    <w:rsid w:val="000B4858"/>
    <w:rsid w:val="000B48B3"/>
    <w:rsid w:val="000B4909"/>
    <w:rsid w:val="000B49A1"/>
    <w:rsid w:val="000B4A7E"/>
    <w:rsid w:val="000B4B0B"/>
    <w:rsid w:val="000B4C62"/>
    <w:rsid w:val="000B4CE8"/>
    <w:rsid w:val="000B4E08"/>
    <w:rsid w:val="000B4F83"/>
    <w:rsid w:val="000B5024"/>
    <w:rsid w:val="000B511C"/>
    <w:rsid w:val="000B51B7"/>
    <w:rsid w:val="000B52A1"/>
    <w:rsid w:val="000B538C"/>
    <w:rsid w:val="000B53B5"/>
    <w:rsid w:val="000B54E5"/>
    <w:rsid w:val="000B54FB"/>
    <w:rsid w:val="000B552A"/>
    <w:rsid w:val="000B5571"/>
    <w:rsid w:val="000B55C7"/>
    <w:rsid w:val="000B55F9"/>
    <w:rsid w:val="000B585D"/>
    <w:rsid w:val="000B5A6E"/>
    <w:rsid w:val="000B5B6F"/>
    <w:rsid w:val="000B5E20"/>
    <w:rsid w:val="000B5E62"/>
    <w:rsid w:val="000B5E80"/>
    <w:rsid w:val="000B5F6B"/>
    <w:rsid w:val="000B6047"/>
    <w:rsid w:val="000B608B"/>
    <w:rsid w:val="000B61F1"/>
    <w:rsid w:val="000B62E0"/>
    <w:rsid w:val="000B6338"/>
    <w:rsid w:val="000B635C"/>
    <w:rsid w:val="000B63AA"/>
    <w:rsid w:val="000B6447"/>
    <w:rsid w:val="000B648E"/>
    <w:rsid w:val="000B65E7"/>
    <w:rsid w:val="000B6612"/>
    <w:rsid w:val="000B68C1"/>
    <w:rsid w:val="000B6936"/>
    <w:rsid w:val="000B6A4D"/>
    <w:rsid w:val="000B6B1E"/>
    <w:rsid w:val="000B6C44"/>
    <w:rsid w:val="000B6CD5"/>
    <w:rsid w:val="000B6D56"/>
    <w:rsid w:val="000B6D74"/>
    <w:rsid w:val="000B6FF9"/>
    <w:rsid w:val="000B706C"/>
    <w:rsid w:val="000B7105"/>
    <w:rsid w:val="000B71FE"/>
    <w:rsid w:val="000B739F"/>
    <w:rsid w:val="000B73A5"/>
    <w:rsid w:val="000B7514"/>
    <w:rsid w:val="000B7890"/>
    <w:rsid w:val="000B78A4"/>
    <w:rsid w:val="000B7AB1"/>
    <w:rsid w:val="000B7B55"/>
    <w:rsid w:val="000B7C94"/>
    <w:rsid w:val="000B7CB5"/>
    <w:rsid w:val="000B7CE8"/>
    <w:rsid w:val="000B7D29"/>
    <w:rsid w:val="000B7E03"/>
    <w:rsid w:val="000B7E87"/>
    <w:rsid w:val="000B7F4F"/>
    <w:rsid w:val="000B7F84"/>
    <w:rsid w:val="000C01BA"/>
    <w:rsid w:val="000C01ED"/>
    <w:rsid w:val="000C0231"/>
    <w:rsid w:val="000C055B"/>
    <w:rsid w:val="000C058E"/>
    <w:rsid w:val="000C065C"/>
    <w:rsid w:val="000C0766"/>
    <w:rsid w:val="000C0822"/>
    <w:rsid w:val="000C0840"/>
    <w:rsid w:val="000C0841"/>
    <w:rsid w:val="000C0860"/>
    <w:rsid w:val="000C0864"/>
    <w:rsid w:val="000C0A54"/>
    <w:rsid w:val="000C0A89"/>
    <w:rsid w:val="000C0AF1"/>
    <w:rsid w:val="000C0EA7"/>
    <w:rsid w:val="000C10B3"/>
    <w:rsid w:val="000C112C"/>
    <w:rsid w:val="000C11DB"/>
    <w:rsid w:val="000C151D"/>
    <w:rsid w:val="000C15CB"/>
    <w:rsid w:val="000C1678"/>
    <w:rsid w:val="000C1743"/>
    <w:rsid w:val="000C1C40"/>
    <w:rsid w:val="000C1CA1"/>
    <w:rsid w:val="000C1F52"/>
    <w:rsid w:val="000C1F82"/>
    <w:rsid w:val="000C1F96"/>
    <w:rsid w:val="000C2095"/>
    <w:rsid w:val="000C2143"/>
    <w:rsid w:val="000C2147"/>
    <w:rsid w:val="000C235D"/>
    <w:rsid w:val="000C23D9"/>
    <w:rsid w:val="000C2428"/>
    <w:rsid w:val="000C2442"/>
    <w:rsid w:val="000C24EF"/>
    <w:rsid w:val="000C267C"/>
    <w:rsid w:val="000C2764"/>
    <w:rsid w:val="000C29F8"/>
    <w:rsid w:val="000C2A83"/>
    <w:rsid w:val="000C2A8D"/>
    <w:rsid w:val="000C2AE4"/>
    <w:rsid w:val="000C2BFA"/>
    <w:rsid w:val="000C2D21"/>
    <w:rsid w:val="000C2DD3"/>
    <w:rsid w:val="000C2E45"/>
    <w:rsid w:val="000C2F36"/>
    <w:rsid w:val="000C2F7F"/>
    <w:rsid w:val="000C308E"/>
    <w:rsid w:val="000C310D"/>
    <w:rsid w:val="000C334F"/>
    <w:rsid w:val="000C359A"/>
    <w:rsid w:val="000C3696"/>
    <w:rsid w:val="000C3B2B"/>
    <w:rsid w:val="000C3C8F"/>
    <w:rsid w:val="000C3CC9"/>
    <w:rsid w:val="000C3D00"/>
    <w:rsid w:val="000C3E0C"/>
    <w:rsid w:val="000C3F02"/>
    <w:rsid w:val="000C403F"/>
    <w:rsid w:val="000C40FC"/>
    <w:rsid w:val="000C4189"/>
    <w:rsid w:val="000C43DE"/>
    <w:rsid w:val="000C455F"/>
    <w:rsid w:val="000C46E4"/>
    <w:rsid w:val="000C4781"/>
    <w:rsid w:val="000C4873"/>
    <w:rsid w:val="000C499F"/>
    <w:rsid w:val="000C49E0"/>
    <w:rsid w:val="000C4AB9"/>
    <w:rsid w:val="000C4B67"/>
    <w:rsid w:val="000C4BB7"/>
    <w:rsid w:val="000C4BF7"/>
    <w:rsid w:val="000C4C53"/>
    <w:rsid w:val="000C4E50"/>
    <w:rsid w:val="000C4EC4"/>
    <w:rsid w:val="000C4FB4"/>
    <w:rsid w:val="000C4FCC"/>
    <w:rsid w:val="000C50FE"/>
    <w:rsid w:val="000C512A"/>
    <w:rsid w:val="000C529C"/>
    <w:rsid w:val="000C549E"/>
    <w:rsid w:val="000C5591"/>
    <w:rsid w:val="000C55F2"/>
    <w:rsid w:val="000C574E"/>
    <w:rsid w:val="000C5835"/>
    <w:rsid w:val="000C5AC2"/>
    <w:rsid w:val="000C5AC8"/>
    <w:rsid w:val="000C5F6C"/>
    <w:rsid w:val="000C6063"/>
    <w:rsid w:val="000C6125"/>
    <w:rsid w:val="000C6180"/>
    <w:rsid w:val="000C61FA"/>
    <w:rsid w:val="000C6224"/>
    <w:rsid w:val="000C633E"/>
    <w:rsid w:val="000C6381"/>
    <w:rsid w:val="000C641B"/>
    <w:rsid w:val="000C6430"/>
    <w:rsid w:val="000C668A"/>
    <w:rsid w:val="000C6BC1"/>
    <w:rsid w:val="000C6BF7"/>
    <w:rsid w:val="000C6CB6"/>
    <w:rsid w:val="000C6CBE"/>
    <w:rsid w:val="000C6CD1"/>
    <w:rsid w:val="000C6D12"/>
    <w:rsid w:val="000C6FC3"/>
    <w:rsid w:val="000C700C"/>
    <w:rsid w:val="000C71BA"/>
    <w:rsid w:val="000C73E6"/>
    <w:rsid w:val="000C742F"/>
    <w:rsid w:val="000C7543"/>
    <w:rsid w:val="000C754B"/>
    <w:rsid w:val="000C75A5"/>
    <w:rsid w:val="000C75C6"/>
    <w:rsid w:val="000C78BE"/>
    <w:rsid w:val="000C7A2F"/>
    <w:rsid w:val="000C7B27"/>
    <w:rsid w:val="000C7C84"/>
    <w:rsid w:val="000C7D80"/>
    <w:rsid w:val="000C7F07"/>
    <w:rsid w:val="000D020B"/>
    <w:rsid w:val="000D02CD"/>
    <w:rsid w:val="000D0357"/>
    <w:rsid w:val="000D0367"/>
    <w:rsid w:val="000D03C3"/>
    <w:rsid w:val="000D03C4"/>
    <w:rsid w:val="000D052B"/>
    <w:rsid w:val="000D063D"/>
    <w:rsid w:val="000D0778"/>
    <w:rsid w:val="000D0804"/>
    <w:rsid w:val="000D0901"/>
    <w:rsid w:val="000D0A75"/>
    <w:rsid w:val="000D0AEF"/>
    <w:rsid w:val="000D0BCA"/>
    <w:rsid w:val="000D0BDB"/>
    <w:rsid w:val="000D0CEF"/>
    <w:rsid w:val="000D0DA1"/>
    <w:rsid w:val="000D0E68"/>
    <w:rsid w:val="000D10F7"/>
    <w:rsid w:val="000D1188"/>
    <w:rsid w:val="000D15BE"/>
    <w:rsid w:val="000D185D"/>
    <w:rsid w:val="000D19FC"/>
    <w:rsid w:val="000D1B74"/>
    <w:rsid w:val="000D1C00"/>
    <w:rsid w:val="000D1C4C"/>
    <w:rsid w:val="000D1CD4"/>
    <w:rsid w:val="000D1D16"/>
    <w:rsid w:val="000D1DD8"/>
    <w:rsid w:val="000D1E4A"/>
    <w:rsid w:val="000D1E4C"/>
    <w:rsid w:val="000D20BA"/>
    <w:rsid w:val="000D2188"/>
    <w:rsid w:val="000D22E9"/>
    <w:rsid w:val="000D24B7"/>
    <w:rsid w:val="000D24DE"/>
    <w:rsid w:val="000D254C"/>
    <w:rsid w:val="000D282F"/>
    <w:rsid w:val="000D28D6"/>
    <w:rsid w:val="000D2A8F"/>
    <w:rsid w:val="000D2AEB"/>
    <w:rsid w:val="000D31B9"/>
    <w:rsid w:val="000D31D5"/>
    <w:rsid w:val="000D33A6"/>
    <w:rsid w:val="000D3559"/>
    <w:rsid w:val="000D3880"/>
    <w:rsid w:val="000D38D5"/>
    <w:rsid w:val="000D39FF"/>
    <w:rsid w:val="000D3B34"/>
    <w:rsid w:val="000D3B4B"/>
    <w:rsid w:val="000D3D0D"/>
    <w:rsid w:val="000D3DBF"/>
    <w:rsid w:val="000D3EBD"/>
    <w:rsid w:val="000D3FD4"/>
    <w:rsid w:val="000D4064"/>
    <w:rsid w:val="000D4207"/>
    <w:rsid w:val="000D43C1"/>
    <w:rsid w:val="000D44DA"/>
    <w:rsid w:val="000D455D"/>
    <w:rsid w:val="000D458F"/>
    <w:rsid w:val="000D45C5"/>
    <w:rsid w:val="000D4740"/>
    <w:rsid w:val="000D47F5"/>
    <w:rsid w:val="000D49A9"/>
    <w:rsid w:val="000D49B7"/>
    <w:rsid w:val="000D4AC3"/>
    <w:rsid w:val="000D4AFB"/>
    <w:rsid w:val="000D4D78"/>
    <w:rsid w:val="000D4DC0"/>
    <w:rsid w:val="000D4E65"/>
    <w:rsid w:val="000D4FB2"/>
    <w:rsid w:val="000D4FDC"/>
    <w:rsid w:val="000D5074"/>
    <w:rsid w:val="000D529A"/>
    <w:rsid w:val="000D5314"/>
    <w:rsid w:val="000D5469"/>
    <w:rsid w:val="000D549C"/>
    <w:rsid w:val="000D54C7"/>
    <w:rsid w:val="000D5642"/>
    <w:rsid w:val="000D565A"/>
    <w:rsid w:val="000D56CE"/>
    <w:rsid w:val="000D57BF"/>
    <w:rsid w:val="000D5ADD"/>
    <w:rsid w:val="000D5B59"/>
    <w:rsid w:val="000D5B9E"/>
    <w:rsid w:val="000D5CD3"/>
    <w:rsid w:val="000D5CDE"/>
    <w:rsid w:val="000D5E44"/>
    <w:rsid w:val="000D5E66"/>
    <w:rsid w:val="000D5E76"/>
    <w:rsid w:val="000D60F6"/>
    <w:rsid w:val="000D6246"/>
    <w:rsid w:val="000D630A"/>
    <w:rsid w:val="000D6376"/>
    <w:rsid w:val="000D638F"/>
    <w:rsid w:val="000D652B"/>
    <w:rsid w:val="000D66F7"/>
    <w:rsid w:val="000D674D"/>
    <w:rsid w:val="000D689F"/>
    <w:rsid w:val="000D69CB"/>
    <w:rsid w:val="000D6A8A"/>
    <w:rsid w:val="000D6B2A"/>
    <w:rsid w:val="000D6E30"/>
    <w:rsid w:val="000D6FC0"/>
    <w:rsid w:val="000D700E"/>
    <w:rsid w:val="000D7113"/>
    <w:rsid w:val="000D7123"/>
    <w:rsid w:val="000D71F6"/>
    <w:rsid w:val="000D728C"/>
    <w:rsid w:val="000D743F"/>
    <w:rsid w:val="000D7464"/>
    <w:rsid w:val="000D7500"/>
    <w:rsid w:val="000D763A"/>
    <w:rsid w:val="000D7694"/>
    <w:rsid w:val="000D76BC"/>
    <w:rsid w:val="000D77A9"/>
    <w:rsid w:val="000D784B"/>
    <w:rsid w:val="000D7871"/>
    <w:rsid w:val="000D7893"/>
    <w:rsid w:val="000D78AF"/>
    <w:rsid w:val="000D7A20"/>
    <w:rsid w:val="000D7BE1"/>
    <w:rsid w:val="000D7D7B"/>
    <w:rsid w:val="000D7F17"/>
    <w:rsid w:val="000E00AD"/>
    <w:rsid w:val="000E00B7"/>
    <w:rsid w:val="000E0180"/>
    <w:rsid w:val="000E0181"/>
    <w:rsid w:val="000E023F"/>
    <w:rsid w:val="000E07A3"/>
    <w:rsid w:val="000E0853"/>
    <w:rsid w:val="000E08C6"/>
    <w:rsid w:val="000E0910"/>
    <w:rsid w:val="000E09AC"/>
    <w:rsid w:val="000E0B0E"/>
    <w:rsid w:val="000E0C86"/>
    <w:rsid w:val="000E0DE7"/>
    <w:rsid w:val="000E1064"/>
    <w:rsid w:val="000E10E5"/>
    <w:rsid w:val="000E1118"/>
    <w:rsid w:val="000E11E4"/>
    <w:rsid w:val="000E127F"/>
    <w:rsid w:val="000E1330"/>
    <w:rsid w:val="000E145C"/>
    <w:rsid w:val="000E1488"/>
    <w:rsid w:val="000E157F"/>
    <w:rsid w:val="000E1596"/>
    <w:rsid w:val="000E1775"/>
    <w:rsid w:val="000E17A2"/>
    <w:rsid w:val="000E17CB"/>
    <w:rsid w:val="000E1890"/>
    <w:rsid w:val="000E1958"/>
    <w:rsid w:val="000E1A1B"/>
    <w:rsid w:val="000E1B6F"/>
    <w:rsid w:val="000E1B92"/>
    <w:rsid w:val="000E1C4C"/>
    <w:rsid w:val="000E1F26"/>
    <w:rsid w:val="000E2112"/>
    <w:rsid w:val="000E21C0"/>
    <w:rsid w:val="000E228F"/>
    <w:rsid w:val="000E2439"/>
    <w:rsid w:val="000E24C8"/>
    <w:rsid w:val="000E252F"/>
    <w:rsid w:val="000E2531"/>
    <w:rsid w:val="000E2794"/>
    <w:rsid w:val="000E299F"/>
    <w:rsid w:val="000E2C7F"/>
    <w:rsid w:val="000E2CDC"/>
    <w:rsid w:val="000E3023"/>
    <w:rsid w:val="000E302F"/>
    <w:rsid w:val="000E32EA"/>
    <w:rsid w:val="000E32F4"/>
    <w:rsid w:val="000E385B"/>
    <w:rsid w:val="000E38F5"/>
    <w:rsid w:val="000E3963"/>
    <w:rsid w:val="000E3968"/>
    <w:rsid w:val="000E39B1"/>
    <w:rsid w:val="000E39D9"/>
    <w:rsid w:val="000E3A12"/>
    <w:rsid w:val="000E3F03"/>
    <w:rsid w:val="000E3F90"/>
    <w:rsid w:val="000E419A"/>
    <w:rsid w:val="000E41AE"/>
    <w:rsid w:val="000E4221"/>
    <w:rsid w:val="000E43D7"/>
    <w:rsid w:val="000E443B"/>
    <w:rsid w:val="000E44D4"/>
    <w:rsid w:val="000E470C"/>
    <w:rsid w:val="000E4849"/>
    <w:rsid w:val="000E48BA"/>
    <w:rsid w:val="000E4932"/>
    <w:rsid w:val="000E49C3"/>
    <w:rsid w:val="000E4AA4"/>
    <w:rsid w:val="000E4AE3"/>
    <w:rsid w:val="000E4B48"/>
    <w:rsid w:val="000E4BA6"/>
    <w:rsid w:val="000E4BC8"/>
    <w:rsid w:val="000E4CC1"/>
    <w:rsid w:val="000E4DFC"/>
    <w:rsid w:val="000E4EE8"/>
    <w:rsid w:val="000E4FF2"/>
    <w:rsid w:val="000E5167"/>
    <w:rsid w:val="000E5488"/>
    <w:rsid w:val="000E54A8"/>
    <w:rsid w:val="000E5520"/>
    <w:rsid w:val="000E562A"/>
    <w:rsid w:val="000E57E5"/>
    <w:rsid w:val="000E58CA"/>
    <w:rsid w:val="000E59C5"/>
    <w:rsid w:val="000E5AB4"/>
    <w:rsid w:val="000E5ACA"/>
    <w:rsid w:val="000E5BC3"/>
    <w:rsid w:val="000E5D4C"/>
    <w:rsid w:val="000E5DA5"/>
    <w:rsid w:val="000E5DF1"/>
    <w:rsid w:val="000E5F2D"/>
    <w:rsid w:val="000E5FFC"/>
    <w:rsid w:val="000E616F"/>
    <w:rsid w:val="000E624E"/>
    <w:rsid w:val="000E6250"/>
    <w:rsid w:val="000E62C3"/>
    <w:rsid w:val="000E6A24"/>
    <w:rsid w:val="000E6AB2"/>
    <w:rsid w:val="000E6D09"/>
    <w:rsid w:val="000E6FA3"/>
    <w:rsid w:val="000E6FDB"/>
    <w:rsid w:val="000E7076"/>
    <w:rsid w:val="000E714E"/>
    <w:rsid w:val="000E7191"/>
    <w:rsid w:val="000E72E0"/>
    <w:rsid w:val="000E738C"/>
    <w:rsid w:val="000E73FC"/>
    <w:rsid w:val="000E74FF"/>
    <w:rsid w:val="000E7512"/>
    <w:rsid w:val="000E77B1"/>
    <w:rsid w:val="000E77D4"/>
    <w:rsid w:val="000E77E7"/>
    <w:rsid w:val="000E7954"/>
    <w:rsid w:val="000E79ED"/>
    <w:rsid w:val="000E7A65"/>
    <w:rsid w:val="000E7B63"/>
    <w:rsid w:val="000E7BD0"/>
    <w:rsid w:val="000E7BFA"/>
    <w:rsid w:val="000E7D39"/>
    <w:rsid w:val="000E7D60"/>
    <w:rsid w:val="000E7E61"/>
    <w:rsid w:val="000E7EED"/>
    <w:rsid w:val="000E7F02"/>
    <w:rsid w:val="000E7F16"/>
    <w:rsid w:val="000E7FA6"/>
    <w:rsid w:val="000F0121"/>
    <w:rsid w:val="000F02F4"/>
    <w:rsid w:val="000F05B8"/>
    <w:rsid w:val="000F0753"/>
    <w:rsid w:val="000F079E"/>
    <w:rsid w:val="000F09DD"/>
    <w:rsid w:val="000F0DF5"/>
    <w:rsid w:val="000F0EA4"/>
    <w:rsid w:val="000F13FD"/>
    <w:rsid w:val="000F1619"/>
    <w:rsid w:val="000F1724"/>
    <w:rsid w:val="000F1761"/>
    <w:rsid w:val="000F193B"/>
    <w:rsid w:val="000F1A4C"/>
    <w:rsid w:val="000F1A5D"/>
    <w:rsid w:val="000F1A92"/>
    <w:rsid w:val="000F1C05"/>
    <w:rsid w:val="000F1CD4"/>
    <w:rsid w:val="000F1D44"/>
    <w:rsid w:val="000F1D4E"/>
    <w:rsid w:val="000F1DDD"/>
    <w:rsid w:val="000F1DED"/>
    <w:rsid w:val="000F1E8F"/>
    <w:rsid w:val="000F1F2E"/>
    <w:rsid w:val="000F24A7"/>
    <w:rsid w:val="000F265A"/>
    <w:rsid w:val="000F2714"/>
    <w:rsid w:val="000F2734"/>
    <w:rsid w:val="000F2754"/>
    <w:rsid w:val="000F28DE"/>
    <w:rsid w:val="000F2A96"/>
    <w:rsid w:val="000F2B1F"/>
    <w:rsid w:val="000F2CD4"/>
    <w:rsid w:val="000F2D19"/>
    <w:rsid w:val="000F2D2D"/>
    <w:rsid w:val="000F2EC1"/>
    <w:rsid w:val="000F3028"/>
    <w:rsid w:val="000F30C1"/>
    <w:rsid w:val="000F316B"/>
    <w:rsid w:val="000F321B"/>
    <w:rsid w:val="000F3257"/>
    <w:rsid w:val="000F32D0"/>
    <w:rsid w:val="000F33E6"/>
    <w:rsid w:val="000F33E8"/>
    <w:rsid w:val="000F33EE"/>
    <w:rsid w:val="000F3699"/>
    <w:rsid w:val="000F36A6"/>
    <w:rsid w:val="000F3700"/>
    <w:rsid w:val="000F3807"/>
    <w:rsid w:val="000F38D0"/>
    <w:rsid w:val="000F39B1"/>
    <w:rsid w:val="000F39C8"/>
    <w:rsid w:val="000F3A22"/>
    <w:rsid w:val="000F3B34"/>
    <w:rsid w:val="000F3CDF"/>
    <w:rsid w:val="000F3FC4"/>
    <w:rsid w:val="000F3FDC"/>
    <w:rsid w:val="000F40D2"/>
    <w:rsid w:val="000F412D"/>
    <w:rsid w:val="000F4163"/>
    <w:rsid w:val="000F4185"/>
    <w:rsid w:val="000F41CA"/>
    <w:rsid w:val="000F4258"/>
    <w:rsid w:val="000F425C"/>
    <w:rsid w:val="000F449E"/>
    <w:rsid w:val="000F44B3"/>
    <w:rsid w:val="000F44B7"/>
    <w:rsid w:val="000F4598"/>
    <w:rsid w:val="000F4732"/>
    <w:rsid w:val="000F4733"/>
    <w:rsid w:val="000F4780"/>
    <w:rsid w:val="000F47BF"/>
    <w:rsid w:val="000F49BF"/>
    <w:rsid w:val="000F4F54"/>
    <w:rsid w:val="000F5298"/>
    <w:rsid w:val="000F52D1"/>
    <w:rsid w:val="000F5375"/>
    <w:rsid w:val="000F5465"/>
    <w:rsid w:val="000F54A5"/>
    <w:rsid w:val="000F54B6"/>
    <w:rsid w:val="000F54BB"/>
    <w:rsid w:val="000F54EE"/>
    <w:rsid w:val="000F55C5"/>
    <w:rsid w:val="000F572F"/>
    <w:rsid w:val="000F577B"/>
    <w:rsid w:val="000F5842"/>
    <w:rsid w:val="000F587E"/>
    <w:rsid w:val="000F58DD"/>
    <w:rsid w:val="000F5912"/>
    <w:rsid w:val="000F59EA"/>
    <w:rsid w:val="000F5A06"/>
    <w:rsid w:val="000F5AAA"/>
    <w:rsid w:val="000F5AC0"/>
    <w:rsid w:val="000F60B8"/>
    <w:rsid w:val="000F60F6"/>
    <w:rsid w:val="000F61A8"/>
    <w:rsid w:val="000F63D6"/>
    <w:rsid w:val="000F63D7"/>
    <w:rsid w:val="000F6741"/>
    <w:rsid w:val="000F67A1"/>
    <w:rsid w:val="000F67EE"/>
    <w:rsid w:val="000F69AF"/>
    <w:rsid w:val="000F6A9C"/>
    <w:rsid w:val="000F6B09"/>
    <w:rsid w:val="000F6CC3"/>
    <w:rsid w:val="000F70D2"/>
    <w:rsid w:val="000F70EE"/>
    <w:rsid w:val="000F7128"/>
    <w:rsid w:val="000F7173"/>
    <w:rsid w:val="000F7213"/>
    <w:rsid w:val="000F74B7"/>
    <w:rsid w:val="000F74C8"/>
    <w:rsid w:val="000F7629"/>
    <w:rsid w:val="000F762E"/>
    <w:rsid w:val="000F7703"/>
    <w:rsid w:val="000F773E"/>
    <w:rsid w:val="000F774A"/>
    <w:rsid w:val="000F7780"/>
    <w:rsid w:val="000F7A9D"/>
    <w:rsid w:val="000F7C78"/>
    <w:rsid w:val="000F7D1F"/>
    <w:rsid w:val="000F7D20"/>
    <w:rsid w:val="000F7D97"/>
    <w:rsid w:val="000F7E0A"/>
    <w:rsid w:val="000F7E43"/>
    <w:rsid w:val="000F7E95"/>
    <w:rsid w:val="000F7EE2"/>
    <w:rsid w:val="000F7FBE"/>
    <w:rsid w:val="001003AB"/>
    <w:rsid w:val="00100672"/>
    <w:rsid w:val="0010091B"/>
    <w:rsid w:val="00100A6D"/>
    <w:rsid w:val="00100B93"/>
    <w:rsid w:val="00100C5F"/>
    <w:rsid w:val="00100D6B"/>
    <w:rsid w:val="00100F47"/>
    <w:rsid w:val="00101137"/>
    <w:rsid w:val="00101168"/>
    <w:rsid w:val="001011C5"/>
    <w:rsid w:val="001012A0"/>
    <w:rsid w:val="001012AF"/>
    <w:rsid w:val="00101308"/>
    <w:rsid w:val="00101426"/>
    <w:rsid w:val="0010142C"/>
    <w:rsid w:val="00101478"/>
    <w:rsid w:val="0010152E"/>
    <w:rsid w:val="001015C9"/>
    <w:rsid w:val="00101693"/>
    <w:rsid w:val="001016F4"/>
    <w:rsid w:val="0010174C"/>
    <w:rsid w:val="001017B0"/>
    <w:rsid w:val="001018DA"/>
    <w:rsid w:val="00101930"/>
    <w:rsid w:val="001019A5"/>
    <w:rsid w:val="00101B2A"/>
    <w:rsid w:val="00101C0C"/>
    <w:rsid w:val="00101CC9"/>
    <w:rsid w:val="00101DBB"/>
    <w:rsid w:val="00101E0D"/>
    <w:rsid w:val="00101EA4"/>
    <w:rsid w:val="00102212"/>
    <w:rsid w:val="0010221C"/>
    <w:rsid w:val="00102428"/>
    <w:rsid w:val="001028AB"/>
    <w:rsid w:val="001028E5"/>
    <w:rsid w:val="00102A9A"/>
    <w:rsid w:val="00102D74"/>
    <w:rsid w:val="00102DA9"/>
    <w:rsid w:val="00102E06"/>
    <w:rsid w:val="00102E5B"/>
    <w:rsid w:val="00103337"/>
    <w:rsid w:val="00103786"/>
    <w:rsid w:val="001038B4"/>
    <w:rsid w:val="00103929"/>
    <w:rsid w:val="00103986"/>
    <w:rsid w:val="00103A0D"/>
    <w:rsid w:val="00103AE2"/>
    <w:rsid w:val="00103B78"/>
    <w:rsid w:val="00103C0C"/>
    <w:rsid w:val="00103CB7"/>
    <w:rsid w:val="00103CF7"/>
    <w:rsid w:val="00103DAA"/>
    <w:rsid w:val="001040C2"/>
    <w:rsid w:val="001040D2"/>
    <w:rsid w:val="00104212"/>
    <w:rsid w:val="001042E3"/>
    <w:rsid w:val="0010439B"/>
    <w:rsid w:val="001044C0"/>
    <w:rsid w:val="00104637"/>
    <w:rsid w:val="0010495E"/>
    <w:rsid w:val="001049CE"/>
    <w:rsid w:val="00104A30"/>
    <w:rsid w:val="00104AA4"/>
    <w:rsid w:val="00104AB2"/>
    <w:rsid w:val="00104AEA"/>
    <w:rsid w:val="00104C62"/>
    <w:rsid w:val="00104DA8"/>
    <w:rsid w:val="00104FE8"/>
    <w:rsid w:val="001050AA"/>
    <w:rsid w:val="0010516B"/>
    <w:rsid w:val="0010539A"/>
    <w:rsid w:val="00105519"/>
    <w:rsid w:val="001056B0"/>
    <w:rsid w:val="0010586A"/>
    <w:rsid w:val="001058CF"/>
    <w:rsid w:val="00105AED"/>
    <w:rsid w:val="00105C8E"/>
    <w:rsid w:val="00105DED"/>
    <w:rsid w:val="00105EBE"/>
    <w:rsid w:val="00105FB2"/>
    <w:rsid w:val="001060D3"/>
    <w:rsid w:val="0010618E"/>
    <w:rsid w:val="0010621F"/>
    <w:rsid w:val="001063E0"/>
    <w:rsid w:val="001064B6"/>
    <w:rsid w:val="001066B4"/>
    <w:rsid w:val="001067AC"/>
    <w:rsid w:val="001067BC"/>
    <w:rsid w:val="001067C5"/>
    <w:rsid w:val="0010684B"/>
    <w:rsid w:val="00106ACC"/>
    <w:rsid w:val="00106CCA"/>
    <w:rsid w:val="00106EFD"/>
    <w:rsid w:val="00106F37"/>
    <w:rsid w:val="0010704E"/>
    <w:rsid w:val="001070CE"/>
    <w:rsid w:val="00107101"/>
    <w:rsid w:val="001072ED"/>
    <w:rsid w:val="00107324"/>
    <w:rsid w:val="00107333"/>
    <w:rsid w:val="0010740D"/>
    <w:rsid w:val="00107615"/>
    <w:rsid w:val="00107664"/>
    <w:rsid w:val="0010769C"/>
    <w:rsid w:val="00107840"/>
    <w:rsid w:val="0010793D"/>
    <w:rsid w:val="001079B9"/>
    <w:rsid w:val="00107BA9"/>
    <w:rsid w:val="00107BEA"/>
    <w:rsid w:val="00107FCE"/>
    <w:rsid w:val="00110005"/>
    <w:rsid w:val="00110031"/>
    <w:rsid w:val="00110163"/>
    <w:rsid w:val="00110213"/>
    <w:rsid w:val="00110378"/>
    <w:rsid w:val="00110632"/>
    <w:rsid w:val="001106F3"/>
    <w:rsid w:val="00110749"/>
    <w:rsid w:val="0011075D"/>
    <w:rsid w:val="00110772"/>
    <w:rsid w:val="001107F3"/>
    <w:rsid w:val="0011084B"/>
    <w:rsid w:val="001108C6"/>
    <w:rsid w:val="00110940"/>
    <w:rsid w:val="0011097E"/>
    <w:rsid w:val="00110ECB"/>
    <w:rsid w:val="00110F05"/>
    <w:rsid w:val="00110F46"/>
    <w:rsid w:val="00110FA2"/>
    <w:rsid w:val="00111023"/>
    <w:rsid w:val="001111C2"/>
    <w:rsid w:val="00111369"/>
    <w:rsid w:val="00111554"/>
    <w:rsid w:val="00111633"/>
    <w:rsid w:val="00111699"/>
    <w:rsid w:val="001118CD"/>
    <w:rsid w:val="001118D3"/>
    <w:rsid w:val="00111976"/>
    <w:rsid w:val="00111C0F"/>
    <w:rsid w:val="00111E64"/>
    <w:rsid w:val="00111FD7"/>
    <w:rsid w:val="00112049"/>
    <w:rsid w:val="00112140"/>
    <w:rsid w:val="00112212"/>
    <w:rsid w:val="001122E5"/>
    <w:rsid w:val="00112450"/>
    <w:rsid w:val="001124CB"/>
    <w:rsid w:val="00112535"/>
    <w:rsid w:val="0011259F"/>
    <w:rsid w:val="00112883"/>
    <w:rsid w:val="001129D2"/>
    <w:rsid w:val="00112A58"/>
    <w:rsid w:val="00112A81"/>
    <w:rsid w:val="00112BB9"/>
    <w:rsid w:val="00112C3E"/>
    <w:rsid w:val="00112C60"/>
    <w:rsid w:val="00112CC1"/>
    <w:rsid w:val="00112D36"/>
    <w:rsid w:val="00112D97"/>
    <w:rsid w:val="00113026"/>
    <w:rsid w:val="001133BE"/>
    <w:rsid w:val="001133ED"/>
    <w:rsid w:val="00113435"/>
    <w:rsid w:val="001135BC"/>
    <w:rsid w:val="0011370B"/>
    <w:rsid w:val="00113770"/>
    <w:rsid w:val="0011380A"/>
    <w:rsid w:val="00113840"/>
    <w:rsid w:val="001138D9"/>
    <w:rsid w:val="00113940"/>
    <w:rsid w:val="0011399C"/>
    <w:rsid w:val="00113A1E"/>
    <w:rsid w:val="00113A5B"/>
    <w:rsid w:val="00113AC6"/>
    <w:rsid w:val="00113AE7"/>
    <w:rsid w:val="00113E05"/>
    <w:rsid w:val="00113E10"/>
    <w:rsid w:val="00113EC9"/>
    <w:rsid w:val="00113F09"/>
    <w:rsid w:val="001140B9"/>
    <w:rsid w:val="0011423F"/>
    <w:rsid w:val="00114274"/>
    <w:rsid w:val="001142F0"/>
    <w:rsid w:val="00114515"/>
    <w:rsid w:val="00114525"/>
    <w:rsid w:val="0011463F"/>
    <w:rsid w:val="0011486E"/>
    <w:rsid w:val="00114899"/>
    <w:rsid w:val="001148C3"/>
    <w:rsid w:val="0011493C"/>
    <w:rsid w:val="00114ABD"/>
    <w:rsid w:val="00114B86"/>
    <w:rsid w:val="00114F82"/>
    <w:rsid w:val="00114FB4"/>
    <w:rsid w:val="00115131"/>
    <w:rsid w:val="0011514D"/>
    <w:rsid w:val="00115214"/>
    <w:rsid w:val="0011548D"/>
    <w:rsid w:val="0011556B"/>
    <w:rsid w:val="001156D2"/>
    <w:rsid w:val="00115BC1"/>
    <w:rsid w:val="00115E16"/>
    <w:rsid w:val="00115F1F"/>
    <w:rsid w:val="0011614A"/>
    <w:rsid w:val="0011635D"/>
    <w:rsid w:val="00116465"/>
    <w:rsid w:val="00116563"/>
    <w:rsid w:val="00116931"/>
    <w:rsid w:val="0011693B"/>
    <w:rsid w:val="00116983"/>
    <w:rsid w:val="00116A56"/>
    <w:rsid w:val="00116C34"/>
    <w:rsid w:val="00116DBA"/>
    <w:rsid w:val="00116F25"/>
    <w:rsid w:val="00116F49"/>
    <w:rsid w:val="00116FEC"/>
    <w:rsid w:val="00117230"/>
    <w:rsid w:val="00117271"/>
    <w:rsid w:val="00117698"/>
    <w:rsid w:val="001176BB"/>
    <w:rsid w:val="001176EB"/>
    <w:rsid w:val="00117786"/>
    <w:rsid w:val="001178FB"/>
    <w:rsid w:val="00117A46"/>
    <w:rsid w:val="00117A5A"/>
    <w:rsid w:val="00117B94"/>
    <w:rsid w:val="00117D89"/>
    <w:rsid w:val="00117F24"/>
    <w:rsid w:val="00117F62"/>
    <w:rsid w:val="00117F88"/>
    <w:rsid w:val="00117F8E"/>
    <w:rsid w:val="00120059"/>
    <w:rsid w:val="0012010A"/>
    <w:rsid w:val="00120124"/>
    <w:rsid w:val="0012017E"/>
    <w:rsid w:val="00120192"/>
    <w:rsid w:val="001204D8"/>
    <w:rsid w:val="00120583"/>
    <w:rsid w:val="00120922"/>
    <w:rsid w:val="00120A79"/>
    <w:rsid w:val="00120C22"/>
    <w:rsid w:val="00120EB7"/>
    <w:rsid w:val="00120EDD"/>
    <w:rsid w:val="00120F79"/>
    <w:rsid w:val="0012115D"/>
    <w:rsid w:val="001211EE"/>
    <w:rsid w:val="001213E8"/>
    <w:rsid w:val="001214F5"/>
    <w:rsid w:val="00121551"/>
    <w:rsid w:val="00121718"/>
    <w:rsid w:val="00121751"/>
    <w:rsid w:val="00121769"/>
    <w:rsid w:val="001217C3"/>
    <w:rsid w:val="00121887"/>
    <w:rsid w:val="0012189D"/>
    <w:rsid w:val="00121BFC"/>
    <w:rsid w:val="00121C68"/>
    <w:rsid w:val="00121CA0"/>
    <w:rsid w:val="00121ED5"/>
    <w:rsid w:val="00122115"/>
    <w:rsid w:val="001221A0"/>
    <w:rsid w:val="0012236F"/>
    <w:rsid w:val="001223FD"/>
    <w:rsid w:val="00122572"/>
    <w:rsid w:val="00122640"/>
    <w:rsid w:val="001226B4"/>
    <w:rsid w:val="00122742"/>
    <w:rsid w:val="001227C9"/>
    <w:rsid w:val="00122A99"/>
    <w:rsid w:val="00122B49"/>
    <w:rsid w:val="00122D1D"/>
    <w:rsid w:val="00122D53"/>
    <w:rsid w:val="00122E97"/>
    <w:rsid w:val="00123018"/>
    <w:rsid w:val="001230E9"/>
    <w:rsid w:val="001230FB"/>
    <w:rsid w:val="001231DE"/>
    <w:rsid w:val="001232FE"/>
    <w:rsid w:val="00123360"/>
    <w:rsid w:val="0012361D"/>
    <w:rsid w:val="00123724"/>
    <w:rsid w:val="001238FC"/>
    <w:rsid w:val="00123983"/>
    <w:rsid w:val="001239A1"/>
    <w:rsid w:val="001239E9"/>
    <w:rsid w:val="00123A3A"/>
    <w:rsid w:val="00123AAD"/>
    <w:rsid w:val="00123C90"/>
    <w:rsid w:val="0012401F"/>
    <w:rsid w:val="00124048"/>
    <w:rsid w:val="00124175"/>
    <w:rsid w:val="001241A8"/>
    <w:rsid w:val="001241E1"/>
    <w:rsid w:val="0012423F"/>
    <w:rsid w:val="00124309"/>
    <w:rsid w:val="0012444E"/>
    <w:rsid w:val="001244DE"/>
    <w:rsid w:val="0012458D"/>
    <w:rsid w:val="001245BC"/>
    <w:rsid w:val="001246FC"/>
    <w:rsid w:val="00124BB5"/>
    <w:rsid w:val="00124C8B"/>
    <w:rsid w:val="00124DF9"/>
    <w:rsid w:val="00124E0C"/>
    <w:rsid w:val="00124FB0"/>
    <w:rsid w:val="00124FBF"/>
    <w:rsid w:val="001251DF"/>
    <w:rsid w:val="0012538B"/>
    <w:rsid w:val="001253A8"/>
    <w:rsid w:val="00125478"/>
    <w:rsid w:val="001254AC"/>
    <w:rsid w:val="001254F7"/>
    <w:rsid w:val="00125636"/>
    <w:rsid w:val="001256E6"/>
    <w:rsid w:val="00125726"/>
    <w:rsid w:val="001257DD"/>
    <w:rsid w:val="0012589D"/>
    <w:rsid w:val="00125C17"/>
    <w:rsid w:val="00125E0B"/>
    <w:rsid w:val="00125EDE"/>
    <w:rsid w:val="00125EE2"/>
    <w:rsid w:val="00125EE4"/>
    <w:rsid w:val="00126193"/>
    <w:rsid w:val="00126442"/>
    <w:rsid w:val="001265A1"/>
    <w:rsid w:val="00126647"/>
    <w:rsid w:val="001266AE"/>
    <w:rsid w:val="001267A1"/>
    <w:rsid w:val="00126A3F"/>
    <w:rsid w:val="00126A93"/>
    <w:rsid w:val="00126BAA"/>
    <w:rsid w:val="00126C25"/>
    <w:rsid w:val="00126CA5"/>
    <w:rsid w:val="001271CF"/>
    <w:rsid w:val="001272EE"/>
    <w:rsid w:val="001272F4"/>
    <w:rsid w:val="0012732B"/>
    <w:rsid w:val="00127358"/>
    <w:rsid w:val="001273F6"/>
    <w:rsid w:val="00127488"/>
    <w:rsid w:val="001274FE"/>
    <w:rsid w:val="0012752C"/>
    <w:rsid w:val="001275D4"/>
    <w:rsid w:val="00127850"/>
    <w:rsid w:val="001278BD"/>
    <w:rsid w:val="00127ACD"/>
    <w:rsid w:val="00127D2C"/>
    <w:rsid w:val="00127DF7"/>
    <w:rsid w:val="00127DFC"/>
    <w:rsid w:val="00127F1C"/>
    <w:rsid w:val="00127FE1"/>
    <w:rsid w:val="0013007F"/>
    <w:rsid w:val="001300C0"/>
    <w:rsid w:val="001300C6"/>
    <w:rsid w:val="001301ED"/>
    <w:rsid w:val="001302E2"/>
    <w:rsid w:val="0013064A"/>
    <w:rsid w:val="00130662"/>
    <w:rsid w:val="00130869"/>
    <w:rsid w:val="00130914"/>
    <w:rsid w:val="00130999"/>
    <w:rsid w:val="00130A12"/>
    <w:rsid w:val="00130A93"/>
    <w:rsid w:val="00130D44"/>
    <w:rsid w:val="00130D4B"/>
    <w:rsid w:val="00130DE0"/>
    <w:rsid w:val="00130E02"/>
    <w:rsid w:val="00130E07"/>
    <w:rsid w:val="00130E2F"/>
    <w:rsid w:val="00131021"/>
    <w:rsid w:val="00131072"/>
    <w:rsid w:val="001312EF"/>
    <w:rsid w:val="0013138B"/>
    <w:rsid w:val="0013146D"/>
    <w:rsid w:val="00131513"/>
    <w:rsid w:val="001315F6"/>
    <w:rsid w:val="00131657"/>
    <w:rsid w:val="001316BE"/>
    <w:rsid w:val="001317A1"/>
    <w:rsid w:val="001318F3"/>
    <w:rsid w:val="00131A72"/>
    <w:rsid w:val="00131A80"/>
    <w:rsid w:val="00131AF2"/>
    <w:rsid w:val="00131C07"/>
    <w:rsid w:val="00131C41"/>
    <w:rsid w:val="00131D4E"/>
    <w:rsid w:val="00131DC3"/>
    <w:rsid w:val="00131EE6"/>
    <w:rsid w:val="00131EE7"/>
    <w:rsid w:val="00132088"/>
    <w:rsid w:val="0013217C"/>
    <w:rsid w:val="00132202"/>
    <w:rsid w:val="00132249"/>
    <w:rsid w:val="001324D8"/>
    <w:rsid w:val="00132682"/>
    <w:rsid w:val="0013268A"/>
    <w:rsid w:val="0013274F"/>
    <w:rsid w:val="00132777"/>
    <w:rsid w:val="0013284B"/>
    <w:rsid w:val="0013286B"/>
    <w:rsid w:val="0013292C"/>
    <w:rsid w:val="00132C35"/>
    <w:rsid w:val="00132D49"/>
    <w:rsid w:val="00132DD5"/>
    <w:rsid w:val="001331BD"/>
    <w:rsid w:val="001331D8"/>
    <w:rsid w:val="00133233"/>
    <w:rsid w:val="00133299"/>
    <w:rsid w:val="0013336F"/>
    <w:rsid w:val="001334A2"/>
    <w:rsid w:val="00133653"/>
    <w:rsid w:val="001337DB"/>
    <w:rsid w:val="001339D8"/>
    <w:rsid w:val="00133A60"/>
    <w:rsid w:val="00133A9E"/>
    <w:rsid w:val="00133CC1"/>
    <w:rsid w:val="00133CD3"/>
    <w:rsid w:val="00133D4B"/>
    <w:rsid w:val="00133D97"/>
    <w:rsid w:val="00133F3B"/>
    <w:rsid w:val="0013408D"/>
    <w:rsid w:val="001340A1"/>
    <w:rsid w:val="0013419B"/>
    <w:rsid w:val="001343A1"/>
    <w:rsid w:val="00134469"/>
    <w:rsid w:val="0013455A"/>
    <w:rsid w:val="00134560"/>
    <w:rsid w:val="00134625"/>
    <w:rsid w:val="0013462C"/>
    <w:rsid w:val="001347F1"/>
    <w:rsid w:val="001347FF"/>
    <w:rsid w:val="00134892"/>
    <w:rsid w:val="00134A70"/>
    <w:rsid w:val="00134B2B"/>
    <w:rsid w:val="00134CDD"/>
    <w:rsid w:val="00134DCD"/>
    <w:rsid w:val="00134E7F"/>
    <w:rsid w:val="00134F1D"/>
    <w:rsid w:val="00134F27"/>
    <w:rsid w:val="0013502C"/>
    <w:rsid w:val="00135282"/>
    <w:rsid w:val="001353FB"/>
    <w:rsid w:val="001354FC"/>
    <w:rsid w:val="00135543"/>
    <w:rsid w:val="00135544"/>
    <w:rsid w:val="00135B4C"/>
    <w:rsid w:val="00135CF9"/>
    <w:rsid w:val="00135E1C"/>
    <w:rsid w:val="00135E70"/>
    <w:rsid w:val="00135E95"/>
    <w:rsid w:val="00135EDA"/>
    <w:rsid w:val="00135FA4"/>
    <w:rsid w:val="00136032"/>
    <w:rsid w:val="0013609F"/>
    <w:rsid w:val="0013612F"/>
    <w:rsid w:val="001362E7"/>
    <w:rsid w:val="00136340"/>
    <w:rsid w:val="00136341"/>
    <w:rsid w:val="00136404"/>
    <w:rsid w:val="00136524"/>
    <w:rsid w:val="00136547"/>
    <w:rsid w:val="00136ACA"/>
    <w:rsid w:val="00136BCD"/>
    <w:rsid w:val="00136BED"/>
    <w:rsid w:val="00136CEF"/>
    <w:rsid w:val="00137096"/>
    <w:rsid w:val="00137350"/>
    <w:rsid w:val="00137489"/>
    <w:rsid w:val="0013754C"/>
    <w:rsid w:val="00137568"/>
    <w:rsid w:val="00137601"/>
    <w:rsid w:val="00137850"/>
    <w:rsid w:val="00137907"/>
    <w:rsid w:val="0013795C"/>
    <w:rsid w:val="00137A56"/>
    <w:rsid w:val="00137B65"/>
    <w:rsid w:val="00137BE8"/>
    <w:rsid w:val="00137C39"/>
    <w:rsid w:val="00137C74"/>
    <w:rsid w:val="00137D25"/>
    <w:rsid w:val="00137DBD"/>
    <w:rsid w:val="00137E28"/>
    <w:rsid w:val="00137E44"/>
    <w:rsid w:val="00137F6D"/>
    <w:rsid w:val="001404E2"/>
    <w:rsid w:val="00140689"/>
    <w:rsid w:val="00140773"/>
    <w:rsid w:val="00140783"/>
    <w:rsid w:val="001409D2"/>
    <w:rsid w:val="00140B92"/>
    <w:rsid w:val="00140BDF"/>
    <w:rsid w:val="00140C2C"/>
    <w:rsid w:val="00140C5D"/>
    <w:rsid w:val="00140CBA"/>
    <w:rsid w:val="00140DAD"/>
    <w:rsid w:val="00140DC0"/>
    <w:rsid w:val="00140E51"/>
    <w:rsid w:val="00140E7E"/>
    <w:rsid w:val="00140F5F"/>
    <w:rsid w:val="001411F2"/>
    <w:rsid w:val="001412B1"/>
    <w:rsid w:val="0014135F"/>
    <w:rsid w:val="0014144A"/>
    <w:rsid w:val="001416AE"/>
    <w:rsid w:val="001416DD"/>
    <w:rsid w:val="0014171F"/>
    <w:rsid w:val="00141798"/>
    <w:rsid w:val="00141A08"/>
    <w:rsid w:val="00141A61"/>
    <w:rsid w:val="00141BC0"/>
    <w:rsid w:val="00141CF7"/>
    <w:rsid w:val="00141D2F"/>
    <w:rsid w:val="00141E1D"/>
    <w:rsid w:val="00141E22"/>
    <w:rsid w:val="00141E31"/>
    <w:rsid w:val="00141F5B"/>
    <w:rsid w:val="00141FA1"/>
    <w:rsid w:val="00142055"/>
    <w:rsid w:val="00142062"/>
    <w:rsid w:val="001421B6"/>
    <w:rsid w:val="001421D6"/>
    <w:rsid w:val="00142374"/>
    <w:rsid w:val="0014242F"/>
    <w:rsid w:val="00142595"/>
    <w:rsid w:val="00142616"/>
    <w:rsid w:val="0014280C"/>
    <w:rsid w:val="00142BDD"/>
    <w:rsid w:val="00142C56"/>
    <w:rsid w:val="00142C58"/>
    <w:rsid w:val="00142D6E"/>
    <w:rsid w:val="00142ED6"/>
    <w:rsid w:val="00142F19"/>
    <w:rsid w:val="00142F2D"/>
    <w:rsid w:val="00142F38"/>
    <w:rsid w:val="00142F69"/>
    <w:rsid w:val="0014304C"/>
    <w:rsid w:val="0014322D"/>
    <w:rsid w:val="001434F0"/>
    <w:rsid w:val="0014350E"/>
    <w:rsid w:val="00143687"/>
    <w:rsid w:val="001437E1"/>
    <w:rsid w:val="0014380E"/>
    <w:rsid w:val="00143AC1"/>
    <w:rsid w:val="00143B1F"/>
    <w:rsid w:val="00143D00"/>
    <w:rsid w:val="00143D3D"/>
    <w:rsid w:val="00143D8B"/>
    <w:rsid w:val="00143EC6"/>
    <w:rsid w:val="00143F19"/>
    <w:rsid w:val="00143F2E"/>
    <w:rsid w:val="00143F96"/>
    <w:rsid w:val="00143F9B"/>
    <w:rsid w:val="00143FF3"/>
    <w:rsid w:val="001441E9"/>
    <w:rsid w:val="00144277"/>
    <w:rsid w:val="0014438A"/>
    <w:rsid w:val="00144466"/>
    <w:rsid w:val="001445B6"/>
    <w:rsid w:val="001445C4"/>
    <w:rsid w:val="0014472D"/>
    <w:rsid w:val="00144799"/>
    <w:rsid w:val="00144813"/>
    <w:rsid w:val="00144A5A"/>
    <w:rsid w:val="00144B1E"/>
    <w:rsid w:val="00144B77"/>
    <w:rsid w:val="00144BA2"/>
    <w:rsid w:val="00144BCC"/>
    <w:rsid w:val="00144C54"/>
    <w:rsid w:val="00144C8B"/>
    <w:rsid w:val="00144CA8"/>
    <w:rsid w:val="00144E0F"/>
    <w:rsid w:val="00144E8B"/>
    <w:rsid w:val="00144E9B"/>
    <w:rsid w:val="00144EBE"/>
    <w:rsid w:val="00144F55"/>
    <w:rsid w:val="00144FA3"/>
    <w:rsid w:val="00144FB4"/>
    <w:rsid w:val="00144FF3"/>
    <w:rsid w:val="001450B9"/>
    <w:rsid w:val="001450D0"/>
    <w:rsid w:val="00145188"/>
    <w:rsid w:val="001451AA"/>
    <w:rsid w:val="00145255"/>
    <w:rsid w:val="0014535A"/>
    <w:rsid w:val="001453C2"/>
    <w:rsid w:val="00145572"/>
    <w:rsid w:val="00145618"/>
    <w:rsid w:val="001456D1"/>
    <w:rsid w:val="0014574F"/>
    <w:rsid w:val="00145794"/>
    <w:rsid w:val="00145890"/>
    <w:rsid w:val="001458B6"/>
    <w:rsid w:val="00145963"/>
    <w:rsid w:val="00145A7A"/>
    <w:rsid w:val="00145B72"/>
    <w:rsid w:val="00145C68"/>
    <w:rsid w:val="00145EB5"/>
    <w:rsid w:val="00145FC2"/>
    <w:rsid w:val="00146057"/>
    <w:rsid w:val="00146218"/>
    <w:rsid w:val="00146294"/>
    <w:rsid w:val="00146563"/>
    <w:rsid w:val="0014659B"/>
    <w:rsid w:val="001465AA"/>
    <w:rsid w:val="001467F2"/>
    <w:rsid w:val="00146FD4"/>
    <w:rsid w:val="001471E3"/>
    <w:rsid w:val="00147259"/>
    <w:rsid w:val="001474CE"/>
    <w:rsid w:val="00147601"/>
    <w:rsid w:val="0014768C"/>
    <w:rsid w:val="0014778E"/>
    <w:rsid w:val="00147796"/>
    <w:rsid w:val="00147869"/>
    <w:rsid w:val="00147929"/>
    <w:rsid w:val="001479FF"/>
    <w:rsid w:val="00147DD7"/>
    <w:rsid w:val="00147E03"/>
    <w:rsid w:val="00147E31"/>
    <w:rsid w:val="00147EFF"/>
    <w:rsid w:val="00147F5A"/>
    <w:rsid w:val="00150089"/>
    <w:rsid w:val="001501BC"/>
    <w:rsid w:val="00150626"/>
    <w:rsid w:val="00150844"/>
    <w:rsid w:val="001508A8"/>
    <w:rsid w:val="00150973"/>
    <w:rsid w:val="001509D6"/>
    <w:rsid w:val="00150B01"/>
    <w:rsid w:val="00150B1D"/>
    <w:rsid w:val="00150B2E"/>
    <w:rsid w:val="00150C30"/>
    <w:rsid w:val="00150C4B"/>
    <w:rsid w:val="00150FE9"/>
    <w:rsid w:val="00150FFB"/>
    <w:rsid w:val="00151051"/>
    <w:rsid w:val="001510F3"/>
    <w:rsid w:val="0015126B"/>
    <w:rsid w:val="001512B8"/>
    <w:rsid w:val="00151621"/>
    <w:rsid w:val="001516EC"/>
    <w:rsid w:val="00151782"/>
    <w:rsid w:val="00151884"/>
    <w:rsid w:val="0015199E"/>
    <w:rsid w:val="001519C3"/>
    <w:rsid w:val="00151B03"/>
    <w:rsid w:val="00151B4A"/>
    <w:rsid w:val="00151D59"/>
    <w:rsid w:val="00151EAB"/>
    <w:rsid w:val="00152037"/>
    <w:rsid w:val="00152056"/>
    <w:rsid w:val="0015207E"/>
    <w:rsid w:val="00152195"/>
    <w:rsid w:val="00152315"/>
    <w:rsid w:val="001524AD"/>
    <w:rsid w:val="001524F5"/>
    <w:rsid w:val="00152505"/>
    <w:rsid w:val="00152B4F"/>
    <w:rsid w:val="00152B58"/>
    <w:rsid w:val="00152C6B"/>
    <w:rsid w:val="00152C8D"/>
    <w:rsid w:val="00152D75"/>
    <w:rsid w:val="00152DAD"/>
    <w:rsid w:val="00152DD6"/>
    <w:rsid w:val="00152E40"/>
    <w:rsid w:val="00152F09"/>
    <w:rsid w:val="00152F2F"/>
    <w:rsid w:val="00152F95"/>
    <w:rsid w:val="00152FC2"/>
    <w:rsid w:val="00153004"/>
    <w:rsid w:val="00153031"/>
    <w:rsid w:val="001535A3"/>
    <w:rsid w:val="001536C6"/>
    <w:rsid w:val="0015389A"/>
    <w:rsid w:val="00153910"/>
    <w:rsid w:val="0015396E"/>
    <w:rsid w:val="001539BE"/>
    <w:rsid w:val="00153B76"/>
    <w:rsid w:val="00153BF8"/>
    <w:rsid w:val="00153BFE"/>
    <w:rsid w:val="00153CDC"/>
    <w:rsid w:val="00153DB9"/>
    <w:rsid w:val="00153E04"/>
    <w:rsid w:val="00153E7B"/>
    <w:rsid w:val="00153F92"/>
    <w:rsid w:val="0015405B"/>
    <w:rsid w:val="00154313"/>
    <w:rsid w:val="0015439C"/>
    <w:rsid w:val="001545A1"/>
    <w:rsid w:val="001545F2"/>
    <w:rsid w:val="001545FD"/>
    <w:rsid w:val="0015465C"/>
    <w:rsid w:val="001546D2"/>
    <w:rsid w:val="001549FF"/>
    <w:rsid w:val="00154A7A"/>
    <w:rsid w:val="00154A84"/>
    <w:rsid w:val="00154BE2"/>
    <w:rsid w:val="00154D0A"/>
    <w:rsid w:val="00154D95"/>
    <w:rsid w:val="00154E05"/>
    <w:rsid w:val="00154EBB"/>
    <w:rsid w:val="00154F6B"/>
    <w:rsid w:val="00154FF0"/>
    <w:rsid w:val="00155149"/>
    <w:rsid w:val="001551EA"/>
    <w:rsid w:val="001551EF"/>
    <w:rsid w:val="001551F4"/>
    <w:rsid w:val="001553D6"/>
    <w:rsid w:val="001554ED"/>
    <w:rsid w:val="00155501"/>
    <w:rsid w:val="001555EC"/>
    <w:rsid w:val="001556B6"/>
    <w:rsid w:val="001556C1"/>
    <w:rsid w:val="0015582D"/>
    <w:rsid w:val="00155885"/>
    <w:rsid w:val="001558E0"/>
    <w:rsid w:val="00155966"/>
    <w:rsid w:val="00155977"/>
    <w:rsid w:val="00155DF1"/>
    <w:rsid w:val="00155F41"/>
    <w:rsid w:val="00155FC9"/>
    <w:rsid w:val="001560CE"/>
    <w:rsid w:val="001561D8"/>
    <w:rsid w:val="001562A1"/>
    <w:rsid w:val="00156402"/>
    <w:rsid w:val="0015644C"/>
    <w:rsid w:val="001565D6"/>
    <w:rsid w:val="0015660C"/>
    <w:rsid w:val="00156871"/>
    <w:rsid w:val="00156AC8"/>
    <w:rsid w:val="00156B26"/>
    <w:rsid w:val="00156B72"/>
    <w:rsid w:val="00156BA4"/>
    <w:rsid w:val="001571E2"/>
    <w:rsid w:val="00157434"/>
    <w:rsid w:val="00157798"/>
    <w:rsid w:val="00157857"/>
    <w:rsid w:val="00157871"/>
    <w:rsid w:val="001578AC"/>
    <w:rsid w:val="00157996"/>
    <w:rsid w:val="001579B9"/>
    <w:rsid w:val="00157ADB"/>
    <w:rsid w:val="00157B0F"/>
    <w:rsid w:val="00157C1D"/>
    <w:rsid w:val="00157D04"/>
    <w:rsid w:val="00157E3E"/>
    <w:rsid w:val="00157FC6"/>
    <w:rsid w:val="00160072"/>
    <w:rsid w:val="00160133"/>
    <w:rsid w:val="0016024A"/>
    <w:rsid w:val="00160354"/>
    <w:rsid w:val="001605E3"/>
    <w:rsid w:val="001608B9"/>
    <w:rsid w:val="001608EB"/>
    <w:rsid w:val="001608EF"/>
    <w:rsid w:val="001609A5"/>
    <w:rsid w:val="001609B8"/>
    <w:rsid w:val="00160A34"/>
    <w:rsid w:val="00160A81"/>
    <w:rsid w:val="00160B30"/>
    <w:rsid w:val="001611DE"/>
    <w:rsid w:val="001613EB"/>
    <w:rsid w:val="00161838"/>
    <w:rsid w:val="00161B60"/>
    <w:rsid w:val="00161BEC"/>
    <w:rsid w:val="00161C7F"/>
    <w:rsid w:val="00161CCB"/>
    <w:rsid w:val="00161CF8"/>
    <w:rsid w:val="00161D24"/>
    <w:rsid w:val="0016234C"/>
    <w:rsid w:val="001625E3"/>
    <w:rsid w:val="00162701"/>
    <w:rsid w:val="0016277E"/>
    <w:rsid w:val="001628C0"/>
    <w:rsid w:val="00162982"/>
    <w:rsid w:val="00162A02"/>
    <w:rsid w:val="00162A3E"/>
    <w:rsid w:val="00162DDA"/>
    <w:rsid w:val="00162E42"/>
    <w:rsid w:val="0016331A"/>
    <w:rsid w:val="001633A8"/>
    <w:rsid w:val="001634F5"/>
    <w:rsid w:val="001635CE"/>
    <w:rsid w:val="00163795"/>
    <w:rsid w:val="001638C1"/>
    <w:rsid w:val="001638F0"/>
    <w:rsid w:val="00163972"/>
    <w:rsid w:val="00163BA8"/>
    <w:rsid w:val="00163DED"/>
    <w:rsid w:val="00163E33"/>
    <w:rsid w:val="00163FD7"/>
    <w:rsid w:val="00164065"/>
    <w:rsid w:val="00164136"/>
    <w:rsid w:val="001641BE"/>
    <w:rsid w:val="001643F3"/>
    <w:rsid w:val="00164570"/>
    <w:rsid w:val="001646B2"/>
    <w:rsid w:val="00164771"/>
    <w:rsid w:val="0016479F"/>
    <w:rsid w:val="001647AC"/>
    <w:rsid w:val="001647BC"/>
    <w:rsid w:val="001647FD"/>
    <w:rsid w:val="001648C3"/>
    <w:rsid w:val="00164A93"/>
    <w:rsid w:val="00164BDF"/>
    <w:rsid w:val="00164C19"/>
    <w:rsid w:val="00164EFD"/>
    <w:rsid w:val="00164FD0"/>
    <w:rsid w:val="001650BE"/>
    <w:rsid w:val="00165123"/>
    <w:rsid w:val="00165149"/>
    <w:rsid w:val="0016516C"/>
    <w:rsid w:val="001651E9"/>
    <w:rsid w:val="00165363"/>
    <w:rsid w:val="00165387"/>
    <w:rsid w:val="001653F0"/>
    <w:rsid w:val="001655B1"/>
    <w:rsid w:val="00165788"/>
    <w:rsid w:val="00165A33"/>
    <w:rsid w:val="00165CF4"/>
    <w:rsid w:val="00165D26"/>
    <w:rsid w:val="00165D51"/>
    <w:rsid w:val="00165DD0"/>
    <w:rsid w:val="00165EA9"/>
    <w:rsid w:val="00166039"/>
    <w:rsid w:val="00166188"/>
    <w:rsid w:val="0016619A"/>
    <w:rsid w:val="0016627A"/>
    <w:rsid w:val="00166404"/>
    <w:rsid w:val="001664D8"/>
    <w:rsid w:val="00166C2A"/>
    <w:rsid w:val="00166D6B"/>
    <w:rsid w:val="00166E4E"/>
    <w:rsid w:val="00166EFE"/>
    <w:rsid w:val="00166F93"/>
    <w:rsid w:val="0016700F"/>
    <w:rsid w:val="00167248"/>
    <w:rsid w:val="001673D2"/>
    <w:rsid w:val="00167482"/>
    <w:rsid w:val="001674E5"/>
    <w:rsid w:val="00167526"/>
    <w:rsid w:val="00167591"/>
    <w:rsid w:val="001675CF"/>
    <w:rsid w:val="001675EE"/>
    <w:rsid w:val="00167653"/>
    <w:rsid w:val="001676BD"/>
    <w:rsid w:val="001676E7"/>
    <w:rsid w:val="0016772C"/>
    <w:rsid w:val="00167918"/>
    <w:rsid w:val="00167A6D"/>
    <w:rsid w:val="00167B17"/>
    <w:rsid w:val="00167B34"/>
    <w:rsid w:val="00167B89"/>
    <w:rsid w:val="00167BDB"/>
    <w:rsid w:val="00167C3B"/>
    <w:rsid w:val="00167CBA"/>
    <w:rsid w:val="00167DF7"/>
    <w:rsid w:val="00167E3C"/>
    <w:rsid w:val="00170265"/>
    <w:rsid w:val="00170397"/>
    <w:rsid w:val="00170589"/>
    <w:rsid w:val="001705C3"/>
    <w:rsid w:val="00170867"/>
    <w:rsid w:val="00170A37"/>
    <w:rsid w:val="00170AA0"/>
    <w:rsid w:val="00170BCC"/>
    <w:rsid w:val="00170C88"/>
    <w:rsid w:val="00170CC2"/>
    <w:rsid w:val="00170D9C"/>
    <w:rsid w:val="00170DB4"/>
    <w:rsid w:val="00171103"/>
    <w:rsid w:val="00171235"/>
    <w:rsid w:val="00171306"/>
    <w:rsid w:val="001713CE"/>
    <w:rsid w:val="001714A2"/>
    <w:rsid w:val="0017152A"/>
    <w:rsid w:val="001715A7"/>
    <w:rsid w:val="00171652"/>
    <w:rsid w:val="00171874"/>
    <w:rsid w:val="001719EB"/>
    <w:rsid w:val="00171AC0"/>
    <w:rsid w:val="00171AF4"/>
    <w:rsid w:val="00171B44"/>
    <w:rsid w:val="00171D2A"/>
    <w:rsid w:val="00171FD0"/>
    <w:rsid w:val="001720A2"/>
    <w:rsid w:val="00172308"/>
    <w:rsid w:val="00172407"/>
    <w:rsid w:val="00172455"/>
    <w:rsid w:val="0017248A"/>
    <w:rsid w:val="0017265A"/>
    <w:rsid w:val="001726A6"/>
    <w:rsid w:val="001726FF"/>
    <w:rsid w:val="0017283C"/>
    <w:rsid w:val="001728D5"/>
    <w:rsid w:val="00172979"/>
    <w:rsid w:val="001729E2"/>
    <w:rsid w:val="00172AAE"/>
    <w:rsid w:val="00172AE2"/>
    <w:rsid w:val="00172D19"/>
    <w:rsid w:val="00172DFD"/>
    <w:rsid w:val="00172EB0"/>
    <w:rsid w:val="00172EF3"/>
    <w:rsid w:val="0017320B"/>
    <w:rsid w:val="0017325E"/>
    <w:rsid w:val="0017327E"/>
    <w:rsid w:val="00173286"/>
    <w:rsid w:val="0017330D"/>
    <w:rsid w:val="00173345"/>
    <w:rsid w:val="001736F2"/>
    <w:rsid w:val="001737DB"/>
    <w:rsid w:val="001737EA"/>
    <w:rsid w:val="00173923"/>
    <w:rsid w:val="00173A6B"/>
    <w:rsid w:val="00173AD0"/>
    <w:rsid w:val="00173B85"/>
    <w:rsid w:val="00173E0E"/>
    <w:rsid w:val="00173F9C"/>
    <w:rsid w:val="00174349"/>
    <w:rsid w:val="00174437"/>
    <w:rsid w:val="0017496F"/>
    <w:rsid w:val="00174A06"/>
    <w:rsid w:val="00174A95"/>
    <w:rsid w:val="00174CD8"/>
    <w:rsid w:val="00174D2F"/>
    <w:rsid w:val="00174D9C"/>
    <w:rsid w:val="00174F2E"/>
    <w:rsid w:val="00175118"/>
    <w:rsid w:val="00175137"/>
    <w:rsid w:val="00175159"/>
    <w:rsid w:val="001751A4"/>
    <w:rsid w:val="001751D4"/>
    <w:rsid w:val="00175330"/>
    <w:rsid w:val="001753BD"/>
    <w:rsid w:val="00175448"/>
    <w:rsid w:val="001754E3"/>
    <w:rsid w:val="0017554E"/>
    <w:rsid w:val="001755A3"/>
    <w:rsid w:val="001755D7"/>
    <w:rsid w:val="001756E1"/>
    <w:rsid w:val="00175797"/>
    <w:rsid w:val="001759BD"/>
    <w:rsid w:val="00175D57"/>
    <w:rsid w:val="00175DD9"/>
    <w:rsid w:val="00175F2A"/>
    <w:rsid w:val="00175FC1"/>
    <w:rsid w:val="00176013"/>
    <w:rsid w:val="001761C9"/>
    <w:rsid w:val="001761D4"/>
    <w:rsid w:val="00176287"/>
    <w:rsid w:val="00176329"/>
    <w:rsid w:val="001764BA"/>
    <w:rsid w:val="001764D6"/>
    <w:rsid w:val="001764F8"/>
    <w:rsid w:val="0017675D"/>
    <w:rsid w:val="00176761"/>
    <w:rsid w:val="001768ED"/>
    <w:rsid w:val="00176A56"/>
    <w:rsid w:val="00176D81"/>
    <w:rsid w:val="00176E0B"/>
    <w:rsid w:val="00177088"/>
    <w:rsid w:val="001771FD"/>
    <w:rsid w:val="00177223"/>
    <w:rsid w:val="001772DC"/>
    <w:rsid w:val="00177335"/>
    <w:rsid w:val="0017745A"/>
    <w:rsid w:val="001776DB"/>
    <w:rsid w:val="00177721"/>
    <w:rsid w:val="00177751"/>
    <w:rsid w:val="001777D5"/>
    <w:rsid w:val="001778DC"/>
    <w:rsid w:val="00177A01"/>
    <w:rsid w:val="00177BD5"/>
    <w:rsid w:val="00177C20"/>
    <w:rsid w:val="00177CDD"/>
    <w:rsid w:val="00177D2E"/>
    <w:rsid w:val="00177D81"/>
    <w:rsid w:val="00177DCF"/>
    <w:rsid w:val="00177E01"/>
    <w:rsid w:val="00177E59"/>
    <w:rsid w:val="00180195"/>
    <w:rsid w:val="001801CF"/>
    <w:rsid w:val="00180235"/>
    <w:rsid w:val="001806AB"/>
    <w:rsid w:val="0018098B"/>
    <w:rsid w:val="00180BDE"/>
    <w:rsid w:val="00180DBC"/>
    <w:rsid w:val="00180DC9"/>
    <w:rsid w:val="00180E56"/>
    <w:rsid w:val="00180F7D"/>
    <w:rsid w:val="00181000"/>
    <w:rsid w:val="0018127B"/>
    <w:rsid w:val="001813E9"/>
    <w:rsid w:val="00181636"/>
    <w:rsid w:val="00181753"/>
    <w:rsid w:val="00181818"/>
    <w:rsid w:val="00181871"/>
    <w:rsid w:val="001818E8"/>
    <w:rsid w:val="00181934"/>
    <w:rsid w:val="0018193E"/>
    <w:rsid w:val="00181A72"/>
    <w:rsid w:val="00181A95"/>
    <w:rsid w:val="00181B6F"/>
    <w:rsid w:val="00181BF7"/>
    <w:rsid w:val="00181CCD"/>
    <w:rsid w:val="00181CDD"/>
    <w:rsid w:val="00181E4A"/>
    <w:rsid w:val="00181F3D"/>
    <w:rsid w:val="001820C5"/>
    <w:rsid w:val="00182255"/>
    <w:rsid w:val="0018242C"/>
    <w:rsid w:val="00182533"/>
    <w:rsid w:val="00182586"/>
    <w:rsid w:val="001827FA"/>
    <w:rsid w:val="00182987"/>
    <w:rsid w:val="00182DA0"/>
    <w:rsid w:val="00182E84"/>
    <w:rsid w:val="00182EBC"/>
    <w:rsid w:val="00182F41"/>
    <w:rsid w:val="00183074"/>
    <w:rsid w:val="0018309C"/>
    <w:rsid w:val="00183166"/>
    <w:rsid w:val="001833CC"/>
    <w:rsid w:val="00183535"/>
    <w:rsid w:val="001835D6"/>
    <w:rsid w:val="00183685"/>
    <w:rsid w:val="00183696"/>
    <w:rsid w:val="001838B1"/>
    <w:rsid w:val="0018391C"/>
    <w:rsid w:val="0018392B"/>
    <w:rsid w:val="00183A39"/>
    <w:rsid w:val="00183B15"/>
    <w:rsid w:val="00183B45"/>
    <w:rsid w:val="00183F67"/>
    <w:rsid w:val="0018406E"/>
    <w:rsid w:val="0018414D"/>
    <w:rsid w:val="00184255"/>
    <w:rsid w:val="0018428F"/>
    <w:rsid w:val="00184304"/>
    <w:rsid w:val="0018431C"/>
    <w:rsid w:val="00184398"/>
    <w:rsid w:val="001844CC"/>
    <w:rsid w:val="00184540"/>
    <w:rsid w:val="001846A5"/>
    <w:rsid w:val="001847BA"/>
    <w:rsid w:val="001847FD"/>
    <w:rsid w:val="00184825"/>
    <w:rsid w:val="00184869"/>
    <w:rsid w:val="00184963"/>
    <w:rsid w:val="00184993"/>
    <w:rsid w:val="00184AC6"/>
    <w:rsid w:val="00184B61"/>
    <w:rsid w:val="00184B94"/>
    <w:rsid w:val="00184C68"/>
    <w:rsid w:val="00184D8B"/>
    <w:rsid w:val="00184DA3"/>
    <w:rsid w:val="00184DFF"/>
    <w:rsid w:val="00184E61"/>
    <w:rsid w:val="00184EE0"/>
    <w:rsid w:val="0018504C"/>
    <w:rsid w:val="0018505C"/>
    <w:rsid w:val="001850A1"/>
    <w:rsid w:val="001851C1"/>
    <w:rsid w:val="001853EE"/>
    <w:rsid w:val="00185412"/>
    <w:rsid w:val="001854C1"/>
    <w:rsid w:val="001854FF"/>
    <w:rsid w:val="0018555F"/>
    <w:rsid w:val="00185571"/>
    <w:rsid w:val="001856E5"/>
    <w:rsid w:val="001856EE"/>
    <w:rsid w:val="00185736"/>
    <w:rsid w:val="0018581D"/>
    <w:rsid w:val="00185869"/>
    <w:rsid w:val="00185931"/>
    <w:rsid w:val="00185A94"/>
    <w:rsid w:val="00185AF4"/>
    <w:rsid w:val="00185C7A"/>
    <w:rsid w:val="00185D5A"/>
    <w:rsid w:val="00185D94"/>
    <w:rsid w:val="00185E0C"/>
    <w:rsid w:val="00185E19"/>
    <w:rsid w:val="00185E4A"/>
    <w:rsid w:val="00185E87"/>
    <w:rsid w:val="00185F55"/>
    <w:rsid w:val="00185F85"/>
    <w:rsid w:val="0018602F"/>
    <w:rsid w:val="001861F5"/>
    <w:rsid w:val="00186245"/>
    <w:rsid w:val="0018636C"/>
    <w:rsid w:val="001863DD"/>
    <w:rsid w:val="0018650B"/>
    <w:rsid w:val="001865B1"/>
    <w:rsid w:val="00186717"/>
    <w:rsid w:val="00186741"/>
    <w:rsid w:val="001867CC"/>
    <w:rsid w:val="001867F0"/>
    <w:rsid w:val="001868B0"/>
    <w:rsid w:val="00186932"/>
    <w:rsid w:val="001869F2"/>
    <w:rsid w:val="00186B84"/>
    <w:rsid w:val="00186C08"/>
    <w:rsid w:val="00186C12"/>
    <w:rsid w:val="00186C35"/>
    <w:rsid w:val="00186C6D"/>
    <w:rsid w:val="00186E2D"/>
    <w:rsid w:val="00186F32"/>
    <w:rsid w:val="00186F54"/>
    <w:rsid w:val="0018701A"/>
    <w:rsid w:val="0018701D"/>
    <w:rsid w:val="001873D4"/>
    <w:rsid w:val="001873DB"/>
    <w:rsid w:val="001874B6"/>
    <w:rsid w:val="0018750C"/>
    <w:rsid w:val="00187603"/>
    <w:rsid w:val="001876E5"/>
    <w:rsid w:val="001876F2"/>
    <w:rsid w:val="00187971"/>
    <w:rsid w:val="00187993"/>
    <w:rsid w:val="00187A43"/>
    <w:rsid w:val="00187AEA"/>
    <w:rsid w:val="00187BBD"/>
    <w:rsid w:val="00187C28"/>
    <w:rsid w:val="00187C39"/>
    <w:rsid w:val="00187C3F"/>
    <w:rsid w:val="00187CC0"/>
    <w:rsid w:val="00187D09"/>
    <w:rsid w:val="00187D55"/>
    <w:rsid w:val="00187F55"/>
    <w:rsid w:val="0019000A"/>
    <w:rsid w:val="0019000F"/>
    <w:rsid w:val="00190068"/>
    <w:rsid w:val="001902C5"/>
    <w:rsid w:val="0019042C"/>
    <w:rsid w:val="00190465"/>
    <w:rsid w:val="00190474"/>
    <w:rsid w:val="00190572"/>
    <w:rsid w:val="00190641"/>
    <w:rsid w:val="00190699"/>
    <w:rsid w:val="001906AB"/>
    <w:rsid w:val="0019079F"/>
    <w:rsid w:val="0019091E"/>
    <w:rsid w:val="00190B35"/>
    <w:rsid w:val="00190D10"/>
    <w:rsid w:val="00190D2D"/>
    <w:rsid w:val="00190D39"/>
    <w:rsid w:val="00190D87"/>
    <w:rsid w:val="00190F07"/>
    <w:rsid w:val="00190F2F"/>
    <w:rsid w:val="001910FF"/>
    <w:rsid w:val="001911AA"/>
    <w:rsid w:val="001911EA"/>
    <w:rsid w:val="00191396"/>
    <w:rsid w:val="00191398"/>
    <w:rsid w:val="001914D0"/>
    <w:rsid w:val="00191576"/>
    <w:rsid w:val="0019162B"/>
    <w:rsid w:val="0019172F"/>
    <w:rsid w:val="0019191E"/>
    <w:rsid w:val="0019194E"/>
    <w:rsid w:val="001919C9"/>
    <w:rsid w:val="00191B05"/>
    <w:rsid w:val="00191EBA"/>
    <w:rsid w:val="00191F4C"/>
    <w:rsid w:val="001921FD"/>
    <w:rsid w:val="00192392"/>
    <w:rsid w:val="001923E2"/>
    <w:rsid w:val="001924A9"/>
    <w:rsid w:val="001925BA"/>
    <w:rsid w:val="00192864"/>
    <w:rsid w:val="001929E3"/>
    <w:rsid w:val="00192A52"/>
    <w:rsid w:val="00192AA1"/>
    <w:rsid w:val="00192ABA"/>
    <w:rsid w:val="00192B43"/>
    <w:rsid w:val="00192B70"/>
    <w:rsid w:val="00192B9C"/>
    <w:rsid w:val="00192CF9"/>
    <w:rsid w:val="00192E54"/>
    <w:rsid w:val="00192F76"/>
    <w:rsid w:val="001930C3"/>
    <w:rsid w:val="00193140"/>
    <w:rsid w:val="00193322"/>
    <w:rsid w:val="001933D1"/>
    <w:rsid w:val="001934F8"/>
    <w:rsid w:val="0019373D"/>
    <w:rsid w:val="00193C69"/>
    <w:rsid w:val="00193CC1"/>
    <w:rsid w:val="00193ED3"/>
    <w:rsid w:val="00193F09"/>
    <w:rsid w:val="00193F15"/>
    <w:rsid w:val="0019408D"/>
    <w:rsid w:val="00194138"/>
    <w:rsid w:val="0019419A"/>
    <w:rsid w:val="001942FF"/>
    <w:rsid w:val="00194579"/>
    <w:rsid w:val="001948C9"/>
    <w:rsid w:val="001949C1"/>
    <w:rsid w:val="00194B28"/>
    <w:rsid w:val="00194B7C"/>
    <w:rsid w:val="00194CC3"/>
    <w:rsid w:val="00194ED7"/>
    <w:rsid w:val="00194F2A"/>
    <w:rsid w:val="00194F6B"/>
    <w:rsid w:val="0019527E"/>
    <w:rsid w:val="00195345"/>
    <w:rsid w:val="00195564"/>
    <w:rsid w:val="001955AA"/>
    <w:rsid w:val="00195689"/>
    <w:rsid w:val="00195804"/>
    <w:rsid w:val="00195934"/>
    <w:rsid w:val="0019594D"/>
    <w:rsid w:val="00195A54"/>
    <w:rsid w:val="00195A77"/>
    <w:rsid w:val="00195C7B"/>
    <w:rsid w:val="00195CF1"/>
    <w:rsid w:val="00195D0E"/>
    <w:rsid w:val="00195DBA"/>
    <w:rsid w:val="00195DCE"/>
    <w:rsid w:val="00195F44"/>
    <w:rsid w:val="00195F9A"/>
    <w:rsid w:val="00196036"/>
    <w:rsid w:val="00196113"/>
    <w:rsid w:val="0019619A"/>
    <w:rsid w:val="00196346"/>
    <w:rsid w:val="0019667A"/>
    <w:rsid w:val="001966E8"/>
    <w:rsid w:val="0019697B"/>
    <w:rsid w:val="00196ABC"/>
    <w:rsid w:val="00196C36"/>
    <w:rsid w:val="00196DB8"/>
    <w:rsid w:val="00196F4C"/>
    <w:rsid w:val="0019709E"/>
    <w:rsid w:val="001970EC"/>
    <w:rsid w:val="00197148"/>
    <w:rsid w:val="001971CF"/>
    <w:rsid w:val="00197214"/>
    <w:rsid w:val="001972D1"/>
    <w:rsid w:val="001977BF"/>
    <w:rsid w:val="001977F7"/>
    <w:rsid w:val="00197A93"/>
    <w:rsid w:val="00197AC4"/>
    <w:rsid w:val="00197B9B"/>
    <w:rsid w:val="00197C3B"/>
    <w:rsid w:val="00197DD1"/>
    <w:rsid w:val="00197ED7"/>
    <w:rsid w:val="00197F4B"/>
    <w:rsid w:val="001A01E9"/>
    <w:rsid w:val="001A02F8"/>
    <w:rsid w:val="001A047E"/>
    <w:rsid w:val="001A04D7"/>
    <w:rsid w:val="001A059E"/>
    <w:rsid w:val="001A0871"/>
    <w:rsid w:val="001A0B18"/>
    <w:rsid w:val="001A0C52"/>
    <w:rsid w:val="001A0C95"/>
    <w:rsid w:val="001A0D35"/>
    <w:rsid w:val="001A0F09"/>
    <w:rsid w:val="001A1009"/>
    <w:rsid w:val="001A10CC"/>
    <w:rsid w:val="001A1228"/>
    <w:rsid w:val="001A140E"/>
    <w:rsid w:val="001A150B"/>
    <w:rsid w:val="001A158D"/>
    <w:rsid w:val="001A15B0"/>
    <w:rsid w:val="001A1653"/>
    <w:rsid w:val="001A1759"/>
    <w:rsid w:val="001A19A5"/>
    <w:rsid w:val="001A1B62"/>
    <w:rsid w:val="001A1BB8"/>
    <w:rsid w:val="001A1C8D"/>
    <w:rsid w:val="001A1FD0"/>
    <w:rsid w:val="001A205F"/>
    <w:rsid w:val="001A20EF"/>
    <w:rsid w:val="001A2365"/>
    <w:rsid w:val="001A2456"/>
    <w:rsid w:val="001A25CE"/>
    <w:rsid w:val="001A25E2"/>
    <w:rsid w:val="001A2BB1"/>
    <w:rsid w:val="001A2C57"/>
    <w:rsid w:val="001A2CBE"/>
    <w:rsid w:val="001A2D61"/>
    <w:rsid w:val="001A3144"/>
    <w:rsid w:val="001A3471"/>
    <w:rsid w:val="001A361F"/>
    <w:rsid w:val="001A3629"/>
    <w:rsid w:val="001A36A3"/>
    <w:rsid w:val="001A3AA2"/>
    <w:rsid w:val="001A3AB7"/>
    <w:rsid w:val="001A3B54"/>
    <w:rsid w:val="001A3E24"/>
    <w:rsid w:val="001A3F01"/>
    <w:rsid w:val="001A4139"/>
    <w:rsid w:val="001A42B9"/>
    <w:rsid w:val="001A4312"/>
    <w:rsid w:val="001A44AC"/>
    <w:rsid w:val="001A4506"/>
    <w:rsid w:val="001A4543"/>
    <w:rsid w:val="001A45F3"/>
    <w:rsid w:val="001A481D"/>
    <w:rsid w:val="001A4846"/>
    <w:rsid w:val="001A48CC"/>
    <w:rsid w:val="001A4947"/>
    <w:rsid w:val="001A4953"/>
    <w:rsid w:val="001A49D8"/>
    <w:rsid w:val="001A4CAD"/>
    <w:rsid w:val="001A4D1F"/>
    <w:rsid w:val="001A4D65"/>
    <w:rsid w:val="001A4DBA"/>
    <w:rsid w:val="001A4E9B"/>
    <w:rsid w:val="001A4ED1"/>
    <w:rsid w:val="001A4FE5"/>
    <w:rsid w:val="001A5100"/>
    <w:rsid w:val="001A512A"/>
    <w:rsid w:val="001A512B"/>
    <w:rsid w:val="001A51A3"/>
    <w:rsid w:val="001A51AA"/>
    <w:rsid w:val="001A5211"/>
    <w:rsid w:val="001A5287"/>
    <w:rsid w:val="001A5296"/>
    <w:rsid w:val="001A5389"/>
    <w:rsid w:val="001A5410"/>
    <w:rsid w:val="001A54B0"/>
    <w:rsid w:val="001A595B"/>
    <w:rsid w:val="001A59F2"/>
    <w:rsid w:val="001A59FF"/>
    <w:rsid w:val="001A5C89"/>
    <w:rsid w:val="001A5EF6"/>
    <w:rsid w:val="001A5F82"/>
    <w:rsid w:val="001A609A"/>
    <w:rsid w:val="001A60D4"/>
    <w:rsid w:val="001A6224"/>
    <w:rsid w:val="001A6298"/>
    <w:rsid w:val="001A62FA"/>
    <w:rsid w:val="001A635C"/>
    <w:rsid w:val="001A63CE"/>
    <w:rsid w:val="001A640D"/>
    <w:rsid w:val="001A6506"/>
    <w:rsid w:val="001A6592"/>
    <w:rsid w:val="001A65A0"/>
    <w:rsid w:val="001A65A9"/>
    <w:rsid w:val="001A6613"/>
    <w:rsid w:val="001A662D"/>
    <w:rsid w:val="001A66DA"/>
    <w:rsid w:val="001A6BD5"/>
    <w:rsid w:val="001A6CA5"/>
    <w:rsid w:val="001A6CD5"/>
    <w:rsid w:val="001A6CE9"/>
    <w:rsid w:val="001A6DBA"/>
    <w:rsid w:val="001A6E1C"/>
    <w:rsid w:val="001A6F47"/>
    <w:rsid w:val="001A6FB8"/>
    <w:rsid w:val="001A6FE9"/>
    <w:rsid w:val="001A716F"/>
    <w:rsid w:val="001A7270"/>
    <w:rsid w:val="001A73DA"/>
    <w:rsid w:val="001A753F"/>
    <w:rsid w:val="001A762F"/>
    <w:rsid w:val="001A7694"/>
    <w:rsid w:val="001A7978"/>
    <w:rsid w:val="001A7C12"/>
    <w:rsid w:val="001B0067"/>
    <w:rsid w:val="001B00FA"/>
    <w:rsid w:val="001B01C4"/>
    <w:rsid w:val="001B022F"/>
    <w:rsid w:val="001B0253"/>
    <w:rsid w:val="001B02DD"/>
    <w:rsid w:val="001B0316"/>
    <w:rsid w:val="001B0628"/>
    <w:rsid w:val="001B0884"/>
    <w:rsid w:val="001B0A23"/>
    <w:rsid w:val="001B0D0F"/>
    <w:rsid w:val="001B0DE0"/>
    <w:rsid w:val="001B1388"/>
    <w:rsid w:val="001B13DF"/>
    <w:rsid w:val="001B157E"/>
    <w:rsid w:val="001B15B2"/>
    <w:rsid w:val="001B15E0"/>
    <w:rsid w:val="001B1600"/>
    <w:rsid w:val="001B174B"/>
    <w:rsid w:val="001B1C2E"/>
    <w:rsid w:val="001B1C6C"/>
    <w:rsid w:val="001B1EC8"/>
    <w:rsid w:val="001B1ECF"/>
    <w:rsid w:val="001B1F3B"/>
    <w:rsid w:val="001B21E3"/>
    <w:rsid w:val="001B232F"/>
    <w:rsid w:val="001B23ED"/>
    <w:rsid w:val="001B2410"/>
    <w:rsid w:val="001B25EB"/>
    <w:rsid w:val="001B2626"/>
    <w:rsid w:val="001B262F"/>
    <w:rsid w:val="001B2665"/>
    <w:rsid w:val="001B2701"/>
    <w:rsid w:val="001B279F"/>
    <w:rsid w:val="001B2861"/>
    <w:rsid w:val="001B2905"/>
    <w:rsid w:val="001B291A"/>
    <w:rsid w:val="001B2A1E"/>
    <w:rsid w:val="001B2A64"/>
    <w:rsid w:val="001B2AA1"/>
    <w:rsid w:val="001B2BFB"/>
    <w:rsid w:val="001B2C2E"/>
    <w:rsid w:val="001B2C3B"/>
    <w:rsid w:val="001B30FE"/>
    <w:rsid w:val="001B3131"/>
    <w:rsid w:val="001B31B9"/>
    <w:rsid w:val="001B336D"/>
    <w:rsid w:val="001B3407"/>
    <w:rsid w:val="001B34D0"/>
    <w:rsid w:val="001B34EE"/>
    <w:rsid w:val="001B352D"/>
    <w:rsid w:val="001B39D6"/>
    <w:rsid w:val="001B3A24"/>
    <w:rsid w:val="001B3A52"/>
    <w:rsid w:val="001B3ACF"/>
    <w:rsid w:val="001B3B63"/>
    <w:rsid w:val="001B3CF3"/>
    <w:rsid w:val="001B3EC3"/>
    <w:rsid w:val="001B3F9F"/>
    <w:rsid w:val="001B418C"/>
    <w:rsid w:val="001B42F6"/>
    <w:rsid w:val="001B432F"/>
    <w:rsid w:val="001B4460"/>
    <w:rsid w:val="001B44F9"/>
    <w:rsid w:val="001B4668"/>
    <w:rsid w:val="001B473F"/>
    <w:rsid w:val="001B47D3"/>
    <w:rsid w:val="001B4865"/>
    <w:rsid w:val="001B4972"/>
    <w:rsid w:val="001B4977"/>
    <w:rsid w:val="001B49FF"/>
    <w:rsid w:val="001B4A92"/>
    <w:rsid w:val="001B4BD5"/>
    <w:rsid w:val="001B4CC6"/>
    <w:rsid w:val="001B4ECC"/>
    <w:rsid w:val="001B4F03"/>
    <w:rsid w:val="001B504A"/>
    <w:rsid w:val="001B5187"/>
    <w:rsid w:val="001B52DF"/>
    <w:rsid w:val="001B5579"/>
    <w:rsid w:val="001B58BC"/>
    <w:rsid w:val="001B593D"/>
    <w:rsid w:val="001B5A03"/>
    <w:rsid w:val="001B5A16"/>
    <w:rsid w:val="001B5B59"/>
    <w:rsid w:val="001B5F90"/>
    <w:rsid w:val="001B5FF4"/>
    <w:rsid w:val="001B61CC"/>
    <w:rsid w:val="001B6391"/>
    <w:rsid w:val="001B6470"/>
    <w:rsid w:val="001B648C"/>
    <w:rsid w:val="001B66FE"/>
    <w:rsid w:val="001B6745"/>
    <w:rsid w:val="001B675C"/>
    <w:rsid w:val="001B6870"/>
    <w:rsid w:val="001B68F1"/>
    <w:rsid w:val="001B691B"/>
    <w:rsid w:val="001B6B29"/>
    <w:rsid w:val="001B6B79"/>
    <w:rsid w:val="001B6D69"/>
    <w:rsid w:val="001B6F25"/>
    <w:rsid w:val="001B6F94"/>
    <w:rsid w:val="001B6FDD"/>
    <w:rsid w:val="001B6FF4"/>
    <w:rsid w:val="001B71C1"/>
    <w:rsid w:val="001B7259"/>
    <w:rsid w:val="001B728F"/>
    <w:rsid w:val="001B7383"/>
    <w:rsid w:val="001B73CE"/>
    <w:rsid w:val="001B73E1"/>
    <w:rsid w:val="001B744F"/>
    <w:rsid w:val="001B74CF"/>
    <w:rsid w:val="001B7621"/>
    <w:rsid w:val="001B7656"/>
    <w:rsid w:val="001B76A7"/>
    <w:rsid w:val="001B78D0"/>
    <w:rsid w:val="001B7962"/>
    <w:rsid w:val="001B7A4F"/>
    <w:rsid w:val="001B7A7C"/>
    <w:rsid w:val="001B7BFD"/>
    <w:rsid w:val="001B7E67"/>
    <w:rsid w:val="001B7F55"/>
    <w:rsid w:val="001C0105"/>
    <w:rsid w:val="001C04C1"/>
    <w:rsid w:val="001C056E"/>
    <w:rsid w:val="001C05B2"/>
    <w:rsid w:val="001C07AA"/>
    <w:rsid w:val="001C0930"/>
    <w:rsid w:val="001C0ADC"/>
    <w:rsid w:val="001C0B56"/>
    <w:rsid w:val="001C0C8C"/>
    <w:rsid w:val="001C0CB0"/>
    <w:rsid w:val="001C0D31"/>
    <w:rsid w:val="001C0FBD"/>
    <w:rsid w:val="001C0FEF"/>
    <w:rsid w:val="001C1040"/>
    <w:rsid w:val="001C108B"/>
    <w:rsid w:val="001C10F7"/>
    <w:rsid w:val="001C11D8"/>
    <w:rsid w:val="001C1391"/>
    <w:rsid w:val="001C15F7"/>
    <w:rsid w:val="001C167E"/>
    <w:rsid w:val="001C1804"/>
    <w:rsid w:val="001C1995"/>
    <w:rsid w:val="001C1ACF"/>
    <w:rsid w:val="001C204A"/>
    <w:rsid w:val="001C2328"/>
    <w:rsid w:val="001C260E"/>
    <w:rsid w:val="001C2647"/>
    <w:rsid w:val="001C273F"/>
    <w:rsid w:val="001C2829"/>
    <w:rsid w:val="001C28CC"/>
    <w:rsid w:val="001C2B45"/>
    <w:rsid w:val="001C2E8F"/>
    <w:rsid w:val="001C2FBD"/>
    <w:rsid w:val="001C31A5"/>
    <w:rsid w:val="001C32EA"/>
    <w:rsid w:val="001C33CA"/>
    <w:rsid w:val="001C3459"/>
    <w:rsid w:val="001C34F5"/>
    <w:rsid w:val="001C350D"/>
    <w:rsid w:val="001C37F6"/>
    <w:rsid w:val="001C38D3"/>
    <w:rsid w:val="001C398B"/>
    <w:rsid w:val="001C3998"/>
    <w:rsid w:val="001C3ACA"/>
    <w:rsid w:val="001C3BB0"/>
    <w:rsid w:val="001C3DF9"/>
    <w:rsid w:val="001C3F0B"/>
    <w:rsid w:val="001C3FB9"/>
    <w:rsid w:val="001C40DB"/>
    <w:rsid w:val="001C411E"/>
    <w:rsid w:val="001C42FF"/>
    <w:rsid w:val="001C4320"/>
    <w:rsid w:val="001C43E7"/>
    <w:rsid w:val="001C44AD"/>
    <w:rsid w:val="001C457F"/>
    <w:rsid w:val="001C469C"/>
    <w:rsid w:val="001C47BF"/>
    <w:rsid w:val="001C48D2"/>
    <w:rsid w:val="001C4A9C"/>
    <w:rsid w:val="001C4C80"/>
    <w:rsid w:val="001C4D29"/>
    <w:rsid w:val="001C4E5A"/>
    <w:rsid w:val="001C4ED7"/>
    <w:rsid w:val="001C4F70"/>
    <w:rsid w:val="001C4F98"/>
    <w:rsid w:val="001C503B"/>
    <w:rsid w:val="001C5074"/>
    <w:rsid w:val="001C514E"/>
    <w:rsid w:val="001C52EE"/>
    <w:rsid w:val="001C54B9"/>
    <w:rsid w:val="001C5590"/>
    <w:rsid w:val="001C5597"/>
    <w:rsid w:val="001C55FB"/>
    <w:rsid w:val="001C5643"/>
    <w:rsid w:val="001C56FE"/>
    <w:rsid w:val="001C589D"/>
    <w:rsid w:val="001C5933"/>
    <w:rsid w:val="001C59D9"/>
    <w:rsid w:val="001C5BD3"/>
    <w:rsid w:val="001C5E55"/>
    <w:rsid w:val="001C6024"/>
    <w:rsid w:val="001C6025"/>
    <w:rsid w:val="001C602B"/>
    <w:rsid w:val="001C60E1"/>
    <w:rsid w:val="001C6193"/>
    <w:rsid w:val="001C61FA"/>
    <w:rsid w:val="001C626B"/>
    <w:rsid w:val="001C6397"/>
    <w:rsid w:val="001C64FC"/>
    <w:rsid w:val="001C6BF2"/>
    <w:rsid w:val="001C6C03"/>
    <w:rsid w:val="001C6C30"/>
    <w:rsid w:val="001C6C84"/>
    <w:rsid w:val="001C6D87"/>
    <w:rsid w:val="001C6E08"/>
    <w:rsid w:val="001C6E14"/>
    <w:rsid w:val="001C6EE2"/>
    <w:rsid w:val="001C6F94"/>
    <w:rsid w:val="001C7022"/>
    <w:rsid w:val="001C705A"/>
    <w:rsid w:val="001C7069"/>
    <w:rsid w:val="001C70B5"/>
    <w:rsid w:val="001C71B5"/>
    <w:rsid w:val="001C7201"/>
    <w:rsid w:val="001C7253"/>
    <w:rsid w:val="001C7415"/>
    <w:rsid w:val="001C759C"/>
    <w:rsid w:val="001C7858"/>
    <w:rsid w:val="001C79EB"/>
    <w:rsid w:val="001C7A1A"/>
    <w:rsid w:val="001C7A26"/>
    <w:rsid w:val="001C7CF6"/>
    <w:rsid w:val="001D00B7"/>
    <w:rsid w:val="001D01BD"/>
    <w:rsid w:val="001D0245"/>
    <w:rsid w:val="001D02CB"/>
    <w:rsid w:val="001D0526"/>
    <w:rsid w:val="001D06CE"/>
    <w:rsid w:val="001D077F"/>
    <w:rsid w:val="001D07C5"/>
    <w:rsid w:val="001D0A66"/>
    <w:rsid w:val="001D0AB6"/>
    <w:rsid w:val="001D0C2E"/>
    <w:rsid w:val="001D0C63"/>
    <w:rsid w:val="001D0C65"/>
    <w:rsid w:val="001D0C6A"/>
    <w:rsid w:val="001D0D0F"/>
    <w:rsid w:val="001D0E65"/>
    <w:rsid w:val="001D0EB9"/>
    <w:rsid w:val="001D0F41"/>
    <w:rsid w:val="001D0F7E"/>
    <w:rsid w:val="001D12ED"/>
    <w:rsid w:val="001D13C7"/>
    <w:rsid w:val="001D1405"/>
    <w:rsid w:val="001D1438"/>
    <w:rsid w:val="001D153F"/>
    <w:rsid w:val="001D15C2"/>
    <w:rsid w:val="001D1621"/>
    <w:rsid w:val="001D16BF"/>
    <w:rsid w:val="001D1787"/>
    <w:rsid w:val="001D1801"/>
    <w:rsid w:val="001D18BF"/>
    <w:rsid w:val="001D18C5"/>
    <w:rsid w:val="001D1903"/>
    <w:rsid w:val="001D1B44"/>
    <w:rsid w:val="001D1B76"/>
    <w:rsid w:val="001D1C49"/>
    <w:rsid w:val="001D1DAD"/>
    <w:rsid w:val="001D1DE0"/>
    <w:rsid w:val="001D21C1"/>
    <w:rsid w:val="001D2292"/>
    <w:rsid w:val="001D22AC"/>
    <w:rsid w:val="001D2366"/>
    <w:rsid w:val="001D23BC"/>
    <w:rsid w:val="001D23E5"/>
    <w:rsid w:val="001D23E6"/>
    <w:rsid w:val="001D2517"/>
    <w:rsid w:val="001D2B3B"/>
    <w:rsid w:val="001D2B9D"/>
    <w:rsid w:val="001D2D96"/>
    <w:rsid w:val="001D2DBF"/>
    <w:rsid w:val="001D2F61"/>
    <w:rsid w:val="001D311C"/>
    <w:rsid w:val="001D32CB"/>
    <w:rsid w:val="001D34C5"/>
    <w:rsid w:val="001D34D6"/>
    <w:rsid w:val="001D34EF"/>
    <w:rsid w:val="001D3557"/>
    <w:rsid w:val="001D3631"/>
    <w:rsid w:val="001D365C"/>
    <w:rsid w:val="001D379F"/>
    <w:rsid w:val="001D3A90"/>
    <w:rsid w:val="001D3B23"/>
    <w:rsid w:val="001D3B3D"/>
    <w:rsid w:val="001D3B4D"/>
    <w:rsid w:val="001D3C91"/>
    <w:rsid w:val="001D3CAF"/>
    <w:rsid w:val="001D3CB7"/>
    <w:rsid w:val="001D3DC1"/>
    <w:rsid w:val="001D3E74"/>
    <w:rsid w:val="001D3EED"/>
    <w:rsid w:val="001D3F2D"/>
    <w:rsid w:val="001D3FE4"/>
    <w:rsid w:val="001D40AF"/>
    <w:rsid w:val="001D4266"/>
    <w:rsid w:val="001D42BF"/>
    <w:rsid w:val="001D42EE"/>
    <w:rsid w:val="001D440B"/>
    <w:rsid w:val="001D44AF"/>
    <w:rsid w:val="001D453C"/>
    <w:rsid w:val="001D4557"/>
    <w:rsid w:val="001D461C"/>
    <w:rsid w:val="001D4761"/>
    <w:rsid w:val="001D487A"/>
    <w:rsid w:val="001D49C1"/>
    <w:rsid w:val="001D49D2"/>
    <w:rsid w:val="001D4AE7"/>
    <w:rsid w:val="001D4C79"/>
    <w:rsid w:val="001D4CF2"/>
    <w:rsid w:val="001D4DDA"/>
    <w:rsid w:val="001D4F34"/>
    <w:rsid w:val="001D4F3C"/>
    <w:rsid w:val="001D5216"/>
    <w:rsid w:val="001D5234"/>
    <w:rsid w:val="001D5388"/>
    <w:rsid w:val="001D538C"/>
    <w:rsid w:val="001D542E"/>
    <w:rsid w:val="001D54DB"/>
    <w:rsid w:val="001D56FC"/>
    <w:rsid w:val="001D57BD"/>
    <w:rsid w:val="001D5883"/>
    <w:rsid w:val="001D599B"/>
    <w:rsid w:val="001D59FC"/>
    <w:rsid w:val="001D59FD"/>
    <w:rsid w:val="001D5A6C"/>
    <w:rsid w:val="001D5BBF"/>
    <w:rsid w:val="001D5C4E"/>
    <w:rsid w:val="001D5CE4"/>
    <w:rsid w:val="001D5DEF"/>
    <w:rsid w:val="001D5E0E"/>
    <w:rsid w:val="001D5EFD"/>
    <w:rsid w:val="001D6019"/>
    <w:rsid w:val="001D6066"/>
    <w:rsid w:val="001D613D"/>
    <w:rsid w:val="001D61EA"/>
    <w:rsid w:val="001D63B0"/>
    <w:rsid w:val="001D6437"/>
    <w:rsid w:val="001D64B4"/>
    <w:rsid w:val="001D6698"/>
    <w:rsid w:val="001D6880"/>
    <w:rsid w:val="001D695D"/>
    <w:rsid w:val="001D6976"/>
    <w:rsid w:val="001D69AE"/>
    <w:rsid w:val="001D6A50"/>
    <w:rsid w:val="001D6BE8"/>
    <w:rsid w:val="001D6C1F"/>
    <w:rsid w:val="001D6C52"/>
    <w:rsid w:val="001D6C64"/>
    <w:rsid w:val="001D6C6A"/>
    <w:rsid w:val="001D6D0A"/>
    <w:rsid w:val="001D6D0C"/>
    <w:rsid w:val="001D6E37"/>
    <w:rsid w:val="001D704F"/>
    <w:rsid w:val="001D70A7"/>
    <w:rsid w:val="001D70F5"/>
    <w:rsid w:val="001D7129"/>
    <w:rsid w:val="001D718B"/>
    <w:rsid w:val="001D72B8"/>
    <w:rsid w:val="001D72D2"/>
    <w:rsid w:val="001D72DC"/>
    <w:rsid w:val="001D7479"/>
    <w:rsid w:val="001D7608"/>
    <w:rsid w:val="001D781A"/>
    <w:rsid w:val="001D785F"/>
    <w:rsid w:val="001D78F9"/>
    <w:rsid w:val="001D7921"/>
    <w:rsid w:val="001D7A6F"/>
    <w:rsid w:val="001D7A8F"/>
    <w:rsid w:val="001D7AA3"/>
    <w:rsid w:val="001D7CD1"/>
    <w:rsid w:val="001D7D7F"/>
    <w:rsid w:val="001D7E0C"/>
    <w:rsid w:val="001E01D5"/>
    <w:rsid w:val="001E0202"/>
    <w:rsid w:val="001E025C"/>
    <w:rsid w:val="001E05C9"/>
    <w:rsid w:val="001E0627"/>
    <w:rsid w:val="001E0764"/>
    <w:rsid w:val="001E0783"/>
    <w:rsid w:val="001E08E6"/>
    <w:rsid w:val="001E0980"/>
    <w:rsid w:val="001E0ABF"/>
    <w:rsid w:val="001E0CA9"/>
    <w:rsid w:val="001E0CD2"/>
    <w:rsid w:val="001E0DEB"/>
    <w:rsid w:val="001E0E64"/>
    <w:rsid w:val="001E0F96"/>
    <w:rsid w:val="001E1023"/>
    <w:rsid w:val="001E106D"/>
    <w:rsid w:val="001E12B6"/>
    <w:rsid w:val="001E12DF"/>
    <w:rsid w:val="001E13D7"/>
    <w:rsid w:val="001E14C9"/>
    <w:rsid w:val="001E157F"/>
    <w:rsid w:val="001E16DC"/>
    <w:rsid w:val="001E1713"/>
    <w:rsid w:val="001E17A5"/>
    <w:rsid w:val="001E1891"/>
    <w:rsid w:val="001E19C0"/>
    <w:rsid w:val="001E1A8C"/>
    <w:rsid w:val="001E1BF8"/>
    <w:rsid w:val="001E1C5C"/>
    <w:rsid w:val="001E1E22"/>
    <w:rsid w:val="001E1FED"/>
    <w:rsid w:val="001E21D2"/>
    <w:rsid w:val="001E2224"/>
    <w:rsid w:val="001E22C4"/>
    <w:rsid w:val="001E2605"/>
    <w:rsid w:val="001E2851"/>
    <w:rsid w:val="001E285E"/>
    <w:rsid w:val="001E294F"/>
    <w:rsid w:val="001E29AF"/>
    <w:rsid w:val="001E2A35"/>
    <w:rsid w:val="001E2A9B"/>
    <w:rsid w:val="001E2B12"/>
    <w:rsid w:val="001E2B19"/>
    <w:rsid w:val="001E2BB4"/>
    <w:rsid w:val="001E2C5D"/>
    <w:rsid w:val="001E2C8D"/>
    <w:rsid w:val="001E2DA2"/>
    <w:rsid w:val="001E2E85"/>
    <w:rsid w:val="001E2EB2"/>
    <w:rsid w:val="001E2F5B"/>
    <w:rsid w:val="001E309B"/>
    <w:rsid w:val="001E35C8"/>
    <w:rsid w:val="001E35FA"/>
    <w:rsid w:val="001E3691"/>
    <w:rsid w:val="001E36D0"/>
    <w:rsid w:val="001E36E2"/>
    <w:rsid w:val="001E37AE"/>
    <w:rsid w:val="001E391F"/>
    <w:rsid w:val="001E3993"/>
    <w:rsid w:val="001E3A21"/>
    <w:rsid w:val="001E3D95"/>
    <w:rsid w:val="001E3F2C"/>
    <w:rsid w:val="001E3F38"/>
    <w:rsid w:val="001E4135"/>
    <w:rsid w:val="001E430A"/>
    <w:rsid w:val="001E4347"/>
    <w:rsid w:val="001E43FB"/>
    <w:rsid w:val="001E4829"/>
    <w:rsid w:val="001E4976"/>
    <w:rsid w:val="001E4B16"/>
    <w:rsid w:val="001E4C0A"/>
    <w:rsid w:val="001E4D11"/>
    <w:rsid w:val="001E4D88"/>
    <w:rsid w:val="001E4DE2"/>
    <w:rsid w:val="001E50DD"/>
    <w:rsid w:val="001E54A1"/>
    <w:rsid w:val="001E5565"/>
    <w:rsid w:val="001E556E"/>
    <w:rsid w:val="001E5702"/>
    <w:rsid w:val="001E5A54"/>
    <w:rsid w:val="001E5AD0"/>
    <w:rsid w:val="001E5BCE"/>
    <w:rsid w:val="001E5D27"/>
    <w:rsid w:val="001E5DEC"/>
    <w:rsid w:val="001E5E17"/>
    <w:rsid w:val="001E5E22"/>
    <w:rsid w:val="001E5E52"/>
    <w:rsid w:val="001E5F45"/>
    <w:rsid w:val="001E5F6A"/>
    <w:rsid w:val="001E6059"/>
    <w:rsid w:val="001E618C"/>
    <w:rsid w:val="001E6320"/>
    <w:rsid w:val="001E63F6"/>
    <w:rsid w:val="001E6506"/>
    <w:rsid w:val="001E65B0"/>
    <w:rsid w:val="001E65D4"/>
    <w:rsid w:val="001E6632"/>
    <w:rsid w:val="001E6722"/>
    <w:rsid w:val="001E689A"/>
    <w:rsid w:val="001E696F"/>
    <w:rsid w:val="001E6C65"/>
    <w:rsid w:val="001E6C6C"/>
    <w:rsid w:val="001E6CC5"/>
    <w:rsid w:val="001E703D"/>
    <w:rsid w:val="001E715A"/>
    <w:rsid w:val="001E7170"/>
    <w:rsid w:val="001E71D4"/>
    <w:rsid w:val="001E7213"/>
    <w:rsid w:val="001E7300"/>
    <w:rsid w:val="001E73D2"/>
    <w:rsid w:val="001E74BC"/>
    <w:rsid w:val="001E7703"/>
    <w:rsid w:val="001E771D"/>
    <w:rsid w:val="001E78B4"/>
    <w:rsid w:val="001E7BE1"/>
    <w:rsid w:val="001E7C84"/>
    <w:rsid w:val="001E7E76"/>
    <w:rsid w:val="001E7EBC"/>
    <w:rsid w:val="001E7FAC"/>
    <w:rsid w:val="001F002C"/>
    <w:rsid w:val="001F0084"/>
    <w:rsid w:val="001F00AB"/>
    <w:rsid w:val="001F00DF"/>
    <w:rsid w:val="001F0177"/>
    <w:rsid w:val="001F0523"/>
    <w:rsid w:val="001F078D"/>
    <w:rsid w:val="001F0982"/>
    <w:rsid w:val="001F0C4A"/>
    <w:rsid w:val="001F0F8E"/>
    <w:rsid w:val="001F1094"/>
    <w:rsid w:val="001F1343"/>
    <w:rsid w:val="001F1377"/>
    <w:rsid w:val="001F148D"/>
    <w:rsid w:val="001F14AD"/>
    <w:rsid w:val="001F14DC"/>
    <w:rsid w:val="001F1834"/>
    <w:rsid w:val="001F19F0"/>
    <w:rsid w:val="001F1ADE"/>
    <w:rsid w:val="001F1AEC"/>
    <w:rsid w:val="001F1B01"/>
    <w:rsid w:val="001F1C7D"/>
    <w:rsid w:val="001F1C89"/>
    <w:rsid w:val="001F1C8F"/>
    <w:rsid w:val="001F1E80"/>
    <w:rsid w:val="001F2014"/>
    <w:rsid w:val="001F20B7"/>
    <w:rsid w:val="001F2135"/>
    <w:rsid w:val="001F2136"/>
    <w:rsid w:val="001F2490"/>
    <w:rsid w:val="001F2585"/>
    <w:rsid w:val="001F27C0"/>
    <w:rsid w:val="001F27C8"/>
    <w:rsid w:val="001F27E6"/>
    <w:rsid w:val="001F283A"/>
    <w:rsid w:val="001F2841"/>
    <w:rsid w:val="001F29A0"/>
    <w:rsid w:val="001F29FD"/>
    <w:rsid w:val="001F2A15"/>
    <w:rsid w:val="001F2A75"/>
    <w:rsid w:val="001F2B08"/>
    <w:rsid w:val="001F2C6C"/>
    <w:rsid w:val="001F2D49"/>
    <w:rsid w:val="001F2F1A"/>
    <w:rsid w:val="001F3054"/>
    <w:rsid w:val="001F30C7"/>
    <w:rsid w:val="001F3487"/>
    <w:rsid w:val="001F367A"/>
    <w:rsid w:val="001F3B21"/>
    <w:rsid w:val="001F3C8C"/>
    <w:rsid w:val="001F3D3F"/>
    <w:rsid w:val="001F3F58"/>
    <w:rsid w:val="001F4079"/>
    <w:rsid w:val="001F418C"/>
    <w:rsid w:val="001F42D2"/>
    <w:rsid w:val="001F432F"/>
    <w:rsid w:val="001F47A0"/>
    <w:rsid w:val="001F4924"/>
    <w:rsid w:val="001F4CC0"/>
    <w:rsid w:val="001F4D8B"/>
    <w:rsid w:val="001F4F04"/>
    <w:rsid w:val="001F525C"/>
    <w:rsid w:val="001F52B2"/>
    <w:rsid w:val="001F52C8"/>
    <w:rsid w:val="001F5331"/>
    <w:rsid w:val="001F54EB"/>
    <w:rsid w:val="001F55CB"/>
    <w:rsid w:val="001F5784"/>
    <w:rsid w:val="001F583F"/>
    <w:rsid w:val="001F58AE"/>
    <w:rsid w:val="001F591C"/>
    <w:rsid w:val="001F594C"/>
    <w:rsid w:val="001F59C6"/>
    <w:rsid w:val="001F5DFD"/>
    <w:rsid w:val="001F5FB0"/>
    <w:rsid w:val="001F6019"/>
    <w:rsid w:val="001F6261"/>
    <w:rsid w:val="001F62D7"/>
    <w:rsid w:val="001F6416"/>
    <w:rsid w:val="001F648E"/>
    <w:rsid w:val="001F664B"/>
    <w:rsid w:val="001F6764"/>
    <w:rsid w:val="001F67A1"/>
    <w:rsid w:val="001F6832"/>
    <w:rsid w:val="001F6882"/>
    <w:rsid w:val="001F699F"/>
    <w:rsid w:val="001F6DAF"/>
    <w:rsid w:val="001F6FA2"/>
    <w:rsid w:val="001F7042"/>
    <w:rsid w:val="001F70FA"/>
    <w:rsid w:val="001F7177"/>
    <w:rsid w:val="001F7242"/>
    <w:rsid w:val="001F73C0"/>
    <w:rsid w:val="001F741A"/>
    <w:rsid w:val="001F7587"/>
    <w:rsid w:val="001F758E"/>
    <w:rsid w:val="001F75F7"/>
    <w:rsid w:val="001F7784"/>
    <w:rsid w:val="001F77D0"/>
    <w:rsid w:val="001F78EA"/>
    <w:rsid w:val="001F790B"/>
    <w:rsid w:val="001F7B25"/>
    <w:rsid w:val="001F7B66"/>
    <w:rsid w:val="001F7BB2"/>
    <w:rsid w:val="001F7C1D"/>
    <w:rsid w:val="001F7CCF"/>
    <w:rsid w:val="001F7DE5"/>
    <w:rsid w:val="001F7DFB"/>
    <w:rsid w:val="001F7E12"/>
    <w:rsid w:val="001F7FD3"/>
    <w:rsid w:val="0020009B"/>
    <w:rsid w:val="002000CC"/>
    <w:rsid w:val="00200171"/>
    <w:rsid w:val="00200209"/>
    <w:rsid w:val="0020028A"/>
    <w:rsid w:val="002002E5"/>
    <w:rsid w:val="00200413"/>
    <w:rsid w:val="00200484"/>
    <w:rsid w:val="00200540"/>
    <w:rsid w:val="0020068A"/>
    <w:rsid w:val="00200847"/>
    <w:rsid w:val="0020087F"/>
    <w:rsid w:val="00200C3F"/>
    <w:rsid w:val="00200C9E"/>
    <w:rsid w:val="00200E6E"/>
    <w:rsid w:val="00200EAA"/>
    <w:rsid w:val="00200F9F"/>
    <w:rsid w:val="00200FAB"/>
    <w:rsid w:val="00200FB1"/>
    <w:rsid w:val="0020116A"/>
    <w:rsid w:val="0020122B"/>
    <w:rsid w:val="00201367"/>
    <w:rsid w:val="002014A1"/>
    <w:rsid w:val="00201514"/>
    <w:rsid w:val="0020164A"/>
    <w:rsid w:val="002016A3"/>
    <w:rsid w:val="002017C0"/>
    <w:rsid w:val="00201AB1"/>
    <w:rsid w:val="00201B6C"/>
    <w:rsid w:val="00201F1F"/>
    <w:rsid w:val="00202060"/>
    <w:rsid w:val="0020212D"/>
    <w:rsid w:val="002021A0"/>
    <w:rsid w:val="0020221D"/>
    <w:rsid w:val="002022C8"/>
    <w:rsid w:val="0020238A"/>
    <w:rsid w:val="002023A5"/>
    <w:rsid w:val="00202451"/>
    <w:rsid w:val="00202554"/>
    <w:rsid w:val="00202600"/>
    <w:rsid w:val="00202668"/>
    <w:rsid w:val="00202734"/>
    <w:rsid w:val="00202739"/>
    <w:rsid w:val="0020277C"/>
    <w:rsid w:val="00202B65"/>
    <w:rsid w:val="00202CD0"/>
    <w:rsid w:val="00202D30"/>
    <w:rsid w:val="00202EB1"/>
    <w:rsid w:val="002030A1"/>
    <w:rsid w:val="0020346F"/>
    <w:rsid w:val="0020355B"/>
    <w:rsid w:val="00203569"/>
    <w:rsid w:val="002039A1"/>
    <w:rsid w:val="00203B22"/>
    <w:rsid w:val="00203C31"/>
    <w:rsid w:val="00203CFE"/>
    <w:rsid w:val="00203D88"/>
    <w:rsid w:val="00203DD6"/>
    <w:rsid w:val="00203E7D"/>
    <w:rsid w:val="00203F0D"/>
    <w:rsid w:val="00204103"/>
    <w:rsid w:val="00204354"/>
    <w:rsid w:val="002043CF"/>
    <w:rsid w:val="002043DB"/>
    <w:rsid w:val="0020449F"/>
    <w:rsid w:val="002044F9"/>
    <w:rsid w:val="00204592"/>
    <w:rsid w:val="002045AF"/>
    <w:rsid w:val="002045B6"/>
    <w:rsid w:val="00204697"/>
    <w:rsid w:val="0020482E"/>
    <w:rsid w:val="00204A52"/>
    <w:rsid w:val="00204A55"/>
    <w:rsid w:val="00204AC3"/>
    <w:rsid w:val="00204BDB"/>
    <w:rsid w:val="00204BF1"/>
    <w:rsid w:val="00204E81"/>
    <w:rsid w:val="00204F7D"/>
    <w:rsid w:val="00204FB9"/>
    <w:rsid w:val="0020508D"/>
    <w:rsid w:val="00205193"/>
    <w:rsid w:val="0020526A"/>
    <w:rsid w:val="002052AC"/>
    <w:rsid w:val="002053E5"/>
    <w:rsid w:val="00205573"/>
    <w:rsid w:val="002055F2"/>
    <w:rsid w:val="00205705"/>
    <w:rsid w:val="0020583A"/>
    <w:rsid w:val="00205A07"/>
    <w:rsid w:val="00205D41"/>
    <w:rsid w:val="00205D79"/>
    <w:rsid w:val="00205DFC"/>
    <w:rsid w:val="00205E2E"/>
    <w:rsid w:val="00205E74"/>
    <w:rsid w:val="00205EF0"/>
    <w:rsid w:val="00205F6D"/>
    <w:rsid w:val="00205FD2"/>
    <w:rsid w:val="002060B2"/>
    <w:rsid w:val="00206179"/>
    <w:rsid w:val="0020623C"/>
    <w:rsid w:val="00206538"/>
    <w:rsid w:val="00206810"/>
    <w:rsid w:val="0020688F"/>
    <w:rsid w:val="00206933"/>
    <w:rsid w:val="00206E16"/>
    <w:rsid w:val="00206F26"/>
    <w:rsid w:val="0020707A"/>
    <w:rsid w:val="00207218"/>
    <w:rsid w:val="002072C7"/>
    <w:rsid w:val="002072F9"/>
    <w:rsid w:val="002073B7"/>
    <w:rsid w:val="00207638"/>
    <w:rsid w:val="0020766E"/>
    <w:rsid w:val="0020774E"/>
    <w:rsid w:val="00207865"/>
    <w:rsid w:val="00207991"/>
    <w:rsid w:val="00207B91"/>
    <w:rsid w:val="00207CF2"/>
    <w:rsid w:val="00207D08"/>
    <w:rsid w:val="00207D0A"/>
    <w:rsid w:val="00207D3A"/>
    <w:rsid w:val="00207DC2"/>
    <w:rsid w:val="00210103"/>
    <w:rsid w:val="0021029D"/>
    <w:rsid w:val="00210332"/>
    <w:rsid w:val="002103F7"/>
    <w:rsid w:val="00210522"/>
    <w:rsid w:val="0021055D"/>
    <w:rsid w:val="002105D1"/>
    <w:rsid w:val="0021066B"/>
    <w:rsid w:val="00210A83"/>
    <w:rsid w:val="00210ABC"/>
    <w:rsid w:val="00210DD8"/>
    <w:rsid w:val="0021100C"/>
    <w:rsid w:val="0021101E"/>
    <w:rsid w:val="00211038"/>
    <w:rsid w:val="002110C0"/>
    <w:rsid w:val="00211126"/>
    <w:rsid w:val="00211293"/>
    <w:rsid w:val="002113BF"/>
    <w:rsid w:val="002113E5"/>
    <w:rsid w:val="002114D8"/>
    <w:rsid w:val="00211702"/>
    <w:rsid w:val="002118A1"/>
    <w:rsid w:val="00211F0B"/>
    <w:rsid w:val="00212479"/>
    <w:rsid w:val="00212685"/>
    <w:rsid w:val="002126CE"/>
    <w:rsid w:val="00212701"/>
    <w:rsid w:val="00212A9F"/>
    <w:rsid w:val="00212BF0"/>
    <w:rsid w:val="00212CD7"/>
    <w:rsid w:val="00212D0F"/>
    <w:rsid w:val="00212E7C"/>
    <w:rsid w:val="00212E99"/>
    <w:rsid w:val="00212F79"/>
    <w:rsid w:val="00213024"/>
    <w:rsid w:val="00213053"/>
    <w:rsid w:val="00213083"/>
    <w:rsid w:val="002131FB"/>
    <w:rsid w:val="0021339A"/>
    <w:rsid w:val="002135E7"/>
    <w:rsid w:val="0021368A"/>
    <w:rsid w:val="002139AB"/>
    <w:rsid w:val="00213A4E"/>
    <w:rsid w:val="00213A5D"/>
    <w:rsid w:val="00213B43"/>
    <w:rsid w:val="00213B6A"/>
    <w:rsid w:val="00213ECB"/>
    <w:rsid w:val="00214050"/>
    <w:rsid w:val="002140F8"/>
    <w:rsid w:val="0021419B"/>
    <w:rsid w:val="00214377"/>
    <w:rsid w:val="002143B8"/>
    <w:rsid w:val="002143C2"/>
    <w:rsid w:val="00214407"/>
    <w:rsid w:val="0021458C"/>
    <w:rsid w:val="002145C6"/>
    <w:rsid w:val="0021473E"/>
    <w:rsid w:val="00214936"/>
    <w:rsid w:val="00214BFE"/>
    <w:rsid w:val="00214D4B"/>
    <w:rsid w:val="00214D53"/>
    <w:rsid w:val="00214EF6"/>
    <w:rsid w:val="00215014"/>
    <w:rsid w:val="00215161"/>
    <w:rsid w:val="002151CF"/>
    <w:rsid w:val="002151D2"/>
    <w:rsid w:val="002151DE"/>
    <w:rsid w:val="00215200"/>
    <w:rsid w:val="002152D6"/>
    <w:rsid w:val="0021533E"/>
    <w:rsid w:val="002153C2"/>
    <w:rsid w:val="002153C7"/>
    <w:rsid w:val="00215884"/>
    <w:rsid w:val="002158DC"/>
    <w:rsid w:val="002159EB"/>
    <w:rsid w:val="00215B7E"/>
    <w:rsid w:val="00215BCF"/>
    <w:rsid w:val="00215C20"/>
    <w:rsid w:val="00215C88"/>
    <w:rsid w:val="00215D8E"/>
    <w:rsid w:val="00215E37"/>
    <w:rsid w:val="00215FA1"/>
    <w:rsid w:val="00215FDF"/>
    <w:rsid w:val="00216012"/>
    <w:rsid w:val="002160AB"/>
    <w:rsid w:val="002160CC"/>
    <w:rsid w:val="00216154"/>
    <w:rsid w:val="00216531"/>
    <w:rsid w:val="00216643"/>
    <w:rsid w:val="002166D1"/>
    <w:rsid w:val="002168F5"/>
    <w:rsid w:val="00216A02"/>
    <w:rsid w:val="00216ABE"/>
    <w:rsid w:val="00216AD3"/>
    <w:rsid w:val="00216C25"/>
    <w:rsid w:val="00216C69"/>
    <w:rsid w:val="00216D47"/>
    <w:rsid w:val="00216E9D"/>
    <w:rsid w:val="00216ED9"/>
    <w:rsid w:val="002170F9"/>
    <w:rsid w:val="002173F0"/>
    <w:rsid w:val="002176BF"/>
    <w:rsid w:val="0021773E"/>
    <w:rsid w:val="002177F6"/>
    <w:rsid w:val="00217811"/>
    <w:rsid w:val="00217822"/>
    <w:rsid w:val="002178FF"/>
    <w:rsid w:val="00217935"/>
    <w:rsid w:val="00217AE4"/>
    <w:rsid w:val="00217BD9"/>
    <w:rsid w:val="00217BDD"/>
    <w:rsid w:val="00217C3C"/>
    <w:rsid w:val="00217D2A"/>
    <w:rsid w:val="00217F9A"/>
    <w:rsid w:val="002200E9"/>
    <w:rsid w:val="0022017B"/>
    <w:rsid w:val="002201BA"/>
    <w:rsid w:val="00220272"/>
    <w:rsid w:val="00220286"/>
    <w:rsid w:val="0022039F"/>
    <w:rsid w:val="00220769"/>
    <w:rsid w:val="002207AC"/>
    <w:rsid w:val="002207C8"/>
    <w:rsid w:val="002207F7"/>
    <w:rsid w:val="00220AAB"/>
    <w:rsid w:val="00220E31"/>
    <w:rsid w:val="00221249"/>
    <w:rsid w:val="0022127F"/>
    <w:rsid w:val="002212AD"/>
    <w:rsid w:val="002214EC"/>
    <w:rsid w:val="00221523"/>
    <w:rsid w:val="002217E9"/>
    <w:rsid w:val="00221A02"/>
    <w:rsid w:val="00221D12"/>
    <w:rsid w:val="00221FF5"/>
    <w:rsid w:val="002220A8"/>
    <w:rsid w:val="002220B4"/>
    <w:rsid w:val="00222141"/>
    <w:rsid w:val="002221D8"/>
    <w:rsid w:val="0022245E"/>
    <w:rsid w:val="0022265A"/>
    <w:rsid w:val="0022285B"/>
    <w:rsid w:val="00222928"/>
    <w:rsid w:val="00222B9E"/>
    <w:rsid w:val="00222CD7"/>
    <w:rsid w:val="00222D24"/>
    <w:rsid w:val="00222DCB"/>
    <w:rsid w:val="00222EFF"/>
    <w:rsid w:val="00223251"/>
    <w:rsid w:val="002236D1"/>
    <w:rsid w:val="0022387E"/>
    <w:rsid w:val="00223A20"/>
    <w:rsid w:val="00223A35"/>
    <w:rsid w:val="00223AFF"/>
    <w:rsid w:val="00223B8C"/>
    <w:rsid w:val="00223B91"/>
    <w:rsid w:val="00223BDE"/>
    <w:rsid w:val="00223C96"/>
    <w:rsid w:val="00223D15"/>
    <w:rsid w:val="00223D53"/>
    <w:rsid w:val="00223E3F"/>
    <w:rsid w:val="00224014"/>
    <w:rsid w:val="002240B8"/>
    <w:rsid w:val="00224344"/>
    <w:rsid w:val="002243D0"/>
    <w:rsid w:val="0022445B"/>
    <w:rsid w:val="0022446B"/>
    <w:rsid w:val="0022451A"/>
    <w:rsid w:val="00224528"/>
    <w:rsid w:val="00224900"/>
    <w:rsid w:val="00224B21"/>
    <w:rsid w:val="00224B76"/>
    <w:rsid w:val="00224C02"/>
    <w:rsid w:val="00224D1D"/>
    <w:rsid w:val="00224D43"/>
    <w:rsid w:val="0022507F"/>
    <w:rsid w:val="00225155"/>
    <w:rsid w:val="002251AA"/>
    <w:rsid w:val="002251EA"/>
    <w:rsid w:val="002252B2"/>
    <w:rsid w:val="00225347"/>
    <w:rsid w:val="0022537D"/>
    <w:rsid w:val="00225469"/>
    <w:rsid w:val="00225532"/>
    <w:rsid w:val="0022558D"/>
    <w:rsid w:val="00225873"/>
    <w:rsid w:val="00225B60"/>
    <w:rsid w:val="00225C8B"/>
    <w:rsid w:val="00225F0C"/>
    <w:rsid w:val="00225F5B"/>
    <w:rsid w:val="002262AE"/>
    <w:rsid w:val="002263BC"/>
    <w:rsid w:val="0022647F"/>
    <w:rsid w:val="00226621"/>
    <w:rsid w:val="00226748"/>
    <w:rsid w:val="00226831"/>
    <w:rsid w:val="0022692C"/>
    <w:rsid w:val="00226AE7"/>
    <w:rsid w:val="00226B9D"/>
    <w:rsid w:val="00226BFA"/>
    <w:rsid w:val="00226C4F"/>
    <w:rsid w:val="00226CE4"/>
    <w:rsid w:val="00226D5F"/>
    <w:rsid w:val="00226E01"/>
    <w:rsid w:val="00226F36"/>
    <w:rsid w:val="00227005"/>
    <w:rsid w:val="0022715E"/>
    <w:rsid w:val="00227565"/>
    <w:rsid w:val="0022772A"/>
    <w:rsid w:val="0022775B"/>
    <w:rsid w:val="00227AAE"/>
    <w:rsid w:val="00227CFB"/>
    <w:rsid w:val="00227D8C"/>
    <w:rsid w:val="00227DB2"/>
    <w:rsid w:val="00227EB0"/>
    <w:rsid w:val="002301C9"/>
    <w:rsid w:val="00230226"/>
    <w:rsid w:val="00230240"/>
    <w:rsid w:val="00230334"/>
    <w:rsid w:val="002303CC"/>
    <w:rsid w:val="002304E5"/>
    <w:rsid w:val="0023058A"/>
    <w:rsid w:val="002305C0"/>
    <w:rsid w:val="00230665"/>
    <w:rsid w:val="002306F9"/>
    <w:rsid w:val="00230802"/>
    <w:rsid w:val="00230829"/>
    <w:rsid w:val="0023084C"/>
    <w:rsid w:val="00230A24"/>
    <w:rsid w:val="00230A69"/>
    <w:rsid w:val="00230C3D"/>
    <w:rsid w:val="00230E79"/>
    <w:rsid w:val="00230FA2"/>
    <w:rsid w:val="002310BF"/>
    <w:rsid w:val="002310E5"/>
    <w:rsid w:val="00231166"/>
    <w:rsid w:val="0023121D"/>
    <w:rsid w:val="0023128A"/>
    <w:rsid w:val="00231432"/>
    <w:rsid w:val="002314CB"/>
    <w:rsid w:val="00231847"/>
    <w:rsid w:val="00231AA3"/>
    <w:rsid w:val="00231CA5"/>
    <w:rsid w:val="00231D7B"/>
    <w:rsid w:val="00231DA1"/>
    <w:rsid w:val="00231E1D"/>
    <w:rsid w:val="00232056"/>
    <w:rsid w:val="0023209F"/>
    <w:rsid w:val="002321A1"/>
    <w:rsid w:val="0023227A"/>
    <w:rsid w:val="0023236C"/>
    <w:rsid w:val="00232470"/>
    <w:rsid w:val="00232584"/>
    <w:rsid w:val="002325CA"/>
    <w:rsid w:val="00232707"/>
    <w:rsid w:val="00232733"/>
    <w:rsid w:val="0023274C"/>
    <w:rsid w:val="002328B4"/>
    <w:rsid w:val="00232910"/>
    <w:rsid w:val="002329CB"/>
    <w:rsid w:val="00232AA0"/>
    <w:rsid w:val="00232C24"/>
    <w:rsid w:val="00232D25"/>
    <w:rsid w:val="00232F4B"/>
    <w:rsid w:val="00232F61"/>
    <w:rsid w:val="00232F8B"/>
    <w:rsid w:val="0023301E"/>
    <w:rsid w:val="0023308C"/>
    <w:rsid w:val="002330E5"/>
    <w:rsid w:val="002333EA"/>
    <w:rsid w:val="0023348F"/>
    <w:rsid w:val="002334BA"/>
    <w:rsid w:val="002334DD"/>
    <w:rsid w:val="00233511"/>
    <w:rsid w:val="00233968"/>
    <w:rsid w:val="002339ED"/>
    <w:rsid w:val="00233A87"/>
    <w:rsid w:val="00233B27"/>
    <w:rsid w:val="00233C9A"/>
    <w:rsid w:val="00233E0B"/>
    <w:rsid w:val="00233E90"/>
    <w:rsid w:val="00233EBB"/>
    <w:rsid w:val="002340AE"/>
    <w:rsid w:val="002344F5"/>
    <w:rsid w:val="0023453D"/>
    <w:rsid w:val="002345B3"/>
    <w:rsid w:val="002345F7"/>
    <w:rsid w:val="002346BA"/>
    <w:rsid w:val="00234754"/>
    <w:rsid w:val="00234E47"/>
    <w:rsid w:val="00234E55"/>
    <w:rsid w:val="00234E85"/>
    <w:rsid w:val="002351CC"/>
    <w:rsid w:val="002354D1"/>
    <w:rsid w:val="002355BB"/>
    <w:rsid w:val="0023568F"/>
    <w:rsid w:val="002356A1"/>
    <w:rsid w:val="0023575E"/>
    <w:rsid w:val="0023580F"/>
    <w:rsid w:val="00235883"/>
    <w:rsid w:val="00235E09"/>
    <w:rsid w:val="002360DA"/>
    <w:rsid w:val="00236136"/>
    <w:rsid w:val="00236479"/>
    <w:rsid w:val="002364D8"/>
    <w:rsid w:val="002364FE"/>
    <w:rsid w:val="002366CD"/>
    <w:rsid w:val="002366ED"/>
    <w:rsid w:val="002366FA"/>
    <w:rsid w:val="0023673A"/>
    <w:rsid w:val="00236855"/>
    <w:rsid w:val="00236971"/>
    <w:rsid w:val="00236B4C"/>
    <w:rsid w:val="00236C60"/>
    <w:rsid w:val="00236C6C"/>
    <w:rsid w:val="00236CCE"/>
    <w:rsid w:val="00236DDA"/>
    <w:rsid w:val="00236E52"/>
    <w:rsid w:val="00237011"/>
    <w:rsid w:val="00237189"/>
    <w:rsid w:val="00237213"/>
    <w:rsid w:val="002372DB"/>
    <w:rsid w:val="00237385"/>
    <w:rsid w:val="0023739F"/>
    <w:rsid w:val="002374A4"/>
    <w:rsid w:val="002374DE"/>
    <w:rsid w:val="00237592"/>
    <w:rsid w:val="0023770D"/>
    <w:rsid w:val="00237714"/>
    <w:rsid w:val="00237779"/>
    <w:rsid w:val="002377DB"/>
    <w:rsid w:val="002378FC"/>
    <w:rsid w:val="00237985"/>
    <w:rsid w:val="00237A02"/>
    <w:rsid w:val="00237A45"/>
    <w:rsid w:val="00237ABF"/>
    <w:rsid w:val="00237C5B"/>
    <w:rsid w:val="00237DF8"/>
    <w:rsid w:val="00237F4C"/>
    <w:rsid w:val="00237F9E"/>
    <w:rsid w:val="00240092"/>
    <w:rsid w:val="002400EA"/>
    <w:rsid w:val="00240115"/>
    <w:rsid w:val="00240158"/>
    <w:rsid w:val="002401E7"/>
    <w:rsid w:val="00240339"/>
    <w:rsid w:val="002403C8"/>
    <w:rsid w:val="00240646"/>
    <w:rsid w:val="00240746"/>
    <w:rsid w:val="00240764"/>
    <w:rsid w:val="00240952"/>
    <w:rsid w:val="00240AB8"/>
    <w:rsid w:val="00240B04"/>
    <w:rsid w:val="00240B79"/>
    <w:rsid w:val="00240B93"/>
    <w:rsid w:val="00240C82"/>
    <w:rsid w:val="00240DF7"/>
    <w:rsid w:val="00240E26"/>
    <w:rsid w:val="00240F47"/>
    <w:rsid w:val="00240F8D"/>
    <w:rsid w:val="00240FEF"/>
    <w:rsid w:val="00241077"/>
    <w:rsid w:val="002410F5"/>
    <w:rsid w:val="0024125D"/>
    <w:rsid w:val="002413C2"/>
    <w:rsid w:val="00241524"/>
    <w:rsid w:val="00241567"/>
    <w:rsid w:val="0024156B"/>
    <w:rsid w:val="00241857"/>
    <w:rsid w:val="002419B7"/>
    <w:rsid w:val="00241B62"/>
    <w:rsid w:val="00241B95"/>
    <w:rsid w:val="00241BED"/>
    <w:rsid w:val="00241E43"/>
    <w:rsid w:val="00241E6D"/>
    <w:rsid w:val="00242008"/>
    <w:rsid w:val="002422D7"/>
    <w:rsid w:val="0024288A"/>
    <w:rsid w:val="0024296B"/>
    <w:rsid w:val="00242AE0"/>
    <w:rsid w:val="00242DA0"/>
    <w:rsid w:val="00242F05"/>
    <w:rsid w:val="00242F1A"/>
    <w:rsid w:val="00242F26"/>
    <w:rsid w:val="00243067"/>
    <w:rsid w:val="0024308E"/>
    <w:rsid w:val="002430AF"/>
    <w:rsid w:val="0024312A"/>
    <w:rsid w:val="00243211"/>
    <w:rsid w:val="00243314"/>
    <w:rsid w:val="00243351"/>
    <w:rsid w:val="002434AD"/>
    <w:rsid w:val="00243520"/>
    <w:rsid w:val="00243560"/>
    <w:rsid w:val="00243576"/>
    <w:rsid w:val="00243612"/>
    <w:rsid w:val="00243619"/>
    <w:rsid w:val="00243689"/>
    <w:rsid w:val="00243B26"/>
    <w:rsid w:val="00243CD0"/>
    <w:rsid w:val="00243D8C"/>
    <w:rsid w:val="00243DC7"/>
    <w:rsid w:val="00243DF5"/>
    <w:rsid w:val="00243F68"/>
    <w:rsid w:val="00244005"/>
    <w:rsid w:val="002440F5"/>
    <w:rsid w:val="002440FE"/>
    <w:rsid w:val="00244183"/>
    <w:rsid w:val="0024431D"/>
    <w:rsid w:val="00244344"/>
    <w:rsid w:val="002443E8"/>
    <w:rsid w:val="00244548"/>
    <w:rsid w:val="0024463A"/>
    <w:rsid w:val="0024466D"/>
    <w:rsid w:val="0024486B"/>
    <w:rsid w:val="00244940"/>
    <w:rsid w:val="00244A51"/>
    <w:rsid w:val="00244AFF"/>
    <w:rsid w:val="00244B09"/>
    <w:rsid w:val="00244D6D"/>
    <w:rsid w:val="00244D9F"/>
    <w:rsid w:val="00244E48"/>
    <w:rsid w:val="00244EA1"/>
    <w:rsid w:val="00245028"/>
    <w:rsid w:val="002450AC"/>
    <w:rsid w:val="0024515A"/>
    <w:rsid w:val="0024521E"/>
    <w:rsid w:val="0024524B"/>
    <w:rsid w:val="002452AF"/>
    <w:rsid w:val="0024549F"/>
    <w:rsid w:val="0024557F"/>
    <w:rsid w:val="00245889"/>
    <w:rsid w:val="002459B9"/>
    <w:rsid w:val="00245A89"/>
    <w:rsid w:val="00245B0E"/>
    <w:rsid w:val="00245C08"/>
    <w:rsid w:val="00245CF5"/>
    <w:rsid w:val="00245EB5"/>
    <w:rsid w:val="00245EB6"/>
    <w:rsid w:val="00245F70"/>
    <w:rsid w:val="00245FF9"/>
    <w:rsid w:val="002460CB"/>
    <w:rsid w:val="002462A2"/>
    <w:rsid w:val="002462B9"/>
    <w:rsid w:val="00246505"/>
    <w:rsid w:val="0024654B"/>
    <w:rsid w:val="00246624"/>
    <w:rsid w:val="00246664"/>
    <w:rsid w:val="00246674"/>
    <w:rsid w:val="00246698"/>
    <w:rsid w:val="00246720"/>
    <w:rsid w:val="00246763"/>
    <w:rsid w:val="002467E6"/>
    <w:rsid w:val="00246895"/>
    <w:rsid w:val="00246A3B"/>
    <w:rsid w:val="00246D97"/>
    <w:rsid w:val="00246E25"/>
    <w:rsid w:val="00246ED3"/>
    <w:rsid w:val="00246F87"/>
    <w:rsid w:val="00246F9F"/>
    <w:rsid w:val="00247034"/>
    <w:rsid w:val="0024704C"/>
    <w:rsid w:val="002470F6"/>
    <w:rsid w:val="002471A6"/>
    <w:rsid w:val="002472E1"/>
    <w:rsid w:val="0024733F"/>
    <w:rsid w:val="002473DB"/>
    <w:rsid w:val="002474F8"/>
    <w:rsid w:val="002475DA"/>
    <w:rsid w:val="002476F2"/>
    <w:rsid w:val="0024775A"/>
    <w:rsid w:val="00247894"/>
    <w:rsid w:val="00247924"/>
    <w:rsid w:val="00247AB3"/>
    <w:rsid w:val="00247F6A"/>
    <w:rsid w:val="00247F9F"/>
    <w:rsid w:val="002503F6"/>
    <w:rsid w:val="002506CB"/>
    <w:rsid w:val="002506E7"/>
    <w:rsid w:val="00250715"/>
    <w:rsid w:val="002507A0"/>
    <w:rsid w:val="002507FA"/>
    <w:rsid w:val="002509B7"/>
    <w:rsid w:val="00250B3F"/>
    <w:rsid w:val="00250C8E"/>
    <w:rsid w:val="00250CDE"/>
    <w:rsid w:val="00250D83"/>
    <w:rsid w:val="00250D9C"/>
    <w:rsid w:val="00251235"/>
    <w:rsid w:val="00251245"/>
    <w:rsid w:val="0025138E"/>
    <w:rsid w:val="00251463"/>
    <w:rsid w:val="00251472"/>
    <w:rsid w:val="002515F6"/>
    <w:rsid w:val="0025164E"/>
    <w:rsid w:val="00251867"/>
    <w:rsid w:val="00251961"/>
    <w:rsid w:val="00251ACA"/>
    <w:rsid w:val="00251B5C"/>
    <w:rsid w:val="00251BBB"/>
    <w:rsid w:val="00251BC5"/>
    <w:rsid w:val="00251C8D"/>
    <w:rsid w:val="00251C8E"/>
    <w:rsid w:val="00251CA5"/>
    <w:rsid w:val="00251D66"/>
    <w:rsid w:val="00251E09"/>
    <w:rsid w:val="00251E98"/>
    <w:rsid w:val="00251F42"/>
    <w:rsid w:val="0025205D"/>
    <w:rsid w:val="002521EC"/>
    <w:rsid w:val="00252284"/>
    <w:rsid w:val="0025236B"/>
    <w:rsid w:val="0025243D"/>
    <w:rsid w:val="0025262B"/>
    <w:rsid w:val="002526D0"/>
    <w:rsid w:val="00252819"/>
    <w:rsid w:val="00252886"/>
    <w:rsid w:val="00252917"/>
    <w:rsid w:val="00252BF9"/>
    <w:rsid w:val="00252DE7"/>
    <w:rsid w:val="00252F00"/>
    <w:rsid w:val="00252F33"/>
    <w:rsid w:val="00253155"/>
    <w:rsid w:val="00253193"/>
    <w:rsid w:val="002531AE"/>
    <w:rsid w:val="00253210"/>
    <w:rsid w:val="00253367"/>
    <w:rsid w:val="0025341A"/>
    <w:rsid w:val="002536D0"/>
    <w:rsid w:val="002537E9"/>
    <w:rsid w:val="00253A13"/>
    <w:rsid w:val="00253A29"/>
    <w:rsid w:val="00253ADF"/>
    <w:rsid w:val="00253C94"/>
    <w:rsid w:val="00253CE3"/>
    <w:rsid w:val="00253F7A"/>
    <w:rsid w:val="00254157"/>
    <w:rsid w:val="00254567"/>
    <w:rsid w:val="00254575"/>
    <w:rsid w:val="0025457F"/>
    <w:rsid w:val="00254592"/>
    <w:rsid w:val="002545B3"/>
    <w:rsid w:val="0025467A"/>
    <w:rsid w:val="00254B09"/>
    <w:rsid w:val="00254C05"/>
    <w:rsid w:val="00254F39"/>
    <w:rsid w:val="00254FF3"/>
    <w:rsid w:val="00255008"/>
    <w:rsid w:val="00255151"/>
    <w:rsid w:val="002552B4"/>
    <w:rsid w:val="0025530E"/>
    <w:rsid w:val="00255546"/>
    <w:rsid w:val="002556BA"/>
    <w:rsid w:val="00255797"/>
    <w:rsid w:val="00255829"/>
    <w:rsid w:val="0025587E"/>
    <w:rsid w:val="00255AED"/>
    <w:rsid w:val="00255C39"/>
    <w:rsid w:val="00255C84"/>
    <w:rsid w:val="00255CB3"/>
    <w:rsid w:val="00255D41"/>
    <w:rsid w:val="00255F55"/>
    <w:rsid w:val="00256148"/>
    <w:rsid w:val="0025654B"/>
    <w:rsid w:val="00256710"/>
    <w:rsid w:val="00256713"/>
    <w:rsid w:val="00256757"/>
    <w:rsid w:val="0025689E"/>
    <w:rsid w:val="002569D8"/>
    <w:rsid w:val="00256B3F"/>
    <w:rsid w:val="00256B40"/>
    <w:rsid w:val="00256BA7"/>
    <w:rsid w:val="00256C37"/>
    <w:rsid w:val="00256EFF"/>
    <w:rsid w:val="00256F90"/>
    <w:rsid w:val="00257013"/>
    <w:rsid w:val="00257034"/>
    <w:rsid w:val="0025708C"/>
    <w:rsid w:val="002571F3"/>
    <w:rsid w:val="00257254"/>
    <w:rsid w:val="002573E4"/>
    <w:rsid w:val="0025743C"/>
    <w:rsid w:val="002574DD"/>
    <w:rsid w:val="00257548"/>
    <w:rsid w:val="00257839"/>
    <w:rsid w:val="00257AD5"/>
    <w:rsid w:val="00257B2A"/>
    <w:rsid w:val="00257B5E"/>
    <w:rsid w:val="00257CFE"/>
    <w:rsid w:val="00257EA5"/>
    <w:rsid w:val="0026010B"/>
    <w:rsid w:val="002602FF"/>
    <w:rsid w:val="002603B7"/>
    <w:rsid w:val="002604ED"/>
    <w:rsid w:val="00260515"/>
    <w:rsid w:val="00260542"/>
    <w:rsid w:val="00260552"/>
    <w:rsid w:val="00260881"/>
    <w:rsid w:val="00260976"/>
    <w:rsid w:val="00260A6D"/>
    <w:rsid w:val="00260AC7"/>
    <w:rsid w:val="00260BB8"/>
    <w:rsid w:val="00260EBA"/>
    <w:rsid w:val="00260FBC"/>
    <w:rsid w:val="00260FE8"/>
    <w:rsid w:val="00261078"/>
    <w:rsid w:val="00261109"/>
    <w:rsid w:val="002611AA"/>
    <w:rsid w:val="0026122F"/>
    <w:rsid w:val="002612ED"/>
    <w:rsid w:val="002615BF"/>
    <w:rsid w:val="0026168D"/>
    <w:rsid w:val="0026176F"/>
    <w:rsid w:val="002618CA"/>
    <w:rsid w:val="0026190D"/>
    <w:rsid w:val="00261BFB"/>
    <w:rsid w:val="00261D31"/>
    <w:rsid w:val="00261D9D"/>
    <w:rsid w:val="0026244D"/>
    <w:rsid w:val="0026252E"/>
    <w:rsid w:val="0026258E"/>
    <w:rsid w:val="00262698"/>
    <w:rsid w:val="002628E9"/>
    <w:rsid w:val="00262992"/>
    <w:rsid w:val="002629A4"/>
    <w:rsid w:val="002629E5"/>
    <w:rsid w:val="00262A0E"/>
    <w:rsid w:val="00262B80"/>
    <w:rsid w:val="00262B96"/>
    <w:rsid w:val="00262B97"/>
    <w:rsid w:val="00262BF4"/>
    <w:rsid w:val="00262D37"/>
    <w:rsid w:val="00262EB3"/>
    <w:rsid w:val="00262EB7"/>
    <w:rsid w:val="00262F32"/>
    <w:rsid w:val="00263070"/>
    <w:rsid w:val="00263173"/>
    <w:rsid w:val="002632D5"/>
    <w:rsid w:val="002634AD"/>
    <w:rsid w:val="002634C0"/>
    <w:rsid w:val="002636AC"/>
    <w:rsid w:val="002636E1"/>
    <w:rsid w:val="00263E9E"/>
    <w:rsid w:val="00263FB3"/>
    <w:rsid w:val="00264166"/>
    <w:rsid w:val="002642D1"/>
    <w:rsid w:val="0026435E"/>
    <w:rsid w:val="00264428"/>
    <w:rsid w:val="0026452F"/>
    <w:rsid w:val="002646B2"/>
    <w:rsid w:val="00264812"/>
    <w:rsid w:val="00264901"/>
    <w:rsid w:val="00264BCD"/>
    <w:rsid w:val="00264D67"/>
    <w:rsid w:val="00264EAF"/>
    <w:rsid w:val="00264FE3"/>
    <w:rsid w:val="002651F2"/>
    <w:rsid w:val="002652E6"/>
    <w:rsid w:val="002652EF"/>
    <w:rsid w:val="002653A2"/>
    <w:rsid w:val="002653DF"/>
    <w:rsid w:val="00265410"/>
    <w:rsid w:val="0026543A"/>
    <w:rsid w:val="00265462"/>
    <w:rsid w:val="00265586"/>
    <w:rsid w:val="002655D5"/>
    <w:rsid w:val="002655F1"/>
    <w:rsid w:val="002656DF"/>
    <w:rsid w:val="00265760"/>
    <w:rsid w:val="002658A2"/>
    <w:rsid w:val="0026591E"/>
    <w:rsid w:val="0026594F"/>
    <w:rsid w:val="00265A33"/>
    <w:rsid w:val="00265A7C"/>
    <w:rsid w:val="00265B9D"/>
    <w:rsid w:val="00265C86"/>
    <w:rsid w:val="00265DD0"/>
    <w:rsid w:val="00265E79"/>
    <w:rsid w:val="00265ECA"/>
    <w:rsid w:val="00265F27"/>
    <w:rsid w:val="00266237"/>
    <w:rsid w:val="0026625D"/>
    <w:rsid w:val="0026630E"/>
    <w:rsid w:val="00266450"/>
    <w:rsid w:val="002664E6"/>
    <w:rsid w:val="0026656D"/>
    <w:rsid w:val="002665EF"/>
    <w:rsid w:val="0026669B"/>
    <w:rsid w:val="00266835"/>
    <w:rsid w:val="00266957"/>
    <w:rsid w:val="00266A46"/>
    <w:rsid w:val="00266CD5"/>
    <w:rsid w:val="00266D0E"/>
    <w:rsid w:val="00266D43"/>
    <w:rsid w:val="00266DC6"/>
    <w:rsid w:val="00266DFD"/>
    <w:rsid w:val="00266E19"/>
    <w:rsid w:val="002670BA"/>
    <w:rsid w:val="00267166"/>
    <w:rsid w:val="00267329"/>
    <w:rsid w:val="0026743A"/>
    <w:rsid w:val="0026743C"/>
    <w:rsid w:val="002674CB"/>
    <w:rsid w:val="002674D3"/>
    <w:rsid w:val="00267561"/>
    <w:rsid w:val="00267588"/>
    <w:rsid w:val="00267748"/>
    <w:rsid w:val="00267803"/>
    <w:rsid w:val="00267A08"/>
    <w:rsid w:val="00267B52"/>
    <w:rsid w:val="00267DBD"/>
    <w:rsid w:val="00267ED2"/>
    <w:rsid w:val="00270180"/>
    <w:rsid w:val="002701E2"/>
    <w:rsid w:val="0027025E"/>
    <w:rsid w:val="002702B3"/>
    <w:rsid w:val="002702D4"/>
    <w:rsid w:val="0027038E"/>
    <w:rsid w:val="002703D4"/>
    <w:rsid w:val="0027082F"/>
    <w:rsid w:val="002708DC"/>
    <w:rsid w:val="0027090D"/>
    <w:rsid w:val="00270B97"/>
    <w:rsid w:val="00270D71"/>
    <w:rsid w:val="00270EE5"/>
    <w:rsid w:val="00271067"/>
    <w:rsid w:val="0027130B"/>
    <w:rsid w:val="00271456"/>
    <w:rsid w:val="0027152B"/>
    <w:rsid w:val="002715A7"/>
    <w:rsid w:val="002715BE"/>
    <w:rsid w:val="002717A9"/>
    <w:rsid w:val="00271855"/>
    <w:rsid w:val="00271A25"/>
    <w:rsid w:val="00271A81"/>
    <w:rsid w:val="00271BBC"/>
    <w:rsid w:val="00271E6D"/>
    <w:rsid w:val="00271F35"/>
    <w:rsid w:val="00272178"/>
    <w:rsid w:val="002721E0"/>
    <w:rsid w:val="002721F3"/>
    <w:rsid w:val="0027241B"/>
    <w:rsid w:val="0027247D"/>
    <w:rsid w:val="002724E0"/>
    <w:rsid w:val="00272644"/>
    <w:rsid w:val="00272700"/>
    <w:rsid w:val="002727A6"/>
    <w:rsid w:val="00272810"/>
    <w:rsid w:val="002728F1"/>
    <w:rsid w:val="0027297F"/>
    <w:rsid w:val="00272D10"/>
    <w:rsid w:val="00272DAE"/>
    <w:rsid w:val="00272E42"/>
    <w:rsid w:val="00272EAF"/>
    <w:rsid w:val="0027302C"/>
    <w:rsid w:val="002730F5"/>
    <w:rsid w:val="002732D9"/>
    <w:rsid w:val="00273364"/>
    <w:rsid w:val="00273543"/>
    <w:rsid w:val="00273561"/>
    <w:rsid w:val="002736A9"/>
    <w:rsid w:val="00273A76"/>
    <w:rsid w:val="00273A90"/>
    <w:rsid w:val="00273B31"/>
    <w:rsid w:val="00273CD6"/>
    <w:rsid w:val="00273DA6"/>
    <w:rsid w:val="00273E44"/>
    <w:rsid w:val="00273E52"/>
    <w:rsid w:val="00274043"/>
    <w:rsid w:val="002745F0"/>
    <w:rsid w:val="002746DD"/>
    <w:rsid w:val="00274879"/>
    <w:rsid w:val="00274897"/>
    <w:rsid w:val="0027499F"/>
    <w:rsid w:val="002749B8"/>
    <w:rsid w:val="00274AB6"/>
    <w:rsid w:val="00274D88"/>
    <w:rsid w:val="00274DD0"/>
    <w:rsid w:val="00274E82"/>
    <w:rsid w:val="00274F04"/>
    <w:rsid w:val="0027502B"/>
    <w:rsid w:val="002750C3"/>
    <w:rsid w:val="00275266"/>
    <w:rsid w:val="00275280"/>
    <w:rsid w:val="002752D7"/>
    <w:rsid w:val="00275501"/>
    <w:rsid w:val="002755C2"/>
    <w:rsid w:val="002755F8"/>
    <w:rsid w:val="00275601"/>
    <w:rsid w:val="00275644"/>
    <w:rsid w:val="0027570B"/>
    <w:rsid w:val="00275717"/>
    <w:rsid w:val="00275822"/>
    <w:rsid w:val="002758BF"/>
    <w:rsid w:val="00275921"/>
    <w:rsid w:val="00275956"/>
    <w:rsid w:val="00275A15"/>
    <w:rsid w:val="00275A89"/>
    <w:rsid w:val="00275ABA"/>
    <w:rsid w:val="00275BBA"/>
    <w:rsid w:val="00275F25"/>
    <w:rsid w:val="0027600D"/>
    <w:rsid w:val="0027608B"/>
    <w:rsid w:val="0027611D"/>
    <w:rsid w:val="0027612D"/>
    <w:rsid w:val="0027613C"/>
    <w:rsid w:val="00276151"/>
    <w:rsid w:val="002766C4"/>
    <w:rsid w:val="0027672D"/>
    <w:rsid w:val="002767AB"/>
    <w:rsid w:val="002767AF"/>
    <w:rsid w:val="00276803"/>
    <w:rsid w:val="00276823"/>
    <w:rsid w:val="002768D7"/>
    <w:rsid w:val="002769FD"/>
    <w:rsid w:val="00276DF0"/>
    <w:rsid w:val="002771BB"/>
    <w:rsid w:val="002772F5"/>
    <w:rsid w:val="00277343"/>
    <w:rsid w:val="00277795"/>
    <w:rsid w:val="002777AB"/>
    <w:rsid w:val="002777BE"/>
    <w:rsid w:val="0027783B"/>
    <w:rsid w:val="00277BCB"/>
    <w:rsid w:val="00277C1A"/>
    <w:rsid w:val="00277C2F"/>
    <w:rsid w:val="00277D58"/>
    <w:rsid w:val="00277D86"/>
    <w:rsid w:val="00277F93"/>
    <w:rsid w:val="00277FEE"/>
    <w:rsid w:val="00280021"/>
    <w:rsid w:val="002804E0"/>
    <w:rsid w:val="0028065C"/>
    <w:rsid w:val="002806BF"/>
    <w:rsid w:val="00280700"/>
    <w:rsid w:val="0028083D"/>
    <w:rsid w:val="00280931"/>
    <w:rsid w:val="00280A09"/>
    <w:rsid w:val="00280B1B"/>
    <w:rsid w:val="00280D64"/>
    <w:rsid w:val="00280D85"/>
    <w:rsid w:val="00280F23"/>
    <w:rsid w:val="002811D5"/>
    <w:rsid w:val="00281380"/>
    <w:rsid w:val="00281413"/>
    <w:rsid w:val="002814BA"/>
    <w:rsid w:val="002815AE"/>
    <w:rsid w:val="002815D7"/>
    <w:rsid w:val="002817C6"/>
    <w:rsid w:val="0028185A"/>
    <w:rsid w:val="00281A2C"/>
    <w:rsid w:val="00281AE7"/>
    <w:rsid w:val="00281CA7"/>
    <w:rsid w:val="00281E3C"/>
    <w:rsid w:val="00281EE4"/>
    <w:rsid w:val="00281F08"/>
    <w:rsid w:val="0028216E"/>
    <w:rsid w:val="0028226B"/>
    <w:rsid w:val="00282366"/>
    <w:rsid w:val="00282436"/>
    <w:rsid w:val="00282587"/>
    <w:rsid w:val="002825A3"/>
    <w:rsid w:val="00282693"/>
    <w:rsid w:val="002827C8"/>
    <w:rsid w:val="00282D2C"/>
    <w:rsid w:val="00282DB4"/>
    <w:rsid w:val="00282DC8"/>
    <w:rsid w:val="00282E46"/>
    <w:rsid w:val="00282ECD"/>
    <w:rsid w:val="00282F49"/>
    <w:rsid w:val="00282F9E"/>
    <w:rsid w:val="00282FAF"/>
    <w:rsid w:val="0028300C"/>
    <w:rsid w:val="002830E8"/>
    <w:rsid w:val="0028310E"/>
    <w:rsid w:val="00283138"/>
    <w:rsid w:val="00283253"/>
    <w:rsid w:val="00283297"/>
    <w:rsid w:val="0028335F"/>
    <w:rsid w:val="00283552"/>
    <w:rsid w:val="00283598"/>
    <w:rsid w:val="002835DC"/>
    <w:rsid w:val="0028362D"/>
    <w:rsid w:val="0028365B"/>
    <w:rsid w:val="002839D3"/>
    <w:rsid w:val="00283AB6"/>
    <w:rsid w:val="00283C54"/>
    <w:rsid w:val="00283C9D"/>
    <w:rsid w:val="00283CC8"/>
    <w:rsid w:val="00283D59"/>
    <w:rsid w:val="00283E14"/>
    <w:rsid w:val="00283E2F"/>
    <w:rsid w:val="00283E66"/>
    <w:rsid w:val="00283E99"/>
    <w:rsid w:val="00283F8B"/>
    <w:rsid w:val="00284057"/>
    <w:rsid w:val="0028427D"/>
    <w:rsid w:val="00284301"/>
    <w:rsid w:val="00284308"/>
    <w:rsid w:val="002843FE"/>
    <w:rsid w:val="002843FF"/>
    <w:rsid w:val="002844F2"/>
    <w:rsid w:val="0028462B"/>
    <w:rsid w:val="00284695"/>
    <w:rsid w:val="00284823"/>
    <w:rsid w:val="00284D49"/>
    <w:rsid w:val="002850EA"/>
    <w:rsid w:val="00285174"/>
    <w:rsid w:val="0028520B"/>
    <w:rsid w:val="0028522D"/>
    <w:rsid w:val="0028523C"/>
    <w:rsid w:val="00285306"/>
    <w:rsid w:val="00285546"/>
    <w:rsid w:val="00285726"/>
    <w:rsid w:val="00285789"/>
    <w:rsid w:val="0028580C"/>
    <w:rsid w:val="0028588C"/>
    <w:rsid w:val="00285A02"/>
    <w:rsid w:val="00285B82"/>
    <w:rsid w:val="00285C91"/>
    <w:rsid w:val="00285E10"/>
    <w:rsid w:val="00286253"/>
    <w:rsid w:val="002862B1"/>
    <w:rsid w:val="00286487"/>
    <w:rsid w:val="002864A1"/>
    <w:rsid w:val="002864FA"/>
    <w:rsid w:val="0028666B"/>
    <w:rsid w:val="002866B0"/>
    <w:rsid w:val="00286759"/>
    <w:rsid w:val="002867EF"/>
    <w:rsid w:val="00286937"/>
    <w:rsid w:val="00286AB9"/>
    <w:rsid w:val="00286B24"/>
    <w:rsid w:val="00286BD8"/>
    <w:rsid w:val="00286C00"/>
    <w:rsid w:val="00286C3E"/>
    <w:rsid w:val="00286D8F"/>
    <w:rsid w:val="00286D9B"/>
    <w:rsid w:val="00286DAD"/>
    <w:rsid w:val="00286E49"/>
    <w:rsid w:val="00286F2C"/>
    <w:rsid w:val="00286FC4"/>
    <w:rsid w:val="0028716C"/>
    <w:rsid w:val="0028723F"/>
    <w:rsid w:val="00287295"/>
    <w:rsid w:val="00287419"/>
    <w:rsid w:val="002874BF"/>
    <w:rsid w:val="0028751A"/>
    <w:rsid w:val="002876F2"/>
    <w:rsid w:val="002877A0"/>
    <w:rsid w:val="002877EB"/>
    <w:rsid w:val="00287993"/>
    <w:rsid w:val="00287A13"/>
    <w:rsid w:val="00287C24"/>
    <w:rsid w:val="00287F79"/>
    <w:rsid w:val="0029004C"/>
    <w:rsid w:val="0029004F"/>
    <w:rsid w:val="0029011B"/>
    <w:rsid w:val="0029012A"/>
    <w:rsid w:val="002901C1"/>
    <w:rsid w:val="00290289"/>
    <w:rsid w:val="00290521"/>
    <w:rsid w:val="002905DA"/>
    <w:rsid w:val="00290662"/>
    <w:rsid w:val="002906C5"/>
    <w:rsid w:val="002907A8"/>
    <w:rsid w:val="0029094E"/>
    <w:rsid w:val="00290A04"/>
    <w:rsid w:val="00290A3F"/>
    <w:rsid w:val="00290B43"/>
    <w:rsid w:val="00290BB3"/>
    <w:rsid w:val="00290BE7"/>
    <w:rsid w:val="00290D71"/>
    <w:rsid w:val="00290D8A"/>
    <w:rsid w:val="00290DCB"/>
    <w:rsid w:val="00290EED"/>
    <w:rsid w:val="00290F1C"/>
    <w:rsid w:val="0029132F"/>
    <w:rsid w:val="00291438"/>
    <w:rsid w:val="0029156A"/>
    <w:rsid w:val="00291723"/>
    <w:rsid w:val="002917A8"/>
    <w:rsid w:val="0029189F"/>
    <w:rsid w:val="002918C7"/>
    <w:rsid w:val="002919A0"/>
    <w:rsid w:val="00291F4B"/>
    <w:rsid w:val="0029205E"/>
    <w:rsid w:val="0029237C"/>
    <w:rsid w:val="002924A5"/>
    <w:rsid w:val="002924AC"/>
    <w:rsid w:val="0029255E"/>
    <w:rsid w:val="0029262D"/>
    <w:rsid w:val="00292803"/>
    <w:rsid w:val="00292842"/>
    <w:rsid w:val="002928B9"/>
    <w:rsid w:val="00292997"/>
    <w:rsid w:val="00292A01"/>
    <w:rsid w:val="00292C70"/>
    <w:rsid w:val="00292DA3"/>
    <w:rsid w:val="00292EA9"/>
    <w:rsid w:val="00292EC9"/>
    <w:rsid w:val="00292F30"/>
    <w:rsid w:val="00292FE8"/>
    <w:rsid w:val="002930A6"/>
    <w:rsid w:val="002930F6"/>
    <w:rsid w:val="00293179"/>
    <w:rsid w:val="002932AE"/>
    <w:rsid w:val="0029344D"/>
    <w:rsid w:val="00293532"/>
    <w:rsid w:val="0029362A"/>
    <w:rsid w:val="0029366A"/>
    <w:rsid w:val="00293685"/>
    <w:rsid w:val="002937A6"/>
    <w:rsid w:val="00293941"/>
    <w:rsid w:val="00293A38"/>
    <w:rsid w:val="00293BB9"/>
    <w:rsid w:val="00293D02"/>
    <w:rsid w:val="00293D24"/>
    <w:rsid w:val="00293DA3"/>
    <w:rsid w:val="00293DB0"/>
    <w:rsid w:val="00293FEA"/>
    <w:rsid w:val="00294032"/>
    <w:rsid w:val="0029415A"/>
    <w:rsid w:val="002941E8"/>
    <w:rsid w:val="00294207"/>
    <w:rsid w:val="002943A9"/>
    <w:rsid w:val="002943F0"/>
    <w:rsid w:val="0029440E"/>
    <w:rsid w:val="002944B3"/>
    <w:rsid w:val="00294523"/>
    <w:rsid w:val="0029453C"/>
    <w:rsid w:val="002946F5"/>
    <w:rsid w:val="002947FC"/>
    <w:rsid w:val="0029493E"/>
    <w:rsid w:val="002949D6"/>
    <w:rsid w:val="002949DB"/>
    <w:rsid w:val="002949E8"/>
    <w:rsid w:val="00294AEA"/>
    <w:rsid w:val="00294B40"/>
    <w:rsid w:val="00294C01"/>
    <w:rsid w:val="00294C03"/>
    <w:rsid w:val="00294C86"/>
    <w:rsid w:val="00294EB6"/>
    <w:rsid w:val="00295125"/>
    <w:rsid w:val="0029513B"/>
    <w:rsid w:val="00295154"/>
    <w:rsid w:val="00295285"/>
    <w:rsid w:val="00295298"/>
    <w:rsid w:val="00295342"/>
    <w:rsid w:val="00295460"/>
    <w:rsid w:val="002954A7"/>
    <w:rsid w:val="002954BE"/>
    <w:rsid w:val="002959FD"/>
    <w:rsid w:val="00295A7E"/>
    <w:rsid w:val="00295A8F"/>
    <w:rsid w:val="00295C2B"/>
    <w:rsid w:val="00295C44"/>
    <w:rsid w:val="00295C4F"/>
    <w:rsid w:val="0029607B"/>
    <w:rsid w:val="00296242"/>
    <w:rsid w:val="00296273"/>
    <w:rsid w:val="00296320"/>
    <w:rsid w:val="0029637B"/>
    <w:rsid w:val="002968DD"/>
    <w:rsid w:val="0029693E"/>
    <w:rsid w:val="00296966"/>
    <w:rsid w:val="002969F0"/>
    <w:rsid w:val="00296C17"/>
    <w:rsid w:val="00296D81"/>
    <w:rsid w:val="00296DC0"/>
    <w:rsid w:val="00296DDE"/>
    <w:rsid w:val="00296E78"/>
    <w:rsid w:val="00296F28"/>
    <w:rsid w:val="00296F6D"/>
    <w:rsid w:val="00296FB5"/>
    <w:rsid w:val="00296FC4"/>
    <w:rsid w:val="00297011"/>
    <w:rsid w:val="00297087"/>
    <w:rsid w:val="00297148"/>
    <w:rsid w:val="00297176"/>
    <w:rsid w:val="00297239"/>
    <w:rsid w:val="002972F9"/>
    <w:rsid w:val="00297349"/>
    <w:rsid w:val="00297418"/>
    <w:rsid w:val="00297499"/>
    <w:rsid w:val="00297621"/>
    <w:rsid w:val="0029763F"/>
    <w:rsid w:val="00297702"/>
    <w:rsid w:val="00297945"/>
    <w:rsid w:val="00297A19"/>
    <w:rsid w:val="00297A55"/>
    <w:rsid w:val="00297CB2"/>
    <w:rsid w:val="00297EC2"/>
    <w:rsid w:val="002A009F"/>
    <w:rsid w:val="002A022C"/>
    <w:rsid w:val="002A0318"/>
    <w:rsid w:val="002A0327"/>
    <w:rsid w:val="002A06C8"/>
    <w:rsid w:val="002A06FE"/>
    <w:rsid w:val="002A070D"/>
    <w:rsid w:val="002A0726"/>
    <w:rsid w:val="002A07DD"/>
    <w:rsid w:val="002A081C"/>
    <w:rsid w:val="002A08C3"/>
    <w:rsid w:val="002A0949"/>
    <w:rsid w:val="002A0B2B"/>
    <w:rsid w:val="002A0C10"/>
    <w:rsid w:val="002A0CD2"/>
    <w:rsid w:val="002A0D0B"/>
    <w:rsid w:val="002A0E97"/>
    <w:rsid w:val="002A0F48"/>
    <w:rsid w:val="002A1126"/>
    <w:rsid w:val="002A1654"/>
    <w:rsid w:val="002A1720"/>
    <w:rsid w:val="002A185B"/>
    <w:rsid w:val="002A1896"/>
    <w:rsid w:val="002A18A1"/>
    <w:rsid w:val="002A190D"/>
    <w:rsid w:val="002A1ABF"/>
    <w:rsid w:val="002A1C40"/>
    <w:rsid w:val="002A1CFE"/>
    <w:rsid w:val="002A1D64"/>
    <w:rsid w:val="002A1D72"/>
    <w:rsid w:val="002A1E39"/>
    <w:rsid w:val="002A1F1D"/>
    <w:rsid w:val="002A1FE5"/>
    <w:rsid w:val="002A20C3"/>
    <w:rsid w:val="002A211B"/>
    <w:rsid w:val="002A21F6"/>
    <w:rsid w:val="002A2389"/>
    <w:rsid w:val="002A239B"/>
    <w:rsid w:val="002A24FC"/>
    <w:rsid w:val="002A2565"/>
    <w:rsid w:val="002A262A"/>
    <w:rsid w:val="002A27C0"/>
    <w:rsid w:val="002A2847"/>
    <w:rsid w:val="002A2959"/>
    <w:rsid w:val="002A295A"/>
    <w:rsid w:val="002A29D3"/>
    <w:rsid w:val="002A2B2E"/>
    <w:rsid w:val="002A2CD7"/>
    <w:rsid w:val="002A3007"/>
    <w:rsid w:val="002A318A"/>
    <w:rsid w:val="002A3211"/>
    <w:rsid w:val="002A32E4"/>
    <w:rsid w:val="002A3386"/>
    <w:rsid w:val="002A33AF"/>
    <w:rsid w:val="002A34AE"/>
    <w:rsid w:val="002A373F"/>
    <w:rsid w:val="002A3744"/>
    <w:rsid w:val="002A3758"/>
    <w:rsid w:val="002A38A5"/>
    <w:rsid w:val="002A38FF"/>
    <w:rsid w:val="002A39AB"/>
    <w:rsid w:val="002A3A8F"/>
    <w:rsid w:val="002A3B76"/>
    <w:rsid w:val="002A3C1E"/>
    <w:rsid w:val="002A3CC6"/>
    <w:rsid w:val="002A3DE5"/>
    <w:rsid w:val="002A3E2D"/>
    <w:rsid w:val="002A3E3E"/>
    <w:rsid w:val="002A3E67"/>
    <w:rsid w:val="002A3EC4"/>
    <w:rsid w:val="002A404F"/>
    <w:rsid w:val="002A428B"/>
    <w:rsid w:val="002A42B1"/>
    <w:rsid w:val="002A44CE"/>
    <w:rsid w:val="002A459B"/>
    <w:rsid w:val="002A461A"/>
    <w:rsid w:val="002A46C6"/>
    <w:rsid w:val="002A4740"/>
    <w:rsid w:val="002A4AAC"/>
    <w:rsid w:val="002A4DB5"/>
    <w:rsid w:val="002A4DF3"/>
    <w:rsid w:val="002A4EE0"/>
    <w:rsid w:val="002A4F5B"/>
    <w:rsid w:val="002A53DE"/>
    <w:rsid w:val="002A540F"/>
    <w:rsid w:val="002A55B5"/>
    <w:rsid w:val="002A5617"/>
    <w:rsid w:val="002A566F"/>
    <w:rsid w:val="002A5A4F"/>
    <w:rsid w:val="002A5B12"/>
    <w:rsid w:val="002A5C3C"/>
    <w:rsid w:val="002A5DA4"/>
    <w:rsid w:val="002A5E9D"/>
    <w:rsid w:val="002A5EF4"/>
    <w:rsid w:val="002A60A6"/>
    <w:rsid w:val="002A62AD"/>
    <w:rsid w:val="002A62F5"/>
    <w:rsid w:val="002A6345"/>
    <w:rsid w:val="002A6374"/>
    <w:rsid w:val="002A63F5"/>
    <w:rsid w:val="002A653C"/>
    <w:rsid w:val="002A654A"/>
    <w:rsid w:val="002A655E"/>
    <w:rsid w:val="002A65C9"/>
    <w:rsid w:val="002A6794"/>
    <w:rsid w:val="002A69D4"/>
    <w:rsid w:val="002A69FE"/>
    <w:rsid w:val="002A6B24"/>
    <w:rsid w:val="002A6B46"/>
    <w:rsid w:val="002A6DC1"/>
    <w:rsid w:val="002A6F64"/>
    <w:rsid w:val="002A6F7E"/>
    <w:rsid w:val="002A6FDE"/>
    <w:rsid w:val="002A701B"/>
    <w:rsid w:val="002A7104"/>
    <w:rsid w:val="002A716C"/>
    <w:rsid w:val="002A7392"/>
    <w:rsid w:val="002A73AF"/>
    <w:rsid w:val="002A74C7"/>
    <w:rsid w:val="002A7582"/>
    <w:rsid w:val="002A78FC"/>
    <w:rsid w:val="002A790B"/>
    <w:rsid w:val="002A791E"/>
    <w:rsid w:val="002A7D9B"/>
    <w:rsid w:val="002A7D9D"/>
    <w:rsid w:val="002A7E72"/>
    <w:rsid w:val="002A7FA2"/>
    <w:rsid w:val="002B0007"/>
    <w:rsid w:val="002B0075"/>
    <w:rsid w:val="002B012E"/>
    <w:rsid w:val="002B0270"/>
    <w:rsid w:val="002B029B"/>
    <w:rsid w:val="002B0533"/>
    <w:rsid w:val="002B0535"/>
    <w:rsid w:val="002B065F"/>
    <w:rsid w:val="002B0932"/>
    <w:rsid w:val="002B0960"/>
    <w:rsid w:val="002B0C7E"/>
    <w:rsid w:val="002B0CDC"/>
    <w:rsid w:val="002B0D12"/>
    <w:rsid w:val="002B0D2E"/>
    <w:rsid w:val="002B0D6A"/>
    <w:rsid w:val="002B0D6E"/>
    <w:rsid w:val="002B0E2B"/>
    <w:rsid w:val="002B0E89"/>
    <w:rsid w:val="002B0FC0"/>
    <w:rsid w:val="002B1134"/>
    <w:rsid w:val="002B13E8"/>
    <w:rsid w:val="002B1474"/>
    <w:rsid w:val="002B149E"/>
    <w:rsid w:val="002B1764"/>
    <w:rsid w:val="002B1912"/>
    <w:rsid w:val="002B1981"/>
    <w:rsid w:val="002B1B2A"/>
    <w:rsid w:val="002B1BCD"/>
    <w:rsid w:val="002B1D97"/>
    <w:rsid w:val="002B1D9D"/>
    <w:rsid w:val="002B1DC6"/>
    <w:rsid w:val="002B1DF4"/>
    <w:rsid w:val="002B1ECE"/>
    <w:rsid w:val="002B1ED7"/>
    <w:rsid w:val="002B2135"/>
    <w:rsid w:val="002B217B"/>
    <w:rsid w:val="002B21E2"/>
    <w:rsid w:val="002B2260"/>
    <w:rsid w:val="002B232E"/>
    <w:rsid w:val="002B2452"/>
    <w:rsid w:val="002B245D"/>
    <w:rsid w:val="002B248E"/>
    <w:rsid w:val="002B24E9"/>
    <w:rsid w:val="002B256B"/>
    <w:rsid w:val="002B2632"/>
    <w:rsid w:val="002B26DD"/>
    <w:rsid w:val="002B27A2"/>
    <w:rsid w:val="002B27E4"/>
    <w:rsid w:val="002B2810"/>
    <w:rsid w:val="002B29F4"/>
    <w:rsid w:val="002B2B13"/>
    <w:rsid w:val="002B2C5E"/>
    <w:rsid w:val="002B2DD2"/>
    <w:rsid w:val="002B2EFC"/>
    <w:rsid w:val="002B2F7E"/>
    <w:rsid w:val="002B2FAB"/>
    <w:rsid w:val="002B315E"/>
    <w:rsid w:val="002B31B9"/>
    <w:rsid w:val="002B325D"/>
    <w:rsid w:val="002B3415"/>
    <w:rsid w:val="002B367A"/>
    <w:rsid w:val="002B3733"/>
    <w:rsid w:val="002B3829"/>
    <w:rsid w:val="002B3840"/>
    <w:rsid w:val="002B3942"/>
    <w:rsid w:val="002B3944"/>
    <w:rsid w:val="002B3966"/>
    <w:rsid w:val="002B39BC"/>
    <w:rsid w:val="002B3A8B"/>
    <w:rsid w:val="002B3B21"/>
    <w:rsid w:val="002B3B24"/>
    <w:rsid w:val="002B3C9A"/>
    <w:rsid w:val="002B3CF6"/>
    <w:rsid w:val="002B3D14"/>
    <w:rsid w:val="002B3E3E"/>
    <w:rsid w:val="002B3F3E"/>
    <w:rsid w:val="002B3F61"/>
    <w:rsid w:val="002B4197"/>
    <w:rsid w:val="002B4245"/>
    <w:rsid w:val="002B4414"/>
    <w:rsid w:val="002B4472"/>
    <w:rsid w:val="002B44BE"/>
    <w:rsid w:val="002B44BF"/>
    <w:rsid w:val="002B44EB"/>
    <w:rsid w:val="002B49B7"/>
    <w:rsid w:val="002B4AD1"/>
    <w:rsid w:val="002B4B66"/>
    <w:rsid w:val="002B5013"/>
    <w:rsid w:val="002B511A"/>
    <w:rsid w:val="002B51DE"/>
    <w:rsid w:val="002B53F4"/>
    <w:rsid w:val="002B53FC"/>
    <w:rsid w:val="002B5414"/>
    <w:rsid w:val="002B546A"/>
    <w:rsid w:val="002B55B4"/>
    <w:rsid w:val="002B5666"/>
    <w:rsid w:val="002B5697"/>
    <w:rsid w:val="002B572C"/>
    <w:rsid w:val="002B5837"/>
    <w:rsid w:val="002B583B"/>
    <w:rsid w:val="002B59F9"/>
    <w:rsid w:val="002B5A4F"/>
    <w:rsid w:val="002B5BD2"/>
    <w:rsid w:val="002B5C46"/>
    <w:rsid w:val="002B624E"/>
    <w:rsid w:val="002B67CC"/>
    <w:rsid w:val="002B6892"/>
    <w:rsid w:val="002B68EB"/>
    <w:rsid w:val="002B6A42"/>
    <w:rsid w:val="002B6B77"/>
    <w:rsid w:val="002B6C6E"/>
    <w:rsid w:val="002B6CF5"/>
    <w:rsid w:val="002B6F50"/>
    <w:rsid w:val="002B70A1"/>
    <w:rsid w:val="002B71AA"/>
    <w:rsid w:val="002B7428"/>
    <w:rsid w:val="002B7435"/>
    <w:rsid w:val="002B746D"/>
    <w:rsid w:val="002B74CF"/>
    <w:rsid w:val="002B75FB"/>
    <w:rsid w:val="002B7644"/>
    <w:rsid w:val="002B776E"/>
    <w:rsid w:val="002B77C0"/>
    <w:rsid w:val="002B786A"/>
    <w:rsid w:val="002B7E82"/>
    <w:rsid w:val="002B7ED9"/>
    <w:rsid w:val="002B7F5B"/>
    <w:rsid w:val="002C0014"/>
    <w:rsid w:val="002C0076"/>
    <w:rsid w:val="002C0125"/>
    <w:rsid w:val="002C0291"/>
    <w:rsid w:val="002C0304"/>
    <w:rsid w:val="002C0352"/>
    <w:rsid w:val="002C071A"/>
    <w:rsid w:val="002C0886"/>
    <w:rsid w:val="002C0989"/>
    <w:rsid w:val="002C0B83"/>
    <w:rsid w:val="002C0D06"/>
    <w:rsid w:val="002C0DC6"/>
    <w:rsid w:val="002C0F6D"/>
    <w:rsid w:val="002C1166"/>
    <w:rsid w:val="002C1173"/>
    <w:rsid w:val="002C11E6"/>
    <w:rsid w:val="002C13EF"/>
    <w:rsid w:val="002C143A"/>
    <w:rsid w:val="002C151C"/>
    <w:rsid w:val="002C165C"/>
    <w:rsid w:val="002C1770"/>
    <w:rsid w:val="002C18FA"/>
    <w:rsid w:val="002C1983"/>
    <w:rsid w:val="002C1C68"/>
    <w:rsid w:val="002C1D94"/>
    <w:rsid w:val="002C1DBE"/>
    <w:rsid w:val="002C1E15"/>
    <w:rsid w:val="002C1EE2"/>
    <w:rsid w:val="002C1EE9"/>
    <w:rsid w:val="002C1FA3"/>
    <w:rsid w:val="002C2008"/>
    <w:rsid w:val="002C2046"/>
    <w:rsid w:val="002C2146"/>
    <w:rsid w:val="002C21E5"/>
    <w:rsid w:val="002C226B"/>
    <w:rsid w:val="002C22CD"/>
    <w:rsid w:val="002C23AA"/>
    <w:rsid w:val="002C2459"/>
    <w:rsid w:val="002C246C"/>
    <w:rsid w:val="002C2534"/>
    <w:rsid w:val="002C2B68"/>
    <w:rsid w:val="002C2BC9"/>
    <w:rsid w:val="002C2C2F"/>
    <w:rsid w:val="002C2CA8"/>
    <w:rsid w:val="002C2CDB"/>
    <w:rsid w:val="002C2DB4"/>
    <w:rsid w:val="002C2E0E"/>
    <w:rsid w:val="002C2E57"/>
    <w:rsid w:val="002C2E73"/>
    <w:rsid w:val="002C2EAD"/>
    <w:rsid w:val="002C2F4C"/>
    <w:rsid w:val="002C2F57"/>
    <w:rsid w:val="002C2F63"/>
    <w:rsid w:val="002C30D3"/>
    <w:rsid w:val="002C3220"/>
    <w:rsid w:val="002C3270"/>
    <w:rsid w:val="002C32DB"/>
    <w:rsid w:val="002C3466"/>
    <w:rsid w:val="002C3501"/>
    <w:rsid w:val="002C3891"/>
    <w:rsid w:val="002C38B9"/>
    <w:rsid w:val="002C3AB3"/>
    <w:rsid w:val="002C3AE9"/>
    <w:rsid w:val="002C3BBE"/>
    <w:rsid w:val="002C3DE6"/>
    <w:rsid w:val="002C3E0B"/>
    <w:rsid w:val="002C3E27"/>
    <w:rsid w:val="002C3E4E"/>
    <w:rsid w:val="002C3F7A"/>
    <w:rsid w:val="002C4062"/>
    <w:rsid w:val="002C40B4"/>
    <w:rsid w:val="002C430B"/>
    <w:rsid w:val="002C44E1"/>
    <w:rsid w:val="002C45D5"/>
    <w:rsid w:val="002C46B3"/>
    <w:rsid w:val="002C46CC"/>
    <w:rsid w:val="002C4891"/>
    <w:rsid w:val="002C491C"/>
    <w:rsid w:val="002C49BC"/>
    <w:rsid w:val="002C4A1E"/>
    <w:rsid w:val="002C4B21"/>
    <w:rsid w:val="002C4BA7"/>
    <w:rsid w:val="002C4CAC"/>
    <w:rsid w:val="002C4E23"/>
    <w:rsid w:val="002C4E3C"/>
    <w:rsid w:val="002C4ED7"/>
    <w:rsid w:val="002C4F0D"/>
    <w:rsid w:val="002C4F32"/>
    <w:rsid w:val="002C5181"/>
    <w:rsid w:val="002C526D"/>
    <w:rsid w:val="002C563C"/>
    <w:rsid w:val="002C5679"/>
    <w:rsid w:val="002C56CD"/>
    <w:rsid w:val="002C56FA"/>
    <w:rsid w:val="002C574E"/>
    <w:rsid w:val="002C577A"/>
    <w:rsid w:val="002C5892"/>
    <w:rsid w:val="002C5A18"/>
    <w:rsid w:val="002C5C84"/>
    <w:rsid w:val="002C5D8F"/>
    <w:rsid w:val="002C5EBD"/>
    <w:rsid w:val="002C5F41"/>
    <w:rsid w:val="002C5FD2"/>
    <w:rsid w:val="002C605A"/>
    <w:rsid w:val="002C61DB"/>
    <w:rsid w:val="002C65C1"/>
    <w:rsid w:val="002C66BE"/>
    <w:rsid w:val="002C6766"/>
    <w:rsid w:val="002C6786"/>
    <w:rsid w:val="002C6CE2"/>
    <w:rsid w:val="002C6DBC"/>
    <w:rsid w:val="002C6E67"/>
    <w:rsid w:val="002C6F8A"/>
    <w:rsid w:val="002C7084"/>
    <w:rsid w:val="002C732D"/>
    <w:rsid w:val="002C733E"/>
    <w:rsid w:val="002C75E1"/>
    <w:rsid w:val="002C7715"/>
    <w:rsid w:val="002C7A2A"/>
    <w:rsid w:val="002C7AC7"/>
    <w:rsid w:val="002C7B51"/>
    <w:rsid w:val="002C7BF5"/>
    <w:rsid w:val="002C7E48"/>
    <w:rsid w:val="002C7F34"/>
    <w:rsid w:val="002C7F41"/>
    <w:rsid w:val="002D0032"/>
    <w:rsid w:val="002D015A"/>
    <w:rsid w:val="002D023F"/>
    <w:rsid w:val="002D0282"/>
    <w:rsid w:val="002D02B8"/>
    <w:rsid w:val="002D038D"/>
    <w:rsid w:val="002D0640"/>
    <w:rsid w:val="002D0652"/>
    <w:rsid w:val="002D0728"/>
    <w:rsid w:val="002D072F"/>
    <w:rsid w:val="002D09C0"/>
    <w:rsid w:val="002D0C07"/>
    <w:rsid w:val="002D0C3E"/>
    <w:rsid w:val="002D0CA1"/>
    <w:rsid w:val="002D0CD8"/>
    <w:rsid w:val="002D0D80"/>
    <w:rsid w:val="002D0E27"/>
    <w:rsid w:val="002D0E49"/>
    <w:rsid w:val="002D0F0D"/>
    <w:rsid w:val="002D0FA7"/>
    <w:rsid w:val="002D1171"/>
    <w:rsid w:val="002D11A9"/>
    <w:rsid w:val="002D12B4"/>
    <w:rsid w:val="002D1491"/>
    <w:rsid w:val="002D1785"/>
    <w:rsid w:val="002D1794"/>
    <w:rsid w:val="002D18B7"/>
    <w:rsid w:val="002D1AFE"/>
    <w:rsid w:val="002D1B5E"/>
    <w:rsid w:val="002D1B78"/>
    <w:rsid w:val="002D1C99"/>
    <w:rsid w:val="002D1DB1"/>
    <w:rsid w:val="002D1E15"/>
    <w:rsid w:val="002D218B"/>
    <w:rsid w:val="002D218E"/>
    <w:rsid w:val="002D21BE"/>
    <w:rsid w:val="002D22A3"/>
    <w:rsid w:val="002D232F"/>
    <w:rsid w:val="002D2532"/>
    <w:rsid w:val="002D262E"/>
    <w:rsid w:val="002D26ED"/>
    <w:rsid w:val="002D28F6"/>
    <w:rsid w:val="002D2A5A"/>
    <w:rsid w:val="002D2BC2"/>
    <w:rsid w:val="002D2CAA"/>
    <w:rsid w:val="002D2D25"/>
    <w:rsid w:val="002D2D9D"/>
    <w:rsid w:val="002D2DB7"/>
    <w:rsid w:val="002D2F8F"/>
    <w:rsid w:val="002D3153"/>
    <w:rsid w:val="002D3168"/>
    <w:rsid w:val="002D3468"/>
    <w:rsid w:val="002D36EE"/>
    <w:rsid w:val="002D3778"/>
    <w:rsid w:val="002D37EB"/>
    <w:rsid w:val="002D38BB"/>
    <w:rsid w:val="002D3A68"/>
    <w:rsid w:val="002D3B5D"/>
    <w:rsid w:val="002D3C32"/>
    <w:rsid w:val="002D3C81"/>
    <w:rsid w:val="002D3CE5"/>
    <w:rsid w:val="002D3CE8"/>
    <w:rsid w:val="002D3DF9"/>
    <w:rsid w:val="002D3E0D"/>
    <w:rsid w:val="002D3F3E"/>
    <w:rsid w:val="002D3F98"/>
    <w:rsid w:val="002D427F"/>
    <w:rsid w:val="002D436A"/>
    <w:rsid w:val="002D43DF"/>
    <w:rsid w:val="002D453F"/>
    <w:rsid w:val="002D4564"/>
    <w:rsid w:val="002D45BC"/>
    <w:rsid w:val="002D45DA"/>
    <w:rsid w:val="002D46BE"/>
    <w:rsid w:val="002D4876"/>
    <w:rsid w:val="002D4877"/>
    <w:rsid w:val="002D496C"/>
    <w:rsid w:val="002D4B1B"/>
    <w:rsid w:val="002D4BD0"/>
    <w:rsid w:val="002D4D14"/>
    <w:rsid w:val="002D4E30"/>
    <w:rsid w:val="002D4EA9"/>
    <w:rsid w:val="002D4FF6"/>
    <w:rsid w:val="002D506E"/>
    <w:rsid w:val="002D5077"/>
    <w:rsid w:val="002D5182"/>
    <w:rsid w:val="002D51D7"/>
    <w:rsid w:val="002D5259"/>
    <w:rsid w:val="002D532C"/>
    <w:rsid w:val="002D5472"/>
    <w:rsid w:val="002D54D6"/>
    <w:rsid w:val="002D550C"/>
    <w:rsid w:val="002D579E"/>
    <w:rsid w:val="002D57A1"/>
    <w:rsid w:val="002D5825"/>
    <w:rsid w:val="002D5A5D"/>
    <w:rsid w:val="002D5CC6"/>
    <w:rsid w:val="002D5D37"/>
    <w:rsid w:val="002D5EC9"/>
    <w:rsid w:val="002D6119"/>
    <w:rsid w:val="002D62A2"/>
    <w:rsid w:val="002D64D6"/>
    <w:rsid w:val="002D65A3"/>
    <w:rsid w:val="002D65FE"/>
    <w:rsid w:val="002D6651"/>
    <w:rsid w:val="002D6734"/>
    <w:rsid w:val="002D6993"/>
    <w:rsid w:val="002D69F2"/>
    <w:rsid w:val="002D6A46"/>
    <w:rsid w:val="002D6B9A"/>
    <w:rsid w:val="002D6D43"/>
    <w:rsid w:val="002D6DE7"/>
    <w:rsid w:val="002D6E78"/>
    <w:rsid w:val="002D6F51"/>
    <w:rsid w:val="002D6FB2"/>
    <w:rsid w:val="002D717C"/>
    <w:rsid w:val="002D7191"/>
    <w:rsid w:val="002D7299"/>
    <w:rsid w:val="002D7375"/>
    <w:rsid w:val="002D7382"/>
    <w:rsid w:val="002D7450"/>
    <w:rsid w:val="002D74F5"/>
    <w:rsid w:val="002D7521"/>
    <w:rsid w:val="002D753E"/>
    <w:rsid w:val="002D76D7"/>
    <w:rsid w:val="002D77AE"/>
    <w:rsid w:val="002D7837"/>
    <w:rsid w:val="002D7973"/>
    <w:rsid w:val="002D7B38"/>
    <w:rsid w:val="002D7B5A"/>
    <w:rsid w:val="002D7BE7"/>
    <w:rsid w:val="002E0086"/>
    <w:rsid w:val="002E012D"/>
    <w:rsid w:val="002E014E"/>
    <w:rsid w:val="002E02B9"/>
    <w:rsid w:val="002E02C6"/>
    <w:rsid w:val="002E0332"/>
    <w:rsid w:val="002E04BC"/>
    <w:rsid w:val="002E04ED"/>
    <w:rsid w:val="002E05CF"/>
    <w:rsid w:val="002E0610"/>
    <w:rsid w:val="002E0717"/>
    <w:rsid w:val="002E0A3F"/>
    <w:rsid w:val="002E0ADF"/>
    <w:rsid w:val="002E0BAC"/>
    <w:rsid w:val="002E0BFA"/>
    <w:rsid w:val="002E0C62"/>
    <w:rsid w:val="002E0CC5"/>
    <w:rsid w:val="002E0CEA"/>
    <w:rsid w:val="002E111E"/>
    <w:rsid w:val="002E1128"/>
    <w:rsid w:val="002E1183"/>
    <w:rsid w:val="002E1257"/>
    <w:rsid w:val="002E14B7"/>
    <w:rsid w:val="002E15BC"/>
    <w:rsid w:val="002E1819"/>
    <w:rsid w:val="002E1A5F"/>
    <w:rsid w:val="002E1B3D"/>
    <w:rsid w:val="002E1B3F"/>
    <w:rsid w:val="002E1BF8"/>
    <w:rsid w:val="002E1D26"/>
    <w:rsid w:val="002E1D86"/>
    <w:rsid w:val="002E1DE2"/>
    <w:rsid w:val="002E1F71"/>
    <w:rsid w:val="002E207E"/>
    <w:rsid w:val="002E22E9"/>
    <w:rsid w:val="002E2360"/>
    <w:rsid w:val="002E24B7"/>
    <w:rsid w:val="002E26F3"/>
    <w:rsid w:val="002E27C8"/>
    <w:rsid w:val="002E2812"/>
    <w:rsid w:val="002E2982"/>
    <w:rsid w:val="002E2C35"/>
    <w:rsid w:val="002E2C47"/>
    <w:rsid w:val="002E2CA6"/>
    <w:rsid w:val="002E2E3B"/>
    <w:rsid w:val="002E2E7B"/>
    <w:rsid w:val="002E2FA9"/>
    <w:rsid w:val="002E30D2"/>
    <w:rsid w:val="002E318C"/>
    <w:rsid w:val="002E32B9"/>
    <w:rsid w:val="002E3371"/>
    <w:rsid w:val="002E351B"/>
    <w:rsid w:val="002E3585"/>
    <w:rsid w:val="002E36B8"/>
    <w:rsid w:val="002E380A"/>
    <w:rsid w:val="002E3864"/>
    <w:rsid w:val="002E38A0"/>
    <w:rsid w:val="002E38C1"/>
    <w:rsid w:val="002E38C6"/>
    <w:rsid w:val="002E3934"/>
    <w:rsid w:val="002E39D5"/>
    <w:rsid w:val="002E39DC"/>
    <w:rsid w:val="002E3B36"/>
    <w:rsid w:val="002E3D5C"/>
    <w:rsid w:val="002E3D92"/>
    <w:rsid w:val="002E3F6E"/>
    <w:rsid w:val="002E4165"/>
    <w:rsid w:val="002E4193"/>
    <w:rsid w:val="002E41E6"/>
    <w:rsid w:val="002E4231"/>
    <w:rsid w:val="002E42ED"/>
    <w:rsid w:val="002E45E9"/>
    <w:rsid w:val="002E45FA"/>
    <w:rsid w:val="002E4629"/>
    <w:rsid w:val="002E47F1"/>
    <w:rsid w:val="002E4BDD"/>
    <w:rsid w:val="002E4BF3"/>
    <w:rsid w:val="002E4BF4"/>
    <w:rsid w:val="002E4CB4"/>
    <w:rsid w:val="002E4D23"/>
    <w:rsid w:val="002E4D4A"/>
    <w:rsid w:val="002E4E57"/>
    <w:rsid w:val="002E50E4"/>
    <w:rsid w:val="002E51BB"/>
    <w:rsid w:val="002E523A"/>
    <w:rsid w:val="002E53DA"/>
    <w:rsid w:val="002E5981"/>
    <w:rsid w:val="002E59BB"/>
    <w:rsid w:val="002E5A1E"/>
    <w:rsid w:val="002E5A30"/>
    <w:rsid w:val="002E5B16"/>
    <w:rsid w:val="002E5BEF"/>
    <w:rsid w:val="002E5C64"/>
    <w:rsid w:val="002E5CC9"/>
    <w:rsid w:val="002E5CDF"/>
    <w:rsid w:val="002E5D94"/>
    <w:rsid w:val="002E5DBE"/>
    <w:rsid w:val="002E5EC7"/>
    <w:rsid w:val="002E5ED3"/>
    <w:rsid w:val="002E5F97"/>
    <w:rsid w:val="002E6255"/>
    <w:rsid w:val="002E626C"/>
    <w:rsid w:val="002E6769"/>
    <w:rsid w:val="002E6819"/>
    <w:rsid w:val="002E69DA"/>
    <w:rsid w:val="002E6A94"/>
    <w:rsid w:val="002E6E0D"/>
    <w:rsid w:val="002E6E71"/>
    <w:rsid w:val="002E6FE8"/>
    <w:rsid w:val="002E7000"/>
    <w:rsid w:val="002E70DA"/>
    <w:rsid w:val="002E7146"/>
    <w:rsid w:val="002E71EB"/>
    <w:rsid w:val="002E727F"/>
    <w:rsid w:val="002E7366"/>
    <w:rsid w:val="002E7382"/>
    <w:rsid w:val="002E7396"/>
    <w:rsid w:val="002E73C3"/>
    <w:rsid w:val="002E73CB"/>
    <w:rsid w:val="002E75B3"/>
    <w:rsid w:val="002E765B"/>
    <w:rsid w:val="002E782D"/>
    <w:rsid w:val="002E7883"/>
    <w:rsid w:val="002E79AC"/>
    <w:rsid w:val="002E7AD6"/>
    <w:rsid w:val="002E7AF4"/>
    <w:rsid w:val="002E7BE0"/>
    <w:rsid w:val="002E7D65"/>
    <w:rsid w:val="002E7ECE"/>
    <w:rsid w:val="002F01B0"/>
    <w:rsid w:val="002F032B"/>
    <w:rsid w:val="002F03FD"/>
    <w:rsid w:val="002F0443"/>
    <w:rsid w:val="002F063E"/>
    <w:rsid w:val="002F0717"/>
    <w:rsid w:val="002F07CD"/>
    <w:rsid w:val="002F08E9"/>
    <w:rsid w:val="002F0A8A"/>
    <w:rsid w:val="002F0AD6"/>
    <w:rsid w:val="002F0AEB"/>
    <w:rsid w:val="002F0C1A"/>
    <w:rsid w:val="002F0CAA"/>
    <w:rsid w:val="002F0E24"/>
    <w:rsid w:val="002F0E77"/>
    <w:rsid w:val="002F0EE0"/>
    <w:rsid w:val="002F0FA8"/>
    <w:rsid w:val="002F12FC"/>
    <w:rsid w:val="002F1313"/>
    <w:rsid w:val="002F13B7"/>
    <w:rsid w:val="002F13FA"/>
    <w:rsid w:val="002F156B"/>
    <w:rsid w:val="002F1589"/>
    <w:rsid w:val="002F15CC"/>
    <w:rsid w:val="002F15E7"/>
    <w:rsid w:val="002F164E"/>
    <w:rsid w:val="002F1835"/>
    <w:rsid w:val="002F18A1"/>
    <w:rsid w:val="002F1904"/>
    <w:rsid w:val="002F1A7D"/>
    <w:rsid w:val="002F1B39"/>
    <w:rsid w:val="002F1B5F"/>
    <w:rsid w:val="002F1D20"/>
    <w:rsid w:val="002F1F71"/>
    <w:rsid w:val="002F1F7F"/>
    <w:rsid w:val="002F22F0"/>
    <w:rsid w:val="002F23A2"/>
    <w:rsid w:val="002F25AC"/>
    <w:rsid w:val="002F2709"/>
    <w:rsid w:val="002F2930"/>
    <w:rsid w:val="002F2960"/>
    <w:rsid w:val="002F2A32"/>
    <w:rsid w:val="002F2A8D"/>
    <w:rsid w:val="002F2D1F"/>
    <w:rsid w:val="002F2D4C"/>
    <w:rsid w:val="002F2D6F"/>
    <w:rsid w:val="002F2DDE"/>
    <w:rsid w:val="002F2F4F"/>
    <w:rsid w:val="002F325D"/>
    <w:rsid w:val="002F330C"/>
    <w:rsid w:val="002F33BA"/>
    <w:rsid w:val="002F340F"/>
    <w:rsid w:val="002F3452"/>
    <w:rsid w:val="002F351C"/>
    <w:rsid w:val="002F354A"/>
    <w:rsid w:val="002F380B"/>
    <w:rsid w:val="002F3A09"/>
    <w:rsid w:val="002F3C28"/>
    <w:rsid w:val="002F3C53"/>
    <w:rsid w:val="002F3E0B"/>
    <w:rsid w:val="002F3E56"/>
    <w:rsid w:val="002F3EA3"/>
    <w:rsid w:val="002F3F91"/>
    <w:rsid w:val="002F40A5"/>
    <w:rsid w:val="002F41AE"/>
    <w:rsid w:val="002F41C9"/>
    <w:rsid w:val="002F4220"/>
    <w:rsid w:val="002F4312"/>
    <w:rsid w:val="002F4350"/>
    <w:rsid w:val="002F4426"/>
    <w:rsid w:val="002F4444"/>
    <w:rsid w:val="002F445A"/>
    <w:rsid w:val="002F4518"/>
    <w:rsid w:val="002F45C5"/>
    <w:rsid w:val="002F4607"/>
    <w:rsid w:val="002F4633"/>
    <w:rsid w:val="002F4653"/>
    <w:rsid w:val="002F4655"/>
    <w:rsid w:val="002F46E5"/>
    <w:rsid w:val="002F470B"/>
    <w:rsid w:val="002F4775"/>
    <w:rsid w:val="002F4A32"/>
    <w:rsid w:val="002F4A3B"/>
    <w:rsid w:val="002F4A81"/>
    <w:rsid w:val="002F4C69"/>
    <w:rsid w:val="002F4D5F"/>
    <w:rsid w:val="002F4DE9"/>
    <w:rsid w:val="002F4E62"/>
    <w:rsid w:val="002F4F9F"/>
    <w:rsid w:val="002F50BC"/>
    <w:rsid w:val="002F51C1"/>
    <w:rsid w:val="002F53A6"/>
    <w:rsid w:val="002F542A"/>
    <w:rsid w:val="002F5495"/>
    <w:rsid w:val="002F5679"/>
    <w:rsid w:val="002F5745"/>
    <w:rsid w:val="002F584D"/>
    <w:rsid w:val="002F5861"/>
    <w:rsid w:val="002F587F"/>
    <w:rsid w:val="002F58B1"/>
    <w:rsid w:val="002F5933"/>
    <w:rsid w:val="002F594F"/>
    <w:rsid w:val="002F5A8C"/>
    <w:rsid w:val="002F5B6F"/>
    <w:rsid w:val="002F5C78"/>
    <w:rsid w:val="002F5FD5"/>
    <w:rsid w:val="002F60A4"/>
    <w:rsid w:val="002F63FF"/>
    <w:rsid w:val="002F670B"/>
    <w:rsid w:val="002F68DD"/>
    <w:rsid w:val="002F6D15"/>
    <w:rsid w:val="002F707F"/>
    <w:rsid w:val="002F72ED"/>
    <w:rsid w:val="002F7842"/>
    <w:rsid w:val="002F79DE"/>
    <w:rsid w:val="002F7CB7"/>
    <w:rsid w:val="002F7DB3"/>
    <w:rsid w:val="002F7EAF"/>
    <w:rsid w:val="002F7F04"/>
    <w:rsid w:val="0030001A"/>
    <w:rsid w:val="0030004F"/>
    <w:rsid w:val="0030018D"/>
    <w:rsid w:val="003001C2"/>
    <w:rsid w:val="003002FF"/>
    <w:rsid w:val="00300301"/>
    <w:rsid w:val="00300387"/>
    <w:rsid w:val="0030071C"/>
    <w:rsid w:val="00300737"/>
    <w:rsid w:val="00300868"/>
    <w:rsid w:val="003008E4"/>
    <w:rsid w:val="00300A3D"/>
    <w:rsid w:val="00300B06"/>
    <w:rsid w:val="00300BEF"/>
    <w:rsid w:val="00300CA2"/>
    <w:rsid w:val="00300D11"/>
    <w:rsid w:val="00300DAF"/>
    <w:rsid w:val="00300EBE"/>
    <w:rsid w:val="00300FD7"/>
    <w:rsid w:val="003010AF"/>
    <w:rsid w:val="003010B1"/>
    <w:rsid w:val="003010F2"/>
    <w:rsid w:val="00301100"/>
    <w:rsid w:val="003011DE"/>
    <w:rsid w:val="0030138F"/>
    <w:rsid w:val="00301465"/>
    <w:rsid w:val="0030163F"/>
    <w:rsid w:val="003017E4"/>
    <w:rsid w:val="00301913"/>
    <w:rsid w:val="00301969"/>
    <w:rsid w:val="0030198C"/>
    <w:rsid w:val="00301BD1"/>
    <w:rsid w:val="00301C2B"/>
    <w:rsid w:val="00301F99"/>
    <w:rsid w:val="0030214F"/>
    <w:rsid w:val="003021F8"/>
    <w:rsid w:val="0030231F"/>
    <w:rsid w:val="00302454"/>
    <w:rsid w:val="003024BB"/>
    <w:rsid w:val="003026C4"/>
    <w:rsid w:val="00302789"/>
    <w:rsid w:val="003028AB"/>
    <w:rsid w:val="00302932"/>
    <w:rsid w:val="00302A8F"/>
    <w:rsid w:val="00302A9C"/>
    <w:rsid w:val="00302A9F"/>
    <w:rsid w:val="00302C3F"/>
    <w:rsid w:val="00302CA9"/>
    <w:rsid w:val="00302E21"/>
    <w:rsid w:val="00302EF4"/>
    <w:rsid w:val="00302F2A"/>
    <w:rsid w:val="00302FF6"/>
    <w:rsid w:val="003031D5"/>
    <w:rsid w:val="0030335A"/>
    <w:rsid w:val="00303360"/>
    <w:rsid w:val="00303689"/>
    <w:rsid w:val="003036FF"/>
    <w:rsid w:val="003037D9"/>
    <w:rsid w:val="003039E2"/>
    <w:rsid w:val="00303AB0"/>
    <w:rsid w:val="00303B63"/>
    <w:rsid w:val="00303C78"/>
    <w:rsid w:val="00303CFA"/>
    <w:rsid w:val="00303D92"/>
    <w:rsid w:val="00303DBA"/>
    <w:rsid w:val="00303EB0"/>
    <w:rsid w:val="00303EBF"/>
    <w:rsid w:val="00303F7C"/>
    <w:rsid w:val="003041CA"/>
    <w:rsid w:val="0030421C"/>
    <w:rsid w:val="003043B6"/>
    <w:rsid w:val="003044ED"/>
    <w:rsid w:val="00304521"/>
    <w:rsid w:val="003045CC"/>
    <w:rsid w:val="00304620"/>
    <w:rsid w:val="0030464E"/>
    <w:rsid w:val="00304657"/>
    <w:rsid w:val="003047B3"/>
    <w:rsid w:val="0030488C"/>
    <w:rsid w:val="00304906"/>
    <w:rsid w:val="00304A24"/>
    <w:rsid w:val="00304C3F"/>
    <w:rsid w:val="00304FFA"/>
    <w:rsid w:val="00305322"/>
    <w:rsid w:val="00305324"/>
    <w:rsid w:val="00305329"/>
    <w:rsid w:val="00305330"/>
    <w:rsid w:val="00305349"/>
    <w:rsid w:val="0030543F"/>
    <w:rsid w:val="0030548B"/>
    <w:rsid w:val="00305581"/>
    <w:rsid w:val="0030563A"/>
    <w:rsid w:val="00305732"/>
    <w:rsid w:val="00305776"/>
    <w:rsid w:val="00305785"/>
    <w:rsid w:val="003057DD"/>
    <w:rsid w:val="00305876"/>
    <w:rsid w:val="003058B8"/>
    <w:rsid w:val="003058C2"/>
    <w:rsid w:val="00305A53"/>
    <w:rsid w:val="00305CDE"/>
    <w:rsid w:val="00305DA4"/>
    <w:rsid w:val="00306032"/>
    <w:rsid w:val="00306297"/>
    <w:rsid w:val="003062A5"/>
    <w:rsid w:val="003063E6"/>
    <w:rsid w:val="00306455"/>
    <w:rsid w:val="00306467"/>
    <w:rsid w:val="003064B0"/>
    <w:rsid w:val="00306524"/>
    <w:rsid w:val="00306555"/>
    <w:rsid w:val="003065E6"/>
    <w:rsid w:val="0030670F"/>
    <w:rsid w:val="0030671E"/>
    <w:rsid w:val="00306A99"/>
    <w:rsid w:val="00306AAC"/>
    <w:rsid w:val="00306B30"/>
    <w:rsid w:val="00306C08"/>
    <w:rsid w:val="00306F05"/>
    <w:rsid w:val="00306FD7"/>
    <w:rsid w:val="00306FDC"/>
    <w:rsid w:val="00307074"/>
    <w:rsid w:val="0030708F"/>
    <w:rsid w:val="003072FF"/>
    <w:rsid w:val="003074A0"/>
    <w:rsid w:val="00307522"/>
    <w:rsid w:val="00307590"/>
    <w:rsid w:val="0030767C"/>
    <w:rsid w:val="0030769A"/>
    <w:rsid w:val="00307742"/>
    <w:rsid w:val="003077D6"/>
    <w:rsid w:val="0030782B"/>
    <w:rsid w:val="00307959"/>
    <w:rsid w:val="00307985"/>
    <w:rsid w:val="00307988"/>
    <w:rsid w:val="00307A97"/>
    <w:rsid w:val="00307BCC"/>
    <w:rsid w:val="00307C25"/>
    <w:rsid w:val="00307D01"/>
    <w:rsid w:val="00307ED1"/>
    <w:rsid w:val="00307FCB"/>
    <w:rsid w:val="0031051B"/>
    <w:rsid w:val="003106A3"/>
    <w:rsid w:val="003106C9"/>
    <w:rsid w:val="00310735"/>
    <w:rsid w:val="0031076F"/>
    <w:rsid w:val="0031078B"/>
    <w:rsid w:val="003107C3"/>
    <w:rsid w:val="00310905"/>
    <w:rsid w:val="00310B8D"/>
    <w:rsid w:val="00310BCE"/>
    <w:rsid w:val="00310C12"/>
    <w:rsid w:val="00310CC5"/>
    <w:rsid w:val="00310EE0"/>
    <w:rsid w:val="00310F8E"/>
    <w:rsid w:val="0031107C"/>
    <w:rsid w:val="003110B0"/>
    <w:rsid w:val="0031129B"/>
    <w:rsid w:val="003112BC"/>
    <w:rsid w:val="003112FE"/>
    <w:rsid w:val="00311318"/>
    <w:rsid w:val="003113BC"/>
    <w:rsid w:val="00311465"/>
    <w:rsid w:val="003115A1"/>
    <w:rsid w:val="00311772"/>
    <w:rsid w:val="003117C6"/>
    <w:rsid w:val="00311858"/>
    <w:rsid w:val="00311875"/>
    <w:rsid w:val="0031199A"/>
    <w:rsid w:val="00311A74"/>
    <w:rsid w:val="00311B8E"/>
    <w:rsid w:val="00311D39"/>
    <w:rsid w:val="00311D88"/>
    <w:rsid w:val="00311ED3"/>
    <w:rsid w:val="0031209B"/>
    <w:rsid w:val="003120D0"/>
    <w:rsid w:val="00312121"/>
    <w:rsid w:val="00312153"/>
    <w:rsid w:val="00312200"/>
    <w:rsid w:val="00312385"/>
    <w:rsid w:val="0031240C"/>
    <w:rsid w:val="0031252D"/>
    <w:rsid w:val="00312676"/>
    <w:rsid w:val="0031275B"/>
    <w:rsid w:val="003127AF"/>
    <w:rsid w:val="00312918"/>
    <w:rsid w:val="0031292F"/>
    <w:rsid w:val="00312958"/>
    <w:rsid w:val="00312B45"/>
    <w:rsid w:val="00312B8C"/>
    <w:rsid w:val="00312BB0"/>
    <w:rsid w:val="00312BF1"/>
    <w:rsid w:val="00312D44"/>
    <w:rsid w:val="00312D4C"/>
    <w:rsid w:val="00312E9A"/>
    <w:rsid w:val="00312EFE"/>
    <w:rsid w:val="00312F42"/>
    <w:rsid w:val="00312FD2"/>
    <w:rsid w:val="00313050"/>
    <w:rsid w:val="003132E1"/>
    <w:rsid w:val="0031339B"/>
    <w:rsid w:val="003133D2"/>
    <w:rsid w:val="003136F6"/>
    <w:rsid w:val="003137E6"/>
    <w:rsid w:val="00313822"/>
    <w:rsid w:val="00313929"/>
    <w:rsid w:val="003139AE"/>
    <w:rsid w:val="003139F9"/>
    <w:rsid w:val="00313AFD"/>
    <w:rsid w:val="00313DB6"/>
    <w:rsid w:val="003140B3"/>
    <w:rsid w:val="0031411D"/>
    <w:rsid w:val="003141A6"/>
    <w:rsid w:val="003142EB"/>
    <w:rsid w:val="00314341"/>
    <w:rsid w:val="003147D7"/>
    <w:rsid w:val="00314889"/>
    <w:rsid w:val="00314972"/>
    <w:rsid w:val="003149F3"/>
    <w:rsid w:val="00314B2D"/>
    <w:rsid w:val="00314CDF"/>
    <w:rsid w:val="00314D02"/>
    <w:rsid w:val="00314EF8"/>
    <w:rsid w:val="00315011"/>
    <w:rsid w:val="003150B6"/>
    <w:rsid w:val="003151D2"/>
    <w:rsid w:val="003151E0"/>
    <w:rsid w:val="0031537F"/>
    <w:rsid w:val="0031539D"/>
    <w:rsid w:val="00315CF4"/>
    <w:rsid w:val="00315D5D"/>
    <w:rsid w:val="003160FA"/>
    <w:rsid w:val="00316121"/>
    <w:rsid w:val="0031628F"/>
    <w:rsid w:val="003164A4"/>
    <w:rsid w:val="003164F1"/>
    <w:rsid w:val="003166E4"/>
    <w:rsid w:val="003167D7"/>
    <w:rsid w:val="00316805"/>
    <w:rsid w:val="00316946"/>
    <w:rsid w:val="00316A25"/>
    <w:rsid w:val="00316B27"/>
    <w:rsid w:val="00316B9D"/>
    <w:rsid w:val="00316DA9"/>
    <w:rsid w:val="00316EEC"/>
    <w:rsid w:val="00316F69"/>
    <w:rsid w:val="003170AA"/>
    <w:rsid w:val="003171C0"/>
    <w:rsid w:val="003172D3"/>
    <w:rsid w:val="00317529"/>
    <w:rsid w:val="003175B2"/>
    <w:rsid w:val="0031772A"/>
    <w:rsid w:val="003179D3"/>
    <w:rsid w:val="00317C8B"/>
    <w:rsid w:val="00317CE1"/>
    <w:rsid w:val="00317E59"/>
    <w:rsid w:val="00317F98"/>
    <w:rsid w:val="00317FC6"/>
    <w:rsid w:val="00317FD4"/>
    <w:rsid w:val="0032020E"/>
    <w:rsid w:val="00320217"/>
    <w:rsid w:val="0032035B"/>
    <w:rsid w:val="0032040E"/>
    <w:rsid w:val="003204CD"/>
    <w:rsid w:val="0032052D"/>
    <w:rsid w:val="003205D9"/>
    <w:rsid w:val="0032079C"/>
    <w:rsid w:val="003207AD"/>
    <w:rsid w:val="003207D8"/>
    <w:rsid w:val="00320877"/>
    <w:rsid w:val="0032089D"/>
    <w:rsid w:val="003208F0"/>
    <w:rsid w:val="00320A7F"/>
    <w:rsid w:val="00320B2B"/>
    <w:rsid w:val="00320BD9"/>
    <w:rsid w:val="00320EFC"/>
    <w:rsid w:val="00321052"/>
    <w:rsid w:val="00321118"/>
    <w:rsid w:val="00321179"/>
    <w:rsid w:val="003213D2"/>
    <w:rsid w:val="00321576"/>
    <w:rsid w:val="003215F0"/>
    <w:rsid w:val="0032165C"/>
    <w:rsid w:val="00321671"/>
    <w:rsid w:val="00321786"/>
    <w:rsid w:val="00321835"/>
    <w:rsid w:val="003218BC"/>
    <w:rsid w:val="00321A0B"/>
    <w:rsid w:val="00321A8E"/>
    <w:rsid w:val="00321B64"/>
    <w:rsid w:val="00321BAF"/>
    <w:rsid w:val="00321C3D"/>
    <w:rsid w:val="00321C8A"/>
    <w:rsid w:val="00321D38"/>
    <w:rsid w:val="00321F82"/>
    <w:rsid w:val="00322178"/>
    <w:rsid w:val="00322187"/>
    <w:rsid w:val="003222C5"/>
    <w:rsid w:val="0032240E"/>
    <w:rsid w:val="0032242F"/>
    <w:rsid w:val="00322DA5"/>
    <w:rsid w:val="00322EAE"/>
    <w:rsid w:val="0032303B"/>
    <w:rsid w:val="00323597"/>
    <w:rsid w:val="00323768"/>
    <w:rsid w:val="00323798"/>
    <w:rsid w:val="00323839"/>
    <w:rsid w:val="003238A9"/>
    <w:rsid w:val="00323B3F"/>
    <w:rsid w:val="00323B55"/>
    <w:rsid w:val="00323D60"/>
    <w:rsid w:val="00323DBD"/>
    <w:rsid w:val="00323E05"/>
    <w:rsid w:val="003240D3"/>
    <w:rsid w:val="00324183"/>
    <w:rsid w:val="0032418A"/>
    <w:rsid w:val="003241B7"/>
    <w:rsid w:val="003245D0"/>
    <w:rsid w:val="003246CF"/>
    <w:rsid w:val="003247BA"/>
    <w:rsid w:val="00324A04"/>
    <w:rsid w:val="00324BDE"/>
    <w:rsid w:val="00324C66"/>
    <w:rsid w:val="00324D20"/>
    <w:rsid w:val="00324F75"/>
    <w:rsid w:val="003250C4"/>
    <w:rsid w:val="00325269"/>
    <w:rsid w:val="003253FF"/>
    <w:rsid w:val="00325445"/>
    <w:rsid w:val="0032550A"/>
    <w:rsid w:val="00325756"/>
    <w:rsid w:val="00325764"/>
    <w:rsid w:val="0032588E"/>
    <w:rsid w:val="00325B4A"/>
    <w:rsid w:val="00325CA0"/>
    <w:rsid w:val="00325EF3"/>
    <w:rsid w:val="0032613D"/>
    <w:rsid w:val="003261C9"/>
    <w:rsid w:val="003261DC"/>
    <w:rsid w:val="00326259"/>
    <w:rsid w:val="00326551"/>
    <w:rsid w:val="00326573"/>
    <w:rsid w:val="00326632"/>
    <w:rsid w:val="00326787"/>
    <w:rsid w:val="003268BE"/>
    <w:rsid w:val="00326AA6"/>
    <w:rsid w:val="00326BAC"/>
    <w:rsid w:val="00326C67"/>
    <w:rsid w:val="00326C9B"/>
    <w:rsid w:val="00326CE7"/>
    <w:rsid w:val="00326EA3"/>
    <w:rsid w:val="00327071"/>
    <w:rsid w:val="00327078"/>
    <w:rsid w:val="003271E4"/>
    <w:rsid w:val="003272EC"/>
    <w:rsid w:val="003274B5"/>
    <w:rsid w:val="003276B8"/>
    <w:rsid w:val="0032783E"/>
    <w:rsid w:val="00327B65"/>
    <w:rsid w:val="00327C50"/>
    <w:rsid w:val="00327C92"/>
    <w:rsid w:val="00327D11"/>
    <w:rsid w:val="00327F39"/>
    <w:rsid w:val="00330022"/>
    <w:rsid w:val="0033018E"/>
    <w:rsid w:val="003301CB"/>
    <w:rsid w:val="0033025C"/>
    <w:rsid w:val="00330358"/>
    <w:rsid w:val="00330360"/>
    <w:rsid w:val="003303B1"/>
    <w:rsid w:val="003303EF"/>
    <w:rsid w:val="003303FB"/>
    <w:rsid w:val="003305DE"/>
    <w:rsid w:val="003306C8"/>
    <w:rsid w:val="00330952"/>
    <w:rsid w:val="00330ABE"/>
    <w:rsid w:val="00330B94"/>
    <w:rsid w:val="00330D50"/>
    <w:rsid w:val="00330E8D"/>
    <w:rsid w:val="00330E9F"/>
    <w:rsid w:val="00330FD2"/>
    <w:rsid w:val="00331111"/>
    <w:rsid w:val="00331194"/>
    <w:rsid w:val="0033139F"/>
    <w:rsid w:val="003314E3"/>
    <w:rsid w:val="003316A8"/>
    <w:rsid w:val="003316CB"/>
    <w:rsid w:val="00331703"/>
    <w:rsid w:val="0033179D"/>
    <w:rsid w:val="00331886"/>
    <w:rsid w:val="003318A0"/>
    <w:rsid w:val="00331989"/>
    <w:rsid w:val="003319E7"/>
    <w:rsid w:val="00331A6D"/>
    <w:rsid w:val="00331A75"/>
    <w:rsid w:val="00331AEE"/>
    <w:rsid w:val="00331BAD"/>
    <w:rsid w:val="00331C71"/>
    <w:rsid w:val="00331DD0"/>
    <w:rsid w:val="00331E60"/>
    <w:rsid w:val="003323BE"/>
    <w:rsid w:val="00332411"/>
    <w:rsid w:val="00332571"/>
    <w:rsid w:val="0033285A"/>
    <w:rsid w:val="003328A5"/>
    <w:rsid w:val="003329C4"/>
    <w:rsid w:val="00332C0F"/>
    <w:rsid w:val="00332C16"/>
    <w:rsid w:val="00332CD1"/>
    <w:rsid w:val="00332D0D"/>
    <w:rsid w:val="00332D3F"/>
    <w:rsid w:val="00332D7C"/>
    <w:rsid w:val="00332E66"/>
    <w:rsid w:val="00332FB7"/>
    <w:rsid w:val="003330FA"/>
    <w:rsid w:val="00333114"/>
    <w:rsid w:val="003332D2"/>
    <w:rsid w:val="00333430"/>
    <w:rsid w:val="0033367F"/>
    <w:rsid w:val="003336D0"/>
    <w:rsid w:val="00333987"/>
    <w:rsid w:val="00333A0A"/>
    <w:rsid w:val="00333A88"/>
    <w:rsid w:val="00333C3F"/>
    <w:rsid w:val="00333CA5"/>
    <w:rsid w:val="00333D0B"/>
    <w:rsid w:val="00333DBF"/>
    <w:rsid w:val="00333DD9"/>
    <w:rsid w:val="00333E4E"/>
    <w:rsid w:val="00333F7B"/>
    <w:rsid w:val="00333F97"/>
    <w:rsid w:val="0033415E"/>
    <w:rsid w:val="00334172"/>
    <w:rsid w:val="003343A5"/>
    <w:rsid w:val="003343AC"/>
    <w:rsid w:val="0033452E"/>
    <w:rsid w:val="003346FD"/>
    <w:rsid w:val="003347EB"/>
    <w:rsid w:val="0033485A"/>
    <w:rsid w:val="0033494C"/>
    <w:rsid w:val="00334A30"/>
    <w:rsid w:val="00334A90"/>
    <w:rsid w:val="00334ABB"/>
    <w:rsid w:val="00334B9E"/>
    <w:rsid w:val="00334C96"/>
    <w:rsid w:val="00334CF5"/>
    <w:rsid w:val="00334D18"/>
    <w:rsid w:val="00334D32"/>
    <w:rsid w:val="00334D55"/>
    <w:rsid w:val="00334DFF"/>
    <w:rsid w:val="00334E34"/>
    <w:rsid w:val="00335021"/>
    <w:rsid w:val="00335144"/>
    <w:rsid w:val="00335252"/>
    <w:rsid w:val="003355FA"/>
    <w:rsid w:val="00335603"/>
    <w:rsid w:val="00335681"/>
    <w:rsid w:val="003357C2"/>
    <w:rsid w:val="00335A5B"/>
    <w:rsid w:val="00335D0B"/>
    <w:rsid w:val="00335D52"/>
    <w:rsid w:val="00335D73"/>
    <w:rsid w:val="00335D74"/>
    <w:rsid w:val="00335E6B"/>
    <w:rsid w:val="00335EE6"/>
    <w:rsid w:val="00335F76"/>
    <w:rsid w:val="00335F89"/>
    <w:rsid w:val="0033604F"/>
    <w:rsid w:val="0033617A"/>
    <w:rsid w:val="00336235"/>
    <w:rsid w:val="003362BB"/>
    <w:rsid w:val="00336429"/>
    <w:rsid w:val="003364EC"/>
    <w:rsid w:val="00336566"/>
    <w:rsid w:val="0033659A"/>
    <w:rsid w:val="003366F4"/>
    <w:rsid w:val="0033685F"/>
    <w:rsid w:val="00336873"/>
    <w:rsid w:val="00336B93"/>
    <w:rsid w:val="00336BEF"/>
    <w:rsid w:val="00336C81"/>
    <w:rsid w:val="00336D40"/>
    <w:rsid w:val="00336D9F"/>
    <w:rsid w:val="00336DF4"/>
    <w:rsid w:val="00336EFB"/>
    <w:rsid w:val="00336FD7"/>
    <w:rsid w:val="00337014"/>
    <w:rsid w:val="00337131"/>
    <w:rsid w:val="0033716E"/>
    <w:rsid w:val="00337278"/>
    <w:rsid w:val="003374C3"/>
    <w:rsid w:val="00337599"/>
    <w:rsid w:val="00337706"/>
    <w:rsid w:val="0033784B"/>
    <w:rsid w:val="0033787C"/>
    <w:rsid w:val="003378DD"/>
    <w:rsid w:val="003378FA"/>
    <w:rsid w:val="0033795D"/>
    <w:rsid w:val="00337A02"/>
    <w:rsid w:val="00337ADD"/>
    <w:rsid w:val="00337AFA"/>
    <w:rsid w:val="00337C1A"/>
    <w:rsid w:val="00337C5A"/>
    <w:rsid w:val="00337C87"/>
    <w:rsid w:val="00337D1E"/>
    <w:rsid w:val="00337E39"/>
    <w:rsid w:val="00337E90"/>
    <w:rsid w:val="00337EFD"/>
    <w:rsid w:val="00337F99"/>
    <w:rsid w:val="00340300"/>
    <w:rsid w:val="003403BB"/>
    <w:rsid w:val="003404A0"/>
    <w:rsid w:val="00340581"/>
    <w:rsid w:val="003406A6"/>
    <w:rsid w:val="003407F5"/>
    <w:rsid w:val="0034085F"/>
    <w:rsid w:val="003409B5"/>
    <w:rsid w:val="00340A11"/>
    <w:rsid w:val="00340AB5"/>
    <w:rsid w:val="00340D46"/>
    <w:rsid w:val="00340E78"/>
    <w:rsid w:val="00340F10"/>
    <w:rsid w:val="00340F65"/>
    <w:rsid w:val="00341018"/>
    <w:rsid w:val="00341163"/>
    <w:rsid w:val="003412B3"/>
    <w:rsid w:val="0034137A"/>
    <w:rsid w:val="003413C0"/>
    <w:rsid w:val="003415F1"/>
    <w:rsid w:val="0034176E"/>
    <w:rsid w:val="0034189F"/>
    <w:rsid w:val="00341A7B"/>
    <w:rsid w:val="00341A97"/>
    <w:rsid w:val="00341CE5"/>
    <w:rsid w:val="00341DDF"/>
    <w:rsid w:val="00341F31"/>
    <w:rsid w:val="00341F5E"/>
    <w:rsid w:val="0034210E"/>
    <w:rsid w:val="00342136"/>
    <w:rsid w:val="0034238B"/>
    <w:rsid w:val="003423E1"/>
    <w:rsid w:val="00342640"/>
    <w:rsid w:val="003426EE"/>
    <w:rsid w:val="00342904"/>
    <w:rsid w:val="00342945"/>
    <w:rsid w:val="00342E17"/>
    <w:rsid w:val="00342F4A"/>
    <w:rsid w:val="00343264"/>
    <w:rsid w:val="00343265"/>
    <w:rsid w:val="00343316"/>
    <w:rsid w:val="00343428"/>
    <w:rsid w:val="003434BC"/>
    <w:rsid w:val="003435B1"/>
    <w:rsid w:val="00343646"/>
    <w:rsid w:val="00343666"/>
    <w:rsid w:val="003438FE"/>
    <w:rsid w:val="00343931"/>
    <w:rsid w:val="00343B16"/>
    <w:rsid w:val="00343B2F"/>
    <w:rsid w:val="00343D46"/>
    <w:rsid w:val="00343DD3"/>
    <w:rsid w:val="00343E21"/>
    <w:rsid w:val="00343EAA"/>
    <w:rsid w:val="003440F9"/>
    <w:rsid w:val="00344153"/>
    <w:rsid w:val="0034431C"/>
    <w:rsid w:val="00344381"/>
    <w:rsid w:val="00344602"/>
    <w:rsid w:val="003446F0"/>
    <w:rsid w:val="003447F3"/>
    <w:rsid w:val="00344B07"/>
    <w:rsid w:val="00344D92"/>
    <w:rsid w:val="00344DE1"/>
    <w:rsid w:val="00344E01"/>
    <w:rsid w:val="00344E90"/>
    <w:rsid w:val="00344EA3"/>
    <w:rsid w:val="00344EC8"/>
    <w:rsid w:val="00344F62"/>
    <w:rsid w:val="00345017"/>
    <w:rsid w:val="003451C3"/>
    <w:rsid w:val="00345266"/>
    <w:rsid w:val="003452B6"/>
    <w:rsid w:val="00345375"/>
    <w:rsid w:val="0034554F"/>
    <w:rsid w:val="0034574B"/>
    <w:rsid w:val="003457A1"/>
    <w:rsid w:val="003457AD"/>
    <w:rsid w:val="003457FF"/>
    <w:rsid w:val="00345867"/>
    <w:rsid w:val="003458AF"/>
    <w:rsid w:val="003459AC"/>
    <w:rsid w:val="00345BD1"/>
    <w:rsid w:val="00345D7F"/>
    <w:rsid w:val="00345EA3"/>
    <w:rsid w:val="003462F0"/>
    <w:rsid w:val="00346328"/>
    <w:rsid w:val="00346363"/>
    <w:rsid w:val="00346467"/>
    <w:rsid w:val="00346483"/>
    <w:rsid w:val="00346495"/>
    <w:rsid w:val="00346552"/>
    <w:rsid w:val="00346837"/>
    <w:rsid w:val="00346B8B"/>
    <w:rsid w:val="00346C27"/>
    <w:rsid w:val="00346D56"/>
    <w:rsid w:val="00346FAC"/>
    <w:rsid w:val="003470BE"/>
    <w:rsid w:val="003471EF"/>
    <w:rsid w:val="00347245"/>
    <w:rsid w:val="00347265"/>
    <w:rsid w:val="003473EA"/>
    <w:rsid w:val="00347417"/>
    <w:rsid w:val="0034741C"/>
    <w:rsid w:val="00347507"/>
    <w:rsid w:val="00347900"/>
    <w:rsid w:val="003479B2"/>
    <w:rsid w:val="003479E5"/>
    <w:rsid w:val="00347B3C"/>
    <w:rsid w:val="00347B52"/>
    <w:rsid w:val="00347BCE"/>
    <w:rsid w:val="00347EAB"/>
    <w:rsid w:val="00347FD5"/>
    <w:rsid w:val="0035047C"/>
    <w:rsid w:val="0035067B"/>
    <w:rsid w:val="003506A7"/>
    <w:rsid w:val="00350769"/>
    <w:rsid w:val="00350865"/>
    <w:rsid w:val="0035091C"/>
    <w:rsid w:val="00350A0E"/>
    <w:rsid w:val="00350A87"/>
    <w:rsid w:val="00350AA4"/>
    <w:rsid w:val="00350B12"/>
    <w:rsid w:val="00350BC1"/>
    <w:rsid w:val="00350BEE"/>
    <w:rsid w:val="00350E7B"/>
    <w:rsid w:val="00350EB4"/>
    <w:rsid w:val="003510A4"/>
    <w:rsid w:val="00351331"/>
    <w:rsid w:val="003513FF"/>
    <w:rsid w:val="003518EA"/>
    <w:rsid w:val="00351951"/>
    <w:rsid w:val="00351A2A"/>
    <w:rsid w:val="00351BD7"/>
    <w:rsid w:val="00351BD9"/>
    <w:rsid w:val="00351BF0"/>
    <w:rsid w:val="00351E38"/>
    <w:rsid w:val="00351FF6"/>
    <w:rsid w:val="00352182"/>
    <w:rsid w:val="003523A9"/>
    <w:rsid w:val="003523C2"/>
    <w:rsid w:val="003523F1"/>
    <w:rsid w:val="00352409"/>
    <w:rsid w:val="0035252A"/>
    <w:rsid w:val="003525B1"/>
    <w:rsid w:val="003525DF"/>
    <w:rsid w:val="0035269D"/>
    <w:rsid w:val="00352897"/>
    <w:rsid w:val="00352955"/>
    <w:rsid w:val="00352B02"/>
    <w:rsid w:val="00352B8F"/>
    <w:rsid w:val="00352D1C"/>
    <w:rsid w:val="00352EC7"/>
    <w:rsid w:val="00352EDD"/>
    <w:rsid w:val="0035303B"/>
    <w:rsid w:val="0035323B"/>
    <w:rsid w:val="003533F3"/>
    <w:rsid w:val="00353752"/>
    <w:rsid w:val="003537CE"/>
    <w:rsid w:val="00353856"/>
    <w:rsid w:val="00353881"/>
    <w:rsid w:val="00353891"/>
    <w:rsid w:val="003539DF"/>
    <w:rsid w:val="00353ADA"/>
    <w:rsid w:val="00353B2E"/>
    <w:rsid w:val="00353C18"/>
    <w:rsid w:val="00353CFC"/>
    <w:rsid w:val="00353D9E"/>
    <w:rsid w:val="00353E55"/>
    <w:rsid w:val="0035402F"/>
    <w:rsid w:val="0035414F"/>
    <w:rsid w:val="0035424B"/>
    <w:rsid w:val="0035465A"/>
    <w:rsid w:val="003548DB"/>
    <w:rsid w:val="003549B7"/>
    <w:rsid w:val="00354DB9"/>
    <w:rsid w:val="00354EDF"/>
    <w:rsid w:val="00354EE6"/>
    <w:rsid w:val="00354EF0"/>
    <w:rsid w:val="00354F69"/>
    <w:rsid w:val="00354FC4"/>
    <w:rsid w:val="00354FC5"/>
    <w:rsid w:val="0035517C"/>
    <w:rsid w:val="00355329"/>
    <w:rsid w:val="00355357"/>
    <w:rsid w:val="003553CB"/>
    <w:rsid w:val="00355606"/>
    <w:rsid w:val="003557CD"/>
    <w:rsid w:val="003559D8"/>
    <w:rsid w:val="00355AC7"/>
    <w:rsid w:val="00355CD2"/>
    <w:rsid w:val="00355D69"/>
    <w:rsid w:val="00355E0B"/>
    <w:rsid w:val="00355F11"/>
    <w:rsid w:val="00355FF8"/>
    <w:rsid w:val="00356165"/>
    <w:rsid w:val="0035625B"/>
    <w:rsid w:val="003562B6"/>
    <w:rsid w:val="003562EC"/>
    <w:rsid w:val="0035639E"/>
    <w:rsid w:val="003565AC"/>
    <w:rsid w:val="003566CA"/>
    <w:rsid w:val="00356781"/>
    <w:rsid w:val="003567CF"/>
    <w:rsid w:val="003567E9"/>
    <w:rsid w:val="00356841"/>
    <w:rsid w:val="00356A11"/>
    <w:rsid w:val="00356A6F"/>
    <w:rsid w:val="00356BC3"/>
    <w:rsid w:val="00356C41"/>
    <w:rsid w:val="00356C80"/>
    <w:rsid w:val="00356CFC"/>
    <w:rsid w:val="00356CFE"/>
    <w:rsid w:val="00356E31"/>
    <w:rsid w:val="00356F68"/>
    <w:rsid w:val="0035731F"/>
    <w:rsid w:val="0035733B"/>
    <w:rsid w:val="0035734E"/>
    <w:rsid w:val="0035754B"/>
    <w:rsid w:val="00357923"/>
    <w:rsid w:val="00357935"/>
    <w:rsid w:val="00357A4B"/>
    <w:rsid w:val="00357B7A"/>
    <w:rsid w:val="00357EB3"/>
    <w:rsid w:val="00357ED9"/>
    <w:rsid w:val="0035D81C"/>
    <w:rsid w:val="0036009F"/>
    <w:rsid w:val="0036026F"/>
    <w:rsid w:val="00360326"/>
    <w:rsid w:val="0036043F"/>
    <w:rsid w:val="00360456"/>
    <w:rsid w:val="00360460"/>
    <w:rsid w:val="00360555"/>
    <w:rsid w:val="0036057E"/>
    <w:rsid w:val="00360837"/>
    <w:rsid w:val="00360B0C"/>
    <w:rsid w:val="00360CF5"/>
    <w:rsid w:val="00360D6C"/>
    <w:rsid w:val="00360DAE"/>
    <w:rsid w:val="0036118B"/>
    <w:rsid w:val="00361239"/>
    <w:rsid w:val="0036131E"/>
    <w:rsid w:val="00361448"/>
    <w:rsid w:val="003617B0"/>
    <w:rsid w:val="0036184B"/>
    <w:rsid w:val="00361923"/>
    <w:rsid w:val="00361932"/>
    <w:rsid w:val="0036193A"/>
    <w:rsid w:val="0036199E"/>
    <w:rsid w:val="00361BE7"/>
    <w:rsid w:val="00361C3A"/>
    <w:rsid w:val="00361C73"/>
    <w:rsid w:val="00361D9D"/>
    <w:rsid w:val="00361DC3"/>
    <w:rsid w:val="00361DC6"/>
    <w:rsid w:val="00361DF8"/>
    <w:rsid w:val="00361F39"/>
    <w:rsid w:val="00361F55"/>
    <w:rsid w:val="00361F76"/>
    <w:rsid w:val="00362241"/>
    <w:rsid w:val="0036238A"/>
    <w:rsid w:val="0036254F"/>
    <w:rsid w:val="003625A2"/>
    <w:rsid w:val="003625BE"/>
    <w:rsid w:val="003625FB"/>
    <w:rsid w:val="0036261C"/>
    <w:rsid w:val="0036295A"/>
    <w:rsid w:val="00362A40"/>
    <w:rsid w:val="00362B5A"/>
    <w:rsid w:val="00362BA4"/>
    <w:rsid w:val="00362FDE"/>
    <w:rsid w:val="003631D8"/>
    <w:rsid w:val="00363249"/>
    <w:rsid w:val="0036334E"/>
    <w:rsid w:val="00363350"/>
    <w:rsid w:val="0036357E"/>
    <w:rsid w:val="00363673"/>
    <w:rsid w:val="00363696"/>
    <w:rsid w:val="003636C8"/>
    <w:rsid w:val="003639BB"/>
    <w:rsid w:val="003639C8"/>
    <w:rsid w:val="00363BD2"/>
    <w:rsid w:val="00363E62"/>
    <w:rsid w:val="00363ED2"/>
    <w:rsid w:val="00363FB2"/>
    <w:rsid w:val="003641B8"/>
    <w:rsid w:val="0036424E"/>
    <w:rsid w:val="00364270"/>
    <w:rsid w:val="003643F2"/>
    <w:rsid w:val="0036440F"/>
    <w:rsid w:val="00364652"/>
    <w:rsid w:val="00364790"/>
    <w:rsid w:val="003648B6"/>
    <w:rsid w:val="00364A32"/>
    <w:rsid w:val="00364AB9"/>
    <w:rsid w:val="00364BAB"/>
    <w:rsid w:val="00364D75"/>
    <w:rsid w:val="00364DE5"/>
    <w:rsid w:val="00364F5F"/>
    <w:rsid w:val="003651D2"/>
    <w:rsid w:val="003651F4"/>
    <w:rsid w:val="00365340"/>
    <w:rsid w:val="0036535E"/>
    <w:rsid w:val="0036540C"/>
    <w:rsid w:val="0036548C"/>
    <w:rsid w:val="003654CD"/>
    <w:rsid w:val="00365510"/>
    <w:rsid w:val="00365548"/>
    <w:rsid w:val="00365600"/>
    <w:rsid w:val="00365B75"/>
    <w:rsid w:val="00365C87"/>
    <w:rsid w:val="00365DB2"/>
    <w:rsid w:val="00365DD1"/>
    <w:rsid w:val="00366378"/>
    <w:rsid w:val="0036658D"/>
    <w:rsid w:val="003666BE"/>
    <w:rsid w:val="003666C5"/>
    <w:rsid w:val="003666F7"/>
    <w:rsid w:val="00366A11"/>
    <w:rsid w:val="00366A92"/>
    <w:rsid w:val="00366BF0"/>
    <w:rsid w:val="00366ED8"/>
    <w:rsid w:val="0036708F"/>
    <w:rsid w:val="00367090"/>
    <w:rsid w:val="003671C2"/>
    <w:rsid w:val="0036720B"/>
    <w:rsid w:val="0036741D"/>
    <w:rsid w:val="00367462"/>
    <w:rsid w:val="003674E3"/>
    <w:rsid w:val="003675A2"/>
    <w:rsid w:val="003676AC"/>
    <w:rsid w:val="003676B4"/>
    <w:rsid w:val="0036787E"/>
    <w:rsid w:val="00367A1A"/>
    <w:rsid w:val="00367A9A"/>
    <w:rsid w:val="00367AD3"/>
    <w:rsid w:val="00367B0C"/>
    <w:rsid w:val="00367EC6"/>
    <w:rsid w:val="00367FC4"/>
    <w:rsid w:val="00367FFD"/>
    <w:rsid w:val="0037007C"/>
    <w:rsid w:val="003701C9"/>
    <w:rsid w:val="00370241"/>
    <w:rsid w:val="00370312"/>
    <w:rsid w:val="00370633"/>
    <w:rsid w:val="003706F5"/>
    <w:rsid w:val="00370816"/>
    <w:rsid w:val="0037083C"/>
    <w:rsid w:val="00370A14"/>
    <w:rsid w:val="00370A28"/>
    <w:rsid w:val="00370AB5"/>
    <w:rsid w:val="00370AD9"/>
    <w:rsid w:val="00370CCA"/>
    <w:rsid w:val="00370E56"/>
    <w:rsid w:val="00370ED7"/>
    <w:rsid w:val="00370EDB"/>
    <w:rsid w:val="00370FCF"/>
    <w:rsid w:val="00371109"/>
    <w:rsid w:val="00371145"/>
    <w:rsid w:val="003714DF"/>
    <w:rsid w:val="00371B53"/>
    <w:rsid w:val="00371C86"/>
    <w:rsid w:val="00371D40"/>
    <w:rsid w:val="003722C3"/>
    <w:rsid w:val="003723DF"/>
    <w:rsid w:val="00372666"/>
    <w:rsid w:val="0037269F"/>
    <w:rsid w:val="00372704"/>
    <w:rsid w:val="003727A8"/>
    <w:rsid w:val="003727E8"/>
    <w:rsid w:val="00372829"/>
    <w:rsid w:val="00372873"/>
    <w:rsid w:val="00372AB6"/>
    <w:rsid w:val="00372BB8"/>
    <w:rsid w:val="00372CD7"/>
    <w:rsid w:val="00372FE9"/>
    <w:rsid w:val="0037308B"/>
    <w:rsid w:val="00373098"/>
    <w:rsid w:val="003730B9"/>
    <w:rsid w:val="00373167"/>
    <w:rsid w:val="00373273"/>
    <w:rsid w:val="00373348"/>
    <w:rsid w:val="00373491"/>
    <w:rsid w:val="00373497"/>
    <w:rsid w:val="003735D8"/>
    <w:rsid w:val="00373703"/>
    <w:rsid w:val="003737C3"/>
    <w:rsid w:val="003738C6"/>
    <w:rsid w:val="00373BFE"/>
    <w:rsid w:val="00373D5A"/>
    <w:rsid w:val="00373DA9"/>
    <w:rsid w:val="00373DF9"/>
    <w:rsid w:val="00374194"/>
    <w:rsid w:val="003741CF"/>
    <w:rsid w:val="003742F8"/>
    <w:rsid w:val="00374333"/>
    <w:rsid w:val="003743F2"/>
    <w:rsid w:val="00374627"/>
    <w:rsid w:val="00374890"/>
    <w:rsid w:val="0037491A"/>
    <w:rsid w:val="00374991"/>
    <w:rsid w:val="00374AA8"/>
    <w:rsid w:val="00374ACD"/>
    <w:rsid w:val="00374B8C"/>
    <w:rsid w:val="00374CA8"/>
    <w:rsid w:val="00374EC0"/>
    <w:rsid w:val="00375056"/>
    <w:rsid w:val="0037516C"/>
    <w:rsid w:val="003751D7"/>
    <w:rsid w:val="003753FE"/>
    <w:rsid w:val="00375413"/>
    <w:rsid w:val="0037564D"/>
    <w:rsid w:val="00375959"/>
    <w:rsid w:val="00375D07"/>
    <w:rsid w:val="00375D8D"/>
    <w:rsid w:val="00375DF1"/>
    <w:rsid w:val="00375F8D"/>
    <w:rsid w:val="003760D8"/>
    <w:rsid w:val="0037616A"/>
    <w:rsid w:val="003763D1"/>
    <w:rsid w:val="0037644A"/>
    <w:rsid w:val="0037644C"/>
    <w:rsid w:val="003765BA"/>
    <w:rsid w:val="003765DF"/>
    <w:rsid w:val="003766A8"/>
    <w:rsid w:val="003766F2"/>
    <w:rsid w:val="003768A3"/>
    <w:rsid w:val="00376AC2"/>
    <w:rsid w:val="00376D20"/>
    <w:rsid w:val="00376D3C"/>
    <w:rsid w:val="00376D41"/>
    <w:rsid w:val="00376D84"/>
    <w:rsid w:val="00376DA1"/>
    <w:rsid w:val="00376ED7"/>
    <w:rsid w:val="00377331"/>
    <w:rsid w:val="00377363"/>
    <w:rsid w:val="003773A0"/>
    <w:rsid w:val="00377430"/>
    <w:rsid w:val="0037753B"/>
    <w:rsid w:val="00377585"/>
    <w:rsid w:val="003776FC"/>
    <w:rsid w:val="00377939"/>
    <w:rsid w:val="00377A44"/>
    <w:rsid w:val="00377CA5"/>
    <w:rsid w:val="00377D4E"/>
    <w:rsid w:val="00377E94"/>
    <w:rsid w:val="00377E9D"/>
    <w:rsid w:val="00380124"/>
    <w:rsid w:val="00380180"/>
    <w:rsid w:val="00380194"/>
    <w:rsid w:val="003801AB"/>
    <w:rsid w:val="00380299"/>
    <w:rsid w:val="00380306"/>
    <w:rsid w:val="003803D3"/>
    <w:rsid w:val="0038078C"/>
    <w:rsid w:val="003807AE"/>
    <w:rsid w:val="0038097F"/>
    <w:rsid w:val="00380F22"/>
    <w:rsid w:val="00380F53"/>
    <w:rsid w:val="00380FE0"/>
    <w:rsid w:val="003813E7"/>
    <w:rsid w:val="00381741"/>
    <w:rsid w:val="003817A7"/>
    <w:rsid w:val="00381847"/>
    <w:rsid w:val="00381875"/>
    <w:rsid w:val="00381AFB"/>
    <w:rsid w:val="00381E23"/>
    <w:rsid w:val="00382121"/>
    <w:rsid w:val="0038218F"/>
    <w:rsid w:val="00382206"/>
    <w:rsid w:val="00382298"/>
    <w:rsid w:val="0038248D"/>
    <w:rsid w:val="00382671"/>
    <w:rsid w:val="0038295C"/>
    <w:rsid w:val="003829B2"/>
    <w:rsid w:val="00382A7F"/>
    <w:rsid w:val="00382AAB"/>
    <w:rsid w:val="00382C04"/>
    <w:rsid w:val="00382DAF"/>
    <w:rsid w:val="00382DF7"/>
    <w:rsid w:val="00382E24"/>
    <w:rsid w:val="00382E78"/>
    <w:rsid w:val="00382EBA"/>
    <w:rsid w:val="0038306A"/>
    <w:rsid w:val="00383586"/>
    <w:rsid w:val="003835B9"/>
    <w:rsid w:val="003835BD"/>
    <w:rsid w:val="003837AF"/>
    <w:rsid w:val="00383844"/>
    <w:rsid w:val="0038390F"/>
    <w:rsid w:val="003839D9"/>
    <w:rsid w:val="00383A28"/>
    <w:rsid w:val="00383D4C"/>
    <w:rsid w:val="00383D7E"/>
    <w:rsid w:val="00383E70"/>
    <w:rsid w:val="00383F9F"/>
    <w:rsid w:val="00384229"/>
    <w:rsid w:val="0038423A"/>
    <w:rsid w:val="00384365"/>
    <w:rsid w:val="003845DE"/>
    <w:rsid w:val="0038461A"/>
    <w:rsid w:val="00384663"/>
    <w:rsid w:val="003847E4"/>
    <w:rsid w:val="00384806"/>
    <w:rsid w:val="00384A09"/>
    <w:rsid w:val="00384CBC"/>
    <w:rsid w:val="00384E60"/>
    <w:rsid w:val="00384E8C"/>
    <w:rsid w:val="00384ED0"/>
    <w:rsid w:val="00385050"/>
    <w:rsid w:val="003854D9"/>
    <w:rsid w:val="003854F6"/>
    <w:rsid w:val="00385527"/>
    <w:rsid w:val="003856E3"/>
    <w:rsid w:val="0038591D"/>
    <w:rsid w:val="00385934"/>
    <w:rsid w:val="00385BEF"/>
    <w:rsid w:val="00385C71"/>
    <w:rsid w:val="00385DE9"/>
    <w:rsid w:val="00385F8C"/>
    <w:rsid w:val="0038608F"/>
    <w:rsid w:val="003863BE"/>
    <w:rsid w:val="003864C2"/>
    <w:rsid w:val="00386540"/>
    <w:rsid w:val="00386672"/>
    <w:rsid w:val="0038669A"/>
    <w:rsid w:val="00386A63"/>
    <w:rsid w:val="00386ADC"/>
    <w:rsid w:val="00386CC1"/>
    <w:rsid w:val="00386D9B"/>
    <w:rsid w:val="00386EF6"/>
    <w:rsid w:val="00386FFF"/>
    <w:rsid w:val="0038714A"/>
    <w:rsid w:val="00387239"/>
    <w:rsid w:val="0038727B"/>
    <w:rsid w:val="00387399"/>
    <w:rsid w:val="003874B9"/>
    <w:rsid w:val="0038751E"/>
    <w:rsid w:val="003877D6"/>
    <w:rsid w:val="00387B69"/>
    <w:rsid w:val="00387DA4"/>
    <w:rsid w:val="00387DA9"/>
    <w:rsid w:val="00387EDF"/>
    <w:rsid w:val="00387EF5"/>
    <w:rsid w:val="00387F5B"/>
    <w:rsid w:val="0039004A"/>
    <w:rsid w:val="003900AF"/>
    <w:rsid w:val="003900ED"/>
    <w:rsid w:val="00390134"/>
    <w:rsid w:val="0039023F"/>
    <w:rsid w:val="003902C3"/>
    <w:rsid w:val="0039030A"/>
    <w:rsid w:val="0039036E"/>
    <w:rsid w:val="003905E2"/>
    <w:rsid w:val="00390668"/>
    <w:rsid w:val="00390710"/>
    <w:rsid w:val="003907E3"/>
    <w:rsid w:val="00390A5D"/>
    <w:rsid w:val="00390B1F"/>
    <w:rsid w:val="00390B47"/>
    <w:rsid w:val="00390F8A"/>
    <w:rsid w:val="0039117D"/>
    <w:rsid w:val="00391184"/>
    <w:rsid w:val="00391205"/>
    <w:rsid w:val="003912F2"/>
    <w:rsid w:val="003913D5"/>
    <w:rsid w:val="0039142D"/>
    <w:rsid w:val="0039175D"/>
    <w:rsid w:val="0039179F"/>
    <w:rsid w:val="003917C6"/>
    <w:rsid w:val="0039191A"/>
    <w:rsid w:val="00391A8A"/>
    <w:rsid w:val="00391B6A"/>
    <w:rsid w:val="00391C23"/>
    <w:rsid w:val="00391CFD"/>
    <w:rsid w:val="00391EC0"/>
    <w:rsid w:val="00391F45"/>
    <w:rsid w:val="00392086"/>
    <w:rsid w:val="003921D7"/>
    <w:rsid w:val="0039238C"/>
    <w:rsid w:val="00392646"/>
    <w:rsid w:val="00392661"/>
    <w:rsid w:val="00392738"/>
    <w:rsid w:val="003927E4"/>
    <w:rsid w:val="0039282F"/>
    <w:rsid w:val="0039283B"/>
    <w:rsid w:val="00392901"/>
    <w:rsid w:val="0039294D"/>
    <w:rsid w:val="00392975"/>
    <w:rsid w:val="00392CF1"/>
    <w:rsid w:val="00392D81"/>
    <w:rsid w:val="00392F4D"/>
    <w:rsid w:val="00392F91"/>
    <w:rsid w:val="00392FBA"/>
    <w:rsid w:val="00393052"/>
    <w:rsid w:val="003930E3"/>
    <w:rsid w:val="00393110"/>
    <w:rsid w:val="003931D7"/>
    <w:rsid w:val="00393245"/>
    <w:rsid w:val="003932D0"/>
    <w:rsid w:val="00393314"/>
    <w:rsid w:val="0039337C"/>
    <w:rsid w:val="0039345F"/>
    <w:rsid w:val="003938E4"/>
    <w:rsid w:val="00393915"/>
    <w:rsid w:val="00393940"/>
    <w:rsid w:val="00393C80"/>
    <w:rsid w:val="00393D07"/>
    <w:rsid w:val="00393EFC"/>
    <w:rsid w:val="003940E1"/>
    <w:rsid w:val="0039410E"/>
    <w:rsid w:val="003941EC"/>
    <w:rsid w:val="00394303"/>
    <w:rsid w:val="003944AC"/>
    <w:rsid w:val="003944E8"/>
    <w:rsid w:val="00394626"/>
    <w:rsid w:val="00394826"/>
    <w:rsid w:val="00394902"/>
    <w:rsid w:val="00394987"/>
    <w:rsid w:val="00394D0B"/>
    <w:rsid w:val="00394FB6"/>
    <w:rsid w:val="00394FB7"/>
    <w:rsid w:val="0039502D"/>
    <w:rsid w:val="0039516B"/>
    <w:rsid w:val="003951D9"/>
    <w:rsid w:val="00395493"/>
    <w:rsid w:val="0039555F"/>
    <w:rsid w:val="003956A4"/>
    <w:rsid w:val="003957D2"/>
    <w:rsid w:val="003958B6"/>
    <w:rsid w:val="00395A70"/>
    <w:rsid w:val="00395ADA"/>
    <w:rsid w:val="00395ADE"/>
    <w:rsid w:val="00395DB6"/>
    <w:rsid w:val="00395E5E"/>
    <w:rsid w:val="00395F51"/>
    <w:rsid w:val="00396078"/>
    <w:rsid w:val="00396110"/>
    <w:rsid w:val="0039622D"/>
    <w:rsid w:val="003962F6"/>
    <w:rsid w:val="00396363"/>
    <w:rsid w:val="0039638F"/>
    <w:rsid w:val="00396448"/>
    <w:rsid w:val="003964F9"/>
    <w:rsid w:val="003965C2"/>
    <w:rsid w:val="003968A7"/>
    <w:rsid w:val="003968AE"/>
    <w:rsid w:val="00396978"/>
    <w:rsid w:val="00396979"/>
    <w:rsid w:val="00396A0E"/>
    <w:rsid w:val="00396A74"/>
    <w:rsid w:val="00396C29"/>
    <w:rsid w:val="00396CA0"/>
    <w:rsid w:val="00396CD5"/>
    <w:rsid w:val="00396D6C"/>
    <w:rsid w:val="00396DF2"/>
    <w:rsid w:val="00396E45"/>
    <w:rsid w:val="00396E4E"/>
    <w:rsid w:val="00396E5F"/>
    <w:rsid w:val="00396E6C"/>
    <w:rsid w:val="00397135"/>
    <w:rsid w:val="0039722A"/>
    <w:rsid w:val="00397244"/>
    <w:rsid w:val="00397362"/>
    <w:rsid w:val="00397661"/>
    <w:rsid w:val="003976E3"/>
    <w:rsid w:val="003977F3"/>
    <w:rsid w:val="0039782B"/>
    <w:rsid w:val="0039789D"/>
    <w:rsid w:val="003978D3"/>
    <w:rsid w:val="00397AF6"/>
    <w:rsid w:val="00397D38"/>
    <w:rsid w:val="00397E56"/>
    <w:rsid w:val="00397EC5"/>
    <w:rsid w:val="00397F1F"/>
    <w:rsid w:val="00397F52"/>
    <w:rsid w:val="00397FBD"/>
    <w:rsid w:val="003A01EC"/>
    <w:rsid w:val="003A022C"/>
    <w:rsid w:val="003A024E"/>
    <w:rsid w:val="003A04D6"/>
    <w:rsid w:val="003A058D"/>
    <w:rsid w:val="003A07A4"/>
    <w:rsid w:val="003A085D"/>
    <w:rsid w:val="003A0930"/>
    <w:rsid w:val="003A0C68"/>
    <w:rsid w:val="003A0CAF"/>
    <w:rsid w:val="003A0CE4"/>
    <w:rsid w:val="003A0CE9"/>
    <w:rsid w:val="003A0CED"/>
    <w:rsid w:val="003A0CF3"/>
    <w:rsid w:val="003A0E9E"/>
    <w:rsid w:val="003A0EFE"/>
    <w:rsid w:val="003A0F2B"/>
    <w:rsid w:val="003A0F82"/>
    <w:rsid w:val="003A123D"/>
    <w:rsid w:val="003A1412"/>
    <w:rsid w:val="003A1465"/>
    <w:rsid w:val="003A156B"/>
    <w:rsid w:val="003A15D3"/>
    <w:rsid w:val="003A1685"/>
    <w:rsid w:val="003A18B7"/>
    <w:rsid w:val="003A18BC"/>
    <w:rsid w:val="003A18F1"/>
    <w:rsid w:val="003A1934"/>
    <w:rsid w:val="003A1BFA"/>
    <w:rsid w:val="003A1E86"/>
    <w:rsid w:val="003A1E99"/>
    <w:rsid w:val="003A1F36"/>
    <w:rsid w:val="003A20C9"/>
    <w:rsid w:val="003A2230"/>
    <w:rsid w:val="003A2271"/>
    <w:rsid w:val="003A2287"/>
    <w:rsid w:val="003A22F3"/>
    <w:rsid w:val="003A22FD"/>
    <w:rsid w:val="003A2362"/>
    <w:rsid w:val="003A24BE"/>
    <w:rsid w:val="003A2742"/>
    <w:rsid w:val="003A27A9"/>
    <w:rsid w:val="003A2A61"/>
    <w:rsid w:val="003A2A90"/>
    <w:rsid w:val="003A2AC5"/>
    <w:rsid w:val="003A2AFF"/>
    <w:rsid w:val="003A2B83"/>
    <w:rsid w:val="003A2D6D"/>
    <w:rsid w:val="003A2E31"/>
    <w:rsid w:val="003A2E67"/>
    <w:rsid w:val="003A30AD"/>
    <w:rsid w:val="003A3222"/>
    <w:rsid w:val="003A3419"/>
    <w:rsid w:val="003A346A"/>
    <w:rsid w:val="003A34C3"/>
    <w:rsid w:val="003A35B7"/>
    <w:rsid w:val="003A35BD"/>
    <w:rsid w:val="003A36BA"/>
    <w:rsid w:val="003A36F0"/>
    <w:rsid w:val="003A36FA"/>
    <w:rsid w:val="003A3708"/>
    <w:rsid w:val="003A3742"/>
    <w:rsid w:val="003A38FC"/>
    <w:rsid w:val="003A3919"/>
    <w:rsid w:val="003A39B8"/>
    <w:rsid w:val="003A39DB"/>
    <w:rsid w:val="003A3AF5"/>
    <w:rsid w:val="003A3B69"/>
    <w:rsid w:val="003A3BF3"/>
    <w:rsid w:val="003A3C62"/>
    <w:rsid w:val="003A3F2D"/>
    <w:rsid w:val="003A41F8"/>
    <w:rsid w:val="003A4305"/>
    <w:rsid w:val="003A43E6"/>
    <w:rsid w:val="003A44E2"/>
    <w:rsid w:val="003A45C2"/>
    <w:rsid w:val="003A4B7A"/>
    <w:rsid w:val="003A4CD8"/>
    <w:rsid w:val="003A4D65"/>
    <w:rsid w:val="003A4DC8"/>
    <w:rsid w:val="003A4E19"/>
    <w:rsid w:val="003A4EEA"/>
    <w:rsid w:val="003A4EF6"/>
    <w:rsid w:val="003A505C"/>
    <w:rsid w:val="003A512E"/>
    <w:rsid w:val="003A51B4"/>
    <w:rsid w:val="003A51FD"/>
    <w:rsid w:val="003A52A0"/>
    <w:rsid w:val="003A541F"/>
    <w:rsid w:val="003A543C"/>
    <w:rsid w:val="003A5494"/>
    <w:rsid w:val="003A592D"/>
    <w:rsid w:val="003A5A43"/>
    <w:rsid w:val="003A5AA3"/>
    <w:rsid w:val="003A5B3A"/>
    <w:rsid w:val="003A5B9D"/>
    <w:rsid w:val="003A5C7C"/>
    <w:rsid w:val="003A5DA4"/>
    <w:rsid w:val="003A5E34"/>
    <w:rsid w:val="003A5ECA"/>
    <w:rsid w:val="003A606F"/>
    <w:rsid w:val="003A6221"/>
    <w:rsid w:val="003A6253"/>
    <w:rsid w:val="003A62E5"/>
    <w:rsid w:val="003A6310"/>
    <w:rsid w:val="003A6601"/>
    <w:rsid w:val="003A661B"/>
    <w:rsid w:val="003A6673"/>
    <w:rsid w:val="003A66D9"/>
    <w:rsid w:val="003A6701"/>
    <w:rsid w:val="003A6823"/>
    <w:rsid w:val="003A6A27"/>
    <w:rsid w:val="003A6B56"/>
    <w:rsid w:val="003A6B82"/>
    <w:rsid w:val="003A6E78"/>
    <w:rsid w:val="003A6ED6"/>
    <w:rsid w:val="003A6FA9"/>
    <w:rsid w:val="003A701B"/>
    <w:rsid w:val="003A7167"/>
    <w:rsid w:val="003A7215"/>
    <w:rsid w:val="003A7221"/>
    <w:rsid w:val="003A72F4"/>
    <w:rsid w:val="003A730B"/>
    <w:rsid w:val="003A7483"/>
    <w:rsid w:val="003A74E2"/>
    <w:rsid w:val="003A7568"/>
    <w:rsid w:val="003A777F"/>
    <w:rsid w:val="003A7871"/>
    <w:rsid w:val="003A7882"/>
    <w:rsid w:val="003A7953"/>
    <w:rsid w:val="003A7AD7"/>
    <w:rsid w:val="003A7AF1"/>
    <w:rsid w:val="003A7BAD"/>
    <w:rsid w:val="003A7C33"/>
    <w:rsid w:val="003A7DCC"/>
    <w:rsid w:val="003A7F78"/>
    <w:rsid w:val="003A7F8E"/>
    <w:rsid w:val="003A7F9A"/>
    <w:rsid w:val="003B029D"/>
    <w:rsid w:val="003B02FD"/>
    <w:rsid w:val="003B0309"/>
    <w:rsid w:val="003B0367"/>
    <w:rsid w:val="003B03A8"/>
    <w:rsid w:val="003B04D2"/>
    <w:rsid w:val="003B0548"/>
    <w:rsid w:val="003B0677"/>
    <w:rsid w:val="003B067C"/>
    <w:rsid w:val="003B06DA"/>
    <w:rsid w:val="003B070E"/>
    <w:rsid w:val="003B0904"/>
    <w:rsid w:val="003B0A78"/>
    <w:rsid w:val="003B0AF7"/>
    <w:rsid w:val="003B0AFB"/>
    <w:rsid w:val="003B0BB0"/>
    <w:rsid w:val="003B0DE3"/>
    <w:rsid w:val="003B0EE1"/>
    <w:rsid w:val="003B0FC8"/>
    <w:rsid w:val="003B1003"/>
    <w:rsid w:val="003B135F"/>
    <w:rsid w:val="003B14D8"/>
    <w:rsid w:val="003B1572"/>
    <w:rsid w:val="003B1617"/>
    <w:rsid w:val="003B168D"/>
    <w:rsid w:val="003B1705"/>
    <w:rsid w:val="003B175D"/>
    <w:rsid w:val="003B1891"/>
    <w:rsid w:val="003B18A2"/>
    <w:rsid w:val="003B1E39"/>
    <w:rsid w:val="003B1E6D"/>
    <w:rsid w:val="003B1E7E"/>
    <w:rsid w:val="003B1E89"/>
    <w:rsid w:val="003B1F6D"/>
    <w:rsid w:val="003B2007"/>
    <w:rsid w:val="003B20AC"/>
    <w:rsid w:val="003B20EA"/>
    <w:rsid w:val="003B2194"/>
    <w:rsid w:val="003B234D"/>
    <w:rsid w:val="003B244F"/>
    <w:rsid w:val="003B25AF"/>
    <w:rsid w:val="003B2656"/>
    <w:rsid w:val="003B28AA"/>
    <w:rsid w:val="003B29D4"/>
    <w:rsid w:val="003B2BC6"/>
    <w:rsid w:val="003B2CC2"/>
    <w:rsid w:val="003B2D59"/>
    <w:rsid w:val="003B2E4B"/>
    <w:rsid w:val="003B2E69"/>
    <w:rsid w:val="003B2ED4"/>
    <w:rsid w:val="003B2EDB"/>
    <w:rsid w:val="003B31E1"/>
    <w:rsid w:val="003B3387"/>
    <w:rsid w:val="003B33DA"/>
    <w:rsid w:val="003B3539"/>
    <w:rsid w:val="003B3588"/>
    <w:rsid w:val="003B35D5"/>
    <w:rsid w:val="003B35FB"/>
    <w:rsid w:val="003B38DB"/>
    <w:rsid w:val="003B3B0F"/>
    <w:rsid w:val="003B3C6E"/>
    <w:rsid w:val="003B3E91"/>
    <w:rsid w:val="003B4002"/>
    <w:rsid w:val="003B40C2"/>
    <w:rsid w:val="003B4242"/>
    <w:rsid w:val="003B4279"/>
    <w:rsid w:val="003B4488"/>
    <w:rsid w:val="003B458E"/>
    <w:rsid w:val="003B45C9"/>
    <w:rsid w:val="003B466A"/>
    <w:rsid w:val="003B473E"/>
    <w:rsid w:val="003B478A"/>
    <w:rsid w:val="003B479D"/>
    <w:rsid w:val="003B48E4"/>
    <w:rsid w:val="003B4989"/>
    <w:rsid w:val="003B49E8"/>
    <w:rsid w:val="003B4CB4"/>
    <w:rsid w:val="003B4D19"/>
    <w:rsid w:val="003B4D31"/>
    <w:rsid w:val="003B4D52"/>
    <w:rsid w:val="003B4E39"/>
    <w:rsid w:val="003B5293"/>
    <w:rsid w:val="003B5324"/>
    <w:rsid w:val="003B53A1"/>
    <w:rsid w:val="003B53E1"/>
    <w:rsid w:val="003B54C7"/>
    <w:rsid w:val="003B5593"/>
    <w:rsid w:val="003B56FC"/>
    <w:rsid w:val="003B5787"/>
    <w:rsid w:val="003B5978"/>
    <w:rsid w:val="003B5A8C"/>
    <w:rsid w:val="003B5AB1"/>
    <w:rsid w:val="003B5B0D"/>
    <w:rsid w:val="003B5B96"/>
    <w:rsid w:val="003B5C50"/>
    <w:rsid w:val="003B5D0C"/>
    <w:rsid w:val="003B5D6F"/>
    <w:rsid w:val="003B5DA0"/>
    <w:rsid w:val="003B5DC2"/>
    <w:rsid w:val="003B6024"/>
    <w:rsid w:val="003B6030"/>
    <w:rsid w:val="003B604F"/>
    <w:rsid w:val="003B61F8"/>
    <w:rsid w:val="003B632D"/>
    <w:rsid w:val="003B6389"/>
    <w:rsid w:val="003B64D4"/>
    <w:rsid w:val="003B64E2"/>
    <w:rsid w:val="003B654A"/>
    <w:rsid w:val="003B66A5"/>
    <w:rsid w:val="003B69C2"/>
    <w:rsid w:val="003B69E1"/>
    <w:rsid w:val="003B6A5D"/>
    <w:rsid w:val="003B6B32"/>
    <w:rsid w:val="003B6BCB"/>
    <w:rsid w:val="003B6BCD"/>
    <w:rsid w:val="003B6BF0"/>
    <w:rsid w:val="003B6C01"/>
    <w:rsid w:val="003B6D00"/>
    <w:rsid w:val="003B6D77"/>
    <w:rsid w:val="003B6FDB"/>
    <w:rsid w:val="003B70F0"/>
    <w:rsid w:val="003B71CB"/>
    <w:rsid w:val="003B74A6"/>
    <w:rsid w:val="003B7518"/>
    <w:rsid w:val="003B7632"/>
    <w:rsid w:val="003B779C"/>
    <w:rsid w:val="003B77E8"/>
    <w:rsid w:val="003B7804"/>
    <w:rsid w:val="003B7830"/>
    <w:rsid w:val="003B7911"/>
    <w:rsid w:val="003B79EE"/>
    <w:rsid w:val="003B7A02"/>
    <w:rsid w:val="003B7B24"/>
    <w:rsid w:val="003B7B4B"/>
    <w:rsid w:val="003B7B70"/>
    <w:rsid w:val="003B7C28"/>
    <w:rsid w:val="003B7DF6"/>
    <w:rsid w:val="003C0220"/>
    <w:rsid w:val="003C0312"/>
    <w:rsid w:val="003C0319"/>
    <w:rsid w:val="003C04E7"/>
    <w:rsid w:val="003C055F"/>
    <w:rsid w:val="003C0581"/>
    <w:rsid w:val="003C067D"/>
    <w:rsid w:val="003C0815"/>
    <w:rsid w:val="003C0979"/>
    <w:rsid w:val="003C09DE"/>
    <w:rsid w:val="003C0A5E"/>
    <w:rsid w:val="003C0AF0"/>
    <w:rsid w:val="003C0BAE"/>
    <w:rsid w:val="003C0BE0"/>
    <w:rsid w:val="003C0CF4"/>
    <w:rsid w:val="003C0D24"/>
    <w:rsid w:val="003C0FF9"/>
    <w:rsid w:val="003C104E"/>
    <w:rsid w:val="003C1280"/>
    <w:rsid w:val="003C1556"/>
    <w:rsid w:val="003C1560"/>
    <w:rsid w:val="003C16A9"/>
    <w:rsid w:val="003C1702"/>
    <w:rsid w:val="003C1714"/>
    <w:rsid w:val="003C17F6"/>
    <w:rsid w:val="003C18B0"/>
    <w:rsid w:val="003C18E8"/>
    <w:rsid w:val="003C1B55"/>
    <w:rsid w:val="003C1BAA"/>
    <w:rsid w:val="003C1C59"/>
    <w:rsid w:val="003C1EA5"/>
    <w:rsid w:val="003C1FB9"/>
    <w:rsid w:val="003C20A2"/>
    <w:rsid w:val="003C20AE"/>
    <w:rsid w:val="003C233B"/>
    <w:rsid w:val="003C24CA"/>
    <w:rsid w:val="003C2569"/>
    <w:rsid w:val="003C25AC"/>
    <w:rsid w:val="003C26C3"/>
    <w:rsid w:val="003C2796"/>
    <w:rsid w:val="003C279B"/>
    <w:rsid w:val="003C2897"/>
    <w:rsid w:val="003C2962"/>
    <w:rsid w:val="003C29E2"/>
    <w:rsid w:val="003C2A63"/>
    <w:rsid w:val="003C2B02"/>
    <w:rsid w:val="003C2D50"/>
    <w:rsid w:val="003C2DA3"/>
    <w:rsid w:val="003C2DFD"/>
    <w:rsid w:val="003C2E13"/>
    <w:rsid w:val="003C2E3B"/>
    <w:rsid w:val="003C3085"/>
    <w:rsid w:val="003C30B8"/>
    <w:rsid w:val="003C326B"/>
    <w:rsid w:val="003C3436"/>
    <w:rsid w:val="003C349A"/>
    <w:rsid w:val="003C34F2"/>
    <w:rsid w:val="003C3734"/>
    <w:rsid w:val="003C38E1"/>
    <w:rsid w:val="003C3EA3"/>
    <w:rsid w:val="003C3EAB"/>
    <w:rsid w:val="003C3FBE"/>
    <w:rsid w:val="003C40B0"/>
    <w:rsid w:val="003C419A"/>
    <w:rsid w:val="003C41C7"/>
    <w:rsid w:val="003C43D0"/>
    <w:rsid w:val="003C44E3"/>
    <w:rsid w:val="003C457A"/>
    <w:rsid w:val="003C46D0"/>
    <w:rsid w:val="003C478B"/>
    <w:rsid w:val="003C495E"/>
    <w:rsid w:val="003C49D0"/>
    <w:rsid w:val="003C4D0C"/>
    <w:rsid w:val="003C4DD8"/>
    <w:rsid w:val="003C4E18"/>
    <w:rsid w:val="003C4EBD"/>
    <w:rsid w:val="003C4ED5"/>
    <w:rsid w:val="003C4EFE"/>
    <w:rsid w:val="003C4F32"/>
    <w:rsid w:val="003C5497"/>
    <w:rsid w:val="003C557E"/>
    <w:rsid w:val="003C5667"/>
    <w:rsid w:val="003C5684"/>
    <w:rsid w:val="003C56CD"/>
    <w:rsid w:val="003C57BE"/>
    <w:rsid w:val="003C5872"/>
    <w:rsid w:val="003C5880"/>
    <w:rsid w:val="003C5895"/>
    <w:rsid w:val="003C5BC9"/>
    <w:rsid w:val="003C5BF5"/>
    <w:rsid w:val="003C5CAF"/>
    <w:rsid w:val="003C5D41"/>
    <w:rsid w:val="003C5F24"/>
    <w:rsid w:val="003C5F53"/>
    <w:rsid w:val="003C6020"/>
    <w:rsid w:val="003C610C"/>
    <w:rsid w:val="003C6215"/>
    <w:rsid w:val="003C6247"/>
    <w:rsid w:val="003C62AE"/>
    <w:rsid w:val="003C63B5"/>
    <w:rsid w:val="003C63DD"/>
    <w:rsid w:val="003C65B7"/>
    <w:rsid w:val="003C673C"/>
    <w:rsid w:val="003C683E"/>
    <w:rsid w:val="003C69F4"/>
    <w:rsid w:val="003C6A70"/>
    <w:rsid w:val="003C6AA9"/>
    <w:rsid w:val="003C6E6A"/>
    <w:rsid w:val="003C6EA1"/>
    <w:rsid w:val="003C6EBD"/>
    <w:rsid w:val="003C6EFD"/>
    <w:rsid w:val="003C6F4F"/>
    <w:rsid w:val="003C6FEF"/>
    <w:rsid w:val="003C710B"/>
    <w:rsid w:val="003C7300"/>
    <w:rsid w:val="003C73E3"/>
    <w:rsid w:val="003C7427"/>
    <w:rsid w:val="003C74F5"/>
    <w:rsid w:val="003C74FA"/>
    <w:rsid w:val="003C75B2"/>
    <w:rsid w:val="003C7779"/>
    <w:rsid w:val="003C7821"/>
    <w:rsid w:val="003C7964"/>
    <w:rsid w:val="003C79A5"/>
    <w:rsid w:val="003C79B4"/>
    <w:rsid w:val="003C7B17"/>
    <w:rsid w:val="003C7DF6"/>
    <w:rsid w:val="003C7E3D"/>
    <w:rsid w:val="003C7ECE"/>
    <w:rsid w:val="003D0040"/>
    <w:rsid w:val="003D007E"/>
    <w:rsid w:val="003D0188"/>
    <w:rsid w:val="003D05E6"/>
    <w:rsid w:val="003D07F0"/>
    <w:rsid w:val="003D08DD"/>
    <w:rsid w:val="003D08F6"/>
    <w:rsid w:val="003D096A"/>
    <w:rsid w:val="003D09BF"/>
    <w:rsid w:val="003D0C43"/>
    <w:rsid w:val="003D0D2E"/>
    <w:rsid w:val="003D0D82"/>
    <w:rsid w:val="003D0DB4"/>
    <w:rsid w:val="003D1161"/>
    <w:rsid w:val="003D1298"/>
    <w:rsid w:val="003D13BE"/>
    <w:rsid w:val="003D140C"/>
    <w:rsid w:val="003D145D"/>
    <w:rsid w:val="003D14B5"/>
    <w:rsid w:val="003D14FF"/>
    <w:rsid w:val="003D153E"/>
    <w:rsid w:val="003D18A6"/>
    <w:rsid w:val="003D18D1"/>
    <w:rsid w:val="003D1908"/>
    <w:rsid w:val="003D197E"/>
    <w:rsid w:val="003D1D35"/>
    <w:rsid w:val="003D1D4D"/>
    <w:rsid w:val="003D1E50"/>
    <w:rsid w:val="003D2037"/>
    <w:rsid w:val="003D217C"/>
    <w:rsid w:val="003D2202"/>
    <w:rsid w:val="003D24F6"/>
    <w:rsid w:val="003D2743"/>
    <w:rsid w:val="003D29D4"/>
    <w:rsid w:val="003D2CA9"/>
    <w:rsid w:val="003D2D57"/>
    <w:rsid w:val="003D2E5C"/>
    <w:rsid w:val="003D2FB9"/>
    <w:rsid w:val="003D31DC"/>
    <w:rsid w:val="003D3493"/>
    <w:rsid w:val="003D3757"/>
    <w:rsid w:val="003D3A23"/>
    <w:rsid w:val="003D3ACC"/>
    <w:rsid w:val="003D3B35"/>
    <w:rsid w:val="003D3BC4"/>
    <w:rsid w:val="003D3D59"/>
    <w:rsid w:val="003D3FC6"/>
    <w:rsid w:val="003D3FDB"/>
    <w:rsid w:val="003D400D"/>
    <w:rsid w:val="003D40BB"/>
    <w:rsid w:val="003D419B"/>
    <w:rsid w:val="003D41EB"/>
    <w:rsid w:val="003D425C"/>
    <w:rsid w:val="003D4396"/>
    <w:rsid w:val="003D450B"/>
    <w:rsid w:val="003D450D"/>
    <w:rsid w:val="003D463D"/>
    <w:rsid w:val="003D495C"/>
    <w:rsid w:val="003D49D7"/>
    <w:rsid w:val="003D4BE4"/>
    <w:rsid w:val="003D4C12"/>
    <w:rsid w:val="003D4F8E"/>
    <w:rsid w:val="003D4FBC"/>
    <w:rsid w:val="003D4FF7"/>
    <w:rsid w:val="003D4FFE"/>
    <w:rsid w:val="003D5050"/>
    <w:rsid w:val="003D50B4"/>
    <w:rsid w:val="003D537B"/>
    <w:rsid w:val="003D564D"/>
    <w:rsid w:val="003D568D"/>
    <w:rsid w:val="003D5957"/>
    <w:rsid w:val="003D5A78"/>
    <w:rsid w:val="003D5B75"/>
    <w:rsid w:val="003D5B96"/>
    <w:rsid w:val="003D5BCF"/>
    <w:rsid w:val="003D5D02"/>
    <w:rsid w:val="003D5D26"/>
    <w:rsid w:val="003D5E8F"/>
    <w:rsid w:val="003D5F78"/>
    <w:rsid w:val="003D63D3"/>
    <w:rsid w:val="003D64E9"/>
    <w:rsid w:val="003D67A2"/>
    <w:rsid w:val="003D6807"/>
    <w:rsid w:val="003D686F"/>
    <w:rsid w:val="003D68D6"/>
    <w:rsid w:val="003D69F3"/>
    <w:rsid w:val="003D6AEB"/>
    <w:rsid w:val="003D6CC1"/>
    <w:rsid w:val="003D6CCE"/>
    <w:rsid w:val="003D6D26"/>
    <w:rsid w:val="003D7017"/>
    <w:rsid w:val="003D7081"/>
    <w:rsid w:val="003D71BB"/>
    <w:rsid w:val="003D7237"/>
    <w:rsid w:val="003D7291"/>
    <w:rsid w:val="003D7457"/>
    <w:rsid w:val="003D74FC"/>
    <w:rsid w:val="003D77FF"/>
    <w:rsid w:val="003D7800"/>
    <w:rsid w:val="003D7904"/>
    <w:rsid w:val="003D79FA"/>
    <w:rsid w:val="003D7C10"/>
    <w:rsid w:val="003D7D3E"/>
    <w:rsid w:val="003D7D5A"/>
    <w:rsid w:val="003D7FFC"/>
    <w:rsid w:val="003E00EE"/>
    <w:rsid w:val="003E028C"/>
    <w:rsid w:val="003E02C3"/>
    <w:rsid w:val="003E02D6"/>
    <w:rsid w:val="003E0414"/>
    <w:rsid w:val="003E0610"/>
    <w:rsid w:val="003E07C1"/>
    <w:rsid w:val="003E09CE"/>
    <w:rsid w:val="003E0A1F"/>
    <w:rsid w:val="003E0B0F"/>
    <w:rsid w:val="003E0C53"/>
    <w:rsid w:val="003E0CD4"/>
    <w:rsid w:val="003E0D05"/>
    <w:rsid w:val="003E0EA4"/>
    <w:rsid w:val="003E0F4F"/>
    <w:rsid w:val="003E0F6E"/>
    <w:rsid w:val="003E0F82"/>
    <w:rsid w:val="003E1044"/>
    <w:rsid w:val="003E1127"/>
    <w:rsid w:val="003E11ED"/>
    <w:rsid w:val="003E12B8"/>
    <w:rsid w:val="003E1350"/>
    <w:rsid w:val="003E13D1"/>
    <w:rsid w:val="003E149D"/>
    <w:rsid w:val="003E16A1"/>
    <w:rsid w:val="003E17D6"/>
    <w:rsid w:val="003E185E"/>
    <w:rsid w:val="003E1890"/>
    <w:rsid w:val="003E19EE"/>
    <w:rsid w:val="003E19FC"/>
    <w:rsid w:val="003E1A59"/>
    <w:rsid w:val="003E1CE1"/>
    <w:rsid w:val="003E1CF2"/>
    <w:rsid w:val="003E1E5F"/>
    <w:rsid w:val="003E1FBF"/>
    <w:rsid w:val="003E201D"/>
    <w:rsid w:val="003E2055"/>
    <w:rsid w:val="003E22B0"/>
    <w:rsid w:val="003E2389"/>
    <w:rsid w:val="003E244A"/>
    <w:rsid w:val="003E2474"/>
    <w:rsid w:val="003E263E"/>
    <w:rsid w:val="003E2793"/>
    <w:rsid w:val="003E2936"/>
    <w:rsid w:val="003E29A9"/>
    <w:rsid w:val="003E2C0C"/>
    <w:rsid w:val="003E2F18"/>
    <w:rsid w:val="003E2F4F"/>
    <w:rsid w:val="003E2F8E"/>
    <w:rsid w:val="003E308A"/>
    <w:rsid w:val="003E315F"/>
    <w:rsid w:val="003E340F"/>
    <w:rsid w:val="003E361D"/>
    <w:rsid w:val="003E36C0"/>
    <w:rsid w:val="003E37A3"/>
    <w:rsid w:val="003E37D9"/>
    <w:rsid w:val="003E3999"/>
    <w:rsid w:val="003E39AF"/>
    <w:rsid w:val="003E3A34"/>
    <w:rsid w:val="003E3AEA"/>
    <w:rsid w:val="003E3EF8"/>
    <w:rsid w:val="003E400F"/>
    <w:rsid w:val="003E40F3"/>
    <w:rsid w:val="003E4445"/>
    <w:rsid w:val="003E4471"/>
    <w:rsid w:val="003E4539"/>
    <w:rsid w:val="003E45C9"/>
    <w:rsid w:val="003E4816"/>
    <w:rsid w:val="003E485A"/>
    <w:rsid w:val="003E48FE"/>
    <w:rsid w:val="003E4913"/>
    <w:rsid w:val="003E4ABB"/>
    <w:rsid w:val="003E4B6D"/>
    <w:rsid w:val="003E4C61"/>
    <w:rsid w:val="003E4D37"/>
    <w:rsid w:val="003E4D6A"/>
    <w:rsid w:val="003E4DB5"/>
    <w:rsid w:val="003E4E14"/>
    <w:rsid w:val="003E4E58"/>
    <w:rsid w:val="003E4E68"/>
    <w:rsid w:val="003E4F4C"/>
    <w:rsid w:val="003E538A"/>
    <w:rsid w:val="003E53FA"/>
    <w:rsid w:val="003E5424"/>
    <w:rsid w:val="003E5712"/>
    <w:rsid w:val="003E58C7"/>
    <w:rsid w:val="003E5A4B"/>
    <w:rsid w:val="003E5ACC"/>
    <w:rsid w:val="003E5AD7"/>
    <w:rsid w:val="003E5B0E"/>
    <w:rsid w:val="003E5BC7"/>
    <w:rsid w:val="003E5CA0"/>
    <w:rsid w:val="003E5F67"/>
    <w:rsid w:val="003E5F89"/>
    <w:rsid w:val="003E61F3"/>
    <w:rsid w:val="003E629B"/>
    <w:rsid w:val="003E6415"/>
    <w:rsid w:val="003E6425"/>
    <w:rsid w:val="003E6494"/>
    <w:rsid w:val="003E649A"/>
    <w:rsid w:val="003E64B1"/>
    <w:rsid w:val="003E64F9"/>
    <w:rsid w:val="003E66C6"/>
    <w:rsid w:val="003E6786"/>
    <w:rsid w:val="003E6972"/>
    <w:rsid w:val="003E6A6B"/>
    <w:rsid w:val="003E6C6D"/>
    <w:rsid w:val="003E6E01"/>
    <w:rsid w:val="003E6FB2"/>
    <w:rsid w:val="003E6FD1"/>
    <w:rsid w:val="003E70D2"/>
    <w:rsid w:val="003E7181"/>
    <w:rsid w:val="003E71F8"/>
    <w:rsid w:val="003E7310"/>
    <w:rsid w:val="003E7422"/>
    <w:rsid w:val="003E7457"/>
    <w:rsid w:val="003E752D"/>
    <w:rsid w:val="003E75A3"/>
    <w:rsid w:val="003E7660"/>
    <w:rsid w:val="003E76C3"/>
    <w:rsid w:val="003E780F"/>
    <w:rsid w:val="003E789D"/>
    <w:rsid w:val="003E7C3A"/>
    <w:rsid w:val="003E7E58"/>
    <w:rsid w:val="003E7ED8"/>
    <w:rsid w:val="003EE42B"/>
    <w:rsid w:val="003F0177"/>
    <w:rsid w:val="003F0419"/>
    <w:rsid w:val="003F04AC"/>
    <w:rsid w:val="003F04E4"/>
    <w:rsid w:val="003F0588"/>
    <w:rsid w:val="003F0659"/>
    <w:rsid w:val="003F06DA"/>
    <w:rsid w:val="003F06FF"/>
    <w:rsid w:val="003F077B"/>
    <w:rsid w:val="003F07AB"/>
    <w:rsid w:val="003F0B4C"/>
    <w:rsid w:val="003F0D3A"/>
    <w:rsid w:val="003F0FDE"/>
    <w:rsid w:val="003F0FF7"/>
    <w:rsid w:val="003F109B"/>
    <w:rsid w:val="003F10A4"/>
    <w:rsid w:val="003F13DA"/>
    <w:rsid w:val="003F140D"/>
    <w:rsid w:val="003F14D5"/>
    <w:rsid w:val="003F150F"/>
    <w:rsid w:val="003F1660"/>
    <w:rsid w:val="003F1A0B"/>
    <w:rsid w:val="003F1B4C"/>
    <w:rsid w:val="003F1BA8"/>
    <w:rsid w:val="003F1C09"/>
    <w:rsid w:val="003F1CCD"/>
    <w:rsid w:val="003F1CFB"/>
    <w:rsid w:val="003F1D8C"/>
    <w:rsid w:val="003F1D9A"/>
    <w:rsid w:val="003F1E02"/>
    <w:rsid w:val="003F1E4C"/>
    <w:rsid w:val="003F2136"/>
    <w:rsid w:val="003F2294"/>
    <w:rsid w:val="003F230C"/>
    <w:rsid w:val="003F2478"/>
    <w:rsid w:val="003F2E60"/>
    <w:rsid w:val="003F2EC5"/>
    <w:rsid w:val="003F2FA8"/>
    <w:rsid w:val="003F2FBE"/>
    <w:rsid w:val="003F2FFC"/>
    <w:rsid w:val="003F31DC"/>
    <w:rsid w:val="003F3244"/>
    <w:rsid w:val="003F3466"/>
    <w:rsid w:val="003F37C7"/>
    <w:rsid w:val="003F3C46"/>
    <w:rsid w:val="003F3CDF"/>
    <w:rsid w:val="003F3E21"/>
    <w:rsid w:val="003F3E64"/>
    <w:rsid w:val="003F3FEC"/>
    <w:rsid w:val="003F40C6"/>
    <w:rsid w:val="003F4593"/>
    <w:rsid w:val="003F46ED"/>
    <w:rsid w:val="003F4984"/>
    <w:rsid w:val="003F4994"/>
    <w:rsid w:val="003F4BDC"/>
    <w:rsid w:val="003F4CB1"/>
    <w:rsid w:val="003F4D62"/>
    <w:rsid w:val="003F5129"/>
    <w:rsid w:val="003F53A5"/>
    <w:rsid w:val="003F5407"/>
    <w:rsid w:val="003F5534"/>
    <w:rsid w:val="003F55D4"/>
    <w:rsid w:val="003F56E1"/>
    <w:rsid w:val="003F57C2"/>
    <w:rsid w:val="003F58BF"/>
    <w:rsid w:val="003F59B1"/>
    <w:rsid w:val="003F5B1F"/>
    <w:rsid w:val="003F5B43"/>
    <w:rsid w:val="003F5C6F"/>
    <w:rsid w:val="003F5D45"/>
    <w:rsid w:val="003F5DB9"/>
    <w:rsid w:val="003F5E9E"/>
    <w:rsid w:val="003F5FED"/>
    <w:rsid w:val="003F6050"/>
    <w:rsid w:val="003F6162"/>
    <w:rsid w:val="003F61A4"/>
    <w:rsid w:val="003F6224"/>
    <w:rsid w:val="003F6508"/>
    <w:rsid w:val="003F650D"/>
    <w:rsid w:val="003F65F6"/>
    <w:rsid w:val="003F66E3"/>
    <w:rsid w:val="003F67B7"/>
    <w:rsid w:val="003F6A0F"/>
    <w:rsid w:val="003F6A26"/>
    <w:rsid w:val="003F6BA6"/>
    <w:rsid w:val="003F6C60"/>
    <w:rsid w:val="003F6C90"/>
    <w:rsid w:val="003F6CE9"/>
    <w:rsid w:val="003F6D26"/>
    <w:rsid w:val="003F6FF5"/>
    <w:rsid w:val="003F70D8"/>
    <w:rsid w:val="003F7103"/>
    <w:rsid w:val="003F710A"/>
    <w:rsid w:val="003F750F"/>
    <w:rsid w:val="003F78BD"/>
    <w:rsid w:val="003F78C3"/>
    <w:rsid w:val="003F7954"/>
    <w:rsid w:val="003F7A22"/>
    <w:rsid w:val="003F7A76"/>
    <w:rsid w:val="003F7B35"/>
    <w:rsid w:val="003F7E2A"/>
    <w:rsid w:val="003FA7A6"/>
    <w:rsid w:val="003FD8B7"/>
    <w:rsid w:val="00400072"/>
    <w:rsid w:val="004000B3"/>
    <w:rsid w:val="0040010F"/>
    <w:rsid w:val="004001E4"/>
    <w:rsid w:val="004002B0"/>
    <w:rsid w:val="004002D1"/>
    <w:rsid w:val="0040046D"/>
    <w:rsid w:val="00400646"/>
    <w:rsid w:val="0040079F"/>
    <w:rsid w:val="004007E3"/>
    <w:rsid w:val="0040085C"/>
    <w:rsid w:val="00400C5D"/>
    <w:rsid w:val="00400C7C"/>
    <w:rsid w:val="00400E26"/>
    <w:rsid w:val="00400ED7"/>
    <w:rsid w:val="00400F81"/>
    <w:rsid w:val="0040104F"/>
    <w:rsid w:val="00401170"/>
    <w:rsid w:val="00401196"/>
    <w:rsid w:val="004013A1"/>
    <w:rsid w:val="00401445"/>
    <w:rsid w:val="00401574"/>
    <w:rsid w:val="00401599"/>
    <w:rsid w:val="004015D6"/>
    <w:rsid w:val="0040161B"/>
    <w:rsid w:val="004017D0"/>
    <w:rsid w:val="004018A5"/>
    <w:rsid w:val="00401A1A"/>
    <w:rsid w:val="00401B97"/>
    <w:rsid w:val="00401EC3"/>
    <w:rsid w:val="00401FD6"/>
    <w:rsid w:val="00402012"/>
    <w:rsid w:val="0040217B"/>
    <w:rsid w:val="004023AB"/>
    <w:rsid w:val="004023D6"/>
    <w:rsid w:val="00402674"/>
    <w:rsid w:val="004026C8"/>
    <w:rsid w:val="00402760"/>
    <w:rsid w:val="00402786"/>
    <w:rsid w:val="004027C7"/>
    <w:rsid w:val="004028E7"/>
    <w:rsid w:val="00402A28"/>
    <w:rsid w:val="00402AE1"/>
    <w:rsid w:val="00402AF0"/>
    <w:rsid w:val="00402D79"/>
    <w:rsid w:val="00402D8A"/>
    <w:rsid w:val="00402EED"/>
    <w:rsid w:val="004030B0"/>
    <w:rsid w:val="004031FD"/>
    <w:rsid w:val="00403280"/>
    <w:rsid w:val="0040332B"/>
    <w:rsid w:val="004033AC"/>
    <w:rsid w:val="00403403"/>
    <w:rsid w:val="00403536"/>
    <w:rsid w:val="0040353B"/>
    <w:rsid w:val="00403610"/>
    <w:rsid w:val="0040370E"/>
    <w:rsid w:val="00403786"/>
    <w:rsid w:val="00403816"/>
    <w:rsid w:val="0040385C"/>
    <w:rsid w:val="00403AB0"/>
    <w:rsid w:val="00403AD0"/>
    <w:rsid w:val="00403AFE"/>
    <w:rsid w:val="00403BF1"/>
    <w:rsid w:val="00403D8D"/>
    <w:rsid w:val="00403EE2"/>
    <w:rsid w:val="00403EFB"/>
    <w:rsid w:val="00403FE8"/>
    <w:rsid w:val="0040406B"/>
    <w:rsid w:val="00404234"/>
    <w:rsid w:val="00404585"/>
    <w:rsid w:val="004046B0"/>
    <w:rsid w:val="004046F9"/>
    <w:rsid w:val="004047DD"/>
    <w:rsid w:val="0040482B"/>
    <w:rsid w:val="00404BB3"/>
    <w:rsid w:val="00404CEC"/>
    <w:rsid w:val="00405083"/>
    <w:rsid w:val="0040508B"/>
    <w:rsid w:val="004050BE"/>
    <w:rsid w:val="00405529"/>
    <w:rsid w:val="004055BF"/>
    <w:rsid w:val="00405602"/>
    <w:rsid w:val="0040580F"/>
    <w:rsid w:val="004058ED"/>
    <w:rsid w:val="00405B44"/>
    <w:rsid w:val="00405D6B"/>
    <w:rsid w:val="00405DCF"/>
    <w:rsid w:val="004060BF"/>
    <w:rsid w:val="0040611F"/>
    <w:rsid w:val="004061E4"/>
    <w:rsid w:val="004062E8"/>
    <w:rsid w:val="0040638A"/>
    <w:rsid w:val="0040651A"/>
    <w:rsid w:val="004066B0"/>
    <w:rsid w:val="004067B0"/>
    <w:rsid w:val="0040684D"/>
    <w:rsid w:val="00406A2F"/>
    <w:rsid w:val="00406B11"/>
    <w:rsid w:val="00406D5E"/>
    <w:rsid w:val="00406EF2"/>
    <w:rsid w:val="00406F6D"/>
    <w:rsid w:val="00406FD2"/>
    <w:rsid w:val="004070E5"/>
    <w:rsid w:val="00407139"/>
    <w:rsid w:val="0040743A"/>
    <w:rsid w:val="004074DD"/>
    <w:rsid w:val="0040754A"/>
    <w:rsid w:val="0040773C"/>
    <w:rsid w:val="00407BD7"/>
    <w:rsid w:val="00407BF3"/>
    <w:rsid w:val="00407F67"/>
    <w:rsid w:val="00407FAB"/>
    <w:rsid w:val="00410086"/>
    <w:rsid w:val="004100C2"/>
    <w:rsid w:val="004103FA"/>
    <w:rsid w:val="00410418"/>
    <w:rsid w:val="00410471"/>
    <w:rsid w:val="00410500"/>
    <w:rsid w:val="004107B5"/>
    <w:rsid w:val="00410C58"/>
    <w:rsid w:val="00410E47"/>
    <w:rsid w:val="00411163"/>
    <w:rsid w:val="004111C5"/>
    <w:rsid w:val="00411546"/>
    <w:rsid w:val="00411809"/>
    <w:rsid w:val="00411C0D"/>
    <w:rsid w:val="00411C5A"/>
    <w:rsid w:val="00411C98"/>
    <w:rsid w:val="00411F39"/>
    <w:rsid w:val="00411F8C"/>
    <w:rsid w:val="00411F91"/>
    <w:rsid w:val="00411FA2"/>
    <w:rsid w:val="00412128"/>
    <w:rsid w:val="00412222"/>
    <w:rsid w:val="004124CB"/>
    <w:rsid w:val="004125A4"/>
    <w:rsid w:val="004125F5"/>
    <w:rsid w:val="0041272D"/>
    <w:rsid w:val="00412747"/>
    <w:rsid w:val="004127B7"/>
    <w:rsid w:val="0041296A"/>
    <w:rsid w:val="004129F5"/>
    <w:rsid w:val="00412B28"/>
    <w:rsid w:val="00412BED"/>
    <w:rsid w:val="00412CFA"/>
    <w:rsid w:val="00412D86"/>
    <w:rsid w:val="00412E96"/>
    <w:rsid w:val="00412F5A"/>
    <w:rsid w:val="004131F4"/>
    <w:rsid w:val="00413367"/>
    <w:rsid w:val="0041365E"/>
    <w:rsid w:val="00413948"/>
    <w:rsid w:val="00413B6B"/>
    <w:rsid w:val="00413B95"/>
    <w:rsid w:val="00413C97"/>
    <w:rsid w:val="00413D72"/>
    <w:rsid w:val="00413E28"/>
    <w:rsid w:val="00413F1C"/>
    <w:rsid w:val="00413FCC"/>
    <w:rsid w:val="0041412B"/>
    <w:rsid w:val="004141ED"/>
    <w:rsid w:val="004141F6"/>
    <w:rsid w:val="00414346"/>
    <w:rsid w:val="00414390"/>
    <w:rsid w:val="00414524"/>
    <w:rsid w:val="00414643"/>
    <w:rsid w:val="0041465C"/>
    <w:rsid w:val="004147C2"/>
    <w:rsid w:val="00414831"/>
    <w:rsid w:val="0041492A"/>
    <w:rsid w:val="0041497E"/>
    <w:rsid w:val="004149E3"/>
    <w:rsid w:val="00414A80"/>
    <w:rsid w:val="00414AB5"/>
    <w:rsid w:val="00414D22"/>
    <w:rsid w:val="00414E2C"/>
    <w:rsid w:val="00414EFC"/>
    <w:rsid w:val="004151D1"/>
    <w:rsid w:val="004152CA"/>
    <w:rsid w:val="00415304"/>
    <w:rsid w:val="00415485"/>
    <w:rsid w:val="0041573C"/>
    <w:rsid w:val="0041580B"/>
    <w:rsid w:val="00415A25"/>
    <w:rsid w:val="00415A78"/>
    <w:rsid w:val="00415B06"/>
    <w:rsid w:val="00415BB7"/>
    <w:rsid w:val="00415C3A"/>
    <w:rsid w:val="00415C68"/>
    <w:rsid w:val="00415C9B"/>
    <w:rsid w:val="00415CF9"/>
    <w:rsid w:val="00415D54"/>
    <w:rsid w:val="00415E6E"/>
    <w:rsid w:val="00415EB3"/>
    <w:rsid w:val="004160B5"/>
    <w:rsid w:val="00416118"/>
    <w:rsid w:val="0041619E"/>
    <w:rsid w:val="004162D3"/>
    <w:rsid w:val="004163FE"/>
    <w:rsid w:val="0041645A"/>
    <w:rsid w:val="004164AC"/>
    <w:rsid w:val="00416555"/>
    <w:rsid w:val="004165C9"/>
    <w:rsid w:val="00416607"/>
    <w:rsid w:val="00416622"/>
    <w:rsid w:val="004166BE"/>
    <w:rsid w:val="00416807"/>
    <w:rsid w:val="00416814"/>
    <w:rsid w:val="004168C6"/>
    <w:rsid w:val="00416A41"/>
    <w:rsid w:val="00416AF1"/>
    <w:rsid w:val="00416B70"/>
    <w:rsid w:val="00416B94"/>
    <w:rsid w:val="00416E2E"/>
    <w:rsid w:val="00416F93"/>
    <w:rsid w:val="00416FA1"/>
    <w:rsid w:val="004171DA"/>
    <w:rsid w:val="004172EB"/>
    <w:rsid w:val="0041737F"/>
    <w:rsid w:val="004173D0"/>
    <w:rsid w:val="004174DB"/>
    <w:rsid w:val="0041753E"/>
    <w:rsid w:val="00417680"/>
    <w:rsid w:val="004176A3"/>
    <w:rsid w:val="004178D7"/>
    <w:rsid w:val="00417A5E"/>
    <w:rsid w:val="00417C10"/>
    <w:rsid w:val="00417CDC"/>
    <w:rsid w:val="00417D40"/>
    <w:rsid w:val="00417E55"/>
    <w:rsid w:val="00417EBD"/>
    <w:rsid w:val="00417F78"/>
    <w:rsid w:val="00419042"/>
    <w:rsid w:val="00420128"/>
    <w:rsid w:val="0042018B"/>
    <w:rsid w:val="00420191"/>
    <w:rsid w:val="004201B1"/>
    <w:rsid w:val="0042023D"/>
    <w:rsid w:val="00420284"/>
    <w:rsid w:val="0042035A"/>
    <w:rsid w:val="0042049A"/>
    <w:rsid w:val="004204C1"/>
    <w:rsid w:val="004205DB"/>
    <w:rsid w:val="00420871"/>
    <w:rsid w:val="00420ADF"/>
    <w:rsid w:val="00420B2B"/>
    <w:rsid w:val="00420B6C"/>
    <w:rsid w:val="00420CDB"/>
    <w:rsid w:val="00420CEA"/>
    <w:rsid w:val="00420D72"/>
    <w:rsid w:val="00420EEA"/>
    <w:rsid w:val="00420F62"/>
    <w:rsid w:val="00420F75"/>
    <w:rsid w:val="0042101B"/>
    <w:rsid w:val="004210A9"/>
    <w:rsid w:val="0042111A"/>
    <w:rsid w:val="0042114A"/>
    <w:rsid w:val="004212F9"/>
    <w:rsid w:val="004213A6"/>
    <w:rsid w:val="004215EF"/>
    <w:rsid w:val="004216B3"/>
    <w:rsid w:val="00421868"/>
    <w:rsid w:val="00421890"/>
    <w:rsid w:val="004219D8"/>
    <w:rsid w:val="00421BE1"/>
    <w:rsid w:val="00421DA5"/>
    <w:rsid w:val="00421DFE"/>
    <w:rsid w:val="004221C5"/>
    <w:rsid w:val="004224D2"/>
    <w:rsid w:val="004224D8"/>
    <w:rsid w:val="004225AF"/>
    <w:rsid w:val="0042278D"/>
    <w:rsid w:val="00422795"/>
    <w:rsid w:val="004228D5"/>
    <w:rsid w:val="004228EF"/>
    <w:rsid w:val="00422B23"/>
    <w:rsid w:val="00422B8E"/>
    <w:rsid w:val="00422DDA"/>
    <w:rsid w:val="00422E64"/>
    <w:rsid w:val="00422F2E"/>
    <w:rsid w:val="0042308C"/>
    <w:rsid w:val="004232F3"/>
    <w:rsid w:val="00423343"/>
    <w:rsid w:val="004234F9"/>
    <w:rsid w:val="00423565"/>
    <w:rsid w:val="0042356C"/>
    <w:rsid w:val="004235CA"/>
    <w:rsid w:val="004235D9"/>
    <w:rsid w:val="004237EF"/>
    <w:rsid w:val="00423AF5"/>
    <w:rsid w:val="00423B99"/>
    <w:rsid w:val="00423BDC"/>
    <w:rsid w:val="00423C5B"/>
    <w:rsid w:val="00423D90"/>
    <w:rsid w:val="00423F57"/>
    <w:rsid w:val="00423F94"/>
    <w:rsid w:val="004241EA"/>
    <w:rsid w:val="0042421F"/>
    <w:rsid w:val="004242E3"/>
    <w:rsid w:val="00424426"/>
    <w:rsid w:val="00424433"/>
    <w:rsid w:val="004244AF"/>
    <w:rsid w:val="004244F2"/>
    <w:rsid w:val="00424520"/>
    <w:rsid w:val="00424752"/>
    <w:rsid w:val="004247DF"/>
    <w:rsid w:val="00424871"/>
    <w:rsid w:val="00424877"/>
    <w:rsid w:val="00424899"/>
    <w:rsid w:val="004248A4"/>
    <w:rsid w:val="00424921"/>
    <w:rsid w:val="004249BE"/>
    <w:rsid w:val="00424AD5"/>
    <w:rsid w:val="00424E1A"/>
    <w:rsid w:val="00424F09"/>
    <w:rsid w:val="00425107"/>
    <w:rsid w:val="004252CA"/>
    <w:rsid w:val="004252E0"/>
    <w:rsid w:val="00425343"/>
    <w:rsid w:val="004254E4"/>
    <w:rsid w:val="004256F1"/>
    <w:rsid w:val="0042574F"/>
    <w:rsid w:val="00425760"/>
    <w:rsid w:val="004258E7"/>
    <w:rsid w:val="00425B21"/>
    <w:rsid w:val="00425C6B"/>
    <w:rsid w:val="00425C86"/>
    <w:rsid w:val="00425C9D"/>
    <w:rsid w:val="00425D0C"/>
    <w:rsid w:val="00425DCA"/>
    <w:rsid w:val="00425E71"/>
    <w:rsid w:val="00425E8B"/>
    <w:rsid w:val="0042617F"/>
    <w:rsid w:val="004262B4"/>
    <w:rsid w:val="00426387"/>
    <w:rsid w:val="0042639C"/>
    <w:rsid w:val="004263A5"/>
    <w:rsid w:val="0042641B"/>
    <w:rsid w:val="0042647B"/>
    <w:rsid w:val="004265CD"/>
    <w:rsid w:val="0042675B"/>
    <w:rsid w:val="0042677D"/>
    <w:rsid w:val="0042680C"/>
    <w:rsid w:val="0042688C"/>
    <w:rsid w:val="004268FE"/>
    <w:rsid w:val="00426A4D"/>
    <w:rsid w:val="00426B10"/>
    <w:rsid w:val="00426B41"/>
    <w:rsid w:val="00426B99"/>
    <w:rsid w:val="00426C81"/>
    <w:rsid w:val="00426E0A"/>
    <w:rsid w:val="00426E0D"/>
    <w:rsid w:val="00426E29"/>
    <w:rsid w:val="00426FC9"/>
    <w:rsid w:val="0042740D"/>
    <w:rsid w:val="00427C33"/>
    <w:rsid w:val="00427CF9"/>
    <w:rsid w:val="00427F18"/>
    <w:rsid w:val="00427F8F"/>
    <w:rsid w:val="0043005B"/>
    <w:rsid w:val="0043015C"/>
    <w:rsid w:val="00430217"/>
    <w:rsid w:val="0043040A"/>
    <w:rsid w:val="0043048F"/>
    <w:rsid w:val="00430538"/>
    <w:rsid w:val="00430561"/>
    <w:rsid w:val="004305D9"/>
    <w:rsid w:val="00430B7C"/>
    <w:rsid w:val="00430C57"/>
    <w:rsid w:val="00430D75"/>
    <w:rsid w:val="00430DBD"/>
    <w:rsid w:val="00430EAA"/>
    <w:rsid w:val="00431035"/>
    <w:rsid w:val="00431055"/>
    <w:rsid w:val="004310D3"/>
    <w:rsid w:val="004311C8"/>
    <w:rsid w:val="0043127D"/>
    <w:rsid w:val="004312B0"/>
    <w:rsid w:val="00431346"/>
    <w:rsid w:val="00431391"/>
    <w:rsid w:val="00431497"/>
    <w:rsid w:val="004314C7"/>
    <w:rsid w:val="00431633"/>
    <w:rsid w:val="00431682"/>
    <w:rsid w:val="00431A10"/>
    <w:rsid w:val="00431ADD"/>
    <w:rsid w:val="00431B43"/>
    <w:rsid w:val="00431BE0"/>
    <w:rsid w:val="00431C5C"/>
    <w:rsid w:val="00431E12"/>
    <w:rsid w:val="00431E40"/>
    <w:rsid w:val="00431E91"/>
    <w:rsid w:val="00431EA7"/>
    <w:rsid w:val="00431ECE"/>
    <w:rsid w:val="00432118"/>
    <w:rsid w:val="0043213D"/>
    <w:rsid w:val="00432165"/>
    <w:rsid w:val="004322BB"/>
    <w:rsid w:val="004322DC"/>
    <w:rsid w:val="00432344"/>
    <w:rsid w:val="004323C0"/>
    <w:rsid w:val="004323DC"/>
    <w:rsid w:val="00432471"/>
    <w:rsid w:val="00432488"/>
    <w:rsid w:val="00432509"/>
    <w:rsid w:val="0043252B"/>
    <w:rsid w:val="004325A8"/>
    <w:rsid w:val="00432647"/>
    <w:rsid w:val="004326BE"/>
    <w:rsid w:val="004326F4"/>
    <w:rsid w:val="00432A57"/>
    <w:rsid w:val="00432C6F"/>
    <w:rsid w:val="00432D7A"/>
    <w:rsid w:val="00432EDC"/>
    <w:rsid w:val="00432FA9"/>
    <w:rsid w:val="00432FD8"/>
    <w:rsid w:val="0043301B"/>
    <w:rsid w:val="00433104"/>
    <w:rsid w:val="004332F3"/>
    <w:rsid w:val="0043336D"/>
    <w:rsid w:val="0043349F"/>
    <w:rsid w:val="00433640"/>
    <w:rsid w:val="004336D8"/>
    <w:rsid w:val="00433715"/>
    <w:rsid w:val="00433749"/>
    <w:rsid w:val="00433808"/>
    <w:rsid w:val="00433946"/>
    <w:rsid w:val="00433A1A"/>
    <w:rsid w:val="00433AA4"/>
    <w:rsid w:val="00433B1C"/>
    <w:rsid w:val="00433BE7"/>
    <w:rsid w:val="00433E0C"/>
    <w:rsid w:val="00433E0F"/>
    <w:rsid w:val="00433E4D"/>
    <w:rsid w:val="004341AE"/>
    <w:rsid w:val="00434269"/>
    <w:rsid w:val="00434319"/>
    <w:rsid w:val="00434325"/>
    <w:rsid w:val="0043435A"/>
    <w:rsid w:val="00434458"/>
    <w:rsid w:val="0043463C"/>
    <w:rsid w:val="0043467D"/>
    <w:rsid w:val="0043475F"/>
    <w:rsid w:val="0043487B"/>
    <w:rsid w:val="00434ACD"/>
    <w:rsid w:val="00434C3A"/>
    <w:rsid w:val="00434D47"/>
    <w:rsid w:val="00434F13"/>
    <w:rsid w:val="00434FE8"/>
    <w:rsid w:val="0043513A"/>
    <w:rsid w:val="004354EB"/>
    <w:rsid w:val="0043553D"/>
    <w:rsid w:val="0043569E"/>
    <w:rsid w:val="004356BC"/>
    <w:rsid w:val="00435752"/>
    <w:rsid w:val="00435784"/>
    <w:rsid w:val="00435A50"/>
    <w:rsid w:val="00435CD6"/>
    <w:rsid w:val="004361A9"/>
    <w:rsid w:val="004361FB"/>
    <w:rsid w:val="0043628D"/>
    <w:rsid w:val="004362E1"/>
    <w:rsid w:val="00436302"/>
    <w:rsid w:val="00436316"/>
    <w:rsid w:val="004363A5"/>
    <w:rsid w:val="00436470"/>
    <w:rsid w:val="004364B2"/>
    <w:rsid w:val="004364C1"/>
    <w:rsid w:val="004365AC"/>
    <w:rsid w:val="00436721"/>
    <w:rsid w:val="004367E7"/>
    <w:rsid w:val="004368CA"/>
    <w:rsid w:val="00436A6E"/>
    <w:rsid w:val="00436E8F"/>
    <w:rsid w:val="00436EE6"/>
    <w:rsid w:val="00437659"/>
    <w:rsid w:val="004376E6"/>
    <w:rsid w:val="00437721"/>
    <w:rsid w:val="004378EB"/>
    <w:rsid w:val="00437AD0"/>
    <w:rsid w:val="00437CB2"/>
    <w:rsid w:val="00437E90"/>
    <w:rsid w:val="00440059"/>
    <w:rsid w:val="004402F9"/>
    <w:rsid w:val="0044037A"/>
    <w:rsid w:val="004403C9"/>
    <w:rsid w:val="004405CE"/>
    <w:rsid w:val="004405D1"/>
    <w:rsid w:val="00440A82"/>
    <w:rsid w:val="00440ADC"/>
    <w:rsid w:val="00440CDF"/>
    <w:rsid w:val="00440DF6"/>
    <w:rsid w:val="00440F68"/>
    <w:rsid w:val="00441071"/>
    <w:rsid w:val="004412DC"/>
    <w:rsid w:val="00441545"/>
    <w:rsid w:val="00441586"/>
    <w:rsid w:val="004416C8"/>
    <w:rsid w:val="004417A8"/>
    <w:rsid w:val="0044180B"/>
    <w:rsid w:val="00441865"/>
    <w:rsid w:val="00441ACA"/>
    <w:rsid w:val="00441B07"/>
    <w:rsid w:val="00441D08"/>
    <w:rsid w:val="00441FC6"/>
    <w:rsid w:val="004421DF"/>
    <w:rsid w:val="00442436"/>
    <w:rsid w:val="0044245C"/>
    <w:rsid w:val="0044247A"/>
    <w:rsid w:val="004424F5"/>
    <w:rsid w:val="00442672"/>
    <w:rsid w:val="00442686"/>
    <w:rsid w:val="004426BD"/>
    <w:rsid w:val="00442785"/>
    <w:rsid w:val="00442901"/>
    <w:rsid w:val="00442ACD"/>
    <w:rsid w:val="00442AEF"/>
    <w:rsid w:val="00442B27"/>
    <w:rsid w:val="00442B4F"/>
    <w:rsid w:val="00442C00"/>
    <w:rsid w:val="00442C94"/>
    <w:rsid w:val="00442CE4"/>
    <w:rsid w:val="00442E0E"/>
    <w:rsid w:val="00442E39"/>
    <w:rsid w:val="00442E6B"/>
    <w:rsid w:val="00442F26"/>
    <w:rsid w:val="004430D8"/>
    <w:rsid w:val="004431D2"/>
    <w:rsid w:val="00443525"/>
    <w:rsid w:val="00443557"/>
    <w:rsid w:val="00443633"/>
    <w:rsid w:val="00443669"/>
    <w:rsid w:val="004436EF"/>
    <w:rsid w:val="0044370E"/>
    <w:rsid w:val="00443863"/>
    <w:rsid w:val="00443866"/>
    <w:rsid w:val="004438B2"/>
    <w:rsid w:val="004439FC"/>
    <w:rsid w:val="00443A61"/>
    <w:rsid w:val="00443B29"/>
    <w:rsid w:val="00443B39"/>
    <w:rsid w:val="00443C37"/>
    <w:rsid w:val="00443CF9"/>
    <w:rsid w:val="00443D3D"/>
    <w:rsid w:val="00443E65"/>
    <w:rsid w:val="00443EB4"/>
    <w:rsid w:val="004440EB"/>
    <w:rsid w:val="0044415D"/>
    <w:rsid w:val="004441DE"/>
    <w:rsid w:val="00444205"/>
    <w:rsid w:val="0044422B"/>
    <w:rsid w:val="004442E5"/>
    <w:rsid w:val="004444E6"/>
    <w:rsid w:val="00444628"/>
    <w:rsid w:val="00444AA9"/>
    <w:rsid w:val="00444BA0"/>
    <w:rsid w:val="00444E15"/>
    <w:rsid w:val="00444F8D"/>
    <w:rsid w:val="004450B7"/>
    <w:rsid w:val="0044520A"/>
    <w:rsid w:val="00445264"/>
    <w:rsid w:val="0044548C"/>
    <w:rsid w:val="00445565"/>
    <w:rsid w:val="00445618"/>
    <w:rsid w:val="0044576B"/>
    <w:rsid w:val="004459BC"/>
    <w:rsid w:val="00445A5E"/>
    <w:rsid w:val="00445BAD"/>
    <w:rsid w:val="00445BDA"/>
    <w:rsid w:val="00445C2C"/>
    <w:rsid w:val="00445C5B"/>
    <w:rsid w:val="00445C68"/>
    <w:rsid w:val="00445C9C"/>
    <w:rsid w:val="00445CA1"/>
    <w:rsid w:val="00445CF8"/>
    <w:rsid w:val="00445DDD"/>
    <w:rsid w:val="00445E51"/>
    <w:rsid w:val="00445F56"/>
    <w:rsid w:val="0044610B"/>
    <w:rsid w:val="00446111"/>
    <w:rsid w:val="0044612C"/>
    <w:rsid w:val="0044620E"/>
    <w:rsid w:val="0044631A"/>
    <w:rsid w:val="004463F6"/>
    <w:rsid w:val="00446509"/>
    <w:rsid w:val="0044664D"/>
    <w:rsid w:val="004467BA"/>
    <w:rsid w:val="004469B2"/>
    <w:rsid w:val="004469CD"/>
    <w:rsid w:val="00446A17"/>
    <w:rsid w:val="00446A95"/>
    <w:rsid w:val="00446B1F"/>
    <w:rsid w:val="00446B9F"/>
    <w:rsid w:val="00446BA6"/>
    <w:rsid w:val="00446C12"/>
    <w:rsid w:val="00446C1B"/>
    <w:rsid w:val="00446C3C"/>
    <w:rsid w:val="00446DFD"/>
    <w:rsid w:val="00446E3A"/>
    <w:rsid w:val="00446E5D"/>
    <w:rsid w:val="00446F3D"/>
    <w:rsid w:val="00446F97"/>
    <w:rsid w:val="00446FAE"/>
    <w:rsid w:val="00447343"/>
    <w:rsid w:val="00447388"/>
    <w:rsid w:val="004473BE"/>
    <w:rsid w:val="0044760F"/>
    <w:rsid w:val="004476EC"/>
    <w:rsid w:val="004477C4"/>
    <w:rsid w:val="00447921"/>
    <w:rsid w:val="00447A65"/>
    <w:rsid w:val="00447A6B"/>
    <w:rsid w:val="00447AF2"/>
    <w:rsid w:val="00447B27"/>
    <w:rsid w:val="00447C5F"/>
    <w:rsid w:val="00447C84"/>
    <w:rsid w:val="00447CB9"/>
    <w:rsid w:val="00447D38"/>
    <w:rsid w:val="00447DD7"/>
    <w:rsid w:val="00447DFC"/>
    <w:rsid w:val="00447E1E"/>
    <w:rsid w:val="00447E41"/>
    <w:rsid w:val="00447EFC"/>
    <w:rsid w:val="00447F14"/>
    <w:rsid w:val="00447FD4"/>
    <w:rsid w:val="00447FEA"/>
    <w:rsid w:val="0045006D"/>
    <w:rsid w:val="00450087"/>
    <w:rsid w:val="00450218"/>
    <w:rsid w:val="00450264"/>
    <w:rsid w:val="00450288"/>
    <w:rsid w:val="00450550"/>
    <w:rsid w:val="00450627"/>
    <w:rsid w:val="0045076D"/>
    <w:rsid w:val="00450C19"/>
    <w:rsid w:val="00450E5B"/>
    <w:rsid w:val="00450EAA"/>
    <w:rsid w:val="00450FFB"/>
    <w:rsid w:val="004512D0"/>
    <w:rsid w:val="004514BB"/>
    <w:rsid w:val="004516D9"/>
    <w:rsid w:val="0045172D"/>
    <w:rsid w:val="0045183C"/>
    <w:rsid w:val="00451D27"/>
    <w:rsid w:val="00451E46"/>
    <w:rsid w:val="00451EEA"/>
    <w:rsid w:val="00451F42"/>
    <w:rsid w:val="00452032"/>
    <w:rsid w:val="00452047"/>
    <w:rsid w:val="00452122"/>
    <w:rsid w:val="00452395"/>
    <w:rsid w:val="00452415"/>
    <w:rsid w:val="00452805"/>
    <w:rsid w:val="0045288D"/>
    <w:rsid w:val="00452999"/>
    <w:rsid w:val="004529D8"/>
    <w:rsid w:val="00452A92"/>
    <w:rsid w:val="00452B42"/>
    <w:rsid w:val="00452F79"/>
    <w:rsid w:val="0045301D"/>
    <w:rsid w:val="00453132"/>
    <w:rsid w:val="00453453"/>
    <w:rsid w:val="004534E6"/>
    <w:rsid w:val="00453653"/>
    <w:rsid w:val="004538A7"/>
    <w:rsid w:val="004539D2"/>
    <w:rsid w:val="00453ABB"/>
    <w:rsid w:val="00453BF5"/>
    <w:rsid w:val="00453CE6"/>
    <w:rsid w:val="0045413D"/>
    <w:rsid w:val="0045436E"/>
    <w:rsid w:val="00454466"/>
    <w:rsid w:val="004544DB"/>
    <w:rsid w:val="004546B0"/>
    <w:rsid w:val="00454716"/>
    <w:rsid w:val="00454734"/>
    <w:rsid w:val="00454894"/>
    <w:rsid w:val="00454CE0"/>
    <w:rsid w:val="00454E0F"/>
    <w:rsid w:val="00455096"/>
    <w:rsid w:val="004550C0"/>
    <w:rsid w:val="004550DA"/>
    <w:rsid w:val="00455152"/>
    <w:rsid w:val="00455184"/>
    <w:rsid w:val="004553E0"/>
    <w:rsid w:val="00455415"/>
    <w:rsid w:val="004557E5"/>
    <w:rsid w:val="0045588F"/>
    <w:rsid w:val="004558A9"/>
    <w:rsid w:val="0045590B"/>
    <w:rsid w:val="0045595B"/>
    <w:rsid w:val="00455A23"/>
    <w:rsid w:val="00455B40"/>
    <w:rsid w:val="00455BF9"/>
    <w:rsid w:val="00456068"/>
    <w:rsid w:val="00456208"/>
    <w:rsid w:val="0045635D"/>
    <w:rsid w:val="004563B9"/>
    <w:rsid w:val="004563C3"/>
    <w:rsid w:val="004566CF"/>
    <w:rsid w:val="0045674B"/>
    <w:rsid w:val="00456865"/>
    <w:rsid w:val="00456BB1"/>
    <w:rsid w:val="00456BEE"/>
    <w:rsid w:val="00456BF3"/>
    <w:rsid w:val="00456C5C"/>
    <w:rsid w:val="00456CB2"/>
    <w:rsid w:val="00456D18"/>
    <w:rsid w:val="00456E46"/>
    <w:rsid w:val="00456FCA"/>
    <w:rsid w:val="00457483"/>
    <w:rsid w:val="00457488"/>
    <w:rsid w:val="004578D2"/>
    <w:rsid w:val="00457913"/>
    <w:rsid w:val="004579AE"/>
    <w:rsid w:val="00457A5A"/>
    <w:rsid w:val="00457CB5"/>
    <w:rsid w:val="00457CC0"/>
    <w:rsid w:val="00457D0D"/>
    <w:rsid w:val="00457D99"/>
    <w:rsid w:val="00457E04"/>
    <w:rsid w:val="00457E33"/>
    <w:rsid w:val="00457E3E"/>
    <w:rsid w:val="00457F28"/>
    <w:rsid w:val="00460064"/>
    <w:rsid w:val="0046012D"/>
    <w:rsid w:val="00460193"/>
    <w:rsid w:val="0046026A"/>
    <w:rsid w:val="00460276"/>
    <w:rsid w:val="004602BA"/>
    <w:rsid w:val="004604A8"/>
    <w:rsid w:val="0046052E"/>
    <w:rsid w:val="0046068D"/>
    <w:rsid w:val="004606F2"/>
    <w:rsid w:val="00460738"/>
    <w:rsid w:val="00460889"/>
    <w:rsid w:val="00460901"/>
    <w:rsid w:val="00460989"/>
    <w:rsid w:val="00460A66"/>
    <w:rsid w:val="00460AAB"/>
    <w:rsid w:val="00460B65"/>
    <w:rsid w:val="00460BBF"/>
    <w:rsid w:val="00460BC1"/>
    <w:rsid w:val="00460DD1"/>
    <w:rsid w:val="00460E7E"/>
    <w:rsid w:val="004610A9"/>
    <w:rsid w:val="00461146"/>
    <w:rsid w:val="004611B8"/>
    <w:rsid w:val="004614EE"/>
    <w:rsid w:val="004616A7"/>
    <w:rsid w:val="00461924"/>
    <w:rsid w:val="00461CF7"/>
    <w:rsid w:val="00461EC3"/>
    <w:rsid w:val="00461ED0"/>
    <w:rsid w:val="00461FBE"/>
    <w:rsid w:val="00462025"/>
    <w:rsid w:val="00462060"/>
    <w:rsid w:val="00462113"/>
    <w:rsid w:val="0046216E"/>
    <w:rsid w:val="0046232E"/>
    <w:rsid w:val="0046248F"/>
    <w:rsid w:val="004625A9"/>
    <w:rsid w:val="00462637"/>
    <w:rsid w:val="004626DA"/>
    <w:rsid w:val="00462771"/>
    <w:rsid w:val="0046296B"/>
    <w:rsid w:val="00462C53"/>
    <w:rsid w:val="00462D6F"/>
    <w:rsid w:val="00462E93"/>
    <w:rsid w:val="00462FF1"/>
    <w:rsid w:val="00463268"/>
    <w:rsid w:val="00463328"/>
    <w:rsid w:val="00463371"/>
    <w:rsid w:val="004633B2"/>
    <w:rsid w:val="0046355F"/>
    <w:rsid w:val="004635F9"/>
    <w:rsid w:val="0046361F"/>
    <w:rsid w:val="0046374C"/>
    <w:rsid w:val="00463762"/>
    <w:rsid w:val="0046387F"/>
    <w:rsid w:val="004639A1"/>
    <w:rsid w:val="00463B55"/>
    <w:rsid w:val="00463BBF"/>
    <w:rsid w:val="00463CBB"/>
    <w:rsid w:val="00463D20"/>
    <w:rsid w:val="00463D30"/>
    <w:rsid w:val="00463E5B"/>
    <w:rsid w:val="00463ED3"/>
    <w:rsid w:val="00463FBF"/>
    <w:rsid w:val="00463FC1"/>
    <w:rsid w:val="00463FD4"/>
    <w:rsid w:val="00463FF9"/>
    <w:rsid w:val="0046406B"/>
    <w:rsid w:val="004640AE"/>
    <w:rsid w:val="004641B8"/>
    <w:rsid w:val="00464210"/>
    <w:rsid w:val="00464215"/>
    <w:rsid w:val="0046437D"/>
    <w:rsid w:val="00464391"/>
    <w:rsid w:val="004645A0"/>
    <w:rsid w:val="004645A3"/>
    <w:rsid w:val="004645D4"/>
    <w:rsid w:val="0046466C"/>
    <w:rsid w:val="00464694"/>
    <w:rsid w:val="0046474F"/>
    <w:rsid w:val="00464757"/>
    <w:rsid w:val="004647EB"/>
    <w:rsid w:val="0046482E"/>
    <w:rsid w:val="004649A9"/>
    <w:rsid w:val="00464B8C"/>
    <w:rsid w:val="00464C2F"/>
    <w:rsid w:val="00464D81"/>
    <w:rsid w:val="00464E37"/>
    <w:rsid w:val="00464F28"/>
    <w:rsid w:val="00464FC4"/>
    <w:rsid w:val="00464FD2"/>
    <w:rsid w:val="0046511B"/>
    <w:rsid w:val="0046531B"/>
    <w:rsid w:val="00465388"/>
    <w:rsid w:val="00465479"/>
    <w:rsid w:val="004655E0"/>
    <w:rsid w:val="004656DB"/>
    <w:rsid w:val="0046570F"/>
    <w:rsid w:val="00465744"/>
    <w:rsid w:val="00465A28"/>
    <w:rsid w:val="00465A97"/>
    <w:rsid w:val="00465ABF"/>
    <w:rsid w:val="00465AF0"/>
    <w:rsid w:val="00465BF6"/>
    <w:rsid w:val="00465C9D"/>
    <w:rsid w:val="00465D55"/>
    <w:rsid w:val="00465E74"/>
    <w:rsid w:val="00465EFA"/>
    <w:rsid w:val="00465F01"/>
    <w:rsid w:val="00466127"/>
    <w:rsid w:val="0046639F"/>
    <w:rsid w:val="0046642D"/>
    <w:rsid w:val="0046662D"/>
    <w:rsid w:val="004666E0"/>
    <w:rsid w:val="004666F4"/>
    <w:rsid w:val="00466736"/>
    <w:rsid w:val="00466744"/>
    <w:rsid w:val="0046692D"/>
    <w:rsid w:val="00466937"/>
    <w:rsid w:val="004669C2"/>
    <w:rsid w:val="00466B4F"/>
    <w:rsid w:val="00466CC4"/>
    <w:rsid w:val="00466F3A"/>
    <w:rsid w:val="004673B5"/>
    <w:rsid w:val="0046750C"/>
    <w:rsid w:val="004676CF"/>
    <w:rsid w:val="0046770C"/>
    <w:rsid w:val="00467770"/>
    <w:rsid w:val="004678FE"/>
    <w:rsid w:val="0046791D"/>
    <w:rsid w:val="0046798C"/>
    <w:rsid w:val="004679DF"/>
    <w:rsid w:val="00467A3F"/>
    <w:rsid w:val="00467A90"/>
    <w:rsid w:val="00467AC5"/>
    <w:rsid w:val="00467C91"/>
    <w:rsid w:val="00467CAF"/>
    <w:rsid w:val="00467FCF"/>
    <w:rsid w:val="00470190"/>
    <w:rsid w:val="004701EA"/>
    <w:rsid w:val="0047043F"/>
    <w:rsid w:val="00470441"/>
    <w:rsid w:val="00470990"/>
    <w:rsid w:val="00470CA0"/>
    <w:rsid w:val="00470E80"/>
    <w:rsid w:val="00470ECD"/>
    <w:rsid w:val="00470EDA"/>
    <w:rsid w:val="00470F60"/>
    <w:rsid w:val="004711B6"/>
    <w:rsid w:val="0047130B"/>
    <w:rsid w:val="00471354"/>
    <w:rsid w:val="00471356"/>
    <w:rsid w:val="00471759"/>
    <w:rsid w:val="00471856"/>
    <w:rsid w:val="00471A6E"/>
    <w:rsid w:val="00471A8C"/>
    <w:rsid w:val="00471B8B"/>
    <w:rsid w:val="00471BB9"/>
    <w:rsid w:val="00471CE1"/>
    <w:rsid w:val="00471EF2"/>
    <w:rsid w:val="0047232E"/>
    <w:rsid w:val="0047249A"/>
    <w:rsid w:val="004724E1"/>
    <w:rsid w:val="00472554"/>
    <w:rsid w:val="0047266F"/>
    <w:rsid w:val="00472859"/>
    <w:rsid w:val="0047289D"/>
    <w:rsid w:val="004728FC"/>
    <w:rsid w:val="00472B17"/>
    <w:rsid w:val="00472BAD"/>
    <w:rsid w:val="00472CD7"/>
    <w:rsid w:val="00472D70"/>
    <w:rsid w:val="00473274"/>
    <w:rsid w:val="004733A1"/>
    <w:rsid w:val="004733DC"/>
    <w:rsid w:val="0047341D"/>
    <w:rsid w:val="0047349E"/>
    <w:rsid w:val="004734D4"/>
    <w:rsid w:val="00473517"/>
    <w:rsid w:val="004739C7"/>
    <w:rsid w:val="00473AA6"/>
    <w:rsid w:val="00473B2D"/>
    <w:rsid w:val="00473BDF"/>
    <w:rsid w:val="00473F80"/>
    <w:rsid w:val="00474031"/>
    <w:rsid w:val="0047406B"/>
    <w:rsid w:val="00474099"/>
    <w:rsid w:val="004741D9"/>
    <w:rsid w:val="00474290"/>
    <w:rsid w:val="004742D7"/>
    <w:rsid w:val="00474474"/>
    <w:rsid w:val="004744D3"/>
    <w:rsid w:val="00474542"/>
    <w:rsid w:val="00474668"/>
    <w:rsid w:val="0047466F"/>
    <w:rsid w:val="00474885"/>
    <w:rsid w:val="00474A5F"/>
    <w:rsid w:val="00474C7B"/>
    <w:rsid w:val="00474D16"/>
    <w:rsid w:val="00474D27"/>
    <w:rsid w:val="00474D54"/>
    <w:rsid w:val="00474DB7"/>
    <w:rsid w:val="00474E77"/>
    <w:rsid w:val="00474E9B"/>
    <w:rsid w:val="004751AD"/>
    <w:rsid w:val="004751AE"/>
    <w:rsid w:val="00475248"/>
    <w:rsid w:val="0047571E"/>
    <w:rsid w:val="00475760"/>
    <w:rsid w:val="0047579B"/>
    <w:rsid w:val="00475859"/>
    <w:rsid w:val="0047585F"/>
    <w:rsid w:val="00475B1E"/>
    <w:rsid w:val="00475C48"/>
    <w:rsid w:val="00475C61"/>
    <w:rsid w:val="00475D04"/>
    <w:rsid w:val="00476038"/>
    <w:rsid w:val="00476190"/>
    <w:rsid w:val="0047620E"/>
    <w:rsid w:val="004762C2"/>
    <w:rsid w:val="0047637D"/>
    <w:rsid w:val="00476426"/>
    <w:rsid w:val="0047647F"/>
    <w:rsid w:val="00476492"/>
    <w:rsid w:val="00476528"/>
    <w:rsid w:val="00476990"/>
    <w:rsid w:val="00476AF5"/>
    <w:rsid w:val="00476C26"/>
    <w:rsid w:val="00476C66"/>
    <w:rsid w:val="00476C92"/>
    <w:rsid w:val="00476D2B"/>
    <w:rsid w:val="00476D86"/>
    <w:rsid w:val="00476D99"/>
    <w:rsid w:val="00476EE6"/>
    <w:rsid w:val="00476F72"/>
    <w:rsid w:val="00476F84"/>
    <w:rsid w:val="004771A5"/>
    <w:rsid w:val="004771B4"/>
    <w:rsid w:val="0047736F"/>
    <w:rsid w:val="004773C3"/>
    <w:rsid w:val="00477545"/>
    <w:rsid w:val="00477602"/>
    <w:rsid w:val="00477624"/>
    <w:rsid w:val="004776C6"/>
    <w:rsid w:val="0047774F"/>
    <w:rsid w:val="004777FF"/>
    <w:rsid w:val="004778C7"/>
    <w:rsid w:val="0047799C"/>
    <w:rsid w:val="00477BC4"/>
    <w:rsid w:val="00477C96"/>
    <w:rsid w:val="00477C9D"/>
    <w:rsid w:val="00477CEF"/>
    <w:rsid w:val="00477D01"/>
    <w:rsid w:val="00477D12"/>
    <w:rsid w:val="00477ED1"/>
    <w:rsid w:val="00477EE3"/>
    <w:rsid w:val="00477F46"/>
    <w:rsid w:val="00477FA5"/>
    <w:rsid w:val="00477FDA"/>
    <w:rsid w:val="00480335"/>
    <w:rsid w:val="0048042F"/>
    <w:rsid w:val="00480C95"/>
    <w:rsid w:val="00480CAF"/>
    <w:rsid w:val="00480F46"/>
    <w:rsid w:val="0048101A"/>
    <w:rsid w:val="004810CE"/>
    <w:rsid w:val="0048113B"/>
    <w:rsid w:val="0048115F"/>
    <w:rsid w:val="004812A6"/>
    <w:rsid w:val="004813F3"/>
    <w:rsid w:val="0048162F"/>
    <w:rsid w:val="004816F8"/>
    <w:rsid w:val="0048190E"/>
    <w:rsid w:val="004819AC"/>
    <w:rsid w:val="00481A9D"/>
    <w:rsid w:val="00481C4D"/>
    <w:rsid w:val="00481D29"/>
    <w:rsid w:val="00481E64"/>
    <w:rsid w:val="00481EBF"/>
    <w:rsid w:val="00481F22"/>
    <w:rsid w:val="00482034"/>
    <w:rsid w:val="00482107"/>
    <w:rsid w:val="004821C9"/>
    <w:rsid w:val="00482282"/>
    <w:rsid w:val="0048259F"/>
    <w:rsid w:val="004825A8"/>
    <w:rsid w:val="004826DB"/>
    <w:rsid w:val="004827AE"/>
    <w:rsid w:val="004827D7"/>
    <w:rsid w:val="0048282A"/>
    <w:rsid w:val="00482902"/>
    <w:rsid w:val="004829BD"/>
    <w:rsid w:val="004829D3"/>
    <w:rsid w:val="00482A87"/>
    <w:rsid w:val="00482AE9"/>
    <w:rsid w:val="00482AFD"/>
    <w:rsid w:val="00482B52"/>
    <w:rsid w:val="00482C1A"/>
    <w:rsid w:val="00482D49"/>
    <w:rsid w:val="00482DD1"/>
    <w:rsid w:val="00482DE8"/>
    <w:rsid w:val="00482E88"/>
    <w:rsid w:val="004830E0"/>
    <w:rsid w:val="004830E8"/>
    <w:rsid w:val="004831F0"/>
    <w:rsid w:val="00483335"/>
    <w:rsid w:val="00483533"/>
    <w:rsid w:val="004835B4"/>
    <w:rsid w:val="00483743"/>
    <w:rsid w:val="0048374E"/>
    <w:rsid w:val="0048381D"/>
    <w:rsid w:val="00483913"/>
    <w:rsid w:val="0048393F"/>
    <w:rsid w:val="0048396C"/>
    <w:rsid w:val="00483E21"/>
    <w:rsid w:val="00483E67"/>
    <w:rsid w:val="00483E6F"/>
    <w:rsid w:val="00484054"/>
    <w:rsid w:val="00484195"/>
    <w:rsid w:val="00484196"/>
    <w:rsid w:val="00484251"/>
    <w:rsid w:val="004842D2"/>
    <w:rsid w:val="004842EF"/>
    <w:rsid w:val="0048448D"/>
    <w:rsid w:val="004844ED"/>
    <w:rsid w:val="00484904"/>
    <w:rsid w:val="00484A33"/>
    <w:rsid w:val="00484B8C"/>
    <w:rsid w:val="00484C71"/>
    <w:rsid w:val="00484CE0"/>
    <w:rsid w:val="00484F37"/>
    <w:rsid w:val="00484F56"/>
    <w:rsid w:val="00485130"/>
    <w:rsid w:val="00485244"/>
    <w:rsid w:val="0048524C"/>
    <w:rsid w:val="00485473"/>
    <w:rsid w:val="004855D7"/>
    <w:rsid w:val="00485787"/>
    <w:rsid w:val="004857DD"/>
    <w:rsid w:val="004857FA"/>
    <w:rsid w:val="00485814"/>
    <w:rsid w:val="00485955"/>
    <w:rsid w:val="00485A0E"/>
    <w:rsid w:val="00485A2D"/>
    <w:rsid w:val="00485B42"/>
    <w:rsid w:val="00485BBB"/>
    <w:rsid w:val="00485D0C"/>
    <w:rsid w:val="00485D36"/>
    <w:rsid w:val="00485F17"/>
    <w:rsid w:val="00485F40"/>
    <w:rsid w:val="00486128"/>
    <w:rsid w:val="004862BB"/>
    <w:rsid w:val="0048649C"/>
    <w:rsid w:val="004864F2"/>
    <w:rsid w:val="0048652C"/>
    <w:rsid w:val="0048653A"/>
    <w:rsid w:val="00486742"/>
    <w:rsid w:val="004869CF"/>
    <w:rsid w:val="00486B32"/>
    <w:rsid w:val="00486D65"/>
    <w:rsid w:val="00486DE5"/>
    <w:rsid w:val="00486F40"/>
    <w:rsid w:val="00487050"/>
    <w:rsid w:val="0048705B"/>
    <w:rsid w:val="004870E8"/>
    <w:rsid w:val="004871C5"/>
    <w:rsid w:val="004878C7"/>
    <w:rsid w:val="00487931"/>
    <w:rsid w:val="0048794B"/>
    <w:rsid w:val="00487A1C"/>
    <w:rsid w:val="00487A1D"/>
    <w:rsid w:val="00487AFE"/>
    <w:rsid w:val="00487B14"/>
    <w:rsid w:val="00487CC9"/>
    <w:rsid w:val="00487D0E"/>
    <w:rsid w:val="004900AE"/>
    <w:rsid w:val="004901DC"/>
    <w:rsid w:val="0049033B"/>
    <w:rsid w:val="00490370"/>
    <w:rsid w:val="004903B1"/>
    <w:rsid w:val="00490444"/>
    <w:rsid w:val="004905DE"/>
    <w:rsid w:val="004906F1"/>
    <w:rsid w:val="0049090B"/>
    <w:rsid w:val="00490A43"/>
    <w:rsid w:val="00490A78"/>
    <w:rsid w:val="00490C24"/>
    <w:rsid w:val="00490CBD"/>
    <w:rsid w:val="00490F1D"/>
    <w:rsid w:val="00490F33"/>
    <w:rsid w:val="00491003"/>
    <w:rsid w:val="0049102E"/>
    <w:rsid w:val="0049105C"/>
    <w:rsid w:val="00491103"/>
    <w:rsid w:val="00491149"/>
    <w:rsid w:val="0049116E"/>
    <w:rsid w:val="004911EE"/>
    <w:rsid w:val="004912B6"/>
    <w:rsid w:val="004912C2"/>
    <w:rsid w:val="00491305"/>
    <w:rsid w:val="00491422"/>
    <w:rsid w:val="0049143A"/>
    <w:rsid w:val="004915C1"/>
    <w:rsid w:val="004915E2"/>
    <w:rsid w:val="00491611"/>
    <w:rsid w:val="00491755"/>
    <w:rsid w:val="004917C5"/>
    <w:rsid w:val="004917FA"/>
    <w:rsid w:val="00491934"/>
    <w:rsid w:val="00491970"/>
    <w:rsid w:val="00491977"/>
    <w:rsid w:val="004919FB"/>
    <w:rsid w:val="00491A21"/>
    <w:rsid w:val="00491A45"/>
    <w:rsid w:val="00491B1B"/>
    <w:rsid w:val="00491C31"/>
    <w:rsid w:val="00491D03"/>
    <w:rsid w:val="00491D9D"/>
    <w:rsid w:val="00491DDA"/>
    <w:rsid w:val="00491E1D"/>
    <w:rsid w:val="00491ECE"/>
    <w:rsid w:val="0049205F"/>
    <w:rsid w:val="00492219"/>
    <w:rsid w:val="004922A6"/>
    <w:rsid w:val="004922D0"/>
    <w:rsid w:val="004923F2"/>
    <w:rsid w:val="0049241B"/>
    <w:rsid w:val="00492486"/>
    <w:rsid w:val="004924D3"/>
    <w:rsid w:val="00492624"/>
    <w:rsid w:val="0049267B"/>
    <w:rsid w:val="00492779"/>
    <w:rsid w:val="00492806"/>
    <w:rsid w:val="0049291F"/>
    <w:rsid w:val="00492980"/>
    <w:rsid w:val="00492A43"/>
    <w:rsid w:val="00492A5F"/>
    <w:rsid w:val="00492C73"/>
    <w:rsid w:val="00492D4B"/>
    <w:rsid w:val="00492E2F"/>
    <w:rsid w:val="00492E93"/>
    <w:rsid w:val="00492EB5"/>
    <w:rsid w:val="0049319C"/>
    <w:rsid w:val="00493396"/>
    <w:rsid w:val="00493421"/>
    <w:rsid w:val="00493469"/>
    <w:rsid w:val="004934B7"/>
    <w:rsid w:val="00493521"/>
    <w:rsid w:val="00493685"/>
    <w:rsid w:val="00493737"/>
    <w:rsid w:val="00493993"/>
    <w:rsid w:val="00493FEC"/>
    <w:rsid w:val="00494040"/>
    <w:rsid w:val="0049409F"/>
    <w:rsid w:val="004940CF"/>
    <w:rsid w:val="00494207"/>
    <w:rsid w:val="004944F9"/>
    <w:rsid w:val="00494579"/>
    <w:rsid w:val="00494662"/>
    <w:rsid w:val="004946E0"/>
    <w:rsid w:val="004946FA"/>
    <w:rsid w:val="00494757"/>
    <w:rsid w:val="0049478C"/>
    <w:rsid w:val="004947A6"/>
    <w:rsid w:val="00494899"/>
    <w:rsid w:val="004948FA"/>
    <w:rsid w:val="00494B2A"/>
    <w:rsid w:val="00494C89"/>
    <w:rsid w:val="00494CF2"/>
    <w:rsid w:val="00494DA6"/>
    <w:rsid w:val="00494E9C"/>
    <w:rsid w:val="00494E9E"/>
    <w:rsid w:val="00494F89"/>
    <w:rsid w:val="00495099"/>
    <w:rsid w:val="0049510A"/>
    <w:rsid w:val="00495221"/>
    <w:rsid w:val="00495243"/>
    <w:rsid w:val="00495456"/>
    <w:rsid w:val="004955B8"/>
    <w:rsid w:val="00495660"/>
    <w:rsid w:val="00495860"/>
    <w:rsid w:val="00495989"/>
    <w:rsid w:val="004959C9"/>
    <w:rsid w:val="00495A1E"/>
    <w:rsid w:val="00495CC8"/>
    <w:rsid w:val="00496179"/>
    <w:rsid w:val="00496323"/>
    <w:rsid w:val="004963C3"/>
    <w:rsid w:val="0049647C"/>
    <w:rsid w:val="0049658E"/>
    <w:rsid w:val="004967E4"/>
    <w:rsid w:val="004968FC"/>
    <w:rsid w:val="00496909"/>
    <w:rsid w:val="004969F6"/>
    <w:rsid w:val="00496A91"/>
    <w:rsid w:val="00496A92"/>
    <w:rsid w:val="00496B5A"/>
    <w:rsid w:val="00496CB2"/>
    <w:rsid w:val="00496CD2"/>
    <w:rsid w:val="00496D03"/>
    <w:rsid w:val="00496D9E"/>
    <w:rsid w:val="00496E0F"/>
    <w:rsid w:val="00496ECF"/>
    <w:rsid w:val="00496F34"/>
    <w:rsid w:val="00496F6F"/>
    <w:rsid w:val="00496F86"/>
    <w:rsid w:val="00496F90"/>
    <w:rsid w:val="00497019"/>
    <w:rsid w:val="004971EE"/>
    <w:rsid w:val="00497372"/>
    <w:rsid w:val="0049750E"/>
    <w:rsid w:val="004975A3"/>
    <w:rsid w:val="004975F9"/>
    <w:rsid w:val="0049798A"/>
    <w:rsid w:val="004979B7"/>
    <w:rsid w:val="00497A48"/>
    <w:rsid w:val="00497B7F"/>
    <w:rsid w:val="00497B97"/>
    <w:rsid w:val="00497CCA"/>
    <w:rsid w:val="00497E01"/>
    <w:rsid w:val="00497E27"/>
    <w:rsid w:val="004A0038"/>
    <w:rsid w:val="004A0174"/>
    <w:rsid w:val="004A0456"/>
    <w:rsid w:val="004A04ED"/>
    <w:rsid w:val="004A0554"/>
    <w:rsid w:val="004A05AB"/>
    <w:rsid w:val="004A062F"/>
    <w:rsid w:val="004A065D"/>
    <w:rsid w:val="004A089F"/>
    <w:rsid w:val="004A0981"/>
    <w:rsid w:val="004A0991"/>
    <w:rsid w:val="004A0A1C"/>
    <w:rsid w:val="004A0AF1"/>
    <w:rsid w:val="004A0BF6"/>
    <w:rsid w:val="004A0C90"/>
    <w:rsid w:val="004A0D99"/>
    <w:rsid w:val="004A0E75"/>
    <w:rsid w:val="004A0F54"/>
    <w:rsid w:val="004A0FDD"/>
    <w:rsid w:val="004A0FE8"/>
    <w:rsid w:val="004A1011"/>
    <w:rsid w:val="004A1026"/>
    <w:rsid w:val="004A1081"/>
    <w:rsid w:val="004A1135"/>
    <w:rsid w:val="004A1183"/>
    <w:rsid w:val="004A1246"/>
    <w:rsid w:val="004A147B"/>
    <w:rsid w:val="004A149E"/>
    <w:rsid w:val="004A1622"/>
    <w:rsid w:val="004A18BA"/>
    <w:rsid w:val="004A196D"/>
    <w:rsid w:val="004A19D2"/>
    <w:rsid w:val="004A1A03"/>
    <w:rsid w:val="004A1A0C"/>
    <w:rsid w:val="004A1BD5"/>
    <w:rsid w:val="004A1BF8"/>
    <w:rsid w:val="004A1C2B"/>
    <w:rsid w:val="004A1CA1"/>
    <w:rsid w:val="004A1CC3"/>
    <w:rsid w:val="004A1F23"/>
    <w:rsid w:val="004A1FEE"/>
    <w:rsid w:val="004A2028"/>
    <w:rsid w:val="004A2046"/>
    <w:rsid w:val="004A20E8"/>
    <w:rsid w:val="004A2153"/>
    <w:rsid w:val="004A2165"/>
    <w:rsid w:val="004A22A8"/>
    <w:rsid w:val="004A234C"/>
    <w:rsid w:val="004A24A8"/>
    <w:rsid w:val="004A24A9"/>
    <w:rsid w:val="004A2518"/>
    <w:rsid w:val="004A2564"/>
    <w:rsid w:val="004A26E0"/>
    <w:rsid w:val="004A2848"/>
    <w:rsid w:val="004A2890"/>
    <w:rsid w:val="004A28EB"/>
    <w:rsid w:val="004A2A16"/>
    <w:rsid w:val="004A2A64"/>
    <w:rsid w:val="004A2A65"/>
    <w:rsid w:val="004A2AA6"/>
    <w:rsid w:val="004A2AC5"/>
    <w:rsid w:val="004A2AD3"/>
    <w:rsid w:val="004A2CFB"/>
    <w:rsid w:val="004A2D43"/>
    <w:rsid w:val="004A2DC4"/>
    <w:rsid w:val="004A2F51"/>
    <w:rsid w:val="004A3224"/>
    <w:rsid w:val="004A34EA"/>
    <w:rsid w:val="004A34F8"/>
    <w:rsid w:val="004A35EA"/>
    <w:rsid w:val="004A35EC"/>
    <w:rsid w:val="004A36C5"/>
    <w:rsid w:val="004A36D0"/>
    <w:rsid w:val="004A379B"/>
    <w:rsid w:val="004A38F0"/>
    <w:rsid w:val="004A3962"/>
    <w:rsid w:val="004A39F9"/>
    <w:rsid w:val="004A3BE3"/>
    <w:rsid w:val="004A3BF9"/>
    <w:rsid w:val="004A3C4E"/>
    <w:rsid w:val="004A3D7F"/>
    <w:rsid w:val="004A3FF4"/>
    <w:rsid w:val="004A415D"/>
    <w:rsid w:val="004A437C"/>
    <w:rsid w:val="004A44DB"/>
    <w:rsid w:val="004A44ED"/>
    <w:rsid w:val="004A4681"/>
    <w:rsid w:val="004A4750"/>
    <w:rsid w:val="004A47DF"/>
    <w:rsid w:val="004A4A12"/>
    <w:rsid w:val="004A4A40"/>
    <w:rsid w:val="004A4D3A"/>
    <w:rsid w:val="004A4D78"/>
    <w:rsid w:val="004A513F"/>
    <w:rsid w:val="004A515E"/>
    <w:rsid w:val="004A5352"/>
    <w:rsid w:val="004A5374"/>
    <w:rsid w:val="004A567C"/>
    <w:rsid w:val="004A57A4"/>
    <w:rsid w:val="004A58E0"/>
    <w:rsid w:val="004A5935"/>
    <w:rsid w:val="004A5973"/>
    <w:rsid w:val="004A59CF"/>
    <w:rsid w:val="004A5B8F"/>
    <w:rsid w:val="004A5C21"/>
    <w:rsid w:val="004A5CFD"/>
    <w:rsid w:val="004A5D00"/>
    <w:rsid w:val="004A5D61"/>
    <w:rsid w:val="004A5E5B"/>
    <w:rsid w:val="004A602A"/>
    <w:rsid w:val="004A6073"/>
    <w:rsid w:val="004A6165"/>
    <w:rsid w:val="004A622A"/>
    <w:rsid w:val="004A6435"/>
    <w:rsid w:val="004A665B"/>
    <w:rsid w:val="004A6872"/>
    <w:rsid w:val="004A68A7"/>
    <w:rsid w:val="004A6AA7"/>
    <w:rsid w:val="004A6C46"/>
    <w:rsid w:val="004A6C5C"/>
    <w:rsid w:val="004A6C62"/>
    <w:rsid w:val="004A6C92"/>
    <w:rsid w:val="004A6C9B"/>
    <w:rsid w:val="004A6CC3"/>
    <w:rsid w:val="004A6E2C"/>
    <w:rsid w:val="004A6F0C"/>
    <w:rsid w:val="004A72E0"/>
    <w:rsid w:val="004A7527"/>
    <w:rsid w:val="004A7669"/>
    <w:rsid w:val="004A76FC"/>
    <w:rsid w:val="004A77D7"/>
    <w:rsid w:val="004A7844"/>
    <w:rsid w:val="004A78AE"/>
    <w:rsid w:val="004A790A"/>
    <w:rsid w:val="004A7A95"/>
    <w:rsid w:val="004A7B50"/>
    <w:rsid w:val="004A7BDA"/>
    <w:rsid w:val="004A7CE5"/>
    <w:rsid w:val="004A7E46"/>
    <w:rsid w:val="004A7F6B"/>
    <w:rsid w:val="004B0030"/>
    <w:rsid w:val="004B0143"/>
    <w:rsid w:val="004B01B8"/>
    <w:rsid w:val="004B02EF"/>
    <w:rsid w:val="004B0310"/>
    <w:rsid w:val="004B04DF"/>
    <w:rsid w:val="004B055C"/>
    <w:rsid w:val="004B0705"/>
    <w:rsid w:val="004B0709"/>
    <w:rsid w:val="004B0824"/>
    <w:rsid w:val="004B0A91"/>
    <w:rsid w:val="004B0EA0"/>
    <w:rsid w:val="004B0F62"/>
    <w:rsid w:val="004B106F"/>
    <w:rsid w:val="004B1223"/>
    <w:rsid w:val="004B1323"/>
    <w:rsid w:val="004B1723"/>
    <w:rsid w:val="004B190D"/>
    <w:rsid w:val="004B195B"/>
    <w:rsid w:val="004B1AE5"/>
    <w:rsid w:val="004B1CEE"/>
    <w:rsid w:val="004B1D36"/>
    <w:rsid w:val="004B1D38"/>
    <w:rsid w:val="004B1D55"/>
    <w:rsid w:val="004B2057"/>
    <w:rsid w:val="004B20A8"/>
    <w:rsid w:val="004B20FC"/>
    <w:rsid w:val="004B21E2"/>
    <w:rsid w:val="004B222A"/>
    <w:rsid w:val="004B2343"/>
    <w:rsid w:val="004B241C"/>
    <w:rsid w:val="004B2550"/>
    <w:rsid w:val="004B25A6"/>
    <w:rsid w:val="004B26EC"/>
    <w:rsid w:val="004B2706"/>
    <w:rsid w:val="004B27B3"/>
    <w:rsid w:val="004B2826"/>
    <w:rsid w:val="004B290B"/>
    <w:rsid w:val="004B291D"/>
    <w:rsid w:val="004B29F0"/>
    <w:rsid w:val="004B2A00"/>
    <w:rsid w:val="004B2B79"/>
    <w:rsid w:val="004B2CBF"/>
    <w:rsid w:val="004B2CD1"/>
    <w:rsid w:val="004B2D34"/>
    <w:rsid w:val="004B2F16"/>
    <w:rsid w:val="004B30E5"/>
    <w:rsid w:val="004B30F1"/>
    <w:rsid w:val="004B3145"/>
    <w:rsid w:val="004B31A7"/>
    <w:rsid w:val="004B33EB"/>
    <w:rsid w:val="004B34C5"/>
    <w:rsid w:val="004B34D0"/>
    <w:rsid w:val="004B356B"/>
    <w:rsid w:val="004B358E"/>
    <w:rsid w:val="004B36A3"/>
    <w:rsid w:val="004B3726"/>
    <w:rsid w:val="004B387D"/>
    <w:rsid w:val="004B38B4"/>
    <w:rsid w:val="004B39FC"/>
    <w:rsid w:val="004B3AC8"/>
    <w:rsid w:val="004B3C0B"/>
    <w:rsid w:val="004B3C15"/>
    <w:rsid w:val="004B3CA6"/>
    <w:rsid w:val="004B3DD0"/>
    <w:rsid w:val="004B4024"/>
    <w:rsid w:val="004B4083"/>
    <w:rsid w:val="004B4363"/>
    <w:rsid w:val="004B4606"/>
    <w:rsid w:val="004B486E"/>
    <w:rsid w:val="004B48B4"/>
    <w:rsid w:val="004B4935"/>
    <w:rsid w:val="004B4A86"/>
    <w:rsid w:val="004B4B15"/>
    <w:rsid w:val="004B4C60"/>
    <w:rsid w:val="004B50A6"/>
    <w:rsid w:val="004B512F"/>
    <w:rsid w:val="004B53A7"/>
    <w:rsid w:val="004B5572"/>
    <w:rsid w:val="004B560B"/>
    <w:rsid w:val="004B5732"/>
    <w:rsid w:val="004B57C2"/>
    <w:rsid w:val="004B59BF"/>
    <w:rsid w:val="004B59D1"/>
    <w:rsid w:val="004B59F9"/>
    <w:rsid w:val="004B5A67"/>
    <w:rsid w:val="004B5B04"/>
    <w:rsid w:val="004B5B0F"/>
    <w:rsid w:val="004B5CE1"/>
    <w:rsid w:val="004B5D0A"/>
    <w:rsid w:val="004B5EF8"/>
    <w:rsid w:val="004B5F49"/>
    <w:rsid w:val="004B6270"/>
    <w:rsid w:val="004B628A"/>
    <w:rsid w:val="004B6342"/>
    <w:rsid w:val="004B6359"/>
    <w:rsid w:val="004B63B5"/>
    <w:rsid w:val="004B6576"/>
    <w:rsid w:val="004B6643"/>
    <w:rsid w:val="004B66B5"/>
    <w:rsid w:val="004B675A"/>
    <w:rsid w:val="004B68DE"/>
    <w:rsid w:val="004B6A2A"/>
    <w:rsid w:val="004B6A88"/>
    <w:rsid w:val="004B6A8D"/>
    <w:rsid w:val="004B6A9E"/>
    <w:rsid w:val="004B6B05"/>
    <w:rsid w:val="004B6C4D"/>
    <w:rsid w:val="004B6EEC"/>
    <w:rsid w:val="004B7048"/>
    <w:rsid w:val="004B7138"/>
    <w:rsid w:val="004B7179"/>
    <w:rsid w:val="004B719C"/>
    <w:rsid w:val="004B71B0"/>
    <w:rsid w:val="004B71E4"/>
    <w:rsid w:val="004B723A"/>
    <w:rsid w:val="004B72BE"/>
    <w:rsid w:val="004B7C29"/>
    <w:rsid w:val="004B7DA1"/>
    <w:rsid w:val="004B7E02"/>
    <w:rsid w:val="004B7F29"/>
    <w:rsid w:val="004C002F"/>
    <w:rsid w:val="004C0033"/>
    <w:rsid w:val="004C00F5"/>
    <w:rsid w:val="004C01B4"/>
    <w:rsid w:val="004C01E1"/>
    <w:rsid w:val="004C01FF"/>
    <w:rsid w:val="004C02E0"/>
    <w:rsid w:val="004C0306"/>
    <w:rsid w:val="004C0371"/>
    <w:rsid w:val="004C0552"/>
    <w:rsid w:val="004C07B8"/>
    <w:rsid w:val="004C0812"/>
    <w:rsid w:val="004C0940"/>
    <w:rsid w:val="004C0D73"/>
    <w:rsid w:val="004C0E1D"/>
    <w:rsid w:val="004C0E66"/>
    <w:rsid w:val="004C0EDB"/>
    <w:rsid w:val="004C0F9D"/>
    <w:rsid w:val="004C122D"/>
    <w:rsid w:val="004C123A"/>
    <w:rsid w:val="004C13CE"/>
    <w:rsid w:val="004C149B"/>
    <w:rsid w:val="004C15C1"/>
    <w:rsid w:val="004C16F8"/>
    <w:rsid w:val="004C171D"/>
    <w:rsid w:val="004C173D"/>
    <w:rsid w:val="004C175A"/>
    <w:rsid w:val="004C17E3"/>
    <w:rsid w:val="004C1827"/>
    <w:rsid w:val="004C18B3"/>
    <w:rsid w:val="004C18F7"/>
    <w:rsid w:val="004C1A5C"/>
    <w:rsid w:val="004C1C01"/>
    <w:rsid w:val="004C1D49"/>
    <w:rsid w:val="004C1DBE"/>
    <w:rsid w:val="004C1E66"/>
    <w:rsid w:val="004C1F1E"/>
    <w:rsid w:val="004C1F6B"/>
    <w:rsid w:val="004C204F"/>
    <w:rsid w:val="004C219A"/>
    <w:rsid w:val="004C2209"/>
    <w:rsid w:val="004C2343"/>
    <w:rsid w:val="004C2350"/>
    <w:rsid w:val="004C2376"/>
    <w:rsid w:val="004C2392"/>
    <w:rsid w:val="004C2421"/>
    <w:rsid w:val="004C2518"/>
    <w:rsid w:val="004C25B5"/>
    <w:rsid w:val="004C267E"/>
    <w:rsid w:val="004C270A"/>
    <w:rsid w:val="004C270F"/>
    <w:rsid w:val="004C2932"/>
    <w:rsid w:val="004C2A73"/>
    <w:rsid w:val="004C2AA8"/>
    <w:rsid w:val="004C2C13"/>
    <w:rsid w:val="004C2D8D"/>
    <w:rsid w:val="004C2E5C"/>
    <w:rsid w:val="004C2EA2"/>
    <w:rsid w:val="004C307F"/>
    <w:rsid w:val="004C3174"/>
    <w:rsid w:val="004C3215"/>
    <w:rsid w:val="004C32E2"/>
    <w:rsid w:val="004C3372"/>
    <w:rsid w:val="004C33CD"/>
    <w:rsid w:val="004C33F6"/>
    <w:rsid w:val="004C348D"/>
    <w:rsid w:val="004C351D"/>
    <w:rsid w:val="004C352B"/>
    <w:rsid w:val="004C37E4"/>
    <w:rsid w:val="004C382C"/>
    <w:rsid w:val="004C386B"/>
    <w:rsid w:val="004C3885"/>
    <w:rsid w:val="004C3BCA"/>
    <w:rsid w:val="004C3DA5"/>
    <w:rsid w:val="004C3DD9"/>
    <w:rsid w:val="004C3DE8"/>
    <w:rsid w:val="004C4053"/>
    <w:rsid w:val="004C41CD"/>
    <w:rsid w:val="004C42A6"/>
    <w:rsid w:val="004C44C0"/>
    <w:rsid w:val="004C46FF"/>
    <w:rsid w:val="004C4747"/>
    <w:rsid w:val="004C47B0"/>
    <w:rsid w:val="004C486A"/>
    <w:rsid w:val="004C4952"/>
    <w:rsid w:val="004C499A"/>
    <w:rsid w:val="004C4B29"/>
    <w:rsid w:val="004C4B6A"/>
    <w:rsid w:val="004C4DC6"/>
    <w:rsid w:val="004C4F54"/>
    <w:rsid w:val="004C505C"/>
    <w:rsid w:val="004C50E2"/>
    <w:rsid w:val="004C519E"/>
    <w:rsid w:val="004C5454"/>
    <w:rsid w:val="004C5589"/>
    <w:rsid w:val="004C5682"/>
    <w:rsid w:val="004C5694"/>
    <w:rsid w:val="004C56FC"/>
    <w:rsid w:val="004C5740"/>
    <w:rsid w:val="004C588B"/>
    <w:rsid w:val="004C58A4"/>
    <w:rsid w:val="004C5A0D"/>
    <w:rsid w:val="004C5A77"/>
    <w:rsid w:val="004C5BB5"/>
    <w:rsid w:val="004C5C5C"/>
    <w:rsid w:val="004C5E18"/>
    <w:rsid w:val="004C5E76"/>
    <w:rsid w:val="004C5FC5"/>
    <w:rsid w:val="004C612A"/>
    <w:rsid w:val="004C6168"/>
    <w:rsid w:val="004C61A4"/>
    <w:rsid w:val="004C63ED"/>
    <w:rsid w:val="004C644F"/>
    <w:rsid w:val="004C6567"/>
    <w:rsid w:val="004C6577"/>
    <w:rsid w:val="004C657C"/>
    <w:rsid w:val="004C65B3"/>
    <w:rsid w:val="004C65C8"/>
    <w:rsid w:val="004C65E6"/>
    <w:rsid w:val="004C671B"/>
    <w:rsid w:val="004C6896"/>
    <w:rsid w:val="004C6A04"/>
    <w:rsid w:val="004C6B8F"/>
    <w:rsid w:val="004C6BC1"/>
    <w:rsid w:val="004C6F21"/>
    <w:rsid w:val="004C6F58"/>
    <w:rsid w:val="004C6F6C"/>
    <w:rsid w:val="004C7061"/>
    <w:rsid w:val="004C7434"/>
    <w:rsid w:val="004C768C"/>
    <w:rsid w:val="004C76E1"/>
    <w:rsid w:val="004C79B5"/>
    <w:rsid w:val="004C7C21"/>
    <w:rsid w:val="004C7D3C"/>
    <w:rsid w:val="004C7D4E"/>
    <w:rsid w:val="004C7D83"/>
    <w:rsid w:val="004C7DCF"/>
    <w:rsid w:val="004C7DD3"/>
    <w:rsid w:val="004C7DE4"/>
    <w:rsid w:val="004C7E17"/>
    <w:rsid w:val="004D0031"/>
    <w:rsid w:val="004D008C"/>
    <w:rsid w:val="004D0244"/>
    <w:rsid w:val="004D02D6"/>
    <w:rsid w:val="004D03AE"/>
    <w:rsid w:val="004D0493"/>
    <w:rsid w:val="004D071B"/>
    <w:rsid w:val="004D09EB"/>
    <w:rsid w:val="004D0B82"/>
    <w:rsid w:val="004D0D8A"/>
    <w:rsid w:val="004D0F43"/>
    <w:rsid w:val="004D1025"/>
    <w:rsid w:val="004D1055"/>
    <w:rsid w:val="004D1080"/>
    <w:rsid w:val="004D1091"/>
    <w:rsid w:val="004D11F3"/>
    <w:rsid w:val="004D14A2"/>
    <w:rsid w:val="004D1915"/>
    <w:rsid w:val="004D1BEA"/>
    <w:rsid w:val="004D1C79"/>
    <w:rsid w:val="004D1CE0"/>
    <w:rsid w:val="004D1DB8"/>
    <w:rsid w:val="004D1E10"/>
    <w:rsid w:val="004D1F18"/>
    <w:rsid w:val="004D1FB5"/>
    <w:rsid w:val="004D2055"/>
    <w:rsid w:val="004D20E7"/>
    <w:rsid w:val="004D21D7"/>
    <w:rsid w:val="004D229C"/>
    <w:rsid w:val="004D2324"/>
    <w:rsid w:val="004D23FB"/>
    <w:rsid w:val="004D266A"/>
    <w:rsid w:val="004D2902"/>
    <w:rsid w:val="004D29B5"/>
    <w:rsid w:val="004D2B12"/>
    <w:rsid w:val="004D2B73"/>
    <w:rsid w:val="004D2F2C"/>
    <w:rsid w:val="004D30B9"/>
    <w:rsid w:val="004D32B8"/>
    <w:rsid w:val="004D32D7"/>
    <w:rsid w:val="004D3323"/>
    <w:rsid w:val="004D349F"/>
    <w:rsid w:val="004D37E9"/>
    <w:rsid w:val="004D38B9"/>
    <w:rsid w:val="004D38E5"/>
    <w:rsid w:val="004D3BFD"/>
    <w:rsid w:val="004D3DCC"/>
    <w:rsid w:val="004D4116"/>
    <w:rsid w:val="004D4168"/>
    <w:rsid w:val="004D416D"/>
    <w:rsid w:val="004D418A"/>
    <w:rsid w:val="004D428E"/>
    <w:rsid w:val="004D42FE"/>
    <w:rsid w:val="004D4360"/>
    <w:rsid w:val="004D44E0"/>
    <w:rsid w:val="004D47F8"/>
    <w:rsid w:val="004D4904"/>
    <w:rsid w:val="004D49C0"/>
    <w:rsid w:val="004D4A13"/>
    <w:rsid w:val="004D4CBB"/>
    <w:rsid w:val="004D4FC8"/>
    <w:rsid w:val="004D5013"/>
    <w:rsid w:val="004D509B"/>
    <w:rsid w:val="004D5198"/>
    <w:rsid w:val="004D519C"/>
    <w:rsid w:val="004D51DB"/>
    <w:rsid w:val="004D5645"/>
    <w:rsid w:val="004D5849"/>
    <w:rsid w:val="004D5986"/>
    <w:rsid w:val="004D5A56"/>
    <w:rsid w:val="004D5A7B"/>
    <w:rsid w:val="004D5C43"/>
    <w:rsid w:val="004D5C5F"/>
    <w:rsid w:val="004D5D41"/>
    <w:rsid w:val="004D5D87"/>
    <w:rsid w:val="004D5DEA"/>
    <w:rsid w:val="004D5E40"/>
    <w:rsid w:val="004D5EA3"/>
    <w:rsid w:val="004D5F6B"/>
    <w:rsid w:val="004D5FD8"/>
    <w:rsid w:val="004D600B"/>
    <w:rsid w:val="004D624B"/>
    <w:rsid w:val="004D6332"/>
    <w:rsid w:val="004D6676"/>
    <w:rsid w:val="004D6885"/>
    <w:rsid w:val="004D69C3"/>
    <w:rsid w:val="004D6D07"/>
    <w:rsid w:val="004D6DE3"/>
    <w:rsid w:val="004D6E69"/>
    <w:rsid w:val="004D6EE5"/>
    <w:rsid w:val="004D6EF9"/>
    <w:rsid w:val="004D7167"/>
    <w:rsid w:val="004D71E2"/>
    <w:rsid w:val="004D73EF"/>
    <w:rsid w:val="004D74B4"/>
    <w:rsid w:val="004D758F"/>
    <w:rsid w:val="004D75D7"/>
    <w:rsid w:val="004D7642"/>
    <w:rsid w:val="004D7817"/>
    <w:rsid w:val="004D7ABF"/>
    <w:rsid w:val="004E00E0"/>
    <w:rsid w:val="004E00EC"/>
    <w:rsid w:val="004E031D"/>
    <w:rsid w:val="004E0364"/>
    <w:rsid w:val="004E03B0"/>
    <w:rsid w:val="004E04CE"/>
    <w:rsid w:val="004E0635"/>
    <w:rsid w:val="004E0767"/>
    <w:rsid w:val="004E08BE"/>
    <w:rsid w:val="004E09F1"/>
    <w:rsid w:val="004E0A77"/>
    <w:rsid w:val="004E0B1F"/>
    <w:rsid w:val="004E0B4D"/>
    <w:rsid w:val="004E0C8F"/>
    <w:rsid w:val="004E0D80"/>
    <w:rsid w:val="004E0DA1"/>
    <w:rsid w:val="004E0F30"/>
    <w:rsid w:val="004E0FAE"/>
    <w:rsid w:val="004E1091"/>
    <w:rsid w:val="004E10C2"/>
    <w:rsid w:val="004E1115"/>
    <w:rsid w:val="004E11BA"/>
    <w:rsid w:val="004E12E9"/>
    <w:rsid w:val="004E1312"/>
    <w:rsid w:val="004E13F5"/>
    <w:rsid w:val="004E14D2"/>
    <w:rsid w:val="004E15B4"/>
    <w:rsid w:val="004E1883"/>
    <w:rsid w:val="004E1939"/>
    <w:rsid w:val="004E1C25"/>
    <w:rsid w:val="004E1FC3"/>
    <w:rsid w:val="004E2018"/>
    <w:rsid w:val="004E20A2"/>
    <w:rsid w:val="004E2209"/>
    <w:rsid w:val="004E2351"/>
    <w:rsid w:val="004E265E"/>
    <w:rsid w:val="004E26D6"/>
    <w:rsid w:val="004E293F"/>
    <w:rsid w:val="004E2969"/>
    <w:rsid w:val="004E29E5"/>
    <w:rsid w:val="004E2A07"/>
    <w:rsid w:val="004E2A2A"/>
    <w:rsid w:val="004E2BC2"/>
    <w:rsid w:val="004E2BC5"/>
    <w:rsid w:val="004E2C2D"/>
    <w:rsid w:val="004E3075"/>
    <w:rsid w:val="004E307F"/>
    <w:rsid w:val="004E313C"/>
    <w:rsid w:val="004E32AE"/>
    <w:rsid w:val="004E3340"/>
    <w:rsid w:val="004E33BB"/>
    <w:rsid w:val="004E3461"/>
    <w:rsid w:val="004E351A"/>
    <w:rsid w:val="004E3622"/>
    <w:rsid w:val="004E3932"/>
    <w:rsid w:val="004E3FC1"/>
    <w:rsid w:val="004E4245"/>
    <w:rsid w:val="004E459B"/>
    <w:rsid w:val="004E462D"/>
    <w:rsid w:val="004E467E"/>
    <w:rsid w:val="004E4754"/>
    <w:rsid w:val="004E478F"/>
    <w:rsid w:val="004E493B"/>
    <w:rsid w:val="004E498F"/>
    <w:rsid w:val="004E4BC0"/>
    <w:rsid w:val="004E4C57"/>
    <w:rsid w:val="004E4C9D"/>
    <w:rsid w:val="004E4CD4"/>
    <w:rsid w:val="004E4FED"/>
    <w:rsid w:val="004E50D3"/>
    <w:rsid w:val="004E522D"/>
    <w:rsid w:val="004E52C4"/>
    <w:rsid w:val="004E531A"/>
    <w:rsid w:val="004E546F"/>
    <w:rsid w:val="004E55D8"/>
    <w:rsid w:val="004E591B"/>
    <w:rsid w:val="004E5CE6"/>
    <w:rsid w:val="004E5DEA"/>
    <w:rsid w:val="004E5E8E"/>
    <w:rsid w:val="004E6007"/>
    <w:rsid w:val="004E61CB"/>
    <w:rsid w:val="004E63D6"/>
    <w:rsid w:val="004E63FF"/>
    <w:rsid w:val="004E65CF"/>
    <w:rsid w:val="004E6820"/>
    <w:rsid w:val="004E6899"/>
    <w:rsid w:val="004E691B"/>
    <w:rsid w:val="004E6A1B"/>
    <w:rsid w:val="004E6AE8"/>
    <w:rsid w:val="004E6C20"/>
    <w:rsid w:val="004E6D15"/>
    <w:rsid w:val="004E6D50"/>
    <w:rsid w:val="004E6F76"/>
    <w:rsid w:val="004E7014"/>
    <w:rsid w:val="004E704C"/>
    <w:rsid w:val="004E70DC"/>
    <w:rsid w:val="004E7252"/>
    <w:rsid w:val="004E74C3"/>
    <w:rsid w:val="004E7515"/>
    <w:rsid w:val="004E78A0"/>
    <w:rsid w:val="004E78CB"/>
    <w:rsid w:val="004E7A81"/>
    <w:rsid w:val="004E7AC8"/>
    <w:rsid w:val="004E7B3F"/>
    <w:rsid w:val="004E7B86"/>
    <w:rsid w:val="004E7DED"/>
    <w:rsid w:val="004E7EF0"/>
    <w:rsid w:val="004E7F32"/>
    <w:rsid w:val="004F018C"/>
    <w:rsid w:val="004F024A"/>
    <w:rsid w:val="004F03AC"/>
    <w:rsid w:val="004F0459"/>
    <w:rsid w:val="004F0599"/>
    <w:rsid w:val="004F067A"/>
    <w:rsid w:val="004F074D"/>
    <w:rsid w:val="004F07FF"/>
    <w:rsid w:val="004F099E"/>
    <w:rsid w:val="004F0BB3"/>
    <w:rsid w:val="004F0C3F"/>
    <w:rsid w:val="004F0C63"/>
    <w:rsid w:val="004F0DC8"/>
    <w:rsid w:val="004F0FFF"/>
    <w:rsid w:val="004F111D"/>
    <w:rsid w:val="004F1449"/>
    <w:rsid w:val="004F15C5"/>
    <w:rsid w:val="004F1613"/>
    <w:rsid w:val="004F1A5E"/>
    <w:rsid w:val="004F1A79"/>
    <w:rsid w:val="004F1B91"/>
    <w:rsid w:val="004F1BAA"/>
    <w:rsid w:val="004F1C29"/>
    <w:rsid w:val="004F1C43"/>
    <w:rsid w:val="004F1F8F"/>
    <w:rsid w:val="004F2100"/>
    <w:rsid w:val="004F2134"/>
    <w:rsid w:val="004F24B5"/>
    <w:rsid w:val="004F2650"/>
    <w:rsid w:val="004F265F"/>
    <w:rsid w:val="004F28C7"/>
    <w:rsid w:val="004F29B4"/>
    <w:rsid w:val="004F2C45"/>
    <w:rsid w:val="004F2C95"/>
    <w:rsid w:val="004F31EA"/>
    <w:rsid w:val="004F3387"/>
    <w:rsid w:val="004F34FD"/>
    <w:rsid w:val="004F3758"/>
    <w:rsid w:val="004F37F7"/>
    <w:rsid w:val="004F38A8"/>
    <w:rsid w:val="004F3911"/>
    <w:rsid w:val="004F39C3"/>
    <w:rsid w:val="004F3AD4"/>
    <w:rsid w:val="004F3B03"/>
    <w:rsid w:val="004F3BB9"/>
    <w:rsid w:val="004F3BE8"/>
    <w:rsid w:val="004F3C05"/>
    <w:rsid w:val="004F3CA2"/>
    <w:rsid w:val="004F3CBF"/>
    <w:rsid w:val="004F3D69"/>
    <w:rsid w:val="004F3D96"/>
    <w:rsid w:val="004F3DBA"/>
    <w:rsid w:val="004F3F33"/>
    <w:rsid w:val="004F3F73"/>
    <w:rsid w:val="004F41D1"/>
    <w:rsid w:val="004F427F"/>
    <w:rsid w:val="004F429C"/>
    <w:rsid w:val="004F45BB"/>
    <w:rsid w:val="004F4667"/>
    <w:rsid w:val="004F4668"/>
    <w:rsid w:val="004F480A"/>
    <w:rsid w:val="004F491D"/>
    <w:rsid w:val="004F496E"/>
    <w:rsid w:val="004F4A80"/>
    <w:rsid w:val="004F4B7F"/>
    <w:rsid w:val="004F4B99"/>
    <w:rsid w:val="004F4D6B"/>
    <w:rsid w:val="004F4D9D"/>
    <w:rsid w:val="004F4EAF"/>
    <w:rsid w:val="004F4F62"/>
    <w:rsid w:val="004F4FE7"/>
    <w:rsid w:val="004F5003"/>
    <w:rsid w:val="004F50AB"/>
    <w:rsid w:val="004F5301"/>
    <w:rsid w:val="004F5361"/>
    <w:rsid w:val="004F536B"/>
    <w:rsid w:val="004F55AF"/>
    <w:rsid w:val="004F5918"/>
    <w:rsid w:val="004F5A0F"/>
    <w:rsid w:val="004F5A82"/>
    <w:rsid w:val="004F5B13"/>
    <w:rsid w:val="004F5B80"/>
    <w:rsid w:val="004F5C38"/>
    <w:rsid w:val="004F5DDC"/>
    <w:rsid w:val="004F5DF8"/>
    <w:rsid w:val="004F60EF"/>
    <w:rsid w:val="004F6178"/>
    <w:rsid w:val="004F6382"/>
    <w:rsid w:val="004F6525"/>
    <w:rsid w:val="004F65FB"/>
    <w:rsid w:val="004F66D9"/>
    <w:rsid w:val="004F66EA"/>
    <w:rsid w:val="004F6794"/>
    <w:rsid w:val="004F67A6"/>
    <w:rsid w:val="004F6A0A"/>
    <w:rsid w:val="004F6C13"/>
    <w:rsid w:val="004F6CE1"/>
    <w:rsid w:val="004F6EE8"/>
    <w:rsid w:val="004F6F10"/>
    <w:rsid w:val="004F712A"/>
    <w:rsid w:val="004F7500"/>
    <w:rsid w:val="004F756A"/>
    <w:rsid w:val="004F77C7"/>
    <w:rsid w:val="004F77FE"/>
    <w:rsid w:val="004F7800"/>
    <w:rsid w:val="004F7932"/>
    <w:rsid w:val="004F7960"/>
    <w:rsid w:val="004F7AFB"/>
    <w:rsid w:val="004F7BEF"/>
    <w:rsid w:val="004F7F76"/>
    <w:rsid w:val="004F7FA0"/>
    <w:rsid w:val="00500034"/>
    <w:rsid w:val="0050015B"/>
    <w:rsid w:val="00500196"/>
    <w:rsid w:val="005001E3"/>
    <w:rsid w:val="0050020D"/>
    <w:rsid w:val="0050021B"/>
    <w:rsid w:val="00500331"/>
    <w:rsid w:val="0050034C"/>
    <w:rsid w:val="0050059C"/>
    <w:rsid w:val="005005E5"/>
    <w:rsid w:val="00500624"/>
    <w:rsid w:val="00500796"/>
    <w:rsid w:val="005009FC"/>
    <w:rsid w:val="00500B34"/>
    <w:rsid w:val="00500B35"/>
    <w:rsid w:val="00500BF8"/>
    <w:rsid w:val="00500E6B"/>
    <w:rsid w:val="00500F01"/>
    <w:rsid w:val="00500FC3"/>
    <w:rsid w:val="00501023"/>
    <w:rsid w:val="00501036"/>
    <w:rsid w:val="0050108A"/>
    <w:rsid w:val="00501255"/>
    <w:rsid w:val="00501292"/>
    <w:rsid w:val="0050129B"/>
    <w:rsid w:val="00501429"/>
    <w:rsid w:val="00501509"/>
    <w:rsid w:val="0050156D"/>
    <w:rsid w:val="005015F6"/>
    <w:rsid w:val="00501816"/>
    <w:rsid w:val="00501851"/>
    <w:rsid w:val="005018A2"/>
    <w:rsid w:val="00501929"/>
    <w:rsid w:val="00501AB0"/>
    <w:rsid w:val="00501AE7"/>
    <w:rsid w:val="00501B62"/>
    <w:rsid w:val="00501D10"/>
    <w:rsid w:val="00501D16"/>
    <w:rsid w:val="00501F39"/>
    <w:rsid w:val="00501FD8"/>
    <w:rsid w:val="00502048"/>
    <w:rsid w:val="00502067"/>
    <w:rsid w:val="00502264"/>
    <w:rsid w:val="005022AC"/>
    <w:rsid w:val="00502342"/>
    <w:rsid w:val="005023E4"/>
    <w:rsid w:val="00502406"/>
    <w:rsid w:val="00502416"/>
    <w:rsid w:val="0050248E"/>
    <w:rsid w:val="005024C9"/>
    <w:rsid w:val="00502792"/>
    <w:rsid w:val="00502862"/>
    <w:rsid w:val="00502866"/>
    <w:rsid w:val="00502915"/>
    <w:rsid w:val="005029E2"/>
    <w:rsid w:val="00502BF1"/>
    <w:rsid w:val="00502C35"/>
    <w:rsid w:val="00502D2C"/>
    <w:rsid w:val="00502E34"/>
    <w:rsid w:val="00502E7F"/>
    <w:rsid w:val="00502F79"/>
    <w:rsid w:val="005032D0"/>
    <w:rsid w:val="005033EC"/>
    <w:rsid w:val="005034DE"/>
    <w:rsid w:val="0050360C"/>
    <w:rsid w:val="0050364A"/>
    <w:rsid w:val="0050366D"/>
    <w:rsid w:val="0050375C"/>
    <w:rsid w:val="005038C8"/>
    <w:rsid w:val="0050393B"/>
    <w:rsid w:val="00503982"/>
    <w:rsid w:val="00503D83"/>
    <w:rsid w:val="00503E39"/>
    <w:rsid w:val="00503E82"/>
    <w:rsid w:val="00504210"/>
    <w:rsid w:val="00504269"/>
    <w:rsid w:val="005042D9"/>
    <w:rsid w:val="005042DB"/>
    <w:rsid w:val="005042E5"/>
    <w:rsid w:val="00504491"/>
    <w:rsid w:val="005044CC"/>
    <w:rsid w:val="005045BD"/>
    <w:rsid w:val="005046D5"/>
    <w:rsid w:val="005046D7"/>
    <w:rsid w:val="00504732"/>
    <w:rsid w:val="00504759"/>
    <w:rsid w:val="005048A4"/>
    <w:rsid w:val="00504902"/>
    <w:rsid w:val="00504A16"/>
    <w:rsid w:val="00504A7F"/>
    <w:rsid w:val="00504B45"/>
    <w:rsid w:val="00504BA2"/>
    <w:rsid w:val="00504C5C"/>
    <w:rsid w:val="00504C69"/>
    <w:rsid w:val="00504D1C"/>
    <w:rsid w:val="00504D27"/>
    <w:rsid w:val="00504DA1"/>
    <w:rsid w:val="00504EAA"/>
    <w:rsid w:val="0050501D"/>
    <w:rsid w:val="005050FF"/>
    <w:rsid w:val="005053D8"/>
    <w:rsid w:val="005053DC"/>
    <w:rsid w:val="0050545A"/>
    <w:rsid w:val="00505505"/>
    <w:rsid w:val="0050555A"/>
    <w:rsid w:val="005056BF"/>
    <w:rsid w:val="0050577E"/>
    <w:rsid w:val="00505847"/>
    <w:rsid w:val="00505AB2"/>
    <w:rsid w:val="00505BF0"/>
    <w:rsid w:val="00505C83"/>
    <w:rsid w:val="00505FD9"/>
    <w:rsid w:val="0050600E"/>
    <w:rsid w:val="005061A9"/>
    <w:rsid w:val="005064CA"/>
    <w:rsid w:val="005066F0"/>
    <w:rsid w:val="00506A95"/>
    <w:rsid w:val="00506D25"/>
    <w:rsid w:val="00506D72"/>
    <w:rsid w:val="00506DB6"/>
    <w:rsid w:val="00506F08"/>
    <w:rsid w:val="0050703F"/>
    <w:rsid w:val="0050706A"/>
    <w:rsid w:val="005070E6"/>
    <w:rsid w:val="0050715E"/>
    <w:rsid w:val="005072E9"/>
    <w:rsid w:val="0050731D"/>
    <w:rsid w:val="0050733F"/>
    <w:rsid w:val="00507476"/>
    <w:rsid w:val="005074E0"/>
    <w:rsid w:val="00507576"/>
    <w:rsid w:val="005079ED"/>
    <w:rsid w:val="00507A2A"/>
    <w:rsid w:val="00507A2C"/>
    <w:rsid w:val="00507B37"/>
    <w:rsid w:val="00507CB8"/>
    <w:rsid w:val="00507D5E"/>
    <w:rsid w:val="00507D88"/>
    <w:rsid w:val="0051000C"/>
    <w:rsid w:val="005100C2"/>
    <w:rsid w:val="0051024B"/>
    <w:rsid w:val="005102EC"/>
    <w:rsid w:val="00510327"/>
    <w:rsid w:val="005103D5"/>
    <w:rsid w:val="005105B8"/>
    <w:rsid w:val="0051062A"/>
    <w:rsid w:val="00510662"/>
    <w:rsid w:val="005106B7"/>
    <w:rsid w:val="0051076C"/>
    <w:rsid w:val="005107ED"/>
    <w:rsid w:val="0051093B"/>
    <w:rsid w:val="00510CFA"/>
    <w:rsid w:val="00510D01"/>
    <w:rsid w:val="00510F5A"/>
    <w:rsid w:val="005110E2"/>
    <w:rsid w:val="005111A7"/>
    <w:rsid w:val="005112FB"/>
    <w:rsid w:val="0051132F"/>
    <w:rsid w:val="00511367"/>
    <w:rsid w:val="00511387"/>
    <w:rsid w:val="005113E9"/>
    <w:rsid w:val="00511560"/>
    <w:rsid w:val="0051164F"/>
    <w:rsid w:val="005116A9"/>
    <w:rsid w:val="00511802"/>
    <w:rsid w:val="005119D0"/>
    <w:rsid w:val="00511A49"/>
    <w:rsid w:val="00511A5B"/>
    <w:rsid w:val="00511ABF"/>
    <w:rsid w:val="00511ADC"/>
    <w:rsid w:val="00511C16"/>
    <w:rsid w:val="00511C57"/>
    <w:rsid w:val="00511D74"/>
    <w:rsid w:val="00511E52"/>
    <w:rsid w:val="00511F12"/>
    <w:rsid w:val="00511F87"/>
    <w:rsid w:val="00511FFD"/>
    <w:rsid w:val="00512016"/>
    <w:rsid w:val="00512049"/>
    <w:rsid w:val="00512068"/>
    <w:rsid w:val="005120AC"/>
    <w:rsid w:val="005122F7"/>
    <w:rsid w:val="0051235F"/>
    <w:rsid w:val="00512457"/>
    <w:rsid w:val="005124EF"/>
    <w:rsid w:val="00512774"/>
    <w:rsid w:val="005127F8"/>
    <w:rsid w:val="00512847"/>
    <w:rsid w:val="00512908"/>
    <w:rsid w:val="00512A92"/>
    <w:rsid w:val="00512BEE"/>
    <w:rsid w:val="00512E38"/>
    <w:rsid w:val="00512FF7"/>
    <w:rsid w:val="00513280"/>
    <w:rsid w:val="00513314"/>
    <w:rsid w:val="005134B3"/>
    <w:rsid w:val="00513603"/>
    <w:rsid w:val="0051371D"/>
    <w:rsid w:val="005139F1"/>
    <w:rsid w:val="00513AD0"/>
    <w:rsid w:val="00513AD3"/>
    <w:rsid w:val="00513B5D"/>
    <w:rsid w:val="00513BCF"/>
    <w:rsid w:val="00513BE8"/>
    <w:rsid w:val="00513D2F"/>
    <w:rsid w:val="00513D33"/>
    <w:rsid w:val="00513E24"/>
    <w:rsid w:val="005140B8"/>
    <w:rsid w:val="005142CF"/>
    <w:rsid w:val="005142D4"/>
    <w:rsid w:val="005142E6"/>
    <w:rsid w:val="00514A9B"/>
    <w:rsid w:val="00514BDA"/>
    <w:rsid w:val="00514BDC"/>
    <w:rsid w:val="00514C24"/>
    <w:rsid w:val="00514D92"/>
    <w:rsid w:val="00514D9A"/>
    <w:rsid w:val="00514F40"/>
    <w:rsid w:val="00514F7E"/>
    <w:rsid w:val="005152CF"/>
    <w:rsid w:val="00515357"/>
    <w:rsid w:val="005153F9"/>
    <w:rsid w:val="00515451"/>
    <w:rsid w:val="005155F3"/>
    <w:rsid w:val="00515613"/>
    <w:rsid w:val="005156C5"/>
    <w:rsid w:val="005157BE"/>
    <w:rsid w:val="005159E7"/>
    <w:rsid w:val="00515B7B"/>
    <w:rsid w:val="00515C91"/>
    <w:rsid w:val="00515D16"/>
    <w:rsid w:val="00515D6F"/>
    <w:rsid w:val="00515D8C"/>
    <w:rsid w:val="00515E60"/>
    <w:rsid w:val="00515F04"/>
    <w:rsid w:val="0051622E"/>
    <w:rsid w:val="0051677D"/>
    <w:rsid w:val="00516820"/>
    <w:rsid w:val="00516A88"/>
    <w:rsid w:val="00516C83"/>
    <w:rsid w:val="00516CCC"/>
    <w:rsid w:val="00516E4F"/>
    <w:rsid w:val="00516FE4"/>
    <w:rsid w:val="0051723F"/>
    <w:rsid w:val="00517256"/>
    <w:rsid w:val="00517385"/>
    <w:rsid w:val="00517405"/>
    <w:rsid w:val="00517470"/>
    <w:rsid w:val="0051752E"/>
    <w:rsid w:val="00517923"/>
    <w:rsid w:val="00517934"/>
    <w:rsid w:val="00517C4F"/>
    <w:rsid w:val="00517DA0"/>
    <w:rsid w:val="00517E96"/>
    <w:rsid w:val="00517F0C"/>
    <w:rsid w:val="00520025"/>
    <w:rsid w:val="005200F5"/>
    <w:rsid w:val="00520193"/>
    <w:rsid w:val="005201B9"/>
    <w:rsid w:val="00520407"/>
    <w:rsid w:val="00520418"/>
    <w:rsid w:val="0052052F"/>
    <w:rsid w:val="005205A0"/>
    <w:rsid w:val="005205B2"/>
    <w:rsid w:val="00520616"/>
    <w:rsid w:val="005207D0"/>
    <w:rsid w:val="005207FA"/>
    <w:rsid w:val="00520885"/>
    <w:rsid w:val="005208B0"/>
    <w:rsid w:val="00520A7F"/>
    <w:rsid w:val="00520AB0"/>
    <w:rsid w:val="00520D8B"/>
    <w:rsid w:val="00520F30"/>
    <w:rsid w:val="00520FD5"/>
    <w:rsid w:val="0052101A"/>
    <w:rsid w:val="00521199"/>
    <w:rsid w:val="005211EF"/>
    <w:rsid w:val="005213CE"/>
    <w:rsid w:val="005214B4"/>
    <w:rsid w:val="005215E8"/>
    <w:rsid w:val="005216CB"/>
    <w:rsid w:val="00521866"/>
    <w:rsid w:val="005219C5"/>
    <w:rsid w:val="005219F2"/>
    <w:rsid w:val="00521C07"/>
    <w:rsid w:val="00521F2E"/>
    <w:rsid w:val="00522042"/>
    <w:rsid w:val="0052208D"/>
    <w:rsid w:val="00522119"/>
    <w:rsid w:val="0052223B"/>
    <w:rsid w:val="00522653"/>
    <w:rsid w:val="005227A7"/>
    <w:rsid w:val="0052280D"/>
    <w:rsid w:val="00522AC0"/>
    <w:rsid w:val="00522B6A"/>
    <w:rsid w:val="00522C48"/>
    <w:rsid w:val="00522D59"/>
    <w:rsid w:val="00522E64"/>
    <w:rsid w:val="00522E6A"/>
    <w:rsid w:val="00522E95"/>
    <w:rsid w:val="00522FF6"/>
    <w:rsid w:val="00523138"/>
    <w:rsid w:val="00523154"/>
    <w:rsid w:val="0052334A"/>
    <w:rsid w:val="005234E4"/>
    <w:rsid w:val="00523764"/>
    <w:rsid w:val="00523986"/>
    <w:rsid w:val="005239A1"/>
    <w:rsid w:val="00523AC0"/>
    <w:rsid w:val="00523B14"/>
    <w:rsid w:val="00523B95"/>
    <w:rsid w:val="00523C6E"/>
    <w:rsid w:val="00523D5D"/>
    <w:rsid w:val="00523E90"/>
    <w:rsid w:val="00523F92"/>
    <w:rsid w:val="00524145"/>
    <w:rsid w:val="005241C7"/>
    <w:rsid w:val="0052431C"/>
    <w:rsid w:val="0052431D"/>
    <w:rsid w:val="0052457D"/>
    <w:rsid w:val="005245C5"/>
    <w:rsid w:val="005246F0"/>
    <w:rsid w:val="00524823"/>
    <w:rsid w:val="0052492E"/>
    <w:rsid w:val="00524C71"/>
    <w:rsid w:val="00524E43"/>
    <w:rsid w:val="00524E4D"/>
    <w:rsid w:val="00524E56"/>
    <w:rsid w:val="00524F1B"/>
    <w:rsid w:val="00524FD2"/>
    <w:rsid w:val="00525130"/>
    <w:rsid w:val="00525304"/>
    <w:rsid w:val="0052538E"/>
    <w:rsid w:val="00525561"/>
    <w:rsid w:val="00525750"/>
    <w:rsid w:val="00525759"/>
    <w:rsid w:val="005257EF"/>
    <w:rsid w:val="00525867"/>
    <w:rsid w:val="005258BC"/>
    <w:rsid w:val="005259CD"/>
    <w:rsid w:val="00525B41"/>
    <w:rsid w:val="00525BEF"/>
    <w:rsid w:val="00525D96"/>
    <w:rsid w:val="00525E74"/>
    <w:rsid w:val="00525EAA"/>
    <w:rsid w:val="005262B9"/>
    <w:rsid w:val="005262BC"/>
    <w:rsid w:val="005262C6"/>
    <w:rsid w:val="00526422"/>
    <w:rsid w:val="00526635"/>
    <w:rsid w:val="0052665A"/>
    <w:rsid w:val="00526670"/>
    <w:rsid w:val="00526765"/>
    <w:rsid w:val="00526A4E"/>
    <w:rsid w:val="00526A83"/>
    <w:rsid w:val="00526A8C"/>
    <w:rsid w:val="00526AF1"/>
    <w:rsid w:val="00526B20"/>
    <w:rsid w:val="00526CB8"/>
    <w:rsid w:val="00526DA7"/>
    <w:rsid w:val="00526DD5"/>
    <w:rsid w:val="00526E07"/>
    <w:rsid w:val="00526F66"/>
    <w:rsid w:val="00527004"/>
    <w:rsid w:val="00527153"/>
    <w:rsid w:val="005271CE"/>
    <w:rsid w:val="00527372"/>
    <w:rsid w:val="00527374"/>
    <w:rsid w:val="005273C1"/>
    <w:rsid w:val="00527881"/>
    <w:rsid w:val="00527925"/>
    <w:rsid w:val="00527AB1"/>
    <w:rsid w:val="00527DB0"/>
    <w:rsid w:val="00527E96"/>
    <w:rsid w:val="00527EDC"/>
    <w:rsid w:val="00530166"/>
    <w:rsid w:val="00530177"/>
    <w:rsid w:val="00530266"/>
    <w:rsid w:val="00530272"/>
    <w:rsid w:val="00530323"/>
    <w:rsid w:val="00530328"/>
    <w:rsid w:val="00530394"/>
    <w:rsid w:val="005304C3"/>
    <w:rsid w:val="005305D7"/>
    <w:rsid w:val="00530701"/>
    <w:rsid w:val="00530833"/>
    <w:rsid w:val="00530C87"/>
    <w:rsid w:val="00530D99"/>
    <w:rsid w:val="00530D9F"/>
    <w:rsid w:val="00530E1F"/>
    <w:rsid w:val="00530E4F"/>
    <w:rsid w:val="00530FA2"/>
    <w:rsid w:val="00531038"/>
    <w:rsid w:val="0053106F"/>
    <w:rsid w:val="00531222"/>
    <w:rsid w:val="00531322"/>
    <w:rsid w:val="0053138A"/>
    <w:rsid w:val="005313A0"/>
    <w:rsid w:val="00531447"/>
    <w:rsid w:val="005314F0"/>
    <w:rsid w:val="0053151E"/>
    <w:rsid w:val="00531537"/>
    <w:rsid w:val="00531583"/>
    <w:rsid w:val="00531612"/>
    <w:rsid w:val="00531959"/>
    <w:rsid w:val="00531AFF"/>
    <w:rsid w:val="00531B39"/>
    <w:rsid w:val="00531C4B"/>
    <w:rsid w:val="00531D06"/>
    <w:rsid w:val="00531FFE"/>
    <w:rsid w:val="00532071"/>
    <w:rsid w:val="00532195"/>
    <w:rsid w:val="00532286"/>
    <w:rsid w:val="005322CB"/>
    <w:rsid w:val="00532419"/>
    <w:rsid w:val="0053243D"/>
    <w:rsid w:val="0053253A"/>
    <w:rsid w:val="005325E7"/>
    <w:rsid w:val="00532654"/>
    <w:rsid w:val="00532729"/>
    <w:rsid w:val="00532737"/>
    <w:rsid w:val="005327DD"/>
    <w:rsid w:val="00532B3C"/>
    <w:rsid w:val="00532DBE"/>
    <w:rsid w:val="00532DEB"/>
    <w:rsid w:val="00532E6C"/>
    <w:rsid w:val="00532EE2"/>
    <w:rsid w:val="00532EE7"/>
    <w:rsid w:val="00532F6E"/>
    <w:rsid w:val="00533020"/>
    <w:rsid w:val="005331E1"/>
    <w:rsid w:val="005333C1"/>
    <w:rsid w:val="00533503"/>
    <w:rsid w:val="00533784"/>
    <w:rsid w:val="00533856"/>
    <w:rsid w:val="00533897"/>
    <w:rsid w:val="0053389B"/>
    <w:rsid w:val="00533A58"/>
    <w:rsid w:val="00533A65"/>
    <w:rsid w:val="00533E51"/>
    <w:rsid w:val="00533EB6"/>
    <w:rsid w:val="00533FCA"/>
    <w:rsid w:val="00533FF2"/>
    <w:rsid w:val="005342F3"/>
    <w:rsid w:val="0053437D"/>
    <w:rsid w:val="00534490"/>
    <w:rsid w:val="005345AF"/>
    <w:rsid w:val="00534AEA"/>
    <w:rsid w:val="00534B07"/>
    <w:rsid w:val="00534BC1"/>
    <w:rsid w:val="00534C4F"/>
    <w:rsid w:val="00535024"/>
    <w:rsid w:val="00535328"/>
    <w:rsid w:val="00535471"/>
    <w:rsid w:val="005354E3"/>
    <w:rsid w:val="00535544"/>
    <w:rsid w:val="005355DC"/>
    <w:rsid w:val="0053575D"/>
    <w:rsid w:val="0053597C"/>
    <w:rsid w:val="005359F5"/>
    <w:rsid w:val="00535B25"/>
    <w:rsid w:val="00535CD6"/>
    <w:rsid w:val="00535E1C"/>
    <w:rsid w:val="00535E75"/>
    <w:rsid w:val="00535F34"/>
    <w:rsid w:val="0053612E"/>
    <w:rsid w:val="0053630F"/>
    <w:rsid w:val="005363AA"/>
    <w:rsid w:val="0053655B"/>
    <w:rsid w:val="0053655F"/>
    <w:rsid w:val="005366D9"/>
    <w:rsid w:val="0053670D"/>
    <w:rsid w:val="0053675D"/>
    <w:rsid w:val="0053694A"/>
    <w:rsid w:val="00536A3E"/>
    <w:rsid w:val="00536C7F"/>
    <w:rsid w:val="00536FC0"/>
    <w:rsid w:val="00536FD9"/>
    <w:rsid w:val="005371D1"/>
    <w:rsid w:val="005372BD"/>
    <w:rsid w:val="005373CB"/>
    <w:rsid w:val="00537560"/>
    <w:rsid w:val="0053762F"/>
    <w:rsid w:val="005376C2"/>
    <w:rsid w:val="005377C4"/>
    <w:rsid w:val="00537890"/>
    <w:rsid w:val="00537968"/>
    <w:rsid w:val="00537999"/>
    <w:rsid w:val="00537B1A"/>
    <w:rsid w:val="00537CC3"/>
    <w:rsid w:val="00537D32"/>
    <w:rsid w:val="00537DEA"/>
    <w:rsid w:val="00537FE0"/>
    <w:rsid w:val="00540063"/>
    <w:rsid w:val="00540099"/>
    <w:rsid w:val="005400E1"/>
    <w:rsid w:val="0054011B"/>
    <w:rsid w:val="005402E4"/>
    <w:rsid w:val="00540370"/>
    <w:rsid w:val="005403E9"/>
    <w:rsid w:val="0054043F"/>
    <w:rsid w:val="005404CE"/>
    <w:rsid w:val="005405D2"/>
    <w:rsid w:val="0054060D"/>
    <w:rsid w:val="005406C9"/>
    <w:rsid w:val="00540754"/>
    <w:rsid w:val="005407A3"/>
    <w:rsid w:val="005407A5"/>
    <w:rsid w:val="005409D9"/>
    <w:rsid w:val="00540A31"/>
    <w:rsid w:val="00540BFA"/>
    <w:rsid w:val="00540BFD"/>
    <w:rsid w:val="00540D93"/>
    <w:rsid w:val="00540E11"/>
    <w:rsid w:val="00540E4D"/>
    <w:rsid w:val="00541048"/>
    <w:rsid w:val="00541106"/>
    <w:rsid w:val="00541158"/>
    <w:rsid w:val="0054165B"/>
    <w:rsid w:val="00541724"/>
    <w:rsid w:val="0054177A"/>
    <w:rsid w:val="0054193F"/>
    <w:rsid w:val="00541A18"/>
    <w:rsid w:val="00541AAA"/>
    <w:rsid w:val="00541C97"/>
    <w:rsid w:val="00541D4E"/>
    <w:rsid w:val="00541EC6"/>
    <w:rsid w:val="00541F31"/>
    <w:rsid w:val="00542053"/>
    <w:rsid w:val="00542209"/>
    <w:rsid w:val="00542570"/>
    <w:rsid w:val="0054259B"/>
    <w:rsid w:val="0054265B"/>
    <w:rsid w:val="0054265E"/>
    <w:rsid w:val="00542676"/>
    <w:rsid w:val="00542733"/>
    <w:rsid w:val="00542918"/>
    <w:rsid w:val="00542B80"/>
    <w:rsid w:val="00542D42"/>
    <w:rsid w:val="00542E9F"/>
    <w:rsid w:val="00542F27"/>
    <w:rsid w:val="00542FC9"/>
    <w:rsid w:val="005430F7"/>
    <w:rsid w:val="0054311C"/>
    <w:rsid w:val="00543197"/>
    <w:rsid w:val="005431A2"/>
    <w:rsid w:val="00543285"/>
    <w:rsid w:val="005432C2"/>
    <w:rsid w:val="005434E7"/>
    <w:rsid w:val="0054357F"/>
    <w:rsid w:val="005435E5"/>
    <w:rsid w:val="00543A41"/>
    <w:rsid w:val="00543B45"/>
    <w:rsid w:val="00543B49"/>
    <w:rsid w:val="00543C24"/>
    <w:rsid w:val="00543CD1"/>
    <w:rsid w:val="00543E7D"/>
    <w:rsid w:val="00543FD8"/>
    <w:rsid w:val="005441FE"/>
    <w:rsid w:val="00544223"/>
    <w:rsid w:val="005442F4"/>
    <w:rsid w:val="00544626"/>
    <w:rsid w:val="005447EC"/>
    <w:rsid w:val="005447ED"/>
    <w:rsid w:val="00544902"/>
    <w:rsid w:val="00544916"/>
    <w:rsid w:val="00544BF0"/>
    <w:rsid w:val="00544EE3"/>
    <w:rsid w:val="00544F6F"/>
    <w:rsid w:val="0054507A"/>
    <w:rsid w:val="00545186"/>
    <w:rsid w:val="0054541C"/>
    <w:rsid w:val="00545448"/>
    <w:rsid w:val="005454FE"/>
    <w:rsid w:val="00545566"/>
    <w:rsid w:val="00545642"/>
    <w:rsid w:val="00545972"/>
    <w:rsid w:val="005459F7"/>
    <w:rsid w:val="00545A6A"/>
    <w:rsid w:val="00545B91"/>
    <w:rsid w:val="00545BB1"/>
    <w:rsid w:val="00545C68"/>
    <w:rsid w:val="00545D26"/>
    <w:rsid w:val="00545D2F"/>
    <w:rsid w:val="00545DEF"/>
    <w:rsid w:val="00545ED3"/>
    <w:rsid w:val="00545EDF"/>
    <w:rsid w:val="00545FE4"/>
    <w:rsid w:val="00546267"/>
    <w:rsid w:val="00546344"/>
    <w:rsid w:val="005463B2"/>
    <w:rsid w:val="005464CC"/>
    <w:rsid w:val="00546563"/>
    <w:rsid w:val="005466A0"/>
    <w:rsid w:val="005466D9"/>
    <w:rsid w:val="00546930"/>
    <w:rsid w:val="00546C21"/>
    <w:rsid w:val="00546D31"/>
    <w:rsid w:val="00546F3D"/>
    <w:rsid w:val="00547087"/>
    <w:rsid w:val="005470B1"/>
    <w:rsid w:val="005470C4"/>
    <w:rsid w:val="005471A7"/>
    <w:rsid w:val="005471C0"/>
    <w:rsid w:val="005472A0"/>
    <w:rsid w:val="0054749D"/>
    <w:rsid w:val="005475A0"/>
    <w:rsid w:val="005475BB"/>
    <w:rsid w:val="0054774C"/>
    <w:rsid w:val="00547865"/>
    <w:rsid w:val="00547BF8"/>
    <w:rsid w:val="00547CD1"/>
    <w:rsid w:val="00547FC0"/>
    <w:rsid w:val="00550330"/>
    <w:rsid w:val="00550423"/>
    <w:rsid w:val="005504D9"/>
    <w:rsid w:val="005505E2"/>
    <w:rsid w:val="00550841"/>
    <w:rsid w:val="005508A9"/>
    <w:rsid w:val="00550933"/>
    <w:rsid w:val="005509B1"/>
    <w:rsid w:val="00550A36"/>
    <w:rsid w:val="00550CFB"/>
    <w:rsid w:val="00550E5A"/>
    <w:rsid w:val="005510CA"/>
    <w:rsid w:val="005511DF"/>
    <w:rsid w:val="0055137E"/>
    <w:rsid w:val="005514AD"/>
    <w:rsid w:val="00551679"/>
    <w:rsid w:val="005516AC"/>
    <w:rsid w:val="005517A6"/>
    <w:rsid w:val="005518F6"/>
    <w:rsid w:val="0055190B"/>
    <w:rsid w:val="00551CC2"/>
    <w:rsid w:val="00551E8E"/>
    <w:rsid w:val="00551F3B"/>
    <w:rsid w:val="005520D0"/>
    <w:rsid w:val="005521D1"/>
    <w:rsid w:val="0055222B"/>
    <w:rsid w:val="00552404"/>
    <w:rsid w:val="0055248A"/>
    <w:rsid w:val="005525E1"/>
    <w:rsid w:val="00552612"/>
    <w:rsid w:val="005526A8"/>
    <w:rsid w:val="005527BD"/>
    <w:rsid w:val="00552A49"/>
    <w:rsid w:val="00552B25"/>
    <w:rsid w:val="00552B31"/>
    <w:rsid w:val="00552BB3"/>
    <w:rsid w:val="00552CC1"/>
    <w:rsid w:val="00552CDD"/>
    <w:rsid w:val="00552CE5"/>
    <w:rsid w:val="00553147"/>
    <w:rsid w:val="005531DE"/>
    <w:rsid w:val="00553387"/>
    <w:rsid w:val="005533CB"/>
    <w:rsid w:val="00553498"/>
    <w:rsid w:val="0055350F"/>
    <w:rsid w:val="00553515"/>
    <w:rsid w:val="00553725"/>
    <w:rsid w:val="0055373F"/>
    <w:rsid w:val="00553ABE"/>
    <w:rsid w:val="005540E7"/>
    <w:rsid w:val="00554133"/>
    <w:rsid w:val="005541DA"/>
    <w:rsid w:val="00554260"/>
    <w:rsid w:val="005542B2"/>
    <w:rsid w:val="0055443A"/>
    <w:rsid w:val="00554579"/>
    <w:rsid w:val="0055463D"/>
    <w:rsid w:val="0055477C"/>
    <w:rsid w:val="00554839"/>
    <w:rsid w:val="005548FB"/>
    <w:rsid w:val="005549DD"/>
    <w:rsid w:val="00554BF8"/>
    <w:rsid w:val="00554C3A"/>
    <w:rsid w:val="00554CE8"/>
    <w:rsid w:val="00554DF4"/>
    <w:rsid w:val="00554FB5"/>
    <w:rsid w:val="005553A0"/>
    <w:rsid w:val="005554A5"/>
    <w:rsid w:val="00555592"/>
    <w:rsid w:val="005555BB"/>
    <w:rsid w:val="00555618"/>
    <w:rsid w:val="00555629"/>
    <w:rsid w:val="005557C4"/>
    <w:rsid w:val="0055582D"/>
    <w:rsid w:val="00555885"/>
    <w:rsid w:val="005558CD"/>
    <w:rsid w:val="00555B75"/>
    <w:rsid w:val="00555CFC"/>
    <w:rsid w:val="00555D77"/>
    <w:rsid w:val="00555E25"/>
    <w:rsid w:val="005560CD"/>
    <w:rsid w:val="005563FE"/>
    <w:rsid w:val="00556446"/>
    <w:rsid w:val="00556537"/>
    <w:rsid w:val="005566AF"/>
    <w:rsid w:val="00556846"/>
    <w:rsid w:val="00556993"/>
    <w:rsid w:val="00556B09"/>
    <w:rsid w:val="00556E6C"/>
    <w:rsid w:val="00556FD4"/>
    <w:rsid w:val="005571B9"/>
    <w:rsid w:val="005571D7"/>
    <w:rsid w:val="00557400"/>
    <w:rsid w:val="00557405"/>
    <w:rsid w:val="00557478"/>
    <w:rsid w:val="00557520"/>
    <w:rsid w:val="005576A0"/>
    <w:rsid w:val="005576F9"/>
    <w:rsid w:val="00557731"/>
    <w:rsid w:val="00557974"/>
    <w:rsid w:val="00557FC9"/>
    <w:rsid w:val="0056029C"/>
    <w:rsid w:val="005604DF"/>
    <w:rsid w:val="00560625"/>
    <w:rsid w:val="005606D5"/>
    <w:rsid w:val="0056079C"/>
    <w:rsid w:val="00560802"/>
    <w:rsid w:val="0056084C"/>
    <w:rsid w:val="0056084E"/>
    <w:rsid w:val="00560936"/>
    <w:rsid w:val="005609BB"/>
    <w:rsid w:val="00560ABC"/>
    <w:rsid w:val="00560CCE"/>
    <w:rsid w:val="00560E0A"/>
    <w:rsid w:val="00560EF3"/>
    <w:rsid w:val="00560F30"/>
    <w:rsid w:val="00560FF0"/>
    <w:rsid w:val="00560FF6"/>
    <w:rsid w:val="005610FB"/>
    <w:rsid w:val="00561127"/>
    <w:rsid w:val="00561147"/>
    <w:rsid w:val="0056117D"/>
    <w:rsid w:val="0056118A"/>
    <w:rsid w:val="00561193"/>
    <w:rsid w:val="0056123A"/>
    <w:rsid w:val="00561268"/>
    <w:rsid w:val="0056140F"/>
    <w:rsid w:val="0056166D"/>
    <w:rsid w:val="00561846"/>
    <w:rsid w:val="005618B9"/>
    <w:rsid w:val="005619AB"/>
    <w:rsid w:val="005619F0"/>
    <w:rsid w:val="00561C2B"/>
    <w:rsid w:val="00561C70"/>
    <w:rsid w:val="00561E51"/>
    <w:rsid w:val="00561F77"/>
    <w:rsid w:val="00561FE8"/>
    <w:rsid w:val="0056206C"/>
    <w:rsid w:val="00562320"/>
    <w:rsid w:val="00562437"/>
    <w:rsid w:val="00562532"/>
    <w:rsid w:val="00562611"/>
    <w:rsid w:val="00562774"/>
    <w:rsid w:val="00562828"/>
    <w:rsid w:val="00562A72"/>
    <w:rsid w:val="00562AB1"/>
    <w:rsid w:val="00562BB4"/>
    <w:rsid w:val="00562CEB"/>
    <w:rsid w:val="00562EB1"/>
    <w:rsid w:val="00562F5F"/>
    <w:rsid w:val="00563000"/>
    <w:rsid w:val="00563086"/>
    <w:rsid w:val="005630EC"/>
    <w:rsid w:val="005631D2"/>
    <w:rsid w:val="005631FA"/>
    <w:rsid w:val="00563243"/>
    <w:rsid w:val="0056335A"/>
    <w:rsid w:val="00563360"/>
    <w:rsid w:val="00563392"/>
    <w:rsid w:val="005634AE"/>
    <w:rsid w:val="00563506"/>
    <w:rsid w:val="00563659"/>
    <w:rsid w:val="0056380A"/>
    <w:rsid w:val="005638D7"/>
    <w:rsid w:val="00563A13"/>
    <w:rsid w:val="00563B54"/>
    <w:rsid w:val="00563DF0"/>
    <w:rsid w:val="00563F3D"/>
    <w:rsid w:val="0056418C"/>
    <w:rsid w:val="005644D0"/>
    <w:rsid w:val="00564506"/>
    <w:rsid w:val="0056463F"/>
    <w:rsid w:val="005646DB"/>
    <w:rsid w:val="00564818"/>
    <w:rsid w:val="0056485E"/>
    <w:rsid w:val="005648F5"/>
    <w:rsid w:val="00564AF8"/>
    <w:rsid w:val="00564C07"/>
    <w:rsid w:val="00564C68"/>
    <w:rsid w:val="00564CAB"/>
    <w:rsid w:val="00564EC9"/>
    <w:rsid w:val="00564F7F"/>
    <w:rsid w:val="0056506D"/>
    <w:rsid w:val="0056513A"/>
    <w:rsid w:val="0056528C"/>
    <w:rsid w:val="005653E0"/>
    <w:rsid w:val="00565492"/>
    <w:rsid w:val="0056549D"/>
    <w:rsid w:val="00565611"/>
    <w:rsid w:val="00565763"/>
    <w:rsid w:val="00565AE0"/>
    <w:rsid w:val="00565BF3"/>
    <w:rsid w:val="00565D0D"/>
    <w:rsid w:val="00565E53"/>
    <w:rsid w:val="00565F44"/>
    <w:rsid w:val="00565F88"/>
    <w:rsid w:val="00565FDA"/>
    <w:rsid w:val="0056602A"/>
    <w:rsid w:val="0056605C"/>
    <w:rsid w:val="00566252"/>
    <w:rsid w:val="005662E6"/>
    <w:rsid w:val="00566350"/>
    <w:rsid w:val="005663A6"/>
    <w:rsid w:val="00566516"/>
    <w:rsid w:val="00566550"/>
    <w:rsid w:val="005665AB"/>
    <w:rsid w:val="005665FB"/>
    <w:rsid w:val="00566874"/>
    <w:rsid w:val="0056689C"/>
    <w:rsid w:val="00566902"/>
    <w:rsid w:val="005669E6"/>
    <w:rsid w:val="00566B0D"/>
    <w:rsid w:val="00566B56"/>
    <w:rsid w:val="00566C45"/>
    <w:rsid w:val="00566D84"/>
    <w:rsid w:val="00566D90"/>
    <w:rsid w:val="00566D9F"/>
    <w:rsid w:val="00566DB7"/>
    <w:rsid w:val="00566E6D"/>
    <w:rsid w:val="0056706E"/>
    <w:rsid w:val="00567234"/>
    <w:rsid w:val="005672AE"/>
    <w:rsid w:val="005672C9"/>
    <w:rsid w:val="005672F2"/>
    <w:rsid w:val="00567536"/>
    <w:rsid w:val="00567697"/>
    <w:rsid w:val="0056775F"/>
    <w:rsid w:val="005678BB"/>
    <w:rsid w:val="005678EC"/>
    <w:rsid w:val="00567916"/>
    <w:rsid w:val="0056791C"/>
    <w:rsid w:val="00567991"/>
    <w:rsid w:val="00567C29"/>
    <w:rsid w:val="00567D57"/>
    <w:rsid w:val="00567F1A"/>
    <w:rsid w:val="00567FFA"/>
    <w:rsid w:val="0057015E"/>
    <w:rsid w:val="005701DC"/>
    <w:rsid w:val="0057031F"/>
    <w:rsid w:val="005703A2"/>
    <w:rsid w:val="00570419"/>
    <w:rsid w:val="005705DF"/>
    <w:rsid w:val="0057069D"/>
    <w:rsid w:val="005706CB"/>
    <w:rsid w:val="005706CD"/>
    <w:rsid w:val="0057082D"/>
    <w:rsid w:val="00570833"/>
    <w:rsid w:val="005709AD"/>
    <w:rsid w:val="00570A5D"/>
    <w:rsid w:val="00570C49"/>
    <w:rsid w:val="00570C69"/>
    <w:rsid w:val="00570D26"/>
    <w:rsid w:val="00570D85"/>
    <w:rsid w:val="00570D87"/>
    <w:rsid w:val="00570E3D"/>
    <w:rsid w:val="005711A6"/>
    <w:rsid w:val="0057123B"/>
    <w:rsid w:val="005712B2"/>
    <w:rsid w:val="005714BD"/>
    <w:rsid w:val="005715A5"/>
    <w:rsid w:val="005717EA"/>
    <w:rsid w:val="00571870"/>
    <w:rsid w:val="0057196B"/>
    <w:rsid w:val="00571993"/>
    <w:rsid w:val="00571A13"/>
    <w:rsid w:val="00571AF3"/>
    <w:rsid w:val="00571B48"/>
    <w:rsid w:val="00571C7C"/>
    <w:rsid w:val="0057200A"/>
    <w:rsid w:val="005720BE"/>
    <w:rsid w:val="005725A2"/>
    <w:rsid w:val="00572637"/>
    <w:rsid w:val="005726AB"/>
    <w:rsid w:val="005728D1"/>
    <w:rsid w:val="00572937"/>
    <w:rsid w:val="005729B7"/>
    <w:rsid w:val="00572A1E"/>
    <w:rsid w:val="00572A94"/>
    <w:rsid w:val="00572BA4"/>
    <w:rsid w:val="00572C6C"/>
    <w:rsid w:val="00572DE7"/>
    <w:rsid w:val="00572E87"/>
    <w:rsid w:val="00573004"/>
    <w:rsid w:val="0057302E"/>
    <w:rsid w:val="00573082"/>
    <w:rsid w:val="00573167"/>
    <w:rsid w:val="0057326D"/>
    <w:rsid w:val="00573633"/>
    <w:rsid w:val="00573651"/>
    <w:rsid w:val="005739FC"/>
    <w:rsid w:val="00573BCA"/>
    <w:rsid w:val="00573BD2"/>
    <w:rsid w:val="00573CA4"/>
    <w:rsid w:val="00573CD6"/>
    <w:rsid w:val="00573E19"/>
    <w:rsid w:val="00573E55"/>
    <w:rsid w:val="00573EF1"/>
    <w:rsid w:val="00573FAF"/>
    <w:rsid w:val="00574021"/>
    <w:rsid w:val="00574242"/>
    <w:rsid w:val="00574245"/>
    <w:rsid w:val="0057426A"/>
    <w:rsid w:val="0057429D"/>
    <w:rsid w:val="005742FD"/>
    <w:rsid w:val="0057430D"/>
    <w:rsid w:val="00574513"/>
    <w:rsid w:val="00574681"/>
    <w:rsid w:val="00574707"/>
    <w:rsid w:val="00574866"/>
    <w:rsid w:val="005749BD"/>
    <w:rsid w:val="00574A6D"/>
    <w:rsid w:val="00574BB4"/>
    <w:rsid w:val="00574D76"/>
    <w:rsid w:val="00574D78"/>
    <w:rsid w:val="00574DDB"/>
    <w:rsid w:val="00574E92"/>
    <w:rsid w:val="00575019"/>
    <w:rsid w:val="005751D6"/>
    <w:rsid w:val="005752C0"/>
    <w:rsid w:val="005753C8"/>
    <w:rsid w:val="00575465"/>
    <w:rsid w:val="0057550F"/>
    <w:rsid w:val="00575742"/>
    <w:rsid w:val="00575750"/>
    <w:rsid w:val="005757F9"/>
    <w:rsid w:val="00575891"/>
    <w:rsid w:val="0057592C"/>
    <w:rsid w:val="00575B10"/>
    <w:rsid w:val="00575B78"/>
    <w:rsid w:val="00575B7A"/>
    <w:rsid w:val="00575BF4"/>
    <w:rsid w:val="00575CB5"/>
    <w:rsid w:val="00575CBC"/>
    <w:rsid w:val="00575D6A"/>
    <w:rsid w:val="00575DAE"/>
    <w:rsid w:val="00575EDA"/>
    <w:rsid w:val="00575F4B"/>
    <w:rsid w:val="00575FA9"/>
    <w:rsid w:val="005760CB"/>
    <w:rsid w:val="00576143"/>
    <w:rsid w:val="00576227"/>
    <w:rsid w:val="00576386"/>
    <w:rsid w:val="005764D4"/>
    <w:rsid w:val="005766F5"/>
    <w:rsid w:val="00576724"/>
    <w:rsid w:val="00576772"/>
    <w:rsid w:val="0057688C"/>
    <w:rsid w:val="00576988"/>
    <w:rsid w:val="00576AF0"/>
    <w:rsid w:val="00576C66"/>
    <w:rsid w:val="00576CCE"/>
    <w:rsid w:val="00576DBF"/>
    <w:rsid w:val="00576F9A"/>
    <w:rsid w:val="00577089"/>
    <w:rsid w:val="005771FB"/>
    <w:rsid w:val="00577210"/>
    <w:rsid w:val="005772F0"/>
    <w:rsid w:val="0057739B"/>
    <w:rsid w:val="005775B9"/>
    <w:rsid w:val="005775F2"/>
    <w:rsid w:val="0057763E"/>
    <w:rsid w:val="00577733"/>
    <w:rsid w:val="005777E9"/>
    <w:rsid w:val="00577887"/>
    <w:rsid w:val="00577917"/>
    <w:rsid w:val="00577BA8"/>
    <w:rsid w:val="00577D38"/>
    <w:rsid w:val="00577DA5"/>
    <w:rsid w:val="00577EAE"/>
    <w:rsid w:val="00577F41"/>
    <w:rsid w:val="00580079"/>
    <w:rsid w:val="005800AC"/>
    <w:rsid w:val="005800B4"/>
    <w:rsid w:val="0058023B"/>
    <w:rsid w:val="0058038E"/>
    <w:rsid w:val="005803C0"/>
    <w:rsid w:val="00580465"/>
    <w:rsid w:val="00580577"/>
    <w:rsid w:val="0058057B"/>
    <w:rsid w:val="0058065C"/>
    <w:rsid w:val="00580690"/>
    <w:rsid w:val="005808A6"/>
    <w:rsid w:val="00580900"/>
    <w:rsid w:val="00580B0D"/>
    <w:rsid w:val="00580C55"/>
    <w:rsid w:val="00580C82"/>
    <w:rsid w:val="00580C9C"/>
    <w:rsid w:val="00580E72"/>
    <w:rsid w:val="00580F11"/>
    <w:rsid w:val="00580F3E"/>
    <w:rsid w:val="00581091"/>
    <w:rsid w:val="00581113"/>
    <w:rsid w:val="00581229"/>
    <w:rsid w:val="00581274"/>
    <w:rsid w:val="00581308"/>
    <w:rsid w:val="00581347"/>
    <w:rsid w:val="00581381"/>
    <w:rsid w:val="00581558"/>
    <w:rsid w:val="0058158A"/>
    <w:rsid w:val="00581610"/>
    <w:rsid w:val="00581781"/>
    <w:rsid w:val="00581910"/>
    <w:rsid w:val="005819B2"/>
    <w:rsid w:val="00581AAB"/>
    <w:rsid w:val="00581AE0"/>
    <w:rsid w:val="00581B6F"/>
    <w:rsid w:val="00581BB7"/>
    <w:rsid w:val="00581BDA"/>
    <w:rsid w:val="00581C5B"/>
    <w:rsid w:val="00581D22"/>
    <w:rsid w:val="00581D82"/>
    <w:rsid w:val="00581DF0"/>
    <w:rsid w:val="00581E23"/>
    <w:rsid w:val="00581E97"/>
    <w:rsid w:val="00581F13"/>
    <w:rsid w:val="00581F58"/>
    <w:rsid w:val="00581F6D"/>
    <w:rsid w:val="00581F7D"/>
    <w:rsid w:val="0058200A"/>
    <w:rsid w:val="00582026"/>
    <w:rsid w:val="005821DC"/>
    <w:rsid w:val="0058220E"/>
    <w:rsid w:val="00582351"/>
    <w:rsid w:val="00582371"/>
    <w:rsid w:val="005823C8"/>
    <w:rsid w:val="005824C5"/>
    <w:rsid w:val="0058258E"/>
    <w:rsid w:val="005828FC"/>
    <w:rsid w:val="00582B96"/>
    <w:rsid w:val="00582BC5"/>
    <w:rsid w:val="00582C55"/>
    <w:rsid w:val="00582CB6"/>
    <w:rsid w:val="00582D19"/>
    <w:rsid w:val="00583061"/>
    <w:rsid w:val="00583178"/>
    <w:rsid w:val="00583518"/>
    <w:rsid w:val="0058351D"/>
    <w:rsid w:val="00583526"/>
    <w:rsid w:val="00583528"/>
    <w:rsid w:val="005835FC"/>
    <w:rsid w:val="00583608"/>
    <w:rsid w:val="005836F9"/>
    <w:rsid w:val="005836FB"/>
    <w:rsid w:val="00583768"/>
    <w:rsid w:val="0058378F"/>
    <w:rsid w:val="0058390E"/>
    <w:rsid w:val="005839DE"/>
    <w:rsid w:val="00583B58"/>
    <w:rsid w:val="00583B82"/>
    <w:rsid w:val="00583CDD"/>
    <w:rsid w:val="00583D09"/>
    <w:rsid w:val="00583D2C"/>
    <w:rsid w:val="00583D6A"/>
    <w:rsid w:val="0058404C"/>
    <w:rsid w:val="00584165"/>
    <w:rsid w:val="00584198"/>
    <w:rsid w:val="00584316"/>
    <w:rsid w:val="005845E7"/>
    <w:rsid w:val="00584692"/>
    <w:rsid w:val="00584852"/>
    <w:rsid w:val="00584870"/>
    <w:rsid w:val="005848B3"/>
    <w:rsid w:val="005848CD"/>
    <w:rsid w:val="005848EA"/>
    <w:rsid w:val="005848F0"/>
    <w:rsid w:val="005849B0"/>
    <w:rsid w:val="005849E4"/>
    <w:rsid w:val="00584AA9"/>
    <w:rsid w:val="00584AAA"/>
    <w:rsid w:val="00584B95"/>
    <w:rsid w:val="00584EB2"/>
    <w:rsid w:val="005850B5"/>
    <w:rsid w:val="00585240"/>
    <w:rsid w:val="00585381"/>
    <w:rsid w:val="005853A6"/>
    <w:rsid w:val="00585596"/>
    <w:rsid w:val="005855E2"/>
    <w:rsid w:val="005855F1"/>
    <w:rsid w:val="00585853"/>
    <w:rsid w:val="00585865"/>
    <w:rsid w:val="00585920"/>
    <w:rsid w:val="00585D1B"/>
    <w:rsid w:val="00585E19"/>
    <w:rsid w:val="00585E73"/>
    <w:rsid w:val="00585F27"/>
    <w:rsid w:val="00585FDB"/>
    <w:rsid w:val="00585FED"/>
    <w:rsid w:val="00586096"/>
    <w:rsid w:val="0058617A"/>
    <w:rsid w:val="005862B1"/>
    <w:rsid w:val="005862D9"/>
    <w:rsid w:val="005863A2"/>
    <w:rsid w:val="005863F9"/>
    <w:rsid w:val="0058650C"/>
    <w:rsid w:val="0058672F"/>
    <w:rsid w:val="005869F1"/>
    <w:rsid w:val="005869F5"/>
    <w:rsid w:val="00586A2F"/>
    <w:rsid w:val="00586A9B"/>
    <w:rsid w:val="00586BC2"/>
    <w:rsid w:val="00586CAB"/>
    <w:rsid w:val="00586CE0"/>
    <w:rsid w:val="00586E34"/>
    <w:rsid w:val="00586EE8"/>
    <w:rsid w:val="00586FAE"/>
    <w:rsid w:val="00587010"/>
    <w:rsid w:val="00587018"/>
    <w:rsid w:val="0058701E"/>
    <w:rsid w:val="00587050"/>
    <w:rsid w:val="005871A0"/>
    <w:rsid w:val="00587348"/>
    <w:rsid w:val="005874C6"/>
    <w:rsid w:val="005874F5"/>
    <w:rsid w:val="0058751F"/>
    <w:rsid w:val="005878AE"/>
    <w:rsid w:val="005879C2"/>
    <w:rsid w:val="00587B40"/>
    <w:rsid w:val="00587BC2"/>
    <w:rsid w:val="00587D28"/>
    <w:rsid w:val="00587D33"/>
    <w:rsid w:val="00587E08"/>
    <w:rsid w:val="00587F2A"/>
    <w:rsid w:val="00587FA3"/>
    <w:rsid w:val="00590397"/>
    <w:rsid w:val="00590410"/>
    <w:rsid w:val="0059048E"/>
    <w:rsid w:val="00590514"/>
    <w:rsid w:val="00590719"/>
    <w:rsid w:val="00590741"/>
    <w:rsid w:val="00590888"/>
    <w:rsid w:val="005908E7"/>
    <w:rsid w:val="005909A6"/>
    <w:rsid w:val="00590A24"/>
    <w:rsid w:val="00590C38"/>
    <w:rsid w:val="00590E38"/>
    <w:rsid w:val="00590E6B"/>
    <w:rsid w:val="00590E78"/>
    <w:rsid w:val="00590F40"/>
    <w:rsid w:val="005912A5"/>
    <w:rsid w:val="00591675"/>
    <w:rsid w:val="005917A5"/>
    <w:rsid w:val="005918FA"/>
    <w:rsid w:val="00591C7F"/>
    <w:rsid w:val="00591C85"/>
    <w:rsid w:val="00591DA2"/>
    <w:rsid w:val="00591DFE"/>
    <w:rsid w:val="00591FC6"/>
    <w:rsid w:val="00592016"/>
    <w:rsid w:val="005921A5"/>
    <w:rsid w:val="005921F7"/>
    <w:rsid w:val="00592344"/>
    <w:rsid w:val="0059238D"/>
    <w:rsid w:val="00592605"/>
    <w:rsid w:val="00592650"/>
    <w:rsid w:val="00592743"/>
    <w:rsid w:val="00592883"/>
    <w:rsid w:val="005929A2"/>
    <w:rsid w:val="005929E8"/>
    <w:rsid w:val="00592AE6"/>
    <w:rsid w:val="00592C62"/>
    <w:rsid w:val="00592F8E"/>
    <w:rsid w:val="005930E5"/>
    <w:rsid w:val="00593146"/>
    <w:rsid w:val="005931BC"/>
    <w:rsid w:val="005931CB"/>
    <w:rsid w:val="005933D4"/>
    <w:rsid w:val="005933DC"/>
    <w:rsid w:val="00593403"/>
    <w:rsid w:val="00593469"/>
    <w:rsid w:val="005936F1"/>
    <w:rsid w:val="00593841"/>
    <w:rsid w:val="00593A84"/>
    <w:rsid w:val="00593AE1"/>
    <w:rsid w:val="00593CBD"/>
    <w:rsid w:val="00593D23"/>
    <w:rsid w:val="00593ED4"/>
    <w:rsid w:val="00593F2C"/>
    <w:rsid w:val="00594073"/>
    <w:rsid w:val="0059415D"/>
    <w:rsid w:val="005941C2"/>
    <w:rsid w:val="0059420B"/>
    <w:rsid w:val="0059433A"/>
    <w:rsid w:val="0059434F"/>
    <w:rsid w:val="005943F5"/>
    <w:rsid w:val="0059463B"/>
    <w:rsid w:val="0059464B"/>
    <w:rsid w:val="00594889"/>
    <w:rsid w:val="00594972"/>
    <w:rsid w:val="00594985"/>
    <w:rsid w:val="00594B17"/>
    <w:rsid w:val="00594B72"/>
    <w:rsid w:val="00594E0B"/>
    <w:rsid w:val="00594FF9"/>
    <w:rsid w:val="00594FFB"/>
    <w:rsid w:val="005950FD"/>
    <w:rsid w:val="00595352"/>
    <w:rsid w:val="005954BC"/>
    <w:rsid w:val="00595534"/>
    <w:rsid w:val="005955FC"/>
    <w:rsid w:val="00595665"/>
    <w:rsid w:val="005956AA"/>
    <w:rsid w:val="0059575D"/>
    <w:rsid w:val="0059582F"/>
    <w:rsid w:val="005959C7"/>
    <w:rsid w:val="00595A1F"/>
    <w:rsid w:val="00595A2B"/>
    <w:rsid w:val="00595E7B"/>
    <w:rsid w:val="00595F26"/>
    <w:rsid w:val="005960D5"/>
    <w:rsid w:val="00596243"/>
    <w:rsid w:val="00596259"/>
    <w:rsid w:val="0059637C"/>
    <w:rsid w:val="005963EF"/>
    <w:rsid w:val="00596530"/>
    <w:rsid w:val="005968D7"/>
    <w:rsid w:val="00596909"/>
    <w:rsid w:val="00596928"/>
    <w:rsid w:val="00596949"/>
    <w:rsid w:val="00596A59"/>
    <w:rsid w:val="00596BAB"/>
    <w:rsid w:val="00596BE0"/>
    <w:rsid w:val="00596D9A"/>
    <w:rsid w:val="00596DE4"/>
    <w:rsid w:val="00596E17"/>
    <w:rsid w:val="00597019"/>
    <w:rsid w:val="00597469"/>
    <w:rsid w:val="005977D5"/>
    <w:rsid w:val="00597883"/>
    <w:rsid w:val="0059797E"/>
    <w:rsid w:val="0059799C"/>
    <w:rsid w:val="00597A8F"/>
    <w:rsid w:val="00597ABC"/>
    <w:rsid w:val="00597B15"/>
    <w:rsid w:val="00597CD4"/>
    <w:rsid w:val="00597D4D"/>
    <w:rsid w:val="00597E7B"/>
    <w:rsid w:val="005A00B0"/>
    <w:rsid w:val="005A0104"/>
    <w:rsid w:val="005A043E"/>
    <w:rsid w:val="005A04D2"/>
    <w:rsid w:val="005A0530"/>
    <w:rsid w:val="005A0537"/>
    <w:rsid w:val="005A07B0"/>
    <w:rsid w:val="005A07EB"/>
    <w:rsid w:val="005A0819"/>
    <w:rsid w:val="005A0D9D"/>
    <w:rsid w:val="005A1057"/>
    <w:rsid w:val="005A1118"/>
    <w:rsid w:val="005A1137"/>
    <w:rsid w:val="005A11C7"/>
    <w:rsid w:val="005A11CC"/>
    <w:rsid w:val="005A126D"/>
    <w:rsid w:val="005A130A"/>
    <w:rsid w:val="005A1328"/>
    <w:rsid w:val="005A1434"/>
    <w:rsid w:val="005A14CD"/>
    <w:rsid w:val="005A14FB"/>
    <w:rsid w:val="005A153F"/>
    <w:rsid w:val="005A15B1"/>
    <w:rsid w:val="005A15C3"/>
    <w:rsid w:val="005A15FF"/>
    <w:rsid w:val="005A1602"/>
    <w:rsid w:val="005A16ED"/>
    <w:rsid w:val="005A17E7"/>
    <w:rsid w:val="005A180C"/>
    <w:rsid w:val="005A199B"/>
    <w:rsid w:val="005A1A0A"/>
    <w:rsid w:val="005A1AA9"/>
    <w:rsid w:val="005A1ADD"/>
    <w:rsid w:val="005A1C09"/>
    <w:rsid w:val="005A1CC5"/>
    <w:rsid w:val="005A1E75"/>
    <w:rsid w:val="005A2137"/>
    <w:rsid w:val="005A2157"/>
    <w:rsid w:val="005A23FD"/>
    <w:rsid w:val="005A255B"/>
    <w:rsid w:val="005A2615"/>
    <w:rsid w:val="005A268D"/>
    <w:rsid w:val="005A2857"/>
    <w:rsid w:val="005A28E0"/>
    <w:rsid w:val="005A2FA2"/>
    <w:rsid w:val="005A301D"/>
    <w:rsid w:val="005A3182"/>
    <w:rsid w:val="005A31FC"/>
    <w:rsid w:val="005A3360"/>
    <w:rsid w:val="005A33D4"/>
    <w:rsid w:val="005A33F5"/>
    <w:rsid w:val="005A351D"/>
    <w:rsid w:val="005A3921"/>
    <w:rsid w:val="005A397B"/>
    <w:rsid w:val="005A39F4"/>
    <w:rsid w:val="005A3A30"/>
    <w:rsid w:val="005A3AAD"/>
    <w:rsid w:val="005A3C0E"/>
    <w:rsid w:val="005A3D2A"/>
    <w:rsid w:val="005A3D3D"/>
    <w:rsid w:val="005A3E95"/>
    <w:rsid w:val="005A3F46"/>
    <w:rsid w:val="005A3F9C"/>
    <w:rsid w:val="005A41A9"/>
    <w:rsid w:val="005A4208"/>
    <w:rsid w:val="005A428F"/>
    <w:rsid w:val="005A4301"/>
    <w:rsid w:val="005A4865"/>
    <w:rsid w:val="005A48AF"/>
    <w:rsid w:val="005A4933"/>
    <w:rsid w:val="005A49E6"/>
    <w:rsid w:val="005A4AA2"/>
    <w:rsid w:val="005A4B1C"/>
    <w:rsid w:val="005A4CC8"/>
    <w:rsid w:val="005A4D1D"/>
    <w:rsid w:val="005A4D5F"/>
    <w:rsid w:val="005A4EF2"/>
    <w:rsid w:val="005A4F09"/>
    <w:rsid w:val="005A501E"/>
    <w:rsid w:val="005A5248"/>
    <w:rsid w:val="005A5476"/>
    <w:rsid w:val="005A54D7"/>
    <w:rsid w:val="005A5547"/>
    <w:rsid w:val="005A58EB"/>
    <w:rsid w:val="005A593A"/>
    <w:rsid w:val="005A5AB5"/>
    <w:rsid w:val="005A5B76"/>
    <w:rsid w:val="005A5C1F"/>
    <w:rsid w:val="005A5C46"/>
    <w:rsid w:val="005A5D2C"/>
    <w:rsid w:val="005A5EE0"/>
    <w:rsid w:val="005A5F72"/>
    <w:rsid w:val="005A5F89"/>
    <w:rsid w:val="005A6228"/>
    <w:rsid w:val="005A62AA"/>
    <w:rsid w:val="005A62B3"/>
    <w:rsid w:val="005A6393"/>
    <w:rsid w:val="005A6424"/>
    <w:rsid w:val="005A6588"/>
    <w:rsid w:val="005A65CE"/>
    <w:rsid w:val="005A667B"/>
    <w:rsid w:val="005A69FB"/>
    <w:rsid w:val="005A6A41"/>
    <w:rsid w:val="005A6CCE"/>
    <w:rsid w:val="005A6D0F"/>
    <w:rsid w:val="005A6D2A"/>
    <w:rsid w:val="005A6D94"/>
    <w:rsid w:val="005A6E8F"/>
    <w:rsid w:val="005A6E91"/>
    <w:rsid w:val="005A702F"/>
    <w:rsid w:val="005A7051"/>
    <w:rsid w:val="005A7089"/>
    <w:rsid w:val="005A718D"/>
    <w:rsid w:val="005A7234"/>
    <w:rsid w:val="005A72D6"/>
    <w:rsid w:val="005A73FD"/>
    <w:rsid w:val="005A749B"/>
    <w:rsid w:val="005A7662"/>
    <w:rsid w:val="005A769D"/>
    <w:rsid w:val="005A76EC"/>
    <w:rsid w:val="005A7840"/>
    <w:rsid w:val="005A7868"/>
    <w:rsid w:val="005A7873"/>
    <w:rsid w:val="005A78F5"/>
    <w:rsid w:val="005A79A6"/>
    <w:rsid w:val="005A7B4F"/>
    <w:rsid w:val="005A7BC0"/>
    <w:rsid w:val="005A7BEB"/>
    <w:rsid w:val="005A7D0B"/>
    <w:rsid w:val="005A7EF7"/>
    <w:rsid w:val="005A7FFC"/>
    <w:rsid w:val="005B0052"/>
    <w:rsid w:val="005B01F2"/>
    <w:rsid w:val="005B0284"/>
    <w:rsid w:val="005B0514"/>
    <w:rsid w:val="005B07EB"/>
    <w:rsid w:val="005B0863"/>
    <w:rsid w:val="005B08A0"/>
    <w:rsid w:val="005B0963"/>
    <w:rsid w:val="005B0A77"/>
    <w:rsid w:val="005B0A9B"/>
    <w:rsid w:val="005B0AC1"/>
    <w:rsid w:val="005B0C66"/>
    <w:rsid w:val="005B0CBC"/>
    <w:rsid w:val="005B0F74"/>
    <w:rsid w:val="005B10A8"/>
    <w:rsid w:val="005B114E"/>
    <w:rsid w:val="005B11F6"/>
    <w:rsid w:val="005B126C"/>
    <w:rsid w:val="005B126E"/>
    <w:rsid w:val="005B12D0"/>
    <w:rsid w:val="005B13E4"/>
    <w:rsid w:val="005B1405"/>
    <w:rsid w:val="005B1487"/>
    <w:rsid w:val="005B160A"/>
    <w:rsid w:val="005B167B"/>
    <w:rsid w:val="005B16B0"/>
    <w:rsid w:val="005B1987"/>
    <w:rsid w:val="005B1A77"/>
    <w:rsid w:val="005B1AC5"/>
    <w:rsid w:val="005B1B76"/>
    <w:rsid w:val="005B1BD4"/>
    <w:rsid w:val="005B1C9B"/>
    <w:rsid w:val="005B1F3A"/>
    <w:rsid w:val="005B2102"/>
    <w:rsid w:val="005B2254"/>
    <w:rsid w:val="005B240E"/>
    <w:rsid w:val="005B2453"/>
    <w:rsid w:val="005B2495"/>
    <w:rsid w:val="005B2584"/>
    <w:rsid w:val="005B26E5"/>
    <w:rsid w:val="005B27BA"/>
    <w:rsid w:val="005B284C"/>
    <w:rsid w:val="005B287D"/>
    <w:rsid w:val="005B29C1"/>
    <w:rsid w:val="005B29D6"/>
    <w:rsid w:val="005B2A48"/>
    <w:rsid w:val="005B2BF1"/>
    <w:rsid w:val="005B2D2A"/>
    <w:rsid w:val="005B2E32"/>
    <w:rsid w:val="005B2ED8"/>
    <w:rsid w:val="005B2F02"/>
    <w:rsid w:val="005B2F26"/>
    <w:rsid w:val="005B30D6"/>
    <w:rsid w:val="005B333B"/>
    <w:rsid w:val="005B3678"/>
    <w:rsid w:val="005B3944"/>
    <w:rsid w:val="005B3BA0"/>
    <w:rsid w:val="005B3C59"/>
    <w:rsid w:val="005B3D1C"/>
    <w:rsid w:val="005B3D7F"/>
    <w:rsid w:val="005B3F6E"/>
    <w:rsid w:val="005B402E"/>
    <w:rsid w:val="005B408B"/>
    <w:rsid w:val="005B4154"/>
    <w:rsid w:val="005B41D2"/>
    <w:rsid w:val="005B435F"/>
    <w:rsid w:val="005B440B"/>
    <w:rsid w:val="005B445A"/>
    <w:rsid w:val="005B48AC"/>
    <w:rsid w:val="005B4A77"/>
    <w:rsid w:val="005B4C25"/>
    <w:rsid w:val="005B4FCC"/>
    <w:rsid w:val="005B4FFB"/>
    <w:rsid w:val="005B50A9"/>
    <w:rsid w:val="005B50AF"/>
    <w:rsid w:val="005B50E0"/>
    <w:rsid w:val="005B50E8"/>
    <w:rsid w:val="005B521A"/>
    <w:rsid w:val="005B53BC"/>
    <w:rsid w:val="005B53F9"/>
    <w:rsid w:val="005B54DB"/>
    <w:rsid w:val="005B5547"/>
    <w:rsid w:val="005B556B"/>
    <w:rsid w:val="005B55D4"/>
    <w:rsid w:val="005B5603"/>
    <w:rsid w:val="005B5678"/>
    <w:rsid w:val="005B56CB"/>
    <w:rsid w:val="005B5708"/>
    <w:rsid w:val="005B5760"/>
    <w:rsid w:val="005B58DB"/>
    <w:rsid w:val="005B5A71"/>
    <w:rsid w:val="005B5AAA"/>
    <w:rsid w:val="005B5C40"/>
    <w:rsid w:val="005B5D19"/>
    <w:rsid w:val="005B5E5C"/>
    <w:rsid w:val="005B5F20"/>
    <w:rsid w:val="005B5F9F"/>
    <w:rsid w:val="005B5FD8"/>
    <w:rsid w:val="005B5FDF"/>
    <w:rsid w:val="005B6021"/>
    <w:rsid w:val="005B62EE"/>
    <w:rsid w:val="005B63A1"/>
    <w:rsid w:val="005B63B8"/>
    <w:rsid w:val="005B649A"/>
    <w:rsid w:val="005B66DB"/>
    <w:rsid w:val="005B6806"/>
    <w:rsid w:val="005B685F"/>
    <w:rsid w:val="005B6936"/>
    <w:rsid w:val="005B694A"/>
    <w:rsid w:val="005B697E"/>
    <w:rsid w:val="005B6A1D"/>
    <w:rsid w:val="005B6A45"/>
    <w:rsid w:val="005B6A5E"/>
    <w:rsid w:val="005B6AAE"/>
    <w:rsid w:val="005B6B15"/>
    <w:rsid w:val="005B6F7E"/>
    <w:rsid w:val="005B706B"/>
    <w:rsid w:val="005B7098"/>
    <w:rsid w:val="005B7187"/>
    <w:rsid w:val="005B72CC"/>
    <w:rsid w:val="005B72DA"/>
    <w:rsid w:val="005B74D0"/>
    <w:rsid w:val="005B75FC"/>
    <w:rsid w:val="005B7956"/>
    <w:rsid w:val="005B7B74"/>
    <w:rsid w:val="005B7BD2"/>
    <w:rsid w:val="005B7E27"/>
    <w:rsid w:val="005B7E9C"/>
    <w:rsid w:val="005B7EA9"/>
    <w:rsid w:val="005B7F43"/>
    <w:rsid w:val="005B7FB8"/>
    <w:rsid w:val="005BCE47"/>
    <w:rsid w:val="005C0016"/>
    <w:rsid w:val="005C004E"/>
    <w:rsid w:val="005C0356"/>
    <w:rsid w:val="005C0447"/>
    <w:rsid w:val="005C05CC"/>
    <w:rsid w:val="005C0630"/>
    <w:rsid w:val="005C0686"/>
    <w:rsid w:val="005C06A4"/>
    <w:rsid w:val="005C083F"/>
    <w:rsid w:val="005C0937"/>
    <w:rsid w:val="005C0DC6"/>
    <w:rsid w:val="005C0DDC"/>
    <w:rsid w:val="005C0E30"/>
    <w:rsid w:val="005C0FC8"/>
    <w:rsid w:val="005C1116"/>
    <w:rsid w:val="005C1215"/>
    <w:rsid w:val="005C14CF"/>
    <w:rsid w:val="005C15A4"/>
    <w:rsid w:val="005C166C"/>
    <w:rsid w:val="005C1670"/>
    <w:rsid w:val="005C18FE"/>
    <w:rsid w:val="005C19EC"/>
    <w:rsid w:val="005C1A96"/>
    <w:rsid w:val="005C1B14"/>
    <w:rsid w:val="005C1B33"/>
    <w:rsid w:val="005C1B6D"/>
    <w:rsid w:val="005C1BC8"/>
    <w:rsid w:val="005C1C5D"/>
    <w:rsid w:val="005C1C8A"/>
    <w:rsid w:val="005C1CEA"/>
    <w:rsid w:val="005C1E56"/>
    <w:rsid w:val="005C1F7B"/>
    <w:rsid w:val="005C1FA9"/>
    <w:rsid w:val="005C20D7"/>
    <w:rsid w:val="005C212F"/>
    <w:rsid w:val="005C2337"/>
    <w:rsid w:val="005C2346"/>
    <w:rsid w:val="005C2365"/>
    <w:rsid w:val="005C2521"/>
    <w:rsid w:val="005C254F"/>
    <w:rsid w:val="005C2597"/>
    <w:rsid w:val="005C2791"/>
    <w:rsid w:val="005C27A5"/>
    <w:rsid w:val="005C2872"/>
    <w:rsid w:val="005C288B"/>
    <w:rsid w:val="005C28DF"/>
    <w:rsid w:val="005C29F9"/>
    <w:rsid w:val="005C2C06"/>
    <w:rsid w:val="005C2C77"/>
    <w:rsid w:val="005C2D12"/>
    <w:rsid w:val="005C2D40"/>
    <w:rsid w:val="005C2E16"/>
    <w:rsid w:val="005C2EE4"/>
    <w:rsid w:val="005C2EF6"/>
    <w:rsid w:val="005C32EC"/>
    <w:rsid w:val="005C3307"/>
    <w:rsid w:val="005C332D"/>
    <w:rsid w:val="005C3458"/>
    <w:rsid w:val="005C361A"/>
    <w:rsid w:val="005C3810"/>
    <w:rsid w:val="005C39A2"/>
    <w:rsid w:val="005C3A93"/>
    <w:rsid w:val="005C3AB7"/>
    <w:rsid w:val="005C3B31"/>
    <w:rsid w:val="005C3C95"/>
    <w:rsid w:val="005C3E21"/>
    <w:rsid w:val="005C403B"/>
    <w:rsid w:val="005C4075"/>
    <w:rsid w:val="005C40F4"/>
    <w:rsid w:val="005C415A"/>
    <w:rsid w:val="005C4448"/>
    <w:rsid w:val="005C4582"/>
    <w:rsid w:val="005C45EF"/>
    <w:rsid w:val="005C4692"/>
    <w:rsid w:val="005C4694"/>
    <w:rsid w:val="005C4845"/>
    <w:rsid w:val="005C4887"/>
    <w:rsid w:val="005C49B8"/>
    <w:rsid w:val="005C4AEA"/>
    <w:rsid w:val="005C4C21"/>
    <w:rsid w:val="005C4C4C"/>
    <w:rsid w:val="005C4D39"/>
    <w:rsid w:val="005C4E16"/>
    <w:rsid w:val="005C4FFA"/>
    <w:rsid w:val="005C51AD"/>
    <w:rsid w:val="005C51B6"/>
    <w:rsid w:val="005C53F1"/>
    <w:rsid w:val="005C544F"/>
    <w:rsid w:val="005C56F6"/>
    <w:rsid w:val="005C589E"/>
    <w:rsid w:val="005C5A7D"/>
    <w:rsid w:val="005C5A8E"/>
    <w:rsid w:val="005C5ABC"/>
    <w:rsid w:val="005C5B92"/>
    <w:rsid w:val="005C5CC2"/>
    <w:rsid w:val="005C5D5A"/>
    <w:rsid w:val="005C5DC6"/>
    <w:rsid w:val="005C5E15"/>
    <w:rsid w:val="005C6156"/>
    <w:rsid w:val="005C62BE"/>
    <w:rsid w:val="005C647F"/>
    <w:rsid w:val="005C649E"/>
    <w:rsid w:val="005C64A2"/>
    <w:rsid w:val="005C6543"/>
    <w:rsid w:val="005C6674"/>
    <w:rsid w:val="005C66CF"/>
    <w:rsid w:val="005C6779"/>
    <w:rsid w:val="005C69AC"/>
    <w:rsid w:val="005C6AC4"/>
    <w:rsid w:val="005C6CB3"/>
    <w:rsid w:val="005C6CBC"/>
    <w:rsid w:val="005C6D8E"/>
    <w:rsid w:val="005C6DEA"/>
    <w:rsid w:val="005C6F2D"/>
    <w:rsid w:val="005C6FD0"/>
    <w:rsid w:val="005C7008"/>
    <w:rsid w:val="005C7091"/>
    <w:rsid w:val="005C71B0"/>
    <w:rsid w:val="005C72D6"/>
    <w:rsid w:val="005C72E9"/>
    <w:rsid w:val="005C73FA"/>
    <w:rsid w:val="005C7450"/>
    <w:rsid w:val="005C748A"/>
    <w:rsid w:val="005C7496"/>
    <w:rsid w:val="005C749B"/>
    <w:rsid w:val="005C757C"/>
    <w:rsid w:val="005C75A6"/>
    <w:rsid w:val="005C776C"/>
    <w:rsid w:val="005C778A"/>
    <w:rsid w:val="005C79EA"/>
    <w:rsid w:val="005C7B34"/>
    <w:rsid w:val="005C7EF1"/>
    <w:rsid w:val="005C7F9E"/>
    <w:rsid w:val="005D00A5"/>
    <w:rsid w:val="005D00F1"/>
    <w:rsid w:val="005D00F7"/>
    <w:rsid w:val="005D0363"/>
    <w:rsid w:val="005D0387"/>
    <w:rsid w:val="005D050E"/>
    <w:rsid w:val="005D0587"/>
    <w:rsid w:val="005D0672"/>
    <w:rsid w:val="005D087B"/>
    <w:rsid w:val="005D097B"/>
    <w:rsid w:val="005D0A3E"/>
    <w:rsid w:val="005D0A54"/>
    <w:rsid w:val="005D0D3C"/>
    <w:rsid w:val="005D0E59"/>
    <w:rsid w:val="005D0FAC"/>
    <w:rsid w:val="005D1325"/>
    <w:rsid w:val="005D133B"/>
    <w:rsid w:val="005D1555"/>
    <w:rsid w:val="005D1582"/>
    <w:rsid w:val="005D1794"/>
    <w:rsid w:val="005D1803"/>
    <w:rsid w:val="005D1823"/>
    <w:rsid w:val="005D18FB"/>
    <w:rsid w:val="005D1AE9"/>
    <w:rsid w:val="005D1AFF"/>
    <w:rsid w:val="005D1B15"/>
    <w:rsid w:val="005D1D68"/>
    <w:rsid w:val="005D1EF4"/>
    <w:rsid w:val="005D20A8"/>
    <w:rsid w:val="005D2233"/>
    <w:rsid w:val="005D2250"/>
    <w:rsid w:val="005D2284"/>
    <w:rsid w:val="005D236D"/>
    <w:rsid w:val="005D2392"/>
    <w:rsid w:val="005D23A0"/>
    <w:rsid w:val="005D27A9"/>
    <w:rsid w:val="005D2D69"/>
    <w:rsid w:val="005D2DA4"/>
    <w:rsid w:val="005D2E0B"/>
    <w:rsid w:val="005D2E5F"/>
    <w:rsid w:val="005D2EC7"/>
    <w:rsid w:val="005D30BA"/>
    <w:rsid w:val="005D3299"/>
    <w:rsid w:val="005D32EC"/>
    <w:rsid w:val="005D35E4"/>
    <w:rsid w:val="005D3648"/>
    <w:rsid w:val="005D364A"/>
    <w:rsid w:val="005D3747"/>
    <w:rsid w:val="005D374A"/>
    <w:rsid w:val="005D37D6"/>
    <w:rsid w:val="005D37F1"/>
    <w:rsid w:val="005D392D"/>
    <w:rsid w:val="005D3A6A"/>
    <w:rsid w:val="005D3AB4"/>
    <w:rsid w:val="005D3BE4"/>
    <w:rsid w:val="005D3C28"/>
    <w:rsid w:val="005D3C2D"/>
    <w:rsid w:val="005D3C67"/>
    <w:rsid w:val="005D3E46"/>
    <w:rsid w:val="005D3ED8"/>
    <w:rsid w:val="005D3FBE"/>
    <w:rsid w:val="005D3FFD"/>
    <w:rsid w:val="005D43B6"/>
    <w:rsid w:val="005D43CC"/>
    <w:rsid w:val="005D4622"/>
    <w:rsid w:val="005D47AF"/>
    <w:rsid w:val="005D4829"/>
    <w:rsid w:val="005D49A2"/>
    <w:rsid w:val="005D4B80"/>
    <w:rsid w:val="005D4C1A"/>
    <w:rsid w:val="005D4C3F"/>
    <w:rsid w:val="005D4D67"/>
    <w:rsid w:val="005D5020"/>
    <w:rsid w:val="005D50EF"/>
    <w:rsid w:val="005D515A"/>
    <w:rsid w:val="005D5271"/>
    <w:rsid w:val="005D52AA"/>
    <w:rsid w:val="005D52D9"/>
    <w:rsid w:val="005D55B0"/>
    <w:rsid w:val="005D55B6"/>
    <w:rsid w:val="005D566F"/>
    <w:rsid w:val="005D582E"/>
    <w:rsid w:val="005D5D1F"/>
    <w:rsid w:val="005D5E87"/>
    <w:rsid w:val="005D60D8"/>
    <w:rsid w:val="005D629F"/>
    <w:rsid w:val="005D62F9"/>
    <w:rsid w:val="005D65AA"/>
    <w:rsid w:val="005D65EB"/>
    <w:rsid w:val="005D65FB"/>
    <w:rsid w:val="005D6716"/>
    <w:rsid w:val="005D68D3"/>
    <w:rsid w:val="005D6A94"/>
    <w:rsid w:val="005D6D77"/>
    <w:rsid w:val="005D6E01"/>
    <w:rsid w:val="005D6F3D"/>
    <w:rsid w:val="005D6FAC"/>
    <w:rsid w:val="005D7031"/>
    <w:rsid w:val="005D7164"/>
    <w:rsid w:val="005D7260"/>
    <w:rsid w:val="005D72D3"/>
    <w:rsid w:val="005D72E4"/>
    <w:rsid w:val="005D731E"/>
    <w:rsid w:val="005D75DF"/>
    <w:rsid w:val="005D7643"/>
    <w:rsid w:val="005D7732"/>
    <w:rsid w:val="005D7905"/>
    <w:rsid w:val="005D7959"/>
    <w:rsid w:val="005D797B"/>
    <w:rsid w:val="005D7C4B"/>
    <w:rsid w:val="005D7D11"/>
    <w:rsid w:val="005D7F1D"/>
    <w:rsid w:val="005D7FAA"/>
    <w:rsid w:val="005D7FCD"/>
    <w:rsid w:val="005E02B6"/>
    <w:rsid w:val="005E032A"/>
    <w:rsid w:val="005E03F7"/>
    <w:rsid w:val="005E0463"/>
    <w:rsid w:val="005E05E3"/>
    <w:rsid w:val="005E0624"/>
    <w:rsid w:val="005E076B"/>
    <w:rsid w:val="005E07BD"/>
    <w:rsid w:val="005E0809"/>
    <w:rsid w:val="005E09D0"/>
    <w:rsid w:val="005E0A2A"/>
    <w:rsid w:val="005E0A56"/>
    <w:rsid w:val="005E0A8B"/>
    <w:rsid w:val="005E0A8C"/>
    <w:rsid w:val="005E0BB7"/>
    <w:rsid w:val="005E0C0D"/>
    <w:rsid w:val="005E0CDA"/>
    <w:rsid w:val="005E0D56"/>
    <w:rsid w:val="005E0FDD"/>
    <w:rsid w:val="005E11FF"/>
    <w:rsid w:val="005E1283"/>
    <w:rsid w:val="005E131F"/>
    <w:rsid w:val="005E1345"/>
    <w:rsid w:val="005E13C9"/>
    <w:rsid w:val="005E141A"/>
    <w:rsid w:val="005E16FF"/>
    <w:rsid w:val="005E179C"/>
    <w:rsid w:val="005E1821"/>
    <w:rsid w:val="005E18AA"/>
    <w:rsid w:val="005E193E"/>
    <w:rsid w:val="005E1948"/>
    <w:rsid w:val="005E1A70"/>
    <w:rsid w:val="005E1C81"/>
    <w:rsid w:val="005E1CAA"/>
    <w:rsid w:val="005E1CE3"/>
    <w:rsid w:val="005E1D22"/>
    <w:rsid w:val="005E214D"/>
    <w:rsid w:val="005E2837"/>
    <w:rsid w:val="005E28EC"/>
    <w:rsid w:val="005E2982"/>
    <w:rsid w:val="005E299A"/>
    <w:rsid w:val="005E2A70"/>
    <w:rsid w:val="005E2AFE"/>
    <w:rsid w:val="005E2E48"/>
    <w:rsid w:val="005E2E5F"/>
    <w:rsid w:val="005E2EFB"/>
    <w:rsid w:val="005E30A7"/>
    <w:rsid w:val="005E3180"/>
    <w:rsid w:val="005E3288"/>
    <w:rsid w:val="005E32FF"/>
    <w:rsid w:val="005E358D"/>
    <w:rsid w:val="005E3764"/>
    <w:rsid w:val="005E37CB"/>
    <w:rsid w:val="005E3881"/>
    <w:rsid w:val="005E3997"/>
    <w:rsid w:val="005E3AEA"/>
    <w:rsid w:val="005E3B20"/>
    <w:rsid w:val="005E3B85"/>
    <w:rsid w:val="005E3C6A"/>
    <w:rsid w:val="005E4103"/>
    <w:rsid w:val="005E41FE"/>
    <w:rsid w:val="005E43D1"/>
    <w:rsid w:val="005E445E"/>
    <w:rsid w:val="005E45AB"/>
    <w:rsid w:val="005E4655"/>
    <w:rsid w:val="005E470A"/>
    <w:rsid w:val="005E4907"/>
    <w:rsid w:val="005E4DC5"/>
    <w:rsid w:val="005E4FD9"/>
    <w:rsid w:val="005E5018"/>
    <w:rsid w:val="005E5031"/>
    <w:rsid w:val="005E50A7"/>
    <w:rsid w:val="005E51AF"/>
    <w:rsid w:val="005E51BA"/>
    <w:rsid w:val="005E5492"/>
    <w:rsid w:val="005E55A2"/>
    <w:rsid w:val="005E5627"/>
    <w:rsid w:val="005E5876"/>
    <w:rsid w:val="005E5888"/>
    <w:rsid w:val="005E58C4"/>
    <w:rsid w:val="005E592B"/>
    <w:rsid w:val="005E599D"/>
    <w:rsid w:val="005E5BDE"/>
    <w:rsid w:val="005E5C0E"/>
    <w:rsid w:val="005E5D0D"/>
    <w:rsid w:val="005E5F44"/>
    <w:rsid w:val="005E6019"/>
    <w:rsid w:val="005E61E9"/>
    <w:rsid w:val="005E6218"/>
    <w:rsid w:val="005E63B9"/>
    <w:rsid w:val="005E6517"/>
    <w:rsid w:val="005E65BC"/>
    <w:rsid w:val="005E66E7"/>
    <w:rsid w:val="005E674A"/>
    <w:rsid w:val="005E6C56"/>
    <w:rsid w:val="005E6C60"/>
    <w:rsid w:val="005E6D56"/>
    <w:rsid w:val="005E6E97"/>
    <w:rsid w:val="005E6F10"/>
    <w:rsid w:val="005E6F94"/>
    <w:rsid w:val="005E6FF2"/>
    <w:rsid w:val="005E704A"/>
    <w:rsid w:val="005E7057"/>
    <w:rsid w:val="005E70BC"/>
    <w:rsid w:val="005E7224"/>
    <w:rsid w:val="005E73D4"/>
    <w:rsid w:val="005E7402"/>
    <w:rsid w:val="005E7594"/>
    <w:rsid w:val="005E76FC"/>
    <w:rsid w:val="005E7728"/>
    <w:rsid w:val="005E77C3"/>
    <w:rsid w:val="005E77E3"/>
    <w:rsid w:val="005E78CF"/>
    <w:rsid w:val="005E794F"/>
    <w:rsid w:val="005E79D7"/>
    <w:rsid w:val="005E7A05"/>
    <w:rsid w:val="005E7B05"/>
    <w:rsid w:val="005E7C92"/>
    <w:rsid w:val="005E7D40"/>
    <w:rsid w:val="005E7DA5"/>
    <w:rsid w:val="005E7DDA"/>
    <w:rsid w:val="005F0139"/>
    <w:rsid w:val="005F01B6"/>
    <w:rsid w:val="005F02D4"/>
    <w:rsid w:val="005F0468"/>
    <w:rsid w:val="005F04E4"/>
    <w:rsid w:val="005F0781"/>
    <w:rsid w:val="005F0955"/>
    <w:rsid w:val="005F0AE3"/>
    <w:rsid w:val="005F0B9F"/>
    <w:rsid w:val="005F0F06"/>
    <w:rsid w:val="005F1042"/>
    <w:rsid w:val="005F10CA"/>
    <w:rsid w:val="005F151F"/>
    <w:rsid w:val="005F1A97"/>
    <w:rsid w:val="005F1B4D"/>
    <w:rsid w:val="005F1F31"/>
    <w:rsid w:val="005F2203"/>
    <w:rsid w:val="005F2369"/>
    <w:rsid w:val="005F2581"/>
    <w:rsid w:val="005F26CC"/>
    <w:rsid w:val="005F26F0"/>
    <w:rsid w:val="005F26FF"/>
    <w:rsid w:val="005F274B"/>
    <w:rsid w:val="005F2779"/>
    <w:rsid w:val="005F27DE"/>
    <w:rsid w:val="005F2817"/>
    <w:rsid w:val="005F2842"/>
    <w:rsid w:val="005F2871"/>
    <w:rsid w:val="005F29DF"/>
    <w:rsid w:val="005F2A01"/>
    <w:rsid w:val="005F2ACF"/>
    <w:rsid w:val="005F2D25"/>
    <w:rsid w:val="005F2FB2"/>
    <w:rsid w:val="005F3002"/>
    <w:rsid w:val="005F3125"/>
    <w:rsid w:val="005F3134"/>
    <w:rsid w:val="005F3169"/>
    <w:rsid w:val="005F317E"/>
    <w:rsid w:val="005F3244"/>
    <w:rsid w:val="005F33C9"/>
    <w:rsid w:val="005F33CB"/>
    <w:rsid w:val="005F33DE"/>
    <w:rsid w:val="005F34DC"/>
    <w:rsid w:val="005F35D7"/>
    <w:rsid w:val="005F39A3"/>
    <w:rsid w:val="005F3A3A"/>
    <w:rsid w:val="005F3A90"/>
    <w:rsid w:val="005F3B33"/>
    <w:rsid w:val="005F3FFA"/>
    <w:rsid w:val="005F4017"/>
    <w:rsid w:val="005F413C"/>
    <w:rsid w:val="005F41B8"/>
    <w:rsid w:val="005F41BB"/>
    <w:rsid w:val="005F4305"/>
    <w:rsid w:val="005F43ED"/>
    <w:rsid w:val="005F452B"/>
    <w:rsid w:val="005F45C7"/>
    <w:rsid w:val="005F4783"/>
    <w:rsid w:val="005F48DE"/>
    <w:rsid w:val="005F4ABE"/>
    <w:rsid w:val="005F4B90"/>
    <w:rsid w:val="005F4CDC"/>
    <w:rsid w:val="005F4EBE"/>
    <w:rsid w:val="005F4EED"/>
    <w:rsid w:val="005F4F11"/>
    <w:rsid w:val="005F5086"/>
    <w:rsid w:val="005F5605"/>
    <w:rsid w:val="005F5680"/>
    <w:rsid w:val="005F56F9"/>
    <w:rsid w:val="005F58C8"/>
    <w:rsid w:val="005F5984"/>
    <w:rsid w:val="005F59F8"/>
    <w:rsid w:val="005F5A48"/>
    <w:rsid w:val="005F5A7C"/>
    <w:rsid w:val="005F5AC8"/>
    <w:rsid w:val="005F5CFE"/>
    <w:rsid w:val="005F5DD9"/>
    <w:rsid w:val="005F5E11"/>
    <w:rsid w:val="005F5ECE"/>
    <w:rsid w:val="005F6198"/>
    <w:rsid w:val="005F61C3"/>
    <w:rsid w:val="005F655A"/>
    <w:rsid w:val="005F6666"/>
    <w:rsid w:val="005F66BE"/>
    <w:rsid w:val="005F66D0"/>
    <w:rsid w:val="005F681C"/>
    <w:rsid w:val="005F6915"/>
    <w:rsid w:val="005F6ACB"/>
    <w:rsid w:val="005F6EA0"/>
    <w:rsid w:val="005F6FDD"/>
    <w:rsid w:val="005F6FE5"/>
    <w:rsid w:val="005F70AD"/>
    <w:rsid w:val="005F729D"/>
    <w:rsid w:val="005F731F"/>
    <w:rsid w:val="005F7401"/>
    <w:rsid w:val="005F74C7"/>
    <w:rsid w:val="005F7573"/>
    <w:rsid w:val="005F7648"/>
    <w:rsid w:val="005F7730"/>
    <w:rsid w:val="005F774F"/>
    <w:rsid w:val="005F7920"/>
    <w:rsid w:val="005F792E"/>
    <w:rsid w:val="005F7CC2"/>
    <w:rsid w:val="005F7D08"/>
    <w:rsid w:val="005F7DDA"/>
    <w:rsid w:val="005F7E28"/>
    <w:rsid w:val="005F7ED1"/>
    <w:rsid w:val="00600059"/>
    <w:rsid w:val="006004B0"/>
    <w:rsid w:val="006004B6"/>
    <w:rsid w:val="00600552"/>
    <w:rsid w:val="00600610"/>
    <w:rsid w:val="00600652"/>
    <w:rsid w:val="0060067B"/>
    <w:rsid w:val="00600781"/>
    <w:rsid w:val="006008E1"/>
    <w:rsid w:val="00600902"/>
    <w:rsid w:val="00600AD6"/>
    <w:rsid w:val="00600B0C"/>
    <w:rsid w:val="00600B5B"/>
    <w:rsid w:val="00600C21"/>
    <w:rsid w:val="00600C57"/>
    <w:rsid w:val="00600CB3"/>
    <w:rsid w:val="00600D96"/>
    <w:rsid w:val="00600E3D"/>
    <w:rsid w:val="00600EB7"/>
    <w:rsid w:val="00600F80"/>
    <w:rsid w:val="00600F87"/>
    <w:rsid w:val="00601083"/>
    <w:rsid w:val="006010BB"/>
    <w:rsid w:val="006010EF"/>
    <w:rsid w:val="006011A6"/>
    <w:rsid w:val="0060136B"/>
    <w:rsid w:val="006013BB"/>
    <w:rsid w:val="00601571"/>
    <w:rsid w:val="00601592"/>
    <w:rsid w:val="006019E6"/>
    <w:rsid w:val="00601C41"/>
    <w:rsid w:val="00601D21"/>
    <w:rsid w:val="00601DCA"/>
    <w:rsid w:val="00601E0E"/>
    <w:rsid w:val="00601EBF"/>
    <w:rsid w:val="00602066"/>
    <w:rsid w:val="0060206C"/>
    <w:rsid w:val="006020A9"/>
    <w:rsid w:val="0060216D"/>
    <w:rsid w:val="00602191"/>
    <w:rsid w:val="006021A0"/>
    <w:rsid w:val="0060241E"/>
    <w:rsid w:val="006025B5"/>
    <w:rsid w:val="0060281D"/>
    <w:rsid w:val="00602866"/>
    <w:rsid w:val="00602A30"/>
    <w:rsid w:val="00602AAE"/>
    <w:rsid w:val="00602AB6"/>
    <w:rsid w:val="00602AC4"/>
    <w:rsid w:val="00602BA5"/>
    <w:rsid w:val="00602BFF"/>
    <w:rsid w:val="00602C6E"/>
    <w:rsid w:val="00603078"/>
    <w:rsid w:val="006030E9"/>
    <w:rsid w:val="006031B5"/>
    <w:rsid w:val="00603284"/>
    <w:rsid w:val="006033EC"/>
    <w:rsid w:val="00603474"/>
    <w:rsid w:val="00603590"/>
    <w:rsid w:val="0060379D"/>
    <w:rsid w:val="00603884"/>
    <w:rsid w:val="00603B0C"/>
    <w:rsid w:val="00603BC2"/>
    <w:rsid w:val="00603D0A"/>
    <w:rsid w:val="00603D4A"/>
    <w:rsid w:val="00603F57"/>
    <w:rsid w:val="00603FC6"/>
    <w:rsid w:val="0060430A"/>
    <w:rsid w:val="00604428"/>
    <w:rsid w:val="00604554"/>
    <w:rsid w:val="006046EA"/>
    <w:rsid w:val="0060487A"/>
    <w:rsid w:val="00604A49"/>
    <w:rsid w:val="00604A90"/>
    <w:rsid w:val="00604ABA"/>
    <w:rsid w:val="00604AD1"/>
    <w:rsid w:val="00604B57"/>
    <w:rsid w:val="00604C80"/>
    <w:rsid w:val="00604D5A"/>
    <w:rsid w:val="0060509C"/>
    <w:rsid w:val="00605317"/>
    <w:rsid w:val="006056EC"/>
    <w:rsid w:val="0060580F"/>
    <w:rsid w:val="0060589A"/>
    <w:rsid w:val="006058A3"/>
    <w:rsid w:val="00605AC2"/>
    <w:rsid w:val="00605AD8"/>
    <w:rsid w:val="00605B54"/>
    <w:rsid w:val="00605D4F"/>
    <w:rsid w:val="00605D61"/>
    <w:rsid w:val="00605E01"/>
    <w:rsid w:val="00605E3B"/>
    <w:rsid w:val="00605EB2"/>
    <w:rsid w:val="0060601D"/>
    <w:rsid w:val="00606200"/>
    <w:rsid w:val="006062CA"/>
    <w:rsid w:val="00606303"/>
    <w:rsid w:val="0060630B"/>
    <w:rsid w:val="00606411"/>
    <w:rsid w:val="00606442"/>
    <w:rsid w:val="0060645C"/>
    <w:rsid w:val="00606715"/>
    <w:rsid w:val="006068FF"/>
    <w:rsid w:val="00606A66"/>
    <w:rsid w:val="00606B53"/>
    <w:rsid w:val="00606B73"/>
    <w:rsid w:val="00606D10"/>
    <w:rsid w:val="0060704C"/>
    <w:rsid w:val="00607053"/>
    <w:rsid w:val="006071CA"/>
    <w:rsid w:val="006072C2"/>
    <w:rsid w:val="0060731A"/>
    <w:rsid w:val="0060757B"/>
    <w:rsid w:val="006075F9"/>
    <w:rsid w:val="006078D7"/>
    <w:rsid w:val="0060791D"/>
    <w:rsid w:val="0060795A"/>
    <w:rsid w:val="00607A52"/>
    <w:rsid w:val="00607A8B"/>
    <w:rsid w:val="00607C44"/>
    <w:rsid w:val="00607D26"/>
    <w:rsid w:val="00610161"/>
    <w:rsid w:val="00610233"/>
    <w:rsid w:val="006102F5"/>
    <w:rsid w:val="00610435"/>
    <w:rsid w:val="006105DA"/>
    <w:rsid w:val="0061067C"/>
    <w:rsid w:val="006106B1"/>
    <w:rsid w:val="006106D4"/>
    <w:rsid w:val="006107A8"/>
    <w:rsid w:val="00610891"/>
    <w:rsid w:val="0061089A"/>
    <w:rsid w:val="0061094A"/>
    <w:rsid w:val="00610ADD"/>
    <w:rsid w:val="00610D01"/>
    <w:rsid w:val="00610D3B"/>
    <w:rsid w:val="00610D53"/>
    <w:rsid w:val="00610D5D"/>
    <w:rsid w:val="00610DB7"/>
    <w:rsid w:val="00610DE0"/>
    <w:rsid w:val="00610E9E"/>
    <w:rsid w:val="00610ED2"/>
    <w:rsid w:val="00610FA4"/>
    <w:rsid w:val="00611043"/>
    <w:rsid w:val="00611103"/>
    <w:rsid w:val="0061117C"/>
    <w:rsid w:val="006111A3"/>
    <w:rsid w:val="00611207"/>
    <w:rsid w:val="00611437"/>
    <w:rsid w:val="00611753"/>
    <w:rsid w:val="00611778"/>
    <w:rsid w:val="006117B4"/>
    <w:rsid w:val="00611825"/>
    <w:rsid w:val="00611851"/>
    <w:rsid w:val="0061189F"/>
    <w:rsid w:val="00611B82"/>
    <w:rsid w:val="00611BE0"/>
    <w:rsid w:val="00611D7A"/>
    <w:rsid w:val="00611E2E"/>
    <w:rsid w:val="006120F8"/>
    <w:rsid w:val="006120FF"/>
    <w:rsid w:val="00612126"/>
    <w:rsid w:val="0061217D"/>
    <w:rsid w:val="00612292"/>
    <w:rsid w:val="00612451"/>
    <w:rsid w:val="006125A9"/>
    <w:rsid w:val="0061260F"/>
    <w:rsid w:val="0061268A"/>
    <w:rsid w:val="00612A33"/>
    <w:rsid w:val="00612A5B"/>
    <w:rsid w:val="00612F6C"/>
    <w:rsid w:val="00613082"/>
    <w:rsid w:val="0061308A"/>
    <w:rsid w:val="0061314A"/>
    <w:rsid w:val="0061318D"/>
    <w:rsid w:val="0061332E"/>
    <w:rsid w:val="00613381"/>
    <w:rsid w:val="00613649"/>
    <w:rsid w:val="00613665"/>
    <w:rsid w:val="00613743"/>
    <w:rsid w:val="006138CD"/>
    <w:rsid w:val="006139FE"/>
    <w:rsid w:val="00613AE4"/>
    <w:rsid w:val="00613B38"/>
    <w:rsid w:val="00613CF4"/>
    <w:rsid w:val="00613D83"/>
    <w:rsid w:val="00613DEC"/>
    <w:rsid w:val="0061417D"/>
    <w:rsid w:val="00614262"/>
    <w:rsid w:val="006142C3"/>
    <w:rsid w:val="00614555"/>
    <w:rsid w:val="006145C4"/>
    <w:rsid w:val="006145FC"/>
    <w:rsid w:val="006146EE"/>
    <w:rsid w:val="00614722"/>
    <w:rsid w:val="006147BE"/>
    <w:rsid w:val="00614AF9"/>
    <w:rsid w:val="00614D94"/>
    <w:rsid w:val="00614E5A"/>
    <w:rsid w:val="006150F7"/>
    <w:rsid w:val="00615249"/>
    <w:rsid w:val="0061539C"/>
    <w:rsid w:val="00615424"/>
    <w:rsid w:val="0061546F"/>
    <w:rsid w:val="00615477"/>
    <w:rsid w:val="006155C7"/>
    <w:rsid w:val="00615662"/>
    <w:rsid w:val="006156A4"/>
    <w:rsid w:val="0061573A"/>
    <w:rsid w:val="006157FB"/>
    <w:rsid w:val="006158CE"/>
    <w:rsid w:val="00615A59"/>
    <w:rsid w:val="00615AC8"/>
    <w:rsid w:val="00615AE8"/>
    <w:rsid w:val="00615B0F"/>
    <w:rsid w:val="00615F78"/>
    <w:rsid w:val="00615F8D"/>
    <w:rsid w:val="00616145"/>
    <w:rsid w:val="0061625B"/>
    <w:rsid w:val="00616271"/>
    <w:rsid w:val="00616515"/>
    <w:rsid w:val="00616720"/>
    <w:rsid w:val="00616763"/>
    <w:rsid w:val="006169FA"/>
    <w:rsid w:val="00616A1C"/>
    <w:rsid w:val="00616B70"/>
    <w:rsid w:val="00616CE4"/>
    <w:rsid w:val="00616CF7"/>
    <w:rsid w:val="00616E5F"/>
    <w:rsid w:val="00616F3A"/>
    <w:rsid w:val="00617112"/>
    <w:rsid w:val="006171CD"/>
    <w:rsid w:val="006172A0"/>
    <w:rsid w:val="0061735C"/>
    <w:rsid w:val="006173AF"/>
    <w:rsid w:val="0061769E"/>
    <w:rsid w:val="006176B5"/>
    <w:rsid w:val="006177B1"/>
    <w:rsid w:val="006178C7"/>
    <w:rsid w:val="006178CE"/>
    <w:rsid w:val="00617BCA"/>
    <w:rsid w:val="00617CF8"/>
    <w:rsid w:val="00617F31"/>
    <w:rsid w:val="0062012B"/>
    <w:rsid w:val="0062023C"/>
    <w:rsid w:val="00620263"/>
    <w:rsid w:val="006202CC"/>
    <w:rsid w:val="006205EC"/>
    <w:rsid w:val="0062073B"/>
    <w:rsid w:val="006207F9"/>
    <w:rsid w:val="0062083A"/>
    <w:rsid w:val="00620BAA"/>
    <w:rsid w:val="00620C42"/>
    <w:rsid w:val="00620CDB"/>
    <w:rsid w:val="00620D21"/>
    <w:rsid w:val="00620E88"/>
    <w:rsid w:val="00620EAC"/>
    <w:rsid w:val="00620F7B"/>
    <w:rsid w:val="00621061"/>
    <w:rsid w:val="006210C4"/>
    <w:rsid w:val="0062114B"/>
    <w:rsid w:val="00621208"/>
    <w:rsid w:val="006212CF"/>
    <w:rsid w:val="006215AE"/>
    <w:rsid w:val="006217B2"/>
    <w:rsid w:val="00621877"/>
    <w:rsid w:val="0062194B"/>
    <w:rsid w:val="00621958"/>
    <w:rsid w:val="00621AF7"/>
    <w:rsid w:val="00621B72"/>
    <w:rsid w:val="00621CBB"/>
    <w:rsid w:val="00621CFF"/>
    <w:rsid w:val="00621FB8"/>
    <w:rsid w:val="0062201C"/>
    <w:rsid w:val="0062202C"/>
    <w:rsid w:val="0062208A"/>
    <w:rsid w:val="00622145"/>
    <w:rsid w:val="006222C9"/>
    <w:rsid w:val="0062257A"/>
    <w:rsid w:val="006226B4"/>
    <w:rsid w:val="00622710"/>
    <w:rsid w:val="006227A2"/>
    <w:rsid w:val="00622B23"/>
    <w:rsid w:val="00622B2A"/>
    <w:rsid w:val="00622C32"/>
    <w:rsid w:val="00622DA5"/>
    <w:rsid w:val="00622EF5"/>
    <w:rsid w:val="00622F7C"/>
    <w:rsid w:val="00623122"/>
    <w:rsid w:val="006231A8"/>
    <w:rsid w:val="0062354D"/>
    <w:rsid w:val="006236B1"/>
    <w:rsid w:val="00623929"/>
    <w:rsid w:val="006239B9"/>
    <w:rsid w:val="00623C84"/>
    <w:rsid w:val="00623ED5"/>
    <w:rsid w:val="00623FD5"/>
    <w:rsid w:val="00624165"/>
    <w:rsid w:val="00624426"/>
    <w:rsid w:val="006244A2"/>
    <w:rsid w:val="006244EE"/>
    <w:rsid w:val="00624624"/>
    <w:rsid w:val="006246DA"/>
    <w:rsid w:val="0062474B"/>
    <w:rsid w:val="006249E1"/>
    <w:rsid w:val="00624B79"/>
    <w:rsid w:val="00624B82"/>
    <w:rsid w:val="00624CE3"/>
    <w:rsid w:val="00624E0A"/>
    <w:rsid w:val="00624E50"/>
    <w:rsid w:val="00624E96"/>
    <w:rsid w:val="00624FA5"/>
    <w:rsid w:val="00625262"/>
    <w:rsid w:val="006252D7"/>
    <w:rsid w:val="006253F0"/>
    <w:rsid w:val="00625416"/>
    <w:rsid w:val="006254FD"/>
    <w:rsid w:val="0062551B"/>
    <w:rsid w:val="00625577"/>
    <w:rsid w:val="006255C6"/>
    <w:rsid w:val="00625612"/>
    <w:rsid w:val="00625774"/>
    <w:rsid w:val="00625980"/>
    <w:rsid w:val="00625B26"/>
    <w:rsid w:val="00625D28"/>
    <w:rsid w:val="00625E9F"/>
    <w:rsid w:val="00625EB0"/>
    <w:rsid w:val="00625F17"/>
    <w:rsid w:val="00625F46"/>
    <w:rsid w:val="00625F79"/>
    <w:rsid w:val="006260AB"/>
    <w:rsid w:val="006261FE"/>
    <w:rsid w:val="006262BD"/>
    <w:rsid w:val="006262E2"/>
    <w:rsid w:val="006262E6"/>
    <w:rsid w:val="006265BE"/>
    <w:rsid w:val="00626666"/>
    <w:rsid w:val="0062676D"/>
    <w:rsid w:val="006267D2"/>
    <w:rsid w:val="00626851"/>
    <w:rsid w:val="00626854"/>
    <w:rsid w:val="006268B6"/>
    <w:rsid w:val="006268E6"/>
    <w:rsid w:val="0062696F"/>
    <w:rsid w:val="00626B59"/>
    <w:rsid w:val="00626B97"/>
    <w:rsid w:val="00626C89"/>
    <w:rsid w:val="00626CBE"/>
    <w:rsid w:val="00626F40"/>
    <w:rsid w:val="006270D0"/>
    <w:rsid w:val="0062726D"/>
    <w:rsid w:val="00627270"/>
    <w:rsid w:val="006272C4"/>
    <w:rsid w:val="0062748F"/>
    <w:rsid w:val="00627576"/>
    <w:rsid w:val="0062776A"/>
    <w:rsid w:val="006277E3"/>
    <w:rsid w:val="006278C6"/>
    <w:rsid w:val="00627947"/>
    <w:rsid w:val="006279B5"/>
    <w:rsid w:val="00627A8C"/>
    <w:rsid w:val="00627C10"/>
    <w:rsid w:val="00627CAA"/>
    <w:rsid w:val="00627CD0"/>
    <w:rsid w:val="00627CDA"/>
    <w:rsid w:val="00627D20"/>
    <w:rsid w:val="00627E05"/>
    <w:rsid w:val="00627E2E"/>
    <w:rsid w:val="006303E0"/>
    <w:rsid w:val="006304A0"/>
    <w:rsid w:val="00630611"/>
    <w:rsid w:val="0063065B"/>
    <w:rsid w:val="006307B3"/>
    <w:rsid w:val="0063085E"/>
    <w:rsid w:val="00630A37"/>
    <w:rsid w:val="00630BDA"/>
    <w:rsid w:val="00630C12"/>
    <w:rsid w:val="00630D1B"/>
    <w:rsid w:val="00630DE7"/>
    <w:rsid w:val="00630E93"/>
    <w:rsid w:val="0063104F"/>
    <w:rsid w:val="00631074"/>
    <w:rsid w:val="00631457"/>
    <w:rsid w:val="0063147D"/>
    <w:rsid w:val="0063151B"/>
    <w:rsid w:val="00631679"/>
    <w:rsid w:val="0063187B"/>
    <w:rsid w:val="00631A4F"/>
    <w:rsid w:val="00631B19"/>
    <w:rsid w:val="00631B89"/>
    <w:rsid w:val="00631BD3"/>
    <w:rsid w:val="00631E95"/>
    <w:rsid w:val="00631FDB"/>
    <w:rsid w:val="00632076"/>
    <w:rsid w:val="0063215F"/>
    <w:rsid w:val="0063226B"/>
    <w:rsid w:val="006324B5"/>
    <w:rsid w:val="0063254B"/>
    <w:rsid w:val="00632607"/>
    <w:rsid w:val="00632623"/>
    <w:rsid w:val="006326BB"/>
    <w:rsid w:val="006326D3"/>
    <w:rsid w:val="00632707"/>
    <w:rsid w:val="00632791"/>
    <w:rsid w:val="006327C2"/>
    <w:rsid w:val="006327FB"/>
    <w:rsid w:val="00632C7E"/>
    <w:rsid w:val="00632DBF"/>
    <w:rsid w:val="0063329A"/>
    <w:rsid w:val="006335B1"/>
    <w:rsid w:val="006335BE"/>
    <w:rsid w:val="006337F5"/>
    <w:rsid w:val="00633827"/>
    <w:rsid w:val="00633899"/>
    <w:rsid w:val="0063396A"/>
    <w:rsid w:val="00633B45"/>
    <w:rsid w:val="00633B66"/>
    <w:rsid w:val="00633BEE"/>
    <w:rsid w:val="00633BF3"/>
    <w:rsid w:val="00633C6D"/>
    <w:rsid w:val="00633EE0"/>
    <w:rsid w:val="00633F34"/>
    <w:rsid w:val="00633F68"/>
    <w:rsid w:val="00634020"/>
    <w:rsid w:val="00634031"/>
    <w:rsid w:val="006341D6"/>
    <w:rsid w:val="0063425F"/>
    <w:rsid w:val="006342E9"/>
    <w:rsid w:val="006343F4"/>
    <w:rsid w:val="00634516"/>
    <w:rsid w:val="00634600"/>
    <w:rsid w:val="00634677"/>
    <w:rsid w:val="006346C2"/>
    <w:rsid w:val="006347C0"/>
    <w:rsid w:val="00634CC7"/>
    <w:rsid w:val="00634D72"/>
    <w:rsid w:val="00634D9E"/>
    <w:rsid w:val="00634DED"/>
    <w:rsid w:val="00634FCD"/>
    <w:rsid w:val="006350B8"/>
    <w:rsid w:val="006352BD"/>
    <w:rsid w:val="0063569F"/>
    <w:rsid w:val="0063575A"/>
    <w:rsid w:val="00635802"/>
    <w:rsid w:val="00635817"/>
    <w:rsid w:val="00635A8A"/>
    <w:rsid w:val="00635B0B"/>
    <w:rsid w:val="00635B81"/>
    <w:rsid w:val="00635BA9"/>
    <w:rsid w:val="00635BAB"/>
    <w:rsid w:val="00635C2D"/>
    <w:rsid w:val="00635C40"/>
    <w:rsid w:val="00635D35"/>
    <w:rsid w:val="00635E7E"/>
    <w:rsid w:val="00635EC6"/>
    <w:rsid w:val="00635FE6"/>
    <w:rsid w:val="00636103"/>
    <w:rsid w:val="0063616E"/>
    <w:rsid w:val="006361BA"/>
    <w:rsid w:val="0063628F"/>
    <w:rsid w:val="0063632B"/>
    <w:rsid w:val="00636408"/>
    <w:rsid w:val="0063645D"/>
    <w:rsid w:val="0063645E"/>
    <w:rsid w:val="0063647A"/>
    <w:rsid w:val="0063656F"/>
    <w:rsid w:val="00636770"/>
    <w:rsid w:val="006368BE"/>
    <w:rsid w:val="00636937"/>
    <w:rsid w:val="00636B0F"/>
    <w:rsid w:val="00636E35"/>
    <w:rsid w:val="00636EE3"/>
    <w:rsid w:val="006371E7"/>
    <w:rsid w:val="00637406"/>
    <w:rsid w:val="006374B9"/>
    <w:rsid w:val="00637637"/>
    <w:rsid w:val="00637753"/>
    <w:rsid w:val="00637A32"/>
    <w:rsid w:val="00637A78"/>
    <w:rsid w:val="00637B41"/>
    <w:rsid w:val="00637BBC"/>
    <w:rsid w:val="00637E84"/>
    <w:rsid w:val="00637F0E"/>
    <w:rsid w:val="00637FB1"/>
    <w:rsid w:val="006403AD"/>
    <w:rsid w:val="006403BD"/>
    <w:rsid w:val="006403DA"/>
    <w:rsid w:val="00640443"/>
    <w:rsid w:val="006404A1"/>
    <w:rsid w:val="006408E0"/>
    <w:rsid w:val="0064094B"/>
    <w:rsid w:val="0064096C"/>
    <w:rsid w:val="00640B6D"/>
    <w:rsid w:val="00640CF6"/>
    <w:rsid w:val="00640E08"/>
    <w:rsid w:val="00640E28"/>
    <w:rsid w:val="00640F73"/>
    <w:rsid w:val="00640F88"/>
    <w:rsid w:val="00641163"/>
    <w:rsid w:val="0064131F"/>
    <w:rsid w:val="00641331"/>
    <w:rsid w:val="0064133F"/>
    <w:rsid w:val="00641406"/>
    <w:rsid w:val="0064152C"/>
    <w:rsid w:val="006415B2"/>
    <w:rsid w:val="00641985"/>
    <w:rsid w:val="006419FC"/>
    <w:rsid w:val="00641A57"/>
    <w:rsid w:val="00641AB8"/>
    <w:rsid w:val="00641AD5"/>
    <w:rsid w:val="00641ADB"/>
    <w:rsid w:val="00641B3E"/>
    <w:rsid w:val="00641BAE"/>
    <w:rsid w:val="00641BEB"/>
    <w:rsid w:val="00641CF3"/>
    <w:rsid w:val="00641E76"/>
    <w:rsid w:val="00641E8E"/>
    <w:rsid w:val="00641F08"/>
    <w:rsid w:val="00641FDC"/>
    <w:rsid w:val="0064231E"/>
    <w:rsid w:val="00642422"/>
    <w:rsid w:val="00642428"/>
    <w:rsid w:val="00642479"/>
    <w:rsid w:val="0064249A"/>
    <w:rsid w:val="006424C0"/>
    <w:rsid w:val="00642716"/>
    <w:rsid w:val="00642797"/>
    <w:rsid w:val="00642987"/>
    <w:rsid w:val="00642A75"/>
    <w:rsid w:val="00642C1F"/>
    <w:rsid w:val="00642C32"/>
    <w:rsid w:val="00642F00"/>
    <w:rsid w:val="00642F79"/>
    <w:rsid w:val="006430A3"/>
    <w:rsid w:val="006431FE"/>
    <w:rsid w:val="00643243"/>
    <w:rsid w:val="0064335F"/>
    <w:rsid w:val="00643389"/>
    <w:rsid w:val="0064340C"/>
    <w:rsid w:val="00643420"/>
    <w:rsid w:val="0064343B"/>
    <w:rsid w:val="006435A6"/>
    <w:rsid w:val="00643715"/>
    <w:rsid w:val="0064373B"/>
    <w:rsid w:val="00643942"/>
    <w:rsid w:val="006439C5"/>
    <w:rsid w:val="00643AF4"/>
    <w:rsid w:val="00643BEB"/>
    <w:rsid w:val="00643DAC"/>
    <w:rsid w:val="00643E5D"/>
    <w:rsid w:val="00643E6B"/>
    <w:rsid w:val="00643E7A"/>
    <w:rsid w:val="00643E7B"/>
    <w:rsid w:val="006440AB"/>
    <w:rsid w:val="00644165"/>
    <w:rsid w:val="006443C1"/>
    <w:rsid w:val="00644431"/>
    <w:rsid w:val="0064458B"/>
    <w:rsid w:val="006446B6"/>
    <w:rsid w:val="006446F8"/>
    <w:rsid w:val="00644778"/>
    <w:rsid w:val="00644930"/>
    <w:rsid w:val="00644969"/>
    <w:rsid w:val="00644A08"/>
    <w:rsid w:val="00644A15"/>
    <w:rsid w:val="00644A81"/>
    <w:rsid w:val="00644BB5"/>
    <w:rsid w:val="00644BD7"/>
    <w:rsid w:val="00644E4C"/>
    <w:rsid w:val="006450DA"/>
    <w:rsid w:val="006450DC"/>
    <w:rsid w:val="00645288"/>
    <w:rsid w:val="0064533F"/>
    <w:rsid w:val="00645735"/>
    <w:rsid w:val="006457A6"/>
    <w:rsid w:val="00645884"/>
    <w:rsid w:val="006458A2"/>
    <w:rsid w:val="0064599A"/>
    <w:rsid w:val="00645B2B"/>
    <w:rsid w:val="00645B4C"/>
    <w:rsid w:val="00645BE5"/>
    <w:rsid w:val="00645BF2"/>
    <w:rsid w:val="00645C31"/>
    <w:rsid w:val="00645C41"/>
    <w:rsid w:val="00645D0A"/>
    <w:rsid w:val="00645D69"/>
    <w:rsid w:val="00645E22"/>
    <w:rsid w:val="00645E4B"/>
    <w:rsid w:val="00645E6C"/>
    <w:rsid w:val="00645E94"/>
    <w:rsid w:val="00645EEA"/>
    <w:rsid w:val="00645F79"/>
    <w:rsid w:val="006460F2"/>
    <w:rsid w:val="00646160"/>
    <w:rsid w:val="00646227"/>
    <w:rsid w:val="00646274"/>
    <w:rsid w:val="0064659C"/>
    <w:rsid w:val="0064661F"/>
    <w:rsid w:val="0064667A"/>
    <w:rsid w:val="00646721"/>
    <w:rsid w:val="00646737"/>
    <w:rsid w:val="006467B9"/>
    <w:rsid w:val="006467DA"/>
    <w:rsid w:val="00646803"/>
    <w:rsid w:val="0064692D"/>
    <w:rsid w:val="00646984"/>
    <w:rsid w:val="006469F8"/>
    <w:rsid w:val="00646AFC"/>
    <w:rsid w:val="00646BAF"/>
    <w:rsid w:val="00646BF3"/>
    <w:rsid w:val="00646C91"/>
    <w:rsid w:val="00646CBC"/>
    <w:rsid w:val="00646E95"/>
    <w:rsid w:val="00646E9D"/>
    <w:rsid w:val="00646EF0"/>
    <w:rsid w:val="00646EF8"/>
    <w:rsid w:val="0064707F"/>
    <w:rsid w:val="0064718F"/>
    <w:rsid w:val="006472EF"/>
    <w:rsid w:val="006472F4"/>
    <w:rsid w:val="0064733B"/>
    <w:rsid w:val="0064757E"/>
    <w:rsid w:val="006475FD"/>
    <w:rsid w:val="00647634"/>
    <w:rsid w:val="00647999"/>
    <w:rsid w:val="006479A9"/>
    <w:rsid w:val="00647A06"/>
    <w:rsid w:val="00647A33"/>
    <w:rsid w:val="00647BD7"/>
    <w:rsid w:val="00647C32"/>
    <w:rsid w:val="00647C54"/>
    <w:rsid w:val="00647D73"/>
    <w:rsid w:val="00647DE9"/>
    <w:rsid w:val="00647E11"/>
    <w:rsid w:val="00647E82"/>
    <w:rsid w:val="00647F17"/>
    <w:rsid w:val="00647FF1"/>
    <w:rsid w:val="00650077"/>
    <w:rsid w:val="00650334"/>
    <w:rsid w:val="00650369"/>
    <w:rsid w:val="006503FE"/>
    <w:rsid w:val="006504B1"/>
    <w:rsid w:val="006504F3"/>
    <w:rsid w:val="00650525"/>
    <w:rsid w:val="00650553"/>
    <w:rsid w:val="00650805"/>
    <w:rsid w:val="006508A7"/>
    <w:rsid w:val="00650B7E"/>
    <w:rsid w:val="00650D16"/>
    <w:rsid w:val="006511B5"/>
    <w:rsid w:val="00651250"/>
    <w:rsid w:val="00651464"/>
    <w:rsid w:val="0065152E"/>
    <w:rsid w:val="00651554"/>
    <w:rsid w:val="00651679"/>
    <w:rsid w:val="0065171F"/>
    <w:rsid w:val="0065199E"/>
    <w:rsid w:val="00651A41"/>
    <w:rsid w:val="00651C0D"/>
    <w:rsid w:val="00652196"/>
    <w:rsid w:val="006521AE"/>
    <w:rsid w:val="0065231C"/>
    <w:rsid w:val="006523A7"/>
    <w:rsid w:val="0065245E"/>
    <w:rsid w:val="006524A1"/>
    <w:rsid w:val="0065264A"/>
    <w:rsid w:val="00652755"/>
    <w:rsid w:val="00652757"/>
    <w:rsid w:val="00652814"/>
    <w:rsid w:val="006528B5"/>
    <w:rsid w:val="006529AE"/>
    <w:rsid w:val="00652A2C"/>
    <w:rsid w:val="00652A68"/>
    <w:rsid w:val="00652A98"/>
    <w:rsid w:val="00652CF3"/>
    <w:rsid w:val="00653002"/>
    <w:rsid w:val="006532DB"/>
    <w:rsid w:val="006532E9"/>
    <w:rsid w:val="0065346F"/>
    <w:rsid w:val="0065348E"/>
    <w:rsid w:val="00653579"/>
    <w:rsid w:val="0065360D"/>
    <w:rsid w:val="00653690"/>
    <w:rsid w:val="0065374D"/>
    <w:rsid w:val="006538DB"/>
    <w:rsid w:val="00653B39"/>
    <w:rsid w:val="00653BB1"/>
    <w:rsid w:val="00653C31"/>
    <w:rsid w:val="00653EB7"/>
    <w:rsid w:val="00653F0B"/>
    <w:rsid w:val="00653F8E"/>
    <w:rsid w:val="00654134"/>
    <w:rsid w:val="00654188"/>
    <w:rsid w:val="0065419C"/>
    <w:rsid w:val="00654264"/>
    <w:rsid w:val="00654991"/>
    <w:rsid w:val="00654AD5"/>
    <w:rsid w:val="00654B81"/>
    <w:rsid w:val="00654CD5"/>
    <w:rsid w:val="00654DC1"/>
    <w:rsid w:val="00654DDB"/>
    <w:rsid w:val="00654E41"/>
    <w:rsid w:val="00654E55"/>
    <w:rsid w:val="00654FC6"/>
    <w:rsid w:val="00655030"/>
    <w:rsid w:val="0065517C"/>
    <w:rsid w:val="0065520A"/>
    <w:rsid w:val="00655215"/>
    <w:rsid w:val="006553E2"/>
    <w:rsid w:val="00655567"/>
    <w:rsid w:val="0065595F"/>
    <w:rsid w:val="00655994"/>
    <w:rsid w:val="00655A11"/>
    <w:rsid w:val="00655B89"/>
    <w:rsid w:val="00655BAF"/>
    <w:rsid w:val="00655C13"/>
    <w:rsid w:val="00655F62"/>
    <w:rsid w:val="00655FA8"/>
    <w:rsid w:val="0065615B"/>
    <w:rsid w:val="006563B3"/>
    <w:rsid w:val="00656409"/>
    <w:rsid w:val="0065649C"/>
    <w:rsid w:val="006564A8"/>
    <w:rsid w:val="006566D3"/>
    <w:rsid w:val="00656754"/>
    <w:rsid w:val="006567B0"/>
    <w:rsid w:val="00656966"/>
    <w:rsid w:val="00656AEB"/>
    <w:rsid w:val="00656BB4"/>
    <w:rsid w:val="00656CC3"/>
    <w:rsid w:val="00656D23"/>
    <w:rsid w:val="00656D76"/>
    <w:rsid w:val="00656F7C"/>
    <w:rsid w:val="00656FAB"/>
    <w:rsid w:val="00656FC2"/>
    <w:rsid w:val="006570C2"/>
    <w:rsid w:val="0065713D"/>
    <w:rsid w:val="00657156"/>
    <w:rsid w:val="0065737C"/>
    <w:rsid w:val="0065757C"/>
    <w:rsid w:val="0065775E"/>
    <w:rsid w:val="00657AD4"/>
    <w:rsid w:val="00657D18"/>
    <w:rsid w:val="00657D2A"/>
    <w:rsid w:val="006600A6"/>
    <w:rsid w:val="006602F1"/>
    <w:rsid w:val="006603AD"/>
    <w:rsid w:val="00660761"/>
    <w:rsid w:val="00660807"/>
    <w:rsid w:val="0066094C"/>
    <w:rsid w:val="00660A85"/>
    <w:rsid w:val="00660BB2"/>
    <w:rsid w:val="00660C4D"/>
    <w:rsid w:val="00660D3C"/>
    <w:rsid w:val="00660D7B"/>
    <w:rsid w:val="00660E03"/>
    <w:rsid w:val="00660E2F"/>
    <w:rsid w:val="0066107A"/>
    <w:rsid w:val="006614B2"/>
    <w:rsid w:val="006614F8"/>
    <w:rsid w:val="006617FB"/>
    <w:rsid w:val="00661827"/>
    <w:rsid w:val="00661917"/>
    <w:rsid w:val="00661A8D"/>
    <w:rsid w:val="00661AB8"/>
    <w:rsid w:val="00661B1C"/>
    <w:rsid w:val="00661BDD"/>
    <w:rsid w:val="00661CDB"/>
    <w:rsid w:val="00661D71"/>
    <w:rsid w:val="00661DF6"/>
    <w:rsid w:val="00661E95"/>
    <w:rsid w:val="00662058"/>
    <w:rsid w:val="00662180"/>
    <w:rsid w:val="006621CC"/>
    <w:rsid w:val="0066221F"/>
    <w:rsid w:val="006626D1"/>
    <w:rsid w:val="006626FB"/>
    <w:rsid w:val="00662729"/>
    <w:rsid w:val="006627CF"/>
    <w:rsid w:val="0066289C"/>
    <w:rsid w:val="00662987"/>
    <w:rsid w:val="00662A49"/>
    <w:rsid w:val="00662A69"/>
    <w:rsid w:val="00662AD7"/>
    <w:rsid w:val="00662B2C"/>
    <w:rsid w:val="00662C4E"/>
    <w:rsid w:val="00662D73"/>
    <w:rsid w:val="00662EF8"/>
    <w:rsid w:val="00662F53"/>
    <w:rsid w:val="00662F63"/>
    <w:rsid w:val="00663149"/>
    <w:rsid w:val="006631DB"/>
    <w:rsid w:val="0066326D"/>
    <w:rsid w:val="006632FA"/>
    <w:rsid w:val="00663B5A"/>
    <w:rsid w:val="00663C81"/>
    <w:rsid w:val="00663D56"/>
    <w:rsid w:val="00663E50"/>
    <w:rsid w:val="00663E7B"/>
    <w:rsid w:val="00663FDD"/>
    <w:rsid w:val="00663FF2"/>
    <w:rsid w:val="0066401B"/>
    <w:rsid w:val="00664024"/>
    <w:rsid w:val="00664097"/>
    <w:rsid w:val="0066420A"/>
    <w:rsid w:val="0066449B"/>
    <w:rsid w:val="006644A8"/>
    <w:rsid w:val="006644D8"/>
    <w:rsid w:val="006645C5"/>
    <w:rsid w:val="0066464B"/>
    <w:rsid w:val="0066475B"/>
    <w:rsid w:val="00664799"/>
    <w:rsid w:val="006648DA"/>
    <w:rsid w:val="00664A7B"/>
    <w:rsid w:val="00664C76"/>
    <w:rsid w:val="00664CD7"/>
    <w:rsid w:val="00664D34"/>
    <w:rsid w:val="00664D71"/>
    <w:rsid w:val="00664E6E"/>
    <w:rsid w:val="00664EF7"/>
    <w:rsid w:val="00664F78"/>
    <w:rsid w:val="0066537C"/>
    <w:rsid w:val="00665386"/>
    <w:rsid w:val="0066579A"/>
    <w:rsid w:val="00665870"/>
    <w:rsid w:val="00665915"/>
    <w:rsid w:val="00665A15"/>
    <w:rsid w:val="00665A1D"/>
    <w:rsid w:val="00665B52"/>
    <w:rsid w:val="00665D75"/>
    <w:rsid w:val="00665E0A"/>
    <w:rsid w:val="00665FC5"/>
    <w:rsid w:val="0066600E"/>
    <w:rsid w:val="0066602C"/>
    <w:rsid w:val="006661F1"/>
    <w:rsid w:val="006664ED"/>
    <w:rsid w:val="0066653A"/>
    <w:rsid w:val="006665BF"/>
    <w:rsid w:val="00666991"/>
    <w:rsid w:val="00666AA5"/>
    <w:rsid w:val="00666B20"/>
    <w:rsid w:val="00666CA8"/>
    <w:rsid w:val="00666CEB"/>
    <w:rsid w:val="00667053"/>
    <w:rsid w:val="006670FD"/>
    <w:rsid w:val="00667184"/>
    <w:rsid w:val="0066746D"/>
    <w:rsid w:val="00667714"/>
    <w:rsid w:val="00667791"/>
    <w:rsid w:val="006677FA"/>
    <w:rsid w:val="00667817"/>
    <w:rsid w:val="006678A3"/>
    <w:rsid w:val="00667985"/>
    <w:rsid w:val="00667A88"/>
    <w:rsid w:val="00667B53"/>
    <w:rsid w:val="00667C36"/>
    <w:rsid w:val="00667D40"/>
    <w:rsid w:val="00667E73"/>
    <w:rsid w:val="00667F42"/>
    <w:rsid w:val="00667F52"/>
    <w:rsid w:val="00667FE9"/>
    <w:rsid w:val="0066D64D"/>
    <w:rsid w:val="00670251"/>
    <w:rsid w:val="00670404"/>
    <w:rsid w:val="00670733"/>
    <w:rsid w:val="00670850"/>
    <w:rsid w:val="006708AA"/>
    <w:rsid w:val="006708C9"/>
    <w:rsid w:val="00670905"/>
    <w:rsid w:val="00670980"/>
    <w:rsid w:val="00670AE0"/>
    <w:rsid w:val="00670C8B"/>
    <w:rsid w:val="00670D30"/>
    <w:rsid w:val="00670E11"/>
    <w:rsid w:val="00670E90"/>
    <w:rsid w:val="00670EB7"/>
    <w:rsid w:val="00670F02"/>
    <w:rsid w:val="006713E0"/>
    <w:rsid w:val="006713F5"/>
    <w:rsid w:val="0067142A"/>
    <w:rsid w:val="006714F4"/>
    <w:rsid w:val="0067168B"/>
    <w:rsid w:val="006717CC"/>
    <w:rsid w:val="00671A97"/>
    <w:rsid w:val="00671A9D"/>
    <w:rsid w:val="00671ADD"/>
    <w:rsid w:val="00671AF6"/>
    <w:rsid w:val="00671C20"/>
    <w:rsid w:val="00671C53"/>
    <w:rsid w:val="00671C89"/>
    <w:rsid w:val="00671CB2"/>
    <w:rsid w:val="00671D78"/>
    <w:rsid w:val="00671DBE"/>
    <w:rsid w:val="00671DD5"/>
    <w:rsid w:val="00671F7C"/>
    <w:rsid w:val="00672050"/>
    <w:rsid w:val="00672211"/>
    <w:rsid w:val="00672297"/>
    <w:rsid w:val="006722AE"/>
    <w:rsid w:val="00672394"/>
    <w:rsid w:val="006725E0"/>
    <w:rsid w:val="006725E7"/>
    <w:rsid w:val="0067266F"/>
    <w:rsid w:val="0067277F"/>
    <w:rsid w:val="0067281B"/>
    <w:rsid w:val="00672823"/>
    <w:rsid w:val="00672996"/>
    <w:rsid w:val="00672A48"/>
    <w:rsid w:val="00672AFB"/>
    <w:rsid w:val="00672B94"/>
    <w:rsid w:val="00672BD9"/>
    <w:rsid w:val="00672D08"/>
    <w:rsid w:val="00672E10"/>
    <w:rsid w:val="00673077"/>
    <w:rsid w:val="006730AE"/>
    <w:rsid w:val="006732D5"/>
    <w:rsid w:val="00673437"/>
    <w:rsid w:val="00673453"/>
    <w:rsid w:val="0067347E"/>
    <w:rsid w:val="00673772"/>
    <w:rsid w:val="0067395A"/>
    <w:rsid w:val="006739BE"/>
    <w:rsid w:val="00673A77"/>
    <w:rsid w:val="00673C16"/>
    <w:rsid w:val="00673CC0"/>
    <w:rsid w:val="00673CD5"/>
    <w:rsid w:val="00673CF5"/>
    <w:rsid w:val="00673D95"/>
    <w:rsid w:val="00673F65"/>
    <w:rsid w:val="00673FA1"/>
    <w:rsid w:val="00673FC9"/>
    <w:rsid w:val="00674017"/>
    <w:rsid w:val="00674328"/>
    <w:rsid w:val="00674448"/>
    <w:rsid w:val="0067450B"/>
    <w:rsid w:val="0067460C"/>
    <w:rsid w:val="0067477D"/>
    <w:rsid w:val="00674881"/>
    <w:rsid w:val="00674965"/>
    <w:rsid w:val="00674981"/>
    <w:rsid w:val="006749A1"/>
    <w:rsid w:val="00674BCC"/>
    <w:rsid w:val="00674C75"/>
    <w:rsid w:val="00674C85"/>
    <w:rsid w:val="00674DCC"/>
    <w:rsid w:val="0067515C"/>
    <w:rsid w:val="0067527B"/>
    <w:rsid w:val="00675283"/>
    <w:rsid w:val="0067544F"/>
    <w:rsid w:val="00675499"/>
    <w:rsid w:val="006755AC"/>
    <w:rsid w:val="00675A11"/>
    <w:rsid w:val="00675A66"/>
    <w:rsid w:val="00675D72"/>
    <w:rsid w:val="00675D74"/>
    <w:rsid w:val="00675DE7"/>
    <w:rsid w:val="00675FF7"/>
    <w:rsid w:val="00676008"/>
    <w:rsid w:val="006765E4"/>
    <w:rsid w:val="00676685"/>
    <w:rsid w:val="0067694A"/>
    <w:rsid w:val="00676A9F"/>
    <w:rsid w:val="00676ABE"/>
    <w:rsid w:val="00676AF6"/>
    <w:rsid w:val="00676B8B"/>
    <w:rsid w:val="00676BDD"/>
    <w:rsid w:val="00676CFC"/>
    <w:rsid w:val="00676D0B"/>
    <w:rsid w:val="00676D41"/>
    <w:rsid w:val="00676DCD"/>
    <w:rsid w:val="00676E3F"/>
    <w:rsid w:val="00676F57"/>
    <w:rsid w:val="0067727C"/>
    <w:rsid w:val="00677302"/>
    <w:rsid w:val="00677570"/>
    <w:rsid w:val="006776BF"/>
    <w:rsid w:val="006776F9"/>
    <w:rsid w:val="0067773D"/>
    <w:rsid w:val="00677903"/>
    <w:rsid w:val="00677982"/>
    <w:rsid w:val="0067799E"/>
    <w:rsid w:val="00677A4F"/>
    <w:rsid w:val="00677A92"/>
    <w:rsid w:val="00677AC4"/>
    <w:rsid w:val="00677AD4"/>
    <w:rsid w:val="00677FBA"/>
    <w:rsid w:val="00677FF6"/>
    <w:rsid w:val="00680029"/>
    <w:rsid w:val="00680117"/>
    <w:rsid w:val="0068020C"/>
    <w:rsid w:val="006802E9"/>
    <w:rsid w:val="006803CD"/>
    <w:rsid w:val="006803E7"/>
    <w:rsid w:val="00680403"/>
    <w:rsid w:val="0068040B"/>
    <w:rsid w:val="0068053C"/>
    <w:rsid w:val="0068055C"/>
    <w:rsid w:val="006806F1"/>
    <w:rsid w:val="00680786"/>
    <w:rsid w:val="006808DD"/>
    <w:rsid w:val="006809BB"/>
    <w:rsid w:val="00680A4A"/>
    <w:rsid w:val="00680AAC"/>
    <w:rsid w:val="00680AFC"/>
    <w:rsid w:val="00680B5A"/>
    <w:rsid w:val="00680BB9"/>
    <w:rsid w:val="00680C24"/>
    <w:rsid w:val="00680CFF"/>
    <w:rsid w:val="00680E85"/>
    <w:rsid w:val="00680EFE"/>
    <w:rsid w:val="00680F81"/>
    <w:rsid w:val="00680F84"/>
    <w:rsid w:val="00681023"/>
    <w:rsid w:val="00681188"/>
    <w:rsid w:val="00681233"/>
    <w:rsid w:val="0068126F"/>
    <w:rsid w:val="0068144B"/>
    <w:rsid w:val="006814A9"/>
    <w:rsid w:val="00681568"/>
    <w:rsid w:val="0068160D"/>
    <w:rsid w:val="00681753"/>
    <w:rsid w:val="0068177C"/>
    <w:rsid w:val="0068199D"/>
    <w:rsid w:val="00681AB9"/>
    <w:rsid w:val="00681B2A"/>
    <w:rsid w:val="00681C39"/>
    <w:rsid w:val="00681C61"/>
    <w:rsid w:val="00681D60"/>
    <w:rsid w:val="00681E28"/>
    <w:rsid w:val="00681EEE"/>
    <w:rsid w:val="00682323"/>
    <w:rsid w:val="0068257F"/>
    <w:rsid w:val="00682619"/>
    <w:rsid w:val="0068262B"/>
    <w:rsid w:val="0068279E"/>
    <w:rsid w:val="006829C5"/>
    <w:rsid w:val="00682B5B"/>
    <w:rsid w:val="00682E07"/>
    <w:rsid w:val="00682EA5"/>
    <w:rsid w:val="00682F5F"/>
    <w:rsid w:val="00682FD0"/>
    <w:rsid w:val="0068330F"/>
    <w:rsid w:val="0068332A"/>
    <w:rsid w:val="00683344"/>
    <w:rsid w:val="0068339D"/>
    <w:rsid w:val="0068350A"/>
    <w:rsid w:val="006836F7"/>
    <w:rsid w:val="0068374E"/>
    <w:rsid w:val="006837CC"/>
    <w:rsid w:val="006838D5"/>
    <w:rsid w:val="00683BEB"/>
    <w:rsid w:val="00683CD9"/>
    <w:rsid w:val="00683D31"/>
    <w:rsid w:val="00683D7B"/>
    <w:rsid w:val="0068400C"/>
    <w:rsid w:val="0068401F"/>
    <w:rsid w:val="00684022"/>
    <w:rsid w:val="0068440E"/>
    <w:rsid w:val="00684419"/>
    <w:rsid w:val="00684433"/>
    <w:rsid w:val="00684576"/>
    <w:rsid w:val="006845CD"/>
    <w:rsid w:val="006846DB"/>
    <w:rsid w:val="00684764"/>
    <w:rsid w:val="006848D4"/>
    <w:rsid w:val="0068493B"/>
    <w:rsid w:val="00684BBC"/>
    <w:rsid w:val="00684CBF"/>
    <w:rsid w:val="00684F3C"/>
    <w:rsid w:val="00684F94"/>
    <w:rsid w:val="006850BD"/>
    <w:rsid w:val="00685145"/>
    <w:rsid w:val="00685153"/>
    <w:rsid w:val="0068518C"/>
    <w:rsid w:val="006851DF"/>
    <w:rsid w:val="006853CA"/>
    <w:rsid w:val="006855C9"/>
    <w:rsid w:val="00685699"/>
    <w:rsid w:val="00685734"/>
    <w:rsid w:val="006859BC"/>
    <w:rsid w:val="006859EB"/>
    <w:rsid w:val="00685A03"/>
    <w:rsid w:val="00685AB3"/>
    <w:rsid w:val="00685B32"/>
    <w:rsid w:val="00685CE8"/>
    <w:rsid w:val="00685FA1"/>
    <w:rsid w:val="0068607A"/>
    <w:rsid w:val="006862F4"/>
    <w:rsid w:val="0068632F"/>
    <w:rsid w:val="00686403"/>
    <w:rsid w:val="00686544"/>
    <w:rsid w:val="00686640"/>
    <w:rsid w:val="0068679B"/>
    <w:rsid w:val="006867C8"/>
    <w:rsid w:val="00686940"/>
    <w:rsid w:val="00686971"/>
    <w:rsid w:val="00686A99"/>
    <w:rsid w:val="00686A9E"/>
    <w:rsid w:val="00686B4B"/>
    <w:rsid w:val="00686D10"/>
    <w:rsid w:val="00686D71"/>
    <w:rsid w:val="00686E26"/>
    <w:rsid w:val="00686EB0"/>
    <w:rsid w:val="00686F55"/>
    <w:rsid w:val="0068703E"/>
    <w:rsid w:val="0068707F"/>
    <w:rsid w:val="006870A5"/>
    <w:rsid w:val="006870DA"/>
    <w:rsid w:val="006870DD"/>
    <w:rsid w:val="0068739B"/>
    <w:rsid w:val="006873DE"/>
    <w:rsid w:val="00687759"/>
    <w:rsid w:val="00687978"/>
    <w:rsid w:val="006879FD"/>
    <w:rsid w:val="00687A4E"/>
    <w:rsid w:val="00687A9E"/>
    <w:rsid w:val="00687CF3"/>
    <w:rsid w:val="00687EB9"/>
    <w:rsid w:val="00687EF4"/>
    <w:rsid w:val="00687F84"/>
    <w:rsid w:val="0068E1EE"/>
    <w:rsid w:val="0069005E"/>
    <w:rsid w:val="00690108"/>
    <w:rsid w:val="0069010B"/>
    <w:rsid w:val="006901F9"/>
    <w:rsid w:val="00690AFF"/>
    <w:rsid w:val="00690C1E"/>
    <w:rsid w:val="00690CFB"/>
    <w:rsid w:val="00690D69"/>
    <w:rsid w:val="00690DF0"/>
    <w:rsid w:val="00690EFC"/>
    <w:rsid w:val="00690F06"/>
    <w:rsid w:val="006911CA"/>
    <w:rsid w:val="00691227"/>
    <w:rsid w:val="006912DC"/>
    <w:rsid w:val="0069136B"/>
    <w:rsid w:val="00691438"/>
    <w:rsid w:val="0069151C"/>
    <w:rsid w:val="00691788"/>
    <w:rsid w:val="00691887"/>
    <w:rsid w:val="0069190A"/>
    <w:rsid w:val="00691A8A"/>
    <w:rsid w:val="00691B8B"/>
    <w:rsid w:val="00691C03"/>
    <w:rsid w:val="00691C98"/>
    <w:rsid w:val="00691D1D"/>
    <w:rsid w:val="00691E2A"/>
    <w:rsid w:val="00691EE2"/>
    <w:rsid w:val="0069217C"/>
    <w:rsid w:val="0069231A"/>
    <w:rsid w:val="00692638"/>
    <w:rsid w:val="00692709"/>
    <w:rsid w:val="00692B8C"/>
    <w:rsid w:val="00692BCE"/>
    <w:rsid w:val="00692C99"/>
    <w:rsid w:val="00692E32"/>
    <w:rsid w:val="00692E42"/>
    <w:rsid w:val="00692E5C"/>
    <w:rsid w:val="00692F6E"/>
    <w:rsid w:val="00692FC0"/>
    <w:rsid w:val="00693087"/>
    <w:rsid w:val="006930DD"/>
    <w:rsid w:val="0069324E"/>
    <w:rsid w:val="00693399"/>
    <w:rsid w:val="006933DB"/>
    <w:rsid w:val="00693594"/>
    <w:rsid w:val="0069395D"/>
    <w:rsid w:val="0069398B"/>
    <w:rsid w:val="00693990"/>
    <w:rsid w:val="006939AB"/>
    <w:rsid w:val="006939E0"/>
    <w:rsid w:val="00693BAD"/>
    <w:rsid w:val="00693CD1"/>
    <w:rsid w:val="00693EA4"/>
    <w:rsid w:val="00694289"/>
    <w:rsid w:val="0069438E"/>
    <w:rsid w:val="0069442E"/>
    <w:rsid w:val="006949F7"/>
    <w:rsid w:val="00694A77"/>
    <w:rsid w:val="00694AB7"/>
    <w:rsid w:val="00694C68"/>
    <w:rsid w:val="00694E43"/>
    <w:rsid w:val="00694F19"/>
    <w:rsid w:val="006950A2"/>
    <w:rsid w:val="006950CE"/>
    <w:rsid w:val="00695237"/>
    <w:rsid w:val="0069535D"/>
    <w:rsid w:val="006954E8"/>
    <w:rsid w:val="00695523"/>
    <w:rsid w:val="006956E2"/>
    <w:rsid w:val="00695823"/>
    <w:rsid w:val="006958CC"/>
    <w:rsid w:val="00695996"/>
    <w:rsid w:val="00695A92"/>
    <w:rsid w:val="00695ACA"/>
    <w:rsid w:val="00695B56"/>
    <w:rsid w:val="00695C68"/>
    <w:rsid w:val="00695E16"/>
    <w:rsid w:val="0069611D"/>
    <w:rsid w:val="0069620A"/>
    <w:rsid w:val="006963DC"/>
    <w:rsid w:val="00696459"/>
    <w:rsid w:val="00696485"/>
    <w:rsid w:val="006965E7"/>
    <w:rsid w:val="006969F3"/>
    <w:rsid w:val="00696A0E"/>
    <w:rsid w:val="00696AA9"/>
    <w:rsid w:val="00696ADF"/>
    <w:rsid w:val="00696B3A"/>
    <w:rsid w:val="00696B8D"/>
    <w:rsid w:val="00696D1D"/>
    <w:rsid w:val="00696D5B"/>
    <w:rsid w:val="006971E5"/>
    <w:rsid w:val="006974AA"/>
    <w:rsid w:val="0069758B"/>
    <w:rsid w:val="006977F4"/>
    <w:rsid w:val="00697A2B"/>
    <w:rsid w:val="00697B3D"/>
    <w:rsid w:val="00697C7C"/>
    <w:rsid w:val="00697CC8"/>
    <w:rsid w:val="00697E59"/>
    <w:rsid w:val="006A0035"/>
    <w:rsid w:val="006A0330"/>
    <w:rsid w:val="006A043D"/>
    <w:rsid w:val="006A0495"/>
    <w:rsid w:val="006A0699"/>
    <w:rsid w:val="006A06A7"/>
    <w:rsid w:val="006A086F"/>
    <w:rsid w:val="006A0D15"/>
    <w:rsid w:val="006A0D47"/>
    <w:rsid w:val="006A0F19"/>
    <w:rsid w:val="006A0F53"/>
    <w:rsid w:val="006A10CF"/>
    <w:rsid w:val="006A1324"/>
    <w:rsid w:val="006A145E"/>
    <w:rsid w:val="006A15CA"/>
    <w:rsid w:val="006A165B"/>
    <w:rsid w:val="006A17A9"/>
    <w:rsid w:val="006A17FC"/>
    <w:rsid w:val="006A18B3"/>
    <w:rsid w:val="006A1A17"/>
    <w:rsid w:val="006A1B27"/>
    <w:rsid w:val="006A1BA6"/>
    <w:rsid w:val="006A1C54"/>
    <w:rsid w:val="006A1D16"/>
    <w:rsid w:val="006A1E09"/>
    <w:rsid w:val="006A2054"/>
    <w:rsid w:val="006A2120"/>
    <w:rsid w:val="006A2183"/>
    <w:rsid w:val="006A239D"/>
    <w:rsid w:val="006A2622"/>
    <w:rsid w:val="006A269D"/>
    <w:rsid w:val="006A2895"/>
    <w:rsid w:val="006A28B2"/>
    <w:rsid w:val="006A2B19"/>
    <w:rsid w:val="006A2BD8"/>
    <w:rsid w:val="006A2DD6"/>
    <w:rsid w:val="006A2F55"/>
    <w:rsid w:val="006A3156"/>
    <w:rsid w:val="006A328A"/>
    <w:rsid w:val="006A328B"/>
    <w:rsid w:val="006A32B1"/>
    <w:rsid w:val="006A33FE"/>
    <w:rsid w:val="006A3467"/>
    <w:rsid w:val="006A353A"/>
    <w:rsid w:val="006A35B9"/>
    <w:rsid w:val="006A3609"/>
    <w:rsid w:val="006A3792"/>
    <w:rsid w:val="006A37CD"/>
    <w:rsid w:val="006A3891"/>
    <w:rsid w:val="006A3895"/>
    <w:rsid w:val="006A38AC"/>
    <w:rsid w:val="006A392F"/>
    <w:rsid w:val="006A3B5C"/>
    <w:rsid w:val="006A3DAA"/>
    <w:rsid w:val="006A3F40"/>
    <w:rsid w:val="006A40E6"/>
    <w:rsid w:val="006A434F"/>
    <w:rsid w:val="006A435C"/>
    <w:rsid w:val="006A4517"/>
    <w:rsid w:val="006A45BF"/>
    <w:rsid w:val="006A4B6C"/>
    <w:rsid w:val="006A4C29"/>
    <w:rsid w:val="006A4C53"/>
    <w:rsid w:val="006A4D6E"/>
    <w:rsid w:val="006A5105"/>
    <w:rsid w:val="006A51C7"/>
    <w:rsid w:val="006A521A"/>
    <w:rsid w:val="006A5251"/>
    <w:rsid w:val="006A5258"/>
    <w:rsid w:val="006A527A"/>
    <w:rsid w:val="006A53DC"/>
    <w:rsid w:val="006A5479"/>
    <w:rsid w:val="006A54C8"/>
    <w:rsid w:val="006A54D2"/>
    <w:rsid w:val="006A54E6"/>
    <w:rsid w:val="006A553F"/>
    <w:rsid w:val="006A559B"/>
    <w:rsid w:val="006A5773"/>
    <w:rsid w:val="006A588A"/>
    <w:rsid w:val="006A5C00"/>
    <w:rsid w:val="006A5C39"/>
    <w:rsid w:val="006A5C66"/>
    <w:rsid w:val="006A5CC3"/>
    <w:rsid w:val="006A5DC3"/>
    <w:rsid w:val="006A5EBF"/>
    <w:rsid w:val="006A61ED"/>
    <w:rsid w:val="006A62DA"/>
    <w:rsid w:val="006A63EF"/>
    <w:rsid w:val="006A65AB"/>
    <w:rsid w:val="006A672E"/>
    <w:rsid w:val="006A674A"/>
    <w:rsid w:val="006A689C"/>
    <w:rsid w:val="006A68BA"/>
    <w:rsid w:val="006A69B4"/>
    <w:rsid w:val="006A6A2B"/>
    <w:rsid w:val="006A6BBF"/>
    <w:rsid w:val="006A6BCA"/>
    <w:rsid w:val="006A6C85"/>
    <w:rsid w:val="006A6D63"/>
    <w:rsid w:val="006A6F3C"/>
    <w:rsid w:val="006A6FAE"/>
    <w:rsid w:val="006A707A"/>
    <w:rsid w:val="006A71A1"/>
    <w:rsid w:val="006A7345"/>
    <w:rsid w:val="006A7757"/>
    <w:rsid w:val="006A77F7"/>
    <w:rsid w:val="006A7A02"/>
    <w:rsid w:val="006A7CF8"/>
    <w:rsid w:val="006A7D3E"/>
    <w:rsid w:val="006A7E93"/>
    <w:rsid w:val="006A7EAF"/>
    <w:rsid w:val="006A7F65"/>
    <w:rsid w:val="006B0023"/>
    <w:rsid w:val="006B02B9"/>
    <w:rsid w:val="006B02D4"/>
    <w:rsid w:val="006B031F"/>
    <w:rsid w:val="006B033F"/>
    <w:rsid w:val="006B043E"/>
    <w:rsid w:val="006B0681"/>
    <w:rsid w:val="006B06FF"/>
    <w:rsid w:val="006B08B1"/>
    <w:rsid w:val="006B0910"/>
    <w:rsid w:val="006B091B"/>
    <w:rsid w:val="006B0961"/>
    <w:rsid w:val="006B0A11"/>
    <w:rsid w:val="006B0EBE"/>
    <w:rsid w:val="006B0F7C"/>
    <w:rsid w:val="006B10B9"/>
    <w:rsid w:val="006B10CA"/>
    <w:rsid w:val="006B1114"/>
    <w:rsid w:val="006B116A"/>
    <w:rsid w:val="006B1170"/>
    <w:rsid w:val="006B11A2"/>
    <w:rsid w:val="006B11B3"/>
    <w:rsid w:val="006B1276"/>
    <w:rsid w:val="006B13DD"/>
    <w:rsid w:val="006B1506"/>
    <w:rsid w:val="006B1777"/>
    <w:rsid w:val="006B17AE"/>
    <w:rsid w:val="006B18D0"/>
    <w:rsid w:val="006B1A87"/>
    <w:rsid w:val="006B1E6D"/>
    <w:rsid w:val="006B1EC5"/>
    <w:rsid w:val="006B1F0C"/>
    <w:rsid w:val="006B1FC7"/>
    <w:rsid w:val="006B206B"/>
    <w:rsid w:val="006B21BE"/>
    <w:rsid w:val="006B22B9"/>
    <w:rsid w:val="006B235E"/>
    <w:rsid w:val="006B25DD"/>
    <w:rsid w:val="006B264E"/>
    <w:rsid w:val="006B2683"/>
    <w:rsid w:val="006B274B"/>
    <w:rsid w:val="006B280B"/>
    <w:rsid w:val="006B2AD8"/>
    <w:rsid w:val="006B2BA7"/>
    <w:rsid w:val="006B2C87"/>
    <w:rsid w:val="006B2D05"/>
    <w:rsid w:val="006B2D1F"/>
    <w:rsid w:val="006B2E7B"/>
    <w:rsid w:val="006B2FF0"/>
    <w:rsid w:val="006B30D0"/>
    <w:rsid w:val="006B3416"/>
    <w:rsid w:val="006B355D"/>
    <w:rsid w:val="006B35DC"/>
    <w:rsid w:val="006B35E5"/>
    <w:rsid w:val="006B38CF"/>
    <w:rsid w:val="006B3926"/>
    <w:rsid w:val="006B3A59"/>
    <w:rsid w:val="006B3B26"/>
    <w:rsid w:val="006B3B2C"/>
    <w:rsid w:val="006B3BB5"/>
    <w:rsid w:val="006B3EF4"/>
    <w:rsid w:val="006B44C7"/>
    <w:rsid w:val="006B49CF"/>
    <w:rsid w:val="006B4CC9"/>
    <w:rsid w:val="006B4E26"/>
    <w:rsid w:val="006B4EDF"/>
    <w:rsid w:val="006B4F54"/>
    <w:rsid w:val="006B50C6"/>
    <w:rsid w:val="006B5139"/>
    <w:rsid w:val="006B5308"/>
    <w:rsid w:val="006B53F3"/>
    <w:rsid w:val="006B554F"/>
    <w:rsid w:val="006B556C"/>
    <w:rsid w:val="006B55FB"/>
    <w:rsid w:val="006B5614"/>
    <w:rsid w:val="006B5620"/>
    <w:rsid w:val="006B57FE"/>
    <w:rsid w:val="006B5804"/>
    <w:rsid w:val="006B5866"/>
    <w:rsid w:val="006B5A5C"/>
    <w:rsid w:val="006B5ABC"/>
    <w:rsid w:val="006B5B09"/>
    <w:rsid w:val="006B5F6F"/>
    <w:rsid w:val="006B610B"/>
    <w:rsid w:val="006B6164"/>
    <w:rsid w:val="006B617A"/>
    <w:rsid w:val="006B6292"/>
    <w:rsid w:val="006B6369"/>
    <w:rsid w:val="006B64FA"/>
    <w:rsid w:val="006B6523"/>
    <w:rsid w:val="006B66CB"/>
    <w:rsid w:val="006B6747"/>
    <w:rsid w:val="006B69BD"/>
    <w:rsid w:val="006B6A9B"/>
    <w:rsid w:val="006B6AFD"/>
    <w:rsid w:val="006B6BAC"/>
    <w:rsid w:val="006B6CCA"/>
    <w:rsid w:val="006B6E65"/>
    <w:rsid w:val="006B6E9A"/>
    <w:rsid w:val="006B6F0C"/>
    <w:rsid w:val="006B6F79"/>
    <w:rsid w:val="006B6FE2"/>
    <w:rsid w:val="006B7085"/>
    <w:rsid w:val="006B70F8"/>
    <w:rsid w:val="006B72CD"/>
    <w:rsid w:val="006B7451"/>
    <w:rsid w:val="006B7497"/>
    <w:rsid w:val="006B752A"/>
    <w:rsid w:val="006B7581"/>
    <w:rsid w:val="006B7648"/>
    <w:rsid w:val="006B764E"/>
    <w:rsid w:val="006B76EC"/>
    <w:rsid w:val="006B7720"/>
    <w:rsid w:val="006B775E"/>
    <w:rsid w:val="006B7A6B"/>
    <w:rsid w:val="006B7AAE"/>
    <w:rsid w:val="006B7B53"/>
    <w:rsid w:val="006B7C05"/>
    <w:rsid w:val="006B7E01"/>
    <w:rsid w:val="006B7FF6"/>
    <w:rsid w:val="006C03AA"/>
    <w:rsid w:val="006C0496"/>
    <w:rsid w:val="006C04FB"/>
    <w:rsid w:val="006C0537"/>
    <w:rsid w:val="006C05B0"/>
    <w:rsid w:val="006C06BE"/>
    <w:rsid w:val="006C086E"/>
    <w:rsid w:val="006C08D9"/>
    <w:rsid w:val="006C0966"/>
    <w:rsid w:val="006C0BCD"/>
    <w:rsid w:val="006C0C54"/>
    <w:rsid w:val="006C0D5F"/>
    <w:rsid w:val="006C0E7E"/>
    <w:rsid w:val="006C0F69"/>
    <w:rsid w:val="006C10E7"/>
    <w:rsid w:val="006C113B"/>
    <w:rsid w:val="006C11BC"/>
    <w:rsid w:val="006C1363"/>
    <w:rsid w:val="006C13B8"/>
    <w:rsid w:val="006C13C7"/>
    <w:rsid w:val="006C1567"/>
    <w:rsid w:val="006C16C1"/>
    <w:rsid w:val="006C16C6"/>
    <w:rsid w:val="006C176C"/>
    <w:rsid w:val="006C18B7"/>
    <w:rsid w:val="006C18F2"/>
    <w:rsid w:val="006C1912"/>
    <w:rsid w:val="006C1995"/>
    <w:rsid w:val="006C1A08"/>
    <w:rsid w:val="006C1AE1"/>
    <w:rsid w:val="006C1CE9"/>
    <w:rsid w:val="006C1E50"/>
    <w:rsid w:val="006C1EBE"/>
    <w:rsid w:val="006C1F60"/>
    <w:rsid w:val="006C2168"/>
    <w:rsid w:val="006C2289"/>
    <w:rsid w:val="006C2494"/>
    <w:rsid w:val="006C27F2"/>
    <w:rsid w:val="006C287A"/>
    <w:rsid w:val="006C2AB5"/>
    <w:rsid w:val="006C2C6A"/>
    <w:rsid w:val="006C2D09"/>
    <w:rsid w:val="006C2D5B"/>
    <w:rsid w:val="006C2E0A"/>
    <w:rsid w:val="006C2FB3"/>
    <w:rsid w:val="006C2FB4"/>
    <w:rsid w:val="006C307D"/>
    <w:rsid w:val="006C317B"/>
    <w:rsid w:val="006C31D4"/>
    <w:rsid w:val="006C3220"/>
    <w:rsid w:val="006C324D"/>
    <w:rsid w:val="006C3338"/>
    <w:rsid w:val="006C3347"/>
    <w:rsid w:val="006C33B1"/>
    <w:rsid w:val="006C3412"/>
    <w:rsid w:val="006C37AF"/>
    <w:rsid w:val="006C38D1"/>
    <w:rsid w:val="006C3934"/>
    <w:rsid w:val="006C39A8"/>
    <w:rsid w:val="006C3B3F"/>
    <w:rsid w:val="006C3C17"/>
    <w:rsid w:val="006C3C48"/>
    <w:rsid w:val="006C3C6C"/>
    <w:rsid w:val="006C3C74"/>
    <w:rsid w:val="006C3CF3"/>
    <w:rsid w:val="006C3D70"/>
    <w:rsid w:val="006C3EAE"/>
    <w:rsid w:val="006C3EDA"/>
    <w:rsid w:val="006C40DB"/>
    <w:rsid w:val="006C4190"/>
    <w:rsid w:val="006C41E4"/>
    <w:rsid w:val="006C4310"/>
    <w:rsid w:val="006C44AC"/>
    <w:rsid w:val="006C4566"/>
    <w:rsid w:val="006C4623"/>
    <w:rsid w:val="006C46BD"/>
    <w:rsid w:val="006C4933"/>
    <w:rsid w:val="006C498F"/>
    <w:rsid w:val="006C4A00"/>
    <w:rsid w:val="006C4AEB"/>
    <w:rsid w:val="006C4C0F"/>
    <w:rsid w:val="006C4D0C"/>
    <w:rsid w:val="006C4E88"/>
    <w:rsid w:val="006C51B5"/>
    <w:rsid w:val="006C5331"/>
    <w:rsid w:val="006C55E9"/>
    <w:rsid w:val="006C5627"/>
    <w:rsid w:val="006C5791"/>
    <w:rsid w:val="006C57F0"/>
    <w:rsid w:val="006C597E"/>
    <w:rsid w:val="006C5A23"/>
    <w:rsid w:val="006C5B55"/>
    <w:rsid w:val="006C5DB2"/>
    <w:rsid w:val="006C5ED3"/>
    <w:rsid w:val="006C61F2"/>
    <w:rsid w:val="006C6362"/>
    <w:rsid w:val="006C6458"/>
    <w:rsid w:val="006C6459"/>
    <w:rsid w:val="006C660C"/>
    <w:rsid w:val="006C6835"/>
    <w:rsid w:val="006C68D9"/>
    <w:rsid w:val="006C68F6"/>
    <w:rsid w:val="006C6947"/>
    <w:rsid w:val="006C69DE"/>
    <w:rsid w:val="006C6A1D"/>
    <w:rsid w:val="006C6B65"/>
    <w:rsid w:val="006C6CC8"/>
    <w:rsid w:val="006C6D86"/>
    <w:rsid w:val="006C6EA5"/>
    <w:rsid w:val="006C6EE8"/>
    <w:rsid w:val="006C6F8E"/>
    <w:rsid w:val="006C7190"/>
    <w:rsid w:val="006C7306"/>
    <w:rsid w:val="006C7913"/>
    <w:rsid w:val="006C79B8"/>
    <w:rsid w:val="006C7A75"/>
    <w:rsid w:val="006C7B7C"/>
    <w:rsid w:val="006C7C1B"/>
    <w:rsid w:val="006C7D55"/>
    <w:rsid w:val="006C7DC5"/>
    <w:rsid w:val="006D01FD"/>
    <w:rsid w:val="006D0292"/>
    <w:rsid w:val="006D038E"/>
    <w:rsid w:val="006D047F"/>
    <w:rsid w:val="006D05DE"/>
    <w:rsid w:val="006D061C"/>
    <w:rsid w:val="006D0627"/>
    <w:rsid w:val="006D07A7"/>
    <w:rsid w:val="006D0839"/>
    <w:rsid w:val="006D0970"/>
    <w:rsid w:val="006D0978"/>
    <w:rsid w:val="006D0AB0"/>
    <w:rsid w:val="006D0B34"/>
    <w:rsid w:val="006D0C7F"/>
    <w:rsid w:val="006D0CA4"/>
    <w:rsid w:val="006D0CD3"/>
    <w:rsid w:val="006D10D4"/>
    <w:rsid w:val="006D14B6"/>
    <w:rsid w:val="006D1545"/>
    <w:rsid w:val="006D155C"/>
    <w:rsid w:val="006D16C4"/>
    <w:rsid w:val="006D1731"/>
    <w:rsid w:val="006D19A7"/>
    <w:rsid w:val="006D1A8A"/>
    <w:rsid w:val="006D1AE9"/>
    <w:rsid w:val="006D1C33"/>
    <w:rsid w:val="006D1D19"/>
    <w:rsid w:val="006D1EC1"/>
    <w:rsid w:val="006D1EF5"/>
    <w:rsid w:val="006D1F3B"/>
    <w:rsid w:val="006D1FF1"/>
    <w:rsid w:val="006D22C8"/>
    <w:rsid w:val="006D2492"/>
    <w:rsid w:val="006D28EB"/>
    <w:rsid w:val="006D2997"/>
    <w:rsid w:val="006D2A06"/>
    <w:rsid w:val="006D2C10"/>
    <w:rsid w:val="006D2C86"/>
    <w:rsid w:val="006D2CAE"/>
    <w:rsid w:val="006D2CE6"/>
    <w:rsid w:val="006D2DA0"/>
    <w:rsid w:val="006D2E5B"/>
    <w:rsid w:val="006D2E9F"/>
    <w:rsid w:val="006D2EBB"/>
    <w:rsid w:val="006D3025"/>
    <w:rsid w:val="006D30CF"/>
    <w:rsid w:val="006D3156"/>
    <w:rsid w:val="006D3245"/>
    <w:rsid w:val="006D3348"/>
    <w:rsid w:val="006D335D"/>
    <w:rsid w:val="006D3417"/>
    <w:rsid w:val="006D3527"/>
    <w:rsid w:val="006D3769"/>
    <w:rsid w:val="006D3903"/>
    <w:rsid w:val="006D3A3B"/>
    <w:rsid w:val="006D3BD0"/>
    <w:rsid w:val="006D3C45"/>
    <w:rsid w:val="006D3C81"/>
    <w:rsid w:val="006D3C95"/>
    <w:rsid w:val="006D3DC2"/>
    <w:rsid w:val="006D3FCC"/>
    <w:rsid w:val="006D4120"/>
    <w:rsid w:val="006D41A1"/>
    <w:rsid w:val="006D428B"/>
    <w:rsid w:val="006D42A2"/>
    <w:rsid w:val="006D436C"/>
    <w:rsid w:val="006D444E"/>
    <w:rsid w:val="006D4470"/>
    <w:rsid w:val="006D46F0"/>
    <w:rsid w:val="006D46F4"/>
    <w:rsid w:val="006D473D"/>
    <w:rsid w:val="006D47CA"/>
    <w:rsid w:val="006D4845"/>
    <w:rsid w:val="006D495C"/>
    <w:rsid w:val="006D4A5A"/>
    <w:rsid w:val="006D4B88"/>
    <w:rsid w:val="006D4D72"/>
    <w:rsid w:val="006D4EAA"/>
    <w:rsid w:val="006D4FB2"/>
    <w:rsid w:val="006D51FE"/>
    <w:rsid w:val="006D53A2"/>
    <w:rsid w:val="006D5501"/>
    <w:rsid w:val="006D5511"/>
    <w:rsid w:val="006D55D7"/>
    <w:rsid w:val="006D55F9"/>
    <w:rsid w:val="006D5602"/>
    <w:rsid w:val="006D572C"/>
    <w:rsid w:val="006D57E1"/>
    <w:rsid w:val="006D592C"/>
    <w:rsid w:val="006D5AE4"/>
    <w:rsid w:val="006D5BE3"/>
    <w:rsid w:val="006D5E42"/>
    <w:rsid w:val="006D607D"/>
    <w:rsid w:val="006D6091"/>
    <w:rsid w:val="006D6093"/>
    <w:rsid w:val="006D627F"/>
    <w:rsid w:val="006D63DD"/>
    <w:rsid w:val="006D63F1"/>
    <w:rsid w:val="006D6441"/>
    <w:rsid w:val="006D646D"/>
    <w:rsid w:val="006D6697"/>
    <w:rsid w:val="006D674A"/>
    <w:rsid w:val="006D676E"/>
    <w:rsid w:val="006D687C"/>
    <w:rsid w:val="006D6890"/>
    <w:rsid w:val="006D6916"/>
    <w:rsid w:val="006D6B01"/>
    <w:rsid w:val="006D6B08"/>
    <w:rsid w:val="006D6C8C"/>
    <w:rsid w:val="006D6F0E"/>
    <w:rsid w:val="006D700B"/>
    <w:rsid w:val="006D7262"/>
    <w:rsid w:val="006D728F"/>
    <w:rsid w:val="006D745F"/>
    <w:rsid w:val="006D7688"/>
    <w:rsid w:val="006D769F"/>
    <w:rsid w:val="006D77F1"/>
    <w:rsid w:val="006D789A"/>
    <w:rsid w:val="006D7930"/>
    <w:rsid w:val="006D79CB"/>
    <w:rsid w:val="006D7A79"/>
    <w:rsid w:val="006D7BC3"/>
    <w:rsid w:val="006D7C45"/>
    <w:rsid w:val="006D7D5A"/>
    <w:rsid w:val="006D7F18"/>
    <w:rsid w:val="006D7F87"/>
    <w:rsid w:val="006DCA23"/>
    <w:rsid w:val="006E0006"/>
    <w:rsid w:val="006E0054"/>
    <w:rsid w:val="006E0132"/>
    <w:rsid w:val="006E01C6"/>
    <w:rsid w:val="006E0204"/>
    <w:rsid w:val="006E024C"/>
    <w:rsid w:val="006E0311"/>
    <w:rsid w:val="006E033A"/>
    <w:rsid w:val="006E052B"/>
    <w:rsid w:val="006E05E7"/>
    <w:rsid w:val="006E0603"/>
    <w:rsid w:val="006E067B"/>
    <w:rsid w:val="006E0753"/>
    <w:rsid w:val="006E0758"/>
    <w:rsid w:val="006E09A7"/>
    <w:rsid w:val="006E09DD"/>
    <w:rsid w:val="006E0B7B"/>
    <w:rsid w:val="006E0B96"/>
    <w:rsid w:val="006E0C6B"/>
    <w:rsid w:val="006E0CAB"/>
    <w:rsid w:val="006E102B"/>
    <w:rsid w:val="006E1099"/>
    <w:rsid w:val="006E1161"/>
    <w:rsid w:val="006E1526"/>
    <w:rsid w:val="006E1562"/>
    <w:rsid w:val="006E1669"/>
    <w:rsid w:val="006E1753"/>
    <w:rsid w:val="006E198F"/>
    <w:rsid w:val="006E19EE"/>
    <w:rsid w:val="006E1ED6"/>
    <w:rsid w:val="006E20CA"/>
    <w:rsid w:val="006E2102"/>
    <w:rsid w:val="006E221E"/>
    <w:rsid w:val="006E229C"/>
    <w:rsid w:val="006E22FA"/>
    <w:rsid w:val="006E23BC"/>
    <w:rsid w:val="006E251D"/>
    <w:rsid w:val="006E2532"/>
    <w:rsid w:val="006E25F5"/>
    <w:rsid w:val="006E286D"/>
    <w:rsid w:val="006E2A8E"/>
    <w:rsid w:val="006E2AED"/>
    <w:rsid w:val="006E2DCB"/>
    <w:rsid w:val="006E2E59"/>
    <w:rsid w:val="006E2E7C"/>
    <w:rsid w:val="006E310C"/>
    <w:rsid w:val="006E32ED"/>
    <w:rsid w:val="006E33C8"/>
    <w:rsid w:val="006E33D5"/>
    <w:rsid w:val="006E3413"/>
    <w:rsid w:val="006E345D"/>
    <w:rsid w:val="006E3563"/>
    <w:rsid w:val="006E3581"/>
    <w:rsid w:val="006E364B"/>
    <w:rsid w:val="006E3783"/>
    <w:rsid w:val="006E3AB1"/>
    <w:rsid w:val="006E3C97"/>
    <w:rsid w:val="006E3FCB"/>
    <w:rsid w:val="006E40D1"/>
    <w:rsid w:val="006E4170"/>
    <w:rsid w:val="006E4227"/>
    <w:rsid w:val="006E42FB"/>
    <w:rsid w:val="006E4333"/>
    <w:rsid w:val="006E45BD"/>
    <w:rsid w:val="006E45E7"/>
    <w:rsid w:val="006E481F"/>
    <w:rsid w:val="006E4B40"/>
    <w:rsid w:val="006E4D62"/>
    <w:rsid w:val="006E5070"/>
    <w:rsid w:val="006E5237"/>
    <w:rsid w:val="006E534E"/>
    <w:rsid w:val="006E535E"/>
    <w:rsid w:val="006E5376"/>
    <w:rsid w:val="006E5474"/>
    <w:rsid w:val="006E54AA"/>
    <w:rsid w:val="006E54C5"/>
    <w:rsid w:val="006E556F"/>
    <w:rsid w:val="006E5650"/>
    <w:rsid w:val="006E588B"/>
    <w:rsid w:val="006E597C"/>
    <w:rsid w:val="006E59B5"/>
    <w:rsid w:val="006E5A1B"/>
    <w:rsid w:val="006E5A58"/>
    <w:rsid w:val="006E5CC5"/>
    <w:rsid w:val="006E5ECC"/>
    <w:rsid w:val="006E5F21"/>
    <w:rsid w:val="006E6196"/>
    <w:rsid w:val="006E6206"/>
    <w:rsid w:val="006E629A"/>
    <w:rsid w:val="006E650C"/>
    <w:rsid w:val="006E6608"/>
    <w:rsid w:val="006E675D"/>
    <w:rsid w:val="006E683C"/>
    <w:rsid w:val="006E6A8F"/>
    <w:rsid w:val="006E6AF9"/>
    <w:rsid w:val="006E6B37"/>
    <w:rsid w:val="006E6B4A"/>
    <w:rsid w:val="006E6BBD"/>
    <w:rsid w:val="006E6D31"/>
    <w:rsid w:val="006E70DF"/>
    <w:rsid w:val="006E7310"/>
    <w:rsid w:val="006E734E"/>
    <w:rsid w:val="006E7391"/>
    <w:rsid w:val="006E73CF"/>
    <w:rsid w:val="006E7470"/>
    <w:rsid w:val="006E74AA"/>
    <w:rsid w:val="006E753B"/>
    <w:rsid w:val="006E76FB"/>
    <w:rsid w:val="006E78C4"/>
    <w:rsid w:val="006E7928"/>
    <w:rsid w:val="006E797E"/>
    <w:rsid w:val="006E79AB"/>
    <w:rsid w:val="006E79B6"/>
    <w:rsid w:val="006E7B14"/>
    <w:rsid w:val="006E7B9B"/>
    <w:rsid w:val="006E7C66"/>
    <w:rsid w:val="006E7D8D"/>
    <w:rsid w:val="006E7DE9"/>
    <w:rsid w:val="006E7E6C"/>
    <w:rsid w:val="006E7FD4"/>
    <w:rsid w:val="006E7FFC"/>
    <w:rsid w:val="006F00E8"/>
    <w:rsid w:val="006F0148"/>
    <w:rsid w:val="006F01A5"/>
    <w:rsid w:val="006F046B"/>
    <w:rsid w:val="006F04C7"/>
    <w:rsid w:val="006F058D"/>
    <w:rsid w:val="006F0671"/>
    <w:rsid w:val="006F06EE"/>
    <w:rsid w:val="006F0782"/>
    <w:rsid w:val="006F080F"/>
    <w:rsid w:val="006F0909"/>
    <w:rsid w:val="006F09F9"/>
    <w:rsid w:val="006F0BE4"/>
    <w:rsid w:val="006F0C6E"/>
    <w:rsid w:val="006F0CCF"/>
    <w:rsid w:val="006F0DE6"/>
    <w:rsid w:val="006F0E51"/>
    <w:rsid w:val="006F0F6F"/>
    <w:rsid w:val="006F1003"/>
    <w:rsid w:val="006F100A"/>
    <w:rsid w:val="006F1178"/>
    <w:rsid w:val="006F1250"/>
    <w:rsid w:val="006F12C1"/>
    <w:rsid w:val="006F1357"/>
    <w:rsid w:val="006F13CB"/>
    <w:rsid w:val="006F13F6"/>
    <w:rsid w:val="006F140B"/>
    <w:rsid w:val="006F141B"/>
    <w:rsid w:val="006F1623"/>
    <w:rsid w:val="006F186E"/>
    <w:rsid w:val="006F1B1E"/>
    <w:rsid w:val="006F1B3F"/>
    <w:rsid w:val="006F1E53"/>
    <w:rsid w:val="006F209E"/>
    <w:rsid w:val="006F216A"/>
    <w:rsid w:val="006F21FA"/>
    <w:rsid w:val="006F2487"/>
    <w:rsid w:val="006F25CA"/>
    <w:rsid w:val="006F2639"/>
    <w:rsid w:val="006F26B8"/>
    <w:rsid w:val="006F2813"/>
    <w:rsid w:val="006F28DF"/>
    <w:rsid w:val="006F291C"/>
    <w:rsid w:val="006F2926"/>
    <w:rsid w:val="006F2C21"/>
    <w:rsid w:val="006F2CC1"/>
    <w:rsid w:val="006F2CE8"/>
    <w:rsid w:val="006F2CFB"/>
    <w:rsid w:val="006F3142"/>
    <w:rsid w:val="006F3180"/>
    <w:rsid w:val="006F31A9"/>
    <w:rsid w:val="006F3215"/>
    <w:rsid w:val="006F32AF"/>
    <w:rsid w:val="006F3499"/>
    <w:rsid w:val="006F35B8"/>
    <w:rsid w:val="006F35D2"/>
    <w:rsid w:val="006F368F"/>
    <w:rsid w:val="006F3701"/>
    <w:rsid w:val="006F3706"/>
    <w:rsid w:val="006F377B"/>
    <w:rsid w:val="006F3851"/>
    <w:rsid w:val="006F38B0"/>
    <w:rsid w:val="006F38CD"/>
    <w:rsid w:val="006F3ABB"/>
    <w:rsid w:val="006F3BF3"/>
    <w:rsid w:val="006F3CF3"/>
    <w:rsid w:val="006F3D5B"/>
    <w:rsid w:val="006F3D9A"/>
    <w:rsid w:val="006F3FF9"/>
    <w:rsid w:val="006F3FFC"/>
    <w:rsid w:val="006F410D"/>
    <w:rsid w:val="006F413F"/>
    <w:rsid w:val="006F425E"/>
    <w:rsid w:val="006F4294"/>
    <w:rsid w:val="006F4308"/>
    <w:rsid w:val="006F44C5"/>
    <w:rsid w:val="006F45A6"/>
    <w:rsid w:val="006F468A"/>
    <w:rsid w:val="006F48CE"/>
    <w:rsid w:val="006F490A"/>
    <w:rsid w:val="006F4962"/>
    <w:rsid w:val="006F49D0"/>
    <w:rsid w:val="006F4A93"/>
    <w:rsid w:val="006F4CF9"/>
    <w:rsid w:val="006F4E21"/>
    <w:rsid w:val="006F4E52"/>
    <w:rsid w:val="006F4EE2"/>
    <w:rsid w:val="006F5121"/>
    <w:rsid w:val="006F5186"/>
    <w:rsid w:val="006F52B5"/>
    <w:rsid w:val="006F5343"/>
    <w:rsid w:val="006F538D"/>
    <w:rsid w:val="006F5423"/>
    <w:rsid w:val="006F54B2"/>
    <w:rsid w:val="006F54F8"/>
    <w:rsid w:val="006F5612"/>
    <w:rsid w:val="006F56D2"/>
    <w:rsid w:val="006F5864"/>
    <w:rsid w:val="006F59F0"/>
    <w:rsid w:val="006F5A48"/>
    <w:rsid w:val="006F5A87"/>
    <w:rsid w:val="006F5ABB"/>
    <w:rsid w:val="006F5B34"/>
    <w:rsid w:val="006F5DAA"/>
    <w:rsid w:val="006F5E98"/>
    <w:rsid w:val="006F5EAA"/>
    <w:rsid w:val="006F5EE1"/>
    <w:rsid w:val="006F5EEE"/>
    <w:rsid w:val="006F61AC"/>
    <w:rsid w:val="006F61B2"/>
    <w:rsid w:val="006F61B3"/>
    <w:rsid w:val="006F6228"/>
    <w:rsid w:val="006F626F"/>
    <w:rsid w:val="006F64D0"/>
    <w:rsid w:val="006F655A"/>
    <w:rsid w:val="006F65C7"/>
    <w:rsid w:val="006F6615"/>
    <w:rsid w:val="006F681B"/>
    <w:rsid w:val="006F69B9"/>
    <w:rsid w:val="006F6A25"/>
    <w:rsid w:val="006F6AB2"/>
    <w:rsid w:val="006F6AEC"/>
    <w:rsid w:val="006F6BFF"/>
    <w:rsid w:val="006F6D70"/>
    <w:rsid w:val="006F6DC7"/>
    <w:rsid w:val="006F7082"/>
    <w:rsid w:val="006F711F"/>
    <w:rsid w:val="006F7158"/>
    <w:rsid w:val="006F7214"/>
    <w:rsid w:val="006F7248"/>
    <w:rsid w:val="006F745B"/>
    <w:rsid w:val="006F7696"/>
    <w:rsid w:val="006F7786"/>
    <w:rsid w:val="006F77E4"/>
    <w:rsid w:val="006F78A7"/>
    <w:rsid w:val="006F78E4"/>
    <w:rsid w:val="006F79A0"/>
    <w:rsid w:val="006F79D6"/>
    <w:rsid w:val="006F7AC0"/>
    <w:rsid w:val="006F7D90"/>
    <w:rsid w:val="006F7DAB"/>
    <w:rsid w:val="006F7F8E"/>
    <w:rsid w:val="007000D5"/>
    <w:rsid w:val="007001C6"/>
    <w:rsid w:val="0070032F"/>
    <w:rsid w:val="0070051F"/>
    <w:rsid w:val="00700566"/>
    <w:rsid w:val="00700775"/>
    <w:rsid w:val="00700878"/>
    <w:rsid w:val="007008C5"/>
    <w:rsid w:val="007008CC"/>
    <w:rsid w:val="007008FE"/>
    <w:rsid w:val="00700A8D"/>
    <w:rsid w:val="00700B89"/>
    <w:rsid w:val="00700C6D"/>
    <w:rsid w:val="00700D03"/>
    <w:rsid w:val="00700D49"/>
    <w:rsid w:val="00700DD4"/>
    <w:rsid w:val="00700EC4"/>
    <w:rsid w:val="00700FD0"/>
    <w:rsid w:val="00700FF2"/>
    <w:rsid w:val="00700FF6"/>
    <w:rsid w:val="0070126A"/>
    <w:rsid w:val="0070135E"/>
    <w:rsid w:val="00701422"/>
    <w:rsid w:val="00701631"/>
    <w:rsid w:val="00701745"/>
    <w:rsid w:val="0070182D"/>
    <w:rsid w:val="00701A54"/>
    <w:rsid w:val="00701AEC"/>
    <w:rsid w:val="00701C8A"/>
    <w:rsid w:val="00701CB3"/>
    <w:rsid w:val="00701D05"/>
    <w:rsid w:val="00701E86"/>
    <w:rsid w:val="00701EF6"/>
    <w:rsid w:val="00701F13"/>
    <w:rsid w:val="00701F21"/>
    <w:rsid w:val="007020A9"/>
    <w:rsid w:val="007020FB"/>
    <w:rsid w:val="007022E0"/>
    <w:rsid w:val="00702368"/>
    <w:rsid w:val="00702376"/>
    <w:rsid w:val="00702389"/>
    <w:rsid w:val="00702529"/>
    <w:rsid w:val="00702767"/>
    <w:rsid w:val="007027A6"/>
    <w:rsid w:val="00702A9B"/>
    <w:rsid w:val="00702AA8"/>
    <w:rsid w:val="00702B46"/>
    <w:rsid w:val="00702BCD"/>
    <w:rsid w:val="00702C0C"/>
    <w:rsid w:val="007032F7"/>
    <w:rsid w:val="00703366"/>
    <w:rsid w:val="0070342C"/>
    <w:rsid w:val="0070344E"/>
    <w:rsid w:val="007035CC"/>
    <w:rsid w:val="007035DE"/>
    <w:rsid w:val="00703C16"/>
    <w:rsid w:val="00703C45"/>
    <w:rsid w:val="00703C8C"/>
    <w:rsid w:val="00703C91"/>
    <w:rsid w:val="00703DA3"/>
    <w:rsid w:val="00703E02"/>
    <w:rsid w:val="00703E28"/>
    <w:rsid w:val="00703F16"/>
    <w:rsid w:val="00703F3C"/>
    <w:rsid w:val="00703F90"/>
    <w:rsid w:val="00703FDA"/>
    <w:rsid w:val="007040EA"/>
    <w:rsid w:val="00704112"/>
    <w:rsid w:val="007041A2"/>
    <w:rsid w:val="007042AA"/>
    <w:rsid w:val="00704376"/>
    <w:rsid w:val="0070439E"/>
    <w:rsid w:val="007043B2"/>
    <w:rsid w:val="007045BB"/>
    <w:rsid w:val="00704696"/>
    <w:rsid w:val="00704698"/>
    <w:rsid w:val="0070483E"/>
    <w:rsid w:val="007049D5"/>
    <w:rsid w:val="00704C56"/>
    <w:rsid w:val="00704C65"/>
    <w:rsid w:val="00704CA4"/>
    <w:rsid w:val="00704CA6"/>
    <w:rsid w:val="00704DBA"/>
    <w:rsid w:val="00704E03"/>
    <w:rsid w:val="00704E0F"/>
    <w:rsid w:val="00704E54"/>
    <w:rsid w:val="007050CC"/>
    <w:rsid w:val="00705162"/>
    <w:rsid w:val="00705345"/>
    <w:rsid w:val="00705383"/>
    <w:rsid w:val="007053F5"/>
    <w:rsid w:val="0070569B"/>
    <w:rsid w:val="0070591E"/>
    <w:rsid w:val="00705930"/>
    <w:rsid w:val="0070595E"/>
    <w:rsid w:val="00705A39"/>
    <w:rsid w:val="00705A4E"/>
    <w:rsid w:val="00705B50"/>
    <w:rsid w:val="00705CE5"/>
    <w:rsid w:val="00705DEA"/>
    <w:rsid w:val="00705F07"/>
    <w:rsid w:val="00705F19"/>
    <w:rsid w:val="00705F9B"/>
    <w:rsid w:val="00706040"/>
    <w:rsid w:val="007060F2"/>
    <w:rsid w:val="00706215"/>
    <w:rsid w:val="007062F5"/>
    <w:rsid w:val="00706404"/>
    <w:rsid w:val="00706406"/>
    <w:rsid w:val="0070659B"/>
    <w:rsid w:val="007065BF"/>
    <w:rsid w:val="0070670B"/>
    <w:rsid w:val="00706750"/>
    <w:rsid w:val="0070691A"/>
    <w:rsid w:val="00706938"/>
    <w:rsid w:val="007069D3"/>
    <w:rsid w:val="00706C6A"/>
    <w:rsid w:val="00706C8B"/>
    <w:rsid w:val="00706D66"/>
    <w:rsid w:val="00706E1C"/>
    <w:rsid w:val="00706F0A"/>
    <w:rsid w:val="00706F4C"/>
    <w:rsid w:val="00706F62"/>
    <w:rsid w:val="00706F67"/>
    <w:rsid w:val="00706F6A"/>
    <w:rsid w:val="00706FF3"/>
    <w:rsid w:val="00707009"/>
    <w:rsid w:val="00707114"/>
    <w:rsid w:val="0070726F"/>
    <w:rsid w:val="00707402"/>
    <w:rsid w:val="007074FE"/>
    <w:rsid w:val="007077C3"/>
    <w:rsid w:val="007077D6"/>
    <w:rsid w:val="0070799D"/>
    <w:rsid w:val="00707C3D"/>
    <w:rsid w:val="00707C7B"/>
    <w:rsid w:val="00707D67"/>
    <w:rsid w:val="00707DA0"/>
    <w:rsid w:val="00707ED7"/>
    <w:rsid w:val="00707F4A"/>
    <w:rsid w:val="0071018C"/>
    <w:rsid w:val="0071062F"/>
    <w:rsid w:val="007106F7"/>
    <w:rsid w:val="007107A5"/>
    <w:rsid w:val="00710A05"/>
    <w:rsid w:val="00710A36"/>
    <w:rsid w:val="00710BF8"/>
    <w:rsid w:val="00710BFB"/>
    <w:rsid w:val="00710CC5"/>
    <w:rsid w:val="00710D99"/>
    <w:rsid w:val="00710DC9"/>
    <w:rsid w:val="00710E7A"/>
    <w:rsid w:val="00710F73"/>
    <w:rsid w:val="007110AA"/>
    <w:rsid w:val="007111DC"/>
    <w:rsid w:val="00711279"/>
    <w:rsid w:val="00711540"/>
    <w:rsid w:val="00711557"/>
    <w:rsid w:val="0071155A"/>
    <w:rsid w:val="0071158F"/>
    <w:rsid w:val="00711645"/>
    <w:rsid w:val="00711787"/>
    <w:rsid w:val="00711820"/>
    <w:rsid w:val="0071196B"/>
    <w:rsid w:val="00711BB1"/>
    <w:rsid w:val="00711D16"/>
    <w:rsid w:val="00711D1C"/>
    <w:rsid w:val="00711DBB"/>
    <w:rsid w:val="00711ED4"/>
    <w:rsid w:val="00711EE7"/>
    <w:rsid w:val="00711F96"/>
    <w:rsid w:val="00711FFE"/>
    <w:rsid w:val="0071203C"/>
    <w:rsid w:val="00712041"/>
    <w:rsid w:val="0071217A"/>
    <w:rsid w:val="0071223E"/>
    <w:rsid w:val="00712441"/>
    <w:rsid w:val="0071248B"/>
    <w:rsid w:val="0071253E"/>
    <w:rsid w:val="007125AE"/>
    <w:rsid w:val="00712610"/>
    <w:rsid w:val="00712622"/>
    <w:rsid w:val="0071292E"/>
    <w:rsid w:val="00712AAF"/>
    <w:rsid w:val="00712C47"/>
    <w:rsid w:val="00712DD5"/>
    <w:rsid w:val="00712EA3"/>
    <w:rsid w:val="00712EDC"/>
    <w:rsid w:val="00712F8B"/>
    <w:rsid w:val="007130D6"/>
    <w:rsid w:val="00713109"/>
    <w:rsid w:val="0071310B"/>
    <w:rsid w:val="007131EC"/>
    <w:rsid w:val="00713346"/>
    <w:rsid w:val="00713498"/>
    <w:rsid w:val="0071363A"/>
    <w:rsid w:val="007137DF"/>
    <w:rsid w:val="007139AF"/>
    <w:rsid w:val="00713AF0"/>
    <w:rsid w:val="00713B4E"/>
    <w:rsid w:val="00713CBF"/>
    <w:rsid w:val="00713E35"/>
    <w:rsid w:val="00714335"/>
    <w:rsid w:val="0071434D"/>
    <w:rsid w:val="0071439C"/>
    <w:rsid w:val="007143EC"/>
    <w:rsid w:val="007144E2"/>
    <w:rsid w:val="007147D0"/>
    <w:rsid w:val="00714809"/>
    <w:rsid w:val="0071493D"/>
    <w:rsid w:val="007149BA"/>
    <w:rsid w:val="00714B98"/>
    <w:rsid w:val="00714F41"/>
    <w:rsid w:val="00714FA7"/>
    <w:rsid w:val="00714FC9"/>
    <w:rsid w:val="007150DA"/>
    <w:rsid w:val="0071515B"/>
    <w:rsid w:val="007152E1"/>
    <w:rsid w:val="0071549F"/>
    <w:rsid w:val="00715601"/>
    <w:rsid w:val="00715615"/>
    <w:rsid w:val="00715658"/>
    <w:rsid w:val="00715731"/>
    <w:rsid w:val="0071577B"/>
    <w:rsid w:val="00715823"/>
    <w:rsid w:val="00715B66"/>
    <w:rsid w:val="00715D43"/>
    <w:rsid w:val="00715DD7"/>
    <w:rsid w:val="00715E57"/>
    <w:rsid w:val="00715F20"/>
    <w:rsid w:val="007160AC"/>
    <w:rsid w:val="0071616C"/>
    <w:rsid w:val="0071618B"/>
    <w:rsid w:val="00716235"/>
    <w:rsid w:val="007162EE"/>
    <w:rsid w:val="00716495"/>
    <w:rsid w:val="007164C3"/>
    <w:rsid w:val="0071660A"/>
    <w:rsid w:val="007166DF"/>
    <w:rsid w:val="0071675D"/>
    <w:rsid w:val="0071688C"/>
    <w:rsid w:val="0071690D"/>
    <w:rsid w:val="00716B7C"/>
    <w:rsid w:val="00716C15"/>
    <w:rsid w:val="00716C3D"/>
    <w:rsid w:val="00716CDF"/>
    <w:rsid w:val="00716D06"/>
    <w:rsid w:val="00716EC0"/>
    <w:rsid w:val="00716F75"/>
    <w:rsid w:val="0071712F"/>
    <w:rsid w:val="0071717F"/>
    <w:rsid w:val="00717587"/>
    <w:rsid w:val="0071763E"/>
    <w:rsid w:val="00717685"/>
    <w:rsid w:val="0071776E"/>
    <w:rsid w:val="007177C5"/>
    <w:rsid w:val="00717819"/>
    <w:rsid w:val="007178A2"/>
    <w:rsid w:val="00717A37"/>
    <w:rsid w:val="00717A54"/>
    <w:rsid w:val="00717ADC"/>
    <w:rsid w:val="00717D71"/>
    <w:rsid w:val="0071FEB4"/>
    <w:rsid w:val="00720014"/>
    <w:rsid w:val="007200AF"/>
    <w:rsid w:val="007200E6"/>
    <w:rsid w:val="00720481"/>
    <w:rsid w:val="007205C4"/>
    <w:rsid w:val="007205D0"/>
    <w:rsid w:val="007205D7"/>
    <w:rsid w:val="0072086D"/>
    <w:rsid w:val="00720872"/>
    <w:rsid w:val="00720947"/>
    <w:rsid w:val="007209C6"/>
    <w:rsid w:val="007209DE"/>
    <w:rsid w:val="00720AF8"/>
    <w:rsid w:val="00720B0F"/>
    <w:rsid w:val="00720D68"/>
    <w:rsid w:val="00720E13"/>
    <w:rsid w:val="00720E7D"/>
    <w:rsid w:val="00720F05"/>
    <w:rsid w:val="0072116C"/>
    <w:rsid w:val="007211E5"/>
    <w:rsid w:val="007212F6"/>
    <w:rsid w:val="007213C7"/>
    <w:rsid w:val="0072148F"/>
    <w:rsid w:val="007214B9"/>
    <w:rsid w:val="0072167F"/>
    <w:rsid w:val="007216FC"/>
    <w:rsid w:val="0072178C"/>
    <w:rsid w:val="00721A88"/>
    <w:rsid w:val="00721B9F"/>
    <w:rsid w:val="00721C33"/>
    <w:rsid w:val="00721C8C"/>
    <w:rsid w:val="00721CFB"/>
    <w:rsid w:val="00721CFC"/>
    <w:rsid w:val="00721D28"/>
    <w:rsid w:val="00722042"/>
    <w:rsid w:val="00722080"/>
    <w:rsid w:val="00722095"/>
    <w:rsid w:val="007220DC"/>
    <w:rsid w:val="00722314"/>
    <w:rsid w:val="00722826"/>
    <w:rsid w:val="00722950"/>
    <w:rsid w:val="007229BC"/>
    <w:rsid w:val="00722A37"/>
    <w:rsid w:val="00722BC8"/>
    <w:rsid w:val="00722C27"/>
    <w:rsid w:val="00722CEE"/>
    <w:rsid w:val="00722EA2"/>
    <w:rsid w:val="00722F08"/>
    <w:rsid w:val="00723035"/>
    <w:rsid w:val="00723234"/>
    <w:rsid w:val="007232B2"/>
    <w:rsid w:val="0072351B"/>
    <w:rsid w:val="007237E0"/>
    <w:rsid w:val="00723801"/>
    <w:rsid w:val="00723811"/>
    <w:rsid w:val="00723975"/>
    <w:rsid w:val="00723A18"/>
    <w:rsid w:val="00723A88"/>
    <w:rsid w:val="00723AD5"/>
    <w:rsid w:val="00723BB1"/>
    <w:rsid w:val="00723F56"/>
    <w:rsid w:val="00723FFF"/>
    <w:rsid w:val="0072400F"/>
    <w:rsid w:val="00724107"/>
    <w:rsid w:val="00724123"/>
    <w:rsid w:val="00724152"/>
    <w:rsid w:val="00724181"/>
    <w:rsid w:val="00724456"/>
    <w:rsid w:val="00724494"/>
    <w:rsid w:val="00724553"/>
    <w:rsid w:val="007245D0"/>
    <w:rsid w:val="0072466B"/>
    <w:rsid w:val="00724870"/>
    <w:rsid w:val="00724884"/>
    <w:rsid w:val="00724885"/>
    <w:rsid w:val="00724A63"/>
    <w:rsid w:val="00724D1E"/>
    <w:rsid w:val="00724F1B"/>
    <w:rsid w:val="00724F34"/>
    <w:rsid w:val="00725097"/>
    <w:rsid w:val="00725099"/>
    <w:rsid w:val="00725335"/>
    <w:rsid w:val="007253E2"/>
    <w:rsid w:val="00725573"/>
    <w:rsid w:val="00725832"/>
    <w:rsid w:val="00725AD4"/>
    <w:rsid w:val="00725B56"/>
    <w:rsid w:val="00725E02"/>
    <w:rsid w:val="00725F29"/>
    <w:rsid w:val="00725FD2"/>
    <w:rsid w:val="00726071"/>
    <w:rsid w:val="00726098"/>
    <w:rsid w:val="007260A4"/>
    <w:rsid w:val="007260E7"/>
    <w:rsid w:val="00726249"/>
    <w:rsid w:val="00726275"/>
    <w:rsid w:val="007262A5"/>
    <w:rsid w:val="00726393"/>
    <w:rsid w:val="00726483"/>
    <w:rsid w:val="00726537"/>
    <w:rsid w:val="00726590"/>
    <w:rsid w:val="007266B5"/>
    <w:rsid w:val="00726875"/>
    <w:rsid w:val="00726A30"/>
    <w:rsid w:val="00726A7C"/>
    <w:rsid w:val="00726B4B"/>
    <w:rsid w:val="00726BB3"/>
    <w:rsid w:val="00726C78"/>
    <w:rsid w:val="00726D64"/>
    <w:rsid w:val="00726E51"/>
    <w:rsid w:val="00726E63"/>
    <w:rsid w:val="00726E9F"/>
    <w:rsid w:val="007270BA"/>
    <w:rsid w:val="00727270"/>
    <w:rsid w:val="00727642"/>
    <w:rsid w:val="00727862"/>
    <w:rsid w:val="007278A7"/>
    <w:rsid w:val="007278A9"/>
    <w:rsid w:val="00727A10"/>
    <w:rsid w:val="00727ADE"/>
    <w:rsid w:val="00727C62"/>
    <w:rsid w:val="00727CFD"/>
    <w:rsid w:val="00727ED0"/>
    <w:rsid w:val="007301C7"/>
    <w:rsid w:val="0073022B"/>
    <w:rsid w:val="00730257"/>
    <w:rsid w:val="00730484"/>
    <w:rsid w:val="0073060F"/>
    <w:rsid w:val="00730615"/>
    <w:rsid w:val="0073068E"/>
    <w:rsid w:val="00730740"/>
    <w:rsid w:val="00730891"/>
    <w:rsid w:val="00730AE5"/>
    <w:rsid w:val="00730D3F"/>
    <w:rsid w:val="00731067"/>
    <w:rsid w:val="0073111B"/>
    <w:rsid w:val="00731174"/>
    <w:rsid w:val="007313B3"/>
    <w:rsid w:val="007315A2"/>
    <w:rsid w:val="0073190D"/>
    <w:rsid w:val="00731AD7"/>
    <w:rsid w:val="00731CBB"/>
    <w:rsid w:val="00731D32"/>
    <w:rsid w:val="00731E70"/>
    <w:rsid w:val="00731F30"/>
    <w:rsid w:val="0073234F"/>
    <w:rsid w:val="007324B0"/>
    <w:rsid w:val="007325B7"/>
    <w:rsid w:val="007325E5"/>
    <w:rsid w:val="007325F8"/>
    <w:rsid w:val="0073279D"/>
    <w:rsid w:val="00732846"/>
    <w:rsid w:val="00732A9F"/>
    <w:rsid w:val="00732B75"/>
    <w:rsid w:val="007330BF"/>
    <w:rsid w:val="00733229"/>
    <w:rsid w:val="0073324F"/>
    <w:rsid w:val="0073325D"/>
    <w:rsid w:val="00733382"/>
    <w:rsid w:val="007334FF"/>
    <w:rsid w:val="007339ED"/>
    <w:rsid w:val="00733AAF"/>
    <w:rsid w:val="00733EEB"/>
    <w:rsid w:val="00733FED"/>
    <w:rsid w:val="00733FFA"/>
    <w:rsid w:val="0073403E"/>
    <w:rsid w:val="0073405D"/>
    <w:rsid w:val="007340E7"/>
    <w:rsid w:val="00734522"/>
    <w:rsid w:val="0073452C"/>
    <w:rsid w:val="00734617"/>
    <w:rsid w:val="0073462E"/>
    <w:rsid w:val="00734635"/>
    <w:rsid w:val="0073466C"/>
    <w:rsid w:val="0073472C"/>
    <w:rsid w:val="00734758"/>
    <w:rsid w:val="00734796"/>
    <w:rsid w:val="007347DC"/>
    <w:rsid w:val="0073480B"/>
    <w:rsid w:val="0073481A"/>
    <w:rsid w:val="00734895"/>
    <w:rsid w:val="007348D3"/>
    <w:rsid w:val="00734933"/>
    <w:rsid w:val="00734993"/>
    <w:rsid w:val="007349F7"/>
    <w:rsid w:val="00734A02"/>
    <w:rsid w:val="00734A20"/>
    <w:rsid w:val="00734BAE"/>
    <w:rsid w:val="00734C8D"/>
    <w:rsid w:val="00734D48"/>
    <w:rsid w:val="00734E1E"/>
    <w:rsid w:val="00734EE2"/>
    <w:rsid w:val="0073505A"/>
    <w:rsid w:val="007351EA"/>
    <w:rsid w:val="007352ED"/>
    <w:rsid w:val="007356C7"/>
    <w:rsid w:val="00735810"/>
    <w:rsid w:val="00735842"/>
    <w:rsid w:val="0073589A"/>
    <w:rsid w:val="007358F7"/>
    <w:rsid w:val="00735B57"/>
    <w:rsid w:val="00735BC3"/>
    <w:rsid w:val="00735E4F"/>
    <w:rsid w:val="00735F0C"/>
    <w:rsid w:val="00736228"/>
    <w:rsid w:val="0073628E"/>
    <w:rsid w:val="007364BC"/>
    <w:rsid w:val="00736666"/>
    <w:rsid w:val="007366A3"/>
    <w:rsid w:val="00736772"/>
    <w:rsid w:val="00736892"/>
    <w:rsid w:val="0073692C"/>
    <w:rsid w:val="00736967"/>
    <w:rsid w:val="007369E7"/>
    <w:rsid w:val="00736CED"/>
    <w:rsid w:val="00736F21"/>
    <w:rsid w:val="00736FE8"/>
    <w:rsid w:val="007370A7"/>
    <w:rsid w:val="00737421"/>
    <w:rsid w:val="0073752E"/>
    <w:rsid w:val="00737634"/>
    <w:rsid w:val="007376A3"/>
    <w:rsid w:val="00737776"/>
    <w:rsid w:val="00737A8F"/>
    <w:rsid w:val="00737C63"/>
    <w:rsid w:val="00737DAE"/>
    <w:rsid w:val="0074078F"/>
    <w:rsid w:val="0074091E"/>
    <w:rsid w:val="00740BF8"/>
    <w:rsid w:val="00740C19"/>
    <w:rsid w:val="00740C6E"/>
    <w:rsid w:val="00740E31"/>
    <w:rsid w:val="00740E55"/>
    <w:rsid w:val="0074103C"/>
    <w:rsid w:val="007410FC"/>
    <w:rsid w:val="0074117F"/>
    <w:rsid w:val="007412E3"/>
    <w:rsid w:val="007412EF"/>
    <w:rsid w:val="007413A0"/>
    <w:rsid w:val="00741445"/>
    <w:rsid w:val="0074144E"/>
    <w:rsid w:val="00741540"/>
    <w:rsid w:val="007415E4"/>
    <w:rsid w:val="007417E2"/>
    <w:rsid w:val="007418D6"/>
    <w:rsid w:val="00741A87"/>
    <w:rsid w:val="00741B49"/>
    <w:rsid w:val="00741CE8"/>
    <w:rsid w:val="00741E81"/>
    <w:rsid w:val="00741EBD"/>
    <w:rsid w:val="00741EFE"/>
    <w:rsid w:val="0074211F"/>
    <w:rsid w:val="007421C3"/>
    <w:rsid w:val="007421DD"/>
    <w:rsid w:val="007425B8"/>
    <w:rsid w:val="007428B3"/>
    <w:rsid w:val="00742940"/>
    <w:rsid w:val="00742A03"/>
    <w:rsid w:val="00742A73"/>
    <w:rsid w:val="00742B70"/>
    <w:rsid w:val="00742B7A"/>
    <w:rsid w:val="00742C30"/>
    <w:rsid w:val="00742CDB"/>
    <w:rsid w:val="00742CF5"/>
    <w:rsid w:val="00742D77"/>
    <w:rsid w:val="00742E3D"/>
    <w:rsid w:val="00742E52"/>
    <w:rsid w:val="00742E82"/>
    <w:rsid w:val="00742FF0"/>
    <w:rsid w:val="00743005"/>
    <w:rsid w:val="00743035"/>
    <w:rsid w:val="00743063"/>
    <w:rsid w:val="007430B2"/>
    <w:rsid w:val="0074317C"/>
    <w:rsid w:val="007433F0"/>
    <w:rsid w:val="0074364C"/>
    <w:rsid w:val="00743705"/>
    <w:rsid w:val="00743777"/>
    <w:rsid w:val="007437A8"/>
    <w:rsid w:val="007437E3"/>
    <w:rsid w:val="007439BA"/>
    <w:rsid w:val="00743BAC"/>
    <w:rsid w:val="00743BBC"/>
    <w:rsid w:val="00743C8A"/>
    <w:rsid w:val="00743CC9"/>
    <w:rsid w:val="00743ED5"/>
    <w:rsid w:val="00743EE0"/>
    <w:rsid w:val="00743FB8"/>
    <w:rsid w:val="0074404D"/>
    <w:rsid w:val="007440C7"/>
    <w:rsid w:val="00744305"/>
    <w:rsid w:val="007443E7"/>
    <w:rsid w:val="007444F6"/>
    <w:rsid w:val="00744510"/>
    <w:rsid w:val="0074454D"/>
    <w:rsid w:val="007445A1"/>
    <w:rsid w:val="00744763"/>
    <w:rsid w:val="007447E0"/>
    <w:rsid w:val="0074489C"/>
    <w:rsid w:val="00744A7E"/>
    <w:rsid w:val="00744DE1"/>
    <w:rsid w:val="00744F03"/>
    <w:rsid w:val="00745069"/>
    <w:rsid w:val="00745175"/>
    <w:rsid w:val="00745221"/>
    <w:rsid w:val="0074525E"/>
    <w:rsid w:val="00745321"/>
    <w:rsid w:val="00745376"/>
    <w:rsid w:val="007453D1"/>
    <w:rsid w:val="00745476"/>
    <w:rsid w:val="007454F6"/>
    <w:rsid w:val="00745545"/>
    <w:rsid w:val="00745685"/>
    <w:rsid w:val="0074568E"/>
    <w:rsid w:val="00745757"/>
    <w:rsid w:val="007458F6"/>
    <w:rsid w:val="00745AF4"/>
    <w:rsid w:val="00745B65"/>
    <w:rsid w:val="00745B93"/>
    <w:rsid w:val="00745C5B"/>
    <w:rsid w:val="00745D6C"/>
    <w:rsid w:val="00745E74"/>
    <w:rsid w:val="00745E9D"/>
    <w:rsid w:val="007460EA"/>
    <w:rsid w:val="00746116"/>
    <w:rsid w:val="0074619D"/>
    <w:rsid w:val="007461A5"/>
    <w:rsid w:val="00746226"/>
    <w:rsid w:val="0074655C"/>
    <w:rsid w:val="007465A9"/>
    <w:rsid w:val="007465BA"/>
    <w:rsid w:val="00746696"/>
    <w:rsid w:val="007468A0"/>
    <w:rsid w:val="00746A84"/>
    <w:rsid w:val="00746B99"/>
    <w:rsid w:val="00746D98"/>
    <w:rsid w:val="00746F3C"/>
    <w:rsid w:val="00747105"/>
    <w:rsid w:val="007471BE"/>
    <w:rsid w:val="007472F4"/>
    <w:rsid w:val="007473E5"/>
    <w:rsid w:val="0074779F"/>
    <w:rsid w:val="007477A2"/>
    <w:rsid w:val="007477E3"/>
    <w:rsid w:val="0074785B"/>
    <w:rsid w:val="007479A5"/>
    <w:rsid w:val="007479B2"/>
    <w:rsid w:val="00747A27"/>
    <w:rsid w:val="00747A78"/>
    <w:rsid w:val="00747A95"/>
    <w:rsid w:val="00747AE8"/>
    <w:rsid w:val="00747F1E"/>
    <w:rsid w:val="00747FE4"/>
    <w:rsid w:val="0074EA01"/>
    <w:rsid w:val="00750020"/>
    <w:rsid w:val="00750228"/>
    <w:rsid w:val="0075028C"/>
    <w:rsid w:val="00750318"/>
    <w:rsid w:val="00750399"/>
    <w:rsid w:val="007503E2"/>
    <w:rsid w:val="00750460"/>
    <w:rsid w:val="00750500"/>
    <w:rsid w:val="00750586"/>
    <w:rsid w:val="00750683"/>
    <w:rsid w:val="007506B9"/>
    <w:rsid w:val="00750746"/>
    <w:rsid w:val="0075076B"/>
    <w:rsid w:val="00750AA3"/>
    <w:rsid w:val="00750CDE"/>
    <w:rsid w:val="00750E4D"/>
    <w:rsid w:val="00751145"/>
    <w:rsid w:val="007514ED"/>
    <w:rsid w:val="007515CD"/>
    <w:rsid w:val="007515DC"/>
    <w:rsid w:val="00751623"/>
    <w:rsid w:val="007517E8"/>
    <w:rsid w:val="00751815"/>
    <w:rsid w:val="0075196E"/>
    <w:rsid w:val="00751AC3"/>
    <w:rsid w:val="00751B1F"/>
    <w:rsid w:val="00751C68"/>
    <w:rsid w:val="00751E3C"/>
    <w:rsid w:val="00751E63"/>
    <w:rsid w:val="00751F1C"/>
    <w:rsid w:val="00751F82"/>
    <w:rsid w:val="00752125"/>
    <w:rsid w:val="007522AE"/>
    <w:rsid w:val="00752373"/>
    <w:rsid w:val="007523DC"/>
    <w:rsid w:val="007525FC"/>
    <w:rsid w:val="0075265A"/>
    <w:rsid w:val="007526B7"/>
    <w:rsid w:val="00752716"/>
    <w:rsid w:val="0075276D"/>
    <w:rsid w:val="00752821"/>
    <w:rsid w:val="007528CF"/>
    <w:rsid w:val="0075297D"/>
    <w:rsid w:val="00752A91"/>
    <w:rsid w:val="00752CC8"/>
    <w:rsid w:val="00752CCD"/>
    <w:rsid w:val="00752DD3"/>
    <w:rsid w:val="00752E38"/>
    <w:rsid w:val="00753170"/>
    <w:rsid w:val="007532AE"/>
    <w:rsid w:val="007534AC"/>
    <w:rsid w:val="00753681"/>
    <w:rsid w:val="00753749"/>
    <w:rsid w:val="007537AA"/>
    <w:rsid w:val="0075394D"/>
    <w:rsid w:val="007539B1"/>
    <w:rsid w:val="007539CB"/>
    <w:rsid w:val="00753A36"/>
    <w:rsid w:val="00754081"/>
    <w:rsid w:val="00754121"/>
    <w:rsid w:val="00754272"/>
    <w:rsid w:val="00754294"/>
    <w:rsid w:val="00754369"/>
    <w:rsid w:val="00754413"/>
    <w:rsid w:val="00754519"/>
    <w:rsid w:val="00754539"/>
    <w:rsid w:val="007545AE"/>
    <w:rsid w:val="0075465E"/>
    <w:rsid w:val="00754843"/>
    <w:rsid w:val="00754960"/>
    <w:rsid w:val="00754DC7"/>
    <w:rsid w:val="00754DFD"/>
    <w:rsid w:val="00754EDA"/>
    <w:rsid w:val="00754FEB"/>
    <w:rsid w:val="00755099"/>
    <w:rsid w:val="007552AC"/>
    <w:rsid w:val="0075534C"/>
    <w:rsid w:val="00755631"/>
    <w:rsid w:val="0075566C"/>
    <w:rsid w:val="007556C7"/>
    <w:rsid w:val="0075584B"/>
    <w:rsid w:val="00755976"/>
    <w:rsid w:val="007559ED"/>
    <w:rsid w:val="00755B13"/>
    <w:rsid w:val="00755B5D"/>
    <w:rsid w:val="00755BBD"/>
    <w:rsid w:val="00755C07"/>
    <w:rsid w:val="00755D53"/>
    <w:rsid w:val="00755F47"/>
    <w:rsid w:val="007560FE"/>
    <w:rsid w:val="0075613F"/>
    <w:rsid w:val="007561BA"/>
    <w:rsid w:val="007561E1"/>
    <w:rsid w:val="007561F3"/>
    <w:rsid w:val="007561FB"/>
    <w:rsid w:val="00756209"/>
    <w:rsid w:val="00756213"/>
    <w:rsid w:val="0075626C"/>
    <w:rsid w:val="007562CD"/>
    <w:rsid w:val="0075632C"/>
    <w:rsid w:val="007563FE"/>
    <w:rsid w:val="007565FE"/>
    <w:rsid w:val="00756980"/>
    <w:rsid w:val="00756C93"/>
    <w:rsid w:val="00756CD9"/>
    <w:rsid w:val="00756EC0"/>
    <w:rsid w:val="00757111"/>
    <w:rsid w:val="007573FF"/>
    <w:rsid w:val="007575FE"/>
    <w:rsid w:val="007576FE"/>
    <w:rsid w:val="007577E8"/>
    <w:rsid w:val="00757815"/>
    <w:rsid w:val="00757818"/>
    <w:rsid w:val="007578F8"/>
    <w:rsid w:val="00757B37"/>
    <w:rsid w:val="00757B64"/>
    <w:rsid w:val="00757B9B"/>
    <w:rsid w:val="00757D1C"/>
    <w:rsid w:val="00757D8C"/>
    <w:rsid w:val="00757F2F"/>
    <w:rsid w:val="00757F78"/>
    <w:rsid w:val="00757F88"/>
    <w:rsid w:val="0075D8A4"/>
    <w:rsid w:val="0076030C"/>
    <w:rsid w:val="00760378"/>
    <w:rsid w:val="007604F1"/>
    <w:rsid w:val="007605F0"/>
    <w:rsid w:val="007607B1"/>
    <w:rsid w:val="007609AA"/>
    <w:rsid w:val="00760AA1"/>
    <w:rsid w:val="00760B54"/>
    <w:rsid w:val="00760BD2"/>
    <w:rsid w:val="00760EDC"/>
    <w:rsid w:val="00760FD0"/>
    <w:rsid w:val="007611DF"/>
    <w:rsid w:val="00761384"/>
    <w:rsid w:val="007614C0"/>
    <w:rsid w:val="007615D6"/>
    <w:rsid w:val="00761644"/>
    <w:rsid w:val="00761721"/>
    <w:rsid w:val="007617E2"/>
    <w:rsid w:val="0076193F"/>
    <w:rsid w:val="00761996"/>
    <w:rsid w:val="00761A19"/>
    <w:rsid w:val="00761C98"/>
    <w:rsid w:val="00761D02"/>
    <w:rsid w:val="00761D56"/>
    <w:rsid w:val="00761D95"/>
    <w:rsid w:val="00761F1D"/>
    <w:rsid w:val="00762050"/>
    <w:rsid w:val="0076209D"/>
    <w:rsid w:val="007620D0"/>
    <w:rsid w:val="007621A2"/>
    <w:rsid w:val="00762262"/>
    <w:rsid w:val="00762292"/>
    <w:rsid w:val="00762396"/>
    <w:rsid w:val="00762462"/>
    <w:rsid w:val="00762611"/>
    <w:rsid w:val="0076267F"/>
    <w:rsid w:val="007626F9"/>
    <w:rsid w:val="0076299D"/>
    <w:rsid w:val="00762A15"/>
    <w:rsid w:val="00762B9D"/>
    <w:rsid w:val="00762C16"/>
    <w:rsid w:val="00762D49"/>
    <w:rsid w:val="00762DC6"/>
    <w:rsid w:val="00763012"/>
    <w:rsid w:val="00763081"/>
    <w:rsid w:val="007632D9"/>
    <w:rsid w:val="00763306"/>
    <w:rsid w:val="0076334E"/>
    <w:rsid w:val="00763447"/>
    <w:rsid w:val="0076355B"/>
    <w:rsid w:val="00763587"/>
    <w:rsid w:val="0076360A"/>
    <w:rsid w:val="0076368D"/>
    <w:rsid w:val="00763884"/>
    <w:rsid w:val="0076398D"/>
    <w:rsid w:val="007639ED"/>
    <w:rsid w:val="00763BB9"/>
    <w:rsid w:val="00763C05"/>
    <w:rsid w:val="00763D41"/>
    <w:rsid w:val="00763F73"/>
    <w:rsid w:val="00764090"/>
    <w:rsid w:val="007642A5"/>
    <w:rsid w:val="007642C2"/>
    <w:rsid w:val="00764339"/>
    <w:rsid w:val="007643E3"/>
    <w:rsid w:val="007644B8"/>
    <w:rsid w:val="007644EF"/>
    <w:rsid w:val="007645BE"/>
    <w:rsid w:val="0076463B"/>
    <w:rsid w:val="00764696"/>
    <w:rsid w:val="00764745"/>
    <w:rsid w:val="007647BE"/>
    <w:rsid w:val="0076499E"/>
    <w:rsid w:val="00764A03"/>
    <w:rsid w:val="00764BE2"/>
    <w:rsid w:val="00764CB7"/>
    <w:rsid w:val="00764D49"/>
    <w:rsid w:val="00764D4C"/>
    <w:rsid w:val="00764D9A"/>
    <w:rsid w:val="00764EB3"/>
    <w:rsid w:val="00764F03"/>
    <w:rsid w:val="00764F60"/>
    <w:rsid w:val="00764F80"/>
    <w:rsid w:val="00764FCB"/>
    <w:rsid w:val="00765225"/>
    <w:rsid w:val="00765273"/>
    <w:rsid w:val="0076533C"/>
    <w:rsid w:val="00765354"/>
    <w:rsid w:val="0076542C"/>
    <w:rsid w:val="00765503"/>
    <w:rsid w:val="0076558F"/>
    <w:rsid w:val="007655D6"/>
    <w:rsid w:val="00765638"/>
    <w:rsid w:val="0076564F"/>
    <w:rsid w:val="007657C8"/>
    <w:rsid w:val="00765883"/>
    <w:rsid w:val="0076589E"/>
    <w:rsid w:val="007658E7"/>
    <w:rsid w:val="00765905"/>
    <w:rsid w:val="00765A5E"/>
    <w:rsid w:val="00765AA8"/>
    <w:rsid w:val="00765B2E"/>
    <w:rsid w:val="00765C68"/>
    <w:rsid w:val="00765D2C"/>
    <w:rsid w:val="00765E77"/>
    <w:rsid w:val="00766027"/>
    <w:rsid w:val="00766277"/>
    <w:rsid w:val="00766434"/>
    <w:rsid w:val="0076649E"/>
    <w:rsid w:val="00766565"/>
    <w:rsid w:val="007665F0"/>
    <w:rsid w:val="007667D6"/>
    <w:rsid w:val="007667F7"/>
    <w:rsid w:val="0076694D"/>
    <w:rsid w:val="007669C2"/>
    <w:rsid w:val="00766DAF"/>
    <w:rsid w:val="00766DC7"/>
    <w:rsid w:val="00766DFB"/>
    <w:rsid w:val="00766E29"/>
    <w:rsid w:val="00766F11"/>
    <w:rsid w:val="0076717C"/>
    <w:rsid w:val="007672C7"/>
    <w:rsid w:val="0076784C"/>
    <w:rsid w:val="00767C70"/>
    <w:rsid w:val="00767C80"/>
    <w:rsid w:val="00767C98"/>
    <w:rsid w:val="00767CC9"/>
    <w:rsid w:val="00767DD1"/>
    <w:rsid w:val="00767EBE"/>
    <w:rsid w:val="00767ED8"/>
    <w:rsid w:val="00767F68"/>
    <w:rsid w:val="00770017"/>
    <w:rsid w:val="00770034"/>
    <w:rsid w:val="007700EE"/>
    <w:rsid w:val="0077017F"/>
    <w:rsid w:val="007701EC"/>
    <w:rsid w:val="0077021E"/>
    <w:rsid w:val="007702E4"/>
    <w:rsid w:val="007703B1"/>
    <w:rsid w:val="0077045D"/>
    <w:rsid w:val="00770694"/>
    <w:rsid w:val="00770722"/>
    <w:rsid w:val="00770B81"/>
    <w:rsid w:val="00770C36"/>
    <w:rsid w:val="00770CCD"/>
    <w:rsid w:val="00770CE5"/>
    <w:rsid w:val="00770DF3"/>
    <w:rsid w:val="00770F15"/>
    <w:rsid w:val="00771014"/>
    <w:rsid w:val="0077105A"/>
    <w:rsid w:val="00771420"/>
    <w:rsid w:val="00771546"/>
    <w:rsid w:val="007716A9"/>
    <w:rsid w:val="007716C5"/>
    <w:rsid w:val="0077181D"/>
    <w:rsid w:val="00771868"/>
    <w:rsid w:val="00771897"/>
    <w:rsid w:val="007718B1"/>
    <w:rsid w:val="007719C4"/>
    <w:rsid w:val="00771C84"/>
    <w:rsid w:val="00771D26"/>
    <w:rsid w:val="00771E0B"/>
    <w:rsid w:val="00771FC7"/>
    <w:rsid w:val="007721A2"/>
    <w:rsid w:val="00772209"/>
    <w:rsid w:val="00772252"/>
    <w:rsid w:val="0077235F"/>
    <w:rsid w:val="007723F7"/>
    <w:rsid w:val="00772440"/>
    <w:rsid w:val="00772569"/>
    <w:rsid w:val="00772610"/>
    <w:rsid w:val="00772670"/>
    <w:rsid w:val="00772A4E"/>
    <w:rsid w:val="00772A99"/>
    <w:rsid w:val="00772DD0"/>
    <w:rsid w:val="00772EB6"/>
    <w:rsid w:val="00772ED9"/>
    <w:rsid w:val="00773053"/>
    <w:rsid w:val="00773079"/>
    <w:rsid w:val="007730A4"/>
    <w:rsid w:val="0077316C"/>
    <w:rsid w:val="00773246"/>
    <w:rsid w:val="00773248"/>
    <w:rsid w:val="00773380"/>
    <w:rsid w:val="00773574"/>
    <w:rsid w:val="0077384A"/>
    <w:rsid w:val="00773BB6"/>
    <w:rsid w:val="00773CB9"/>
    <w:rsid w:val="00773FD4"/>
    <w:rsid w:val="007740C6"/>
    <w:rsid w:val="007742D3"/>
    <w:rsid w:val="0077454D"/>
    <w:rsid w:val="00774626"/>
    <w:rsid w:val="0077472E"/>
    <w:rsid w:val="00774825"/>
    <w:rsid w:val="00774859"/>
    <w:rsid w:val="0077491F"/>
    <w:rsid w:val="007749D3"/>
    <w:rsid w:val="00774B2A"/>
    <w:rsid w:val="00774C0B"/>
    <w:rsid w:val="00774E79"/>
    <w:rsid w:val="0077501C"/>
    <w:rsid w:val="00775126"/>
    <w:rsid w:val="00775160"/>
    <w:rsid w:val="007753A8"/>
    <w:rsid w:val="007753C2"/>
    <w:rsid w:val="00775598"/>
    <w:rsid w:val="007755C8"/>
    <w:rsid w:val="0077561D"/>
    <w:rsid w:val="00775675"/>
    <w:rsid w:val="007757B0"/>
    <w:rsid w:val="007758C5"/>
    <w:rsid w:val="00775930"/>
    <w:rsid w:val="00775AF2"/>
    <w:rsid w:val="00775B19"/>
    <w:rsid w:val="00775C40"/>
    <w:rsid w:val="00775E41"/>
    <w:rsid w:val="00775F6C"/>
    <w:rsid w:val="00775FB7"/>
    <w:rsid w:val="0077604E"/>
    <w:rsid w:val="007762B3"/>
    <w:rsid w:val="00776506"/>
    <w:rsid w:val="0077667E"/>
    <w:rsid w:val="007766DC"/>
    <w:rsid w:val="00776746"/>
    <w:rsid w:val="0077677F"/>
    <w:rsid w:val="007768A7"/>
    <w:rsid w:val="0077695C"/>
    <w:rsid w:val="00776A30"/>
    <w:rsid w:val="00776C7E"/>
    <w:rsid w:val="00776CCF"/>
    <w:rsid w:val="00776E34"/>
    <w:rsid w:val="00776EC8"/>
    <w:rsid w:val="00776EDF"/>
    <w:rsid w:val="00776F3B"/>
    <w:rsid w:val="00777141"/>
    <w:rsid w:val="00777225"/>
    <w:rsid w:val="00777229"/>
    <w:rsid w:val="0077726E"/>
    <w:rsid w:val="007772EE"/>
    <w:rsid w:val="00777430"/>
    <w:rsid w:val="00777554"/>
    <w:rsid w:val="00777631"/>
    <w:rsid w:val="0077780A"/>
    <w:rsid w:val="007779F1"/>
    <w:rsid w:val="00777A14"/>
    <w:rsid w:val="00777A29"/>
    <w:rsid w:val="00777BB0"/>
    <w:rsid w:val="00777C32"/>
    <w:rsid w:val="00777E98"/>
    <w:rsid w:val="00777FA6"/>
    <w:rsid w:val="00780124"/>
    <w:rsid w:val="00780189"/>
    <w:rsid w:val="007801CE"/>
    <w:rsid w:val="00780212"/>
    <w:rsid w:val="007807E7"/>
    <w:rsid w:val="00780A08"/>
    <w:rsid w:val="00780A4A"/>
    <w:rsid w:val="00780AEC"/>
    <w:rsid w:val="00780AF5"/>
    <w:rsid w:val="00780BE0"/>
    <w:rsid w:val="00780C69"/>
    <w:rsid w:val="00780C8C"/>
    <w:rsid w:val="00780DB0"/>
    <w:rsid w:val="00780FB6"/>
    <w:rsid w:val="00781037"/>
    <w:rsid w:val="007810A7"/>
    <w:rsid w:val="007810CF"/>
    <w:rsid w:val="0078110C"/>
    <w:rsid w:val="0078112C"/>
    <w:rsid w:val="007811C6"/>
    <w:rsid w:val="0078121D"/>
    <w:rsid w:val="007813BA"/>
    <w:rsid w:val="0078142A"/>
    <w:rsid w:val="0078144B"/>
    <w:rsid w:val="007815B4"/>
    <w:rsid w:val="007816C8"/>
    <w:rsid w:val="00781835"/>
    <w:rsid w:val="007818C9"/>
    <w:rsid w:val="007819CB"/>
    <w:rsid w:val="00781A4F"/>
    <w:rsid w:val="00781A58"/>
    <w:rsid w:val="00781C1A"/>
    <w:rsid w:val="00781CD0"/>
    <w:rsid w:val="00781D4E"/>
    <w:rsid w:val="00781DCD"/>
    <w:rsid w:val="00781DE9"/>
    <w:rsid w:val="00781E4C"/>
    <w:rsid w:val="00781E68"/>
    <w:rsid w:val="00782267"/>
    <w:rsid w:val="00782499"/>
    <w:rsid w:val="00782658"/>
    <w:rsid w:val="00782663"/>
    <w:rsid w:val="007826F3"/>
    <w:rsid w:val="007827E5"/>
    <w:rsid w:val="00782825"/>
    <w:rsid w:val="00782961"/>
    <w:rsid w:val="00782A98"/>
    <w:rsid w:val="00782B22"/>
    <w:rsid w:val="00782D40"/>
    <w:rsid w:val="00782D8F"/>
    <w:rsid w:val="00783021"/>
    <w:rsid w:val="0078312B"/>
    <w:rsid w:val="007835D3"/>
    <w:rsid w:val="00783712"/>
    <w:rsid w:val="007837FE"/>
    <w:rsid w:val="00783830"/>
    <w:rsid w:val="00783957"/>
    <w:rsid w:val="007839A4"/>
    <w:rsid w:val="00783BAC"/>
    <w:rsid w:val="00783C57"/>
    <w:rsid w:val="00783C83"/>
    <w:rsid w:val="00783E78"/>
    <w:rsid w:val="00783ED8"/>
    <w:rsid w:val="00783F03"/>
    <w:rsid w:val="00783F76"/>
    <w:rsid w:val="00783FDE"/>
    <w:rsid w:val="007841B2"/>
    <w:rsid w:val="0078420D"/>
    <w:rsid w:val="00784472"/>
    <w:rsid w:val="00784693"/>
    <w:rsid w:val="007847BA"/>
    <w:rsid w:val="0078492B"/>
    <w:rsid w:val="007849D7"/>
    <w:rsid w:val="00784A60"/>
    <w:rsid w:val="00784AA3"/>
    <w:rsid w:val="00784B20"/>
    <w:rsid w:val="00784BC8"/>
    <w:rsid w:val="00784C65"/>
    <w:rsid w:val="00784C9B"/>
    <w:rsid w:val="00784D63"/>
    <w:rsid w:val="00784EB3"/>
    <w:rsid w:val="00784F6B"/>
    <w:rsid w:val="007852AC"/>
    <w:rsid w:val="0078533A"/>
    <w:rsid w:val="00785420"/>
    <w:rsid w:val="0078550A"/>
    <w:rsid w:val="00785565"/>
    <w:rsid w:val="0078561E"/>
    <w:rsid w:val="0078575E"/>
    <w:rsid w:val="007857E5"/>
    <w:rsid w:val="0078588D"/>
    <w:rsid w:val="00785C86"/>
    <w:rsid w:val="00785D99"/>
    <w:rsid w:val="00785E9B"/>
    <w:rsid w:val="00785F25"/>
    <w:rsid w:val="00785FA1"/>
    <w:rsid w:val="00786110"/>
    <w:rsid w:val="0078612E"/>
    <w:rsid w:val="00786182"/>
    <w:rsid w:val="007861BE"/>
    <w:rsid w:val="007862A2"/>
    <w:rsid w:val="007862B6"/>
    <w:rsid w:val="00786346"/>
    <w:rsid w:val="0078646A"/>
    <w:rsid w:val="00786546"/>
    <w:rsid w:val="00786691"/>
    <w:rsid w:val="0078671B"/>
    <w:rsid w:val="0078673F"/>
    <w:rsid w:val="00786908"/>
    <w:rsid w:val="00786A39"/>
    <w:rsid w:val="00786E19"/>
    <w:rsid w:val="00786F5E"/>
    <w:rsid w:val="00787057"/>
    <w:rsid w:val="00787237"/>
    <w:rsid w:val="007876AF"/>
    <w:rsid w:val="007876CE"/>
    <w:rsid w:val="00787988"/>
    <w:rsid w:val="00787A05"/>
    <w:rsid w:val="00787B06"/>
    <w:rsid w:val="00787B73"/>
    <w:rsid w:val="00787BAC"/>
    <w:rsid w:val="00787CA0"/>
    <w:rsid w:val="00790054"/>
    <w:rsid w:val="00790108"/>
    <w:rsid w:val="007902E7"/>
    <w:rsid w:val="0079064A"/>
    <w:rsid w:val="0079070D"/>
    <w:rsid w:val="00790911"/>
    <w:rsid w:val="00790913"/>
    <w:rsid w:val="00790951"/>
    <w:rsid w:val="007909CB"/>
    <w:rsid w:val="00790C69"/>
    <w:rsid w:val="00791496"/>
    <w:rsid w:val="007914D5"/>
    <w:rsid w:val="007914F0"/>
    <w:rsid w:val="007914F2"/>
    <w:rsid w:val="007915FB"/>
    <w:rsid w:val="0079167C"/>
    <w:rsid w:val="0079187C"/>
    <w:rsid w:val="007918A2"/>
    <w:rsid w:val="00791A62"/>
    <w:rsid w:val="00791B2F"/>
    <w:rsid w:val="00791B5E"/>
    <w:rsid w:val="00791C06"/>
    <w:rsid w:val="00791DC4"/>
    <w:rsid w:val="00791E0F"/>
    <w:rsid w:val="00791E93"/>
    <w:rsid w:val="0079216D"/>
    <w:rsid w:val="0079218B"/>
    <w:rsid w:val="00792566"/>
    <w:rsid w:val="00792640"/>
    <w:rsid w:val="007926DD"/>
    <w:rsid w:val="00792933"/>
    <w:rsid w:val="00792977"/>
    <w:rsid w:val="007929BF"/>
    <w:rsid w:val="00792B3C"/>
    <w:rsid w:val="00792BAA"/>
    <w:rsid w:val="00792CCC"/>
    <w:rsid w:val="0079305D"/>
    <w:rsid w:val="00793295"/>
    <w:rsid w:val="007934A5"/>
    <w:rsid w:val="007934EF"/>
    <w:rsid w:val="007935DC"/>
    <w:rsid w:val="007937B2"/>
    <w:rsid w:val="007938B7"/>
    <w:rsid w:val="00793A5A"/>
    <w:rsid w:val="00793A8D"/>
    <w:rsid w:val="00793A8F"/>
    <w:rsid w:val="00793AAE"/>
    <w:rsid w:val="00793BE4"/>
    <w:rsid w:val="00793CB9"/>
    <w:rsid w:val="00793D12"/>
    <w:rsid w:val="00793D69"/>
    <w:rsid w:val="00793E11"/>
    <w:rsid w:val="00793E22"/>
    <w:rsid w:val="00793EB9"/>
    <w:rsid w:val="00793F6A"/>
    <w:rsid w:val="007940BC"/>
    <w:rsid w:val="007941F6"/>
    <w:rsid w:val="007944EA"/>
    <w:rsid w:val="00794500"/>
    <w:rsid w:val="0079459A"/>
    <w:rsid w:val="00794788"/>
    <w:rsid w:val="007947A6"/>
    <w:rsid w:val="0079480A"/>
    <w:rsid w:val="007948E7"/>
    <w:rsid w:val="00794AE6"/>
    <w:rsid w:val="00794C44"/>
    <w:rsid w:val="00794C85"/>
    <w:rsid w:val="00794CED"/>
    <w:rsid w:val="00794E3E"/>
    <w:rsid w:val="00794EF0"/>
    <w:rsid w:val="00795181"/>
    <w:rsid w:val="00795227"/>
    <w:rsid w:val="007952E0"/>
    <w:rsid w:val="00795426"/>
    <w:rsid w:val="007954B5"/>
    <w:rsid w:val="007954BF"/>
    <w:rsid w:val="0079573B"/>
    <w:rsid w:val="00795911"/>
    <w:rsid w:val="007959BC"/>
    <w:rsid w:val="007959DC"/>
    <w:rsid w:val="00795ACC"/>
    <w:rsid w:val="00795B31"/>
    <w:rsid w:val="00795B6C"/>
    <w:rsid w:val="00795D42"/>
    <w:rsid w:val="00795E5E"/>
    <w:rsid w:val="00795F37"/>
    <w:rsid w:val="00795F6F"/>
    <w:rsid w:val="00795F8B"/>
    <w:rsid w:val="00796044"/>
    <w:rsid w:val="0079606E"/>
    <w:rsid w:val="007960EA"/>
    <w:rsid w:val="007962DD"/>
    <w:rsid w:val="0079632C"/>
    <w:rsid w:val="0079632F"/>
    <w:rsid w:val="007965E5"/>
    <w:rsid w:val="007967EC"/>
    <w:rsid w:val="00796A1E"/>
    <w:rsid w:val="00796AD9"/>
    <w:rsid w:val="00796B82"/>
    <w:rsid w:val="00796B9C"/>
    <w:rsid w:val="00796C04"/>
    <w:rsid w:val="00796CB4"/>
    <w:rsid w:val="00796D4D"/>
    <w:rsid w:val="00796D6A"/>
    <w:rsid w:val="00796DC6"/>
    <w:rsid w:val="00796EBB"/>
    <w:rsid w:val="0079704E"/>
    <w:rsid w:val="00797099"/>
    <w:rsid w:val="007970A1"/>
    <w:rsid w:val="007971F2"/>
    <w:rsid w:val="00797255"/>
    <w:rsid w:val="007972B2"/>
    <w:rsid w:val="0079730B"/>
    <w:rsid w:val="007973FC"/>
    <w:rsid w:val="00797498"/>
    <w:rsid w:val="007975B1"/>
    <w:rsid w:val="007976D3"/>
    <w:rsid w:val="00797723"/>
    <w:rsid w:val="0079772C"/>
    <w:rsid w:val="007977DF"/>
    <w:rsid w:val="00797913"/>
    <w:rsid w:val="007979A1"/>
    <w:rsid w:val="00797A36"/>
    <w:rsid w:val="00797BBB"/>
    <w:rsid w:val="00797C78"/>
    <w:rsid w:val="00797D27"/>
    <w:rsid w:val="00797E4B"/>
    <w:rsid w:val="00797F2B"/>
    <w:rsid w:val="00797F58"/>
    <w:rsid w:val="00797F60"/>
    <w:rsid w:val="00797FA8"/>
    <w:rsid w:val="007A0024"/>
    <w:rsid w:val="007A0299"/>
    <w:rsid w:val="007A02A7"/>
    <w:rsid w:val="007A02D0"/>
    <w:rsid w:val="007A02DE"/>
    <w:rsid w:val="007A03EE"/>
    <w:rsid w:val="007A0453"/>
    <w:rsid w:val="007A04C9"/>
    <w:rsid w:val="007A0665"/>
    <w:rsid w:val="007A071C"/>
    <w:rsid w:val="007A0910"/>
    <w:rsid w:val="007A0AFB"/>
    <w:rsid w:val="007A0B15"/>
    <w:rsid w:val="007A0B7A"/>
    <w:rsid w:val="007A0CE3"/>
    <w:rsid w:val="007A0D13"/>
    <w:rsid w:val="007A0F71"/>
    <w:rsid w:val="007A10C0"/>
    <w:rsid w:val="007A1106"/>
    <w:rsid w:val="007A12FE"/>
    <w:rsid w:val="007A14A9"/>
    <w:rsid w:val="007A14E8"/>
    <w:rsid w:val="007A1533"/>
    <w:rsid w:val="007A1547"/>
    <w:rsid w:val="007A158B"/>
    <w:rsid w:val="007A1647"/>
    <w:rsid w:val="007A16A3"/>
    <w:rsid w:val="007A1796"/>
    <w:rsid w:val="007A17AF"/>
    <w:rsid w:val="007A19AE"/>
    <w:rsid w:val="007A1B0A"/>
    <w:rsid w:val="007A1CF8"/>
    <w:rsid w:val="007A1D10"/>
    <w:rsid w:val="007A1D7A"/>
    <w:rsid w:val="007A1FCD"/>
    <w:rsid w:val="007A1FD2"/>
    <w:rsid w:val="007A20FB"/>
    <w:rsid w:val="007A211E"/>
    <w:rsid w:val="007A2305"/>
    <w:rsid w:val="007A2366"/>
    <w:rsid w:val="007A244E"/>
    <w:rsid w:val="007A25D1"/>
    <w:rsid w:val="007A268D"/>
    <w:rsid w:val="007A26B0"/>
    <w:rsid w:val="007A26D0"/>
    <w:rsid w:val="007A27E9"/>
    <w:rsid w:val="007A2831"/>
    <w:rsid w:val="007A28EC"/>
    <w:rsid w:val="007A290B"/>
    <w:rsid w:val="007A2998"/>
    <w:rsid w:val="007A2AAE"/>
    <w:rsid w:val="007A2B1F"/>
    <w:rsid w:val="007A2D5D"/>
    <w:rsid w:val="007A2DD9"/>
    <w:rsid w:val="007A2DFF"/>
    <w:rsid w:val="007A2ED9"/>
    <w:rsid w:val="007A3066"/>
    <w:rsid w:val="007A3073"/>
    <w:rsid w:val="007A3152"/>
    <w:rsid w:val="007A31B0"/>
    <w:rsid w:val="007A3228"/>
    <w:rsid w:val="007A331C"/>
    <w:rsid w:val="007A3A75"/>
    <w:rsid w:val="007A3BF2"/>
    <w:rsid w:val="007A3C04"/>
    <w:rsid w:val="007A3C46"/>
    <w:rsid w:val="007A3E12"/>
    <w:rsid w:val="007A3E3C"/>
    <w:rsid w:val="007A3EF8"/>
    <w:rsid w:val="007A424C"/>
    <w:rsid w:val="007A4555"/>
    <w:rsid w:val="007A475F"/>
    <w:rsid w:val="007A482A"/>
    <w:rsid w:val="007A4894"/>
    <w:rsid w:val="007A49E3"/>
    <w:rsid w:val="007A4A0B"/>
    <w:rsid w:val="007A4BA2"/>
    <w:rsid w:val="007A4CA6"/>
    <w:rsid w:val="007A4E82"/>
    <w:rsid w:val="007A54A1"/>
    <w:rsid w:val="007A57DD"/>
    <w:rsid w:val="007A57FE"/>
    <w:rsid w:val="007A5965"/>
    <w:rsid w:val="007A598B"/>
    <w:rsid w:val="007A5A47"/>
    <w:rsid w:val="007A5A96"/>
    <w:rsid w:val="007A5B5B"/>
    <w:rsid w:val="007A5B73"/>
    <w:rsid w:val="007A5BC9"/>
    <w:rsid w:val="007A5CB3"/>
    <w:rsid w:val="007A5D8B"/>
    <w:rsid w:val="007A5E5A"/>
    <w:rsid w:val="007A60CB"/>
    <w:rsid w:val="007A6449"/>
    <w:rsid w:val="007A665C"/>
    <w:rsid w:val="007A66C7"/>
    <w:rsid w:val="007A674D"/>
    <w:rsid w:val="007A675A"/>
    <w:rsid w:val="007A6934"/>
    <w:rsid w:val="007A69F0"/>
    <w:rsid w:val="007A6CC2"/>
    <w:rsid w:val="007A6CF1"/>
    <w:rsid w:val="007A6E63"/>
    <w:rsid w:val="007A6F1B"/>
    <w:rsid w:val="007A6FDE"/>
    <w:rsid w:val="007A705F"/>
    <w:rsid w:val="007A70F4"/>
    <w:rsid w:val="007A7228"/>
    <w:rsid w:val="007A722C"/>
    <w:rsid w:val="007A7293"/>
    <w:rsid w:val="007A730E"/>
    <w:rsid w:val="007A7342"/>
    <w:rsid w:val="007A73BC"/>
    <w:rsid w:val="007A741A"/>
    <w:rsid w:val="007A7568"/>
    <w:rsid w:val="007A75B4"/>
    <w:rsid w:val="007A7627"/>
    <w:rsid w:val="007A76E9"/>
    <w:rsid w:val="007A76F8"/>
    <w:rsid w:val="007A77A9"/>
    <w:rsid w:val="007A78CE"/>
    <w:rsid w:val="007A7B46"/>
    <w:rsid w:val="007A7CA1"/>
    <w:rsid w:val="007A7D25"/>
    <w:rsid w:val="007A7DB9"/>
    <w:rsid w:val="007A7F35"/>
    <w:rsid w:val="007B02F3"/>
    <w:rsid w:val="007B032F"/>
    <w:rsid w:val="007B040E"/>
    <w:rsid w:val="007B064C"/>
    <w:rsid w:val="007B06A1"/>
    <w:rsid w:val="007B0705"/>
    <w:rsid w:val="007B075E"/>
    <w:rsid w:val="007B0950"/>
    <w:rsid w:val="007B0965"/>
    <w:rsid w:val="007B0A14"/>
    <w:rsid w:val="007B0B23"/>
    <w:rsid w:val="007B0B48"/>
    <w:rsid w:val="007B0C67"/>
    <w:rsid w:val="007B0DDB"/>
    <w:rsid w:val="007B0E03"/>
    <w:rsid w:val="007B0E3B"/>
    <w:rsid w:val="007B0E47"/>
    <w:rsid w:val="007B0E74"/>
    <w:rsid w:val="007B0E8B"/>
    <w:rsid w:val="007B10FC"/>
    <w:rsid w:val="007B11C2"/>
    <w:rsid w:val="007B11DF"/>
    <w:rsid w:val="007B12D1"/>
    <w:rsid w:val="007B1359"/>
    <w:rsid w:val="007B1366"/>
    <w:rsid w:val="007B166A"/>
    <w:rsid w:val="007B17A7"/>
    <w:rsid w:val="007B19D8"/>
    <w:rsid w:val="007B1BCE"/>
    <w:rsid w:val="007B1BDE"/>
    <w:rsid w:val="007B1C89"/>
    <w:rsid w:val="007B1CBA"/>
    <w:rsid w:val="007B1D30"/>
    <w:rsid w:val="007B1D5A"/>
    <w:rsid w:val="007B1E6E"/>
    <w:rsid w:val="007B1FB4"/>
    <w:rsid w:val="007B2044"/>
    <w:rsid w:val="007B2482"/>
    <w:rsid w:val="007B2567"/>
    <w:rsid w:val="007B259A"/>
    <w:rsid w:val="007B25CC"/>
    <w:rsid w:val="007B2610"/>
    <w:rsid w:val="007B2738"/>
    <w:rsid w:val="007B28B5"/>
    <w:rsid w:val="007B28EF"/>
    <w:rsid w:val="007B29FE"/>
    <w:rsid w:val="007B2A41"/>
    <w:rsid w:val="007B2B64"/>
    <w:rsid w:val="007B2BDC"/>
    <w:rsid w:val="007B2BEB"/>
    <w:rsid w:val="007B2CFF"/>
    <w:rsid w:val="007B2D0D"/>
    <w:rsid w:val="007B2E74"/>
    <w:rsid w:val="007B30FA"/>
    <w:rsid w:val="007B3118"/>
    <w:rsid w:val="007B31F5"/>
    <w:rsid w:val="007B338C"/>
    <w:rsid w:val="007B3571"/>
    <w:rsid w:val="007B371A"/>
    <w:rsid w:val="007B397E"/>
    <w:rsid w:val="007B3B4F"/>
    <w:rsid w:val="007B3BBF"/>
    <w:rsid w:val="007B3BE8"/>
    <w:rsid w:val="007B3C24"/>
    <w:rsid w:val="007B3D61"/>
    <w:rsid w:val="007B403A"/>
    <w:rsid w:val="007B407B"/>
    <w:rsid w:val="007B416D"/>
    <w:rsid w:val="007B4173"/>
    <w:rsid w:val="007B42C7"/>
    <w:rsid w:val="007B4453"/>
    <w:rsid w:val="007B4461"/>
    <w:rsid w:val="007B47C9"/>
    <w:rsid w:val="007B4817"/>
    <w:rsid w:val="007B4839"/>
    <w:rsid w:val="007B48FE"/>
    <w:rsid w:val="007B4980"/>
    <w:rsid w:val="007B49A5"/>
    <w:rsid w:val="007B49D1"/>
    <w:rsid w:val="007B4A67"/>
    <w:rsid w:val="007B4BB0"/>
    <w:rsid w:val="007B4C8F"/>
    <w:rsid w:val="007B4CF4"/>
    <w:rsid w:val="007B5164"/>
    <w:rsid w:val="007B53E6"/>
    <w:rsid w:val="007B5401"/>
    <w:rsid w:val="007B5458"/>
    <w:rsid w:val="007B551B"/>
    <w:rsid w:val="007B552E"/>
    <w:rsid w:val="007B5584"/>
    <w:rsid w:val="007B55E8"/>
    <w:rsid w:val="007B55ED"/>
    <w:rsid w:val="007B5890"/>
    <w:rsid w:val="007B593A"/>
    <w:rsid w:val="007B5981"/>
    <w:rsid w:val="007B59CC"/>
    <w:rsid w:val="007B5B60"/>
    <w:rsid w:val="007B5BD7"/>
    <w:rsid w:val="007B5D0C"/>
    <w:rsid w:val="007B5E39"/>
    <w:rsid w:val="007B5E54"/>
    <w:rsid w:val="007B5E9C"/>
    <w:rsid w:val="007B5F10"/>
    <w:rsid w:val="007B601A"/>
    <w:rsid w:val="007B6060"/>
    <w:rsid w:val="007B60D7"/>
    <w:rsid w:val="007B6362"/>
    <w:rsid w:val="007B637A"/>
    <w:rsid w:val="007B65FF"/>
    <w:rsid w:val="007B6781"/>
    <w:rsid w:val="007B67FA"/>
    <w:rsid w:val="007B6892"/>
    <w:rsid w:val="007B6894"/>
    <w:rsid w:val="007B6BB5"/>
    <w:rsid w:val="007B6BC8"/>
    <w:rsid w:val="007B6BCA"/>
    <w:rsid w:val="007B6E53"/>
    <w:rsid w:val="007B6F92"/>
    <w:rsid w:val="007B701F"/>
    <w:rsid w:val="007B72FC"/>
    <w:rsid w:val="007B735B"/>
    <w:rsid w:val="007B747D"/>
    <w:rsid w:val="007B7689"/>
    <w:rsid w:val="007B7698"/>
    <w:rsid w:val="007B76CF"/>
    <w:rsid w:val="007B7766"/>
    <w:rsid w:val="007B7773"/>
    <w:rsid w:val="007B7B0C"/>
    <w:rsid w:val="007B7C00"/>
    <w:rsid w:val="007B7D6B"/>
    <w:rsid w:val="007B7D73"/>
    <w:rsid w:val="007B7EBE"/>
    <w:rsid w:val="007C005A"/>
    <w:rsid w:val="007C0084"/>
    <w:rsid w:val="007C018F"/>
    <w:rsid w:val="007C0245"/>
    <w:rsid w:val="007C033F"/>
    <w:rsid w:val="007C06AD"/>
    <w:rsid w:val="007C08AF"/>
    <w:rsid w:val="007C08F0"/>
    <w:rsid w:val="007C0A58"/>
    <w:rsid w:val="007C0A5C"/>
    <w:rsid w:val="007C0AD7"/>
    <w:rsid w:val="007C0B84"/>
    <w:rsid w:val="007C0EEF"/>
    <w:rsid w:val="007C1030"/>
    <w:rsid w:val="007C10F0"/>
    <w:rsid w:val="007C1131"/>
    <w:rsid w:val="007C1462"/>
    <w:rsid w:val="007C15AF"/>
    <w:rsid w:val="007C1837"/>
    <w:rsid w:val="007C1855"/>
    <w:rsid w:val="007C1868"/>
    <w:rsid w:val="007C19DF"/>
    <w:rsid w:val="007C19E2"/>
    <w:rsid w:val="007C1B3E"/>
    <w:rsid w:val="007C1DBD"/>
    <w:rsid w:val="007C1E45"/>
    <w:rsid w:val="007C1E6B"/>
    <w:rsid w:val="007C2013"/>
    <w:rsid w:val="007C2075"/>
    <w:rsid w:val="007C218C"/>
    <w:rsid w:val="007C21C4"/>
    <w:rsid w:val="007C230F"/>
    <w:rsid w:val="007C231C"/>
    <w:rsid w:val="007C23F1"/>
    <w:rsid w:val="007C24A4"/>
    <w:rsid w:val="007C24E3"/>
    <w:rsid w:val="007C2559"/>
    <w:rsid w:val="007C2600"/>
    <w:rsid w:val="007C264D"/>
    <w:rsid w:val="007C2688"/>
    <w:rsid w:val="007C26A9"/>
    <w:rsid w:val="007C26FE"/>
    <w:rsid w:val="007C28E0"/>
    <w:rsid w:val="007C2B6D"/>
    <w:rsid w:val="007C2C35"/>
    <w:rsid w:val="007C2DFB"/>
    <w:rsid w:val="007C2EDC"/>
    <w:rsid w:val="007C301A"/>
    <w:rsid w:val="007C329B"/>
    <w:rsid w:val="007C3336"/>
    <w:rsid w:val="007C33FE"/>
    <w:rsid w:val="007C3479"/>
    <w:rsid w:val="007C3512"/>
    <w:rsid w:val="007C364F"/>
    <w:rsid w:val="007C369A"/>
    <w:rsid w:val="007C36A4"/>
    <w:rsid w:val="007C36E1"/>
    <w:rsid w:val="007C36E3"/>
    <w:rsid w:val="007C395E"/>
    <w:rsid w:val="007C3A86"/>
    <w:rsid w:val="007C3E0D"/>
    <w:rsid w:val="007C4129"/>
    <w:rsid w:val="007C423C"/>
    <w:rsid w:val="007C4313"/>
    <w:rsid w:val="007C43BE"/>
    <w:rsid w:val="007C4435"/>
    <w:rsid w:val="007C443E"/>
    <w:rsid w:val="007C46BA"/>
    <w:rsid w:val="007C4760"/>
    <w:rsid w:val="007C4888"/>
    <w:rsid w:val="007C48DD"/>
    <w:rsid w:val="007C4B98"/>
    <w:rsid w:val="007C4C29"/>
    <w:rsid w:val="007C4D16"/>
    <w:rsid w:val="007C4D74"/>
    <w:rsid w:val="007C4DA7"/>
    <w:rsid w:val="007C4E4A"/>
    <w:rsid w:val="007C4F26"/>
    <w:rsid w:val="007C503E"/>
    <w:rsid w:val="007C51A1"/>
    <w:rsid w:val="007C524A"/>
    <w:rsid w:val="007C52C6"/>
    <w:rsid w:val="007C52FB"/>
    <w:rsid w:val="007C53E1"/>
    <w:rsid w:val="007C541C"/>
    <w:rsid w:val="007C5628"/>
    <w:rsid w:val="007C56E1"/>
    <w:rsid w:val="007C5A3D"/>
    <w:rsid w:val="007C5A69"/>
    <w:rsid w:val="007C5A91"/>
    <w:rsid w:val="007C5C03"/>
    <w:rsid w:val="007C5C2F"/>
    <w:rsid w:val="007C5C68"/>
    <w:rsid w:val="007C5D81"/>
    <w:rsid w:val="007C5E75"/>
    <w:rsid w:val="007C5EF4"/>
    <w:rsid w:val="007C606C"/>
    <w:rsid w:val="007C6153"/>
    <w:rsid w:val="007C617B"/>
    <w:rsid w:val="007C61B6"/>
    <w:rsid w:val="007C6205"/>
    <w:rsid w:val="007C65FA"/>
    <w:rsid w:val="007C664C"/>
    <w:rsid w:val="007C6819"/>
    <w:rsid w:val="007C68F7"/>
    <w:rsid w:val="007C691A"/>
    <w:rsid w:val="007C6935"/>
    <w:rsid w:val="007C6AEA"/>
    <w:rsid w:val="007C6BC4"/>
    <w:rsid w:val="007C6CBB"/>
    <w:rsid w:val="007C6CF0"/>
    <w:rsid w:val="007C6D5C"/>
    <w:rsid w:val="007C6EB0"/>
    <w:rsid w:val="007C7074"/>
    <w:rsid w:val="007C7146"/>
    <w:rsid w:val="007C7182"/>
    <w:rsid w:val="007C71DD"/>
    <w:rsid w:val="007C71E6"/>
    <w:rsid w:val="007C7324"/>
    <w:rsid w:val="007C748A"/>
    <w:rsid w:val="007C755E"/>
    <w:rsid w:val="007C7705"/>
    <w:rsid w:val="007C777B"/>
    <w:rsid w:val="007C78DD"/>
    <w:rsid w:val="007C78F7"/>
    <w:rsid w:val="007C7A1D"/>
    <w:rsid w:val="007C7A82"/>
    <w:rsid w:val="007C7B29"/>
    <w:rsid w:val="007C7B7F"/>
    <w:rsid w:val="007C7BEB"/>
    <w:rsid w:val="007C7CC9"/>
    <w:rsid w:val="007C7D3C"/>
    <w:rsid w:val="007C7DB1"/>
    <w:rsid w:val="007C7EEB"/>
    <w:rsid w:val="007D0030"/>
    <w:rsid w:val="007D01AD"/>
    <w:rsid w:val="007D02EB"/>
    <w:rsid w:val="007D0332"/>
    <w:rsid w:val="007D0361"/>
    <w:rsid w:val="007D0683"/>
    <w:rsid w:val="007D06A2"/>
    <w:rsid w:val="007D06C2"/>
    <w:rsid w:val="007D07A5"/>
    <w:rsid w:val="007D07F1"/>
    <w:rsid w:val="007D098E"/>
    <w:rsid w:val="007D0B07"/>
    <w:rsid w:val="007D0C98"/>
    <w:rsid w:val="007D0EFE"/>
    <w:rsid w:val="007D11F7"/>
    <w:rsid w:val="007D11FA"/>
    <w:rsid w:val="007D12A2"/>
    <w:rsid w:val="007D147F"/>
    <w:rsid w:val="007D148F"/>
    <w:rsid w:val="007D14CE"/>
    <w:rsid w:val="007D1725"/>
    <w:rsid w:val="007D1772"/>
    <w:rsid w:val="007D1835"/>
    <w:rsid w:val="007D185F"/>
    <w:rsid w:val="007D1E27"/>
    <w:rsid w:val="007D1EDA"/>
    <w:rsid w:val="007D2056"/>
    <w:rsid w:val="007D2380"/>
    <w:rsid w:val="007D2453"/>
    <w:rsid w:val="007D248E"/>
    <w:rsid w:val="007D2688"/>
    <w:rsid w:val="007D26F6"/>
    <w:rsid w:val="007D28B7"/>
    <w:rsid w:val="007D28FD"/>
    <w:rsid w:val="007D2A0F"/>
    <w:rsid w:val="007D2A17"/>
    <w:rsid w:val="007D2A2A"/>
    <w:rsid w:val="007D2A94"/>
    <w:rsid w:val="007D2D24"/>
    <w:rsid w:val="007D2E0B"/>
    <w:rsid w:val="007D2E5F"/>
    <w:rsid w:val="007D301D"/>
    <w:rsid w:val="007D30EA"/>
    <w:rsid w:val="007D3268"/>
    <w:rsid w:val="007D33A0"/>
    <w:rsid w:val="007D3432"/>
    <w:rsid w:val="007D3628"/>
    <w:rsid w:val="007D3663"/>
    <w:rsid w:val="007D3680"/>
    <w:rsid w:val="007D3735"/>
    <w:rsid w:val="007D37E0"/>
    <w:rsid w:val="007D393C"/>
    <w:rsid w:val="007D3AEB"/>
    <w:rsid w:val="007D3B14"/>
    <w:rsid w:val="007D3B4C"/>
    <w:rsid w:val="007D3BCC"/>
    <w:rsid w:val="007D3BEF"/>
    <w:rsid w:val="007D3C86"/>
    <w:rsid w:val="007D3D55"/>
    <w:rsid w:val="007D3D65"/>
    <w:rsid w:val="007D3E6E"/>
    <w:rsid w:val="007D415B"/>
    <w:rsid w:val="007D41FC"/>
    <w:rsid w:val="007D4413"/>
    <w:rsid w:val="007D4420"/>
    <w:rsid w:val="007D4447"/>
    <w:rsid w:val="007D448C"/>
    <w:rsid w:val="007D46BF"/>
    <w:rsid w:val="007D479B"/>
    <w:rsid w:val="007D47AB"/>
    <w:rsid w:val="007D4831"/>
    <w:rsid w:val="007D4844"/>
    <w:rsid w:val="007D492C"/>
    <w:rsid w:val="007D4A55"/>
    <w:rsid w:val="007D4C0F"/>
    <w:rsid w:val="007D4C5A"/>
    <w:rsid w:val="007D4E8A"/>
    <w:rsid w:val="007D5213"/>
    <w:rsid w:val="007D5809"/>
    <w:rsid w:val="007D584B"/>
    <w:rsid w:val="007D58B3"/>
    <w:rsid w:val="007D5B24"/>
    <w:rsid w:val="007D5C3B"/>
    <w:rsid w:val="007D5C6D"/>
    <w:rsid w:val="007D5FA9"/>
    <w:rsid w:val="007D640D"/>
    <w:rsid w:val="007D647F"/>
    <w:rsid w:val="007D64BB"/>
    <w:rsid w:val="007D65F2"/>
    <w:rsid w:val="007D661A"/>
    <w:rsid w:val="007D6749"/>
    <w:rsid w:val="007D6AFE"/>
    <w:rsid w:val="007D6B06"/>
    <w:rsid w:val="007D6BAB"/>
    <w:rsid w:val="007D6BCD"/>
    <w:rsid w:val="007D6BF5"/>
    <w:rsid w:val="007D6C1F"/>
    <w:rsid w:val="007D6CD8"/>
    <w:rsid w:val="007D6DE6"/>
    <w:rsid w:val="007D6EAB"/>
    <w:rsid w:val="007D6EE9"/>
    <w:rsid w:val="007D6F03"/>
    <w:rsid w:val="007D700C"/>
    <w:rsid w:val="007D702F"/>
    <w:rsid w:val="007D70A4"/>
    <w:rsid w:val="007D70E0"/>
    <w:rsid w:val="007D7139"/>
    <w:rsid w:val="007D7166"/>
    <w:rsid w:val="007D717D"/>
    <w:rsid w:val="007D71C9"/>
    <w:rsid w:val="007D7641"/>
    <w:rsid w:val="007D79C5"/>
    <w:rsid w:val="007D7C36"/>
    <w:rsid w:val="007D7CD7"/>
    <w:rsid w:val="007D7D3A"/>
    <w:rsid w:val="007D7D52"/>
    <w:rsid w:val="007D7D72"/>
    <w:rsid w:val="007D7DDE"/>
    <w:rsid w:val="007D7E6D"/>
    <w:rsid w:val="007D7F4F"/>
    <w:rsid w:val="007E002A"/>
    <w:rsid w:val="007E0166"/>
    <w:rsid w:val="007E0266"/>
    <w:rsid w:val="007E027C"/>
    <w:rsid w:val="007E03EC"/>
    <w:rsid w:val="007E04D8"/>
    <w:rsid w:val="007E0516"/>
    <w:rsid w:val="007E0526"/>
    <w:rsid w:val="007E066F"/>
    <w:rsid w:val="007E0770"/>
    <w:rsid w:val="007E092F"/>
    <w:rsid w:val="007E09AF"/>
    <w:rsid w:val="007E0A42"/>
    <w:rsid w:val="007E0DAA"/>
    <w:rsid w:val="007E0DF1"/>
    <w:rsid w:val="007E0EB0"/>
    <w:rsid w:val="007E0EE3"/>
    <w:rsid w:val="007E0F18"/>
    <w:rsid w:val="007E1166"/>
    <w:rsid w:val="007E1173"/>
    <w:rsid w:val="007E1233"/>
    <w:rsid w:val="007E127D"/>
    <w:rsid w:val="007E12B1"/>
    <w:rsid w:val="007E148C"/>
    <w:rsid w:val="007E150E"/>
    <w:rsid w:val="007E17DA"/>
    <w:rsid w:val="007E19B0"/>
    <w:rsid w:val="007E1B92"/>
    <w:rsid w:val="007E1C11"/>
    <w:rsid w:val="007E1C9D"/>
    <w:rsid w:val="007E1DA5"/>
    <w:rsid w:val="007E1EB4"/>
    <w:rsid w:val="007E1F42"/>
    <w:rsid w:val="007E2037"/>
    <w:rsid w:val="007E2145"/>
    <w:rsid w:val="007E21AD"/>
    <w:rsid w:val="007E230E"/>
    <w:rsid w:val="007E23F0"/>
    <w:rsid w:val="007E241A"/>
    <w:rsid w:val="007E2451"/>
    <w:rsid w:val="007E24D5"/>
    <w:rsid w:val="007E25D4"/>
    <w:rsid w:val="007E28F8"/>
    <w:rsid w:val="007E2917"/>
    <w:rsid w:val="007E29AA"/>
    <w:rsid w:val="007E2B0B"/>
    <w:rsid w:val="007E2B8A"/>
    <w:rsid w:val="007E2BC1"/>
    <w:rsid w:val="007E2C36"/>
    <w:rsid w:val="007E2C5F"/>
    <w:rsid w:val="007E2D11"/>
    <w:rsid w:val="007E2D1B"/>
    <w:rsid w:val="007E2D37"/>
    <w:rsid w:val="007E2D97"/>
    <w:rsid w:val="007E2DEE"/>
    <w:rsid w:val="007E302E"/>
    <w:rsid w:val="007E32FE"/>
    <w:rsid w:val="007E33DF"/>
    <w:rsid w:val="007E3477"/>
    <w:rsid w:val="007E368B"/>
    <w:rsid w:val="007E36BD"/>
    <w:rsid w:val="007E3713"/>
    <w:rsid w:val="007E376A"/>
    <w:rsid w:val="007E388A"/>
    <w:rsid w:val="007E390A"/>
    <w:rsid w:val="007E3968"/>
    <w:rsid w:val="007E3A00"/>
    <w:rsid w:val="007E3B40"/>
    <w:rsid w:val="007E3C36"/>
    <w:rsid w:val="007E3C80"/>
    <w:rsid w:val="007E3C97"/>
    <w:rsid w:val="007E3D77"/>
    <w:rsid w:val="007E3E21"/>
    <w:rsid w:val="007E3F57"/>
    <w:rsid w:val="007E420A"/>
    <w:rsid w:val="007E43D2"/>
    <w:rsid w:val="007E4444"/>
    <w:rsid w:val="007E4616"/>
    <w:rsid w:val="007E46E1"/>
    <w:rsid w:val="007E4881"/>
    <w:rsid w:val="007E488F"/>
    <w:rsid w:val="007E497D"/>
    <w:rsid w:val="007E49AE"/>
    <w:rsid w:val="007E49C3"/>
    <w:rsid w:val="007E49C9"/>
    <w:rsid w:val="007E4B52"/>
    <w:rsid w:val="007E4B8B"/>
    <w:rsid w:val="007E4C48"/>
    <w:rsid w:val="007E4C9A"/>
    <w:rsid w:val="007E4D8F"/>
    <w:rsid w:val="007E4F57"/>
    <w:rsid w:val="007E507C"/>
    <w:rsid w:val="007E5251"/>
    <w:rsid w:val="007E5330"/>
    <w:rsid w:val="007E5415"/>
    <w:rsid w:val="007E5628"/>
    <w:rsid w:val="007E563A"/>
    <w:rsid w:val="007E5854"/>
    <w:rsid w:val="007E5989"/>
    <w:rsid w:val="007E5A69"/>
    <w:rsid w:val="007E5B16"/>
    <w:rsid w:val="007E5B59"/>
    <w:rsid w:val="007E5BF6"/>
    <w:rsid w:val="007E5C40"/>
    <w:rsid w:val="007E5E4A"/>
    <w:rsid w:val="007E5E92"/>
    <w:rsid w:val="007E5EE4"/>
    <w:rsid w:val="007E5EE5"/>
    <w:rsid w:val="007E637A"/>
    <w:rsid w:val="007E648E"/>
    <w:rsid w:val="007E653B"/>
    <w:rsid w:val="007E6637"/>
    <w:rsid w:val="007E668E"/>
    <w:rsid w:val="007E6694"/>
    <w:rsid w:val="007E673C"/>
    <w:rsid w:val="007E6878"/>
    <w:rsid w:val="007E69A7"/>
    <w:rsid w:val="007E69B9"/>
    <w:rsid w:val="007E6B28"/>
    <w:rsid w:val="007E6B41"/>
    <w:rsid w:val="007E6CFF"/>
    <w:rsid w:val="007E706D"/>
    <w:rsid w:val="007E727C"/>
    <w:rsid w:val="007E7358"/>
    <w:rsid w:val="007E739F"/>
    <w:rsid w:val="007E7427"/>
    <w:rsid w:val="007E7468"/>
    <w:rsid w:val="007E74BA"/>
    <w:rsid w:val="007E74C0"/>
    <w:rsid w:val="007E76D1"/>
    <w:rsid w:val="007E7737"/>
    <w:rsid w:val="007E779E"/>
    <w:rsid w:val="007E78B2"/>
    <w:rsid w:val="007E78CD"/>
    <w:rsid w:val="007E78D0"/>
    <w:rsid w:val="007E7B53"/>
    <w:rsid w:val="007E7D22"/>
    <w:rsid w:val="007E7DB7"/>
    <w:rsid w:val="007E7F06"/>
    <w:rsid w:val="007E7F61"/>
    <w:rsid w:val="007F0057"/>
    <w:rsid w:val="007F0255"/>
    <w:rsid w:val="007F0263"/>
    <w:rsid w:val="007F0550"/>
    <w:rsid w:val="007F0581"/>
    <w:rsid w:val="007F0669"/>
    <w:rsid w:val="007F06A1"/>
    <w:rsid w:val="007F08E0"/>
    <w:rsid w:val="007F0943"/>
    <w:rsid w:val="007F09D8"/>
    <w:rsid w:val="007F0AEE"/>
    <w:rsid w:val="007F0B50"/>
    <w:rsid w:val="007F0B7D"/>
    <w:rsid w:val="007F0BEF"/>
    <w:rsid w:val="007F0C70"/>
    <w:rsid w:val="007F0C8F"/>
    <w:rsid w:val="007F0CAC"/>
    <w:rsid w:val="007F0E9C"/>
    <w:rsid w:val="007F0EF7"/>
    <w:rsid w:val="007F0F37"/>
    <w:rsid w:val="007F1042"/>
    <w:rsid w:val="007F11EC"/>
    <w:rsid w:val="007F1371"/>
    <w:rsid w:val="007F141B"/>
    <w:rsid w:val="007F1488"/>
    <w:rsid w:val="007F15A0"/>
    <w:rsid w:val="007F165E"/>
    <w:rsid w:val="007F1738"/>
    <w:rsid w:val="007F1761"/>
    <w:rsid w:val="007F17D4"/>
    <w:rsid w:val="007F198C"/>
    <w:rsid w:val="007F1B73"/>
    <w:rsid w:val="007F1B81"/>
    <w:rsid w:val="007F1DB1"/>
    <w:rsid w:val="007F1E13"/>
    <w:rsid w:val="007F1E22"/>
    <w:rsid w:val="007F1E27"/>
    <w:rsid w:val="007F1ED2"/>
    <w:rsid w:val="007F2057"/>
    <w:rsid w:val="007F20F1"/>
    <w:rsid w:val="007F2114"/>
    <w:rsid w:val="007F21E0"/>
    <w:rsid w:val="007F222F"/>
    <w:rsid w:val="007F228C"/>
    <w:rsid w:val="007F2292"/>
    <w:rsid w:val="007F22B9"/>
    <w:rsid w:val="007F2573"/>
    <w:rsid w:val="007F260F"/>
    <w:rsid w:val="007F2691"/>
    <w:rsid w:val="007F26AE"/>
    <w:rsid w:val="007F27B5"/>
    <w:rsid w:val="007F28FE"/>
    <w:rsid w:val="007F292D"/>
    <w:rsid w:val="007F2AEA"/>
    <w:rsid w:val="007F2B28"/>
    <w:rsid w:val="007F2BEF"/>
    <w:rsid w:val="007F2BFE"/>
    <w:rsid w:val="007F2C1C"/>
    <w:rsid w:val="007F2C38"/>
    <w:rsid w:val="007F32BD"/>
    <w:rsid w:val="007F336E"/>
    <w:rsid w:val="007F3376"/>
    <w:rsid w:val="007F33F7"/>
    <w:rsid w:val="007F340B"/>
    <w:rsid w:val="007F361C"/>
    <w:rsid w:val="007F3656"/>
    <w:rsid w:val="007F367F"/>
    <w:rsid w:val="007F3694"/>
    <w:rsid w:val="007F36FA"/>
    <w:rsid w:val="007F3761"/>
    <w:rsid w:val="007F3776"/>
    <w:rsid w:val="007F383A"/>
    <w:rsid w:val="007F39B9"/>
    <w:rsid w:val="007F3A3E"/>
    <w:rsid w:val="007F3B48"/>
    <w:rsid w:val="007F3C14"/>
    <w:rsid w:val="007F3E15"/>
    <w:rsid w:val="007F3E46"/>
    <w:rsid w:val="007F3FEC"/>
    <w:rsid w:val="007F4197"/>
    <w:rsid w:val="007F4207"/>
    <w:rsid w:val="007F4287"/>
    <w:rsid w:val="007F4353"/>
    <w:rsid w:val="007F4490"/>
    <w:rsid w:val="007F45D2"/>
    <w:rsid w:val="007F461E"/>
    <w:rsid w:val="007F46CA"/>
    <w:rsid w:val="007F475F"/>
    <w:rsid w:val="007F47A9"/>
    <w:rsid w:val="007F47E6"/>
    <w:rsid w:val="007F4B33"/>
    <w:rsid w:val="007F4BC3"/>
    <w:rsid w:val="007F4C6A"/>
    <w:rsid w:val="007F4CEF"/>
    <w:rsid w:val="007F4DBD"/>
    <w:rsid w:val="007F4E86"/>
    <w:rsid w:val="007F4EA5"/>
    <w:rsid w:val="007F5198"/>
    <w:rsid w:val="007F51D0"/>
    <w:rsid w:val="007F52AC"/>
    <w:rsid w:val="007F5325"/>
    <w:rsid w:val="007F53F5"/>
    <w:rsid w:val="007F5443"/>
    <w:rsid w:val="007F546A"/>
    <w:rsid w:val="007F5573"/>
    <w:rsid w:val="007F5580"/>
    <w:rsid w:val="007F594C"/>
    <w:rsid w:val="007F59FF"/>
    <w:rsid w:val="007F5A29"/>
    <w:rsid w:val="007F5B6D"/>
    <w:rsid w:val="007F5C5C"/>
    <w:rsid w:val="007F5CB0"/>
    <w:rsid w:val="007F5DD5"/>
    <w:rsid w:val="007F5E03"/>
    <w:rsid w:val="007F5E61"/>
    <w:rsid w:val="007F5F2C"/>
    <w:rsid w:val="007F5FA2"/>
    <w:rsid w:val="007F6113"/>
    <w:rsid w:val="007F616E"/>
    <w:rsid w:val="007F636F"/>
    <w:rsid w:val="007F659A"/>
    <w:rsid w:val="007F6625"/>
    <w:rsid w:val="007F66B4"/>
    <w:rsid w:val="007F66F7"/>
    <w:rsid w:val="007F66FB"/>
    <w:rsid w:val="007F676D"/>
    <w:rsid w:val="007F6865"/>
    <w:rsid w:val="007F6894"/>
    <w:rsid w:val="007F69D0"/>
    <w:rsid w:val="007F69EF"/>
    <w:rsid w:val="007F6AD6"/>
    <w:rsid w:val="007F6AD7"/>
    <w:rsid w:val="007F6B54"/>
    <w:rsid w:val="007F6C62"/>
    <w:rsid w:val="007F6CBB"/>
    <w:rsid w:val="007F6CD3"/>
    <w:rsid w:val="007F6D39"/>
    <w:rsid w:val="007F6E97"/>
    <w:rsid w:val="007F6F63"/>
    <w:rsid w:val="007F7181"/>
    <w:rsid w:val="007F72B1"/>
    <w:rsid w:val="007F743E"/>
    <w:rsid w:val="007F7442"/>
    <w:rsid w:val="007F763F"/>
    <w:rsid w:val="007F7677"/>
    <w:rsid w:val="007F76F8"/>
    <w:rsid w:val="007F76F9"/>
    <w:rsid w:val="007F7722"/>
    <w:rsid w:val="007F7731"/>
    <w:rsid w:val="007F7ABF"/>
    <w:rsid w:val="007F7AF8"/>
    <w:rsid w:val="007F7B51"/>
    <w:rsid w:val="007F7C69"/>
    <w:rsid w:val="007F7CA9"/>
    <w:rsid w:val="007F7DBE"/>
    <w:rsid w:val="00800090"/>
    <w:rsid w:val="008000A4"/>
    <w:rsid w:val="00800246"/>
    <w:rsid w:val="0080041C"/>
    <w:rsid w:val="00800437"/>
    <w:rsid w:val="0080047C"/>
    <w:rsid w:val="008005DD"/>
    <w:rsid w:val="0080072C"/>
    <w:rsid w:val="0080079B"/>
    <w:rsid w:val="008008FA"/>
    <w:rsid w:val="00800970"/>
    <w:rsid w:val="00800980"/>
    <w:rsid w:val="008009E8"/>
    <w:rsid w:val="00800BD9"/>
    <w:rsid w:val="00800D63"/>
    <w:rsid w:val="00800D8E"/>
    <w:rsid w:val="00800DD6"/>
    <w:rsid w:val="00800F0F"/>
    <w:rsid w:val="00800F4D"/>
    <w:rsid w:val="00801054"/>
    <w:rsid w:val="008010E2"/>
    <w:rsid w:val="00801102"/>
    <w:rsid w:val="0080112F"/>
    <w:rsid w:val="008011DA"/>
    <w:rsid w:val="0080144C"/>
    <w:rsid w:val="008014C0"/>
    <w:rsid w:val="0080152D"/>
    <w:rsid w:val="008015B1"/>
    <w:rsid w:val="00801654"/>
    <w:rsid w:val="00801673"/>
    <w:rsid w:val="00801677"/>
    <w:rsid w:val="00801681"/>
    <w:rsid w:val="0080184D"/>
    <w:rsid w:val="008019D0"/>
    <w:rsid w:val="00801AB2"/>
    <w:rsid w:val="00801B17"/>
    <w:rsid w:val="00801B3C"/>
    <w:rsid w:val="00801C5B"/>
    <w:rsid w:val="00801C73"/>
    <w:rsid w:val="00801C84"/>
    <w:rsid w:val="00801D64"/>
    <w:rsid w:val="00801DE2"/>
    <w:rsid w:val="00801DFF"/>
    <w:rsid w:val="008021FA"/>
    <w:rsid w:val="00802255"/>
    <w:rsid w:val="00802331"/>
    <w:rsid w:val="0080235E"/>
    <w:rsid w:val="008023BB"/>
    <w:rsid w:val="008024AD"/>
    <w:rsid w:val="0080254B"/>
    <w:rsid w:val="008029C7"/>
    <w:rsid w:val="008029ED"/>
    <w:rsid w:val="00802A60"/>
    <w:rsid w:val="00802BF4"/>
    <w:rsid w:val="00802C3A"/>
    <w:rsid w:val="00802C94"/>
    <w:rsid w:val="00802D9F"/>
    <w:rsid w:val="00802F29"/>
    <w:rsid w:val="00802FB7"/>
    <w:rsid w:val="00803090"/>
    <w:rsid w:val="008030B7"/>
    <w:rsid w:val="00803117"/>
    <w:rsid w:val="00803203"/>
    <w:rsid w:val="0080358E"/>
    <w:rsid w:val="0080367C"/>
    <w:rsid w:val="008036AD"/>
    <w:rsid w:val="00803779"/>
    <w:rsid w:val="00803849"/>
    <w:rsid w:val="00803A1E"/>
    <w:rsid w:val="00803A3C"/>
    <w:rsid w:val="00803A6F"/>
    <w:rsid w:val="00803BDC"/>
    <w:rsid w:val="00803ECE"/>
    <w:rsid w:val="00803F31"/>
    <w:rsid w:val="00803FCA"/>
    <w:rsid w:val="00804233"/>
    <w:rsid w:val="00804335"/>
    <w:rsid w:val="008043C5"/>
    <w:rsid w:val="008043DB"/>
    <w:rsid w:val="00804413"/>
    <w:rsid w:val="008044BA"/>
    <w:rsid w:val="008044F1"/>
    <w:rsid w:val="00804662"/>
    <w:rsid w:val="0080478F"/>
    <w:rsid w:val="00804843"/>
    <w:rsid w:val="008048D4"/>
    <w:rsid w:val="008049CD"/>
    <w:rsid w:val="00804ABB"/>
    <w:rsid w:val="00804C9E"/>
    <w:rsid w:val="00804D19"/>
    <w:rsid w:val="00804D4C"/>
    <w:rsid w:val="00804D6A"/>
    <w:rsid w:val="00804E7A"/>
    <w:rsid w:val="00804E93"/>
    <w:rsid w:val="00804F8F"/>
    <w:rsid w:val="00805130"/>
    <w:rsid w:val="00805179"/>
    <w:rsid w:val="008053A4"/>
    <w:rsid w:val="008053D5"/>
    <w:rsid w:val="00805438"/>
    <w:rsid w:val="008056B9"/>
    <w:rsid w:val="00805A34"/>
    <w:rsid w:val="00805A85"/>
    <w:rsid w:val="00805CCE"/>
    <w:rsid w:val="00805D55"/>
    <w:rsid w:val="00805E07"/>
    <w:rsid w:val="00805F13"/>
    <w:rsid w:val="00805F4E"/>
    <w:rsid w:val="00806067"/>
    <w:rsid w:val="0080617C"/>
    <w:rsid w:val="008061E8"/>
    <w:rsid w:val="0080622F"/>
    <w:rsid w:val="008062AD"/>
    <w:rsid w:val="008063E0"/>
    <w:rsid w:val="0080642A"/>
    <w:rsid w:val="008065FB"/>
    <w:rsid w:val="0080661F"/>
    <w:rsid w:val="008066E5"/>
    <w:rsid w:val="008066F4"/>
    <w:rsid w:val="00806787"/>
    <w:rsid w:val="008067D3"/>
    <w:rsid w:val="00806A38"/>
    <w:rsid w:val="00806BDB"/>
    <w:rsid w:val="00806CF1"/>
    <w:rsid w:val="00806D36"/>
    <w:rsid w:val="008070FF"/>
    <w:rsid w:val="008071F6"/>
    <w:rsid w:val="0080722A"/>
    <w:rsid w:val="008072CC"/>
    <w:rsid w:val="008072D5"/>
    <w:rsid w:val="0080730F"/>
    <w:rsid w:val="008074DD"/>
    <w:rsid w:val="00807554"/>
    <w:rsid w:val="008075A8"/>
    <w:rsid w:val="0080765D"/>
    <w:rsid w:val="0080786B"/>
    <w:rsid w:val="00807905"/>
    <w:rsid w:val="00807A65"/>
    <w:rsid w:val="00807A6C"/>
    <w:rsid w:val="00807C6D"/>
    <w:rsid w:val="00807E77"/>
    <w:rsid w:val="00810027"/>
    <w:rsid w:val="00810125"/>
    <w:rsid w:val="008104C7"/>
    <w:rsid w:val="00810555"/>
    <w:rsid w:val="0081059E"/>
    <w:rsid w:val="00810668"/>
    <w:rsid w:val="0081070E"/>
    <w:rsid w:val="008107C4"/>
    <w:rsid w:val="0081081D"/>
    <w:rsid w:val="0081095C"/>
    <w:rsid w:val="00810A03"/>
    <w:rsid w:val="00810A1F"/>
    <w:rsid w:val="00810B5B"/>
    <w:rsid w:val="00810BB0"/>
    <w:rsid w:val="00810D7E"/>
    <w:rsid w:val="00810DC9"/>
    <w:rsid w:val="00810EB3"/>
    <w:rsid w:val="00810ED2"/>
    <w:rsid w:val="00810F0F"/>
    <w:rsid w:val="00810FBB"/>
    <w:rsid w:val="00811153"/>
    <w:rsid w:val="00811575"/>
    <w:rsid w:val="0081166B"/>
    <w:rsid w:val="00811696"/>
    <w:rsid w:val="00811803"/>
    <w:rsid w:val="00811AC1"/>
    <w:rsid w:val="00811AC4"/>
    <w:rsid w:val="00811BBA"/>
    <w:rsid w:val="00811BF0"/>
    <w:rsid w:val="00811D09"/>
    <w:rsid w:val="00811F07"/>
    <w:rsid w:val="00811F6D"/>
    <w:rsid w:val="00811F94"/>
    <w:rsid w:val="0081203B"/>
    <w:rsid w:val="0081204F"/>
    <w:rsid w:val="00812119"/>
    <w:rsid w:val="0081216E"/>
    <w:rsid w:val="008121DB"/>
    <w:rsid w:val="00812266"/>
    <w:rsid w:val="00812276"/>
    <w:rsid w:val="008122AC"/>
    <w:rsid w:val="0081247D"/>
    <w:rsid w:val="008124BD"/>
    <w:rsid w:val="008124C4"/>
    <w:rsid w:val="008125F7"/>
    <w:rsid w:val="00812660"/>
    <w:rsid w:val="00812847"/>
    <w:rsid w:val="0081285C"/>
    <w:rsid w:val="00812D4E"/>
    <w:rsid w:val="00812D87"/>
    <w:rsid w:val="00812F22"/>
    <w:rsid w:val="00813017"/>
    <w:rsid w:val="008131DA"/>
    <w:rsid w:val="0081326E"/>
    <w:rsid w:val="00813276"/>
    <w:rsid w:val="00813380"/>
    <w:rsid w:val="008134CD"/>
    <w:rsid w:val="008134E3"/>
    <w:rsid w:val="00813536"/>
    <w:rsid w:val="00813731"/>
    <w:rsid w:val="0081382F"/>
    <w:rsid w:val="0081389C"/>
    <w:rsid w:val="008138A9"/>
    <w:rsid w:val="00813BB5"/>
    <w:rsid w:val="00813BCD"/>
    <w:rsid w:val="00813F6F"/>
    <w:rsid w:val="008141C5"/>
    <w:rsid w:val="00814281"/>
    <w:rsid w:val="00814311"/>
    <w:rsid w:val="00814572"/>
    <w:rsid w:val="00814738"/>
    <w:rsid w:val="00814827"/>
    <w:rsid w:val="008149ED"/>
    <w:rsid w:val="00814AB0"/>
    <w:rsid w:val="00814AFC"/>
    <w:rsid w:val="00814B61"/>
    <w:rsid w:val="00814C35"/>
    <w:rsid w:val="00814D68"/>
    <w:rsid w:val="00814D76"/>
    <w:rsid w:val="00814E49"/>
    <w:rsid w:val="00814E79"/>
    <w:rsid w:val="00815096"/>
    <w:rsid w:val="00815206"/>
    <w:rsid w:val="008153A3"/>
    <w:rsid w:val="0081559C"/>
    <w:rsid w:val="00815786"/>
    <w:rsid w:val="008158AE"/>
    <w:rsid w:val="008158BA"/>
    <w:rsid w:val="00815A58"/>
    <w:rsid w:val="00815AB9"/>
    <w:rsid w:val="00815B39"/>
    <w:rsid w:val="00815B9D"/>
    <w:rsid w:val="00815FD3"/>
    <w:rsid w:val="008160B3"/>
    <w:rsid w:val="00816152"/>
    <w:rsid w:val="00816255"/>
    <w:rsid w:val="008162B8"/>
    <w:rsid w:val="008163DC"/>
    <w:rsid w:val="00816413"/>
    <w:rsid w:val="0081668C"/>
    <w:rsid w:val="008168D9"/>
    <w:rsid w:val="00816A3C"/>
    <w:rsid w:val="00816AD0"/>
    <w:rsid w:val="00816AD7"/>
    <w:rsid w:val="00816B15"/>
    <w:rsid w:val="00816B91"/>
    <w:rsid w:val="00816C80"/>
    <w:rsid w:val="00816C98"/>
    <w:rsid w:val="00816D0A"/>
    <w:rsid w:val="00817144"/>
    <w:rsid w:val="00817176"/>
    <w:rsid w:val="0081721E"/>
    <w:rsid w:val="00817311"/>
    <w:rsid w:val="00817395"/>
    <w:rsid w:val="00817419"/>
    <w:rsid w:val="0081753A"/>
    <w:rsid w:val="0081767F"/>
    <w:rsid w:val="0081769A"/>
    <w:rsid w:val="008176FE"/>
    <w:rsid w:val="00817781"/>
    <w:rsid w:val="00817B6C"/>
    <w:rsid w:val="00817C37"/>
    <w:rsid w:val="00817CF0"/>
    <w:rsid w:val="00817E4F"/>
    <w:rsid w:val="00817E80"/>
    <w:rsid w:val="00817EDC"/>
    <w:rsid w:val="008200A3"/>
    <w:rsid w:val="00820124"/>
    <w:rsid w:val="00820150"/>
    <w:rsid w:val="008202C5"/>
    <w:rsid w:val="0082036C"/>
    <w:rsid w:val="00820466"/>
    <w:rsid w:val="0082055F"/>
    <w:rsid w:val="0082056F"/>
    <w:rsid w:val="008206AC"/>
    <w:rsid w:val="008206B2"/>
    <w:rsid w:val="00820816"/>
    <w:rsid w:val="00820817"/>
    <w:rsid w:val="008208C2"/>
    <w:rsid w:val="00820942"/>
    <w:rsid w:val="00820A35"/>
    <w:rsid w:val="00820A63"/>
    <w:rsid w:val="00820B63"/>
    <w:rsid w:val="00820D1D"/>
    <w:rsid w:val="00820DF7"/>
    <w:rsid w:val="00820FCA"/>
    <w:rsid w:val="0082108D"/>
    <w:rsid w:val="008212C2"/>
    <w:rsid w:val="0082137B"/>
    <w:rsid w:val="00821416"/>
    <w:rsid w:val="008214FA"/>
    <w:rsid w:val="008218D8"/>
    <w:rsid w:val="008219CC"/>
    <w:rsid w:val="00821BB8"/>
    <w:rsid w:val="00821BC8"/>
    <w:rsid w:val="00821DE1"/>
    <w:rsid w:val="00821E6E"/>
    <w:rsid w:val="00822022"/>
    <w:rsid w:val="0082205A"/>
    <w:rsid w:val="008220C9"/>
    <w:rsid w:val="00822271"/>
    <w:rsid w:val="0082230D"/>
    <w:rsid w:val="00822369"/>
    <w:rsid w:val="008223B0"/>
    <w:rsid w:val="0082250A"/>
    <w:rsid w:val="0082263F"/>
    <w:rsid w:val="008226AB"/>
    <w:rsid w:val="008226DA"/>
    <w:rsid w:val="00822721"/>
    <w:rsid w:val="0082280A"/>
    <w:rsid w:val="0082281C"/>
    <w:rsid w:val="00822835"/>
    <w:rsid w:val="00822A8B"/>
    <w:rsid w:val="00822A9C"/>
    <w:rsid w:val="00822B28"/>
    <w:rsid w:val="00822BBC"/>
    <w:rsid w:val="00822CC9"/>
    <w:rsid w:val="00822D34"/>
    <w:rsid w:val="00822E06"/>
    <w:rsid w:val="0082309C"/>
    <w:rsid w:val="00823129"/>
    <w:rsid w:val="00823155"/>
    <w:rsid w:val="00823305"/>
    <w:rsid w:val="008235E2"/>
    <w:rsid w:val="00823840"/>
    <w:rsid w:val="00823847"/>
    <w:rsid w:val="008238F9"/>
    <w:rsid w:val="00823B34"/>
    <w:rsid w:val="00823E19"/>
    <w:rsid w:val="00823FEE"/>
    <w:rsid w:val="00824009"/>
    <w:rsid w:val="00824225"/>
    <w:rsid w:val="00824601"/>
    <w:rsid w:val="00824626"/>
    <w:rsid w:val="00824836"/>
    <w:rsid w:val="00824972"/>
    <w:rsid w:val="00824C68"/>
    <w:rsid w:val="00824CB3"/>
    <w:rsid w:val="00824D0D"/>
    <w:rsid w:val="00824DC5"/>
    <w:rsid w:val="00824DFE"/>
    <w:rsid w:val="00824EA4"/>
    <w:rsid w:val="008251C4"/>
    <w:rsid w:val="008251E5"/>
    <w:rsid w:val="00825240"/>
    <w:rsid w:val="008252ED"/>
    <w:rsid w:val="008253CF"/>
    <w:rsid w:val="00825480"/>
    <w:rsid w:val="0082549D"/>
    <w:rsid w:val="008254AD"/>
    <w:rsid w:val="00825557"/>
    <w:rsid w:val="008255A5"/>
    <w:rsid w:val="0082563B"/>
    <w:rsid w:val="00825E4B"/>
    <w:rsid w:val="00825ED7"/>
    <w:rsid w:val="00825F20"/>
    <w:rsid w:val="0082609F"/>
    <w:rsid w:val="008262FC"/>
    <w:rsid w:val="0082632D"/>
    <w:rsid w:val="008263E2"/>
    <w:rsid w:val="00826635"/>
    <w:rsid w:val="0082670D"/>
    <w:rsid w:val="008268CD"/>
    <w:rsid w:val="00826950"/>
    <w:rsid w:val="00826D2B"/>
    <w:rsid w:val="00826EBA"/>
    <w:rsid w:val="00826F47"/>
    <w:rsid w:val="0082703E"/>
    <w:rsid w:val="008270BD"/>
    <w:rsid w:val="00827253"/>
    <w:rsid w:val="008274F5"/>
    <w:rsid w:val="00827680"/>
    <w:rsid w:val="00827692"/>
    <w:rsid w:val="0082772C"/>
    <w:rsid w:val="008277BB"/>
    <w:rsid w:val="00827CE7"/>
    <w:rsid w:val="008301CF"/>
    <w:rsid w:val="008302DB"/>
    <w:rsid w:val="008305D8"/>
    <w:rsid w:val="00830613"/>
    <w:rsid w:val="00830674"/>
    <w:rsid w:val="00830727"/>
    <w:rsid w:val="0083083A"/>
    <w:rsid w:val="008309B8"/>
    <w:rsid w:val="00830AA9"/>
    <w:rsid w:val="00830AE9"/>
    <w:rsid w:val="00830C43"/>
    <w:rsid w:val="00830E0F"/>
    <w:rsid w:val="00830FDA"/>
    <w:rsid w:val="00830FDC"/>
    <w:rsid w:val="008310D1"/>
    <w:rsid w:val="008311E3"/>
    <w:rsid w:val="00831211"/>
    <w:rsid w:val="0083136E"/>
    <w:rsid w:val="00831501"/>
    <w:rsid w:val="00831566"/>
    <w:rsid w:val="0083160D"/>
    <w:rsid w:val="008316C7"/>
    <w:rsid w:val="00831725"/>
    <w:rsid w:val="0083186B"/>
    <w:rsid w:val="00831A51"/>
    <w:rsid w:val="00831AD8"/>
    <w:rsid w:val="00831C22"/>
    <w:rsid w:val="00831F72"/>
    <w:rsid w:val="00832072"/>
    <w:rsid w:val="00832196"/>
    <w:rsid w:val="008321DF"/>
    <w:rsid w:val="008325BE"/>
    <w:rsid w:val="00832603"/>
    <w:rsid w:val="008329D2"/>
    <w:rsid w:val="008329EE"/>
    <w:rsid w:val="00832CE8"/>
    <w:rsid w:val="00832D09"/>
    <w:rsid w:val="00832E37"/>
    <w:rsid w:val="00832E8E"/>
    <w:rsid w:val="00832EA1"/>
    <w:rsid w:val="00833196"/>
    <w:rsid w:val="008331D9"/>
    <w:rsid w:val="008336E8"/>
    <w:rsid w:val="00833796"/>
    <w:rsid w:val="00833832"/>
    <w:rsid w:val="00833894"/>
    <w:rsid w:val="008338A3"/>
    <w:rsid w:val="008338D6"/>
    <w:rsid w:val="008339B0"/>
    <w:rsid w:val="00833A2A"/>
    <w:rsid w:val="00833D45"/>
    <w:rsid w:val="00833E67"/>
    <w:rsid w:val="0083405A"/>
    <w:rsid w:val="00834270"/>
    <w:rsid w:val="008342D6"/>
    <w:rsid w:val="00834494"/>
    <w:rsid w:val="0083456F"/>
    <w:rsid w:val="00834579"/>
    <w:rsid w:val="00834727"/>
    <w:rsid w:val="008347A6"/>
    <w:rsid w:val="008348B7"/>
    <w:rsid w:val="008348C7"/>
    <w:rsid w:val="0083495D"/>
    <w:rsid w:val="008349E4"/>
    <w:rsid w:val="00834C5A"/>
    <w:rsid w:val="00834C71"/>
    <w:rsid w:val="00834DF1"/>
    <w:rsid w:val="00834F31"/>
    <w:rsid w:val="00834F61"/>
    <w:rsid w:val="00834F89"/>
    <w:rsid w:val="00835053"/>
    <w:rsid w:val="0083509E"/>
    <w:rsid w:val="008350A3"/>
    <w:rsid w:val="008350F3"/>
    <w:rsid w:val="0083515E"/>
    <w:rsid w:val="00835379"/>
    <w:rsid w:val="008354DB"/>
    <w:rsid w:val="008354E9"/>
    <w:rsid w:val="008354FD"/>
    <w:rsid w:val="0083553B"/>
    <w:rsid w:val="0083572F"/>
    <w:rsid w:val="008359E4"/>
    <w:rsid w:val="00835A54"/>
    <w:rsid w:val="00835A59"/>
    <w:rsid w:val="00835B4E"/>
    <w:rsid w:val="00835B50"/>
    <w:rsid w:val="00835C39"/>
    <w:rsid w:val="00835C59"/>
    <w:rsid w:val="00835C8F"/>
    <w:rsid w:val="00835CDC"/>
    <w:rsid w:val="00835F73"/>
    <w:rsid w:val="00835FB1"/>
    <w:rsid w:val="008360D0"/>
    <w:rsid w:val="008362EA"/>
    <w:rsid w:val="008362F3"/>
    <w:rsid w:val="00836392"/>
    <w:rsid w:val="008363A9"/>
    <w:rsid w:val="00836602"/>
    <w:rsid w:val="00836676"/>
    <w:rsid w:val="008366BC"/>
    <w:rsid w:val="00836804"/>
    <w:rsid w:val="008369AF"/>
    <w:rsid w:val="00836B19"/>
    <w:rsid w:val="00836B49"/>
    <w:rsid w:val="00836B87"/>
    <w:rsid w:val="00836C20"/>
    <w:rsid w:val="00836E08"/>
    <w:rsid w:val="00836E48"/>
    <w:rsid w:val="00836EB5"/>
    <w:rsid w:val="00836ED4"/>
    <w:rsid w:val="00836EFF"/>
    <w:rsid w:val="00836F25"/>
    <w:rsid w:val="00836F4D"/>
    <w:rsid w:val="00836FB4"/>
    <w:rsid w:val="00837289"/>
    <w:rsid w:val="008372E5"/>
    <w:rsid w:val="0083741A"/>
    <w:rsid w:val="00837502"/>
    <w:rsid w:val="008375ED"/>
    <w:rsid w:val="008375F0"/>
    <w:rsid w:val="00837766"/>
    <w:rsid w:val="00837769"/>
    <w:rsid w:val="008377A2"/>
    <w:rsid w:val="00837A2D"/>
    <w:rsid w:val="00837B56"/>
    <w:rsid w:val="00837B5B"/>
    <w:rsid w:val="00837BA6"/>
    <w:rsid w:val="00837DAC"/>
    <w:rsid w:val="00837DFE"/>
    <w:rsid w:val="00837F44"/>
    <w:rsid w:val="0084002F"/>
    <w:rsid w:val="008400B2"/>
    <w:rsid w:val="008400D8"/>
    <w:rsid w:val="008400D9"/>
    <w:rsid w:val="00840549"/>
    <w:rsid w:val="008405DF"/>
    <w:rsid w:val="0084071D"/>
    <w:rsid w:val="00840783"/>
    <w:rsid w:val="00840990"/>
    <w:rsid w:val="0084099C"/>
    <w:rsid w:val="00840B10"/>
    <w:rsid w:val="00840B41"/>
    <w:rsid w:val="00840D38"/>
    <w:rsid w:val="00840E18"/>
    <w:rsid w:val="00840EF4"/>
    <w:rsid w:val="0084126F"/>
    <w:rsid w:val="008413FD"/>
    <w:rsid w:val="0084145D"/>
    <w:rsid w:val="008417CA"/>
    <w:rsid w:val="008418A2"/>
    <w:rsid w:val="0084192D"/>
    <w:rsid w:val="00841A10"/>
    <w:rsid w:val="00841A32"/>
    <w:rsid w:val="00841ADF"/>
    <w:rsid w:val="00841C44"/>
    <w:rsid w:val="00841CD9"/>
    <w:rsid w:val="00841CFA"/>
    <w:rsid w:val="00841E04"/>
    <w:rsid w:val="00841FBF"/>
    <w:rsid w:val="0084206D"/>
    <w:rsid w:val="0084224C"/>
    <w:rsid w:val="008422FD"/>
    <w:rsid w:val="00842341"/>
    <w:rsid w:val="0084244B"/>
    <w:rsid w:val="00842661"/>
    <w:rsid w:val="008426D9"/>
    <w:rsid w:val="0084296A"/>
    <w:rsid w:val="00842A9D"/>
    <w:rsid w:val="00842B14"/>
    <w:rsid w:val="00842B49"/>
    <w:rsid w:val="00842B8C"/>
    <w:rsid w:val="00842E31"/>
    <w:rsid w:val="00842FA1"/>
    <w:rsid w:val="00842FBC"/>
    <w:rsid w:val="0084310C"/>
    <w:rsid w:val="00843173"/>
    <w:rsid w:val="008431B5"/>
    <w:rsid w:val="00843343"/>
    <w:rsid w:val="008434AA"/>
    <w:rsid w:val="0084380F"/>
    <w:rsid w:val="00843833"/>
    <w:rsid w:val="0084384F"/>
    <w:rsid w:val="00843854"/>
    <w:rsid w:val="0084391A"/>
    <w:rsid w:val="00843A7F"/>
    <w:rsid w:val="00843B57"/>
    <w:rsid w:val="00843C8A"/>
    <w:rsid w:val="00843DA7"/>
    <w:rsid w:val="00843FBF"/>
    <w:rsid w:val="00844195"/>
    <w:rsid w:val="008441DB"/>
    <w:rsid w:val="0084437C"/>
    <w:rsid w:val="0084472B"/>
    <w:rsid w:val="008447A7"/>
    <w:rsid w:val="008448DB"/>
    <w:rsid w:val="00844924"/>
    <w:rsid w:val="00844B16"/>
    <w:rsid w:val="00844E25"/>
    <w:rsid w:val="0084502B"/>
    <w:rsid w:val="008450C5"/>
    <w:rsid w:val="00845115"/>
    <w:rsid w:val="0084522F"/>
    <w:rsid w:val="008453F8"/>
    <w:rsid w:val="00845488"/>
    <w:rsid w:val="008454BE"/>
    <w:rsid w:val="008454D3"/>
    <w:rsid w:val="00845509"/>
    <w:rsid w:val="00845539"/>
    <w:rsid w:val="0084578E"/>
    <w:rsid w:val="008458A4"/>
    <w:rsid w:val="008458B2"/>
    <w:rsid w:val="008459C5"/>
    <w:rsid w:val="00845A2D"/>
    <w:rsid w:val="00845B3E"/>
    <w:rsid w:val="00845B74"/>
    <w:rsid w:val="00845BBD"/>
    <w:rsid w:val="00845C54"/>
    <w:rsid w:val="00845D71"/>
    <w:rsid w:val="00845ECF"/>
    <w:rsid w:val="00845F62"/>
    <w:rsid w:val="00845F9E"/>
    <w:rsid w:val="0084609A"/>
    <w:rsid w:val="008462AC"/>
    <w:rsid w:val="008462E2"/>
    <w:rsid w:val="008463DC"/>
    <w:rsid w:val="0084644F"/>
    <w:rsid w:val="00846451"/>
    <w:rsid w:val="00846509"/>
    <w:rsid w:val="00846783"/>
    <w:rsid w:val="008469AF"/>
    <w:rsid w:val="00846A5E"/>
    <w:rsid w:val="00846B4E"/>
    <w:rsid w:val="00846E14"/>
    <w:rsid w:val="0084703F"/>
    <w:rsid w:val="00847106"/>
    <w:rsid w:val="0084710C"/>
    <w:rsid w:val="008471C7"/>
    <w:rsid w:val="0084724B"/>
    <w:rsid w:val="0084726E"/>
    <w:rsid w:val="008474A0"/>
    <w:rsid w:val="008475E3"/>
    <w:rsid w:val="008476D2"/>
    <w:rsid w:val="00847753"/>
    <w:rsid w:val="008478BA"/>
    <w:rsid w:val="008478D9"/>
    <w:rsid w:val="00847984"/>
    <w:rsid w:val="00847A77"/>
    <w:rsid w:val="00847AEF"/>
    <w:rsid w:val="00847BD4"/>
    <w:rsid w:val="00847C7C"/>
    <w:rsid w:val="00847D08"/>
    <w:rsid w:val="00850173"/>
    <w:rsid w:val="0085042B"/>
    <w:rsid w:val="008508DB"/>
    <w:rsid w:val="00850B9B"/>
    <w:rsid w:val="00850D2E"/>
    <w:rsid w:val="00850D42"/>
    <w:rsid w:val="00850D99"/>
    <w:rsid w:val="00850E20"/>
    <w:rsid w:val="00850EC5"/>
    <w:rsid w:val="00850F37"/>
    <w:rsid w:val="00850F58"/>
    <w:rsid w:val="0085108D"/>
    <w:rsid w:val="008510C5"/>
    <w:rsid w:val="00851395"/>
    <w:rsid w:val="00851397"/>
    <w:rsid w:val="008515AC"/>
    <w:rsid w:val="008515F0"/>
    <w:rsid w:val="0085167F"/>
    <w:rsid w:val="0085170A"/>
    <w:rsid w:val="00851750"/>
    <w:rsid w:val="00851779"/>
    <w:rsid w:val="008518D4"/>
    <w:rsid w:val="00851A89"/>
    <w:rsid w:val="00851AA8"/>
    <w:rsid w:val="00851BB5"/>
    <w:rsid w:val="00851EFD"/>
    <w:rsid w:val="00851F69"/>
    <w:rsid w:val="00851FC4"/>
    <w:rsid w:val="0085227B"/>
    <w:rsid w:val="0085236C"/>
    <w:rsid w:val="008523ED"/>
    <w:rsid w:val="008524F3"/>
    <w:rsid w:val="008525D7"/>
    <w:rsid w:val="00852694"/>
    <w:rsid w:val="0085271B"/>
    <w:rsid w:val="008527EC"/>
    <w:rsid w:val="008529B1"/>
    <w:rsid w:val="00852D10"/>
    <w:rsid w:val="00852E83"/>
    <w:rsid w:val="00852EE0"/>
    <w:rsid w:val="00853000"/>
    <w:rsid w:val="0085316A"/>
    <w:rsid w:val="00853396"/>
    <w:rsid w:val="0085348E"/>
    <w:rsid w:val="008534DC"/>
    <w:rsid w:val="008535C3"/>
    <w:rsid w:val="008536DA"/>
    <w:rsid w:val="008537DC"/>
    <w:rsid w:val="0085390D"/>
    <w:rsid w:val="008539A2"/>
    <w:rsid w:val="00853BD9"/>
    <w:rsid w:val="00853D2E"/>
    <w:rsid w:val="00853F10"/>
    <w:rsid w:val="00854014"/>
    <w:rsid w:val="00854066"/>
    <w:rsid w:val="0085409F"/>
    <w:rsid w:val="008541AB"/>
    <w:rsid w:val="008541B1"/>
    <w:rsid w:val="00854318"/>
    <w:rsid w:val="0085431B"/>
    <w:rsid w:val="0085439B"/>
    <w:rsid w:val="0085443B"/>
    <w:rsid w:val="00854494"/>
    <w:rsid w:val="00854598"/>
    <w:rsid w:val="0085461A"/>
    <w:rsid w:val="008546C0"/>
    <w:rsid w:val="0085476D"/>
    <w:rsid w:val="00854804"/>
    <w:rsid w:val="00854810"/>
    <w:rsid w:val="0085493D"/>
    <w:rsid w:val="00854996"/>
    <w:rsid w:val="00854BE4"/>
    <w:rsid w:val="00854CA5"/>
    <w:rsid w:val="00854CBC"/>
    <w:rsid w:val="00854CC8"/>
    <w:rsid w:val="00854D27"/>
    <w:rsid w:val="00854DBD"/>
    <w:rsid w:val="00854FDA"/>
    <w:rsid w:val="00855270"/>
    <w:rsid w:val="0085533A"/>
    <w:rsid w:val="00855395"/>
    <w:rsid w:val="0085540A"/>
    <w:rsid w:val="00855451"/>
    <w:rsid w:val="0085582B"/>
    <w:rsid w:val="00855912"/>
    <w:rsid w:val="00855914"/>
    <w:rsid w:val="00855D2B"/>
    <w:rsid w:val="00855E4D"/>
    <w:rsid w:val="00856046"/>
    <w:rsid w:val="00856284"/>
    <w:rsid w:val="008562A7"/>
    <w:rsid w:val="00856320"/>
    <w:rsid w:val="00856575"/>
    <w:rsid w:val="00856802"/>
    <w:rsid w:val="0085692A"/>
    <w:rsid w:val="008569E0"/>
    <w:rsid w:val="00856A4B"/>
    <w:rsid w:val="00856B32"/>
    <w:rsid w:val="00856EC9"/>
    <w:rsid w:val="00856FC2"/>
    <w:rsid w:val="00857036"/>
    <w:rsid w:val="0085707F"/>
    <w:rsid w:val="00857168"/>
    <w:rsid w:val="008571B2"/>
    <w:rsid w:val="0085720D"/>
    <w:rsid w:val="008572A1"/>
    <w:rsid w:val="0085731A"/>
    <w:rsid w:val="008573B3"/>
    <w:rsid w:val="0085760E"/>
    <w:rsid w:val="00857693"/>
    <w:rsid w:val="008576F6"/>
    <w:rsid w:val="00857706"/>
    <w:rsid w:val="0085772E"/>
    <w:rsid w:val="008577FC"/>
    <w:rsid w:val="0085789B"/>
    <w:rsid w:val="0085798B"/>
    <w:rsid w:val="0085799E"/>
    <w:rsid w:val="00857A50"/>
    <w:rsid w:val="00857B25"/>
    <w:rsid w:val="00857BDD"/>
    <w:rsid w:val="00857E23"/>
    <w:rsid w:val="00857EED"/>
    <w:rsid w:val="00857F84"/>
    <w:rsid w:val="00857FD0"/>
    <w:rsid w:val="0086004F"/>
    <w:rsid w:val="008600EF"/>
    <w:rsid w:val="008600F0"/>
    <w:rsid w:val="00860218"/>
    <w:rsid w:val="00860231"/>
    <w:rsid w:val="00860476"/>
    <w:rsid w:val="00860636"/>
    <w:rsid w:val="008607FD"/>
    <w:rsid w:val="008609CA"/>
    <w:rsid w:val="00860B0D"/>
    <w:rsid w:val="00860B5B"/>
    <w:rsid w:val="00860DE6"/>
    <w:rsid w:val="00860E20"/>
    <w:rsid w:val="00860E8D"/>
    <w:rsid w:val="00860F0D"/>
    <w:rsid w:val="00860F7E"/>
    <w:rsid w:val="0086104E"/>
    <w:rsid w:val="008610EB"/>
    <w:rsid w:val="0086131B"/>
    <w:rsid w:val="00861936"/>
    <w:rsid w:val="00861C6B"/>
    <w:rsid w:val="00861CF4"/>
    <w:rsid w:val="00862133"/>
    <w:rsid w:val="00862160"/>
    <w:rsid w:val="00862169"/>
    <w:rsid w:val="0086217D"/>
    <w:rsid w:val="008622BA"/>
    <w:rsid w:val="008622E8"/>
    <w:rsid w:val="0086230D"/>
    <w:rsid w:val="008623CA"/>
    <w:rsid w:val="008623D3"/>
    <w:rsid w:val="0086267B"/>
    <w:rsid w:val="00862860"/>
    <w:rsid w:val="008628F5"/>
    <w:rsid w:val="00862BB4"/>
    <w:rsid w:val="00862C4B"/>
    <w:rsid w:val="00862D48"/>
    <w:rsid w:val="00862E6C"/>
    <w:rsid w:val="00862EBD"/>
    <w:rsid w:val="00862F3F"/>
    <w:rsid w:val="00863063"/>
    <w:rsid w:val="00863482"/>
    <w:rsid w:val="008637ED"/>
    <w:rsid w:val="0086393A"/>
    <w:rsid w:val="0086394D"/>
    <w:rsid w:val="00863960"/>
    <w:rsid w:val="008639FA"/>
    <w:rsid w:val="00863A0F"/>
    <w:rsid w:val="00863BBF"/>
    <w:rsid w:val="00863C0B"/>
    <w:rsid w:val="00863E0A"/>
    <w:rsid w:val="00863EBB"/>
    <w:rsid w:val="00863F22"/>
    <w:rsid w:val="008640BE"/>
    <w:rsid w:val="00864255"/>
    <w:rsid w:val="00864448"/>
    <w:rsid w:val="00864475"/>
    <w:rsid w:val="008644FB"/>
    <w:rsid w:val="00864552"/>
    <w:rsid w:val="00864677"/>
    <w:rsid w:val="0086467A"/>
    <w:rsid w:val="008646B6"/>
    <w:rsid w:val="00864716"/>
    <w:rsid w:val="0086471F"/>
    <w:rsid w:val="0086489C"/>
    <w:rsid w:val="008648D8"/>
    <w:rsid w:val="00864AD5"/>
    <w:rsid w:val="00864D56"/>
    <w:rsid w:val="00864E47"/>
    <w:rsid w:val="00864E68"/>
    <w:rsid w:val="008650F1"/>
    <w:rsid w:val="00865197"/>
    <w:rsid w:val="00865317"/>
    <w:rsid w:val="0086538F"/>
    <w:rsid w:val="0086547B"/>
    <w:rsid w:val="0086556F"/>
    <w:rsid w:val="00865732"/>
    <w:rsid w:val="00865976"/>
    <w:rsid w:val="00865C7D"/>
    <w:rsid w:val="00865CA6"/>
    <w:rsid w:val="00865D00"/>
    <w:rsid w:val="00865D56"/>
    <w:rsid w:val="00865F8D"/>
    <w:rsid w:val="0086621B"/>
    <w:rsid w:val="00866223"/>
    <w:rsid w:val="00866450"/>
    <w:rsid w:val="008664E0"/>
    <w:rsid w:val="0086651B"/>
    <w:rsid w:val="00866695"/>
    <w:rsid w:val="00866723"/>
    <w:rsid w:val="00866897"/>
    <w:rsid w:val="00866BDB"/>
    <w:rsid w:val="00866C06"/>
    <w:rsid w:val="00866CE4"/>
    <w:rsid w:val="00866D06"/>
    <w:rsid w:val="00866F19"/>
    <w:rsid w:val="0086703E"/>
    <w:rsid w:val="00867123"/>
    <w:rsid w:val="00867184"/>
    <w:rsid w:val="00867233"/>
    <w:rsid w:val="0086733F"/>
    <w:rsid w:val="0086735C"/>
    <w:rsid w:val="0086741E"/>
    <w:rsid w:val="00867509"/>
    <w:rsid w:val="00867532"/>
    <w:rsid w:val="00867647"/>
    <w:rsid w:val="008678BA"/>
    <w:rsid w:val="0086790A"/>
    <w:rsid w:val="00867A15"/>
    <w:rsid w:val="00867A7F"/>
    <w:rsid w:val="00867B0E"/>
    <w:rsid w:val="00867B65"/>
    <w:rsid w:val="00867C17"/>
    <w:rsid w:val="00867CA2"/>
    <w:rsid w:val="00867CD7"/>
    <w:rsid w:val="00867D87"/>
    <w:rsid w:val="00867E8C"/>
    <w:rsid w:val="00870197"/>
    <w:rsid w:val="00870244"/>
    <w:rsid w:val="0087024E"/>
    <w:rsid w:val="008702CB"/>
    <w:rsid w:val="008702D1"/>
    <w:rsid w:val="008703A0"/>
    <w:rsid w:val="008704E8"/>
    <w:rsid w:val="00870757"/>
    <w:rsid w:val="008707A7"/>
    <w:rsid w:val="008708E0"/>
    <w:rsid w:val="0087093E"/>
    <w:rsid w:val="008709CC"/>
    <w:rsid w:val="00870A17"/>
    <w:rsid w:val="00870A2B"/>
    <w:rsid w:val="00870AA0"/>
    <w:rsid w:val="00870BF4"/>
    <w:rsid w:val="00870F69"/>
    <w:rsid w:val="00870FE4"/>
    <w:rsid w:val="008710AB"/>
    <w:rsid w:val="00871224"/>
    <w:rsid w:val="00871368"/>
    <w:rsid w:val="008715A2"/>
    <w:rsid w:val="008716BF"/>
    <w:rsid w:val="00871794"/>
    <w:rsid w:val="008718AF"/>
    <w:rsid w:val="008718C6"/>
    <w:rsid w:val="008718DD"/>
    <w:rsid w:val="00871A73"/>
    <w:rsid w:val="00871AE8"/>
    <w:rsid w:val="00871E02"/>
    <w:rsid w:val="00872124"/>
    <w:rsid w:val="008721FE"/>
    <w:rsid w:val="008723A9"/>
    <w:rsid w:val="0087244C"/>
    <w:rsid w:val="008727E6"/>
    <w:rsid w:val="0087296C"/>
    <w:rsid w:val="00872A18"/>
    <w:rsid w:val="00872EA1"/>
    <w:rsid w:val="00872FFF"/>
    <w:rsid w:val="0087303B"/>
    <w:rsid w:val="00873214"/>
    <w:rsid w:val="008732B7"/>
    <w:rsid w:val="008732EB"/>
    <w:rsid w:val="008733B1"/>
    <w:rsid w:val="008734BD"/>
    <w:rsid w:val="0087355C"/>
    <w:rsid w:val="00873753"/>
    <w:rsid w:val="008738FA"/>
    <w:rsid w:val="00873999"/>
    <w:rsid w:val="00873A53"/>
    <w:rsid w:val="00873B0B"/>
    <w:rsid w:val="00873C36"/>
    <w:rsid w:val="00873C59"/>
    <w:rsid w:val="00873DC5"/>
    <w:rsid w:val="00873F67"/>
    <w:rsid w:val="008740D4"/>
    <w:rsid w:val="008740FE"/>
    <w:rsid w:val="00874140"/>
    <w:rsid w:val="008741D8"/>
    <w:rsid w:val="008741DC"/>
    <w:rsid w:val="008742B7"/>
    <w:rsid w:val="00874350"/>
    <w:rsid w:val="00874358"/>
    <w:rsid w:val="0087442E"/>
    <w:rsid w:val="00874498"/>
    <w:rsid w:val="008744B0"/>
    <w:rsid w:val="00874546"/>
    <w:rsid w:val="008745C0"/>
    <w:rsid w:val="008747D8"/>
    <w:rsid w:val="0087483D"/>
    <w:rsid w:val="00874B38"/>
    <w:rsid w:val="00874B53"/>
    <w:rsid w:val="00874B88"/>
    <w:rsid w:val="00874C00"/>
    <w:rsid w:val="00874C24"/>
    <w:rsid w:val="00874E7C"/>
    <w:rsid w:val="00874EB2"/>
    <w:rsid w:val="00874EEE"/>
    <w:rsid w:val="00874F71"/>
    <w:rsid w:val="00875102"/>
    <w:rsid w:val="0087530E"/>
    <w:rsid w:val="008754E9"/>
    <w:rsid w:val="00875791"/>
    <w:rsid w:val="0087584F"/>
    <w:rsid w:val="008759D5"/>
    <w:rsid w:val="00875B28"/>
    <w:rsid w:val="00875BA3"/>
    <w:rsid w:val="00875BA5"/>
    <w:rsid w:val="00875D12"/>
    <w:rsid w:val="00875DFF"/>
    <w:rsid w:val="008761F5"/>
    <w:rsid w:val="00876327"/>
    <w:rsid w:val="00876371"/>
    <w:rsid w:val="0087639A"/>
    <w:rsid w:val="00876430"/>
    <w:rsid w:val="00876560"/>
    <w:rsid w:val="00876566"/>
    <w:rsid w:val="008766AB"/>
    <w:rsid w:val="00876877"/>
    <w:rsid w:val="00876AE1"/>
    <w:rsid w:val="00876CD3"/>
    <w:rsid w:val="00876D7A"/>
    <w:rsid w:val="00876E1C"/>
    <w:rsid w:val="00876EF7"/>
    <w:rsid w:val="00876F3E"/>
    <w:rsid w:val="00876FB5"/>
    <w:rsid w:val="00877142"/>
    <w:rsid w:val="0087742D"/>
    <w:rsid w:val="00877541"/>
    <w:rsid w:val="00877797"/>
    <w:rsid w:val="0087780D"/>
    <w:rsid w:val="00877991"/>
    <w:rsid w:val="00877B01"/>
    <w:rsid w:val="00877BF0"/>
    <w:rsid w:val="00877C30"/>
    <w:rsid w:val="00877D1B"/>
    <w:rsid w:val="00877D91"/>
    <w:rsid w:val="00877DA7"/>
    <w:rsid w:val="00877F15"/>
    <w:rsid w:val="00880004"/>
    <w:rsid w:val="0088010C"/>
    <w:rsid w:val="0088035B"/>
    <w:rsid w:val="008803F0"/>
    <w:rsid w:val="00880439"/>
    <w:rsid w:val="008804F1"/>
    <w:rsid w:val="00880513"/>
    <w:rsid w:val="00880669"/>
    <w:rsid w:val="008806F4"/>
    <w:rsid w:val="00880885"/>
    <w:rsid w:val="0088092A"/>
    <w:rsid w:val="00880A5C"/>
    <w:rsid w:val="00880B94"/>
    <w:rsid w:val="00880C29"/>
    <w:rsid w:val="00880F20"/>
    <w:rsid w:val="00880F55"/>
    <w:rsid w:val="00881023"/>
    <w:rsid w:val="0088109C"/>
    <w:rsid w:val="008810D9"/>
    <w:rsid w:val="00881391"/>
    <w:rsid w:val="008813B1"/>
    <w:rsid w:val="008813EE"/>
    <w:rsid w:val="00881426"/>
    <w:rsid w:val="008815C1"/>
    <w:rsid w:val="008815D1"/>
    <w:rsid w:val="00881658"/>
    <w:rsid w:val="00881854"/>
    <w:rsid w:val="0088188E"/>
    <w:rsid w:val="00881C7C"/>
    <w:rsid w:val="00881D68"/>
    <w:rsid w:val="00881E89"/>
    <w:rsid w:val="00881FC6"/>
    <w:rsid w:val="00881FE1"/>
    <w:rsid w:val="00882068"/>
    <w:rsid w:val="00882135"/>
    <w:rsid w:val="0088223B"/>
    <w:rsid w:val="008822F8"/>
    <w:rsid w:val="00882385"/>
    <w:rsid w:val="008823CD"/>
    <w:rsid w:val="0088278C"/>
    <w:rsid w:val="008828D3"/>
    <w:rsid w:val="00882A39"/>
    <w:rsid w:val="00882A71"/>
    <w:rsid w:val="00882AC9"/>
    <w:rsid w:val="00882B3B"/>
    <w:rsid w:val="00882E58"/>
    <w:rsid w:val="00883179"/>
    <w:rsid w:val="00883246"/>
    <w:rsid w:val="008832A5"/>
    <w:rsid w:val="0088337A"/>
    <w:rsid w:val="008834D7"/>
    <w:rsid w:val="0088370A"/>
    <w:rsid w:val="00883788"/>
    <w:rsid w:val="00883799"/>
    <w:rsid w:val="00883909"/>
    <w:rsid w:val="00883978"/>
    <w:rsid w:val="008839EB"/>
    <w:rsid w:val="00883C3B"/>
    <w:rsid w:val="00883C7B"/>
    <w:rsid w:val="00883D6E"/>
    <w:rsid w:val="00883F78"/>
    <w:rsid w:val="00883F80"/>
    <w:rsid w:val="0088403B"/>
    <w:rsid w:val="008840A9"/>
    <w:rsid w:val="008840FD"/>
    <w:rsid w:val="0088419C"/>
    <w:rsid w:val="008841AB"/>
    <w:rsid w:val="008842C0"/>
    <w:rsid w:val="00884464"/>
    <w:rsid w:val="008845A7"/>
    <w:rsid w:val="008845C4"/>
    <w:rsid w:val="008845D8"/>
    <w:rsid w:val="0088470A"/>
    <w:rsid w:val="00884851"/>
    <w:rsid w:val="00884A97"/>
    <w:rsid w:val="00884AB0"/>
    <w:rsid w:val="00884ADB"/>
    <w:rsid w:val="00884AF1"/>
    <w:rsid w:val="00884CD1"/>
    <w:rsid w:val="00884FAA"/>
    <w:rsid w:val="00885070"/>
    <w:rsid w:val="008850C1"/>
    <w:rsid w:val="00885211"/>
    <w:rsid w:val="0088521C"/>
    <w:rsid w:val="008853A8"/>
    <w:rsid w:val="008853AE"/>
    <w:rsid w:val="008853E8"/>
    <w:rsid w:val="0088545B"/>
    <w:rsid w:val="00885715"/>
    <w:rsid w:val="008857C7"/>
    <w:rsid w:val="00885A29"/>
    <w:rsid w:val="00885B7C"/>
    <w:rsid w:val="00885BD6"/>
    <w:rsid w:val="00885D4F"/>
    <w:rsid w:val="00885E8F"/>
    <w:rsid w:val="00885ED5"/>
    <w:rsid w:val="00886060"/>
    <w:rsid w:val="008860AE"/>
    <w:rsid w:val="00886273"/>
    <w:rsid w:val="0088635E"/>
    <w:rsid w:val="0088641B"/>
    <w:rsid w:val="008866C1"/>
    <w:rsid w:val="008866D0"/>
    <w:rsid w:val="008867C8"/>
    <w:rsid w:val="008867D5"/>
    <w:rsid w:val="008868AD"/>
    <w:rsid w:val="00886B74"/>
    <w:rsid w:val="00886BA6"/>
    <w:rsid w:val="00886C4F"/>
    <w:rsid w:val="00886CCF"/>
    <w:rsid w:val="00886D0C"/>
    <w:rsid w:val="00886ED9"/>
    <w:rsid w:val="00886EDD"/>
    <w:rsid w:val="00886F0E"/>
    <w:rsid w:val="00886FCB"/>
    <w:rsid w:val="008870D4"/>
    <w:rsid w:val="0088717D"/>
    <w:rsid w:val="008872A2"/>
    <w:rsid w:val="008873C5"/>
    <w:rsid w:val="0088740A"/>
    <w:rsid w:val="00887411"/>
    <w:rsid w:val="008874A6"/>
    <w:rsid w:val="0088765D"/>
    <w:rsid w:val="008876E6"/>
    <w:rsid w:val="00887762"/>
    <w:rsid w:val="008878FA"/>
    <w:rsid w:val="00887A4A"/>
    <w:rsid w:val="00887AA7"/>
    <w:rsid w:val="00887BEA"/>
    <w:rsid w:val="00887C87"/>
    <w:rsid w:val="00887DE6"/>
    <w:rsid w:val="00887E02"/>
    <w:rsid w:val="00887F4B"/>
    <w:rsid w:val="00890079"/>
    <w:rsid w:val="00890122"/>
    <w:rsid w:val="0089029F"/>
    <w:rsid w:val="008902A3"/>
    <w:rsid w:val="008903C7"/>
    <w:rsid w:val="008903EC"/>
    <w:rsid w:val="008906E8"/>
    <w:rsid w:val="008907E7"/>
    <w:rsid w:val="008908FA"/>
    <w:rsid w:val="0089099C"/>
    <w:rsid w:val="00890A3F"/>
    <w:rsid w:val="00890A40"/>
    <w:rsid w:val="00890A9B"/>
    <w:rsid w:val="00890B04"/>
    <w:rsid w:val="00890BDB"/>
    <w:rsid w:val="00890BE7"/>
    <w:rsid w:val="00890C01"/>
    <w:rsid w:val="00890C24"/>
    <w:rsid w:val="00890C5B"/>
    <w:rsid w:val="00890C77"/>
    <w:rsid w:val="00890CA2"/>
    <w:rsid w:val="00890E19"/>
    <w:rsid w:val="00890E98"/>
    <w:rsid w:val="00890E9A"/>
    <w:rsid w:val="00890F50"/>
    <w:rsid w:val="00890FAB"/>
    <w:rsid w:val="00891017"/>
    <w:rsid w:val="0089101D"/>
    <w:rsid w:val="00891176"/>
    <w:rsid w:val="008911B1"/>
    <w:rsid w:val="00891261"/>
    <w:rsid w:val="00891411"/>
    <w:rsid w:val="008914E4"/>
    <w:rsid w:val="008916C5"/>
    <w:rsid w:val="0089186D"/>
    <w:rsid w:val="008918B1"/>
    <w:rsid w:val="00891B3E"/>
    <w:rsid w:val="00891C34"/>
    <w:rsid w:val="00891CCF"/>
    <w:rsid w:val="00891E14"/>
    <w:rsid w:val="00891EBD"/>
    <w:rsid w:val="00891F8B"/>
    <w:rsid w:val="00891FBC"/>
    <w:rsid w:val="00891FEB"/>
    <w:rsid w:val="00892117"/>
    <w:rsid w:val="00892160"/>
    <w:rsid w:val="008925F2"/>
    <w:rsid w:val="0089269C"/>
    <w:rsid w:val="0089269D"/>
    <w:rsid w:val="0089278C"/>
    <w:rsid w:val="00892886"/>
    <w:rsid w:val="008929CC"/>
    <w:rsid w:val="00892AF8"/>
    <w:rsid w:val="00892B05"/>
    <w:rsid w:val="00892C48"/>
    <w:rsid w:val="00892CD5"/>
    <w:rsid w:val="00892E02"/>
    <w:rsid w:val="00893042"/>
    <w:rsid w:val="008932FD"/>
    <w:rsid w:val="0089332E"/>
    <w:rsid w:val="008933D0"/>
    <w:rsid w:val="008934D9"/>
    <w:rsid w:val="00893609"/>
    <w:rsid w:val="0089384E"/>
    <w:rsid w:val="00893885"/>
    <w:rsid w:val="008938A0"/>
    <w:rsid w:val="008938DB"/>
    <w:rsid w:val="00893979"/>
    <w:rsid w:val="00893AFB"/>
    <w:rsid w:val="00893B26"/>
    <w:rsid w:val="00893C66"/>
    <w:rsid w:val="00893C69"/>
    <w:rsid w:val="00893CC3"/>
    <w:rsid w:val="00893F00"/>
    <w:rsid w:val="00894085"/>
    <w:rsid w:val="00894121"/>
    <w:rsid w:val="008941CC"/>
    <w:rsid w:val="0089460F"/>
    <w:rsid w:val="0089469E"/>
    <w:rsid w:val="008948FF"/>
    <w:rsid w:val="008949C4"/>
    <w:rsid w:val="00894B15"/>
    <w:rsid w:val="00894B7C"/>
    <w:rsid w:val="00894C6B"/>
    <w:rsid w:val="00894C90"/>
    <w:rsid w:val="00894DE1"/>
    <w:rsid w:val="00894E8B"/>
    <w:rsid w:val="00894EFB"/>
    <w:rsid w:val="00894F10"/>
    <w:rsid w:val="008951B6"/>
    <w:rsid w:val="0089524F"/>
    <w:rsid w:val="00895454"/>
    <w:rsid w:val="00895458"/>
    <w:rsid w:val="0089554E"/>
    <w:rsid w:val="00895605"/>
    <w:rsid w:val="0089575E"/>
    <w:rsid w:val="00895803"/>
    <w:rsid w:val="00895889"/>
    <w:rsid w:val="00895B94"/>
    <w:rsid w:val="00895DD6"/>
    <w:rsid w:val="00895E1A"/>
    <w:rsid w:val="00895E1D"/>
    <w:rsid w:val="00896343"/>
    <w:rsid w:val="00896418"/>
    <w:rsid w:val="00896489"/>
    <w:rsid w:val="00896505"/>
    <w:rsid w:val="008965C8"/>
    <w:rsid w:val="008965CA"/>
    <w:rsid w:val="00896731"/>
    <w:rsid w:val="00896773"/>
    <w:rsid w:val="008967ED"/>
    <w:rsid w:val="00896D9A"/>
    <w:rsid w:val="00896E1F"/>
    <w:rsid w:val="00897168"/>
    <w:rsid w:val="008971A0"/>
    <w:rsid w:val="00897210"/>
    <w:rsid w:val="008972D0"/>
    <w:rsid w:val="00897324"/>
    <w:rsid w:val="008973DE"/>
    <w:rsid w:val="008974BA"/>
    <w:rsid w:val="0089764D"/>
    <w:rsid w:val="0089778A"/>
    <w:rsid w:val="008978B2"/>
    <w:rsid w:val="008979DF"/>
    <w:rsid w:val="00897A09"/>
    <w:rsid w:val="00897AE8"/>
    <w:rsid w:val="00897B2F"/>
    <w:rsid w:val="00897BBE"/>
    <w:rsid w:val="00897C14"/>
    <w:rsid w:val="00897CA5"/>
    <w:rsid w:val="00897CDB"/>
    <w:rsid w:val="00897CE8"/>
    <w:rsid w:val="00897DFE"/>
    <w:rsid w:val="00897ED9"/>
    <w:rsid w:val="00897F84"/>
    <w:rsid w:val="008A0055"/>
    <w:rsid w:val="008A02AD"/>
    <w:rsid w:val="008A04F1"/>
    <w:rsid w:val="008A06AD"/>
    <w:rsid w:val="008A082B"/>
    <w:rsid w:val="008A09D5"/>
    <w:rsid w:val="008A0A85"/>
    <w:rsid w:val="008A0C1D"/>
    <w:rsid w:val="008A0C6D"/>
    <w:rsid w:val="008A0CAB"/>
    <w:rsid w:val="008A0CCD"/>
    <w:rsid w:val="008A0CE0"/>
    <w:rsid w:val="008A0D6B"/>
    <w:rsid w:val="008A0E5A"/>
    <w:rsid w:val="008A1101"/>
    <w:rsid w:val="008A11D9"/>
    <w:rsid w:val="008A123B"/>
    <w:rsid w:val="008A12E5"/>
    <w:rsid w:val="008A138D"/>
    <w:rsid w:val="008A13BB"/>
    <w:rsid w:val="008A1487"/>
    <w:rsid w:val="008A14D2"/>
    <w:rsid w:val="008A1567"/>
    <w:rsid w:val="008A157E"/>
    <w:rsid w:val="008A16C4"/>
    <w:rsid w:val="008A17CE"/>
    <w:rsid w:val="008A18C2"/>
    <w:rsid w:val="008A19C0"/>
    <w:rsid w:val="008A1B64"/>
    <w:rsid w:val="008A1C2B"/>
    <w:rsid w:val="008A1CE8"/>
    <w:rsid w:val="008A1D2B"/>
    <w:rsid w:val="008A1D92"/>
    <w:rsid w:val="008A1DA7"/>
    <w:rsid w:val="008A1E34"/>
    <w:rsid w:val="008A1E5A"/>
    <w:rsid w:val="008A1E75"/>
    <w:rsid w:val="008A1EE9"/>
    <w:rsid w:val="008A1FD3"/>
    <w:rsid w:val="008A21BC"/>
    <w:rsid w:val="008A2233"/>
    <w:rsid w:val="008A2340"/>
    <w:rsid w:val="008A24BB"/>
    <w:rsid w:val="008A24C9"/>
    <w:rsid w:val="008A2511"/>
    <w:rsid w:val="008A27B3"/>
    <w:rsid w:val="008A2861"/>
    <w:rsid w:val="008A28CD"/>
    <w:rsid w:val="008A2ABD"/>
    <w:rsid w:val="008A2C55"/>
    <w:rsid w:val="008A2C5B"/>
    <w:rsid w:val="008A31EF"/>
    <w:rsid w:val="008A3244"/>
    <w:rsid w:val="008A32B2"/>
    <w:rsid w:val="008A32CB"/>
    <w:rsid w:val="008A3519"/>
    <w:rsid w:val="008A35F7"/>
    <w:rsid w:val="008A3696"/>
    <w:rsid w:val="008A381D"/>
    <w:rsid w:val="008A3863"/>
    <w:rsid w:val="008A3905"/>
    <w:rsid w:val="008A39F3"/>
    <w:rsid w:val="008A3A53"/>
    <w:rsid w:val="008A3B1C"/>
    <w:rsid w:val="008A3D9A"/>
    <w:rsid w:val="008A3DA7"/>
    <w:rsid w:val="008A3EE6"/>
    <w:rsid w:val="008A4060"/>
    <w:rsid w:val="008A40A9"/>
    <w:rsid w:val="008A4276"/>
    <w:rsid w:val="008A42DF"/>
    <w:rsid w:val="008A42F3"/>
    <w:rsid w:val="008A4326"/>
    <w:rsid w:val="008A43A0"/>
    <w:rsid w:val="008A45DF"/>
    <w:rsid w:val="008A4688"/>
    <w:rsid w:val="008A484C"/>
    <w:rsid w:val="008A48E2"/>
    <w:rsid w:val="008A49C7"/>
    <w:rsid w:val="008A4AA4"/>
    <w:rsid w:val="008A4AB4"/>
    <w:rsid w:val="008A4B15"/>
    <w:rsid w:val="008A4B22"/>
    <w:rsid w:val="008A4C4D"/>
    <w:rsid w:val="008A4DC2"/>
    <w:rsid w:val="008A4F32"/>
    <w:rsid w:val="008A4F7F"/>
    <w:rsid w:val="008A5021"/>
    <w:rsid w:val="008A50BE"/>
    <w:rsid w:val="008A5152"/>
    <w:rsid w:val="008A53E3"/>
    <w:rsid w:val="008A53EC"/>
    <w:rsid w:val="008A53F7"/>
    <w:rsid w:val="008A549B"/>
    <w:rsid w:val="008A5848"/>
    <w:rsid w:val="008A593F"/>
    <w:rsid w:val="008A5980"/>
    <w:rsid w:val="008A5B5C"/>
    <w:rsid w:val="008A5E77"/>
    <w:rsid w:val="008A60F1"/>
    <w:rsid w:val="008A6644"/>
    <w:rsid w:val="008A6845"/>
    <w:rsid w:val="008A68AE"/>
    <w:rsid w:val="008A6904"/>
    <w:rsid w:val="008A69CF"/>
    <w:rsid w:val="008A6A1E"/>
    <w:rsid w:val="008A6CDB"/>
    <w:rsid w:val="008A6E0F"/>
    <w:rsid w:val="008A6F15"/>
    <w:rsid w:val="008A7086"/>
    <w:rsid w:val="008A7098"/>
    <w:rsid w:val="008A70CC"/>
    <w:rsid w:val="008A70D6"/>
    <w:rsid w:val="008A7507"/>
    <w:rsid w:val="008A7520"/>
    <w:rsid w:val="008A77E4"/>
    <w:rsid w:val="008A7993"/>
    <w:rsid w:val="008A7A67"/>
    <w:rsid w:val="008A7B5D"/>
    <w:rsid w:val="008B0207"/>
    <w:rsid w:val="008B035C"/>
    <w:rsid w:val="008B0411"/>
    <w:rsid w:val="008B0435"/>
    <w:rsid w:val="008B05D8"/>
    <w:rsid w:val="008B065F"/>
    <w:rsid w:val="008B06E7"/>
    <w:rsid w:val="008B073D"/>
    <w:rsid w:val="008B085D"/>
    <w:rsid w:val="008B0AF7"/>
    <w:rsid w:val="008B0B34"/>
    <w:rsid w:val="008B0BA3"/>
    <w:rsid w:val="008B0CC9"/>
    <w:rsid w:val="008B0CFB"/>
    <w:rsid w:val="008B0D39"/>
    <w:rsid w:val="008B0DA2"/>
    <w:rsid w:val="008B0E64"/>
    <w:rsid w:val="008B132A"/>
    <w:rsid w:val="008B133E"/>
    <w:rsid w:val="008B1427"/>
    <w:rsid w:val="008B1472"/>
    <w:rsid w:val="008B14A2"/>
    <w:rsid w:val="008B14E0"/>
    <w:rsid w:val="008B1531"/>
    <w:rsid w:val="008B157B"/>
    <w:rsid w:val="008B16AF"/>
    <w:rsid w:val="008B178C"/>
    <w:rsid w:val="008B1836"/>
    <w:rsid w:val="008B1902"/>
    <w:rsid w:val="008B1935"/>
    <w:rsid w:val="008B1B87"/>
    <w:rsid w:val="008B1CD0"/>
    <w:rsid w:val="008B1D59"/>
    <w:rsid w:val="008B1E53"/>
    <w:rsid w:val="008B2185"/>
    <w:rsid w:val="008B239D"/>
    <w:rsid w:val="008B2702"/>
    <w:rsid w:val="008B2809"/>
    <w:rsid w:val="008B29A9"/>
    <w:rsid w:val="008B29DF"/>
    <w:rsid w:val="008B2A2A"/>
    <w:rsid w:val="008B2A94"/>
    <w:rsid w:val="008B2DDA"/>
    <w:rsid w:val="008B2EA8"/>
    <w:rsid w:val="008B2F9E"/>
    <w:rsid w:val="008B3053"/>
    <w:rsid w:val="008B30A5"/>
    <w:rsid w:val="008B3185"/>
    <w:rsid w:val="008B3715"/>
    <w:rsid w:val="008B378F"/>
    <w:rsid w:val="008B38C6"/>
    <w:rsid w:val="008B3A40"/>
    <w:rsid w:val="008B3D78"/>
    <w:rsid w:val="008B3E23"/>
    <w:rsid w:val="008B3E5C"/>
    <w:rsid w:val="008B3ED0"/>
    <w:rsid w:val="008B3F02"/>
    <w:rsid w:val="008B3F54"/>
    <w:rsid w:val="008B41ED"/>
    <w:rsid w:val="008B4238"/>
    <w:rsid w:val="008B42C4"/>
    <w:rsid w:val="008B431D"/>
    <w:rsid w:val="008B43B2"/>
    <w:rsid w:val="008B44B0"/>
    <w:rsid w:val="008B4569"/>
    <w:rsid w:val="008B4670"/>
    <w:rsid w:val="008B46CA"/>
    <w:rsid w:val="008B46FE"/>
    <w:rsid w:val="008B4932"/>
    <w:rsid w:val="008B4995"/>
    <w:rsid w:val="008B4BDE"/>
    <w:rsid w:val="008B4BF4"/>
    <w:rsid w:val="008B4C31"/>
    <w:rsid w:val="008B4D73"/>
    <w:rsid w:val="008B55B0"/>
    <w:rsid w:val="008B55FE"/>
    <w:rsid w:val="008B562F"/>
    <w:rsid w:val="008B57D6"/>
    <w:rsid w:val="008B5865"/>
    <w:rsid w:val="008B5914"/>
    <w:rsid w:val="008B5949"/>
    <w:rsid w:val="008B59A6"/>
    <w:rsid w:val="008B5A91"/>
    <w:rsid w:val="008B5B7C"/>
    <w:rsid w:val="008B5CD8"/>
    <w:rsid w:val="008B5CE4"/>
    <w:rsid w:val="008B5D14"/>
    <w:rsid w:val="008B5D29"/>
    <w:rsid w:val="008B5FE6"/>
    <w:rsid w:val="008B6128"/>
    <w:rsid w:val="008B612F"/>
    <w:rsid w:val="008B616B"/>
    <w:rsid w:val="008B62A4"/>
    <w:rsid w:val="008B62E9"/>
    <w:rsid w:val="008B63E5"/>
    <w:rsid w:val="008B6403"/>
    <w:rsid w:val="008B6510"/>
    <w:rsid w:val="008B6729"/>
    <w:rsid w:val="008B6795"/>
    <w:rsid w:val="008B6841"/>
    <w:rsid w:val="008B68E2"/>
    <w:rsid w:val="008B6A07"/>
    <w:rsid w:val="008B6A36"/>
    <w:rsid w:val="008B6A4C"/>
    <w:rsid w:val="008B6DA5"/>
    <w:rsid w:val="008B6EBE"/>
    <w:rsid w:val="008B6F36"/>
    <w:rsid w:val="008B7129"/>
    <w:rsid w:val="008B71BD"/>
    <w:rsid w:val="008B71CA"/>
    <w:rsid w:val="008B723F"/>
    <w:rsid w:val="008B733B"/>
    <w:rsid w:val="008B73C9"/>
    <w:rsid w:val="008B74D1"/>
    <w:rsid w:val="008B7636"/>
    <w:rsid w:val="008B7638"/>
    <w:rsid w:val="008B76FC"/>
    <w:rsid w:val="008B7893"/>
    <w:rsid w:val="008B798D"/>
    <w:rsid w:val="008B7AF9"/>
    <w:rsid w:val="008B7B79"/>
    <w:rsid w:val="008B7C09"/>
    <w:rsid w:val="008B7EC3"/>
    <w:rsid w:val="008B7FF8"/>
    <w:rsid w:val="008C02AC"/>
    <w:rsid w:val="008C0618"/>
    <w:rsid w:val="008C0645"/>
    <w:rsid w:val="008C0877"/>
    <w:rsid w:val="008C0965"/>
    <w:rsid w:val="008C09BB"/>
    <w:rsid w:val="008C0B7E"/>
    <w:rsid w:val="008C0D8C"/>
    <w:rsid w:val="008C1212"/>
    <w:rsid w:val="008C12AD"/>
    <w:rsid w:val="008C1306"/>
    <w:rsid w:val="008C1352"/>
    <w:rsid w:val="008C13D8"/>
    <w:rsid w:val="008C1450"/>
    <w:rsid w:val="008C1638"/>
    <w:rsid w:val="008C167C"/>
    <w:rsid w:val="008C1683"/>
    <w:rsid w:val="008C1715"/>
    <w:rsid w:val="008C18F4"/>
    <w:rsid w:val="008C19DE"/>
    <w:rsid w:val="008C1A25"/>
    <w:rsid w:val="008C1A34"/>
    <w:rsid w:val="008C1AB9"/>
    <w:rsid w:val="008C1AD6"/>
    <w:rsid w:val="008C1B22"/>
    <w:rsid w:val="008C1B6E"/>
    <w:rsid w:val="008C1C69"/>
    <w:rsid w:val="008C1D07"/>
    <w:rsid w:val="008C1DC5"/>
    <w:rsid w:val="008C1E77"/>
    <w:rsid w:val="008C1EA9"/>
    <w:rsid w:val="008C1F3C"/>
    <w:rsid w:val="008C1F73"/>
    <w:rsid w:val="008C1FFE"/>
    <w:rsid w:val="008C200E"/>
    <w:rsid w:val="008C20BF"/>
    <w:rsid w:val="008C20C5"/>
    <w:rsid w:val="008C2259"/>
    <w:rsid w:val="008C22C6"/>
    <w:rsid w:val="008C2373"/>
    <w:rsid w:val="008C23B4"/>
    <w:rsid w:val="008C24F7"/>
    <w:rsid w:val="008C2691"/>
    <w:rsid w:val="008C273A"/>
    <w:rsid w:val="008C2853"/>
    <w:rsid w:val="008C2920"/>
    <w:rsid w:val="008C296E"/>
    <w:rsid w:val="008C29A0"/>
    <w:rsid w:val="008C29CB"/>
    <w:rsid w:val="008C2B21"/>
    <w:rsid w:val="008C2F5A"/>
    <w:rsid w:val="008C2F5C"/>
    <w:rsid w:val="008C3202"/>
    <w:rsid w:val="008C32A8"/>
    <w:rsid w:val="008C364C"/>
    <w:rsid w:val="008C3667"/>
    <w:rsid w:val="008C37A2"/>
    <w:rsid w:val="008C37C8"/>
    <w:rsid w:val="008C38A7"/>
    <w:rsid w:val="008C39A1"/>
    <w:rsid w:val="008C3AF0"/>
    <w:rsid w:val="008C3B68"/>
    <w:rsid w:val="008C3BB3"/>
    <w:rsid w:val="008C3C3B"/>
    <w:rsid w:val="008C3CFC"/>
    <w:rsid w:val="008C3E07"/>
    <w:rsid w:val="008C3E87"/>
    <w:rsid w:val="008C3F56"/>
    <w:rsid w:val="008C40A7"/>
    <w:rsid w:val="008C4150"/>
    <w:rsid w:val="008C419B"/>
    <w:rsid w:val="008C4258"/>
    <w:rsid w:val="008C42D8"/>
    <w:rsid w:val="008C4391"/>
    <w:rsid w:val="008C4537"/>
    <w:rsid w:val="008C459A"/>
    <w:rsid w:val="008C46A7"/>
    <w:rsid w:val="008C46CC"/>
    <w:rsid w:val="008C4744"/>
    <w:rsid w:val="008C4C1A"/>
    <w:rsid w:val="008C4DCE"/>
    <w:rsid w:val="008C4E9B"/>
    <w:rsid w:val="008C5019"/>
    <w:rsid w:val="008C5049"/>
    <w:rsid w:val="008C5168"/>
    <w:rsid w:val="008C548C"/>
    <w:rsid w:val="008C5539"/>
    <w:rsid w:val="008C5927"/>
    <w:rsid w:val="008C5A4D"/>
    <w:rsid w:val="008C5ACE"/>
    <w:rsid w:val="008C5BFE"/>
    <w:rsid w:val="008C5CA7"/>
    <w:rsid w:val="008C5D44"/>
    <w:rsid w:val="008C5D7D"/>
    <w:rsid w:val="008C5F80"/>
    <w:rsid w:val="008C605B"/>
    <w:rsid w:val="008C6080"/>
    <w:rsid w:val="008C6112"/>
    <w:rsid w:val="008C6151"/>
    <w:rsid w:val="008C624C"/>
    <w:rsid w:val="008C6405"/>
    <w:rsid w:val="008C651C"/>
    <w:rsid w:val="008C6590"/>
    <w:rsid w:val="008C6789"/>
    <w:rsid w:val="008C6B41"/>
    <w:rsid w:val="008C6CA7"/>
    <w:rsid w:val="008C6DA7"/>
    <w:rsid w:val="008C6DC3"/>
    <w:rsid w:val="008C71F4"/>
    <w:rsid w:val="008C7385"/>
    <w:rsid w:val="008C74C0"/>
    <w:rsid w:val="008C74F4"/>
    <w:rsid w:val="008C776B"/>
    <w:rsid w:val="008C799F"/>
    <w:rsid w:val="008C7A94"/>
    <w:rsid w:val="008C7BC3"/>
    <w:rsid w:val="008C7DE5"/>
    <w:rsid w:val="008C7EBB"/>
    <w:rsid w:val="008C7EBD"/>
    <w:rsid w:val="008C7FE5"/>
    <w:rsid w:val="008D0023"/>
    <w:rsid w:val="008D008D"/>
    <w:rsid w:val="008D00B8"/>
    <w:rsid w:val="008D01B9"/>
    <w:rsid w:val="008D01F8"/>
    <w:rsid w:val="008D02FA"/>
    <w:rsid w:val="008D0470"/>
    <w:rsid w:val="008D0573"/>
    <w:rsid w:val="008D05C0"/>
    <w:rsid w:val="008D0647"/>
    <w:rsid w:val="008D0689"/>
    <w:rsid w:val="008D06D9"/>
    <w:rsid w:val="008D07BB"/>
    <w:rsid w:val="008D0866"/>
    <w:rsid w:val="008D08CF"/>
    <w:rsid w:val="008D08ED"/>
    <w:rsid w:val="008D09F8"/>
    <w:rsid w:val="008D0A0B"/>
    <w:rsid w:val="008D0A7D"/>
    <w:rsid w:val="008D0B67"/>
    <w:rsid w:val="008D0E82"/>
    <w:rsid w:val="008D11DB"/>
    <w:rsid w:val="008D1805"/>
    <w:rsid w:val="008D1871"/>
    <w:rsid w:val="008D1881"/>
    <w:rsid w:val="008D1A53"/>
    <w:rsid w:val="008D1AA3"/>
    <w:rsid w:val="008D1B91"/>
    <w:rsid w:val="008D1BD0"/>
    <w:rsid w:val="008D1F3D"/>
    <w:rsid w:val="008D1FA0"/>
    <w:rsid w:val="008D2014"/>
    <w:rsid w:val="008D212D"/>
    <w:rsid w:val="008D2189"/>
    <w:rsid w:val="008D22A4"/>
    <w:rsid w:val="008D22A9"/>
    <w:rsid w:val="008D23F5"/>
    <w:rsid w:val="008D24C0"/>
    <w:rsid w:val="008D2613"/>
    <w:rsid w:val="008D27E4"/>
    <w:rsid w:val="008D2800"/>
    <w:rsid w:val="008D2A6E"/>
    <w:rsid w:val="008D2A8D"/>
    <w:rsid w:val="008D2BA1"/>
    <w:rsid w:val="008D2C26"/>
    <w:rsid w:val="008D2D22"/>
    <w:rsid w:val="008D2F17"/>
    <w:rsid w:val="008D2F38"/>
    <w:rsid w:val="008D2F7E"/>
    <w:rsid w:val="008D31EB"/>
    <w:rsid w:val="008D332C"/>
    <w:rsid w:val="008D334E"/>
    <w:rsid w:val="008D3530"/>
    <w:rsid w:val="008D3576"/>
    <w:rsid w:val="008D35FF"/>
    <w:rsid w:val="008D36C7"/>
    <w:rsid w:val="008D3796"/>
    <w:rsid w:val="008D3815"/>
    <w:rsid w:val="008D3894"/>
    <w:rsid w:val="008D3976"/>
    <w:rsid w:val="008D3979"/>
    <w:rsid w:val="008D3A24"/>
    <w:rsid w:val="008D3AE6"/>
    <w:rsid w:val="008D3AF5"/>
    <w:rsid w:val="008D3C33"/>
    <w:rsid w:val="008D3D32"/>
    <w:rsid w:val="008D3D76"/>
    <w:rsid w:val="008D3EC4"/>
    <w:rsid w:val="008D3F71"/>
    <w:rsid w:val="008D4243"/>
    <w:rsid w:val="008D4255"/>
    <w:rsid w:val="008D4308"/>
    <w:rsid w:val="008D430B"/>
    <w:rsid w:val="008D43D8"/>
    <w:rsid w:val="008D4448"/>
    <w:rsid w:val="008D44A5"/>
    <w:rsid w:val="008D4500"/>
    <w:rsid w:val="008D45B5"/>
    <w:rsid w:val="008D4760"/>
    <w:rsid w:val="008D483F"/>
    <w:rsid w:val="008D4969"/>
    <w:rsid w:val="008D4A16"/>
    <w:rsid w:val="008D4A1D"/>
    <w:rsid w:val="008D4A4E"/>
    <w:rsid w:val="008D4A8B"/>
    <w:rsid w:val="008D4B3B"/>
    <w:rsid w:val="008D4DAA"/>
    <w:rsid w:val="008D4DC7"/>
    <w:rsid w:val="008D4E91"/>
    <w:rsid w:val="008D4FFF"/>
    <w:rsid w:val="008D5090"/>
    <w:rsid w:val="008D50A6"/>
    <w:rsid w:val="008D515F"/>
    <w:rsid w:val="008D51C1"/>
    <w:rsid w:val="008D520E"/>
    <w:rsid w:val="008D52EA"/>
    <w:rsid w:val="008D52F5"/>
    <w:rsid w:val="008D5304"/>
    <w:rsid w:val="008D530E"/>
    <w:rsid w:val="008D563C"/>
    <w:rsid w:val="008D5782"/>
    <w:rsid w:val="008D5ABB"/>
    <w:rsid w:val="008D5C40"/>
    <w:rsid w:val="008D5E91"/>
    <w:rsid w:val="008D5EF0"/>
    <w:rsid w:val="008D613D"/>
    <w:rsid w:val="008D61BF"/>
    <w:rsid w:val="008D6327"/>
    <w:rsid w:val="008D6473"/>
    <w:rsid w:val="008D6476"/>
    <w:rsid w:val="008D669C"/>
    <w:rsid w:val="008D67BD"/>
    <w:rsid w:val="008D6839"/>
    <w:rsid w:val="008D6868"/>
    <w:rsid w:val="008D691E"/>
    <w:rsid w:val="008D6943"/>
    <w:rsid w:val="008D6AD3"/>
    <w:rsid w:val="008D6B41"/>
    <w:rsid w:val="008D6BAD"/>
    <w:rsid w:val="008D6BDC"/>
    <w:rsid w:val="008D6D42"/>
    <w:rsid w:val="008D6D51"/>
    <w:rsid w:val="008D6DD3"/>
    <w:rsid w:val="008D6DFB"/>
    <w:rsid w:val="008D6E3D"/>
    <w:rsid w:val="008D6E83"/>
    <w:rsid w:val="008D6ECB"/>
    <w:rsid w:val="008D6F6E"/>
    <w:rsid w:val="008D7038"/>
    <w:rsid w:val="008D70EF"/>
    <w:rsid w:val="008D71F4"/>
    <w:rsid w:val="008D7263"/>
    <w:rsid w:val="008D7284"/>
    <w:rsid w:val="008D7322"/>
    <w:rsid w:val="008D7465"/>
    <w:rsid w:val="008D77FB"/>
    <w:rsid w:val="008D7845"/>
    <w:rsid w:val="008D797E"/>
    <w:rsid w:val="008D7ABF"/>
    <w:rsid w:val="008D7B30"/>
    <w:rsid w:val="008D7C5E"/>
    <w:rsid w:val="008D7CA3"/>
    <w:rsid w:val="008D7D18"/>
    <w:rsid w:val="008D7D94"/>
    <w:rsid w:val="008D7DF3"/>
    <w:rsid w:val="008D7E46"/>
    <w:rsid w:val="008D7ECA"/>
    <w:rsid w:val="008E018A"/>
    <w:rsid w:val="008E0266"/>
    <w:rsid w:val="008E0276"/>
    <w:rsid w:val="008E0438"/>
    <w:rsid w:val="008E05D5"/>
    <w:rsid w:val="008E0656"/>
    <w:rsid w:val="008E06FE"/>
    <w:rsid w:val="008E081D"/>
    <w:rsid w:val="008E0937"/>
    <w:rsid w:val="008E09DF"/>
    <w:rsid w:val="008E0D07"/>
    <w:rsid w:val="008E0D25"/>
    <w:rsid w:val="008E0DA7"/>
    <w:rsid w:val="008E0DE4"/>
    <w:rsid w:val="008E13C7"/>
    <w:rsid w:val="008E1402"/>
    <w:rsid w:val="008E1469"/>
    <w:rsid w:val="008E151A"/>
    <w:rsid w:val="008E159C"/>
    <w:rsid w:val="008E166B"/>
    <w:rsid w:val="008E1819"/>
    <w:rsid w:val="008E199F"/>
    <w:rsid w:val="008E1A79"/>
    <w:rsid w:val="008E1A8D"/>
    <w:rsid w:val="008E1C41"/>
    <w:rsid w:val="008E1D0E"/>
    <w:rsid w:val="008E1D8D"/>
    <w:rsid w:val="008E200B"/>
    <w:rsid w:val="008E213F"/>
    <w:rsid w:val="008E2188"/>
    <w:rsid w:val="008E21E5"/>
    <w:rsid w:val="008E21F3"/>
    <w:rsid w:val="008E223C"/>
    <w:rsid w:val="008E2379"/>
    <w:rsid w:val="008E23DC"/>
    <w:rsid w:val="008E23F0"/>
    <w:rsid w:val="008E24FE"/>
    <w:rsid w:val="008E25B3"/>
    <w:rsid w:val="008E2699"/>
    <w:rsid w:val="008E26BC"/>
    <w:rsid w:val="008E2728"/>
    <w:rsid w:val="008E27E7"/>
    <w:rsid w:val="008E2894"/>
    <w:rsid w:val="008E2B77"/>
    <w:rsid w:val="008E2E7A"/>
    <w:rsid w:val="008E2E84"/>
    <w:rsid w:val="008E3185"/>
    <w:rsid w:val="008E320A"/>
    <w:rsid w:val="008E33EC"/>
    <w:rsid w:val="008E3401"/>
    <w:rsid w:val="008E3428"/>
    <w:rsid w:val="008E34A5"/>
    <w:rsid w:val="008E3503"/>
    <w:rsid w:val="008E3771"/>
    <w:rsid w:val="008E38BE"/>
    <w:rsid w:val="008E3905"/>
    <w:rsid w:val="008E3985"/>
    <w:rsid w:val="008E3A8F"/>
    <w:rsid w:val="008E3A93"/>
    <w:rsid w:val="008E3B06"/>
    <w:rsid w:val="008E3B73"/>
    <w:rsid w:val="008E3CA7"/>
    <w:rsid w:val="008E3CB1"/>
    <w:rsid w:val="008E3F83"/>
    <w:rsid w:val="008E40B2"/>
    <w:rsid w:val="008E431E"/>
    <w:rsid w:val="008E454B"/>
    <w:rsid w:val="008E4631"/>
    <w:rsid w:val="008E4933"/>
    <w:rsid w:val="008E4A28"/>
    <w:rsid w:val="008E4D8B"/>
    <w:rsid w:val="008E4ED2"/>
    <w:rsid w:val="008E4F98"/>
    <w:rsid w:val="008E5057"/>
    <w:rsid w:val="008E510A"/>
    <w:rsid w:val="008E511C"/>
    <w:rsid w:val="008E520A"/>
    <w:rsid w:val="008E5276"/>
    <w:rsid w:val="008E5426"/>
    <w:rsid w:val="008E54AA"/>
    <w:rsid w:val="008E54BC"/>
    <w:rsid w:val="008E57C7"/>
    <w:rsid w:val="008E5832"/>
    <w:rsid w:val="008E5862"/>
    <w:rsid w:val="008E58A9"/>
    <w:rsid w:val="008E596F"/>
    <w:rsid w:val="008E59B9"/>
    <w:rsid w:val="008E59D7"/>
    <w:rsid w:val="008E5A3B"/>
    <w:rsid w:val="008E5A81"/>
    <w:rsid w:val="008E5C3F"/>
    <w:rsid w:val="008E5C62"/>
    <w:rsid w:val="008E5CAF"/>
    <w:rsid w:val="008E5CD0"/>
    <w:rsid w:val="008E5E6B"/>
    <w:rsid w:val="008E5ECF"/>
    <w:rsid w:val="008E5F23"/>
    <w:rsid w:val="008E5F94"/>
    <w:rsid w:val="008E5FCE"/>
    <w:rsid w:val="008E61C9"/>
    <w:rsid w:val="008E61DF"/>
    <w:rsid w:val="008E6230"/>
    <w:rsid w:val="008E627C"/>
    <w:rsid w:val="008E62A4"/>
    <w:rsid w:val="008E62B2"/>
    <w:rsid w:val="008E62F8"/>
    <w:rsid w:val="008E62FE"/>
    <w:rsid w:val="008E6339"/>
    <w:rsid w:val="008E642E"/>
    <w:rsid w:val="008E6484"/>
    <w:rsid w:val="008E64C5"/>
    <w:rsid w:val="008E6673"/>
    <w:rsid w:val="008E6779"/>
    <w:rsid w:val="008E677B"/>
    <w:rsid w:val="008E69AA"/>
    <w:rsid w:val="008E6B82"/>
    <w:rsid w:val="008E6CA8"/>
    <w:rsid w:val="008E6E83"/>
    <w:rsid w:val="008E6EAC"/>
    <w:rsid w:val="008E7098"/>
    <w:rsid w:val="008E7211"/>
    <w:rsid w:val="008E7274"/>
    <w:rsid w:val="008E727C"/>
    <w:rsid w:val="008E72BF"/>
    <w:rsid w:val="008E7312"/>
    <w:rsid w:val="008E733B"/>
    <w:rsid w:val="008E74F0"/>
    <w:rsid w:val="008E753E"/>
    <w:rsid w:val="008E759E"/>
    <w:rsid w:val="008E78B8"/>
    <w:rsid w:val="008E7921"/>
    <w:rsid w:val="008E7957"/>
    <w:rsid w:val="008E79F5"/>
    <w:rsid w:val="008E7AB6"/>
    <w:rsid w:val="008E7B11"/>
    <w:rsid w:val="008E7B3E"/>
    <w:rsid w:val="008E7B5E"/>
    <w:rsid w:val="008E7C6C"/>
    <w:rsid w:val="008E7D1F"/>
    <w:rsid w:val="008E7F3A"/>
    <w:rsid w:val="008F0158"/>
    <w:rsid w:val="008F0199"/>
    <w:rsid w:val="008F020D"/>
    <w:rsid w:val="008F028C"/>
    <w:rsid w:val="008F031F"/>
    <w:rsid w:val="008F0435"/>
    <w:rsid w:val="008F04DE"/>
    <w:rsid w:val="008F06C0"/>
    <w:rsid w:val="008F0843"/>
    <w:rsid w:val="008F0877"/>
    <w:rsid w:val="008F08BC"/>
    <w:rsid w:val="008F0932"/>
    <w:rsid w:val="008F0974"/>
    <w:rsid w:val="008F0AEA"/>
    <w:rsid w:val="008F0C09"/>
    <w:rsid w:val="008F0D78"/>
    <w:rsid w:val="008F0DCA"/>
    <w:rsid w:val="008F0E94"/>
    <w:rsid w:val="008F103A"/>
    <w:rsid w:val="008F103B"/>
    <w:rsid w:val="008F124D"/>
    <w:rsid w:val="008F1302"/>
    <w:rsid w:val="008F148D"/>
    <w:rsid w:val="008F15E8"/>
    <w:rsid w:val="008F1649"/>
    <w:rsid w:val="008F16D7"/>
    <w:rsid w:val="008F1942"/>
    <w:rsid w:val="008F197E"/>
    <w:rsid w:val="008F19D0"/>
    <w:rsid w:val="008F19EA"/>
    <w:rsid w:val="008F19EE"/>
    <w:rsid w:val="008F1AB1"/>
    <w:rsid w:val="008F1ABC"/>
    <w:rsid w:val="008F1B17"/>
    <w:rsid w:val="008F1B23"/>
    <w:rsid w:val="008F1BE3"/>
    <w:rsid w:val="008F1E61"/>
    <w:rsid w:val="008F1E6D"/>
    <w:rsid w:val="008F206A"/>
    <w:rsid w:val="008F224A"/>
    <w:rsid w:val="008F2370"/>
    <w:rsid w:val="008F2380"/>
    <w:rsid w:val="008F2422"/>
    <w:rsid w:val="008F2472"/>
    <w:rsid w:val="008F2502"/>
    <w:rsid w:val="008F2689"/>
    <w:rsid w:val="008F26AA"/>
    <w:rsid w:val="008F26B1"/>
    <w:rsid w:val="008F29E2"/>
    <w:rsid w:val="008F2B19"/>
    <w:rsid w:val="008F2C6C"/>
    <w:rsid w:val="008F2D11"/>
    <w:rsid w:val="008F2D2A"/>
    <w:rsid w:val="008F2D82"/>
    <w:rsid w:val="008F2DFF"/>
    <w:rsid w:val="008F3014"/>
    <w:rsid w:val="008F311B"/>
    <w:rsid w:val="008F315D"/>
    <w:rsid w:val="008F32C3"/>
    <w:rsid w:val="008F33DC"/>
    <w:rsid w:val="008F3468"/>
    <w:rsid w:val="008F349D"/>
    <w:rsid w:val="008F36E2"/>
    <w:rsid w:val="008F3818"/>
    <w:rsid w:val="008F38D2"/>
    <w:rsid w:val="008F3B79"/>
    <w:rsid w:val="008F3C7B"/>
    <w:rsid w:val="008F3D6C"/>
    <w:rsid w:val="008F3E5A"/>
    <w:rsid w:val="008F3EFA"/>
    <w:rsid w:val="008F3F46"/>
    <w:rsid w:val="008F3FB4"/>
    <w:rsid w:val="008F3FE6"/>
    <w:rsid w:val="008F420D"/>
    <w:rsid w:val="008F4264"/>
    <w:rsid w:val="008F4304"/>
    <w:rsid w:val="008F4401"/>
    <w:rsid w:val="008F4552"/>
    <w:rsid w:val="008F4559"/>
    <w:rsid w:val="008F45C5"/>
    <w:rsid w:val="008F45E3"/>
    <w:rsid w:val="008F4629"/>
    <w:rsid w:val="008F4813"/>
    <w:rsid w:val="008F487E"/>
    <w:rsid w:val="008F48D4"/>
    <w:rsid w:val="008F4A04"/>
    <w:rsid w:val="008F4CB7"/>
    <w:rsid w:val="008F52A3"/>
    <w:rsid w:val="008F54B1"/>
    <w:rsid w:val="008F54B5"/>
    <w:rsid w:val="008F56C5"/>
    <w:rsid w:val="008F56D5"/>
    <w:rsid w:val="008F5815"/>
    <w:rsid w:val="008F5868"/>
    <w:rsid w:val="008F5A1E"/>
    <w:rsid w:val="008F5A4B"/>
    <w:rsid w:val="008F5A95"/>
    <w:rsid w:val="008F5F68"/>
    <w:rsid w:val="008F6013"/>
    <w:rsid w:val="008F613A"/>
    <w:rsid w:val="008F622A"/>
    <w:rsid w:val="008F62AE"/>
    <w:rsid w:val="008F62FA"/>
    <w:rsid w:val="008F636A"/>
    <w:rsid w:val="008F63C4"/>
    <w:rsid w:val="008F63D7"/>
    <w:rsid w:val="008F6404"/>
    <w:rsid w:val="008F645B"/>
    <w:rsid w:val="008F6668"/>
    <w:rsid w:val="008F6800"/>
    <w:rsid w:val="008F6888"/>
    <w:rsid w:val="008F6A5C"/>
    <w:rsid w:val="008F6AC7"/>
    <w:rsid w:val="008F6AE1"/>
    <w:rsid w:val="008F6B44"/>
    <w:rsid w:val="008F6CCF"/>
    <w:rsid w:val="008F6D4C"/>
    <w:rsid w:val="008F6F04"/>
    <w:rsid w:val="008F7276"/>
    <w:rsid w:val="008F7448"/>
    <w:rsid w:val="008F7556"/>
    <w:rsid w:val="008F7684"/>
    <w:rsid w:val="008F785F"/>
    <w:rsid w:val="008F78C8"/>
    <w:rsid w:val="008F7A5C"/>
    <w:rsid w:val="008F7AAD"/>
    <w:rsid w:val="008F7AB4"/>
    <w:rsid w:val="008F7ACD"/>
    <w:rsid w:val="008F7AE4"/>
    <w:rsid w:val="008F7C5E"/>
    <w:rsid w:val="008F7DA3"/>
    <w:rsid w:val="008F7EDC"/>
    <w:rsid w:val="0090007D"/>
    <w:rsid w:val="0090016E"/>
    <w:rsid w:val="00900253"/>
    <w:rsid w:val="009003A1"/>
    <w:rsid w:val="009003AA"/>
    <w:rsid w:val="00900425"/>
    <w:rsid w:val="0090048F"/>
    <w:rsid w:val="009004FB"/>
    <w:rsid w:val="009005AA"/>
    <w:rsid w:val="0090074A"/>
    <w:rsid w:val="009007F6"/>
    <w:rsid w:val="00900834"/>
    <w:rsid w:val="0090096D"/>
    <w:rsid w:val="0090099A"/>
    <w:rsid w:val="00900A00"/>
    <w:rsid w:val="00900A10"/>
    <w:rsid w:val="00900C72"/>
    <w:rsid w:val="00900CA8"/>
    <w:rsid w:val="00900DE8"/>
    <w:rsid w:val="009011CC"/>
    <w:rsid w:val="009011DE"/>
    <w:rsid w:val="00901319"/>
    <w:rsid w:val="009014A0"/>
    <w:rsid w:val="0090173D"/>
    <w:rsid w:val="009018BC"/>
    <w:rsid w:val="00901905"/>
    <w:rsid w:val="00901C7E"/>
    <w:rsid w:val="00901D48"/>
    <w:rsid w:val="00901E7B"/>
    <w:rsid w:val="00901F30"/>
    <w:rsid w:val="00901F8E"/>
    <w:rsid w:val="00901FB8"/>
    <w:rsid w:val="0090205E"/>
    <w:rsid w:val="00902395"/>
    <w:rsid w:val="009024D0"/>
    <w:rsid w:val="009025C0"/>
    <w:rsid w:val="009025C8"/>
    <w:rsid w:val="009025CD"/>
    <w:rsid w:val="0090261F"/>
    <w:rsid w:val="00902662"/>
    <w:rsid w:val="00902728"/>
    <w:rsid w:val="00902917"/>
    <w:rsid w:val="00902C55"/>
    <w:rsid w:val="00902C6A"/>
    <w:rsid w:val="00902C76"/>
    <w:rsid w:val="00902C97"/>
    <w:rsid w:val="00902D06"/>
    <w:rsid w:val="00902DC5"/>
    <w:rsid w:val="00902E6B"/>
    <w:rsid w:val="00902F1B"/>
    <w:rsid w:val="00902F39"/>
    <w:rsid w:val="009031A3"/>
    <w:rsid w:val="00903214"/>
    <w:rsid w:val="009032CC"/>
    <w:rsid w:val="009032D3"/>
    <w:rsid w:val="00903370"/>
    <w:rsid w:val="00903378"/>
    <w:rsid w:val="009033A0"/>
    <w:rsid w:val="00903474"/>
    <w:rsid w:val="009034EC"/>
    <w:rsid w:val="00903501"/>
    <w:rsid w:val="0090361A"/>
    <w:rsid w:val="00903792"/>
    <w:rsid w:val="00903A5D"/>
    <w:rsid w:val="00903A87"/>
    <w:rsid w:val="00903AEB"/>
    <w:rsid w:val="00903DE0"/>
    <w:rsid w:val="00903EE0"/>
    <w:rsid w:val="00903F61"/>
    <w:rsid w:val="00903FFC"/>
    <w:rsid w:val="009040BE"/>
    <w:rsid w:val="0090419B"/>
    <w:rsid w:val="00904221"/>
    <w:rsid w:val="00904325"/>
    <w:rsid w:val="0090432A"/>
    <w:rsid w:val="00904341"/>
    <w:rsid w:val="0090439F"/>
    <w:rsid w:val="00904474"/>
    <w:rsid w:val="0090452B"/>
    <w:rsid w:val="00904625"/>
    <w:rsid w:val="009046EC"/>
    <w:rsid w:val="0090471C"/>
    <w:rsid w:val="00904885"/>
    <w:rsid w:val="00904994"/>
    <w:rsid w:val="00904A7F"/>
    <w:rsid w:val="00904AB0"/>
    <w:rsid w:val="00904D22"/>
    <w:rsid w:val="00904DF3"/>
    <w:rsid w:val="00904ED9"/>
    <w:rsid w:val="00904F6C"/>
    <w:rsid w:val="00904F91"/>
    <w:rsid w:val="009050B4"/>
    <w:rsid w:val="009052B5"/>
    <w:rsid w:val="0090530E"/>
    <w:rsid w:val="00905382"/>
    <w:rsid w:val="0090542B"/>
    <w:rsid w:val="0090547B"/>
    <w:rsid w:val="0090551E"/>
    <w:rsid w:val="00905588"/>
    <w:rsid w:val="009055A5"/>
    <w:rsid w:val="009056F7"/>
    <w:rsid w:val="009056F9"/>
    <w:rsid w:val="009056FF"/>
    <w:rsid w:val="0090585C"/>
    <w:rsid w:val="00905A12"/>
    <w:rsid w:val="00905AD6"/>
    <w:rsid w:val="00905B24"/>
    <w:rsid w:val="00905B26"/>
    <w:rsid w:val="00905B39"/>
    <w:rsid w:val="00905BDE"/>
    <w:rsid w:val="00905D64"/>
    <w:rsid w:val="00905DA5"/>
    <w:rsid w:val="00905FC7"/>
    <w:rsid w:val="00906116"/>
    <w:rsid w:val="009061AA"/>
    <w:rsid w:val="009062A8"/>
    <w:rsid w:val="009064AE"/>
    <w:rsid w:val="009064B0"/>
    <w:rsid w:val="00906503"/>
    <w:rsid w:val="00906667"/>
    <w:rsid w:val="00906A12"/>
    <w:rsid w:val="00906BC5"/>
    <w:rsid w:val="00906BDE"/>
    <w:rsid w:val="00906BE3"/>
    <w:rsid w:val="00906C35"/>
    <w:rsid w:val="00906CED"/>
    <w:rsid w:val="00906D56"/>
    <w:rsid w:val="00907255"/>
    <w:rsid w:val="009072CE"/>
    <w:rsid w:val="009072E5"/>
    <w:rsid w:val="00907429"/>
    <w:rsid w:val="00907454"/>
    <w:rsid w:val="009075D1"/>
    <w:rsid w:val="00907722"/>
    <w:rsid w:val="0090781E"/>
    <w:rsid w:val="009078F4"/>
    <w:rsid w:val="0090795A"/>
    <w:rsid w:val="00907A42"/>
    <w:rsid w:val="00907B6F"/>
    <w:rsid w:val="00907B70"/>
    <w:rsid w:val="00907C6A"/>
    <w:rsid w:val="00907C74"/>
    <w:rsid w:val="00907D2C"/>
    <w:rsid w:val="00907DA5"/>
    <w:rsid w:val="00907F13"/>
    <w:rsid w:val="00907F82"/>
    <w:rsid w:val="00907FB2"/>
    <w:rsid w:val="009100AB"/>
    <w:rsid w:val="009100E8"/>
    <w:rsid w:val="009100FF"/>
    <w:rsid w:val="00910181"/>
    <w:rsid w:val="0091019D"/>
    <w:rsid w:val="00910255"/>
    <w:rsid w:val="0091032E"/>
    <w:rsid w:val="00910523"/>
    <w:rsid w:val="00910596"/>
    <w:rsid w:val="009107A4"/>
    <w:rsid w:val="00910806"/>
    <w:rsid w:val="00910865"/>
    <w:rsid w:val="009109C4"/>
    <w:rsid w:val="009109F5"/>
    <w:rsid w:val="00910A2D"/>
    <w:rsid w:val="00910BD5"/>
    <w:rsid w:val="00910CEE"/>
    <w:rsid w:val="00911168"/>
    <w:rsid w:val="009112FF"/>
    <w:rsid w:val="00911313"/>
    <w:rsid w:val="00911484"/>
    <w:rsid w:val="0091157A"/>
    <w:rsid w:val="009115DA"/>
    <w:rsid w:val="009117B5"/>
    <w:rsid w:val="0091183E"/>
    <w:rsid w:val="0091191A"/>
    <w:rsid w:val="00911922"/>
    <w:rsid w:val="00911AEF"/>
    <w:rsid w:val="00911C00"/>
    <w:rsid w:val="00911C8A"/>
    <w:rsid w:val="00911E44"/>
    <w:rsid w:val="00911E47"/>
    <w:rsid w:val="00911E95"/>
    <w:rsid w:val="00911F35"/>
    <w:rsid w:val="00912134"/>
    <w:rsid w:val="00912147"/>
    <w:rsid w:val="00912201"/>
    <w:rsid w:val="00912366"/>
    <w:rsid w:val="00912410"/>
    <w:rsid w:val="009124F2"/>
    <w:rsid w:val="009127BC"/>
    <w:rsid w:val="009128A8"/>
    <w:rsid w:val="009128FC"/>
    <w:rsid w:val="00912956"/>
    <w:rsid w:val="00912A47"/>
    <w:rsid w:val="00912A88"/>
    <w:rsid w:val="00912ADD"/>
    <w:rsid w:val="00912B72"/>
    <w:rsid w:val="00913009"/>
    <w:rsid w:val="009130E3"/>
    <w:rsid w:val="00913249"/>
    <w:rsid w:val="009132EC"/>
    <w:rsid w:val="009133D9"/>
    <w:rsid w:val="009133DB"/>
    <w:rsid w:val="00913431"/>
    <w:rsid w:val="0091359B"/>
    <w:rsid w:val="009135A2"/>
    <w:rsid w:val="0091371A"/>
    <w:rsid w:val="009137B1"/>
    <w:rsid w:val="00913AAA"/>
    <w:rsid w:val="00913B6A"/>
    <w:rsid w:val="00913BD5"/>
    <w:rsid w:val="00913C68"/>
    <w:rsid w:val="00913CEE"/>
    <w:rsid w:val="00913D12"/>
    <w:rsid w:val="00913E29"/>
    <w:rsid w:val="00913F4B"/>
    <w:rsid w:val="00913FA0"/>
    <w:rsid w:val="00914133"/>
    <w:rsid w:val="0091421A"/>
    <w:rsid w:val="0091435D"/>
    <w:rsid w:val="009143BC"/>
    <w:rsid w:val="00914491"/>
    <w:rsid w:val="009145C0"/>
    <w:rsid w:val="009145CD"/>
    <w:rsid w:val="00914660"/>
    <w:rsid w:val="00914673"/>
    <w:rsid w:val="00914865"/>
    <w:rsid w:val="009149AC"/>
    <w:rsid w:val="00914CF6"/>
    <w:rsid w:val="00914DAE"/>
    <w:rsid w:val="00914E0A"/>
    <w:rsid w:val="00914E1C"/>
    <w:rsid w:val="00914E8C"/>
    <w:rsid w:val="00915010"/>
    <w:rsid w:val="009151A0"/>
    <w:rsid w:val="009151EC"/>
    <w:rsid w:val="0091524B"/>
    <w:rsid w:val="0091555A"/>
    <w:rsid w:val="00915860"/>
    <w:rsid w:val="009158F1"/>
    <w:rsid w:val="009159D6"/>
    <w:rsid w:val="00915BD7"/>
    <w:rsid w:val="00915C7A"/>
    <w:rsid w:val="00915CC7"/>
    <w:rsid w:val="00915D6C"/>
    <w:rsid w:val="00915EE2"/>
    <w:rsid w:val="009160D3"/>
    <w:rsid w:val="009161E4"/>
    <w:rsid w:val="0091625B"/>
    <w:rsid w:val="009162BF"/>
    <w:rsid w:val="009162E7"/>
    <w:rsid w:val="0091633E"/>
    <w:rsid w:val="009163D5"/>
    <w:rsid w:val="0091664D"/>
    <w:rsid w:val="0091676A"/>
    <w:rsid w:val="0091685D"/>
    <w:rsid w:val="009168DD"/>
    <w:rsid w:val="00916946"/>
    <w:rsid w:val="0091698F"/>
    <w:rsid w:val="009169EF"/>
    <w:rsid w:val="00916DFF"/>
    <w:rsid w:val="00916F28"/>
    <w:rsid w:val="00916F3E"/>
    <w:rsid w:val="009171EE"/>
    <w:rsid w:val="0091722E"/>
    <w:rsid w:val="00917366"/>
    <w:rsid w:val="0091737A"/>
    <w:rsid w:val="0091738D"/>
    <w:rsid w:val="0091778F"/>
    <w:rsid w:val="00917887"/>
    <w:rsid w:val="00917932"/>
    <w:rsid w:val="00917D22"/>
    <w:rsid w:val="00917D2C"/>
    <w:rsid w:val="00917F78"/>
    <w:rsid w:val="00917FA8"/>
    <w:rsid w:val="00920002"/>
    <w:rsid w:val="0092017D"/>
    <w:rsid w:val="009201C9"/>
    <w:rsid w:val="009201E6"/>
    <w:rsid w:val="009201F4"/>
    <w:rsid w:val="009204A0"/>
    <w:rsid w:val="009204E5"/>
    <w:rsid w:val="00920503"/>
    <w:rsid w:val="00920537"/>
    <w:rsid w:val="009205D6"/>
    <w:rsid w:val="0092079D"/>
    <w:rsid w:val="009208BE"/>
    <w:rsid w:val="009208FC"/>
    <w:rsid w:val="00920A24"/>
    <w:rsid w:val="00920B7F"/>
    <w:rsid w:val="00920CDC"/>
    <w:rsid w:val="00920DBC"/>
    <w:rsid w:val="00920EB2"/>
    <w:rsid w:val="00920F91"/>
    <w:rsid w:val="0092105E"/>
    <w:rsid w:val="0092137D"/>
    <w:rsid w:val="0092150A"/>
    <w:rsid w:val="00921752"/>
    <w:rsid w:val="009218EA"/>
    <w:rsid w:val="00921925"/>
    <w:rsid w:val="00921B0C"/>
    <w:rsid w:val="00921BB8"/>
    <w:rsid w:val="00921DF8"/>
    <w:rsid w:val="00921E6A"/>
    <w:rsid w:val="00921E81"/>
    <w:rsid w:val="00921F9B"/>
    <w:rsid w:val="00921FEB"/>
    <w:rsid w:val="009221B1"/>
    <w:rsid w:val="009221F3"/>
    <w:rsid w:val="00922248"/>
    <w:rsid w:val="009224BF"/>
    <w:rsid w:val="009226E0"/>
    <w:rsid w:val="00922733"/>
    <w:rsid w:val="0092273D"/>
    <w:rsid w:val="00922A82"/>
    <w:rsid w:val="00922B6A"/>
    <w:rsid w:val="00922CEC"/>
    <w:rsid w:val="00922CF5"/>
    <w:rsid w:val="00922DA1"/>
    <w:rsid w:val="00922E4A"/>
    <w:rsid w:val="00922F78"/>
    <w:rsid w:val="00923132"/>
    <w:rsid w:val="009232E5"/>
    <w:rsid w:val="00923557"/>
    <w:rsid w:val="00923AE0"/>
    <w:rsid w:val="00923BBF"/>
    <w:rsid w:val="00923C8C"/>
    <w:rsid w:val="00923CC5"/>
    <w:rsid w:val="00923D7D"/>
    <w:rsid w:val="00923DDF"/>
    <w:rsid w:val="00923F90"/>
    <w:rsid w:val="00923F98"/>
    <w:rsid w:val="00923FCF"/>
    <w:rsid w:val="009241FE"/>
    <w:rsid w:val="0092421D"/>
    <w:rsid w:val="00924375"/>
    <w:rsid w:val="00924389"/>
    <w:rsid w:val="00924618"/>
    <w:rsid w:val="00924772"/>
    <w:rsid w:val="0092488F"/>
    <w:rsid w:val="0092492C"/>
    <w:rsid w:val="00924A55"/>
    <w:rsid w:val="00924D3C"/>
    <w:rsid w:val="00924D47"/>
    <w:rsid w:val="00924D4A"/>
    <w:rsid w:val="00924D8C"/>
    <w:rsid w:val="00924E4B"/>
    <w:rsid w:val="00924FD2"/>
    <w:rsid w:val="00925186"/>
    <w:rsid w:val="0092543A"/>
    <w:rsid w:val="00925487"/>
    <w:rsid w:val="00925586"/>
    <w:rsid w:val="009255F8"/>
    <w:rsid w:val="009257E3"/>
    <w:rsid w:val="009259DA"/>
    <w:rsid w:val="00925BBE"/>
    <w:rsid w:val="00925C69"/>
    <w:rsid w:val="00925EE9"/>
    <w:rsid w:val="00925EEA"/>
    <w:rsid w:val="00925F34"/>
    <w:rsid w:val="00925F77"/>
    <w:rsid w:val="009261A9"/>
    <w:rsid w:val="0092621D"/>
    <w:rsid w:val="0092626C"/>
    <w:rsid w:val="009262E1"/>
    <w:rsid w:val="0092635E"/>
    <w:rsid w:val="0092637A"/>
    <w:rsid w:val="009263D9"/>
    <w:rsid w:val="0092641C"/>
    <w:rsid w:val="0092642E"/>
    <w:rsid w:val="00926645"/>
    <w:rsid w:val="00926693"/>
    <w:rsid w:val="009266FF"/>
    <w:rsid w:val="0092671B"/>
    <w:rsid w:val="00926BBE"/>
    <w:rsid w:val="00926D54"/>
    <w:rsid w:val="00926D83"/>
    <w:rsid w:val="00926E5B"/>
    <w:rsid w:val="00926F35"/>
    <w:rsid w:val="00926FC6"/>
    <w:rsid w:val="009271A1"/>
    <w:rsid w:val="009271C2"/>
    <w:rsid w:val="009272B2"/>
    <w:rsid w:val="00927438"/>
    <w:rsid w:val="00927521"/>
    <w:rsid w:val="00927596"/>
    <w:rsid w:val="009276B9"/>
    <w:rsid w:val="00927783"/>
    <w:rsid w:val="009277F0"/>
    <w:rsid w:val="0092799D"/>
    <w:rsid w:val="00927AC4"/>
    <w:rsid w:val="00927B98"/>
    <w:rsid w:val="00927BA6"/>
    <w:rsid w:val="00927C17"/>
    <w:rsid w:val="00927C84"/>
    <w:rsid w:val="00927D2E"/>
    <w:rsid w:val="00927D90"/>
    <w:rsid w:val="00927F26"/>
    <w:rsid w:val="00930024"/>
    <w:rsid w:val="00930098"/>
    <w:rsid w:val="009302DB"/>
    <w:rsid w:val="0093041A"/>
    <w:rsid w:val="0093068B"/>
    <w:rsid w:val="009308F8"/>
    <w:rsid w:val="0093096F"/>
    <w:rsid w:val="00930970"/>
    <w:rsid w:val="00930987"/>
    <w:rsid w:val="00930ACF"/>
    <w:rsid w:val="00930ADF"/>
    <w:rsid w:val="00930B08"/>
    <w:rsid w:val="00930C54"/>
    <w:rsid w:val="00930C6C"/>
    <w:rsid w:val="00930D1B"/>
    <w:rsid w:val="00931034"/>
    <w:rsid w:val="009311A4"/>
    <w:rsid w:val="009312F5"/>
    <w:rsid w:val="0093137C"/>
    <w:rsid w:val="009315BB"/>
    <w:rsid w:val="009315E4"/>
    <w:rsid w:val="0093163B"/>
    <w:rsid w:val="0093169F"/>
    <w:rsid w:val="00931918"/>
    <w:rsid w:val="00931962"/>
    <w:rsid w:val="0093196B"/>
    <w:rsid w:val="009319CA"/>
    <w:rsid w:val="00931ACC"/>
    <w:rsid w:val="00931BB6"/>
    <w:rsid w:val="00931BB8"/>
    <w:rsid w:val="00931BD5"/>
    <w:rsid w:val="00931DF6"/>
    <w:rsid w:val="00931E67"/>
    <w:rsid w:val="00931EF9"/>
    <w:rsid w:val="009321B1"/>
    <w:rsid w:val="00932227"/>
    <w:rsid w:val="00932298"/>
    <w:rsid w:val="009322F1"/>
    <w:rsid w:val="00932408"/>
    <w:rsid w:val="00932453"/>
    <w:rsid w:val="0093281E"/>
    <w:rsid w:val="0093295B"/>
    <w:rsid w:val="00932BF9"/>
    <w:rsid w:val="00932C83"/>
    <w:rsid w:val="00932CAC"/>
    <w:rsid w:val="00932E8F"/>
    <w:rsid w:val="00932FB2"/>
    <w:rsid w:val="00933027"/>
    <w:rsid w:val="009330DE"/>
    <w:rsid w:val="009333DA"/>
    <w:rsid w:val="00933501"/>
    <w:rsid w:val="00933671"/>
    <w:rsid w:val="00933726"/>
    <w:rsid w:val="00933777"/>
    <w:rsid w:val="009337D4"/>
    <w:rsid w:val="00933BAB"/>
    <w:rsid w:val="00933CE9"/>
    <w:rsid w:val="00933D3F"/>
    <w:rsid w:val="00933D5A"/>
    <w:rsid w:val="00933D93"/>
    <w:rsid w:val="00933EDC"/>
    <w:rsid w:val="0093401A"/>
    <w:rsid w:val="00934076"/>
    <w:rsid w:val="009341ED"/>
    <w:rsid w:val="0093434E"/>
    <w:rsid w:val="0093466D"/>
    <w:rsid w:val="0093477B"/>
    <w:rsid w:val="00934995"/>
    <w:rsid w:val="00934BCE"/>
    <w:rsid w:val="00934CE9"/>
    <w:rsid w:val="00934F1C"/>
    <w:rsid w:val="009350A2"/>
    <w:rsid w:val="009351A6"/>
    <w:rsid w:val="009353CC"/>
    <w:rsid w:val="00935A47"/>
    <w:rsid w:val="00935C94"/>
    <w:rsid w:val="00935D8E"/>
    <w:rsid w:val="00935DDE"/>
    <w:rsid w:val="00935E3E"/>
    <w:rsid w:val="009361AA"/>
    <w:rsid w:val="009362AE"/>
    <w:rsid w:val="00936375"/>
    <w:rsid w:val="009363CF"/>
    <w:rsid w:val="00936439"/>
    <w:rsid w:val="00936536"/>
    <w:rsid w:val="00936562"/>
    <w:rsid w:val="009365D3"/>
    <w:rsid w:val="00936793"/>
    <w:rsid w:val="00936C38"/>
    <w:rsid w:val="00936C66"/>
    <w:rsid w:val="00936CCB"/>
    <w:rsid w:val="00936D92"/>
    <w:rsid w:val="00936FAA"/>
    <w:rsid w:val="009371A3"/>
    <w:rsid w:val="0093725E"/>
    <w:rsid w:val="0093735A"/>
    <w:rsid w:val="009373C2"/>
    <w:rsid w:val="00937424"/>
    <w:rsid w:val="00937477"/>
    <w:rsid w:val="009375F3"/>
    <w:rsid w:val="00937747"/>
    <w:rsid w:val="009377C5"/>
    <w:rsid w:val="009377C9"/>
    <w:rsid w:val="009377E3"/>
    <w:rsid w:val="009378A1"/>
    <w:rsid w:val="00937907"/>
    <w:rsid w:val="00937ABD"/>
    <w:rsid w:val="00937B35"/>
    <w:rsid w:val="00937BDE"/>
    <w:rsid w:val="00937CF1"/>
    <w:rsid w:val="00937D5E"/>
    <w:rsid w:val="00940346"/>
    <w:rsid w:val="0094039F"/>
    <w:rsid w:val="009403AE"/>
    <w:rsid w:val="00940712"/>
    <w:rsid w:val="0094076C"/>
    <w:rsid w:val="00940891"/>
    <w:rsid w:val="0094095D"/>
    <w:rsid w:val="009409B0"/>
    <w:rsid w:val="00940B21"/>
    <w:rsid w:val="00940C59"/>
    <w:rsid w:val="00940D8A"/>
    <w:rsid w:val="00940DB7"/>
    <w:rsid w:val="00940EEB"/>
    <w:rsid w:val="00940F07"/>
    <w:rsid w:val="00940F1A"/>
    <w:rsid w:val="00940FA8"/>
    <w:rsid w:val="0094101F"/>
    <w:rsid w:val="009410AE"/>
    <w:rsid w:val="009411C2"/>
    <w:rsid w:val="0094144A"/>
    <w:rsid w:val="009414F0"/>
    <w:rsid w:val="00941715"/>
    <w:rsid w:val="00941838"/>
    <w:rsid w:val="00941945"/>
    <w:rsid w:val="009419C4"/>
    <w:rsid w:val="009419DE"/>
    <w:rsid w:val="00941B16"/>
    <w:rsid w:val="00941B31"/>
    <w:rsid w:val="00941C33"/>
    <w:rsid w:val="00941CED"/>
    <w:rsid w:val="00941D88"/>
    <w:rsid w:val="00941E92"/>
    <w:rsid w:val="00941EB8"/>
    <w:rsid w:val="00941F3D"/>
    <w:rsid w:val="00941F7E"/>
    <w:rsid w:val="00942010"/>
    <w:rsid w:val="00942022"/>
    <w:rsid w:val="009420A9"/>
    <w:rsid w:val="0094229E"/>
    <w:rsid w:val="00942640"/>
    <w:rsid w:val="009426D5"/>
    <w:rsid w:val="009426E5"/>
    <w:rsid w:val="00942795"/>
    <w:rsid w:val="009427C5"/>
    <w:rsid w:val="00942A49"/>
    <w:rsid w:val="00942C99"/>
    <w:rsid w:val="00942D39"/>
    <w:rsid w:val="00942D5D"/>
    <w:rsid w:val="00942D67"/>
    <w:rsid w:val="00942F8F"/>
    <w:rsid w:val="0094312C"/>
    <w:rsid w:val="0094322C"/>
    <w:rsid w:val="00943404"/>
    <w:rsid w:val="009434B1"/>
    <w:rsid w:val="00943535"/>
    <w:rsid w:val="0094359E"/>
    <w:rsid w:val="009435C1"/>
    <w:rsid w:val="0094380F"/>
    <w:rsid w:val="00943B47"/>
    <w:rsid w:val="00943C0F"/>
    <w:rsid w:val="00943CA1"/>
    <w:rsid w:val="00943CC2"/>
    <w:rsid w:val="009440A4"/>
    <w:rsid w:val="00944133"/>
    <w:rsid w:val="00944455"/>
    <w:rsid w:val="00944630"/>
    <w:rsid w:val="00944642"/>
    <w:rsid w:val="00944686"/>
    <w:rsid w:val="009448A6"/>
    <w:rsid w:val="009448FD"/>
    <w:rsid w:val="00944DE7"/>
    <w:rsid w:val="00944FB1"/>
    <w:rsid w:val="00945080"/>
    <w:rsid w:val="009450E6"/>
    <w:rsid w:val="00945160"/>
    <w:rsid w:val="009452A2"/>
    <w:rsid w:val="0094541D"/>
    <w:rsid w:val="00945492"/>
    <w:rsid w:val="0094558F"/>
    <w:rsid w:val="009455D0"/>
    <w:rsid w:val="009456DF"/>
    <w:rsid w:val="009456F7"/>
    <w:rsid w:val="00945705"/>
    <w:rsid w:val="00945896"/>
    <w:rsid w:val="00945A60"/>
    <w:rsid w:val="00945AFE"/>
    <w:rsid w:val="00945B69"/>
    <w:rsid w:val="00945D51"/>
    <w:rsid w:val="00945DB0"/>
    <w:rsid w:val="00945E4A"/>
    <w:rsid w:val="00945F22"/>
    <w:rsid w:val="00945F27"/>
    <w:rsid w:val="00945FA0"/>
    <w:rsid w:val="00945FCE"/>
    <w:rsid w:val="00946040"/>
    <w:rsid w:val="0094604E"/>
    <w:rsid w:val="009460D7"/>
    <w:rsid w:val="009460E7"/>
    <w:rsid w:val="00946107"/>
    <w:rsid w:val="00946161"/>
    <w:rsid w:val="00946266"/>
    <w:rsid w:val="00946310"/>
    <w:rsid w:val="0094633E"/>
    <w:rsid w:val="009463A4"/>
    <w:rsid w:val="009463B0"/>
    <w:rsid w:val="009463F4"/>
    <w:rsid w:val="0094654B"/>
    <w:rsid w:val="00946591"/>
    <w:rsid w:val="00946671"/>
    <w:rsid w:val="0094672D"/>
    <w:rsid w:val="00946788"/>
    <w:rsid w:val="00946820"/>
    <w:rsid w:val="0094698E"/>
    <w:rsid w:val="0094699D"/>
    <w:rsid w:val="00946A85"/>
    <w:rsid w:val="00946CAB"/>
    <w:rsid w:val="00946FA5"/>
    <w:rsid w:val="00947024"/>
    <w:rsid w:val="0094709D"/>
    <w:rsid w:val="00947205"/>
    <w:rsid w:val="009473EA"/>
    <w:rsid w:val="00947475"/>
    <w:rsid w:val="00947545"/>
    <w:rsid w:val="00947546"/>
    <w:rsid w:val="009475C9"/>
    <w:rsid w:val="00947603"/>
    <w:rsid w:val="0094768D"/>
    <w:rsid w:val="00947694"/>
    <w:rsid w:val="009476C5"/>
    <w:rsid w:val="0094771C"/>
    <w:rsid w:val="00947796"/>
    <w:rsid w:val="0094791B"/>
    <w:rsid w:val="00947A5C"/>
    <w:rsid w:val="00947BDE"/>
    <w:rsid w:val="00947C75"/>
    <w:rsid w:val="00947C77"/>
    <w:rsid w:val="00947CD1"/>
    <w:rsid w:val="00947DC8"/>
    <w:rsid w:val="00947F04"/>
    <w:rsid w:val="00947FA0"/>
    <w:rsid w:val="00950007"/>
    <w:rsid w:val="00950366"/>
    <w:rsid w:val="009503C2"/>
    <w:rsid w:val="00950401"/>
    <w:rsid w:val="00950464"/>
    <w:rsid w:val="009505C6"/>
    <w:rsid w:val="00950652"/>
    <w:rsid w:val="009506EA"/>
    <w:rsid w:val="009507E8"/>
    <w:rsid w:val="00950834"/>
    <w:rsid w:val="00950990"/>
    <w:rsid w:val="009509CE"/>
    <w:rsid w:val="009509F3"/>
    <w:rsid w:val="00950A00"/>
    <w:rsid w:val="00950B5E"/>
    <w:rsid w:val="00950B6C"/>
    <w:rsid w:val="00950C2C"/>
    <w:rsid w:val="00950CD4"/>
    <w:rsid w:val="00950EB0"/>
    <w:rsid w:val="00950EDA"/>
    <w:rsid w:val="009510AE"/>
    <w:rsid w:val="0095120D"/>
    <w:rsid w:val="00951434"/>
    <w:rsid w:val="0095147E"/>
    <w:rsid w:val="00951507"/>
    <w:rsid w:val="00951599"/>
    <w:rsid w:val="009516C7"/>
    <w:rsid w:val="009519E6"/>
    <w:rsid w:val="00951C9A"/>
    <w:rsid w:val="00951D6B"/>
    <w:rsid w:val="00951EA5"/>
    <w:rsid w:val="00951F82"/>
    <w:rsid w:val="00952293"/>
    <w:rsid w:val="00952353"/>
    <w:rsid w:val="009523B3"/>
    <w:rsid w:val="009525A6"/>
    <w:rsid w:val="009525C2"/>
    <w:rsid w:val="009525F7"/>
    <w:rsid w:val="00952620"/>
    <w:rsid w:val="00952642"/>
    <w:rsid w:val="00952676"/>
    <w:rsid w:val="0095275C"/>
    <w:rsid w:val="009529C3"/>
    <w:rsid w:val="00952A64"/>
    <w:rsid w:val="00952BF3"/>
    <w:rsid w:val="00952C90"/>
    <w:rsid w:val="00952CEE"/>
    <w:rsid w:val="00952E82"/>
    <w:rsid w:val="00952EAD"/>
    <w:rsid w:val="00952EE0"/>
    <w:rsid w:val="00952F55"/>
    <w:rsid w:val="0095317A"/>
    <w:rsid w:val="0095321D"/>
    <w:rsid w:val="009532EF"/>
    <w:rsid w:val="0095334D"/>
    <w:rsid w:val="009535EC"/>
    <w:rsid w:val="0095364D"/>
    <w:rsid w:val="00953800"/>
    <w:rsid w:val="00953A5E"/>
    <w:rsid w:val="00953B0A"/>
    <w:rsid w:val="00953C07"/>
    <w:rsid w:val="00953CEA"/>
    <w:rsid w:val="00953E09"/>
    <w:rsid w:val="00953F3F"/>
    <w:rsid w:val="009540A4"/>
    <w:rsid w:val="009540B5"/>
    <w:rsid w:val="0095411C"/>
    <w:rsid w:val="009544C0"/>
    <w:rsid w:val="009545CF"/>
    <w:rsid w:val="00954661"/>
    <w:rsid w:val="009546FF"/>
    <w:rsid w:val="00954A28"/>
    <w:rsid w:val="00954E15"/>
    <w:rsid w:val="00954E74"/>
    <w:rsid w:val="00954E80"/>
    <w:rsid w:val="00954FC4"/>
    <w:rsid w:val="00955069"/>
    <w:rsid w:val="00955484"/>
    <w:rsid w:val="00955571"/>
    <w:rsid w:val="009555C7"/>
    <w:rsid w:val="00955687"/>
    <w:rsid w:val="0095568B"/>
    <w:rsid w:val="009557A4"/>
    <w:rsid w:val="009557FC"/>
    <w:rsid w:val="009558CD"/>
    <w:rsid w:val="009558E8"/>
    <w:rsid w:val="009559C5"/>
    <w:rsid w:val="00955C32"/>
    <w:rsid w:val="00955E52"/>
    <w:rsid w:val="00955EFE"/>
    <w:rsid w:val="00955F03"/>
    <w:rsid w:val="0095606D"/>
    <w:rsid w:val="0095622B"/>
    <w:rsid w:val="009563D3"/>
    <w:rsid w:val="00956430"/>
    <w:rsid w:val="00956615"/>
    <w:rsid w:val="00956656"/>
    <w:rsid w:val="00956726"/>
    <w:rsid w:val="0095676B"/>
    <w:rsid w:val="009567CD"/>
    <w:rsid w:val="009567F0"/>
    <w:rsid w:val="0095689C"/>
    <w:rsid w:val="009568E5"/>
    <w:rsid w:val="00956935"/>
    <w:rsid w:val="00956A8A"/>
    <w:rsid w:val="00956B47"/>
    <w:rsid w:val="00956BA2"/>
    <w:rsid w:val="00956C20"/>
    <w:rsid w:val="00956D30"/>
    <w:rsid w:val="00956E18"/>
    <w:rsid w:val="00956F6F"/>
    <w:rsid w:val="00957099"/>
    <w:rsid w:val="009570F9"/>
    <w:rsid w:val="00957267"/>
    <w:rsid w:val="0095729C"/>
    <w:rsid w:val="0095743F"/>
    <w:rsid w:val="00957442"/>
    <w:rsid w:val="009574C6"/>
    <w:rsid w:val="009574D8"/>
    <w:rsid w:val="00957585"/>
    <w:rsid w:val="0095758B"/>
    <w:rsid w:val="00957645"/>
    <w:rsid w:val="00957927"/>
    <w:rsid w:val="00957A4A"/>
    <w:rsid w:val="00957A89"/>
    <w:rsid w:val="00957BEF"/>
    <w:rsid w:val="00957C3B"/>
    <w:rsid w:val="00957DBE"/>
    <w:rsid w:val="00957DD9"/>
    <w:rsid w:val="00957E41"/>
    <w:rsid w:val="00960102"/>
    <w:rsid w:val="00960185"/>
    <w:rsid w:val="0096028A"/>
    <w:rsid w:val="009604E8"/>
    <w:rsid w:val="00960540"/>
    <w:rsid w:val="00960785"/>
    <w:rsid w:val="009607A9"/>
    <w:rsid w:val="009607ED"/>
    <w:rsid w:val="009607FE"/>
    <w:rsid w:val="009608B7"/>
    <w:rsid w:val="0096090A"/>
    <w:rsid w:val="00960937"/>
    <w:rsid w:val="0096099D"/>
    <w:rsid w:val="00960A91"/>
    <w:rsid w:val="00960B1E"/>
    <w:rsid w:val="00960BC5"/>
    <w:rsid w:val="00960BC6"/>
    <w:rsid w:val="00960D35"/>
    <w:rsid w:val="00960D70"/>
    <w:rsid w:val="00960FB5"/>
    <w:rsid w:val="00960FC3"/>
    <w:rsid w:val="00960FE2"/>
    <w:rsid w:val="00961010"/>
    <w:rsid w:val="0096108C"/>
    <w:rsid w:val="00961315"/>
    <w:rsid w:val="009613D0"/>
    <w:rsid w:val="0096144A"/>
    <w:rsid w:val="00961463"/>
    <w:rsid w:val="00961670"/>
    <w:rsid w:val="00961693"/>
    <w:rsid w:val="0096173D"/>
    <w:rsid w:val="0096179F"/>
    <w:rsid w:val="009617BC"/>
    <w:rsid w:val="00961842"/>
    <w:rsid w:val="00961A75"/>
    <w:rsid w:val="00961AD2"/>
    <w:rsid w:val="00961AEA"/>
    <w:rsid w:val="00961B19"/>
    <w:rsid w:val="00961C7A"/>
    <w:rsid w:val="009620E0"/>
    <w:rsid w:val="00962227"/>
    <w:rsid w:val="0096228E"/>
    <w:rsid w:val="00962461"/>
    <w:rsid w:val="0096246C"/>
    <w:rsid w:val="00962486"/>
    <w:rsid w:val="009624A7"/>
    <w:rsid w:val="009624D6"/>
    <w:rsid w:val="009626C1"/>
    <w:rsid w:val="0096275F"/>
    <w:rsid w:val="00962A0F"/>
    <w:rsid w:val="00962E22"/>
    <w:rsid w:val="00962EEA"/>
    <w:rsid w:val="00962FCA"/>
    <w:rsid w:val="009631CC"/>
    <w:rsid w:val="0096329C"/>
    <w:rsid w:val="009632D7"/>
    <w:rsid w:val="00963358"/>
    <w:rsid w:val="0096345D"/>
    <w:rsid w:val="00963552"/>
    <w:rsid w:val="009637EB"/>
    <w:rsid w:val="00963866"/>
    <w:rsid w:val="00963A5D"/>
    <w:rsid w:val="00963B66"/>
    <w:rsid w:val="00963BB9"/>
    <w:rsid w:val="00963C08"/>
    <w:rsid w:val="00963C2D"/>
    <w:rsid w:val="00963C7B"/>
    <w:rsid w:val="00963D5F"/>
    <w:rsid w:val="00963E99"/>
    <w:rsid w:val="00963F17"/>
    <w:rsid w:val="00963F4F"/>
    <w:rsid w:val="00964034"/>
    <w:rsid w:val="009640C0"/>
    <w:rsid w:val="009640EB"/>
    <w:rsid w:val="009641F8"/>
    <w:rsid w:val="009642BD"/>
    <w:rsid w:val="009642CF"/>
    <w:rsid w:val="0096430E"/>
    <w:rsid w:val="00964359"/>
    <w:rsid w:val="0096467E"/>
    <w:rsid w:val="009648CE"/>
    <w:rsid w:val="00964972"/>
    <w:rsid w:val="009649FC"/>
    <w:rsid w:val="00964AA6"/>
    <w:rsid w:val="00964C64"/>
    <w:rsid w:val="00964CAA"/>
    <w:rsid w:val="00965013"/>
    <w:rsid w:val="00965120"/>
    <w:rsid w:val="00965173"/>
    <w:rsid w:val="009653E6"/>
    <w:rsid w:val="00965AC5"/>
    <w:rsid w:val="00965C2E"/>
    <w:rsid w:val="00965C9A"/>
    <w:rsid w:val="00965D38"/>
    <w:rsid w:val="00965DA9"/>
    <w:rsid w:val="00965DBE"/>
    <w:rsid w:val="00965E62"/>
    <w:rsid w:val="00965E77"/>
    <w:rsid w:val="00965FD4"/>
    <w:rsid w:val="0096602F"/>
    <w:rsid w:val="00966051"/>
    <w:rsid w:val="009660DE"/>
    <w:rsid w:val="00966214"/>
    <w:rsid w:val="00966458"/>
    <w:rsid w:val="009664BC"/>
    <w:rsid w:val="009666B7"/>
    <w:rsid w:val="009666D9"/>
    <w:rsid w:val="009668CC"/>
    <w:rsid w:val="00966BF1"/>
    <w:rsid w:val="00966CD9"/>
    <w:rsid w:val="00966D5C"/>
    <w:rsid w:val="00966DA5"/>
    <w:rsid w:val="00966E0C"/>
    <w:rsid w:val="00966E57"/>
    <w:rsid w:val="00966E84"/>
    <w:rsid w:val="0096705D"/>
    <w:rsid w:val="009671ED"/>
    <w:rsid w:val="00967345"/>
    <w:rsid w:val="00967505"/>
    <w:rsid w:val="00967548"/>
    <w:rsid w:val="00967560"/>
    <w:rsid w:val="0096786A"/>
    <w:rsid w:val="0096786B"/>
    <w:rsid w:val="00967A53"/>
    <w:rsid w:val="00967A79"/>
    <w:rsid w:val="00967CB2"/>
    <w:rsid w:val="00967CCC"/>
    <w:rsid w:val="00967F22"/>
    <w:rsid w:val="009703BD"/>
    <w:rsid w:val="00970477"/>
    <w:rsid w:val="0097052F"/>
    <w:rsid w:val="00970544"/>
    <w:rsid w:val="00970617"/>
    <w:rsid w:val="00970685"/>
    <w:rsid w:val="00970696"/>
    <w:rsid w:val="009706D7"/>
    <w:rsid w:val="009708F3"/>
    <w:rsid w:val="00970976"/>
    <w:rsid w:val="00970DA1"/>
    <w:rsid w:val="00970F58"/>
    <w:rsid w:val="0097100F"/>
    <w:rsid w:val="00971101"/>
    <w:rsid w:val="009711C7"/>
    <w:rsid w:val="009711D3"/>
    <w:rsid w:val="0097138F"/>
    <w:rsid w:val="00971400"/>
    <w:rsid w:val="009714E8"/>
    <w:rsid w:val="0097188D"/>
    <w:rsid w:val="00971E27"/>
    <w:rsid w:val="00971E8E"/>
    <w:rsid w:val="00971EA2"/>
    <w:rsid w:val="009720C0"/>
    <w:rsid w:val="009721D8"/>
    <w:rsid w:val="0097221B"/>
    <w:rsid w:val="00972221"/>
    <w:rsid w:val="0097222B"/>
    <w:rsid w:val="0097237B"/>
    <w:rsid w:val="0097240C"/>
    <w:rsid w:val="0097241E"/>
    <w:rsid w:val="009725D2"/>
    <w:rsid w:val="00972784"/>
    <w:rsid w:val="009729A7"/>
    <w:rsid w:val="00972A78"/>
    <w:rsid w:val="00972A7F"/>
    <w:rsid w:val="00972AAA"/>
    <w:rsid w:val="00972E70"/>
    <w:rsid w:val="009730D1"/>
    <w:rsid w:val="0097318F"/>
    <w:rsid w:val="009731A4"/>
    <w:rsid w:val="00973287"/>
    <w:rsid w:val="009732C8"/>
    <w:rsid w:val="0097346E"/>
    <w:rsid w:val="0097347A"/>
    <w:rsid w:val="0097348E"/>
    <w:rsid w:val="00973514"/>
    <w:rsid w:val="0097352F"/>
    <w:rsid w:val="0097358A"/>
    <w:rsid w:val="00973817"/>
    <w:rsid w:val="009738F4"/>
    <w:rsid w:val="00973938"/>
    <w:rsid w:val="009739F2"/>
    <w:rsid w:val="00973A87"/>
    <w:rsid w:val="00973C14"/>
    <w:rsid w:val="009740F4"/>
    <w:rsid w:val="00974204"/>
    <w:rsid w:val="00974246"/>
    <w:rsid w:val="009744B7"/>
    <w:rsid w:val="009744DB"/>
    <w:rsid w:val="00974571"/>
    <w:rsid w:val="00974585"/>
    <w:rsid w:val="00974678"/>
    <w:rsid w:val="009748BA"/>
    <w:rsid w:val="00974A7B"/>
    <w:rsid w:val="00974B6F"/>
    <w:rsid w:val="00974C13"/>
    <w:rsid w:val="00974D13"/>
    <w:rsid w:val="00974D1C"/>
    <w:rsid w:val="00974D40"/>
    <w:rsid w:val="0097505A"/>
    <w:rsid w:val="009751D5"/>
    <w:rsid w:val="0097530E"/>
    <w:rsid w:val="0097531D"/>
    <w:rsid w:val="00975322"/>
    <w:rsid w:val="009753EB"/>
    <w:rsid w:val="00975480"/>
    <w:rsid w:val="0097563C"/>
    <w:rsid w:val="0097571D"/>
    <w:rsid w:val="009757C6"/>
    <w:rsid w:val="00975B06"/>
    <w:rsid w:val="00975B93"/>
    <w:rsid w:val="00975D28"/>
    <w:rsid w:val="00976131"/>
    <w:rsid w:val="009761D3"/>
    <w:rsid w:val="00976334"/>
    <w:rsid w:val="00976414"/>
    <w:rsid w:val="009768F7"/>
    <w:rsid w:val="00976C27"/>
    <w:rsid w:val="00976E44"/>
    <w:rsid w:val="00977034"/>
    <w:rsid w:val="00977078"/>
    <w:rsid w:val="00977094"/>
    <w:rsid w:val="009770C5"/>
    <w:rsid w:val="00977190"/>
    <w:rsid w:val="009772F4"/>
    <w:rsid w:val="0097747A"/>
    <w:rsid w:val="009776F3"/>
    <w:rsid w:val="00977739"/>
    <w:rsid w:val="0097773E"/>
    <w:rsid w:val="0097792F"/>
    <w:rsid w:val="0097793A"/>
    <w:rsid w:val="0097796A"/>
    <w:rsid w:val="009779D3"/>
    <w:rsid w:val="00977AA9"/>
    <w:rsid w:val="00977AAA"/>
    <w:rsid w:val="00977CDD"/>
    <w:rsid w:val="00977CE9"/>
    <w:rsid w:val="00977D1E"/>
    <w:rsid w:val="00977D84"/>
    <w:rsid w:val="00977ECA"/>
    <w:rsid w:val="009800A1"/>
    <w:rsid w:val="009802E7"/>
    <w:rsid w:val="0098039D"/>
    <w:rsid w:val="009803BA"/>
    <w:rsid w:val="00980A8A"/>
    <w:rsid w:val="00980A94"/>
    <w:rsid w:val="00980B03"/>
    <w:rsid w:val="00980B7E"/>
    <w:rsid w:val="00980BA7"/>
    <w:rsid w:val="00980E0D"/>
    <w:rsid w:val="00981083"/>
    <w:rsid w:val="00981241"/>
    <w:rsid w:val="00981277"/>
    <w:rsid w:val="009812E5"/>
    <w:rsid w:val="00981345"/>
    <w:rsid w:val="009813AF"/>
    <w:rsid w:val="009813B5"/>
    <w:rsid w:val="009813D4"/>
    <w:rsid w:val="00981848"/>
    <w:rsid w:val="00981947"/>
    <w:rsid w:val="00981AB5"/>
    <w:rsid w:val="00981D08"/>
    <w:rsid w:val="00981D36"/>
    <w:rsid w:val="00981E74"/>
    <w:rsid w:val="00982233"/>
    <w:rsid w:val="00982260"/>
    <w:rsid w:val="00982424"/>
    <w:rsid w:val="00982476"/>
    <w:rsid w:val="0098257D"/>
    <w:rsid w:val="009827DA"/>
    <w:rsid w:val="00982B0C"/>
    <w:rsid w:val="00982C30"/>
    <w:rsid w:val="00982C65"/>
    <w:rsid w:val="00982FAD"/>
    <w:rsid w:val="009830A9"/>
    <w:rsid w:val="009832BB"/>
    <w:rsid w:val="009832F3"/>
    <w:rsid w:val="00983331"/>
    <w:rsid w:val="00983354"/>
    <w:rsid w:val="009833D5"/>
    <w:rsid w:val="009833FD"/>
    <w:rsid w:val="00983406"/>
    <w:rsid w:val="00983556"/>
    <w:rsid w:val="009835BA"/>
    <w:rsid w:val="00983699"/>
    <w:rsid w:val="009836DA"/>
    <w:rsid w:val="0098372E"/>
    <w:rsid w:val="00983831"/>
    <w:rsid w:val="00983869"/>
    <w:rsid w:val="00983903"/>
    <w:rsid w:val="00983A53"/>
    <w:rsid w:val="00983AB3"/>
    <w:rsid w:val="00983CF8"/>
    <w:rsid w:val="00983D61"/>
    <w:rsid w:val="00983E1A"/>
    <w:rsid w:val="009840FF"/>
    <w:rsid w:val="00984157"/>
    <w:rsid w:val="009841BA"/>
    <w:rsid w:val="009842B3"/>
    <w:rsid w:val="00984390"/>
    <w:rsid w:val="00984537"/>
    <w:rsid w:val="0098466E"/>
    <w:rsid w:val="0098472A"/>
    <w:rsid w:val="00984795"/>
    <w:rsid w:val="009847AF"/>
    <w:rsid w:val="00984803"/>
    <w:rsid w:val="00984829"/>
    <w:rsid w:val="00984A26"/>
    <w:rsid w:val="00984B76"/>
    <w:rsid w:val="00984C82"/>
    <w:rsid w:val="00984CD2"/>
    <w:rsid w:val="00984DB8"/>
    <w:rsid w:val="00984EDC"/>
    <w:rsid w:val="00984F6F"/>
    <w:rsid w:val="00984F83"/>
    <w:rsid w:val="00985183"/>
    <w:rsid w:val="009853BB"/>
    <w:rsid w:val="009854A0"/>
    <w:rsid w:val="009854EC"/>
    <w:rsid w:val="009854F1"/>
    <w:rsid w:val="009857FB"/>
    <w:rsid w:val="0098583B"/>
    <w:rsid w:val="00985A9B"/>
    <w:rsid w:val="00985B51"/>
    <w:rsid w:val="00985C3E"/>
    <w:rsid w:val="00985C40"/>
    <w:rsid w:val="00985CB7"/>
    <w:rsid w:val="00985CF3"/>
    <w:rsid w:val="00985DA0"/>
    <w:rsid w:val="00985E0F"/>
    <w:rsid w:val="00986150"/>
    <w:rsid w:val="00986258"/>
    <w:rsid w:val="0098629F"/>
    <w:rsid w:val="009862D5"/>
    <w:rsid w:val="009864F0"/>
    <w:rsid w:val="00986514"/>
    <w:rsid w:val="00986571"/>
    <w:rsid w:val="009865ED"/>
    <w:rsid w:val="0098666D"/>
    <w:rsid w:val="009868D7"/>
    <w:rsid w:val="00986A04"/>
    <w:rsid w:val="00986C2C"/>
    <w:rsid w:val="00986C4C"/>
    <w:rsid w:val="00986D31"/>
    <w:rsid w:val="00986FF8"/>
    <w:rsid w:val="00987057"/>
    <w:rsid w:val="00987125"/>
    <w:rsid w:val="009871D4"/>
    <w:rsid w:val="009872BA"/>
    <w:rsid w:val="00987316"/>
    <w:rsid w:val="0098736D"/>
    <w:rsid w:val="009873CF"/>
    <w:rsid w:val="009873F8"/>
    <w:rsid w:val="00987591"/>
    <w:rsid w:val="00987618"/>
    <w:rsid w:val="0098783D"/>
    <w:rsid w:val="00987881"/>
    <w:rsid w:val="00987944"/>
    <w:rsid w:val="00987989"/>
    <w:rsid w:val="009879B2"/>
    <w:rsid w:val="00987A4D"/>
    <w:rsid w:val="00987C1C"/>
    <w:rsid w:val="00987C78"/>
    <w:rsid w:val="00987C8C"/>
    <w:rsid w:val="00987D83"/>
    <w:rsid w:val="00987D92"/>
    <w:rsid w:val="00987DCA"/>
    <w:rsid w:val="00987EA0"/>
    <w:rsid w:val="009902BB"/>
    <w:rsid w:val="009904FD"/>
    <w:rsid w:val="00990541"/>
    <w:rsid w:val="009905B7"/>
    <w:rsid w:val="00990721"/>
    <w:rsid w:val="00990864"/>
    <w:rsid w:val="0099090F"/>
    <w:rsid w:val="00990941"/>
    <w:rsid w:val="00990C5F"/>
    <w:rsid w:val="00990C83"/>
    <w:rsid w:val="00990D90"/>
    <w:rsid w:val="00990E37"/>
    <w:rsid w:val="00990EA4"/>
    <w:rsid w:val="00990EB5"/>
    <w:rsid w:val="00990F2D"/>
    <w:rsid w:val="00990F5F"/>
    <w:rsid w:val="00990FD7"/>
    <w:rsid w:val="0099103F"/>
    <w:rsid w:val="00991233"/>
    <w:rsid w:val="00991262"/>
    <w:rsid w:val="009912AF"/>
    <w:rsid w:val="00991501"/>
    <w:rsid w:val="00991915"/>
    <w:rsid w:val="00991B0E"/>
    <w:rsid w:val="00991BCC"/>
    <w:rsid w:val="00991BE6"/>
    <w:rsid w:val="00991CB3"/>
    <w:rsid w:val="00992077"/>
    <w:rsid w:val="0099212D"/>
    <w:rsid w:val="009922A0"/>
    <w:rsid w:val="009922B3"/>
    <w:rsid w:val="009922B5"/>
    <w:rsid w:val="00992369"/>
    <w:rsid w:val="00992372"/>
    <w:rsid w:val="00992468"/>
    <w:rsid w:val="00992473"/>
    <w:rsid w:val="009927AF"/>
    <w:rsid w:val="009927B9"/>
    <w:rsid w:val="00992835"/>
    <w:rsid w:val="00992A56"/>
    <w:rsid w:val="00992B2A"/>
    <w:rsid w:val="00992CA7"/>
    <w:rsid w:val="00992D4C"/>
    <w:rsid w:val="00992DAE"/>
    <w:rsid w:val="00992EEB"/>
    <w:rsid w:val="00993196"/>
    <w:rsid w:val="009931BC"/>
    <w:rsid w:val="009932E3"/>
    <w:rsid w:val="0099331F"/>
    <w:rsid w:val="00993529"/>
    <w:rsid w:val="00993635"/>
    <w:rsid w:val="009936D6"/>
    <w:rsid w:val="009938FA"/>
    <w:rsid w:val="009939B8"/>
    <w:rsid w:val="009939E1"/>
    <w:rsid w:val="00993CA5"/>
    <w:rsid w:val="0099405C"/>
    <w:rsid w:val="0099406B"/>
    <w:rsid w:val="009940DD"/>
    <w:rsid w:val="009942CB"/>
    <w:rsid w:val="00994303"/>
    <w:rsid w:val="00994545"/>
    <w:rsid w:val="009945EC"/>
    <w:rsid w:val="0099476D"/>
    <w:rsid w:val="0099489B"/>
    <w:rsid w:val="009948CC"/>
    <w:rsid w:val="0099493F"/>
    <w:rsid w:val="0099496F"/>
    <w:rsid w:val="00994B2A"/>
    <w:rsid w:val="00994C80"/>
    <w:rsid w:val="00994FE0"/>
    <w:rsid w:val="00995082"/>
    <w:rsid w:val="00995135"/>
    <w:rsid w:val="009951A0"/>
    <w:rsid w:val="009951F3"/>
    <w:rsid w:val="00995379"/>
    <w:rsid w:val="00995426"/>
    <w:rsid w:val="00995450"/>
    <w:rsid w:val="00995633"/>
    <w:rsid w:val="0099571C"/>
    <w:rsid w:val="00995797"/>
    <w:rsid w:val="009959C4"/>
    <w:rsid w:val="00995A7B"/>
    <w:rsid w:val="00995B0F"/>
    <w:rsid w:val="00995CEF"/>
    <w:rsid w:val="00995CF7"/>
    <w:rsid w:val="00995E88"/>
    <w:rsid w:val="00995F3F"/>
    <w:rsid w:val="00995F91"/>
    <w:rsid w:val="00996032"/>
    <w:rsid w:val="009960D0"/>
    <w:rsid w:val="0099627B"/>
    <w:rsid w:val="009962DA"/>
    <w:rsid w:val="009965FA"/>
    <w:rsid w:val="00996636"/>
    <w:rsid w:val="00996696"/>
    <w:rsid w:val="00996790"/>
    <w:rsid w:val="009969B2"/>
    <w:rsid w:val="009969C3"/>
    <w:rsid w:val="00996ADA"/>
    <w:rsid w:val="00996BD3"/>
    <w:rsid w:val="00996BE1"/>
    <w:rsid w:val="00996BE4"/>
    <w:rsid w:val="00996DD4"/>
    <w:rsid w:val="00996E56"/>
    <w:rsid w:val="00996E93"/>
    <w:rsid w:val="0099709A"/>
    <w:rsid w:val="0099714C"/>
    <w:rsid w:val="00997169"/>
    <w:rsid w:val="009973D9"/>
    <w:rsid w:val="00997456"/>
    <w:rsid w:val="0099762A"/>
    <w:rsid w:val="009976B6"/>
    <w:rsid w:val="009976C2"/>
    <w:rsid w:val="0099773F"/>
    <w:rsid w:val="00997773"/>
    <w:rsid w:val="009977BA"/>
    <w:rsid w:val="0099788E"/>
    <w:rsid w:val="00997939"/>
    <w:rsid w:val="00997AE5"/>
    <w:rsid w:val="00997B97"/>
    <w:rsid w:val="00997C0F"/>
    <w:rsid w:val="00997C84"/>
    <w:rsid w:val="00997E1F"/>
    <w:rsid w:val="00997E4F"/>
    <w:rsid w:val="00997F22"/>
    <w:rsid w:val="009A005A"/>
    <w:rsid w:val="009A01BC"/>
    <w:rsid w:val="009A02D6"/>
    <w:rsid w:val="009A0372"/>
    <w:rsid w:val="009A055A"/>
    <w:rsid w:val="009A056F"/>
    <w:rsid w:val="009A0957"/>
    <w:rsid w:val="009A0965"/>
    <w:rsid w:val="009A09A1"/>
    <w:rsid w:val="009A0AF7"/>
    <w:rsid w:val="009A0B9C"/>
    <w:rsid w:val="009A0BBC"/>
    <w:rsid w:val="009A0C3C"/>
    <w:rsid w:val="009A0F78"/>
    <w:rsid w:val="009A0F8A"/>
    <w:rsid w:val="009A0F8C"/>
    <w:rsid w:val="009A0FC0"/>
    <w:rsid w:val="009A0FF2"/>
    <w:rsid w:val="009A1178"/>
    <w:rsid w:val="009A1226"/>
    <w:rsid w:val="009A1647"/>
    <w:rsid w:val="009A1735"/>
    <w:rsid w:val="009A1991"/>
    <w:rsid w:val="009A1ABF"/>
    <w:rsid w:val="009A1AF4"/>
    <w:rsid w:val="009A1C05"/>
    <w:rsid w:val="009A1C12"/>
    <w:rsid w:val="009A1E2C"/>
    <w:rsid w:val="009A1F1A"/>
    <w:rsid w:val="009A205A"/>
    <w:rsid w:val="009A220C"/>
    <w:rsid w:val="009A2397"/>
    <w:rsid w:val="009A23CB"/>
    <w:rsid w:val="009A2441"/>
    <w:rsid w:val="009A2483"/>
    <w:rsid w:val="009A267B"/>
    <w:rsid w:val="009A27AD"/>
    <w:rsid w:val="009A2828"/>
    <w:rsid w:val="009A2832"/>
    <w:rsid w:val="009A285E"/>
    <w:rsid w:val="009A29CD"/>
    <w:rsid w:val="009A2A94"/>
    <w:rsid w:val="009A2C27"/>
    <w:rsid w:val="009A2DEF"/>
    <w:rsid w:val="009A2F2E"/>
    <w:rsid w:val="009A2F9C"/>
    <w:rsid w:val="009A302F"/>
    <w:rsid w:val="009A303D"/>
    <w:rsid w:val="009A30B3"/>
    <w:rsid w:val="009A310E"/>
    <w:rsid w:val="009A3206"/>
    <w:rsid w:val="009A3281"/>
    <w:rsid w:val="009A32F8"/>
    <w:rsid w:val="009A331E"/>
    <w:rsid w:val="009A343A"/>
    <w:rsid w:val="009A3519"/>
    <w:rsid w:val="009A352F"/>
    <w:rsid w:val="009A35E1"/>
    <w:rsid w:val="009A3617"/>
    <w:rsid w:val="009A36F8"/>
    <w:rsid w:val="009A3B51"/>
    <w:rsid w:val="009A3C15"/>
    <w:rsid w:val="009A3CBB"/>
    <w:rsid w:val="009A3ED3"/>
    <w:rsid w:val="009A3F04"/>
    <w:rsid w:val="009A4001"/>
    <w:rsid w:val="009A405E"/>
    <w:rsid w:val="009A412C"/>
    <w:rsid w:val="009A4262"/>
    <w:rsid w:val="009A43A8"/>
    <w:rsid w:val="009A43CD"/>
    <w:rsid w:val="009A454A"/>
    <w:rsid w:val="009A466C"/>
    <w:rsid w:val="009A46A4"/>
    <w:rsid w:val="009A46B1"/>
    <w:rsid w:val="009A47C1"/>
    <w:rsid w:val="009A4C46"/>
    <w:rsid w:val="009A4CF5"/>
    <w:rsid w:val="009A4E8D"/>
    <w:rsid w:val="009A4EE6"/>
    <w:rsid w:val="009A4FB5"/>
    <w:rsid w:val="009A50EB"/>
    <w:rsid w:val="009A5122"/>
    <w:rsid w:val="009A5146"/>
    <w:rsid w:val="009A5154"/>
    <w:rsid w:val="009A5268"/>
    <w:rsid w:val="009A5344"/>
    <w:rsid w:val="009A54A4"/>
    <w:rsid w:val="009A5830"/>
    <w:rsid w:val="009A58A0"/>
    <w:rsid w:val="009A5BB4"/>
    <w:rsid w:val="009A5BC5"/>
    <w:rsid w:val="009A5CAD"/>
    <w:rsid w:val="009A5CE4"/>
    <w:rsid w:val="009A5D62"/>
    <w:rsid w:val="009A5DB3"/>
    <w:rsid w:val="009A6018"/>
    <w:rsid w:val="009A60E2"/>
    <w:rsid w:val="009A6369"/>
    <w:rsid w:val="009A649E"/>
    <w:rsid w:val="009A6589"/>
    <w:rsid w:val="009A692F"/>
    <w:rsid w:val="009A6AB3"/>
    <w:rsid w:val="009A6B17"/>
    <w:rsid w:val="009A6B55"/>
    <w:rsid w:val="009A6F1A"/>
    <w:rsid w:val="009A6FF1"/>
    <w:rsid w:val="009A708E"/>
    <w:rsid w:val="009A7253"/>
    <w:rsid w:val="009A7575"/>
    <w:rsid w:val="009A75C7"/>
    <w:rsid w:val="009A7634"/>
    <w:rsid w:val="009A76A8"/>
    <w:rsid w:val="009A77DF"/>
    <w:rsid w:val="009A792F"/>
    <w:rsid w:val="009A7C7B"/>
    <w:rsid w:val="009A7D46"/>
    <w:rsid w:val="009A7DEC"/>
    <w:rsid w:val="009A7DEF"/>
    <w:rsid w:val="009A7E70"/>
    <w:rsid w:val="009B0028"/>
    <w:rsid w:val="009B0072"/>
    <w:rsid w:val="009B0195"/>
    <w:rsid w:val="009B0235"/>
    <w:rsid w:val="009B0396"/>
    <w:rsid w:val="009B04F5"/>
    <w:rsid w:val="009B054F"/>
    <w:rsid w:val="009B067F"/>
    <w:rsid w:val="009B0703"/>
    <w:rsid w:val="009B085C"/>
    <w:rsid w:val="009B0928"/>
    <w:rsid w:val="009B0944"/>
    <w:rsid w:val="009B0A82"/>
    <w:rsid w:val="009B0CC2"/>
    <w:rsid w:val="009B0CC9"/>
    <w:rsid w:val="009B0CCB"/>
    <w:rsid w:val="009B0CFF"/>
    <w:rsid w:val="009B0D1D"/>
    <w:rsid w:val="009B0E85"/>
    <w:rsid w:val="009B0F66"/>
    <w:rsid w:val="009B0F69"/>
    <w:rsid w:val="009B1004"/>
    <w:rsid w:val="009B100A"/>
    <w:rsid w:val="009B10F2"/>
    <w:rsid w:val="009B1221"/>
    <w:rsid w:val="009B1229"/>
    <w:rsid w:val="009B13D0"/>
    <w:rsid w:val="009B13D1"/>
    <w:rsid w:val="009B13FC"/>
    <w:rsid w:val="009B14B5"/>
    <w:rsid w:val="009B1691"/>
    <w:rsid w:val="009B172A"/>
    <w:rsid w:val="009B19BD"/>
    <w:rsid w:val="009B1ABB"/>
    <w:rsid w:val="009B1D8E"/>
    <w:rsid w:val="009B1E44"/>
    <w:rsid w:val="009B201C"/>
    <w:rsid w:val="009B215F"/>
    <w:rsid w:val="009B2240"/>
    <w:rsid w:val="009B22BA"/>
    <w:rsid w:val="009B22CA"/>
    <w:rsid w:val="009B2489"/>
    <w:rsid w:val="009B2725"/>
    <w:rsid w:val="009B28BA"/>
    <w:rsid w:val="009B2A17"/>
    <w:rsid w:val="009B2A65"/>
    <w:rsid w:val="009B2B04"/>
    <w:rsid w:val="009B2DAE"/>
    <w:rsid w:val="009B2F86"/>
    <w:rsid w:val="009B2FE6"/>
    <w:rsid w:val="009B317A"/>
    <w:rsid w:val="009B346B"/>
    <w:rsid w:val="009B34CD"/>
    <w:rsid w:val="009B3500"/>
    <w:rsid w:val="009B37A8"/>
    <w:rsid w:val="009B3846"/>
    <w:rsid w:val="009B38B4"/>
    <w:rsid w:val="009B38F2"/>
    <w:rsid w:val="009B3904"/>
    <w:rsid w:val="009B3958"/>
    <w:rsid w:val="009B3C44"/>
    <w:rsid w:val="009B3D60"/>
    <w:rsid w:val="009B3DA8"/>
    <w:rsid w:val="009B3F77"/>
    <w:rsid w:val="009B3FCE"/>
    <w:rsid w:val="009B3FD7"/>
    <w:rsid w:val="009B4000"/>
    <w:rsid w:val="009B43C5"/>
    <w:rsid w:val="009B43D5"/>
    <w:rsid w:val="009B4782"/>
    <w:rsid w:val="009B4D50"/>
    <w:rsid w:val="009B4DF1"/>
    <w:rsid w:val="009B4F55"/>
    <w:rsid w:val="009B5623"/>
    <w:rsid w:val="009B5674"/>
    <w:rsid w:val="009B57B0"/>
    <w:rsid w:val="009B58A0"/>
    <w:rsid w:val="009B590D"/>
    <w:rsid w:val="009B5A44"/>
    <w:rsid w:val="009B5A45"/>
    <w:rsid w:val="009B5CE8"/>
    <w:rsid w:val="009B5D36"/>
    <w:rsid w:val="009B5E09"/>
    <w:rsid w:val="009B5E71"/>
    <w:rsid w:val="009B5F45"/>
    <w:rsid w:val="009B5F54"/>
    <w:rsid w:val="009B6253"/>
    <w:rsid w:val="009B62EB"/>
    <w:rsid w:val="009B638E"/>
    <w:rsid w:val="009B63DA"/>
    <w:rsid w:val="009B65B4"/>
    <w:rsid w:val="009B6652"/>
    <w:rsid w:val="009B675F"/>
    <w:rsid w:val="009B6A0C"/>
    <w:rsid w:val="009B6A37"/>
    <w:rsid w:val="009B6AE5"/>
    <w:rsid w:val="009B6B3E"/>
    <w:rsid w:val="009B6C42"/>
    <w:rsid w:val="009B6C70"/>
    <w:rsid w:val="009B6F0B"/>
    <w:rsid w:val="009B6F32"/>
    <w:rsid w:val="009B6FD3"/>
    <w:rsid w:val="009B707E"/>
    <w:rsid w:val="009B70B1"/>
    <w:rsid w:val="009B70D2"/>
    <w:rsid w:val="009B70DB"/>
    <w:rsid w:val="009B70FB"/>
    <w:rsid w:val="009B715B"/>
    <w:rsid w:val="009B733D"/>
    <w:rsid w:val="009B7366"/>
    <w:rsid w:val="009B750F"/>
    <w:rsid w:val="009B768E"/>
    <w:rsid w:val="009B7779"/>
    <w:rsid w:val="009B7BA8"/>
    <w:rsid w:val="009B7C7E"/>
    <w:rsid w:val="009B7CD0"/>
    <w:rsid w:val="009B7F1C"/>
    <w:rsid w:val="009C03EF"/>
    <w:rsid w:val="009C05B4"/>
    <w:rsid w:val="009C0723"/>
    <w:rsid w:val="009C0812"/>
    <w:rsid w:val="009C0850"/>
    <w:rsid w:val="009C0A47"/>
    <w:rsid w:val="009C0A87"/>
    <w:rsid w:val="009C0C2C"/>
    <w:rsid w:val="009C0D5F"/>
    <w:rsid w:val="009C0F13"/>
    <w:rsid w:val="009C0F16"/>
    <w:rsid w:val="009C0FA0"/>
    <w:rsid w:val="009C0FE1"/>
    <w:rsid w:val="009C1078"/>
    <w:rsid w:val="009C1090"/>
    <w:rsid w:val="009C10DB"/>
    <w:rsid w:val="009C10FF"/>
    <w:rsid w:val="009C118D"/>
    <w:rsid w:val="009C12D2"/>
    <w:rsid w:val="009C12E2"/>
    <w:rsid w:val="009C15E0"/>
    <w:rsid w:val="009C161E"/>
    <w:rsid w:val="009C17D6"/>
    <w:rsid w:val="009C1F08"/>
    <w:rsid w:val="009C20BB"/>
    <w:rsid w:val="009C213C"/>
    <w:rsid w:val="009C2186"/>
    <w:rsid w:val="009C2195"/>
    <w:rsid w:val="009C2365"/>
    <w:rsid w:val="009C282B"/>
    <w:rsid w:val="009C28B3"/>
    <w:rsid w:val="009C28B9"/>
    <w:rsid w:val="009C28E4"/>
    <w:rsid w:val="009C2981"/>
    <w:rsid w:val="009C2A1C"/>
    <w:rsid w:val="009C2AEC"/>
    <w:rsid w:val="009C2CC4"/>
    <w:rsid w:val="009C2D9C"/>
    <w:rsid w:val="009C2E3F"/>
    <w:rsid w:val="009C3077"/>
    <w:rsid w:val="009C320D"/>
    <w:rsid w:val="009C347D"/>
    <w:rsid w:val="009C3510"/>
    <w:rsid w:val="009C3535"/>
    <w:rsid w:val="009C366E"/>
    <w:rsid w:val="009C3900"/>
    <w:rsid w:val="009C3DB7"/>
    <w:rsid w:val="009C3DFF"/>
    <w:rsid w:val="009C3E19"/>
    <w:rsid w:val="009C3EB0"/>
    <w:rsid w:val="009C3F56"/>
    <w:rsid w:val="009C3FE6"/>
    <w:rsid w:val="009C413A"/>
    <w:rsid w:val="009C42F6"/>
    <w:rsid w:val="009C440D"/>
    <w:rsid w:val="009C447A"/>
    <w:rsid w:val="009C4780"/>
    <w:rsid w:val="009C47B7"/>
    <w:rsid w:val="009C47ED"/>
    <w:rsid w:val="009C4801"/>
    <w:rsid w:val="009C494C"/>
    <w:rsid w:val="009C4DAE"/>
    <w:rsid w:val="009C4DE0"/>
    <w:rsid w:val="009C4F3E"/>
    <w:rsid w:val="009C4F6F"/>
    <w:rsid w:val="009C4F72"/>
    <w:rsid w:val="009C4FE4"/>
    <w:rsid w:val="009C5056"/>
    <w:rsid w:val="009C50C4"/>
    <w:rsid w:val="009C50FF"/>
    <w:rsid w:val="009C5106"/>
    <w:rsid w:val="009C519D"/>
    <w:rsid w:val="009C5240"/>
    <w:rsid w:val="009C524D"/>
    <w:rsid w:val="009C528D"/>
    <w:rsid w:val="009C52D5"/>
    <w:rsid w:val="009C539B"/>
    <w:rsid w:val="009C53CD"/>
    <w:rsid w:val="009C546C"/>
    <w:rsid w:val="009C54A6"/>
    <w:rsid w:val="009C54E0"/>
    <w:rsid w:val="009C551B"/>
    <w:rsid w:val="009C552D"/>
    <w:rsid w:val="009C55F5"/>
    <w:rsid w:val="009C55FB"/>
    <w:rsid w:val="009C56EC"/>
    <w:rsid w:val="009C5766"/>
    <w:rsid w:val="009C5996"/>
    <w:rsid w:val="009C59D4"/>
    <w:rsid w:val="009C5C4F"/>
    <w:rsid w:val="009C5D71"/>
    <w:rsid w:val="009C5E88"/>
    <w:rsid w:val="009C61DE"/>
    <w:rsid w:val="009C641B"/>
    <w:rsid w:val="009C6431"/>
    <w:rsid w:val="009C650C"/>
    <w:rsid w:val="009C65E5"/>
    <w:rsid w:val="009C679A"/>
    <w:rsid w:val="009C679E"/>
    <w:rsid w:val="009C68DC"/>
    <w:rsid w:val="009C69F1"/>
    <w:rsid w:val="009C6A35"/>
    <w:rsid w:val="009C6C92"/>
    <w:rsid w:val="009C6D62"/>
    <w:rsid w:val="009C6DD9"/>
    <w:rsid w:val="009C6E51"/>
    <w:rsid w:val="009C6E9D"/>
    <w:rsid w:val="009C6ECA"/>
    <w:rsid w:val="009C6FEB"/>
    <w:rsid w:val="009C7034"/>
    <w:rsid w:val="009C70CC"/>
    <w:rsid w:val="009C7142"/>
    <w:rsid w:val="009C72A4"/>
    <w:rsid w:val="009C739C"/>
    <w:rsid w:val="009C748F"/>
    <w:rsid w:val="009C7506"/>
    <w:rsid w:val="009C7641"/>
    <w:rsid w:val="009C7644"/>
    <w:rsid w:val="009C76EA"/>
    <w:rsid w:val="009C794F"/>
    <w:rsid w:val="009C7B5B"/>
    <w:rsid w:val="009C7B79"/>
    <w:rsid w:val="009C7D25"/>
    <w:rsid w:val="009C7FD0"/>
    <w:rsid w:val="009D00EE"/>
    <w:rsid w:val="009D01CA"/>
    <w:rsid w:val="009D01ED"/>
    <w:rsid w:val="009D032B"/>
    <w:rsid w:val="009D036E"/>
    <w:rsid w:val="009D047A"/>
    <w:rsid w:val="009D04F8"/>
    <w:rsid w:val="009D0A2A"/>
    <w:rsid w:val="009D0B66"/>
    <w:rsid w:val="009D0BA5"/>
    <w:rsid w:val="009D0C13"/>
    <w:rsid w:val="009D0C32"/>
    <w:rsid w:val="009D0CF4"/>
    <w:rsid w:val="009D0DB9"/>
    <w:rsid w:val="009D0EAD"/>
    <w:rsid w:val="009D0ECC"/>
    <w:rsid w:val="009D0F6E"/>
    <w:rsid w:val="009D10B0"/>
    <w:rsid w:val="009D1420"/>
    <w:rsid w:val="009D145F"/>
    <w:rsid w:val="009D162D"/>
    <w:rsid w:val="009D16C8"/>
    <w:rsid w:val="009D19AF"/>
    <w:rsid w:val="009D1A66"/>
    <w:rsid w:val="009D1AA2"/>
    <w:rsid w:val="009D1C4E"/>
    <w:rsid w:val="009D2076"/>
    <w:rsid w:val="009D216A"/>
    <w:rsid w:val="009D2183"/>
    <w:rsid w:val="009D21DA"/>
    <w:rsid w:val="009D24C2"/>
    <w:rsid w:val="009D2647"/>
    <w:rsid w:val="009D2759"/>
    <w:rsid w:val="009D2886"/>
    <w:rsid w:val="009D28AB"/>
    <w:rsid w:val="009D29E7"/>
    <w:rsid w:val="009D2B6E"/>
    <w:rsid w:val="009D2C6A"/>
    <w:rsid w:val="009D2EF0"/>
    <w:rsid w:val="009D3100"/>
    <w:rsid w:val="009D31DE"/>
    <w:rsid w:val="009D32C0"/>
    <w:rsid w:val="009D33BC"/>
    <w:rsid w:val="009D348E"/>
    <w:rsid w:val="009D3518"/>
    <w:rsid w:val="009D368B"/>
    <w:rsid w:val="009D373D"/>
    <w:rsid w:val="009D37A9"/>
    <w:rsid w:val="009D3852"/>
    <w:rsid w:val="009D3857"/>
    <w:rsid w:val="009D39D2"/>
    <w:rsid w:val="009D39DA"/>
    <w:rsid w:val="009D3A44"/>
    <w:rsid w:val="009D3A9E"/>
    <w:rsid w:val="009D3BC2"/>
    <w:rsid w:val="009D3C66"/>
    <w:rsid w:val="009D3F43"/>
    <w:rsid w:val="009D41E4"/>
    <w:rsid w:val="009D4204"/>
    <w:rsid w:val="009D4650"/>
    <w:rsid w:val="009D469C"/>
    <w:rsid w:val="009D47A0"/>
    <w:rsid w:val="009D482C"/>
    <w:rsid w:val="009D4A4D"/>
    <w:rsid w:val="009D4C55"/>
    <w:rsid w:val="009D4CDF"/>
    <w:rsid w:val="009D4EEC"/>
    <w:rsid w:val="009D4F85"/>
    <w:rsid w:val="009D4FD8"/>
    <w:rsid w:val="009D50D3"/>
    <w:rsid w:val="009D50ED"/>
    <w:rsid w:val="009D534A"/>
    <w:rsid w:val="009D5446"/>
    <w:rsid w:val="009D54A3"/>
    <w:rsid w:val="009D55B7"/>
    <w:rsid w:val="009D573C"/>
    <w:rsid w:val="009D5851"/>
    <w:rsid w:val="009D5997"/>
    <w:rsid w:val="009D5CCA"/>
    <w:rsid w:val="009D5D08"/>
    <w:rsid w:val="009D5DD0"/>
    <w:rsid w:val="009D5ECB"/>
    <w:rsid w:val="009D5F7A"/>
    <w:rsid w:val="009D6014"/>
    <w:rsid w:val="009D60CE"/>
    <w:rsid w:val="009D60D0"/>
    <w:rsid w:val="009D618D"/>
    <w:rsid w:val="009D632A"/>
    <w:rsid w:val="009D6448"/>
    <w:rsid w:val="009D64D6"/>
    <w:rsid w:val="009D6929"/>
    <w:rsid w:val="009D6A5A"/>
    <w:rsid w:val="009D6BE6"/>
    <w:rsid w:val="009D6C05"/>
    <w:rsid w:val="009D6D57"/>
    <w:rsid w:val="009D6E49"/>
    <w:rsid w:val="009D6EE3"/>
    <w:rsid w:val="009D6F10"/>
    <w:rsid w:val="009D6F40"/>
    <w:rsid w:val="009D6FDC"/>
    <w:rsid w:val="009D7029"/>
    <w:rsid w:val="009D7058"/>
    <w:rsid w:val="009D7116"/>
    <w:rsid w:val="009D714C"/>
    <w:rsid w:val="009D73D5"/>
    <w:rsid w:val="009D742F"/>
    <w:rsid w:val="009D74B3"/>
    <w:rsid w:val="009D772D"/>
    <w:rsid w:val="009D774C"/>
    <w:rsid w:val="009D7792"/>
    <w:rsid w:val="009D7815"/>
    <w:rsid w:val="009D7818"/>
    <w:rsid w:val="009D7A51"/>
    <w:rsid w:val="009D7AA7"/>
    <w:rsid w:val="009D7B4F"/>
    <w:rsid w:val="009D7C50"/>
    <w:rsid w:val="009E01F1"/>
    <w:rsid w:val="009E05CA"/>
    <w:rsid w:val="009E0601"/>
    <w:rsid w:val="009E0602"/>
    <w:rsid w:val="009E0A62"/>
    <w:rsid w:val="009E0BF9"/>
    <w:rsid w:val="009E0CC1"/>
    <w:rsid w:val="009E0ED9"/>
    <w:rsid w:val="009E0F9E"/>
    <w:rsid w:val="009E10A9"/>
    <w:rsid w:val="009E1141"/>
    <w:rsid w:val="009E114D"/>
    <w:rsid w:val="009E1176"/>
    <w:rsid w:val="009E147B"/>
    <w:rsid w:val="009E1489"/>
    <w:rsid w:val="009E14FC"/>
    <w:rsid w:val="009E16A8"/>
    <w:rsid w:val="009E19D1"/>
    <w:rsid w:val="009E1C08"/>
    <w:rsid w:val="009E1DBC"/>
    <w:rsid w:val="009E1DCC"/>
    <w:rsid w:val="009E1E73"/>
    <w:rsid w:val="009E1EF1"/>
    <w:rsid w:val="009E1FAF"/>
    <w:rsid w:val="009E247E"/>
    <w:rsid w:val="009E2527"/>
    <w:rsid w:val="009E2625"/>
    <w:rsid w:val="009E2721"/>
    <w:rsid w:val="009E27D9"/>
    <w:rsid w:val="009E286D"/>
    <w:rsid w:val="009E2877"/>
    <w:rsid w:val="009E2ADC"/>
    <w:rsid w:val="009E2C4F"/>
    <w:rsid w:val="009E2E62"/>
    <w:rsid w:val="009E2EF8"/>
    <w:rsid w:val="009E2EFF"/>
    <w:rsid w:val="009E2FE0"/>
    <w:rsid w:val="009E2FF4"/>
    <w:rsid w:val="009E308D"/>
    <w:rsid w:val="009E327D"/>
    <w:rsid w:val="009E3344"/>
    <w:rsid w:val="009E339B"/>
    <w:rsid w:val="009E33BC"/>
    <w:rsid w:val="009E36AC"/>
    <w:rsid w:val="009E36C8"/>
    <w:rsid w:val="009E3722"/>
    <w:rsid w:val="009E37F3"/>
    <w:rsid w:val="009E38EA"/>
    <w:rsid w:val="009E3A4E"/>
    <w:rsid w:val="009E3AE5"/>
    <w:rsid w:val="009E3B1F"/>
    <w:rsid w:val="009E3B24"/>
    <w:rsid w:val="009E3B62"/>
    <w:rsid w:val="009E3B66"/>
    <w:rsid w:val="009E3DFB"/>
    <w:rsid w:val="009E3F1A"/>
    <w:rsid w:val="009E3F86"/>
    <w:rsid w:val="009E40DE"/>
    <w:rsid w:val="009E419A"/>
    <w:rsid w:val="009E41CF"/>
    <w:rsid w:val="009E41F8"/>
    <w:rsid w:val="009E42FE"/>
    <w:rsid w:val="009E43E5"/>
    <w:rsid w:val="009E4456"/>
    <w:rsid w:val="009E456B"/>
    <w:rsid w:val="009E461A"/>
    <w:rsid w:val="009E47BB"/>
    <w:rsid w:val="009E4AD2"/>
    <w:rsid w:val="009E4B5A"/>
    <w:rsid w:val="009E4BF4"/>
    <w:rsid w:val="009E4EF1"/>
    <w:rsid w:val="009E4F9F"/>
    <w:rsid w:val="009E4FEA"/>
    <w:rsid w:val="009E5038"/>
    <w:rsid w:val="009E5086"/>
    <w:rsid w:val="009E5094"/>
    <w:rsid w:val="009E5154"/>
    <w:rsid w:val="009E517B"/>
    <w:rsid w:val="009E54DE"/>
    <w:rsid w:val="009E55B2"/>
    <w:rsid w:val="009E5618"/>
    <w:rsid w:val="009E5662"/>
    <w:rsid w:val="009E56F1"/>
    <w:rsid w:val="009E5797"/>
    <w:rsid w:val="009E585F"/>
    <w:rsid w:val="009E586F"/>
    <w:rsid w:val="009E588E"/>
    <w:rsid w:val="009E5894"/>
    <w:rsid w:val="009E58D2"/>
    <w:rsid w:val="009E5993"/>
    <w:rsid w:val="009E5A7D"/>
    <w:rsid w:val="009E5ACC"/>
    <w:rsid w:val="009E5AD9"/>
    <w:rsid w:val="009E5BFD"/>
    <w:rsid w:val="009E5C19"/>
    <w:rsid w:val="009E5C60"/>
    <w:rsid w:val="009E5E02"/>
    <w:rsid w:val="009E5E65"/>
    <w:rsid w:val="009E5EA4"/>
    <w:rsid w:val="009E5F18"/>
    <w:rsid w:val="009E6119"/>
    <w:rsid w:val="009E636D"/>
    <w:rsid w:val="009E665D"/>
    <w:rsid w:val="009E666A"/>
    <w:rsid w:val="009E6679"/>
    <w:rsid w:val="009E6724"/>
    <w:rsid w:val="009E6872"/>
    <w:rsid w:val="009E6D18"/>
    <w:rsid w:val="009E6D85"/>
    <w:rsid w:val="009E6F01"/>
    <w:rsid w:val="009E708B"/>
    <w:rsid w:val="009E7320"/>
    <w:rsid w:val="009E738E"/>
    <w:rsid w:val="009E7A7C"/>
    <w:rsid w:val="009E7A7F"/>
    <w:rsid w:val="009E7B3E"/>
    <w:rsid w:val="009E7E5B"/>
    <w:rsid w:val="009E7EA0"/>
    <w:rsid w:val="009E7EB4"/>
    <w:rsid w:val="009F01C0"/>
    <w:rsid w:val="009F05E4"/>
    <w:rsid w:val="009F07B2"/>
    <w:rsid w:val="009F07C4"/>
    <w:rsid w:val="009F089D"/>
    <w:rsid w:val="009F08C8"/>
    <w:rsid w:val="009F0A2D"/>
    <w:rsid w:val="009F0A36"/>
    <w:rsid w:val="009F0A84"/>
    <w:rsid w:val="009F0AE9"/>
    <w:rsid w:val="009F0B07"/>
    <w:rsid w:val="009F0C26"/>
    <w:rsid w:val="009F0D63"/>
    <w:rsid w:val="009F0DDA"/>
    <w:rsid w:val="009F0DDD"/>
    <w:rsid w:val="009F0EBB"/>
    <w:rsid w:val="009F0F70"/>
    <w:rsid w:val="009F0F92"/>
    <w:rsid w:val="009F10EA"/>
    <w:rsid w:val="009F1159"/>
    <w:rsid w:val="009F1239"/>
    <w:rsid w:val="009F1271"/>
    <w:rsid w:val="009F12BD"/>
    <w:rsid w:val="009F1326"/>
    <w:rsid w:val="009F14E1"/>
    <w:rsid w:val="009F16A7"/>
    <w:rsid w:val="009F16C5"/>
    <w:rsid w:val="009F16E4"/>
    <w:rsid w:val="009F1892"/>
    <w:rsid w:val="009F1E3F"/>
    <w:rsid w:val="009F1F24"/>
    <w:rsid w:val="009F1F3F"/>
    <w:rsid w:val="009F206E"/>
    <w:rsid w:val="009F20E1"/>
    <w:rsid w:val="009F22BF"/>
    <w:rsid w:val="009F22C8"/>
    <w:rsid w:val="009F2454"/>
    <w:rsid w:val="009F257C"/>
    <w:rsid w:val="009F2726"/>
    <w:rsid w:val="009F276C"/>
    <w:rsid w:val="009F2793"/>
    <w:rsid w:val="009F2868"/>
    <w:rsid w:val="009F2A20"/>
    <w:rsid w:val="009F2C26"/>
    <w:rsid w:val="009F2C48"/>
    <w:rsid w:val="009F2DA1"/>
    <w:rsid w:val="009F2DD1"/>
    <w:rsid w:val="009F2FB9"/>
    <w:rsid w:val="009F301A"/>
    <w:rsid w:val="009F314D"/>
    <w:rsid w:val="009F317B"/>
    <w:rsid w:val="009F31CA"/>
    <w:rsid w:val="009F323A"/>
    <w:rsid w:val="009F32C6"/>
    <w:rsid w:val="009F3467"/>
    <w:rsid w:val="009F3902"/>
    <w:rsid w:val="009F3941"/>
    <w:rsid w:val="009F3AC6"/>
    <w:rsid w:val="009F3B74"/>
    <w:rsid w:val="009F3D2C"/>
    <w:rsid w:val="009F3D53"/>
    <w:rsid w:val="009F3E60"/>
    <w:rsid w:val="009F4249"/>
    <w:rsid w:val="009F443D"/>
    <w:rsid w:val="009F4451"/>
    <w:rsid w:val="009F458A"/>
    <w:rsid w:val="009F45F7"/>
    <w:rsid w:val="009F4651"/>
    <w:rsid w:val="009F4663"/>
    <w:rsid w:val="009F4975"/>
    <w:rsid w:val="009F4B58"/>
    <w:rsid w:val="009F4D06"/>
    <w:rsid w:val="009F4D09"/>
    <w:rsid w:val="009F4DE7"/>
    <w:rsid w:val="009F4FB2"/>
    <w:rsid w:val="009F52FA"/>
    <w:rsid w:val="009F5395"/>
    <w:rsid w:val="009F575A"/>
    <w:rsid w:val="009F589B"/>
    <w:rsid w:val="009F5A0B"/>
    <w:rsid w:val="009F5AF2"/>
    <w:rsid w:val="009F5BE5"/>
    <w:rsid w:val="009F5E93"/>
    <w:rsid w:val="009F5F08"/>
    <w:rsid w:val="009F5F90"/>
    <w:rsid w:val="009F6090"/>
    <w:rsid w:val="009F620C"/>
    <w:rsid w:val="009F6497"/>
    <w:rsid w:val="009F65FA"/>
    <w:rsid w:val="009F6621"/>
    <w:rsid w:val="009F67D6"/>
    <w:rsid w:val="009F681C"/>
    <w:rsid w:val="009F68E3"/>
    <w:rsid w:val="009F6956"/>
    <w:rsid w:val="009F6A68"/>
    <w:rsid w:val="009F6DE0"/>
    <w:rsid w:val="009F6DF9"/>
    <w:rsid w:val="009F6EBB"/>
    <w:rsid w:val="009F6ECD"/>
    <w:rsid w:val="009F6FEC"/>
    <w:rsid w:val="009F70D8"/>
    <w:rsid w:val="009F717A"/>
    <w:rsid w:val="009F72A2"/>
    <w:rsid w:val="009F730D"/>
    <w:rsid w:val="009F7354"/>
    <w:rsid w:val="009F74E2"/>
    <w:rsid w:val="009F7548"/>
    <w:rsid w:val="009F7854"/>
    <w:rsid w:val="009F79EE"/>
    <w:rsid w:val="009F7B69"/>
    <w:rsid w:val="009F7B87"/>
    <w:rsid w:val="009F7EAF"/>
    <w:rsid w:val="00A00118"/>
    <w:rsid w:val="00A00508"/>
    <w:rsid w:val="00A00590"/>
    <w:rsid w:val="00A00669"/>
    <w:rsid w:val="00A0070E"/>
    <w:rsid w:val="00A00717"/>
    <w:rsid w:val="00A00998"/>
    <w:rsid w:val="00A009B8"/>
    <w:rsid w:val="00A00A0D"/>
    <w:rsid w:val="00A00B44"/>
    <w:rsid w:val="00A00B91"/>
    <w:rsid w:val="00A00B9E"/>
    <w:rsid w:val="00A00C0F"/>
    <w:rsid w:val="00A00F61"/>
    <w:rsid w:val="00A010C2"/>
    <w:rsid w:val="00A01334"/>
    <w:rsid w:val="00A014E8"/>
    <w:rsid w:val="00A0153C"/>
    <w:rsid w:val="00A0183A"/>
    <w:rsid w:val="00A01AAB"/>
    <w:rsid w:val="00A01C75"/>
    <w:rsid w:val="00A01F65"/>
    <w:rsid w:val="00A0206C"/>
    <w:rsid w:val="00A02070"/>
    <w:rsid w:val="00A020A2"/>
    <w:rsid w:val="00A020B6"/>
    <w:rsid w:val="00A02118"/>
    <w:rsid w:val="00A024F3"/>
    <w:rsid w:val="00A02553"/>
    <w:rsid w:val="00A02572"/>
    <w:rsid w:val="00A025AA"/>
    <w:rsid w:val="00A02736"/>
    <w:rsid w:val="00A02750"/>
    <w:rsid w:val="00A0275A"/>
    <w:rsid w:val="00A0287A"/>
    <w:rsid w:val="00A028D0"/>
    <w:rsid w:val="00A02B36"/>
    <w:rsid w:val="00A02B9C"/>
    <w:rsid w:val="00A02BCB"/>
    <w:rsid w:val="00A02BE4"/>
    <w:rsid w:val="00A02DFD"/>
    <w:rsid w:val="00A02EBE"/>
    <w:rsid w:val="00A02EF5"/>
    <w:rsid w:val="00A02F29"/>
    <w:rsid w:val="00A02FF5"/>
    <w:rsid w:val="00A030D2"/>
    <w:rsid w:val="00A03246"/>
    <w:rsid w:val="00A0334F"/>
    <w:rsid w:val="00A0335B"/>
    <w:rsid w:val="00A03380"/>
    <w:rsid w:val="00A035C3"/>
    <w:rsid w:val="00A036A2"/>
    <w:rsid w:val="00A037AD"/>
    <w:rsid w:val="00A03995"/>
    <w:rsid w:val="00A03D22"/>
    <w:rsid w:val="00A03D47"/>
    <w:rsid w:val="00A03D80"/>
    <w:rsid w:val="00A03FD3"/>
    <w:rsid w:val="00A0404C"/>
    <w:rsid w:val="00A045CF"/>
    <w:rsid w:val="00A04621"/>
    <w:rsid w:val="00A04772"/>
    <w:rsid w:val="00A04861"/>
    <w:rsid w:val="00A04A3A"/>
    <w:rsid w:val="00A04AB5"/>
    <w:rsid w:val="00A04B4E"/>
    <w:rsid w:val="00A04CF7"/>
    <w:rsid w:val="00A04DB7"/>
    <w:rsid w:val="00A04E6D"/>
    <w:rsid w:val="00A04F7D"/>
    <w:rsid w:val="00A04FB5"/>
    <w:rsid w:val="00A0500F"/>
    <w:rsid w:val="00A05065"/>
    <w:rsid w:val="00A05097"/>
    <w:rsid w:val="00A050BA"/>
    <w:rsid w:val="00A05133"/>
    <w:rsid w:val="00A05177"/>
    <w:rsid w:val="00A05184"/>
    <w:rsid w:val="00A05259"/>
    <w:rsid w:val="00A0530B"/>
    <w:rsid w:val="00A055DA"/>
    <w:rsid w:val="00A05631"/>
    <w:rsid w:val="00A05996"/>
    <w:rsid w:val="00A059FB"/>
    <w:rsid w:val="00A05CE8"/>
    <w:rsid w:val="00A05DA8"/>
    <w:rsid w:val="00A05DD6"/>
    <w:rsid w:val="00A05EA0"/>
    <w:rsid w:val="00A06069"/>
    <w:rsid w:val="00A0618E"/>
    <w:rsid w:val="00A0619D"/>
    <w:rsid w:val="00A061F1"/>
    <w:rsid w:val="00A06649"/>
    <w:rsid w:val="00A066CA"/>
    <w:rsid w:val="00A0676E"/>
    <w:rsid w:val="00A068EE"/>
    <w:rsid w:val="00A069ED"/>
    <w:rsid w:val="00A06A85"/>
    <w:rsid w:val="00A06C89"/>
    <w:rsid w:val="00A06D02"/>
    <w:rsid w:val="00A06D2E"/>
    <w:rsid w:val="00A06D5C"/>
    <w:rsid w:val="00A06E32"/>
    <w:rsid w:val="00A06F5B"/>
    <w:rsid w:val="00A06F82"/>
    <w:rsid w:val="00A06FB8"/>
    <w:rsid w:val="00A07023"/>
    <w:rsid w:val="00A0746F"/>
    <w:rsid w:val="00A07521"/>
    <w:rsid w:val="00A07650"/>
    <w:rsid w:val="00A07766"/>
    <w:rsid w:val="00A077F0"/>
    <w:rsid w:val="00A07887"/>
    <w:rsid w:val="00A078C6"/>
    <w:rsid w:val="00A078F4"/>
    <w:rsid w:val="00A07C33"/>
    <w:rsid w:val="00A07D43"/>
    <w:rsid w:val="00A07E88"/>
    <w:rsid w:val="00A100F0"/>
    <w:rsid w:val="00A1014C"/>
    <w:rsid w:val="00A101ED"/>
    <w:rsid w:val="00A103DF"/>
    <w:rsid w:val="00A105CF"/>
    <w:rsid w:val="00A10653"/>
    <w:rsid w:val="00A10800"/>
    <w:rsid w:val="00A10853"/>
    <w:rsid w:val="00A108EF"/>
    <w:rsid w:val="00A109E1"/>
    <w:rsid w:val="00A10B40"/>
    <w:rsid w:val="00A10BEC"/>
    <w:rsid w:val="00A10CBA"/>
    <w:rsid w:val="00A10E78"/>
    <w:rsid w:val="00A10EE6"/>
    <w:rsid w:val="00A10F9E"/>
    <w:rsid w:val="00A1101A"/>
    <w:rsid w:val="00A110E4"/>
    <w:rsid w:val="00A111FB"/>
    <w:rsid w:val="00A112AC"/>
    <w:rsid w:val="00A11328"/>
    <w:rsid w:val="00A113DF"/>
    <w:rsid w:val="00A117D9"/>
    <w:rsid w:val="00A11890"/>
    <w:rsid w:val="00A118A0"/>
    <w:rsid w:val="00A1195E"/>
    <w:rsid w:val="00A11A16"/>
    <w:rsid w:val="00A11A68"/>
    <w:rsid w:val="00A11BF2"/>
    <w:rsid w:val="00A11BF6"/>
    <w:rsid w:val="00A11C0F"/>
    <w:rsid w:val="00A11F31"/>
    <w:rsid w:val="00A1201C"/>
    <w:rsid w:val="00A120D9"/>
    <w:rsid w:val="00A1217A"/>
    <w:rsid w:val="00A12243"/>
    <w:rsid w:val="00A12287"/>
    <w:rsid w:val="00A12312"/>
    <w:rsid w:val="00A124CF"/>
    <w:rsid w:val="00A12529"/>
    <w:rsid w:val="00A12673"/>
    <w:rsid w:val="00A12764"/>
    <w:rsid w:val="00A1281B"/>
    <w:rsid w:val="00A129D0"/>
    <w:rsid w:val="00A12B4C"/>
    <w:rsid w:val="00A12BD0"/>
    <w:rsid w:val="00A13012"/>
    <w:rsid w:val="00A1312B"/>
    <w:rsid w:val="00A131A1"/>
    <w:rsid w:val="00A1322F"/>
    <w:rsid w:val="00A1326A"/>
    <w:rsid w:val="00A1346A"/>
    <w:rsid w:val="00A13508"/>
    <w:rsid w:val="00A1367A"/>
    <w:rsid w:val="00A13704"/>
    <w:rsid w:val="00A137AF"/>
    <w:rsid w:val="00A1384B"/>
    <w:rsid w:val="00A1393F"/>
    <w:rsid w:val="00A139BB"/>
    <w:rsid w:val="00A13A03"/>
    <w:rsid w:val="00A13B03"/>
    <w:rsid w:val="00A13BA7"/>
    <w:rsid w:val="00A13CB2"/>
    <w:rsid w:val="00A13D0F"/>
    <w:rsid w:val="00A13DD3"/>
    <w:rsid w:val="00A13EA2"/>
    <w:rsid w:val="00A13F80"/>
    <w:rsid w:val="00A13FF6"/>
    <w:rsid w:val="00A14101"/>
    <w:rsid w:val="00A143D7"/>
    <w:rsid w:val="00A14520"/>
    <w:rsid w:val="00A14565"/>
    <w:rsid w:val="00A145A6"/>
    <w:rsid w:val="00A145F5"/>
    <w:rsid w:val="00A1462D"/>
    <w:rsid w:val="00A1467C"/>
    <w:rsid w:val="00A14799"/>
    <w:rsid w:val="00A148B9"/>
    <w:rsid w:val="00A14A3A"/>
    <w:rsid w:val="00A14B0D"/>
    <w:rsid w:val="00A14C1A"/>
    <w:rsid w:val="00A14CCA"/>
    <w:rsid w:val="00A15048"/>
    <w:rsid w:val="00A150D9"/>
    <w:rsid w:val="00A15206"/>
    <w:rsid w:val="00A152CF"/>
    <w:rsid w:val="00A153DB"/>
    <w:rsid w:val="00A15562"/>
    <w:rsid w:val="00A15571"/>
    <w:rsid w:val="00A155D1"/>
    <w:rsid w:val="00A15671"/>
    <w:rsid w:val="00A1568D"/>
    <w:rsid w:val="00A157A8"/>
    <w:rsid w:val="00A15C28"/>
    <w:rsid w:val="00A15E4F"/>
    <w:rsid w:val="00A16127"/>
    <w:rsid w:val="00A16196"/>
    <w:rsid w:val="00A161F2"/>
    <w:rsid w:val="00A1633C"/>
    <w:rsid w:val="00A163E8"/>
    <w:rsid w:val="00A16558"/>
    <w:rsid w:val="00A16598"/>
    <w:rsid w:val="00A1688E"/>
    <w:rsid w:val="00A168F6"/>
    <w:rsid w:val="00A16907"/>
    <w:rsid w:val="00A16A67"/>
    <w:rsid w:val="00A16CC6"/>
    <w:rsid w:val="00A16E1E"/>
    <w:rsid w:val="00A16EA3"/>
    <w:rsid w:val="00A1701A"/>
    <w:rsid w:val="00A170D0"/>
    <w:rsid w:val="00A17182"/>
    <w:rsid w:val="00A17315"/>
    <w:rsid w:val="00A176E4"/>
    <w:rsid w:val="00A178C6"/>
    <w:rsid w:val="00A178EA"/>
    <w:rsid w:val="00A17B63"/>
    <w:rsid w:val="00A17DD3"/>
    <w:rsid w:val="00A17EDC"/>
    <w:rsid w:val="00A17F06"/>
    <w:rsid w:val="00A17F30"/>
    <w:rsid w:val="00A17F60"/>
    <w:rsid w:val="00A202EE"/>
    <w:rsid w:val="00A203A1"/>
    <w:rsid w:val="00A203DB"/>
    <w:rsid w:val="00A205AC"/>
    <w:rsid w:val="00A2067C"/>
    <w:rsid w:val="00A206C7"/>
    <w:rsid w:val="00A206C9"/>
    <w:rsid w:val="00A20705"/>
    <w:rsid w:val="00A20748"/>
    <w:rsid w:val="00A2077E"/>
    <w:rsid w:val="00A20796"/>
    <w:rsid w:val="00A20834"/>
    <w:rsid w:val="00A2095A"/>
    <w:rsid w:val="00A20974"/>
    <w:rsid w:val="00A20C47"/>
    <w:rsid w:val="00A20CA9"/>
    <w:rsid w:val="00A20DB4"/>
    <w:rsid w:val="00A20FB9"/>
    <w:rsid w:val="00A2103A"/>
    <w:rsid w:val="00A2106D"/>
    <w:rsid w:val="00A2109B"/>
    <w:rsid w:val="00A21100"/>
    <w:rsid w:val="00A21167"/>
    <w:rsid w:val="00A212FF"/>
    <w:rsid w:val="00A2135A"/>
    <w:rsid w:val="00A2137B"/>
    <w:rsid w:val="00A2140B"/>
    <w:rsid w:val="00A216B5"/>
    <w:rsid w:val="00A21727"/>
    <w:rsid w:val="00A218A0"/>
    <w:rsid w:val="00A218D6"/>
    <w:rsid w:val="00A21A1E"/>
    <w:rsid w:val="00A21BAC"/>
    <w:rsid w:val="00A21C29"/>
    <w:rsid w:val="00A21EC3"/>
    <w:rsid w:val="00A21F8A"/>
    <w:rsid w:val="00A22689"/>
    <w:rsid w:val="00A22881"/>
    <w:rsid w:val="00A22A52"/>
    <w:rsid w:val="00A22D33"/>
    <w:rsid w:val="00A22DAB"/>
    <w:rsid w:val="00A22F36"/>
    <w:rsid w:val="00A22FD3"/>
    <w:rsid w:val="00A22FEC"/>
    <w:rsid w:val="00A23053"/>
    <w:rsid w:val="00A231FB"/>
    <w:rsid w:val="00A23424"/>
    <w:rsid w:val="00A2346B"/>
    <w:rsid w:val="00A2346E"/>
    <w:rsid w:val="00A23568"/>
    <w:rsid w:val="00A2357B"/>
    <w:rsid w:val="00A236C6"/>
    <w:rsid w:val="00A23722"/>
    <w:rsid w:val="00A237B2"/>
    <w:rsid w:val="00A23B87"/>
    <w:rsid w:val="00A23D0A"/>
    <w:rsid w:val="00A23D68"/>
    <w:rsid w:val="00A23DAD"/>
    <w:rsid w:val="00A23E52"/>
    <w:rsid w:val="00A240E8"/>
    <w:rsid w:val="00A240FD"/>
    <w:rsid w:val="00A242AC"/>
    <w:rsid w:val="00A242CC"/>
    <w:rsid w:val="00A2436B"/>
    <w:rsid w:val="00A2439C"/>
    <w:rsid w:val="00A243EB"/>
    <w:rsid w:val="00A243FE"/>
    <w:rsid w:val="00A2453B"/>
    <w:rsid w:val="00A2458B"/>
    <w:rsid w:val="00A24592"/>
    <w:rsid w:val="00A24665"/>
    <w:rsid w:val="00A2468C"/>
    <w:rsid w:val="00A24694"/>
    <w:rsid w:val="00A246FB"/>
    <w:rsid w:val="00A24736"/>
    <w:rsid w:val="00A2491F"/>
    <w:rsid w:val="00A24A03"/>
    <w:rsid w:val="00A24A40"/>
    <w:rsid w:val="00A24A8C"/>
    <w:rsid w:val="00A24BBE"/>
    <w:rsid w:val="00A24FBF"/>
    <w:rsid w:val="00A2503F"/>
    <w:rsid w:val="00A25071"/>
    <w:rsid w:val="00A250D0"/>
    <w:rsid w:val="00A25882"/>
    <w:rsid w:val="00A258BA"/>
    <w:rsid w:val="00A258D1"/>
    <w:rsid w:val="00A25910"/>
    <w:rsid w:val="00A25A25"/>
    <w:rsid w:val="00A25A34"/>
    <w:rsid w:val="00A25ADC"/>
    <w:rsid w:val="00A25B18"/>
    <w:rsid w:val="00A25CFE"/>
    <w:rsid w:val="00A25DB5"/>
    <w:rsid w:val="00A25E87"/>
    <w:rsid w:val="00A26032"/>
    <w:rsid w:val="00A2613B"/>
    <w:rsid w:val="00A262ED"/>
    <w:rsid w:val="00A26398"/>
    <w:rsid w:val="00A263BC"/>
    <w:rsid w:val="00A26446"/>
    <w:rsid w:val="00A26479"/>
    <w:rsid w:val="00A26828"/>
    <w:rsid w:val="00A26966"/>
    <w:rsid w:val="00A269D3"/>
    <w:rsid w:val="00A26ACA"/>
    <w:rsid w:val="00A26C0B"/>
    <w:rsid w:val="00A26D0C"/>
    <w:rsid w:val="00A26D14"/>
    <w:rsid w:val="00A26E79"/>
    <w:rsid w:val="00A26E8D"/>
    <w:rsid w:val="00A26ED2"/>
    <w:rsid w:val="00A26F5E"/>
    <w:rsid w:val="00A26F7E"/>
    <w:rsid w:val="00A2709A"/>
    <w:rsid w:val="00A270C8"/>
    <w:rsid w:val="00A2717F"/>
    <w:rsid w:val="00A27195"/>
    <w:rsid w:val="00A27272"/>
    <w:rsid w:val="00A272BB"/>
    <w:rsid w:val="00A27466"/>
    <w:rsid w:val="00A27489"/>
    <w:rsid w:val="00A274DA"/>
    <w:rsid w:val="00A277B3"/>
    <w:rsid w:val="00A27927"/>
    <w:rsid w:val="00A279ED"/>
    <w:rsid w:val="00A27A88"/>
    <w:rsid w:val="00A27A9A"/>
    <w:rsid w:val="00A27BB4"/>
    <w:rsid w:val="00A27C80"/>
    <w:rsid w:val="00A27D24"/>
    <w:rsid w:val="00A27D40"/>
    <w:rsid w:val="00A303B6"/>
    <w:rsid w:val="00A30432"/>
    <w:rsid w:val="00A305E1"/>
    <w:rsid w:val="00A305F8"/>
    <w:rsid w:val="00A3085A"/>
    <w:rsid w:val="00A308C0"/>
    <w:rsid w:val="00A30A30"/>
    <w:rsid w:val="00A30AAE"/>
    <w:rsid w:val="00A30BC6"/>
    <w:rsid w:val="00A30BFE"/>
    <w:rsid w:val="00A30C58"/>
    <w:rsid w:val="00A30CFB"/>
    <w:rsid w:val="00A310D0"/>
    <w:rsid w:val="00A3119C"/>
    <w:rsid w:val="00A312FF"/>
    <w:rsid w:val="00A31522"/>
    <w:rsid w:val="00A31543"/>
    <w:rsid w:val="00A31545"/>
    <w:rsid w:val="00A3154A"/>
    <w:rsid w:val="00A31627"/>
    <w:rsid w:val="00A318B8"/>
    <w:rsid w:val="00A319E4"/>
    <w:rsid w:val="00A31A88"/>
    <w:rsid w:val="00A31B12"/>
    <w:rsid w:val="00A31B8E"/>
    <w:rsid w:val="00A31C21"/>
    <w:rsid w:val="00A31CF1"/>
    <w:rsid w:val="00A31D1C"/>
    <w:rsid w:val="00A31DC1"/>
    <w:rsid w:val="00A31F00"/>
    <w:rsid w:val="00A3202D"/>
    <w:rsid w:val="00A3208E"/>
    <w:rsid w:val="00A3216D"/>
    <w:rsid w:val="00A323E3"/>
    <w:rsid w:val="00A32410"/>
    <w:rsid w:val="00A324EC"/>
    <w:rsid w:val="00A3272D"/>
    <w:rsid w:val="00A32821"/>
    <w:rsid w:val="00A3287F"/>
    <w:rsid w:val="00A328AA"/>
    <w:rsid w:val="00A328B9"/>
    <w:rsid w:val="00A32C99"/>
    <w:rsid w:val="00A32CE5"/>
    <w:rsid w:val="00A32D6F"/>
    <w:rsid w:val="00A32E15"/>
    <w:rsid w:val="00A32EC5"/>
    <w:rsid w:val="00A32F30"/>
    <w:rsid w:val="00A33065"/>
    <w:rsid w:val="00A33076"/>
    <w:rsid w:val="00A3319C"/>
    <w:rsid w:val="00A332C7"/>
    <w:rsid w:val="00A333F7"/>
    <w:rsid w:val="00A334F5"/>
    <w:rsid w:val="00A3360E"/>
    <w:rsid w:val="00A33687"/>
    <w:rsid w:val="00A33972"/>
    <w:rsid w:val="00A33B4C"/>
    <w:rsid w:val="00A33B69"/>
    <w:rsid w:val="00A33CBA"/>
    <w:rsid w:val="00A33DCE"/>
    <w:rsid w:val="00A33F71"/>
    <w:rsid w:val="00A3425C"/>
    <w:rsid w:val="00A34521"/>
    <w:rsid w:val="00A346B5"/>
    <w:rsid w:val="00A346DA"/>
    <w:rsid w:val="00A346F1"/>
    <w:rsid w:val="00A3485C"/>
    <w:rsid w:val="00A34903"/>
    <w:rsid w:val="00A34938"/>
    <w:rsid w:val="00A34B27"/>
    <w:rsid w:val="00A34BFB"/>
    <w:rsid w:val="00A34D31"/>
    <w:rsid w:val="00A34F92"/>
    <w:rsid w:val="00A3529E"/>
    <w:rsid w:val="00A352A5"/>
    <w:rsid w:val="00A35304"/>
    <w:rsid w:val="00A35516"/>
    <w:rsid w:val="00A35640"/>
    <w:rsid w:val="00A35649"/>
    <w:rsid w:val="00A35A1E"/>
    <w:rsid w:val="00A35AA7"/>
    <w:rsid w:val="00A35CF0"/>
    <w:rsid w:val="00A35EC0"/>
    <w:rsid w:val="00A35EF3"/>
    <w:rsid w:val="00A35F0E"/>
    <w:rsid w:val="00A35F12"/>
    <w:rsid w:val="00A36009"/>
    <w:rsid w:val="00A360A7"/>
    <w:rsid w:val="00A360C3"/>
    <w:rsid w:val="00A36151"/>
    <w:rsid w:val="00A361E6"/>
    <w:rsid w:val="00A36220"/>
    <w:rsid w:val="00A36439"/>
    <w:rsid w:val="00A36495"/>
    <w:rsid w:val="00A36509"/>
    <w:rsid w:val="00A36572"/>
    <w:rsid w:val="00A365D1"/>
    <w:rsid w:val="00A365F0"/>
    <w:rsid w:val="00A3662A"/>
    <w:rsid w:val="00A36686"/>
    <w:rsid w:val="00A36810"/>
    <w:rsid w:val="00A36871"/>
    <w:rsid w:val="00A368A2"/>
    <w:rsid w:val="00A369AF"/>
    <w:rsid w:val="00A369B8"/>
    <w:rsid w:val="00A369BF"/>
    <w:rsid w:val="00A36A41"/>
    <w:rsid w:val="00A36A88"/>
    <w:rsid w:val="00A36B22"/>
    <w:rsid w:val="00A36D6B"/>
    <w:rsid w:val="00A37112"/>
    <w:rsid w:val="00A37364"/>
    <w:rsid w:val="00A3739B"/>
    <w:rsid w:val="00A3750F"/>
    <w:rsid w:val="00A375CA"/>
    <w:rsid w:val="00A377EA"/>
    <w:rsid w:val="00A37828"/>
    <w:rsid w:val="00A37A40"/>
    <w:rsid w:val="00A37B83"/>
    <w:rsid w:val="00A37F2B"/>
    <w:rsid w:val="00A401A4"/>
    <w:rsid w:val="00A401E7"/>
    <w:rsid w:val="00A4034A"/>
    <w:rsid w:val="00A404F8"/>
    <w:rsid w:val="00A4072A"/>
    <w:rsid w:val="00A4080D"/>
    <w:rsid w:val="00A40CFE"/>
    <w:rsid w:val="00A40EA2"/>
    <w:rsid w:val="00A40F3C"/>
    <w:rsid w:val="00A410D3"/>
    <w:rsid w:val="00A41304"/>
    <w:rsid w:val="00A415B0"/>
    <w:rsid w:val="00A41646"/>
    <w:rsid w:val="00A41817"/>
    <w:rsid w:val="00A41891"/>
    <w:rsid w:val="00A41921"/>
    <w:rsid w:val="00A419CB"/>
    <w:rsid w:val="00A41B5A"/>
    <w:rsid w:val="00A41C21"/>
    <w:rsid w:val="00A41E1E"/>
    <w:rsid w:val="00A41E4E"/>
    <w:rsid w:val="00A41E5E"/>
    <w:rsid w:val="00A41F74"/>
    <w:rsid w:val="00A41FAC"/>
    <w:rsid w:val="00A4214E"/>
    <w:rsid w:val="00A424B5"/>
    <w:rsid w:val="00A42656"/>
    <w:rsid w:val="00A426A9"/>
    <w:rsid w:val="00A42706"/>
    <w:rsid w:val="00A4272E"/>
    <w:rsid w:val="00A427A2"/>
    <w:rsid w:val="00A427E3"/>
    <w:rsid w:val="00A42828"/>
    <w:rsid w:val="00A42AA3"/>
    <w:rsid w:val="00A42AFD"/>
    <w:rsid w:val="00A42C33"/>
    <w:rsid w:val="00A42CFA"/>
    <w:rsid w:val="00A42D67"/>
    <w:rsid w:val="00A42D7A"/>
    <w:rsid w:val="00A42EFD"/>
    <w:rsid w:val="00A42F3E"/>
    <w:rsid w:val="00A4303D"/>
    <w:rsid w:val="00A43061"/>
    <w:rsid w:val="00A430AF"/>
    <w:rsid w:val="00A43208"/>
    <w:rsid w:val="00A433BC"/>
    <w:rsid w:val="00A43429"/>
    <w:rsid w:val="00A4343A"/>
    <w:rsid w:val="00A43454"/>
    <w:rsid w:val="00A43466"/>
    <w:rsid w:val="00A436AA"/>
    <w:rsid w:val="00A436F5"/>
    <w:rsid w:val="00A43A54"/>
    <w:rsid w:val="00A43A5C"/>
    <w:rsid w:val="00A43B77"/>
    <w:rsid w:val="00A43B86"/>
    <w:rsid w:val="00A43BA7"/>
    <w:rsid w:val="00A43BD1"/>
    <w:rsid w:val="00A43C78"/>
    <w:rsid w:val="00A43CF3"/>
    <w:rsid w:val="00A43D66"/>
    <w:rsid w:val="00A43D71"/>
    <w:rsid w:val="00A43E0E"/>
    <w:rsid w:val="00A43EF3"/>
    <w:rsid w:val="00A43FBD"/>
    <w:rsid w:val="00A43FE0"/>
    <w:rsid w:val="00A44053"/>
    <w:rsid w:val="00A44286"/>
    <w:rsid w:val="00A4430F"/>
    <w:rsid w:val="00A44364"/>
    <w:rsid w:val="00A44607"/>
    <w:rsid w:val="00A44801"/>
    <w:rsid w:val="00A44835"/>
    <w:rsid w:val="00A44857"/>
    <w:rsid w:val="00A44BEE"/>
    <w:rsid w:val="00A44CC3"/>
    <w:rsid w:val="00A44E17"/>
    <w:rsid w:val="00A44E8D"/>
    <w:rsid w:val="00A44F28"/>
    <w:rsid w:val="00A4502F"/>
    <w:rsid w:val="00A4505D"/>
    <w:rsid w:val="00A4511A"/>
    <w:rsid w:val="00A4516B"/>
    <w:rsid w:val="00A451C8"/>
    <w:rsid w:val="00A4542E"/>
    <w:rsid w:val="00A45436"/>
    <w:rsid w:val="00A4544D"/>
    <w:rsid w:val="00A45669"/>
    <w:rsid w:val="00A45688"/>
    <w:rsid w:val="00A456E9"/>
    <w:rsid w:val="00A45B86"/>
    <w:rsid w:val="00A45C49"/>
    <w:rsid w:val="00A45C5E"/>
    <w:rsid w:val="00A45CB4"/>
    <w:rsid w:val="00A45E6E"/>
    <w:rsid w:val="00A45ED1"/>
    <w:rsid w:val="00A4603F"/>
    <w:rsid w:val="00A46287"/>
    <w:rsid w:val="00A462C6"/>
    <w:rsid w:val="00A4636C"/>
    <w:rsid w:val="00A46392"/>
    <w:rsid w:val="00A4647A"/>
    <w:rsid w:val="00A4657B"/>
    <w:rsid w:val="00A465D0"/>
    <w:rsid w:val="00A466FE"/>
    <w:rsid w:val="00A46A79"/>
    <w:rsid w:val="00A46AB1"/>
    <w:rsid w:val="00A46B42"/>
    <w:rsid w:val="00A46BBC"/>
    <w:rsid w:val="00A46C18"/>
    <w:rsid w:val="00A46D00"/>
    <w:rsid w:val="00A46D3F"/>
    <w:rsid w:val="00A46DA9"/>
    <w:rsid w:val="00A46DBD"/>
    <w:rsid w:val="00A46ED6"/>
    <w:rsid w:val="00A46EF1"/>
    <w:rsid w:val="00A47109"/>
    <w:rsid w:val="00A47193"/>
    <w:rsid w:val="00A47201"/>
    <w:rsid w:val="00A47296"/>
    <w:rsid w:val="00A475EE"/>
    <w:rsid w:val="00A47737"/>
    <w:rsid w:val="00A477D2"/>
    <w:rsid w:val="00A47A11"/>
    <w:rsid w:val="00A47C8C"/>
    <w:rsid w:val="00A47CEA"/>
    <w:rsid w:val="00A47D92"/>
    <w:rsid w:val="00A47DDA"/>
    <w:rsid w:val="00A47EE1"/>
    <w:rsid w:val="00A47F48"/>
    <w:rsid w:val="00A47FAE"/>
    <w:rsid w:val="00A50076"/>
    <w:rsid w:val="00A50097"/>
    <w:rsid w:val="00A500A4"/>
    <w:rsid w:val="00A5014D"/>
    <w:rsid w:val="00A50300"/>
    <w:rsid w:val="00A503BD"/>
    <w:rsid w:val="00A504AA"/>
    <w:rsid w:val="00A505A8"/>
    <w:rsid w:val="00A50690"/>
    <w:rsid w:val="00A50768"/>
    <w:rsid w:val="00A5077A"/>
    <w:rsid w:val="00A50859"/>
    <w:rsid w:val="00A5097A"/>
    <w:rsid w:val="00A50B94"/>
    <w:rsid w:val="00A50D0B"/>
    <w:rsid w:val="00A50DDB"/>
    <w:rsid w:val="00A50FF0"/>
    <w:rsid w:val="00A51007"/>
    <w:rsid w:val="00A51082"/>
    <w:rsid w:val="00A5109D"/>
    <w:rsid w:val="00A510B3"/>
    <w:rsid w:val="00A51100"/>
    <w:rsid w:val="00A51104"/>
    <w:rsid w:val="00A51158"/>
    <w:rsid w:val="00A5116E"/>
    <w:rsid w:val="00A511B3"/>
    <w:rsid w:val="00A511E6"/>
    <w:rsid w:val="00A51224"/>
    <w:rsid w:val="00A512D0"/>
    <w:rsid w:val="00A51364"/>
    <w:rsid w:val="00A513DD"/>
    <w:rsid w:val="00A514CD"/>
    <w:rsid w:val="00A51531"/>
    <w:rsid w:val="00A515F5"/>
    <w:rsid w:val="00A51750"/>
    <w:rsid w:val="00A5175B"/>
    <w:rsid w:val="00A5193A"/>
    <w:rsid w:val="00A51975"/>
    <w:rsid w:val="00A51A99"/>
    <w:rsid w:val="00A51C7B"/>
    <w:rsid w:val="00A51D77"/>
    <w:rsid w:val="00A51E0E"/>
    <w:rsid w:val="00A51E4A"/>
    <w:rsid w:val="00A51F74"/>
    <w:rsid w:val="00A51FC3"/>
    <w:rsid w:val="00A5217A"/>
    <w:rsid w:val="00A5218F"/>
    <w:rsid w:val="00A521AC"/>
    <w:rsid w:val="00A523C6"/>
    <w:rsid w:val="00A5247F"/>
    <w:rsid w:val="00A52515"/>
    <w:rsid w:val="00A52551"/>
    <w:rsid w:val="00A5259D"/>
    <w:rsid w:val="00A52660"/>
    <w:rsid w:val="00A527F2"/>
    <w:rsid w:val="00A5293A"/>
    <w:rsid w:val="00A52B55"/>
    <w:rsid w:val="00A52F11"/>
    <w:rsid w:val="00A5308A"/>
    <w:rsid w:val="00A5348E"/>
    <w:rsid w:val="00A534DC"/>
    <w:rsid w:val="00A5352D"/>
    <w:rsid w:val="00A53562"/>
    <w:rsid w:val="00A5357E"/>
    <w:rsid w:val="00A536C3"/>
    <w:rsid w:val="00A5378B"/>
    <w:rsid w:val="00A537A3"/>
    <w:rsid w:val="00A537F1"/>
    <w:rsid w:val="00A53805"/>
    <w:rsid w:val="00A53840"/>
    <w:rsid w:val="00A53855"/>
    <w:rsid w:val="00A53870"/>
    <w:rsid w:val="00A538A1"/>
    <w:rsid w:val="00A53944"/>
    <w:rsid w:val="00A53A40"/>
    <w:rsid w:val="00A53B31"/>
    <w:rsid w:val="00A53C5B"/>
    <w:rsid w:val="00A53C9E"/>
    <w:rsid w:val="00A53CE7"/>
    <w:rsid w:val="00A541E8"/>
    <w:rsid w:val="00A54246"/>
    <w:rsid w:val="00A54295"/>
    <w:rsid w:val="00A543B5"/>
    <w:rsid w:val="00A546E5"/>
    <w:rsid w:val="00A54751"/>
    <w:rsid w:val="00A547D2"/>
    <w:rsid w:val="00A548FE"/>
    <w:rsid w:val="00A54B0C"/>
    <w:rsid w:val="00A54B90"/>
    <w:rsid w:val="00A54D48"/>
    <w:rsid w:val="00A54DE3"/>
    <w:rsid w:val="00A54E4A"/>
    <w:rsid w:val="00A5520B"/>
    <w:rsid w:val="00A5567F"/>
    <w:rsid w:val="00A556AC"/>
    <w:rsid w:val="00A557C6"/>
    <w:rsid w:val="00A557E2"/>
    <w:rsid w:val="00A55A4E"/>
    <w:rsid w:val="00A55B65"/>
    <w:rsid w:val="00A55D2D"/>
    <w:rsid w:val="00A55F51"/>
    <w:rsid w:val="00A56034"/>
    <w:rsid w:val="00A56139"/>
    <w:rsid w:val="00A561D1"/>
    <w:rsid w:val="00A5621C"/>
    <w:rsid w:val="00A56238"/>
    <w:rsid w:val="00A562BE"/>
    <w:rsid w:val="00A565B2"/>
    <w:rsid w:val="00A566E8"/>
    <w:rsid w:val="00A56722"/>
    <w:rsid w:val="00A569BC"/>
    <w:rsid w:val="00A56A0C"/>
    <w:rsid w:val="00A56A5C"/>
    <w:rsid w:val="00A56AAD"/>
    <w:rsid w:val="00A56BC7"/>
    <w:rsid w:val="00A56BD9"/>
    <w:rsid w:val="00A56F0B"/>
    <w:rsid w:val="00A56FA4"/>
    <w:rsid w:val="00A57089"/>
    <w:rsid w:val="00A57427"/>
    <w:rsid w:val="00A574D4"/>
    <w:rsid w:val="00A575A3"/>
    <w:rsid w:val="00A576B4"/>
    <w:rsid w:val="00A577C1"/>
    <w:rsid w:val="00A579B9"/>
    <w:rsid w:val="00A57A8C"/>
    <w:rsid w:val="00A57B08"/>
    <w:rsid w:val="00A57C25"/>
    <w:rsid w:val="00A57C67"/>
    <w:rsid w:val="00A57E5D"/>
    <w:rsid w:val="00A57F83"/>
    <w:rsid w:val="00A60406"/>
    <w:rsid w:val="00A60449"/>
    <w:rsid w:val="00A604CD"/>
    <w:rsid w:val="00A60506"/>
    <w:rsid w:val="00A60526"/>
    <w:rsid w:val="00A605C2"/>
    <w:rsid w:val="00A60661"/>
    <w:rsid w:val="00A6068A"/>
    <w:rsid w:val="00A607EB"/>
    <w:rsid w:val="00A60820"/>
    <w:rsid w:val="00A609CB"/>
    <w:rsid w:val="00A60A78"/>
    <w:rsid w:val="00A60A8E"/>
    <w:rsid w:val="00A60C29"/>
    <w:rsid w:val="00A60C7D"/>
    <w:rsid w:val="00A60E8A"/>
    <w:rsid w:val="00A60F18"/>
    <w:rsid w:val="00A60F4C"/>
    <w:rsid w:val="00A60F6A"/>
    <w:rsid w:val="00A6129C"/>
    <w:rsid w:val="00A613E9"/>
    <w:rsid w:val="00A61511"/>
    <w:rsid w:val="00A61530"/>
    <w:rsid w:val="00A61594"/>
    <w:rsid w:val="00A61891"/>
    <w:rsid w:val="00A61A96"/>
    <w:rsid w:val="00A61B90"/>
    <w:rsid w:val="00A61B9F"/>
    <w:rsid w:val="00A61D15"/>
    <w:rsid w:val="00A61FA6"/>
    <w:rsid w:val="00A62003"/>
    <w:rsid w:val="00A622D0"/>
    <w:rsid w:val="00A6233E"/>
    <w:rsid w:val="00A62385"/>
    <w:rsid w:val="00A6246F"/>
    <w:rsid w:val="00A6262D"/>
    <w:rsid w:val="00A62643"/>
    <w:rsid w:val="00A62699"/>
    <w:rsid w:val="00A62760"/>
    <w:rsid w:val="00A627E3"/>
    <w:rsid w:val="00A628A1"/>
    <w:rsid w:val="00A62909"/>
    <w:rsid w:val="00A6299D"/>
    <w:rsid w:val="00A62C37"/>
    <w:rsid w:val="00A62C95"/>
    <w:rsid w:val="00A62CFA"/>
    <w:rsid w:val="00A62DA9"/>
    <w:rsid w:val="00A62FD9"/>
    <w:rsid w:val="00A62FED"/>
    <w:rsid w:val="00A6328E"/>
    <w:rsid w:val="00A632C7"/>
    <w:rsid w:val="00A6349F"/>
    <w:rsid w:val="00A63809"/>
    <w:rsid w:val="00A63829"/>
    <w:rsid w:val="00A6396B"/>
    <w:rsid w:val="00A639C5"/>
    <w:rsid w:val="00A63B42"/>
    <w:rsid w:val="00A63C69"/>
    <w:rsid w:val="00A63C78"/>
    <w:rsid w:val="00A63C92"/>
    <w:rsid w:val="00A63D5B"/>
    <w:rsid w:val="00A63EA1"/>
    <w:rsid w:val="00A64076"/>
    <w:rsid w:val="00A64176"/>
    <w:rsid w:val="00A6483F"/>
    <w:rsid w:val="00A64848"/>
    <w:rsid w:val="00A648EE"/>
    <w:rsid w:val="00A64A14"/>
    <w:rsid w:val="00A64A93"/>
    <w:rsid w:val="00A64B22"/>
    <w:rsid w:val="00A64CF0"/>
    <w:rsid w:val="00A64F70"/>
    <w:rsid w:val="00A64FDE"/>
    <w:rsid w:val="00A65028"/>
    <w:rsid w:val="00A65053"/>
    <w:rsid w:val="00A65166"/>
    <w:rsid w:val="00A652CD"/>
    <w:rsid w:val="00A65554"/>
    <w:rsid w:val="00A656B1"/>
    <w:rsid w:val="00A656BC"/>
    <w:rsid w:val="00A656D6"/>
    <w:rsid w:val="00A656E2"/>
    <w:rsid w:val="00A65805"/>
    <w:rsid w:val="00A65880"/>
    <w:rsid w:val="00A6593C"/>
    <w:rsid w:val="00A6596C"/>
    <w:rsid w:val="00A6597F"/>
    <w:rsid w:val="00A65A80"/>
    <w:rsid w:val="00A65A9F"/>
    <w:rsid w:val="00A65AAA"/>
    <w:rsid w:val="00A65C3B"/>
    <w:rsid w:val="00A65CC6"/>
    <w:rsid w:val="00A65CD8"/>
    <w:rsid w:val="00A65D0B"/>
    <w:rsid w:val="00A65D9B"/>
    <w:rsid w:val="00A65DFD"/>
    <w:rsid w:val="00A65E3C"/>
    <w:rsid w:val="00A65ED1"/>
    <w:rsid w:val="00A65F89"/>
    <w:rsid w:val="00A660CC"/>
    <w:rsid w:val="00A66348"/>
    <w:rsid w:val="00A66353"/>
    <w:rsid w:val="00A66435"/>
    <w:rsid w:val="00A66577"/>
    <w:rsid w:val="00A6658C"/>
    <w:rsid w:val="00A666AC"/>
    <w:rsid w:val="00A66988"/>
    <w:rsid w:val="00A66A8A"/>
    <w:rsid w:val="00A66B1F"/>
    <w:rsid w:val="00A66C6C"/>
    <w:rsid w:val="00A66D46"/>
    <w:rsid w:val="00A6701A"/>
    <w:rsid w:val="00A6717F"/>
    <w:rsid w:val="00A67410"/>
    <w:rsid w:val="00A67488"/>
    <w:rsid w:val="00A67555"/>
    <w:rsid w:val="00A675CF"/>
    <w:rsid w:val="00A675D3"/>
    <w:rsid w:val="00A6762D"/>
    <w:rsid w:val="00A6777F"/>
    <w:rsid w:val="00A67968"/>
    <w:rsid w:val="00A679C5"/>
    <w:rsid w:val="00A67A16"/>
    <w:rsid w:val="00A67A46"/>
    <w:rsid w:val="00A67A69"/>
    <w:rsid w:val="00A67B50"/>
    <w:rsid w:val="00A67C22"/>
    <w:rsid w:val="00A67CA8"/>
    <w:rsid w:val="00A67CDE"/>
    <w:rsid w:val="00A67DC7"/>
    <w:rsid w:val="00A67FAC"/>
    <w:rsid w:val="00A7025B"/>
    <w:rsid w:val="00A70305"/>
    <w:rsid w:val="00A70336"/>
    <w:rsid w:val="00A7035A"/>
    <w:rsid w:val="00A705CE"/>
    <w:rsid w:val="00A70716"/>
    <w:rsid w:val="00A70761"/>
    <w:rsid w:val="00A707F8"/>
    <w:rsid w:val="00A70A98"/>
    <w:rsid w:val="00A70D86"/>
    <w:rsid w:val="00A71021"/>
    <w:rsid w:val="00A7103B"/>
    <w:rsid w:val="00A710A8"/>
    <w:rsid w:val="00A712AE"/>
    <w:rsid w:val="00A71345"/>
    <w:rsid w:val="00A713E6"/>
    <w:rsid w:val="00A714B0"/>
    <w:rsid w:val="00A71580"/>
    <w:rsid w:val="00A71591"/>
    <w:rsid w:val="00A71592"/>
    <w:rsid w:val="00A715F4"/>
    <w:rsid w:val="00A7192F"/>
    <w:rsid w:val="00A71A23"/>
    <w:rsid w:val="00A71A80"/>
    <w:rsid w:val="00A71B72"/>
    <w:rsid w:val="00A71B8A"/>
    <w:rsid w:val="00A71EB0"/>
    <w:rsid w:val="00A71FCC"/>
    <w:rsid w:val="00A7271F"/>
    <w:rsid w:val="00A727EB"/>
    <w:rsid w:val="00A72B31"/>
    <w:rsid w:val="00A72CD4"/>
    <w:rsid w:val="00A72EDE"/>
    <w:rsid w:val="00A73016"/>
    <w:rsid w:val="00A7313E"/>
    <w:rsid w:val="00A73561"/>
    <w:rsid w:val="00A73699"/>
    <w:rsid w:val="00A736CF"/>
    <w:rsid w:val="00A73770"/>
    <w:rsid w:val="00A73C2F"/>
    <w:rsid w:val="00A73CC3"/>
    <w:rsid w:val="00A73DC4"/>
    <w:rsid w:val="00A73EA9"/>
    <w:rsid w:val="00A73FA3"/>
    <w:rsid w:val="00A7423A"/>
    <w:rsid w:val="00A742D0"/>
    <w:rsid w:val="00A7430F"/>
    <w:rsid w:val="00A74489"/>
    <w:rsid w:val="00A744B4"/>
    <w:rsid w:val="00A744DB"/>
    <w:rsid w:val="00A74745"/>
    <w:rsid w:val="00A74B34"/>
    <w:rsid w:val="00A74B40"/>
    <w:rsid w:val="00A74B81"/>
    <w:rsid w:val="00A74C47"/>
    <w:rsid w:val="00A74C9A"/>
    <w:rsid w:val="00A74D76"/>
    <w:rsid w:val="00A74DB1"/>
    <w:rsid w:val="00A74F59"/>
    <w:rsid w:val="00A75085"/>
    <w:rsid w:val="00A751D0"/>
    <w:rsid w:val="00A7557E"/>
    <w:rsid w:val="00A7588C"/>
    <w:rsid w:val="00A7589A"/>
    <w:rsid w:val="00A75AC6"/>
    <w:rsid w:val="00A75C1B"/>
    <w:rsid w:val="00A75D6C"/>
    <w:rsid w:val="00A75DA9"/>
    <w:rsid w:val="00A75EB9"/>
    <w:rsid w:val="00A75FDA"/>
    <w:rsid w:val="00A76333"/>
    <w:rsid w:val="00A7635F"/>
    <w:rsid w:val="00A763F7"/>
    <w:rsid w:val="00A76460"/>
    <w:rsid w:val="00A764B4"/>
    <w:rsid w:val="00A765F6"/>
    <w:rsid w:val="00A766C4"/>
    <w:rsid w:val="00A7672A"/>
    <w:rsid w:val="00A76B04"/>
    <w:rsid w:val="00A76C0E"/>
    <w:rsid w:val="00A76C80"/>
    <w:rsid w:val="00A76D37"/>
    <w:rsid w:val="00A76E69"/>
    <w:rsid w:val="00A76ECD"/>
    <w:rsid w:val="00A76F65"/>
    <w:rsid w:val="00A77034"/>
    <w:rsid w:val="00A77049"/>
    <w:rsid w:val="00A77060"/>
    <w:rsid w:val="00A77094"/>
    <w:rsid w:val="00A770D1"/>
    <w:rsid w:val="00A77393"/>
    <w:rsid w:val="00A7750F"/>
    <w:rsid w:val="00A77536"/>
    <w:rsid w:val="00A77541"/>
    <w:rsid w:val="00A77665"/>
    <w:rsid w:val="00A776ED"/>
    <w:rsid w:val="00A77877"/>
    <w:rsid w:val="00A77952"/>
    <w:rsid w:val="00A7798B"/>
    <w:rsid w:val="00A77B55"/>
    <w:rsid w:val="00A77C1D"/>
    <w:rsid w:val="00A77C2D"/>
    <w:rsid w:val="00A77C9A"/>
    <w:rsid w:val="00A77D9C"/>
    <w:rsid w:val="00A77DDC"/>
    <w:rsid w:val="00A800A4"/>
    <w:rsid w:val="00A801F5"/>
    <w:rsid w:val="00A8024A"/>
    <w:rsid w:val="00A80287"/>
    <w:rsid w:val="00A803BD"/>
    <w:rsid w:val="00A8048C"/>
    <w:rsid w:val="00A8053C"/>
    <w:rsid w:val="00A80744"/>
    <w:rsid w:val="00A80784"/>
    <w:rsid w:val="00A807DA"/>
    <w:rsid w:val="00A80877"/>
    <w:rsid w:val="00A808D6"/>
    <w:rsid w:val="00A809C7"/>
    <w:rsid w:val="00A80AF1"/>
    <w:rsid w:val="00A80B21"/>
    <w:rsid w:val="00A80C3C"/>
    <w:rsid w:val="00A80D1B"/>
    <w:rsid w:val="00A80D82"/>
    <w:rsid w:val="00A80DD7"/>
    <w:rsid w:val="00A80E4A"/>
    <w:rsid w:val="00A80F6B"/>
    <w:rsid w:val="00A81023"/>
    <w:rsid w:val="00A81301"/>
    <w:rsid w:val="00A81403"/>
    <w:rsid w:val="00A81466"/>
    <w:rsid w:val="00A81568"/>
    <w:rsid w:val="00A8157D"/>
    <w:rsid w:val="00A8162D"/>
    <w:rsid w:val="00A8164D"/>
    <w:rsid w:val="00A8168B"/>
    <w:rsid w:val="00A81775"/>
    <w:rsid w:val="00A819C1"/>
    <w:rsid w:val="00A81CE7"/>
    <w:rsid w:val="00A81D2E"/>
    <w:rsid w:val="00A81D45"/>
    <w:rsid w:val="00A81D98"/>
    <w:rsid w:val="00A81D9C"/>
    <w:rsid w:val="00A820E8"/>
    <w:rsid w:val="00A82267"/>
    <w:rsid w:val="00A82367"/>
    <w:rsid w:val="00A8236C"/>
    <w:rsid w:val="00A8238C"/>
    <w:rsid w:val="00A825BD"/>
    <w:rsid w:val="00A825E8"/>
    <w:rsid w:val="00A82669"/>
    <w:rsid w:val="00A82BDC"/>
    <w:rsid w:val="00A82BFE"/>
    <w:rsid w:val="00A82C13"/>
    <w:rsid w:val="00A82CA6"/>
    <w:rsid w:val="00A82D89"/>
    <w:rsid w:val="00A82E9A"/>
    <w:rsid w:val="00A8305D"/>
    <w:rsid w:val="00A8328C"/>
    <w:rsid w:val="00A832D9"/>
    <w:rsid w:val="00A833AD"/>
    <w:rsid w:val="00A833C9"/>
    <w:rsid w:val="00A8343F"/>
    <w:rsid w:val="00A83458"/>
    <w:rsid w:val="00A83486"/>
    <w:rsid w:val="00A83499"/>
    <w:rsid w:val="00A835AE"/>
    <w:rsid w:val="00A83686"/>
    <w:rsid w:val="00A836A0"/>
    <w:rsid w:val="00A83735"/>
    <w:rsid w:val="00A8384B"/>
    <w:rsid w:val="00A83BDD"/>
    <w:rsid w:val="00A83CA9"/>
    <w:rsid w:val="00A83DCD"/>
    <w:rsid w:val="00A83F90"/>
    <w:rsid w:val="00A83FEF"/>
    <w:rsid w:val="00A84055"/>
    <w:rsid w:val="00A841C0"/>
    <w:rsid w:val="00A8425E"/>
    <w:rsid w:val="00A84316"/>
    <w:rsid w:val="00A8431B"/>
    <w:rsid w:val="00A8432A"/>
    <w:rsid w:val="00A84378"/>
    <w:rsid w:val="00A844BA"/>
    <w:rsid w:val="00A84615"/>
    <w:rsid w:val="00A846A8"/>
    <w:rsid w:val="00A846C9"/>
    <w:rsid w:val="00A84772"/>
    <w:rsid w:val="00A84832"/>
    <w:rsid w:val="00A84914"/>
    <w:rsid w:val="00A84A47"/>
    <w:rsid w:val="00A84AA8"/>
    <w:rsid w:val="00A84ABA"/>
    <w:rsid w:val="00A84AD8"/>
    <w:rsid w:val="00A84B09"/>
    <w:rsid w:val="00A84B73"/>
    <w:rsid w:val="00A84B8B"/>
    <w:rsid w:val="00A84BA0"/>
    <w:rsid w:val="00A84CF2"/>
    <w:rsid w:val="00A84D09"/>
    <w:rsid w:val="00A84DCB"/>
    <w:rsid w:val="00A84FB6"/>
    <w:rsid w:val="00A84FBF"/>
    <w:rsid w:val="00A84FCE"/>
    <w:rsid w:val="00A85122"/>
    <w:rsid w:val="00A851E0"/>
    <w:rsid w:val="00A85227"/>
    <w:rsid w:val="00A8541A"/>
    <w:rsid w:val="00A85513"/>
    <w:rsid w:val="00A8563B"/>
    <w:rsid w:val="00A85C28"/>
    <w:rsid w:val="00A85C93"/>
    <w:rsid w:val="00A85CA7"/>
    <w:rsid w:val="00A85CC9"/>
    <w:rsid w:val="00A85D01"/>
    <w:rsid w:val="00A85D8A"/>
    <w:rsid w:val="00A85F9C"/>
    <w:rsid w:val="00A86167"/>
    <w:rsid w:val="00A8639E"/>
    <w:rsid w:val="00A86483"/>
    <w:rsid w:val="00A866B3"/>
    <w:rsid w:val="00A866C7"/>
    <w:rsid w:val="00A86815"/>
    <w:rsid w:val="00A86858"/>
    <w:rsid w:val="00A8686B"/>
    <w:rsid w:val="00A86A19"/>
    <w:rsid w:val="00A86B31"/>
    <w:rsid w:val="00A86C7C"/>
    <w:rsid w:val="00A86CC8"/>
    <w:rsid w:val="00A86D25"/>
    <w:rsid w:val="00A86D53"/>
    <w:rsid w:val="00A86F50"/>
    <w:rsid w:val="00A86F6D"/>
    <w:rsid w:val="00A871A7"/>
    <w:rsid w:val="00A871CF"/>
    <w:rsid w:val="00A87225"/>
    <w:rsid w:val="00A875EC"/>
    <w:rsid w:val="00A876A9"/>
    <w:rsid w:val="00A876E9"/>
    <w:rsid w:val="00A876F7"/>
    <w:rsid w:val="00A87AA6"/>
    <w:rsid w:val="00A87ACA"/>
    <w:rsid w:val="00A87DCE"/>
    <w:rsid w:val="00A87E79"/>
    <w:rsid w:val="00A87EDB"/>
    <w:rsid w:val="00A900C5"/>
    <w:rsid w:val="00A901FE"/>
    <w:rsid w:val="00A9022A"/>
    <w:rsid w:val="00A90395"/>
    <w:rsid w:val="00A906B6"/>
    <w:rsid w:val="00A908A1"/>
    <w:rsid w:val="00A90AAA"/>
    <w:rsid w:val="00A90D80"/>
    <w:rsid w:val="00A91038"/>
    <w:rsid w:val="00A91077"/>
    <w:rsid w:val="00A910E4"/>
    <w:rsid w:val="00A912D0"/>
    <w:rsid w:val="00A9167A"/>
    <w:rsid w:val="00A9175E"/>
    <w:rsid w:val="00A91A10"/>
    <w:rsid w:val="00A91A38"/>
    <w:rsid w:val="00A91D63"/>
    <w:rsid w:val="00A91DC8"/>
    <w:rsid w:val="00A9212E"/>
    <w:rsid w:val="00A92231"/>
    <w:rsid w:val="00A923CF"/>
    <w:rsid w:val="00A9252C"/>
    <w:rsid w:val="00A9254C"/>
    <w:rsid w:val="00A926BD"/>
    <w:rsid w:val="00A92726"/>
    <w:rsid w:val="00A92770"/>
    <w:rsid w:val="00A927CF"/>
    <w:rsid w:val="00A92865"/>
    <w:rsid w:val="00A9288E"/>
    <w:rsid w:val="00A928C0"/>
    <w:rsid w:val="00A92960"/>
    <w:rsid w:val="00A92A52"/>
    <w:rsid w:val="00A92AAD"/>
    <w:rsid w:val="00A92DBB"/>
    <w:rsid w:val="00A92DEF"/>
    <w:rsid w:val="00A92DF7"/>
    <w:rsid w:val="00A92EB3"/>
    <w:rsid w:val="00A92F00"/>
    <w:rsid w:val="00A9304A"/>
    <w:rsid w:val="00A93103"/>
    <w:rsid w:val="00A93141"/>
    <w:rsid w:val="00A933AF"/>
    <w:rsid w:val="00A93530"/>
    <w:rsid w:val="00A935F2"/>
    <w:rsid w:val="00A9373B"/>
    <w:rsid w:val="00A937DC"/>
    <w:rsid w:val="00A93885"/>
    <w:rsid w:val="00A93886"/>
    <w:rsid w:val="00A938FE"/>
    <w:rsid w:val="00A9393A"/>
    <w:rsid w:val="00A939E1"/>
    <w:rsid w:val="00A939FB"/>
    <w:rsid w:val="00A93AE3"/>
    <w:rsid w:val="00A93D41"/>
    <w:rsid w:val="00A93FD7"/>
    <w:rsid w:val="00A94308"/>
    <w:rsid w:val="00A944DC"/>
    <w:rsid w:val="00A9472E"/>
    <w:rsid w:val="00A94934"/>
    <w:rsid w:val="00A94A9E"/>
    <w:rsid w:val="00A94BE3"/>
    <w:rsid w:val="00A94C0E"/>
    <w:rsid w:val="00A94C93"/>
    <w:rsid w:val="00A94CC4"/>
    <w:rsid w:val="00A94D05"/>
    <w:rsid w:val="00A94DDA"/>
    <w:rsid w:val="00A94E41"/>
    <w:rsid w:val="00A94EA7"/>
    <w:rsid w:val="00A94F35"/>
    <w:rsid w:val="00A9510A"/>
    <w:rsid w:val="00A9514A"/>
    <w:rsid w:val="00A95284"/>
    <w:rsid w:val="00A95317"/>
    <w:rsid w:val="00A95A97"/>
    <w:rsid w:val="00A95C53"/>
    <w:rsid w:val="00A95C99"/>
    <w:rsid w:val="00A95DA6"/>
    <w:rsid w:val="00A95F48"/>
    <w:rsid w:val="00A96189"/>
    <w:rsid w:val="00A96409"/>
    <w:rsid w:val="00A96496"/>
    <w:rsid w:val="00A965AB"/>
    <w:rsid w:val="00A967AE"/>
    <w:rsid w:val="00A9681A"/>
    <w:rsid w:val="00A968EA"/>
    <w:rsid w:val="00A96901"/>
    <w:rsid w:val="00A9690C"/>
    <w:rsid w:val="00A969B3"/>
    <w:rsid w:val="00A96A58"/>
    <w:rsid w:val="00A96B5E"/>
    <w:rsid w:val="00A96C01"/>
    <w:rsid w:val="00A96D3A"/>
    <w:rsid w:val="00A96EC4"/>
    <w:rsid w:val="00A96F71"/>
    <w:rsid w:val="00A96FBC"/>
    <w:rsid w:val="00A96FE8"/>
    <w:rsid w:val="00A970A7"/>
    <w:rsid w:val="00A971B9"/>
    <w:rsid w:val="00A971CE"/>
    <w:rsid w:val="00A971E0"/>
    <w:rsid w:val="00A97253"/>
    <w:rsid w:val="00A9729D"/>
    <w:rsid w:val="00A972D5"/>
    <w:rsid w:val="00A972EF"/>
    <w:rsid w:val="00A97413"/>
    <w:rsid w:val="00A97439"/>
    <w:rsid w:val="00A975AB"/>
    <w:rsid w:val="00A975C4"/>
    <w:rsid w:val="00A975E0"/>
    <w:rsid w:val="00A9760A"/>
    <w:rsid w:val="00A976E5"/>
    <w:rsid w:val="00A97712"/>
    <w:rsid w:val="00A9795B"/>
    <w:rsid w:val="00A979BD"/>
    <w:rsid w:val="00A97B16"/>
    <w:rsid w:val="00A97B83"/>
    <w:rsid w:val="00A97BC0"/>
    <w:rsid w:val="00A97CFC"/>
    <w:rsid w:val="00A97D62"/>
    <w:rsid w:val="00A97E5D"/>
    <w:rsid w:val="00A97F33"/>
    <w:rsid w:val="00A97FFA"/>
    <w:rsid w:val="00AA00E5"/>
    <w:rsid w:val="00AA0192"/>
    <w:rsid w:val="00AA0242"/>
    <w:rsid w:val="00AA039E"/>
    <w:rsid w:val="00AA05E3"/>
    <w:rsid w:val="00AA05FA"/>
    <w:rsid w:val="00AA063A"/>
    <w:rsid w:val="00AA06C8"/>
    <w:rsid w:val="00AA0830"/>
    <w:rsid w:val="00AA085D"/>
    <w:rsid w:val="00AA089D"/>
    <w:rsid w:val="00AA09EF"/>
    <w:rsid w:val="00AA0A4E"/>
    <w:rsid w:val="00AA0A4F"/>
    <w:rsid w:val="00AA0C35"/>
    <w:rsid w:val="00AA0D8F"/>
    <w:rsid w:val="00AA0F8D"/>
    <w:rsid w:val="00AA11FA"/>
    <w:rsid w:val="00AA180E"/>
    <w:rsid w:val="00AA18EC"/>
    <w:rsid w:val="00AA1C8E"/>
    <w:rsid w:val="00AA1E27"/>
    <w:rsid w:val="00AA20E3"/>
    <w:rsid w:val="00AA2223"/>
    <w:rsid w:val="00AA2286"/>
    <w:rsid w:val="00AA235A"/>
    <w:rsid w:val="00AA2639"/>
    <w:rsid w:val="00AA2A8E"/>
    <w:rsid w:val="00AA2B87"/>
    <w:rsid w:val="00AA2B8A"/>
    <w:rsid w:val="00AA2C46"/>
    <w:rsid w:val="00AA2DCA"/>
    <w:rsid w:val="00AA30D8"/>
    <w:rsid w:val="00AA319D"/>
    <w:rsid w:val="00AA33B1"/>
    <w:rsid w:val="00AA33E0"/>
    <w:rsid w:val="00AA33F6"/>
    <w:rsid w:val="00AA34A6"/>
    <w:rsid w:val="00AA34AB"/>
    <w:rsid w:val="00AA3655"/>
    <w:rsid w:val="00AA37C4"/>
    <w:rsid w:val="00AA38DE"/>
    <w:rsid w:val="00AA3928"/>
    <w:rsid w:val="00AA3932"/>
    <w:rsid w:val="00AA3A14"/>
    <w:rsid w:val="00AA3B21"/>
    <w:rsid w:val="00AA3C95"/>
    <w:rsid w:val="00AA3CBA"/>
    <w:rsid w:val="00AA3D66"/>
    <w:rsid w:val="00AA3EA3"/>
    <w:rsid w:val="00AA3F5D"/>
    <w:rsid w:val="00AA410B"/>
    <w:rsid w:val="00AA4136"/>
    <w:rsid w:val="00AA41ED"/>
    <w:rsid w:val="00AA43F1"/>
    <w:rsid w:val="00AA4454"/>
    <w:rsid w:val="00AA44CF"/>
    <w:rsid w:val="00AA44FC"/>
    <w:rsid w:val="00AA4552"/>
    <w:rsid w:val="00AA4564"/>
    <w:rsid w:val="00AA4660"/>
    <w:rsid w:val="00AA46E4"/>
    <w:rsid w:val="00AA4BD4"/>
    <w:rsid w:val="00AA4C9E"/>
    <w:rsid w:val="00AA4D9D"/>
    <w:rsid w:val="00AA4DDD"/>
    <w:rsid w:val="00AA4E55"/>
    <w:rsid w:val="00AA51CA"/>
    <w:rsid w:val="00AA5463"/>
    <w:rsid w:val="00AA54F2"/>
    <w:rsid w:val="00AA5516"/>
    <w:rsid w:val="00AA594B"/>
    <w:rsid w:val="00AA59DF"/>
    <w:rsid w:val="00AA5D09"/>
    <w:rsid w:val="00AA5D6B"/>
    <w:rsid w:val="00AA5DA6"/>
    <w:rsid w:val="00AA6045"/>
    <w:rsid w:val="00AA6093"/>
    <w:rsid w:val="00AA63C5"/>
    <w:rsid w:val="00AA63E7"/>
    <w:rsid w:val="00AA6628"/>
    <w:rsid w:val="00AA66B0"/>
    <w:rsid w:val="00AA66F5"/>
    <w:rsid w:val="00AA672D"/>
    <w:rsid w:val="00AA676C"/>
    <w:rsid w:val="00AA68DA"/>
    <w:rsid w:val="00AA6941"/>
    <w:rsid w:val="00AA69AF"/>
    <w:rsid w:val="00AA6BCF"/>
    <w:rsid w:val="00AA6C77"/>
    <w:rsid w:val="00AA6D37"/>
    <w:rsid w:val="00AA6DAF"/>
    <w:rsid w:val="00AA6E95"/>
    <w:rsid w:val="00AA6EBB"/>
    <w:rsid w:val="00AA7075"/>
    <w:rsid w:val="00AA747F"/>
    <w:rsid w:val="00AA76BC"/>
    <w:rsid w:val="00AA776A"/>
    <w:rsid w:val="00AA77AA"/>
    <w:rsid w:val="00AA782B"/>
    <w:rsid w:val="00AA7A94"/>
    <w:rsid w:val="00AA7B87"/>
    <w:rsid w:val="00AA7BB3"/>
    <w:rsid w:val="00AA7E5D"/>
    <w:rsid w:val="00AB0069"/>
    <w:rsid w:val="00AB01FD"/>
    <w:rsid w:val="00AB0247"/>
    <w:rsid w:val="00AB02C6"/>
    <w:rsid w:val="00AB0392"/>
    <w:rsid w:val="00AB041A"/>
    <w:rsid w:val="00AB0616"/>
    <w:rsid w:val="00AB061F"/>
    <w:rsid w:val="00AB098E"/>
    <w:rsid w:val="00AB0C70"/>
    <w:rsid w:val="00AB0C7B"/>
    <w:rsid w:val="00AB0CDD"/>
    <w:rsid w:val="00AB0F4E"/>
    <w:rsid w:val="00AB10EE"/>
    <w:rsid w:val="00AB1166"/>
    <w:rsid w:val="00AB123F"/>
    <w:rsid w:val="00AB129F"/>
    <w:rsid w:val="00AB131C"/>
    <w:rsid w:val="00AB14B1"/>
    <w:rsid w:val="00AB155A"/>
    <w:rsid w:val="00AB15F4"/>
    <w:rsid w:val="00AB15FD"/>
    <w:rsid w:val="00AB1800"/>
    <w:rsid w:val="00AB1838"/>
    <w:rsid w:val="00AB1985"/>
    <w:rsid w:val="00AB1A2A"/>
    <w:rsid w:val="00AB1A36"/>
    <w:rsid w:val="00AB1A54"/>
    <w:rsid w:val="00AB1B29"/>
    <w:rsid w:val="00AB1BD6"/>
    <w:rsid w:val="00AB1BE7"/>
    <w:rsid w:val="00AB1C3E"/>
    <w:rsid w:val="00AB1F71"/>
    <w:rsid w:val="00AB203A"/>
    <w:rsid w:val="00AB236D"/>
    <w:rsid w:val="00AB23A2"/>
    <w:rsid w:val="00AB23D1"/>
    <w:rsid w:val="00AB254A"/>
    <w:rsid w:val="00AB260A"/>
    <w:rsid w:val="00AB278D"/>
    <w:rsid w:val="00AB27A4"/>
    <w:rsid w:val="00AB287F"/>
    <w:rsid w:val="00AB297F"/>
    <w:rsid w:val="00AB2BE5"/>
    <w:rsid w:val="00AB2CA8"/>
    <w:rsid w:val="00AB2E1F"/>
    <w:rsid w:val="00AB3108"/>
    <w:rsid w:val="00AB31C3"/>
    <w:rsid w:val="00AB325C"/>
    <w:rsid w:val="00AB32A6"/>
    <w:rsid w:val="00AB3316"/>
    <w:rsid w:val="00AB336B"/>
    <w:rsid w:val="00AB3477"/>
    <w:rsid w:val="00AB3503"/>
    <w:rsid w:val="00AB3630"/>
    <w:rsid w:val="00AB3A0F"/>
    <w:rsid w:val="00AB3AED"/>
    <w:rsid w:val="00AB3B5E"/>
    <w:rsid w:val="00AB3BF5"/>
    <w:rsid w:val="00AB3C5C"/>
    <w:rsid w:val="00AB40AE"/>
    <w:rsid w:val="00AB4229"/>
    <w:rsid w:val="00AB4266"/>
    <w:rsid w:val="00AB42E2"/>
    <w:rsid w:val="00AB4336"/>
    <w:rsid w:val="00AB4364"/>
    <w:rsid w:val="00AB43D1"/>
    <w:rsid w:val="00AB4419"/>
    <w:rsid w:val="00AB447A"/>
    <w:rsid w:val="00AB466D"/>
    <w:rsid w:val="00AB4701"/>
    <w:rsid w:val="00AB488D"/>
    <w:rsid w:val="00AB48BB"/>
    <w:rsid w:val="00AB490A"/>
    <w:rsid w:val="00AB491F"/>
    <w:rsid w:val="00AB4A49"/>
    <w:rsid w:val="00AB4AD3"/>
    <w:rsid w:val="00AB4B30"/>
    <w:rsid w:val="00AB4D2C"/>
    <w:rsid w:val="00AB4D6C"/>
    <w:rsid w:val="00AB5047"/>
    <w:rsid w:val="00AB51A1"/>
    <w:rsid w:val="00AB522A"/>
    <w:rsid w:val="00AB525B"/>
    <w:rsid w:val="00AB52BC"/>
    <w:rsid w:val="00AB550D"/>
    <w:rsid w:val="00AB5703"/>
    <w:rsid w:val="00AB577C"/>
    <w:rsid w:val="00AB5A48"/>
    <w:rsid w:val="00AB5A53"/>
    <w:rsid w:val="00AB5B1B"/>
    <w:rsid w:val="00AB5D34"/>
    <w:rsid w:val="00AB5D60"/>
    <w:rsid w:val="00AB5FCE"/>
    <w:rsid w:val="00AB6006"/>
    <w:rsid w:val="00AB6015"/>
    <w:rsid w:val="00AB60ED"/>
    <w:rsid w:val="00AB60FB"/>
    <w:rsid w:val="00AB60FE"/>
    <w:rsid w:val="00AB6200"/>
    <w:rsid w:val="00AB623B"/>
    <w:rsid w:val="00AB6297"/>
    <w:rsid w:val="00AB636D"/>
    <w:rsid w:val="00AB64C9"/>
    <w:rsid w:val="00AB6656"/>
    <w:rsid w:val="00AB66F3"/>
    <w:rsid w:val="00AB678A"/>
    <w:rsid w:val="00AB67DC"/>
    <w:rsid w:val="00AB69D9"/>
    <w:rsid w:val="00AB6ABF"/>
    <w:rsid w:val="00AB6AE3"/>
    <w:rsid w:val="00AB6D6B"/>
    <w:rsid w:val="00AB6DA1"/>
    <w:rsid w:val="00AB6EB6"/>
    <w:rsid w:val="00AB6EC0"/>
    <w:rsid w:val="00AB6F21"/>
    <w:rsid w:val="00AB6F39"/>
    <w:rsid w:val="00AB72B3"/>
    <w:rsid w:val="00AB738C"/>
    <w:rsid w:val="00AB7390"/>
    <w:rsid w:val="00AB73E9"/>
    <w:rsid w:val="00AB7511"/>
    <w:rsid w:val="00AB7835"/>
    <w:rsid w:val="00AB7B9E"/>
    <w:rsid w:val="00AB7CAA"/>
    <w:rsid w:val="00AB7D59"/>
    <w:rsid w:val="00AB7DE4"/>
    <w:rsid w:val="00AB7E7B"/>
    <w:rsid w:val="00AB7FF8"/>
    <w:rsid w:val="00AC00BE"/>
    <w:rsid w:val="00AC0276"/>
    <w:rsid w:val="00AC044C"/>
    <w:rsid w:val="00AC04E2"/>
    <w:rsid w:val="00AC0A39"/>
    <w:rsid w:val="00AC0B0A"/>
    <w:rsid w:val="00AC0B28"/>
    <w:rsid w:val="00AC0B30"/>
    <w:rsid w:val="00AC0C3F"/>
    <w:rsid w:val="00AC0CE0"/>
    <w:rsid w:val="00AC0CF4"/>
    <w:rsid w:val="00AC0CF6"/>
    <w:rsid w:val="00AC0D20"/>
    <w:rsid w:val="00AC0F65"/>
    <w:rsid w:val="00AC100E"/>
    <w:rsid w:val="00AC10DA"/>
    <w:rsid w:val="00AC12CF"/>
    <w:rsid w:val="00AC12D1"/>
    <w:rsid w:val="00AC13EE"/>
    <w:rsid w:val="00AC1414"/>
    <w:rsid w:val="00AC14E3"/>
    <w:rsid w:val="00AC16E3"/>
    <w:rsid w:val="00AC1731"/>
    <w:rsid w:val="00AC1782"/>
    <w:rsid w:val="00AC1970"/>
    <w:rsid w:val="00AC1D1C"/>
    <w:rsid w:val="00AC1DC0"/>
    <w:rsid w:val="00AC1FB4"/>
    <w:rsid w:val="00AC20E0"/>
    <w:rsid w:val="00AC21FB"/>
    <w:rsid w:val="00AC2328"/>
    <w:rsid w:val="00AC250B"/>
    <w:rsid w:val="00AC2885"/>
    <w:rsid w:val="00AC29C2"/>
    <w:rsid w:val="00AC29EA"/>
    <w:rsid w:val="00AC2C43"/>
    <w:rsid w:val="00AC2DFD"/>
    <w:rsid w:val="00AC30BE"/>
    <w:rsid w:val="00AC3185"/>
    <w:rsid w:val="00AC333C"/>
    <w:rsid w:val="00AC34B4"/>
    <w:rsid w:val="00AC3736"/>
    <w:rsid w:val="00AC3841"/>
    <w:rsid w:val="00AC3844"/>
    <w:rsid w:val="00AC393D"/>
    <w:rsid w:val="00AC39B7"/>
    <w:rsid w:val="00AC3D42"/>
    <w:rsid w:val="00AC414C"/>
    <w:rsid w:val="00AC415E"/>
    <w:rsid w:val="00AC420B"/>
    <w:rsid w:val="00AC433E"/>
    <w:rsid w:val="00AC4398"/>
    <w:rsid w:val="00AC43A2"/>
    <w:rsid w:val="00AC43FE"/>
    <w:rsid w:val="00AC444E"/>
    <w:rsid w:val="00AC4491"/>
    <w:rsid w:val="00AC449E"/>
    <w:rsid w:val="00AC44D1"/>
    <w:rsid w:val="00AC44EA"/>
    <w:rsid w:val="00AC4511"/>
    <w:rsid w:val="00AC477A"/>
    <w:rsid w:val="00AC4816"/>
    <w:rsid w:val="00AC4897"/>
    <w:rsid w:val="00AC4955"/>
    <w:rsid w:val="00AC4DAA"/>
    <w:rsid w:val="00AC4ECC"/>
    <w:rsid w:val="00AC51C6"/>
    <w:rsid w:val="00AC51EA"/>
    <w:rsid w:val="00AC5329"/>
    <w:rsid w:val="00AC5330"/>
    <w:rsid w:val="00AC55E1"/>
    <w:rsid w:val="00AC563C"/>
    <w:rsid w:val="00AC5648"/>
    <w:rsid w:val="00AC5752"/>
    <w:rsid w:val="00AC57A5"/>
    <w:rsid w:val="00AC5B00"/>
    <w:rsid w:val="00AC5C2D"/>
    <w:rsid w:val="00AC5C3F"/>
    <w:rsid w:val="00AC5D87"/>
    <w:rsid w:val="00AC5DEE"/>
    <w:rsid w:val="00AC5EFF"/>
    <w:rsid w:val="00AC5F81"/>
    <w:rsid w:val="00AC61F0"/>
    <w:rsid w:val="00AC65FF"/>
    <w:rsid w:val="00AC6735"/>
    <w:rsid w:val="00AC6777"/>
    <w:rsid w:val="00AC68B2"/>
    <w:rsid w:val="00AC6A6F"/>
    <w:rsid w:val="00AC6B78"/>
    <w:rsid w:val="00AC6C45"/>
    <w:rsid w:val="00AC6CE0"/>
    <w:rsid w:val="00AC7101"/>
    <w:rsid w:val="00AC7169"/>
    <w:rsid w:val="00AC71A6"/>
    <w:rsid w:val="00AC72B4"/>
    <w:rsid w:val="00AC738F"/>
    <w:rsid w:val="00AC7412"/>
    <w:rsid w:val="00AC7445"/>
    <w:rsid w:val="00AC74A8"/>
    <w:rsid w:val="00AC75F1"/>
    <w:rsid w:val="00AC7964"/>
    <w:rsid w:val="00AC79E8"/>
    <w:rsid w:val="00AC7A15"/>
    <w:rsid w:val="00AC7B0F"/>
    <w:rsid w:val="00AC7B88"/>
    <w:rsid w:val="00AC7D3E"/>
    <w:rsid w:val="00AC7DD1"/>
    <w:rsid w:val="00AC7F15"/>
    <w:rsid w:val="00AC7FB0"/>
    <w:rsid w:val="00AC7FF3"/>
    <w:rsid w:val="00ACBDF4"/>
    <w:rsid w:val="00AD00D8"/>
    <w:rsid w:val="00AD0132"/>
    <w:rsid w:val="00AD043F"/>
    <w:rsid w:val="00AD0802"/>
    <w:rsid w:val="00AD0820"/>
    <w:rsid w:val="00AD0899"/>
    <w:rsid w:val="00AD0950"/>
    <w:rsid w:val="00AD0AD0"/>
    <w:rsid w:val="00AD0CBE"/>
    <w:rsid w:val="00AD0D18"/>
    <w:rsid w:val="00AD0D2B"/>
    <w:rsid w:val="00AD0FEC"/>
    <w:rsid w:val="00AD10C2"/>
    <w:rsid w:val="00AD1407"/>
    <w:rsid w:val="00AD14B9"/>
    <w:rsid w:val="00AD1540"/>
    <w:rsid w:val="00AD1851"/>
    <w:rsid w:val="00AD18BA"/>
    <w:rsid w:val="00AD18C3"/>
    <w:rsid w:val="00AD1B28"/>
    <w:rsid w:val="00AD1C73"/>
    <w:rsid w:val="00AD1C78"/>
    <w:rsid w:val="00AD1D12"/>
    <w:rsid w:val="00AD1D40"/>
    <w:rsid w:val="00AD1D5C"/>
    <w:rsid w:val="00AD1DB9"/>
    <w:rsid w:val="00AD1E08"/>
    <w:rsid w:val="00AD1E74"/>
    <w:rsid w:val="00AD1F3E"/>
    <w:rsid w:val="00AD1FA0"/>
    <w:rsid w:val="00AD21DF"/>
    <w:rsid w:val="00AD2213"/>
    <w:rsid w:val="00AD223A"/>
    <w:rsid w:val="00AD227D"/>
    <w:rsid w:val="00AD2285"/>
    <w:rsid w:val="00AD2490"/>
    <w:rsid w:val="00AD2497"/>
    <w:rsid w:val="00AD24EE"/>
    <w:rsid w:val="00AD27D7"/>
    <w:rsid w:val="00AD2C4B"/>
    <w:rsid w:val="00AD2DA1"/>
    <w:rsid w:val="00AD2F53"/>
    <w:rsid w:val="00AD2F84"/>
    <w:rsid w:val="00AD309E"/>
    <w:rsid w:val="00AD3184"/>
    <w:rsid w:val="00AD32A4"/>
    <w:rsid w:val="00AD3355"/>
    <w:rsid w:val="00AD36A8"/>
    <w:rsid w:val="00AD3804"/>
    <w:rsid w:val="00AD38E4"/>
    <w:rsid w:val="00AD390B"/>
    <w:rsid w:val="00AD3B82"/>
    <w:rsid w:val="00AD3C32"/>
    <w:rsid w:val="00AD3C38"/>
    <w:rsid w:val="00AD3D7D"/>
    <w:rsid w:val="00AD3E6D"/>
    <w:rsid w:val="00AD3F0E"/>
    <w:rsid w:val="00AD3FC8"/>
    <w:rsid w:val="00AD4131"/>
    <w:rsid w:val="00AD42C3"/>
    <w:rsid w:val="00AD4547"/>
    <w:rsid w:val="00AD45EF"/>
    <w:rsid w:val="00AD4632"/>
    <w:rsid w:val="00AD4776"/>
    <w:rsid w:val="00AD48B0"/>
    <w:rsid w:val="00AD4928"/>
    <w:rsid w:val="00AD49A2"/>
    <w:rsid w:val="00AD4A4C"/>
    <w:rsid w:val="00AD4B09"/>
    <w:rsid w:val="00AD4B0D"/>
    <w:rsid w:val="00AD4B43"/>
    <w:rsid w:val="00AD4E70"/>
    <w:rsid w:val="00AD4F0D"/>
    <w:rsid w:val="00AD4FE7"/>
    <w:rsid w:val="00AD50B1"/>
    <w:rsid w:val="00AD51D7"/>
    <w:rsid w:val="00AD52DE"/>
    <w:rsid w:val="00AD5462"/>
    <w:rsid w:val="00AD5495"/>
    <w:rsid w:val="00AD5714"/>
    <w:rsid w:val="00AD578F"/>
    <w:rsid w:val="00AD581A"/>
    <w:rsid w:val="00AD58BA"/>
    <w:rsid w:val="00AD5A69"/>
    <w:rsid w:val="00AD5B18"/>
    <w:rsid w:val="00AD5B26"/>
    <w:rsid w:val="00AD5C45"/>
    <w:rsid w:val="00AD5CD3"/>
    <w:rsid w:val="00AD5ECA"/>
    <w:rsid w:val="00AD5FC6"/>
    <w:rsid w:val="00AD612C"/>
    <w:rsid w:val="00AD614C"/>
    <w:rsid w:val="00AD61B9"/>
    <w:rsid w:val="00AD61DD"/>
    <w:rsid w:val="00AD6260"/>
    <w:rsid w:val="00AD62DA"/>
    <w:rsid w:val="00AD62E9"/>
    <w:rsid w:val="00AD6377"/>
    <w:rsid w:val="00AD6383"/>
    <w:rsid w:val="00AD643F"/>
    <w:rsid w:val="00AD659E"/>
    <w:rsid w:val="00AD65E1"/>
    <w:rsid w:val="00AD678D"/>
    <w:rsid w:val="00AD6799"/>
    <w:rsid w:val="00AD6D75"/>
    <w:rsid w:val="00AD72D4"/>
    <w:rsid w:val="00AD732D"/>
    <w:rsid w:val="00AD7489"/>
    <w:rsid w:val="00AD74B2"/>
    <w:rsid w:val="00AD7554"/>
    <w:rsid w:val="00AD75C3"/>
    <w:rsid w:val="00AD7638"/>
    <w:rsid w:val="00AD7660"/>
    <w:rsid w:val="00AD77B1"/>
    <w:rsid w:val="00AD7943"/>
    <w:rsid w:val="00AD7ADA"/>
    <w:rsid w:val="00AD7B7F"/>
    <w:rsid w:val="00AD7CB8"/>
    <w:rsid w:val="00AD7D76"/>
    <w:rsid w:val="00AD7DE3"/>
    <w:rsid w:val="00AD7E32"/>
    <w:rsid w:val="00AD7ED7"/>
    <w:rsid w:val="00AD7F4D"/>
    <w:rsid w:val="00AD7F82"/>
    <w:rsid w:val="00AD7F88"/>
    <w:rsid w:val="00ADDA9B"/>
    <w:rsid w:val="00AE0028"/>
    <w:rsid w:val="00AE002A"/>
    <w:rsid w:val="00AE00F3"/>
    <w:rsid w:val="00AE0239"/>
    <w:rsid w:val="00AE024A"/>
    <w:rsid w:val="00AE02FD"/>
    <w:rsid w:val="00AE0333"/>
    <w:rsid w:val="00AE0386"/>
    <w:rsid w:val="00AE0665"/>
    <w:rsid w:val="00AE073A"/>
    <w:rsid w:val="00AE075B"/>
    <w:rsid w:val="00AE0845"/>
    <w:rsid w:val="00AE0947"/>
    <w:rsid w:val="00AE09CD"/>
    <w:rsid w:val="00AE0BE0"/>
    <w:rsid w:val="00AE0C99"/>
    <w:rsid w:val="00AE0D58"/>
    <w:rsid w:val="00AE100C"/>
    <w:rsid w:val="00AE100F"/>
    <w:rsid w:val="00AE1069"/>
    <w:rsid w:val="00AE1749"/>
    <w:rsid w:val="00AE17BE"/>
    <w:rsid w:val="00AE17DA"/>
    <w:rsid w:val="00AE1A13"/>
    <w:rsid w:val="00AE1A2D"/>
    <w:rsid w:val="00AE1A39"/>
    <w:rsid w:val="00AE1AC8"/>
    <w:rsid w:val="00AE1B28"/>
    <w:rsid w:val="00AE1E58"/>
    <w:rsid w:val="00AE1FDD"/>
    <w:rsid w:val="00AE2083"/>
    <w:rsid w:val="00AE218F"/>
    <w:rsid w:val="00AE2222"/>
    <w:rsid w:val="00AE22C8"/>
    <w:rsid w:val="00AE23FF"/>
    <w:rsid w:val="00AE255F"/>
    <w:rsid w:val="00AE260E"/>
    <w:rsid w:val="00AE2877"/>
    <w:rsid w:val="00AE28E7"/>
    <w:rsid w:val="00AE2AFF"/>
    <w:rsid w:val="00AE2E0E"/>
    <w:rsid w:val="00AE2F76"/>
    <w:rsid w:val="00AE2FEC"/>
    <w:rsid w:val="00AE3110"/>
    <w:rsid w:val="00AE32C6"/>
    <w:rsid w:val="00AE3385"/>
    <w:rsid w:val="00AE33AE"/>
    <w:rsid w:val="00AE3488"/>
    <w:rsid w:val="00AE34E0"/>
    <w:rsid w:val="00AE351F"/>
    <w:rsid w:val="00AE3657"/>
    <w:rsid w:val="00AE3779"/>
    <w:rsid w:val="00AE388F"/>
    <w:rsid w:val="00AE3BBC"/>
    <w:rsid w:val="00AE3C23"/>
    <w:rsid w:val="00AE3C28"/>
    <w:rsid w:val="00AE3CFA"/>
    <w:rsid w:val="00AE4113"/>
    <w:rsid w:val="00AE4171"/>
    <w:rsid w:val="00AE42D7"/>
    <w:rsid w:val="00AE431B"/>
    <w:rsid w:val="00AE4399"/>
    <w:rsid w:val="00AE4472"/>
    <w:rsid w:val="00AE4550"/>
    <w:rsid w:val="00AE4612"/>
    <w:rsid w:val="00AE4732"/>
    <w:rsid w:val="00AE479D"/>
    <w:rsid w:val="00AE4826"/>
    <w:rsid w:val="00AE4878"/>
    <w:rsid w:val="00AE48CE"/>
    <w:rsid w:val="00AE48FE"/>
    <w:rsid w:val="00AE4A3C"/>
    <w:rsid w:val="00AE4ABC"/>
    <w:rsid w:val="00AE4AF1"/>
    <w:rsid w:val="00AE4B59"/>
    <w:rsid w:val="00AE4D46"/>
    <w:rsid w:val="00AE4EF2"/>
    <w:rsid w:val="00AE4F31"/>
    <w:rsid w:val="00AE4F3F"/>
    <w:rsid w:val="00AE51BA"/>
    <w:rsid w:val="00AE549D"/>
    <w:rsid w:val="00AE54F4"/>
    <w:rsid w:val="00AE558C"/>
    <w:rsid w:val="00AE56CF"/>
    <w:rsid w:val="00AE571D"/>
    <w:rsid w:val="00AE57BE"/>
    <w:rsid w:val="00AE57C5"/>
    <w:rsid w:val="00AE57F0"/>
    <w:rsid w:val="00AE581D"/>
    <w:rsid w:val="00AE58FB"/>
    <w:rsid w:val="00AE59FD"/>
    <w:rsid w:val="00AE5A1B"/>
    <w:rsid w:val="00AE5AAB"/>
    <w:rsid w:val="00AE5AE7"/>
    <w:rsid w:val="00AE5BD6"/>
    <w:rsid w:val="00AE5D92"/>
    <w:rsid w:val="00AE5F59"/>
    <w:rsid w:val="00AE6014"/>
    <w:rsid w:val="00AE61B2"/>
    <w:rsid w:val="00AE63B9"/>
    <w:rsid w:val="00AE654A"/>
    <w:rsid w:val="00AE6A86"/>
    <w:rsid w:val="00AE6AEA"/>
    <w:rsid w:val="00AE6B05"/>
    <w:rsid w:val="00AE6BD4"/>
    <w:rsid w:val="00AE6C0F"/>
    <w:rsid w:val="00AE6DAB"/>
    <w:rsid w:val="00AE6E17"/>
    <w:rsid w:val="00AE705D"/>
    <w:rsid w:val="00AE7268"/>
    <w:rsid w:val="00AE728A"/>
    <w:rsid w:val="00AE7297"/>
    <w:rsid w:val="00AE736C"/>
    <w:rsid w:val="00AE74B3"/>
    <w:rsid w:val="00AE765C"/>
    <w:rsid w:val="00AE7720"/>
    <w:rsid w:val="00AE78D5"/>
    <w:rsid w:val="00AE7977"/>
    <w:rsid w:val="00AE7AB7"/>
    <w:rsid w:val="00AE7AC5"/>
    <w:rsid w:val="00AE7ADC"/>
    <w:rsid w:val="00AE7B55"/>
    <w:rsid w:val="00AE7B5D"/>
    <w:rsid w:val="00AE7C0C"/>
    <w:rsid w:val="00AE7CFC"/>
    <w:rsid w:val="00AE7DD2"/>
    <w:rsid w:val="00AE7E93"/>
    <w:rsid w:val="00AE7ECD"/>
    <w:rsid w:val="00AE7F5D"/>
    <w:rsid w:val="00AF00B2"/>
    <w:rsid w:val="00AF0194"/>
    <w:rsid w:val="00AF01AB"/>
    <w:rsid w:val="00AF023C"/>
    <w:rsid w:val="00AF0284"/>
    <w:rsid w:val="00AF02B5"/>
    <w:rsid w:val="00AF030F"/>
    <w:rsid w:val="00AF04EC"/>
    <w:rsid w:val="00AF0617"/>
    <w:rsid w:val="00AF0639"/>
    <w:rsid w:val="00AF0678"/>
    <w:rsid w:val="00AF0787"/>
    <w:rsid w:val="00AF07D1"/>
    <w:rsid w:val="00AF0843"/>
    <w:rsid w:val="00AF094F"/>
    <w:rsid w:val="00AF09AF"/>
    <w:rsid w:val="00AF0A1E"/>
    <w:rsid w:val="00AF0BBD"/>
    <w:rsid w:val="00AF0C2F"/>
    <w:rsid w:val="00AF0C54"/>
    <w:rsid w:val="00AF0CF8"/>
    <w:rsid w:val="00AF0EEA"/>
    <w:rsid w:val="00AF0F4E"/>
    <w:rsid w:val="00AF100D"/>
    <w:rsid w:val="00AF1076"/>
    <w:rsid w:val="00AF1124"/>
    <w:rsid w:val="00AF112D"/>
    <w:rsid w:val="00AF1602"/>
    <w:rsid w:val="00AF1705"/>
    <w:rsid w:val="00AF199D"/>
    <w:rsid w:val="00AF1A3A"/>
    <w:rsid w:val="00AF1B33"/>
    <w:rsid w:val="00AF1B9C"/>
    <w:rsid w:val="00AF1F1C"/>
    <w:rsid w:val="00AF2118"/>
    <w:rsid w:val="00AF236B"/>
    <w:rsid w:val="00AF264F"/>
    <w:rsid w:val="00AF277A"/>
    <w:rsid w:val="00AF277B"/>
    <w:rsid w:val="00AF2795"/>
    <w:rsid w:val="00AF27B0"/>
    <w:rsid w:val="00AF287A"/>
    <w:rsid w:val="00AF28AE"/>
    <w:rsid w:val="00AF28D1"/>
    <w:rsid w:val="00AF2AA0"/>
    <w:rsid w:val="00AF2B29"/>
    <w:rsid w:val="00AF2BAB"/>
    <w:rsid w:val="00AF2C42"/>
    <w:rsid w:val="00AF2F20"/>
    <w:rsid w:val="00AF2FE0"/>
    <w:rsid w:val="00AF304A"/>
    <w:rsid w:val="00AF30F0"/>
    <w:rsid w:val="00AF315B"/>
    <w:rsid w:val="00AF32A3"/>
    <w:rsid w:val="00AF3383"/>
    <w:rsid w:val="00AF338A"/>
    <w:rsid w:val="00AF33BF"/>
    <w:rsid w:val="00AF368B"/>
    <w:rsid w:val="00AF3713"/>
    <w:rsid w:val="00AF39F2"/>
    <w:rsid w:val="00AF3AF9"/>
    <w:rsid w:val="00AF3B20"/>
    <w:rsid w:val="00AF3B9F"/>
    <w:rsid w:val="00AF3C9B"/>
    <w:rsid w:val="00AF3CE0"/>
    <w:rsid w:val="00AF3DBB"/>
    <w:rsid w:val="00AF3E2E"/>
    <w:rsid w:val="00AF3F5F"/>
    <w:rsid w:val="00AF3FC7"/>
    <w:rsid w:val="00AF4076"/>
    <w:rsid w:val="00AF41A4"/>
    <w:rsid w:val="00AF4234"/>
    <w:rsid w:val="00AF426E"/>
    <w:rsid w:val="00AF4272"/>
    <w:rsid w:val="00AF4345"/>
    <w:rsid w:val="00AF45BE"/>
    <w:rsid w:val="00AF470C"/>
    <w:rsid w:val="00AF494C"/>
    <w:rsid w:val="00AF494F"/>
    <w:rsid w:val="00AF4978"/>
    <w:rsid w:val="00AF4DB0"/>
    <w:rsid w:val="00AF4E84"/>
    <w:rsid w:val="00AF501F"/>
    <w:rsid w:val="00AF50E9"/>
    <w:rsid w:val="00AF51D7"/>
    <w:rsid w:val="00AF51ED"/>
    <w:rsid w:val="00AF5502"/>
    <w:rsid w:val="00AF55AC"/>
    <w:rsid w:val="00AF55BA"/>
    <w:rsid w:val="00AF55F1"/>
    <w:rsid w:val="00AF561D"/>
    <w:rsid w:val="00AF562C"/>
    <w:rsid w:val="00AF562F"/>
    <w:rsid w:val="00AF56CD"/>
    <w:rsid w:val="00AF5716"/>
    <w:rsid w:val="00AF5836"/>
    <w:rsid w:val="00AF5A33"/>
    <w:rsid w:val="00AF5BEE"/>
    <w:rsid w:val="00AF5C14"/>
    <w:rsid w:val="00AF5CAD"/>
    <w:rsid w:val="00AF5CC1"/>
    <w:rsid w:val="00AF5CDD"/>
    <w:rsid w:val="00AF5CEB"/>
    <w:rsid w:val="00AF5D47"/>
    <w:rsid w:val="00AF5DD7"/>
    <w:rsid w:val="00AF5DEB"/>
    <w:rsid w:val="00AF5EC1"/>
    <w:rsid w:val="00AF5FA7"/>
    <w:rsid w:val="00AF615B"/>
    <w:rsid w:val="00AF62C7"/>
    <w:rsid w:val="00AF62FF"/>
    <w:rsid w:val="00AF6383"/>
    <w:rsid w:val="00AF641D"/>
    <w:rsid w:val="00AF644A"/>
    <w:rsid w:val="00AF67AE"/>
    <w:rsid w:val="00AF6A30"/>
    <w:rsid w:val="00AF6A85"/>
    <w:rsid w:val="00AF6C2C"/>
    <w:rsid w:val="00AF6CB0"/>
    <w:rsid w:val="00AF6D9F"/>
    <w:rsid w:val="00AF6EAF"/>
    <w:rsid w:val="00AF6F57"/>
    <w:rsid w:val="00AF6FD3"/>
    <w:rsid w:val="00AF72B6"/>
    <w:rsid w:val="00AF72D8"/>
    <w:rsid w:val="00AF73B8"/>
    <w:rsid w:val="00AF7536"/>
    <w:rsid w:val="00AF769B"/>
    <w:rsid w:val="00AF7BC1"/>
    <w:rsid w:val="00AF7CD6"/>
    <w:rsid w:val="00AF7EDE"/>
    <w:rsid w:val="00AF7F44"/>
    <w:rsid w:val="00AF7F63"/>
    <w:rsid w:val="00B0028D"/>
    <w:rsid w:val="00B00337"/>
    <w:rsid w:val="00B003DF"/>
    <w:rsid w:val="00B00442"/>
    <w:rsid w:val="00B00503"/>
    <w:rsid w:val="00B0052C"/>
    <w:rsid w:val="00B00566"/>
    <w:rsid w:val="00B0062A"/>
    <w:rsid w:val="00B00707"/>
    <w:rsid w:val="00B007E8"/>
    <w:rsid w:val="00B008A7"/>
    <w:rsid w:val="00B00B5E"/>
    <w:rsid w:val="00B00C2F"/>
    <w:rsid w:val="00B00CD3"/>
    <w:rsid w:val="00B00D25"/>
    <w:rsid w:val="00B00DA1"/>
    <w:rsid w:val="00B00E0B"/>
    <w:rsid w:val="00B00E8A"/>
    <w:rsid w:val="00B00F3F"/>
    <w:rsid w:val="00B011C3"/>
    <w:rsid w:val="00B012C1"/>
    <w:rsid w:val="00B013EF"/>
    <w:rsid w:val="00B01440"/>
    <w:rsid w:val="00B01638"/>
    <w:rsid w:val="00B0185A"/>
    <w:rsid w:val="00B01939"/>
    <w:rsid w:val="00B01B92"/>
    <w:rsid w:val="00B01D85"/>
    <w:rsid w:val="00B01D9C"/>
    <w:rsid w:val="00B01FB3"/>
    <w:rsid w:val="00B0205E"/>
    <w:rsid w:val="00B020A9"/>
    <w:rsid w:val="00B020D5"/>
    <w:rsid w:val="00B0215C"/>
    <w:rsid w:val="00B021BF"/>
    <w:rsid w:val="00B021E8"/>
    <w:rsid w:val="00B022C2"/>
    <w:rsid w:val="00B022DB"/>
    <w:rsid w:val="00B023E5"/>
    <w:rsid w:val="00B02544"/>
    <w:rsid w:val="00B02683"/>
    <w:rsid w:val="00B029AD"/>
    <w:rsid w:val="00B02A5B"/>
    <w:rsid w:val="00B02AA4"/>
    <w:rsid w:val="00B02ADC"/>
    <w:rsid w:val="00B02C35"/>
    <w:rsid w:val="00B02DC2"/>
    <w:rsid w:val="00B02E01"/>
    <w:rsid w:val="00B0305A"/>
    <w:rsid w:val="00B0309F"/>
    <w:rsid w:val="00B032AC"/>
    <w:rsid w:val="00B03392"/>
    <w:rsid w:val="00B0348A"/>
    <w:rsid w:val="00B037E8"/>
    <w:rsid w:val="00B0391F"/>
    <w:rsid w:val="00B039AA"/>
    <w:rsid w:val="00B03B18"/>
    <w:rsid w:val="00B03B33"/>
    <w:rsid w:val="00B03BF3"/>
    <w:rsid w:val="00B03E7E"/>
    <w:rsid w:val="00B03F1C"/>
    <w:rsid w:val="00B04148"/>
    <w:rsid w:val="00B0431C"/>
    <w:rsid w:val="00B04353"/>
    <w:rsid w:val="00B04425"/>
    <w:rsid w:val="00B04444"/>
    <w:rsid w:val="00B04480"/>
    <w:rsid w:val="00B044AA"/>
    <w:rsid w:val="00B04547"/>
    <w:rsid w:val="00B0460F"/>
    <w:rsid w:val="00B047F7"/>
    <w:rsid w:val="00B04810"/>
    <w:rsid w:val="00B04910"/>
    <w:rsid w:val="00B0494F"/>
    <w:rsid w:val="00B04971"/>
    <w:rsid w:val="00B0497E"/>
    <w:rsid w:val="00B04A0C"/>
    <w:rsid w:val="00B04AD5"/>
    <w:rsid w:val="00B04B84"/>
    <w:rsid w:val="00B04EAF"/>
    <w:rsid w:val="00B04F04"/>
    <w:rsid w:val="00B04F44"/>
    <w:rsid w:val="00B0503E"/>
    <w:rsid w:val="00B052D8"/>
    <w:rsid w:val="00B052FC"/>
    <w:rsid w:val="00B05387"/>
    <w:rsid w:val="00B054A8"/>
    <w:rsid w:val="00B054D4"/>
    <w:rsid w:val="00B056C9"/>
    <w:rsid w:val="00B05717"/>
    <w:rsid w:val="00B0571F"/>
    <w:rsid w:val="00B05884"/>
    <w:rsid w:val="00B059B8"/>
    <w:rsid w:val="00B05AEC"/>
    <w:rsid w:val="00B05BA2"/>
    <w:rsid w:val="00B05C07"/>
    <w:rsid w:val="00B05E0A"/>
    <w:rsid w:val="00B05FB6"/>
    <w:rsid w:val="00B060C9"/>
    <w:rsid w:val="00B06214"/>
    <w:rsid w:val="00B06350"/>
    <w:rsid w:val="00B06360"/>
    <w:rsid w:val="00B06502"/>
    <w:rsid w:val="00B065D2"/>
    <w:rsid w:val="00B068E8"/>
    <w:rsid w:val="00B068F8"/>
    <w:rsid w:val="00B06B0F"/>
    <w:rsid w:val="00B06B52"/>
    <w:rsid w:val="00B06D23"/>
    <w:rsid w:val="00B07187"/>
    <w:rsid w:val="00B071CF"/>
    <w:rsid w:val="00B07417"/>
    <w:rsid w:val="00B07508"/>
    <w:rsid w:val="00B0766B"/>
    <w:rsid w:val="00B07677"/>
    <w:rsid w:val="00B0793A"/>
    <w:rsid w:val="00B07A2E"/>
    <w:rsid w:val="00B07AA9"/>
    <w:rsid w:val="00B07B64"/>
    <w:rsid w:val="00B07CAE"/>
    <w:rsid w:val="00B07FE6"/>
    <w:rsid w:val="00B10012"/>
    <w:rsid w:val="00B10164"/>
    <w:rsid w:val="00B103D8"/>
    <w:rsid w:val="00B103FE"/>
    <w:rsid w:val="00B10610"/>
    <w:rsid w:val="00B10690"/>
    <w:rsid w:val="00B1074B"/>
    <w:rsid w:val="00B10777"/>
    <w:rsid w:val="00B1080C"/>
    <w:rsid w:val="00B1084C"/>
    <w:rsid w:val="00B109E5"/>
    <w:rsid w:val="00B10A10"/>
    <w:rsid w:val="00B10A48"/>
    <w:rsid w:val="00B10E44"/>
    <w:rsid w:val="00B10E6E"/>
    <w:rsid w:val="00B10E87"/>
    <w:rsid w:val="00B112B1"/>
    <w:rsid w:val="00B112DA"/>
    <w:rsid w:val="00B11449"/>
    <w:rsid w:val="00B11626"/>
    <w:rsid w:val="00B11807"/>
    <w:rsid w:val="00B118FE"/>
    <w:rsid w:val="00B119D6"/>
    <w:rsid w:val="00B11A50"/>
    <w:rsid w:val="00B11D26"/>
    <w:rsid w:val="00B11DB6"/>
    <w:rsid w:val="00B1212C"/>
    <w:rsid w:val="00B12155"/>
    <w:rsid w:val="00B12634"/>
    <w:rsid w:val="00B126A6"/>
    <w:rsid w:val="00B1272D"/>
    <w:rsid w:val="00B1286C"/>
    <w:rsid w:val="00B128EA"/>
    <w:rsid w:val="00B12936"/>
    <w:rsid w:val="00B12A43"/>
    <w:rsid w:val="00B12A49"/>
    <w:rsid w:val="00B12B03"/>
    <w:rsid w:val="00B12B4E"/>
    <w:rsid w:val="00B12E96"/>
    <w:rsid w:val="00B12F15"/>
    <w:rsid w:val="00B12FFA"/>
    <w:rsid w:val="00B13283"/>
    <w:rsid w:val="00B13335"/>
    <w:rsid w:val="00B133BA"/>
    <w:rsid w:val="00B13609"/>
    <w:rsid w:val="00B1363C"/>
    <w:rsid w:val="00B1365E"/>
    <w:rsid w:val="00B137B1"/>
    <w:rsid w:val="00B138C5"/>
    <w:rsid w:val="00B13910"/>
    <w:rsid w:val="00B139D3"/>
    <w:rsid w:val="00B13A2C"/>
    <w:rsid w:val="00B13B1F"/>
    <w:rsid w:val="00B13BAB"/>
    <w:rsid w:val="00B13C25"/>
    <w:rsid w:val="00B13CE0"/>
    <w:rsid w:val="00B13D4E"/>
    <w:rsid w:val="00B13D51"/>
    <w:rsid w:val="00B13D5E"/>
    <w:rsid w:val="00B13E22"/>
    <w:rsid w:val="00B13E37"/>
    <w:rsid w:val="00B13ECD"/>
    <w:rsid w:val="00B14289"/>
    <w:rsid w:val="00B14319"/>
    <w:rsid w:val="00B1438B"/>
    <w:rsid w:val="00B143F7"/>
    <w:rsid w:val="00B1447A"/>
    <w:rsid w:val="00B145B2"/>
    <w:rsid w:val="00B14645"/>
    <w:rsid w:val="00B14666"/>
    <w:rsid w:val="00B14737"/>
    <w:rsid w:val="00B14852"/>
    <w:rsid w:val="00B14AB8"/>
    <w:rsid w:val="00B14DBB"/>
    <w:rsid w:val="00B14E4F"/>
    <w:rsid w:val="00B14EB6"/>
    <w:rsid w:val="00B14EEE"/>
    <w:rsid w:val="00B14F1B"/>
    <w:rsid w:val="00B14F8C"/>
    <w:rsid w:val="00B14FB9"/>
    <w:rsid w:val="00B15184"/>
    <w:rsid w:val="00B15568"/>
    <w:rsid w:val="00B1561D"/>
    <w:rsid w:val="00B158E4"/>
    <w:rsid w:val="00B15969"/>
    <w:rsid w:val="00B15B0E"/>
    <w:rsid w:val="00B15B26"/>
    <w:rsid w:val="00B15B56"/>
    <w:rsid w:val="00B15B70"/>
    <w:rsid w:val="00B15BBF"/>
    <w:rsid w:val="00B15CB9"/>
    <w:rsid w:val="00B15D17"/>
    <w:rsid w:val="00B15D37"/>
    <w:rsid w:val="00B15D63"/>
    <w:rsid w:val="00B15FA8"/>
    <w:rsid w:val="00B1601F"/>
    <w:rsid w:val="00B16160"/>
    <w:rsid w:val="00B162F3"/>
    <w:rsid w:val="00B1631A"/>
    <w:rsid w:val="00B16368"/>
    <w:rsid w:val="00B163B8"/>
    <w:rsid w:val="00B163D5"/>
    <w:rsid w:val="00B163E7"/>
    <w:rsid w:val="00B16476"/>
    <w:rsid w:val="00B164B9"/>
    <w:rsid w:val="00B164F5"/>
    <w:rsid w:val="00B1654F"/>
    <w:rsid w:val="00B16556"/>
    <w:rsid w:val="00B165CF"/>
    <w:rsid w:val="00B167F6"/>
    <w:rsid w:val="00B16856"/>
    <w:rsid w:val="00B16A0D"/>
    <w:rsid w:val="00B16ADB"/>
    <w:rsid w:val="00B16B13"/>
    <w:rsid w:val="00B16B67"/>
    <w:rsid w:val="00B16C02"/>
    <w:rsid w:val="00B16CF9"/>
    <w:rsid w:val="00B16E98"/>
    <w:rsid w:val="00B16E9F"/>
    <w:rsid w:val="00B17172"/>
    <w:rsid w:val="00B17233"/>
    <w:rsid w:val="00B1737D"/>
    <w:rsid w:val="00B173E7"/>
    <w:rsid w:val="00B1749F"/>
    <w:rsid w:val="00B174E2"/>
    <w:rsid w:val="00B174F1"/>
    <w:rsid w:val="00B175BE"/>
    <w:rsid w:val="00B1770A"/>
    <w:rsid w:val="00B1786B"/>
    <w:rsid w:val="00B1790A"/>
    <w:rsid w:val="00B17A59"/>
    <w:rsid w:val="00B17B99"/>
    <w:rsid w:val="00B17D80"/>
    <w:rsid w:val="00B17E75"/>
    <w:rsid w:val="00B17FA1"/>
    <w:rsid w:val="00B20140"/>
    <w:rsid w:val="00B20204"/>
    <w:rsid w:val="00B20705"/>
    <w:rsid w:val="00B20753"/>
    <w:rsid w:val="00B2076A"/>
    <w:rsid w:val="00B207A9"/>
    <w:rsid w:val="00B20997"/>
    <w:rsid w:val="00B209BE"/>
    <w:rsid w:val="00B20C03"/>
    <w:rsid w:val="00B20C1D"/>
    <w:rsid w:val="00B20C36"/>
    <w:rsid w:val="00B2101B"/>
    <w:rsid w:val="00B21033"/>
    <w:rsid w:val="00B21062"/>
    <w:rsid w:val="00B213AD"/>
    <w:rsid w:val="00B2148A"/>
    <w:rsid w:val="00B214C4"/>
    <w:rsid w:val="00B21813"/>
    <w:rsid w:val="00B218B7"/>
    <w:rsid w:val="00B218C1"/>
    <w:rsid w:val="00B21942"/>
    <w:rsid w:val="00B219AD"/>
    <w:rsid w:val="00B21C22"/>
    <w:rsid w:val="00B21E73"/>
    <w:rsid w:val="00B21F23"/>
    <w:rsid w:val="00B2202B"/>
    <w:rsid w:val="00B221D4"/>
    <w:rsid w:val="00B227C3"/>
    <w:rsid w:val="00B228D4"/>
    <w:rsid w:val="00B22987"/>
    <w:rsid w:val="00B229B0"/>
    <w:rsid w:val="00B22A55"/>
    <w:rsid w:val="00B22B68"/>
    <w:rsid w:val="00B22D37"/>
    <w:rsid w:val="00B22EFA"/>
    <w:rsid w:val="00B22F77"/>
    <w:rsid w:val="00B2309E"/>
    <w:rsid w:val="00B23104"/>
    <w:rsid w:val="00B23321"/>
    <w:rsid w:val="00B23402"/>
    <w:rsid w:val="00B234E5"/>
    <w:rsid w:val="00B234EF"/>
    <w:rsid w:val="00B23509"/>
    <w:rsid w:val="00B236EB"/>
    <w:rsid w:val="00B23849"/>
    <w:rsid w:val="00B239CF"/>
    <w:rsid w:val="00B23B9D"/>
    <w:rsid w:val="00B23C79"/>
    <w:rsid w:val="00B23DA8"/>
    <w:rsid w:val="00B23E1F"/>
    <w:rsid w:val="00B23FAD"/>
    <w:rsid w:val="00B24016"/>
    <w:rsid w:val="00B241CD"/>
    <w:rsid w:val="00B24206"/>
    <w:rsid w:val="00B24264"/>
    <w:rsid w:val="00B24337"/>
    <w:rsid w:val="00B24377"/>
    <w:rsid w:val="00B243F4"/>
    <w:rsid w:val="00B24494"/>
    <w:rsid w:val="00B244BD"/>
    <w:rsid w:val="00B244BF"/>
    <w:rsid w:val="00B2451C"/>
    <w:rsid w:val="00B24648"/>
    <w:rsid w:val="00B24660"/>
    <w:rsid w:val="00B246B0"/>
    <w:rsid w:val="00B2480A"/>
    <w:rsid w:val="00B24881"/>
    <w:rsid w:val="00B249C8"/>
    <w:rsid w:val="00B24B32"/>
    <w:rsid w:val="00B24BF3"/>
    <w:rsid w:val="00B24BF8"/>
    <w:rsid w:val="00B24DED"/>
    <w:rsid w:val="00B24E81"/>
    <w:rsid w:val="00B24F0E"/>
    <w:rsid w:val="00B24F7E"/>
    <w:rsid w:val="00B24F8E"/>
    <w:rsid w:val="00B24FE4"/>
    <w:rsid w:val="00B2503F"/>
    <w:rsid w:val="00B25180"/>
    <w:rsid w:val="00B2519A"/>
    <w:rsid w:val="00B25357"/>
    <w:rsid w:val="00B257EF"/>
    <w:rsid w:val="00B25809"/>
    <w:rsid w:val="00B258B7"/>
    <w:rsid w:val="00B2593B"/>
    <w:rsid w:val="00B25964"/>
    <w:rsid w:val="00B25972"/>
    <w:rsid w:val="00B25A5E"/>
    <w:rsid w:val="00B25C02"/>
    <w:rsid w:val="00B25D7A"/>
    <w:rsid w:val="00B25DD1"/>
    <w:rsid w:val="00B25E45"/>
    <w:rsid w:val="00B25FC7"/>
    <w:rsid w:val="00B26030"/>
    <w:rsid w:val="00B261A2"/>
    <w:rsid w:val="00B2624E"/>
    <w:rsid w:val="00B262EA"/>
    <w:rsid w:val="00B2654B"/>
    <w:rsid w:val="00B266FA"/>
    <w:rsid w:val="00B268AF"/>
    <w:rsid w:val="00B26919"/>
    <w:rsid w:val="00B26AEE"/>
    <w:rsid w:val="00B26C0F"/>
    <w:rsid w:val="00B26E4F"/>
    <w:rsid w:val="00B26E8D"/>
    <w:rsid w:val="00B27075"/>
    <w:rsid w:val="00B272CD"/>
    <w:rsid w:val="00B272E3"/>
    <w:rsid w:val="00B27402"/>
    <w:rsid w:val="00B27477"/>
    <w:rsid w:val="00B27491"/>
    <w:rsid w:val="00B27493"/>
    <w:rsid w:val="00B27768"/>
    <w:rsid w:val="00B2778B"/>
    <w:rsid w:val="00B27986"/>
    <w:rsid w:val="00B2799F"/>
    <w:rsid w:val="00B27B3C"/>
    <w:rsid w:val="00B27B9A"/>
    <w:rsid w:val="00B27C87"/>
    <w:rsid w:val="00B27CE2"/>
    <w:rsid w:val="00B27D74"/>
    <w:rsid w:val="00B27E05"/>
    <w:rsid w:val="00B27ED2"/>
    <w:rsid w:val="00B27F62"/>
    <w:rsid w:val="00B27F70"/>
    <w:rsid w:val="00B3014B"/>
    <w:rsid w:val="00B3029F"/>
    <w:rsid w:val="00B30312"/>
    <w:rsid w:val="00B3031E"/>
    <w:rsid w:val="00B30327"/>
    <w:rsid w:val="00B3035B"/>
    <w:rsid w:val="00B3046E"/>
    <w:rsid w:val="00B3055C"/>
    <w:rsid w:val="00B30571"/>
    <w:rsid w:val="00B3064C"/>
    <w:rsid w:val="00B306C6"/>
    <w:rsid w:val="00B30858"/>
    <w:rsid w:val="00B308DB"/>
    <w:rsid w:val="00B308DE"/>
    <w:rsid w:val="00B309D1"/>
    <w:rsid w:val="00B30AA9"/>
    <w:rsid w:val="00B30AD5"/>
    <w:rsid w:val="00B30ADF"/>
    <w:rsid w:val="00B30B97"/>
    <w:rsid w:val="00B30C20"/>
    <w:rsid w:val="00B30ECE"/>
    <w:rsid w:val="00B31567"/>
    <w:rsid w:val="00B317AC"/>
    <w:rsid w:val="00B31A6F"/>
    <w:rsid w:val="00B31B27"/>
    <w:rsid w:val="00B31BB6"/>
    <w:rsid w:val="00B31D12"/>
    <w:rsid w:val="00B31D42"/>
    <w:rsid w:val="00B31DA3"/>
    <w:rsid w:val="00B31E2B"/>
    <w:rsid w:val="00B31EFE"/>
    <w:rsid w:val="00B31F47"/>
    <w:rsid w:val="00B31F5C"/>
    <w:rsid w:val="00B31FEA"/>
    <w:rsid w:val="00B3204F"/>
    <w:rsid w:val="00B3212B"/>
    <w:rsid w:val="00B32253"/>
    <w:rsid w:val="00B32566"/>
    <w:rsid w:val="00B326DE"/>
    <w:rsid w:val="00B32771"/>
    <w:rsid w:val="00B3282D"/>
    <w:rsid w:val="00B328BB"/>
    <w:rsid w:val="00B328E9"/>
    <w:rsid w:val="00B329A7"/>
    <w:rsid w:val="00B32A21"/>
    <w:rsid w:val="00B32B82"/>
    <w:rsid w:val="00B32BA6"/>
    <w:rsid w:val="00B32C61"/>
    <w:rsid w:val="00B32DFF"/>
    <w:rsid w:val="00B330C4"/>
    <w:rsid w:val="00B3314C"/>
    <w:rsid w:val="00B33339"/>
    <w:rsid w:val="00B33388"/>
    <w:rsid w:val="00B334B6"/>
    <w:rsid w:val="00B33545"/>
    <w:rsid w:val="00B3362C"/>
    <w:rsid w:val="00B33703"/>
    <w:rsid w:val="00B337D4"/>
    <w:rsid w:val="00B33800"/>
    <w:rsid w:val="00B33923"/>
    <w:rsid w:val="00B3395F"/>
    <w:rsid w:val="00B33B69"/>
    <w:rsid w:val="00B33B85"/>
    <w:rsid w:val="00B33D3F"/>
    <w:rsid w:val="00B33E55"/>
    <w:rsid w:val="00B3406B"/>
    <w:rsid w:val="00B34102"/>
    <w:rsid w:val="00B3413E"/>
    <w:rsid w:val="00B341A1"/>
    <w:rsid w:val="00B34283"/>
    <w:rsid w:val="00B3443B"/>
    <w:rsid w:val="00B34500"/>
    <w:rsid w:val="00B34684"/>
    <w:rsid w:val="00B346C3"/>
    <w:rsid w:val="00B347F6"/>
    <w:rsid w:val="00B3487C"/>
    <w:rsid w:val="00B34AE1"/>
    <w:rsid w:val="00B34CE6"/>
    <w:rsid w:val="00B34D84"/>
    <w:rsid w:val="00B34E55"/>
    <w:rsid w:val="00B34E91"/>
    <w:rsid w:val="00B34F6E"/>
    <w:rsid w:val="00B35262"/>
    <w:rsid w:val="00B35445"/>
    <w:rsid w:val="00B3544E"/>
    <w:rsid w:val="00B354B0"/>
    <w:rsid w:val="00B35704"/>
    <w:rsid w:val="00B35905"/>
    <w:rsid w:val="00B3597D"/>
    <w:rsid w:val="00B35DC7"/>
    <w:rsid w:val="00B35E74"/>
    <w:rsid w:val="00B35EA0"/>
    <w:rsid w:val="00B35F4A"/>
    <w:rsid w:val="00B35F5C"/>
    <w:rsid w:val="00B36098"/>
    <w:rsid w:val="00B36172"/>
    <w:rsid w:val="00B36213"/>
    <w:rsid w:val="00B36399"/>
    <w:rsid w:val="00B36412"/>
    <w:rsid w:val="00B365AF"/>
    <w:rsid w:val="00B365EB"/>
    <w:rsid w:val="00B36615"/>
    <w:rsid w:val="00B36642"/>
    <w:rsid w:val="00B36759"/>
    <w:rsid w:val="00B36794"/>
    <w:rsid w:val="00B36827"/>
    <w:rsid w:val="00B36A4C"/>
    <w:rsid w:val="00B36ACA"/>
    <w:rsid w:val="00B36AD5"/>
    <w:rsid w:val="00B36D73"/>
    <w:rsid w:val="00B36D74"/>
    <w:rsid w:val="00B36E5F"/>
    <w:rsid w:val="00B36FA1"/>
    <w:rsid w:val="00B36FFC"/>
    <w:rsid w:val="00B3706B"/>
    <w:rsid w:val="00B37159"/>
    <w:rsid w:val="00B37167"/>
    <w:rsid w:val="00B375EC"/>
    <w:rsid w:val="00B377CD"/>
    <w:rsid w:val="00B3787A"/>
    <w:rsid w:val="00B378AB"/>
    <w:rsid w:val="00B378AE"/>
    <w:rsid w:val="00B378D4"/>
    <w:rsid w:val="00B37905"/>
    <w:rsid w:val="00B37946"/>
    <w:rsid w:val="00B37AAD"/>
    <w:rsid w:val="00B37D3E"/>
    <w:rsid w:val="00B37D9D"/>
    <w:rsid w:val="00B37E2D"/>
    <w:rsid w:val="00B37F4E"/>
    <w:rsid w:val="00B40126"/>
    <w:rsid w:val="00B4014F"/>
    <w:rsid w:val="00B40366"/>
    <w:rsid w:val="00B403C4"/>
    <w:rsid w:val="00B40640"/>
    <w:rsid w:val="00B406E3"/>
    <w:rsid w:val="00B4076A"/>
    <w:rsid w:val="00B4083E"/>
    <w:rsid w:val="00B4086C"/>
    <w:rsid w:val="00B40B34"/>
    <w:rsid w:val="00B40C19"/>
    <w:rsid w:val="00B40DB7"/>
    <w:rsid w:val="00B40DC5"/>
    <w:rsid w:val="00B40F3E"/>
    <w:rsid w:val="00B40FE9"/>
    <w:rsid w:val="00B410E8"/>
    <w:rsid w:val="00B41242"/>
    <w:rsid w:val="00B41262"/>
    <w:rsid w:val="00B4128B"/>
    <w:rsid w:val="00B41455"/>
    <w:rsid w:val="00B4148A"/>
    <w:rsid w:val="00B41491"/>
    <w:rsid w:val="00B4150E"/>
    <w:rsid w:val="00B41519"/>
    <w:rsid w:val="00B4163E"/>
    <w:rsid w:val="00B41964"/>
    <w:rsid w:val="00B41A15"/>
    <w:rsid w:val="00B41AB0"/>
    <w:rsid w:val="00B41CB8"/>
    <w:rsid w:val="00B41E21"/>
    <w:rsid w:val="00B41EE2"/>
    <w:rsid w:val="00B41F1A"/>
    <w:rsid w:val="00B41FFF"/>
    <w:rsid w:val="00B42066"/>
    <w:rsid w:val="00B42174"/>
    <w:rsid w:val="00B42176"/>
    <w:rsid w:val="00B42206"/>
    <w:rsid w:val="00B423F1"/>
    <w:rsid w:val="00B424BF"/>
    <w:rsid w:val="00B424FB"/>
    <w:rsid w:val="00B425B2"/>
    <w:rsid w:val="00B425C9"/>
    <w:rsid w:val="00B425D4"/>
    <w:rsid w:val="00B425FD"/>
    <w:rsid w:val="00B4261A"/>
    <w:rsid w:val="00B4274C"/>
    <w:rsid w:val="00B42786"/>
    <w:rsid w:val="00B42AEF"/>
    <w:rsid w:val="00B42C1F"/>
    <w:rsid w:val="00B42E8E"/>
    <w:rsid w:val="00B42EBC"/>
    <w:rsid w:val="00B432B7"/>
    <w:rsid w:val="00B432C1"/>
    <w:rsid w:val="00B4333E"/>
    <w:rsid w:val="00B43475"/>
    <w:rsid w:val="00B435F9"/>
    <w:rsid w:val="00B43625"/>
    <w:rsid w:val="00B43631"/>
    <w:rsid w:val="00B4381E"/>
    <w:rsid w:val="00B4394F"/>
    <w:rsid w:val="00B43AEF"/>
    <w:rsid w:val="00B43BE8"/>
    <w:rsid w:val="00B43C47"/>
    <w:rsid w:val="00B44053"/>
    <w:rsid w:val="00B440F9"/>
    <w:rsid w:val="00B4414A"/>
    <w:rsid w:val="00B4418A"/>
    <w:rsid w:val="00B441B3"/>
    <w:rsid w:val="00B44289"/>
    <w:rsid w:val="00B44424"/>
    <w:rsid w:val="00B445F4"/>
    <w:rsid w:val="00B44710"/>
    <w:rsid w:val="00B44AA1"/>
    <w:rsid w:val="00B44B70"/>
    <w:rsid w:val="00B44D42"/>
    <w:rsid w:val="00B44D48"/>
    <w:rsid w:val="00B44F18"/>
    <w:rsid w:val="00B45112"/>
    <w:rsid w:val="00B45205"/>
    <w:rsid w:val="00B45226"/>
    <w:rsid w:val="00B452B2"/>
    <w:rsid w:val="00B452D5"/>
    <w:rsid w:val="00B452DC"/>
    <w:rsid w:val="00B45315"/>
    <w:rsid w:val="00B453B7"/>
    <w:rsid w:val="00B454C5"/>
    <w:rsid w:val="00B4563F"/>
    <w:rsid w:val="00B45813"/>
    <w:rsid w:val="00B45AC9"/>
    <w:rsid w:val="00B460C3"/>
    <w:rsid w:val="00B46101"/>
    <w:rsid w:val="00B46129"/>
    <w:rsid w:val="00B461A0"/>
    <w:rsid w:val="00B462A7"/>
    <w:rsid w:val="00B462B9"/>
    <w:rsid w:val="00B462FB"/>
    <w:rsid w:val="00B46324"/>
    <w:rsid w:val="00B463D5"/>
    <w:rsid w:val="00B4655D"/>
    <w:rsid w:val="00B4665A"/>
    <w:rsid w:val="00B46685"/>
    <w:rsid w:val="00B466F6"/>
    <w:rsid w:val="00B46A3E"/>
    <w:rsid w:val="00B46A4B"/>
    <w:rsid w:val="00B46B98"/>
    <w:rsid w:val="00B46BE0"/>
    <w:rsid w:val="00B46C2F"/>
    <w:rsid w:val="00B46F42"/>
    <w:rsid w:val="00B46F69"/>
    <w:rsid w:val="00B46F9A"/>
    <w:rsid w:val="00B47107"/>
    <w:rsid w:val="00B47240"/>
    <w:rsid w:val="00B47247"/>
    <w:rsid w:val="00B47462"/>
    <w:rsid w:val="00B47812"/>
    <w:rsid w:val="00B4790D"/>
    <w:rsid w:val="00B479C1"/>
    <w:rsid w:val="00B47AAE"/>
    <w:rsid w:val="00B47ABB"/>
    <w:rsid w:val="00B47AE3"/>
    <w:rsid w:val="00B47B69"/>
    <w:rsid w:val="00B47F89"/>
    <w:rsid w:val="00B50080"/>
    <w:rsid w:val="00B500DA"/>
    <w:rsid w:val="00B50235"/>
    <w:rsid w:val="00B50431"/>
    <w:rsid w:val="00B5053D"/>
    <w:rsid w:val="00B5059C"/>
    <w:rsid w:val="00B50697"/>
    <w:rsid w:val="00B509FA"/>
    <w:rsid w:val="00B50A09"/>
    <w:rsid w:val="00B50A99"/>
    <w:rsid w:val="00B50AC1"/>
    <w:rsid w:val="00B50AEA"/>
    <w:rsid w:val="00B50E61"/>
    <w:rsid w:val="00B50EA3"/>
    <w:rsid w:val="00B5104B"/>
    <w:rsid w:val="00B51122"/>
    <w:rsid w:val="00B5122B"/>
    <w:rsid w:val="00B51239"/>
    <w:rsid w:val="00B5124D"/>
    <w:rsid w:val="00B5128C"/>
    <w:rsid w:val="00B5139A"/>
    <w:rsid w:val="00B516F0"/>
    <w:rsid w:val="00B519F1"/>
    <w:rsid w:val="00B51A94"/>
    <w:rsid w:val="00B51BCA"/>
    <w:rsid w:val="00B51C46"/>
    <w:rsid w:val="00B51C5B"/>
    <w:rsid w:val="00B51DA3"/>
    <w:rsid w:val="00B51DD8"/>
    <w:rsid w:val="00B51DF8"/>
    <w:rsid w:val="00B51ECA"/>
    <w:rsid w:val="00B51F05"/>
    <w:rsid w:val="00B51F72"/>
    <w:rsid w:val="00B52161"/>
    <w:rsid w:val="00B521C2"/>
    <w:rsid w:val="00B5231F"/>
    <w:rsid w:val="00B52393"/>
    <w:rsid w:val="00B524AD"/>
    <w:rsid w:val="00B524C4"/>
    <w:rsid w:val="00B527CD"/>
    <w:rsid w:val="00B52883"/>
    <w:rsid w:val="00B52AFB"/>
    <w:rsid w:val="00B52B18"/>
    <w:rsid w:val="00B52B66"/>
    <w:rsid w:val="00B52D15"/>
    <w:rsid w:val="00B52D66"/>
    <w:rsid w:val="00B52F41"/>
    <w:rsid w:val="00B52F61"/>
    <w:rsid w:val="00B53240"/>
    <w:rsid w:val="00B53346"/>
    <w:rsid w:val="00B53435"/>
    <w:rsid w:val="00B534B1"/>
    <w:rsid w:val="00B534C6"/>
    <w:rsid w:val="00B5352F"/>
    <w:rsid w:val="00B535FB"/>
    <w:rsid w:val="00B536A6"/>
    <w:rsid w:val="00B5382C"/>
    <w:rsid w:val="00B5396A"/>
    <w:rsid w:val="00B5397F"/>
    <w:rsid w:val="00B53BC1"/>
    <w:rsid w:val="00B53C20"/>
    <w:rsid w:val="00B53CED"/>
    <w:rsid w:val="00B53F4F"/>
    <w:rsid w:val="00B5404C"/>
    <w:rsid w:val="00B54061"/>
    <w:rsid w:val="00B54186"/>
    <w:rsid w:val="00B54226"/>
    <w:rsid w:val="00B54236"/>
    <w:rsid w:val="00B54417"/>
    <w:rsid w:val="00B54527"/>
    <w:rsid w:val="00B54582"/>
    <w:rsid w:val="00B545CB"/>
    <w:rsid w:val="00B54703"/>
    <w:rsid w:val="00B54909"/>
    <w:rsid w:val="00B5491F"/>
    <w:rsid w:val="00B54A6A"/>
    <w:rsid w:val="00B54AD9"/>
    <w:rsid w:val="00B54BB7"/>
    <w:rsid w:val="00B54C10"/>
    <w:rsid w:val="00B54CB6"/>
    <w:rsid w:val="00B54E1B"/>
    <w:rsid w:val="00B54E2D"/>
    <w:rsid w:val="00B5500B"/>
    <w:rsid w:val="00B55072"/>
    <w:rsid w:val="00B55084"/>
    <w:rsid w:val="00B550A8"/>
    <w:rsid w:val="00B55364"/>
    <w:rsid w:val="00B5540D"/>
    <w:rsid w:val="00B5541A"/>
    <w:rsid w:val="00B554DD"/>
    <w:rsid w:val="00B55628"/>
    <w:rsid w:val="00B5576F"/>
    <w:rsid w:val="00B55812"/>
    <w:rsid w:val="00B55889"/>
    <w:rsid w:val="00B559F7"/>
    <w:rsid w:val="00B55AF3"/>
    <w:rsid w:val="00B55ECE"/>
    <w:rsid w:val="00B55EF7"/>
    <w:rsid w:val="00B55F5E"/>
    <w:rsid w:val="00B56103"/>
    <w:rsid w:val="00B562C6"/>
    <w:rsid w:val="00B56333"/>
    <w:rsid w:val="00B566D6"/>
    <w:rsid w:val="00B566F6"/>
    <w:rsid w:val="00B567A1"/>
    <w:rsid w:val="00B56CD1"/>
    <w:rsid w:val="00B56E52"/>
    <w:rsid w:val="00B56F50"/>
    <w:rsid w:val="00B57012"/>
    <w:rsid w:val="00B570DA"/>
    <w:rsid w:val="00B572A5"/>
    <w:rsid w:val="00B572B9"/>
    <w:rsid w:val="00B57447"/>
    <w:rsid w:val="00B574E2"/>
    <w:rsid w:val="00B57574"/>
    <w:rsid w:val="00B576AB"/>
    <w:rsid w:val="00B577A6"/>
    <w:rsid w:val="00B578AA"/>
    <w:rsid w:val="00B579C8"/>
    <w:rsid w:val="00B579D3"/>
    <w:rsid w:val="00B57A12"/>
    <w:rsid w:val="00B57A6F"/>
    <w:rsid w:val="00B57ACD"/>
    <w:rsid w:val="00B57B99"/>
    <w:rsid w:val="00B57C8D"/>
    <w:rsid w:val="00B57CA4"/>
    <w:rsid w:val="00B57CF2"/>
    <w:rsid w:val="00B57DFB"/>
    <w:rsid w:val="00B57E67"/>
    <w:rsid w:val="00B57FA3"/>
    <w:rsid w:val="00B60139"/>
    <w:rsid w:val="00B60180"/>
    <w:rsid w:val="00B603A1"/>
    <w:rsid w:val="00B604D7"/>
    <w:rsid w:val="00B604E2"/>
    <w:rsid w:val="00B605F3"/>
    <w:rsid w:val="00B606A5"/>
    <w:rsid w:val="00B60931"/>
    <w:rsid w:val="00B60A47"/>
    <w:rsid w:val="00B60B54"/>
    <w:rsid w:val="00B60B65"/>
    <w:rsid w:val="00B60B7F"/>
    <w:rsid w:val="00B60D1E"/>
    <w:rsid w:val="00B60D4B"/>
    <w:rsid w:val="00B60D5F"/>
    <w:rsid w:val="00B60DA6"/>
    <w:rsid w:val="00B60DC3"/>
    <w:rsid w:val="00B60E3E"/>
    <w:rsid w:val="00B60ECA"/>
    <w:rsid w:val="00B60F18"/>
    <w:rsid w:val="00B60F62"/>
    <w:rsid w:val="00B60F83"/>
    <w:rsid w:val="00B60FB6"/>
    <w:rsid w:val="00B610FE"/>
    <w:rsid w:val="00B612E1"/>
    <w:rsid w:val="00B612E8"/>
    <w:rsid w:val="00B6132F"/>
    <w:rsid w:val="00B61425"/>
    <w:rsid w:val="00B61538"/>
    <w:rsid w:val="00B61569"/>
    <w:rsid w:val="00B6165A"/>
    <w:rsid w:val="00B6167B"/>
    <w:rsid w:val="00B6168B"/>
    <w:rsid w:val="00B6193E"/>
    <w:rsid w:val="00B61A91"/>
    <w:rsid w:val="00B61B7F"/>
    <w:rsid w:val="00B61BAA"/>
    <w:rsid w:val="00B61E30"/>
    <w:rsid w:val="00B61EAD"/>
    <w:rsid w:val="00B61EB8"/>
    <w:rsid w:val="00B61ED9"/>
    <w:rsid w:val="00B62046"/>
    <w:rsid w:val="00B6206D"/>
    <w:rsid w:val="00B620DE"/>
    <w:rsid w:val="00B620E7"/>
    <w:rsid w:val="00B620FC"/>
    <w:rsid w:val="00B62121"/>
    <w:rsid w:val="00B622C6"/>
    <w:rsid w:val="00B62341"/>
    <w:rsid w:val="00B62415"/>
    <w:rsid w:val="00B62420"/>
    <w:rsid w:val="00B624FE"/>
    <w:rsid w:val="00B62546"/>
    <w:rsid w:val="00B625A1"/>
    <w:rsid w:val="00B627D8"/>
    <w:rsid w:val="00B62A34"/>
    <w:rsid w:val="00B62A74"/>
    <w:rsid w:val="00B62D1B"/>
    <w:rsid w:val="00B62DA4"/>
    <w:rsid w:val="00B62E05"/>
    <w:rsid w:val="00B62FBF"/>
    <w:rsid w:val="00B631A2"/>
    <w:rsid w:val="00B631D8"/>
    <w:rsid w:val="00B63248"/>
    <w:rsid w:val="00B63273"/>
    <w:rsid w:val="00B63337"/>
    <w:rsid w:val="00B63343"/>
    <w:rsid w:val="00B63355"/>
    <w:rsid w:val="00B63384"/>
    <w:rsid w:val="00B63412"/>
    <w:rsid w:val="00B63497"/>
    <w:rsid w:val="00B6357C"/>
    <w:rsid w:val="00B6363D"/>
    <w:rsid w:val="00B636EB"/>
    <w:rsid w:val="00B63935"/>
    <w:rsid w:val="00B63991"/>
    <w:rsid w:val="00B639F8"/>
    <w:rsid w:val="00B63A9A"/>
    <w:rsid w:val="00B63AE8"/>
    <w:rsid w:val="00B63B20"/>
    <w:rsid w:val="00B63BAC"/>
    <w:rsid w:val="00B63CBC"/>
    <w:rsid w:val="00B63CF5"/>
    <w:rsid w:val="00B63D48"/>
    <w:rsid w:val="00B63E07"/>
    <w:rsid w:val="00B63E96"/>
    <w:rsid w:val="00B63F25"/>
    <w:rsid w:val="00B6401F"/>
    <w:rsid w:val="00B64058"/>
    <w:rsid w:val="00B64128"/>
    <w:rsid w:val="00B64146"/>
    <w:rsid w:val="00B641C5"/>
    <w:rsid w:val="00B6421E"/>
    <w:rsid w:val="00B64391"/>
    <w:rsid w:val="00B6439B"/>
    <w:rsid w:val="00B643F5"/>
    <w:rsid w:val="00B64617"/>
    <w:rsid w:val="00B64639"/>
    <w:rsid w:val="00B6464D"/>
    <w:rsid w:val="00B6468B"/>
    <w:rsid w:val="00B6475F"/>
    <w:rsid w:val="00B649AE"/>
    <w:rsid w:val="00B649FD"/>
    <w:rsid w:val="00B64D35"/>
    <w:rsid w:val="00B64DB6"/>
    <w:rsid w:val="00B64E29"/>
    <w:rsid w:val="00B6514A"/>
    <w:rsid w:val="00B6551E"/>
    <w:rsid w:val="00B655F3"/>
    <w:rsid w:val="00B65622"/>
    <w:rsid w:val="00B6580B"/>
    <w:rsid w:val="00B6586A"/>
    <w:rsid w:val="00B65966"/>
    <w:rsid w:val="00B659D5"/>
    <w:rsid w:val="00B65C0A"/>
    <w:rsid w:val="00B65D63"/>
    <w:rsid w:val="00B65F86"/>
    <w:rsid w:val="00B66083"/>
    <w:rsid w:val="00B66303"/>
    <w:rsid w:val="00B6645A"/>
    <w:rsid w:val="00B665C2"/>
    <w:rsid w:val="00B6660A"/>
    <w:rsid w:val="00B66719"/>
    <w:rsid w:val="00B6674B"/>
    <w:rsid w:val="00B669E0"/>
    <w:rsid w:val="00B66AF5"/>
    <w:rsid w:val="00B66CBC"/>
    <w:rsid w:val="00B66CFF"/>
    <w:rsid w:val="00B66E35"/>
    <w:rsid w:val="00B66F13"/>
    <w:rsid w:val="00B6703E"/>
    <w:rsid w:val="00B67250"/>
    <w:rsid w:val="00B6727A"/>
    <w:rsid w:val="00B673F4"/>
    <w:rsid w:val="00B6758E"/>
    <w:rsid w:val="00B67654"/>
    <w:rsid w:val="00B676AC"/>
    <w:rsid w:val="00B6772C"/>
    <w:rsid w:val="00B677D6"/>
    <w:rsid w:val="00B678D3"/>
    <w:rsid w:val="00B678FD"/>
    <w:rsid w:val="00B67914"/>
    <w:rsid w:val="00B67980"/>
    <w:rsid w:val="00B67AEB"/>
    <w:rsid w:val="00B67B45"/>
    <w:rsid w:val="00B67B6C"/>
    <w:rsid w:val="00B67BA8"/>
    <w:rsid w:val="00B67D0C"/>
    <w:rsid w:val="00B67E26"/>
    <w:rsid w:val="00B67EF1"/>
    <w:rsid w:val="00B70045"/>
    <w:rsid w:val="00B70069"/>
    <w:rsid w:val="00B7017E"/>
    <w:rsid w:val="00B70322"/>
    <w:rsid w:val="00B7059B"/>
    <w:rsid w:val="00B705C1"/>
    <w:rsid w:val="00B70A8C"/>
    <w:rsid w:val="00B70ABD"/>
    <w:rsid w:val="00B70B81"/>
    <w:rsid w:val="00B71152"/>
    <w:rsid w:val="00B71425"/>
    <w:rsid w:val="00B716B4"/>
    <w:rsid w:val="00B71974"/>
    <w:rsid w:val="00B719EA"/>
    <w:rsid w:val="00B71AFB"/>
    <w:rsid w:val="00B71B90"/>
    <w:rsid w:val="00B71BE4"/>
    <w:rsid w:val="00B71CF7"/>
    <w:rsid w:val="00B71D1C"/>
    <w:rsid w:val="00B71D5C"/>
    <w:rsid w:val="00B71DC7"/>
    <w:rsid w:val="00B71E93"/>
    <w:rsid w:val="00B720E5"/>
    <w:rsid w:val="00B72146"/>
    <w:rsid w:val="00B72163"/>
    <w:rsid w:val="00B721BF"/>
    <w:rsid w:val="00B721E1"/>
    <w:rsid w:val="00B7241A"/>
    <w:rsid w:val="00B72582"/>
    <w:rsid w:val="00B725FA"/>
    <w:rsid w:val="00B72643"/>
    <w:rsid w:val="00B726FC"/>
    <w:rsid w:val="00B72714"/>
    <w:rsid w:val="00B72722"/>
    <w:rsid w:val="00B72794"/>
    <w:rsid w:val="00B72825"/>
    <w:rsid w:val="00B72839"/>
    <w:rsid w:val="00B729A8"/>
    <w:rsid w:val="00B72A21"/>
    <w:rsid w:val="00B72A4F"/>
    <w:rsid w:val="00B72AB8"/>
    <w:rsid w:val="00B72E2B"/>
    <w:rsid w:val="00B72EDC"/>
    <w:rsid w:val="00B72F35"/>
    <w:rsid w:val="00B72F9F"/>
    <w:rsid w:val="00B73164"/>
    <w:rsid w:val="00B73426"/>
    <w:rsid w:val="00B73495"/>
    <w:rsid w:val="00B73616"/>
    <w:rsid w:val="00B73627"/>
    <w:rsid w:val="00B7364E"/>
    <w:rsid w:val="00B73814"/>
    <w:rsid w:val="00B73892"/>
    <w:rsid w:val="00B73956"/>
    <w:rsid w:val="00B73983"/>
    <w:rsid w:val="00B73A36"/>
    <w:rsid w:val="00B73A68"/>
    <w:rsid w:val="00B73B53"/>
    <w:rsid w:val="00B73C33"/>
    <w:rsid w:val="00B74065"/>
    <w:rsid w:val="00B74208"/>
    <w:rsid w:val="00B74236"/>
    <w:rsid w:val="00B74535"/>
    <w:rsid w:val="00B74563"/>
    <w:rsid w:val="00B745E9"/>
    <w:rsid w:val="00B74797"/>
    <w:rsid w:val="00B747B1"/>
    <w:rsid w:val="00B7481D"/>
    <w:rsid w:val="00B7493B"/>
    <w:rsid w:val="00B749D3"/>
    <w:rsid w:val="00B74C5D"/>
    <w:rsid w:val="00B74DCC"/>
    <w:rsid w:val="00B74DE9"/>
    <w:rsid w:val="00B74EF8"/>
    <w:rsid w:val="00B75208"/>
    <w:rsid w:val="00B7529B"/>
    <w:rsid w:val="00B752A0"/>
    <w:rsid w:val="00B752EB"/>
    <w:rsid w:val="00B754FA"/>
    <w:rsid w:val="00B75599"/>
    <w:rsid w:val="00B755E0"/>
    <w:rsid w:val="00B755FD"/>
    <w:rsid w:val="00B756D0"/>
    <w:rsid w:val="00B75700"/>
    <w:rsid w:val="00B757B7"/>
    <w:rsid w:val="00B75843"/>
    <w:rsid w:val="00B759A5"/>
    <w:rsid w:val="00B75A3D"/>
    <w:rsid w:val="00B75C51"/>
    <w:rsid w:val="00B75C84"/>
    <w:rsid w:val="00B75D01"/>
    <w:rsid w:val="00B75D85"/>
    <w:rsid w:val="00B75D8C"/>
    <w:rsid w:val="00B75DC8"/>
    <w:rsid w:val="00B75DE5"/>
    <w:rsid w:val="00B75F9F"/>
    <w:rsid w:val="00B7603D"/>
    <w:rsid w:val="00B760FB"/>
    <w:rsid w:val="00B761C7"/>
    <w:rsid w:val="00B762D5"/>
    <w:rsid w:val="00B765C0"/>
    <w:rsid w:val="00B76974"/>
    <w:rsid w:val="00B76A9E"/>
    <w:rsid w:val="00B76BAE"/>
    <w:rsid w:val="00B76C8A"/>
    <w:rsid w:val="00B76D24"/>
    <w:rsid w:val="00B76DE4"/>
    <w:rsid w:val="00B76E27"/>
    <w:rsid w:val="00B76F19"/>
    <w:rsid w:val="00B770D0"/>
    <w:rsid w:val="00B770FA"/>
    <w:rsid w:val="00B77195"/>
    <w:rsid w:val="00B771CF"/>
    <w:rsid w:val="00B77303"/>
    <w:rsid w:val="00B7744E"/>
    <w:rsid w:val="00B77530"/>
    <w:rsid w:val="00B776D7"/>
    <w:rsid w:val="00B77784"/>
    <w:rsid w:val="00B77A44"/>
    <w:rsid w:val="00B77A79"/>
    <w:rsid w:val="00B77B0F"/>
    <w:rsid w:val="00B77B2A"/>
    <w:rsid w:val="00B77B2D"/>
    <w:rsid w:val="00B77D02"/>
    <w:rsid w:val="00B77D3F"/>
    <w:rsid w:val="00B77DD5"/>
    <w:rsid w:val="00B77ED6"/>
    <w:rsid w:val="00B77F34"/>
    <w:rsid w:val="00B80164"/>
    <w:rsid w:val="00B80305"/>
    <w:rsid w:val="00B8051E"/>
    <w:rsid w:val="00B808CF"/>
    <w:rsid w:val="00B808D4"/>
    <w:rsid w:val="00B80B6D"/>
    <w:rsid w:val="00B80D25"/>
    <w:rsid w:val="00B80E84"/>
    <w:rsid w:val="00B80FEE"/>
    <w:rsid w:val="00B81072"/>
    <w:rsid w:val="00B81086"/>
    <w:rsid w:val="00B8119A"/>
    <w:rsid w:val="00B811A7"/>
    <w:rsid w:val="00B814BF"/>
    <w:rsid w:val="00B816CC"/>
    <w:rsid w:val="00B816EF"/>
    <w:rsid w:val="00B818A6"/>
    <w:rsid w:val="00B819E5"/>
    <w:rsid w:val="00B81A1F"/>
    <w:rsid w:val="00B81A30"/>
    <w:rsid w:val="00B81C8B"/>
    <w:rsid w:val="00B81C94"/>
    <w:rsid w:val="00B81CD0"/>
    <w:rsid w:val="00B81EF9"/>
    <w:rsid w:val="00B81F99"/>
    <w:rsid w:val="00B8207C"/>
    <w:rsid w:val="00B820B9"/>
    <w:rsid w:val="00B820D2"/>
    <w:rsid w:val="00B82105"/>
    <w:rsid w:val="00B8238E"/>
    <w:rsid w:val="00B82546"/>
    <w:rsid w:val="00B825FA"/>
    <w:rsid w:val="00B825FD"/>
    <w:rsid w:val="00B82690"/>
    <w:rsid w:val="00B8274A"/>
    <w:rsid w:val="00B82958"/>
    <w:rsid w:val="00B82BB9"/>
    <w:rsid w:val="00B82F3B"/>
    <w:rsid w:val="00B83051"/>
    <w:rsid w:val="00B830F6"/>
    <w:rsid w:val="00B83144"/>
    <w:rsid w:val="00B831A1"/>
    <w:rsid w:val="00B83317"/>
    <w:rsid w:val="00B8338B"/>
    <w:rsid w:val="00B834E5"/>
    <w:rsid w:val="00B834E9"/>
    <w:rsid w:val="00B835B9"/>
    <w:rsid w:val="00B8366F"/>
    <w:rsid w:val="00B83ABC"/>
    <w:rsid w:val="00B83B06"/>
    <w:rsid w:val="00B83CAB"/>
    <w:rsid w:val="00B83E71"/>
    <w:rsid w:val="00B84333"/>
    <w:rsid w:val="00B843DC"/>
    <w:rsid w:val="00B844A2"/>
    <w:rsid w:val="00B844AF"/>
    <w:rsid w:val="00B844D0"/>
    <w:rsid w:val="00B84518"/>
    <w:rsid w:val="00B8476C"/>
    <w:rsid w:val="00B8478C"/>
    <w:rsid w:val="00B8480F"/>
    <w:rsid w:val="00B84984"/>
    <w:rsid w:val="00B84AB3"/>
    <w:rsid w:val="00B84B65"/>
    <w:rsid w:val="00B84D5D"/>
    <w:rsid w:val="00B85065"/>
    <w:rsid w:val="00B85114"/>
    <w:rsid w:val="00B851B9"/>
    <w:rsid w:val="00B853EF"/>
    <w:rsid w:val="00B854AA"/>
    <w:rsid w:val="00B855E7"/>
    <w:rsid w:val="00B8572C"/>
    <w:rsid w:val="00B8573D"/>
    <w:rsid w:val="00B85833"/>
    <w:rsid w:val="00B85875"/>
    <w:rsid w:val="00B85886"/>
    <w:rsid w:val="00B85952"/>
    <w:rsid w:val="00B85970"/>
    <w:rsid w:val="00B85A40"/>
    <w:rsid w:val="00B85BEB"/>
    <w:rsid w:val="00B85CDC"/>
    <w:rsid w:val="00B85DC7"/>
    <w:rsid w:val="00B85EE7"/>
    <w:rsid w:val="00B85F2E"/>
    <w:rsid w:val="00B85F5F"/>
    <w:rsid w:val="00B861A3"/>
    <w:rsid w:val="00B861CA"/>
    <w:rsid w:val="00B86251"/>
    <w:rsid w:val="00B86389"/>
    <w:rsid w:val="00B864F6"/>
    <w:rsid w:val="00B865F2"/>
    <w:rsid w:val="00B8684A"/>
    <w:rsid w:val="00B86946"/>
    <w:rsid w:val="00B86B7E"/>
    <w:rsid w:val="00B86BC3"/>
    <w:rsid w:val="00B86BCD"/>
    <w:rsid w:val="00B86C8E"/>
    <w:rsid w:val="00B86E5F"/>
    <w:rsid w:val="00B86E8C"/>
    <w:rsid w:val="00B86F7F"/>
    <w:rsid w:val="00B86FB4"/>
    <w:rsid w:val="00B870ED"/>
    <w:rsid w:val="00B87124"/>
    <w:rsid w:val="00B87176"/>
    <w:rsid w:val="00B87194"/>
    <w:rsid w:val="00B87320"/>
    <w:rsid w:val="00B87482"/>
    <w:rsid w:val="00B874FF"/>
    <w:rsid w:val="00B875C4"/>
    <w:rsid w:val="00B875D6"/>
    <w:rsid w:val="00B87790"/>
    <w:rsid w:val="00B878CA"/>
    <w:rsid w:val="00B878F8"/>
    <w:rsid w:val="00B87988"/>
    <w:rsid w:val="00B87A91"/>
    <w:rsid w:val="00B87CD8"/>
    <w:rsid w:val="00B87ED6"/>
    <w:rsid w:val="00B87FF5"/>
    <w:rsid w:val="00B90186"/>
    <w:rsid w:val="00B9044A"/>
    <w:rsid w:val="00B90556"/>
    <w:rsid w:val="00B907CC"/>
    <w:rsid w:val="00B907CE"/>
    <w:rsid w:val="00B909AC"/>
    <w:rsid w:val="00B909DD"/>
    <w:rsid w:val="00B90B5B"/>
    <w:rsid w:val="00B90BD9"/>
    <w:rsid w:val="00B90C38"/>
    <w:rsid w:val="00B90CBA"/>
    <w:rsid w:val="00B90D7B"/>
    <w:rsid w:val="00B90DF2"/>
    <w:rsid w:val="00B90E50"/>
    <w:rsid w:val="00B90FC1"/>
    <w:rsid w:val="00B91059"/>
    <w:rsid w:val="00B91308"/>
    <w:rsid w:val="00B9158B"/>
    <w:rsid w:val="00B917B8"/>
    <w:rsid w:val="00B917D3"/>
    <w:rsid w:val="00B918B6"/>
    <w:rsid w:val="00B918EF"/>
    <w:rsid w:val="00B918F8"/>
    <w:rsid w:val="00B91971"/>
    <w:rsid w:val="00B919DE"/>
    <w:rsid w:val="00B91BB0"/>
    <w:rsid w:val="00B91C09"/>
    <w:rsid w:val="00B91C58"/>
    <w:rsid w:val="00B91CA0"/>
    <w:rsid w:val="00B91CC5"/>
    <w:rsid w:val="00B91CC9"/>
    <w:rsid w:val="00B91F43"/>
    <w:rsid w:val="00B92288"/>
    <w:rsid w:val="00B922A0"/>
    <w:rsid w:val="00B92489"/>
    <w:rsid w:val="00B92572"/>
    <w:rsid w:val="00B925DC"/>
    <w:rsid w:val="00B9265F"/>
    <w:rsid w:val="00B92814"/>
    <w:rsid w:val="00B92A7E"/>
    <w:rsid w:val="00B92B5D"/>
    <w:rsid w:val="00B92D46"/>
    <w:rsid w:val="00B92EB6"/>
    <w:rsid w:val="00B92F38"/>
    <w:rsid w:val="00B92FBC"/>
    <w:rsid w:val="00B9314C"/>
    <w:rsid w:val="00B9327D"/>
    <w:rsid w:val="00B932C6"/>
    <w:rsid w:val="00B933AC"/>
    <w:rsid w:val="00B935C3"/>
    <w:rsid w:val="00B93629"/>
    <w:rsid w:val="00B936A5"/>
    <w:rsid w:val="00B9373A"/>
    <w:rsid w:val="00B938A3"/>
    <w:rsid w:val="00B938C3"/>
    <w:rsid w:val="00B93909"/>
    <w:rsid w:val="00B9394E"/>
    <w:rsid w:val="00B93959"/>
    <w:rsid w:val="00B939B9"/>
    <w:rsid w:val="00B939CC"/>
    <w:rsid w:val="00B939F7"/>
    <w:rsid w:val="00B93A21"/>
    <w:rsid w:val="00B93A56"/>
    <w:rsid w:val="00B93A97"/>
    <w:rsid w:val="00B93AE0"/>
    <w:rsid w:val="00B93B55"/>
    <w:rsid w:val="00B93DF2"/>
    <w:rsid w:val="00B93E37"/>
    <w:rsid w:val="00B93E38"/>
    <w:rsid w:val="00B93E9B"/>
    <w:rsid w:val="00B93F97"/>
    <w:rsid w:val="00B94096"/>
    <w:rsid w:val="00B94267"/>
    <w:rsid w:val="00B942B5"/>
    <w:rsid w:val="00B9436F"/>
    <w:rsid w:val="00B944C1"/>
    <w:rsid w:val="00B945AF"/>
    <w:rsid w:val="00B94633"/>
    <w:rsid w:val="00B948A2"/>
    <w:rsid w:val="00B949D2"/>
    <w:rsid w:val="00B94A11"/>
    <w:rsid w:val="00B94C13"/>
    <w:rsid w:val="00B94CC9"/>
    <w:rsid w:val="00B94D1B"/>
    <w:rsid w:val="00B94DAB"/>
    <w:rsid w:val="00B94F9E"/>
    <w:rsid w:val="00B95124"/>
    <w:rsid w:val="00B953C0"/>
    <w:rsid w:val="00B95435"/>
    <w:rsid w:val="00B954C1"/>
    <w:rsid w:val="00B95705"/>
    <w:rsid w:val="00B95B57"/>
    <w:rsid w:val="00B95B9E"/>
    <w:rsid w:val="00B95E67"/>
    <w:rsid w:val="00B96060"/>
    <w:rsid w:val="00B961F2"/>
    <w:rsid w:val="00B9626A"/>
    <w:rsid w:val="00B9648E"/>
    <w:rsid w:val="00B9665C"/>
    <w:rsid w:val="00B966A5"/>
    <w:rsid w:val="00B96822"/>
    <w:rsid w:val="00B9683C"/>
    <w:rsid w:val="00B9685E"/>
    <w:rsid w:val="00B96894"/>
    <w:rsid w:val="00B968FD"/>
    <w:rsid w:val="00B96AF9"/>
    <w:rsid w:val="00B96B30"/>
    <w:rsid w:val="00B96B6F"/>
    <w:rsid w:val="00B96C5B"/>
    <w:rsid w:val="00B96DCE"/>
    <w:rsid w:val="00B96E44"/>
    <w:rsid w:val="00B97234"/>
    <w:rsid w:val="00B972AA"/>
    <w:rsid w:val="00B9744E"/>
    <w:rsid w:val="00B97546"/>
    <w:rsid w:val="00B97774"/>
    <w:rsid w:val="00B97778"/>
    <w:rsid w:val="00B977C6"/>
    <w:rsid w:val="00B97837"/>
    <w:rsid w:val="00B97AFB"/>
    <w:rsid w:val="00B97BC9"/>
    <w:rsid w:val="00B97D58"/>
    <w:rsid w:val="00B97E3E"/>
    <w:rsid w:val="00B97E54"/>
    <w:rsid w:val="00B97E5C"/>
    <w:rsid w:val="00B97ED3"/>
    <w:rsid w:val="00B97FEA"/>
    <w:rsid w:val="00BA00BB"/>
    <w:rsid w:val="00BA013D"/>
    <w:rsid w:val="00BA0271"/>
    <w:rsid w:val="00BA0327"/>
    <w:rsid w:val="00BA0767"/>
    <w:rsid w:val="00BA07E9"/>
    <w:rsid w:val="00BA0807"/>
    <w:rsid w:val="00BA080B"/>
    <w:rsid w:val="00BA0A3F"/>
    <w:rsid w:val="00BA0A72"/>
    <w:rsid w:val="00BA0CF0"/>
    <w:rsid w:val="00BA0D1B"/>
    <w:rsid w:val="00BA0D71"/>
    <w:rsid w:val="00BA0D98"/>
    <w:rsid w:val="00BA0FD7"/>
    <w:rsid w:val="00BA10C9"/>
    <w:rsid w:val="00BA11BF"/>
    <w:rsid w:val="00BA11E3"/>
    <w:rsid w:val="00BA123A"/>
    <w:rsid w:val="00BA1282"/>
    <w:rsid w:val="00BA12D5"/>
    <w:rsid w:val="00BA16BB"/>
    <w:rsid w:val="00BA1963"/>
    <w:rsid w:val="00BA1A62"/>
    <w:rsid w:val="00BA1AA6"/>
    <w:rsid w:val="00BA1AF9"/>
    <w:rsid w:val="00BA1B64"/>
    <w:rsid w:val="00BA1C2B"/>
    <w:rsid w:val="00BA1C8E"/>
    <w:rsid w:val="00BA1CBF"/>
    <w:rsid w:val="00BA1D2A"/>
    <w:rsid w:val="00BA1DD7"/>
    <w:rsid w:val="00BA1EB0"/>
    <w:rsid w:val="00BA1ED6"/>
    <w:rsid w:val="00BA2149"/>
    <w:rsid w:val="00BA2161"/>
    <w:rsid w:val="00BA2212"/>
    <w:rsid w:val="00BA2358"/>
    <w:rsid w:val="00BA2605"/>
    <w:rsid w:val="00BA265E"/>
    <w:rsid w:val="00BA27E3"/>
    <w:rsid w:val="00BA2985"/>
    <w:rsid w:val="00BA2B3E"/>
    <w:rsid w:val="00BA2B76"/>
    <w:rsid w:val="00BA2BEC"/>
    <w:rsid w:val="00BA2C4D"/>
    <w:rsid w:val="00BA2C58"/>
    <w:rsid w:val="00BA2E29"/>
    <w:rsid w:val="00BA31A5"/>
    <w:rsid w:val="00BA31E9"/>
    <w:rsid w:val="00BA323F"/>
    <w:rsid w:val="00BA3283"/>
    <w:rsid w:val="00BA3292"/>
    <w:rsid w:val="00BA3344"/>
    <w:rsid w:val="00BA33B8"/>
    <w:rsid w:val="00BA348C"/>
    <w:rsid w:val="00BA3673"/>
    <w:rsid w:val="00BA37CA"/>
    <w:rsid w:val="00BA37E1"/>
    <w:rsid w:val="00BA37EB"/>
    <w:rsid w:val="00BA381B"/>
    <w:rsid w:val="00BA3A27"/>
    <w:rsid w:val="00BA3B15"/>
    <w:rsid w:val="00BA3C80"/>
    <w:rsid w:val="00BA3D09"/>
    <w:rsid w:val="00BA3DAF"/>
    <w:rsid w:val="00BA3FA1"/>
    <w:rsid w:val="00BA3FD5"/>
    <w:rsid w:val="00BA4062"/>
    <w:rsid w:val="00BA42D6"/>
    <w:rsid w:val="00BA4454"/>
    <w:rsid w:val="00BA44E0"/>
    <w:rsid w:val="00BA4657"/>
    <w:rsid w:val="00BA4816"/>
    <w:rsid w:val="00BA48F2"/>
    <w:rsid w:val="00BA4ABC"/>
    <w:rsid w:val="00BA4B11"/>
    <w:rsid w:val="00BA4B42"/>
    <w:rsid w:val="00BA4BBA"/>
    <w:rsid w:val="00BA4C3B"/>
    <w:rsid w:val="00BA4C53"/>
    <w:rsid w:val="00BA4CB4"/>
    <w:rsid w:val="00BA4F3D"/>
    <w:rsid w:val="00BA4F53"/>
    <w:rsid w:val="00BA53A8"/>
    <w:rsid w:val="00BA5440"/>
    <w:rsid w:val="00BA54F5"/>
    <w:rsid w:val="00BA5503"/>
    <w:rsid w:val="00BA5710"/>
    <w:rsid w:val="00BA5A02"/>
    <w:rsid w:val="00BA5B64"/>
    <w:rsid w:val="00BA5C6B"/>
    <w:rsid w:val="00BA5D98"/>
    <w:rsid w:val="00BA5F47"/>
    <w:rsid w:val="00BA60EB"/>
    <w:rsid w:val="00BA610C"/>
    <w:rsid w:val="00BA62A3"/>
    <w:rsid w:val="00BA63D3"/>
    <w:rsid w:val="00BA69BC"/>
    <w:rsid w:val="00BA6B02"/>
    <w:rsid w:val="00BA6C56"/>
    <w:rsid w:val="00BA6CC2"/>
    <w:rsid w:val="00BA6F0F"/>
    <w:rsid w:val="00BA70D9"/>
    <w:rsid w:val="00BA712F"/>
    <w:rsid w:val="00BA7150"/>
    <w:rsid w:val="00BA7167"/>
    <w:rsid w:val="00BA71F4"/>
    <w:rsid w:val="00BA722A"/>
    <w:rsid w:val="00BA7554"/>
    <w:rsid w:val="00BA7764"/>
    <w:rsid w:val="00BA778B"/>
    <w:rsid w:val="00BA79B7"/>
    <w:rsid w:val="00BA7B6A"/>
    <w:rsid w:val="00BA7C40"/>
    <w:rsid w:val="00BA7D56"/>
    <w:rsid w:val="00BA7E3F"/>
    <w:rsid w:val="00BA7E9E"/>
    <w:rsid w:val="00BA7EB4"/>
    <w:rsid w:val="00BB00CA"/>
    <w:rsid w:val="00BB01E5"/>
    <w:rsid w:val="00BB030F"/>
    <w:rsid w:val="00BB0339"/>
    <w:rsid w:val="00BB0517"/>
    <w:rsid w:val="00BB0644"/>
    <w:rsid w:val="00BB0645"/>
    <w:rsid w:val="00BB067E"/>
    <w:rsid w:val="00BB07A9"/>
    <w:rsid w:val="00BB0949"/>
    <w:rsid w:val="00BB0A47"/>
    <w:rsid w:val="00BB0CEC"/>
    <w:rsid w:val="00BB0D60"/>
    <w:rsid w:val="00BB0FA0"/>
    <w:rsid w:val="00BB1002"/>
    <w:rsid w:val="00BB1109"/>
    <w:rsid w:val="00BB1347"/>
    <w:rsid w:val="00BB13DE"/>
    <w:rsid w:val="00BB18EF"/>
    <w:rsid w:val="00BB19C4"/>
    <w:rsid w:val="00BB1AAD"/>
    <w:rsid w:val="00BB1C60"/>
    <w:rsid w:val="00BB1D89"/>
    <w:rsid w:val="00BB1E9E"/>
    <w:rsid w:val="00BB1EBB"/>
    <w:rsid w:val="00BB1F9A"/>
    <w:rsid w:val="00BB2102"/>
    <w:rsid w:val="00BB224F"/>
    <w:rsid w:val="00BB228C"/>
    <w:rsid w:val="00BB2343"/>
    <w:rsid w:val="00BB23D7"/>
    <w:rsid w:val="00BB245C"/>
    <w:rsid w:val="00BB2511"/>
    <w:rsid w:val="00BB2550"/>
    <w:rsid w:val="00BB25A9"/>
    <w:rsid w:val="00BB25B7"/>
    <w:rsid w:val="00BB25CE"/>
    <w:rsid w:val="00BB25ED"/>
    <w:rsid w:val="00BB2621"/>
    <w:rsid w:val="00BB2843"/>
    <w:rsid w:val="00BB297E"/>
    <w:rsid w:val="00BB2A8E"/>
    <w:rsid w:val="00BB2C17"/>
    <w:rsid w:val="00BB2CDB"/>
    <w:rsid w:val="00BB2D3D"/>
    <w:rsid w:val="00BB2DA5"/>
    <w:rsid w:val="00BB2E40"/>
    <w:rsid w:val="00BB2EE4"/>
    <w:rsid w:val="00BB30B2"/>
    <w:rsid w:val="00BB3379"/>
    <w:rsid w:val="00BB354F"/>
    <w:rsid w:val="00BB35BA"/>
    <w:rsid w:val="00BB360A"/>
    <w:rsid w:val="00BB36BA"/>
    <w:rsid w:val="00BB372E"/>
    <w:rsid w:val="00BB3907"/>
    <w:rsid w:val="00BB3948"/>
    <w:rsid w:val="00BB3B13"/>
    <w:rsid w:val="00BB3C77"/>
    <w:rsid w:val="00BB3CCB"/>
    <w:rsid w:val="00BB3DCB"/>
    <w:rsid w:val="00BB3F17"/>
    <w:rsid w:val="00BB3FF2"/>
    <w:rsid w:val="00BB41EF"/>
    <w:rsid w:val="00BB43C5"/>
    <w:rsid w:val="00BB4425"/>
    <w:rsid w:val="00BB44E5"/>
    <w:rsid w:val="00BB4809"/>
    <w:rsid w:val="00BB482B"/>
    <w:rsid w:val="00BB48B4"/>
    <w:rsid w:val="00BB4AA4"/>
    <w:rsid w:val="00BB4BD0"/>
    <w:rsid w:val="00BB4C34"/>
    <w:rsid w:val="00BB4CEB"/>
    <w:rsid w:val="00BB4D90"/>
    <w:rsid w:val="00BB4EEE"/>
    <w:rsid w:val="00BB4F82"/>
    <w:rsid w:val="00BB5025"/>
    <w:rsid w:val="00BB5032"/>
    <w:rsid w:val="00BB5183"/>
    <w:rsid w:val="00BB519B"/>
    <w:rsid w:val="00BB51E7"/>
    <w:rsid w:val="00BB524C"/>
    <w:rsid w:val="00BB526B"/>
    <w:rsid w:val="00BB53C8"/>
    <w:rsid w:val="00BB5496"/>
    <w:rsid w:val="00BB56A0"/>
    <w:rsid w:val="00BB590B"/>
    <w:rsid w:val="00BB5A12"/>
    <w:rsid w:val="00BB5A3E"/>
    <w:rsid w:val="00BB5CA2"/>
    <w:rsid w:val="00BB5CB7"/>
    <w:rsid w:val="00BB5D71"/>
    <w:rsid w:val="00BB61FD"/>
    <w:rsid w:val="00BB620A"/>
    <w:rsid w:val="00BB64E5"/>
    <w:rsid w:val="00BB65C6"/>
    <w:rsid w:val="00BB65F7"/>
    <w:rsid w:val="00BB663A"/>
    <w:rsid w:val="00BB666C"/>
    <w:rsid w:val="00BB6716"/>
    <w:rsid w:val="00BB679D"/>
    <w:rsid w:val="00BB6810"/>
    <w:rsid w:val="00BB6897"/>
    <w:rsid w:val="00BB6932"/>
    <w:rsid w:val="00BB6958"/>
    <w:rsid w:val="00BB698B"/>
    <w:rsid w:val="00BB69E9"/>
    <w:rsid w:val="00BB6C8B"/>
    <w:rsid w:val="00BB6EF9"/>
    <w:rsid w:val="00BB6FD0"/>
    <w:rsid w:val="00BB71BF"/>
    <w:rsid w:val="00BB748A"/>
    <w:rsid w:val="00BB74CB"/>
    <w:rsid w:val="00BB74EB"/>
    <w:rsid w:val="00BB756A"/>
    <w:rsid w:val="00BB75BA"/>
    <w:rsid w:val="00BB7616"/>
    <w:rsid w:val="00BB7658"/>
    <w:rsid w:val="00BB76C7"/>
    <w:rsid w:val="00BB7A43"/>
    <w:rsid w:val="00BB7A48"/>
    <w:rsid w:val="00BB7DCE"/>
    <w:rsid w:val="00BB7DD9"/>
    <w:rsid w:val="00BB7E92"/>
    <w:rsid w:val="00BB7EA8"/>
    <w:rsid w:val="00BB7ED2"/>
    <w:rsid w:val="00BC0033"/>
    <w:rsid w:val="00BC01E7"/>
    <w:rsid w:val="00BC0318"/>
    <w:rsid w:val="00BC04A8"/>
    <w:rsid w:val="00BC0520"/>
    <w:rsid w:val="00BC0680"/>
    <w:rsid w:val="00BC084A"/>
    <w:rsid w:val="00BC086B"/>
    <w:rsid w:val="00BC0932"/>
    <w:rsid w:val="00BC09E8"/>
    <w:rsid w:val="00BC0B58"/>
    <w:rsid w:val="00BC0B63"/>
    <w:rsid w:val="00BC0B7A"/>
    <w:rsid w:val="00BC0B89"/>
    <w:rsid w:val="00BC0C2C"/>
    <w:rsid w:val="00BC0E71"/>
    <w:rsid w:val="00BC1003"/>
    <w:rsid w:val="00BC1023"/>
    <w:rsid w:val="00BC11A6"/>
    <w:rsid w:val="00BC11F7"/>
    <w:rsid w:val="00BC125A"/>
    <w:rsid w:val="00BC1405"/>
    <w:rsid w:val="00BC1469"/>
    <w:rsid w:val="00BC16A7"/>
    <w:rsid w:val="00BC1812"/>
    <w:rsid w:val="00BC1851"/>
    <w:rsid w:val="00BC1903"/>
    <w:rsid w:val="00BC1962"/>
    <w:rsid w:val="00BC1A31"/>
    <w:rsid w:val="00BC1B05"/>
    <w:rsid w:val="00BC1B71"/>
    <w:rsid w:val="00BC1C22"/>
    <w:rsid w:val="00BC1C5E"/>
    <w:rsid w:val="00BC204C"/>
    <w:rsid w:val="00BC2147"/>
    <w:rsid w:val="00BC24AF"/>
    <w:rsid w:val="00BC2537"/>
    <w:rsid w:val="00BC26CF"/>
    <w:rsid w:val="00BC2848"/>
    <w:rsid w:val="00BC2A1E"/>
    <w:rsid w:val="00BC2D2E"/>
    <w:rsid w:val="00BC2F79"/>
    <w:rsid w:val="00BC30BF"/>
    <w:rsid w:val="00BC30E4"/>
    <w:rsid w:val="00BC30F0"/>
    <w:rsid w:val="00BC310A"/>
    <w:rsid w:val="00BC311F"/>
    <w:rsid w:val="00BC312C"/>
    <w:rsid w:val="00BC315F"/>
    <w:rsid w:val="00BC31A8"/>
    <w:rsid w:val="00BC31AA"/>
    <w:rsid w:val="00BC33E1"/>
    <w:rsid w:val="00BC3545"/>
    <w:rsid w:val="00BC3590"/>
    <w:rsid w:val="00BC35F8"/>
    <w:rsid w:val="00BC3657"/>
    <w:rsid w:val="00BC3695"/>
    <w:rsid w:val="00BC379C"/>
    <w:rsid w:val="00BC388F"/>
    <w:rsid w:val="00BC39F5"/>
    <w:rsid w:val="00BC3B73"/>
    <w:rsid w:val="00BC3C8E"/>
    <w:rsid w:val="00BC3C95"/>
    <w:rsid w:val="00BC3CFB"/>
    <w:rsid w:val="00BC4071"/>
    <w:rsid w:val="00BC4088"/>
    <w:rsid w:val="00BC417A"/>
    <w:rsid w:val="00BC41ED"/>
    <w:rsid w:val="00BC422D"/>
    <w:rsid w:val="00BC4357"/>
    <w:rsid w:val="00BC43E2"/>
    <w:rsid w:val="00BC45FC"/>
    <w:rsid w:val="00BC46D5"/>
    <w:rsid w:val="00BC46EF"/>
    <w:rsid w:val="00BC49B6"/>
    <w:rsid w:val="00BC4A24"/>
    <w:rsid w:val="00BC4AA9"/>
    <w:rsid w:val="00BC4B41"/>
    <w:rsid w:val="00BC4EEB"/>
    <w:rsid w:val="00BC4F2D"/>
    <w:rsid w:val="00BC4F7D"/>
    <w:rsid w:val="00BC4F93"/>
    <w:rsid w:val="00BC5032"/>
    <w:rsid w:val="00BC509E"/>
    <w:rsid w:val="00BC50F5"/>
    <w:rsid w:val="00BC51E5"/>
    <w:rsid w:val="00BC523A"/>
    <w:rsid w:val="00BC52B7"/>
    <w:rsid w:val="00BC54A7"/>
    <w:rsid w:val="00BC5566"/>
    <w:rsid w:val="00BC5626"/>
    <w:rsid w:val="00BC5674"/>
    <w:rsid w:val="00BC56AA"/>
    <w:rsid w:val="00BC57AB"/>
    <w:rsid w:val="00BC58D6"/>
    <w:rsid w:val="00BC595B"/>
    <w:rsid w:val="00BC59C8"/>
    <w:rsid w:val="00BC5A7E"/>
    <w:rsid w:val="00BC5AC7"/>
    <w:rsid w:val="00BC5AD9"/>
    <w:rsid w:val="00BC5B83"/>
    <w:rsid w:val="00BC5CC0"/>
    <w:rsid w:val="00BC5DCC"/>
    <w:rsid w:val="00BC5DD4"/>
    <w:rsid w:val="00BC5E10"/>
    <w:rsid w:val="00BC5E64"/>
    <w:rsid w:val="00BC5E9F"/>
    <w:rsid w:val="00BC5FAE"/>
    <w:rsid w:val="00BC60DE"/>
    <w:rsid w:val="00BC6182"/>
    <w:rsid w:val="00BC619F"/>
    <w:rsid w:val="00BC6387"/>
    <w:rsid w:val="00BC63A9"/>
    <w:rsid w:val="00BC647E"/>
    <w:rsid w:val="00BC64FB"/>
    <w:rsid w:val="00BC6578"/>
    <w:rsid w:val="00BC6594"/>
    <w:rsid w:val="00BC6708"/>
    <w:rsid w:val="00BC69B3"/>
    <w:rsid w:val="00BC6AB8"/>
    <w:rsid w:val="00BC6BB7"/>
    <w:rsid w:val="00BC6C74"/>
    <w:rsid w:val="00BC6CD4"/>
    <w:rsid w:val="00BC6E81"/>
    <w:rsid w:val="00BC7063"/>
    <w:rsid w:val="00BC708E"/>
    <w:rsid w:val="00BC7171"/>
    <w:rsid w:val="00BC7388"/>
    <w:rsid w:val="00BC75E5"/>
    <w:rsid w:val="00BC7799"/>
    <w:rsid w:val="00BC77D3"/>
    <w:rsid w:val="00BC77FC"/>
    <w:rsid w:val="00BC78F7"/>
    <w:rsid w:val="00BC7A01"/>
    <w:rsid w:val="00BC7A19"/>
    <w:rsid w:val="00BC7A24"/>
    <w:rsid w:val="00BC7B1B"/>
    <w:rsid w:val="00BC7B7B"/>
    <w:rsid w:val="00BC7C21"/>
    <w:rsid w:val="00BC7DD4"/>
    <w:rsid w:val="00BD0110"/>
    <w:rsid w:val="00BD0115"/>
    <w:rsid w:val="00BD03AD"/>
    <w:rsid w:val="00BD03E3"/>
    <w:rsid w:val="00BD0542"/>
    <w:rsid w:val="00BD097C"/>
    <w:rsid w:val="00BD0A93"/>
    <w:rsid w:val="00BD0B0E"/>
    <w:rsid w:val="00BD0FD3"/>
    <w:rsid w:val="00BD1077"/>
    <w:rsid w:val="00BD125A"/>
    <w:rsid w:val="00BD138A"/>
    <w:rsid w:val="00BD1592"/>
    <w:rsid w:val="00BD1687"/>
    <w:rsid w:val="00BD176A"/>
    <w:rsid w:val="00BD17AE"/>
    <w:rsid w:val="00BD17E4"/>
    <w:rsid w:val="00BD1875"/>
    <w:rsid w:val="00BD189B"/>
    <w:rsid w:val="00BD198C"/>
    <w:rsid w:val="00BD1AFC"/>
    <w:rsid w:val="00BD1BFB"/>
    <w:rsid w:val="00BD1CD2"/>
    <w:rsid w:val="00BD1DC4"/>
    <w:rsid w:val="00BD1FFD"/>
    <w:rsid w:val="00BD2282"/>
    <w:rsid w:val="00BD23E8"/>
    <w:rsid w:val="00BD2430"/>
    <w:rsid w:val="00BD2452"/>
    <w:rsid w:val="00BD2475"/>
    <w:rsid w:val="00BD24B0"/>
    <w:rsid w:val="00BD25B7"/>
    <w:rsid w:val="00BD2620"/>
    <w:rsid w:val="00BD2815"/>
    <w:rsid w:val="00BD2A65"/>
    <w:rsid w:val="00BD2E61"/>
    <w:rsid w:val="00BD2F78"/>
    <w:rsid w:val="00BD2FA8"/>
    <w:rsid w:val="00BD3002"/>
    <w:rsid w:val="00BD3510"/>
    <w:rsid w:val="00BD352C"/>
    <w:rsid w:val="00BD353E"/>
    <w:rsid w:val="00BD36F8"/>
    <w:rsid w:val="00BD3B30"/>
    <w:rsid w:val="00BD3B4C"/>
    <w:rsid w:val="00BD3C3C"/>
    <w:rsid w:val="00BD3D99"/>
    <w:rsid w:val="00BD3F67"/>
    <w:rsid w:val="00BD4387"/>
    <w:rsid w:val="00BD4436"/>
    <w:rsid w:val="00BD443A"/>
    <w:rsid w:val="00BD4563"/>
    <w:rsid w:val="00BD4770"/>
    <w:rsid w:val="00BD479E"/>
    <w:rsid w:val="00BD489E"/>
    <w:rsid w:val="00BD48E3"/>
    <w:rsid w:val="00BD494B"/>
    <w:rsid w:val="00BD49AB"/>
    <w:rsid w:val="00BD4A06"/>
    <w:rsid w:val="00BD4CB0"/>
    <w:rsid w:val="00BD4D11"/>
    <w:rsid w:val="00BD4D7B"/>
    <w:rsid w:val="00BD4EC5"/>
    <w:rsid w:val="00BD5076"/>
    <w:rsid w:val="00BD5260"/>
    <w:rsid w:val="00BD5292"/>
    <w:rsid w:val="00BD5345"/>
    <w:rsid w:val="00BD5390"/>
    <w:rsid w:val="00BD55D3"/>
    <w:rsid w:val="00BD56B1"/>
    <w:rsid w:val="00BD5737"/>
    <w:rsid w:val="00BD5920"/>
    <w:rsid w:val="00BD5988"/>
    <w:rsid w:val="00BD5A0B"/>
    <w:rsid w:val="00BD5A4E"/>
    <w:rsid w:val="00BD5C22"/>
    <w:rsid w:val="00BD5D35"/>
    <w:rsid w:val="00BD5EB9"/>
    <w:rsid w:val="00BD5F04"/>
    <w:rsid w:val="00BD6018"/>
    <w:rsid w:val="00BD622F"/>
    <w:rsid w:val="00BD649A"/>
    <w:rsid w:val="00BD66C9"/>
    <w:rsid w:val="00BD6780"/>
    <w:rsid w:val="00BD67B1"/>
    <w:rsid w:val="00BD69D4"/>
    <w:rsid w:val="00BD6AEF"/>
    <w:rsid w:val="00BD6B5D"/>
    <w:rsid w:val="00BD6C3E"/>
    <w:rsid w:val="00BD6E09"/>
    <w:rsid w:val="00BD70AF"/>
    <w:rsid w:val="00BD73C5"/>
    <w:rsid w:val="00BD73E5"/>
    <w:rsid w:val="00BD7409"/>
    <w:rsid w:val="00BD7559"/>
    <w:rsid w:val="00BD75A3"/>
    <w:rsid w:val="00BD7665"/>
    <w:rsid w:val="00BD7668"/>
    <w:rsid w:val="00BD772D"/>
    <w:rsid w:val="00BD7773"/>
    <w:rsid w:val="00BD77D3"/>
    <w:rsid w:val="00BD7832"/>
    <w:rsid w:val="00BD7A70"/>
    <w:rsid w:val="00BD7C57"/>
    <w:rsid w:val="00BDFDB8"/>
    <w:rsid w:val="00BE005F"/>
    <w:rsid w:val="00BE00ED"/>
    <w:rsid w:val="00BE01A2"/>
    <w:rsid w:val="00BE026B"/>
    <w:rsid w:val="00BE02F0"/>
    <w:rsid w:val="00BE07BF"/>
    <w:rsid w:val="00BE0828"/>
    <w:rsid w:val="00BE08E8"/>
    <w:rsid w:val="00BE096C"/>
    <w:rsid w:val="00BE09A6"/>
    <w:rsid w:val="00BE0AE3"/>
    <w:rsid w:val="00BE0E24"/>
    <w:rsid w:val="00BE0EDC"/>
    <w:rsid w:val="00BE0F75"/>
    <w:rsid w:val="00BE1177"/>
    <w:rsid w:val="00BE1353"/>
    <w:rsid w:val="00BE1461"/>
    <w:rsid w:val="00BE14E0"/>
    <w:rsid w:val="00BE1607"/>
    <w:rsid w:val="00BE1626"/>
    <w:rsid w:val="00BE16BC"/>
    <w:rsid w:val="00BE178E"/>
    <w:rsid w:val="00BE1795"/>
    <w:rsid w:val="00BE191F"/>
    <w:rsid w:val="00BE19FB"/>
    <w:rsid w:val="00BE1A6F"/>
    <w:rsid w:val="00BE1B8D"/>
    <w:rsid w:val="00BE1BBD"/>
    <w:rsid w:val="00BE1D26"/>
    <w:rsid w:val="00BE1E58"/>
    <w:rsid w:val="00BE1ED0"/>
    <w:rsid w:val="00BE205F"/>
    <w:rsid w:val="00BE234C"/>
    <w:rsid w:val="00BE23D9"/>
    <w:rsid w:val="00BE2622"/>
    <w:rsid w:val="00BE2643"/>
    <w:rsid w:val="00BE26F0"/>
    <w:rsid w:val="00BE2964"/>
    <w:rsid w:val="00BE2A03"/>
    <w:rsid w:val="00BE2B95"/>
    <w:rsid w:val="00BE2C73"/>
    <w:rsid w:val="00BE2C76"/>
    <w:rsid w:val="00BE2EAE"/>
    <w:rsid w:val="00BE2F2C"/>
    <w:rsid w:val="00BE2FEC"/>
    <w:rsid w:val="00BE300D"/>
    <w:rsid w:val="00BE30A5"/>
    <w:rsid w:val="00BE3118"/>
    <w:rsid w:val="00BE318B"/>
    <w:rsid w:val="00BE31EA"/>
    <w:rsid w:val="00BE321A"/>
    <w:rsid w:val="00BE3697"/>
    <w:rsid w:val="00BE36A6"/>
    <w:rsid w:val="00BE3757"/>
    <w:rsid w:val="00BE3767"/>
    <w:rsid w:val="00BE37F5"/>
    <w:rsid w:val="00BE3933"/>
    <w:rsid w:val="00BE3A93"/>
    <w:rsid w:val="00BE3BDD"/>
    <w:rsid w:val="00BE3CAA"/>
    <w:rsid w:val="00BE3F49"/>
    <w:rsid w:val="00BE40F3"/>
    <w:rsid w:val="00BE4223"/>
    <w:rsid w:val="00BE4331"/>
    <w:rsid w:val="00BE438F"/>
    <w:rsid w:val="00BE44B8"/>
    <w:rsid w:val="00BE45B7"/>
    <w:rsid w:val="00BE4637"/>
    <w:rsid w:val="00BE467A"/>
    <w:rsid w:val="00BE4681"/>
    <w:rsid w:val="00BE47C1"/>
    <w:rsid w:val="00BE487E"/>
    <w:rsid w:val="00BE4A21"/>
    <w:rsid w:val="00BE4A68"/>
    <w:rsid w:val="00BE4B00"/>
    <w:rsid w:val="00BE4ED6"/>
    <w:rsid w:val="00BE5049"/>
    <w:rsid w:val="00BE5108"/>
    <w:rsid w:val="00BE515C"/>
    <w:rsid w:val="00BE54E4"/>
    <w:rsid w:val="00BE55D8"/>
    <w:rsid w:val="00BE5919"/>
    <w:rsid w:val="00BE5D71"/>
    <w:rsid w:val="00BE5F0E"/>
    <w:rsid w:val="00BE5F5F"/>
    <w:rsid w:val="00BE5FA9"/>
    <w:rsid w:val="00BE61DE"/>
    <w:rsid w:val="00BE6229"/>
    <w:rsid w:val="00BE62F8"/>
    <w:rsid w:val="00BE6456"/>
    <w:rsid w:val="00BE6566"/>
    <w:rsid w:val="00BE6607"/>
    <w:rsid w:val="00BE6662"/>
    <w:rsid w:val="00BE66CA"/>
    <w:rsid w:val="00BE66E4"/>
    <w:rsid w:val="00BE66E7"/>
    <w:rsid w:val="00BE6713"/>
    <w:rsid w:val="00BE6863"/>
    <w:rsid w:val="00BE6C4B"/>
    <w:rsid w:val="00BE6CC9"/>
    <w:rsid w:val="00BE6CF7"/>
    <w:rsid w:val="00BE6D55"/>
    <w:rsid w:val="00BE6E31"/>
    <w:rsid w:val="00BE6EB8"/>
    <w:rsid w:val="00BE7054"/>
    <w:rsid w:val="00BE722E"/>
    <w:rsid w:val="00BE737F"/>
    <w:rsid w:val="00BE756C"/>
    <w:rsid w:val="00BE7731"/>
    <w:rsid w:val="00BE7822"/>
    <w:rsid w:val="00BE782A"/>
    <w:rsid w:val="00BE78EA"/>
    <w:rsid w:val="00BE796E"/>
    <w:rsid w:val="00BE79BA"/>
    <w:rsid w:val="00BE79D6"/>
    <w:rsid w:val="00BE79D9"/>
    <w:rsid w:val="00BE7C0A"/>
    <w:rsid w:val="00BE7D52"/>
    <w:rsid w:val="00BE7FB0"/>
    <w:rsid w:val="00BE7FE6"/>
    <w:rsid w:val="00BF0008"/>
    <w:rsid w:val="00BF003C"/>
    <w:rsid w:val="00BF04D0"/>
    <w:rsid w:val="00BF0561"/>
    <w:rsid w:val="00BF0916"/>
    <w:rsid w:val="00BF09D2"/>
    <w:rsid w:val="00BF0A5B"/>
    <w:rsid w:val="00BF0B0C"/>
    <w:rsid w:val="00BF0E3A"/>
    <w:rsid w:val="00BF0E59"/>
    <w:rsid w:val="00BF0F10"/>
    <w:rsid w:val="00BF0F99"/>
    <w:rsid w:val="00BF107A"/>
    <w:rsid w:val="00BF10B1"/>
    <w:rsid w:val="00BF118B"/>
    <w:rsid w:val="00BF11A6"/>
    <w:rsid w:val="00BF11C0"/>
    <w:rsid w:val="00BF11F4"/>
    <w:rsid w:val="00BF121D"/>
    <w:rsid w:val="00BF129E"/>
    <w:rsid w:val="00BF132A"/>
    <w:rsid w:val="00BF13EC"/>
    <w:rsid w:val="00BF13F6"/>
    <w:rsid w:val="00BF1561"/>
    <w:rsid w:val="00BF15BA"/>
    <w:rsid w:val="00BF15DE"/>
    <w:rsid w:val="00BF169E"/>
    <w:rsid w:val="00BF16C7"/>
    <w:rsid w:val="00BF1819"/>
    <w:rsid w:val="00BF191A"/>
    <w:rsid w:val="00BF1930"/>
    <w:rsid w:val="00BF1BFB"/>
    <w:rsid w:val="00BF1CF7"/>
    <w:rsid w:val="00BF20CE"/>
    <w:rsid w:val="00BF2121"/>
    <w:rsid w:val="00BF21D6"/>
    <w:rsid w:val="00BF242C"/>
    <w:rsid w:val="00BF2493"/>
    <w:rsid w:val="00BF24A0"/>
    <w:rsid w:val="00BF24E0"/>
    <w:rsid w:val="00BF2690"/>
    <w:rsid w:val="00BF26DD"/>
    <w:rsid w:val="00BF2763"/>
    <w:rsid w:val="00BF2795"/>
    <w:rsid w:val="00BF29DB"/>
    <w:rsid w:val="00BF2BBC"/>
    <w:rsid w:val="00BF2CEA"/>
    <w:rsid w:val="00BF2D47"/>
    <w:rsid w:val="00BF2E00"/>
    <w:rsid w:val="00BF2F76"/>
    <w:rsid w:val="00BF317A"/>
    <w:rsid w:val="00BF3332"/>
    <w:rsid w:val="00BF3404"/>
    <w:rsid w:val="00BF3444"/>
    <w:rsid w:val="00BF37FF"/>
    <w:rsid w:val="00BF3860"/>
    <w:rsid w:val="00BF386F"/>
    <w:rsid w:val="00BF397A"/>
    <w:rsid w:val="00BF3A6C"/>
    <w:rsid w:val="00BF3C72"/>
    <w:rsid w:val="00BF3C8B"/>
    <w:rsid w:val="00BF3EB7"/>
    <w:rsid w:val="00BF3F86"/>
    <w:rsid w:val="00BF400E"/>
    <w:rsid w:val="00BF42BB"/>
    <w:rsid w:val="00BF42FC"/>
    <w:rsid w:val="00BF4436"/>
    <w:rsid w:val="00BF4729"/>
    <w:rsid w:val="00BF475E"/>
    <w:rsid w:val="00BF487A"/>
    <w:rsid w:val="00BF4A32"/>
    <w:rsid w:val="00BF4A8B"/>
    <w:rsid w:val="00BF4A8D"/>
    <w:rsid w:val="00BF4ADD"/>
    <w:rsid w:val="00BF4AF0"/>
    <w:rsid w:val="00BF4BA2"/>
    <w:rsid w:val="00BF4BE7"/>
    <w:rsid w:val="00BF4C49"/>
    <w:rsid w:val="00BF505E"/>
    <w:rsid w:val="00BF50D2"/>
    <w:rsid w:val="00BF523E"/>
    <w:rsid w:val="00BF5384"/>
    <w:rsid w:val="00BF54F0"/>
    <w:rsid w:val="00BF5571"/>
    <w:rsid w:val="00BF559A"/>
    <w:rsid w:val="00BF5695"/>
    <w:rsid w:val="00BF5839"/>
    <w:rsid w:val="00BF5947"/>
    <w:rsid w:val="00BF5BE7"/>
    <w:rsid w:val="00BF5E26"/>
    <w:rsid w:val="00BF5E69"/>
    <w:rsid w:val="00BF5ECF"/>
    <w:rsid w:val="00BF60F4"/>
    <w:rsid w:val="00BF6102"/>
    <w:rsid w:val="00BF614D"/>
    <w:rsid w:val="00BF624A"/>
    <w:rsid w:val="00BF653A"/>
    <w:rsid w:val="00BF658F"/>
    <w:rsid w:val="00BF65EB"/>
    <w:rsid w:val="00BF6614"/>
    <w:rsid w:val="00BF6640"/>
    <w:rsid w:val="00BF66FF"/>
    <w:rsid w:val="00BF6949"/>
    <w:rsid w:val="00BF6CDF"/>
    <w:rsid w:val="00BF6D60"/>
    <w:rsid w:val="00BF6F6B"/>
    <w:rsid w:val="00BF7007"/>
    <w:rsid w:val="00BF70C7"/>
    <w:rsid w:val="00BF71D7"/>
    <w:rsid w:val="00BF7352"/>
    <w:rsid w:val="00BF73C2"/>
    <w:rsid w:val="00BF7428"/>
    <w:rsid w:val="00BF74A3"/>
    <w:rsid w:val="00BF7505"/>
    <w:rsid w:val="00BF782B"/>
    <w:rsid w:val="00BF78B1"/>
    <w:rsid w:val="00BF7A24"/>
    <w:rsid w:val="00BF7AE9"/>
    <w:rsid w:val="00BF7B00"/>
    <w:rsid w:val="00BF7C74"/>
    <w:rsid w:val="00C00160"/>
    <w:rsid w:val="00C0023B"/>
    <w:rsid w:val="00C00266"/>
    <w:rsid w:val="00C002AB"/>
    <w:rsid w:val="00C00324"/>
    <w:rsid w:val="00C004CF"/>
    <w:rsid w:val="00C00633"/>
    <w:rsid w:val="00C00668"/>
    <w:rsid w:val="00C009FE"/>
    <w:rsid w:val="00C00B0F"/>
    <w:rsid w:val="00C00F93"/>
    <w:rsid w:val="00C00FB8"/>
    <w:rsid w:val="00C01314"/>
    <w:rsid w:val="00C01470"/>
    <w:rsid w:val="00C01487"/>
    <w:rsid w:val="00C01511"/>
    <w:rsid w:val="00C0156D"/>
    <w:rsid w:val="00C01714"/>
    <w:rsid w:val="00C01777"/>
    <w:rsid w:val="00C017F9"/>
    <w:rsid w:val="00C01876"/>
    <w:rsid w:val="00C01972"/>
    <w:rsid w:val="00C01A30"/>
    <w:rsid w:val="00C01A7E"/>
    <w:rsid w:val="00C01AD1"/>
    <w:rsid w:val="00C01B4A"/>
    <w:rsid w:val="00C01CDD"/>
    <w:rsid w:val="00C01CF6"/>
    <w:rsid w:val="00C01FD8"/>
    <w:rsid w:val="00C020A2"/>
    <w:rsid w:val="00C022B5"/>
    <w:rsid w:val="00C0238B"/>
    <w:rsid w:val="00C0244D"/>
    <w:rsid w:val="00C02477"/>
    <w:rsid w:val="00C02478"/>
    <w:rsid w:val="00C02563"/>
    <w:rsid w:val="00C02638"/>
    <w:rsid w:val="00C028F0"/>
    <w:rsid w:val="00C029D6"/>
    <w:rsid w:val="00C02A01"/>
    <w:rsid w:val="00C02A27"/>
    <w:rsid w:val="00C02A99"/>
    <w:rsid w:val="00C02B0B"/>
    <w:rsid w:val="00C02BF9"/>
    <w:rsid w:val="00C02D48"/>
    <w:rsid w:val="00C02D8E"/>
    <w:rsid w:val="00C02DE2"/>
    <w:rsid w:val="00C02EAE"/>
    <w:rsid w:val="00C03125"/>
    <w:rsid w:val="00C03135"/>
    <w:rsid w:val="00C03246"/>
    <w:rsid w:val="00C0327C"/>
    <w:rsid w:val="00C0385A"/>
    <w:rsid w:val="00C038F1"/>
    <w:rsid w:val="00C0395A"/>
    <w:rsid w:val="00C039DB"/>
    <w:rsid w:val="00C03B21"/>
    <w:rsid w:val="00C03B3A"/>
    <w:rsid w:val="00C03BA7"/>
    <w:rsid w:val="00C03BBD"/>
    <w:rsid w:val="00C03C03"/>
    <w:rsid w:val="00C03C60"/>
    <w:rsid w:val="00C03CDF"/>
    <w:rsid w:val="00C03CF9"/>
    <w:rsid w:val="00C03DD8"/>
    <w:rsid w:val="00C03EAF"/>
    <w:rsid w:val="00C03EF4"/>
    <w:rsid w:val="00C03F18"/>
    <w:rsid w:val="00C04012"/>
    <w:rsid w:val="00C041EF"/>
    <w:rsid w:val="00C04224"/>
    <w:rsid w:val="00C0422F"/>
    <w:rsid w:val="00C042B1"/>
    <w:rsid w:val="00C04342"/>
    <w:rsid w:val="00C044DE"/>
    <w:rsid w:val="00C04516"/>
    <w:rsid w:val="00C04676"/>
    <w:rsid w:val="00C0468B"/>
    <w:rsid w:val="00C04C51"/>
    <w:rsid w:val="00C04F9C"/>
    <w:rsid w:val="00C05071"/>
    <w:rsid w:val="00C050AE"/>
    <w:rsid w:val="00C050FE"/>
    <w:rsid w:val="00C05189"/>
    <w:rsid w:val="00C05218"/>
    <w:rsid w:val="00C05233"/>
    <w:rsid w:val="00C052EA"/>
    <w:rsid w:val="00C05354"/>
    <w:rsid w:val="00C0539F"/>
    <w:rsid w:val="00C05499"/>
    <w:rsid w:val="00C054C1"/>
    <w:rsid w:val="00C055AC"/>
    <w:rsid w:val="00C05902"/>
    <w:rsid w:val="00C05943"/>
    <w:rsid w:val="00C059B0"/>
    <w:rsid w:val="00C059F7"/>
    <w:rsid w:val="00C05A8B"/>
    <w:rsid w:val="00C05BA2"/>
    <w:rsid w:val="00C05D7A"/>
    <w:rsid w:val="00C06185"/>
    <w:rsid w:val="00C06322"/>
    <w:rsid w:val="00C0679E"/>
    <w:rsid w:val="00C06950"/>
    <w:rsid w:val="00C06952"/>
    <w:rsid w:val="00C069A4"/>
    <w:rsid w:val="00C06BA7"/>
    <w:rsid w:val="00C06FE2"/>
    <w:rsid w:val="00C070BF"/>
    <w:rsid w:val="00C0717F"/>
    <w:rsid w:val="00C07239"/>
    <w:rsid w:val="00C07378"/>
    <w:rsid w:val="00C07489"/>
    <w:rsid w:val="00C074FC"/>
    <w:rsid w:val="00C0751C"/>
    <w:rsid w:val="00C075A4"/>
    <w:rsid w:val="00C07843"/>
    <w:rsid w:val="00C079F7"/>
    <w:rsid w:val="00C07A2A"/>
    <w:rsid w:val="00C07D1B"/>
    <w:rsid w:val="00C07E79"/>
    <w:rsid w:val="00C07FE6"/>
    <w:rsid w:val="00C10117"/>
    <w:rsid w:val="00C10131"/>
    <w:rsid w:val="00C1047F"/>
    <w:rsid w:val="00C104DB"/>
    <w:rsid w:val="00C10543"/>
    <w:rsid w:val="00C10605"/>
    <w:rsid w:val="00C10815"/>
    <w:rsid w:val="00C10837"/>
    <w:rsid w:val="00C108E5"/>
    <w:rsid w:val="00C108EA"/>
    <w:rsid w:val="00C109C8"/>
    <w:rsid w:val="00C10BF0"/>
    <w:rsid w:val="00C10CE3"/>
    <w:rsid w:val="00C10DF9"/>
    <w:rsid w:val="00C10FE8"/>
    <w:rsid w:val="00C11249"/>
    <w:rsid w:val="00C114A4"/>
    <w:rsid w:val="00C114BD"/>
    <w:rsid w:val="00C11541"/>
    <w:rsid w:val="00C1192F"/>
    <w:rsid w:val="00C119EA"/>
    <w:rsid w:val="00C11A7D"/>
    <w:rsid w:val="00C11A85"/>
    <w:rsid w:val="00C11C06"/>
    <w:rsid w:val="00C11E06"/>
    <w:rsid w:val="00C11E20"/>
    <w:rsid w:val="00C11EE4"/>
    <w:rsid w:val="00C11EF9"/>
    <w:rsid w:val="00C1200D"/>
    <w:rsid w:val="00C1204B"/>
    <w:rsid w:val="00C120C0"/>
    <w:rsid w:val="00C12123"/>
    <w:rsid w:val="00C1216B"/>
    <w:rsid w:val="00C1228C"/>
    <w:rsid w:val="00C12726"/>
    <w:rsid w:val="00C12A85"/>
    <w:rsid w:val="00C12B13"/>
    <w:rsid w:val="00C12BE7"/>
    <w:rsid w:val="00C12C71"/>
    <w:rsid w:val="00C12D7B"/>
    <w:rsid w:val="00C12DA0"/>
    <w:rsid w:val="00C12E90"/>
    <w:rsid w:val="00C12EA0"/>
    <w:rsid w:val="00C12FEC"/>
    <w:rsid w:val="00C1307E"/>
    <w:rsid w:val="00C130BB"/>
    <w:rsid w:val="00C13176"/>
    <w:rsid w:val="00C1322B"/>
    <w:rsid w:val="00C1322E"/>
    <w:rsid w:val="00C13352"/>
    <w:rsid w:val="00C133FD"/>
    <w:rsid w:val="00C1343B"/>
    <w:rsid w:val="00C134C9"/>
    <w:rsid w:val="00C13556"/>
    <w:rsid w:val="00C13634"/>
    <w:rsid w:val="00C13778"/>
    <w:rsid w:val="00C137C0"/>
    <w:rsid w:val="00C137D5"/>
    <w:rsid w:val="00C1380C"/>
    <w:rsid w:val="00C1386B"/>
    <w:rsid w:val="00C13A02"/>
    <w:rsid w:val="00C13B65"/>
    <w:rsid w:val="00C13BB0"/>
    <w:rsid w:val="00C13CAD"/>
    <w:rsid w:val="00C13DA1"/>
    <w:rsid w:val="00C141A8"/>
    <w:rsid w:val="00C147F2"/>
    <w:rsid w:val="00C1482B"/>
    <w:rsid w:val="00C14A4A"/>
    <w:rsid w:val="00C14C0A"/>
    <w:rsid w:val="00C14C61"/>
    <w:rsid w:val="00C14CE4"/>
    <w:rsid w:val="00C14CF3"/>
    <w:rsid w:val="00C14D82"/>
    <w:rsid w:val="00C14E08"/>
    <w:rsid w:val="00C14FCB"/>
    <w:rsid w:val="00C15385"/>
    <w:rsid w:val="00C153B8"/>
    <w:rsid w:val="00C1544B"/>
    <w:rsid w:val="00C1544F"/>
    <w:rsid w:val="00C1550A"/>
    <w:rsid w:val="00C155E2"/>
    <w:rsid w:val="00C15626"/>
    <w:rsid w:val="00C15683"/>
    <w:rsid w:val="00C157B9"/>
    <w:rsid w:val="00C15A2C"/>
    <w:rsid w:val="00C15A8C"/>
    <w:rsid w:val="00C15ACA"/>
    <w:rsid w:val="00C15B6E"/>
    <w:rsid w:val="00C15B8B"/>
    <w:rsid w:val="00C15B9A"/>
    <w:rsid w:val="00C15BEF"/>
    <w:rsid w:val="00C15DCB"/>
    <w:rsid w:val="00C160DA"/>
    <w:rsid w:val="00C16331"/>
    <w:rsid w:val="00C16397"/>
    <w:rsid w:val="00C163B3"/>
    <w:rsid w:val="00C1647A"/>
    <w:rsid w:val="00C1648A"/>
    <w:rsid w:val="00C16580"/>
    <w:rsid w:val="00C165A6"/>
    <w:rsid w:val="00C1666E"/>
    <w:rsid w:val="00C16855"/>
    <w:rsid w:val="00C168F5"/>
    <w:rsid w:val="00C16900"/>
    <w:rsid w:val="00C16946"/>
    <w:rsid w:val="00C1696D"/>
    <w:rsid w:val="00C169AC"/>
    <w:rsid w:val="00C16B6C"/>
    <w:rsid w:val="00C16C7A"/>
    <w:rsid w:val="00C171F4"/>
    <w:rsid w:val="00C17359"/>
    <w:rsid w:val="00C17382"/>
    <w:rsid w:val="00C175F7"/>
    <w:rsid w:val="00C17846"/>
    <w:rsid w:val="00C1784F"/>
    <w:rsid w:val="00C17AF0"/>
    <w:rsid w:val="00C17B15"/>
    <w:rsid w:val="00C17C3E"/>
    <w:rsid w:val="00C17CC6"/>
    <w:rsid w:val="00C17CE4"/>
    <w:rsid w:val="00C17FB4"/>
    <w:rsid w:val="00C17FE0"/>
    <w:rsid w:val="00C2003A"/>
    <w:rsid w:val="00C200E7"/>
    <w:rsid w:val="00C202CE"/>
    <w:rsid w:val="00C20403"/>
    <w:rsid w:val="00C20434"/>
    <w:rsid w:val="00C20471"/>
    <w:rsid w:val="00C20589"/>
    <w:rsid w:val="00C2073E"/>
    <w:rsid w:val="00C20950"/>
    <w:rsid w:val="00C2096B"/>
    <w:rsid w:val="00C20A6C"/>
    <w:rsid w:val="00C20B13"/>
    <w:rsid w:val="00C20CAB"/>
    <w:rsid w:val="00C20E9D"/>
    <w:rsid w:val="00C20EEC"/>
    <w:rsid w:val="00C21195"/>
    <w:rsid w:val="00C21279"/>
    <w:rsid w:val="00C21343"/>
    <w:rsid w:val="00C21632"/>
    <w:rsid w:val="00C218E6"/>
    <w:rsid w:val="00C21950"/>
    <w:rsid w:val="00C2195F"/>
    <w:rsid w:val="00C219FE"/>
    <w:rsid w:val="00C21DB7"/>
    <w:rsid w:val="00C21EDA"/>
    <w:rsid w:val="00C22044"/>
    <w:rsid w:val="00C22211"/>
    <w:rsid w:val="00C22221"/>
    <w:rsid w:val="00C222DD"/>
    <w:rsid w:val="00C222DF"/>
    <w:rsid w:val="00C222F5"/>
    <w:rsid w:val="00C223C9"/>
    <w:rsid w:val="00C22433"/>
    <w:rsid w:val="00C22581"/>
    <w:rsid w:val="00C227A5"/>
    <w:rsid w:val="00C22806"/>
    <w:rsid w:val="00C2291C"/>
    <w:rsid w:val="00C229FF"/>
    <w:rsid w:val="00C22B1A"/>
    <w:rsid w:val="00C22BB8"/>
    <w:rsid w:val="00C22D04"/>
    <w:rsid w:val="00C22D1C"/>
    <w:rsid w:val="00C22F25"/>
    <w:rsid w:val="00C230DB"/>
    <w:rsid w:val="00C23363"/>
    <w:rsid w:val="00C23391"/>
    <w:rsid w:val="00C234F3"/>
    <w:rsid w:val="00C23535"/>
    <w:rsid w:val="00C2356E"/>
    <w:rsid w:val="00C237B4"/>
    <w:rsid w:val="00C23960"/>
    <w:rsid w:val="00C239BD"/>
    <w:rsid w:val="00C23A7E"/>
    <w:rsid w:val="00C23AC2"/>
    <w:rsid w:val="00C23BDD"/>
    <w:rsid w:val="00C23E98"/>
    <w:rsid w:val="00C23F17"/>
    <w:rsid w:val="00C23F76"/>
    <w:rsid w:val="00C23FD8"/>
    <w:rsid w:val="00C24170"/>
    <w:rsid w:val="00C24247"/>
    <w:rsid w:val="00C242E9"/>
    <w:rsid w:val="00C2432A"/>
    <w:rsid w:val="00C24360"/>
    <w:rsid w:val="00C244A6"/>
    <w:rsid w:val="00C244BE"/>
    <w:rsid w:val="00C244EC"/>
    <w:rsid w:val="00C24542"/>
    <w:rsid w:val="00C2458A"/>
    <w:rsid w:val="00C245F9"/>
    <w:rsid w:val="00C246B8"/>
    <w:rsid w:val="00C246FA"/>
    <w:rsid w:val="00C2471B"/>
    <w:rsid w:val="00C24722"/>
    <w:rsid w:val="00C247B1"/>
    <w:rsid w:val="00C247C2"/>
    <w:rsid w:val="00C2481D"/>
    <w:rsid w:val="00C24930"/>
    <w:rsid w:val="00C24977"/>
    <w:rsid w:val="00C24998"/>
    <w:rsid w:val="00C24BC0"/>
    <w:rsid w:val="00C24C31"/>
    <w:rsid w:val="00C24E3B"/>
    <w:rsid w:val="00C24EBA"/>
    <w:rsid w:val="00C24F6C"/>
    <w:rsid w:val="00C24FA2"/>
    <w:rsid w:val="00C250EC"/>
    <w:rsid w:val="00C2516F"/>
    <w:rsid w:val="00C25191"/>
    <w:rsid w:val="00C251A4"/>
    <w:rsid w:val="00C25265"/>
    <w:rsid w:val="00C2527E"/>
    <w:rsid w:val="00C2536D"/>
    <w:rsid w:val="00C2541F"/>
    <w:rsid w:val="00C25656"/>
    <w:rsid w:val="00C2568F"/>
    <w:rsid w:val="00C25938"/>
    <w:rsid w:val="00C25C15"/>
    <w:rsid w:val="00C25D10"/>
    <w:rsid w:val="00C25D8C"/>
    <w:rsid w:val="00C25DE8"/>
    <w:rsid w:val="00C25E5A"/>
    <w:rsid w:val="00C26041"/>
    <w:rsid w:val="00C2608A"/>
    <w:rsid w:val="00C26110"/>
    <w:rsid w:val="00C2614A"/>
    <w:rsid w:val="00C26330"/>
    <w:rsid w:val="00C263E9"/>
    <w:rsid w:val="00C2661E"/>
    <w:rsid w:val="00C26932"/>
    <w:rsid w:val="00C26981"/>
    <w:rsid w:val="00C26A0C"/>
    <w:rsid w:val="00C26B18"/>
    <w:rsid w:val="00C26B99"/>
    <w:rsid w:val="00C26C88"/>
    <w:rsid w:val="00C26CFB"/>
    <w:rsid w:val="00C26E75"/>
    <w:rsid w:val="00C26EEF"/>
    <w:rsid w:val="00C270C7"/>
    <w:rsid w:val="00C2717B"/>
    <w:rsid w:val="00C2721B"/>
    <w:rsid w:val="00C27506"/>
    <w:rsid w:val="00C27697"/>
    <w:rsid w:val="00C27706"/>
    <w:rsid w:val="00C27775"/>
    <w:rsid w:val="00C277C5"/>
    <w:rsid w:val="00C27824"/>
    <w:rsid w:val="00C27968"/>
    <w:rsid w:val="00C27A36"/>
    <w:rsid w:val="00C27C19"/>
    <w:rsid w:val="00C3009D"/>
    <w:rsid w:val="00C30398"/>
    <w:rsid w:val="00C304D8"/>
    <w:rsid w:val="00C304DE"/>
    <w:rsid w:val="00C305BB"/>
    <w:rsid w:val="00C30637"/>
    <w:rsid w:val="00C30A5C"/>
    <w:rsid w:val="00C30C17"/>
    <w:rsid w:val="00C30E30"/>
    <w:rsid w:val="00C30FAA"/>
    <w:rsid w:val="00C3103D"/>
    <w:rsid w:val="00C3104A"/>
    <w:rsid w:val="00C310C1"/>
    <w:rsid w:val="00C31100"/>
    <w:rsid w:val="00C31144"/>
    <w:rsid w:val="00C31180"/>
    <w:rsid w:val="00C313F4"/>
    <w:rsid w:val="00C3182F"/>
    <w:rsid w:val="00C318DB"/>
    <w:rsid w:val="00C31BC8"/>
    <w:rsid w:val="00C31CA5"/>
    <w:rsid w:val="00C31CFE"/>
    <w:rsid w:val="00C31D67"/>
    <w:rsid w:val="00C31DDB"/>
    <w:rsid w:val="00C31E1C"/>
    <w:rsid w:val="00C31ED0"/>
    <w:rsid w:val="00C31F0D"/>
    <w:rsid w:val="00C31F75"/>
    <w:rsid w:val="00C31F8B"/>
    <w:rsid w:val="00C320BC"/>
    <w:rsid w:val="00C320D6"/>
    <w:rsid w:val="00C32107"/>
    <w:rsid w:val="00C3241D"/>
    <w:rsid w:val="00C32476"/>
    <w:rsid w:val="00C3249E"/>
    <w:rsid w:val="00C32643"/>
    <w:rsid w:val="00C326B0"/>
    <w:rsid w:val="00C3273E"/>
    <w:rsid w:val="00C3277B"/>
    <w:rsid w:val="00C32799"/>
    <w:rsid w:val="00C327D5"/>
    <w:rsid w:val="00C32973"/>
    <w:rsid w:val="00C32A25"/>
    <w:rsid w:val="00C32A98"/>
    <w:rsid w:val="00C32AB1"/>
    <w:rsid w:val="00C32AD6"/>
    <w:rsid w:val="00C32B33"/>
    <w:rsid w:val="00C32C89"/>
    <w:rsid w:val="00C32ED6"/>
    <w:rsid w:val="00C33076"/>
    <w:rsid w:val="00C330A0"/>
    <w:rsid w:val="00C330C1"/>
    <w:rsid w:val="00C33177"/>
    <w:rsid w:val="00C33339"/>
    <w:rsid w:val="00C3333B"/>
    <w:rsid w:val="00C334A3"/>
    <w:rsid w:val="00C3360D"/>
    <w:rsid w:val="00C33648"/>
    <w:rsid w:val="00C337CD"/>
    <w:rsid w:val="00C3380D"/>
    <w:rsid w:val="00C3383A"/>
    <w:rsid w:val="00C3386D"/>
    <w:rsid w:val="00C338EE"/>
    <w:rsid w:val="00C33A61"/>
    <w:rsid w:val="00C33AA8"/>
    <w:rsid w:val="00C33ACC"/>
    <w:rsid w:val="00C33B32"/>
    <w:rsid w:val="00C33BA5"/>
    <w:rsid w:val="00C33BEE"/>
    <w:rsid w:val="00C33D6C"/>
    <w:rsid w:val="00C33E55"/>
    <w:rsid w:val="00C33E72"/>
    <w:rsid w:val="00C33EC2"/>
    <w:rsid w:val="00C33F59"/>
    <w:rsid w:val="00C34117"/>
    <w:rsid w:val="00C3417D"/>
    <w:rsid w:val="00C341C5"/>
    <w:rsid w:val="00C342AF"/>
    <w:rsid w:val="00C3441E"/>
    <w:rsid w:val="00C344FC"/>
    <w:rsid w:val="00C34708"/>
    <w:rsid w:val="00C349BF"/>
    <w:rsid w:val="00C34A38"/>
    <w:rsid w:val="00C34A67"/>
    <w:rsid w:val="00C34AD5"/>
    <w:rsid w:val="00C34C42"/>
    <w:rsid w:val="00C34C8D"/>
    <w:rsid w:val="00C34D0B"/>
    <w:rsid w:val="00C34EC4"/>
    <w:rsid w:val="00C34EF3"/>
    <w:rsid w:val="00C35283"/>
    <w:rsid w:val="00C352A5"/>
    <w:rsid w:val="00C352C6"/>
    <w:rsid w:val="00C35317"/>
    <w:rsid w:val="00C35331"/>
    <w:rsid w:val="00C353C7"/>
    <w:rsid w:val="00C35496"/>
    <w:rsid w:val="00C355AD"/>
    <w:rsid w:val="00C355FB"/>
    <w:rsid w:val="00C35834"/>
    <w:rsid w:val="00C358FD"/>
    <w:rsid w:val="00C3597F"/>
    <w:rsid w:val="00C35A4F"/>
    <w:rsid w:val="00C35B4F"/>
    <w:rsid w:val="00C35D71"/>
    <w:rsid w:val="00C35F44"/>
    <w:rsid w:val="00C36295"/>
    <w:rsid w:val="00C36333"/>
    <w:rsid w:val="00C36490"/>
    <w:rsid w:val="00C367E6"/>
    <w:rsid w:val="00C36A5E"/>
    <w:rsid w:val="00C36A64"/>
    <w:rsid w:val="00C36C58"/>
    <w:rsid w:val="00C36C76"/>
    <w:rsid w:val="00C36E3C"/>
    <w:rsid w:val="00C36E4B"/>
    <w:rsid w:val="00C36FC0"/>
    <w:rsid w:val="00C37020"/>
    <w:rsid w:val="00C3703A"/>
    <w:rsid w:val="00C3728F"/>
    <w:rsid w:val="00C3754D"/>
    <w:rsid w:val="00C375DC"/>
    <w:rsid w:val="00C37719"/>
    <w:rsid w:val="00C37782"/>
    <w:rsid w:val="00C37831"/>
    <w:rsid w:val="00C3791E"/>
    <w:rsid w:val="00C37B2D"/>
    <w:rsid w:val="00C37BBE"/>
    <w:rsid w:val="00C37C11"/>
    <w:rsid w:val="00C37C5D"/>
    <w:rsid w:val="00C37C60"/>
    <w:rsid w:val="00C37C95"/>
    <w:rsid w:val="00C37CD6"/>
    <w:rsid w:val="00C37E63"/>
    <w:rsid w:val="00C37E97"/>
    <w:rsid w:val="00C403DD"/>
    <w:rsid w:val="00C40455"/>
    <w:rsid w:val="00C404A2"/>
    <w:rsid w:val="00C405B2"/>
    <w:rsid w:val="00C40709"/>
    <w:rsid w:val="00C4076C"/>
    <w:rsid w:val="00C408BA"/>
    <w:rsid w:val="00C40A4C"/>
    <w:rsid w:val="00C40C56"/>
    <w:rsid w:val="00C40D99"/>
    <w:rsid w:val="00C40EB2"/>
    <w:rsid w:val="00C41092"/>
    <w:rsid w:val="00C411A4"/>
    <w:rsid w:val="00C411FC"/>
    <w:rsid w:val="00C412A2"/>
    <w:rsid w:val="00C413D8"/>
    <w:rsid w:val="00C41462"/>
    <w:rsid w:val="00C414CD"/>
    <w:rsid w:val="00C415B4"/>
    <w:rsid w:val="00C41815"/>
    <w:rsid w:val="00C41CA6"/>
    <w:rsid w:val="00C41D30"/>
    <w:rsid w:val="00C41E86"/>
    <w:rsid w:val="00C41F26"/>
    <w:rsid w:val="00C41F2F"/>
    <w:rsid w:val="00C4209F"/>
    <w:rsid w:val="00C420BF"/>
    <w:rsid w:val="00C420DE"/>
    <w:rsid w:val="00C4223A"/>
    <w:rsid w:val="00C4231F"/>
    <w:rsid w:val="00C42380"/>
    <w:rsid w:val="00C42404"/>
    <w:rsid w:val="00C4253A"/>
    <w:rsid w:val="00C4255E"/>
    <w:rsid w:val="00C42952"/>
    <w:rsid w:val="00C429FD"/>
    <w:rsid w:val="00C42A19"/>
    <w:rsid w:val="00C42A45"/>
    <w:rsid w:val="00C42B44"/>
    <w:rsid w:val="00C42BA5"/>
    <w:rsid w:val="00C42EC1"/>
    <w:rsid w:val="00C43196"/>
    <w:rsid w:val="00C436E3"/>
    <w:rsid w:val="00C43772"/>
    <w:rsid w:val="00C4378E"/>
    <w:rsid w:val="00C43883"/>
    <w:rsid w:val="00C43B2C"/>
    <w:rsid w:val="00C43C03"/>
    <w:rsid w:val="00C44024"/>
    <w:rsid w:val="00C441EA"/>
    <w:rsid w:val="00C4432E"/>
    <w:rsid w:val="00C44381"/>
    <w:rsid w:val="00C4454C"/>
    <w:rsid w:val="00C446EE"/>
    <w:rsid w:val="00C446F8"/>
    <w:rsid w:val="00C44839"/>
    <w:rsid w:val="00C448D8"/>
    <w:rsid w:val="00C44A72"/>
    <w:rsid w:val="00C44A9D"/>
    <w:rsid w:val="00C44BA9"/>
    <w:rsid w:val="00C44CA6"/>
    <w:rsid w:val="00C44E0E"/>
    <w:rsid w:val="00C44EA2"/>
    <w:rsid w:val="00C45006"/>
    <w:rsid w:val="00C452F9"/>
    <w:rsid w:val="00C4536A"/>
    <w:rsid w:val="00C457C4"/>
    <w:rsid w:val="00C458A6"/>
    <w:rsid w:val="00C459CD"/>
    <w:rsid w:val="00C45A47"/>
    <w:rsid w:val="00C45ABF"/>
    <w:rsid w:val="00C45BAE"/>
    <w:rsid w:val="00C45CD8"/>
    <w:rsid w:val="00C45CDF"/>
    <w:rsid w:val="00C45CF5"/>
    <w:rsid w:val="00C45DCC"/>
    <w:rsid w:val="00C45E4E"/>
    <w:rsid w:val="00C46035"/>
    <w:rsid w:val="00C462D6"/>
    <w:rsid w:val="00C46332"/>
    <w:rsid w:val="00C46385"/>
    <w:rsid w:val="00C46737"/>
    <w:rsid w:val="00C467CC"/>
    <w:rsid w:val="00C46805"/>
    <w:rsid w:val="00C46988"/>
    <w:rsid w:val="00C46992"/>
    <w:rsid w:val="00C46A4C"/>
    <w:rsid w:val="00C46B10"/>
    <w:rsid w:val="00C46B58"/>
    <w:rsid w:val="00C46BA5"/>
    <w:rsid w:val="00C46D63"/>
    <w:rsid w:val="00C46EF1"/>
    <w:rsid w:val="00C46FCE"/>
    <w:rsid w:val="00C47035"/>
    <w:rsid w:val="00C47038"/>
    <w:rsid w:val="00C471A4"/>
    <w:rsid w:val="00C4720C"/>
    <w:rsid w:val="00C47291"/>
    <w:rsid w:val="00C4759D"/>
    <w:rsid w:val="00C4779B"/>
    <w:rsid w:val="00C477EC"/>
    <w:rsid w:val="00C478DF"/>
    <w:rsid w:val="00C478E1"/>
    <w:rsid w:val="00C47933"/>
    <w:rsid w:val="00C47C7C"/>
    <w:rsid w:val="00C47C87"/>
    <w:rsid w:val="00C47CF6"/>
    <w:rsid w:val="00C47D43"/>
    <w:rsid w:val="00C47D63"/>
    <w:rsid w:val="00C47EF4"/>
    <w:rsid w:val="00C50023"/>
    <w:rsid w:val="00C501CD"/>
    <w:rsid w:val="00C50438"/>
    <w:rsid w:val="00C505C3"/>
    <w:rsid w:val="00C505DE"/>
    <w:rsid w:val="00C50797"/>
    <w:rsid w:val="00C5086B"/>
    <w:rsid w:val="00C50A42"/>
    <w:rsid w:val="00C50AA2"/>
    <w:rsid w:val="00C50AA8"/>
    <w:rsid w:val="00C50AE2"/>
    <w:rsid w:val="00C50D0E"/>
    <w:rsid w:val="00C50D95"/>
    <w:rsid w:val="00C50E48"/>
    <w:rsid w:val="00C50E7A"/>
    <w:rsid w:val="00C50ECD"/>
    <w:rsid w:val="00C50F43"/>
    <w:rsid w:val="00C510B3"/>
    <w:rsid w:val="00C512AA"/>
    <w:rsid w:val="00C513F9"/>
    <w:rsid w:val="00C516C4"/>
    <w:rsid w:val="00C517D4"/>
    <w:rsid w:val="00C51837"/>
    <w:rsid w:val="00C51862"/>
    <w:rsid w:val="00C51884"/>
    <w:rsid w:val="00C518D1"/>
    <w:rsid w:val="00C5198B"/>
    <w:rsid w:val="00C51FEC"/>
    <w:rsid w:val="00C52107"/>
    <w:rsid w:val="00C52483"/>
    <w:rsid w:val="00C524B4"/>
    <w:rsid w:val="00C526BA"/>
    <w:rsid w:val="00C52753"/>
    <w:rsid w:val="00C528CD"/>
    <w:rsid w:val="00C5291A"/>
    <w:rsid w:val="00C52C38"/>
    <w:rsid w:val="00C52D33"/>
    <w:rsid w:val="00C52D47"/>
    <w:rsid w:val="00C52E04"/>
    <w:rsid w:val="00C52E1E"/>
    <w:rsid w:val="00C530FB"/>
    <w:rsid w:val="00C5321D"/>
    <w:rsid w:val="00C53285"/>
    <w:rsid w:val="00C53493"/>
    <w:rsid w:val="00C535F3"/>
    <w:rsid w:val="00C5371A"/>
    <w:rsid w:val="00C5376E"/>
    <w:rsid w:val="00C5378E"/>
    <w:rsid w:val="00C53857"/>
    <w:rsid w:val="00C53895"/>
    <w:rsid w:val="00C538E2"/>
    <w:rsid w:val="00C539B0"/>
    <w:rsid w:val="00C539C5"/>
    <w:rsid w:val="00C539C9"/>
    <w:rsid w:val="00C53A08"/>
    <w:rsid w:val="00C53A85"/>
    <w:rsid w:val="00C53AB8"/>
    <w:rsid w:val="00C53EE1"/>
    <w:rsid w:val="00C53F07"/>
    <w:rsid w:val="00C53FBD"/>
    <w:rsid w:val="00C540CD"/>
    <w:rsid w:val="00C540EE"/>
    <w:rsid w:val="00C5445D"/>
    <w:rsid w:val="00C54507"/>
    <w:rsid w:val="00C54581"/>
    <w:rsid w:val="00C5461D"/>
    <w:rsid w:val="00C5466F"/>
    <w:rsid w:val="00C546F1"/>
    <w:rsid w:val="00C54747"/>
    <w:rsid w:val="00C54823"/>
    <w:rsid w:val="00C54906"/>
    <w:rsid w:val="00C549C0"/>
    <w:rsid w:val="00C54BA5"/>
    <w:rsid w:val="00C54C8E"/>
    <w:rsid w:val="00C54F61"/>
    <w:rsid w:val="00C54F9F"/>
    <w:rsid w:val="00C54FE2"/>
    <w:rsid w:val="00C5502A"/>
    <w:rsid w:val="00C550BF"/>
    <w:rsid w:val="00C550CC"/>
    <w:rsid w:val="00C5544F"/>
    <w:rsid w:val="00C5549C"/>
    <w:rsid w:val="00C5557E"/>
    <w:rsid w:val="00C55605"/>
    <w:rsid w:val="00C5572A"/>
    <w:rsid w:val="00C55774"/>
    <w:rsid w:val="00C5577C"/>
    <w:rsid w:val="00C558B3"/>
    <w:rsid w:val="00C55911"/>
    <w:rsid w:val="00C55B51"/>
    <w:rsid w:val="00C55E61"/>
    <w:rsid w:val="00C5623F"/>
    <w:rsid w:val="00C562B9"/>
    <w:rsid w:val="00C562EC"/>
    <w:rsid w:val="00C563F9"/>
    <w:rsid w:val="00C564B0"/>
    <w:rsid w:val="00C565A0"/>
    <w:rsid w:val="00C569C8"/>
    <w:rsid w:val="00C56A82"/>
    <w:rsid w:val="00C56D52"/>
    <w:rsid w:val="00C56D85"/>
    <w:rsid w:val="00C56E15"/>
    <w:rsid w:val="00C56E50"/>
    <w:rsid w:val="00C56F26"/>
    <w:rsid w:val="00C56F7F"/>
    <w:rsid w:val="00C56FD0"/>
    <w:rsid w:val="00C57048"/>
    <w:rsid w:val="00C571A6"/>
    <w:rsid w:val="00C572D2"/>
    <w:rsid w:val="00C572D6"/>
    <w:rsid w:val="00C57455"/>
    <w:rsid w:val="00C57584"/>
    <w:rsid w:val="00C577BC"/>
    <w:rsid w:val="00C577D6"/>
    <w:rsid w:val="00C57980"/>
    <w:rsid w:val="00C579B2"/>
    <w:rsid w:val="00C57C48"/>
    <w:rsid w:val="00C57CE8"/>
    <w:rsid w:val="00C57CF8"/>
    <w:rsid w:val="00C57D18"/>
    <w:rsid w:val="00C57EB0"/>
    <w:rsid w:val="00C57EC8"/>
    <w:rsid w:val="00C57F94"/>
    <w:rsid w:val="00C601D8"/>
    <w:rsid w:val="00C60788"/>
    <w:rsid w:val="00C60803"/>
    <w:rsid w:val="00C60925"/>
    <w:rsid w:val="00C60947"/>
    <w:rsid w:val="00C609F1"/>
    <w:rsid w:val="00C60B0E"/>
    <w:rsid w:val="00C60CCA"/>
    <w:rsid w:val="00C60D3C"/>
    <w:rsid w:val="00C60DB8"/>
    <w:rsid w:val="00C60DD5"/>
    <w:rsid w:val="00C6106D"/>
    <w:rsid w:val="00C610D7"/>
    <w:rsid w:val="00C61181"/>
    <w:rsid w:val="00C611A1"/>
    <w:rsid w:val="00C6125D"/>
    <w:rsid w:val="00C61472"/>
    <w:rsid w:val="00C614D3"/>
    <w:rsid w:val="00C61576"/>
    <w:rsid w:val="00C615ED"/>
    <w:rsid w:val="00C61653"/>
    <w:rsid w:val="00C6174A"/>
    <w:rsid w:val="00C6179B"/>
    <w:rsid w:val="00C617AA"/>
    <w:rsid w:val="00C61A23"/>
    <w:rsid w:val="00C61A63"/>
    <w:rsid w:val="00C61B51"/>
    <w:rsid w:val="00C61C99"/>
    <w:rsid w:val="00C61CF2"/>
    <w:rsid w:val="00C61D1D"/>
    <w:rsid w:val="00C61D4E"/>
    <w:rsid w:val="00C61E47"/>
    <w:rsid w:val="00C61F35"/>
    <w:rsid w:val="00C61F96"/>
    <w:rsid w:val="00C6207F"/>
    <w:rsid w:val="00C62141"/>
    <w:rsid w:val="00C62291"/>
    <w:rsid w:val="00C62333"/>
    <w:rsid w:val="00C623B1"/>
    <w:rsid w:val="00C623C8"/>
    <w:rsid w:val="00C623D7"/>
    <w:rsid w:val="00C625AA"/>
    <w:rsid w:val="00C62685"/>
    <w:rsid w:val="00C62742"/>
    <w:rsid w:val="00C6274A"/>
    <w:rsid w:val="00C627EC"/>
    <w:rsid w:val="00C628B2"/>
    <w:rsid w:val="00C62A03"/>
    <w:rsid w:val="00C62A37"/>
    <w:rsid w:val="00C62A76"/>
    <w:rsid w:val="00C62BF2"/>
    <w:rsid w:val="00C62C0B"/>
    <w:rsid w:val="00C62C54"/>
    <w:rsid w:val="00C62C6A"/>
    <w:rsid w:val="00C62D33"/>
    <w:rsid w:val="00C62D95"/>
    <w:rsid w:val="00C62E38"/>
    <w:rsid w:val="00C62EA3"/>
    <w:rsid w:val="00C62F10"/>
    <w:rsid w:val="00C63121"/>
    <w:rsid w:val="00C63132"/>
    <w:rsid w:val="00C63340"/>
    <w:rsid w:val="00C6339A"/>
    <w:rsid w:val="00C63746"/>
    <w:rsid w:val="00C63A98"/>
    <w:rsid w:val="00C63C39"/>
    <w:rsid w:val="00C63D3C"/>
    <w:rsid w:val="00C640B7"/>
    <w:rsid w:val="00C6416E"/>
    <w:rsid w:val="00C64170"/>
    <w:rsid w:val="00C64335"/>
    <w:rsid w:val="00C64444"/>
    <w:rsid w:val="00C6446E"/>
    <w:rsid w:val="00C64592"/>
    <w:rsid w:val="00C645FF"/>
    <w:rsid w:val="00C6465F"/>
    <w:rsid w:val="00C646B0"/>
    <w:rsid w:val="00C646BD"/>
    <w:rsid w:val="00C646FB"/>
    <w:rsid w:val="00C647C4"/>
    <w:rsid w:val="00C647E3"/>
    <w:rsid w:val="00C6481D"/>
    <w:rsid w:val="00C64831"/>
    <w:rsid w:val="00C64A2D"/>
    <w:rsid w:val="00C64A43"/>
    <w:rsid w:val="00C64B4E"/>
    <w:rsid w:val="00C64C36"/>
    <w:rsid w:val="00C64C60"/>
    <w:rsid w:val="00C64D21"/>
    <w:rsid w:val="00C64DA7"/>
    <w:rsid w:val="00C64F49"/>
    <w:rsid w:val="00C650F5"/>
    <w:rsid w:val="00C652C5"/>
    <w:rsid w:val="00C652DA"/>
    <w:rsid w:val="00C65357"/>
    <w:rsid w:val="00C654C5"/>
    <w:rsid w:val="00C65539"/>
    <w:rsid w:val="00C6561A"/>
    <w:rsid w:val="00C6578C"/>
    <w:rsid w:val="00C6580B"/>
    <w:rsid w:val="00C659E3"/>
    <w:rsid w:val="00C65A79"/>
    <w:rsid w:val="00C65BE6"/>
    <w:rsid w:val="00C65C05"/>
    <w:rsid w:val="00C65C3E"/>
    <w:rsid w:val="00C65CE4"/>
    <w:rsid w:val="00C65EB4"/>
    <w:rsid w:val="00C65FAE"/>
    <w:rsid w:val="00C6602A"/>
    <w:rsid w:val="00C660BC"/>
    <w:rsid w:val="00C66210"/>
    <w:rsid w:val="00C662DD"/>
    <w:rsid w:val="00C6645F"/>
    <w:rsid w:val="00C664F8"/>
    <w:rsid w:val="00C666FE"/>
    <w:rsid w:val="00C66743"/>
    <w:rsid w:val="00C6675D"/>
    <w:rsid w:val="00C667F8"/>
    <w:rsid w:val="00C669F5"/>
    <w:rsid w:val="00C66BAE"/>
    <w:rsid w:val="00C66C3B"/>
    <w:rsid w:val="00C66D65"/>
    <w:rsid w:val="00C66D89"/>
    <w:rsid w:val="00C66E2B"/>
    <w:rsid w:val="00C66E9B"/>
    <w:rsid w:val="00C66ECE"/>
    <w:rsid w:val="00C66F7F"/>
    <w:rsid w:val="00C67046"/>
    <w:rsid w:val="00C670CC"/>
    <w:rsid w:val="00C670F4"/>
    <w:rsid w:val="00C671FE"/>
    <w:rsid w:val="00C67206"/>
    <w:rsid w:val="00C6729D"/>
    <w:rsid w:val="00C6730C"/>
    <w:rsid w:val="00C67427"/>
    <w:rsid w:val="00C67429"/>
    <w:rsid w:val="00C67457"/>
    <w:rsid w:val="00C67620"/>
    <w:rsid w:val="00C6764F"/>
    <w:rsid w:val="00C676E6"/>
    <w:rsid w:val="00C67886"/>
    <w:rsid w:val="00C67A54"/>
    <w:rsid w:val="00C67AE5"/>
    <w:rsid w:val="00C67D12"/>
    <w:rsid w:val="00C67D5A"/>
    <w:rsid w:val="00C67E37"/>
    <w:rsid w:val="00C67EA2"/>
    <w:rsid w:val="00C6FA55"/>
    <w:rsid w:val="00C700C6"/>
    <w:rsid w:val="00C7011A"/>
    <w:rsid w:val="00C70255"/>
    <w:rsid w:val="00C70264"/>
    <w:rsid w:val="00C7039F"/>
    <w:rsid w:val="00C703DB"/>
    <w:rsid w:val="00C7042C"/>
    <w:rsid w:val="00C7043F"/>
    <w:rsid w:val="00C7045A"/>
    <w:rsid w:val="00C7058A"/>
    <w:rsid w:val="00C705D1"/>
    <w:rsid w:val="00C7069A"/>
    <w:rsid w:val="00C709CB"/>
    <w:rsid w:val="00C70AE8"/>
    <w:rsid w:val="00C70B63"/>
    <w:rsid w:val="00C70C4B"/>
    <w:rsid w:val="00C70C5E"/>
    <w:rsid w:val="00C70DA5"/>
    <w:rsid w:val="00C70EA7"/>
    <w:rsid w:val="00C7103F"/>
    <w:rsid w:val="00C71243"/>
    <w:rsid w:val="00C712BC"/>
    <w:rsid w:val="00C7134C"/>
    <w:rsid w:val="00C71391"/>
    <w:rsid w:val="00C714A8"/>
    <w:rsid w:val="00C715C3"/>
    <w:rsid w:val="00C715F6"/>
    <w:rsid w:val="00C7161F"/>
    <w:rsid w:val="00C71628"/>
    <w:rsid w:val="00C71783"/>
    <w:rsid w:val="00C7179F"/>
    <w:rsid w:val="00C71F16"/>
    <w:rsid w:val="00C71FB4"/>
    <w:rsid w:val="00C71FE7"/>
    <w:rsid w:val="00C723F6"/>
    <w:rsid w:val="00C72570"/>
    <w:rsid w:val="00C7258F"/>
    <w:rsid w:val="00C728E2"/>
    <w:rsid w:val="00C72A32"/>
    <w:rsid w:val="00C72B5B"/>
    <w:rsid w:val="00C72B98"/>
    <w:rsid w:val="00C72BED"/>
    <w:rsid w:val="00C72D1F"/>
    <w:rsid w:val="00C72D22"/>
    <w:rsid w:val="00C72E85"/>
    <w:rsid w:val="00C72F6F"/>
    <w:rsid w:val="00C72FA1"/>
    <w:rsid w:val="00C72FBA"/>
    <w:rsid w:val="00C72FBD"/>
    <w:rsid w:val="00C72FD1"/>
    <w:rsid w:val="00C730FD"/>
    <w:rsid w:val="00C7312C"/>
    <w:rsid w:val="00C734D2"/>
    <w:rsid w:val="00C7357E"/>
    <w:rsid w:val="00C736C1"/>
    <w:rsid w:val="00C737CF"/>
    <w:rsid w:val="00C7385E"/>
    <w:rsid w:val="00C73868"/>
    <w:rsid w:val="00C739A3"/>
    <w:rsid w:val="00C73A93"/>
    <w:rsid w:val="00C73CBB"/>
    <w:rsid w:val="00C73CCE"/>
    <w:rsid w:val="00C73D88"/>
    <w:rsid w:val="00C73DC3"/>
    <w:rsid w:val="00C73F12"/>
    <w:rsid w:val="00C73FA4"/>
    <w:rsid w:val="00C74041"/>
    <w:rsid w:val="00C74257"/>
    <w:rsid w:val="00C743FC"/>
    <w:rsid w:val="00C74448"/>
    <w:rsid w:val="00C745A8"/>
    <w:rsid w:val="00C748DD"/>
    <w:rsid w:val="00C74940"/>
    <w:rsid w:val="00C7494C"/>
    <w:rsid w:val="00C749ED"/>
    <w:rsid w:val="00C74C2B"/>
    <w:rsid w:val="00C74D2B"/>
    <w:rsid w:val="00C74E24"/>
    <w:rsid w:val="00C74E32"/>
    <w:rsid w:val="00C74EC7"/>
    <w:rsid w:val="00C74F52"/>
    <w:rsid w:val="00C74FEF"/>
    <w:rsid w:val="00C750B5"/>
    <w:rsid w:val="00C750BC"/>
    <w:rsid w:val="00C75172"/>
    <w:rsid w:val="00C752F6"/>
    <w:rsid w:val="00C7552E"/>
    <w:rsid w:val="00C75605"/>
    <w:rsid w:val="00C75644"/>
    <w:rsid w:val="00C7570F"/>
    <w:rsid w:val="00C757DB"/>
    <w:rsid w:val="00C75820"/>
    <w:rsid w:val="00C7594A"/>
    <w:rsid w:val="00C759F9"/>
    <w:rsid w:val="00C75A51"/>
    <w:rsid w:val="00C75F14"/>
    <w:rsid w:val="00C75F44"/>
    <w:rsid w:val="00C7600C"/>
    <w:rsid w:val="00C76080"/>
    <w:rsid w:val="00C761CF"/>
    <w:rsid w:val="00C76429"/>
    <w:rsid w:val="00C7644E"/>
    <w:rsid w:val="00C76638"/>
    <w:rsid w:val="00C76ADE"/>
    <w:rsid w:val="00C76BB0"/>
    <w:rsid w:val="00C76BB4"/>
    <w:rsid w:val="00C76C8A"/>
    <w:rsid w:val="00C76C9A"/>
    <w:rsid w:val="00C76E39"/>
    <w:rsid w:val="00C76E57"/>
    <w:rsid w:val="00C772E5"/>
    <w:rsid w:val="00C773D4"/>
    <w:rsid w:val="00C77480"/>
    <w:rsid w:val="00C774D4"/>
    <w:rsid w:val="00C774D6"/>
    <w:rsid w:val="00C77573"/>
    <w:rsid w:val="00C77581"/>
    <w:rsid w:val="00C77790"/>
    <w:rsid w:val="00C77854"/>
    <w:rsid w:val="00C77B09"/>
    <w:rsid w:val="00C77B4B"/>
    <w:rsid w:val="00C77C00"/>
    <w:rsid w:val="00C77EA8"/>
    <w:rsid w:val="00C77EBE"/>
    <w:rsid w:val="00C77EEA"/>
    <w:rsid w:val="00C7B8E3"/>
    <w:rsid w:val="00C8026A"/>
    <w:rsid w:val="00C8035E"/>
    <w:rsid w:val="00C803DA"/>
    <w:rsid w:val="00C8053D"/>
    <w:rsid w:val="00C8058C"/>
    <w:rsid w:val="00C805BB"/>
    <w:rsid w:val="00C806B2"/>
    <w:rsid w:val="00C808F3"/>
    <w:rsid w:val="00C8096D"/>
    <w:rsid w:val="00C80A6E"/>
    <w:rsid w:val="00C80C22"/>
    <w:rsid w:val="00C80D8C"/>
    <w:rsid w:val="00C80E09"/>
    <w:rsid w:val="00C80F4C"/>
    <w:rsid w:val="00C80FA7"/>
    <w:rsid w:val="00C811C2"/>
    <w:rsid w:val="00C81428"/>
    <w:rsid w:val="00C8155E"/>
    <w:rsid w:val="00C81693"/>
    <w:rsid w:val="00C81776"/>
    <w:rsid w:val="00C817DD"/>
    <w:rsid w:val="00C818A9"/>
    <w:rsid w:val="00C818BF"/>
    <w:rsid w:val="00C81A54"/>
    <w:rsid w:val="00C81B2B"/>
    <w:rsid w:val="00C81B7C"/>
    <w:rsid w:val="00C81C9E"/>
    <w:rsid w:val="00C81DD3"/>
    <w:rsid w:val="00C81F13"/>
    <w:rsid w:val="00C81F7B"/>
    <w:rsid w:val="00C81FFC"/>
    <w:rsid w:val="00C82107"/>
    <w:rsid w:val="00C821EE"/>
    <w:rsid w:val="00C82243"/>
    <w:rsid w:val="00C822C1"/>
    <w:rsid w:val="00C822FE"/>
    <w:rsid w:val="00C82393"/>
    <w:rsid w:val="00C823BA"/>
    <w:rsid w:val="00C82441"/>
    <w:rsid w:val="00C82455"/>
    <w:rsid w:val="00C824CD"/>
    <w:rsid w:val="00C824E5"/>
    <w:rsid w:val="00C82525"/>
    <w:rsid w:val="00C82883"/>
    <w:rsid w:val="00C82974"/>
    <w:rsid w:val="00C82B5C"/>
    <w:rsid w:val="00C82C0B"/>
    <w:rsid w:val="00C82C96"/>
    <w:rsid w:val="00C82EB8"/>
    <w:rsid w:val="00C82F5C"/>
    <w:rsid w:val="00C8303F"/>
    <w:rsid w:val="00C8318C"/>
    <w:rsid w:val="00C8327F"/>
    <w:rsid w:val="00C83379"/>
    <w:rsid w:val="00C83383"/>
    <w:rsid w:val="00C833AE"/>
    <w:rsid w:val="00C83486"/>
    <w:rsid w:val="00C837EA"/>
    <w:rsid w:val="00C838A2"/>
    <w:rsid w:val="00C83A02"/>
    <w:rsid w:val="00C83AB9"/>
    <w:rsid w:val="00C83AE3"/>
    <w:rsid w:val="00C83CB7"/>
    <w:rsid w:val="00C83DD6"/>
    <w:rsid w:val="00C83EA8"/>
    <w:rsid w:val="00C83F4A"/>
    <w:rsid w:val="00C84187"/>
    <w:rsid w:val="00C84264"/>
    <w:rsid w:val="00C84522"/>
    <w:rsid w:val="00C8452A"/>
    <w:rsid w:val="00C84934"/>
    <w:rsid w:val="00C84B12"/>
    <w:rsid w:val="00C84C51"/>
    <w:rsid w:val="00C84C65"/>
    <w:rsid w:val="00C850CF"/>
    <w:rsid w:val="00C85223"/>
    <w:rsid w:val="00C8522A"/>
    <w:rsid w:val="00C8546A"/>
    <w:rsid w:val="00C8547A"/>
    <w:rsid w:val="00C8549A"/>
    <w:rsid w:val="00C85639"/>
    <w:rsid w:val="00C85669"/>
    <w:rsid w:val="00C856B6"/>
    <w:rsid w:val="00C8576B"/>
    <w:rsid w:val="00C857F0"/>
    <w:rsid w:val="00C85952"/>
    <w:rsid w:val="00C85B3A"/>
    <w:rsid w:val="00C85E94"/>
    <w:rsid w:val="00C85FEE"/>
    <w:rsid w:val="00C860D4"/>
    <w:rsid w:val="00C8612A"/>
    <w:rsid w:val="00C861AB"/>
    <w:rsid w:val="00C86343"/>
    <w:rsid w:val="00C8634F"/>
    <w:rsid w:val="00C86382"/>
    <w:rsid w:val="00C863CD"/>
    <w:rsid w:val="00C86428"/>
    <w:rsid w:val="00C8646C"/>
    <w:rsid w:val="00C8653E"/>
    <w:rsid w:val="00C8656A"/>
    <w:rsid w:val="00C86726"/>
    <w:rsid w:val="00C867E8"/>
    <w:rsid w:val="00C86C05"/>
    <w:rsid w:val="00C86C85"/>
    <w:rsid w:val="00C86C96"/>
    <w:rsid w:val="00C86F73"/>
    <w:rsid w:val="00C87008"/>
    <w:rsid w:val="00C873E9"/>
    <w:rsid w:val="00C87431"/>
    <w:rsid w:val="00C8744F"/>
    <w:rsid w:val="00C87608"/>
    <w:rsid w:val="00C87804"/>
    <w:rsid w:val="00C87AC3"/>
    <w:rsid w:val="00C87AED"/>
    <w:rsid w:val="00C87BE5"/>
    <w:rsid w:val="00C87C05"/>
    <w:rsid w:val="00C87D44"/>
    <w:rsid w:val="00C87F3A"/>
    <w:rsid w:val="00C87FA7"/>
    <w:rsid w:val="00C900C1"/>
    <w:rsid w:val="00C90270"/>
    <w:rsid w:val="00C902C6"/>
    <w:rsid w:val="00C903F2"/>
    <w:rsid w:val="00C904BC"/>
    <w:rsid w:val="00C906A0"/>
    <w:rsid w:val="00C907A1"/>
    <w:rsid w:val="00C90866"/>
    <w:rsid w:val="00C90A2C"/>
    <w:rsid w:val="00C90AA5"/>
    <w:rsid w:val="00C90AD7"/>
    <w:rsid w:val="00C90C78"/>
    <w:rsid w:val="00C90D95"/>
    <w:rsid w:val="00C90DD1"/>
    <w:rsid w:val="00C90E8F"/>
    <w:rsid w:val="00C90EA9"/>
    <w:rsid w:val="00C9104C"/>
    <w:rsid w:val="00C9112B"/>
    <w:rsid w:val="00C91239"/>
    <w:rsid w:val="00C9135C"/>
    <w:rsid w:val="00C9144E"/>
    <w:rsid w:val="00C917CA"/>
    <w:rsid w:val="00C9194D"/>
    <w:rsid w:val="00C91A69"/>
    <w:rsid w:val="00C91A6E"/>
    <w:rsid w:val="00C91AB0"/>
    <w:rsid w:val="00C91B21"/>
    <w:rsid w:val="00C91B3A"/>
    <w:rsid w:val="00C91C10"/>
    <w:rsid w:val="00C91FCA"/>
    <w:rsid w:val="00C92087"/>
    <w:rsid w:val="00C92154"/>
    <w:rsid w:val="00C922A8"/>
    <w:rsid w:val="00C92403"/>
    <w:rsid w:val="00C924BB"/>
    <w:rsid w:val="00C926B8"/>
    <w:rsid w:val="00C92745"/>
    <w:rsid w:val="00C9285D"/>
    <w:rsid w:val="00C929A6"/>
    <w:rsid w:val="00C92A58"/>
    <w:rsid w:val="00C92C60"/>
    <w:rsid w:val="00C92FB3"/>
    <w:rsid w:val="00C931D0"/>
    <w:rsid w:val="00C93230"/>
    <w:rsid w:val="00C9323F"/>
    <w:rsid w:val="00C93345"/>
    <w:rsid w:val="00C935A6"/>
    <w:rsid w:val="00C935E2"/>
    <w:rsid w:val="00C93659"/>
    <w:rsid w:val="00C93728"/>
    <w:rsid w:val="00C937A8"/>
    <w:rsid w:val="00C9387D"/>
    <w:rsid w:val="00C9397A"/>
    <w:rsid w:val="00C93CDF"/>
    <w:rsid w:val="00C93DBF"/>
    <w:rsid w:val="00C93DF7"/>
    <w:rsid w:val="00C93E2E"/>
    <w:rsid w:val="00C93FC8"/>
    <w:rsid w:val="00C94014"/>
    <w:rsid w:val="00C94080"/>
    <w:rsid w:val="00C9411C"/>
    <w:rsid w:val="00C9423E"/>
    <w:rsid w:val="00C94436"/>
    <w:rsid w:val="00C94492"/>
    <w:rsid w:val="00C944BB"/>
    <w:rsid w:val="00C944BF"/>
    <w:rsid w:val="00C94AF9"/>
    <w:rsid w:val="00C94B5F"/>
    <w:rsid w:val="00C94BA9"/>
    <w:rsid w:val="00C94BAC"/>
    <w:rsid w:val="00C94C82"/>
    <w:rsid w:val="00C94D4D"/>
    <w:rsid w:val="00C94EC5"/>
    <w:rsid w:val="00C94F0C"/>
    <w:rsid w:val="00C94F42"/>
    <w:rsid w:val="00C95336"/>
    <w:rsid w:val="00C954BD"/>
    <w:rsid w:val="00C95559"/>
    <w:rsid w:val="00C9557F"/>
    <w:rsid w:val="00C95617"/>
    <w:rsid w:val="00C9582A"/>
    <w:rsid w:val="00C9588E"/>
    <w:rsid w:val="00C95972"/>
    <w:rsid w:val="00C95AEC"/>
    <w:rsid w:val="00C95B48"/>
    <w:rsid w:val="00C95B4F"/>
    <w:rsid w:val="00C95D70"/>
    <w:rsid w:val="00C95E58"/>
    <w:rsid w:val="00C95ED7"/>
    <w:rsid w:val="00C95F12"/>
    <w:rsid w:val="00C960B0"/>
    <w:rsid w:val="00C962A2"/>
    <w:rsid w:val="00C962D7"/>
    <w:rsid w:val="00C9634C"/>
    <w:rsid w:val="00C96434"/>
    <w:rsid w:val="00C96914"/>
    <w:rsid w:val="00C96A13"/>
    <w:rsid w:val="00C96A19"/>
    <w:rsid w:val="00C96B3D"/>
    <w:rsid w:val="00C96C5A"/>
    <w:rsid w:val="00C96D0E"/>
    <w:rsid w:val="00C96DFF"/>
    <w:rsid w:val="00C96E02"/>
    <w:rsid w:val="00C96EB3"/>
    <w:rsid w:val="00C96F55"/>
    <w:rsid w:val="00C972FD"/>
    <w:rsid w:val="00C973B5"/>
    <w:rsid w:val="00C97420"/>
    <w:rsid w:val="00C97471"/>
    <w:rsid w:val="00C974DF"/>
    <w:rsid w:val="00C97565"/>
    <w:rsid w:val="00C97926"/>
    <w:rsid w:val="00C97947"/>
    <w:rsid w:val="00C97B9D"/>
    <w:rsid w:val="00C97BD1"/>
    <w:rsid w:val="00C97D12"/>
    <w:rsid w:val="00C97D81"/>
    <w:rsid w:val="00C97F04"/>
    <w:rsid w:val="00CA0094"/>
    <w:rsid w:val="00CA014D"/>
    <w:rsid w:val="00CA0182"/>
    <w:rsid w:val="00CA03E1"/>
    <w:rsid w:val="00CA0581"/>
    <w:rsid w:val="00CA05F4"/>
    <w:rsid w:val="00CA05FB"/>
    <w:rsid w:val="00CA066E"/>
    <w:rsid w:val="00CA083A"/>
    <w:rsid w:val="00CA08C7"/>
    <w:rsid w:val="00CA0A3E"/>
    <w:rsid w:val="00CA0A96"/>
    <w:rsid w:val="00CA0BCA"/>
    <w:rsid w:val="00CA0C2F"/>
    <w:rsid w:val="00CA0D2E"/>
    <w:rsid w:val="00CA0D69"/>
    <w:rsid w:val="00CA0D9D"/>
    <w:rsid w:val="00CA0EBC"/>
    <w:rsid w:val="00CA0EEC"/>
    <w:rsid w:val="00CA0F90"/>
    <w:rsid w:val="00CA0FBA"/>
    <w:rsid w:val="00CA1384"/>
    <w:rsid w:val="00CA14DF"/>
    <w:rsid w:val="00CA1809"/>
    <w:rsid w:val="00CA18D7"/>
    <w:rsid w:val="00CA1A41"/>
    <w:rsid w:val="00CA1CF6"/>
    <w:rsid w:val="00CA1E8F"/>
    <w:rsid w:val="00CA1F41"/>
    <w:rsid w:val="00CA2188"/>
    <w:rsid w:val="00CA21DF"/>
    <w:rsid w:val="00CA21F4"/>
    <w:rsid w:val="00CA22E1"/>
    <w:rsid w:val="00CA251D"/>
    <w:rsid w:val="00CA2837"/>
    <w:rsid w:val="00CA2A0B"/>
    <w:rsid w:val="00CA2A60"/>
    <w:rsid w:val="00CA2E45"/>
    <w:rsid w:val="00CA3013"/>
    <w:rsid w:val="00CA312E"/>
    <w:rsid w:val="00CA322C"/>
    <w:rsid w:val="00CA3259"/>
    <w:rsid w:val="00CA3403"/>
    <w:rsid w:val="00CA342C"/>
    <w:rsid w:val="00CA34BE"/>
    <w:rsid w:val="00CA3560"/>
    <w:rsid w:val="00CA35F4"/>
    <w:rsid w:val="00CA36BD"/>
    <w:rsid w:val="00CA37DB"/>
    <w:rsid w:val="00CA383D"/>
    <w:rsid w:val="00CA38DD"/>
    <w:rsid w:val="00CA3901"/>
    <w:rsid w:val="00CA3910"/>
    <w:rsid w:val="00CA3D9E"/>
    <w:rsid w:val="00CA3EBC"/>
    <w:rsid w:val="00CA3FB8"/>
    <w:rsid w:val="00CA42D7"/>
    <w:rsid w:val="00CA43AB"/>
    <w:rsid w:val="00CA44C1"/>
    <w:rsid w:val="00CA45CE"/>
    <w:rsid w:val="00CA4795"/>
    <w:rsid w:val="00CA4891"/>
    <w:rsid w:val="00CA4B95"/>
    <w:rsid w:val="00CA4D17"/>
    <w:rsid w:val="00CA4D1A"/>
    <w:rsid w:val="00CA4D7E"/>
    <w:rsid w:val="00CA4E8C"/>
    <w:rsid w:val="00CA4EBC"/>
    <w:rsid w:val="00CA4ED0"/>
    <w:rsid w:val="00CA4EDA"/>
    <w:rsid w:val="00CA4FBE"/>
    <w:rsid w:val="00CA507C"/>
    <w:rsid w:val="00CA5203"/>
    <w:rsid w:val="00CA537C"/>
    <w:rsid w:val="00CA53BD"/>
    <w:rsid w:val="00CA53D3"/>
    <w:rsid w:val="00CA55C5"/>
    <w:rsid w:val="00CA5915"/>
    <w:rsid w:val="00CA592B"/>
    <w:rsid w:val="00CA597B"/>
    <w:rsid w:val="00CA5A0A"/>
    <w:rsid w:val="00CA5AB7"/>
    <w:rsid w:val="00CA5ADE"/>
    <w:rsid w:val="00CA5C34"/>
    <w:rsid w:val="00CA5F95"/>
    <w:rsid w:val="00CA601A"/>
    <w:rsid w:val="00CA61D6"/>
    <w:rsid w:val="00CA6221"/>
    <w:rsid w:val="00CA65A2"/>
    <w:rsid w:val="00CA669F"/>
    <w:rsid w:val="00CA698A"/>
    <w:rsid w:val="00CA6C40"/>
    <w:rsid w:val="00CA6D3F"/>
    <w:rsid w:val="00CA6DAA"/>
    <w:rsid w:val="00CA6DE7"/>
    <w:rsid w:val="00CA70A2"/>
    <w:rsid w:val="00CA710E"/>
    <w:rsid w:val="00CA7119"/>
    <w:rsid w:val="00CA7184"/>
    <w:rsid w:val="00CA7270"/>
    <w:rsid w:val="00CA73DE"/>
    <w:rsid w:val="00CA7506"/>
    <w:rsid w:val="00CA75F6"/>
    <w:rsid w:val="00CA763E"/>
    <w:rsid w:val="00CA7669"/>
    <w:rsid w:val="00CA776D"/>
    <w:rsid w:val="00CA79C4"/>
    <w:rsid w:val="00CA7AAE"/>
    <w:rsid w:val="00CA7C78"/>
    <w:rsid w:val="00CA7CB5"/>
    <w:rsid w:val="00CB0047"/>
    <w:rsid w:val="00CB00D9"/>
    <w:rsid w:val="00CB073F"/>
    <w:rsid w:val="00CB077F"/>
    <w:rsid w:val="00CB0831"/>
    <w:rsid w:val="00CB0878"/>
    <w:rsid w:val="00CB0879"/>
    <w:rsid w:val="00CB0961"/>
    <w:rsid w:val="00CB098D"/>
    <w:rsid w:val="00CB09B2"/>
    <w:rsid w:val="00CB0A55"/>
    <w:rsid w:val="00CB0B15"/>
    <w:rsid w:val="00CB0C5C"/>
    <w:rsid w:val="00CB0DAD"/>
    <w:rsid w:val="00CB0E43"/>
    <w:rsid w:val="00CB0FE2"/>
    <w:rsid w:val="00CB1063"/>
    <w:rsid w:val="00CB10DD"/>
    <w:rsid w:val="00CB10E4"/>
    <w:rsid w:val="00CB10E8"/>
    <w:rsid w:val="00CB1291"/>
    <w:rsid w:val="00CB12E3"/>
    <w:rsid w:val="00CB141B"/>
    <w:rsid w:val="00CB14BD"/>
    <w:rsid w:val="00CB1592"/>
    <w:rsid w:val="00CB16CA"/>
    <w:rsid w:val="00CB17A5"/>
    <w:rsid w:val="00CB1908"/>
    <w:rsid w:val="00CB195E"/>
    <w:rsid w:val="00CB1BFB"/>
    <w:rsid w:val="00CB1C17"/>
    <w:rsid w:val="00CB1E0C"/>
    <w:rsid w:val="00CB1FB1"/>
    <w:rsid w:val="00CB1FCA"/>
    <w:rsid w:val="00CB200F"/>
    <w:rsid w:val="00CB2087"/>
    <w:rsid w:val="00CB21A8"/>
    <w:rsid w:val="00CB255D"/>
    <w:rsid w:val="00CB26EB"/>
    <w:rsid w:val="00CB2736"/>
    <w:rsid w:val="00CB2749"/>
    <w:rsid w:val="00CB28E9"/>
    <w:rsid w:val="00CB2912"/>
    <w:rsid w:val="00CB2915"/>
    <w:rsid w:val="00CB2A20"/>
    <w:rsid w:val="00CB2CC6"/>
    <w:rsid w:val="00CB2D0A"/>
    <w:rsid w:val="00CB2E41"/>
    <w:rsid w:val="00CB2F0D"/>
    <w:rsid w:val="00CB2F78"/>
    <w:rsid w:val="00CB320B"/>
    <w:rsid w:val="00CB352D"/>
    <w:rsid w:val="00CB3670"/>
    <w:rsid w:val="00CB38AD"/>
    <w:rsid w:val="00CB3A6A"/>
    <w:rsid w:val="00CB3BF0"/>
    <w:rsid w:val="00CB3D1A"/>
    <w:rsid w:val="00CB3D9B"/>
    <w:rsid w:val="00CB3DD8"/>
    <w:rsid w:val="00CB3EC2"/>
    <w:rsid w:val="00CB3F18"/>
    <w:rsid w:val="00CB3F6E"/>
    <w:rsid w:val="00CB41B4"/>
    <w:rsid w:val="00CB41B9"/>
    <w:rsid w:val="00CB4214"/>
    <w:rsid w:val="00CB426B"/>
    <w:rsid w:val="00CB44DF"/>
    <w:rsid w:val="00CB4542"/>
    <w:rsid w:val="00CB4634"/>
    <w:rsid w:val="00CB46D9"/>
    <w:rsid w:val="00CB4702"/>
    <w:rsid w:val="00CB4773"/>
    <w:rsid w:val="00CB4859"/>
    <w:rsid w:val="00CB4B2C"/>
    <w:rsid w:val="00CB4C35"/>
    <w:rsid w:val="00CB4C82"/>
    <w:rsid w:val="00CB4F50"/>
    <w:rsid w:val="00CB500F"/>
    <w:rsid w:val="00CB528E"/>
    <w:rsid w:val="00CB5293"/>
    <w:rsid w:val="00CB5482"/>
    <w:rsid w:val="00CB55E4"/>
    <w:rsid w:val="00CB5606"/>
    <w:rsid w:val="00CB583B"/>
    <w:rsid w:val="00CB58CD"/>
    <w:rsid w:val="00CB599F"/>
    <w:rsid w:val="00CB5B2D"/>
    <w:rsid w:val="00CB5C3F"/>
    <w:rsid w:val="00CB5F2D"/>
    <w:rsid w:val="00CB5F3B"/>
    <w:rsid w:val="00CB6689"/>
    <w:rsid w:val="00CB668C"/>
    <w:rsid w:val="00CB669A"/>
    <w:rsid w:val="00CB66BA"/>
    <w:rsid w:val="00CB6B48"/>
    <w:rsid w:val="00CB6FBA"/>
    <w:rsid w:val="00CB718B"/>
    <w:rsid w:val="00CB72AD"/>
    <w:rsid w:val="00CB72E6"/>
    <w:rsid w:val="00CB73E1"/>
    <w:rsid w:val="00CB758C"/>
    <w:rsid w:val="00CB763E"/>
    <w:rsid w:val="00CB7648"/>
    <w:rsid w:val="00CB7693"/>
    <w:rsid w:val="00CB7770"/>
    <w:rsid w:val="00CB777A"/>
    <w:rsid w:val="00CB7799"/>
    <w:rsid w:val="00CB7807"/>
    <w:rsid w:val="00CB7829"/>
    <w:rsid w:val="00CB79FE"/>
    <w:rsid w:val="00CB7AE9"/>
    <w:rsid w:val="00CB7B72"/>
    <w:rsid w:val="00CB7B78"/>
    <w:rsid w:val="00CB7CC0"/>
    <w:rsid w:val="00CB7D2B"/>
    <w:rsid w:val="00CB7D79"/>
    <w:rsid w:val="00CB7DE3"/>
    <w:rsid w:val="00CB7E25"/>
    <w:rsid w:val="00CB7E65"/>
    <w:rsid w:val="00CB7FD6"/>
    <w:rsid w:val="00CC002C"/>
    <w:rsid w:val="00CC007A"/>
    <w:rsid w:val="00CC0134"/>
    <w:rsid w:val="00CC0180"/>
    <w:rsid w:val="00CC01E6"/>
    <w:rsid w:val="00CC02C0"/>
    <w:rsid w:val="00CC03AA"/>
    <w:rsid w:val="00CC03D2"/>
    <w:rsid w:val="00CC06E5"/>
    <w:rsid w:val="00CC07A9"/>
    <w:rsid w:val="00CC0808"/>
    <w:rsid w:val="00CC0819"/>
    <w:rsid w:val="00CC084C"/>
    <w:rsid w:val="00CC0977"/>
    <w:rsid w:val="00CC0AC8"/>
    <w:rsid w:val="00CC0B5A"/>
    <w:rsid w:val="00CC0C74"/>
    <w:rsid w:val="00CC0CE9"/>
    <w:rsid w:val="00CC0DC8"/>
    <w:rsid w:val="00CC0F0E"/>
    <w:rsid w:val="00CC0F60"/>
    <w:rsid w:val="00CC1036"/>
    <w:rsid w:val="00CC1119"/>
    <w:rsid w:val="00CC126C"/>
    <w:rsid w:val="00CC1315"/>
    <w:rsid w:val="00CC1685"/>
    <w:rsid w:val="00CC16A6"/>
    <w:rsid w:val="00CC173B"/>
    <w:rsid w:val="00CC17BC"/>
    <w:rsid w:val="00CC1B16"/>
    <w:rsid w:val="00CC1C0B"/>
    <w:rsid w:val="00CC1D2B"/>
    <w:rsid w:val="00CC1E4B"/>
    <w:rsid w:val="00CC1E55"/>
    <w:rsid w:val="00CC1E69"/>
    <w:rsid w:val="00CC216B"/>
    <w:rsid w:val="00CC21EC"/>
    <w:rsid w:val="00CC2343"/>
    <w:rsid w:val="00CC2367"/>
    <w:rsid w:val="00CC24F2"/>
    <w:rsid w:val="00CC25F6"/>
    <w:rsid w:val="00CC2635"/>
    <w:rsid w:val="00CC2642"/>
    <w:rsid w:val="00CC26DB"/>
    <w:rsid w:val="00CC27FD"/>
    <w:rsid w:val="00CC2810"/>
    <w:rsid w:val="00CC282B"/>
    <w:rsid w:val="00CC285C"/>
    <w:rsid w:val="00CC28FC"/>
    <w:rsid w:val="00CC2ABF"/>
    <w:rsid w:val="00CC2B42"/>
    <w:rsid w:val="00CC2C19"/>
    <w:rsid w:val="00CC2C1A"/>
    <w:rsid w:val="00CC2E6D"/>
    <w:rsid w:val="00CC3026"/>
    <w:rsid w:val="00CC337D"/>
    <w:rsid w:val="00CC33B1"/>
    <w:rsid w:val="00CC350B"/>
    <w:rsid w:val="00CC352C"/>
    <w:rsid w:val="00CC35FB"/>
    <w:rsid w:val="00CC383F"/>
    <w:rsid w:val="00CC38AD"/>
    <w:rsid w:val="00CC3919"/>
    <w:rsid w:val="00CC3935"/>
    <w:rsid w:val="00CC3C38"/>
    <w:rsid w:val="00CC3D30"/>
    <w:rsid w:val="00CC3D50"/>
    <w:rsid w:val="00CC3D9A"/>
    <w:rsid w:val="00CC3F90"/>
    <w:rsid w:val="00CC3F95"/>
    <w:rsid w:val="00CC3FFD"/>
    <w:rsid w:val="00CC4128"/>
    <w:rsid w:val="00CC4230"/>
    <w:rsid w:val="00CC42E7"/>
    <w:rsid w:val="00CC42F5"/>
    <w:rsid w:val="00CC43FF"/>
    <w:rsid w:val="00CC44DE"/>
    <w:rsid w:val="00CC4552"/>
    <w:rsid w:val="00CC459C"/>
    <w:rsid w:val="00CC45AD"/>
    <w:rsid w:val="00CC485B"/>
    <w:rsid w:val="00CC4879"/>
    <w:rsid w:val="00CC49C2"/>
    <w:rsid w:val="00CC4A17"/>
    <w:rsid w:val="00CC4BD4"/>
    <w:rsid w:val="00CC4C43"/>
    <w:rsid w:val="00CC4C5D"/>
    <w:rsid w:val="00CC4CE5"/>
    <w:rsid w:val="00CC4E23"/>
    <w:rsid w:val="00CC4EBB"/>
    <w:rsid w:val="00CC4F5F"/>
    <w:rsid w:val="00CC516F"/>
    <w:rsid w:val="00CC52CF"/>
    <w:rsid w:val="00CC5323"/>
    <w:rsid w:val="00CC53DD"/>
    <w:rsid w:val="00CC53FE"/>
    <w:rsid w:val="00CC541D"/>
    <w:rsid w:val="00CC561F"/>
    <w:rsid w:val="00CC56ED"/>
    <w:rsid w:val="00CC56F1"/>
    <w:rsid w:val="00CC5751"/>
    <w:rsid w:val="00CC57FC"/>
    <w:rsid w:val="00CC58DB"/>
    <w:rsid w:val="00CC59C4"/>
    <w:rsid w:val="00CC5C56"/>
    <w:rsid w:val="00CC5CA5"/>
    <w:rsid w:val="00CC5D62"/>
    <w:rsid w:val="00CC5D64"/>
    <w:rsid w:val="00CC5D6D"/>
    <w:rsid w:val="00CC5E5C"/>
    <w:rsid w:val="00CC5E88"/>
    <w:rsid w:val="00CC5F1A"/>
    <w:rsid w:val="00CC5F56"/>
    <w:rsid w:val="00CC600F"/>
    <w:rsid w:val="00CC6232"/>
    <w:rsid w:val="00CC629F"/>
    <w:rsid w:val="00CC650A"/>
    <w:rsid w:val="00CC6512"/>
    <w:rsid w:val="00CC656A"/>
    <w:rsid w:val="00CC65E4"/>
    <w:rsid w:val="00CC660D"/>
    <w:rsid w:val="00CC6622"/>
    <w:rsid w:val="00CC694D"/>
    <w:rsid w:val="00CC6A08"/>
    <w:rsid w:val="00CC6A0F"/>
    <w:rsid w:val="00CC6BA2"/>
    <w:rsid w:val="00CC6C29"/>
    <w:rsid w:val="00CC6C50"/>
    <w:rsid w:val="00CC6D81"/>
    <w:rsid w:val="00CC6DCC"/>
    <w:rsid w:val="00CC700F"/>
    <w:rsid w:val="00CC7080"/>
    <w:rsid w:val="00CC72D7"/>
    <w:rsid w:val="00CC7426"/>
    <w:rsid w:val="00CC743B"/>
    <w:rsid w:val="00CC74A4"/>
    <w:rsid w:val="00CC756B"/>
    <w:rsid w:val="00CC75E8"/>
    <w:rsid w:val="00CC7742"/>
    <w:rsid w:val="00CC7765"/>
    <w:rsid w:val="00CC7785"/>
    <w:rsid w:val="00CC7C19"/>
    <w:rsid w:val="00CC7DFF"/>
    <w:rsid w:val="00CC7E69"/>
    <w:rsid w:val="00CC7E7B"/>
    <w:rsid w:val="00CC7EC4"/>
    <w:rsid w:val="00CD0079"/>
    <w:rsid w:val="00CD0113"/>
    <w:rsid w:val="00CD0122"/>
    <w:rsid w:val="00CD01C9"/>
    <w:rsid w:val="00CD0475"/>
    <w:rsid w:val="00CD0A59"/>
    <w:rsid w:val="00CD0A9E"/>
    <w:rsid w:val="00CD0B37"/>
    <w:rsid w:val="00CD0B95"/>
    <w:rsid w:val="00CD0BEB"/>
    <w:rsid w:val="00CD0C22"/>
    <w:rsid w:val="00CD0D15"/>
    <w:rsid w:val="00CD0D81"/>
    <w:rsid w:val="00CD13D8"/>
    <w:rsid w:val="00CD14F8"/>
    <w:rsid w:val="00CD1588"/>
    <w:rsid w:val="00CD15EF"/>
    <w:rsid w:val="00CD1663"/>
    <w:rsid w:val="00CD18BD"/>
    <w:rsid w:val="00CD1AF8"/>
    <w:rsid w:val="00CD1C08"/>
    <w:rsid w:val="00CD1C44"/>
    <w:rsid w:val="00CD1CBE"/>
    <w:rsid w:val="00CD1D16"/>
    <w:rsid w:val="00CD1D69"/>
    <w:rsid w:val="00CD1ECA"/>
    <w:rsid w:val="00CD21F2"/>
    <w:rsid w:val="00CD2310"/>
    <w:rsid w:val="00CD23CC"/>
    <w:rsid w:val="00CD2429"/>
    <w:rsid w:val="00CD27AB"/>
    <w:rsid w:val="00CD28A4"/>
    <w:rsid w:val="00CD28C9"/>
    <w:rsid w:val="00CD2B15"/>
    <w:rsid w:val="00CD2B9E"/>
    <w:rsid w:val="00CD2E72"/>
    <w:rsid w:val="00CD2F41"/>
    <w:rsid w:val="00CD3035"/>
    <w:rsid w:val="00CD3070"/>
    <w:rsid w:val="00CD3218"/>
    <w:rsid w:val="00CD3362"/>
    <w:rsid w:val="00CD34BE"/>
    <w:rsid w:val="00CD365D"/>
    <w:rsid w:val="00CD36B9"/>
    <w:rsid w:val="00CD386D"/>
    <w:rsid w:val="00CD394A"/>
    <w:rsid w:val="00CD39AA"/>
    <w:rsid w:val="00CD3CFD"/>
    <w:rsid w:val="00CD3E06"/>
    <w:rsid w:val="00CD40C5"/>
    <w:rsid w:val="00CD416D"/>
    <w:rsid w:val="00CD458C"/>
    <w:rsid w:val="00CD45E3"/>
    <w:rsid w:val="00CD4985"/>
    <w:rsid w:val="00CD4A2C"/>
    <w:rsid w:val="00CD4ABA"/>
    <w:rsid w:val="00CD4B86"/>
    <w:rsid w:val="00CD4F18"/>
    <w:rsid w:val="00CD4F29"/>
    <w:rsid w:val="00CD519D"/>
    <w:rsid w:val="00CD53B1"/>
    <w:rsid w:val="00CD53E6"/>
    <w:rsid w:val="00CD5506"/>
    <w:rsid w:val="00CD562F"/>
    <w:rsid w:val="00CD5652"/>
    <w:rsid w:val="00CD5666"/>
    <w:rsid w:val="00CD5672"/>
    <w:rsid w:val="00CD5689"/>
    <w:rsid w:val="00CD57D6"/>
    <w:rsid w:val="00CD5954"/>
    <w:rsid w:val="00CD5E84"/>
    <w:rsid w:val="00CD5F20"/>
    <w:rsid w:val="00CD5F8C"/>
    <w:rsid w:val="00CD613E"/>
    <w:rsid w:val="00CD623D"/>
    <w:rsid w:val="00CD62E0"/>
    <w:rsid w:val="00CD6301"/>
    <w:rsid w:val="00CD642A"/>
    <w:rsid w:val="00CD64CA"/>
    <w:rsid w:val="00CD6761"/>
    <w:rsid w:val="00CD698D"/>
    <w:rsid w:val="00CD69CD"/>
    <w:rsid w:val="00CD6A1A"/>
    <w:rsid w:val="00CD6AD9"/>
    <w:rsid w:val="00CD6B02"/>
    <w:rsid w:val="00CD6B13"/>
    <w:rsid w:val="00CD6C10"/>
    <w:rsid w:val="00CD6C34"/>
    <w:rsid w:val="00CD6D74"/>
    <w:rsid w:val="00CD6DF5"/>
    <w:rsid w:val="00CD6E6E"/>
    <w:rsid w:val="00CD6FCE"/>
    <w:rsid w:val="00CD708D"/>
    <w:rsid w:val="00CD7271"/>
    <w:rsid w:val="00CD733F"/>
    <w:rsid w:val="00CD76B4"/>
    <w:rsid w:val="00CD76E0"/>
    <w:rsid w:val="00CD777D"/>
    <w:rsid w:val="00CD7948"/>
    <w:rsid w:val="00CD79A0"/>
    <w:rsid w:val="00CD7B9D"/>
    <w:rsid w:val="00CD7C2E"/>
    <w:rsid w:val="00CD7CD1"/>
    <w:rsid w:val="00CD7EC5"/>
    <w:rsid w:val="00CE01C8"/>
    <w:rsid w:val="00CE028E"/>
    <w:rsid w:val="00CE0349"/>
    <w:rsid w:val="00CE043F"/>
    <w:rsid w:val="00CE0573"/>
    <w:rsid w:val="00CE0A60"/>
    <w:rsid w:val="00CE0A87"/>
    <w:rsid w:val="00CE0A88"/>
    <w:rsid w:val="00CE0ABD"/>
    <w:rsid w:val="00CE0BF6"/>
    <w:rsid w:val="00CE0D05"/>
    <w:rsid w:val="00CE0D24"/>
    <w:rsid w:val="00CE0D33"/>
    <w:rsid w:val="00CE116C"/>
    <w:rsid w:val="00CE1218"/>
    <w:rsid w:val="00CE12F3"/>
    <w:rsid w:val="00CE12F6"/>
    <w:rsid w:val="00CE1479"/>
    <w:rsid w:val="00CE156E"/>
    <w:rsid w:val="00CE158A"/>
    <w:rsid w:val="00CE1633"/>
    <w:rsid w:val="00CE17BA"/>
    <w:rsid w:val="00CE1820"/>
    <w:rsid w:val="00CE1858"/>
    <w:rsid w:val="00CE194D"/>
    <w:rsid w:val="00CE1B4D"/>
    <w:rsid w:val="00CE1C60"/>
    <w:rsid w:val="00CE1CD0"/>
    <w:rsid w:val="00CE1D7C"/>
    <w:rsid w:val="00CE1EFE"/>
    <w:rsid w:val="00CE2053"/>
    <w:rsid w:val="00CE2176"/>
    <w:rsid w:val="00CE229F"/>
    <w:rsid w:val="00CE22F6"/>
    <w:rsid w:val="00CE236F"/>
    <w:rsid w:val="00CE240B"/>
    <w:rsid w:val="00CE255B"/>
    <w:rsid w:val="00CE260B"/>
    <w:rsid w:val="00CE2830"/>
    <w:rsid w:val="00CE2A9C"/>
    <w:rsid w:val="00CE2B27"/>
    <w:rsid w:val="00CE2B91"/>
    <w:rsid w:val="00CE2BA7"/>
    <w:rsid w:val="00CE2C8C"/>
    <w:rsid w:val="00CE2CA6"/>
    <w:rsid w:val="00CE2D62"/>
    <w:rsid w:val="00CE2D8A"/>
    <w:rsid w:val="00CE2E8B"/>
    <w:rsid w:val="00CE2FDC"/>
    <w:rsid w:val="00CE30E2"/>
    <w:rsid w:val="00CE3163"/>
    <w:rsid w:val="00CE3249"/>
    <w:rsid w:val="00CE3427"/>
    <w:rsid w:val="00CE3778"/>
    <w:rsid w:val="00CE3951"/>
    <w:rsid w:val="00CE3962"/>
    <w:rsid w:val="00CE3973"/>
    <w:rsid w:val="00CE39B6"/>
    <w:rsid w:val="00CE3A05"/>
    <w:rsid w:val="00CE3AF8"/>
    <w:rsid w:val="00CE3C45"/>
    <w:rsid w:val="00CE3DEB"/>
    <w:rsid w:val="00CE3DFC"/>
    <w:rsid w:val="00CE3E04"/>
    <w:rsid w:val="00CE3E78"/>
    <w:rsid w:val="00CE3EB2"/>
    <w:rsid w:val="00CE40C3"/>
    <w:rsid w:val="00CE40F6"/>
    <w:rsid w:val="00CE413C"/>
    <w:rsid w:val="00CE419E"/>
    <w:rsid w:val="00CE42EF"/>
    <w:rsid w:val="00CE4392"/>
    <w:rsid w:val="00CE43F3"/>
    <w:rsid w:val="00CE4443"/>
    <w:rsid w:val="00CE444E"/>
    <w:rsid w:val="00CE459F"/>
    <w:rsid w:val="00CE45AF"/>
    <w:rsid w:val="00CE4A9D"/>
    <w:rsid w:val="00CE4AFA"/>
    <w:rsid w:val="00CE4B8C"/>
    <w:rsid w:val="00CE4DB9"/>
    <w:rsid w:val="00CE4EE4"/>
    <w:rsid w:val="00CE4F2E"/>
    <w:rsid w:val="00CE4F50"/>
    <w:rsid w:val="00CE5083"/>
    <w:rsid w:val="00CE50FE"/>
    <w:rsid w:val="00CE5128"/>
    <w:rsid w:val="00CE5149"/>
    <w:rsid w:val="00CE51BF"/>
    <w:rsid w:val="00CE5206"/>
    <w:rsid w:val="00CE53BB"/>
    <w:rsid w:val="00CE53EE"/>
    <w:rsid w:val="00CE567D"/>
    <w:rsid w:val="00CE5781"/>
    <w:rsid w:val="00CE57F2"/>
    <w:rsid w:val="00CE586C"/>
    <w:rsid w:val="00CE591A"/>
    <w:rsid w:val="00CE599F"/>
    <w:rsid w:val="00CE5B17"/>
    <w:rsid w:val="00CE5C3D"/>
    <w:rsid w:val="00CE5DCF"/>
    <w:rsid w:val="00CE5F23"/>
    <w:rsid w:val="00CE621A"/>
    <w:rsid w:val="00CE6392"/>
    <w:rsid w:val="00CE63EB"/>
    <w:rsid w:val="00CE64C3"/>
    <w:rsid w:val="00CE6524"/>
    <w:rsid w:val="00CE652B"/>
    <w:rsid w:val="00CE6653"/>
    <w:rsid w:val="00CE665C"/>
    <w:rsid w:val="00CE6749"/>
    <w:rsid w:val="00CE6829"/>
    <w:rsid w:val="00CE6A7C"/>
    <w:rsid w:val="00CE6B39"/>
    <w:rsid w:val="00CE6BC1"/>
    <w:rsid w:val="00CE6E45"/>
    <w:rsid w:val="00CE6EAD"/>
    <w:rsid w:val="00CE7014"/>
    <w:rsid w:val="00CE7061"/>
    <w:rsid w:val="00CE73AB"/>
    <w:rsid w:val="00CE7439"/>
    <w:rsid w:val="00CE75F7"/>
    <w:rsid w:val="00CE77B2"/>
    <w:rsid w:val="00CE77CD"/>
    <w:rsid w:val="00CE7B13"/>
    <w:rsid w:val="00CE7B56"/>
    <w:rsid w:val="00CE7CE3"/>
    <w:rsid w:val="00CE7E2E"/>
    <w:rsid w:val="00CE7E79"/>
    <w:rsid w:val="00CE7EE4"/>
    <w:rsid w:val="00CF00AE"/>
    <w:rsid w:val="00CF01AB"/>
    <w:rsid w:val="00CF0623"/>
    <w:rsid w:val="00CF072B"/>
    <w:rsid w:val="00CF0765"/>
    <w:rsid w:val="00CF0781"/>
    <w:rsid w:val="00CF07C5"/>
    <w:rsid w:val="00CF0810"/>
    <w:rsid w:val="00CF08A6"/>
    <w:rsid w:val="00CF0ADA"/>
    <w:rsid w:val="00CF0BCB"/>
    <w:rsid w:val="00CF0BE7"/>
    <w:rsid w:val="00CF0DEB"/>
    <w:rsid w:val="00CF0EB6"/>
    <w:rsid w:val="00CF0F51"/>
    <w:rsid w:val="00CF1051"/>
    <w:rsid w:val="00CF10D0"/>
    <w:rsid w:val="00CF112A"/>
    <w:rsid w:val="00CF11B0"/>
    <w:rsid w:val="00CF1378"/>
    <w:rsid w:val="00CF13AB"/>
    <w:rsid w:val="00CF1474"/>
    <w:rsid w:val="00CF15EE"/>
    <w:rsid w:val="00CF15F1"/>
    <w:rsid w:val="00CF17D1"/>
    <w:rsid w:val="00CF1B07"/>
    <w:rsid w:val="00CF1B21"/>
    <w:rsid w:val="00CF1BFD"/>
    <w:rsid w:val="00CF1C80"/>
    <w:rsid w:val="00CF1D34"/>
    <w:rsid w:val="00CF1DDB"/>
    <w:rsid w:val="00CF1DDE"/>
    <w:rsid w:val="00CF1FC7"/>
    <w:rsid w:val="00CF2000"/>
    <w:rsid w:val="00CF214A"/>
    <w:rsid w:val="00CF221B"/>
    <w:rsid w:val="00CF2269"/>
    <w:rsid w:val="00CF22CD"/>
    <w:rsid w:val="00CF2472"/>
    <w:rsid w:val="00CF24EC"/>
    <w:rsid w:val="00CF28B8"/>
    <w:rsid w:val="00CF2970"/>
    <w:rsid w:val="00CF29AC"/>
    <w:rsid w:val="00CF2A28"/>
    <w:rsid w:val="00CF2C11"/>
    <w:rsid w:val="00CF2C3E"/>
    <w:rsid w:val="00CF2E01"/>
    <w:rsid w:val="00CF2E0B"/>
    <w:rsid w:val="00CF2FB8"/>
    <w:rsid w:val="00CF3022"/>
    <w:rsid w:val="00CF307F"/>
    <w:rsid w:val="00CF310E"/>
    <w:rsid w:val="00CF3177"/>
    <w:rsid w:val="00CF33DF"/>
    <w:rsid w:val="00CF3548"/>
    <w:rsid w:val="00CF3569"/>
    <w:rsid w:val="00CF3686"/>
    <w:rsid w:val="00CF368F"/>
    <w:rsid w:val="00CF371D"/>
    <w:rsid w:val="00CF3935"/>
    <w:rsid w:val="00CF3D01"/>
    <w:rsid w:val="00CF3DD8"/>
    <w:rsid w:val="00CF3F8D"/>
    <w:rsid w:val="00CF40A9"/>
    <w:rsid w:val="00CF41BA"/>
    <w:rsid w:val="00CF43E1"/>
    <w:rsid w:val="00CF448A"/>
    <w:rsid w:val="00CF44A6"/>
    <w:rsid w:val="00CF4526"/>
    <w:rsid w:val="00CF45D1"/>
    <w:rsid w:val="00CF485D"/>
    <w:rsid w:val="00CF49C6"/>
    <w:rsid w:val="00CF49E7"/>
    <w:rsid w:val="00CF4A02"/>
    <w:rsid w:val="00CF4AE0"/>
    <w:rsid w:val="00CF4D79"/>
    <w:rsid w:val="00CF4DE2"/>
    <w:rsid w:val="00CF4E6B"/>
    <w:rsid w:val="00CF4EF3"/>
    <w:rsid w:val="00CF4F05"/>
    <w:rsid w:val="00CF4F9C"/>
    <w:rsid w:val="00CF4FC5"/>
    <w:rsid w:val="00CF52B1"/>
    <w:rsid w:val="00CF5411"/>
    <w:rsid w:val="00CF5414"/>
    <w:rsid w:val="00CF55CF"/>
    <w:rsid w:val="00CF55FF"/>
    <w:rsid w:val="00CF56BE"/>
    <w:rsid w:val="00CF5721"/>
    <w:rsid w:val="00CF5729"/>
    <w:rsid w:val="00CF59F3"/>
    <w:rsid w:val="00CF5C67"/>
    <w:rsid w:val="00CF5D12"/>
    <w:rsid w:val="00CF5E20"/>
    <w:rsid w:val="00CF5EC4"/>
    <w:rsid w:val="00CF6039"/>
    <w:rsid w:val="00CF63FD"/>
    <w:rsid w:val="00CF64B7"/>
    <w:rsid w:val="00CF6548"/>
    <w:rsid w:val="00CF6B34"/>
    <w:rsid w:val="00CF6BD2"/>
    <w:rsid w:val="00CF6CEA"/>
    <w:rsid w:val="00CF6DD4"/>
    <w:rsid w:val="00CF6F17"/>
    <w:rsid w:val="00CF6F41"/>
    <w:rsid w:val="00CF7042"/>
    <w:rsid w:val="00CF71D1"/>
    <w:rsid w:val="00CF72AD"/>
    <w:rsid w:val="00CF73D5"/>
    <w:rsid w:val="00CF73DB"/>
    <w:rsid w:val="00CF7426"/>
    <w:rsid w:val="00CF7650"/>
    <w:rsid w:val="00CF76E0"/>
    <w:rsid w:val="00CF7916"/>
    <w:rsid w:val="00CF7929"/>
    <w:rsid w:val="00CF7DED"/>
    <w:rsid w:val="00CF7F12"/>
    <w:rsid w:val="00D00024"/>
    <w:rsid w:val="00D00308"/>
    <w:rsid w:val="00D003E2"/>
    <w:rsid w:val="00D00457"/>
    <w:rsid w:val="00D00575"/>
    <w:rsid w:val="00D0073E"/>
    <w:rsid w:val="00D007D3"/>
    <w:rsid w:val="00D00834"/>
    <w:rsid w:val="00D00840"/>
    <w:rsid w:val="00D0086D"/>
    <w:rsid w:val="00D008FA"/>
    <w:rsid w:val="00D00939"/>
    <w:rsid w:val="00D00A20"/>
    <w:rsid w:val="00D00B1A"/>
    <w:rsid w:val="00D00CA5"/>
    <w:rsid w:val="00D00D6A"/>
    <w:rsid w:val="00D00DFB"/>
    <w:rsid w:val="00D00E69"/>
    <w:rsid w:val="00D00FD0"/>
    <w:rsid w:val="00D00FDB"/>
    <w:rsid w:val="00D01026"/>
    <w:rsid w:val="00D01073"/>
    <w:rsid w:val="00D01104"/>
    <w:rsid w:val="00D012E7"/>
    <w:rsid w:val="00D014ED"/>
    <w:rsid w:val="00D015F2"/>
    <w:rsid w:val="00D0186E"/>
    <w:rsid w:val="00D0196B"/>
    <w:rsid w:val="00D01980"/>
    <w:rsid w:val="00D019E0"/>
    <w:rsid w:val="00D01AAA"/>
    <w:rsid w:val="00D01F02"/>
    <w:rsid w:val="00D01F03"/>
    <w:rsid w:val="00D02157"/>
    <w:rsid w:val="00D021A8"/>
    <w:rsid w:val="00D0220F"/>
    <w:rsid w:val="00D022F2"/>
    <w:rsid w:val="00D023DA"/>
    <w:rsid w:val="00D02445"/>
    <w:rsid w:val="00D0244F"/>
    <w:rsid w:val="00D02455"/>
    <w:rsid w:val="00D0250B"/>
    <w:rsid w:val="00D0262B"/>
    <w:rsid w:val="00D026B1"/>
    <w:rsid w:val="00D028E0"/>
    <w:rsid w:val="00D02A68"/>
    <w:rsid w:val="00D02B8D"/>
    <w:rsid w:val="00D02CA7"/>
    <w:rsid w:val="00D02E38"/>
    <w:rsid w:val="00D02F82"/>
    <w:rsid w:val="00D02FC0"/>
    <w:rsid w:val="00D030E5"/>
    <w:rsid w:val="00D03195"/>
    <w:rsid w:val="00D032E9"/>
    <w:rsid w:val="00D033C1"/>
    <w:rsid w:val="00D0358C"/>
    <w:rsid w:val="00D03627"/>
    <w:rsid w:val="00D03649"/>
    <w:rsid w:val="00D037E8"/>
    <w:rsid w:val="00D03862"/>
    <w:rsid w:val="00D03909"/>
    <w:rsid w:val="00D039BA"/>
    <w:rsid w:val="00D039CD"/>
    <w:rsid w:val="00D039F2"/>
    <w:rsid w:val="00D03AC9"/>
    <w:rsid w:val="00D03B6F"/>
    <w:rsid w:val="00D03BCC"/>
    <w:rsid w:val="00D03DCD"/>
    <w:rsid w:val="00D03DF3"/>
    <w:rsid w:val="00D03F83"/>
    <w:rsid w:val="00D04057"/>
    <w:rsid w:val="00D04116"/>
    <w:rsid w:val="00D042D0"/>
    <w:rsid w:val="00D04470"/>
    <w:rsid w:val="00D04520"/>
    <w:rsid w:val="00D04584"/>
    <w:rsid w:val="00D045C9"/>
    <w:rsid w:val="00D04679"/>
    <w:rsid w:val="00D0473D"/>
    <w:rsid w:val="00D047E4"/>
    <w:rsid w:val="00D04835"/>
    <w:rsid w:val="00D0488A"/>
    <w:rsid w:val="00D0492D"/>
    <w:rsid w:val="00D04A4B"/>
    <w:rsid w:val="00D04C27"/>
    <w:rsid w:val="00D04DA7"/>
    <w:rsid w:val="00D04DF1"/>
    <w:rsid w:val="00D04E46"/>
    <w:rsid w:val="00D04E79"/>
    <w:rsid w:val="00D04F25"/>
    <w:rsid w:val="00D0506E"/>
    <w:rsid w:val="00D052F9"/>
    <w:rsid w:val="00D0530A"/>
    <w:rsid w:val="00D0533E"/>
    <w:rsid w:val="00D054C6"/>
    <w:rsid w:val="00D05685"/>
    <w:rsid w:val="00D05865"/>
    <w:rsid w:val="00D058A9"/>
    <w:rsid w:val="00D05987"/>
    <w:rsid w:val="00D05995"/>
    <w:rsid w:val="00D05D8B"/>
    <w:rsid w:val="00D05E3F"/>
    <w:rsid w:val="00D05E44"/>
    <w:rsid w:val="00D060A0"/>
    <w:rsid w:val="00D060E6"/>
    <w:rsid w:val="00D06120"/>
    <w:rsid w:val="00D063C3"/>
    <w:rsid w:val="00D06453"/>
    <w:rsid w:val="00D065C8"/>
    <w:rsid w:val="00D06601"/>
    <w:rsid w:val="00D06604"/>
    <w:rsid w:val="00D06849"/>
    <w:rsid w:val="00D0687B"/>
    <w:rsid w:val="00D068EC"/>
    <w:rsid w:val="00D06957"/>
    <w:rsid w:val="00D06A60"/>
    <w:rsid w:val="00D06AE3"/>
    <w:rsid w:val="00D06C56"/>
    <w:rsid w:val="00D06C92"/>
    <w:rsid w:val="00D06D87"/>
    <w:rsid w:val="00D06E44"/>
    <w:rsid w:val="00D07385"/>
    <w:rsid w:val="00D0742B"/>
    <w:rsid w:val="00D074C8"/>
    <w:rsid w:val="00D0760D"/>
    <w:rsid w:val="00D07691"/>
    <w:rsid w:val="00D076EC"/>
    <w:rsid w:val="00D07772"/>
    <w:rsid w:val="00D077AD"/>
    <w:rsid w:val="00D0797D"/>
    <w:rsid w:val="00D07981"/>
    <w:rsid w:val="00D07A5D"/>
    <w:rsid w:val="00D07AC6"/>
    <w:rsid w:val="00D07B6D"/>
    <w:rsid w:val="00D07CAF"/>
    <w:rsid w:val="00D07E29"/>
    <w:rsid w:val="00D102ED"/>
    <w:rsid w:val="00D1032F"/>
    <w:rsid w:val="00D10437"/>
    <w:rsid w:val="00D10575"/>
    <w:rsid w:val="00D1065B"/>
    <w:rsid w:val="00D107B8"/>
    <w:rsid w:val="00D107D2"/>
    <w:rsid w:val="00D107DA"/>
    <w:rsid w:val="00D107F1"/>
    <w:rsid w:val="00D10860"/>
    <w:rsid w:val="00D108FE"/>
    <w:rsid w:val="00D10958"/>
    <w:rsid w:val="00D10A36"/>
    <w:rsid w:val="00D10B28"/>
    <w:rsid w:val="00D10BC3"/>
    <w:rsid w:val="00D10E1E"/>
    <w:rsid w:val="00D10E70"/>
    <w:rsid w:val="00D10F8F"/>
    <w:rsid w:val="00D10F92"/>
    <w:rsid w:val="00D110A1"/>
    <w:rsid w:val="00D11266"/>
    <w:rsid w:val="00D112C1"/>
    <w:rsid w:val="00D11483"/>
    <w:rsid w:val="00D11768"/>
    <w:rsid w:val="00D11793"/>
    <w:rsid w:val="00D11796"/>
    <w:rsid w:val="00D117E0"/>
    <w:rsid w:val="00D117FB"/>
    <w:rsid w:val="00D11BB5"/>
    <w:rsid w:val="00D11D36"/>
    <w:rsid w:val="00D11D4C"/>
    <w:rsid w:val="00D11D5B"/>
    <w:rsid w:val="00D11E00"/>
    <w:rsid w:val="00D11E02"/>
    <w:rsid w:val="00D11E68"/>
    <w:rsid w:val="00D11EBE"/>
    <w:rsid w:val="00D1201F"/>
    <w:rsid w:val="00D120F4"/>
    <w:rsid w:val="00D1219B"/>
    <w:rsid w:val="00D122F5"/>
    <w:rsid w:val="00D12642"/>
    <w:rsid w:val="00D1270B"/>
    <w:rsid w:val="00D127BF"/>
    <w:rsid w:val="00D128CA"/>
    <w:rsid w:val="00D12966"/>
    <w:rsid w:val="00D12AB7"/>
    <w:rsid w:val="00D12B86"/>
    <w:rsid w:val="00D12BAE"/>
    <w:rsid w:val="00D12EE1"/>
    <w:rsid w:val="00D1303B"/>
    <w:rsid w:val="00D130EF"/>
    <w:rsid w:val="00D1335F"/>
    <w:rsid w:val="00D13366"/>
    <w:rsid w:val="00D1337D"/>
    <w:rsid w:val="00D134BA"/>
    <w:rsid w:val="00D135BF"/>
    <w:rsid w:val="00D135CF"/>
    <w:rsid w:val="00D135F1"/>
    <w:rsid w:val="00D135FB"/>
    <w:rsid w:val="00D1362C"/>
    <w:rsid w:val="00D13772"/>
    <w:rsid w:val="00D137A3"/>
    <w:rsid w:val="00D137BF"/>
    <w:rsid w:val="00D138F0"/>
    <w:rsid w:val="00D13A64"/>
    <w:rsid w:val="00D13B22"/>
    <w:rsid w:val="00D13B39"/>
    <w:rsid w:val="00D13CBD"/>
    <w:rsid w:val="00D13E75"/>
    <w:rsid w:val="00D13EDB"/>
    <w:rsid w:val="00D13FDE"/>
    <w:rsid w:val="00D1416A"/>
    <w:rsid w:val="00D14174"/>
    <w:rsid w:val="00D1427D"/>
    <w:rsid w:val="00D143F4"/>
    <w:rsid w:val="00D14426"/>
    <w:rsid w:val="00D14497"/>
    <w:rsid w:val="00D1473A"/>
    <w:rsid w:val="00D147B5"/>
    <w:rsid w:val="00D148D6"/>
    <w:rsid w:val="00D14BF2"/>
    <w:rsid w:val="00D14C48"/>
    <w:rsid w:val="00D14C77"/>
    <w:rsid w:val="00D14DC6"/>
    <w:rsid w:val="00D14F23"/>
    <w:rsid w:val="00D14F42"/>
    <w:rsid w:val="00D1506D"/>
    <w:rsid w:val="00D150A6"/>
    <w:rsid w:val="00D15157"/>
    <w:rsid w:val="00D151EF"/>
    <w:rsid w:val="00D15312"/>
    <w:rsid w:val="00D15379"/>
    <w:rsid w:val="00D153A9"/>
    <w:rsid w:val="00D153F8"/>
    <w:rsid w:val="00D1540D"/>
    <w:rsid w:val="00D15434"/>
    <w:rsid w:val="00D154EE"/>
    <w:rsid w:val="00D15536"/>
    <w:rsid w:val="00D15547"/>
    <w:rsid w:val="00D156F2"/>
    <w:rsid w:val="00D157AD"/>
    <w:rsid w:val="00D157F7"/>
    <w:rsid w:val="00D159E0"/>
    <w:rsid w:val="00D159F5"/>
    <w:rsid w:val="00D15B26"/>
    <w:rsid w:val="00D15B6D"/>
    <w:rsid w:val="00D15C97"/>
    <w:rsid w:val="00D15D65"/>
    <w:rsid w:val="00D15E3C"/>
    <w:rsid w:val="00D15E49"/>
    <w:rsid w:val="00D15E54"/>
    <w:rsid w:val="00D15EC7"/>
    <w:rsid w:val="00D15F4D"/>
    <w:rsid w:val="00D162AB"/>
    <w:rsid w:val="00D162FF"/>
    <w:rsid w:val="00D1645E"/>
    <w:rsid w:val="00D16554"/>
    <w:rsid w:val="00D16604"/>
    <w:rsid w:val="00D166FE"/>
    <w:rsid w:val="00D16845"/>
    <w:rsid w:val="00D16A48"/>
    <w:rsid w:val="00D16C1A"/>
    <w:rsid w:val="00D16E2B"/>
    <w:rsid w:val="00D17066"/>
    <w:rsid w:val="00D17138"/>
    <w:rsid w:val="00D17156"/>
    <w:rsid w:val="00D17301"/>
    <w:rsid w:val="00D17345"/>
    <w:rsid w:val="00D1746C"/>
    <w:rsid w:val="00D174CC"/>
    <w:rsid w:val="00D1784A"/>
    <w:rsid w:val="00D17872"/>
    <w:rsid w:val="00D1787A"/>
    <w:rsid w:val="00D17B21"/>
    <w:rsid w:val="00D17C2D"/>
    <w:rsid w:val="00D17CDC"/>
    <w:rsid w:val="00D17D57"/>
    <w:rsid w:val="00D17E28"/>
    <w:rsid w:val="00D17EEA"/>
    <w:rsid w:val="00D17F6D"/>
    <w:rsid w:val="00D17F7F"/>
    <w:rsid w:val="00D20041"/>
    <w:rsid w:val="00D200E0"/>
    <w:rsid w:val="00D20137"/>
    <w:rsid w:val="00D20228"/>
    <w:rsid w:val="00D20353"/>
    <w:rsid w:val="00D20376"/>
    <w:rsid w:val="00D203E6"/>
    <w:rsid w:val="00D205B0"/>
    <w:rsid w:val="00D20808"/>
    <w:rsid w:val="00D20899"/>
    <w:rsid w:val="00D208CB"/>
    <w:rsid w:val="00D209A9"/>
    <w:rsid w:val="00D209DE"/>
    <w:rsid w:val="00D20C09"/>
    <w:rsid w:val="00D20D25"/>
    <w:rsid w:val="00D20EB7"/>
    <w:rsid w:val="00D21151"/>
    <w:rsid w:val="00D21377"/>
    <w:rsid w:val="00D214AD"/>
    <w:rsid w:val="00D215D5"/>
    <w:rsid w:val="00D21641"/>
    <w:rsid w:val="00D216A6"/>
    <w:rsid w:val="00D21A14"/>
    <w:rsid w:val="00D21A62"/>
    <w:rsid w:val="00D21B59"/>
    <w:rsid w:val="00D21E30"/>
    <w:rsid w:val="00D21E76"/>
    <w:rsid w:val="00D21EC5"/>
    <w:rsid w:val="00D21F5B"/>
    <w:rsid w:val="00D21FFB"/>
    <w:rsid w:val="00D22086"/>
    <w:rsid w:val="00D220F7"/>
    <w:rsid w:val="00D22181"/>
    <w:rsid w:val="00D221F3"/>
    <w:rsid w:val="00D2226F"/>
    <w:rsid w:val="00D222AE"/>
    <w:rsid w:val="00D223D7"/>
    <w:rsid w:val="00D22574"/>
    <w:rsid w:val="00D2262A"/>
    <w:rsid w:val="00D22639"/>
    <w:rsid w:val="00D22687"/>
    <w:rsid w:val="00D227B3"/>
    <w:rsid w:val="00D227D7"/>
    <w:rsid w:val="00D22840"/>
    <w:rsid w:val="00D228E7"/>
    <w:rsid w:val="00D22980"/>
    <w:rsid w:val="00D22C0F"/>
    <w:rsid w:val="00D23035"/>
    <w:rsid w:val="00D230AF"/>
    <w:rsid w:val="00D2334A"/>
    <w:rsid w:val="00D23676"/>
    <w:rsid w:val="00D23749"/>
    <w:rsid w:val="00D23850"/>
    <w:rsid w:val="00D238D1"/>
    <w:rsid w:val="00D23A10"/>
    <w:rsid w:val="00D23A2D"/>
    <w:rsid w:val="00D23A4D"/>
    <w:rsid w:val="00D23B21"/>
    <w:rsid w:val="00D23B45"/>
    <w:rsid w:val="00D23DFA"/>
    <w:rsid w:val="00D240F3"/>
    <w:rsid w:val="00D241E4"/>
    <w:rsid w:val="00D24248"/>
    <w:rsid w:val="00D242B4"/>
    <w:rsid w:val="00D2451A"/>
    <w:rsid w:val="00D2453B"/>
    <w:rsid w:val="00D24541"/>
    <w:rsid w:val="00D2469B"/>
    <w:rsid w:val="00D246CC"/>
    <w:rsid w:val="00D246ED"/>
    <w:rsid w:val="00D247D8"/>
    <w:rsid w:val="00D24898"/>
    <w:rsid w:val="00D248F3"/>
    <w:rsid w:val="00D24A2B"/>
    <w:rsid w:val="00D24AB1"/>
    <w:rsid w:val="00D24CA2"/>
    <w:rsid w:val="00D24CD2"/>
    <w:rsid w:val="00D24EA8"/>
    <w:rsid w:val="00D24F27"/>
    <w:rsid w:val="00D24FF6"/>
    <w:rsid w:val="00D252D9"/>
    <w:rsid w:val="00D25379"/>
    <w:rsid w:val="00D2540E"/>
    <w:rsid w:val="00D25594"/>
    <w:rsid w:val="00D255C0"/>
    <w:rsid w:val="00D255D4"/>
    <w:rsid w:val="00D25600"/>
    <w:rsid w:val="00D25941"/>
    <w:rsid w:val="00D25B87"/>
    <w:rsid w:val="00D25CCE"/>
    <w:rsid w:val="00D25CDC"/>
    <w:rsid w:val="00D25D88"/>
    <w:rsid w:val="00D260B1"/>
    <w:rsid w:val="00D261C6"/>
    <w:rsid w:val="00D2638A"/>
    <w:rsid w:val="00D26480"/>
    <w:rsid w:val="00D265D6"/>
    <w:rsid w:val="00D26600"/>
    <w:rsid w:val="00D269F0"/>
    <w:rsid w:val="00D26A50"/>
    <w:rsid w:val="00D26BDB"/>
    <w:rsid w:val="00D26CF2"/>
    <w:rsid w:val="00D26EC8"/>
    <w:rsid w:val="00D26F92"/>
    <w:rsid w:val="00D26FA8"/>
    <w:rsid w:val="00D27371"/>
    <w:rsid w:val="00D2751A"/>
    <w:rsid w:val="00D276A8"/>
    <w:rsid w:val="00D27762"/>
    <w:rsid w:val="00D2779F"/>
    <w:rsid w:val="00D2785B"/>
    <w:rsid w:val="00D278AD"/>
    <w:rsid w:val="00D27A12"/>
    <w:rsid w:val="00D27B97"/>
    <w:rsid w:val="00D27CA6"/>
    <w:rsid w:val="00D27D37"/>
    <w:rsid w:val="00D27D4A"/>
    <w:rsid w:val="00D27D88"/>
    <w:rsid w:val="00D27E52"/>
    <w:rsid w:val="00D27F3B"/>
    <w:rsid w:val="00D30015"/>
    <w:rsid w:val="00D300CC"/>
    <w:rsid w:val="00D301D8"/>
    <w:rsid w:val="00D3023E"/>
    <w:rsid w:val="00D303D7"/>
    <w:rsid w:val="00D30490"/>
    <w:rsid w:val="00D3055E"/>
    <w:rsid w:val="00D305AD"/>
    <w:rsid w:val="00D305CA"/>
    <w:rsid w:val="00D306D7"/>
    <w:rsid w:val="00D3095F"/>
    <w:rsid w:val="00D30ADC"/>
    <w:rsid w:val="00D30D48"/>
    <w:rsid w:val="00D30FD1"/>
    <w:rsid w:val="00D3104E"/>
    <w:rsid w:val="00D31089"/>
    <w:rsid w:val="00D31138"/>
    <w:rsid w:val="00D31169"/>
    <w:rsid w:val="00D312E7"/>
    <w:rsid w:val="00D3143E"/>
    <w:rsid w:val="00D315D9"/>
    <w:rsid w:val="00D3164A"/>
    <w:rsid w:val="00D31685"/>
    <w:rsid w:val="00D3183B"/>
    <w:rsid w:val="00D31A22"/>
    <w:rsid w:val="00D31B5A"/>
    <w:rsid w:val="00D31BC0"/>
    <w:rsid w:val="00D31C97"/>
    <w:rsid w:val="00D31CAE"/>
    <w:rsid w:val="00D31D07"/>
    <w:rsid w:val="00D31D63"/>
    <w:rsid w:val="00D31EB5"/>
    <w:rsid w:val="00D31EB7"/>
    <w:rsid w:val="00D31FC8"/>
    <w:rsid w:val="00D32065"/>
    <w:rsid w:val="00D3211A"/>
    <w:rsid w:val="00D32329"/>
    <w:rsid w:val="00D32382"/>
    <w:rsid w:val="00D323E5"/>
    <w:rsid w:val="00D3250C"/>
    <w:rsid w:val="00D32662"/>
    <w:rsid w:val="00D326BF"/>
    <w:rsid w:val="00D326FF"/>
    <w:rsid w:val="00D32832"/>
    <w:rsid w:val="00D328CB"/>
    <w:rsid w:val="00D3298E"/>
    <w:rsid w:val="00D329B0"/>
    <w:rsid w:val="00D32A0D"/>
    <w:rsid w:val="00D32ADE"/>
    <w:rsid w:val="00D32CEF"/>
    <w:rsid w:val="00D32D46"/>
    <w:rsid w:val="00D32EC2"/>
    <w:rsid w:val="00D32F3F"/>
    <w:rsid w:val="00D33084"/>
    <w:rsid w:val="00D330F6"/>
    <w:rsid w:val="00D33101"/>
    <w:rsid w:val="00D3311C"/>
    <w:rsid w:val="00D331EE"/>
    <w:rsid w:val="00D331F9"/>
    <w:rsid w:val="00D33325"/>
    <w:rsid w:val="00D334BE"/>
    <w:rsid w:val="00D335D3"/>
    <w:rsid w:val="00D33835"/>
    <w:rsid w:val="00D338FF"/>
    <w:rsid w:val="00D33947"/>
    <w:rsid w:val="00D33A2C"/>
    <w:rsid w:val="00D33A39"/>
    <w:rsid w:val="00D33C13"/>
    <w:rsid w:val="00D33CE0"/>
    <w:rsid w:val="00D34203"/>
    <w:rsid w:val="00D34207"/>
    <w:rsid w:val="00D3421B"/>
    <w:rsid w:val="00D34227"/>
    <w:rsid w:val="00D34311"/>
    <w:rsid w:val="00D34439"/>
    <w:rsid w:val="00D3459D"/>
    <w:rsid w:val="00D345B3"/>
    <w:rsid w:val="00D348DD"/>
    <w:rsid w:val="00D34A26"/>
    <w:rsid w:val="00D34AB6"/>
    <w:rsid w:val="00D34AF2"/>
    <w:rsid w:val="00D34BE0"/>
    <w:rsid w:val="00D34DB5"/>
    <w:rsid w:val="00D34F63"/>
    <w:rsid w:val="00D34FC1"/>
    <w:rsid w:val="00D3502C"/>
    <w:rsid w:val="00D3505E"/>
    <w:rsid w:val="00D3509A"/>
    <w:rsid w:val="00D35451"/>
    <w:rsid w:val="00D356F8"/>
    <w:rsid w:val="00D35729"/>
    <w:rsid w:val="00D35779"/>
    <w:rsid w:val="00D35876"/>
    <w:rsid w:val="00D35904"/>
    <w:rsid w:val="00D35AF5"/>
    <w:rsid w:val="00D35BDE"/>
    <w:rsid w:val="00D35BFB"/>
    <w:rsid w:val="00D35C49"/>
    <w:rsid w:val="00D35E4F"/>
    <w:rsid w:val="00D35E63"/>
    <w:rsid w:val="00D3608C"/>
    <w:rsid w:val="00D36145"/>
    <w:rsid w:val="00D3621F"/>
    <w:rsid w:val="00D36331"/>
    <w:rsid w:val="00D36568"/>
    <w:rsid w:val="00D365F2"/>
    <w:rsid w:val="00D366C6"/>
    <w:rsid w:val="00D367D2"/>
    <w:rsid w:val="00D36992"/>
    <w:rsid w:val="00D369F6"/>
    <w:rsid w:val="00D36B25"/>
    <w:rsid w:val="00D37034"/>
    <w:rsid w:val="00D3705C"/>
    <w:rsid w:val="00D371C9"/>
    <w:rsid w:val="00D373E0"/>
    <w:rsid w:val="00D373F9"/>
    <w:rsid w:val="00D3749C"/>
    <w:rsid w:val="00D374F1"/>
    <w:rsid w:val="00D37650"/>
    <w:rsid w:val="00D37760"/>
    <w:rsid w:val="00D378F3"/>
    <w:rsid w:val="00D379F3"/>
    <w:rsid w:val="00D37C09"/>
    <w:rsid w:val="00D37C1F"/>
    <w:rsid w:val="00D37D8F"/>
    <w:rsid w:val="00D37E10"/>
    <w:rsid w:val="00D37E14"/>
    <w:rsid w:val="00D37EC9"/>
    <w:rsid w:val="00D40056"/>
    <w:rsid w:val="00D400CB"/>
    <w:rsid w:val="00D4013A"/>
    <w:rsid w:val="00D40165"/>
    <w:rsid w:val="00D4019B"/>
    <w:rsid w:val="00D401AC"/>
    <w:rsid w:val="00D401BD"/>
    <w:rsid w:val="00D40293"/>
    <w:rsid w:val="00D402C9"/>
    <w:rsid w:val="00D402E2"/>
    <w:rsid w:val="00D40313"/>
    <w:rsid w:val="00D403CF"/>
    <w:rsid w:val="00D4045F"/>
    <w:rsid w:val="00D404A3"/>
    <w:rsid w:val="00D404B8"/>
    <w:rsid w:val="00D40594"/>
    <w:rsid w:val="00D4066E"/>
    <w:rsid w:val="00D406B1"/>
    <w:rsid w:val="00D40877"/>
    <w:rsid w:val="00D408B1"/>
    <w:rsid w:val="00D4097F"/>
    <w:rsid w:val="00D40B34"/>
    <w:rsid w:val="00D40B75"/>
    <w:rsid w:val="00D40D00"/>
    <w:rsid w:val="00D40D11"/>
    <w:rsid w:val="00D40E16"/>
    <w:rsid w:val="00D4109F"/>
    <w:rsid w:val="00D410BA"/>
    <w:rsid w:val="00D411B6"/>
    <w:rsid w:val="00D411B8"/>
    <w:rsid w:val="00D41439"/>
    <w:rsid w:val="00D41826"/>
    <w:rsid w:val="00D41972"/>
    <w:rsid w:val="00D41AFD"/>
    <w:rsid w:val="00D41BE6"/>
    <w:rsid w:val="00D41DC7"/>
    <w:rsid w:val="00D41DD1"/>
    <w:rsid w:val="00D41F69"/>
    <w:rsid w:val="00D42133"/>
    <w:rsid w:val="00D42282"/>
    <w:rsid w:val="00D422D2"/>
    <w:rsid w:val="00D423AB"/>
    <w:rsid w:val="00D423E8"/>
    <w:rsid w:val="00D42500"/>
    <w:rsid w:val="00D42573"/>
    <w:rsid w:val="00D42894"/>
    <w:rsid w:val="00D428BD"/>
    <w:rsid w:val="00D428CA"/>
    <w:rsid w:val="00D42D0B"/>
    <w:rsid w:val="00D42DA1"/>
    <w:rsid w:val="00D42E72"/>
    <w:rsid w:val="00D42EC3"/>
    <w:rsid w:val="00D43083"/>
    <w:rsid w:val="00D43209"/>
    <w:rsid w:val="00D43250"/>
    <w:rsid w:val="00D432B8"/>
    <w:rsid w:val="00D432DA"/>
    <w:rsid w:val="00D433A6"/>
    <w:rsid w:val="00D43403"/>
    <w:rsid w:val="00D43443"/>
    <w:rsid w:val="00D43496"/>
    <w:rsid w:val="00D43734"/>
    <w:rsid w:val="00D4384A"/>
    <w:rsid w:val="00D4385C"/>
    <w:rsid w:val="00D438F7"/>
    <w:rsid w:val="00D43A86"/>
    <w:rsid w:val="00D43B5B"/>
    <w:rsid w:val="00D43B61"/>
    <w:rsid w:val="00D43C16"/>
    <w:rsid w:val="00D43CFC"/>
    <w:rsid w:val="00D43D06"/>
    <w:rsid w:val="00D43DE1"/>
    <w:rsid w:val="00D43E92"/>
    <w:rsid w:val="00D43F00"/>
    <w:rsid w:val="00D44016"/>
    <w:rsid w:val="00D44121"/>
    <w:rsid w:val="00D4413B"/>
    <w:rsid w:val="00D44184"/>
    <w:rsid w:val="00D44240"/>
    <w:rsid w:val="00D44288"/>
    <w:rsid w:val="00D442D6"/>
    <w:rsid w:val="00D44391"/>
    <w:rsid w:val="00D44428"/>
    <w:rsid w:val="00D444B7"/>
    <w:rsid w:val="00D44571"/>
    <w:rsid w:val="00D4469D"/>
    <w:rsid w:val="00D44752"/>
    <w:rsid w:val="00D448AC"/>
    <w:rsid w:val="00D448D8"/>
    <w:rsid w:val="00D448F8"/>
    <w:rsid w:val="00D449BB"/>
    <w:rsid w:val="00D44A23"/>
    <w:rsid w:val="00D44A4C"/>
    <w:rsid w:val="00D44AB4"/>
    <w:rsid w:val="00D44AD1"/>
    <w:rsid w:val="00D44C80"/>
    <w:rsid w:val="00D44D2D"/>
    <w:rsid w:val="00D44DE5"/>
    <w:rsid w:val="00D44F1C"/>
    <w:rsid w:val="00D44F57"/>
    <w:rsid w:val="00D45455"/>
    <w:rsid w:val="00D45492"/>
    <w:rsid w:val="00D45516"/>
    <w:rsid w:val="00D455E7"/>
    <w:rsid w:val="00D4565A"/>
    <w:rsid w:val="00D456FC"/>
    <w:rsid w:val="00D45828"/>
    <w:rsid w:val="00D4597B"/>
    <w:rsid w:val="00D459A5"/>
    <w:rsid w:val="00D45A64"/>
    <w:rsid w:val="00D45D76"/>
    <w:rsid w:val="00D45E6A"/>
    <w:rsid w:val="00D45F61"/>
    <w:rsid w:val="00D45FA6"/>
    <w:rsid w:val="00D46193"/>
    <w:rsid w:val="00D461C1"/>
    <w:rsid w:val="00D4623F"/>
    <w:rsid w:val="00D462D9"/>
    <w:rsid w:val="00D465C9"/>
    <w:rsid w:val="00D46695"/>
    <w:rsid w:val="00D4688E"/>
    <w:rsid w:val="00D4694E"/>
    <w:rsid w:val="00D469E1"/>
    <w:rsid w:val="00D469E2"/>
    <w:rsid w:val="00D46AE8"/>
    <w:rsid w:val="00D46B25"/>
    <w:rsid w:val="00D46B50"/>
    <w:rsid w:val="00D46C4C"/>
    <w:rsid w:val="00D46EED"/>
    <w:rsid w:val="00D47112"/>
    <w:rsid w:val="00D4714B"/>
    <w:rsid w:val="00D471EA"/>
    <w:rsid w:val="00D47202"/>
    <w:rsid w:val="00D47228"/>
    <w:rsid w:val="00D472EA"/>
    <w:rsid w:val="00D473F2"/>
    <w:rsid w:val="00D47508"/>
    <w:rsid w:val="00D47659"/>
    <w:rsid w:val="00D4772B"/>
    <w:rsid w:val="00D47731"/>
    <w:rsid w:val="00D4786C"/>
    <w:rsid w:val="00D47C48"/>
    <w:rsid w:val="00D47CEF"/>
    <w:rsid w:val="00D47E46"/>
    <w:rsid w:val="00D47F23"/>
    <w:rsid w:val="00D500B5"/>
    <w:rsid w:val="00D500FF"/>
    <w:rsid w:val="00D50483"/>
    <w:rsid w:val="00D504EE"/>
    <w:rsid w:val="00D506D8"/>
    <w:rsid w:val="00D506DA"/>
    <w:rsid w:val="00D5077B"/>
    <w:rsid w:val="00D5078B"/>
    <w:rsid w:val="00D50813"/>
    <w:rsid w:val="00D50838"/>
    <w:rsid w:val="00D50847"/>
    <w:rsid w:val="00D5088E"/>
    <w:rsid w:val="00D50930"/>
    <w:rsid w:val="00D50971"/>
    <w:rsid w:val="00D509F5"/>
    <w:rsid w:val="00D50AC0"/>
    <w:rsid w:val="00D50B93"/>
    <w:rsid w:val="00D50C43"/>
    <w:rsid w:val="00D50CB7"/>
    <w:rsid w:val="00D50E7F"/>
    <w:rsid w:val="00D50FF6"/>
    <w:rsid w:val="00D51040"/>
    <w:rsid w:val="00D510EA"/>
    <w:rsid w:val="00D5152E"/>
    <w:rsid w:val="00D51560"/>
    <w:rsid w:val="00D51705"/>
    <w:rsid w:val="00D5179D"/>
    <w:rsid w:val="00D51981"/>
    <w:rsid w:val="00D51A6F"/>
    <w:rsid w:val="00D51CB3"/>
    <w:rsid w:val="00D51CDC"/>
    <w:rsid w:val="00D51E55"/>
    <w:rsid w:val="00D51EBC"/>
    <w:rsid w:val="00D51EF9"/>
    <w:rsid w:val="00D5204B"/>
    <w:rsid w:val="00D52088"/>
    <w:rsid w:val="00D52122"/>
    <w:rsid w:val="00D52171"/>
    <w:rsid w:val="00D52197"/>
    <w:rsid w:val="00D52279"/>
    <w:rsid w:val="00D522C9"/>
    <w:rsid w:val="00D52319"/>
    <w:rsid w:val="00D523D8"/>
    <w:rsid w:val="00D52523"/>
    <w:rsid w:val="00D52579"/>
    <w:rsid w:val="00D525AC"/>
    <w:rsid w:val="00D525F1"/>
    <w:rsid w:val="00D52C98"/>
    <w:rsid w:val="00D52CA8"/>
    <w:rsid w:val="00D5303E"/>
    <w:rsid w:val="00D5329C"/>
    <w:rsid w:val="00D5353E"/>
    <w:rsid w:val="00D5367B"/>
    <w:rsid w:val="00D53746"/>
    <w:rsid w:val="00D537A1"/>
    <w:rsid w:val="00D538CA"/>
    <w:rsid w:val="00D5390A"/>
    <w:rsid w:val="00D5396B"/>
    <w:rsid w:val="00D53BDF"/>
    <w:rsid w:val="00D53CC6"/>
    <w:rsid w:val="00D53DA8"/>
    <w:rsid w:val="00D53EBF"/>
    <w:rsid w:val="00D53EC1"/>
    <w:rsid w:val="00D54470"/>
    <w:rsid w:val="00D5451A"/>
    <w:rsid w:val="00D54844"/>
    <w:rsid w:val="00D54957"/>
    <w:rsid w:val="00D54C83"/>
    <w:rsid w:val="00D54D24"/>
    <w:rsid w:val="00D55019"/>
    <w:rsid w:val="00D55119"/>
    <w:rsid w:val="00D554FA"/>
    <w:rsid w:val="00D55691"/>
    <w:rsid w:val="00D5569A"/>
    <w:rsid w:val="00D55717"/>
    <w:rsid w:val="00D557B8"/>
    <w:rsid w:val="00D55B20"/>
    <w:rsid w:val="00D55CA7"/>
    <w:rsid w:val="00D55ECD"/>
    <w:rsid w:val="00D5602F"/>
    <w:rsid w:val="00D56190"/>
    <w:rsid w:val="00D5619F"/>
    <w:rsid w:val="00D561A4"/>
    <w:rsid w:val="00D561CE"/>
    <w:rsid w:val="00D5623D"/>
    <w:rsid w:val="00D5637B"/>
    <w:rsid w:val="00D564F1"/>
    <w:rsid w:val="00D565A0"/>
    <w:rsid w:val="00D5664D"/>
    <w:rsid w:val="00D5679F"/>
    <w:rsid w:val="00D567FF"/>
    <w:rsid w:val="00D56836"/>
    <w:rsid w:val="00D56B43"/>
    <w:rsid w:val="00D56CFB"/>
    <w:rsid w:val="00D57134"/>
    <w:rsid w:val="00D571E8"/>
    <w:rsid w:val="00D57208"/>
    <w:rsid w:val="00D5724E"/>
    <w:rsid w:val="00D572CB"/>
    <w:rsid w:val="00D5751B"/>
    <w:rsid w:val="00D575C6"/>
    <w:rsid w:val="00D57654"/>
    <w:rsid w:val="00D576B2"/>
    <w:rsid w:val="00D57742"/>
    <w:rsid w:val="00D57AA9"/>
    <w:rsid w:val="00D57AE1"/>
    <w:rsid w:val="00D57B1F"/>
    <w:rsid w:val="00D57BDA"/>
    <w:rsid w:val="00D57BF5"/>
    <w:rsid w:val="00D57D77"/>
    <w:rsid w:val="00D57D9D"/>
    <w:rsid w:val="00D57DAC"/>
    <w:rsid w:val="00D57E1B"/>
    <w:rsid w:val="00D57F64"/>
    <w:rsid w:val="00D57FCA"/>
    <w:rsid w:val="00D60133"/>
    <w:rsid w:val="00D60174"/>
    <w:rsid w:val="00D601D3"/>
    <w:rsid w:val="00D60298"/>
    <w:rsid w:val="00D60389"/>
    <w:rsid w:val="00D60555"/>
    <w:rsid w:val="00D60635"/>
    <w:rsid w:val="00D60670"/>
    <w:rsid w:val="00D60675"/>
    <w:rsid w:val="00D606E5"/>
    <w:rsid w:val="00D60716"/>
    <w:rsid w:val="00D608FF"/>
    <w:rsid w:val="00D60A5D"/>
    <w:rsid w:val="00D60AB0"/>
    <w:rsid w:val="00D60C6C"/>
    <w:rsid w:val="00D60CDE"/>
    <w:rsid w:val="00D60D73"/>
    <w:rsid w:val="00D60D87"/>
    <w:rsid w:val="00D60E29"/>
    <w:rsid w:val="00D60E85"/>
    <w:rsid w:val="00D60EE3"/>
    <w:rsid w:val="00D60FB2"/>
    <w:rsid w:val="00D60FCE"/>
    <w:rsid w:val="00D61185"/>
    <w:rsid w:val="00D61187"/>
    <w:rsid w:val="00D6120A"/>
    <w:rsid w:val="00D61511"/>
    <w:rsid w:val="00D61643"/>
    <w:rsid w:val="00D61748"/>
    <w:rsid w:val="00D617D8"/>
    <w:rsid w:val="00D617F1"/>
    <w:rsid w:val="00D6181B"/>
    <w:rsid w:val="00D61918"/>
    <w:rsid w:val="00D61C9B"/>
    <w:rsid w:val="00D620EF"/>
    <w:rsid w:val="00D62176"/>
    <w:rsid w:val="00D623EF"/>
    <w:rsid w:val="00D624FB"/>
    <w:rsid w:val="00D62776"/>
    <w:rsid w:val="00D629F2"/>
    <w:rsid w:val="00D62C75"/>
    <w:rsid w:val="00D62F3A"/>
    <w:rsid w:val="00D62FA1"/>
    <w:rsid w:val="00D62FF6"/>
    <w:rsid w:val="00D63134"/>
    <w:rsid w:val="00D631C4"/>
    <w:rsid w:val="00D631F4"/>
    <w:rsid w:val="00D632A8"/>
    <w:rsid w:val="00D633D1"/>
    <w:rsid w:val="00D63644"/>
    <w:rsid w:val="00D6384C"/>
    <w:rsid w:val="00D63863"/>
    <w:rsid w:val="00D63B48"/>
    <w:rsid w:val="00D63E7A"/>
    <w:rsid w:val="00D63FB9"/>
    <w:rsid w:val="00D6403C"/>
    <w:rsid w:val="00D642EA"/>
    <w:rsid w:val="00D64374"/>
    <w:rsid w:val="00D64492"/>
    <w:rsid w:val="00D6460E"/>
    <w:rsid w:val="00D64878"/>
    <w:rsid w:val="00D648A8"/>
    <w:rsid w:val="00D64A51"/>
    <w:rsid w:val="00D64BAE"/>
    <w:rsid w:val="00D64D44"/>
    <w:rsid w:val="00D64E73"/>
    <w:rsid w:val="00D64F54"/>
    <w:rsid w:val="00D65012"/>
    <w:rsid w:val="00D653D6"/>
    <w:rsid w:val="00D655DB"/>
    <w:rsid w:val="00D656EC"/>
    <w:rsid w:val="00D6573C"/>
    <w:rsid w:val="00D65980"/>
    <w:rsid w:val="00D65A7E"/>
    <w:rsid w:val="00D65C15"/>
    <w:rsid w:val="00D65C61"/>
    <w:rsid w:val="00D661A2"/>
    <w:rsid w:val="00D66213"/>
    <w:rsid w:val="00D662AD"/>
    <w:rsid w:val="00D66325"/>
    <w:rsid w:val="00D663BB"/>
    <w:rsid w:val="00D6647B"/>
    <w:rsid w:val="00D6648D"/>
    <w:rsid w:val="00D66505"/>
    <w:rsid w:val="00D66643"/>
    <w:rsid w:val="00D666CC"/>
    <w:rsid w:val="00D666EC"/>
    <w:rsid w:val="00D666FD"/>
    <w:rsid w:val="00D6676D"/>
    <w:rsid w:val="00D668C8"/>
    <w:rsid w:val="00D668F7"/>
    <w:rsid w:val="00D668FE"/>
    <w:rsid w:val="00D66975"/>
    <w:rsid w:val="00D669B4"/>
    <w:rsid w:val="00D66ADB"/>
    <w:rsid w:val="00D66D6E"/>
    <w:rsid w:val="00D66DC9"/>
    <w:rsid w:val="00D66FC9"/>
    <w:rsid w:val="00D66FF6"/>
    <w:rsid w:val="00D67174"/>
    <w:rsid w:val="00D673F5"/>
    <w:rsid w:val="00D674F0"/>
    <w:rsid w:val="00D6750D"/>
    <w:rsid w:val="00D67B21"/>
    <w:rsid w:val="00D67CE7"/>
    <w:rsid w:val="00D67E25"/>
    <w:rsid w:val="00D67EA5"/>
    <w:rsid w:val="00D67F84"/>
    <w:rsid w:val="00D70006"/>
    <w:rsid w:val="00D702A3"/>
    <w:rsid w:val="00D702C1"/>
    <w:rsid w:val="00D702CD"/>
    <w:rsid w:val="00D703CF"/>
    <w:rsid w:val="00D705F2"/>
    <w:rsid w:val="00D7071A"/>
    <w:rsid w:val="00D7077C"/>
    <w:rsid w:val="00D70800"/>
    <w:rsid w:val="00D70802"/>
    <w:rsid w:val="00D7089F"/>
    <w:rsid w:val="00D70A7B"/>
    <w:rsid w:val="00D70B44"/>
    <w:rsid w:val="00D70DE6"/>
    <w:rsid w:val="00D70E0A"/>
    <w:rsid w:val="00D70E34"/>
    <w:rsid w:val="00D70FBF"/>
    <w:rsid w:val="00D710A8"/>
    <w:rsid w:val="00D7126D"/>
    <w:rsid w:val="00D713A1"/>
    <w:rsid w:val="00D71441"/>
    <w:rsid w:val="00D71502"/>
    <w:rsid w:val="00D715FF"/>
    <w:rsid w:val="00D716A8"/>
    <w:rsid w:val="00D7175C"/>
    <w:rsid w:val="00D71954"/>
    <w:rsid w:val="00D71A49"/>
    <w:rsid w:val="00D71C3B"/>
    <w:rsid w:val="00D71CC8"/>
    <w:rsid w:val="00D71EA4"/>
    <w:rsid w:val="00D71EFF"/>
    <w:rsid w:val="00D72025"/>
    <w:rsid w:val="00D72052"/>
    <w:rsid w:val="00D720C6"/>
    <w:rsid w:val="00D721AA"/>
    <w:rsid w:val="00D72477"/>
    <w:rsid w:val="00D7254F"/>
    <w:rsid w:val="00D725F1"/>
    <w:rsid w:val="00D726FB"/>
    <w:rsid w:val="00D72761"/>
    <w:rsid w:val="00D72869"/>
    <w:rsid w:val="00D72906"/>
    <w:rsid w:val="00D72962"/>
    <w:rsid w:val="00D72A5C"/>
    <w:rsid w:val="00D72B19"/>
    <w:rsid w:val="00D72C33"/>
    <w:rsid w:val="00D72D4B"/>
    <w:rsid w:val="00D72D8A"/>
    <w:rsid w:val="00D72EEC"/>
    <w:rsid w:val="00D730E3"/>
    <w:rsid w:val="00D73376"/>
    <w:rsid w:val="00D733F4"/>
    <w:rsid w:val="00D735E5"/>
    <w:rsid w:val="00D73888"/>
    <w:rsid w:val="00D73912"/>
    <w:rsid w:val="00D7392F"/>
    <w:rsid w:val="00D73A88"/>
    <w:rsid w:val="00D73AB2"/>
    <w:rsid w:val="00D73AE3"/>
    <w:rsid w:val="00D73B0B"/>
    <w:rsid w:val="00D73C6E"/>
    <w:rsid w:val="00D73CA4"/>
    <w:rsid w:val="00D73F90"/>
    <w:rsid w:val="00D7406C"/>
    <w:rsid w:val="00D740BD"/>
    <w:rsid w:val="00D74147"/>
    <w:rsid w:val="00D741F9"/>
    <w:rsid w:val="00D7427A"/>
    <w:rsid w:val="00D7431A"/>
    <w:rsid w:val="00D74563"/>
    <w:rsid w:val="00D74687"/>
    <w:rsid w:val="00D74767"/>
    <w:rsid w:val="00D74787"/>
    <w:rsid w:val="00D74810"/>
    <w:rsid w:val="00D7489A"/>
    <w:rsid w:val="00D749F8"/>
    <w:rsid w:val="00D74A09"/>
    <w:rsid w:val="00D74A68"/>
    <w:rsid w:val="00D74E4D"/>
    <w:rsid w:val="00D74EA3"/>
    <w:rsid w:val="00D75122"/>
    <w:rsid w:val="00D7519A"/>
    <w:rsid w:val="00D751B7"/>
    <w:rsid w:val="00D752C8"/>
    <w:rsid w:val="00D7541F"/>
    <w:rsid w:val="00D754A2"/>
    <w:rsid w:val="00D754A3"/>
    <w:rsid w:val="00D755B0"/>
    <w:rsid w:val="00D758CD"/>
    <w:rsid w:val="00D75972"/>
    <w:rsid w:val="00D759CE"/>
    <w:rsid w:val="00D75AF5"/>
    <w:rsid w:val="00D75B85"/>
    <w:rsid w:val="00D75CF7"/>
    <w:rsid w:val="00D75E47"/>
    <w:rsid w:val="00D75FA4"/>
    <w:rsid w:val="00D75FE4"/>
    <w:rsid w:val="00D76050"/>
    <w:rsid w:val="00D76190"/>
    <w:rsid w:val="00D7633A"/>
    <w:rsid w:val="00D76379"/>
    <w:rsid w:val="00D76406"/>
    <w:rsid w:val="00D76495"/>
    <w:rsid w:val="00D76679"/>
    <w:rsid w:val="00D766FC"/>
    <w:rsid w:val="00D76729"/>
    <w:rsid w:val="00D7673B"/>
    <w:rsid w:val="00D768B3"/>
    <w:rsid w:val="00D769BF"/>
    <w:rsid w:val="00D76A26"/>
    <w:rsid w:val="00D76A2B"/>
    <w:rsid w:val="00D76A88"/>
    <w:rsid w:val="00D76B38"/>
    <w:rsid w:val="00D76C9A"/>
    <w:rsid w:val="00D76CD1"/>
    <w:rsid w:val="00D76D48"/>
    <w:rsid w:val="00D76E28"/>
    <w:rsid w:val="00D76E80"/>
    <w:rsid w:val="00D76EA1"/>
    <w:rsid w:val="00D76ED9"/>
    <w:rsid w:val="00D76EDD"/>
    <w:rsid w:val="00D77028"/>
    <w:rsid w:val="00D7707C"/>
    <w:rsid w:val="00D770F3"/>
    <w:rsid w:val="00D77114"/>
    <w:rsid w:val="00D77268"/>
    <w:rsid w:val="00D772A6"/>
    <w:rsid w:val="00D7733E"/>
    <w:rsid w:val="00D773F3"/>
    <w:rsid w:val="00D7748C"/>
    <w:rsid w:val="00D774CC"/>
    <w:rsid w:val="00D77752"/>
    <w:rsid w:val="00D77A03"/>
    <w:rsid w:val="00D77B22"/>
    <w:rsid w:val="00D77CA1"/>
    <w:rsid w:val="00D77D87"/>
    <w:rsid w:val="00D77F32"/>
    <w:rsid w:val="00D8000C"/>
    <w:rsid w:val="00D8005C"/>
    <w:rsid w:val="00D800F5"/>
    <w:rsid w:val="00D80156"/>
    <w:rsid w:val="00D80274"/>
    <w:rsid w:val="00D802C2"/>
    <w:rsid w:val="00D8035E"/>
    <w:rsid w:val="00D804F2"/>
    <w:rsid w:val="00D80523"/>
    <w:rsid w:val="00D806AB"/>
    <w:rsid w:val="00D80705"/>
    <w:rsid w:val="00D80715"/>
    <w:rsid w:val="00D80922"/>
    <w:rsid w:val="00D80A75"/>
    <w:rsid w:val="00D80C22"/>
    <w:rsid w:val="00D80C62"/>
    <w:rsid w:val="00D80C7D"/>
    <w:rsid w:val="00D80C9B"/>
    <w:rsid w:val="00D80D6C"/>
    <w:rsid w:val="00D80DB1"/>
    <w:rsid w:val="00D80E58"/>
    <w:rsid w:val="00D80EED"/>
    <w:rsid w:val="00D80F3F"/>
    <w:rsid w:val="00D80F53"/>
    <w:rsid w:val="00D81027"/>
    <w:rsid w:val="00D8110E"/>
    <w:rsid w:val="00D8123A"/>
    <w:rsid w:val="00D8126B"/>
    <w:rsid w:val="00D813DE"/>
    <w:rsid w:val="00D81421"/>
    <w:rsid w:val="00D81541"/>
    <w:rsid w:val="00D815D9"/>
    <w:rsid w:val="00D8166E"/>
    <w:rsid w:val="00D81A67"/>
    <w:rsid w:val="00D81B8D"/>
    <w:rsid w:val="00D81D89"/>
    <w:rsid w:val="00D81DD8"/>
    <w:rsid w:val="00D81DF5"/>
    <w:rsid w:val="00D820DA"/>
    <w:rsid w:val="00D82184"/>
    <w:rsid w:val="00D82276"/>
    <w:rsid w:val="00D8230E"/>
    <w:rsid w:val="00D823E6"/>
    <w:rsid w:val="00D825E4"/>
    <w:rsid w:val="00D8273A"/>
    <w:rsid w:val="00D828C6"/>
    <w:rsid w:val="00D82945"/>
    <w:rsid w:val="00D82947"/>
    <w:rsid w:val="00D82978"/>
    <w:rsid w:val="00D829B3"/>
    <w:rsid w:val="00D82A40"/>
    <w:rsid w:val="00D82A97"/>
    <w:rsid w:val="00D82AFC"/>
    <w:rsid w:val="00D82B4E"/>
    <w:rsid w:val="00D82CCA"/>
    <w:rsid w:val="00D82FBD"/>
    <w:rsid w:val="00D8302B"/>
    <w:rsid w:val="00D83032"/>
    <w:rsid w:val="00D831AC"/>
    <w:rsid w:val="00D83249"/>
    <w:rsid w:val="00D8327A"/>
    <w:rsid w:val="00D83445"/>
    <w:rsid w:val="00D834EA"/>
    <w:rsid w:val="00D83573"/>
    <w:rsid w:val="00D8368A"/>
    <w:rsid w:val="00D837C8"/>
    <w:rsid w:val="00D83B78"/>
    <w:rsid w:val="00D83CEC"/>
    <w:rsid w:val="00D83D4A"/>
    <w:rsid w:val="00D83E87"/>
    <w:rsid w:val="00D83FEF"/>
    <w:rsid w:val="00D84030"/>
    <w:rsid w:val="00D84046"/>
    <w:rsid w:val="00D840B0"/>
    <w:rsid w:val="00D8427E"/>
    <w:rsid w:val="00D842B1"/>
    <w:rsid w:val="00D842C0"/>
    <w:rsid w:val="00D8431A"/>
    <w:rsid w:val="00D84368"/>
    <w:rsid w:val="00D8437B"/>
    <w:rsid w:val="00D843A2"/>
    <w:rsid w:val="00D84402"/>
    <w:rsid w:val="00D8447D"/>
    <w:rsid w:val="00D8448E"/>
    <w:rsid w:val="00D84578"/>
    <w:rsid w:val="00D84692"/>
    <w:rsid w:val="00D8469B"/>
    <w:rsid w:val="00D847A6"/>
    <w:rsid w:val="00D84874"/>
    <w:rsid w:val="00D848C6"/>
    <w:rsid w:val="00D848DE"/>
    <w:rsid w:val="00D84C15"/>
    <w:rsid w:val="00D84C2A"/>
    <w:rsid w:val="00D8521B"/>
    <w:rsid w:val="00D8526F"/>
    <w:rsid w:val="00D8528E"/>
    <w:rsid w:val="00D85395"/>
    <w:rsid w:val="00D8547D"/>
    <w:rsid w:val="00D854E5"/>
    <w:rsid w:val="00D85503"/>
    <w:rsid w:val="00D855CA"/>
    <w:rsid w:val="00D855DC"/>
    <w:rsid w:val="00D8577F"/>
    <w:rsid w:val="00D85780"/>
    <w:rsid w:val="00D858E4"/>
    <w:rsid w:val="00D8590C"/>
    <w:rsid w:val="00D8591B"/>
    <w:rsid w:val="00D85968"/>
    <w:rsid w:val="00D85A42"/>
    <w:rsid w:val="00D85B5B"/>
    <w:rsid w:val="00D85BDC"/>
    <w:rsid w:val="00D85F10"/>
    <w:rsid w:val="00D85F65"/>
    <w:rsid w:val="00D86155"/>
    <w:rsid w:val="00D8615D"/>
    <w:rsid w:val="00D86196"/>
    <w:rsid w:val="00D86208"/>
    <w:rsid w:val="00D8634D"/>
    <w:rsid w:val="00D86575"/>
    <w:rsid w:val="00D867BE"/>
    <w:rsid w:val="00D86893"/>
    <w:rsid w:val="00D8689B"/>
    <w:rsid w:val="00D8693E"/>
    <w:rsid w:val="00D86B5E"/>
    <w:rsid w:val="00D86BB8"/>
    <w:rsid w:val="00D86CF6"/>
    <w:rsid w:val="00D86DCD"/>
    <w:rsid w:val="00D86FD0"/>
    <w:rsid w:val="00D87044"/>
    <w:rsid w:val="00D870DA"/>
    <w:rsid w:val="00D872D6"/>
    <w:rsid w:val="00D873CF"/>
    <w:rsid w:val="00D87404"/>
    <w:rsid w:val="00D875F4"/>
    <w:rsid w:val="00D8764B"/>
    <w:rsid w:val="00D876F7"/>
    <w:rsid w:val="00D87796"/>
    <w:rsid w:val="00D87849"/>
    <w:rsid w:val="00D87895"/>
    <w:rsid w:val="00D8791E"/>
    <w:rsid w:val="00D879B2"/>
    <w:rsid w:val="00D87F1F"/>
    <w:rsid w:val="00D87F2F"/>
    <w:rsid w:val="00D87F5E"/>
    <w:rsid w:val="00D87F75"/>
    <w:rsid w:val="00D87FC6"/>
    <w:rsid w:val="00D90173"/>
    <w:rsid w:val="00D9017F"/>
    <w:rsid w:val="00D901B6"/>
    <w:rsid w:val="00D9022F"/>
    <w:rsid w:val="00D903BE"/>
    <w:rsid w:val="00D903C7"/>
    <w:rsid w:val="00D90581"/>
    <w:rsid w:val="00D906B3"/>
    <w:rsid w:val="00D9097E"/>
    <w:rsid w:val="00D90991"/>
    <w:rsid w:val="00D90A88"/>
    <w:rsid w:val="00D90A96"/>
    <w:rsid w:val="00D90B7E"/>
    <w:rsid w:val="00D90C61"/>
    <w:rsid w:val="00D90C9E"/>
    <w:rsid w:val="00D90CB2"/>
    <w:rsid w:val="00D90CBC"/>
    <w:rsid w:val="00D90D67"/>
    <w:rsid w:val="00D90F64"/>
    <w:rsid w:val="00D90FAD"/>
    <w:rsid w:val="00D91063"/>
    <w:rsid w:val="00D91114"/>
    <w:rsid w:val="00D91161"/>
    <w:rsid w:val="00D916A8"/>
    <w:rsid w:val="00D916CD"/>
    <w:rsid w:val="00D91ACC"/>
    <w:rsid w:val="00D91B87"/>
    <w:rsid w:val="00D91C93"/>
    <w:rsid w:val="00D91DEB"/>
    <w:rsid w:val="00D91EF3"/>
    <w:rsid w:val="00D92436"/>
    <w:rsid w:val="00D92651"/>
    <w:rsid w:val="00D92762"/>
    <w:rsid w:val="00D927E3"/>
    <w:rsid w:val="00D9290E"/>
    <w:rsid w:val="00D92917"/>
    <w:rsid w:val="00D9294B"/>
    <w:rsid w:val="00D92A75"/>
    <w:rsid w:val="00D92A7B"/>
    <w:rsid w:val="00D92AF1"/>
    <w:rsid w:val="00D92BFA"/>
    <w:rsid w:val="00D92C73"/>
    <w:rsid w:val="00D92CDA"/>
    <w:rsid w:val="00D92DC2"/>
    <w:rsid w:val="00D92E8B"/>
    <w:rsid w:val="00D92EA8"/>
    <w:rsid w:val="00D92F88"/>
    <w:rsid w:val="00D930C0"/>
    <w:rsid w:val="00D93298"/>
    <w:rsid w:val="00D93451"/>
    <w:rsid w:val="00D936CF"/>
    <w:rsid w:val="00D9371A"/>
    <w:rsid w:val="00D93746"/>
    <w:rsid w:val="00D9390F"/>
    <w:rsid w:val="00D939A8"/>
    <w:rsid w:val="00D93A12"/>
    <w:rsid w:val="00D93A1D"/>
    <w:rsid w:val="00D93A43"/>
    <w:rsid w:val="00D93A5D"/>
    <w:rsid w:val="00D93BE0"/>
    <w:rsid w:val="00D93C13"/>
    <w:rsid w:val="00D93E54"/>
    <w:rsid w:val="00D940EC"/>
    <w:rsid w:val="00D9412C"/>
    <w:rsid w:val="00D941AF"/>
    <w:rsid w:val="00D9428E"/>
    <w:rsid w:val="00D94513"/>
    <w:rsid w:val="00D945D2"/>
    <w:rsid w:val="00D9472C"/>
    <w:rsid w:val="00D94773"/>
    <w:rsid w:val="00D94932"/>
    <w:rsid w:val="00D94BBF"/>
    <w:rsid w:val="00D94C15"/>
    <w:rsid w:val="00D94CC3"/>
    <w:rsid w:val="00D94CF2"/>
    <w:rsid w:val="00D94E5D"/>
    <w:rsid w:val="00D94EE5"/>
    <w:rsid w:val="00D95042"/>
    <w:rsid w:val="00D95204"/>
    <w:rsid w:val="00D952E1"/>
    <w:rsid w:val="00D95319"/>
    <w:rsid w:val="00D953F5"/>
    <w:rsid w:val="00D954FB"/>
    <w:rsid w:val="00D95615"/>
    <w:rsid w:val="00D95829"/>
    <w:rsid w:val="00D958C5"/>
    <w:rsid w:val="00D958DF"/>
    <w:rsid w:val="00D95972"/>
    <w:rsid w:val="00D959EA"/>
    <w:rsid w:val="00D95A52"/>
    <w:rsid w:val="00D95AE9"/>
    <w:rsid w:val="00D95B2E"/>
    <w:rsid w:val="00D95C38"/>
    <w:rsid w:val="00D96146"/>
    <w:rsid w:val="00D96207"/>
    <w:rsid w:val="00D96250"/>
    <w:rsid w:val="00D9639D"/>
    <w:rsid w:val="00D9648D"/>
    <w:rsid w:val="00D964CD"/>
    <w:rsid w:val="00D9651B"/>
    <w:rsid w:val="00D96534"/>
    <w:rsid w:val="00D965C8"/>
    <w:rsid w:val="00D966DA"/>
    <w:rsid w:val="00D968F2"/>
    <w:rsid w:val="00D9695B"/>
    <w:rsid w:val="00D96B30"/>
    <w:rsid w:val="00D96BA3"/>
    <w:rsid w:val="00D96D19"/>
    <w:rsid w:val="00D96EC0"/>
    <w:rsid w:val="00D96FCD"/>
    <w:rsid w:val="00D9700C"/>
    <w:rsid w:val="00D97043"/>
    <w:rsid w:val="00D9723D"/>
    <w:rsid w:val="00D9728B"/>
    <w:rsid w:val="00D97450"/>
    <w:rsid w:val="00D9772E"/>
    <w:rsid w:val="00D97769"/>
    <w:rsid w:val="00D977FA"/>
    <w:rsid w:val="00D97907"/>
    <w:rsid w:val="00D97A5F"/>
    <w:rsid w:val="00D97BC1"/>
    <w:rsid w:val="00D97EAE"/>
    <w:rsid w:val="00D97F1B"/>
    <w:rsid w:val="00D97F80"/>
    <w:rsid w:val="00DA0018"/>
    <w:rsid w:val="00DA00CC"/>
    <w:rsid w:val="00DA0171"/>
    <w:rsid w:val="00DA0262"/>
    <w:rsid w:val="00DA02BE"/>
    <w:rsid w:val="00DA02F7"/>
    <w:rsid w:val="00DA03AC"/>
    <w:rsid w:val="00DA049B"/>
    <w:rsid w:val="00DA04D0"/>
    <w:rsid w:val="00DA064C"/>
    <w:rsid w:val="00DA0698"/>
    <w:rsid w:val="00DA06CD"/>
    <w:rsid w:val="00DA0861"/>
    <w:rsid w:val="00DA088D"/>
    <w:rsid w:val="00DA08C2"/>
    <w:rsid w:val="00DA0941"/>
    <w:rsid w:val="00DA0962"/>
    <w:rsid w:val="00DA0B58"/>
    <w:rsid w:val="00DA0B9C"/>
    <w:rsid w:val="00DA0BFE"/>
    <w:rsid w:val="00DA0CAA"/>
    <w:rsid w:val="00DA0EBF"/>
    <w:rsid w:val="00DA0ED7"/>
    <w:rsid w:val="00DA0EF5"/>
    <w:rsid w:val="00DA0F20"/>
    <w:rsid w:val="00DA1138"/>
    <w:rsid w:val="00DA12EB"/>
    <w:rsid w:val="00DA13AD"/>
    <w:rsid w:val="00DA1643"/>
    <w:rsid w:val="00DA1838"/>
    <w:rsid w:val="00DA183E"/>
    <w:rsid w:val="00DA1B34"/>
    <w:rsid w:val="00DA1B67"/>
    <w:rsid w:val="00DA1D38"/>
    <w:rsid w:val="00DA1DBF"/>
    <w:rsid w:val="00DA1E69"/>
    <w:rsid w:val="00DA1EEF"/>
    <w:rsid w:val="00DA2055"/>
    <w:rsid w:val="00DA2059"/>
    <w:rsid w:val="00DA2120"/>
    <w:rsid w:val="00DA219D"/>
    <w:rsid w:val="00DA2377"/>
    <w:rsid w:val="00DA23BA"/>
    <w:rsid w:val="00DA2479"/>
    <w:rsid w:val="00DA2633"/>
    <w:rsid w:val="00DA2771"/>
    <w:rsid w:val="00DA288C"/>
    <w:rsid w:val="00DA2A74"/>
    <w:rsid w:val="00DA2BE3"/>
    <w:rsid w:val="00DA2C02"/>
    <w:rsid w:val="00DA2DB1"/>
    <w:rsid w:val="00DA2F96"/>
    <w:rsid w:val="00DA3242"/>
    <w:rsid w:val="00DA3432"/>
    <w:rsid w:val="00DA3543"/>
    <w:rsid w:val="00DA363A"/>
    <w:rsid w:val="00DA382C"/>
    <w:rsid w:val="00DA3904"/>
    <w:rsid w:val="00DA3A4B"/>
    <w:rsid w:val="00DA3B01"/>
    <w:rsid w:val="00DA3B71"/>
    <w:rsid w:val="00DA3B9D"/>
    <w:rsid w:val="00DA3BCA"/>
    <w:rsid w:val="00DA3C89"/>
    <w:rsid w:val="00DA3CA6"/>
    <w:rsid w:val="00DA3CDD"/>
    <w:rsid w:val="00DA3DD0"/>
    <w:rsid w:val="00DA3E1D"/>
    <w:rsid w:val="00DA3EB4"/>
    <w:rsid w:val="00DA3F23"/>
    <w:rsid w:val="00DA3F43"/>
    <w:rsid w:val="00DA3F58"/>
    <w:rsid w:val="00DA3F78"/>
    <w:rsid w:val="00DA402A"/>
    <w:rsid w:val="00DA4051"/>
    <w:rsid w:val="00DA4095"/>
    <w:rsid w:val="00DA4290"/>
    <w:rsid w:val="00DA42B8"/>
    <w:rsid w:val="00DA42BB"/>
    <w:rsid w:val="00DA43A9"/>
    <w:rsid w:val="00DA43D7"/>
    <w:rsid w:val="00DA476A"/>
    <w:rsid w:val="00DA4779"/>
    <w:rsid w:val="00DA47A7"/>
    <w:rsid w:val="00DA4B56"/>
    <w:rsid w:val="00DA4DA1"/>
    <w:rsid w:val="00DA4E5A"/>
    <w:rsid w:val="00DA5232"/>
    <w:rsid w:val="00DA540C"/>
    <w:rsid w:val="00DA55EB"/>
    <w:rsid w:val="00DA5682"/>
    <w:rsid w:val="00DA569A"/>
    <w:rsid w:val="00DA58AE"/>
    <w:rsid w:val="00DA59AE"/>
    <w:rsid w:val="00DA5AD6"/>
    <w:rsid w:val="00DA5B02"/>
    <w:rsid w:val="00DA5B89"/>
    <w:rsid w:val="00DA5BC3"/>
    <w:rsid w:val="00DA5E3A"/>
    <w:rsid w:val="00DA5E6C"/>
    <w:rsid w:val="00DA5F54"/>
    <w:rsid w:val="00DA6090"/>
    <w:rsid w:val="00DA613A"/>
    <w:rsid w:val="00DA66DB"/>
    <w:rsid w:val="00DA6958"/>
    <w:rsid w:val="00DA6C25"/>
    <w:rsid w:val="00DA6CC5"/>
    <w:rsid w:val="00DA6CF1"/>
    <w:rsid w:val="00DA6E2A"/>
    <w:rsid w:val="00DA6F1D"/>
    <w:rsid w:val="00DA707C"/>
    <w:rsid w:val="00DA7116"/>
    <w:rsid w:val="00DA715D"/>
    <w:rsid w:val="00DA738A"/>
    <w:rsid w:val="00DA738C"/>
    <w:rsid w:val="00DA744B"/>
    <w:rsid w:val="00DA745C"/>
    <w:rsid w:val="00DA74C7"/>
    <w:rsid w:val="00DA78B5"/>
    <w:rsid w:val="00DA78DA"/>
    <w:rsid w:val="00DA7A44"/>
    <w:rsid w:val="00DA7AA7"/>
    <w:rsid w:val="00DA7C2A"/>
    <w:rsid w:val="00DA7C5F"/>
    <w:rsid w:val="00DA7D71"/>
    <w:rsid w:val="00DB0039"/>
    <w:rsid w:val="00DB003B"/>
    <w:rsid w:val="00DB0208"/>
    <w:rsid w:val="00DB033A"/>
    <w:rsid w:val="00DB039A"/>
    <w:rsid w:val="00DB0457"/>
    <w:rsid w:val="00DB0464"/>
    <w:rsid w:val="00DB04D8"/>
    <w:rsid w:val="00DB0599"/>
    <w:rsid w:val="00DB06AA"/>
    <w:rsid w:val="00DB06D5"/>
    <w:rsid w:val="00DB07ED"/>
    <w:rsid w:val="00DB09B3"/>
    <w:rsid w:val="00DB0A15"/>
    <w:rsid w:val="00DB0A76"/>
    <w:rsid w:val="00DB0AEB"/>
    <w:rsid w:val="00DB0E79"/>
    <w:rsid w:val="00DB1049"/>
    <w:rsid w:val="00DB1376"/>
    <w:rsid w:val="00DB1499"/>
    <w:rsid w:val="00DB1503"/>
    <w:rsid w:val="00DB164D"/>
    <w:rsid w:val="00DB1913"/>
    <w:rsid w:val="00DB19DD"/>
    <w:rsid w:val="00DB1A0C"/>
    <w:rsid w:val="00DB1A1D"/>
    <w:rsid w:val="00DB1A1E"/>
    <w:rsid w:val="00DB1A3E"/>
    <w:rsid w:val="00DB1AEA"/>
    <w:rsid w:val="00DB1E97"/>
    <w:rsid w:val="00DB1EF5"/>
    <w:rsid w:val="00DB1EFB"/>
    <w:rsid w:val="00DB20CD"/>
    <w:rsid w:val="00DB2236"/>
    <w:rsid w:val="00DB2332"/>
    <w:rsid w:val="00DB23E6"/>
    <w:rsid w:val="00DB242E"/>
    <w:rsid w:val="00DB24AB"/>
    <w:rsid w:val="00DB2544"/>
    <w:rsid w:val="00DB2967"/>
    <w:rsid w:val="00DB2B13"/>
    <w:rsid w:val="00DB2B4D"/>
    <w:rsid w:val="00DB2BC9"/>
    <w:rsid w:val="00DB2BE4"/>
    <w:rsid w:val="00DB2CC5"/>
    <w:rsid w:val="00DB2D53"/>
    <w:rsid w:val="00DB2E51"/>
    <w:rsid w:val="00DB2E73"/>
    <w:rsid w:val="00DB2ECF"/>
    <w:rsid w:val="00DB2F91"/>
    <w:rsid w:val="00DB3035"/>
    <w:rsid w:val="00DB30AF"/>
    <w:rsid w:val="00DB3206"/>
    <w:rsid w:val="00DB320D"/>
    <w:rsid w:val="00DB324C"/>
    <w:rsid w:val="00DB32CB"/>
    <w:rsid w:val="00DB3336"/>
    <w:rsid w:val="00DB3347"/>
    <w:rsid w:val="00DB34F5"/>
    <w:rsid w:val="00DB37F3"/>
    <w:rsid w:val="00DB3827"/>
    <w:rsid w:val="00DB3886"/>
    <w:rsid w:val="00DB3A3E"/>
    <w:rsid w:val="00DB3CD6"/>
    <w:rsid w:val="00DB3D8C"/>
    <w:rsid w:val="00DB3F68"/>
    <w:rsid w:val="00DB3F9D"/>
    <w:rsid w:val="00DB40F0"/>
    <w:rsid w:val="00DB41B9"/>
    <w:rsid w:val="00DB41F1"/>
    <w:rsid w:val="00DB4298"/>
    <w:rsid w:val="00DB42C0"/>
    <w:rsid w:val="00DB434F"/>
    <w:rsid w:val="00DB43DE"/>
    <w:rsid w:val="00DB44DE"/>
    <w:rsid w:val="00DB44FF"/>
    <w:rsid w:val="00DB4637"/>
    <w:rsid w:val="00DB4648"/>
    <w:rsid w:val="00DB4654"/>
    <w:rsid w:val="00DB4678"/>
    <w:rsid w:val="00DB46E9"/>
    <w:rsid w:val="00DB4A91"/>
    <w:rsid w:val="00DB4AFE"/>
    <w:rsid w:val="00DB4B0E"/>
    <w:rsid w:val="00DB4B28"/>
    <w:rsid w:val="00DB4CC6"/>
    <w:rsid w:val="00DB4E50"/>
    <w:rsid w:val="00DB4EB4"/>
    <w:rsid w:val="00DB4FDC"/>
    <w:rsid w:val="00DB5004"/>
    <w:rsid w:val="00DB5061"/>
    <w:rsid w:val="00DB51E9"/>
    <w:rsid w:val="00DB5407"/>
    <w:rsid w:val="00DB5427"/>
    <w:rsid w:val="00DB5574"/>
    <w:rsid w:val="00DB5593"/>
    <w:rsid w:val="00DB55D5"/>
    <w:rsid w:val="00DB5756"/>
    <w:rsid w:val="00DB5768"/>
    <w:rsid w:val="00DB5836"/>
    <w:rsid w:val="00DB58ED"/>
    <w:rsid w:val="00DB5969"/>
    <w:rsid w:val="00DB596A"/>
    <w:rsid w:val="00DB5AC2"/>
    <w:rsid w:val="00DB5BD8"/>
    <w:rsid w:val="00DB5C11"/>
    <w:rsid w:val="00DB5E4E"/>
    <w:rsid w:val="00DB5FA1"/>
    <w:rsid w:val="00DB602D"/>
    <w:rsid w:val="00DB6087"/>
    <w:rsid w:val="00DB612B"/>
    <w:rsid w:val="00DB6132"/>
    <w:rsid w:val="00DB61C1"/>
    <w:rsid w:val="00DB630F"/>
    <w:rsid w:val="00DB6389"/>
    <w:rsid w:val="00DB63A6"/>
    <w:rsid w:val="00DB63B0"/>
    <w:rsid w:val="00DB6731"/>
    <w:rsid w:val="00DB682A"/>
    <w:rsid w:val="00DB69A2"/>
    <w:rsid w:val="00DB6B60"/>
    <w:rsid w:val="00DB6B63"/>
    <w:rsid w:val="00DB6CD3"/>
    <w:rsid w:val="00DB6DD1"/>
    <w:rsid w:val="00DB6E3B"/>
    <w:rsid w:val="00DB6EC4"/>
    <w:rsid w:val="00DB6ECC"/>
    <w:rsid w:val="00DB7038"/>
    <w:rsid w:val="00DB705B"/>
    <w:rsid w:val="00DB7125"/>
    <w:rsid w:val="00DB7169"/>
    <w:rsid w:val="00DB7307"/>
    <w:rsid w:val="00DB73F4"/>
    <w:rsid w:val="00DB7441"/>
    <w:rsid w:val="00DB748B"/>
    <w:rsid w:val="00DB7500"/>
    <w:rsid w:val="00DB75FB"/>
    <w:rsid w:val="00DB76EB"/>
    <w:rsid w:val="00DB7BCB"/>
    <w:rsid w:val="00DB7BF9"/>
    <w:rsid w:val="00DB7F5F"/>
    <w:rsid w:val="00DB7FC5"/>
    <w:rsid w:val="00DC029E"/>
    <w:rsid w:val="00DC0615"/>
    <w:rsid w:val="00DC0712"/>
    <w:rsid w:val="00DC0884"/>
    <w:rsid w:val="00DC0894"/>
    <w:rsid w:val="00DC08C7"/>
    <w:rsid w:val="00DC0A0F"/>
    <w:rsid w:val="00DC0A1F"/>
    <w:rsid w:val="00DC0B2D"/>
    <w:rsid w:val="00DC0BAD"/>
    <w:rsid w:val="00DC0C16"/>
    <w:rsid w:val="00DC0E13"/>
    <w:rsid w:val="00DC0E77"/>
    <w:rsid w:val="00DC0EC1"/>
    <w:rsid w:val="00DC0EFD"/>
    <w:rsid w:val="00DC1025"/>
    <w:rsid w:val="00DC1370"/>
    <w:rsid w:val="00DC13D6"/>
    <w:rsid w:val="00DC1418"/>
    <w:rsid w:val="00DC143F"/>
    <w:rsid w:val="00DC1495"/>
    <w:rsid w:val="00DC14EF"/>
    <w:rsid w:val="00DC1764"/>
    <w:rsid w:val="00DC1803"/>
    <w:rsid w:val="00DC1875"/>
    <w:rsid w:val="00DC18C0"/>
    <w:rsid w:val="00DC1A7C"/>
    <w:rsid w:val="00DC1B2C"/>
    <w:rsid w:val="00DC1CEC"/>
    <w:rsid w:val="00DC1E76"/>
    <w:rsid w:val="00DC2014"/>
    <w:rsid w:val="00DC2086"/>
    <w:rsid w:val="00DC2404"/>
    <w:rsid w:val="00DC2427"/>
    <w:rsid w:val="00DC267B"/>
    <w:rsid w:val="00DC2771"/>
    <w:rsid w:val="00DC27FD"/>
    <w:rsid w:val="00DC28BE"/>
    <w:rsid w:val="00DC2AAB"/>
    <w:rsid w:val="00DC2B02"/>
    <w:rsid w:val="00DC2C6B"/>
    <w:rsid w:val="00DC2D6E"/>
    <w:rsid w:val="00DC2D7B"/>
    <w:rsid w:val="00DC3251"/>
    <w:rsid w:val="00DC3295"/>
    <w:rsid w:val="00DC32D4"/>
    <w:rsid w:val="00DC36D6"/>
    <w:rsid w:val="00DC3865"/>
    <w:rsid w:val="00DC399C"/>
    <w:rsid w:val="00DC3A38"/>
    <w:rsid w:val="00DC407B"/>
    <w:rsid w:val="00DC4087"/>
    <w:rsid w:val="00DC412F"/>
    <w:rsid w:val="00DC41C6"/>
    <w:rsid w:val="00DC429C"/>
    <w:rsid w:val="00DC439F"/>
    <w:rsid w:val="00DC4406"/>
    <w:rsid w:val="00DC4558"/>
    <w:rsid w:val="00DC4803"/>
    <w:rsid w:val="00DC4891"/>
    <w:rsid w:val="00DC4978"/>
    <w:rsid w:val="00DC4A89"/>
    <w:rsid w:val="00DC4CA0"/>
    <w:rsid w:val="00DC4DEC"/>
    <w:rsid w:val="00DC4FA5"/>
    <w:rsid w:val="00DC524A"/>
    <w:rsid w:val="00DC5586"/>
    <w:rsid w:val="00DC5878"/>
    <w:rsid w:val="00DC58C0"/>
    <w:rsid w:val="00DC5A6E"/>
    <w:rsid w:val="00DC5B1C"/>
    <w:rsid w:val="00DC5D13"/>
    <w:rsid w:val="00DC5DDC"/>
    <w:rsid w:val="00DC5EA3"/>
    <w:rsid w:val="00DC5F0C"/>
    <w:rsid w:val="00DC5FB2"/>
    <w:rsid w:val="00DC6058"/>
    <w:rsid w:val="00DC615B"/>
    <w:rsid w:val="00DC61BE"/>
    <w:rsid w:val="00DC6239"/>
    <w:rsid w:val="00DC62FE"/>
    <w:rsid w:val="00DC6594"/>
    <w:rsid w:val="00DC66B4"/>
    <w:rsid w:val="00DC66C3"/>
    <w:rsid w:val="00DC66DC"/>
    <w:rsid w:val="00DC66FD"/>
    <w:rsid w:val="00DC6798"/>
    <w:rsid w:val="00DC67F5"/>
    <w:rsid w:val="00DC6AA6"/>
    <w:rsid w:val="00DC6AD1"/>
    <w:rsid w:val="00DC6C3D"/>
    <w:rsid w:val="00DC6C48"/>
    <w:rsid w:val="00DC6CA6"/>
    <w:rsid w:val="00DC6CAD"/>
    <w:rsid w:val="00DC6D85"/>
    <w:rsid w:val="00DC6ED4"/>
    <w:rsid w:val="00DC6EEA"/>
    <w:rsid w:val="00DC7314"/>
    <w:rsid w:val="00DC738E"/>
    <w:rsid w:val="00DC751E"/>
    <w:rsid w:val="00DC75B7"/>
    <w:rsid w:val="00DC75DF"/>
    <w:rsid w:val="00DC760F"/>
    <w:rsid w:val="00DC7878"/>
    <w:rsid w:val="00DC78B8"/>
    <w:rsid w:val="00DC7965"/>
    <w:rsid w:val="00DC7B19"/>
    <w:rsid w:val="00DC7B42"/>
    <w:rsid w:val="00DC7C81"/>
    <w:rsid w:val="00DC7D3C"/>
    <w:rsid w:val="00DC7E05"/>
    <w:rsid w:val="00DC7FF8"/>
    <w:rsid w:val="00DC90AA"/>
    <w:rsid w:val="00DD00B8"/>
    <w:rsid w:val="00DD01B9"/>
    <w:rsid w:val="00DD0359"/>
    <w:rsid w:val="00DD09E2"/>
    <w:rsid w:val="00DD0BF2"/>
    <w:rsid w:val="00DD0C28"/>
    <w:rsid w:val="00DD0E73"/>
    <w:rsid w:val="00DD0FFD"/>
    <w:rsid w:val="00DD10AC"/>
    <w:rsid w:val="00DD1111"/>
    <w:rsid w:val="00DD11E0"/>
    <w:rsid w:val="00DD11FF"/>
    <w:rsid w:val="00DD12C7"/>
    <w:rsid w:val="00DD1368"/>
    <w:rsid w:val="00DD14FF"/>
    <w:rsid w:val="00DD169C"/>
    <w:rsid w:val="00DD16B8"/>
    <w:rsid w:val="00DD173B"/>
    <w:rsid w:val="00DD18CE"/>
    <w:rsid w:val="00DD1917"/>
    <w:rsid w:val="00DD192E"/>
    <w:rsid w:val="00DD1BD1"/>
    <w:rsid w:val="00DD1CA5"/>
    <w:rsid w:val="00DD1E67"/>
    <w:rsid w:val="00DD1EBD"/>
    <w:rsid w:val="00DD1F03"/>
    <w:rsid w:val="00DD1F19"/>
    <w:rsid w:val="00DD2072"/>
    <w:rsid w:val="00DD2075"/>
    <w:rsid w:val="00DD2466"/>
    <w:rsid w:val="00DD257D"/>
    <w:rsid w:val="00DD25AF"/>
    <w:rsid w:val="00DD26D6"/>
    <w:rsid w:val="00DD27DA"/>
    <w:rsid w:val="00DD280F"/>
    <w:rsid w:val="00DD2828"/>
    <w:rsid w:val="00DD287B"/>
    <w:rsid w:val="00DD28BF"/>
    <w:rsid w:val="00DD28E3"/>
    <w:rsid w:val="00DD290F"/>
    <w:rsid w:val="00DD2915"/>
    <w:rsid w:val="00DD29AC"/>
    <w:rsid w:val="00DD2ACD"/>
    <w:rsid w:val="00DD2B62"/>
    <w:rsid w:val="00DD2B70"/>
    <w:rsid w:val="00DD2BA8"/>
    <w:rsid w:val="00DD2BAF"/>
    <w:rsid w:val="00DD2C40"/>
    <w:rsid w:val="00DD335E"/>
    <w:rsid w:val="00DD350D"/>
    <w:rsid w:val="00DD350F"/>
    <w:rsid w:val="00DD360D"/>
    <w:rsid w:val="00DD363F"/>
    <w:rsid w:val="00DD3787"/>
    <w:rsid w:val="00DD39E8"/>
    <w:rsid w:val="00DD3A20"/>
    <w:rsid w:val="00DD3AAC"/>
    <w:rsid w:val="00DD3AE8"/>
    <w:rsid w:val="00DD3B61"/>
    <w:rsid w:val="00DD3B8F"/>
    <w:rsid w:val="00DD3BCD"/>
    <w:rsid w:val="00DD3D63"/>
    <w:rsid w:val="00DD3E43"/>
    <w:rsid w:val="00DD3FC3"/>
    <w:rsid w:val="00DD413A"/>
    <w:rsid w:val="00DD4196"/>
    <w:rsid w:val="00DD44EF"/>
    <w:rsid w:val="00DD45DE"/>
    <w:rsid w:val="00DD45F3"/>
    <w:rsid w:val="00DD4648"/>
    <w:rsid w:val="00DD468B"/>
    <w:rsid w:val="00DD475E"/>
    <w:rsid w:val="00DD47E3"/>
    <w:rsid w:val="00DD485C"/>
    <w:rsid w:val="00DD4896"/>
    <w:rsid w:val="00DD48AA"/>
    <w:rsid w:val="00DD497F"/>
    <w:rsid w:val="00DD498E"/>
    <w:rsid w:val="00DD4A80"/>
    <w:rsid w:val="00DD4C1B"/>
    <w:rsid w:val="00DD4C78"/>
    <w:rsid w:val="00DD4D1C"/>
    <w:rsid w:val="00DD4DBC"/>
    <w:rsid w:val="00DD4EBE"/>
    <w:rsid w:val="00DD524B"/>
    <w:rsid w:val="00DD538F"/>
    <w:rsid w:val="00DD53CE"/>
    <w:rsid w:val="00DD53DA"/>
    <w:rsid w:val="00DD5415"/>
    <w:rsid w:val="00DD54A5"/>
    <w:rsid w:val="00DD552B"/>
    <w:rsid w:val="00DD5674"/>
    <w:rsid w:val="00DD56D9"/>
    <w:rsid w:val="00DD57A4"/>
    <w:rsid w:val="00DD5815"/>
    <w:rsid w:val="00DD590F"/>
    <w:rsid w:val="00DD591B"/>
    <w:rsid w:val="00DD5AE0"/>
    <w:rsid w:val="00DD5BB7"/>
    <w:rsid w:val="00DD5CEC"/>
    <w:rsid w:val="00DD5F0C"/>
    <w:rsid w:val="00DD5F7A"/>
    <w:rsid w:val="00DD617F"/>
    <w:rsid w:val="00DD625C"/>
    <w:rsid w:val="00DD640C"/>
    <w:rsid w:val="00DD64D0"/>
    <w:rsid w:val="00DD6744"/>
    <w:rsid w:val="00DD6779"/>
    <w:rsid w:val="00DD6839"/>
    <w:rsid w:val="00DD6910"/>
    <w:rsid w:val="00DD697C"/>
    <w:rsid w:val="00DD6AFB"/>
    <w:rsid w:val="00DD6BD6"/>
    <w:rsid w:val="00DD6BFD"/>
    <w:rsid w:val="00DD6DF4"/>
    <w:rsid w:val="00DD6F97"/>
    <w:rsid w:val="00DD73E3"/>
    <w:rsid w:val="00DD747F"/>
    <w:rsid w:val="00DD750A"/>
    <w:rsid w:val="00DD768B"/>
    <w:rsid w:val="00DD7731"/>
    <w:rsid w:val="00DD7CB5"/>
    <w:rsid w:val="00DD7E10"/>
    <w:rsid w:val="00DD7E1C"/>
    <w:rsid w:val="00DE0389"/>
    <w:rsid w:val="00DE03CF"/>
    <w:rsid w:val="00DE052F"/>
    <w:rsid w:val="00DE059C"/>
    <w:rsid w:val="00DE060F"/>
    <w:rsid w:val="00DE0646"/>
    <w:rsid w:val="00DE0995"/>
    <w:rsid w:val="00DE09BC"/>
    <w:rsid w:val="00DE0C08"/>
    <w:rsid w:val="00DE0EFF"/>
    <w:rsid w:val="00DE0F5F"/>
    <w:rsid w:val="00DE0F73"/>
    <w:rsid w:val="00DE124B"/>
    <w:rsid w:val="00DE1394"/>
    <w:rsid w:val="00DE1509"/>
    <w:rsid w:val="00DE1688"/>
    <w:rsid w:val="00DE16D8"/>
    <w:rsid w:val="00DE185E"/>
    <w:rsid w:val="00DE1879"/>
    <w:rsid w:val="00DE1B14"/>
    <w:rsid w:val="00DE1B23"/>
    <w:rsid w:val="00DE1BEE"/>
    <w:rsid w:val="00DE1DF4"/>
    <w:rsid w:val="00DE1E98"/>
    <w:rsid w:val="00DE1EE2"/>
    <w:rsid w:val="00DE1F0B"/>
    <w:rsid w:val="00DE204B"/>
    <w:rsid w:val="00DE20D1"/>
    <w:rsid w:val="00DE2147"/>
    <w:rsid w:val="00DE21E2"/>
    <w:rsid w:val="00DE22EB"/>
    <w:rsid w:val="00DE2362"/>
    <w:rsid w:val="00DE24FE"/>
    <w:rsid w:val="00DE25B1"/>
    <w:rsid w:val="00DE26D9"/>
    <w:rsid w:val="00DE2A0E"/>
    <w:rsid w:val="00DE2A4F"/>
    <w:rsid w:val="00DE2ADF"/>
    <w:rsid w:val="00DE2B46"/>
    <w:rsid w:val="00DE2B9B"/>
    <w:rsid w:val="00DE2C73"/>
    <w:rsid w:val="00DE2CBF"/>
    <w:rsid w:val="00DE2D17"/>
    <w:rsid w:val="00DE2E1F"/>
    <w:rsid w:val="00DE2E47"/>
    <w:rsid w:val="00DE2EFB"/>
    <w:rsid w:val="00DE3075"/>
    <w:rsid w:val="00DE3197"/>
    <w:rsid w:val="00DE31C2"/>
    <w:rsid w:val="00DE34F7"/>
    <w:rsid w:val="00DE3619"/>
    <w:rsid w:val="00DE378C"/>
    <w:rsid w:val="00DE38FE"/>
    <w:rsid w:val="00DE3924"/>
    <w:rsid w:val="00DE39E4"/>
    <w:rsid w:val="00DE3A9C"/>
    <w:rsid w:val="00DE3AAC"/>
    <w:rsid w:val="00DE3BC8"/>
    <w:rsid w:val="00DE3C22"/>
    <w:rsid w:val="00DE3DA6"/>
    <w:rsid w:val="00DE3E18"/>
    <w:rsid w:val="00DE3E91"/>
    <w:rsid w:val="00DE413E"/>
    <w:rsid w:val="00DE426E"/>
    <w:rsid w:val="00DE42B5"/>
    <w:rsid w:val="00DE438A"/>
    <w:rsid w:val="00DE44AB"/>
    <w:rsid w:val="00DE45AB"/>
    <w:rsid w:val="00DE45C6"/>
    <w:rsid w:val="00DE4622"/>
    <w:rsid w:val="00DE49AE"/>
    <w:rsid w:val="00DE4A91"/>
    <w:rsid w:val="00DE4C18"/>
    <w:rsid w:val="00DE4C33"/>
    <w:rsid w:val="00DE4CE3"/>
    <w:rsid w:val="00DE4D02"/>
    <w:rsid w:val="00DE4E35"/>
    <w:rsid w:val="00DE4EBA"/>
    <w:rsid w:val="00DE4F37"/>
    <w:rsid w:val="00DE4F52"/>
    <w:rsid w:val="00DE4F59"/>
    <w:rsid w:val="00DE4F9D"/>
    <w:rsid w:val="00DE4FF0"/>
    <w:rsid w:val="00DE5122"/>
    <w:rsid w:val="00DE51D3"/>
    <w:rsid w:val="00DE5240"/>
    <w:rsid w:val="00DE5292"/>
    <w:rsid w:val="00DE5319"/>
    <w:rsid w:val="00DE5380"/>
    <w:rsid w:val="00DE5551"/>
    <w:rsid w:val="00DE5689"/>
    <w:rsid w:val="00DE572E"/>
    <w:rsid w:val="00DE574B"/>
    <w:rsid w:val="00DE577E"/>
    <w:rsid w:val="00DE57BD"/>
    <w:rsid w:val="00DE57CF"/>
    <w:rsid w:val="00DE5B48"/>
    <w:rsid w:val="00DE5BB5"/>
    <w:rsid w:val="00DE5D75"/>
    <w:rsid w:val="00DE5E38"/>
    <w:rsid w:val="00DE60E9"/>
    <w:rsid w:val="00DE61D5"/>
    <w:rsid w:val="00DE62B7"/>
    <w:rsid w:val="00DE647D"/>
    <w:rsid w:val="00DE65C6"/>
    <w:rsid w:val="00DE663D"/>
    <w:rsid w:val="00DE675F"/>
    <w:rsid w:val="00DE67CD"/>
    <w:rsid w:val="00DE685C"/>
    <w:rsid w:val="00DE6922"/>
    <w:rsid w:val="00DE69CC"/>
    <w:rsid w:val="00DE6A97"/>
    <w:rsid w:val="00DE6BAC"/>
    <w:rsid w:val="00DE6C7D"/>
    <w:rsid w:val="00DE6D2E"/>
    <w:rsid w:val="00DE6D87"/>
    <w:rsid w:val="00DE6FB3"/>
    <w:rsid w:val="00DE71A5"/>
    <w:rsid w:val="00DE7371"/>
    <w:rsid w:val="00DE752D"/>
    <w:rsid w:val="00DE75D8"/>
    <w:rsid w:val="00DE7701"/>
    <w:rsid w:val="00DE7725"/>
    <w:rsid w:val="00DE78D4"/>
    <w:rsid w:val="00DE7918"/>
    <w:rsid w:val="00DE7A39"/>
    <w:rsid w:val="00DE7B0C"/>
    <w:rsid w:val="00DE7B17"/>
    <w:rsid w:val="00DE7C7F"/>
    <w:rsid w:val="00DE7CCB"/>
    <w:rsid w:val="00DE7D9A"/>
    <w:rsid w:val="00DE7ED4"/>
    <w:rsid w:val="00DE7EF7"/>
    <w:rsid w:val="00DE7FFA"/>
    <w:rsid w:val="00DEC790"/>
    <w:rsid w:val="00DED43E"/>
    <w:rsid w:val="00DF0064"/>
    <w:rsid w:val="00DF007C"/>
    <w:rsid w:val="00DF0530"/>
    <w:rsid w:val="00DF0700"/>
    <w:rsid w:val="00DF087A"/>
    <w:rsid w:val="00DF0A6E"/>
    <w:rsid w:val="00DF0A95"/>
    <w:rsid w:val="00DF0B93"/>
    <w:rsid w:val="00DF0CA4"/>
    <w:rsid w:val="00DF0CB8"/>
    <w:rsid w:val="00DF0E2F"/>
    <w:rsid w:val="00DF0ECD"/>
    <w:rsid w:val="00DF0EF8"/>
    <w:rsid w:val="00DF1009"/>
    <w:rsid w:val="00DF107D"/>
    <w:rsid w:val="00DF11BE"/>
    <w:rsid w:val="00DF128F"/>
    <w:rsid w:val="00DF1569"/>
    <w:rsid w:val="00DF158A"/>
    <w:rsid w:val="00DF17EB"/>
    <w:rsid w:val="00DF188F"/>
    <w:rsid w:val="00DF195F"/>
    <w:rsid w:val="00DF19C6"/>
    <w:rsid w:val="00DF19C8"/>
    <w:rsid w:val="00DF1C2E"/>
    <w:rsid w:val="00DF1CDC"/>
    <w:rsid w:val="00DF1D89"/>
    <w:rsid w:val="00DF1DFB"/>
    <w:rsid w:val="00DF1FA8"/>
    <w:rsid w:val="00DF1FB4"/>
    <w:rsid w:val="00DF20AF"/>
    <w:rsid w:val="00DF20C4"/>
    <w:rsid w:val="00DF20D0"/>
    <w:rsid w:val="00DF21E2"/>
    <w:rsid w:val="00DF2256"/>
    <w:rsid w:val="00DF2262"/>
    <w:rsid w:val="00DF235A"/>
    <w:rsid w:val="00DF235B"/>
    <w:rsid w:val="00DF24D2"/>
    <w:rsid w:val="00DF250E"/>
    <w:rsid w:val="00DF2524"/>
    <w:rsid w:val="00DF26F0"/>
    <w:rsid w:val="00DF28EA"/>
    <w:rsid w:val="00DF2930"/>
    <w:rsid w:val="00DF2B06"/>
    <w:rsid w:val="00DF2B7F"/>
    <w:rsid w:val="00DF2D06"/>
    <w:rsid w:val="00DF2D45"/>
    <w:rsid w:val="00DF313C"/>
    <w:rsid w:val="00DF32E8"/>
    <w:rsid w:val="00DF3303"/>
    <w:rsid w:val="00DF34EA"/>
    <w:rsid w:val="00DF35D5"/>
    <w:rsid w:val="00DF384B"/>
    <w:rsid w:val="00DF3984"/>
    <w:rsid w:val="00DF3A30"/>
    <w:rsid w:val="00DF3D51"/>
    <w:rsid w:val="00DF3DF3"/>
    <w:rsid w:val="00DF3E1B"/>
    <w:rsid w:val="00DF3FB5"/>
    <w:rsid w:val="00DF4030"/>
    <w:rsid w:val="00DF4351"/>
    <w:rsid w:val="00DF4492"/>
    <w:rsid w:val="00DF456B"/>
    <w:rsid w:val="00DF467B"/>
    <w:rsid w:val="00DF46A6"/>
    <w:rsid w:val="00DF46C0"/>
    <w:rsid w:val="00DF476B"/>
    <w:rsid w:val="00DF478E"/>
    <w:rsid w:val="00DF497D"/>
    <w:rsid w:val="00DF4AA5"/>
    <w:rsid w:val="00DF4AF1"/>
    <w:rsid w:val="00DF4B53"/>
    <w:rsid w:val="00DF4DC0"/>
    <w:rsid w:val="00DF5072"/>
    <w:rsid w:val="00DF5099"/>
    <w:rsid w:val="00DF50A3"/>
    <w:rsid w:val="00DF5176"/>
    <w:rsid w:val="00DF51E5"/>
    <w:rsid w:val="00DF528A"/>
    <w:rsid w:val="00DF53BA"/>
    <w:rsid w:val="00DF53E8"/>
    <w:rsid w:val="00DF5412"/>
    <w:rsid w:val="00DF54B8"/>
    <w:rsid w:val="00DF5527"/>
    <w:rsid w:val="00DF5652"/>
    <w:rsid w:val="00DF5768"/>
    <w:rsid w:val="00DF57B8"/>
    <w:rsid w:val="00DF593C"/>
    <w:rsid w:val="00DF5B7C"/>
    <w:rsid w:val="00DF5C27"/>
    <w:rsid w:val="00DF5F03"/>
    <w:rsid w:val="00DF6095"/>
    <w:rsid w:val="00DF60EB"/>
    <w:rsid w:val="00DF61C8"/>
    <w:rsid w:val="00DF6291"/>
    <w:rsid w:val="00DF6340"/>
    <w:rsid w:val="00DF6412"/>
    <w:rsid w:val="00DF64E1"/>
    <w:rsid w:val="00DF6779"/>
    <w:rsid w:val="00DF69C8"/>
    <w:rsid w:val="00DF6AF6"/>
    <w:rsid w:val="00DF6BF5"/>
    <w:rsid w:val="00DF6CC9"/>
    <w:rsid w:val="00DF6CFF"/>
    <w:rsid w:val="00DF6E2D"/>
    <w:rsid w:val="00DF7009"/>
    <w:rsid w:val="00DF7158"/>
    <w:rsid w:val="00DF7231"/>
    <w:rsid w:val="00DF728F"/>
    <w:rsid w:val="00DF72A5"/>
    <w:rsid w:val="00DF75EE"/>
    <w:rsid w:val="00DF7689"/>
    <w:rsid w:val="00DF7703"/>
    <w:rsid w:val="00DF7A5A"/>
    <w:rsid w:val="00DF7ABB"/>
    <w:rsid w:val="00DF7B20"/>
    <w:rsid w:val="00DF7BC4"/>
    <w:rsid w:val="00DF7C3D"/>
    <w:rsid w:val="00DF7D0E"/>
    <w:rsid w:val="00DF7F05"/>
    <w:rsid w:val="00DF7F52"/>
    <w:rsid w:val="00DF7FC3"/>
    <w:rsid w:val="00E00109"/>
    <w:rsid w:val="00E0017D"/>
    <w:rsid w:val="00E002D3"/>
    <w:rsid w:val="00E002F4"/>
    <w:rsid w:val="00E004DA"/>
    <w:rsid w:val="00E00545"/>
    <w:rsid w:val="00E005AA"/>
    <w:rsid w:val="00E00681"/>
    <w:rsid w:val="00E006FD"/>
    <w:rsid w:val="00E00A25"/>
    <w:rsid w:val="00E00AD7"/>
    <w:rsid w:val="00E00D00"/>
    <w:rsid w:val="00E00D33"/>
    <w:rsid w:val="00E00E05"/>
    <w:rsid w:val="00E00E60"/>
    <w:rsid w:val="00E00EAF"/>
    <w:rsid w:val="00E00F6B"/>
    <w:rsid w:val="00E00F7A"/>
    <w:rsid w:val="00E01142"/>
    <w:rsid w:val="00E0114B"/>
    <w:rsid w:val="00E01447"/>
    <w:rsid w:val="00E0159C"/>
    <w:rsid w:val="00E016D3"/>
    <w:rsid w:val="00E017EA"/>
    <w:rsid w:val="00E01BAA"/>
    <w:rsid w:val="00E01CA0"/>
    <w:rsid w:val="00E01CD3"/>
    <w:rsid w:val="00E01DF9"/>
    <w:rsid w:val="00E01E87"/>
    <w:rsid w:val="00E02032"/>
    <w:rsid w:val="00E02137"/>
    <w:rsid w:val="00E0217F"/>
    <w:rsid w:val="00E02295"/>
    <w:rsid w:val="00E022AC"/>
    <w:rsid w:val="00E0232B"/>
    <w:rsid w:val="00E0245B"/>
    <w:rsid w:val="00E02854"/>
    <w:rsid w:val="00E0287E"/>
    <w:rsid w:val="00E0291F"/>
    <w:rsid w:val="00E02950"/>
    <w:rsid w:val="00E029D2"/>
    <w:rsid w:val="00E02BAF"/>
    <w:rsid w:val="00E02ED6"/>
    <w:rsid w:val="00E031CF"/>
    <w:rsid w:val="00E0332A"/>
    <w:rsid w:val="00E0343D"/>
    <w:rsid w:val="00E03529"/>
    <w:rsid w:val="00E03797"/>
    <w:rsid w:val="00E037E3"/>
    <w:rsid w:val="00E0399B"/>
    <w:rsid w:val="00E03BAF"/>
    <w:rsid w:val="00E03BD6"/>
    <w:rsid w:val="00E03FB6"/>
    <w:rsid w:val="00E04077"/>
    <w:rsid w:val="00E0429A"/>
    <w:rsid w:val="00E0438D"/>
    <w:rsid w:val="00E0463E"/>
    <w:rsid w:val="00E046B5"/>
    <w:rsid w:val="00E04712"/>
    <w:rsid w:val="00E04774"/>
    <w:rsid w:val="00E04A20"/>
    <w:rsid w:val="00E04ACB"/>
    <w:rsid w:val="00E04AF3"/>
    <w:rsid w:val="00E04C3E"/>
    <w:rsid w:val="00E04D4F"/>
    <w:rsid w:val="00E04E0D"/>
    <w:rsid w:val="00E04E49"/>
    <w:rsid w:val="00E04E6C"/>
    <w:rsid w:val="00E0519E"/>
    <w:rsid w:val="00E051B0"/>
    <w:rsid w:val="00E05316"/>
    <w:rsid w:val="00E0552E"/>
    <w:rsid w:val="00E0562B"/>
    <w:rsid w:val="00E0570E"/>
    <w:rsid w:val="00E05941"/>
    <w:rsid w:val="00E059B1"/>
    <w:rsid w:val="00E05E2C"/>
    <w:rsid w:val="00E05F88"/>
    <w:rsid w:val="00E05FE3"/>
    <w:rsid w:val="00E06074"/>
    <w:rsid w:val="00E06090"/>
    <w:rsid w:val="00E0620E"/>
    <w:rsid w:val="00E0621F"/>
    <w:rsid w:val="00E06387"/>
    <w:rsid w:val="00E064C0"/>
    <w:rsid w:val="00E065D9"/>
    <w:rsid w:val="00E066C6"/>
    <w:rsid w:val="00E06840"/>
    <w:rsid w:val="00E06AE2"/>
    <w:rsid w:val="00E06B40"/>
    <w:rsid w:val="00E06C42"/>
    <w:rsid w:val="00E06C8B"/>
    <w:rsid w:val="00E06CA9"/>
    <w:rsid w:val="00E06CF0"/>
    <w:rsid w:val="00E06D48"/>
    <w:rsid w:val="00E06D9F"/>
    <w:rsid w:val="00E06EC3"/>
    <w:rsid w:val="00E07034"/>
    <w:rsid w:val="00E07130"/>
    <w:rsid w:val="00E07364"/>
    <w:rsid w:val="00E0742A"/>
    <w:rsid w:val="00E07432"/>
    <w:rsid w:val="00E074F4"/>
    <w:rsid w:val="00E07523"/>
    <w:rsid w:val="00E07659"/>
    <w:rsid w:val="00E076A3"/>
    <w:rsid w:val="00E077C3"/>
    <w:rsid w:val="00E0794B"/>
    <w:rsid w:val="00E079E8"/>
    <w:rsid w:val="00E07B44"/>
    <w:rsid w:val="00E07C66"/>
    <w:rsid w:val="00E07E0C"/>
    <w:rsid w:val="00E10033"/>
    <w:rsid w:val="00E1017D"/>
    <w:rsid w:val="00E102E7"/>
    <w:rsid w:val="00E1033F"/>
    <w:rsid w:val="00E104CC"/>
    <w:rsid w:val="00E10659"/>
    <w:rsid w:val="00E1072E"/>
    <w:rsid w:val="00E1074D"/>
    <w:rsid w:val="00E10815"/>
    <w:rsid w:val="00E10854"/>
    <w:rsid w:val="00E1097F"/>
    <w:rsid w:val="00E10AC5"/>
    <w:rsid w:val="00E10BEB"/>
    <w:rsid w:val="00E10CBE"/>
    <w:rsid w:val="00E10F9E"/>
    <w:rsid w:val="00E10FBD"/>
    <w:rsid w:val="00E11110"/>
    <w:rsid w:val="00E111D8"/>
    <w:rsid w:val="00E11293"/>
    <w:rsid w:val="00E11327"/>
    <w:rsid w:val="00E113E5"/>
    <w:rsid w:val="00E1145B"/>
    <w:rsid w:val="00E116DA"/>
    <w:rsid w:val="00E11735"/>
    <w:rsid w:val="00E118CB"/>
    <w:rsid w:val="00E1190E"/>
    <w:rsid w:val="00E11C45"/>
    <w:rsid w:val="00E11DED"/>
    <w:rsid w:val="00E11F02"/>
    <w:rsid w:val="00E11F63"/>
    <w:rsid w:val="00E1213E"/>
    <w:rsid w:val="00E121B0"/>
    <w:rsid w:val="00E122DB"/>
    <w:rsid w:val="00E123B4"/>
    <w:rsid w:val="00E12406"/>
    <w:rsid w:val="00E1260D"/>
    <w:rsid w:val="00E1262A"/>
    <w:rsid w:val="00E1274C"/>
    <w:rsid w:val="00E1289A"/>
    <w:rsid w:val="00E12B33"/>
    <w:rsid w:val="00E12B4C"/>
    <w:rsid w:val="00E12B7F"/>
    <w:rsid w:val="00E12E73"/>
    <w:rsid w:val="00E12F6D"/>
    <w:rsid w:val="00E12F94"/>
    <w:rsid w:val="00E13040"/>
    <w:rsid w:val="00E1314B"/>
    <w:rsid w:val="00E13204"/>
    <w:rsid w:val="00E132C3"/>
    <w:rsid w:val="00E13514"/>
    <w:rsid w:val="00E1390E"/>
    <w:rsid w:val="00E13BD0"/>
    <w:rsid w:val="00E13CD8"/>
    <w:rsid w:val="00E13F70"/>
    <w:rsid w:val="00E13F82"/>
    <w:rsid w:val="00E14244"/>
    <w:rsid w:val="00E147C0"/>
    <w:rsid w:val="00E14BB3"/>
    <w:rsid w:val="00E14FEC"/>
    <w:rsid w:val="00E15076"/>
    <w:rsid w:val="00E150E8"/>
    <w:rsid w:val="00E15161"/>
    <w:rsid w:val="00E151AB"/>
    <w:rsid w:val="00E151C7"/>
    <w:rsid w:val="00E15207"/>
    <w:rsid w:val="00E152B0"/>
    <w:rsid w:val="00E152F8"/>
    <w:rsid w:val="00E15317"/>
    <w:rsid w:val="00E1532B"/>
    <w:rsid w:val="00E155F8"/>
    <w:rsid w:val="00E1569E"/>
    <w:rsid w:val="00E158D8"/>
    <w:rsid w:val="00E158EC"/>
    <w:rsid w:val="00E159FA"/>
    <w:rsid w:val="00E15AB1"/>
    <w:rsid w:val="00E15B7F"/>
    <w:rsid w:val="00E15C2D"/>
    <w:rsid w:val="00E15EA8"/>
    <w:rsid w:val="00E162CF"/>
    <w:rsid w:val="00E16329"/>
    <w:rsid w:val="00E1635E"/>
    <w:rsid w:val="00E16394"/>
    <w:rsid w:val="00E163A5"/>
    <w:rsid w:val="00E163D5"/>
    <w:rsid w:val="00E16401"/>
    <w:rsid w:val="00E164A2"/>
    <w:rsid w:val="00E16552"/>
    <w:rsid w:val="00E165F5"/>
    <w:rsid w:val="00E1660E"/>
    <w:rsid w:val="00E16681"/>
    <w:rsid w:val="00E16787"/>
    <w:rsid w:val="00E16C61"/>
    <w:rsid w:val="00E16CF6"/>
    <w:rsid w:val="00E16F24"/>
    <w:rsid w:val="00E16FF3"/>
    <w:rsid w:val="00E17051"/>
    <w:rsid w:val="00E174A4"/>
    <w:rsid w:val="00E17569"/>
    <w:rsid w:val="00E1758D"/>
    <w:rsid w:val="00E176B6"/>
    <w:rsid w:val="00E1771D"/>
    <w:rsid w:val="00E17741"/>
    <w:rsid w:val="00E17978"/>
    <w:rsid w:val="00E17B2C"/>
    <w:rsid w:val="00E17B80"/>
    <w:rsid w:val="00E17C53"/>
    <w:rsid w:val="00E17DBB"/>
    <w:rsid w:val="00E17FA1"/>
    <w:rsid w:val="00E20045"/>
    <w:rsid w:val="00E200AB"/>
    <w:rsid w:val="00E2018E"/>
    <w:rsid w:val="00E205E0"/>
    <w:rsid w:val="00E20722"/>
    <w:rsid w:val="00E207D9"/>
    <w:rsid w:val="00E207DF"/>
    <w:rsid w:val="00E20801"/>
    <w:rsid w:val="00E208A2"/>
    <w:rsid w:val="00E2097E"/>
    <w:rsid w:val="00E20A12"/>
    <w:rsid w:val="00E20B6B"/>
    <w:rsid w:val="00E20F43"/>
    <w:rsid w:val="00E21059"/>
    <w:rsid w:val="00E2107B"/>
    <w:rsid w:val="00E21175"/>
    <w:rsid w:val="00E217AC"/>
    <w:rsid w:val="00E217F1"/>
    <w:rsid w:val="00E21945"/>
    <w:rsid w:val="00E21961"/>
    <w:rsid w:val="00E2197F"/>
    <w:rsid w:val="00E219B6"/>
    <w:rsid w:val="00E219B7"/>
    <w:rsid w:val="00E219D8"/>
    <w:rsid w:val="00E21A71"/>
    <w:rsid w:val="00E21B88"/>
    <w:rsid w:val="00E21B99"/>
    <w:rsid w:val="00E21BAA"/>
    <w:rsid w:val="00E21C2F"/>
    <w:rsid w:val="00E21D52"/>
    <w:rsid w:val="00E21E4A"/>
    <w:rsid w:val="00E21EDA"/>
    <w:rsid w:val="00E220CC"/>
    <w:rsid w:val="00E22294"/>
    <w:rsid w:val="00E223B0"/>
    <w:rsid w:val="00E2242E"/>
    <w:rsid w:val="00E22466"/>
    <w:rsid w:val="00E22519"/>
    <w:rsid w:val="00E225EE"/>
    <w:rsid w:val="00E226C4"/>
    <w:rsid w:val="00E226FD"/>
    <w:rsid w:val="00E22727"/>
    <w:rsid w:val="00E22820"/>
    <w:rsid w:val="00E228C8"/>
    <w:rsid w:val="00E22A09"/>
    <w:rsid w:val="00E22A6D"/>
    <w:rsid w:val="00E22D20"/>
    <w:rsid w:val="00E22D60"/>
    <w:rsid w:val="00E22E43"/>
    <w:rsid w:val="00E22E80"/>
    <w:rsid w:val="00E23147"/>
    <w:rsid w:val="00E23282"/>
    <w:rsid w:val="00E232C0"/>
    <w:rsid w:val="00E233BA"/>
    <w:rsid w:val="00E23451"/>
    <w:rsid w:val="00E2347C"/>
    <w:rsid w:val="00E234B6"/>
    <w:rsid w:val="00E2355D"/>
    <w:rsid w:val="00E236C1"/>
    <w:rsid w:val="00E23740"/>
    <w:rsid w:val="00E23979"/>
    <w:rsid w:val="00E23A74"/>
    <w:rsid w:val="00E23AA0"/>
    <w:rsid w:val="00E23C25"/>
    <w:rsid w:val="00E23D4E"/>
    <w:rsid w:val="00E23DBE"/>
    <w:rsid w:val="00E23EE8"/>
    <w:rsid w:val="00E23F6B"/>
    <w:rsid w:val="00E24045"/>
    <w:rsid w:val="00E24240"/>
    <w:rsid w:val="00E24263"/>
    <w:rsid w:val="00E2439A"/>
    <w:rsid w:val="00E2440E"/>
    <w:rsid w:val="00E2444B"/>
    <w:rsid w:val="00E24548"/>
    <w:rsid w:val="00E245F7"/>
    <w:rsid w:val="00E2469A"/>
    <w:rsid w:val="00E246BA"/>
    <w:rsid w:val="00E2477E"/>
    <w:rsid w:val="00E24A0A"/>
    <w:rsid w:val="00E24A82"/>
    <w:rsid w:val="00E24C31"/>
    <w:rsid w:val="00E24E1F"/>
    <w:rsid w:val="00E24E34"/>
    <w:rsid w:val="00E24E9C"/>
    <w:rsid w:val="00E251AD"/>
    <w:rsid w:val="00E252D2"/>
    <w:rsid w:val="00E252FE"/>
    <w:rsid w:val="00E2545E"/>
    <w:rsid w:val="00E25553"/>
    <w:rsid w:val="00E255F6"/>
    <w:rsid w:val="00E2571D"/>
    <w:rsid w:val="00E2589E"/>
    <w:rsid w:val="00E259D8"/>
    <w:rsid w:val="00E25AD9"/>
    <w:rsid w:val="00E25C66"/>
    <w:rsid w:val="00E25CAC"/>
    <w:rsid w:val="00E25DF2"/>
    <w:rsid w:val="00E25E7D"/>
    <w:rsid w:val="00E25EB3"/>
    <w:rsid w:val="00E25EC5"/>
    <w:rsid w:val="00E2616F"/>
    <w:rsid w:val="00E261F0"/>
    <w:rsid w:val="00E26461"/>
    <w:rsid w:val="00E265C0"/>
    <w:rsid w:val="00E2676F"/>
    <w:rsid w:val="00E2677E"/>
    <w:rsid w:val="00E26800"/>
    <w:rsid w:val="00E2685F"/>
    <w:rsid w:val="00E26B10"/>
    <w:rsid w:val="00E26B1E"/>
    <w:rsid w:val="00E26BA7"/>
    <w:rsid w:val="00E26C90"/>
    <w:rsid w:val="00E26CCC"/>
    <w:rsid w:val="00E26DFB"/>
    <w:rsid w:val="00E26E7C"/>
    <w:rsid w:val="00E26F09"/>
    <w:rsid w:val="00E26FD7"/>
    <w:rsid w:val="00E2707F"/>
    <w:rsid w:val="00E2718C"/>
    <w:rsid w:val="00E271CA"/>
    <w:rsid w:val="00E27216"/>
    <w:rsid w:val="00E2735F"/>
    <w:rsid w:val="00E273D0"/>
    <w:rsid w:val="00E273FF"/>
    <w:rsid w:val="00E274EA"/>
    <w:rsid w:val="00E27570"/>
    <w:rsid w:val="00E2766E"/>
    <w:rsid w:val="00E277A0"/>
    <w:rsid w:val="00E277F3"/>
    <w:rsid w:val="00E2783E"/>
    <w:rsid w:val="00E2796C"/>
    <w:rsid w:val="00E279ED"/>
    <w:rsid w:val="00E27A45"/>
    <w:rsid w:val="00E27A65"/>
    <w:rsid w:val="00E27A6F"/>
    <w:rsid w:val="00E27C71"/>
    <w:rsid w:val="00E27EC1"/>
    <w:rsid w:val="00E27F13"/>
    <w:rsid w:val="00E30068"/>
    <w:rsid w:val="00E30218"/>
    <w:rsid w:val="00E30356"/>
    <w:rsid w:val="00E3042C"/>
    <w:rsid w:val="00E30493"/>
    <w:rsid w:val="00E304A6"/>
    <w:rsid w:val="00E304C3"/>
    <w:rsid w:val="00E305C0"/>
    <w:rsid w:val="00E30641"/>
    <w:rsid w:val="00E3067C"/>
    <w:rsid w:val="00E30783"/>
    <w:rsid w:val="00E307DB"/>
    <w:rsid w:val="00E30805"/>
    <w:rsid w:val="00E308AE"/>
    <w:rsid w:val="00E308C8"/>
    <w:rsid w:val="00E30A5A"/>
    <w:rsid w:val="00E30B3C"/>
    <w:rsid w:val="00E30B4A"/>
    <w:rsid w:val="00E30B8B"/>
    <w:rsid w:val="00E30C59"/>
    <w:rsid w:val="00E30D15"/>
    <w:rsid w:val="00E30D94"/>
    <w:rsid w:val="00E30E8F"/>
    <w:rsid w:val="00E30EBB"/>
    <w:rsid w:val="00E310C0"/>
    <w:rsid w:val="00E3110B"/>
    <w:rsid w:val="00E3117A"/>
    <w:rsid w:val="00E3118A"/>
    <w:rsid w:val="00E311BD"/>
    <w:rsid w:val="00E3129F"/>
    <w:rsid w:val="00E31323"/>
    <w:rsid w:val="00E3133C"/>
    <w:rsid w:val="00E31373"/>
    <w:rsid w:val="00E313C5"/>
    <w:rsid w:val="00E31786"/>
    <w:rsid w:val="00E317D5"/>
    <w:rsid w:val="00E3199D"/>
    <w:rsid w:val="00E319F6"/>
    <w:rsid w:val="00E31A77"/>
    <w:rsid w:val="00E31AD4"/>
    <w:rsid w:val="00E31B23"/>
    <w:rsid w:val="00E31E36"/>
    <w:rsid w:val="00E31E41"/>
    <w:rsid w:val="00E31F9A"/>
    <w:rsid w:val="00E32268"/>
    <w:rsid w:val="00E32286"/>
    <w:rsid w:val="00E322E8"/>
    <w:rsid w:val="00E3236F"/>
    <w:rsid w:val="00E323BD"/>
    <w:rsid w:val="00E324A3"/>
    <w:rsid w:val="00E324DF"/>
    <w:rsid w:val="00E32553"/>
    <w:rsid w:val="00E32579"/>
    <w:rsid w:val="00E326B7"/>
    <w:rsid w:val="00E32849"/>
    <w:rsid w:val="00E32B43"/>
    <w:rsid w:val="00E32DC1"/>
    <w:rsid w:val="00E32EF8"/>
    <w:rsid w:val="00E3304E"/>
    <w:rsid w:val="00E3310B"/>
    <w:rsid w:val="00E3321D"/>
    <w:rsid w:val="00E33263"/>
    <w:rsid w:val="00E334F9"/>
    <w:rsid w:val="00E33645"/>
    <w:rsid w:val="00E33662"/>
    <w:rsid w:val="00E33671"/>
    <w:rsid w:val="00E33713"/>
    <w:rsid w:val="00E3372E"/>
    <w:rsid w:val="00E33C05"/>
    <w:rsid w:val="00E33CE3"/>
    <w:rsid w:val="00E33D0D"/>
    <w:rsid w:val="00E33D72"/>
    <w:rsid w:val="00E33E85"/>
    <w:rsid w:val="00E33FC4"/>
    <w:rsid w:val="00E34197"/>
    <w:rsid w:val="00E34201"/>
    <w:rsid w:val="00E343C3"/>
    <w:rsid w:val="00E34421"/>
    <w:rsid w:val="00E344CF"/>
    <w:rsid w:val="00E3456E"/>
    <w:rsid w:val="00E3469E"/>
    <w:rsid w:val="00E346CA"/>
    <w:rsid w:val="00E34720"/>
    <w:rsid w:val="00E34885"/>
    <w:rsid w:val="00E34990"/>
    <w:rsid w:val="00E34C1C"/>
    <w:rsid w:val="00E34CE5"/>
    <w:rsid w:val="00E34DDA"/>
    <w:rsid w:val="00E34E84"/>
    <w:rsid w:val="00E34E9E"/>
    <w:rsid w:val="00E34FC8"/>
    <w:rsid w:val="00E35297"/>
    <w:rsid w:val="00E352A4"/>
    <w:rsid w:val="00E35303"/>
    <w:rsid w:val="00E35326"/>
    <w:rsid w:val="00E3535B"/>
    <w:rsid w:val="00E35480"/>
    <w:rsid w:val="00E35552"/>
    <w:rsid w:val="00E3559C"/>
    <w:rsid w:val="00E356A4"/>
    <w:rsid w:val="00E35731"/>
    <w:rsid w:val="00E35735"/>
    <w:rsid w:val="00E35949"/>
    <w:rsid w:val="00E35A4E"/>
    <w:rsid w:val="00E35B2E"/>
    <w:rsid w:val="00E35B51"/>
    <w:rsid w:val="00E35BDF"/>
    <w:rsid w:val="00E35C83"/>
    <w:rsid w:val="00E35C95"/>
    <w:rsid w:val="00E35D0B"/>
    <w:rsid w:val="00E35DC3"/>
    <w:rsid w:val="00E35DED"/>
    <w:rsid w:val="00E362A8"/>
    <w:rsid w:val="00E362E8"/>
    <w:rsid w:val="00E36577"/>
    <w:rsid w:val="00E365D1"/>
    <w:rsid w:val="00E367FD"/>
    <w:rsid w:val="00E3682A"/>
    <w:rsid w:val="00E36886"/>
    <w:rsid w:val="00E3689F"/>
    <w:rsid w:val="00E369E8"/>
    <w:rsid w:val="00E36A58"/>
    <w:rsid w:val="00E36C36"/>
    <w:rsid w:val="00E36DAC"/>
    <w:rsid w:val="00E36ED0"/>
    <w:rsid w:val="00E36FD8"/>
    <w:rsid w:val="00E3710B"/>
    <w:rsid w:val="00E3715B"/>
    <w:rsid w:val="00E371D0"/>
    <w:rsid w:val="00E37237"/>
    <w:rsid w:val="00E37431"/>
    <w:rsid w:val="00E37438"/>
    <w:rsid w:val="00E376F9"/>
    <w:rsid w:val="00E37742"/>
    <w:rsid w:val="00E3774E"/>
    <w:rsid w:val="00E377BC"/>
    <w:rsid w:val="00E3789D"/>
    <w:rsid w:val="00E37913"/>
    <w:rsid w:val="00E37A08"/>
    <w:rsid w:val="00E37C58"/>
    <w:rsid w:val="00E37D55"/>
    <w:rsid w:val="00E37E8E"/>
    <w:rsid w:val="00E37EAC"/>
    <w:rsid w:val="00E37FDE"/>
    <w:rsid w:val="00E40382"/>
    <w:rsid w:val="00E403A4"/>
    <w:rsid w:val="00E40540"/>
    <w:rsid w:val="00E40840"/>
    <w:rsid w:val="00E4085D"/>
    <w:rsid w:val="00E408FF"/>
    <w:rsid w:val="00E40DF7"/>
    <w:rsid w:val="00E40EC7"/>
    <w:rsid w:val="00E40FBE"/>
    <w:rsid w:val="00E4100D"/>
    <w:rsid w:val="00E4137A"/>
    <w:rsid w:val="00E41449"/>
    <w:rsid w:val="00E41561"/>
    <w:rsid w:val="00E416D7"/>
    <w:rsid w:val="00E416E2"/>
    <w:rsid w:val="00E4182D"/>
    <w:rsid w:val="00E41A86"/>
    <w:rsid w:val="00E41C0B"/>
    <w:rsid w:val="00E41C47"/>
    <w:rsid w:val="00E41C73"/>
    <w:rsid w:val="00E41D4A"/>
    <w:rsid w:val="00E41DE6"/>
    <w:rsid w:val="00E41E4D"/>
    <w:rsid w:val="00E41F82"/>
    <w:rsid w:val="00E42169"/>
    <w:rsid w:val="00E42250"/>
    <w:rsid w:val="00E423DA"/>
    <w:rsid w:val="00E4256A"/>
    <w:rsid w:val="00E426B0"/>
    <w:rsid w:val="00E4278E"/>
    <w:rsid w:val="00E42A42"/>
    <w:rsid w:val="00E42C7A"/>
    <w:rsid w:val="00E42C7D"/>
    <w:rsid w:val="00E42CBC"/>
    <w:rsid w:val="00E42D12"/>
    <w:rsid w:val="00E42DD6"/>
    <w:rsid w:val="00E42DE7"/>
    <w:rsid w:val="00E42E4C"/>
    <w:rsid w:val="00E42E74"/>
    <w:rsid w:val="00E42ED0"/>
    <w:rsid w:val="00E4301C"/>
    <w:rsid w:val="00E43056"/>
    <w:rsid w:val="00E43199"/>
    <w:rsid w:val="00E43214"/>
    <w:rsid w:val="00E4330D"/>
    <w:rsid w:val="00E4334B"/>
    <w:rsid w:val="00E4351E"/>
    <w:rsid w:val="00E43650"/>
    <w:rsid w:val="00E436AD"/>
    <w:rsid w:val="00E43791"/>
    <w:rsid w:val="00E43812"/>
    <w:rsid w:val="00E438D8"/>
    <w:rsid w:val="00E43932"/>
    <w:rsid w:val="00E43947"/>
    <w:rsid w:val="00E43A41"/>
    <w:rsid w:val="00E43B86"/>
    <w:rsid w:val="00E43EB0"/>
    <w:rsid w:val="00E43F00"/>
    <w:rsid w:val="00E43F8C"/>
    <w:rsid w:val="00E44008"/>
    <w:rsid w:val="00E4415B"/>
    <w:rsid w:val="00E4449C"/>
    <w:rsid w:val="00E44586"/>
    <w:rsid w:val="00E4460C"/>
    <w:rsid w:val="00E447E9"/>
    <w:rsid w:val="00E44847"/>
    <w:rsid w:val="00E4489A"/>
    <w:rsid w:val="00E448B0"/>
    <w:rsid w:val="00E449E4"/>
    <w:rsid w:val="00E44A23"/>
    <w:rsid w:val="00E44A91"/>
    <w:rsid w:val="00E44AC3"/>
    <w:rsid w:val="00E44BBC"/>
    <w:rsid w:val="00E44D31"/>
    <w:rsid w:val="00E44E79"/>
    <w:rsid w:val="00E44FB5"/>
    <w:rsid w:val="00E4509F"/>
    <w:rsid w:val="00E451EF"/>
    <w:rsid w:val="00E4520D"/>
    <w:rsid w:val="00E45232"/>
    <w:rsid w:val="00E452B9"/>
    <w:rsid w:val="00E452D6"/>
    <w:rsid w:val="00E45467"/>
    <w:rsid w:val="00E45648"/>
    <w:rsid w:val="00E4565B"/>
    <w:rsid w:val="00E457F1"/>
    <w:rsid w:val="00E4594D"/>
    <w:rsid w:val="00E45975"/>
    <w:rsid w:val="00E45984"/>
    <w:rsid w:val="00E45A3D"/>
    <w:rsid w:val="00E45B82"/>
    <w:rsid w:val="00E45BB3"/>
    <w:rsid w:val="00E45C2D"/>
    <w:rsid w:val="00E45D83"/>
    <w:rsid w:val="00E45D8F"/>
    <w:rsid w:val="00E45E10"/>
    <w:rsid w:val="00E45E6E"/>
    <w:rsid w:val="00E46108"/>
    <w:rsid w:val="00E4624E"/>
    <w:rsid w:val="00E46358"/>
    <w:rsid w:val="00E46501"/>
    <w:rsid w:val="00E4652C"/>
    <w:rsid w:val="00E46576"/>
    <w:rsid w:val="00E46733"/>
    <w:rsid w:val="00E468F2"/>
    <w:rsid w:val="00E46907"/>
    <w:rsid w:val="00E46982"/>
    <w:rsid w:val="00E46B2D"/>
    <w:rsid w:val="00E46CFC"/>
    <w:rsid w:val="00E46D3E"/>
    <w:rsid w:val="00E46D48"/>
    <w:rsid w:val="00E46D79"/>
    <w:rsid w:val="00E46EDE"/>
    <w:rsid w:val="00E47073"/>
    <w:rsid w:val="00E47343"/>
    <w:rsid w:val="00E4761E"/>
    <w:rsid w:val="00E47638"/>
    <w:rsid w:val="00E47687"/>
    <w:rsid w:val="00E478C6"/>
    <w:rsid w:val="00E47AF3"/>
    <w:rsid w:val="00E47AFF"/>
    <w:rsid w:val="00E47C3E"/>
    <w:rsid w:val="00E47D29"/>
    <w:rsid w:val="00E47EAC"/>
    <w:rsid w:val="00E47EDE"/>
    <w:rsid w:val="00E47F08"/>
    <w:rsid w:val="00E47FB1"/>
    <w:rsid w:val="00E47FE9"/>
    <w:rsid w:val="00E47FFE"/>
    <w:rsid w:val="00E50062"/>
    <w:rsid w:val="00E502B6"/>
    <w:rsid w:val="00E503A4"/>
    <w:rsid w:val="00E503BF"/>
    <w:rsid w:val="00E50464"/>
    <w:rsid w:val="00E50496"/>
    <w:rsid w:val="00E504ED"/>
    <w:rsid w:val="00E506D9"/>
    <w:rsid w:val="00E5085A"/>
    <w:rsid w:val="00E50912"/>
    <w:rsid w:val="00E50B4B"/>
    <w:rsid w:val="00E50C6D"/>
    <w:rsid w:val="00E50CD3"/>
    <w:rsid w:val="00E50DA8"/>
    <w:rsid w:val="00E5108C"/>
    <w:rsid w:val="00E5112D"/>
    <w:rsid w:val="00E51178"/>
    <w:rsid w:val="00E51200"/>
    <w:rsid w:val="00E513F9"/>
    <w:rsid w:val="00E51691"/>
    <w:rsid w:val="00E516B3"/>
    <w:rsid w:val="00E516B4"/>
    <w:rsid w:val="00E517A5"/>
    <w:rsid w:val="00E517DE"/>
    <w:rsid w:val="00E51B0B"/>
    <w:rsid w:val="00E51D25"/>
    <w:rsid w:val="00E520BC"/>
    <w:rsid w:val="00E5213F"/>
    <w:rsid w:val="00E5241F"/>
    <w:rsid w:val="00E5243A"/>
    <w:rsid w:val="00E526D9"/>
    <w:rsid w:val="00E5273C"/>
    <w:rsid w:val="00E5280C"/>
    <w:rsid w:val="00E52A93"/>
    <w:rsid w:val="00E52AA2"/>
    <w:rsid w:val="00E52B18"/>
    <w:rsid w:val="00E52B1C"/>
    <w:rsid w:val="00E52B42"/>
    <w:rsid w:val="00E52B88"/>
    <w:rsid w:val="00E52BAB"/>
    <w:rsid w:val="00E52CDB"/>
    <w:rsid w:val="00E52EC8"/>
    <w:rsid w:val="00E53132"/>
    <w:rsid w:val="00E5318A"/>
    <w:rsid w:val="00E5323C"/>
    <w:rsid w:val="00E5339F"/>
    <w:rsid w:val="00E53430"/>
    <w:rsid w:val="00E5353E"/>
    <w:rsid w:val="00E536D4"/>
    <w:rsid w:val="00E53723"/>
    <w:rsid w:val="00E53BA2"/>
    <w:rsid w:val="00E53C07"/>
    <w:rsid w:val="00E53C08"/>
    <w:rsid w:val="00E53C50"/>
    <w:rsid w:val="00E53FA6"/>
    <w:rsid w:val="00E54009"/>
    <w:rsid w:val="00E54044"/>
    <w:rsid w:val="00E540AA"/>
    <w:rsid w:val="00E54199"/>
    <w:rsid w:val="00E54356"/>
    <w:rsid w:val="00E546A4"/>
    <w:rsid w:val="00E547B7"/>
    <w:rsid w:val="00E5489F"/>
    <w:rsid w:val="00E549DC"/>
    <w:rsid w:val="00E54DB0"/>
    <w:rsid w:val="00E54F5B"/>
    <w:rsid w:val="00E550E1"/>
    <w:rsid w:val="00E55305"/>
    <w:rsid w:val="00E5547E"/>
    <w:rsid w:val="00E55613"/>
    <w:rsid w:val="00E55695"/>
    <w:rsid w:val="00E556E9"/>
    <w:rsid w:val="00E5581E"/>
    <w:rsid w:val="00E55983"/>
    <w:rsid w:val="00E55BAA"/>
    <w:rsid w:val="00E55BFE"/>
    <w:rsid w:val="00E55C81"/>
    <w:rsid w:val="00E56090"/>
    <w:rsid w:val="00E560F8"/>
    <w:rsid w:val="00E560FF"/>
    <w:rsid w:val="00E56371"/>
    <w:rsid w:val="00E56383"/>
    <w:rsid w:val="00E56575"/>
    <w:rsid w:val="00E565D0"/>
    <w:rsid w:val="00E56676"/>
    <w:rsid w:val="00E5678A"/>
    <w:rsid w:val="00E567F7"/>
    <w:rsid w:val="00E567FA"/>
    <w:rsid w:val="00E569C7"/>
    <w:rsid w:val="00E56B09"/>
    <w:rsid w:val="00E57027"/>
    <w:rsid w:val="00E57097"/>
    <w:rsid w:val="00E5709D"/>
    <w:rsid w:val="00E5718C"/>
    <w:rsid w:val="00E57447"/>
    <w:rsid w:val="00E574B0"/>
    <w:rsid w:val="00E576EA"/>
    <w:rsid w:val="00E57830"/>
    <w:rsid w:val="00E57B00"/>
    <w:rsid w:val="00E57CAC"/>
    <w:rsid w:val="00E57D8A"/>
    <w:rsid w:val="00E60097"/>
    <w:rsid w:val="00E600A0"/>
    <w:rsid w:val="00E6034B"/>
    <w:rsid w:val="00E604BD"/>
    <w:rsid w:val="00E60795"/>
    <w:rsid w:val="00E60828"/>
    <w:rsid w:val="00E60D07"/>
    <w:rsid w:val="00E60EB4"/>
    <w:rsid w:val="00E60F0E"/>
    <w:rsid w:val="00E60F1C"/>
    <w:rsid w:val="00E60F39"/>
    <w:rsid w:val="00E60F44"/>
    <w:rsid w:val="00E610A3"/>
    <w:rsid w:val="00E61168"/>
    <w:rsid w:val="00E61182"/>
    <w:rsid w:val="00E6118E"/>
    <w:rsid w:val="00E61254"/>
    <w:rsid w:val="00E612EB"/>
    <w:rsid w:val="00E613CB"/>
    <w:rsid w:val="00E613CD"/>
    <w:rsid w:val="00E613E6"/>
    <w:rsid w:val="00E61696"/>
    <w:rsid w:val="00E617C7"/>
    <w:rsid w:val="00E618D7"/>
    <w:rsid w:val="00E61A23"/>
    <w:rsid w:val="00E61BCC"/>
    <w:rsid w:val="00E61C1F"/>
    <w:rsid w:val="00E61C70"/>
    <w:rsid w:val="00E62046"/>
    <w:rsid w:val="00E6219B"/>
    <w:rsid w:val="00E62237"/>
    <w:rsid w:val="00E62313"/>
    <w:rsid w:val="00E6234B"/>
    <w:rsid w:val="00E62479"/>
    <w:rsid w:val="00E6248A"/>
    <w:rsid w:val="00E62592"/>
    <w:rsid w:val="00E62996"/>
    <w:rsid w:val="00E629ED"/>
    <w:rsid w:val="00E629F1"/>
    <w:rsid w:val="00E62AB1"/>
    <w:rsid w:val="00E62BFA"/>
    <w:rsid w:val="00E62CB2"/>
    <w:rsid w:val="00E62CD4"/>
    <w:rsid w:val="00E62D1A"/>
    <w:rsid w:val="00E62D53"/>
    <w:rsid w:val="00E62E2E"/>
    <w:rsid w:val="00E6313B"/>
    <w:rsid w:val="00E6318A"/>
    <w:rsid w:val="00E631EA"/>
    <w:rsid w:val="00E63298"/>
    <w:rsid w:val="00E636DE"/>
    <w:rsid w:val="00E6387B"/>
    <w:rsid w:val="00E63946"/>
    <w:rsid w:val="00E63B61"/>
    <w:rsid w:val="00E63B98"/>
    <w:rsid w:val="00E63CF9"/>
    <w:rsid w:val="00E63D21"/>
    <w:rsid w:val="00E64307"/>
    <w:rsid w:val="00E64398"/>
    <w:rsid w:val="00E6458D"/>
    <w:rsid w:val="00E645D2"/>
    <w:rsid w:val="00E64910"/>
    <w:rsid w:val="00E649B6"/>
    <w:rsid w:val="00E64A67"/>
    <w:rsid w:val="00E64A94"/>
    <w:rsid w:val="00E64B47"/>
    <w:rsid w:val="00E64C58"/>
    <w:rsid w:val="00E64D9F"/>
    <w:rsid w:val="00E64E49"/>
    <w:rsid w:val="00E65004"/>
    <w:rsid w:val="00E650F8"/>
    <w:rsid w:val="00E65326"/>
    <w:rsid w:val="00E65746"/>
    <w:rsid w:val="00E6587D"/>
    <w:rsid w:val="00E658C8"/>
    <w:rsid w:val="00E65A7B"/>
    <w:rsid w:val="00E65B23"/>
    <w:rsid w:val="00E65C4E"/>
    <w:rsid w:val="00E65E26"/>
    <w:rsid w:val="00E65F99"/>
    <w:rsid w:val="00E660CE"/>
    <w:rsid w:val="00E6617A"/>
    <w:rsid w:val="00E6622A"/>
    <w:rsid w:val="00E6638F"/>
    <w:rsid w:val="00E664D5"/>
    <w:rsid w:val="00E66574"/>
    <w:rsid w:val="00E66663"/>
    <w:rsid w:val="00E667F5"/>
    <w:rsid w:val="00E667FF"/>
    <w:rsid w:val="00E6689F"/>
    <w:rsid w:val="00E669F5"/>
    <w:rsid w:val="00E66A2C"/>
    <w:rsid w:val="00E66B8E"/>
    <w:rsid w:val="00E66BAD"/>
    <w:rsid w:val="00E66C94"/>
    <w:rsid w:val="00E66CCD"/>
    <w:rsid w:val="00E66E6F"/>
    <w:rsid w:val="00E67014"/>
    <w:rsid w:val="00E67175"/>
    <w:rsid w:val="00E6730F"/>
    <w:rsid w:val="00E67366"/>
    <w:rsid w:val="00E673F7"/>
    <w:rsid w:val="00E67541"/>
    <w:rsid w:val="00E675E5"/>
    <w:rsid w:val="00E677CC"/>
    <w:rsid w:val="00E678A6"/>
    <w:rsid w:val="00E67925"/>
    <w:rsid w:val="00E67A69"/>
    <w:rsid w:val="00E67AFC"/>
    <w:rsid w:val="00E67B49"/>
    <w:rsid w:val="00E67C28"/>
    <w:rsid w:val="00E67C88"/>
    <w:rsid w:val="00E67D1F"/>
    <w:rsid w:val="00E67DA3"/>
    <w:rsid w:val="00E67DE5"/>
    <w:rsid w:val="00E67EDD"/>
    <w:rsid w:val="00E70141"/>
    <w:rsid w:val="00E70198"/>
    <w:rsid w:val="00E70217"/>
    <w:rsid w:val="00E7022F"/>
    <w:rsid w:val="00E7047D"/>
    <w:rsid w:val="00E704A8"/>
    <w:rsid w:val="00E70501"/>
    <w:rsid w:val="00E7079A"/>
    <w:rsid w:val="00E70841"/>
    <w:rsid w:val="00E70AB4"/>
    <w:rsid w:val="00E70BB0"/>
    <w:rsid w:val="00E70DC5"/>
    <w:rsid w:val="00E70EE1"/>
    <w:rsid w:val="00E710DE"/>
    <w:rsid w:val="00E710F6"/>
    <w:rsid w:val="00E71260"/>
    <w:rsid w:val="00E7129E"/>
    <w:rsid w:val="00E712C2"/>
    <w:rsid w:val="00E71399"/>
    <w:rsid w:val="00E7139B"/>
    <w:rsid w:val="00E713E5"/>
    <w:rsid w:val="00E714AC"/>
    <w:rsid w:val="00E7159C"/>
    <w:rsid w:val="00E71841"/>
    <w:rsid w:val="00E718FB"/>
    <w:rsid w:val="00E719AB"/>
    <w:rsid w:val="00E71C80"/>
    <w:rsid w:val="00E71DDA"/>
    <w:rsid w:val="00E71E83"/>
    <w:rsid w:val="00E720A8"/>
    <w:rsid w:val="00E72120"/>
    <w:rsid w:val="00E72130"/>
    <w:rsid w:val="00E722B5"/>
    <w:rsid w:val="00E722CC"/>
    <w:rsid w:val="00E72302"/>
    <w:rsid w:val="00E7230F"/>
    <w:rsid w:val="00E7246C"/>
    <w:rsid w:val="00E72910"/>
    <w:rsid w:val="00E72944"/>
    <w:rsid w:val="00E72A2E"/>
    <w:rsid w:val="00E72A63"/>
    <w:rsid w:val="00E72FD6"/>
    <w:rsid w:val="00E730C5"/>
    <w:rsid w:val="00E73162"/>
    <w:rsid w:val="00E733A7"/>
    <w:rsid w:val="00E733E4"/>
    <w:rsid w:val="00E73430"/>
    <w:rsid w:val="00E734D2"/>
    <w:rsid w:val="00E7362E"/>
    <w:rsid w:val="00E736A9"/>
    <w:rsid w:val="00E7378A"/>
    <w:rsid w:val="00E737CF"/>
    <w:rsid w:val="00E73823"/>
    <w:rsid w:val="00E738F1"/>
    <w:rsid w:val="00E739B8"/>
    <w:rsid w:val="00E739BD"/>
    <w:rsid w:val="00E739FC"/>
    <w:rsid w:val="00E73C25"/>
    <w:rsid w:val="00E73C29"/>
    <w:rsid w:val="00E73C78"/>
    <w:rsid w:val="00E73CA5"/>
    <w:rsid w:val="00E73D5E"/>
    <w:rsid w:val="00E73D9F"/>
    <w:rsid w:val="00E73DDA"/>
    <w:rsid w:val="00E73E74"/>
    <w:rsid w:val="00E73E99"/>
    <w:rsid w:val="00E73F25"/>
    <w:rsid w:val="00E73FE6"/>
    <w:rsid w:val="00E7427C"/>
    <w:rsid w:val="00E74365"/>
    <w:rsid w:val="00E7439B"/>
    <w:rsid w:val="00E74608"/>
    <w:rsid w:val="00E746B0"/>
    <w:rsid w:val="00E74796"/>
    <w:rsid w:val="00E748F8"/>
    <w:rsid w:val="00E7499B"/>
    <w:rsid w:val="00E74AA0"/>
    <w:rsid w:val="00E74C6C"/>
    <w:rsid w:val="00E74D75"/>
    <w:rsid w:val="00E75031"/>
    <w:rsid w:val="00E7504A"/>
    <w:rsid w:val="00E750B6"/>
    <w:rsid w:val="00E750F5"/>
    <w:rsid w:val="00E75140"/>
    <w:rsid w:val="00E75670"/>
    <w:rsid w:val="00E7583B"/>
    <w:rsid w:val="00E75879"/>
    <w:rsid w:val="00E759D4"/>
    <w:rsid w:val="00E759DC"/>
    <w:rsid w:val="00E75A1F"/>
    <w:rsid w:val="00E75CD1"/>
    <w:rsid w:val="00E75D74"/>
    <w:rsid w:val="00E75DA2"/>
    <w:rsid w:val="00E75F8D"/>
    <w:rsid w:val="00E75FFB"/>
    <w:rsid w:val="00E7600E"/>
    <w:rsid w:val="00E760E8"/>
    <w:rsid w:val="00E762CC"/>
    <w:rsid w:val="00E76480"/>
    <w:rsid w:val="00E764D2"/>
    <w:rsid w:val="00E7676E"/>
    <w:rsid w:val="00E767EC"/>
    <w:rsid w:val="00E76876"/>
    <w:rsid w:val="00E769DA"/>
    <w:rsid w:val="00E76A69"/>
    <w:rsid w:val="00E76A7A"/>
    <w:rsid w:val="00E76A7D"/>
    <w:rsid w:val="00E76C8C"/>
    <w:rsid w:val="00E76CBE"/>
    <w:rsid w:val="00E76F0D"/>
    <w:rsid w:val="00E771A5"/>
    <w:rsid w:val="00E774B6"/>
    <w:rsid w:val="00E776F0"/>
    <w:rsid w:val="00E7782B"/>
    <w:rsid w:val="00E7790F"/>
    <w:rsid w:val="00E77CF3"/>
    <w:rsid w:val="00E77D3C"/>
    <w:rsid w:val="00E77DC1"/>
    <w:rsid w:val="00E77EA6"/>
    <w:rsid w:val="00E77FC2"/>
    <w:rsid w:val="00E80118"/>
    <w:rsid w:val="00E801F4"/>
    <w:rsid w:val="00E80205"/>
    <w:rsid w:val="00E8020A"/>
    <w:rsid w:val="00E8030F"/>
    <w:rsid w:val="00E8032E"/>
    <w:rsid w:val="00E80488"/>
    <w:rsid w:val="00E80584"/>
    <w:rsid w:val="00E80699"/>
    <w:rsid w:val="00E8077E"/>
    <w:rsid w:val="00E80797"/>
    <w:rsid w:val="00E8086E"/>
    <w:rsid w:val="00E808C2"/>
    <w:rsid w:val="00E8093B"/>
    <w:rsid w:val="00E80A61"/>
    <w:rsid w:val="00E80B99"/>
    <w:rsid w:val="00E80BD3"/>
    <w:rsid w:val="00E80C08"/>
    <w:rsid w:val="00E80CB0"/>
    <w:rsid w:val="00E80E23"/>
    <w:rsid w:val="00E80F66"/>
    <w:rsid w:val="00E80FA8"/>
    <w:rsid w:val="00E80FED"/>
    <w:rsid w:val="00E81180"/>
    <w:rsid w:val="00E81197"/>
    <w:rsid w:val="00E81295"/>
    <w:rsid w:val="00E81398"/>
    <w:rsid w:val="00E813B5"/>
    <w:rsid w:val="00E81468"/>
    <w:rsid w:val="00E814BB"/>
    <w:rsid w:val="00E81571"/>
    <w:rsid w:val="00E8166C"/>
    <w:rsid w:val="00E816B0"/>
    <w:rsid w:val="00E816ED"/>
    <w:rsid w:val="00E81949"/>
    <w:rsid w:val="00E819C8"/>
    <w:rsid w:val="00E819DF"/>
    <w:rsid w:val="00E81BDD"/>
    <w:rsid w:val="00E81D4E"/>
    <w:rsid w:val="00E81D91"/>
    <w:rsid w:val="00E81E16"/>
    <w:rsid w:val="00E81E5E"/>
    <w:rsid w:val="00E81FD5"/>
    <w:rsid w:val="00E820E3"/>
    <w:rsid w:val="00E820E4"/>
    <w:rsid w:val="00E82278"/>
    <w:rsid w:val="00E823B0"/>
    <w:rsid w:val="00E8252F"/>
    <w:rsid w:val="00E826FD"/>
    <w:rsid w:val="00E82770"/>
    <w:rsid w:val="00E827CC"/>
    <w:rsid w:val="00E828DD"/>
    <w:rsid w:val="00E82DC6"/>
    <w:rsid w:val="00E82E79"/>
    <w:rsid w:val="00E82E91"/>
    <w:rsid w:val="00E82F49"/>
    <w:rsid w:val="00E83139"/>
    <w:rsid w:val="00E831A0"/>
    <w:rsid w:val="00E83227"/>
    <w:rsid w:val="00E83359"/>
    <w:rsid w:val="00E833AE"/>
    <w:rsid w:val="00E83430"/>
    <w:rsid w:val="00E8347C"/>
    <w:rsid w:val="00E83538"/>
    <w:rsid w:val="00E83616"/>
    <w:rsid w:val="00E839B6"/>
    <w:rsid w:val="00E83A53"/>
    <w:rsid w:val="00E83B44"/>
    <w:rsid w:val="00E83BEF"/>
    <w:rsid w:val="00E83CEA"/>
    <w:rsid w:val="00E83E18"/>
    <w:rsid w:val="00E84027"/>
    <w:rsid w:val="00E8403D"/>
    <w:rsid w:val="00E84119"/>
    <w:rsid w:val="00E84238"/>
    <w:rsid w:val="00E8432B"/>
    <w:rsid w:val="00E844B3"/>
    <w:rsid w:val="00E84502"/>
    <w:rsid w:val="00E845B5"/>
    <w:rsid w:val="00E84996"/>
    <w:rsid w:val="00E84ABB"/>
    <w:rsid w:val="00E84B22"/>
    <w:rsid w:val="00E84BD7"/>
    <w:rsid w:val="00E84EEB"/>
    <w:rsid w:val="00E84F2A"/>
    <w:rsid w:val="00E84F3D"/>
    <w:rsid w:val="00E84F86"/>
    <w:rsid w:val="00E85029"/>
    <w:rsid w:val="00E8513F"/>
    <w:rsid w:val="00E853FF"/>
    <w:rsid w:val="00E85462"/>
    <w:rsid w:val="00E85636"/>
    <w:rsid w:val="00E85694"/>
    <w:rsid w:val="00E856DD"/>
    <w:rsid w:val="00E858E4"/>
    <w:rsid w:val="00E8598D"/>
    <w:rsid w:val="00E85BB6"/>
    <w:rsid w:val="00E85CCA"/>
    <w:rsid w:val="00E85CE4"/>
    <w:rsid w:val="00E85DF3"/>
    <w:rsid w:val="00E85EEF"/>
    <w:rsid w:val="00E85F36"/>
    <w:rsid w:val="00E85F69"/>
    <w:rsid w:val="00E85F84"/>
    <w:rsid w:val="00E85FCB"/>
    <w:rsid w:val="00E8638E"/>
    <w:rsid w:val="00E86545"/>
    <w:rsid w:val="00E86628"/>
    <w:rsid w:val="00E869C8"/>
    <w:rsid w:val="00E86A27"/>
    <w:rsid w:val="00E86A40"/>
    <w:rsid w:val="00E86A61"/>
    <w:rsid w:val="00E86A8D"/>
    <w:rsid w:val="00E86B60"/>
    <w:rsid w:val="00E86BB3"/>
    <w:rsid w:val="00E86D1B"/>
    <w:rsid w:val="00E86D3C"/>
    <w:rsid w:val="00E86DA7"/>
    <w:rsid w:val="00E870C6"/>
    <w:rsid w:val="00E870D9"/>
    <w:rsid w:val="00E870F2"/>
    <w:rsid w:val="00E87185"/>
    <w:rsid w:val="00E87308"/>
    <w:rsid w:val="00E87469"/>
    <w:rsid w:val="00E87522"/>
    <w:rsid w:val="00E87562"/>
    <w:rsid w:val="00E87983"/>
    <w:rsid w:val="00E87D62"/>
    <w:rsid w:val="00E87F12"/>
    <w:rsid w:val="00E8A30D"/>
    <w:rsid w:val="00E9038A"/>
    <w:rsid w:val="00E90419"/>
    <w:rsid w:val="00E9047E"/>
    <w:rsid w:val="00E90513"/>
    <w:rsid w:val="00E90542"/>
    <w:rsid w:val="00E905F0"/>
    <w:rsid w:val="00E9069E"/>
    <w:rsid w:val="00E90710"/>
    <w:rsid w:val="00E908FE"/>
    <w:rsid w:val="00E90A91"/>
    <w:rsid w:val="00E90C5E"/>
    <w:rsid w:val="00E90D5A"/>
    <w:rsid w:val="00E90DB6"/>
    <w:rsid w:val="00E90ED7"/>
    <w:rsid w:val="00E90F82"/>
    <w:rsid w:val="00E910E4"/>
    <w:rsid w:val="00E911C7"/>
    <w:rsid w:val="00E91390"/>
    <w:rsid w:val="00E9141A"/>
    <w:rsid w:val="00E9168A"/>
    <w:rsid w:val="00E9176D"/>
    <w:rsid w:val="00E9177C"/>
    <w:rsid w:val="00E917EF"/>
    <w:rsid w:val="00E91811"/>
    <w:rsid w:val="00E91859"/>
    <w:rsid w:val="00E91974"/>
    <w:rsid w:val="00E91A9C"/>
    <w:rsid w:val="00E91B27"/>
    <w:rsid w:val="00E91CEE"/>
    <w:rsid w:val="00E91D67"/>
    <w:rsid w:val="00E91DCA"/>
    <w:rsid w:val="00E92002"/>
    <w:rsid w:val="00E9230A"/>
    <w:rsid w:val="00E92338"/>
    <w:rsid w:val="00E927CE"/>
    <w:rsid w:val="00E92AFB"/>
    <w:rsid w:val="00E92CBD"/>
    <w:rsid w:val="00E92D2D"/>
    <w:rsid w:val="00E92DDB"/>
    <w:rsid w:val="00E92DE8"/>
    <w:rsid w:val="00E92F28"/>
    <w:rsid w:val="00E93161"/>
    <w:rsid w:val="00E93224"/>
    <w:rsid w:val="00E933BB"/>
    <w:rsid w:val="00E934A3"/>
    <w:rsid w:val="00E934DD"/>
    <w:rsid w:val="00E936BC"/>
    <w:rsid w:val="00E9379F"/>
    <w:rsid w:val="00E937EC"/>
    <w:rsid w:val="00E93824"/>
    <w:rsid w:val="00E93852"/>
    <w:rsid w:val="00E93A53"/>
    <w:rsid w:val="00E93A87"/>
    <w:rsid w:val="00E93ABA"/>
    <w:rsid w:val="00E93B03"/>
    <w:rsid w:val="00E93B96"/>
    <w:rsid w:val="00E93CAC"/>
    <w:rsid w:val="00E93CCB"/>
    <w:rsid w:val="00E93D41"/>
    <w:rsid w:val="00E93E5C"/>
    <w:rsid w:val="00E93F24"/>
    <w:rsid w:val="00E940D6"/>
    <w:rsid w:val="00E941EE"/>
    <w:rsid w:val="00E94239"/>
    <w:rsid w:val="00E94499"/>
    <w:rsid w:val="00E94502"/>
    <w:rsid w:val="00E94689"/>
    <w:rsid w:val="00E947C4"/>
    <w:rsid w:val="00E9482D"/>
    <w:rsid w:val="00E94847"/>
    <w:rsid w:val="00E948A0"/>
    <w:rsid w:val="00E948BC"/>
    <w:rsid w:val="00E94932"/>
    <w:rsid w:val="00E949BC"/>
    <w:rsid w:val="00E949C8"/>
    <w:rsid w:val="00E94A0C"/>
    <w:rsid w:val="00E94BB3"/>
    <w:rsid w:val="00E94C52"/>
    <w:rsid w:val="00E94DE6"/>
    <w:rsid w:val="00E94DFF"/>
    <w:rsid w:val="00E94E79"/>
    <w:rsid w:val="00E94F13"/>
    <w:rsid w:val="00E952C7"/>
    <w:rsid w:val="00E954E4"/>
    <w:rsid w:val="00E95640"/>
    <w:rsid w:val="00E95724"/>
    <w:rsid w:val="00E95815"/>
    <w:rsid w:val="00E95856"/>
    <w:rsid w:val="00E95953"/>
    <w:rsid w:val="00E95A85"/>
    <w:rsid w:val="00E95B73"/>
    <w:rsid w:val="00E95FBF"/>
    <w:rsid w:val="00E9604A"/>
    <w:rsid w:val="00E96064"/>
    <w:rsid w:val="00E96079"/>
    <w:rsid w:val="00E96358"/>
    <w:rsid w:val="00E964CE"/>
    <w:rsid w:val="00E9664A"/>
    <w:rsid w:val="00E96720"/>
    <w:rsid w:val="00E967AF"/>
    <w:rsid w:val="00E96839"/>
    <w:rsid w:val="00E9686B"/>
    <w:rsid w:val="00E968E4"/>
    <w:rsid w:val="00E96C23"/>
    <w:rsid w:val="00E96C26"/>
    <w:rsid w:val="00E96C5F"/>
    <w:rsid w:val="00E96CC2"/>
    <w:rsid w:val="00E96D5D"/>
    <w:rsid w:val="00E96E9F"/>
    <w:rsid w:val="00E9703E"/>
    <w:rsid w:val="00E9718D"/>
    <w:rsid w:val="00E973B1"/>
    <w:rsid w:val="00E973D9"/>
    <w:rsid w:val="00E97454"/>
    <w:rsid w:val="00E97587"/>
    <w:rsid w:val="00E975FE"/>
    <w:rsid w:val="00E976A9"/>
    <w:rsid w:val="00E977B8"/>
    <w:rsid w:val="00E97AEA"/>
    <w:rsid w:val="00E97B96"/>
    <w:rsid w:val="00E97C3B"/>
    <w:rsid w:val="00E97C73"/>
    <w:rsid w:val="00E97CF8"/>
    <w:rsid w:val="00E97D0E"/>
    <w:rsid w:val="00E97E3A"/>
    <w:rsid w:val="00E97E6F"/>
    <w:rsid w:val="00E97EBC"/>
    <w:rsid w:val="00E97F93"/>
    <w:rsid w:val="00EA0128"/>
    <w:rsid w:val="00EA0213"/>
    <w:rsid w:val="00EA039A"/>
    <w:rsid w:val="00EA03A2"/>
    <w:rsid w:val="00EA03BA"/>
    <w:rsid w:val="00EA040C"/>
    <w:rsid w:val="00EA0426"/>
    <w:rsid w:val="00EA0625"/>
    <w:rsid w:val="00EA06B1"/>
    <w:rsid w:val="00EA072A"/>
    <w:rsid w:val="00EA0861"/>
    <w:rsid w:val="00EA0B71"/>
    <w:rsid w:val="00EA0C13"/>
    <w:rsid w:val="00EA0C81"/>
    <w:rsid w:val="00EA0CC8"/>
    <w:rsid w:val="00EA0D33"/>
    <w:rsid w:val="00EA0D95"/>
    <w:rsid w:val="00EA0E41"/>
    <w:rsid w:val="00EA0F13"/>
    <w:rsid w:val="00EA0FA9"/>
    <w:rsid w:val="00EA104A"/>
    <w:rsid w:val="00EA10E4"/>
    <w:rsid w:val="00EA1157"/>
    <w:rsid w:val="00EA1335"/>
    <w:rsid w:val="00EA1457"/>
    <w:rsid w:val="00EA148B"/>
    <w:rsid w:val="00EA16B5"/>
    <w:rsid w:val="00EA1799"/>
    <w:rsid w:val="00EA1A14"/>
    <w:rsid w:val="00EA1E3B"/>
    <w:rsid w:val="00EA1ED9"/>
    <w:rsid w:val="00EA2038"/>
    <w:rsid w:val="00EA2057"/>
    <w:rsid w:val="00EA206A"/>
    <w:rsid w:val="00EA21E9"/>
    <w:rsid w:val="00EA2210"/>
    <w:rsid w:val="00EA2262"/>
    <w:rsid w:val="00EA2484"/>
    <w:rsid w:val="00EA25AB"/>
    <w:rsid w:val="00EA25FF"/>
    <w:rsid w:val="00EA263F"/>
    <w:rsid w:val="00EA27B6"/>
    <w:rsid w:val="00EA27EB"/>
    <w:rsid w:val="00EA28C1"/>
    <w:rsid w:val="00EA2908"/>
    <w:rsid w:val="00EA29A4"/>
    <w:rsid w:val="00EA2B4C"/>
    <w:rsid w:val="00EA2B4D"/>
    <w:rsid w:val="00EA2B8C"/>
    <w:rsid w:val="00EA2BAC"/>
    <w:rsid w:val="00EA2CF7"/>
    <w:rsid w:val="00EA2E65"/>
    <w:rsid w:val="00EA3095"/>
    <w:rsid w:val="00EA319A"/>
    <w:rsid w:val="00EA31D3"/>
    <w:rsid w:val="00EA3570"/>
    <w:rsid w:val="00EA358B"/>
    <w:rsid w:val="00EA369A"/>
    <w:rsid w:val="00EA3B8C"/>
    <w:rsid w:val="00EA3C2A"/>
    <w:rsid w:val="00EA3D15"/>
    <w:rsid w:val="00EA3E55"/>
    <w:rsid w:val="00EA45E3"/>
    <w:rsid w:val="00EA4604"/>
    <w:rsid w:val="00EA4613"/>
    <w:rsid w:val="00EA4630"/>
    <w:rsid w:val="00EA4865"/>
    <w:rsid w:val="00EA4895"/>
    <w:rsid w:val="00EA48C5"/>
    <w:rsid w:val="00EA48D9"/>
    <w:rsid w:val="00EA48E6"/>
    <w:rsid w:val="00EA49B3"/>
    <w:rsid w:val="00EA4D09"/>
    <w:rsid w:val="00EA4D6D"/>
    <w:rsid w:val="00EA4F19"/>
    <w:rsid w:val="00EA504B"/>
    <w:rsid w:val="00EA506D"/>
    <w:rsid w:val="00EA507E"/>
    <w:rsid w:val="00EA50D2"/>
    <w:rsid w:val="00EA5166"/>
    <w:rsid w:val="00EA52D2"/>
    <w:rsid w:val="00EA537D"/>
    <w:rsid w:val="00EA540C"/>
    <w:rsid w:val="00EA5470"/>
    <w:rsid w:val="00EA5591"/>
    <w:rsid w:val="00EA55DD"/>
    <w:rsid w:val="00EA5643"/>
    <w:rsid w:val="00EA5809"/>
    <w:rsid w:val="00EA5A4C"/>
    <w:rsid w:val="00EA5A5B"/>
    <w:rsid w:val="00EA5A6C"/>
    <w:rsid w:val="00EA5DC7"/>
    <w:rsid w:val="00EA6185"/>
    <w:rsid w:val="00EA61AE"/>
    <w:rsid w:val="00EA6259"/>
    <w:rsid w:val="00EA62F8"/>
    <w:rsid w:val="00EA64E3"/>
    <w:rsid w:val="00EA6542"/>
    <w:rsid w:val="00EA6562"/>
    <w:rsid w:val="00EA6586"/>
    <w:rsid w:val="00EA6607"/>
    <w:rsid w:val="00EA660D"/>
    <w:rsid w:val="00EA66B4"/>
    <w:rsid w:val="00EA66D7"/>
    <w:rsid w:val="00EA6786"/>
    <w:rsid w:val="00EA67B3"/>
    <w:rsid w:val="00EA67EA"/>
    <w:rsid w:val="00EA6941"/>
    <w:rsid w:val="00EA6B87"/>
    <w:rsid w:val="00EA6C1A"/>
    <w:rsid w:val="00EA6C74"/>
    <w:rsid w:val="00EA6C8B"/>
    <w:rsid w:val="00EA6D9F"/>
    <w:rsid w:val="00EA6EFA"/>
    <w:rsid w:val="00EA6F29"/>
    <w:rsid w:val="00EA7475"/>
    <w:rsid w:val="00EA7656"/>
    <w:rsid w:val="00EA7936"/>
    <w:rsid w:val="00EA7B5E"/>
    <w:rsid w:val="00EA7C26"/>
    <w:rsid w:val="00EA7EB5"/>
    <w:rsid w:val="00EA7EF9"/>
    <w:rsid w:val="00EA7F22"/>
    <w:rsid w:val="00EB02FB"/>
    <w:rsid w:val="00EB0354"/>
    <w:rsid w:val="00EB0871"/>
    <w:rsid w:val="00EB09DD"/>
    <w:rsid w:val="00EB0A60"/>
    <w:rsid w:val="00EB0C2A"/>
    <w:rsid w:val="00EB0C8B"/>
    <w:rsid w:val="00EB0D1F"/>
    <w:rsid w:val="00EB0E9E"/>
    <w:rsid w:val="00EB130F"/>
    <w:rsid w:val="00EB1493"/>
    <w:rsid w:val="00EB14A3"/>
    <w:rsid w:val="00EB15BC"/>
    <w:rsid w:val="00EB171C"/>
    <w:rsid w:val="00EB180C"/>
    <w:rsid w:val="00EB18D3"/>
    <w:rsid w:val="00EB197E"/>
    <w:rsid w:val="00EB1C3D"/>
    <w:rsid w:val="00EB1C50"/>
    <w:rsid w:val="00EB1C9B"/>
    <w:rsid w:val="00EB1CE8"/>
    <w:rsid w:val="00EB1FFA"/>
    <w:rsid w:val="00EB2280"/>
    <w:rsid w:val="00EB2593"/>
    <w:rsid w:val="00EB25AD"/>
    <w:rsid w:val="00EB25F2"/>
    <w:rsid w:val="00EB2617"/>
    <w:rsid w:val="00EB2765"/>
    <w:rsid w:val="00EB2887"/>
    <w:rsid w:val="00EB2956"/>
    <w:rsid w:val="00EB29B3"/>
    <w:rsid w:val="00EB2B60"/>
    <w:rsid w:val="00EB2BCF"/>
    <w:rsid w:val="00EB2C6C"/>
    <w:rsid w:val="00EB2CA9"/>
    <w:rsid w:val="00EB2DD3"/>
    <w:rsid w:val="00EB300D"/>
    <w:rsid w:val="00EB3078"/>
    <w:rsid w:val="00EB30B1"/>
    <w:rsid w:val="00EB31D1"/>
    <w:rsid w:val="00EB32D4"/>
    <w:rsid w:val="00EB32E8"/>
    <w:rsid w:val="00EB33B8"/>
    <w:rsid w:val="00EB34F7"/>
    <w:rsid w:val="00EB3551"/>
    <w:rsid w:val="00EB3814"/>
    <w:rsid w:val="00EB3831"/>
    <w:rsid w:val="00EB392B"/>
    <w:rsid w:val="00EB39EF"/>
    <w:rsid w:val="00EB3B0F"/>
    <w:rsid w:val="00EB3B1D"/>
    <w:rsid w:val="00EB3E24"/>
    <w:rsid w:val="00EB3EE8"/>
    <w:rsid w:val="00EB3F80"/>
    <w:rsid w:val="00EB420F"/>
    <w:rsid w:val="00EB44A8"/>
    <w:rsid w:val="00EB455B"/>
    <w:rsid w:val="00EB4779"/>
    <w:rsid w:val="00EB4875"/>
    <w:rsid w:val="00EB4A3A"/>
    <w:rsid w:val="00EB4A9F"/>
    <w:rsid w:val="00EB4AAE"/>
    <w:rsid w:val="00EB4C7F"/>
    <w:rsid w:val="00EB4FB7"/>
    <w:rsid w:val="00EB4FC0"/>
    <w:rsid w:val="00EB4FD2"/>
    <w:rsid w:val="00EB503C"/>
    <w:rsid w:val="00EB50F1"/>
    <w:rsid w:val="00EB513D"/>
    <w:rsid w:val="00EB515D"/>
    <w:rsid w:val="00EB51B1"/>
    <w:rsid w:val="00EB52C2"/>
    <w:rsid w:val="00EB536B"/>
    <w:rsid w:val="00EB53F0"/>
    <w:rsid w:val="00EB5698"/>
    <w:rsid w:val="00EB5867"/>
    <w:rsid w:val="00EB58D6"/>
    <w:rsid w:val="00EB5906"/>
    <w:rsid w:val="00EB591E"/>
    <w:rsid w:val="00EB5972"/>
    <w:rsid w:val="00EB5B9B"/>
    <w:rsid w:val="00EB5E39"/>
    <w:rsid w:val="00EB5E55"/>
    <w:rsid w:val="00EB5FE6"/>
    <w:rsid w:val="00EB608F"/>
    <w:rsid w:val="00EB635D"/>
    <w:rsid w:val="00EB6800"/>
    <w:rsid w:val="00EB6B31"/>
    <w:rsid w:val="00EB6B6E"/>
    <w:rsid w:val="00EB6E6C"/>
    <w:rsid w:val="00EB6EA2"/>
    <w:rsid w:val="00EB6EE3"/>
    <w:rsid w:val="00EB703D"/>
    <w:rsid w:val="00EB719B"/>
    <w:rsid w:val="00EB721B"/>
    <w:rsid w:val="00EB721F"/>
    <w:rsid w:val="00EB74AE"/>
    <w:rsid w:val="00EB75B1"/>
    <w:rsid w:val="00EB7606"/>
    <w:rsid w:val="00EB790F"/>
    <w:rsid w:val="00EB7955"/>
    <w:rsid w:val="00EB7B1F"/>
    <w:rsid w:val="00EB7B67"/>
    <w:rsid w:val="00EB7C48"/>
    <w:rsid w:val="00EB7EE5"/>
    <w:rsid w:val="00EB7F56"/>
    <w:rsid w:val="00EC007E"/>
    <w:rsid w:val="00EC00EE"/>
    <w:rsid w:val="00EC02F9"/>
    <w:rsid w:val="00EC034E"/>
    <w:rsid w:val="00EC0367"/>
    <w:rsid w:val="00EC044A"/>
    <w:rsid w:val="00EC0496"/>
    <w:rsid w:val="00EC0672"/>
    <w:rsid w:val="00EC0678"/>
    <w:rsid w:val="00EC06B1"/>
    <w:rsid w:val="00EC0745"/>
    <w:rsid w:val="00EC07F3"/>
    <w:rsid w:val="00EC07F4"/>
    <w:rsid w:val="00EC08E2"/>
    <w:rsid w:val="00EC0BBF"/>
    <w:rsid w:val="00EC0BDE"/>
    <w:rsid w:val="00EC0CA4"/>
    <w:rsid w:val="00EC0D0F"/>
    <w:rsid w:val="00EC0E41"/>
    <w:rsid w:val="00EC0EA9"/>
    <w:rsid w:val="00EC0FAA"/>
    <w:rsid w:val="00EC10FE"/>
    <w:rsid w:val="00EC12EA"/>
    <w:rsid w:val="00EC12FA"/>
    <w:rsid w:val="00EC132E"/>
    <w:rsid w:val="00EC13AC"/>
    <w:rsid w:val="00EC14A7"/>
    <w:rsid w:val="00EC14B4"/>
    <w:rsid w:val="00EC16A2"/>
    <w:rsid w:val="00EC16C2"/>
    <w:rsid w:val="00EC1769"/>
    <w:rsid w:val="00EC1804"/>
    <w:rsid w:val="00EC181F"/>
    <w:rsid w:val="00EC185B"/>
    <w:rsid w:val="00EC1BB3"/>
    <w:rsid w:val="00EC1CB7"/>
    <w:rsid w:val="00EC1F6E"/>
    <w:rsid w:val="00EC206A"/>
    <w:rsid w:val="00EC2182"/>
    <w:rsid w:val="00EC221F"/>
    <w:rsid w:val="00EC227E"/>
    <w:rsid w:val="00EC2389"/>
    <w:rsid w:val="00EC23BD"/>
    <w:rsid w:val="00EC251F"/>
    <w:rsid w:val="00EC27CF"/>
    <w:rsid w:val="00EC2961"/>
    <w:rsid w:val="00EC2991"/>
    <w:rsid w:val="00EC2A4D"/>
    <w:rsid w:val="00EC2A74"/>
    <w:rsid w:val="00EC2BAB"/>
    <w:rsid w:val="00EC2BD6"/>
    <w:rsid w:val="00EC2C02"/>
    <w:rsid w:val="00EC2E14"/>
    <w:rsid w:val="00EC2E37"/>
    <w:rsid w:val="00EC2F5A"/>
    <w:rsid w:val="00EC2F67"/>
    <w:rsid w:val="00EC2FE3"/>
    <w:rsid w:val="00EC3222"/>
    <w:rsid w:val="00EC34A1"/>
    <w:rsid w:val="00EC35BB"/>
    <w:rsid w:val="00EC3644"/>
    <w:rsid w:val="00EC3682"/>
    <w:rsid w:val="00EC36B3"/>
    <w:rsid w:val="00EC3906"/>
    <w:rsid w:val="00EC3B2D"/>
    <w:rsid w:val="00EC3B60"/>
    <w:rsid w:val="00EC3CE2"/>
    <w:rsid w:val="00EC3D5A"/>
    <w:rsid w:val="00EC3D67"/>
    <w:rsid w:val="00EC3EA5"/>
    <w:rsid w:val="00EC3FC0"/>
    <w:rsid w:val="00EC4072"/>
    <w:rsid w:val="00EC40E5"/>
    <w:rsid w:val="00EC42C6"/>
    <w:rsid w:val="00EC4327"/>
    <w:rsid w:val="00EC438B"/>
    <w:rsid w:val="00EC43E4"/>
    <w:rsid w:val="00EC43FD"/>
    <w:rsid w:val="00EC444D"/>
    <w:rsid w:val="00EC452F"/>
    <w:rsid w:val="00EC4661"/>
    <w:rsid w:val="00EC46E5"/>
    <w:rsid w:val="00EC47AB"/>
    <w:rsid w:val="00EC4A1F"/>
    <w:rsid w:val="00EC4E0E"/>
    <w:rsid w:val="00EC4E2B"/>
    <w:rsid w:val="00EC519E"/>
    <w:rsid w:val="00EC5271"/>
    <w:rsid w:val="00EC5339"/>
    <w:rsid w:val="00EC5349"/>
    <w:rsid w:val="00EC537E"/>
    <w:rsid w:val="00EC552F"/>
    <w:rsid w:val="00EC554C"/>
    <w:rsid w:val="00EC55C0"/>
    <w:rsid w:val="00EC56F7"/>
    <w:rsid w:val="00EC5719"/>
    <w:rsid w:val="00EC588F"/>
    <w:rsid w:val="00EC589C"/>
    <w:rsid w:val="00EC5B2E"/>
    <w:rsid w:val="00EC5F41"/>
    <w:rsid w:val="00EC5F7B"/>
    <w:rsid w:val="00EC602B"/>
    <w:rsid w:val="00EC605D"/>
    <w:rsid w:val="00EC60FC"/>
    <w:rsid w:val="00EC6323"/>
    <w:rsid w:val="00EC65E1"/>
    <w:rsid w:val="00EC6610"/>
    <w:rsid w:val="00EC690A"/>
    <w:rsid w:val="00EC697B"/>
    <w:rsid w:val="00EC6AEE"/>
    <w:rsid w:val="00EC6D2B"/>
    <w:rsid w:val="00EC6D57"/>
    <w:rsid w:val="00EC6DCE"/>
    <w:rsid w:val="00EC6E81"/>
    <w:rsid w:val="00EC6EB4"/>
    <w:rsid w:val="00EC6ED0"/>
    <w:rsid w:val="00EC707C"/>
    <w:rsid w:val="00EC715D"/>
    <w:rsid w:val="00EC721A"/>
    <w:rsid w:val="00EC730B"/>
    <w:rsid w:val="00EC74CD"/>
    <w:rsid w:val="00EC74E3"/>
    <w:rsid w:val="00EC76FF"/>
    <w:rsid w:val="00EC7729"/>
    <w:rsid w:val="00EC77A0"/>
    <w:rsid w:val="00EC7B0E"/>
    <w:rsid w:val="00EC7B8D"/>
    <w:rsid w:val="00EC7BB0"/>
    <w:rsid w:val="00EC7DE4"/>
    <w:rsid w:val="00EC7E69"/>
    <w:rsid w:val="00EC7EAB"/>
    <w:rsid w:val="00EC7EE4"/>
    <w:rsid w:val="00EC7FF8"/>
    <w:rsid w:val="00EC7FF9"/>
    <w:rsid w:val="00ED01A8"/>
    <w:rsid w:val="00ED031E"/>
    <w:rsid w:val="00ED0384"/>
    <w:rsid w:val="00ED03F3"/>
    <w:rsid w:val="00ED0431"/>
    <w:rsid w:val="00ED04BA"/>
    <w:rsid w:val="00ED0502"/>
    <w:rsid w:val="00ED050A"/>
    <w:rsid w:val="00ED05BA"/>
    <w:rsid w:val="00ED0625"/>
    <w:rsid w:val="00ED0829"/>
    <w:rsid w:val="00ED085F"/>
    <w:rsid w:val="00ED08A7"/>
    <w:rsid w:val="00ED08FD"/>
    <w:rsid w:val="00ED092C"/>
    <w:rsid w:val="00ED0AB8"/>
    <w:rsid w:val="00ED1252"/>
    <w:rsid w:val="00ED125B"/>
    <w:rsid w:val="00ED13A2"/>
    <w:rsid w:val="00ED13AC"/>
    <w:rsid w:val="00ED143E"/>
    <w:rsid w:val="00ED159C"/>
    <w:rsid w:val="00ED16D1"/>
    <w:rsid w:val="00ED19E0"/>
    <w:rsid w:val="00ED1B5A"/>
    <w:rsid w:val="00ED1C83"/>
    <w:rsid w:val="00ED1EB1"/>
    <w:rsid w:val="00ED2046"/>
    <w:rsid w:val="00ED2167"/>
    <w:rsid w:val="00ED22B7"/>
    <w:rsid w:val="00ED23C5"/>
    <w:rsid w:val="00ED23D5"/>
    <w:rsid w:val="00ED23E3"/>
    <w:rsid w:val="00ED2545"/>
    <w:rsid w:val="00ED2818"/>
    <w:rsid w:val="00ED2835"/>
    <w:rsid w:val="00ED28BC"/>
    <w:rsid w:val="00ED29FD"/>
    <w:rsid w:val="00ED2A92"/>
    <w:rsid w:val="00ED2E10"/>
    <w:rsid w:val="00ED2E4D"/>
    <w:rsid w:val="00ED303B"/>
    <w:rsid w:val="00ED30CE"/>
    <w:rsid w:val="00ED349D"/>
    <w:rsid w:val="00ED34BD"/>
    <w:rsid w:val="00ED3595"/>
    <w:rsid w:val="00ED363D"/>
    <w:rsid w:val="00ED381E"/>
    <w:rsid w:val="00ED3983"/>
    <w:rsid w:val="00ED3A0B"/>
    <w:rsid w:val="00ED3B34"/>
    <w:rsid w:val="00ED3B66"/>
    <w:rsid w:val="00ED3BEE"/>
    <w:rsid w:val="00ED3C52"/>
    <w:rsid w:val="00ED3C9E"/>
    <w:rsid w:val="00ED3CB7"/>
    <w:rsid w:val="00ED3CE7"/>
    <w:rsid w:val="00ED4003"/>
    <w:rsid w:val="00ED41DE"/>
    <w:rsid w:val="00ED4289"/>
    <w:rsid w:val="00ED42DC"/>
    <w:rsid w:val="00ED4406"/>
    <w:rsid w:val="00ED44A9"/>
    <w:rsid w:val="00ED45E1"/>
    <w:rsid w:val="00ED466B"/>
    <w:rsid w:val="00ED4722"/>
    <w:rsid w:val="00ED47A7"/>
    <w:rsid w:val="00ED47C2"/>
    <w:rsid w:val="00ED48A6"/>
    <w:rsid w:val="00ED48DA"/>
    <w:rsid w:val="00ED4A63"/>
    <w:rsid w:val="00ED4A8D"/>
    <w:rsid w:val="00ED4E15"/>
    <w:rsid w:val="00ED4E94"/>
    <w:rsid w:val="00ED4EBE"/>
    <w:rsid w:val="00ED4F43"/>
    <w:rsid w:val="00ED51A4"/>
    <w:rsid w:val="00ED53F2"/>
    <w:rsid w:val="00ED54EF"/>
    <w:rsid w:val="00ED5694"/>
    <w:rsid w:val="00ED58A4"/>
    <w:rsid w:val="00ED5DFE"/>
    <w:rsid w:val="00ED5E14"/>
    <w:rsid w:val="00ED6077"/>
    <w:rsid w:val="00ED6181"/>
    <w:rsid w:val="00ED61ED"/>
    <w:rsid w:val="00ED62BE"/>
    <w:rsid w:val="00ED62C8"/>
    <w:rsid w:val="00ED6325"/>
    <w:rsid w:val="00ED635F"/>
    <w:rsid w:val="00ED6374"/>
    <w:rsid w:val="00ED63F3"/>
    <w:rsid w:val="00ED659D"/>
    <w:rsid w:val="00ED65DA"/>
    <w:rsid w:val="00ED65DB"/>
    <w:rsid w:val="00ED672A"/>
    <w:rsid w:val="00ED6779"/>
    <w:rsid w:val="00ED68BF"/>
    <w:rsid w:val="00ED69F6"/>
    <w:rsid w:val="00ED6AB8"/>
    <w:rsid w:val="00ED6C10"/>
    <w:rsid w:val="00ED6C57"/>
    <w:rsid w:val="00ED6C5C"/>
    <w:rsid w:val="00ED6C8C"/>
    <w:rsid w:val="00ED6DD0"/>
    <w:rsid w:val="00ED6E97"/>
    <w:rsid w:val="00ED7072"/>
    <w:rsid w:val="00ED7135"/>
    <w:rsid w:val="00ED723D"/>
    <w:rsid w:val="00ED7445"/>
    <w:rsid w:val="00ED7671"/>
    <w:rsid w:val="00ED7962"/>
    <w:rsid w:val="00ED79A9"/>
    <w:rsid w:val="00ED7A01"/>
    <w:rsid w:val="00ED7BB4"/>
    <w:rsid w:val="00ED7F2D"/>
    <w:rsid w:val="00EE0152"/>
    <w:rsid w:val="00EE021B"/>
    <w:rsid w:val="00EE0263"/>
    <w:rsid w:val="00EE03D5"/>
    <w:rsid w:val="00EE042B"/>
    <w:rsid w:val="00EE0609"/>
    <w:rsid w:val="00EE065C"/>
    <w:rsid w:val="00EE07D3"/>
    <w:rsid w:val="00EE083D"/>
    <w:rsid w:val="00EE0962"/>
    <w:rsid w:val="00EE0AC9"/>
    <w:rsid w:val="00EE0AFE"/>
    <w:rsid w:val="00EE0AFF"/>
    <w:rsid w:val="00EE0BCA"/>
    <w:rsid w:val="00EE0BF2"/>
    <w:rsid w:val="00EE0CFE"/>
    <w:rsid w:val="00EE0E0B"/>
    <w:rsid w:val="00EE126B"/>
    <w:rsid w:val="00EE1462"/>
    <w:rsid w:val="00EE14C8"/>
    <w:rsid w:val="00EE1599"/>
    <w:rsid w:val="00EE17AC"/>
    <w:rsid w:val="00EE19E2"/>
    <w:rsid w:val="00EE1A0F"/>
    <w:rsid w:val="00EE1BC7"/>
    <w:rsid w:val="00EE1ED8"/>
    <w:rsid w:val="00EE1F53"/>
    <w:rsid w:val="00EE1FDF"/>
    <w:rsid w:val="00EE2040"/>
    <w:rsid w:val="00EE205E"/>
    <w:rsid w:val="00EE21AF"/>
    <w:rsid w:val="00EE2297"/>
    <w:rsid w:val="00EE2372"/>
    <w:rsid w:val="00EE23D4"/>
    <w:rsid w:val="00EE24B2"/>
    <w:rsid w:val="00EE264B"/>
    <w:rsid w:val="00EE2664"/>
    <w:rsid w:val="00EE2719"/>
    <w:rsid w:val="00EE2810"/>
    <w:rsid w:val="00EE2A8C"/>
    <w:rsid w:val="00EE2AA7"/>
    <w:rsid w:val="00EE2C1D"/>
    <w:rsid w:val="00EE2DBB"/>
    <w:rsid w:val="00EE2E84"/>
    <w:rsid w:val="00EE2EAE"/>
    <w:rsid w:val="00EE2F7A"/>
    <w:rsid w:val="00EE3187"/>
    <w:rsid w:val="00EE318A"/>
    <w:rsid w:val="00EE329B"/>
    <w:rsid w:val="00EE3496"/>
    <w:rsid w:val="00EE34A6"/>
    <w:rsid w:val="00EE36A6"/>
    <w:rsid w:val="00EE39D9"/>
    <w:rsid w:val="00EE3B7D"/>
    <w:rsid w:val="00EE3BF7"/>
    <w:rsid w:val="00EE3C40"/>
    <w:rsid w:val="00EE3DEF"/>
    <w:rsid w:val="00EE3DFC"/>
    <w:rsid w:val="00EE3F91"/>
    <w:rsid w:val="00EE4023"/>
    <w:rsid w:val="00EE405A"/>
    <w:rsid w:val="00EE42CC"/>
    <w:rsid w:val="00EE430F"/>
    <w:rsid w:val="00EE43C1"/>
    <w:rsid w:val="00EE4546"/>
    <w:rsid w:val="00EE469A"/>
    <w:rsid w:val="00EE4755"/>
    <w:rsid w:val="00EE478B"/>
    <w:rsid w:val="00EE4801"/>
    <w:rsid w:val="00EE4A0C"/>
    <w:rsid w:val="00EE4B83"/>
    <w:rsid w:val="00EE4BBB"/>
    <w:rsid w:val="00EE4BDE"/>
    <w:rsid w:val="00EE4E2D"/>
    <w:rsid w:val="00EE4EC3"/>
    <w:rsid w:val="00EE4FE5"/>
    <w:rsid w:val="00EE4FFC"/>
    <w:rsid w:val="00EE500F"/>
    <w:rsid w:val="00EE51E8"/>
    <w:rsid w:val="00EE520F"/>
    <w:rsid w:val="00EE5235"/>
    <w:rsid w:val="00EE545F"/>
    <w:rsid w:val="00EE5490"/>
    <w:rsid w:val="00EE55E0"/>
    <w:rsid w:val="00EE5769"/>
    <w:rsid w:val="00EE5795"/>
    <w:rsid w:val="00EE57FB"/>
    <w:rsid w:val="00EE5921"/>
    <w:rsid w:val="00EE595A"/>
    <w:rsid w:val="00EE5A61"/>
    <w:rsid w:val="00EE5A83"/>
    <w:rsid w:val="00EE5B7D"/>
    <w:rsid w:val="00EE5E9B"/>
    <w:rsid w:val="00EE6075"/>
    <w:rsid w:val="00EE60E6"/>
    <w:rsid w:val="00EE6181"/>
    <w:rsid w:val="00EE63D3"/>
    <w:rsid w:val="00EE6417"/>
    <w:rsid w:val="00EE64AC"/>
    <w:rsid w:val="00EE66E2"/>
    <w:rsid w:val="00EE6758"/>
    <w:rsid w:val="00EE6A4F"/>
    <w:rsid w:val="00EE6BDE"/>
    <w:rsid w:val="00EE6C3F"/>
    <w:rsid w:val="00EE6E53"/>
    <w:rsid w:val="00EE6F6F"/>
    <w:rsid w:val="00EE7123"/>
    <w:rsid w:val="00EE7301"/>
    <w:rsid w:val="00EE740A"/>
    <w:rsid w:val="00EE741B"/>
    <w:rsid w:val="00EE743A"/>
    <w:rsid w:val="00EE7599"/>
    <w:rsid w:val="00EE7909"/>
    <w:rsid w:val="00EE7A01"/>
    <w:rsid w:val="00EE7AE3"/>
    <w:rsid w:val="00EE7BED"/>
    <w:rsid w:val="00EE7E6B"/>
    <w:rsid w:val="00EE7F3B"/>
    <w:rsid w:val="00EF00DA"/>
    <w:rsid w:val="00EF010A"/>
    <w:rsid w:val="00EF0174"/>
    <w:rsid w:val="00EF032B"/>
    <w:rsid w:val="00EF038A"/>
    <w:rsid w:val="00EF0596"/>
    <w:rsid w:val="00EF05FC"/>
    <w:rsid w:val="00EF075F"/>
    <w:rsid w:val="00EF0884"/>
    <w:rsid w:val="00EF08DD"/>
    <w:rsid w:val="00EF0A18"/>
    <w:rsid w:val="00EF0A6E"/>
    <w:rsid w:val="00EF0A7A"/>
    <w:rsid w:val="00EF0B32"/>
    <w:rsid w:val="00EF0CDD"/>
    <w:rsid w:val="00EF0E02"/>
    <w:rsid w:val="00EF0E7A"/>
    <w:rsid w:val="00EF0FFB"/>
    <w:rsid w:val="00EF10B4"/>
    <w:rsid w:val="00EF10BE"/>
    <w:rsid w:val="00EF1208"/>
    <w:rsid w:val="00EF120F"/>
    <w:rsid w:val="00EF132B"/>
    <w:rsid w:val="00EF1510"/>
    <w:rsid w:val="00EF15F9"/>
    <w:rsid w:val="00EF166E"/>
    <w:rsid w:val="00EF16A3"/>
    <w:rsid w:val="00EF194B"/>
    <w:rsid w:val="00EF19B1"/>
    <w:rsid w:val="00EF1A04"/>
    <w:rsid w:val="00EF1A07"/>
    <w:rsid w:val="00EF1A71"/>
    <w:rsid w:val="00EF1D3B"/>
    <w:rsid w:val="00EF1EDD"/>
    <w:rsid w:val="00EF1F74"/>
    <w:rsid w:val="00EF207D"/>
    <w:rsid w:val="00EF20AA"/>
    <w:rsid w:val="00EF21B0"/>
    <w:rsid w:val="00EF22E2"/>
    <w:rsid w:val="00EF233A"/>
    <w:rsid w:val="00EF251E"/>
    <w:rsid w:val="00EF26A8"/>
    <w:rsid w:val="00EF27A6"/>
    <w:rsid w:val="00EF2806"/>
    <w:rsid w:val="00EF2826"/>
    <w:rsid w:val="00EF29EA"/>
    <w:rsid w:val="00EF2C31"/>
    <w:rsid w:val="00EF2DF2"/>
    <w:rsid w:val="00EF2E92"/>
    <w:rsid w:val="00EF30A3"/>
    <w:rsid w:val="00EF3217"/>
    <w:rsid w:val="00EF3337"/>
    <w:rsid w:val="00EF33BE"/>
    <w:rsid w:val="00EF371E"/>
    <w:rsid w:val="00EF3762"/>
    <w:rsid w:val="00EF37F6"/>
    <w:rsid w:val="00EF386B"/>
    <w:rsid w:val="00EF38F8"/>
    <w:rsid w:val="00EF3922"/>
    <w:rsid w:val="00EF396A"/>
    <w:rsid w:val="00EF39F9"/>
    <w:rsid w:val="00EF3C64"/>
    <w:rsid w:val="00EF3DD5"/>
    <w:rsid w:val="00EF423C"/>
    <w:rsid w:val="00EF42EE"/>
    <w:rsid w:val="00EF433B"/>
    <w:rsid w:val="00EF4357"/>
    <w:rsid w:val="00EF46A1"/>
    <w:rsid w:val="00EF47CF"/>
    <w:rsid w:val="00EF47E7"/>
    <w:rsid w:val="00EF48D1"/>
    <w:rsid w:val="00EF4A04"/>
    <w:rsid w:val="00EF4A75"/>
    <w:rsid w:val="00EF4AC0"/>
    <w:rsid w:val="00EF4AE6"/>
    <w:rsid w:val="00EF4B58"/>
    <w:rsid w:val="00EF4B5D"/>
    <w:rsid w:val="00EF4BC7"/>
    <w:rsid w:val="00EF4C08"/>
    <w:rsid w:val="00EF4CCD"/>
    <w:rsid w:val="00EF4DED"/>
    <w:rsid w:val="00EF5073"/>
    <w:rsid w:val="00EF508C"/>
    <w:rsid w:val="00EF50EA"/>
    <w:rsid w:val="00EF5144"/>
    <w:rsid w:val="00EF51BB"/>
    <w:rsid w:val="00EF5253"/>
    <w:rsid w:val="00EF5315"/>
    <w:rsid w:val="00EF5772"/>
    <w:rsid w:val="00EF5805"/>
    <w:rsid w:val="00EF58D1"/>
    <w:rsid w:val="00EF59C6"/>
    <w:rsid w:val="00EF5A2D"/>
    <w:rsid w:val="00EF5AC0"/>
    <w:rsid w:val="00EF5B0D"/>
    <w:rsid w:val="00EF5B53"/>
    <w:rsid w:val="00EF5B98"/>
    <w:rsid w:val="00EF5C37"/>
    <w:rsid w:val="00EF5EB7"/>
    <w:rsid w:val="00EF5F13"/>
    <w:rsid w:val="00EF5FF0"/>
    <w:rsid w:val="00EF60D5"/>
    <w:rsid w:val="00EF6192"/>
    <w:rsid w:val="00EF6196"/>
    <w:rsid w:val="00EF633F"/>
    <w:rsid w:val="00EF642F"/>
    <w:rsid w:val="00EF64E7"/>
    <w:rsid w:val="00EF650E"/>
    <w:rsid w:val="00EF6532"/>
    <w:rsid w:val="00EF69FA"/>
    <w:rsid w:val="00EF6A53"/>
    <w:rsid w:val="00EF6A8C"/>
    <w:rsid w:val="00EF6BE9"/>
    <w:rsid w:val="00EF6C3C"/>
    <w:rsid w:val="00EF6DB8"/>
    <w:rsid w:val="00EF6DBC"/>
    <w:rsid w:val="00EF6ECD"/>
    <w:rsid w:val="00EF6F67"/>
    <w:rsid w:val="00EF6FAE"/>
    <w:rsid w:val="00EF7019"/>
    <w:rsid w:val="00EF7266"/>
    <w:rsid w:val="00EF727A"/>
    <w:rsid w:val="00EF72A2"/>
    <w:rsid w:val="00EF73CC"/>
    <w:rsid w:val="00EF744C"/>
    <w:rsid w:val="00EF7652"/>
    <w:rsid w:val="00EF7673"/>
    <w:rsid w:val="00EF7678"/>
    <w:rsid w:val="00EF76A3"/>
    <w:rsid w:val="00EF794E"/>
    <w:rsid w:val="00EF7AA1"/>
    <w:rsid w:val="00EF7AD5"/>
    <w:rsid w:val="00EF7B6C"/>
    <w:rsid w:val="00EF7CDE"/>
    <w:rsid w:val="00EF7E5D"/>
    <w:rsid w:val="00EF7FEC"/>
    <w:rsid w:val="00F00332"/>
    <w:rsid w:val="00F00345"/>
    <w:rsid w:val="00F00546"/>
    <w:rsid w:val="00F006CE"/>
    <w:rsid w:val="00F00753"/>
    <w:rsid w:val="00F007F3"/>
    <w:rsid w:val="00F008C7"/>
    <w:rsid w:val="00F00B30"/>
    <w:rsid w:val="00F00C4F"/>
    <w:rsid w:val="00F00D7A"/>
    <w:rsid w:val="00F00FC6"/>
    <w:rsid w:val="00F0128C"/>
    <w:rsid w:val="00F012D8"/>
    <w:rsid w:val="00F01326"/>
    <w:rsid w:val="00F014E6"/>
    <w:rsid w:val="00F01756"/>
    <w:rsid w:val="00F01758"/>
    <w:rsid w:val="00F01813"/>
    <w:rsid w:val="00F018C2"/>
    <w:rsid w:val="00F018F6"/>
    <w:rsid w:val="00F01953"/>
    <w:rsid w:val="00F01ACC"/>
    <w:rsid w:val="00F01ACE"/>
    <w:rsid w:val="00F01B6D"/>
    <w:rsid w:val="00F01C66"/>
    <w:rsid w:val="00F01CBB"/>
    <w:rsid w:val="00F01CDD"/>
    <w:rsid w:val="00F01CDE"/>
    <w:rsid w:val="00F01CF1"/>
    <w:rsid w:val="00F01E3C"/>
    <w:rsid w:val="00F01EB6"/>
    <w:rsid w:val="00F01F9A"/>
    <w:rsid w:val="00F01FE5"/>
    <w:rsid w:val="00F02186"/>
    <w:rsid w:val="00F021F1"/>
    <w:rsid w:val="00F02437"/>
    <w:rsid w:val="00F024C1"/>
    <w:rsid w:val="00F024CC"/>
    <w:rsid w:val="00F026EB"/>
    <w:rsid w:val="00F028A7"/>
    <w:rsid w:val="00F02B12"/>
    <w:rsid w:val="00F02C78"/>
    <w:rsid w:val="00F02D09"/>
    <w:rsid w:val="00F02DE8"/>
    <w:rsid w:val="00F02E4F"/>
    <w:rsid w:val="00F02FA2"/>
    <w:rsid w:val="00F02FF9"/>
    <w:rsid w:val="00F031E9"/>
    <w:rsid w:val="00F03282"/>
    <w:rsid w:val="00F03473"/>
    <w:rsid w:val="00F034BD"/>
    <w:rsid w:val="00F035F1"/>
    <w:rsid w:val="00F03610"/>
    <w:rsid w:val="00F037E6"/>
    <w:rsid w:val="00F037F9"/>
    <w:rsid w:val="00F0381B"/>
    <w:rsid w:val="00F03B0B"/>
    <w:rsid w:val="00F03CA7"/>
    <w:rsid w:val="00F03E4A"/>
    <w:rsid w:val="00F03FBE"/>
    <w:rsid w:val="00F040B0"/>
    <w:rsid w:val="00F040CF"/>
    <w:rsid w:val="00F04102"/>
    <w:rsid w:val="00F04299"/>
    <w:rsid w:val="00F04306"/>
    <w:rsid w:val="00F043C8"/>
    <w:rsid w:val="00F044A4"/>
    <w:rsid w:val="00F044A5"/>
    <w:rsid w:val="00F044DD"/>
    <w:rsid w:val="00F044DE"/>
    <w:rsid w:val="00F045BE"/>
    <w:rsid w:val="00F04A10"/>
    <w:rsid w:val="00F04A78"/>
    <w:rsid w:val="00F04B4A"/>
    <w:rsid w:val="00F04C89"/>
    <w:rsid w:val="00F04CD8"/>
    <w:rsid w:val="00F04E06"/>
    <w:rsid w:val="00F04F6C"/>
    <w:rsid w:val="00F0547F"/>
    <w:rsid w:val="00F054B9"/>
    <w:rsid w:val="00F0599C"/>
    <w:rsid w:val="00F059B3"/>
    <w:rsid w:val="00F05AED"/>
    <w:rsid w:val="00F05DBD"/>
    <w:rsid w:val="00F05F8C"/>
    <w:rsid w:val="00F05FE5"/>
    <w:rsid w:val="00F06135"/>
    <w:rsid w:val="00F06318"/>
    <w:rsid w:val="00F06356"/>
    <w:rsid w:val="00F06387"/>
    <w:rsid w:val="00F063D6"/>
    <w:rsid w:val="00F064C2"/>
    <w:rsid w:val="00F064FA"/>
    <w:rsid w:val="00F0656E"/>
    <w:rsid w:val="00F06740"/>
    <w:rsid w:val="00F0686A"/>
    <w:rsid w:val="00F06970"/>
    <w:rsid w:val="00F06C8D"/>
    <w:rsid w:val="00F06C94"/>
    <w:rsid w:val="00F06D69"/>
    <w:rsid w:val="00F07042"/>
    <w:rsid w:val="00F0713E"/>
    <w:rsid w:val="00F0723D"/>
    <w:rsid w:val="00F07278"/>
    <w:rsid w:val="00F074D6"/>
    <w:rsid w:val="00F0759B"/>
    <w:rsid w:val="00F075B9"/>
    <w:rsid w:val="00F075DD"/>
    <w:rsid w:val="00F0776E"/>
    <w:rsid w:val="00F077E1"/>
    <w:rsid w:val="00F07895"/>
    <w:rsid w:val="00F079DA"/>
    <w:rsid w:val="00F079F6"/>
    <w:rsid w:val="00F07B68"/>
    <w:rsid w:val="00F07BCE"/>
    <w:rsid w:val="00F07BD3"/>
    <w:rsid w:val="00F07C00"/>
    <w:rsid w:val="00F07C23"/>
    <w:rsid w:val="00F07C96"/>
    <w:rsid w:val="00F07CD2"/>
    <w:rsid w:val="00F07D92"/>
    <w:rsid w:val="00F07E92"/>
    <w:rsid w:val="00F07F24"/>
    <w:rsid w:val="00F07F6E"/>
    <w:rsid w:val="00F07FB7"/>
    <w:rsid w:val="00F07FE8"/>
    <w:rsid w:val="00F1007A"/>
    <w:rsid w:val="00F10102"/>
    <w:rsid w:val="00F10348"/>
    <w:rsid w:val="00F10398"/>
    <w:rsid w:val="00F103CF"/>
    <w:rsid w:val="00F103E1"/>
    <w:rsid w:val="00F10485"/>
    <w:rsid w:val="00F104C2"/>
    <w:rsid w:val="00F10610"/>
    <w:rsid w:val="00F10635"/>
    <w:rsid w:val="00F108AC"/>
    <w:rsid w:val="00F10915"/>
    <w:rsid w:val="00F10B4E"/>
    <w:rsid w:val="00F10C24"/>
    <w:rsid w:val="00F10D2E"/>
    <w:rsid w:val="00F10D71"/>
    <w:rsid w:val="00F10FD7"/>
    <w:rsid w:val="00F110B7"/>
    <w:rsid w:val="00F1116A"/>
    <w:rsid w:val="00F11547"/>
    <w:rsid w:val="00F11565"/>
    <w:rsid w:val="00F1197F"/>
    <w:rsid w:val="00F11AFD"/>
    <w:rsid w:val="00F11E8F"/>
    <w:rsid w:val="00F1201B"/>
    <w:rsid w:val="00F120F2"/>
    <w:rsid w:val="00F1216C"/>
    <w:rsid w:val="00F121F5"/>
    <w:rsid w:val="00F12303"/>
    <w:rsid w:val="00F1235F"/>
    <w:rsid w:val="00F125F8"/>
    <w:rsid w:val="00F129EC"/>
    <w:rsid w:val="00F12A26"/>
    <w:rsid w:val="00F12A44"/>
    <w:rsid w:val="00F12A53"/>
    <w:rsid w:val="00F12E55"/>
    <w:rsid w:val="00F12E78"/>
    <w:rsid w:val="00F130A7"/>
    <w:rsid w:val="00F1367F"/>
    <w:rsid w:val="00F138ED"/>
    <w:rsid w:val="00F13AD3"/>
    <w:rsid w:val="00F13AE8"/>
    <w:rsid w:val="00F13B3E"/>
    <w:rsid w:val="00F13BEC"/>
    <w:rsid w:val="00F13C58"/>
    <w:rsid w:val="00F13DF8"/>
    <w:rsid w:val="00F13E56"/>
    <w:rsid w:val="00F13E5B"/>
    <w:rsid w:val="00F13EBC"/>
    <w:rsid w:val="00F14166"/>
    <w:rsid w:val="00F141A3"/>
    <w:rsid w:val="00F1424C"/>
    <w:rsid w:val="00F14349"/>
    <w:rsid w:val="00F144A8"/>
    <w:rsid w:val="00F1450D"/>
    <w:rsid w:val="00F14792"/>
    <w:rsid w:val="00F14816"/>
    <w:rsid w:val="00F14891"/>
    <w:rsid w:val="00F148A5"/>
    <w:rsid w:val="00F149B6"/>
    <w:rsid w:val="00F14A35"/>
    <w:rsid w:val="00F14B8A"/>
    <w:rsid w:val="00F14C73"/>
    <w:rsid w:val="00F14E11"/>
    <w:rsid w:val="00F14FAF"/>
    <w:rsid w:val="00F1514A"/>
    <w:rsid w:val="00F151B7"/>
    <w:rsid w:val="00F1523E"/>
    <w:rsid w:val="00F1526F"/>
    <w:rsid w:val="00F152DD"/>
    <w:rsid w:val="00F15307"/>
    <w:rsid w:val="00F153CE"/>
    <w:rsid w:val="00F1544A"/>
    <w:rsid w:val="00F15479"/>
    <w:rsid w:val="00F155EC"/>
    <w:rsid w:val="00F1577B"/>
    <w:rsid w:val="00F15930"/>
    <w:rsid w:val="00F159DE"/>
    <w:rsid w:val="00F15C66"/>
    <w:rsid w:val="00F15D0B"/>
    <w:rsid w:val="00F15DDA"/>
    <w:rsid w:val="00F15ED8"/>
    <w:rsid w:val="00F16266"/>
    <w:rsid w:val="00F16331"/>
    <w:rsid w:val="00F163B8"/>
    <w:rsid w:val="00F163D2"/>
    <w:rsid w:val="00F16466"/>
    <w:rsid w:val="00F164B6"/>
    <w:rsid w:val="00F166BF"/>
    <w:rsid w:val="00F166F9"/>
    <w:rsid w:val="00F167CE"/>
    <w:rsid w:val="00F1688E"/>
    <w:rsid w:val="00F16944"/>
    <w:rsid w:val="00F16AC5"/>
    <w:rsid w:val="00F16B9E"/>
    <w:rsid w:val="00F16CD2"/>
    <w:rsid w:val="00F17039"/>
    <w:rsid w:val="00F17145"/>
    <w:rsid w:val="00F174AB"/>
    <w:rsid w:val="00F17533"/>
    <w:rsid w:val="00F17655"/>
    <w:rsid w:val="00F17754"/>
    <w:rsid w:val="00F177D5"/>
    <w:rsid w:val="00F17AAA"/>
    <w:rsid w:val="00F17B88"/>
    <w:rsid w:val="00F17BFF"/>
    <w:rsid w:val="00F17CF8"/>
    <w:rsid w:val="00F17D3F"/>
    <w:rsid w:val="00F17D59"/>
    <w:rsid w:val="00F17E4F"/>
    <w:rsid w:val="00F17E74"/>
    <w:rsid w:val="00F17FBA"/>
    <w:rsid w:val="00F17FE1"/>
    <w:rsid w:val="00F200B0"/>
    <w:rsid w:val="00F202D5"/>
    <w:rsid w:val="00F202DD"/>
    <w:rsid w:val="00F20392"/>
    <w:rsid w:val="00F204F0"/>
    <w:rsid w:val="00F20526"/>
    <w:rsid w:val="00F20814"/>
    <w:rsid w:val="00F20873"/>
    <w:rsid w:val="00F208C3"/>
    <w:rsid w:val="00F20A29"/>
    <w:rsid w:val="00F20AFD"/>
    <w:rsid w:val="00F20D0C"/>
    <w:rsid w:val="00F20E35"/>
    <w:rsid w:val="00F20EBE"/>
    <w:rsid w:val="00F21016"/>
    <w:rsid w:val="00F21186"/>
    <w:rsid w:val="00F2119C"/>
    <w:rsid w:val="00F212D5"/>
    <w:rsid w:val="00F2138F"/>
    <w:rsid w:val="00F21771"/>
    <w:rsid w:val="00F2177F"/>
    <w:rsid w:val="00F217D3"/>
    <w:rsid w:val="00F217E2"/>
    <w:rsid w:val="00F21938"/>
    <w:rsid w:val="00F21A47"/>
    <w:rsid w:val="00F21AC6"/>
    <w:rsid w:val="00F21B6E"/>
    <w:rsid w:val="00F21BC6"/>
    <w:rsid w:val="00F21BD8"/>
    <w:rsid w:val="00F21D26"/>
    <w:rsid w:val="00F21D8C"/>
    <w:rsid w:val="00F21F0C"/>
    <w:rsid w:val="00F220EB"/>
    <w:rsid w:val="00F2212C"/>
    <w:rsid w:val="00F222B1"/>
    <w:rsid w:val="00F226E0"/>
    <w:rsid w:val="00F22841"/>
    <w:rsid w:val="00F22A04"/>
    <w:rsid w:val="00F22B7B"/>
    <w:rsid w:val="00F22C7A"/>
    <w:rsid w:val="00F22C83"/>
    <w:rsid w:val="00F22D3A"/>
    <w:rsid w:val="00F22E0D"/>
    <w:rsid w:val="00F22EBB"/>
    <w:rsid w:val="00F230D2"/>
    <w:rsid w:val="00F23267"/>
    <w:rsid w:val="00F23459"/>
    <w:rsid w:val="00F23467"/>
    <w:rsid w:val="00F235DB"/>
    <w:rsid w:val="00F238A6"/>
    <w:rsid w:val="00F23A7D"/>
    <w:rsid w:val="00F23AA5"/>
    <w:rsid w:val="00F23D0D"/>
    <w:rsid w:val="00F23D9C"/>
    <w:rsid w:val="00F23E0C"/>
    <w:rsid w:val="00F23F48"/>
    <w:rsid w:val="00F23F68"/>
    <w:rsid w:val="00F24237"/>
    <w:rsid w:val="00F24319"/>
    <w:rsid w:val="00F24358"/>
    <w:rsid w:val="00F2447A"/>
    <w:rsid w:val="00F245A4"/>
    <w:rsid w:val="00F246BA"/>
    <w:rsid w:val="00F24886"/>
    <w:rsid w:val="00F24903"/>
    <w:rsid w:val="00F2492D"/>
    <w:rsid w:val="00F249B7"/>
    <w:rsid w:val="00F24D22"/>
    <w:rsid w:val="00F24D46"/>
    <w:rsid w:val="00F24FE5"/>
    <w:rsid w:val="00F25363"/>
    <w:rsid w:val="00F25369"/>
    <w:rsid w:val="00F254DE"/>
    <w:rsid w:val="00F25562"/>
    <w:rsid w:val="00F2556B"/>
    <w:rsid w:val="00F259C0"/>
    <w:rsid w:val="00F25A09"/>
    <w:rsid w:val="00F25A9A"/>
    <w:rsid w:val="00F25AE6"/>
    <w:rsid w:val="00F25BC6"/>
    <w:rsid w:val="00F25BD2"/>
    <w:rsid w:val="00F25CAC"/>
    <w:rsid w:val="00F25E92"/>
    <w:rsid w:val="00F262BA"/>
    <w:rsid w:val="00F26327"/>
    <w:rsid w:val="00F264AD"/>
    <w:rsid w:val="00F264F3"/>
    <w:rsid w:val="00F26558"/>
    <w:rsid w:val="00F2655C"/>
    <w:rsid w:val="00F266B6"/>
    <w:rsid w:val="00F267E8"/>
    <w:rsid w:val="00F2688A"/>
    <w:rsid w:val="00F268E1"/>
    <w:rsid w:val="00F26A2E"/>
    <w:rsid w:val="00F26C58"/>
    <w:rsid w:val="00F26C91"/>
    <w:rsid w:val="00F26D8E"/>
    <w:rsid w:val="00F26DCB"/>
    <w:rsid w:val="00F26FFC"/>
    <w:rsid w:val="00F270AE"/>
    <w:rsid w:val="00F271B3"/>
    <w:rsid w:val="00F2721F"/>
    <w:rsid w:val="00F2732C"/>
    <w:rsid w:val="00F27361"/>
    <w:rsid w:val="00F274C6"/>
    <w:rsid w:val="00F274F2"/>
    <w:rsid w:val="00F277BA"/>
    <w:rsid w:val="00F27818"/>
    <w:rsid w:val="00F278B3"/>
    <w:rsid w:val="00F278BA"/>
    <w:rsid w:val="00F27928"/>
    <w:rsid w:val="00F279E7"/>
    <w:rsid w:val="00F27AB2"/>
    <w:rsid w:val="00F27B68"/>
    <w:rsid w:val="00F27BB2"/>
    <w:rsid w:val="00F27D45"/>
    <w:rsid w:val="00F30028"/>
    <w:rsid w:val="00F3030D"/>
    <w:rsid w:val="00F30357"/>
    <w:rsid w:val="00F303F0"/>
    <w:rsid w:val="00F304B4"/>
    <w:rsid w:val="00F307DA"/>
    <w:rsid w:val="00F30891"/>
    <w:rsid w:val="00F3097B"/>
    <w:rsid w:val="00F309AA"/>
    <w:rsid w:val="00F309B7"/>
    <w:rsid w:val="00F30BA3"/>
    <w:rsid w:val="00F30CAC"/>
    <w:rsid w:val="00F30CB1"/>
    <w:rsid w:val="00F30D9D"/>
    <w:rsid w:val="00F30F92"/>
    <w:rsid w:val="00F30FB5"/>
    <w:rsid w:val="00F310BD"/>
    <w:rsid w:val="00F31181"/>
    <w:rsid w:val="00F311DE"/>
    <w:rsid w:val="00F31406"/>
    <w:rsid w:val="00F318AE"/>
    <w:rsid w:val="00F319A1"/>
    <w:rsid w:val="00F319DB"/>
    <w:rsid w:val="00F319FD"/>
    <w:rsid w:val="00F31DFF"/>
    <w:rsid w:val="00F31E74"/>
    <w:rsid w:val="00F321AD"/>
    <w:rsid w:val="00F32296"/>
    <w:rsid w:val="00F32394"/>
    <w:rsid w:val="00F323BA"/>
    <w:rsid w:val="00F32458"/>
    <w:rsid w:val="00F32481"/>
    <w:rsid w:val="00F32518"/>
    <w:rsid w:val="00F325C8"/>
    <w:rsid w:val="00F32704"/>
    <w:rsid w:val="00F32870"/>
    <w:rsid w:val="00F328A9"/>
    <w:rsid w:val="00F328F2"/>
    <w:rsid w:val="00F3298A"/>
    <w:rsid w:val="00F32DD5"/>
    <w:rsid w:val="00F32DE9"/>
    <w:rsid w:val="00F331FD"/>
    <w:rsid w:val="00F3328C"/>
    <w:rsid w:val="00F33619"/>
    <w:rsid w:val="00F33939"/>
    <w:rsid w:val="00F33B5C"/>
    <w:rsid w:val="00F33C5E"/>
    <w:rsid w:val="00F33E13"/>
    <w:rsid w:val="00F33F28"/>
    <w:rsid w:val="00F33F31"/>
    <w:rsid w:val="00F34188"/>
    <w:rsid w:val="00F341F1"/>
    <w:rsid w:val="00F3427E"/>
    <w:rsid w:val="00F342A6"/>
    <w:rsid w:val="00F34302"/>
    <w:rsid w:val="00F3433C"/>
    <w:rsid w:val="00F3437B"/>
    <w:rsid w:val="00F345DC"/>
    <w:rsid w:val="00F34684"/>
    <w:rsid w:val="00F348DF"/>
    <w:rsid w:val="00F34913"/>
    <w:rsid w:val="00F34A51"/>
    <w:rsid w:val="00F34BB9"/>
    <w:rsid w:val="00F34CEC"/>
    <w:rsid w:val="00F34D18"/>
    <w:rsid w:val="00F34EC8"/>
    <w:rsid w:val="00F34EDB"/>
    <w:rsid w:val="00F350E0"/>
    <w:rsid w:val="00F35221"/>
    <w:rsid w:val="00F3528D"/>
    <w:rsid w:val="00F353E0"/>
    <w:rsid w:val="00F354BD"/>
    <w:rsid w:val="00F35576"/>
    <w:rsid w:val="00F35690"/>
    <w:rsid w:val="00F35747"/>
    <w:rsid w:val="00F35790"/>
    <w:rsid w:val="00F357FD"/>
    <w:rsid w:val="00F35871"/>
    <w:rsid w:val="00F35B14"/>
    <w:rsid w:val="00F35C4E"/>
    <w:rsid w:val="00F35D43"/>
    <w:rsid w:val="00F35EF2"/>
    <w:rsid w:val="00F35F57"/>
    <w:rsid w:val="00F35FDA"/>
    <w:rsid w:val="00F360E7"/>
    <w:rsid w:val="00F36295"/>
    <w:rsid w:val="00F362ED"/>
    <w:rsid w:val="00F36443"/>
    <w:rsid w:val="00F36996"/>
    <w:rsid w:val="00F369F1"/>
    <w:rsid w:val="00F369F8"/>
    <w:rsid w:val="00F36C09"/>
    <w:rsid w:val="00F36C48"/>
    <w:rsid w:val="00F36CF7"/>
    <w:rsid w:val="00F36D80"/>
    <w:rsid w:val="00F36F9F"/>
    <w:rsid w:val="00F37093"/>
    <w:rsid w:val="00F3724C"/>
    <w:rsid w:val="00F3727A"/>
    <w:rsid w:val="00F37497"/>
    <w:rsid w:val="00F377B6"/>
    <w:rsid w:val="00F379E0"/>
    <w:rsid w:val="00F37C04"/>
    <w:rsid w:val="00F37C8E"/>
    <w:rsid w:val="00F37D8E"/>
    <w:rsid w:val="00F4000D"/>
    <w:rsid w:val="00F400A2"/>
    <w:rsid w:val="00F400B6"/>
    <w:rsid w:val="00F400D3"/>
    <w:rsid w:val="00F4036C"/>
    <w:rsid w:val="00F404AB"/>
    <w:rsid w:val="00F40670"/>
    <w:rsid w:val="00F40820"/>
    <w:rsid w:val="00F408FD"/>
    <w:rsid w:val="00F4095F"/>
    <w:rsid w:val="00F40BAE"/>
    <w:rsid w:val="00F40BFD"/>
    <w:rsid w:val="00F40C22"/>
    <w:rsid w:val="00F40DA7"/>
    <w:rsid w:val="00F40E34"/>
    <w:rsid w:val="00F41328"/>
    <w:rsid w:val="00F41373"/>
    <w:rsid w:val="00F414CA"/>
    <w:rsid w:val="00F41657"/>
    <w:rsid w:val="00F41772"/>
    <w:rsid w:val="00F417F4"/>
    <w:rsid w:val="00F418AB"/>
    <w:rsid w:val="00F418DE"/>
    <w:rsid w:val="00F41916"/>
    <w:rsid w:val="00F41956"/>
    <w:rsid w:val="00F41BBA"/>
    <w:rsid w:val="00F41C01"/>
    <w:rsid w:val="00F41C92"/>
    <w:rsid w:val="00F41E2C"/>
    <w:rsid w:val="00F41EF9"/>
    <w:rsid w:val="00F41F38"/>
    <w:rsid w:val="00F41F7F"/>
    <w:rsid w:val="00F42096"/>
    <w:rsid w:val="00F420DE"/>
    <w:rsid w:val="00F42204"/>
    <w:rsid w:val="00F423C5"/>
    <w:rsid w:val="00F42438"/>
    <w:rsid w:val="00F4248A"/>
    <w:rsid w:val="00F426A7"/>
    <w:rsid w:val="00F427CA"/>
    <w:rsid w:val="00F4286A"/>
    <w:rsid w:val="00F42916"/>
    <w:rsid w:val="00F42939"/>
    <w:rsid w:val="00F4296D"/>
    <w:rsid w:val="00F429A5"/>
    <w:rsid w:val="00F429E9"/>
    <w:rsid w:val="00F42A96"/>
    <w:rsid w:val="00F42AED"/>
    <w:rsid w:val="00F42B40"/>
    <w:rsid w:val="00F42B9E"/>
    <w:rsid w:val="00F42C2C"/>
    <w:rsid w:val="00F42D17"/>
    <w:rsid w:val="00F42E99"/>
    <w:rsid w:val="00F42F82"/>
    <w:rsid w:val="00F43048"/>
    <w:rsid w:val="00F43103"/>
    <w:rsid w:val="00F437B7"/>
    <w:rsid w:val="00F43829"/>
    <w:rsid w:val="00F438AF"/>
    <w:rsid w:val="00F43988"/>
    <w:rsid w:val="00F43C10"/>
    <w:rsid w:val="00F43C84"/>
    <w:rsid w:val="00F43DAE"/>
    <w:rsid w:val="00F43DF1"/>
    <w:rsid w:val="00F43E67"/>
    <w:rsid w:val="00F43EB3"/>
    <w:rsid w:val="00F440C2"/>
    <w:rsid w:val="00F4414A"/>
    <w:rsid w:val="00F442EE"/>
    <w:rsid w:val="00F443C2"/>
    <w:rsid w:val="00F44431"/>
    <w:rsid w:val="00F444C3"/>
    <w:rsid w:val="00F44546"/>
    <w:rsid w:val="00F4466F"/>
    <w:rsid w:val="00F4473E"/>
    <w:rsid w:val="00F4478C"/>
    <w:rsid w:val="00F447AF"/>
    <w:rsid w:val="00F44885"/>
    <w:rsid w:val="00F448FF"/>
    <w:rsid w:val="00F44A19"/>
    <w:rsid w:val="00F44E09"/>
    <w:rsid w:val="00F44F55"/>
    <w:rsid w:val="00F45006"/>
    <w:rsid w:val="00F45039"/>
    <w:rsid w:val="00F45192"/>
    <w:rsid w:val="00F451BB"/>
    <w:rsid w:val="00F454D1"/>
    <w:rsid w:val="00F454D9"/>
    <w:rsid w:val="00F4560A"/>
    <w:rsid w:val="00F45780"/>
    <w:rsid w:val="00F458EB"/>
    <w:rsid w:val="00F45B1C"/>
    <w:rsid w:val="00F45BE7"/>
    <w:rsid w:val="00F45CBA"/>
    <w:rsid w:val="00F45D32"/>
    <w:rsid w:val="00F45DA6"/>
    <w:rsid w:val="00F45EC8"/>
    <w:rsid w:val="00F45FF5"/>
    <w:rsid w:val="00F4605B"/>
    <w:rsid w:val="00F461E0"/>
    <w:rsid w:val="00F46398"/>
    <w:rsid w:val="00F4647F"/>
    <w:rsid w:val="00F466A0"/>
    <w:rsid w:val="00F46902"/>
    <w:rsid w:val="00F46B3D"/>
    <w:rsid w:val="00F46D2A"/>
    <w:rsid w:val="00F46DFF"/>
    <w:rsid w:val="00F46EAA"/>
    <w:rsid w:val="00F46F08"/>
    <w:rsid w:val="00F46F92"/>
    <w:rsid w:val="00F4731B"/>
    <w:rsid w:val="00F47390"/>
    <w:rsid w:val="00F474BB"/>
    <w:rsid w:val="00F474D9"/>
    <w:rsid w:val="00F475B3"/>
    <w:rsid w:val="00F475D7"/>
    <w:rsid w:val="00F4766A"/>
    <w:rsid w:val="00F476B9"/>
    <w:rsid w:val="00F47849"/>
    <w:rsid w:val="00F47877"/>
    <w:rsid w:val="00F47A93"/>
    <w:rsid w:val="00F47C0A"/>
    <w:rsid w:val="00F47EB9"/>
    <w:rsid w:val="00F50050"/>
    <w:rsid w:val="00F500D3"/>
    <w:rsid w:val="00F500F8"/>
    <w:rsid w:val="00F5010F"/>
    <w:rsid w:val="00F501E2"/>
    <w:rsid w:val="00F501E5"/>
    <w:rsid w:val="00F5041C"/>
    <w:rsid w:val="00F5060F"/>
    <w:rsid w:val="00F5063C"/>
    <w:rsid w:val="00F506FC"/>
    <w:rsid w:val="00F50769"/>
    <w:rsid w:val="00F507D8"/>
    <w:rsid w:val="00F5082D"/>
    <w:rsid w:val="00F50883"/>
    <w:rsid w:val="00F50922"/>
    <w:rsid w:val="00F50A9C"/>
    <w:rsid w:val="00F50AA0"/>
    <w:rsid w:val="00F50B27"/>
    <w:rsid w:val="00F50C35"/>
    <w:rsid w:val="00F50EBB"/>
    <w:rsid w:val="00F50FFA"/>
    <w:rsid w:val="00F510E9"/>
    <w:rsid w:val="00F51172"/>
    <w:rsid w:val="00F51599"/>
    <w:rsid w:val="00F51669"/>
    <w:rsid w:val="00F51682"/>
    <w:rsid w:val="00F5182E"/>
    <w:rsid w:val="00F51844"/>
    <w:rsid w:val="00F518B0"/>
    <w:rsid w:val="00F518D6"/>
    <w:rsid w:val="00F51A60"/>
    <w:rsid w:val="00F51AB6"/>
    <w:rsid w:val="00F51C01"/>
    <w:rsid w:val="00F51D1B"/>
    <w:rsid w:val="00F51FEF"/>
    <w:rsid w:val="00F5224D"/>
    <w:rsid w:val="00F52323"/>
    <w:rsid w:val="00F52371"/>
    <w:rsid w:val="00F5242C"/>
    <w:rsid w:val="00F525EF"/>
    <w:rsid w:val="00F527DE"/>
    <w:rsid w:val="00F5284D"/>
    <w:rsid w:val="00F52AB1"/>
    <w:rsid w:val="00F52AC7"/>
    <w:rsid w:val="00F52BAA"/>
    <w:rsid w:val="00F52CDF"/>
    <w:rsid w:val="00F52E56"/>
    <w:rsid w:val="00F5327E"/>
    <w:rsid w:val="00F5330D"/>
    <w:rsid w:val="00F534D0"/>
    <w:rsid w:val="00F534F6"/>
    <w:rsid w:val="00F53585"/>
    <w:rsid w:val="00F538BC"/>
    <w:rsid w:val="00F53B78"/>
    <w:rsid w:val="00F53CF0"/>
    <w:rsid w:val="00F53D32"/>
    <w:rsid w:val="00F53E8F"/>
    <w:rsid w:val="00F53EF4"/>
    <w:rsid w:val="00F5405B"/>
    <w:rsid w:val="00F54596"/>
    <w:rsid w:val="00F545F3"/>
    <w:rsid w:val="00F546D4"/>
    <w:rsid w:val="00F54784"/>
    <w:rsid w:val="00F5480F"/>
    <w:rsid w:val="00F5481E"/>
    <w:rsid w:val="00F548D0"/>
    <w:rsid w:val="00F549B7"/>
    <w:rsid w:val="00F54A6C"/>
    <w:rsid w:val="00F54A70"/>
    <w:rsid w:val="00F54CA6"/>
    <w:rsid w:val="00F54CB8"/>
    <w:rsid w:val="00F54CD0"/>
    <w:rsid w:val="00F54D74"/>
    <w:rsid w:val="00F54DA9"/>
    <w:rsid w:val="00F54DFE"/>
    <w:rsid w:val="00F55067"/>
    <w:rsid w:val="00F5506E"/>
    <w:rsid w:val="00F550AA"/>
    <w:rsid w:val="00F55120"/>
    <w:rsid w:val="00F551CF"/>
    <w:rsid w:val="00F55278"/>
    <w:rsid w:val="00F554B9"/>
    <w:rsid w:val="00F55665"/>
    <w:rsid w:val="00F556C3"/>
    <w:rsid w:val="00F55721"/>
    <w:rsid w:val="00F55780"/>
    <w:rsid w:val="00F557A1"/>
    <w:rsid w:val="00F557B3"/>
    <w:rsid w:val="00F55870"/>
    <w:rsid w:val="00F558FD"/>
    <w:rsid w:val="00F55BF5"/>
    <w:rsid w:val="00F55C77"/>
    <w:rsid w:val="00F55D65"/>
    <w:rsid w:val="00F55DD0"/>
    <w:rsid w:val="00F55E9C"/>
    <w:rsid w:val="00F55ECC"/>
    <w:rsid w:val="00F56058"/>
    <w:rsid w:val="00F5606F"/>
    <w:rsid w:val="00F56112"/>
    <w:rsid w:val="00F56221"/>
    <w:rsid w:val="00F5626A"/>
    <w:rsid w:val="00F562ED"/>
    <w:rsid w:val="00F562F5"/>
    <w:rsid w:val="00F565F1"/>
    <w:rsid w:val="00F56602"/>
    <w:rsid w:val="00F56686"/>
    <w:rsid w:val="00F56745"/>
    <w:rsid w:val="00F567A9"/>
    <w:rsid w:val="00F568B5"/>
    <w:rsid w:val="00F569C6"/>
    <w:rsid w:val="00F56A12"/>
    <w:rsid w:val="00F56ABF"/>
    <w:rsid w:val="00F56AF8"/>
    <w:rsid w:val="00F56B79"/>
    <w:rsid w:val="00F56BA1"/>
    <w:rsid w:val="00F56C8C"/>
    <w:rsid w:val="00F56DE7"/>
    <w:rsid w:val="00F56E0A"/>
    <w:rsid w:val="00F56E9A"/>
    <w:rsid w:val="00F56F5D"/>
    <w:rsid w:val="00F56F92"/>
    <w:rsid w:val="00F570A8"/>
    <w:rsid w:val="00F570F1"/>
    <w:rsid w:val="00F571ED"/>
    <w:rsid w:val="00F5721C"/>
    <w:rsid w:val="00F57848"/>
    <w:rsid w:val="00F57A0C"/>
    <w:rsid w:val="00F57AED"/>
    <w:rsid w:val="00F57B17"/>
    <w:rsid w:val="00F57B6B"/>
    <w:rsid w:val="00F57E43"/>
    <w:rsid w:val="00F57F7F"/>
    <w:rsid w:val="00F60018"/>
    <w:rsid w:val="00F60144"/>
    <w:rsid w:val="00F601D0"/>
    <w:rsid w:val="00F601F2"/>
    <w:rsid w:val="00F60221"/>
    <w:rsid w:val="00F60390"/>
    <w:rsid w:val="00F60708"/>
    <w:rsid w:val="00F60716"/>
    <w:rsid w:val="00F60758"/>
    <w:rsid w:val="00F60B48"/>
    <w:rsid w:val="00F60B7C"/>
    <w:rsid w:val="00F60BBE"/>
    <w:rsid w:val="00F60BC7"/>
    <w:rsid w:val="00F60C58"/>
    <w:rsid w:val="00F60CCC"/>
    <w:rsid w:val="00F60DA9"/>
    <w:rsid w:val="00F60DB8"/>
    <w:rsid w:val="00F60DF2"/>
    <w:rsid w:val="00F60F7C"/>
    <w:rsid w:val="00F60FA9"/>
    <w:rsid w:val="00F61034"/>
    <w:rsid w:val="00F611D5"/>
    <w:rsid w:val="00F61217"/>
    <w:rsid w:val="00F61593"/>
    <w:rsid w:val="00F615DD"/>
    <w:rsid w:val="00F61839"/>
    <w:rsid w:val="00F6184D"/>
    <w:rsid w:val="00F61906"/>
    <w:rsid w:val="00F6196C"/>
    <w:rsid w:val="00F619F3"/>
    <w:rsid w:val="00F61C6D"/>
    <w:rsid w:val="00F61CED"/>
    <w:rsid w:val="00F61D95"/>
    <w:rsid w:val="00F6206B"/>
    <w:rsid w:val="00F620B7"/>
    <w:rsid w:val="00F6213F"/>
    <w:rsid w:val="00F6243E"/>
    <w:rsid w:val="00F62603"/>
    <w:rsid w:val="00F62614"/>
    <w:rsid w:val="00F627F3"/>
    <w:rsid w:val="00F6280D"/>
    <w:rsid w:val="00F62817"/>
    <w:rsid w:val="00F6283B"/>
    <w:rsid w:val="00F6299F"/>
    <w:rsid w:val="00F62A1D"/>
    <w:rsid w:val="00F62A95"/>
    <w:rsid w:val="00F62BA8"/>
    <w:rsid w:val="00F62C2A"/>
    <w:rsid w:val="00F62CB0"/>
    <w:rsid w:val="00F62CF5"/>
    <w:rsid w:val="00F62F73"/>
    <w:rsid w:val="00F63082"/>
    <w:rsid w:val="00F632E2"/>
    <w:rsid w:val="00F63387"/>
    <w:rsid w:val="00F63427"/>
    <w:rsid w:val="00F634F2"/>
    <w:rsid w:val="00F6354D"/>
    <w:rsid w:val="00F6356B"/>
    <w:rsid w:val="00F63750"/>
    <w:rsid w:val="00F63762"/>
    <w:rsid w:val="00F637A0"/>
    <w:rsid w:val="00F6385A"/>
    <w:rsid w:val="00F6385F"/>
    <w:rsid w:val="00F6389A"/>
    <w:rsid w:val="00F638D0"/>
    <w:rsid w:val="00F6396B"/>
    <w:rsid w:val="00F6396F"/>
    <w:rsid w:val="00F63A16"/>
    <w:rsid w:val="00F63A4E"/>
    <w:rsid w:val="00F63C7E"/>
    <w:rsid w:val="00F63D89"/>
    <w:rsid w:val="00F63EBD"/>
    <w:rsid w:val="00F63F9E"/>
    <w:rsid w:val="00F64004"/>
    <w:rsid w:val="00F64051"/>
    <w:rsid w:val="00F64097"/>
    <w:rsid w:val="00F642B5"/>
    <w:rsid w:val="00F644AC"/>
    <w:rsid w:val="00F6453C"/>
    <w:rsid w:val="00F645F0"/>
    <w:rsid w:val="00F64688"/>
    <w:rsid w:val="00F64787"/>
    <w:rsid w:val="00F6487D"/>
    <w:rsid w:val="00F64967"/>
    <w:rsid w:val="00F649CB"/>
    <w:rsid w:val="00F649E3"/>
    <w:rsid w:val="00F64B89"/>
    <w:rsid w:val="00F64BA5"/>
    <w:rsid w:val="00F64BF4"/>
    <w:rsid w:val="00F64C0A"/>
    <w:rsid w:val="00F651BB"/>
    <w:rsid w:val="00F6526F"/>
    <w:rsid w:val="00F6528B"/>
    <w:rsid w:val="00F6548D"/>
    <w:rsid w:val="00F65502"/>
    <w:rsid w:val="00F655D0"/>
    <w:rsid w:val="00F65822"/>
    <w:rsid w:val="00F65879"/>
    <w:rsid w:val="00F6598E"/>
    <w:rsid w:val="00F65E02"/>
    <w:rsid w:val="00F65E79"/>
    <w:rsid w:val="00F65EAB"/>
    <w:rsid w:val="00F65F1F"/>
    <w:rsid w:val="00F65F94"/>
    <w:rsid w:val="00F65FB2"/>
    <w:rsid w:val="00F66006"/>
    <w:rsid w:val="00F660F6"/>
    <w:rsid w:val="00F661EB"/>
    <w:rsid w:val="00F6627A"/>
    <w:rsid w:val="00F662F6"/>
    <w:rsid w:val="00F66327"/>
    <w:rsid w:val="00F663F6"/>
    <w:rsid w:val="00F665C0"/>
    <w:rsid w:val="00F66631"/>
    <w:rsid w:val="00F6665D"/>
    <w:rsid w:val="00F6682A"/>
    <w:rsid w:val="00F66925"/>
    <w:rsid w:val="00F66B51"/>
    <w:rsid w:val="00F66CCC"/>
    <w:rsid w:val="00F66D27"/>
    <w:rsid w:val="00F66DE1"/>
    <w:rsid w:val="00F66E52"/>
    <w:rsid w:val="00F66E57"/>
    <w:rsid w:val="00F66F78"/>
    <w:rsid w:val="00F67010"/>
    <w:rsid w:val="00F670B1"/>
    <w:rsid w:val="00F6718D"/>
    <w:rsid w:val="00F671AF"/>
    <w:rsid w:val="00F671F3"/>
    <w:rsid w:val="00F6757D"/>
    <w:rsid w:val="00F675C1"/>
    <w:rsid w:val="00F6765F"/>
    <w:rsid w:val="00F67699"/>
    <w:rsid w:val="00F679B8"/>
    <w:rsid w:val="00F67C58"/>
    <w:rsid w:val="00F67C79"/>
    <w:rsid w:val="00F67CFD"/>
    <w:rsid w:val="00F67EFD"/>
    <w:rsid w:val="00F67F99"/>
    <w:rsid w:val="00F706D7"/>
    <w:rsid w:val="00F708E7"/>
    <w:rsid w:val="00F709F0"/>
    <w:rsid w:val="00F70B36"/>
    <w:rsid w:val="00F7119F"/>
    <w:rsid w:val="00F7122E"/>
    <w:rsid w:val="00F716FF"/>
    <w:rsid w:val="00F718A9"/>
    <w:rsid w:val="00F718F3"/>
    <w:rsid w:val="00F71A16"/>
    <w:rsid w:val="00F71D4B"/>
    <w:rsid w:val="00F71DFB"/>
    <w:rsid w:val="00F71FBE"/>
    <w:rsid w:val="00F72075"/>
    <w:rsid w:val="00F720CC"/>
    <w:rsid w:val="00F72315"/>
    <w:rsid w:val="00F72356"/>
    <w:rsid w:val="00F723F9"/>
    <w:rsid w:val="00F72405"/>
    <w:rsid w:val="00F72471"/>
    <w:rsid w:val="00F7253D"/>
    <w:rsid w:val="00F72569"/>
    <w:rsid w:val="00F7256F"/>
    <w:rsid w:val="00F7258D"/>
    <w:rsid w:val="00F72817"/>
    <w:rsid w:val="00F7283A"/>
    <w:rsid w:val="00F72842"/>
    <w:rsid w:val="00F72B63"/>
    <w:rsid w:val="00F72D49"/>
    <w:rsid w:val="00F72DD3"/>
    <w:rsid w:val="00F72DD6"/>
    <w:rsid w:val="00F72EAC"/>
    <w:rsid w:val="00F72FE1"/>
    <w:rsid w:val="00F731A9"/>
    <w:rsid w:val="00F73348"/>
    <w:rsid w:val="00F73352"/>
    <w:rsid w:val="00F73368"/>
    <w:rsid w:val="00F73457"/>
    <w:rsid w:val="00F7346E"/>
    <w:rsid w:val="00F73553"/>
    <w:rsid w:val="00F73A8C"/>
    <w:rsid w:val="00F73C5E"/>
    <w:rsid w:val="00F73C79"/>
    <w:rsid w:val="00F73D11"/>
    <w:rsid w:val="00F73FAD"/>
    <w:rsid w:val="00F73FD0"/>
    <w:rsid w:val="00F74037"/>
    <w:rsid w:val="00F740B2"/>
    <w:rsid w:val="00F740B8"/>
    <w:rsid w:val="00F74238"/>
    <w:rsid w:val="00F74290"/>
    <w:rsid w:val="00F746BC"/>
    <w:rsid w:val="00F746E4"/>
    <w:rsid w:val="00F747FC"/>
    <w:rsid w:val="00F74BCC"/>
    <w:rsid w:val="00F74CEA"/>
    <w:rsid w:val="00F74DC1"/>
    <w:rsid w:val="00F751E7"/>
    <w:rsid w:val="00F75248"/>
    <w:rsid w:val="00F757CF"/>
    <w:rsid w:val="00F75867"/>
    <w:rsid w:val="00F75921"/>
    <w:rsid w:val="00F75D20"/>
    <w:rsid w:val="00F75D77"/>
    <w:rsid w:val="00F75F58"/>
    <w:rsid w:val="00F7604F"/>
    <w:rsid w:val="00F76479"/>
    <w:rsid w:val="00F76506"/>
    <w:rsid w:val="00F765D2"/>
    <w:rsid w:val="00F7660E"/>
    <w:rsid w:val="00F7665A"/>
    <w:rsid w:val="00F767B8"/>
    <w:rsid w:val="00F76844"/>
    <w:rsid w:val="00F76B12"/>
    <w:rsid w:val="00F76D33"/>
    <w:rsid w:val="00F76E8F"/>
    <w:rsid w:val="00F76EA7"/>
    <w:rsid w:val="00F76F2F"/>
    <w:rsid w:val="00F7715D"/>
    <w:rsid w:val="00F77373"/>
    <w:rsid w:val="00F7761B"/>
    <w:rsid w:val="00F77702"/>
    <w:rsid w:val="00F77763"/>
    <w:rsid w:val="00F77830"/>
    <w:rsid w:val="00F7785D"/>
    <w:rsid w:val="00F778C0"/>
    <w:rsid w:val="00F77AD0"/>
    <w:rsid w:val="00F77B80"/>
    <w:rsid w:val="00F77BCE"/>
    <w:rsid w:val="00F77BF6"/>
    <w:rsid w:val="00F77C87"/>
    <w:rsid w:val="00F77CC7"/>
    <w:rsid w:val="00F77DA4"/>
    <w:rsid w:val="00F77DDF"/>
    <w:rsid w:val="00F77F04"/>
    <w:rsid w:val="00F8008D"/>
    <w:rsid w:val="00F800B5"/>
    <w:rsid w:val="00F8032D"/>
    <w:rsid w:val="00F8039A"/>
    <w:rsid w:val="00F803B4"/>
    <w:rsid w:val="00F80423"/>
    <w:rsid w:val="00F80470"/>
    <w:rsid w:val="00F8047A"/>
    <w:rsid w:val="00F804B4"/>
    <w:rsid w:val="00F804BB"/>
    <w:rsid w:val="00F804C3"/>
    <w:rsid w:val="00F805CA"/>
    <w:rsid w:val="00F8065B"/>
    <w:rsid w:val="00F80740"/>
    <w:rsid w:val="00F80807"/>
    <w:rsid w:val="00F80961"/>
    <w:rsid w:val="00F809A6"/>
    <w:rsid w:val="00F80BF0"/>
    <w:rsid w:val="00F80BF2"/>
    <w:rsid w:val="00F80F43"/>
    <w:rsid w:val="00F81160"/>
    <w:rsid w:val="00F812E5"/>
    <w:rsid w:val="00F81396"/>
    <w:rsid w:val="00F813C9"/>
    <w:rsid w:val="00F813D1"/>
    <w:rsid w:val="00F813F8"/>
    <w:rsid w:val="00F81436"/>
    <w:rsid w:val="00F81485"/>
    <w:rsid w:val="00F814C2"/>
    <w:rsid w:val="00F8152E"/>
    <w:rsid w:val="00F816C5"/>
    <w:rsid w:val="00F81860"/>
    <w:rsid w:val="00F818F2"/>
    <w:rsid w:val="00F81991"/>
    <w:rsid w:val="00F81BB6"/>
    <w:rsid w:val="00F81E35"/>
    <w:rsid w:val="00F81E63"/>
    <w:rsid w:val="00F81E88"/>
    <w:rsid w:val="00F820DC"/>
    <w:rsid w:val="00F821B5"/>
    <w:rsid w:val="00F821DC"/>
    <w:rsid w:val="00F82232"/>
    <w:rsid w:val="00F824EC"/>
    <w:rsid w:val="00F8276E"/>
    <w:rsid w:val="00F828E4"/>
    <w:rsid w:val="00F82964"/>
    <w:rsid w:val="00F829F0"/>
    <w:rsid w:val="00F82A93"/>
    <w:rsid w:val="00F82B04"/>
    <w:rsid w:val="00F82D11"/>
    <w:rsid w:val="00F82D92"/>
    <w:rsid w:val="00F82E26"/>
    <w:rsid w:val="00F82E2D"/>
    <w:rsid w:val="00F83163"/>
    <w:rsid w:val="00F8318D"/>
    <w:rsid w:val="00F83289"/>
    <w:rsid w:val="00F832F6"/>
    <w:rsid w:val="00F833A0"/>
    <w:rsid w:val="00F833BF"/>
    <w:rsid w:val="00F83416"/>
    <w:rsid w:val="00F834EE"/>
    <w:rsid w:val="00F83512"/>
    <w:rsid w:val="00F835B0"/>
    <w:rsid w:val="00F837ED"/>
    <w:rsid w:val="00F8384D"/>
    <w:rsid w:val="00F8387F"/>
    <w:rsid w:val="00F838D5"/>
    <w:rsid w:val="00F839CC"/>
    <w:rsid w:val="00F83C10"/>
    <w:rsid w:val="00F83CDF"/>
    <w:rsid w:val="00F83D27"/>
    <w:rsid w:val="00F83D8D"/>
    <w:rsid w:val="00F83F35"/>
    <w:rsid w:val="00F83F51"/>
    <w:rsid w:val="00F83FBA"/>
    <w:rsid w:val="00F84033"/>
    <w:rsid w:val="00F840A3"/>
    <w:rsid w:val="00F840B1"/>
    <w:rsid w:val="00F8411C"/>
    <w:rsid w:val="00F842D2"/>
    <w:rsid w:val="00F842EC"/>
    <w:rsid w:val="00F84881"/>
    <w:rsid w:val="00F849AE"/>
    <w:rsid w:val="00F84AC3"/>
    <w:rsid w:val="00F84BDA"/>
    <w:rsid w:val="00F84D35"/>
    <w:rsid w:val="00F84EC5"/>
    <w:rsid w:val="00F84F54"/>
    <w:rsid w:val="00F84FCF"/>
    <w:rsid w:val="00F84FFD"/>
    <w:rsid w:val="00F8515D"/>
    <w:rsid w:val="00F855D5"/>
    <w:rsid w:val="00F85923"/>
    <w:rsid w:val="00F859BC"/>
    <w:rsid w:val="00F85DFD"/>
    <w:rsid w:val="00F85F63"/>
    <w:rsid w:val="00F85F99"/>
    <w:rsid w:val="00F86331"/>
    <w:rsid w:val="00F86389"/>
    <w:rsid w:val="00F866A9"/>
    <w:rsid w:val="00F867BC"/>
    <w:rsid w:val="00F86AE1"/>
    <w:rsid w:val="00F86AE4"/>
    <w:rsid w:val="00F86B66"/>
    <w:rsid w:val="00F86B79"/>
    <w:rsid w:val="00F86BC1"/>
    <w:rsid w:val="00F86C20"/>
    <w:rsid w:val="00F86D28"/>
    <w:rsid w:val="00F86EFC"/>
    <w:rsid w:val="00F872C2"/>
    <w:rsid w:val="00F872DD"/>
    <w:rsid w:val="00F874C8"/>
    <w:rsid w:val="00F87796"/>
    <w:rsid w:val="00F877DF"/>
    <w:rsid w:val="00F87887"/>
    <w:rsid w:val="00F878C5"/>
    <w:rsid w:val="00F8799E"/>
    <w:rsid w:val="00F87A39"/>
    <w:rsid w:val="00F87AA9"/>
    <w:rsid w:val="00F87C18"/>
    <w:rsid w:val="00F87CF2"/>
    <w:rsid w:val="00F87DB7"/>
    <w:rsid w:val="00F87E10"/>
    <w:rsid w:val="00F87EB0"/>
    <w:rsid w:val="00F87F79"/>
    <w:rsid w:val="00F87F8E"/>
    <w:rsid w:val="00F901F5"/>
    <w:rsid w:val="00F9042D"/>
    <w:rsid w:val="00F904F9"/>
    <w:rsid w:val="00F90574"/>
    <w:rsid w:val="00F906E3"/>
    <w:rsid w:val="00F9073D"/>
    <w:rsid w:val="00F9082B"/>
    <w:rsid w:val="00F908D8"/>
    <w:rsid w:val="00F90DA0"/>
    <w:rsid w:val="00F90DE9"/>
    <w:rsid w:val="00F912E1"/>
    <w:rsid w:val="00F912F0"/>
    <w:rsid w:val="00F9152A"/>
    <w:rsid w:val="00F91812"/>
    <w:rsid w:val="00F918FE"/>
    <w:rsid w:val="00F91951"/>
    <w:rsid w:val="00F91A01"/>
    <w:rsid w:val="00F91B32"/>
    <w:rsid w:val="00F91B3B"/>
    <w:rsid w:val="00F91B80"/>
    <w:rsid w:val="00F91C57"/>
    <w:rsid w:val="00F91CF0"/>
    <w:rsid w:val="00F91E30"/>
    <w:rsid w:val="00F91FAB"/>
    <w:rsid w:val="00F921B3"/>
    <w:rsid w:val="00F922D2"/>
    <w:rsid w:val="00F922D9"/>
    <w:rsid w:val="00F92364"/>
    <w:rsid w:val="00F92410"/>
    <w:rsid w:val="00F92441"/>
    <w:rsid w:val="00F924D8"/>
    <w:rsid w:val="00F92559"/>
    <w:rsid w:val="00F92B28"/>
    <w:rsid w:val="00F92B39"/>
    <w:rsid w:val="00F92C7F"/>
    <w:rsid w:val="00F92DEE"/>
    <w:rsid w:val="00F92E78"/>
    <w:rsid w:val="00F92F14"/>
    <w:rsid w:val="00F93043"/>
    <w:rsid w:val="00F931F2"/>
    <w:rsid w:val="00F931FE"/>
    <w:rsid w:val="00F93236"/>
    <w:rsid w:val="00F9327B"/>
    <w:rsid w:val="00F93316"/>
    <w:rsid w:val="00F933D8"/>
    <w:rsid w:val="00F93514"/>
    <w:rsid w:val="00F93589"/>
    <w:rsid w:val="00F935FC"/>
    <w:rsid w:val="00F9361D"/>
    <w:rsid w:val="00F936A2"/>
    <w:rsid w:val="00F9377E"/>
    <w:rsid w:val="00F93AB1"/>
    <w:rsid w:val="00F93D95"/>
    <w:rsid w:val="00F93F2E"/>
    <w:rsid w:val="00F93FBB"/>
    <w:rsid w:val="00F94111"/>
    <w:rsid w:val="00F94200"/>
    <w:rsid w:val="00F94259"/>
    <w:rsid w:val="00F9426D"/>
    <w:rsid w:val="00F945ED"/>
    <w:rsid w:val="00F946C1"/>
    <w:rsid w:val="00F9478B"/>
    <w:rsid w:val="00F947BF"/>
    <w:rsid w:val="00F94825"/>
    <w:rsid w:val="00F948DE"/>
    <w:rsid w:val="00F948E2"/>
    <w:rsid w:val="00F94B9B"/>
    <w:rsid w:val="00F94C42"/>
    <w:rsid w:val="00F94C4E"/>
    <w:rsid w:val="00F94C83"/>
    <w:rsid w:val="00F94C9E"/>
    <w:rsid w:val="00F94DE1"/>
    <w:rsid w:val="00F94E82"/>
    <w:rsid w:val="00F94F3D"/>
    <w:rsid w:val="00F94FA8"/>
    <w:rsid w:val="00F95239"/>
    <w:rsid w:val="00F95318"/>
    <w:rsid w:val="00F95385"/>
    <w:rsid w:val="00F95393"/>
    <w:rsid w:val="00F95459"/>
    <w:rsid w:val="00F95867"/>
    <w:rsid w:val="00F95875"/>
    <w:rsid w:val="00F959FC"/>
    <w:rsid w:val="00F95AB7"/>
    <w:rsid w:val="00F95DCD"/>
    <w:rsid w:val="00F95F8A"/>
    <w:rsid w:val="00F9624E"/>
    <w:rsid w:val="00F9653C"/>
    <w:rsid w:val="00F967CB"/>
    <w:rsid w:val="00F96815"/>
    <w:rsid w:val="00F96816"/>
    <w:rsid w:val="00F96A41"/>
    <w:rsid w:val="00F96A7B"/>
    <w:rsid w:val="00F96AE3"/>
    <w:rsid w:val="00F96E45"/>
    <w:rsid w:val="00F96EA4"/>
    <w:rsid w:val="00F96F6E"/>
    <w:rsid w:val="00F97257"/>
    <w:rsid w:val="00F97276"/>
    <w:rsid w:val="00F97301"/>
    <w:rsid w:val="00F97382"/>
    <w:rsid w:val="00F9778A"/>
    <w:rsid w:val="00F97AF1"/>
    <w:rsid w:val="00F97AF9"/>
    <w:rsid w:val="00F97CBA"/>
    <w:rsid w:val="00F97DFD"/>
    <w:rsid w:val="00F97E2B"/>
    <w:rsid w:val="00F97E31"/>
    <w:rsid w:val="00FA013B"/>
    <w:rsid w:val="00FA0246"/>
    <w:rsid w:val="00FA024F"/>
    <w:rsid w:val="00FA03B5"/>
    <w:rsid w:val="00FA049F"/>
    <w:rsid w:val="00FA057A"/>
    <w:rsid w:val="00FA05DB"/>
    <w:rsid w:val="00FA0684"/>
    <w:rsid w:val="00FA0685"/>
    <w:rsid w:val="00FA0713"/>
    <w:rsid w:val="00FA07A2"/>
    <w:rsid w:val="00FA0826"/>
    <w:rsid w:val="00FA09B3"/>
    <w:rsid w:val="00FA0A17"/>
    <w:rsid w:val="00FA0C0A"/>
    <w:rsid w:val="00FA0CE7"/>
    <w:rsid w:val="00FA0E63"/>
    <w:rsid w:val="00FA0E92"/>
    <w:rsid w:val="00FA0EE6"/>
    <w:rsid w:val="00FA0F2E"/>
    <w:rsid w:val="00FA100E"/>
    <w:rsid w:val="00FA10F2"/>
    <w:rsid w:val="00FA120D"/>
    <w:rsid w:val="00FA179F"/>
    <w:rsid w:val="00FA184F"/>
    <w:rsid w:val="00FA195D"/>
    <w:rsid w:val="00FA19A3"/>
    <w:rsid w:val="00FA1A76"/>
    <w:rsid w:val="00FA1B64"/>
    <w:rsid w:val="00FA1CDD"/>
    <w:rsid w:val="00FA1D13"/>
    <w:rsid w:val="00FA1EE9"/>
    <w:rsid w:val="00FA1FBB"/>
    <w:rsid w:val="00FA2078"/>
    <w:rsid w:val="00FA2223"/>
    <w:rsid w:val="00FA2229"/>
    <w:rsid w:val="00FA22C8"/>
    <w:rsid w:val="00FA23B6"/>
    <w:rsid w:val="00FA23D4"/>
    <w:rsid w:val="00FA2558"/>
    <w:rsid w:val="00FA2650"/>
    <w:rsid w:val="00FA265A"/>
    <w:rsid w:val="00FA26B6"/>
    <w:rsid w:val="00FA26CD"/>
    <w:rsid w:val="00FA26CF"/>
    <w:rsid w:val="00FA27A1"/>
    <w:rsid w:val="00FA2BC6"/>
    <w:rsid w:val="00FA2D35"/>
    <w:rsid w:val="00FA2E5B"/>
    <w:rsid w:val="00FA2FEB"/>
    <w:rsid w:val="00FA3017"/>
    <w:rsid w:val="00FA3070"/>
    <w:rsid w:val="00FA3191"/>
    <w:rsid w:val="00FA31A4"/>
    <w:rsid w:val="00FA3367"/>
    <w:rsid w:val="00FA3447"/>
    <w:rsid w:val="00FA34F6"/>
    <w:rsid w:val="00FA35AA"/>
    <w:rsid w:val="00FA35C2"/>
    <w:rsid w:val="00FA3607"/>
    <w:rsid w:val="00FA3748"/>
    <w:rsid w:val="00FA3826"/>
    <w:rsid w:val="00FA39C6"/>
    <w:rsid w:val="00FA3A50"/>
    <w:rsid w:val="00FA3AEE"/>
    <w:rsid w:val="00FA3E59"/>
    <w:rsid w:val="00FA3EFC"/>
    <w:rsid w:val="00FA406C"/>
    <w:rsid w:val="00FA407A"/>
    <w:rsid w:val="00FA40AC"/>
    <w:rsid w:val="00FA4113"/>
    <w:rsid w:val="00FA42CA"/>
    <w:rsid w:val="00FA4448"/>
    <w:rsid w:val="00FA4470"/>
    <w:rsid w:val="00FA4881"/>
    <w:rsid w:val="00FA48E5"/>
    <w:rsid w:val="00FA4C0C"/>
    <w:rsid w:val="00FA4C99"/>
    <w:rsid w:val="00FA4DFA"/>
    <w:rsid w:val="00FA50D2"/>
    <w:rsid w:val="00FA5216"/>
    <w:rsid w:val="00FA52B3"/>
    <w:rsid w:val="00FA53F7"/>
    <w:rsid w:val="00FA546F"/>
    <w:rsid w:val="00FA55AF"/>
    <w:rsid w:val="00FA59AE"/>
    <w:rsid w:val="00FA5BBB"/>
    <w:rsid w:val="00FA5CB2"/>
    <w:rsid w:val="00FA5DC0"/>
    <w:rsid w:val="00FA5EEA"/>
    <w:rsid w:val="00FA5F19"/>
    <w:rsid w:val="00FA5FC9"/>
    <w:rsid w:val="00FA6190"/>
    <w:rsid w:val="00FA6358"/>
    <w:rsid w:val="00FA636E"/>
    <w:rsid w:val="00FA6387"/>
    <w:rsid w:val="00FA63C0"/>
    <w:rsid w:val="00FA6406"/>
    <w:rsid w:val="00FA6445"/>
    <w:rsid w:val="00FA6541"/>
    <w:rsid w:val="00FA6600"/>
    <w:rsid w:val="00FA6624"/>
    <w:rsid w:val="00FA6A4B"/>
    <w:rsid w:val="00FA6AA9"/>
    <w:rsid w:val="00FA6BB0"/>
    <w:rsid w:val="00FA6BEC"/>
    <w:rsid w:val="00FA6C29"/>
    <w:rsid w:val="00FA6C9B"/>
    <w:rsid w:val="00FA70A1"/>
    <w:rsid w:val="00FA715F"/>
    <w:rsid w:val="00FA71E8"/>
    <w:rsid w:val="00FA7237"/>
    <w:rsid w:val="00FA7277"/>
    <w:rsid w:val="00FA761E"/>
    <w:rsid w:val="00FA7653"/>
    <w:rsid w:val="00FA7710"/>
    <w:rsid w:val="00FA797D"/>
    <w:rsid w:val="00FA79F0"/>
    <w:rsid w:val="00FA7A00"/>
    <w:rsid w:val="00FA7CA1"/>
    <w:rsid w:val="00FA7CA6"/>
    <w:rsid w:val="00FA7F64"/>
    <w:rsid w:val="00FA7F86"/>
    <w:rsid w:val="00FB0160"/>
    <w:rsid w:val="00FB016A"/>
    <w:rsid w:val="00FB0272"/>
    <w:rsid w:val="00FB0383"/>
    <w:rsid w:val="00FB0389"/>
    <w:rsid w:val="00FB0442"/>
    <w:rsid w:val="00FB044F"/>
    <w:rsid w:val="00FB049D"/>
    <w:rsid w:val="00FB050A"/>
    <w:rsid w:val="00FB0555"/>
    <w:rsid w:val="00FB0577"/>
    <w:rsid w:val="00FB059A"/>
    <w:rsid w:val="00FB05E0"/>
    <w:rsid w:val="00FB0667"/>
    <w:rsid w:val="00FB0896"/>
    <w:rsid w:val="00FB090B"/>
    <w:rsid w:val="00FB0910"/>
    <w:rsid w:val="00FB0C1D"/>
    <w:rsid w:val="00FB0D7A"/>
    <w:rsid w:val="00FB0E9E"/>
    <w:rsid w:val="00FB0FDD"/>
    <w:rsid w:val="00FB1122"/>
    <w:rsid w:val="00FB118B"/>
    <w:rsid w:val="00FB189F"/>
    <w:rsid w:val="00FB1954"/>
    <w:rsid w:val="00FB19DD"/>
    <w:rsid w:val="00FB1A66"/>
    <w:rsid w:val="00FB1A7B"/>
    <w:rsid w:val="00FB1AB5"/>
    <w:rsid w:val="00FB1B06"/>
    <w:rsid w:val="00FB1BBC"/>
    <w:rsid w:val="00FB1CA8"/>
    <w:rsid w:val="00FB1CDB"/>
    <w:rsid w:val="00FB1F5F"/>
    <w:rsid w:val="00FB1FA6"/>
    <w:rsid w:val="00FB200A"/>
    <w:rsid w:val="00FB2130"/>
    <w:rsid w:val="00FB2621"/>
    <w:rsid w:val="00FB264D"/>
    <w:rsid w:val="00FB26FF"/>
    <w:rsid w:val="00FB2805"/>
    <w:rsid w:val="00FB29E1"/>
    <w:rsid w:val="00FB2BA9"/>
    <w:rsid w:val="00FB2BBD"/>
    <w:rsid w:val="00FB2DF5"/>
    <w:rsid w:val="00FB2ED2"/>
    <w:rsid w:val="00FB30C9"/>
    <w:rsid w:val="00FB31AC"/>
    <w:rsid w:val="00FB32FC"/>
    <w:rsid w:val="00FB34E0"/>
    <w:rsid w:val="00FB364C"/>
    <w:rsid w:val="00FB36FF"/>
    <w:rsid w:val="00FB382E"/>
    <w:rsid w:val="00FB386F"/>
    <w:rsid w:val="00FB39CC"/>
    <w:rsid w:val="00FB39F3"/>
    <w:rsid w:val="00FB39FF"/>
    <w:rsid w:val="00FB3AF6"/>
    <w:rsid w:val="00FB3B0F"/>
    <w:rsid w:val="00FB3B28"/>
    <w:rsid w:val="00FB3BDB"/>
    <w:rsid w:val="00FB3C3D"/>
    <w:rsid w:val="00FB3C83"/>
    <w:rsid w:val="00FB3CB0"/>
    <w:rsid w:val="00FB3D71"/>
    <w:rsid w:val="00FB3E3A"/>
    <w:rsid w:val="00FB3EC0"/>
    <w:rsid w:val="00FB3F99"/>
    <w:rsid w:val="00FB4015"/>
    <w:rsid w:val="00FB40A9"/>
    <w:rsid w:val="00FB41F9"/>
    <w:rsid w:val="00FB4375"/>
    <w:rsid w:val="00FB44D0"/>
    <w:rsid w:val="00FB46D1"/>
    <w:rsid w:val="00FB4732"/>
    <w:rsid w:val="00FB476F"/>
    <w:rsid w:val="00FB47F2"/>
    <w:rsid w:val="00FB4809"/>
    <w:rsid w:val="00FB497A"/>
    <w:rsid w:val="00FB4A0E"/>
    <w:rsid w:val="00FB4A57"/>
    <w:rsid w:val="00FB4AF8"/>
    <w:rsid w:val="00FB4B50"/>
    <w:rsid w:val="00FB4CBD"/>
    <w:rsid w:val="00FB4EA9"/>
    <w:rsid w:val="00FB4F63"/>
    <w:rsid w:val="00FB4FBA"/>
    <w:rsid w:val="00FB506A"/>
    <w:rsid w:val="00FB5091"/>
    <w:rsid w:val="00FB5344"/>
    <w:rsid w:val="00FB547E"/>
    <w:rsid w:val="00FB549E"/>
    <w:rsid w:val="00FB5526"/>
    <w:rsid w:val="00FB56C9"/>
    <w:rsid w:val="00FB56D2"/>
    <w:rsid w:val="00FB57B4"/>
    <w:rsid w:val="00FB5824"/>
    <w:rsid w:val="00FB59E3"/>
    <w:rsid w:val="00FB5ABB"/>
    <w:rsid w:val="00FB5B9D"/>
    <w:rsid w:val="00FB5CC2"/>
    <w:rsid w:val="00FB5D19"/>
    <w:rsid w:val="00FB5E77"/>
    <w:rsid w:val="00FB5F6B"/>
    <w:rsid w:val="00FB5FE6"/>
    <w:rsid w:val="00FB6016"/>
    <w:rsid w:val="00FB606F"/>
    <w:rsid w:val="00FB6145"/>
    <w:rsid w:val="00FB61DA"/>
    <w:rsid w:val="00FB64F1"/>
    <w:rsid w:val="00FB6550"/>
    <w:rsid w:val="00FB692F"/>
    <w:rsid w:val="00FB697A"/>
    <w:rsid w:val="00FB6A2E"/>
    <w:rsid w:val="00FB6A7C"/>
    <w:rsid w:val="00FB6AB2"/>
    <w:rsid w:val="00FB6B78"/>
    <w:rsid w:val="00FB6C08"/>
    <w:rsid w:val="00FB6CB4"/>
    <w:rsid w:val="00FB6D69"/>
    <w:rsid w:val="00FB6E11"/>
    <w:rsid w:val="00FB6FAA"/>
    <w:rsid w:val="00FB70DF"/>
    <w:rsid w:val="00FB71E3"/>
    <w:rsid w:val="00FB7254"/>
    <w:rsid w:val="00FB73A6"/>
    <w:rsid w:val="00FB73CD"/>
    <w:rsid w:val="00FB73D1"/>
    <w:rsid w:val="00FB74F2"/>
    <w:rsid w:val="00FB7570"/>
    <w:rsid w:val="00FB7751"/>
    <w:rsid w:val="00FB7797"/>
    <w:rsid w:val="00FB77B0"/>
    <w:rsid w:val="00FB7894"/>
    <w:rsid w:val="00FB78B0"/>
    <w:rsid w:val="00FB7966"/>
    <w:rsid w:val="00FB7AF9"/>
    <w:rsid w:val="00FB7B86"/>
    <w:rsid w:val="00FB7BE9"/>
    <w:rsid w:val="00FB7C4C"/>
    <w:rsid w:val="00FB7C74"/>
    <w:rsid w:val="00FB7D2C"/>
    <w:rsid w:val="00FB7DCD"/>
    <w:rsid w:val="00FB7DEE"/>
    <w:rsid w:val="00FB7E7E"/>
    <w:rsid w:val="00FB7F14"/>
    <w:rsid w:val="00FB7F28"/>
    <w:rsid w:val="00FB7F66"/>
    <w:rsid w:val="00FC0073"/>
    <w:rsid w:val="00FC00A0"/>
    <w:rsid w:val="00FC00E3"/>
    <w:rsid w:val="00FC0587"/>
    <w:rsid w:val="00FC0654"/>
    <w:rsid w:val="00FC067F"/>
    <w:rsid w:val="00FC089C"/>
    <w:rsid w:val="00FC08DC"/>
    <w:rsid w:val="00FC0939"/>
    <w:rsid w:val="00FC0D51"/>
    <w:rsid w:val="00FC0E2C"/>
    <w:rsid w:val="00FC0E41"/>
    <w:rsid w:val="00FC0F14"/>
    <w:rsid w:val="00FC0F53"/>
    <w:rsid w:val="00FC0FCD"/>
    <w:rsid w:val="00FC1002"/>
    <w:rsid w:val="00FC10FC"/>
    <w:rsid w:val="00FC1284"/>
    <w:rsid w:val="00FC14C1"/>
    <w:rsid w:val="00FC159E"/>
    <w:rsid w:val="00FC1848"/>
    <w:rsid w:val="00FC196B"/>
    <w:rsid w:val="00FC19C2"/>
    <w:rsid w:val="00FC1BC3"/>
    <w:rsid w:val="00FC1C5A"/>
    <w:rsid w:val="00FC1CA8"/>
    <w:rsid w:val="00FC1DAE"/>
    <w:rsid w:val="00FC1FA2"/>
    <w:rsid w:val="00FC1FCA"/>
    <w:rsid w:val="00FC2126"/>
    <w:rsid w:val="00FC22B7"/>
    <w:rsid w:val="00FC239C"/>
    <w:rsid w:val="00FC272D"/>
    <w:rsid w:val="00FC27DB"/>
    <w:rsid w:val="00FC29F1"/>
    <w:rsid w:val="00FC2A0B"/>
    <w:rsid w:val="00FC2BD6"/>
    <w:rsid w:val="00FC2CB0"/>
    <w:rsid w:val="00FC2CB2"/>
    <w:rsid w:val="00FC31C7"/>
    <w:rsid w:val="00FC3256"/>
    <w:rsid w:val="00FC32A0"/>
    <w:rsid w:val="00FC333A"/>
    <w:rsid w:val="00FC3349"/>
    <w:rsid w:val="00FC34BE"/>
    <w:rsid w:val="00FC3518"/>
    <w:rsid w:val="00FC35E7"/>
    <w:rsid w:val="00FC3639"/>
    <w:rsid w:val="00FC36DD"/>
    <w:rsid w:val="00FC375C"/>
    <w:rsid w:val="00FC381C"/>
    <w:rsid w:val="00FC3A6C"/>
    <w:rsid w:val="00FC3CCC"/>
    <w:rsid w:val="00FC3D3C"/>
    <w:rsid w:val="00FC3D95"/>
    <w:rsid w:val="00FC3F9E"/>
    <w:rsid w:val="00FC4107"/>
    <w:rsid w:val="00FC4161"/>
    <w:rsid w:val="00FC429C"/>
    <w:rsid w:val="00FC42E7"/>
    <w:rsid w:val="00FC4347"/>
    <w:rsid w:val="00FC4455"/>
    <w:rsid w:val="00FC44D2"/>
    <w:rsid w:val="00FC4760"/>
    <w:rsid w:val="00FC479A"/>
    <w:rsid w:val="00FC49EC"/>
    <w:rsid w:val="00FC4A20"/>
    <w:rsid w:val="00FC4B2B"/>
    <w:rsid w:val="00FC4B50"/>
    <w:rsid w:val="00FC4BDF"/>
    <w:rsid w:val="00FC4BF6"/>
    <w:rsid w:val="00FC4CE6"/>
    <w:rsid w:val="00FC4E4A"/>
    <w:rsid w:val="00FC4E98"/>
    <w:rsid w:val="00FC4FAC"/>
    <w:rsid w:val="00FC50FB"/>
    <w:rsid w:val="00FC5178"/>
    <w:rsid w:val="00FC518B"/>
    <w:rsid w:val="00FC5269"/>
    <w:rsid w:val="00FC56DC"/>
    <w:rsid w:val="00FC57C6"/>
    <w:rsid w:val="00FC589C"/>
    <w:rsid w:val="00FC58BF"/>
    <w:rsid w:val="00FC59FA"/>
    <w:rsid w:val="00FC5B41"/>
    <w:rsid w:val="00FC5DE4"/>
    <w:rsid w:val="00FC5E96"/>
    <w:rsid w:val="00FC5F77"/>
    <w:rsid w:val="00FC5FB5"/>
    <w:rsid w:val="00FC607D"/>
    <w:rsid w:val="00FC611A"/>
    <w:rsid w:val="00FC6211"/>
    <w:rsid w:val="00FC63BE"/>
    <w:rsid w:val="00FC6446"/>
    <w:rsid w:val="00FC65F7"/>
    <w:rsid w:val="00FC65FE"/>
    <w:rsid w:val="00FC6613"/>
    <w:rsid w:val="00FC673F"/>
    <w:rsid w:val="00FC68F5"/>
    <w:rsid w:val="00FC6B15"/>
    <w:rsid w:val="00FC6B67"/>
    <w:rsid w:val="00FC6BBC"/>
    <w:rsid w:val="00FC6C7B"/>
    <w:rsid w:val="00FC6C9E"/>
    <w:rsid w:val="00FC6D4D"/>
    <w:rsid w:val="00FC6D8C"/>
    <w:rsid w:val="00FC6E8C"/>
    <w:rsid w:val="00FC6FCA"/>
    <w:rsid w:val="00FC702A"/>
    <w:rsid w:val="00FC7111"/>
    <w:rsid w:val="00FC719F"/>
    <w:rsid w:val="00FC71CD"/>
    <w:rsid w:val="00FC723C"/>
    <w:rsid w:val="00FC73AE"/>
    <w:rsid w:val="00FC7402"/>
    <w:rsid w:val="00FC755E"/>
    <w:rsid w:val="00FC7662"/>
    <w:rsid w:val="00FC76E4"/>
    <w:rsid w:val="00FC7778"/>
    <w:rsid w:val="00FC785A"/>
    <w:rsid w:val="00FC793A"/>
    <w:rsid w:val="00FC7BBA"/>
    <w:rsid w:val="00FC7BC0"/>
    <w:rsid w:val="00FC7C54"/>
    <w:rsid w:val="00FC7D51"/>
    <w:rsid w:val="00FC7DBF"/>
    <w:rsid w:val="00FC7E66"/>
    <w:rsid w:val="00FC7EDD"/>
    <w:rsid w:val="00FC7FC4"/>
    <w:rsid w:val="00FCA737"/>
    <w:rsid w:val="00FD0037"/>
    <w:rsid w:val="00FD01A3"/>
    <w:rsid w:val="00FD0203"/>
    <w:rsid w:val="00FD02B8"/>
    <w:rsid w:val="00FD0334"/>
    <w:rsid w:val="00FD0636"/>
    <w:rsid w:val="00FD06E5"/>
    <w:rsid w:val="00FD0971"/>
    <w:rsid w:val="00FD0AE8"/>
    <w:rsid w:val="00FD0DB4"/>
    <w:rsid w:val="00FD0E7A"/>
    <w:rsid w:val="00FD0EE3"/>
    <w:rsid w:val="00FD1023"/>
    <w:rsid w:val="00FD11B3"/>
    <w:rsid w:val="00FD11FB"/>
    <w:rsid w:val="00FD1287"/>
    <w:rsid w:val="00FD1313"/>
    <w:rsid w:val="00FD13D2"/>
    <w:rsid w:val="00FD146F"/>
    <w:rsid w:val="00FD16AA"/>
    <w:rsid w:val="00FD1797"/>
    <w:rsid w:val="00FD17AD"/>
    <w:rsid w:val="00FD1831"/>
    <w:rsid w:val="00FD1871"/>
    <w:rsid w:val="00FD1A5C"/>
    <w:rsid w:val="00FD1AA7"/>
    <w:rsid w:val="00FD1B8D"/>
    <w:rsid w:val="00FD1CEA"/>
    <w:rsid w:val="00FD1E4B"/>
    <w:rsid w:val="00FD1F34"/>
    <w:rsid w:val="00FD2032"/>
    <w:rsid w:val="00FD22AD"/>
    <w:rsid w:val="00FD23BC"/>
    <w:rsid w:val="00FD2447"/>
    <w:rsid w:val="00FD2467"/>
    <w:rsid w:val="00FD255E"/>
    <w:rsid w:val="00FD263B"/>
    <w:rsid w:val="00FD26BC"/>
    <w:rsid w:val="00FD28DD"/>
    <w:rsid w:val="00FD28F7"/>
    <w:rsid w:val="00FD2987"/>
    <w:rsid w:val="00FD299A"/>
    <w:rsid w:val="00FD2A3D"/>
    <w:rsid w:val="00FD2CC3"/>
    <w:rsid w:val="00FD2D33"/>
    <w:rsid w:val="00FD2D58"/>
    <w:rsid w:val="00FD2F4F"/>
    <w:rsid w:val="00FD3149"/>
    <w:rsid w:val="00FD31FA"/>
    <w:rsid w:val="00FD328D"/>
    <w:rsid w:val="00FD32AA"/>
    <w:rsid w:val="00FD333E"/>
    <w:rsid w:val="00FD335C"/>
    <w:rsid w:val="00FD347C"/>
    <w:rsid w:val="00FD3492"/>
    <w:rsid w:val="00FD359B"/>
    <w:rsid w:val="00FD35B1"/>
    <w:rsid w:val="00FD374A"/>
    <w:rsid w:val="00FD3888"/>
    <w:rsid w:val="00FD39A5"/>
    <w:rsid w:val="00FD3A06"/>
    <w:rsid w:val="00FD3A55"/>
    <w:rsid w:val="00FD3AF0"/>
    <w:rsid w:val="00FD3B14"/>
    <w:rsid w:val="00FD3B44"/>
    <w:rsid w:val="00FD3BD8"/>
    <w:rsid w:val="00FD3D60"/>
    <w:rsid w:val="00FD3E0D"/>
    <w:rsid w:val="00FD3E38"/>
    <w:rsid w:val="00FD3FFC"/>
    <w:rsid w:val="00FD42C9"/>
    <w:rsid w:val="00FD43D4"/>
    <w:rsid w:val="00FD45B3"/>
    <w:rsid w:val="00FD45B9"/>
    <w:rsid w:val="00FD45C2"/>
    <w:rsid w:val="00FD45CA"/>
    <w:rsid w:val="00FD4702"/>
    <w:rsid w:val="00FD4972"/>
    <w:rsid w:val="00FD4A0A"/>
    <w:rsid w:val="00FD4C88"/>
    <w:rsid w:val="00FD4CED"/>
    <w:rsid w:val="00FD4E8D"/>
    <w:rsid w:val="00FD4F7A"/>
    <w:rsid w:val="00FD502B"/>
    <w:rsid w:val="00FD511F"/>
    <w:rsid w:val="00FD5122"/>
    <w:rsid w:val="00FD5131"/>
    <w:rsid w:val="00FD5218"/>
    <w:rsid w:val="00FD5234"/>
    <w:rsid w:val="00FD5454"/>
    <w:rsid w:val="00FD5612"/>
    <w:rsid w:val="00FD56A6"/>
    <w:rsid w:val="00FD575C"/>
    <w:rsid w:val="00FD5807"/>
    <w:rsid w:val="00FD5D6B"/>
    <w:rsid w:val="00FD5E9D"/>
    <w:rsid w:val="00FD5EB4"/>
    <w:rsid w:val="00FD5F71"/>
    <w:rsid w:val="00FD6017"/>
    <w:rsid w:val="00FD6022"/>
    <w:rsid w:val="00FD6214"/>
    <w:rsid w:val="00FD631B"/>
    <w:rsid w:val="00FD63BA"/>
    <w:rsid w:val="00FD644F"/>
    <w:rsid w:val="00FD64C2"/>
    <w:rsid w:val="00FD6636"/>
    <w:rsid w:val="00FD66C8"/>
    <w:rsid w:val="00FD6741"/>
    <w:rsid w:val="00FD6823"/>
    <w:rsid w:val="00FD6AF8"/>
    <w:rsid w:val="00FD6CF4"/>
    <w:rsid w:val="00FD6F99"/>
    <w:rsid w:val="00FD6FEA"/>
    <w:rsid w:val="00FD7062"/>
    <w:rsid w:val="00FD7112"/>
    <w:rsid w:val="00FD7294"/>
    <w:rsid w:val="00FD72E0"/>
    <w:rsid w:val="00FD73A7"/>
    <w:rsid w:val="00FD77DA"/>
    <w:rsid w:val="00FD786E"/>
    <w:rsid w:val="00FD78D2"/>
    <w:rsid w:val="00FD795A"/>
    <w:rsid w:val="00FD79BC"/>
    <w:rsid w:val="00FD7AA4"/>
    <w:rsid w:val="00FD7AE8"/>
    <w:rsid w:val="00FD7B5B"/>
    <w:rsid w:val="00FD7B74"/>
    <w:rsid w:val="00FD7BB1"/>
    <w:rsid w:val="00FD7BEA"/>
    <w:rsid w:val="00FD7C50"/>
    <w:rsid w:val="00FD7DDA"/>
    <w:rsid w:val="00FD7F49"/>
    <w:rsid w:val="00FE0102"/>
    <w:rsid w:val="00FE0146"/>
    <w:rsid w:val="00FE0554"/>
    <w:rsid w:val="00FE074C"/>
    <w:rsid w:val="00FE077F"/>
    <w:rsid w:val="00FE07D6"/>
    <w:rsid w:val="00FE0860"/>
    <w:rsid w:val="00FE0913"/>
    <w:rsid w:val="00FE0AA0"/>
    <w:rsid w:val="00FE0B1B"/>
    <w:rsid w:val="00FE0B2E"/>
    <w:rsid w:val="00FE0B59"/>
    <w:rsid w:val="00FE0C91"/>
    <w:rsid w:val="00FE0DCF"/>
    <w:rsid w:val="00FE0FE2"/>
    <w:rsid w:val="00FE0FE3"/>
    <w:rsid w:val="00FE112B"/>
    <w:rsid w:val="00FE1177"/>
    <w:rsid w:val="00FE1196"/>
    <w:rsid w:val="00FE12DC"/>
    <w:rsid w:val="00FE1719"/>
    <w:rsid w:val="00FE1734"/>
    <w:rsid w:val="00FE1764"/>
    <w:rsid w:val="00FE1833"/>
    <w:rsid w:val="00FE189D"/>
    <w:rsid w:val="00FE1917"/>
    <w:rsid w:val="00FE1947"/>
    <w:rsid w:val="00FE19EE"/>
    <w:rsid w:val="00FE1A51"/>
    <w:rsid w:val="00FE1BDB"/>
    <w:rsid w:val="00FE1D7D"/>
    <w:rsid w:val="00FE1E59"/>
    <w:rsid w:val="00FE1E97"/>
    <w:rsid w:val="00FE1EA1"/>
    <w:rsid w:val="00FE1EDD"/>
    <w:rsid w:val="00FE1FFF"/>
    <w:rsid w:val="00FE22C4"/>
    <w:rsid w:val="00FE2354"/>
    <w:rsid w:val="00FE2412"/>
    <w:rsid w:val="00FE2470"/>
    <w:rsid w:val="00FE268D"/>
    <w:rsid w:val="00FE277A"/>
    <w:rsid w:val="00FE28B3"/>
    <w:rsid w:val="00FE299F"/>
    <w:rsid w:val="00FE29B6"/>
    <w:rsid w:val="00FE2A81"/>
    <w:rsid w:val="00FE2CA4"/>
    <w:rsid w:val="00FE2D5D"/>
    <w:rsid w:val="00FE2D66"/>
    <w:rsid w:val="00FE2ED4"/>
    <w:rsid w:val="00FE2F35"/>
    <w:rsid w:val="00FE2F88"/>
    <w:rsid w:val="00FE308A"/>
    <w:rsid w:val="00FE32E2"/>
    <w:rsid w:val="00FE33B6"/>
    <w:rsid w:val="00FE340F"/>
    <w:rsid w:val="00FE34A2"/>
    <w:rsid w:val="00FE36E6"/>
    <w:rsid w:val="00FE376D"/>
    <w:rsid w:val="00FE3794"/>
    <w:rsid w:val="00FE38BE"/>
    <w:rsid w:val="00FE3B45"/>
    <w:rsid w:val="00FE3B46"/>
    <w:rsid w:val="00FE43D2"/>
    <w:rsid w:val="00FE4439"/>
    <w:rsid w:val="00FE451A"/>
    <w:rsid w:val="00FE459C"/>
    <w:rsid w:val="00FE45B1"/>
    <w:rsid w:val="00FE4848"/>
    <w:rsid w:val="00FE4BD0"/>
    <w:rsid w:val="00FE4C6E"/>
    <w:rsid w:val="00FE4EB7"/>
    <w:rsid w:val="00FE4FE4"/>
    <w:rsid w:val="00FE5053"/>
    <w:rsid w:val="00FE5145"/>
    <w:rsid w:val="00FE520C"/>
    <w:rsid w:val="00FE52F1"/>
    <w:rsid w:val="00FE5377"/>
    <w:rsid w:val="00FE5417"/>
    <w:rsid w:val="00FE5436"/>
    <w:rsid w:val="00FE55BD"/>
    <w:rsid w:val="00FE5636"/>
    <w:rsid w:val="00FE564F"/>
    <w:rsid w:val="00FE5874"/>
    <w:rsid w:val="00FE5893"/>
    <w:rsid w:val="00FE58F6"/>
    <w:rsid w:val="00FE590A"/>
    <w:rsid w:val="00FE5AA4"/>
    <w:rsid w:val="00FE5B00"/>
    <w:rsid w:val="00FE5BEE"/>
    <w:rsid w:val="00FE5C94"/>
    <w:rsid w:val="00FE5CC5"/>
    <w:rsid w:val="00FE5D1D"/>
    <w:rsid w:val="00FE5D58"/>
    <w:rsid w:val="00FE5E61"/>
    <w:rsid w:val="00FE5F19"/>
    <w:rsid w:val="00FE6021"/>
    <w:rsid w:val="00FE618A"/>
    <w:rsid w:val="00FE62BA"/>
    <w:rsid w:val="00FE63B2"/>
    <w:rsid w:val="00FE63D9"/>
    <w:rsid w:val="00FE63FB"/>
    <w:rsid w:val="00FE6497"/>
    <w:rsid w:val="00FE64A5"/>
    <w:rsid w:val="00FE6778"/>
    <w:rsid w:val="00FE6966"/>
    <w:rsid w:val="00FE6AA4"/>
    <w:rsid w:val="00FE6C52"/>
    <w:rsid w:val="00FE6CE9"/>
    <w:rsid w:val="00FE6D1D"/>
    <w:rsid w:val="00FE6DD6"/>
    <w:rsid w:val="00FE6E1C"/>
    <w:rsid w:val="00FE6EEF"/>
    <w:rsid w:val="00FE6EF7"/>
    <w:rsid w:val="00FE6FB2"/>
    <w:rsid w:val="00FE6FE6"/>
    <w:rsid w:val="00FE7160"/>
    <w:rsid w:val="00FE72C0"/>
    <w:rsid w:val="00FE7369"/>
    <w:rsid w:val="00FE7472"/>
    <w:rsid w:val="00FE7477"/>
    <w:rsid w:val="00FE74A7"/>
    <w:rsid w:val="00FE7766"/>
    <w:rsid w:val="00FE7918"/>
    <w:rsid w:val="00FE7A77"/>
    <w:rsid w:val="00FE7B0A"/>
    <w:rsid w:val="00FE7C02"/>
    <w:rsid w:val="00FE7C12"/>
    <w:rsid w:val="00FE7C5D"/>
    <w:rsid w:val="00FE7D15"/>
    <w:rsid w:val="00FE7F4F"/>
    <w:rsid w:val="00FE7F5E"/>
    <w:rsid w:val="00FE7FC6"/>
    <w:rsid w:val="00FF00EC"/>
    <w:rsid w:val="00FF023D"/>
    <w:rsid w:val="00FF0290"/>
    <w:rsid w:val="00FF049B"/>
    <w:rsid w:val="00FF0697"/>
    <w:rsid w:val="00FF0724"/>
    <w:rsid w:val="00FF073E"/>
    <w:rsid w:val="00FF0A99"/>
    <w:rsid w:val="00FF0C17"/>
    <w:rsid w:val="00FF0D4F"/>
    <w:rsid w:val="00FF128A"/>
    <w:rsid w:val="00FF15B0"/>
    <w:rsid w:val="00FF1602"/>
    <w:rsid w:val="00FF1617"/>
    <w:rsid w:val="00FF16A7"/>
    <w:rsid w:val="00FF17B6"/>
    <w:rsid w:val="00FF186A"/>
    <w:rsid w:val="00FF19E9"/>
    <w:rsid w:val="00FF1A7A"/>
    <w:rsid w:val="00FF1BC0"/>
    <w:rsid w:val="00FF1D59"/>
    <w:rsid w:val="00FF1DDA"/>
    <w:rsid w:val="00FF2117"/>
    <w:rsid w:val="00FF22E2"/>
    <w:rsid w:val="00FF22FB"/>
    <w:rsid w:val="00FF24C4"/>
    <w:rsid w:val="00FF2544"/>
    <w:rsid w:val="00FF25E3"/>
    <w:rsid w:val="00FF2707"/>
    <w:rsid w:val="00FF275E"/>
    <w:rsid w:val="00FF27CB"/>
    <w:rsid w:val="00FF27EE"/>
    <w:rsid w:val="00FF2A91"/>
    <w:rsid w:val="00FF2C86"/>
    <w:rsid w:val="00FF2CA1"/>
    <w:rsid w:val="00FF2D7A"/>
    <w:rsid w:val="00FF2DBD"/>
    <w:rsid w:val="00FF2E5E"/>
    <w:rsid w:val="00FF2EF1"/>
    <w:rsid w:val="00FF2F09"/>
    <w:rsid w:val="00FF2F1D"/>
    <w:rsid w:val="00FF3180"/>
    <w:rsid w:val="00FF32F9"/>
    <w:rsid w:val="00FF3402"/>
    <w:rsid w:val="00FF350E"/>
    <w:rsid w:val="00FF37C0"/>
    <w:rsid w:val="00FF394D"/>
    <w:rsid w:val="00FF3984"/>
    <w:rsid w:val="00FF3A23"/>
    <w:rsid w:val="00FF3A5E"/>
    <w:rsid w:val="00FF3AE3"/>
    <w:rsid w:val="00FF3B1A"/>
    <w:rsid w:val="00FF3DBB"/>
    <w:rsid w:val="00FF3FFB"/>
    <w:rsid w:val="00FF418A"/>
    <w:rsid w:val="00FF41D2"/>
    <w:rsid w:val="00FF43C2"/>
    <w:rsid w:val="00FF43FA"/>
    <w:rsid w:val="00FF4555"/>
    <w:rsid w:val="00FF45EF"/>
    <w:rsid w:val="00FF49C9"/>
    <w:rsid w:val="00FF4A6D"/>
    <w:rsid w:val="00FF4A76"/>
    <w:rsid w:val="00FF4D43"/>
    <w:rsid w:val="00FF4DF0"/>
    <w:rsid w:val="00FF4E18"/>
    <w:rsid w:val="00FF4E9A"/>
    <w:rsid w:val="00FF4F52"/>
    <w:rsid w:val="00FF4FBB"/>
    <w:rsid w:val="00FF4FDA"/>
    <w:rsid w:val="00FF51CE"/>
    <w:rsid w:val="00FF51D5"/>
    <w:rsid w:val="00FF51D7"/>
    <w:rsid w:val="00FF52D3"/>
    <w:rsid w:val="00FF5397"/>
    <w:rsid w:val="00FF53FD"/>
    <w:rsid w:val="00FF5601"/>
    <w:rsid w:val="00FF5626"/>
    <w:rsid w:val="00FF569E"/>
    <w:rsid w:val="00FF56E5"/>
    <w:rsid w:val="00FF57A3"/>
    <w:rsid w:val="00FF5863"/>
    <w:rsid w:val="00FF5996"/>
    <w:rsid w:val="00FF59A5"/>
    <w:rsid w:val="00FF5BDF"/>
    <w:rsid w:val="00FF5C2E"/>
    <w:rsid w:val="00FF5DAD"/>
    <w:rsid w:val="00FF5E69"/>
    <w:rsid w:val="00FF5F84"/>
    <w:rsid w:val="00FF6046"/>
    <w:rsid w:val="00FF626A"/>
    <w:rsid w:val="00FF6327"/>
    <w:rsid w:val="00FF63C6"/>
    <w:rsid w:val="00FF64FB"/>
    <w:rsid w:val="00FF6590"/>
    <w:rsid w:val="00FF66D9"/>
    <w:rsid w:val="00FF6794"/>
    <w:rsid w:val="00FF6908"/>
    <w:rsid w:val="00FF6925"/>
    <w:rsid w:val="00FF69FD"/>
    <w:rsid w:val="00FF6A93"/>
    <w:rsid w:val="00FF6D2F"/>
    <w:rsid w:val="00FF6D86"/>
    <w:rsid w:val="00FF6E4B"/>
    <w:rsid w:val="00FF6F1B"/>
    <w:rsid w:val="00FF7001"/>
    <w:rsid w:val="00FF70A3"/>
    <w:rsid w:val="00FF715D"/>
    <w:rsid w:val="00FF71E0"/>
    <w:rsid w:val="00FF726E"/>
    <w:rsid w:val="00FF7271"/>
    <w:rsid w:val="00FF750F"/>
    <w:rsid w:val="00FF759F"/>
    <w:rsid w:val="00FF78B0"/>
    <w:rsid w:val="00FF78EC"/>
    <w:rsid w:val="00FF7A14"/>
    <w:rsid w:val="00FF7CD8"/>
    <w:rsid w:val="01037FF4"/>
    <w:rsid w:val="010A2E0A"/>
    <w:rsid w:val="01129B0A"/>
    <w:rsid w:val="011C02C4"/>
    <w:rsid w:val="012F0A39"/>
    <w:rsid w:val="0141542E"/>
    <w:rsid w:val="01419F98"/>
    <w:rsid w:val="0143856B"/>
    <w:rsid w:val="0145F530"/>
    <w:rsid w:val="0154E822"/>
    <w:rsid w:val="0159496F"/>
    <w:rsid w:val="015B016D"/>
    <w:rsid w:val="01618CFE"/>
    <w:rsid w:val="0164C9C2"/>
    <w:rsid w:val="01675115"/>
    <w:rsid w:val="01691964"/>
    <w:rsid w:val="0169B0A2"/>
    <w:rsid w:val="016E594D"/>
    <w:rsid w:val="016E75CC"/>
    <w:rsid w:val="017B68CC"/>
    <w:rsid w:val="0180DF6C"/>
    <w:rsid w:val="018BC58D"/>
    <w:rsid w:val="018C3731"/>
    <w:rsid w:val="01952E73"/>
    <w:rsid w:val="019EF5CC"/>
    <w:rsid w:val="01A43F64"/>
    <w:rsid w:val="01B849D3"/>
    <w:rsid w:val="01BFF882"/>
    <w:rsid w:val="01C7B245"/>
    <w:rsid w:val="01CE7EC1"/>
    <w:rsid w:val="01D934AB"/>
    <w:rsid w:val="01DA29D1"/>
    <w:rsid w:val="01E23A04"/>
    <w:rsid w:val="01E5BF71"/>
    <w:rsid w:val="01EA3C0C"/>
    <w:rsid w:val="01EEDD55"/>
    <w:rsid w:val="0204E3F9"/>
    <w:rsid w:val="020BC3DC"/>
    <w:rsid w:val="020C4120"/>
    <w:rsid w:val="020DFF3C"/>
    <w:rsid w:val="021560DE"/>
    <w:rsid w:val="021A1EBF"/>
    <w:rsid w:val="021BE848"/>
    <w:rsid w:val="02214E85"/>
    <w:rsid w:val="02312C8C"/>
    <w:rsid w:val="02464CC6"/>
    <w:rsid w:val="024D9C16"/>
    <w:rsid w:val="0250A306"/>
    <w:rsid w:val="0252A34D"/>
    <w:rsid w:val="025F2BDE"/>
    <w:rsid w:val="0271883C"/>
    <w:rsid w:val="02800767"/>
    <w:rsid w:val="0285F934"/>
    <w:rsid w:val="029BC416"/>
    <w:rsid w:val="02A6D25A"/>
    <w:rsid w:val="02B6C467"/>
    <w:rsid w:val="02BD3C29"/>
    <w:rsid w:val="02C5C361"/>
    <w:rsid w:val="02C749AB"/>
    <w:rsid w:val="02C9BE33"/>
    <w:rsid w:val="02D70189"/>
    <w:rsid w:val="02EBDF31"/>
    <w:rsid w:val="030B740A"/>
    <w:rsid w:val="030D1D36"/>
    <w:rsid w:val="0315F063"/>
    <w:rsid w:val="03162CB2"/>
    <w:rsid w:val="0325A07C"/>
    <w:rsid w:val="0339B07A"/>
    <w:rsid w:val="034483D1"/>
    <w:rsid w:val="03458866"/>
    <w:rsid w:val="035AEFD3"/>
    <w:rsid w:val="035C6942"/>
    <w:rsid w:val="03620FF2"/>
    <w:rsid w:val="0362E8F2"/>
    <w:rsid w:val="03769A5C"/>
    <w:rsid w:val="03769CFE"/>
    <w:rsid w:val="0389E404"/>
    <w:rsid w:val="0393D04B"/>
    <w:rsid w:val="03B9C73E"/>
    <w:rsid w:val="03D3C522"/>
    <w:rsid w:val="03D6EF3E"/>
    <w:rsid w:val="03D98656"/>
    <w:rsid w:val="03DCF645"/>
    <w:rsid w:val="03ED5356"/>
    <w:rsid w:val="03EEF56E"/>
    <w:rsid w:val="03F308D2"/>
    <w:rsid w:val="03F5CF6E"/>
    <w:rsid w:val="03F8145C"/>
    <w:rsid w:val="03FA025D"/>
    <w:rsid w:val="041A0CFF"/>
    <w:rsid w:val="0421C367"/>
    <w:rsid w:val="0429E1C6"/>
    <w:rsid w:val="042C6E02"/>
    <w:rsid w:val="042F7524"/>
    <w:rsid w:val="043D96A0"/>
    <w:rsid w:val="0447493B"/>
    <w:rsid w:val="0448AFCF"/>
    <w:rsid w:val="044E0D8D"/>
    <w:rsid w:val="044E128A"/>
    <w:rsid w:val="044E5FCB"/>
    <w:rsid w:val="04518464"/>
    <w:rsid w:val="045659E2"/>
    <w:rsid w:val="045886C2"/>
    <w:rsid w:val="04591F36"/>
    <w:rsid w:val="045BC51E"/>
    <w:rsid w:val="04618F3D"/>
    <w:rsid w:val="0471F27A"/>
    <w:rsid w:val="047959E4"/>
    <w:rsid w:val="048580A8"/>
    <w:rsid w:val="049FFC28"/>
    <w:rsid w:val="04A3233C"/>
    <w:rsid w:val="04B07B24"/>
    <w:rsid w:val="04B55AAF"/>
    <w:rsid w:val="04BA579E"/>
    <w:rsid w:val="04C351D6"/>
    <w:rsid w:val="04CC95B8"/>
    <w:rsid w:val="04D2937C"/>
    <w:rsid w:val="04D4F86F"/>
    <w:rsid w:val="04D5425D"/>
    <w:rsid w:val="04E542D3"/>
    <w:rsid w:val="04EEBF0C"/>
    <w:rsid w:val="05126371"/>
    <w:rsid w:val="05232472"/>
    <w:rsid w:val="0527E3F2"/>
    <w:rsid w:val="052D9DA2"/>
    <w:rsid w:val="0530426E"/>
    <w:rsid w:val="05345094"/>
    <w:rsid w:val="05446014"/>
    <w:rsid w:val="054582F9"/>
    <w:rsid w:val="0553509A"/>
    <w:rsid w:val="0556E997"/>
    <w:rsid w:val="0557D439"/>
    <w:rsid w:val="055B0104"/>
    <w:rsid w:val="055F9B70"/>
    <w:rsid w:val="05636C02"/>
    <w:rsid w:val="056699AE"/>
    <w:rsid w:val="05689F71"/>
    <w:rsid w:val="0569BA11"/>
    <w:rsid w:val="056D4755"/>
    <w:rsid w:val="0576EBB9"/>
    <w:rsid w:val="05780CAF"/>
    <w:rsid w:val="0580429D"/>
    <w:rsid w:val="05919359"/>
    <w:rsid w:val="059E024C"/>
    <w:rsid w:val="05A45F4B"/>
    <w:rsid w:val="05A7130B"/>
    <w:rsid w:val="05B08327"/>
    <w:rsid w:val="05B93958"/>
    <w:rsid w:val="05C8DE0F"/>
    <w:rsid w:val="05D26DC4"/>
    <w:rsid w:val="05D6CD66"/>
    <w:rsid w:val="05E6F685"/>
    <w:rsid w:val="05EEBAEB"/>
    <w:rsid w:val="05FCD9E8"/>
    <w:rsid w:val="0605E0E7"/>
    <w:rsid w:val="06093B4E"/>
    <w:rsid w:val="060D0D48"/>
    <w:rsid w:val="060F6F13"/>
    <w:rsid w:val="0614222D"/>
    <w:rsid w:val="0615AB99"/>
    <w:rsid w:val="0627C22A"/>
    <w:rsid w:val="062950EB"/>
    <w:rsid w:val="062DAFF3"/>
    <w:rsid w:val="062F006A"/>
    <w:rsid w:val="063711C8"/>
    <w:rsid w:val="06377BEF"/>
    <w:rsid w:val="064A6B28"/>
    <w:rsid w:val="064ABB5F"/>
    <w:rsid w:val="06540963"/>
    <w:rsid w:val="0654F1A6"/>
    <w:rsid w:val="06572A33"/>
    <w:rsid w:val="065B10B9"/>
    <w:rsid w:val="065C2EAD"/>
    <w:rsid w:val="0661B410"/>
    <w:rsid w:val="066751AF"/>
    <w:rsid w:val="066C033D"/>
    <w:rsid w:val="066C2ED3"/>
    <w:rsid w:val="067CA458"/>
    <w:rsid w:val="069880C7"/>
    <w:rsid w:val="069E1C04"/>
    <w:rsid w:val="06A6329B"/>
    <w:rsid w:val="06A83060"/>
    <w:rsid w:val="06AFEEC5"/>
    <w:rsid w:val="06BA8057"/>
    <w:rsid w:val="06CA0790"/>
    <w:rsid w:val="06DFC9AE"/>
    <w:rsid w:val="06DFE0B8"/>
    <w:rsid w:val="06E99192"/>
    <w:rsid w:val="06F00282"/>
    <w:rsid w:val="06F9520E"/>
    <w:rsid w:val="06FC048C"/>
    <w:rsid w:val="0700E321"/>
    <w:rsid w:val="07087BDA"/>
    <w:rsid w:val="071168F8"/>
    <w:rsid w:val="071B66F1"/>
    <w:rsid w:val="07213394"/>
    <w:rsid w:val="073D3391"/>
    <w:rsid w:val="074015B1"/>
    <w:rsid w:val="074B364F"/>
    <w:rsid w:val="074E544B"/>
    <w:rsid w:val="07525517"/>
    <w:rsid w:val="0755CE11"/>
    <w:rsid w:val="075C4BE4"/>
    <w:rsid w:val="076D4C77"/>
    <w:rsid w:val="077066ED"/>
    <w:rsid w:val="07742E3E"/>
    <w:rsid w:val="0777D34C"/>
    <w:rsid w:val="07789AD3"/>
    <w:rsid w:val="07821875"/>
    <w:rsid w:val="078E1854"/>
    <w:rsid w:val="078F5CDB"/>
    <w:rsid w:val="0790DFDB"/>
    <w:rsid w:val="0799C8CB"/>
    <w:rsid w:val="079BE1EC"/>
    <w:rsid w:val="079DF3BC"/>
    <w:rsid w:val="07A6B7EA"/>
    <w:rsid w:val="07A908D8"/>
    <w:rsid w:val="07B25F27"/>
    <w:rsid w:val="07B35D66"/>
    <w:rsid w:val="07B84F36"/>
    <w:rsid w:val="07BCDA5F"/>
    <w:rsid w:val="07BEE72F"/>
    <w:rsid w:val="07C3EE01"/>
    <w:rsid w:val="07C49931"/>
    <w:rsid w:val="07D56D4E"/>
    <w:rsid w:val="07E675CD"/>
    <w:rsid w:val="07EAD76A"/>
    <w:rsid w:val="07ED0131"/>
    <w:rsid w:val="07F967E0"/>
    <w:rsid w:val="07FB33FE"/>
    <w:rsid w:val="08040F07"/>
    <w:rsid w:val="0804AF84"/>
    <w:rsid w:val="0807800A"/>
    <w:rsid w:val="080C7643"/>
    <w:rsid w:val="081DBA1A"/>
    <w:rsid w:val="08374783"/>
    <w:rsid w:val="08398C7A"/>
    <w:rsid w:val="083F2026"/>
    <w:rsid w:val="083F732B"/>
    <w:rsid w:val="0841D6EE"/>
    <w:rsid w:val="0845B672"/>
    <w:rsid w:val="085A9463"/>
    <w:rsid w:val="085F7AA3"/>
    <w:rsid w:val="0868E1C9"/>
    <w:rsid w:val="086BC22B"/>
    <w:rsid w:val="086F5898"/>
    <w:rsid w:val="08724D7E"/>
    <w:rsid w:val="087403E9"/>
    <w:rsid w:val="0875570E"/>
    <w:rsid w:val="087851FB"/>
    <w:rsid w:val="08865D26"/>
    <w:rsid w:val="088AE102"/>
    <w:rsid w:val="088CBD34"/>
    <w:rsid w:val="088F7AC2"/>
    <w:rsid w:val="08AC1400"/>
    <w:rsid w:val="08B021D5"/>
    <w:rsid w:val="08CFA788"/>
    <w:rsid w:val="08D69A1E"/>
    <w:rsid w:val="08DCD7F2"/>
    <w:rsid w:val="08EF2FC0"/>
    <w:rsid w:val="08F7AAF8"/>
    <w:rsid w:val="09002A50"/>
    <w:rsid w:val="09035085"/>
    <w:rsid w:val="0930D7C0"/>
    <w:rsid w:val="094F1F26"/>
    <w:rsid w:val="0952A6A9"/>
    <w:rsid w:val="0953B37A"/>
    <w:rsid w:val="09559A7C"/>
    <w:rsid w:val="0959C3EE"/>
    <w:rsid w:val="095D652B"/>
    <w:rsid w:val="095DCD5B"/>
    <w:rsid w:val="09696D1A"/>
    <w:rsid w:val="096D6EF5"/>
    <w:rsid w:val="096EF8FE"/>
    <w:rsid w:val="0972DAB3"/>
    <w:rsid w:val="0979C5CA"/>
    <w:rsid w:val="09828F5E"/>
    <w:rsid w:val="098A8181"/>
    <w:rsid w:val="098D4439"/>
    <w:rsid w:val="098FA899"/>
    <w:rsid w:val="0991BC72"/>
    <w:rsid w:val="09926B38"/>
    <w:rsid w:val="0995B7A5"/>
    <w:rsid w:val="099B93EF"/>
    <w:rsid w:val="099D657F"/>
    <w:rsid w:val="09A9BDA0"/>
    <w:rsid w:val="09ABB931"/>
    <w:rsid w:val="09B27E76"/>
    <w:rsid w:val="09B604D1"/>
    <w:rsid w:val="09BB6B23"/>
    <w:rsid w:val="09BC9C10"/>
    <w:rsid w:val="09C98736"/>
    <w:rsid w:val="09CF782E"/>
    <w:rsid w:val="09D0CC86"/>
    <w:rsid w:val="09DF9A25"/>
    <w:rsid w:val="09E67B0F"/>
    <w:rsid w:val="09ED7859"/>
    <w:rsid w:val="0A05779B"/>
    <w:rsid w:val="0A128519"/>
    <w:rsid w:val="0A1436B1"/>
    <w:rsid w:val="0A22733C"/>
    <w:rsid w:val="0A29FD7E"/>
    <w:rsid w:val="0A37CA28"/>
    <w:rsid w:val="0A3A2BA9"/>
    <w:rsid w:val="0A4142D6"/>
    <w:rsid w:val="0A460D91"/>
    <w:rsid w:val="0A4ADD5D"/>
    <w:rsid w:val="0A4CFA6E"/>
    <w:rsid w:val="0A4F7372"/>
    <w:rsid w:val="0A529C9C"/>
    <w:rsid w:val="0A63FF3F"/>
    <w:rsid w:val="0A67261F"/>
    <w:rsid w:val="0A687982"/>
    <w:rsid w:val="0A77AD4B"/>
    <w:rsid w:val="0A786B60"/>
    <w:rsid w:val="0A7A7A54"/>
    <w:rsid w:val="0A8022E2"/>
    <w:rsid w:val="0A98526C"/>
    <w:rsid w:val="0A9DDC0A"/>
    <w:rsid w:val="0AA004A4"/>
    <w:rsid w:val="0AA7195F"/>
    <w:rsid w:val="0AAF7AC7"/>
    <w:rsid w:val="0ACB9957"/>
    <w:rsid w:val="0ACE5EB0"/>
    <w:rsid w:val="0ACFC2BB"/>
    <w:rsid w:val="0AD3296F"/>
    <w:rsid w:val="0ADB0D1A"/>
    <w:rsid w:val="0ADF7BC7"/>
    <w:rsid w:val="0AE822F7"/>
    <w:rsid w:val="0AEC7E57"/>
    <w:rsid w:val="0AF8954B"/>
    <w:rsid w:val="0AFD3164"/>
    <w:rsid w:val="0AFFFC30"/>
    <w:rsid w:val="0B01A02C"/>
    <w:rsid w:val="0B031686"/>
    <w:rsid w:val="0B048F06"/>
    <w:rsid w:val="0B078920"/>
    <w:rsid w:val="0B089A1B"/>
    <w:rsid w:val="0B0C8587"/>
    <w:rsid w:val="0B0F4BF4"/>
    <w:rsid w:val="0B0F6178"/>
    <w:rsid w:val="0B170D5C"/>
    <w:rsid w:val="0B1A5F32"/>
    <w:rsid w:val="0B373B76"/>
    <w:rsid w:val="0B490AB4"/>
    <w:rsid w:val="0B567C4D"/>
    <w:rsid w:val="0B580FA6"/>
    <w:rsid w:val="0B5995A4"/>
    <w:rsid w:val="0B60DF70"/>
    <w:rsid w:val="0B615622"/>
    <w:rsid w:val="0B6ACB01"/>
    <w:rsid w:val="0B756DFE"/>
    <w:rsid w:val="0B75CFF5"/>
    <w:rsid w:val="0B77A797"/>
    <w:rsid w:val="0B792C41"/>
    <w:rsid w:val="0B848AC2"/>
    <w:rsid w:val="0B85AE73"/>
    <w:rsid w:val="0B8A52AC"/>
    <w:rsid w:val="0BA13C7D"/>
    <w:rsid w:val="0BA5EB77"/>
    <w:rsid w:val="0BB8DF5F"/>
    <w:rsid w:val="0BD27F58"/>
    <w:rsid w:val="0BD3A3E1"/>
    <w:rsid w:val="0BDC70A5"/>
    <w:rsid w:val="0BDE89C5"/>
    <w:rsid w:val="0BE63E0E"/>
    <w:rsid w:val="0C082814"/>
    <w:rsid w:val="0C0BF230"/>
    <w:rsid w:val="0C0D08A7"/>
    <w:rsid w:val="0C0DC828"/>
    <w:rsid w:val="0C0E55A5"/>
    <w:rsid w:val="0C102125"/>
    <w:rsid w:val="0C179484"/>
    <w:rsid w:val="0C18AA45"/>
    <w:rsid w:val="0C1CA044"/>
    <w:rsid w:val="0C209CE2"/>
    <w:rsid w:val="0C20D22D"/>
    <w:rsid w:val="0C228B8B"/>
    <w:rsid w:val="0C292C16"/>
    <w:rsid w:val="0C32ECBB"/>
    <w:rsid w:val="0C3DAE76"/>
    <w:rsid w:val="0C441CD7"/>
    <w:rsid w:val="0C449830"/>
    <w:rsid w:val="0C4670A9"/>
    <w:rsid w:val="0C476037"/>
    <w:rsid w:val="0C4CCB47"/>
    <w:rsid w:val="0C51A74A"/>
    <w:rsid w:val="0C5295E3"/>
    <w:rsid w:val="0C53A426"/>
    <w:rsid w:val="0C54C975"/>
    <w:rsid w:val="0C58936A"/>
    <w:rsid w:val="0C59CC4A"/>
    <w:rsid w:val="0C5F8122"/>
    <w:rsid w:val="0C64358F"/>
    <w:rsid w:val="0C667BCF"/>
    <w:rsid w:val="0C6B0349"/>
    <w:rsid w:val="0C6F7A6B"/>
    <w:rsid w:val="0C713174"/>
    <w:rsid w:val="0C77BBBB"/>
    <w:rsid w:val="0C7C3C35"/>
    <w:rsid w:val="0C815F43"/>
    <w:rsid w:val="0C86324E"/>
    <w:rsid w:val="0C9D7CD7"/>
    <w:rsid w:val="0CA940C4"/>
    <w:rsid w:val="0CB20686"/>
    <w:rsid w:val="0CD6C06D"/>
    <w:rsid w:val="0CD9703A"/>
    <w:rsid w:val="0CDBEE5E"/>
    <w:rsid w:val="0CEB6953"/>
    <w:rsid w:val="0CF45731"/>
    <w:rsid w:val="0CF786B8"/>
    <w:rsid w:val="0CF9E10C"/>
    <w:rsid w:val="0D01F1AC"/>
    <w:rsid w:val="0D0CB8B0"/>
    <w:rsid w:val="0D104D2A"/>
    <w:rsid w:val="0D11FC49"/>
    <w:rsid w:val="0D13D415"/>
    <w:rsid w:val="0D23D052"/>
    <w:rsid w:val="0D2F61AA"/>
    <w:rsid w:val="0D300EC4"/>
    <w:rsid w:val="0D31B1BB"/>
    <w:rsid w:val="0D36A93A"/>
    <w:rsid w:val="0D3FBF33"/>
    <w:rsid w:val="0D412112"/>
    <w:rsid w:val="0D44E954"/>
    <w:rsid w:val="0D49547A"/>
    <w:rsid w:val="0D53131C"/>
    <w:rsid w:val="0D581A1E"/>
    <w:rsid w:val="0D5985F1"/>
    <w:rsid w:val="0D6924A3"/>
    <w:rsid w:val="0D7B2741"/>
    <w:rsid w:val="0D7B5340"/>
    <w:rsid w:val="0D7D96BF"/>
    <w:rsid w:val="0D87D6FB"/>
    <w:rsid w:val="0D89CDBE"/>
    <w:rsid w:val="0D8E9738"/>
    <w:rsid w:val="0D9AC2C8"/>
    <w:rsid w:val="0D9CF0D4"/>
    <w:rsid w:val="0D9F2D9B"/>
    <w:rsid w:val="0DA0DC6F"/>
    <w:rsid w:val="0DA610C9"/>
    <w:rsid w:val="0DAED3FA"/>
    <w:rsid w:val="0DB20FA8"/>
    <w:rsid w:val="0DB376CC"/>
    <w:rsid w:val="0DB608F5"/>
    <w:rsid w:val="0DBD2029"/>
    <w:rsid w:val="0DC0770F"/>
    <w:rsid w:val="0DD12C5F"/>
    <w:rsid w:val="0DE270FD"/>
    <w:rsid w:val="0DFC97EB"/>
    <w:rsid w:val="0E0D56CC"/>
    <w:rsid w:val="0E15A2E6"/>
    <w:rsid w:val="0E175E81"/>
    <w:rsid w:val="0E17C4C1"/>
    <w:rsid w:val="0E291C5A"/>
    <w:rsid w:val="0E2A53EF"/>
    <w:rsid w:val="0E2ADC70"/>
    <w:rsid w:val="0E3B53A7"/>
    <w:rsid w:val="0E47B8B4"/>
    <w:rsid w:val="0E4803A2"/>
    <w:rsid w:val="0E4FFC69"/>
    <w:rsid w:val="0E576648"/>
    <w:rsid w:val="0E5BF8DE"/>
    <w:rsid w:val="0E6A4A4F"/>
    <w:rsid w:val="0E71156B"/>
    <w:rsid w:val="0E77B9B0"/>
    <w:rsid w:val="0E7BD711"/>
    <w:rsid w:val="0E7D7235"/>
    <w:rsid w:val="0E7D7C67"/>
    <w:rsid w:val="0E810975"/>
    <w:rsid w:val="0E885DA9"/>
    <w:rsid w:val="0E89B2A9"/>
    <w:rsid w:val="0E989629"/>
    <w:rsid w:val="0EA23E74"/>
    <w:rsid w:val="0EA3A6FC"/>
    <w:rsid w:val="0EA54BA1"/>
    <w:rsid w:val="0EA583A1"/>
    <w:rsid w:val="0EAFF46A"/>
    <w:rsid w:val="0EBC5195"/>
    <w:rsid w:val="0EC7880B"/>
    <w:rsid w:val="0EC7CC31"/>
    <w:rsid w:val="0ECC4C8A"/>
    <w:rsid w:val="0EDAB5D6"/>
    <w:rsid w:val="0EEAAD17"/>
    <w:rsid w:val="0EF61C79"/>
    <w:rsid w:val="0F069108"/>
    <w:rsid w:val="0F13ADBD"/>
    <w:rsid w:val="0F1C3492"/>
    <w:rsid w:val="0F28B031"/>
    <w:rsid w:val="0F28CE5F"/>
    <w:rsid w:val="0F2F2BE2"/>
    <w:rsid w:val="0F2F8222"/>
    <w:rsid w:val="0F317ED8"/>
    <w:rsid w:val="0F35E79A"/>
    <w:rsid w:val="0F38B693"/>
    <w:rsid w:val="0F463BDE"/>
    <w:rsid w:val="0F50EEDA"/>
    <w:rsid w:val="0F534041"/>
    <w:rsid w:val="0F6B91C8"/>
    <w:rsid w:val="0F8306D1"/>
    <w:rsid w:val="0F8412CA"/>
    <w:rsid w:val="0F87BA30"/>
    <w:rsid w:val="0F884E2E"/>
    <w:rsid w:val="0F89ED5F"/>
    <w:rsid w:val="0F9A92C5"/>
    <w:rsid w:val="0FA5873E"/>
    <w:rsid w:val="0FA9342A"/>
    <w:rsid w:val="0FABD371"/>
    <w:rsid w:val="0FACD987"/>
    <w:rsid w:val="0FB3C641"/>
    <w:rsid w:val="0FB42A09"/>
    <w:rsid w:val="0FBF16C6"/>
    <w:rsid w:val="0FC65600"/>
    <w:rsid w:val="0FC99241"/>
    <w:rsid w:val="0FCBB575"/>
    <w:rsid w:val="0FCC4DDC"/>
    <w:rsid w:val="0FCC92CA"/>
    <w:rsid w:val="0FD80970"/>
    <w:rsid w:val="0FD81176"/>
    <w:rsid w:val="0FD84A43"/>
    <w:rsid w:val="0FE1335B"/>
    <w:rsid w:val="0FE4AE12"/>
    <w:rsid w:val="0FE5387B"/>
    <w:rsid w:val="0FE90E5C"/>
    <w:rsid w:val="0FF0F8B8"/>
    <w:rsid w:val="0FF8504C"/>
    <w:rsid w:val="0FFF00B5"/>
    <w:rsid w:val="10053D7C"/>
    <w:rsid w:val="100576B1"/>
    <w:rsid w:val="1008AF3B"/>
    <w:rsid w:val="10191685"/>
    <w:rsid w:val="101A8D40"/>
    <w:rsid w:val="10205F9C"/>
    <w:rsid w:val="10240167"/>
    <w:rsid w:val="102DAF13"/>
    <w:rsid w:val="102EA7FA"/>
    <w:rsid w:val="1036E75A"/>
    <w:rsid w:val="10370481"/>
    <w:rsid w:val="1038FAD6"/>
    <w:rsid w:val="103A17D8"/>
    <w:rsid w:val="1043AAEC"/>
    <w:rsid w:val="104623B5"/>
    <w:rsid w:val="104C49CD"/>
    <w:rsid w:val="104EC043"/>
    <w:rsid w:val="1059349D"/>
    <w:rsid w:val="105DB4D6"/>
    <w:rsid w:val="10600035"/>
    <w:rsid w:val="106445C0"/>
    <w:rsid w:val="106E95D2"/>
    <w:rsid w:val="106EC725"/>
    <w:rsid w:val="106F4056"/>
    <w:rsid w:val="107003F7"/>
    <w:rsid w:val="10806B94"/>
    <w:rsid w:val="1085A731"/>
    <w:rsid w:val="1085B209"/>
    <w:rsid w:val="109AA9BE"/>
    <w:rsid w:val="10A1729E"/>
    <w:rsid w:val="10A5D1B9"/>
    <w:rsid w:val="10A910B6"/>
    <w:rsid w:val="10A93052"/>
    <w:rsid w:val="10BBEC89"/>
    <w:rsid w:val="10BC203B"/>
    <w:rsid w:val="10CFD864"/>
    <w:rsid w:val="10D1CECD"/>
    <w:rsid w:val="10D57D8B"/>
    <w:rsid w:val="10D5A7C1"/>
    <w:rsid w:val="10E70962"/>
    <w:rsid w:val="10ED8713"/>
    <w:rsid w:val="10F82DCB"/>
    <w:rsid w:val="1101F86A"/>
    <w:rsid w:val="110C151E"/>
    <w:rsid w:val="112F357F"/>
    <w:rsid w:val="1130CADB"/>
    <w:rsid w:val="1136004A"/>
    <w:rsid w:val="11387B17"/>
    <w:rsid w:val="1139B63D"/>
    <w:rsid w:val="114B34C0"/>
    <w:rsid w:val="115506A3"/>
    <w:rsid w:val="115FF4DF"/>
    <w:rsid w:val="11653871"/>
    <w:rsid w:val="116583B4"/>
    <w:rsid w:val="1172AD57"/>
    <w:rsid w:val="11768099"/>
    <w:rsid w:val="117C877C"/>
    <w:rsid w:val="1183A835"/>
    <w:rsid w:val="118A38C3"/>
    <w:rsid w:val="1190D556"/>
    <w:rsid w:val="11986B33"/>
    <w:rsid w:val="119B0D3F"/>
    <w:rsid w:val="11A480C6"/>
    <w:rsid w:val="11AF7144"/>
    <w:rsid w:val="11C1A6CA"/>
    <w:rsid w:val="11C881D7"/>
    <w:rsid w:val="11D3B4B8"/>
    <w:rsid w:val="11D50ABD"/>
    <w:rsid w:val="11D7718D"/>
    <w:rsid w:val="11DCF291"/>
    <w:rsid w:val="11E2B182"/>
    <w:rsid w:val="11F124B4"/>
    <w:rsid w:val="11F8AFE4"/>
    <w:rsid w:val="11FAA510"/>
    <w:rsid w:val="11FAE308"/>
    <w:rsid w:val="1221E345"/>
    <w:rsid w:val="12279720"/>
    <w:rsid w:val="122F0053"/>
    <w:rsid w:val="123740CE"/>
    <w:rsid w:val="123EB1B6"/>
    <w:rsid w:val="1240DABA"/>
    <w:rsid w:val="12426DB0"/>
    <w:rsid w:val="124B6811"/>
    <w:rsid w:val="125EC121"/>
    <w:rsid w:val="126552CF"/>
    <w:rsid w:val="12702B5F"/>
    <w:rsid w:val="1274CC54"/>
    <w:rsid w:val="12751A33"/>
    <w:rsid w:val="12839F21"/>
    <w:rsid w:val="12854F51"/>
    <w:rsid w:val="12872871"/>
    <w:rsid w:val="129745F4"/>
    <w:rsid w:val="1298B362"/>
    <w:rsid w:val="129BCE73"/>
    <w:rsid w:val="12A56AA7"/>
    <w:rsid w:val="12C56391"/>
    <w:rsid w:val="12CFF7B3"/>
    <w:rsid w:val="12D8CE23"/>
    <w:rsid w:val="12D9478B"/>
    <w:rsid w:val="12DA08C1"/>
    <w:rsid w:val="12DCA7FF"/>
    <w:rsid w:val="12EBB3C2"/>
    <w:rsid w:val="12EBE4F6"/>
    <w:rsid w:val="12EBFE74"/>
    <w:rsid w:val="12FD3605"/>
    <w:rsid w:val="1309AEA5"/>
    <w:rsid w:val="131ADEE1"/>
    <w:rsid w:val="1323152C"/>
    <w:rsid w:val="1326C45D"/>
    <w:rsid w:val="1328F068"/>
    <w:rsid w:val="133490A6"/>
    <w:rsid w:val="133AD4BA"/>
    <w:rsid w:val="133B18FF"/>
    <w:rsid w:val="1340BF06"/>
    <w:rsid w:val="13433215"/>
    <w:rsid w:val="1350105D"/>
    <w:rsid w:val="13552B6C"/>
    <w:rsid w:val="136C079F"/>
    <w:rsid w:val="1371D836"/>
    <w:rsid w:val="137319BF"/>
    <w:rsid w:val="137D7B48"/>
    <w:rsid w:val="138366DC"/>
    <w:rsid w:val="13906218"/>
    <w:rsid w:val="13920DF1"/>
    <w:rsid w:val="13A701A6"/>
    <w:rsid w:val="13AA3E7D"/>
    <w:rsid w:val="13C69508"/>
    <w:rsid w:val="13C7CD6E"/>
    <w:rsid w:val="13CC6AF2"/>
    <w:rsid w:val="13CF8B2A"/>
    <w:rsid w:val="13D63D0D"/>
    <w:rsid w:val="13D993EA"/>
    <w:rsid w:val="13E8FFE8"/>
    <w:rsid w:val="13ECA6CF"/>
    <w:rsid w:val="13ECF0F2"/>
    <w:rsid w:val="1403F102"/>
    <w:rsid w:val="14059691"/>
    <w:rsid w:val="140790A4"/>
    <w:rsid w:val="140814BB"/>
    <w:rsid w:val="14081C18"/>
    <w:rsid w:val="1415458C"/>
    <w:rsid w:val="141F4494"/>
    <w:rsid w:val="142A9F65"/>
    <w:rsid w:val="142F90F5"/>
    <w:rsid w:val="143395B7"/>
    <w:rsid w:val="14343EF0"/>
    <w:rsid w:val="14353964"/>
    <w:rsid w:val="143660B7"/>
    <w:rsid w:val="1436CD6B"/>
    <w:rsid w:val="1439F998"/>
    <w:rsid w:val="143B80BF"/>
    <w:rsid w:val="143DBF97"/>
    <w:rsid w:val="143F6AEC"/>
    <w:rsid w:val="1446C901"/>
    <w:rsid w:val="1449689B"/>
    <w:rsid w:val="144A6ECA"/>
    <w:rsid w:val="145C822B"/>
    <w:rsid w:val="1465AEF7"/>
    <w:rsid w:val="1466C7FB"/>
    <w:rsid w:val="146C5D7F"/>
    <w:rsid w:val="14760E8A"/>
    <w:rsid w:val="147843A8"/>
    <w:rsid w:val="147A4711"/>
    <w:rsid w:val="147DEC11"/>
    <w:rsid w:val="147E86F7"/>
    <w:rsid w:val="148001FA"/>
    <w:rsid w:val="148B80AA"/>
    <w:rsid w:val="148DA334"/>
    <w:rsid w:val="1499A21E"/>
    <w:rsid w:val="149A7519"/>
    <w:rsid w:val="14A93131"/>
    <w:rsid w:val="14BA05FC"/>
    <w:rsid w:val="14BC1D33"/>
    <w:rsid w:val="14C78814"/>
    <w:rsid w:val="14C8C3DD"/>
    <w:rsid w:val="14CE16D4"/>
    <w:rsid w:val="14CEE4DF"/>
    <w:rsid w:val="14D101BB"/>
    <w:rsid w:val="14D2DA01"/>
    <w:rsid w:val="14DA2B0B"/>
    <w:rsid w:val="14DE4C06"/>
    <w:rsid w:val="14E00965"/>
    <w:rsid w:val="14E5C249"/>
    <w:rsid w:val="14E78758"/>
    <w:rsid w:val="14E85FF7"/>
    <w:rsid w:val="150B393E"/>
    <w:rsid w:val="150C8634"/>
    <w:rsid w:val="15124D76"/>
    <w:rsid w:val="151B4162"/>
    <w:rsid w:val="1527A7C2"/>
    <w:rsid w:val="152844DC"/>
    <w:rsid w:val="152A19C9"/>
    <w:rsid w:val="152BDF77"/>
    <w:rsid w:val="152FFECB"/>
    <w:rsid w:val="15396F71"/>
    <w:rsid w:val="1545F2B1"/>
    <w:rsid w:val="1547DCE3"/>
    <w:rsid w:val="1548F235"/>
    <w:rsid w:val="154CB9C3"/>
    <w:rsid w:val="15539BF3"/>
    <w:rsid w:val="155B1106"/>
    <w:rsid w:val="15602655"/>
    <w:rsid w:val="1570D861"/>
    <w:rsid w:val="15743F40"/>
    <w:rsid w:val="157E3166"/>
    <w:rsid w:val="157F51F6"/>
    <w:rsid w:val="158A23E6"/>
    <w:rsid w:val="158D1A2D"/>
    <w:rsid w:val="159209FB"/>
    <w:rsid w:val="159D70DF"/>
    <w:rsid w:val="15A960F5"/>
    <w:rsid w:val="15AE2BBA"/>
    <w:rsid w:val="15B93B4F"/>
    <w:rsid w:val="15BB35BF"/>
    <w:rsid w:val="15C928D7"/>
    <w:rsid w:val="15DAF639"/>
    <w:rsid w:val="15E1E111"/>
    <w:rsid w:val="15E40084"/>
    <w:rsid w:val="15E5C779"/>
    <w:rsid w:val="15E930D9"/>
    <w:rsid w:val="15F089BB"/>
    <w:rsid w:val="15F1AF00"/>
    <w:rsid w:val="15F1B1DE"/>
    <w:rsid w:val="15FF3C74"/>
    <w:rsid w:val="1602057A"/>
    <w:rsid w:val="16107E40"/>
    <w:rsid w:val="16139451"/>
    <w:rsid w:val="161AA878"/>
    <w:rsid w:val="161D7DDB"/>
    <w:rsid w:val="161FDF47"/>
    <w:rsid w:val="16252E44"/>
    <w:rsid w:val="163DA8EE"/>
    <w:rsid w:val="1642AB53"/>
    <w:rsid w:val="1649A3C4"/>
    <w:rsid w:val="1649B1DF"/>
    <w:rsid w:val="16504FB7"/>
    <w:rsid w:val="1650FD23"/>
    <w:rsid w:val="16530FBA"/>
    <w:rsid w:val="16566192"/>
    <w:rsid w:val="165EFC76"/>
    <w:rsid w:val="16659E8D"/>
    <w:rsid w:val="167A5727"/>
    <w:rsid w:val="1688B44C"/>
    <w:rsid w:val="168A7115"/>
    <w:rsid w:val="168E46D6"/>
    <w:rsid w:val="168EE4A9"/>
    <w:rsid w:val="169480A4"/>
    <w:rsid w:val="16966AD3"/>
    <w:rsid w:val="169CAFE2"/>
    <w:rsid w:val="16AB2E74"/>
    <w:rsid w:val="16BC4060"/>
    <w:rsid w:val="16BDC3FE"/>
    <w:rsid w:val="16C0728C"/>
    <w:rsid w:val="16CACD7D"/>
    <w:rsid w:val="16D3B5C9"/>
    <w:rsid w:val="16DB8C1B"/>
    <w:rsid w:val="16E44AFC"/>
    <w:rsid w:val="16EC53BC"/>
    <w:rsid w:val="16F31E1C"/>
    <w:rsid w:val="16F96C4A"/>
    <w:rsid w:val="16FB5662"/>
    <w:rsid w:val="16FF65AD"/>
    <w:rsid w:val="170442BA"/>
    <w:rsid w:val="170F84E3"/>
    <w:rsid w:val="17115E7D"/>
    <w:rsid w:val="17198382"/>
    <w:rsid w:val="172A7B63"/>
    <w:rsid w:val="1744114B"/>
    <w:rsid w:val="174B2903"/>
    <w:rsid w:val="17504520"/>
    <w:rsid w:val="175076F6"/>
    <w:rsid w:val="176284CC"/>
    <w:rsid w:val="1766CD52"/>
    <w:rsid w:val="176B7A28"/>
    <w:rsid w:val="17756713"/>
    <w:rsid w:val="17804341"/>
    <w:rsid w:val="179C4719"/>
    <w:rsid w:val="17A03DD9"/>
    <w:rsid w:val="17AD770E"/>
    <w:rsid w:val="17B6A7EF"/>
    <w:rsid w:val="17B8B5D5"/>
    <w:rsid w:val="17BB4227"/>
    <w:rsid w:val="17BC2AD4"/>
    <w:rsid w:val="17BD8957"/>
    <w:rsid w:val="17C4DCBD"/>
    <w:rsid w:val="17CE35E3"/>
    <w:rsid w:val="17D628EC"/>
    <w:rsid w:val="17D66A1F"/>
    <w:rsid w:val="17D9E1FB"/>
    <w:rsid w:val="17E52E97"/>
    <w:rsid w:val="17E9B1FF"/>
    <w:rsid w:val="17EA262C"/>
    <w:rsid w:val="17EFE86A"/>
    <w:rsid w:val="17F11BF9"/>
    <w:rsid w:val="17F169F0"/>
    <w:rsid w:val="17FC6DEA"/>
    <w:rsid w:val="1801ADDC"/>
    <w:rsid w:val="18078A74"/>
    <w:rsid w:val="18078CD0"/>
    <w:rsid w:val="180E3537"/>
    <w:rsid w:val="181C39E3"/>
    <w:rsid w:val="182DABE0"/>
    <w:rsid w:val="182E0F59"/>
    <w:rsid w:val="18328B9E"/>
    <w:rsid w:val="1833E5FB"/>
    <w:rsid w:val="1834CA00"/>
    <w:rsid w:val="18433E72"/>
    <w:rsid w:val="1844D725"/>
    <w:rsid w:val="1845F88B"/>
    <w:rsid w:val="184E7057"/>
    <w:rsid w:val="184FABFA"/>
    <w:rsid w:val="1854E66F"/>
    <w:rsid w:val="1858A8CF"/>
    <w:rsid w:val="18626F83"/>
    <w:rsid w:val="186340A3"/>
    <w:rsid w:val="18658468"/>
    <w:rsid w:val="186A66C1"/>
    <w:rsid w:val="18739853"/>
    <w:rsid w:val="187508E7"/>
    <w:rsid w:val="18842EC6"/>
    <w:rsid w:val="188630FC"/>
    <w:rsid w:val="18865941"/>
    <w:rsid w:val="188E14CE"/>
    <w:rsid w:val="188EED08"/>
    <w:rsid w:val="18922A48"/>
    <w:rsid w:val="18956FA7"/>
    <w:rsid w:val="18A50DFB"/>
    <w:rsid w:val="18B2C88A"/>
    <w:rsid w:val="18BD0CAD"/>
    <w:rsid w:val="18BDE81C"/>
    <w:rsid w:val="18C34121"/>
    <w:rsid w:val="18C5BDCB"/>
    <w:rsid w:val="18CEF15E"/>
    <w:rsid w:val="18D0E2D5"/>
    <w:rsid w:val="18DD0BDC"/>
    <w:rsid w:val="18E256EF"/>
    <w:rsid w:val="18E2D7DB"/>
    <w:rsid w:val="18E8D31B"/>
    <w:rsid w:val="18EF45ED"/>
    <w:rsid w:val="18F3F753"/>
    <w:rsid w:val="19016665"/>
    <w:rsid w:val="190387B4"/>
    <w:rsid w:val="1908907D"/>
    <w:rsid w:val="191568B8"/>
    <w:rsid w:val="191C99C2"/>
    <w:rsid w:val="19237FA0"/>
    <w:rsid w:val="19419C3C"/>
    <w:rsid w:val="194A5ECA"/>
    <w:rsid w:val="1951FDD5"/>
    <w:rsid w:val="195F4B1A"/>
    <w:rsid w:val="19644DEB"/>
    <w:rsid w:val="19669EF6"/>
    <w:rsid w:val="1968CAA8"/>
    <w:rsid w:val="196B6958"/>
    <w:rsid w:val="197016A8"/>
    <w:rsid w:val="199CE118"/>
    <w:rsid w:val="199F4DE2"/>
    <w:rsid w:val="19A64FF0"/>
    <w:rsid w:val="19C7A65C"/>
    <w:rsid w:val="19EA3CF1"/>
    <w:rsid w:val="19EC0E07"/>
    <w:rsid w:val="19F40117"/>
    <w:rsid w:val="1A01D478"/>
    <w:rsid w:val="1A03D6E3"/>
    <w:rsid w:val="1A064A49"/>
    <w:rsid w:val="1A083E89"/>
    <w:rsid w:val="1A0A6E10"/>
    <w:rsid w:val="1A0E8F29"/>
    <w:rsid w:val="1A1F69FF"/>
    <w:rsid w:val="1A30BE0D"/>
    <w:rsid w:val="1A358635"/>
    <w:rsid w:val="1A38979D"/>
    <w:rsid w:val="1A39AC4D"/>
    <w:rsid w:val="1A3E0835"/>
    <w:rsid w:val="1A48E16B"/>
    <w:rsid w:val="1A5EBEFA"/>
    <w:rsid w:val="1A616D19"/>
    <w:rsid w:val="1A632820"/>
    <w:rsid w:val="1A67A520"/>
    <w:rsid w:val="1A6D0910"/>
    <w:rsid w:val="1A793556"/>
    <w:rsid w:val="1A82AABE"/>
    <w:rsid w:val="1A89B01E"/>
    <w:rsid w:val="1A89EA19"/>
    <w:rsid w:val="1A8B1B27"/>
    <w:rsid w:val="1A8CE16A"/>
    <w:rsid w:val="1A94E676"/>
    <w:rsid w:val="1A9F3B3D"/>
    <w:rsid w:val="1AA5CD49"/>
    <w:rsid w:val="1AA8FB90"/>
    <w:rsid w:val="1AB18105"/>
    <w:rsid w:val="1AB56367"/>
    <w:rsid w:val="1AB8E7D8"/>
    <w:rsid w:val="1ABEA0D1"/>
    <w:rsid w:val="1AD60CC7"/>
    <w:rsid w:val="1AD80ED5"/>
    <w:rsid w:val="1ADD7D0B"/>
    <w:rsid w:val="1AE03FF4"/>
    <w:rsid w:val="1AE23222"/>
    <w:rsid w:val="1AE4D0CA"/>
    <w:rsid w:val="1AF57210"/>
    <w:rsid w:val="1B00C749"/>
    <w:rsid w:val="1B040068"/>
    <w:rsid w:val="1B063598"/>
    <w:rsid w:val="1B0D0E63"/>
    <w:rsid w:val="1B202F07"/>
    <w:rsid w:val="1B26E087"/>
    <w:rsid w:val="1B2D6F25"/>
    <w:rsid w:val="1B3FE4EB"/>
    <w:rsid w:val="1B4DB480"/>
    <w:rsid w:val="1B50C360"/>
    <w:rsid w:val="1B54762C"/>
    <w:rsid w:val="1B5789E2"/>
    <w:rsid w:val="1B639FB5"/>
    <w:rsid w:val="1B7D1B74"/>
    <w:rsid w:val="1B7D57DF"/>
    <w:rsid w:val="1B7F6AF8"/>
    <w:rsid w:val="1B992290"/>
    <w:rsid w:val="1BAD2D15"/>
    <w:rsid w:val="1BB89916"/>
    <w:rsid w:val="1BD0C29A"/>
    <w:rsid w:val="1BD0D55F"/>
    <w:rsid w:val="1BD12C00"/>
    <w:rsid w:val="1BDF891E"/>
    <w:rsid w:val="1BF23DD6"/>
    <w:rsid w:val="1BFECBF0"/>
    <w:rsid w:val="1C016696"/>
    <w:rsid w:val="1C051E32"/>
    <w:rsid w:val="1C07582B"/>
    <w:rsid w:val="1C0DE725"/>
    <w:rsid w:val="1C13CF10"/>
    <w:rsid w:val="1C14D08F"/>
    <w:rsid w:val="1C1D7C32"/>
    <w:rsid w:val="1C1EE3BD"/>
    <w:rsid w:val="1C23FFC1"/>
    <w:rsid w:val="1C24866D"/>
    <w:rsid w:val="1C27B527"/>
    <w:rsid w:val="1C341EBA"/>
    <w:rsid w:val="1C358045"/>
    <w:rsid w:val="1C3EA62F"/>
    <w:rsid w:val="1C4649A4"/>
    <w:rsid w:val="1C4E9FDB"/>
    <w:rsid w:val="1C6079CE"/>
    <w:rsid w:val="1C7420D6"/>
    <w:rsid w:val="1C7600E5"/>
    <w:rsid w:val="1C775BA3"/>
    <w:rsid w:val="1C7F7B4B"/>
    <w:rsid w:val="1C91E0E5"/>
    <w:rsid w:val="1C975563"/>
    <w:rsid w:val="1CAE857E"/>
    <w:rsid w:val="1CB60AF8"/>
    <w:rsid w:val="1CC28190"/>
    <w:rsid w:val="1CC2FD62"/>
    <w:rsid w:val="1CDA8B91"/>
    <w:rsid w:val="1CDB578F"/>
    <w:rsid w:val="1CEEC54B"/>
    <w:rsid w:val="1CF672EE"/>
    <w:rsid w:val="1CFCF43C"/>
    <w:rsid w:val="1D0AE28C"/>
    <w:rsid w:val="1D0B49DD"/>
    <w:rsid w:val="1D0C1E5D"/>
    <w:rsid w:val="1D2208E5"/>
    <w:rsid w:val="1D2E45F4"/>
    <w:rsid w:val="1D2EA1A3"/>
    <w:rsid w:val="1D2F61C3"/>
    <w:rsid w:val="1D303138"/>
    <w:rsid w:val="1D31C742"/>
    <w:rsid w:val="1D36A4F7"/>
    <w:rsid w:val="1D3B5B55"/>
    <w:rsid w:val="1D4B01F2"/>
    <w:rsid w:val="1D4BF765"/>
    <w:rsid w:val="1D4D2A16"/>
    <w:rsid w:val="1D55601E"/>
    <w:rsid w:val="1D5AB315"/>
    <w:rsid w:val="1D61B0C6"/>
    <w:rsid w:val="1D67146F"/>
    <w:rsid w:val="1D69178C"/>
    <w:rsid w:val="1D6DD6B4"/>
    <w:rsid w:val="1D6F264E"/>
    <w:rsid w:val="1D7DE726"/>
    <w:rsid w:val="1D892E76"/>
    <w:rsid w:val="1DA9D925"/>
    <w:rsid w:val="1DACA653"/>
    <w:rsid w:val="1DBB6BEE"/>
    <w:rsid w:val="1DC2428F"/>
    <w:rsid w:val="1DC32AD1"/>
    <w:rsid w:val="1DC7AC79"/>
    <w:rsid w:val="1DCA511A"/>
    <w:rsid w:val="1DDE4629"/>
    <w:rsid w:val="1DEEAEEA"/>
    <w:rsid w:val="1DEEEAF1"/>
    <w:rsid w:val="1E03EB0C"/>
    <w:rsid w:val="1E0BE42A"/>
    <w:rsid w:val="1E0F48AB"/>
    <w:rsid w:val="1E11C345"/>
    <w:rsid w:val="1E123112"/>
    <w:rsid w:val="1E27D462"/>
    <w:rsid w:val="1E38099A"/>
    <w:rsid w:val="1E3C92E1"/>
    <w:rsid w:val="1E467F5C"/>
    <w:rsid w:val="1E490794"/>
    <w:rsid w:val="1E4B69C7"/>
    <w:rsid w:val="1E4C606F"/>
    <w:rsid w:val="1E517EB5"/>
    <w:rsid w:val="1E55F275"/>
    <w:rsid w:val="1E5683CC"/>
    <w:rsid w:val="1E5E3437"/>
    <w:rsid w:val="1E6862E1"/>
    <w:rsid w:val="1E80F261"/>
    <w:rsid w:val="1E8B5F6C"/>
    <w:rsid w:val="1E922BF8"/>
    <w:rsid w:val="1E9A4256"/>
    <w:rsid w:val="1E9B77DA"/>
    <w:rsid w:val="1E9D93EA"/>
    <w:rsid w:val="1EAE2616"/>
    <w:rsid w:val="1EC0AC53"/>
    <w:rsid w:val="1EC0BA83"/>
    <w:rsid w:val="1EC0FC0E"/>
    <w:rsid w:val="1EC2B74B"/>
    <w:rsid w:val="1EC4A582"/>
    <w:rsid w:val="1EC59740"/>
    <w:rsid w:val="1ECE3922"/>
    <w:rsid w:val="1ED802BC"/>
    <w:rsid w:val="1EE670E2"/>
    <w:rsid w:val="1EECB380"/>
    <w:rsid w:val="1EF65FFD"/>
    <w:rsid w:val="1EF6C49D"/>
    <w:rsid w:val="1EFC3D21"/>
    <w:rsid w:val="1EFDF9D8"/>
    <w:rsid w:val="1F07432D"/>
    <w:rsid w:val="1F0CDE76"/>
    <w:rsid w:val="1F115AAC"/>
    <w:rsid w:val="1F120CF9"/>
    <w:rsid w:val="1F169113"/>
    <w:rsid w:val="1F16CD0F"/>
    <w:rsid w:val="1F17177D"/>
    <w:rsid w:val="1F17F461"/>
    <w:rsid w:val="1F1EA822"/>
    <w:rsid w:val="1F21F18A"/>
    <w:rsid w:val="1F26CA9A"/>
    <w:rsid w:val="1F3315CC"/>
    <w:rsid w:val="1F70D424"/>
    <w:rsid w:val="1F78C118"/>
    <w:rsid w:val="1F7DA392"/>
    <w:rsid w:val="1F83C0AE"/>
    <w:rsid w:val="1F8D2525"/>
    <w:rsid w:val="1FA1FE0F"/>
    <w:rsid w:val="1FA7E3C6"/>
    <w:rsid w:val="1FAF89B3"/>
    <w:rsid w:val="1FB04E49"/>
    <w:rsid w:val="1FC059E9"/>
    <w:rsid w:val="1FC09E43"/>
    <w:rsid w:val="1FC2CE92"/>
    <w:rsid w:val="1FD56549"/>
    <w:rsid w:val="1FDBA2B9"/>
    <w:rsid w:val="1FED2693"/>
    <w:rsid w:val="1FF22DA7"/>
    <w:rsid w:val="1FFA9263"/>
    <w:rsid w:val="1FFDEDCE"/>
    <w:rsid w:val="2004F054"/>
    <w:rsid w:val="200A7022"/>
    <w:rsid w:val="200E11D2"/>
    <w:rsid w:val="20172455"/>
    <w:rsid w:val="201DA473"/>
    <w:rsid w:val="201DE60F"/>
    <w:rsid w:val="20217EA1"/>
    <w:rsid w:val="20278B54"/>
    <w:rsid w:val="2034431B"/>
    <w:rsid w:val="20428B09"/>
    <w:rsid w:val="20447F81"/>
    <w:rsid w:val="205012FC"/>
    <w:rsid w:val="205404C2"/>
    <w:rsid w:val="20576BBE"/>
    <w:rsid w:val="2065F849"/>
    <w:rsid w:val="207908D5"/>
    <w:rsid w:val="2080E7B6"/>
    <w:rsid w:val="20943F0A"/>
    <w:rsid w:val="20AA6831"/>
    <w:rsid w:val="20ACD4C8"/>
    <w:rsid w:val="20C4C2CE"/>
    <w:rsid w:val="20CCD205"/>
    <w:rsid w:val="20D5C223"/>
    <w:rsid w:val="20DFB100"/>
    <w:rsid w:val="20DFBF12"/>
    <w:rsid w:val="20E3D086"/>
    <w:rsid w:val="20E5507D"/>
    <w:rsid w:val="20F1D92A"/>
    <w:rsid w:val="20FD6D5E"/>
    <w:rsid w:val="21016AF7"/>
    <w:rsid w:val="2125DC9E"/>
    <w:rsid w:val="2126881C"/>
    <w:rsid w:val="213DE0A5"/>
    <w:rsid w:val="21498C03"/>
    <w:rsid w:val="215F1D55"/>
    <w:rsid w:val="216F49C7"/>
    <w:rsid w:val="216FF0EF"/>
    <w:rsid w:val="21703025"/>
    <w:rsid w:val="2172E279"/>
    <w:rsid w:val="21797E1F"/>
    <w:rsid w:val="2186AC84"/>
    <w:rsid w:val="218E2DE5"/>
    <w:rsid w:val="2191515F"/>
    <w:rsid w:val="219F60F0"/>
    <w:rsid w:val="21BB0D5F"/>
    <w:rsid w:val="21BBEB8B"/>
    <w:rsid w:val="21C003EC"/>
    <w:rsid w:val="21D19831"/>
    <w:rsid w:val="21DAB17C"/>
    <w:rsid w:val="21E19962"/>
    <w:rsid w:val="21E1D308"/>
    <w:rsid w:val="21E2B4C2"/>
    <w:rsid w:val="21EE28F4"/>
    <w:rsid w:val="21F45EAB"/>
    <w:rsid w:val="21FA7A6A"/>
    <w:rsid w:val="21FAEB87"/>
    <w:rsid w:val="21FBDA11"/>
    <w:rsid w:val="21FCE56A"/>
    <w:rsid w:val="221E25E7"/>
    <w:rsid w:val="221F9EE3"/>
    <w:rsid w:val="2220BD25"/>
    <w:rsid w:val="222BE342"/>
    <w:rsid w:val="222FA46C"/>
    <w:rsid w:val="22372B18"/>
    <w:rsid w:val="2238591A"/>
    <w:rsid w:val="224B6396"/>
    <w:rsid w:val="2253C64F"/>
    <w:rsid w:val="225D1345"/>
    <w:rsid w:val="226D20EF"/>
    <w:rsid w:val="226E7E80"/>
    <w:rsid w:val="226FC798"/>
    <w:rsid w:val="2281425C"/>
    <w:rsid w:val="2285FB22"/>
    <w:rsid w:val="22896660"/>
    <w:rsid w:val="228A8737"/>
    <w:rsid w:val="228BE838"/>
    <w:rsid w:val="228FC78D"/>
    <w:rsid w:val="2294A73F"/>
    <w:rsid w:val="229EA375"/>
    <w:rsid w:val="22A4646A"/>
    <w:rsid w:val="22A7909C"/>
    <w:rsid w:val="22A8B8DF"/>
    <w:rsid w:val="22B34F0D"/>
    <w:rsid w:val="22C37067"/>
    <w:rsid w:val="22C71B12"/>
    <w:rsid w:val="22CABD24"/>
    <w:rsid w:val="22CFBA67"/>
    <w:rsid w:val="22D0B1B1"/>
    <w:rsid w:val="22DADB57"/>
    <w:rsid w:val="22DAECB1"/>
    <w:rsid w:val="22E7AAD3"/>
    <w:rsid w:val="22EB0FB9"/>
    <w:rsid w:val="22ECAE34"/>
    <w:rsid w:val="22EFAF01"/>
    <w:rsid w:val="22F2096D"/>
    <w:rsid w:val="22F366C5"/>
    <w:rsid w:val="22F75A80"/>
    <w:rsid w:val="230C6AE4"/>
    <w:rsid w:val="230C75FB"/>
    <w:rsid w:val="2311574C"/>
    <w:rsid w:val="231ADF90"/>
    <w:rsid w:val="2320355A"/>
    <w:rsid w:val="2321621B"/>
    <w:rsid w:val="232D43AA"/>
    <w:rsid w:val="232E6F32"/>
    <w:rsid w:val="233B160E"/>
    <w:rsid w:val="2345E38C"/>
    <w:rsid w:val="234602F6"/>
    <w:rsid w:val="234AB5FA"/>
    <w:rsid w:val="234C87D5"/>
    <w:rsid w:val="23517A30"/>
    <w:rsid w:val="235C0F49"/>
    <w:rsid w:val="235D66F0"/>
    <w:rsid w:val="235E3D64"/>
    <w:rsid w:val="2364CD07"/>
    <w:rsid w:val="2368A9B4"/>
    <w:rsid w:val="236A1C84"/>
    <w:rsid w:val="2379F49F"/>
    <w:rsid w:val="238BF14C"/>
    <w:rsid w:val="238E0FE8"/>
    <w:rsid w:val="238FB694"/>
    <w:rsid w:val="239257E3"/>
    <w:rsid w:val="239965F8"/>
    <w:rsid w:val="23A4B6FC"/>
    <w:rsid w:val="23A4BB60"/>
    <w:rsid w:val="23A90A76"/>
    <w:rsid w:val="23AB5B5D"/>
    <w:rsid w:val="23B209D3"/>
    <w:rsid w:val="23BB84B2"/>
    <w:rsid w:val="23C47E34"/>
    <w:rsid w:val="23C6956E"/>
    <w:rsid w:val="23C83D47"/>
    <w:rsid w:val="23D1C4AF"/>
    <w:rsid w:val="23D559B9"/>
    <w:rsid w:val="23D6DEEF"/>
    <w:rsid w:val="23D75FEA"/>
    <w:rsid w:val="23E3C9AB"/>
    <w:rsid w:val="23E52FCA"/>
    <w:rsid w:val="23EC18A1"/>
    <w:rsid w:val="23ED513B"/>
    <w:rsid w:val="23F6E6B8"/>
    <w:rsid w:val="241C2946"/>
    <w:rsid w:val="2425BE14"/>
    <w:rsid w:val="244CB4F0"/>
    <w:rsid w:val="24591C0E"/>
    <w:rsid w:val="245F2AC5"/>
    <w:rsid w:val="246093F9"/>
    <w:rsid w:val="24663D6C"/>
    <w:rsid w:val="24707363"/>
    <w:rsid w:val="24767230"/>
    <w:rsid w:val="247A32CA"/>
    <w:rsid w:val="2488DE22"/>
    <w:rsid w:val="248AC58E"/>
    <w:rsid w:val="24976394"/>
    <w:rsid w:val="249D8E4F"/>
    <w:rsid w:val="24A115CC"/>
    <w:rsid w:val="24BB2EF4"/>
    <w:rsid w:val="24BE6AAE"/>
    <w:rsid w:val="24C6CDE0"/>
    <w:rsid w:val="24C86515"/>
    <w:rsid w:val="24CF7D92"/>
    <w:rsid w:val="24D430E9"/>
    <w:rsid w:val="24D4B222"/>
    <w:rsid w:val="24D604AD"/>
    <w:rsid w:val="24DB8892"/>
    <w:rsid w:val="24E121C9"/>
    <w:rsid w:val="24E5CBF7"/>
    <w:rsid w:val="24E77C92"/>
    <w:rsid w:val="24E853C1"/>
    <w:rsid w:val="24F4F065"/>
    <w:rsid w:val="24F7E274"/>
    <w:rsid w:val="25035DA7"/>
    <w:rsid w:val="2507E08A"/>
    <w:rsid w:val="2508C4A2"/>
    <w:rsid w:val="250AB091"/>
    <w:rsid w:val="250B02F2"/>
    <w:rsid w:val="25287A1D"/>
    <w:rsid w:val="25426E94"/>
    <w:rsid w:val="2551086B"/>
    <w:rsid w:val="25546076"/>
    <w:rsid w:val="255C196C"/>
    <w:rsid w:val="255F3E45"/>
    <w:rsid w:val="25651E3B"/>
    <w:rsid w:val="2575E337"/>
    <w:rsid w:val="258BBCC1"/>
    <w:rsid w:val="258BEC81"/>
    <w:rsid w:val="259D23BA"/>
    <w:rsid w:val="25A0E50E"/>
    <w:rsid w:val="25A95548"/>
    <w:rsid w:val="25B8F814"/>
    <w:rsid w:val="25D2FE0B"/>
    <w:rsid w:val="25D397C8"/>
    <w:rsid w:val="25E0EB5A"/>
    <w:rsid w:val="25E66BA8"/>
    <w:rsid w:val="25E9769F"/>
    <w:rsid w:val="25EBC725"/>
    <w:rsid w:val="25EFCF27"/>
    <w:rsid w:val="25F61720"/>
    <w:rsid w:val="25FCBB31"/>
    <w:rsid w:val="25FD0F5D"/>
    <w:rsid w:val="261B00FF"/>
    <w:rsid w:val="2623DC3E"/>
    <w:rsid w:val="262562E1"/>
    <w:rsid w:val="262ACCCA"/>
    <w:rsid w:val="262CD516"/>
    <w:rsid w:val="263235B8"/>
    <w:rsid w:val="263D69E1"/>
    <w:rsid w:val="26484A3A"/>
    <w:rsid w:val="264E3384"/>
    <w:rsid w:val="265B9E16"/>
    <w:rsid w:val="265C4372"/>
    <w:rsid w:val="26615A4F"/>
    <w:rsid w:val="26625BD7"/>
    <w:rsid w:val="2665BACD"/>
    <w:rsid w:val="266A8532"/>
    <w:rsid w:val="266DDD56"/>
    <w:rsid w:val="266FC4A1"/>
    <w:rsid w:val="2674F956"/>
    <w:rsid w:val="26780E0F"/>
    <w:rsid w:val="26826F69"/>
    <w:rsid w:val="269D95D7"/>
    <w:rsid w:val="269F61C6"/>
    <w:rsid w:val="26B6A4D7"/>
    <w:rsid w:val="26BAF58E"/>
    <w:rsid w:val="26BF8A50"/>
    <w:rsid w:val="26C31787"/>
    <w:rsid w:val="26C33E1E"/>
    <w:rsid w:val="26C44CDC"/>
    <w:rsid w:val="26D1DDC2"/>
    <w:rsid w:val="26D7BD4C"/>
    <w:rsid w:val="26EB039D"/>
    <w:rsid w:val="26F3BD49"/>
    <w:rsid w:val="26F702DC"/>
    <w:rsid w:val="2705C0EF"/>
    <w:rsid w:val="270D8E95"/>
    <w:rsid w:val="2711D759"/>
    <w:rsid w:val="27125B12"/>
    <w:rsid w:val="273EF1BF"/>
    <w:rsid w:val="2747D01E"/>
    <w:rsid w:val="27518E52"/>
    <w:rsid w:val="2764AC8B"/>
    <w:rsid w:val="27678B74"/>
    <w:rsid w:val="276D181F"/>
    <w:rsid w:val="2778485F"/>
    <w:rsid w:val="277C3CD6"/>
    <w:rsid w:val="27816C0E"/>
    <w:rsid w:val="279385A4"/>
    <w:rsid w:val="27938BAB"/>
    <w:rsid w:val="2799E4D5"/>
    <w:rsid w:val="27B40010"/>
    <w:rsid w:val="27B69DD0"/>
    <w:rsid w:val="27B86681"/>
    <w:rsid w:val="27B91045"/>
    <w:rsid w:val="27BCE4B6"/>
    <w:rsid w:val="27BE84A2"/>
    <w:rsid w:val="27BF8937"/>
    <w:rsid w:val="27D3423F"/>
    <w:rsid w:val="27D86132"/>
    <w:rsid w:val="27E8DE6A"/>
    <w:rsid w:val="27EE5642"/>
    <w:rsid w:val="27F0A781"/>
    <w:rsid w:val="27F0F401"/>
    <w:rsid w:val="27F1E827"/>
    <w:rsid w:val="27FD1E8C"/>
    <w:rsid w:val="27FF6ABA"/>
    <w:rsid w:val="281659D8"/>
    <w:rsid w:val="281A491B"/>
    <w:rsid w:val="281E7557"/>
    <w:rsid w:val="2824B22D"/>
    <w:rsid w:val="28294868"/>
    <w:rsid w:val="282A8AA8"/>
    <w:rsid w:val="283209C9"/>
    <w:rsid w:val="2837C605"/>
    <w:rsid w:val="283E02DE"/>
    <w:rsid w:val="2849043E"/>
    <w:rsid w:val="284A4A5F"/>
    <w:rsid w:val="284A7B20"/>
    <w:rsid w:val="284CB4C9"/>
    <w:rsid w:val="284E3418"/>
    <w:rsid w:val="284FF94A"/>
    <w:rsid w:val="285C8A4C"/>
    <w:rsid w:val="2866F38A"/>
    <w:rsid w:val="2871A1C5"/>
    <w:rsid w:val="28755BA7"/>
    <w:rsid w:val="287FC62B"/>
    <w:rsid w:val="2885B2FE"/>
    <w:rsid w:val="288E095C"/>
    <w:rsid w:val="288F3082"/>
    <w:rsid w:val="28924792"/>
    <w:rsid w:val="28961011"/>
    <w:rsid w:val="289A06D7"/>
    <w:rsid w:val="289A251B"/>
    <w:rsid w:val="28AA51C1"/>
    <w:rsid w:val="28B21DE0"/>
    <w:rsid w:val="28C5B5A3"/>
    <w:rsid w:val="28C67446"/>
    <w:rsid w:val="28CDD52A"/>
    <w:rsid w:val="28D5808D"/>
    <w:rsid w:val="28D98BC0"/>
    <w:rsid w:val="28E81D2C"/>
    <w:rsid w:val="28FC7020"/>
    <w:rsid w:val="29034A43"/>
    <w:rsid w:val="2908226C"/>
    <w:rsid w:val="2909A77B"/>
    <w:rsid w:val="2909CB33"/>
    <w:rsid w:val="290E9A55"/>
    <w:rsid w:val="2917BB00"/>
    <w:rsid w:val="291C4413"/>
    <w:rsid w:val="291C44D8"/>
    <w:rsid w:val="2924CDFD"/>
    <w:rsid w:val="292E7119"/>
    <w:rsid w:val="293E31AD"/>
    <w:rsid w:val="295016E4"/>
    <w:rsid w:val="295D0374"/>
    <w:rsid w:val="2965578B"/>
    <w:rsid w:val="29723C4B"/>
    <w:rsid w:val="297AAEC8"/>
    <w:rsid w:val="29895195"/>
    <w:rsid w:val="298A348B"/>
    <w:rsid w:val="298C5190"/>
    <w:rsid w:val="299F5AD3"/>
    <w:rsid w:val="29B4CA97"/>
    <w:rsid w:val="29BA2299"/>
    <w:rsid w:val="29BB1933"/>
    <w:rsid w:val="29CFF67E"/>
    <w:rsid w:val="29D4828B"/>
    <w:rsid w:val="29D839A2"/>
    <w:rsid w:val="29D8E21F"/>
    <w:rsid w:val="29DD6641"/>
    <w:rsid w:val="29DF58E0"/>
    <w:rsid w:val="29E3210C"/>
    <w:rsid w:val="29E67C48"/>
    <w:rsid w:val="29EFA04C"/>
    <w:rsid w:val="29F2C924"/>
    <w:rsid w:val="29F4E104"/>
    <w:rsid w:val="29F71146"/>
    <w:rsid w:val="29FA0414"/>
    <w:rsid w:val="29FD10A3"/>
    <w:rsid w:val="2A07A49F"/>
    <w:rsid w:val="2A07B763"/>
    <w:rsid w:val="2A0BDEA4"/>
    <w:rsid w:val="2A178947"/>
    <w:rsid w:val="2A1FCBA5"/>
    <w:rsid w:val="2A275E0F"/>
    <w:rsid w:val="2A2DBA83"/>
    <w:rsid w:val="2A35D9DD"/>
    <w:rsid w:val="2A3A9009"/>
    <w:rsid w:val="2A3D9548"/>
    <w:rsid w:val="2A4C33BD"/>
    <w:rsid w:val="2A62363D"/>
    <w:rsid w:val="2A66C994"/>
    <w:rsid w:val="2A87F28A"/>
    <w:rsid w:val="2A9D253F"/>
    <w:rsid w:val="2AA6A988"/>
    <w:rsid w:val="2AA734BE"/>
    <w:rsid w:val="2AACFF80"/>
    <w:rsid w:val="2AAD237E"/>
    <w:rsid w:val="2AAE9740"/>
    <w:rsid w:val="2AB2EAB8"/>
    <w:rsid w:val="2AB53600"/>
    <w:rsid w:val="2AB7BB57"/>
    <w:rsid w:val="2ADF3EDA"/>
    <w:rsid w:val="2AE9026B"/>
    <w:rsid w:val="2AEC4A6D"/>
    <w:rsid w:val="2AF5569C"/>
    <w:rsid w:val="2B1ECA6B"/>
    <w:rsid w:val="2B2DE9F3"/>
    <w:rsid w:val="2B3CFF62"/>
    <w:rsid w:val="2B3DB87C"/>
    <w:rsid w:val="2B49C2E0"/>
    <w:rsid w:val="2B566CB4"/>
    <w:rsid w:val="2B579A73"/>
    <w:rsid w:val="2B6B2BE8"/>
    <w:rsid w:val="2B701C1E"/>
    <w:rsid w:val="2B770C4C"/>
    <w:rsid w:val="2B7845D6"/>
    <w:rsid w:val="2B8F4053"/>
    <w:rsid w:val="2B987FE0"/>
    <w:rsid w:val="2B98886D"/>
    <w:rsid w:val="2B9D61CF"/>
    <w:rsid w:val="2BA12292"/>
    <w:rsid w:val="2BA44DAF"/>
    <w:rsid w:val="2BA511FD"/>
    <w:rsid w:val="2BA55C3A"/>
    <w:rsid w:val="2BAC8A70"/>
    <w:rsid w:val="2BB45004"/>
    <w:rsid w:val="2BBD2116"/>
    <w:rsid w:val="2BC3859B"/>
    <w:rsid w:val="2BC94FAD"/>
    <w:rsid w:val="2BD58257"/>
    <w:rsid w:val="2BDD5EBC"/>
    <w:rsid w:val="2BF294C7"/>
    <w:rsid w:val="2BF38FA5"/>
    <w:rsid w:val="2BFA9D45"/>
    <w:rsid w:val="2C0B12AF"/>
    <w:rsid w:val="2C160D13"/>
    <w:rsid w:val="2C197196"/>
    <w:rsid w:val="2C1988D9"/>
    <w:rsid w:val="2C1C5430"/>
    <w:rsid w:val="2C201C4C"/>
    <w:rsid w:val="2C3701F8"/>
    <w:rsid w:val="2C3D5842"/>
    <w:rsid w:val="2C3DD421"/>
    <w:rsid w:val="2C4A40DD"/>
    <w:rsid w:val="2C66F5ED"/>
    <w:rsid w:val="2C6CB170"/>
    <w:rsid w:val="2C6DA567"/>
    <w:rsid w:val="2C6E4C30"/>
    <w:rsid w:val="2C71DA86"/>
    <w:rsid w:val="2C7C7B6C"/>
    <w:rsid w:val="2C87AE18"/>
    <w:rsid w:val="2C9A7132"/>
    <w:rsid w:val="2C9F57C1"/>
    <w:rsid w:val="2C9F934B"/>
    <w:rsid w:val="2CAC33F1"/>
    <w:rsid w:val="2CAD62B7"/>
    <w:rsid w:val="2CB7B565"/>
    <w:rsid w:val="2CC0FE16"/>
    <w:rsid w:val="2CCCE319"/>
    <w:rsid w:val="2CCE7DEF"/>
    <w:rsid w:val="2CD0033A"/>
    <w:rsid w:val="2CD59434"/>
    <w:rsid w:val="2CDC5B39"/>
    <w:rsid w:val="2CDE3F60"/>
    <w:rsid w:val="2CE5127A"/>
    <w:rsid w:val="2CF43988"/>
    <w:rsid w:val="2CF4A2A8"/>
    <w:rsid w:val="2CF90EE3"/>
    <w:rsid w:val="2CFEFF15"/>
    <w:rsid w:val="2D04D24D"/>
    <w:rsid w:val="2D14A969"/>
    <w:rsid w:val="2D170826"/>
    <w:rsid w:val="2D240E11"/>
    <w:rsid w:val="2D278533"/>
    <w:rsid w:val="2D2991E2"/>
    <w:rsid w:val="2D345459"/>
    <w:rsid w:val="2D36184C"/>
    <w:rsid w:val="2D3C63F0"/>
    <w:rsid w:val="2D45FDCB"/>
    <w:rsid w:val="2D47555E"/>
    <w:rsid w:val="2D4979E9"/>
    <w:rsid w:val="2D5C51C3"/>
    <w:rsid w:val="2D75368A"/>
    <w:rsid w:val="2D77CBEE"/>
    <w:rsid w:val="2D807CDB"/>
    <w:rsid w:val="2D8B532D"/>
    <w:rsid w:val="2D8DB852"/>
    <w:rsid w:val="2D98E1C2"/>
    <w:rsid w:val="2DAD09B5"/>
    <w:rsid w:val="2DADC5A3"/>
    <w:rsid w:val="2DB53007"/>
    <w:rsid w:val="2DBCFA6E"/>
    <w:rsid w:val="2DBDFBC7"/>
    <w:rsid w:val="2DC71E30"/>
    <w:rsid w:val="2DD322BA"/>
    <w:rsid w:val="2DD6EA3C"/>
    <w:rsid w:val="2DDBE827"/>
    <w:rsid w:val="2DE2B085"/>
    <w:rsid w:val="2DEA0C52"/>
    <w:rsid w:val="2DEB4CC0"/>
    <w:rsid w:val="2DF1763D"/>
    <w:rsid w:val="2E15FBDF"/>
    <w:rsid w:val="2E2152D8"/>
    <w:rsid w:val="2E25D457"/>
    <w:rsid w:val="2E2C0CDF"/>
    <w:rsid w:val="2E32E921"/>
    <w:rsid w:val="2E354312"/>
    <w:rsid w:val="2E42486E"/>
    <w:rsid w:val="2E459E0D"/>
    <w:rsid w:val="2E4694F4"/>
    <w:rsid w:val="2E46CECB"/>
    <w:rsid w:val="2E472C49"/>
    <w:rsid w:val="2E495DF9"/>
    <w:rsid w:val="2E4B8CB9"/>
    <w:rsid w:val="2E4E749F"/>
    <w:rsid w:val="2E53D209"/>
    <w:rsid w:val="2E5A8D8A"/>
    <w:rsid w:val="2E5B45F9"/>
    <w:rsid w:val="2E5D86BF"/>
    <w:rsid w:val="2E6608F7"/>
    <w:rsid w:val="2E6914F8"/>
    <w:rsid w:val="2E6A2BC4"/>
    <w:rsid w:val="2E735EC9"/>
    <w:rsid w:val="2E7872C6"/>
    <w:rsid w:val="2E95D961"/>
    <w:rsid w:val="2EA799D6"/>
    <w:rsid w:val="2EADC225"/>
    <w:rsid w:val="2EB3D371"/>
    <w:rsid w:val="2EBD3E00"/>
    <w:rsid w:val="2ECBA75B"/>
    <w:rsid w:val="2ED1036E"/>
    <w:rsid w:val="2ED58A12"/>
    <w:rsid w:val="2EF42116"/>
    <w:rsid w:val="2EF505BF"/>
    <w:rsid w:val="2EF71E10"/>
    <w:rsid w:val="2EF781F7"/>
    <w:rsid w:val="2F005ED2"/>
    <w:rsid w:val="2F02A126"/>
    <w:rsid w:val="2F0941AA"/>
    <w:rsid w:val="2F164EC7"/>
    <w:rsid w:val="2F1A8E19"/>
    <w:rsid w:val="2F1D824F"/>
    <w:rsid w:val="2F1E984F"/>
    <w:rsid w:val="2F298975"/>
    <w:rsid w:val="2F310755"/>
    <w:rsid w:val="2F37E952"/>
    <w:rsid w:val="2F386855"/>
    <w:rsid w:val="2F44A1C0"/>
    <w:rsid w:val="2F4568F4"/>
    <w:rsid w:val="2F4C2061"/>
    <w:rsid w:val="2F525170"/>
    <w:rsid w:val="2F52C9DB"/>
    <w:rsid w:val="2F59A62F"/>
    <w:rsid w:val="2F5B3D11"/>
    <w:rsid w:val="2F652947"/>
    <w:rsid w:val="2F6BD731"/>
    <w:rsid w:val="2F7ABEDF"/>
    <w:rsid w:val="2F81693C"/>
    <w:rsid w:val="2F866CE2"/>
    <w:rsid w:val="2F86CFD1"/>
    <w:rsid w:val="2F9629DB"/>
    <w:rsid w:val="2FA48AC4"/>
    <w:rsid w:val="2FA82F7C"/>
    <w:rsid w:val="2FAA7547"/>
    <w:rsid w:val="2FAA7B3E"/>
    <w:rsid w:val="2FAF530B"/>
    <w:rsid w:val="2FB20E4F"/>
    <w:rsid w:val="2FB23320"/>
    <w:rsid w:val="2FB59128"/>
    <w:rsid w:val="2FCF8831"/>
    <w:rsid w:val="2FD7BEB3"/>
    <w:rsid w:val="2FDD8730"/>
    <w:rsid w:val="3004ECDB"/>
    <w:rsid w:val="3011870D"/>
    <w:rsid w:val="301748D0"/>
    <w:rsid w:val="30189375"/>
    <w:rsid w:val="302684D6"/>
    <w:rsid w:val="3028E8A7"/>
    <w:rsid w:val="3031B3AC"/>
    <w:rsid w:val="3049DF51"/>
    <w:rsid w:val="304ED4FF"/>
    <w:rsid w:val="30598E66"/>
    <w:rsid w:val="3059E5C4"/>
    <w:rsid w:val="305D7073"/>
    <w:rsid w:val="30689E94"/>
    <w:rsid w:val="30695BD6"/>
    <w:rsid w:val="3069CC89"/>
    <w:rsid w:val="30712FE7"/>
    <w:rsid w:val="307198B6"/>
    <w:rsid w:val="308A6473"/>
    <w:rsid w:val="308C8851"/>
    <w:rsid w:val="3098762D"/>
    <w:rsid w:val="309B0062"/>
    <w:rsid w:val="309EC3B1"/>
    <w:rsid w:val="30A46E10"/>
    <w:rsid w:val="30AE4C23"/>
    <w:rsid w:val="30AED428"/>
    <w:rsid w:val="30AFFDBB"/>
    <w:rsid w:val="30B02592"/>
    <w:rsid w:val="30B1D992"/>
    <w:rsid w:val="30BBF6AC"/>
    <w:rsid w:val="30C35057"/>
    <w:rsid w:val="30C88EF2"/>
    <w:rsid w:val="30CF3823"/>
    <w:rsid w:val="30D2869D"/>
    <w:rsid w:val="30D93732"/>
    <w:rsid w:val="30F99B04"/>
    <w:rsid w:val="3101DC2C"/>
    <w:rsid w:val="3104F55D"/>
    <w:rsid w:val="3109457A"/>
    <w:rsid w:val="311C12F1"/>
    <w:rsid w:val="311C355A"/>
    <w:rsid w:val="3120D370"/>
    <w:rsid w:val="3123EC83"/>
    <w:rsid w:val="312711CF"/>
    <w:rsid w:val="312AD0E1"/>
    <w:rsid w:val="312C759B"/>
    <w:rsid w:val="312CC43F"/>
    <w:rsid w:val="312E230C"/>
    <w:rsid w:val="313650C1"/>
    <w:rsid w:val="31444E22"/>
    <w:rsid w:val="31459B97"/>
    <w:rsid w:val="314AB55A"/>
    <w:rsid w:val="314D0024"/>
    <w:rsid w:val="314E25C6"/>
    <w:rsid w:val="3152CBFF"/>
    <w:rsid w:val="315758E4"/>
    <w:rsid w:val="31592D84"/>
    <w:rsid w:val="315B6CCD"/>
    <w:rsid w:val="315C0B89"/>
    <w:rsid w:val="315CF4D9"/>
    <w:rsid w:val="31868B00"/>
    <w:rsid w:val="318B157C"/>
    <w:rsid w:val="318E9986"/>
    <w:rsid w:val="3193CD3C"/>
    <w:rsid w:val="31A98A67"/>
    <w:rsid w:val="31AAAED0"/>
    <w:rsid w:val="31ACBE3A"/>
    <w:rsid w:val="31B0477F"/>
    <w:rsid w:val="31BF9B9B"/>
    <w:rsid w:val="31C5096B"/>
    <w:rsid w:val="31C67710"/>
    <w:rsid w:val="31D08AE3"/>
    <w:rsid w:val="31D2FA8D"/>
    <w:rsid w:val="31DD297C"/>
    <w:rsid w:val="31E9745B"/>
    <w:rsid w:val="31F4C79E"/>
    <w:rsid w:val="31F90D9D"/>
    <w:rsid w:val="32015E16"/>
    <w:rsid w:val="3206E2A5"/>
    <w:rsid w:val="3208D870"/>
    <w:rsid w:val="320CB44D"/>
    <w:rsid w:val="3223839A"/>
    <w:rsid w:val="3237B423"/>
    <w:rsid w:val="323C86B9"/>
    <w:rsid w:val="323CBB07"/>
    <w:rsid w:val="323E5C75"/>
    <w:rsid w:val="323F9D20"/>
    <w:rsid w:val="32475639"/>
    <w:rsid w:val="32589F53"/>
    <w:rsid w:val="32593461"/>
    <w:rsid w:val="325C8371"/>
    <w:rsid w:val="32734520"/>
    <w:rsid w:val="32803D62"/>
    <w:rsid w:val="328F66A0"/>
    <w:rsid w:val="329CD180"/>
    <w:rsid w:val="32A083AB"/>
    <w:rsid w:val="32A57407"/>
    <w:rsid w:val="32AB898F"/>
    <w:rsid w:val="32B45597"/>
    <w:rsid w:val="32B73727"/>
    <w:rsid w:val="32BAA48B"/>
    <w:rsid w:val="32C0267A"/>
    <w:rsid w:val="32CECB92"/>
    <w:rsid w:val="32DC6634"/>
    <w:rsid w:val="32E4196D"/>
    <w:rsid w:val="32E67A86"/>
    <w:rsid w:val="32EC797A"/>
    <w:rsid w:val="32EE7B38"/>
    <w:rsid w:val="32EF4F0A"/>
    <w:rsid w:val="32F2B83C"/>
    <w:rsid w:val="32FAE4C4"/>
    <w:rsid w:val="32FEB646"/>
    <w:rsid w:val="3300B573"/>
    <w:rsid w:val="330246D9"/>
    <w:rsid w:val="330E7914"/>
    <w:rsid w:val="33163919"/>
    <w:rsid w:val="33212E05"/>
    <w:rsid w:val="33283C7B"/>
    <w:rsid w:val="332A16DA"/>
    <w:rsid w:val="332F5195"/>
    <w:rsid w:val="333FB09E"/>
    <w:rsid w:val="3341C4E8"/>
    <w:rsid w:val="3349F2CF"/>
    <w:rsid w:val="334A2D95"/>
    <w:rsid w:val="334B1B40"/>
    <w:rsid w:val="334C56ED"/>
    <w:rsid w:val="33514724"/>
    <w:rsid w:val="3351D296"/>
    <w:rsid w:val="33570BB3"/>
    <w:rsid w:val="33574720"/>
    <w:rsid w:val="33585FEC"/>
    <w:rsid w:val="335EA594"/>
    <w:rsid w:val="3362BC53"/>
    <w:rsid w:val="336CF33B"/>
    <w:rsid w:val="337AA374"/>
    <w:rsid w:val="337FC0E2"/>
    <w:rsid w:val="33822FBA"/>
    <w:rsid w:val="33866118"/>
    <w:rsid w:val="339B0801"/>
    <w:rsid w:val="33AAFFC6"/>
    <w:rsid w:val="33ADBD6F"/>
    <w:rsid w:val="33AEA9C9"/>
    <w:rsid w:val="33B322AA"/>
    <w:rsid w:val="33B43F3F"/>
    <w:rsid w:val="33B78C8E"/>
    <w:rsid w:val="33B81C1F"/>
    <w:rsid w:val="33C448F2"/>
    <w:rsid w:val="33C70F92"/>
    <w:rsid w:val="33C8C56B"/>
    <w:rsid w:val="33D60C49"/>
    <w:rsid w:val="33D84AC7"/>
    <w:rsid w:val="33E07E5C"/>
    <w:rsid w:val="33E95237"/>
    <w:rsid w:val="33ED1E5F"/>
    <w:rsid w:val="33F5593C"/>
    <w:rsid w:val="33F74D0C"/>
    <w:rsid w:val="3407E42A"/>
    <w:rsid w:val="3409AEB5"/>
    <w:rsid w:val="340BF1B3"/>
    <w:rsid w:val="3412B8D3"/>
    <w:rsid w:val="3421FF88"/>
    <w:rsid w:val="3424459F"/>
    <w:rsid w:val="34259578"/>
    <w:rsid w:val="342BEFAF"/>
    <w:rsid w:val="3441B7B4"/>
    <w:rsid w:val="3456B7A1"/>
    <w:rsid w:val="34589B00"/>
    <w:rsid w:val="345966EC"/>
    <w:rsid w:val="3466DE5D"/>
    <w:rsid w:val="346AE691"/>
    <w:rsid w:val="34750B27"/>
    <w:rsid w:val="3485B667"/>
    <w:rsid w:val="348F3190"/>
    <w:rsid w:val="348F423D"/>
    <w:rsid w:val="349FA28A"/>
    <w:rsid w:val="34AA4413"/>
    <w:rsid w:val="34B78DFC"/>
    <w:rsid w:val="34B8C64B"/>
    <w:rsid w:val="34BD9107"/>
    <w:rsid w:val="34BF9861"/>
    <w:rsid w:val="34C41B66"/>
    <w:rsid w:val="34C5C445"/>
    <w:rsid w:val="34D3C3EB"/>
    <w:rsid w:val="34D60860"/>
    <w:rsid w:val="34D6E8B1"/>
    <w:rsid w:val="34D8E390"/>
    <w:rsid w:val="34DC984A"/>
    <w:rsid w:val="34E56DA2"/>
    <w:rsid w:val="34E632A3"/>
    <w:rsid w:val="34E7855C"/>
    <w:rsid w:val="34FC4C57"/>
    <w:rsid w:val="34FE5316"/>
    <w:rsid w:val="34FE772A"/>
    <w:rsid w:val="3501AA62"/>
    <w:rsid w:val="3502675B"/>
    <w:rsid w:val="3508571F"/>
    <w:rsid w:val="3509B6A0"/>
    <w:rsid w:val="350A231B"/>
    <w:rsid w:val="35104F11"/>
    <w:rsid w:val="351B5C40"/>
    <w:rsid w:val="351C4EE1"/>
    <w:rsid w:val="3521F8A6"/>
    <w:rsid w:val="35346385"/>
    <w:rsid w:val="35352182"/>
    <w:rsid w:val="35548C62"/>
    <w:rsid w:val="355D69AC"/>
    <w:rsid w:val="356270DF"/>
    <w:rsid w:val="356751A6"/>
    <w:rsid w:val="356D26A6"/>
    <w:rsid w:val="35741460"/>
    <w:rsid w:val="357E2365"/>
    <w:rsid w:val="359646FD"/>
    <w:rsid w:val="3597E297"/>
    <w:rsid w:val="35AFF572"/>
    <w:rsid w:val="35B8BD0E"/>
    <w:rsid w:val="35D43C9B"/>
    <w:rsid w:val="35F3EB2F"/>
    <w:rsid w:val="35FE1429"/>
    <w:rsid w:val="3603DB4D"/>
    <w:rsid w:val="360AB865"/>
    <w:rsid w:val="361A6E2A"/>
    <w:rsid w:val="361B5B31"/>
    <w:rsid w:val="361C0A62"/>
    <w:rsid w:val="3629BB0D"/>
    <w:rsid w:val="363AA531"/>
    <w:rsid w:val="36431B82"/>
    <w:rsid w:val="3643A77A"/>
    <w:rsid w:val="3646BE26"/>
    <w:rsid w:val="3646FCBE"/>
    <w:rsid w:val="364ABF96"/>
    <w:rsid w:val="364BEBAB"/>
    <w:rsid w:val="364F4CA7"/>
    <w:rsid w:val="3653C778"/>
    <w:rsid w:val="36563F75"/>
    <w:rsid w:val="365C00DD"/>
    <w:rsid w:val="36613234"/>
    <w:rsid w:val="3663689B"/>
    <w:rsid w:val="366D2066"/>
    <w:rsid w:val="367D5222"/>
    <w:rsid w:val="3680F930"/>
    <w:rsid w:val="368A6F1C"/>
    <w:rsid w:val="368C4FE7"/>
    <w:rsid w:val="368EF210"/>
    <w:rsid w:val="369B1CC4"/>
    <w:rsid w:val="36AF240F"/>
    <w:rsid w:val="36C77B0C"/>
    <w:rsid w:val="36D9BE40"/>
    <w:rsid w:val="36E161D8"/>
    <w:rsid w:val="36E20C2A"/>
    <w:rsid w:val="36EB19A0"/>
    <w:rsid w:val="36F91F41"/>
    <w:rsid w:val="3700006E"/>
    <w:rsid w:val="3700799E"/>
    <w:rsid w:val="3700B0A9"/>
    <w:rsid w:val="3702CF5D"/>
    <w:rsid w:val="37132C48"/>
    <w:rsid w:val="37155470"/>
    <w:rsid w:val="37179215"/>
    <w:rsid w:val="37179666"/>
    <w:rsid w:val="3726ACA2"/>
    <w:rsid w:val="3737DE1D"/>
    <w:rsid w:val="3739717F"/>
    <w:rsid w:val="37408458"/>
    <w:rsid w:val="37430891"/>
    <w:rsid w:val="374E5211"/>
    <w:rsid w:val="374EED9C"/>
    <w:rsid w:val="374FCB0A"/>
    <w:rsid w:val="3753DA3C"/>
    <w:rsid w:val="375DD8C4"/>
    <w:rsid w:val="375F17C1"/>
    <w:rsid w:val="37601F65"/>
    <w:rsid w:val="37728B52"/>
    <w:rsid w:val="37811A3F"/>
    <w:rsid w:val="378C3E5B"/>
    <w:rsid w:val="37929EF8"/>
    <w:rsid w:val="37931054"/>
    <w:rsid w:val="3795552B"/>
    <w:rsid w:val="37958CCA"/>
    <w:rsid w:val="37A1D587"/>
    <w:rsid w:val="37A1E301"/>
    <w:rsid w:val="37A22C08"/>
    <w:rsid w:val="37A5D1C2"/>
    <w:rsid w:val="37AE5576"/>
    <w:rsid w:val="37AFA12C"/>
    <w:rsid w:val="37B5823F"/>
    <w:rsid w:val="37D0F227"/>
    <w:rsid w:val="37D80D42"/>
    <w:rsid w:val="37DD988E"/>
    <w:rsid w:val="37E161AF"/>
    <w:rsid w:val="37E64B36"/>
    <w:rsid w:val="37EB4D4A"/>
    <w:rsid w:val="37EB61A6"/>
    <w:rsid w:val="37F1CDBD"/>
    <w:rsid w:val="37F54274"/>
    <w:rsid w:val="37F8F256"/>
    <w:rsid w:val="37FB0F00"/>
    <w:rsid w:val="37FB1B4A"/>
    <w:rsid w:val="37FCC25A"/>
    <w:rsid w:val="37FD64CF"/>
    <w:rsid w:val="380496D9"/>
    <w:rsid w:val="380E74F4"/>
    <w:rsid w:val="3823A6A0"/>
    <w:rsid w:val="382A915E"/>
    <w:rsid w:val="382DAD7D"/>
    <w:rsid w:val="38346045"/>
    <w:rsid w:val="38365A8F"/>
    <w:rsid w:val="3841B61A"/>
    <w:rsid w:val="3845855E"/>
    <w:rsid w:val="384B5DC8"/>
    <w:rsid w:val="384FA097"/>
    <w:rsid w:val="385271EF"/>
    <w:rsid w:val="38673069"/>
    <w:rsid w:val="3869DADD"/>
    <w:rsid w:val="3875A79D"/>
    <w:rsid w:val="388729BE"/>
    <w:rsid w:val="388793B8"/>
    <w:rsid w:val="3899B601"/>
    <w:rsid w:val="389A86ED"/>
    <w:rsid w:val="38A55094"/>
    <w:rsid w:val="38B529AC"/>
    <w:rsid w:val="38C1D223"/>
    <w:rsid w:val="38C23BC4"/>
    <w:rsid w:val="38C493B4"/>
    <w:rsid w:val="38C7B24B"/>
    <w:rsid w:val="38CFB2FB"/>
    <w:rsid w:val="38D4C5B6"/>
    <w:rsid w:val="38E920AA"/>
    <w:rsid w:val="38FA474D"/>
    <w:rsid w:val="38FB2C03"/>
    <w:rsid w:val="39057DA8"/>
    <w:rsid w:val="3906C1E2"/>
    <w:rsid w:val="39085067"/>
    <w:rsid w:val="3910C8B1"/>
    <w:rsid w:val="3911133C"/>
    <w:rsid w:val="391120A7"/>
    <w:rsid w:val="391B3A9E"/>
    <w:rsid w:val="391BFE37"/>
    <w:rsid w:val="39263495"/>
    <w:rsid w:val="3927F524"/>
    <w:rsid w:val="39290A93"/>
    <w:rsid w:val="39297F54"/>
    <w:rsid w:val="392BF4B8"/>
    <w:rsid w:val="392E826D"/>
    <w:rsid w:val="3936817A"/>
    <w:rsid w:val="3947F1EA"/>
    <w:rsid w:val="394BDA26"/>
    <w:rsid w:val="394C6EAC"/>
    <w:rsid w:val="3959A36C"/>
    <w:rsid w:val="3965011F"/>
    <w:rsid w:val="396683F8"/>
    <w:rsid w:val="396950B6"/>
    <w:rsid w:val="3969BFB2"/>
    <w:rsid w:val="39723A62"/>
    <w:rsid w:val="397B612B"/>
    <w:rsid w:val="39AB36B8"/>
    <w:rsid w:val="39B199F2"/>
    <w:rsid w:val="39B1EF29"/>
    <w:rsid w:val="39B8F55A"/>
    <w:rsid w:val="39BBABA2"/>
    <w:rsid w:val="39C219E7"/>
    <w:rsid w:val="39C320AE"/>
    <w:rsid w:val="39CAC858"/>
    <w:rsid w:val="39D3D86A"/>
    <w:rsid w:val="39D8D6D7"/>
    <w:rsid w:val="39DE1279"/>
    <w:rsid w:val="39E26365"/>
    <w:rsid w:val="39E26711"/>
    <w:rsid w:val="39EFD130"/>
    <w:rsid w:val="39FBF368"/>
    <w:rsid w:val="3A099917"/>
    <w:rsid w:val="3A0E2F8E"/>
    <w:rsid w:val="3A11422D"/>
    <w:rsid w:val="3A122FAE"/>
    <w:rsid w:val="3A156A9A"/>
    <w:rsid w:val="3A15CDE0"/>
    <w:rsid w:val="3A218C44"/>
    <w:rsid w:val="3A25D29C"/>
    <w:rsid w:val="3A28DFAE"/>
    <w:rsid w:val="3A3557A6"/>
    <w:rsid w:val="3A36AEDC"/>
    <w:rsid w:val="3A3B50A3"/>
    <w:rsid w:val="3A3EFA75"/>
    <w:rsid w:val="3A51AF99"/>
    <w:rsid w:val="3A52CF26"/>
    <w:rsid w:val="3A5349C1"/>
    <w:rsid w:val="3A59E6D8"/>
    <w:rsid w:val="3A5A69C7"/>
    <w:rsid w:val="3A621CD7"/>
    <w:rsid w:val="3A622A5D"/>
    <w:rsid w:val="3A65D3B5"/>
    <w:rsid w:val="3A6C4129"/>
    <w:rsid w:val="3A6DE7C2"/>
    <w:rsid w:val="3A6E5793"/>
    <w:rsid w:val="3A7068EC"/>
    <w:rsid w:val="3A72E325"/>
    <w:rsid w:val="3A76E327"/>
    <w:rsid w:val="3A83EA88"/>
    <w:rsid w:val="3A8C3823"/>
    <w:rsid w:val="3A8EC324"/>
    <w:rsid w:val="3A9B77D2"/>
    <w:rsid w:val="3AA811EA"/>
    <w:rsid w:val="3AAAEE03"/>
    <w:rsid w:val="3AB3A9AB"/>
    <w:rsid w:val="3ABA6311"/>
    <w:rsid w:val="3AC53235"/>
    <w:rsid w:val="3AD6F6A2"/>
    <w:rsid w:val="3AD9C8BA"/>
    <w:rsid w:val="3AD9E648"/>
    <w:rsid w:val="3AE1082F"/>
    <w:rsid w:val="3AE465F9"/>
    <w:rsid w:val="3AE4A335"/>
    <w:rsid w:val="3AE9602B"/>
    <w:rsid w:val="3AF7A05B"/>
    <w:rsid w:val="3AFEC807"/>
    <w:rsid w:val="3B07FBB4"/>
    <w:rsid w:val="3B0D8F12"/>
    <w:rsid w:val="3B12C158"/>
    <w:rsid w:val="3B1CEC58"/>
    <w:rsid w:val="3B1DDEF1"/>
    <w:rsid w:val="3B2D659D"/>
    <w:rsid w:val="3B2E348B"/>
    <w:rsid w:val="3B3FFD28"/>
    <w:rsid w:val="3B4E7D8F"/>
    <w:rsid w:val="3B527302"/>
    <w:rsid w:val="3B565CE6"/>
    <w:rsid w:val="3B5890A3"/>
    <w:rsid w:val="3B59B8EF"/>
    <w:rsid w:val="3B5DF56E"/>
    <w:rsid w:val="3B5F356E"/>
    <w:rsid w:val="3B60BE7A"/>
    <w:rsid w:val="3B6B2C55"/>
    <w:rsid w:val="3B70A003"/>
    <w:rsid w:val="3B774B10"/>
    <w:rsid w:val="3B77A3DC"/>
    <w:rsid w:val="3B7AD162"/>
    <w:rsid w:val="3B8C3124"/>
    <w:rsid w:val="3B93095A"/>
    <w:rsid w:val="3B96A869"/>
    <w:rsid w:val="3B9971D7"/>
    <w:rsid w:val="3BA33567"/>
    <w:rsid w:val="3BA59B58"/>
    <w:rsid w:val="3BA8E4F9"/>
    <w:rsid w:val="3BABE78E"/>
    <w:rsid w:val="3BB8D0A5"/>
    <w:rsid w:val="3BC3DFB9"/>
    <w:rsid w:val="3BDA2A51"/>
    <w:rsid w:val="3BE0A7BF"/>
    <w:rsid w:val="3BE6AB3C"/>
    <w:rsid w:val="3BF021CC"/>
    <w:rsid w:val="3BF1E753"/>
    <w:rsid w:val="3BF7D6F5"/>
    <w:rsid w:val="3BFBF3E9"/>
    <w:rsid w:val="3C107EDA"/>
    <w:rsid w:val="3C12CD0F"/>
    <w:rsid w:val="3C15C0AF"/>
    <w:rsid w:val="3C28C578"/>
    <w:rsid w:val="3C2C409C"/>
    <w:rsid w:val="3C4EBD0C"/>
    <w:rsid w:val="3C5433E8"/>
    <w:rsid w:val="3C681702"/>
    <w:rsid w:val="3C690BC7"/>
    <w:rsid w:val="3C6C5FA8"/>
    <w:rsid w:val="3C79ABEF"/>
    <w:rsid w:val="3C7DD9D2"/>
    <w:rsid w:val="3C8F35B6"/>
    <w:rsid w:val="3C94157A"/>
    <w:rsid w:val="3C9BAA91"/>
    <w:rsid w:val="3CA89B18"/>
    <w:rsid w:val="3CBC6553"/>
    <w:rsid w:val="3CC67741"/>
    <w:rsid w:val="3CC69F72"/>
    <w:rsid w:val="3CC860E3"/>
    <w:rsid w:val="3CD6D9EA"/>
    <w:rsid w:val="3CDE181F"/>
    <w:rsid w:val="3CE47947"/>
    <w:rsid w:val="3CE5BE17"/>
    <w:rsid w:val="3CE72239"/>
    <w:rsid w:val="3CE80BF3"/>
    <w:rsid w:val="3CEC61BD"/>
    <w:rsid w:val="3CF11B21"/>
    <w:rsid w:val="3CFB42DC"/>
    <w:rsid w:val="3CFE926C"/>
    <w:rsid w:val="3D01C019"/>
    <w:rsid w:val="3D16FA36"/>
    <w:rsid w:val="3D1AAC39"/>
    <w:rsid w:val="3D1D1AB2"/>
    <w:rsid w:val="3D20FF94"/>
    <w:rsid w:val="3D2A86A6"/>
    <w:rsid w:val="3D3A5F66"/>
    <w:rsid w:val="3D3BDB1C"/>
    <w:rsid w:val="3D446802"/>
    <w:rsid w:val="3D446A83"/>
    <w:rsid w:val="3D4F3F5A"/>
    <w:rsid w:val="3D52BEBD"/>
    <w:rsid w:val="3D54DD3F"/>
    <w:rsid w:val="3D58C641"/>
    <w:rsid w:val="3D5B4E7A"/>
    <w:rsid w:val="3D614897"/>
    <w:rsid w:val="3D63A8B9"/>
    <w:rsid w:val="3D66EDCB"/>
    <w:rsid w:val="3D6FEB64"/>
    <w:rsid w:val="3D73AAED"/>
    <w:rsid w:val="3D740BDE"/>
    <w:rsid w:val="3D7E9F00"/>
    <w:rsid w:val="3D819A24"/>
    <w:rsid w:val="3D85D84E"/>
    <w:rsid w:val="3D919A80"/>
    <w:rsid w:val="3DAB1E70"/>
    <w:rsid w:val="3DB7959C"/>
    <w:rsid w:val="3DCA60F0"/>
    <w:rsid w:val="3DCBAB59"/>
    <w:rsid w:val="3DDE7D1B"/>
    <w:rsid w:val="3DDFD110"/>
    <w:rsid w:val="3DE27337"/>
    <w:rsid w:val="3DE2A804"/>
    <w:rsid w:val="3DE8F8BE"/>
    <w:rsid w:val="3DF16EAE"/>
    <w:rsid w:val="3DF338F2"/>
    <w:rsid w:val="3DF514F8"/>
    <w:rsid w:val="3DFCC8ED"/>
    <w:rsid w:val="3DFE401E"/>
    <w:rsid w:val="3DFFB424"/>
    <w:rsid w:val="3E1265B4"/>
    <w:rsid w:val="3E140775"/>
    <w:rsid w:val="3E166CC6"/>
    <w:rsid w:val="3E1B3514"/>
    <w:rsid w:val="3E1C403E"/>
    <w:rsid w:val="3E30ECD0"/>
    <w:rsid w:val="3E32E6CF"/>
    <w:rsid w:val="3E38417F"/>
    <w:rsid w:val="3E40B48C"/>
    <w:rsid w:val="3E43E3E2"/>
    <w:rsid w:val="3E442AEC"/>
    <w:rsid w:val="3E442CC8"/>
    <w:rsid w:val="3E49C17D"/>
    <w:rsid w:val="3E4BD910"/>
    <w:rsid w:val="3E4DB5DA"/>
    <w:rsid w:val="3E4E92C7"/>
    <w:rsid w:val="3E54FEC1"/>
    <w:rsid w:val="3E5BECB3"/>
    <w:rsid w:val="3E66232D"/>
    <w:rsid w:val="3E71A75A"/>
    <w:rsid w:val="3E81B25F"/>
    <w:rsid w:val="3E8BADCF"/>
    <w:rsid w:val="3E8BCD11"/>
    <w:rsid w:val="3EA9A02C"/>
    <w:rsid w:val="3EB0013C"/>
    <w:rsid w:val="3EB18ED5"/>
    <w:rsid w:val="3EB74511"/>
    <w:rsid w:val="3EBEC8E7"/>
    <w:rsid w:val="3EC4DDF3"/>
    <w:rsid w:val="3EC5B404"/>
    <w:rsid w:val="3ECA624A"/>
    <w:rsid w:val="3ECFF6CB"/>
    <w:rsid w:val="3ED42FF8"/>
    <w:rsid w:val="3EDB15A0"/>
    <w:rsid w:val="3EDD84DA"/>
    <w:rsid w:val="3EE2CE7D"/>
    <w:rsid w:val="3EE82CDD"/>
    <w:rsid w:val="3EEAA4C3"/>
    <w:rsid w:val="3EEB440F"/>
    <w:rsid w:val="3EEBDA0E"/>
    <w:rsid w:val="3EEC40D3"/>
    <w:rsid w:val="3EECBC0B"/>
    <w:rsid w:val="3F02FF2A"/>
    <w:rsid w:val="3F0604ED"/>
    <w:rsid w:val="3F078D2C"/>
    <w:rsid w:val="3F0C1D02"/>
    <w:rsid w:val="3F0C403B"/>
    <w:rsid w:val="3F147F96"/>
    <w:rsid w:val="3F1CAAF1"/>
    <w:rsid w:val="3F1E346E"/>
    <w:rsid w:val="3F3129AA"/>
    <w:rsid w:val="3F41FC96"/>
    <w:rsid w:val="3F42555C"/>
    <w:rsid w:val="3F4B6AF2"/>
    <w:rsid w:val="3F549244"/>
    <w:rsid w:val="3F5CB27F"/>
    <w:rsid w:val="3F65F3B4"/>
    <w:rsid w:val="3F8C5D71"/>
    <w:rsid w:val="3F91FF1A"/>
    <w:rsid w:val="3FA5B969"/>
    <w:rsid w:val="3FAE3545"/>
    <w:rsid w:val="3FAF745B"/>
    <w:rsid w:val="3FB768CB"/>
    <w:rsid w:val="3FBCEDC5"/>
    <w:rsid w:val="3FC27F06"/>
    <w:rsid w:val="3FE01AE9"/>
    <w:rsid w:val="3FE121A8"/>
    <w:rsid w:val="3FE7CBEB"/>
    <w:rsid w:val="3FEA9FC8"/>
    <w:rsid w:val="3FFA36A4"/>
    <w:rsid w:val="4005106F"/>
    <w:rsid w:val="40055E5F"/>
    <w:rsid w:val="4006168D"/>
    <w:rsid w:val="4021D389"/>
    <w:rsid w:val="4027FDCD"/>
    <w:rsid w:val="4037C5AE"/>
    <w:rsid w:val="403C6EC3"/>
    <w:rsid w:val="404617EB"/>
    <w:rsid w:val="4046EE34"/>
    <w:rsid w:val="4054736A"/>
    <w:rsid w:val="40724D5B"/>
    <w:rsid w:val="4074B538"/>
    <w:rsid w:val="407FA554"/>
    <w:rsid w:val="40820ED3"/>
    <w:rsid w:val="4082506B"/>
    <w:rsid w:val="408BA232"/>
    <w:rsid w:val="40995C48"/>
    <w:rsid w:val="40A79334"/>
    <w:rsid w:val="40AA2A74"/>
    <w:rsid w:val="40B24F71"/>
    <w:rsid w:val="40C0BF5C"/>
    <w:rsid w:val="40C1DC81"/>
    <w:rsid w:val="40C3B2F0"/>
    <w:rsid w:val="40D06570"/>
    <w:rsid w:val="40D6111C"/>
    <w:rsid w:val="40D65347"/>
    <w:rsid w:val="40DAD75D"/>
    <w:rsid w:val="40DCF2F2"/>
    <w:rsid w:val="40E1B5D7"/>
    <w:rsid w:val="40EEFA31"/>
    <w:rsid w:val="40F235CA"/>
    <w:rsid w:val="40F333C7"/>
    <w:rsid w:val="40F3461E"/>
    <w:rsid w:val="40F68BD8"/>
    <w:rsid w:val="40F97D51"/>
    <w:rsid w:val="40FEBF42"/>
    <w:rsid w:val="4125A645"/>
    <w:rsid w:val="412B484E"/>
    <w:rsid w:val="412BF32E"/>
    <w:rsid w:val="4132046E"/>
    <w:rsid w:val="4138BAA8"/>
    <w:rsid w:val="4148B63E"/>
    <w:rsid w:val="414B5ED3"/>
    <w:rsid w:val="4155C2F3"/>
    <w:rsid w:val="41563973"/>
    <w:rsid w:val="415AB3CC"/>
    <w:rsid w:val="415BE9CC"/>
    <w:rsid w:val="416FA850"/>
    <w:rsid w:val="41756358"/>
    <w:rsid w:val="417884E8"/>
    <w:rsid w:val="4178A2C5"/>
    <w:rsid w:val="4179DB95"/>
    <w:rsid w:val="417AEBF4"/>
    <w:rsid w:val="417AF2CC"/>
    <w:rsid w:val="41811201"/>
    <w:rsid w:val="41848282"/>
    <w:rsid w:val="4185B172"/>
    <w:rsid w:val="41874493"/>
    <w:rsid w:val="41915515"/>
    <w:rsid w:val="419A9C9C"/>
    <w:rsid w:val="419AE987"/>
    <w:rsid w:val="41A58EBD"/>
    <w:rsid w:val="41BD426D"/>
    <w:rsid w:val="41BE29B2"/>
    <w:rsid w:val="41C1A5A9"/>
    <w:rsid w:val="41E40AC6"/>
    <w:rsid w:val="41E982D4"/>
    <w:rsid w:val="41EBFD37"/>
    <w:rsid w:val="41EDF2E5"/>
    <w:rsid w:val="41FB848C"/>
    <w:rsid w:val="420031D3"/>
    <w:rsid w:val="4205968A"/>
    <w:rsid w:val="420C70BC"/>
    <w:rsid w:val="420C99A1"/>
    <w:rsid w:val="42165F10"/>
    <w:rsid w:val="4218EF56"/>
    <w:rsid w:val="42197013"/>
    <w:rsid w:val="421F9FA1"/>
    <w:rsid w:val="42233C5C"/>
    <w:rsid w:val="42249BB3"/>
    <w:rsid w:val="422705E7"/>
    <w:rsid w:val="422B7C53"/>
    <w:rsid w:val="4232F37C"/>
    <w:rsid w:val="42358ABE"/>
    <w:rsid w:val="423E0B5B"/>
    <w:rsid w:val="423F3611"/>
    <w:rsid w:val="424EBA65"/>
    <w:rsid w:val="42503FD5"/>
    <w:rsid w:val="4259D4BE"/>
    <w:rsid w:val="42777BF4"/>
    <w:rsid w:val="4278298A"/>
    <w:rsid w:val="42798CF6"/>
    <w:rsid w:val="42836B21"/>
    <w:rsid w:val="42861D8A"/>
    <w:rsid w:val="42965D7F"/>
    <w:rsid w:val="429677EB"/>
    <w:rsid w:val="42A5876B"/>
    <w:rsid w:val="42A79DEA"/>
    <w:rsid w:val="42B32389"/>
    <w:rsid w:val="42B3BF41"/>
    <w:rsid w:val="42B4FAAA"/>
    <w:rsid w:val="42B80EFF"/>
    <w:rsid w:val="42C1F713"/>
    <w:rsid w:val="42CD58F9"/>
    <w:rsid w:val="42CDB627"/>
    <w:rsid w:val="42D2084E"/>
    <w:rsid w:val="42D685C5"/>
    <w:rsid w:val="42D70375"/>
    <w:rsid w:val="42D7A07E"/>
    <w:rsid w:val="42E1EDD8"/>
    <w:rsid w:val="42E2C7CC"/>
    <w:rsid w:val="42E79CB4"/>
    <w:rsid w:val="42E8AE1E"/>
    <w:rsid w:val="42F47BBD"/>
    <w:rsid w:val="42F82904"/>
    <w:rsid w:val="43044724"/>
    <w:rsid w:val="430D15F2"/>
    <w:rsid w:val="430DE08C"/>
    <w:rsid w:val="430FC860"/>
    <w:rsid w:val="43166294"/>
    <w:rsid w:val="431809CB"/>
    <w:rsid w:val="431C4DF2"/>
    <w:rsid w:val="4322DAE0"/>
    <w:rsid w:val="432503BF"/>
    <w:rsid w:val="4332B5BF"/>
    <w:rsid w:val="43344701"/>
    <w:rsid w:val="433D2BEA"/>
    <w:rsid w:val="434FF64B"/>
    <w:rsid w:val="4350E107"/>
    <w:rsid w:val="43565546"/>
    <w:rsid w:val="436908A6"/>
    <w:rsid w:val="43705504"/>
    <w:rsid w:val="4374DE00"/>
    <w:rsid w:val="43778597"/>
    <w:rsid w:val="437AEC3B"/>
    <w:rsid w:val="438377F7"/>
    <w:rsid w:val="438D0A31"/>
    <w:rsid w:val="43920FFA"/>
    <w:rsid w:val="43B0DD6B"/>
    <w:rsid w:val="43B2C279"/>
    <w:rsid w:val="43BD3AD4"/>
    <w:rsid w:val="43CBB720"/>
    <w:rsid w:val="43EA206A"/>
    <w:rsid w:val="43F8A67F"/>
    <w:rsid w:val="43F91FF0"/>
    <w:rsid w:val="43FB5117"/>
    <w:rsid w:val="4400F05A"/>
    <w:rsid w:val="4401D7D5"/>
    <w:rsid w:val="44027D5B"/>
    <w:rsid w:val="4416B1DE"/>
    <w:rsid w:val="44171672"/>
    <w:rsid w:val="441D8A36"/>
    <w:rsid w:val="4423291E"/>
    <w:rsid w:val="442A8165"/>
    <w:rsid w:val="442F8A80"/>
    <w:rsid w:val="443691AB"/>
    <w:rsid w:val="443B436E"/>
    <w:rsid w:val="4441FDD3"/>
    <w:rsid w:val="44486878"/>
    <w:rsid w:val="44489BF2"/>
    <w:rsid w:val="4448D4BF"/>
    <w:rsid w:val="445730E9"/>
    <w:rsid w:val="4459CB74"/>
    <w:rsid w:val="445D057A"/>
    <w:rsid w:val="445F740C"/>
    <w:rsid w:val="44675C54"/>
    <w:rsid w:val="4469D4B0"/>
    <w:rsid w:val="4470EFF4"/>
    <w:rsid w:val="447DB428"/>
    <w:rsid w:val="447FEA90"/>
    <w:rsid w:val="44873499"/>
    <w:rsid w:val="448B940A"/>
    <w:rsid w:val="44B95CC0"/>
    <w:rsid w:val="44C75604"/>
    <w:rsid w:val="44CDC15A"/>
    <w:rsid w:val="44D16C68"/>
    <w:rsid w:val="44D22B56"/>
    <w:rsid w:val="44D5E1E8"/>
    <w:rsid w:val="44DF85C0"/>
    <w:rsid w:val="44E2D3A7"/>
    <w:rsid w:val="44F2BE07"/>
    <w:rsid w:val="44F2DE94"/>
    <w:rsid w:val="44FCB8AD"/>
    <w:rsid w:val="450FE29A"/>
    <w:rsid w:val="4511AD96"/>
    <w:rsid w:val="451256AF"/>
    <w:rsid w:val="4513AF46"/>
    <w:rsid w:val="4513CA11"/>
    <w:rsid w:val="4517B6AD"/>
    <w:rsid w:val="452522D9"/>
    <w:rsid w:val="4538059F"/>
    <w:rsid w:val="453F22D4"/>
    <w:rsid w:val="4543B342"/>
    <w:rsid w:val="454AFD1F"/>
    <w:rsid w:val="454B52B7"/>
    <w:rsid w:val="455CC816"/>
    <w:rsid w:val="456E1532"/>
    <w:rsid w:val="4573B08A"/>
    <w:rsid w:val="4579D755"/>
    <w:rsid w:val="457C53BB"/>
    <w:rsid w:val="457FA0F9"/>
    <w:rsid w:val="45834D26"/>
    <w:rsid w:val="4593B71A"/>
    <w:rsid w:val="45945FA7"/>
    <w:rsid w:val="45947F93"/>
    <w:rsid w:val="45982683"/>
    <w:rsid w:val="45986D11"/>
    <w:rsid w:val="45A18F5E"/>
    <w:rsid w:val="45BCAA31"/>
    <w:rsid w:val="45C0775D"/>
    <w:rsid w:val="45D2E76D"/>
    <w:rsid w:val="45DACF8D"/>
    <w:rsid w:val="45DC2BEE"/>
    <w:rsid w:val="45EE2D44"/>
    <w:rsid w:val="45F39B5C"/>
    <w:rsid w:val="46092932"/>
    <w:rsid w:val="461A1BB1"/>
    <w:rsid w:val="4624C8BD"/>
    <w:rsid w:val="4624FB9A"/>
    <w:rsid w:val="46254EC3"/>
    <w:rsid w:val="462712AE"/>
    <w:rsid w:val="462BAD06"/>
    <w:rsid w:val="463D41BE"/>
    <w:rsid w:val="463DFEFE"/>
    <w:rsid w:val="46491472"/>
    <w:rsid w:val="464B616B"/>
    <w:rsid w:val="464D085C"/>
    <w:rsid w:val="46528AB8"/>
    <w:rsid w:val="4653B6D9"/>
    <w:rsid w:val="46575803"/>
    <w:rsid w:val="465E1CC5"/>
    <w:rsid w:val="46608E87"/>
    <w:rsid w:val="46690471"/>
    <w:rsid w:val="466A9F62"/>
    <w:rsid w:val="46710377"/>
    <w:rsid w:val="467405C3"/>
    <w:rsid w:val="4681F0C8"/>
    <w:rsid w:val="46861DFC"/>
    <w:rsid w:val="468D7DC3"/>
    <w:rsid w:val="469FF608"/>
    <w:rsid w:val="46A361C1"/>
    <w:rsid w:val="46B4A9F9"/>
    <w:rsid w:val="46B53C6E"/>
    <w:rsid w:val="46C65E39"/>
    <w:rsid w:val="46C8E92C"/>
    <w:rsid w:val="46CDF11C"/>
    <w:rsid w:val="46D115F4"/>
    <w:rsid w:val="46D5F097"/>
    <w:rsid w:val="46D7BF95"/>
    <w:rsid w:val="46DD3A05"/>
    <w:rsid w:val="46EBA900"/>
    <w:rsid w:val="46EEE929"/>
    <w:rsid w:val="46F1E8F3"/>
    <w:rsid w:val="46F599DE"/>
    <w:rsid w:val="46FCDA0C"/>
    <w:rsid w:val="470B1F9D"/>
    <w:rsid w:val="470D6F8D"/>
    <w:rsid w:val="47126B66"/>
    <w:rsid w:val="471C202B"/>
    <w:rsid w:val="47214571"/>
    <w:rsid w:val="4721DFA0"/>
    <w:rsid w:val="4726859A"/>
    <w:rsid w:val="4746E4AB"/>
    <w:rsid w:val="47489BC7"/>
    <w:rsid w:val="474CE9F6"/>
    <w:rsid w:val="4750ACAB"/>
    <w:rsid w:val="476C121F"/>
    <w:rsid w:val="476E7EE9"/>
    <w:rsid w:val="47734992"/>
    <w:rsid w:val="477A105D"/>
    <w:rsid w:val="4788B4B1"/>
    <w:rsid w:val="479AFCDD"/>
    <w:rsid w:val="479CEDAD"/>
    <w:rsid w:val="47A32CA5"/>
    <w:rsid w:val="47AD20D1"/>
    <w:rsid w:val="47B5EC5E"/>
    <w:rsid w:val="47B8735E"/>
    <w:rsid w:val="47E1B6C4"/>
    <w:rsid w:val="48007D00"/>
    <w:rsid w:val="48022975"/>
    <w:rsid w:val="4804EFF9"/>
    <w:rsid w:val="480B18DF"/>
    <w:rsid w:val="480C38D9"/>
    <w:rsid w:val="483162AF"/>
    <w:rsid w:val="48324794"/>
    <w:rsid w:val="483323B5"/>
    <w:rsid w:val="48344301"/>
    <w:rsid w:val="483AE7CF"/>
    <w:rsid w:val="4846BF48"/>
    <w:rsid w:val="48490A87"/>
    <w:rsid w:val="484EF748"/>
    <w:rsid w:val="485AD072"/>
    <w:rsid w:val="48610514"/>
    <w:rsid w:val="48632C27"/>
    <w:rsid w:val="487679ED"/>
    <w:rsid w:val="487EDC28"/>
    <w:rsid w:val="487FD2E7"/>
    <w:rsid w:val="4881B6F3"/>
    <w:rsid w:val="4899C62F"/>
    <w:rsid w:val="489C8640"/>
    <w:rsid w:val="48A45F8B"/>
    <w:rsid w:val="48A930B5"/>
    <w:rsid w:val="48B6393E"/>
    <w:rsid w:val="48B983BD"/>
    <w:rsid w:val="48BC1B40"/>
    <w:rsid w:val="48C29940"/>
    <w:rsid w:val="48C99EB4"/>
    <w:rsid w:val="48CB49E9"/>
    <w:rsid w:val="48DF56C9"/>
    <w:rsid w:val="48EC86FF"/>
    <w:rsid w:val="48F053DF"/>
    <w:rsid w:val="48F0AAA0"/>
    <w:rsid w:val="48F5EFB2"/>
    <w:rsid w:val="48F718CF"/>
    <w:rsid w:val="49126782"/>
    <w:rsid w:val="4914BB95"/>
    <w:rsid w:val="49179B04"/>
    <w:rsid w:val="49194276"/>
    <w:rsid w:val="491A0EE4"/>
    <w:rsid w:val="49255019"/>
    <w:rsid w:val="49274B1D"/>
    <w:rsid w:val="49375436"/>
    <w:rsid w:val="493BC57F"/>
    <w:rsid w:val="4942EE6A"/>
    <w:rsid w:val="4949A623"/>
    <w:rsid w:val="49533F2F"/>
    <w:rsid w:val="4953E18E"/>
    <w:rsid w:val="495D4CB7"/>
    <w:rsid w:val="495D4E5D"/>
    <w:rsid w:val="4973271F"/>
    <w:rsid w:val="4973EC28"/>
    <w:rsid w:val="4976286D"/>
    <w:rsid w:val="4999F99A"/>
    <w:rsid w:val="49AEB11E"/>
    <w:rsid w:val="49B14561"/>
    <w:rsid w:val="49B2599B"/>
    <w:rsid w:val="49BA7782"/>
    <w:rsid w:val="49CA7F05"/>
    <w:rsid w:val="49CDA798"/>
    <w:rsid w:val="49CF03FF"/>
    <w:rsid w:val="49D5DC48"/>
    <w:rsid w:val="49DD231E"/>
    <w:rsid w:val="49EC77FF"/>
    <w:rsid w:val="49F4E29D"/>
    <w:rsid w:val="4A067A10"/>
    <w:rsid w:val="4A0CD3A0"/>
    <w:rsid w:val="4A12B006"/>
    <w:rsid w:val="4A1381EE"/>
    <w:rsid w:val="4A1DDEE4"/>
    <w:rsid w:val="4A226263"/>
    <w:rsid w:val="4A2795EE"/>
    <w:rsid w:val="4A2B0C72"/>
    <w:rsid w:val="4A311907"/>
    <w:rsid w:val="4A37CCFB"/>
    <w:rsid w:val="4A4C4A6C"/>
    <w:rsid w:val="4A4CBBFF"/>
    <w:rsid w:val="4A55F316"/>
    <w:rsid w:val="4A56E58A"/>
    <w:rsid w:val="4A6C2249"/>
    <w:rsid w:val="4A82689B"/>
    <w:rsid w:val="4A873E29"/>
    <w:rsid w:val="4A8B5D2B"/>
    <w:rsid w:val="4AA1E334"/>
    <w:rsid w:val="4AB0AA86"/>
    <w:rsid w:val="4ACB05CC"/>
    <w:rsid w:val="4AD41D55"/>
    <w:rsid w:val="4AD51FB2"/>
    <w:rsid w:val="4AD6E009"/>
    <w:rsid w:val="4AD6E3FA"/>
    <w:rsid w:val="4ADF6406"/>
    <w:rsid w:val="4AE0E779"/>
    <w:rsid w:val="4AEB2C98"/>
    <w:rsid w:val="4AECDB46"/>
    <w:rsid w:val="4AEEE33F"/>
    <w:rsid w:val="4AF2381B"/>
    <w:rsid w:val="4AF4AE0B"/>
    <w:rsid w:val="4B047C1D"/>
    <w:rsid w:val="4B095AF1"/>
    <w:rsid w:val="4B17D575"/>
    <w:rsid w:val="4B1D912E"/>
    <w:rsid w:val="4B1EC741"/>
    <w:rsid w:val="4B258212"/>
    <w:rsid w:val="4B269E50"/>
    <w:rsid w:val="4B2FB8E0"/>
    <w:rsid w:val="4B344BD6"/>
    <w:rsid w:val="4B39B929"/>
    <w:rsid w:val="4B3C8CF4"/>
    <w:rsid w:val="4B5F0D94"/>
    <w:rsid w:val="4B6589C7"/>
    <w:rsid w:val="4B67640A"/>
    <w:rsid w:val="4B6BF1CC"/>
    <w:rsid w:val="4B74EB2C"/>
    <w:rsid w:val="4B7EB918"/>
    <w:rsid w:val="4B8F77AE"/>
    <w:rsid w:val="4B8FCC8D"/>
    <w:rsid w:val="4B9D8158"/>
    <w:rsid w:val="4BA23ABC"/>
    <w:rsid w:val="4BA851B7"/>
    <w:rsid w:val="4BB2557B"/>
    <w:rsid w:val="4BB33FB3"/>
    <w:rsid w:val="4BB49967"/>
    <w:rsid w:val="4BC345E1"/>
    <w:rsid w:val="4BCB3CE3"/>
    <w:rsid w:val="4BCF0D61"/>
    <w:rsid w:val="4BD1AE1B"/>
    <w:rsid w:val="4BE0854F"/>
    <w:rsid w:val="4BE0A2A2"/>
    <w:rsid w:val="4BE7B399"/>
    <w:rsid w:val="4BF7BECB"/>
    <w:rsid w:val="4BF8EB7F"/>
    <w:rsid w:val="4C0106DA"/>
    <w:rsid w:val="4C03E700"/>
    <w:rsid w:val="4C0792F5"/>
    <w:rsid w:val="4C096C71"/>
    <w:rsid w:val="4C0BD907"/>
    <w:rsid w:val="4C0C6722"/>
    <w:rsid w:val="4C0F3217"/>
    <w:rsid w:val="4C1260A1"/>
    <w:rsid w:val="4C17ADC4"/>
    <w:rsid w:val="4C1B8998"/>
    <w:rsid w:val="4C303721"/>
    <w:rsid w:val="4C48B31F"/>
    <w:rsid w:val="4C4965C0"/>
    <w:rsid w:val="4C53EA9F"/>
    <w:rsid w:val="4C58B135"/>
    <w:rsid w:val="4C601560"/>
    <w:rsid w:val="4C6EE947"/>
    <w:rsid w:val="4C71E384"/>
    <w:rsid w:val="4C78E1A0"/>
    <w:rsid w:val="4C793E95"/>
    <w:rsid w:val="4C7B0E1D"/>
    <w:rsid w:val="4C800470"/>
    <w:rsid w:val="4C8A250A"/>
    <w:rsid w:val="4C91D5CB"/>
    <w:rsid w:val="4C95C225"/>
    <w:rsid w:val="4C9A7253"/>
    <w:rsid w:val="4CC5A2A0"/>
    <w:rsid w:val="4CD03C37"/>
    <w:rsid w:val="4CD9DA69"/>
    <w:rsid w:val="4CDD6613"/>
    <w:rsid w:val="4CE5FCD7"/>
    <w:rsid w:val="4CFC7415"/>
    <w:rsid w:val="4D041962"/>
    <w:rsid w:val="4D06A3E1"/>
    <w:rsid w:val="4D0B2F38"/>
    <w:rsid w:val="4D253093"/>
    <w:rsid w:val="4D258782"/>
    <w:rsid w:val="4D274492"/>
    <w:rsid w:val="4D2AC33D"/>
    <w:rsid w:val="4D2B5B2A"/>
    <w:rsid w:val="4D2FD5EE"/>
    <w:rsid w:val="4D302566"/>
    <w:rsid w:val="4D40835D"/>
    <w:rsid w:val="4D442FDE"/>
    <w:rsid w:val="4D47CC81"/>
    <w:rsid w:val="4D52CBBA"/>
    <w:rsid w:val="4D546C54"/>
    <w:rsid w:val="4D5915D9"/>
    <w:rsid w:val="4D61DD22"/>
    <w:rsid w:val="4D62C7C5"/>
    <w:rsid w:val="4D66DDB9"/>
    <w:rsid w:val="4D74CB4B"/>
    <w:rsid w:val="4D74E61D"/>
    <w:rsid w:val="4D769CD1"/>
    <w:rsid w:val="4D9CC53D"/>
    <w:rsid w:val="4D9E8ACC"/>
    <w:rsid w:val="4D9EF650"/>
    <w:rsid w:val="4DA3F0E6"/>
    <w:rsid w:val="4DA799E7"/>
    <w:rsid w:val="4DAEB138"/>
    <w:rsid w:val="4DAF882E"/>
    <w:rsid w:val="4DB7818F"/>
    <w:rsid w:val="4DC64683"/>
    <w:rsid w:val="4DC77700"/>
    <w:rsid w:val="4DCB9327"/>
    <w:rsid w:val="4DD1F51F"/>
    <w:rsid w:val="4DD9AA0D"/>
    <w:rsid w:val="4DDD490C"/>
    <w:rsid w:val="4DFF54E8"/>
    <w:rsid w:val="4E062600"/>
    <w:rsid w:val="4E069F18"/>
    <w:rsid w:val="4E0E2127"/>
    <w:rsid w:val="4E0E3E2A"/>
    <w:rsid w:val="4E10CE96"/>
    <w:rsid w:val="4E116C14"/>
    <w:rsid w:val="4E171E2F"/>
    <w:rsid w:val="4E1D942E"/>
    <w:rsid w:val="4E257788"/>
    <w:rsid w:val="4E399309"/>
    <w:rsid w:val="4E3C359E"/>
    <w:rsid w:val="4E44616F"/>
    <w:rsid w:val="4E4A5671"/>
    <w:rsid w:val="4E5609EB"/>
    <w:rsid w:val="4E568DBC"/>
    <w:rsid w:val="4E57AA71"/>
    <w:rsid w:val="4E57DE7D"/>
    <w:rsid w:val="4E595CF2"/>
    <w:rsid w:val="4E5DBCF6"/>
    <w:rsid w:val="4E62923D"/>
    <w:rsid w:val="4E64085F"/>
    <w:rsid w:val="4E6A08D6"/>
    <w:rsid w:val="4E7243CB"/>
    <w:rsid w:val="4E75CCAD"/>
    <w:rsid w:val="4E7EB898"/>
    <w:rsid w:val="4E81221B"/>
    <w:rsid w:val="4E878BCE"/>
    <w:rsid w:val="4E8908AF"/>
    <w:rsid w:val="4E8FC36C"/>
    <w:rsid w:val="4E92FEB2"/>
    <w:rsid w:val="4E95441A"/>
    <w:rsid w:val="4E982193"/>
    <w:rsid w:val="4E9AC4A7"/>
    <w:rsid w:val="4EB301DF"/>
    <w:rsid w:val="4EB8AB9C"/>
    <w:rsid w:val="4EC021E0"/>
    <w:rsid w:val="4EC1027A"/>
    <w:rsid w:val="4EC23186"/>
    <w:rsid w:val="4ECDA0C8"/>
    <w:rsid w:val="4EFCD7C0"/>
    <w:rsid w:val="4EFFF85F"/>
    <w:rsid w:val="4F074679"/>
    <w:rsid w:val="4F0C5A42"/>
    <w:rsid w:val="4F2CB2CE"/>
    <w:rsid w:val="4F4172D7"/>
    <w:rsid w:val="4F48178F"/>
    <w:rsid w:val="4F5734B0"/>
    <w:rsid w:val="4F5BCA0E"/>
    <w:rsid w:val="4F6DC659"/>
    <w:rsid w:val="4F6FBF06"/>
    <w:rsid w:val="4F782FF1"/>
    <w:rsid w:val="4F85C9AF"/>
    <w:rsid w:val="4F876F80"/>
    <w:rsid w:val="4F8B7282"/>
    <w:rsid w:val="4F8BDB1D"/>
    <w:rsid w:val="4F8C0322"/>
    <w:rsid w:val="4F909B2E"/>
    <w:rsid w:val="4F9E4664"/>
    <w:rsid w:val="4FA91207"/>
    <w:rsid w:val="4FAAAF2A"/>
    <w:rsid w:val="4FAED41B"/>
    <w:rsid w:val="4FC0F1C9"/>
    <w:rsid w:val="4FD35562"/>
    <w:rsid w:val="4FD5BB49"/>
    <w:rsid w:val="4FE8EE19"/>
    <w:rsid w:val="4FED7237"/>
    <w:rsid w:val="4FF23275"/>
    <w:rsid w:val="4FF888D3"/>
    <w:rsid w:val="500187DD"/>
    <w:rsid w:val="5002CE73"/>
    <w:rsid w:val="500A30C7"/>
    <w:rsid w:val="5013B16C"/>
    <w:rsid w:val="50143A0C"/>
    <w:rsid w:val="50172A55"/>
    <w:rsid w:val="50288DB7"/>
    <w:rsid w:val="502B62E5"/>
    <w:rsid w:val="50313431"/>
    <w:rsid w:val="50313ECF"/>
    <w:rsid w:val="5031B312"/>
    <w:rsid w:val="50367A45"/>
    <w:rsid w:val="50408525"/>
    <w:rsid w:val="50416258"/>
    <w:rsid w:val="50454C6C"/>
    <w:rsid w:val="50484113"/>
    <w:rsid w:val="504F0A4F"/>
    <w:rsid w:val="505DD3C2"/>
    <w:rsid w:val="5071737B"/>
    <w:rsid w:val="50794556"/>
    <w:rsid w:val="5083D307"/>
    <w:rsid w:val="50959EF4"/>
    <w:rsid w:val="509AC16A"/>
    <w:rsid w:val="509D6337"/>
    <w:rsid w:val="50A2E71A"/>
    <w:rsid w:val="50B09BB6"/>
    <w:rsid w:val="50B3D8A4"/>
    <w:rsid w:val="50C1D82B"/>
    <w:rsid w:val="50C4AE8C"/>
    <w:rsid w:val="50D387E8"/>
    <w:rsid w:val="50D87DD5"/>
    <w:rsid w:val="50D918CD"/>
    <w:rsid w:val="50D967EB"/>
    <w:rsid w:val="50DCBE4A"/>
    <w:rsid w:val="50DE2849"/>
    <w:rsid w:val="50DE79F1"/>
    <w:rsid w:val="50DF249C"/>
    <w:rsid w:val="50E6CECB"/>
    <w:rsid w:val="50E83825"/>
    <w:rsid w:val="510950EF"/>
    <w:rsid w:val="510E2514"/>
    <w:rsid w:val="510E4157"/>
    <w:rsid w:val="51107B29"/>
    <w:rsid w:val="5118E11D"/>
    <w:rsid w:val="511938DC"/>
    <w:rsid w:val="511EB730"/>
    <w:rsid w:val="511FB3E3"/>
    <w:rsid w:val="51212461"/>
    <w:rsid w:val="5126EF40"/>
    <w:rsid w:val="514139C4"/>
    <w:rsid w:val="51471336"/>
    <w:rsid w:val="515CCC33"/>
    <w:rsid w:val="51600DA1"/>
    <w:rsid w:val="5161BDED"/>
    <w:rsid w:val="5164FE8B"/>
    <w:rsid w:val="516EBC1E"/>
    <w:rsid w:val="5170ACC1"/>
    <w:rsid w:val="51773672"/>
    <w:rsid w:val="5177C7ED"/>
    <w:rsid w:val="517E651C"/>
    <w:rsid w:val="517F87B2"/>
    <w:rsid w:val="518CDC40"/>
    <w:rsid w:val="518F4523"/>
    <w:rsid w:val="518F52D4"/>
    <w:rsid w:val="51917916"/>
    <w:rsid w:val="519EE151"/>
    <w:rsid w:val="51A64324"/>
    <w:rsid w:val="51B7069D"/>
    <w:rsid w:val="51C8C4EB"/>
    <w:rsid w:val="51CBB6A2"/>
    <w:rsid w:val="51D7566E"/>
    <w:rsid w:val="51DC7896"/>
    <w:rsid w:val="51E6CCF5"/>
    <w:rsid w:val="51E7436E"/>
    <w:rsid w:val="51EECB4B"/>
    <w:rsid w:val="51FC27BF"/>
    <w:rsid w:val="520BCF83"/>
    <w:rsid w:val="520CCB02"/>
    <w:rsid w:val="520CCFEE"/>
    <w:rsid w:val="5212A7F6"/>
    <w:rsid w:val="5229968F"/>
    <w:rsid w:val="52318106"/>
    <w:rsid w:val="523523EA"/>
    <w:rsid w:val="5238E6A4"/>
    <w:rsid w:val="52447429"/>
    <w:rsid w:val="5252921D"/>
    <w:rsid w:val="525A5D90"/>
    <w:rsid w:val="5272EEA1"/>
    <w:rsid w:val="527F1993"/>
    <w:rsid w:val="5283ED16"/>
    <w:rsid w:val="5286AE8A"/>
    <w:rsid w:val="5289D122"/>
    <w:rsid w:val="528BCDA8"/>
    <w:rsid w:val="528E0F2D"/>
    <w:rsid w:val="52934650"/>
    <w:rsid w:val="52A1BB62"/>
    <w:rsid w:val="52A618F6"/>
    <w:rsid w:val="52AA8A64"/>
    <w:rsid w:val="52AD9D8F"/>
    <w:rsid w:val="52BED118"/>
    <w:rsid w:val="52C3A06A"/>
    <w:rsid w:val="52C6E6E1"/>
    <w:rsid w:val="52C951F1"/>
    <w:rsid w:val="52D80F2C"/>
    <w:rsid w:val="52D98AF0"/>
    <w:rsid w:val="52E7605A"/>
    <w:rsid w:val="52EC9F35"/>
    <w:rsid w:val="52F7316E"/>
    <w:rsid w:val="52FDC232"/>
    <w:rsid w:val="530C59CA"/>
    <w:rsid w:val="53101C9E"/>
    <w:rsid w:val="53136052"/>
    <w:rsid w:val="531B8D39"/>
    <w:rsid w:val="532A8CE4"/>
    <w:rsid w:val="532D38D9"/>
    <w:rsid w:val="5331571D"/>
    <w:rsid w:val="53461B3C"/>
    <w:rsid w:val="534981AB"/>
    <w:rsid w:val="534DB1A8"/>
    <w:rsid w:val="534F14AF"/>
    <w:rsid w:val="53595C71"/>
    <w:rsid w:val="5363DE94"/>
    <w:rsid w:val="5367FC3E"/>
    <w:rsid w:val="536B42AD"/>
    <w:rsid w:val="537A7730"/>
    <w:rsid w:val="537AE036"/>
    <w:rsid w:val="5386503E"/>
    <w:rsid w:val="5386D870"/>
    <w:rsid w:val="53C6070B"/>
    <w:rsid w:val="53D6DA60"/>
    <w:rsid w:val="53DAD844"/>
    <w:rsid w:val="53E0B0C6"/>
    <w:rsid w:val="53E4FA67"/>
    <w:rsid w:val="53EFA006"/>
    <w:rsid w:val="53F4E39D"/>
    <w:rsid w:val="53F9B480"/>
    <w:rsid w:val="540112E1"/>
    <w:rsid w:val="5405501B"/>
    <w:rsid w:val="54067E3F"/>
    <w:rsid w:val="54084DD1"/>
    <w:rsid w:val="541B824D"/>
    <w:rsid w:val="541C7702"/>
    <w:rsid w:val="54275A3C"/>
    <w:rsid w:val="5427D39E"/>
    <w:rsid w:val="542C793F"/>
    <w:rsid w:val="5432EA52"/>
    <w:rsid w:val="543505B3"/>
    <w:rsid w:val="54380987"/>
    <w:rsid w:val="545F5B5B"/>
    <w:rsid w:val="546A1A36"/>
    <w:rsid w:val="546A2478"/>
    <w:rsid w:val="547B796B"/>
    <w:rsid w:val="547F882D"/>
    <w:rsid w:val="5483A416"/>
    <w:rsid w:val="548428A0"/>
    <w:rsid w:val="54869FE6"/>
    <w:rsid w:val="548D5F9F"/>
    <w:rsid w:val="5490B0A0"/>
    <w:rsid w:val="5492C3D8"/>
    <w:rsid w:val="54A5B5A9"/>
    <w:rsid w:val="54AC238B"/>
    <w:rsid w:val="54B8E185"/>
    <w:rsid w:val="54C338E9"/>
    <w:rsid w:val="54C8973B"/>
    <w:rsid w:val="54CEF223"/>
    <w:rsid w:val="54CFE1D8"/>
    <w:rsid w:val="54D3A669"/>
    <w:rsid w:val="54ECFE5D"/>
    <w:rsid w:val="54F1EC97"/>
    <w:rsid w:val="54F2615A"/>
    <w:rsid w:val="54FAC251"/>
    <w:rsid w:val="550631BB"/>
    <w:rsid w:val="550BC800"/>
    <w:rsid w:val="55119281"/>
    <w:rsid w:val="55176BB1"/>
    <w:rsid w:val="55267939"/>
    <w:rsid w:val="5527CE55"/>
    <w:rsid w:val="55322D36"/>
    <w:rsid w:val="553863EF"/>
    <w:rsid w:val="55404E9F"/>
    <w:rsid w:val="55417625"/>
    <w:rsid w:val="5546D198"/>
    <w:rsid w:val="554743D3"/>
    <w:rsid w:val="55568661"/>
    <w:rsid w:val="555992ED"/>
    <w:rsid w:val="555C6514"/>
    <w:rsid w:val="556293C3"/>
    <w:rsid w:val="556CA364"/>
    <w:rsid w:val="556D8267"/>
    <w:rsid w:val="5575CACC"/>
    <w:rsid w:val="557A5541"/>
    <w:rsid w:val="557D8C67"/>
    <w:rsid w:val="5582035A"/>
    <w:rsid w:val="559419BD"/>
    <w:rsid w:val="5599EB2A"/>
    <w:rsid w:val="559C1277"/>
    <w:rsid w:val="55B49795"/>
    <w:rsid w:val="55B5866E"/>
    <w:rsid w:val="55BCB3FA"/>
    <w:rsid w:val="55BDC33C"/>
    <w:rsid w:val="55C355C1"/>
    <w:rsid w:val="55C6523F"/>
    <w:rsid w:val="55CBE84E"/>
    <w:rsid w:val="55DC654A"/>
    <w:rsid w:val="55DDCE61"/>
    <w:rsid w:val="55DE01A9"/>
    <w:rsid w:val="55E7A9ED"/>
    <w:rsid w:val="55F545E9"/>
    <w:rsid w:val="55F702F3"/>
    <w:rsid w:val="55FA6333"/>
    <w:rsid w:val="55FF70AD"/>
    <w:rsid w:val="560622BC"/>
    <w:rsid w:val="560B9118"/>
    <w:rsid w:val="560C2F6D"/>
    <w:rsid w:val="560DC97A"/>
    <w:rsid w:val="56252D0A"/>
    <w:rsid w:val="562EAD11"/>
    <w:rsid w:val="56449F40"/>
    <w:rsid w:val="564DD98F"/>
    <w:rsid w:val="56681769"/>
    <w:rsid w:val="56683B38"/>
    <w:rsid w:val="566D8ECF"/>
    <w:rsid w:val="566EC9DA"/>
    <w:rsid w:val="5670AB65"/>
    <w:rsid w:val="567319D7"/>
    <w:rsid w:val="5674557E"/>
    <w:rsid w:val="568A2F08"/>
    <w:rsid w:val="568B4963"/>
    <w:rsid w:val="569C08DC"/>
    <w:rsid w:val="56AC26E0"/>
    <w:rsid w:val="56BBC98C"/>
    <w:rsid w:val="56C07E74"/>
    <w:rsid w:val="56C166BA"/>
    <w:rsid w:val="56CD0293"/>
    <w:rsid w:val="56D1A05D"/>
    <w:rsid w:val="56D5A6A7"/>
    <w:rsid w:val="56D7324D"/>
    <w:rsid w:val="56DC3C33"/>
    <w:rsid w:val="56DE6471"/>
    <w:rsid w:val="56E93FD0"/>
    <w:rsid w:val="56EAC042"/>
    <w:rsid w:val="56F00B56"/>
    <w:rsid w:val="5705A36A"/>
    <w:rsid w:val="570D1A46"/>
    <w:rsid w:val="5710A46D"/>
    <w:rsid w:val="5724AFFB"/>
    <w:rsid w:val="5729909A"/>
    <w:rsid w:val="572B3A7E"/>
    <w:rsid w:val="572DAE9C"/>
    <w:rsid w:val="573BF6D8"/>
    <w:rsid w:val="57463EC7"/>
    <w:rsid w:val="57468015"/>
    <w:rsid w:val="574C988A"/>
    <w:rsid w:val="574F7720"/>
    <w:rsid w:val="57597077"/>
    <w:rsid w:val="575B44F0"/>
    <w:rsid w:val="576295F6"/>
    <w:rsid w:val="576348F2"/>
    <w:rsid w:val="577188E8"/>
    <w:rsid w:val="5777CAE3"/>
    <w:rsid w:val="5780CBA6"/>
    <w:rsid w:val="57870560"/>
    <w:rsid w:val="578FC7A6"/>
    <w:rsid w:val="5797829C"/>
    <w:rsid w:val="579AA70E"/>
    <w:rsid w:val="579DBA28"/>
    <w:rsid w:val="579DE3BD"/>
    <w:rsid w:val="57A8F51A"/>
    <w:rsid w:val="57AF90E5"/>
    <w:rsid w:val="57B49B22"/>
    <w:rsid w:val="57B8D0FD"/>
    <w:rsid w:val="57BC188C"/>
    <w:rsid w:val="57C5D6EB"/>
    <w:rsid w:val="57CDD31C"/>
    <w:rsid w:val="57D087BA"/>
    <w:rsid w:val="57D443B3"/>
    <w:rsid w:val="57D77A9C"/>
    <w:rsid w:val="57D800B0"/>
    <w:rsid w:val="57DC7979"/>
    <w:rsid w:val="57EC509F"/>
    <w:rsid w:val="57EFE2CB"/>
    <w:rsid w:val="57F21E77"/>
    <w:rsid w:val="57F3F81E"/>
    <w:rsid w:val="57FAB98D"/>
    <w:rsid w:val="58037BDE"/>
    <w:rsid w:val="5804CD4A"/>
    <w:rsid w:val="5805338A"/>
    <w:rsid w:val="5805CAB4"/>
    <w:rsid w:val="581070BC"/>
    <w:rsid w:val="5812BD85"/>
    <w:rsid w:val="58186529"/>
    <w:rsid w:val="581A3267"/>
    <w:rsid w:val="581CD2C3"/>
    <w:rsid w:val="582AD287"/>
    <w:rsid w:val="58376D27"/>
    <w:rsid w:val="584FF0E4"/>
    <w:rsid w:val="58549ED1"/>
    <w:rsid w:val="5856A916"/>
    <w:rsid w:val="58574835"/>
    <w:rsid w:val="585876DF"/>
    <w:rsid w:val="585CADB4"/>
    <w:rsid w:val="585E7EB0"/>
    <w:rsid w:val="586B16D0"/>
    <w:rsid w:val="586F625A"/>
    <w:rsid w:val="587124AD"/>
    <w:rsid w:val="587353DD"/>
    <w:rsid w:val="5877FF6F"/>
    <w:rsid w:val="587D60D0"/>
    <w:rsid w:val="5883D13D"/>
    <w:rsid w:val="5889204C"/>
    <w:rsid w:val="58893F2C"/>
    <w:rsid w:val="5898F46C"/>
    <w:rsid w:val="58995177"/>
    <w:rsid w:val="589A8171"/>
    <w:rsid w:val="58A3836F"/>
    <w:rsid w:val="58B4093E"/>
    <w:rsid w:val="58BBC924"/>
    <w:rsid w:val="58BDCB06"/>
    <w:rsid w:val="58BECADF"/>
    <w:rsid w:val="58C30806"/>
    <w:rsid w:val="58D2D76F"/>
    <w:rsid w:val="58D5CD11"/>
    <w:rsid w:val="58E1CC6F"/>
    <w:rsid w:val="58F9B155"/>
    <w:rsid w:val="5907EF7F"/>
    <w:rsid w:val="5914F728"/>
    <w:rsid w:val="59231955"/>
    <w:rsid w:val="5947043C"/>
    <w:rsid w:val="5947D94F"/>
    <w:rsid w:val="595061AE"/>
    <w:rsid w:val="5959DB21"/>
    <w:rsid w:val="59696436"/>
    <w:rsid w:val="596A965F"/>
    <w:rsid w:val="59748521"/>
    <w:rsid w:val="5985EEE0"/>
    <w:rsid w:val="598CAEFE"/>
    <w:rsid w:val="59906ECF"/>
    <w:rsid w:val="5995B726"/>
    <w:rsid w:val="599CEBF5"/>
    <w:rsid w:val="59A92F6B"/>
    <w:rsid w:val="59A9C5C0"/>
    <w:rsid w:val="59AE4162"/>
    <w:rsid w:val="59B3B9CF"/>
    <w:rsid w:val="59B51739"/>
    <w:rsid w:val="59B61DC4"/>
    <w:rsid w:val="59B6F741"/>
    <w:rsid w:val="59B9031C"/>
    <w:rsid w:val="59CB2FB7"/>
    <w:rsid w:val="59CF521F"/>
    <w:rsid w:val="59D021D1"/>
    <w:rsid w:val="59E9D660"/>
    <w:rsid w:val="59F658B8"/>
    <w:rsid w:val="59F71646"/>
    <w:rsid w:val="59FCAFA7"/>
    <w:rsid w:val="5A000E14"/>
    <w:rsid w:val="5A0C421F"/>
    <w:rsid w:val="5A1D09C3"/>
    <w:rsid w:val="5A1E0AAC"/>
    <w:rsid w:val="5A245D72"/>
    <w:rsid w:val="5A27D8D1"/>
    <w:rsid w:val="5A3A49BB"/>
    <w:rsid w:val="5A3AE5E5"/>
    <w:rsid w:val="5A3BF2F4"/>
    <w:rsid w:val="5A402C35"/>
    <w:rsid w:val="5A45C20A"/>
    <w:rsid w:val="5A58278E"/>
    <w:rsid w:val="5A6A3017"/>
    <w:rsid w:val="5A7085D5"/>
    <w:rsid w:val="5A770E9C"/>
    <w:rsid w:val="5A7AA623"/>
    <w:rsid w:val="5A839050"/>
    <w:rsid w:val="5A98E923"/>
    <w:rsid w:val="5A9AA23D"/>
    <w:rsid w:val="5AA0840F"/>
    <w:rsid w:val="5AA457A3"/>
    <w:rsid w:val="5AA96062"/>
    <w:rsid w:val="5AAA584A"/>
    <w:rsid w:val="5AB283AC"/>
    <w:rsid w:val="5AB98D35"/>
    <w:rsid w:val="5ABA9C7B"/>
    <w:rsid w:val="5AD0533E"/>
    <w:rsid w:val="5AD2ABB6"/>
    <w:rsid w:val="5AE3A062"/>
    <w:rsid w:val="5AEF08BD"/>
    <w:rsid w:val="5AF01C2E"/>
    <w:rsid w:val="5AF34C71"/>
    <w:rsid w:val="5AF3F74A"/>
    <w:rsid w:val="5AF4D993"/>
    <w:rsid w:val="5AF9AF88"/>
    <w:rsid w:val="5B01164A"/>
    <w:rsid w:val="5B02E1AC"/>
    <w:rsid w:val="5B0971DA"/>
    <w:rsid w:val="5B11E264"/>
    <w:rsid w:val="5B20C856"/>
    <w:rsid w:val="5B2EB1D0"/>
    <w:rsid w:val="5B32CFBB"/>
    <w:rsid w:val="5B4B85E2"/>
    <w:rsid w:val="5B539714"/>
    <w:rsid w:val="5B53A23F"/>
    <w:rsid w:val="5B57CBCD"/>
    <w:rsid w:val="5B656390"/>
    <w:rsid w:val="5B6881E0"/>
    <w:rsid w:val="5B689A86"/>
    <w:rsid w:val="5B69B782"/>
    <w:rsid w:val="5B6B8A0C"/>
    <w:rsid w:val="5B6D9C1A"/>
    <w:rsid w:val="5B7E93C7"/>
    <w:rsid w:val="5B7FE7F0"/>
    <w:rsid w:val="5B9E42EF"/>
    <w:rsid w:val="5BAFA039"/>
    <w:rsid w:val="5BBA68DE"/>
    <w:rsid w:val="5BBBC97E"/>
    <w:rsid w:val="5BC275A6"/>
    <w:rsid w:val="5BD9FF5F"/>
    <w:rsid w:val="5BDB4F75"/>
    <w:rsid w:val="5BDF2CBC"/>
    <w:rsid w:val="5BE6005A"/>
    <w:rsid w:val="5BE82CE8"/>
    <w:rsid w:val="5BED79FB"/>
    <w:rsid w:val="5BF3B959"/>
    <w:rsid w:val="5C0206E2"/>
    <w:rsid w:val="5C0DCE64"/>
    <w:rsid w:val="5C0DFC75"/>
    <w:rsid w:val="5C13FEDA"/>
    <w:rsid w:val="5C14C393"/>
    <w:rsid w:val="5C162164"/>
    <w:rsid w:val="5C16643C"/>
    <w:rsid w:val="5C1F3314"/>
    <w:rsid w:val="5C236717"/>
    <w:rsid w:val="5C26ABEF"/>
    <w:rsid w:val="5C292848"/>
    <w:rsid w:val="5C2D4EDD"/>
    <w:rsid w:val="5C452596"/>
    <w:rsid w:val="5C4967B9"/>
    <w:rsid w:val="5C4C0512"/>
    <w:rsid w:val="5C5527C0"/>
    <w:rsid w:val="5C5AE3C1"/>
    <w:rsid w:val="5C5C8B43"/>
    <w:rsid w:val="5C61E5B2"/>
    <w:rsid w:val="5C67002E"/>
    <w:rsid w:val="5C67E82D"/>
    <w:rsid w:val="5C71E175"/>
    <w:rsid w:val="5C761A35"/>
    <w:rsid w:val="5C786D14"/>
    <w:rsid w:val="5C7FBF0B"/>
    <w:rsid w:val="5C8ABD03"/>
    <w:rsid w:val="5C905C26"/>
    <w:rsid w:val="5C9349BF"/>
    <w:rsid w:val="5C9477E0"/>
    <w:rsid w:val="5C9D1D7E"/>
    <w:rsid w:val="5C9E5AC7"/>
    <w:rsid w:val="5CA8DC5A"/>
    <w:rsid w:val="5CAABE99"/>
    <w:rsid w:val="5CAF7EA8"/>
    <w:rsid w:val="5CB00F90"/>
    <w:rsid w:val="5CB21C4B"/>
    <w:rsid w:val="5CBCE665"/>
    <w:rsid w:val="5CC26F2C"/>
    <w:rsid w:val="5CC3C078"/>
    <w:rsid w:val="5CC42F76"/>
    <w:rsid w:val="5CC5180A"/>
    <w:rsid w:val="5CCA8A85"/>
    <w:rsid w:val="5CD91764"/>
    <w:rsid w:val="5CDECD84"/>
    <w:rsid w:val="5CE32005"/>
    <w:rsid w:val="5CE3441F"/>
    <w:rsid w:val="5CE39F72"/>
    <w:rsid w:val="5CF0D449"/>
    <w:rsid w:val="5CF7D48B"/>
    <w:rsid w:val="5CF97CC9"/>
    <w:rsid w:val="5D01F5F0"/>
    <w:rsid w:val="5D02A5BE"/>
    <w:rsid w:val="5D02AD47"/>
    <w:rsid w:val="5D04FCA1"/>
    <w:rsid w:val="5D0CE23D"/>
    <w:rsid w:val="5D1B8FEC"/>
    <w:rsid w:val="5D1D8150"/>
    <w:rsid w:val="5D209DA5"/>
    <w:rsid w:val="5D21CE55"/>
    <w:rsid w:val="5D2535B4"/>
    <w:rsid w:val="5D2C76C7"/>
    <w:rsid w:val="5D2E5FD2"/>
    <w:rsid w:val="5D2F5E37"/>
    <w:rsid w:val="5D3C4337"/>
    <w:rsid w:val="5D3E7C8D"/>
    <w:rsid w:val="5D49F918"/>
    <w:rsid w:val="5D4DCF72"/>
    <w:rsid w:val="5D5109C4"/>
    <w:rsid w:val="5D569033"/>
    <w:rsid w:val="5D6770D3"/>
    <w:rsid w:val="5D6CADB6"/>
    <w:rsid w:val="5D6FE807"/>
    <w:rsid w:val="5D7160E6"/>
    <w:rsid w:val="5D74F5D3"/>
    <w:rsid w:val="5D752589"/>
    <w:rsid w:val="5D8274D0"/>
    <w:rsid w:val="5D8AFCC8"/>
    <w:rsid w:val="5D90120E"/>
    <w:rsid w:val="5D91BE48"/>
    <w:rsid w:val="5D94FEAA"/>
    <w:rsid w:val="5DABC9CE"/>
    <w:rsid w:val="5DBE271C"/>
    <w:rsid w:val="5DC1AEBB"/>
    <w:rsid w:val="5DC5DB84"/>
    <w:rsid w:val="5DC6A829"/>
    <w:rsid w:val="5DC71A95"/>
    <w:rsid w:val="5DDD1D8F"/>
    <w:rsid w:val="5DDF8DC0"/>
    <w:rsid w:val="5E042781"/>
    <w:rsid w:val="5E048306"/>
    <w:rsid w:val="5E05BF67"/>
    <w:rsid w:val="5E0BB596"/>
    <w:rsid w:val="5E0C7810"/>
    <w:rsid w:val="5E156EC2"/>
    <w:rsid w:val="5E18BB25"/>
    <w:rsid w:val="5E1E0315"/>
    <w:rsid w:val="5E262216"/>
    <w:rsid w:val="5E27E0CB"/>
    <w:rsid w:val="5E288E04"/>
    <w:rsid w:val="5E30F747"/>
    <w:rsid w:val="5E3EF0C2"/>
    <w:rsid w:val="5E45AE2F"/>
    <w:rsid w:val="5E59CAF7"/>
    <w:rsid w:val="5E5B3217"/>
    <w:rsid w:val="5E665E34"/>
    <w:rsid w:val="5E6DF4C5"/>
    <w:rsid w:val="5E768195"/>
    <w:rsid w:val="5E771712"/>
    <w:rsid w:val="5E781E2D"/>
    <w:rsid w:val="5E787617"/>
    <w:rsid w:val="5E80762D"/>
    <w:rsid w:val="5E87DFFD"/>
    <w:rsid w:val="5E8C5C7E"/>
    <w:rsid w:val="5E8D8883"/>
    <w:rsid w:val="5E8F6F84"/>
    <w:rsid w:val="5E9A308D"/>
    <w:rsid w:val="5EA3120F"/>
    <w:rsid w:val="5EA45541"/>
    <w:rsid w:val="5EAB92D4"/>
    <w:rsid w:val="5EAD1F60"/>
    <w:rsid w:val="5EB69DA6"/>
    <w:rsid w:val="5EBF6420"/>
    <w:rsid w:val="5EC07DDF"/>
    <w:rsid w:val="5EED1975"/>
    <w:rsid w:val="5EF37E2E"/>
    <w:rsid w:val="5EF3E850"/>
    <w:rsid w:val="5EF5797B"/>
    <w:rsid w:val="5EF82412"/>
    <w:rsid w:val="5F12B03D"/>
    <w:rsid w:val="5F17420D"/>
    <w:rsid w:val="5F207600"/>
    <w:rsid w:val="5F2866D8"/>
    <w:rsid w:val="5F2F1EEA"/>
    <w:rsid w:val="5F307AAA"/>
    <w:rsid w:val="5F3194B5"/>
    <w:rsid w:val="5F3CD2FE"/>
    <w:rsid w:val="5F47D1C0"/>
    <w:rsid w:val="5F48700F"/>
    <w:rsid w:val="5F4A917B"/>
    <w:rsid w:val="5F528B99"/>
    <w:rsid w:val="5F5846B0"/>
    <w:rsid w:val="5F5D9499"/>
    <w:rsid w:val="5F5DC5CB"/>
    <w:rsid w:val="5F631637"/>
    <w:rsid w:val="5F63E185"/>
    <w:rsid w:val="5F666331"/>
    <w:rsid w:val="5F67E11A"/>
    <w:rsid w:val="5F89C646"/>
    <w:rsid w:val="5F8E0903"/>
    <w:rsid w:val="5F9B3628"/>
    <w:rsid w:val="5FA018A3"/>
    <w:rsid w:val="5FA08EE4"/>
    <w:rsid w:val="5FA41A2F"/>
    <w:rsid w:val="5FB4AAA0"/>
    <w:rsid w:val="5FBD75F1"/>
    <w:rsid w:val="5FBDBAC4"/>
    <w:rsid w:val="5FBFBF7F"/>
    <w:rsid w:val="5FCD7002"/>
    <w:rsid w:val="5FD304D5"/>
    <w:rsid w:val="5FE31352"/>
    <w:rsid w:val="5FF4D51E"/>
    <w:rsid w:val="5FF50D05"/>
    <w:rsid w:val="5FF56344"/>
    <w:rsid w:val="5FF74801"/>
    <w:rsid w:val="5FFA37C4"/>
    <w:rsid w:val="5FFA8B33"/>
    <w:rsid w:val="5FFB2A96"/>
    <w:rsid w:val="5FFD9F90"/>
    <w:rsid w:val="5FFFFB0D"/>
    <w:rsid w:val="600592D9"/>
    <w:rsid w:val="600B0460"/>
    <w:rsid w:val="601CFBF9"/>
    <w:rsid w:val="60256C65"/>
    <w:rsid w:val="602602AF"/>
    <w:rsid w:val="6027C549"/>
    <w:rsid w:val="60282FBA"/>
    <w:rsid w:val="602FA2CE"/>
    <w:rsid w:val="602FA6DF"/>
    <w:rsid w:val="6033AF70"/>
    <w:rsid w:val="603A6A8B"/>
    <w:rsid w:val="60402C45"/>
    <w:rsid w:val="6041D270"/>
    <w:rsid w:val="6044CC7C"/>
    <w:rsid w:val="60562F5E"/>
    <w:rsid w:val="6058EAF8"/>
    <w:rsid w:val="60674B51"/>
    <w:rsid w:val="6067897F"/>
    <w:rsid w:val="608619B1"/>
    <w:rsid w:val="6086486E"/>
    <w:rsid w:val="60A70DFF"/>
    <w:rsid w:val="60A78505"/>
    <w:rsid w:val="60AF8361"/>
    <w:rsid w:val="60B40D07"/>
    <w:rsid w:val="60BEA6B8"/>
    <w:rsid w:val="60BFCFFC"/>
    <w:rsid w:val="60C10134"/>
    <w:rsid w:val="60D2B43D"/>
    <w:rsid w:val="60D4DBF6"/>
    <w:rsid w:val="60DB6140"/>
    <w:rsid w:val="60E52B9E"/>
    <w:rsid w:val="60E9A725"/>
    <w:rsid w:val="60EE2836"/>
    <w:rsid w:val="60FB0A2F"/>
    <w:rsid w:val="6109F8E7"/>
    <w:rsid w:val="610A5065"/>
    <w:rsid w:val="610C49C8"/>
    <w:rsid w:val="61165DC9"/>
    <w:rsid w:val="6123F1CC"/>
    <w:rsid w:val="61300DAB"/>
    <w:rsid w:val="61326761"/>
    <w:rsid w:val="61343594"/>
    <w:rsid w:val="613522B2"/>
    <w:rsid w:val="61482FC5"/>
    <w:rsid w:val="615BE7DE"/>
    <w:rsid w:val="615E90AE"/>
    <w:rsid w:val="6168F5A8"/>
    <w:rsid w:val="61711D8C"/>
    <w:rsid w:val="6171DB7F"/>
    <w:rsid w:val="6193B61E"/>
    <w:rsid w:val="61A39938"/>
    <w:rsid w:val="61A4549C"/>
    <w:rsid w:val="61AA54C3"/>
    <w:rsid w:val="61C4167D"/>
    <w:rsid w:val="61C4CE0B"/>
    <w:rsid w:val="61C88923"/>
    <w:rsid w:val="61CFB8E9"/>
    <w:rsid w:val="61D5D012"/>
    <w:rsid w:val="61D765B5"/>
    <w:rsid w:val="61D98012"/>
    <w:rsid w:val="61D9E32A"/>
    <w:rsid w:val="61DD503A"/>
    <w:rsid w:val="61E4BC26"/>
    <w:rsid w:val="61EC5D13"/>
    <w:rsid w:val="61EE4D6B"/>
    <w:rsid w:val="61F66B11"/>
    <w:rsid w:val="61F81DB3"/>
    <w:rsid w:val="6208C706"/>
    <w:rsid w:val="6214B972"/>
    <w:rsid w:val="621D2E7F"/>
    <w:rsid w:val="623C4CC7"/>
    <w:rsid w:val="6241F9B9"/>
    <w:rsid w:val="62437B41"/>
    <w:rsid w:val="624CB557"/>
    <w:rsid w:val="624F7E8B"/>
    <w:rsid w:val="6253C755"/>
    <w:rsid w:val="626231C6"/>
    <w:rsid w:val="6265C68E"/>
    <w:rsid w:val="626A2FD1"/>
    <w:rsid w:val="626BB162"/>
    <w:rsid w:val="626DAA8D"/>
    <w:rsid w:val="627CDA27"/>
    <w:rsid w:val="627D18DB"/>
    <w:rsid w:val="627E70A8"/>
    <w:rsid w:val="6285C04D"/>
    <w:rsid w:val="6285FA5A"/>
    <w:rsid w:val="628A6955"/>
    <w:rsid w:val="628B73DF"/>
    <w:rsid w:val="629139AF"/>
    <w:rsid w:val="62A0B0F8"/>
    <w:rsid w:val="62A6043F"/>
    <w:rsid w:val="62A64911"/>
    <w:rsid w:val="62AE569F"/>
    <w:rsid w:val="62B65C2D"/>
    <w:rsid w:val="62C4505B"/>
    <w:rsid w:val="62CAF7B0"/>
    <w:rsid w:val="62CD0E4F"/>
    <w:rsid w:val="62D2FCCD"/>
    <w:rsid w:val="62D3074E"/>
    <w:rsid w:val="62F45A2B"/>
    <w:rsid w:val="62F6A394"/>
    <w:rsid w:val="62FE99AA"/>
    <w:rsid w:val="63024A28"/>
    <w:rsid w:val="6302F27F"/>
    <w:rsid w:val="63161095"/>
    <w:rsid w:val="631A36BB"/>
    <w:rsid w:val="632A6831"/>
    <w:rsid w:val="63388BA7"/>
    <w:rsid w:val="634024FD"/>
    <w:rsid w:val="634A7B50"/>
    <w:rsid w:val="6353189B"/>
    <w:rsid w:val="6365B733"/>
    <w:rsid w:val="6371F49F"/>
    <w:rsid w:val="637B8D82"/>
    <w:rsid w:val="637BCA3B"/>
    <w:rsid w:val="637C4EDA"/>
    <w:rsid w:val="63814330"/>
    <w:rsid w:val="63815904"/>
    <w:rsid w:val="6388984E"/>
    <w:rsid w:val="63902127"/>
    <w:rsid w:val="63924F1B"/>
    <w:rsid w:val="6393DC0D"/>
    <w:rsid w:val="639B3599"/>
    <w:rsid w:val="639BE01F"/>
    <w:rsid w:val="639E6393"/>
    <w:rsid w:val="63A01426"/>
    <w:rsid w:val="63A3A523"/>
    <w:rsid w:val="63AC37BC"/>
    <w:rsid w:val="63AEA626"/>
    <w:rsid w:val="63B2D405"/>
    <w:rsid w:val="63BBFDD2"/>
    <w:rsid w:val="63BEB6EE"/>
    <w:rsid w:val="63BECEF8"/>
    <w:rsid w:val="63C2326B"/>
    <w:rsid w:val="63C804D5"/>
    <w:rsid w:val="63CF4F05"/>
    <w:rsid w:val="63DB0CFD"/>
    <w:rsid w:val="63E01694"/>
    <w:rsid w:val="63EA32A9"/>
    <w:rsid w:val="63ED8BB6"/>
    <w:rsid w:val="63F3F935"/>
    <w:rsid w:val="63F5F23E"/>
    <w:rsid w:val="63FA0604"/>
    <w:rsid w:val="640078DB"/>
    <w:rsid w:val="6401060B"/>
    <w:rsid w:val="6402B9CA"/>
    <w:rsid w:val="6407E85D"/>
    <w:rsid w:val="64157E87"/>
    <w:rsid w:val="6432C268"/>
    <w:rsid w:val="6433631A"/>
    <w:rsid w:val="64376D09"/>
    <w:rsid w:val="6439EAE2"/>
    <w:rsid w:val="6440DCBE"/>
    <w:rsid w:val="6444BC9F"/>
    <w:rsid w:val="64497655"/>
    <w:rsid w:val="64545BE5"/>
    <w:rsid w:val="645762BE"/>
    <w:rsid w:val="6459BC88"/>
    <w:rsid w:val="646EC1CC"/>
    <w:rsid w:val="646FF590"/>
    <w:rsid w:val="6471AECA"/>
    <w:rsid w:val="6479F052"/>
    <w:rsid w:val="647D6A84"/>
    <w:rsid w:val="6485992B"/>
    <w:rsid w:val="648CC3E7"/>
    <w:rsid w:val="648DA766"/>
    <w:rsid w:val="64932E06"/>
    <w:rsid w:val="6499B59C"/>
    <w:rsid w:val="649A9365"/>
    <w:rsid w:val="64C49591"/>
    <w:rsid w:val="64D62F0D"/>
    <w:rsid w:val="64E46B3E"/>
    <w:rsid w:val="64E9256D"/>
    <w:rsid w:val="64EE49EE"/>
    <w:rsid w:val="64EE8E60"/>
    <w:rsid w:val="64F0CEDF"/>
    <w:rsid w:val="64F0FA45"/>
    <w:rsid w:val="64FA7037"/>
    <w:rsid w:val="64FAE8A4"/>
    <w:rsid w:val="64FE3899"/>
    <w:rsid w:val="650C3400"/>
    <w:rsid w:val="6519C4A6"/>
    <w:rsid w:val="651AAF78"/>
    <w:rsid w:val="651B3AAB"/>
    <w:rsid w:val="652862A9"/>
    <w:rsid w:val="652F73FF"/>
    <w:rsid w:val="65322226"/>
    <w:rsid w:val="65398874"/>
    <w:rsid w:val="653F76B5"/>
    <w:rsid w:val="65424BB7"/>
    <w:rsid w:val="654A5362"/>
    <w:rsid w:val="654FE3B3"/>
    <w:rsid w:val="65516B74"/>
    <w:rsid w:val="655B410A"/>
    <w:rsid w:val="65758162"/>
    <w:rsid w:val="6575B269"/>
    <w:rsid w:val="657CDBCE"/>
    <w:rsid w:val="657F5EB7"/>
    <w:rsid w:val="6585066D"/>
    <w:rsid w:val="658F17BB"/>
    <w:rsid w:val="65946867"/>
    <w:rsid w:val="65C13382"/>
    <w:rsid w:val="65C59E7C"/>
    <w:rsid w:val="65C945BD"/>
    <w:rsid w:val="65D7AEBC"/>
    <w:rsid w:val="65E1F2FD"/>
    <w:rsid w:val="65E5355D"/>
    <w:rsid w:val="65E6F9FC"/>
    <w:rsid w:val="65E9A596"/>
    <w:rsid w:val="6606E637"/>
    <w:rsid w:val="6607C862"/>
    <w:rsid w:val="6614C360"/>
    <w:rsid w:val="6626EB9F"/>
    <w:rsid w:val="663C5394"/>
    <w:rsid w:val="6640CBE2"/>
    <w:rsid w:val="664D40AB"/>
    <w:rsid w:val="66545A39"/>
    <w:rsid w:val="665A9D37"/>
    <w:rsid w:val="6661E494"/>
    <w:rsid w:val="66675F00"/>
    <w:rsid w:val="666AD121"/>
    <w:rsid w:val="66809B8D"/>
    <w:rsid w:val="6689259C"/>
    <w:rsid w:val="668BC4DF"/>
    <w:rsid w:val="668F72A4"/>
    <w:rsid w:val="669B1C16"/>
    <w:rsid w:val="66A23503"/>
    <w:rsid w:val="66AA05F7"/>
    <w:rsid w:val="66B242C7"/>
    <w:rsid w:val="66B682F9"/>
    <w:rsid w:val="66B9BF3E"/>
    <w:rsid w:val="66BC73FA"/>
    <w:rsid w:val="66BE6CAF"/>
    <w:rsid w:val="66CCE707"/>
    <w:rsid w:val="66CDD502"/>
    <w:rsid w:val="66D1B926"/>
    <w:rsid w:val="66D707A5"/>
    <w:rsid w:val="66D78C17"/>
    <w:rsid w:val="66E2D5C9"/>
    <w:rsid w:val="66F630A0"/>
    <w:rsid w:val="66F8DD15"/>
    <w:rsid w:val="66FB7060"/>
    <w:rsid w:val="66FBAD4A"/>
    <w:rsid w:val="67074A51"/>
    <w:rsid w:val="6709F49F"/>
    <w:rsid w:val="6717C185"/>
    <w:rsid w:val="67212A8E"/>
    <w:rsid w:val="67222BBF"/>
    <w:rsid w:val="674354D5"/>
    <w:rsid w:val="67525EE9"/>
    <w:rsid w:val="67540760"/>
    <w:rsid w:val="67556C01"/>
    <w:rsid w:val="675F4A3F"/>
    <w:rsid w:val="676620D4"/>
    <w:rsid w:val="67685357"/>
    <w:rsid w:val="676DB08A"/>
    <w:rsid w:val="676ED7BA"/>
    <w:rsid w:val="67752CA7"/>
    <w:rsid w:val="67810508"/>
    <w:rsid w:val="67841062"/>
    <w:rsid w:val="67844FA3"/>
    <w:rsid w:val="678A45B5"/>
    <w:rsid w:val="678CFBE3"/>
    <w:rsid w:val="6791C3FD"/>
    <w:rsid w:val="6795B64B"/>
    <w:rsid w:val="679A27AB"/>
    <w:rsid w:val="67A18E66"/>
    <w:rsid w:val="67A7E075"/>
    <w:rsid w:val="67A8F085"/>
    <w:rsid w:val="67ACA014"/>
    <w:rsid w:val="67B06761"/>
    <w:rsid w:val="67BAFBA6"/>
    <w:rsid w:val="67BCB170"/>
    <w:rsid w:val="67D78DEE"/>
    <w:rsid w:val="67DB41EA"/>
    <w:rsid w:val="67DE1FDA"/>
    <w:rsid w:val="67E35859"/>
    <w:rsid w:val="67E59271"/>
    <w:rsid w:val="67E995A7"/>
    <w:rsid w:val="67EA0D07"/>
    <w:rsid w:val="67EAAA88"/>
    <w:rsid w:val="67EEB5FB"/>
    <w:rsid w:val="67F368B5"/>
    <w:rsid w:val="67FD6D3F"/>
    <w:rsid w:val="67FFEE25"/>
    <w:rsid w:val="682B944C"/>
    <w:rsid w:val="683C595E"/>
    <w:rsid w:val="6842A4D8"/>
    <w:rsid w:val="684B2D1C"/>
    <w:rsid w:val="6851C59C"/>
    <w:rsid w:val="6853A390"/>
    <w:rsid w:val="6855FDF4"/>
    <w:rsid w:val="68589DCE"/>
    <w:rsid w:val="68649976"/>
    <w:rsid w:val="6867FC97"/>
    <w:rsid w:val="687120E5"/>
    <w:rsid w:val="6873BF0E"/>
    <w:rsid w:val="687812F7"/>
    <w:rsid w:val="6884A510"/>
    <w:rsid w:val="68853AA1"/>
    <w:rsid w:val="6887088B"/>
    <w:rsid w:val="68887283"/>
    <w:rsid w:val="688EDD76"/>
    <w:rsid w:val="689BE60E"/>
    <w:rsid w:val="68B5529B"/>
    <w:rsid w:val="68BB036E"/>
    <w:rsid w:val="68BD1CCE"/>
    <w:rsid w:val="68BEA2B9"/>
    <w:rsid w:val="68C17CD8"/>
    <w:rsid w:val="68CA6CBB"/>
    <w:rsid w:val="68CF849D"/>
    <w:rsid w:val="68D05DE4"/>
    <w:rsid w:val="68E28F23"/>
    <w:rsid w:val="68E2EC9A"/>
    <w:rsid w:val="68ED94E1"/>
    <w:rsid w:val="6902F0EF"/>
    <w:rsid w:val="6904FA20"/>
    <w:rsid w:val="6905EEEA"/>
    <w:rsid w:val="691B1F23"/>
    <w:rsid w:val="6928332B"/>
    <w:rsid w:val="6932A280"/>
    <w:rsid w:val="69366D4F"/>
    <w:rsid w:val="693D2052"/>
    <w:rsid w:val="69460F57"/>
    <w:rsid w:val="694A54B8"/>
    <w:rsid w:val="695665E9"/>
    <w:rsid w:val="69568D24"/>
    <w:rsid w:val="69576F63"/>
    <w:rsid w:val="6960639F"/>
    <w:rsid w:val="6960B045"/>
    <w:rsid w:val="69644F89"/>
    <w:rsid w:val="69652343"/>
    <w:rsid w:val="696A0286"/>
    <w:rsid w:val="696AC7DC"/>
    <w:rsid w:val="69783459"/>
    <w:rsid w:val="697CE56B"/>
    <w:rsid w:val="698134A6"/>
    <w:rsid w:val="69814BBD"/>
    <w:rsid w:val="6986725F"/>
    <w:rsid w:val="6987B5E8"/>
    <w:rsid w:val="698A8C19"/>
    <w:rsid w:val="69960D3F"/>
    <w:rsid w:val="699E5712"/>
    <w:rsid w:val="699E8660"/>
    <w:rsid w:val="69A12859"/>
    <w:rsid w:val="69C3FB7B"/>
    <w:rsid w:val="69D1569E"/>
    <w:rsid w:val="69D4EA9F"/>
    <w:rsid w:val="69D6906D"/>
    <w:rsid w:val="69F3B69B"/>
    <w:rsid w:val="69FAEB4D"/>
    <w:rsid w:val="69FFF5FB"/>
    <w:rsid w:val="6A05BBDE"/>
    <w:rsid w:val="6A073B55"/>
    <w:rsid w:val="6A0970CD"/>
    <w:rsid w:val="6A0D3B7F"/>
    <w:rsid w:val="6A0D742F"/>
    <w:rsid w:val="6A1716B0"/>
    <w:rsid w:val="6A2673C2"/>
    <w:rsid w:val="6A2A9E7E"/>
    <w:rsid w:val="6A4112DD"/>
    <w:rsid w:val="6A4A29AB"/>
    <w:rsid w:val="6A56320D"/>
    <w:rsid w:val="6A580979"/>
    <w:rsid w:val="6A58FFBC"/>
    <w:rsid w:val="6A6F8C16"/>
    <w:rsid w:val="6A7227ED"/>
    <w:rsid w:val="6A76C2BD"/>
    <w:rsid w:val="6A797FA2"/>
    <w:rsid w:val="6A7C3135"/>
    <w:rsid w:val="6A864661"/>
    <w:rsid w:val="6A86AB22"/>
    <w:rsid w:val="6A893CDA"/>
    <w:rsid w:val="6A8FB2A3"/>
    <w:rsid w:val="6A90E39C"/>
    <w:rsid w:val="6A93CD01"/>
    <w:rsid w:val="6A94EEBE"/>
    <w:rsid w:val="6A9CD8B7"/>
    <w:rsid w:val="6A9DEAF9"/>
    <w:rsid w:val="6AA6AC7E"/>
    <w:rsid w:val="6AAA216D"/>
    <w:rsid w:val="6AB0E5D6"/>
    <w:rsid w:val="6AB702D8"/>
    <w:rsid w:val="6ABCF458"/>
    <w:rsid w:val="6AC5517B"/>
    <w:rsid w:val="6ACBBB01"/>
    <w:rsid w:val="6ACE82D8"/>
    <w:rsid w:val="6ADC42D7"/>
    <w:rsid w:val="6AE07560"/>
    <w:rsid w:val="6AF3CCA7"/>
    <w:rsid w:val="6AF6AF50"/>
    <w:rsid w:val="6AF70D10"/>
    <w:rsid w:val="6B0A612D"/>
    <w:rsid w:val="6B0D6330"/>
    <w:rsid w:val="6B1117AC"/>
    <w:rsid w:val="6B3A62F2"/>
    <w:rsid w:val="6B3E7D86"/>
    <w:rsid w:val="6B3F819E"/>
    <w:rsid w:val="6B42800E"/>
    <w:rsid w:val="6B48ED59"/>
    <w:rsid w:val="6B4AB5CC"/>
    <w:rsid w:val="6B64097D"/>
    <w:rsid w:val="6B737E49"/>
    <w:rsid w:val="6B74791B"/>
    <w:rsid w:val="6B771DBB"/>
    <w:rsid w:val="6B77CFF6"/>
    <w:rsid w:val="6B7D2FE0"/>
    <w:rsid w:val="6B7E9ECB"/>
    <w:rsid w:val="6B89FA5C"/>
    <w:rsid w:val="6B97AD7B"/>
    <w:rsid w:val="6BA9EDA6"/>
    <w:rsid w:val="6BAA78D0"/>
    <w:rsid w:val="6BB069B3"/>
    <w:rsid w:val="6BB23E4F"/>
    <w:rsid w:val="6BB6D262"/>
    <w:rsid w:val="6BB857E2"/>
    <w:rsid w:val="6BBA552F"/>
    <w:rsid w:val="6BBA9A96"/>
    <w:rsid w:val="6BBD55E4"/>
    <w:rsid w:val="6BC628EE"/>
    <w:rsid w:val="6BD73E37"/>
    <w:rsid w:val="6BD8B4B9"/>
    <w:rsid w:val="6BDD0A59"/>
    <w:rsid w:val="6BF267C2"/>
    <w:rsid w:val="6BFDBB01"/>
    <w:rsid w:val="6C01F93C"/>
    <w:rsid w:val="6C0D4F97"/>
    <w:rsid w:val="6C1112A0"/>
    <w:rsid w:val="6C13FE1B"/>
    <w:rsid w:val="6C14336E"/>
    <w:rsid w:val="6C165041"/>
    <w:rsid w:val="6C2B3F15"/>
    <w:rsid w:val="6C324E41"/>
    <w:rsid w:val="6C327D8B"/>
    <w:rsid w:val="6C41F33F"/>
    <w:rsid w:val="6C44E842"/>
    <w:rsid w:val="6C4D04EA"/>
    <w:rsid w:val="6C771D82"/>
    <w:rsid w:val="6C7E4830"/>
    <w:rsid w:val="6C80612F"/>
    <w:rsid w:val="6C819C79"/>
    <w:rsid w:val="6C85ADA1"/>
    <w:rsid w:val="6C9F6E0D"/>
    <w:rsid w:val="6CA2A425"/>
    <w:rsid w:val="6CAD664E"/>
    <w:rsid w:val="6CAF934A"/>
    <w:rsid w:val="6CBA6BF7"/>
    <w:rsid w:val="6CC4C8BC"/>
    <w:rsid w:val="6CD5F6E7"/>
    <w:rsid w:val="6CD96EFC"/>
    <w:rsid w:val="6CDE45A0"/>
    <w:rsid w:val="6CE072DA"/>
    <w:rsid w:val="6CE32A88"/>
    <w:rsid w:val="6CE376CF"/>
    <w:rsid w:val="6CE752BA"/>
    <w:rsid w:val="6CEB7DAB"/>
    <w:rsid w:val="6CF15936"/>
    <w:rsid w:val="6CF5C664"/>
    <w:rsid w:val="6CF84061"/>
    <w:rsid w:val="6D0EF8E9"/>
    <w:rsid w:val="6D111EB8"/>
    <w:rsid w:val="6D19FFCD"/>
    <w:rsid w:val="6D1BD722"/>
    <w:rsid w:val="6D287C58"/>
    <w:rsid w:val="6D2A22A3"/>
    <w:rsid w:val="6D327CDF"/>
    <w:rsid w:val="6D3BC29B"/>
    <w:rsid w:val="6D3D9834"/>
    <w:rsid w:val="6D444F44"/>
    <w:rsid w:val="6D4B8834"/>
    <w:rsid w:val="6D4EE091"/>
    <w:rsid w:val="6D547D3E"/>
    <w:rsid w:val="6D57DBDC"/>
    <w:rsid w:val="6D598B97"/>
    <w:rsid w:val="6D5C112F"/>
    <w:rsid w:val="6D5F8711"/>
    <w:rsid w:val="6D698F62"/>
    <w:rsid w:val="6D6A4DDC"/>
    <w:rsid w:val="6D6F7F19"/>
    <w:rsid w:val="6D769398"/>
    <w:rsid w:val="6D787B1B"/>
    <w:rsid w:val="6D8710A9"/>
    <w:rsid w:val="6D8C871F"/>
    <w:rsid w:val="6D8F2408"/>
    <w:rsid w:val="6D9086E8"/>
    <w:rsid w:val="6D95F885"/>
    <w:rsid w:val="6D9CC219"/>
    <w:rsid w:val="6DA8459B"/>
    <w:rsid w:val="6DAA3034"/>
    <w:rsid w:val="6DAB9873"/>
    <w:rsid w:val="6DAC60A2"/>
    <w:rsid w:val="6DB5199A"/>
    <w:rsid w:val="6DB87B77"/>
    <w:rsid w:val="6DC02D69"/>
    <w:rsid w:val="6DC661FF"/>
    <w:rsid w:val="6DD34BA5"/>
    <w:rsid w:val="6DD4EF79"/>
    <w:rsid w:val="6DE067EB"/>
    <w:rsid w:val="6DE952D3"/>
    <w:rsid w:val="6DEDBAD7"/>
    <w:rsid w:val="6DEF2462"/>
    <w:rsid w:val="6DF2D31A"/>
    <w:rsid w:val="6DFBBC01"/>
    <w:rsid w:val="6DFC7430"/>
    <w:rsid w:val="6E046DF0"/>
    <w:rsid w:val="6E05775C"/>
    <w:rsid w:val="6E11A9D1"/>
    <w:rsid w:val="6E1DB78B"/>
    <w:rsid w:val="6E290E2E"/>
    <w:rsid w:val="6E33D8E1"/>
    <w:rsid w:val="6E3C8261"/>
    <w:rsid w:val="6E3CFA20"/>
    <w:rsid w:val="6E3D4E5F"/>
    <w:rsid w:val="6E4BF65A"/>
    <w:rsid w:val="6E54F85A"/>
    <w:rsid w:val="6E58884E"/>
    <w:rsid w:val="6E5B380B"/>
    <w:rsid w:val="6E61CAC7"/>
    <w:rsid w:val="6E63A9BA"/>
    <w:rsid w:val="6E67EE80"/>
    <w:rsid w:val="6E689E0D"/>
    <w:rsid w:val="6E753FF3"/>
    <w:rsid w:val="6E75B332"/>
    <w:rsid w:val="6E777C48"/>
    <w:rsid w:val="6E7ECA4D"/>
    <w:rsid w:val="6E80E203"/>
    <w:rsid w:val="6E8B46D2"/>
    <w:rsid w:val="6E8C605A"/>
    <w:rsid w:val="6E943D1B"/>
    <w:rsid w:val="6E988984"/>
    <w:rsid w:val="6E9AF2F4"/>
    <w:rsid w:val="6EA39777"/>
    <w:rsid w:val="6EA67390"/>
    <w:rsid w:val="6EB15EB9"/>
    <w:rsid w:val="6EB2DB97"/>
    <w:rsid w:val="6EC787CF"/>
    <w:rsid w:val="6ED709A4"/>
    <w:rsid w:val="6EDCA401"/>
    <w:rsid w:val="6EE55219"/>
    <w:rsid w:val="6EE6C2F4"/>
    <w:rsid w:val="6EEA6206"/>
    <w:rsid w:val="6EEB3466"/>
    <w:rsid w:val="6EFE0210"/>
    <w:rsid w:val="6F00DDDC"/>
    <w:rsid w:val="6F04445C"/>
    <w:rsid w:val="6F08F83A"/>
    <w:rsid w:val="6F0C436A"/>
    <w:rsid w:val="6F0F6BC9"/>
    <w:rsid w:val="6F143F51"/>
    <w:rsid w:val="6F171F30"/>
    <w:rsid w:val="6F1E5F51"/>
    <w:rsid w:val="6F251F5F"/>
    <w:rsid w:val="6F26AB78"/>
    <w:rsid w:val="6F3EE967"/>
    <w:rsid w:val="6F588A27"/>
    <w:rsid w:val="6F6CA353"/>
    <w:rsid w:val="6F7268EA"/>
    <w:rsid w:val="6F76506E"/>
    <w:rsid w:val="6F7933AD"/>
    <w:rsid w:val="6F7A2969"/>
    <w:rsid w:val="6F85C0B8"/>
    <w:rsid w:val="6F87C247"/>
    <w:rsid w:val="6F8B8B6F"/>
    <w:rsid w:val="6F8F406E"/>
    <w:rsid w:val="6F96B351"/>
    <w:rsid w:val="6FA228D4"/>
    <w:rsid w:val="6FAB24FE"/>
    <w:rsid w:val="6FB3F213"/>
    <w:rsid w:val="6FBB9CD9"/>
    <w:rsid w:val="6FCBBAEB"/>
    <w:rsid w:val="6FD076AA"/>
    <w:rsid w:val="6FD64422"/>
    <w:rsid w:val="6FD73B0C"/>
    <w:rsid w:val="6FE2A059"/>
    <w:rsid w:val="6FE8BF32"/>
    <w:rsid w:val="6FECA9D7"/>
    <w:rsid w:val="6FF40262"/>
    <w:rsid w:val="6FF993A2"/>
    <w:rsid w:val="6FFAF619"/>
    <w:rsid w:val="700508A6"/>
    <w:rsid w:val="700D8C1A"/>
    <w:rsid w:val="701325E4"/>
    <w:rsid w:val="7015E725"/>
    <w:rsid w:val="7029B71B"/>
    <w:rsid w:val="7029FD44"/>
    <w:rsid w:val="702AAF4B"/>
    <w:rsid w:val="704223E9"/>
    <w:rsid w:val="7042B2C4"/>
    <w:rsid w:val="70436D88"/>
    <w:rsid w:val="70437359"/>
    <w:rsid w:val="7044115B"/>
    <w:rsid w:val="7044526A"/>
    <w:rsid w:val="7049CAF3"/>
    <w:rsid w:val="704A89D9"/>
    <w:rsid w:val="704B8074"/>
    <w:rsid w:val="704C5137"/>
    <w:rsid w:val="70527FF4"/>
    <w:rsid w:val="70556BE6"/>
    <w:rsid w:val="705D7658"/>
    <w:rsid w:val="7075428D"/>
    <w:rsid w:val="7077A0A9"/>
    <w:rsid w:val="7079160E"/>
    <w:rsid w:val="707D89C9"/>
    <w:rsid w:val="707EDDE7"/>
    <w:rsid w:val="7081784D"/>
    <w:rsid w:val="7081B942"/>
    <w:rsid w:val="708381DB"/>
    <w:rsid w:val="708A16B3"/>
    <w:rsid w:val="70912EF0"/>
    <w:rsid w:val="7093D089"/>
    <w:rsid w:val="70973F11"/>
    <w:rsid w:val="70B1F7C5"/>
    <w:rsid w:val="70C8E4A8"/>
    <w:rsid w:val="70D835E1"/>
    <w:rsid w:val="70DA41A2"/>
    <w:rsid w:val="70DA4E77"/>
    <w:rsid w:val="70E96CAA"/>
    <w:rsid w:val="70EB8CB1"/>
    <w:rsid w:val="70EBFD0B"/>
    <w:rsid w:val="70F93ABA"/>
    <w:rsid w:val="710FDB05"/>
    <w:rsid w:val="7113BFA0"/>
    <w:rsid w:val="711A0811"/>
    <w:rsid w:val="7121C8C9"/>
    <w:rsid w:val="71227564"/>
    <w:rsid w:val="7126A4BA"/>
    <w:rsid w:val="71274CB5"/>
    <w:rsid w:val="71359C38"/>
    <w:rsid w:val="714264A1"/>
    <w:rsid w:val="71445A95"/>
    <w:rsid w:val="714B7A8E"/>
    <w:rsid w:val="715A86CC"/>
    <w:rsid w:val="7166106E"/>
    <w:rsid w:val="7176BB40"/>
    <w:rsid w:val="7176FAAB"/>
    <w:rsid w:val="717AE0A1"/>
    <w:rsid w:val="717BCAC6"/>
    <w:rsid w:val="717D982C"/>
    <w:rsid w:val="717ECED6"/>
    <w:rsid w:val="71860ACE"/>
    <w:rsid w:val="718A00D4"/>
    <w:rsid w:val="718A0B9D"/>
    <w:rsid w:val="7199B2DE"/>
    <w:rsid w:val="71A1339C"/>
    <w:rsid w:val="71AB9342"/>
    <w:rsid w:val="71ACFEB9"/>
    <w:rsid w:val="71AE9093"/>
    <w:rsid w:val="71B38292"/>
    <w:rsid w:val="71B56886"/>
    <w:rsid w:val="71BB1F35"/>
    <w:rsid w:val="71CBF0B5"/>
    <w:rsid w:val="71CCA688"/>
    <w:rsid w:val="71CF189C"/>
    <w:rsid w:val="71D4F8B3"/>
    <w:rsid w:val="71D8CEEA"/>
    <w:rsid w:val="71DAD05F"/>
    <w:rsid w:val="71EA42C0"/>
    <w:rsid w:val="71ED5718"/>
    <w:rsid w:val="71EE2820"/>
    <w:rsid w:val="71EE999A"/>
    <w:rsid w:val="71F038B1"/>
    <w:rsid w:val="71F760BB"/>
    <w:rsid w:val="7203C583"/>
    <w:rsid w:val="720B1E98"/>
    <w:rsid w:val="7210BE75"/>
    <w:rsid w:val="7214AE57"/>
    <w:rsid w:val="721B542C"/>
    <w:rsid w:val="721D6FDB"/>
    <w:rsid w:val="7225A3FE"/>
    <w:rsid w:val="7227B10A"/>
    <w:rsid w:val="7254EC42"/>
    <w:rsid w:val="726D295C"/>
    <w:rsid w:val="72702831"/>
    <w:rsid w:val="7298F7B2"/>
    <w:rsid w:val="7299A850"/>
    <w:rsid w:val="72A05F88"/>
    <w:rsid w:val="72C03E39"/>
    <w:rsid w:val="72C32108"/>
    <w:rsid w:val="72CE9FDD"/>
    <w:rsid w:val="72D18F55"/>
    <w:rsid w:val="72D76294"/>
    <w:rsid w:val="72E0D0D6"/>
    <w:rsid w:val="72E15E1A"/>
    <w:rsid w:val="72E7B113"/>
    <w:rsid w:val="72F790F1"/>
    <w:rsid w:val="72FB48D3"/>
    <w:rsid w:val="730A7F73"/>
    <w:rsid w:val="730CF3BC"/>
    <w:rsid w:val="731CFE28"/>
    <w:rsid w:val="73394980"/>
    <w:rsid w:val="733CA77F"/>
    <w:rsid w:val="733DEAB3"/>
    <w:rsid w:val="73450104"/>
    <w:rsid w:val="734CD3DD"/>
    <w:rsid w:val="734D7FE1"/>
    <w:rsid w:val="734E3628"/>
    <w:rsid w:val="7350B70C"/>
    <w:rsid w:val="73686A62"/>
    <w:rsid w:val="73722D24"/>
    <w:rsid w:val="737D1FBB"/>
    <w:rsid w:val="7385B9BC"/>
    <w:rsid w:val="73874EFA"/>
    <w:rsid w:val="738F7004"/>
    <w:rsid w:val="739F9E07"/>
    <w:rsid w:val="73AF337D"/>
    <w:rsid w:val="73B79CDA"/>
    <w:rsid w:val="73BCEBBF"/>
    <w:rsid w:val="73CB5246"/>
    <w:rsid w:val="73CE2E05"/>
    <w:rsid w:val="73D52FAD"/>
    <w:rsid w:val="73DD718C"/>
    <w:rsid w:val="73E6AD38"/>
    <w:rsid w:val="73E77F69"/>
    <w:rsid w:val="73EBF356"/>
    <w:rsid w:val="73F239B5"/>
    <w:rsid w:val="73F6428A"/>
    <w:rsid w:val="73FDBD27"/>
    <w:rsid w:val="74075523"/>
    <w:rsid w:val="74084557"/>
    <w:rsid w:val="740D6CE7"/>
    <w:rsid w:val="740E482A"/>
    <w:rsid w:val="740EE887"/>
    <w:rsid w:val="74113B29"/>
    <w:rsid w:val="74178684"/>
    <w:rsid w:val="741DB20D"/>
    <w:rsid w:val="7424E9E7"/>
    <w:rsid w:val="742757FA"/>
    <w:rsid w:val="74299D9E"/>
    <w:rsid w:val="7429ADA4"/>
    <w:rsid w:val="742B17DD"/>
    <w:rsid w:val="743496A7"/>
    <w:rsid w:val="7438B0E3"/>
    <w:rsid w:val="743F1150"/>
    <w:rsid w:val="7444930B"/>
    <w:rsid w:val="744BA5BA"/>
    <w:rsid w:val="745129DC"/>
    <w:rsid w:val="7458D6B9"/>
    <w:rsid w:val="745D73CE"/>
    <w:rsid w:val="7461D439"/>
    <w:rsid w:val="7468E2F1"/>
    <w:rsid w:val="746EED68"/>
    <w:rsid w:val="7481CC9C"/>
    <w:rsid w:val="74837E8B"/>
    <w:rsid w:val="74865F4A"/>
    <w:rsid w:val="7486D498"/>
    <w:rsid w:val="748A8DFC"/>
    <w:rsid w:val="748FFB96"/>
    <w:rsid w:val="74961772"/>
    <w:rsid w:val="74984D12"/>
    <w:rsid w:val="749B650A"/>
    <w:rsid w:val="749D6F6F"/>
    <w:rsid w:val="749D79F6"/>
    <w:rsid w:val="74A2D168"/>
    <w:rsid w:val="74A67F1A"/>
    <w:rsid w:val="74A69B06"/>
    <w:rsid w:val="74A76175"/>
    <w:rsid w:val="74BFD328"/>
    <w:rsid w:val="74C5BABE"/>
    <w:rsid w:val="74C94D20"/>
    <w:rsid w:val="74E2F21F"/>
    <w:rsid w:val="74E4C1C1"/>
    <w:rsid w:val="74EC97DF"/>
    <w:rsid w:val="74F88C59"/>
    <w:rsid w:val="74F90151"/>
    <w:rsid w:val="74F9F552"/>
    <w:rsid w:val="750544E4"/>
    <w:rsid w:val="750A3DC9"/>
    <w:rsid w:val="750D773D"/>
    <w:rsid w:val="751230AF"/>
    <w:rsid w:val="7518CBDB"/>
    <w:rsid w:val="7523BC29"/>
    <w:rsid w:val="75308452"/>
    <w:rsid w:val="7532B714"/>
    <w:rsid w:val="753495F9"/>
    <w:rsid w:val="75361525"/>
    <w:rsid w:val="7551C3ED"/>
    <w:rsid w:val="755B765B"/>
    <w:rsid w:val="756039E1"/>
    <w:rsid w:val="756A5267"/>
    <w:rsid w:val="756BEC7A"/>
    <w:rsid w:val="7574262C"/>
    <w:rsid w:val="7579C6C9"/>
    <w:rsid w:val="757DB832"/>
    <w:rsid w:val="757F145E"/>
    <w:rsid w:val="75870BDF"/>
    <w:rsid w:val="75894E7B"/>
    <w:rsid w:val="7593270A"/>
    <w:rsid w:val="75AD4F4C"/>
    <w:rsid w:val="75B1B82D"/>
    <w:rsid w:val="75B1EF47"/>
    <w:rsid w:val="75B74D51"/>
    <w:rsid w:val="75B96CD7"/>
    <w:rsid w:val="75BDE5DF"/>
    <w:rsid w:val="75D26DEE"/>
    <w:rsid w:val="75DA5C28"/>
    <w:rsid w:val="75DC8062"/>
    <w:rsid w:val="75E022A6"/>
    <w:rsid w:val="75E05A24"/>
    <w:rsid w:val="75E3DD82"/>
    <w:rsid w:val="75E519DA"/>
    <w:rsid w:val="75F9F0EC"/>
    <w:rsid w:val="75FC209B"/>
    <w:rsid w:val="760472F1"/>
    <w:rsid w:val="76185AD8"/>
    <w:rsid w:val="761B1C3C"/>
    <w:rsid w:val="762428E2"/>
    <w:rsid w:val="763DFC4D"/>
    <w:rsid w:val="76461751"/>
    <w:rsid w:val="764E2F9A"/>
    <w:rsid w:val="7650D5AA"/>
    <w:rsid w:val="766A6D3F"/>
    <w:rsid w:val="766B1A50"/>
    <w:rsid w:val="766F31A7"/>
    <w:rsid w:val="76836893"/>
    <w:rsid w:val="7688B712"/>
    <w:rsid w:val="7688C57B"/>
    <w:rsid w:val="768A84E7"/>
    <w:rsid w:val="769B277E"/>
    <w:rsid w:val="76A0ACA9"/>
    <w:rsid w:val="76AA3436"/>
    <w:rsid w:val="76AD7B01"/>
    <w:rsid w:val="76B27359"/>
    <w:rsid w:val="76B2F186"/>
    <w:rsid w:val="76BAB0BA"/>
    <w:rsid w:val="76BCB2C3"/>
    <w:rsid w:val="76BE9AE0"/>
    <w:rsid w:val="76C078E4"/>
    <w:rsid w:val="76C120E3"/>
    <w:rsid w:val="76CB5132"/>
    <w:rsid w:val="76DA7FF1"/>
    <w:rsid w:val="76F67082"/>
    <w:rsid w:val="76FC3267"/>
    <w:rsid w:val="77050760"/>
    <w:rsid w:val="7710A0D4"/>
    <w:rsid w:val="77116169"/>
    <w:rsid w:val="77158A69"/>
    <w:rsid w:val="771BE949"/>
    <w:rsid w:val="77242099"/>
    <w:rsid w:val="7724498A"/>
    <w:rsid w:val="77285A27"/>
    <w:rsid w:val="77296A95"/>
    <w:rsid w:val="7732645E"/>
    <w:rsid w:val="7732E4A4"/>
    <w:rsid w:val="773A89B0"/>
    <w:rsid w:val="7740FADB"/>
    <w:rsid w:val="77413584"/>
    <w:rsid w:val="7741447F"/>
    <w:rsid w:val="775C996A"/>
    <w:rsid w:val="7760F8DD"/>
    <w:rsid w:val="7767447E"/>
    <w:rsid w:val="77749799"/>
    <w:rsid w:val="777812BD"/>
    <w:rsid w:val="777D02CC"/>
    <w:rsid w:val="777DF7F5"/>
    <w:rsid w:val="778566DE"/>
    <w:rsid w:val="7786C106"/>
    <w:rsid w:val="77890AEB"/>
    <w:rsid w:val="778B24BA"/>
    <w:rsid w:val="7798E029"/>
    <w:rsid w:val="779BE5A0"/>
    <w:rsid w:val="779C6935"/>
    <w:rsid w:val="779D79F3"/>
    <w:rsid w:val="77A955C5"/>
    <w:rsid w:val="77B4E5EB"/>
    <w:rsid w:val="77BC12B4"/>
    <w:rsid w:val="77D903C6"/>
    <w:rsid w:val="77DB1B2D"/>
    <w:rsid w:val="77E8A951"/>
    <w:rsid w:val="77E97077"/>
    <w:rsid w:val="77EBE034"/>
    <w:rsid w:val="77F273B4"/>
    <w:rsid w:val="780CD2E8"/>
    <w:rsid w:val="780D4654"/>
    <w:rsid w:val="7814602F"/>
    <w:rsid w:val="78160B48"/>
    <w:rsid w:val="7826345A"/>
    <w:rsid w:val="782FC0C0"/>
    <w:rsid w:val="7830FC84"/>
    <w:rsid w:val="7836D064"/>
    <w:rsid w:val="7837A6FF"/>
    <w:rsid w:val="7844050B"/>
    <w:rsid w:val="78440BBF"/>
    <w:rsid w:val="784469FA"/>
    <w:rsid w:val="7844D6D2"/>
    <w:rsid w:val="7847BC58"/>
    <w:rsid w:val="78486729"/>
    <w:rsid w:val="78495910"/>
    <w:rsid w:val="784B1908"/>
    <w:rsid w:val="784CA0A3"/>
    <w:rsid w:val="7851377E"/>
    <w:rsid w:val="785D8034"/>
    <w:rsid w:val="786A1170"/>
    <w:rsid w:val="786F7103"/>
    <w:rsid w:val="78710EB9"/>
    <w:rsid w:val="787BD788"/>
    <w:rsid w:val="787C0BED"/>
    <w:rsid w:val="787D40A6"/>
    <w:rsid w:val="78A38889"/>
    <w:rsid w:val="78AFF41A"/>
    <w:rsid w:val="78B10B56"/>
    <w:rsid w:val="78BD6FF7"/>
    <w:rsid w:val="78C20319"/>
    <w:rsid w:val="78C6E039"/>
    <w:rsid w:val="78CC8FCB"/>
    <w:rsid w:val="78CCB639"/>
    <w:rsid w:val="78D1F089"/>
    <w:rsid w:val="78E277DB"/>
    <w:rsid w:val="78E5F3B1"/>
    <w:rsid w:val="78ECFAE5"/>
    <w:rsid w:val="790D26DC"/>
    <w:rsid w:val="790D38EB"/>
    <w:rsid w:val="791994BD"/>
    <w:rsid w:val="791E180D"/>
    <w:rsid w:val="792142F4"/>
    <w:rsid w:val="7922C157"/>
    <w:rsid w:val="792558D7"/>
    <w:rsid w:val="792688FA"/>
    <w:rsid w:val="794C7882"/>
    <w:rsid w:val="79533368"/>
    <w:rsid w:val="7964C99D"/>
    <w:rsid w:val="79750418"/>
    <w:rsid w:val="79751764"/>
    <w:rsid w:val="7979ADB3"/>
    <w:rsid w:val="79864FAB"/>
    <w:rsid w:val="798FA602"/>
    <w:rsid w:val="799487A3"/>
    <w:rsid w:val="7998F9C4"/>
    <w:rsid w:val="79A720FF"/>
    <w:rsid w:val="79C37EBF"/>
    <w:rsid w:val="79C76ED0"/>
    <w:rsid w:val="79CE7334"/>
    <w:rsid w:val="79D1706E"/>
    <w:rsid w:val="79D27195"/>
    <w:rsid w:val="79D7835D"/>
    <w:rsid w:val="79D915C4"/>
    <w:rsid w:val="79DACF09"/>
    <w:rsid w:val="79E1EC62"/>
    <w:rsid w:val="79E2C758"/>
    <w:rsid w:val="79E5EF41"/>
    <w:rsid w:val="79E94068"/>
    <w:rsid w:val="79EA70D3"/>
    <w:rsid w:val="79EDAFE6"/>
    <w:rsid w:val="79EDB382"/>
    <w:rsid w:val="79F2F65C"/>
    <w:rsid w:val="79F3ABBF"/>
    <w:rsid w:val="79F959FB"/>
    <w:rsid w:val="79FB177A"/>
    <w:rsid w:val="7A025C44"/>
    <w:rsid w:val="7A0CC03D"/>
    <w:rsid w:val="7A105D2D"/>
    <w:rsid w:val="7A197234"/>
    <w:rsid w:val="7A20DFDF"/>
    <w:rsid w:val="7A218A72"/>
    <w:rsid w:val="7A262099"/>
    <w:rsid w:val="7A2872A4"/>
    <w:rsid w:val="7A2E1035"/>
    <w:rsid w:val="7A2F9231"/>
    <w:rsid w:val="7A30691E"/>
    <w:rsid w:val="7A366A85"/>
    <w:rsid w:val="7A42F148"/>
    <w:rsid w:val="7A435ED3"/>
    <w:rsid w:val="7A459B58"/>
    <w:rsid w:val="7A508F28"/>
    <w:rsid w:val="7A50934F"/>
    <w:rsid w:val="7A50E24E"/>
    <w:rsid w:val="7A51C124"/>
    <w:rsid w:val="7A556C8A"/>
    <w:rsid w:val="7A58D8A1"/>
    <w:rsid w:val="7A63A6C5"/>
    <w:rsid w:val="7A6F45F3"/>
    <w:rsid w:val="7A7090D9"/>
    <w:rsid w:val="7A736F03"/>
    <w:rsid w:val="7A7705F2"/>
    <w:rsid w:val="7A7B8E73"/>
    <w:rsid w:val="7A8F3D64"/>
    <w:rsid w:val="7A94BB2C"/>
    <w:rsid w:val="7A9DAD65"/>
    <w:rsid w:val="7AA46332"/>
    <w:rsid w:val="7AB0AEAA"/>
    <w:rsid w:val="7AB1300C"/>
    <w:rsid w:val="7AB5AB69"/>
    <w:rsid w:val="7AB74409"/>
    <w:rsid w:val="7AC03C87"/>
    <w:rsid w:val="7AF0B603"/>
    <w:rsid w:val="7AFE3BEE"/>
    <w:rsid w:val="7B011C0F"/>
    <w:rsid w:val="7B073FE1"/>
    <w:rsid w:val="7B081EF9"/>
    <w:rsid w:val="7B0EBCFB"/>
    <w:rsid w:val="7B0F5AD1"/>
    <w:rsid w:val="7B16650C"/>
    <w:rsid w:val="7B20FF03"/>
    <w:rsid w:val="7B34E6A9"/>
    <w:rsid w:val="7B39178D"/>
    <w:rsid w:val="7B46C8B8"/>
    <w:rsid w:val="7B5DA648"/>
    <w:rsid w:val="7B747BC3"/>
    <w:rsid w:val="7B787707"/>
    <w:rsid w:val="7B87527F"/>
    <w:rsid w:val="7B8AF2F4"/>
    <w:rsid w:val="7B8C5258"/>
    <w:rsid w:val="7B98D365"/>
    <w:rsid w:val="7B9DF900"/>
    <w:rsid w:val="7BA798B3"/>
    <w:rsid w:val="7BAD9DDB"/>
    <w:rsid w:val="7BB3ABAC"/>
    <w:rsid w:val="7BB4D0C4"/>
    <w:rsid w:val="7BB61DDE"/>
    <w:rsid w:val="7BBAC533"/>
    <w:rsid w:val="7BC40C84"/>
    <w:rsid w:val="7BC88377"/>
    <w:rsid w:val="7BCD42D9"/>
    <w:rsid w:val="7BD148D8"/>
    <w:rsid w:val="7BD6C690"/>
    <w:rsid w:val="7BDC23F7"/>
    <w:rsid w:val="7BDFD550"/>
    <w:rsid w:val="7BE6723B"/>
    <w:rsid w:val="7BF6A74D"/>
    <w:rsid w:val="7BF7F7C1"/>
    <w:rsid w:val="7BF877CD"/>
    <w:rsid w:val="7BFF3EA2"/>
    <w:rsid w:val="7C005A2B"/>
    <w:rsid w:val="7C10C437"/>
    <w:rsid w:val="7C119E61"/>
    <w:rsid w:val="7C1407E5"/>
    <w:rsid w:val="7C155774"/>
    <w:rsid w:val="7C1DA3CF"/>
    <w:rsid w:val="7C22C7BB"/>
    <w:rsid w:val="7C43E9E6"/>
    <w:rsid w:val="7C4AB68D"/>
    <w:rsid w:val="7C4D136F"/>
    <w:rsid w:val="7C50EA76"/>
    <w:rsid w:val="7C53A4F0"/>
    <w:rsid w:val="7C574499"/>
    <w:rsid w:val="7C60D15C"/>
    <w:rsid w:val="7C69D500"/>
    <w:rsid w:val="7C7C05C1"/>
    <w:rsid w:val="7C7F6B4A"/>
    <w:rsid w:val="7C831F00"/>
    <w:rsid w:val="7C9AD121"/>
    <w:rsid w:val="7CABAD56"/>
    <w:rsid w:val="7CB1F9A8"/>
    <w:rsid w:val="7CB47CAC"/>
    <w:rsid w:val="7CB98F6A"/>
    <w:rsid w:val="7CC26509"/>
    <w:rsid w:val="7CC628A8"/>
    <w:rsid w:val="7CD8ABBD"/>
    <w:rsid w:val="7CDD3C8B"/>
    <w:rsid w:val="7CDEEC1E"/>
    <w:rsid w:val="7CE0C3C6"/>
    <w:rsid w:val="7CE3834A"/>
    <w:rsid w:val="7CE78CE7"/>
    <w:rsid w:val="7CE7C445"/>
    <w:rsid w:val="7CEC9D2D"/>
    <w:rsid w:val="7CF756EF"/>
    <w:rsid w:val="7CFE140E"/>
    <w:rsid w:val="7D02A9C6"/>
    <w:rsid w:val="7D179E90"/>
    <w:rsid w:val="7D1F1239"/>
    <w:rsid w:val="7D30BBB7"/>
    <w:rsid w:val="7D34CD53"/>
    <w:rsid w:val="7D45A072"/>
    <w:rsid w:val="7D46C44A"/>
    <w:rsid w:val="7D4B67D8"/>
    <w:rsid w:val="7D4CF338"/>
    <w:rsid w:val="7D4FC1B6"/>
    <w:rsid w:val="7D551938"/>
    <w:rsid w:val="7D5B2CCA"/>
    <w:rsid w:val="7D654BEC"/>
    <w:rsid w:val="7D68D828"/>
    <w:rsid w:val="7D6CB1BA"/>
    <w:rsid w:val="7D6D4243"/>
    <w:rsid w:val="7D733E55"/>
    <w:rsid w:val="7D773882"/>
    <w:rsid w:val="7D81B4E8"/>
    <w:rsid w:val="7D88108F"/>
    <w:rsid w:val="7D94B66E"/>
    <w:rsid w:val="7DA32FCB"/>
    <w:rsid w:val="7DAA2965"/>
    <w:rsid w:val="7DB0A99C"/>
    <w:rsid w:val="7DB63AAC"/>
    <w:rsid w:val="7DBB2D5A"/>
    <w:rsid w:val="7DC05D26"/>
    <w:rsid w:val="7DC796FD"/>
    <w:rsid w:val="7DCCDAAE"/>
    <w:rsid w:val="7DCFDEA6"/>
    <w:rsid w:val="7DD51C68"/>
    <w:rsid w:val="7DDD2958"/>
    <w:rsid w:val="7DDF969E"/>
    <w:rsid w:val="7DE2D6F4"/>
    <w:rsid w:val="7DE86AFD"/>
    <w:rsid w:val="7DFCE59B"/>
    <w:rsid w:val="7E04BDF1"/>
    <w:rsid w:val="7E165763"/>
    <w:rsid w:val="7E1F48A5"/>
    <w:rsid w:val="7E276358"/>
    <w:rsid w:val="7E2967E3"/>
    <w:rsid w:val="7E2FDF82"/>
    <w:rsid w:val="7E3300C0"/>
    <w:rsid w:val="7E378BFA"/>
    <w:rsid w:val="7E400F46"/>
    <w:rsid w:val="7E45B44E"/>
    <w:rsid w:val="7E4B0509"/>
    <w:rsid w:val="7E58636D"/>
    <w:rsid w:val="7E674B53"/>
    <w:rsid w:val="7E7068BA"/>
    <w:rsid w:val="7E7BFA2F"/>
    <w:rsid w:val="7E8057B7"/>
    <w:rsid w:val="7E8E889C"/>
    <w:rsid w:val="7E8EA23C"/>
    <w:rsid w:val="7E98F53C"/>
    <w:rsid w:val="7E9A1C3E"/>
    <w:rsid w:val="7EA5A3F1"/>
    <w:rsid w:val="7EAF2E73"/>
    <w:rsid w:val="7EB20DFD"/>
    <w:rsid w:val="7EB70A6F"/>
    <w:rsid w:val="7EBE547B"/>
    <w:rsid w:val="7EBE704B"/>
    <w:rsid w:val="7EC263F2"/>
    <w:rsid w:val="7EC8DFA0"/>
    <w:rsid w:val="7ED6560C"/>
    <w:rsid w:val="7EDA6FCA"/>
    <w:rsid w:val="7EDE6F28"/>
    <w:rsid w:val="7EE318E7"/>
    <w:rsid w:val="7EE93B36"/>
    <w:rsid w:val="7EF16D40"/>
    <w:rsid w:val="7EF2BD51"/>
    <w:rsid w:val="7EF918E7"/>
    <w:rsid w:val="7EF9F39A"/>
    <w:rsid w:val="7F1BE1CA"/>
    <w:rsid w:val="7F22874C"/>
    <w:rsid w:val="7F39036B"/>
    <w:rsid w:val="7F4E283D"/>
    <w:rsid w:val="7F51A1A8"/>
    <w:rsid w:val="7F5F0C10"/>
    <w:rsid w:val="7F69A88D"/>
    <w:rsid w:val="7F6D3F5D"/>
    <w:rsid w:val="7F6E7DEF"/>
    <w:rsid w:val="7F78C67A"/>
    <w:rsid w:val="7F80984A"/>
    <w:rsid w:val="7F8E7C81"/>
    <w:rsid w:val="7F930B5F"/>
    <w:rsid w:val="7F933D71"/>
    <w:rsid w:val="7F9ADD3B"/>
    <w:rsid w:val="7FA7213D"/>
    <w:rsid w:val="7FB3BDBB"/>
    <w:rsid w:val="7FB4BEA1"/>
    <w:rsid w:val="7FB652D8"/>
    <w:rsid w:val="7FBC417D"/>
    <w:rsid w:val="7FC176E9"/>
    <w:rsid w:val="7FD40C96"/>
    <w:rsid w:val="7FD4C751"/>
    <w:rsid w:val="7FDB818D"/>
    <w:rsid w:val="7FDF9B3C"/>
    <w:rsid w:val="7FE5C567"/>
    <w:rsid w:val="7FE80DED"/>
    <w:rsid w:val="7FF8513F"/>
    <w:rsid w:val="7FFFBF1B"/>
  </w:rsids>
  <m:mathPr>
    <m:mathFont m:val="Cambria Math"/>
    <m:brkBin m:val="before"/>
    <m:brkBinSub m:val="--"/>
    <m:smallFrac m:val="0"/>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94D830"/>
  <w15:docId w15:val="{4FDCDD6C-294A-4762-A98E-71425D3E3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CF7"/>
  </w:style>
  <w:style w:type="paragraph" w:styleId="Heading1">
    <w:name w:val="heading 1"/>
    <w:basedOn w:val="Normal"/>
    <w:next w:val="Normal"/>
    <w:link w:val="Heading1Char"/>
    <w:uiPriority w:val="9"/>
    <w:qFormat/>
    <w:rsid w:val="00404CEC"/>
    <w:pPr>
      <w:keepNext/>
      <w:keepLines/>
      <w:numPr>
        <w:numId w:val="8"/>
      </w:numPr>
      <w:tabs>
        <w:tab w:val="clear" w:pos="432"/>
      </w:tab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aliases w:val="HD2"/>
    <w:basedOn w:val="Normal"/>
    <w:next w:val="Normal"/>
    <w:link w:val="Heading2Char"/>
    <w:uiPriority w:val="9"/>
    <w:unhideWhenUsed/>
    <w:qFormat/>
    <w:rsid w:val="00404CEC"/>
    <w:pPr>
      <w:keepNext/>
      <w:keepLines/>
      <w:numPr>
        <w:ilvl w:val="1"/>
        <w:numId w:val="8"/>
      </w:numPr>
      <w:tabs>
        <w:tab w:val="clear" w:pos="648"/>
      </w:tab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404CEC"/>
    <w:pPr>
      <w:keepNext/>
      <w:keepLines/>
      <w:numPr>
        <w:ilvl w:val="2"/>
        <w:numId w:val="8"/>
      </w:numPr>
      <w:tabs>
        <w:tab w:val="clear" w:pos="864"/>
      </w:tab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unhideWhenUsed/>
    <w:qFormat/>
    <w:rsid w:val="00404CEC"/>
    <w:pPr>
      <w:keepNext/>
      <w:keepLines/>
      <w:numPr>
        <w:ilvl w:val="3"/>
        <w:numId w:val="8"/>
      </w:numPr>
      <w:tabs>
        <w:tab w:val="clear" w:pos="1080"/>
      </w:tab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unhideWhenUsed/>
    <w:qFormat/>
    <w:rsid w:val="00404CEC"/>
    <w:pPr>
      <w:keepNext/>
      <w:keepLines/>
      <w:numPr>
        <w:ilvl w:val="4"/>
        <w:numId w:val="8"/>
      </w:numPr>
      <w:tabs>
        <w:tab w:val="clear" w:pos="1296"/>
      </w:tab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unhideWhenUsed/>
    <w:qFormat/>
    <w:rsid w:val="00404CEC"/>
    <w:pPr>
      <w:keepNext/>
      <w:keepLines/>
      <w:numPr>
        <w:ilvl w:val="5"/>
        <w:numId w:val="8"/>
      </w:numPr>
      <w:tabs>
        <w:tab w:val="clear" w:pos="1512"/>
      </w:tab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unhideWhenUsed/>
    <w:qFormat/>
    <w:rsid w:val="00404CEC"/>
    <w:pPr>
      <w:keepNext/>
      <w:keepLines/>
      <w:numPr>
        <w:ilvl w:val="6"/>
        <w:numId w:val="8"/>
      </w:numPr>
      <w:tabs>
        <w:tab w:val="clear" w:pos="1728"/>
      </w:tabs>
      <w:spacing w:before="120" w:after="0"/>
      <w:outlineLvl w:val="6"/>
    </w:pPr>
    <w:rPr>
      <w:i/>
      <w:iCs/>
    </w:rPr>
  </w:style>
  <w:style w:type="paragraph" w:styleId="Heading8">
    <w:name w:val="heading 8"/>
    <w:basedOn w:val="Normal"/>
    <w:next w:val="Normal"/>
    <w:link w:val="Heading8Char"/>
    <w:uiPriority w:val="9"/>
    <w:unhideWhenUsed/>
    <w:qFormat/>
    <w:rsid w:val="00404CEC"/>
    <w:pPr>
      <w:keepNext/>
      <w:keepLines/>
      <w:numPr>
        <w:ilvl w:val="7"/>
        <w:numId w:val="8"/>
      </w:numPr>
      <w:tabs>
        <w:tab w:val="clear" w:pos="1944"/>
      </w:tabs>
      <w:spacing w:before="120" w:after="0"/>
      <w:outlineLvl w:val="7"/>
    </w:pPr>
    <w:rPr>
      <w:b/>
      <w:bCs/>
    </w:rPr>
  </w:style>
  <w:style w:type="paragraph" w:styleId="Heading9">
    <w:name w:val="heading 9"/>
    <w:basedOn w:val="Normal"/>
    <w:next w:val="Normal"/>
    <w:link w:val="Heading9Char"/>
    <w:uiPriority w:val="9"/>
    <w:unhideWhenUsed/>
    <w:qFormat/>
    <w:rsid w:val="00404CEC"/>
    <w:pPr>
      <w:keepNext/>
      <w:keepLines/>
      <w:numPr>
        <w:ilvl w:val="8"/>
        <w:numId w:val="8"/>
      </w:numPr>
      <w:tabs>
        <w:tab w:val="clear" w:pos="2160"/>
      </w:tab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liverableName">
    <w:name w:val="Deliverable Name"/>
    <w:basedOn w:val="Normal"/>
    <w:rsid w:val="006B35DC"/>
    <w:pPr>
      <w:spacing w:before="240" w:after="240" w:line="240" w:lineRule="auto"/>
      <w:jc w:val="right"/>
    </w:pPr>
    <w:rPr>
      <w:rFonts w:ascii="Times New Roman" w:eastAsia="Times New Roman" w:hAnsi="Times New Roman" w:cs="Times New Roman"/>
      <w:color w:val="002776"/>
      <w:sz w:val="48"/>
      <w:szCs w:val="48"/>
    </w:rPr>
  </w:style>
  <w:style w:type="character" w:customStyle="1" w:styleId="Heading1Char">
    <w:name w:val="Heading 1 Char"/>
    <w:basedOn w:val="DefaultParagraphFont"/>
    <w:link w:val="Heading1"/>
    <w:uiPriority w:val="9"/>
    <w:rsid w:val="00404CEC"/>
    <w:rPr>
      <w:rFonts w:asciiTheme="majorHAnsi" w:eastAsiaTheme="majorEastAsia" w:hAnsiTheme="majorHAnsi" w:cstheme="majorBidi"/>
      <w:b/>
      <w:bCs/>
      <w:caps/>
      <w:spacing w:val="4"/>
      <w:sz w:val="28"/>
      <w:szCs w:val="28"/>
    </w:rPr>
  </w:style>
  <w:style w:type="character" w:customStyle="1" w:styleId="Heading2Char">
    <w:name w:val="Heading 2 Char"/>
    <w:aliases w:val="HD2 Char"/>
    <w:basedOn w:val="DefaultParagraphFont"/>
    <w:link w:val="Heading2"/>
    <w:uiPriority w:val="9"/>
    <w:rsid w:val="00404CEC"/>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404CEC"/>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rsid w:val="00404CEC"/>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rsid w:val="00404CEC"/>
    <w:rPr>
      <w:rFonts w:asciiTheme="majorHAnsi" w:eastAsiaTheme="majorEastAsia" w:hAnsiTheme="majorHAnsi" w:cstheme="majorBidi"/>
      <w:b/>
      <w:bCs/>
    </w:rPr>
  </w:style>
  <w:style w:type="character" w:customStyle="1" w:styleId="Heading6Char">
    <w:name w:val="Heading 6 Char"/>
    <w:basedOn w:val="DefaultParagraphFont"/>
    <w:link w:val="Heading6"/>
    <w:uiPriority w:val="9"/>
    <w:rsid w:val="00404CEC"/>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rsid w:val="00404CEC"/>
    <w:rPr>
      <w:i/>
      <w:iCs/>
    </w:rPr>
  </w:style>
  <w:style w:type="character" w:customStyle="1" w:styleId="Heading8Char">
    <w:name w:val="Heading 8 Char"/>
    <w:basedOn w:val="DefaultParagraphFont"/>
    <w:link w:val="Heading8"/>
    <w:uiPriority w:val="9"/>
    <w:rsid w:val="00404CEC"/>
    <w:rPr>
      <w:b/>
      <w:bCs/>
    </w:rPr>
  </w:style>
  <w:style w:type="character" w:customStyle="1" w:styleId="Heading9Char">
    <w:name w:val="Heading 9 Char"/>
    <w:basedOn w:val="DefaultParagraphFont"/>
    <w:link w:val="Heading9"/>
    <w:uiPriority w:val="9"/>
    <w:rsid w:val="00404CEC"/>
    <w:rPr>
      <w:i/>
      <w:iCs/>
    </w:rPr>
  </w:style>
  <w:style w:type="paragraph" w:customStyle="1" w:styleId="Bodycopybold">
    <w:name w:val="Body copy bold"/>
    <w:autoRedefine/>
    <w:rsid w:val="00294523"/>
    <w:pPr>
      <w:spacing w:after="120" w:line="240" w:lineRule="exact"/>
      <w:jc w:val="left"/>
    </w:pPr>
    <w:rPr>
      <w:rFonts w:ascii="Calibri" w:eastAsia="Times" w:hAnsi="Calibri" w:cs="Calibri"/>
      <w:bCs/>
      <w:sz w:val="18"/>
      <w:szCs w:val="18"/>
      <w:lang w:val="en-GB"/>
    </w:rPr>
  </w:style>
  <w:style w:type="character" w:styleId="Hyperlink">
    <w:name w:val="Hyperlink"/>
    <w:basedOn w:val="DefaultParagraphFont"/>
    <w:uiPriority w:val="99"/>
    <w:rsid w:val="006B35DC"/>
    <w:rPr>
      <w:rFonts w:ascii="Arial" w:hAnsi="Arial"/>
      <w:b/>
      <w:color w:val="002776"/>
      <w:sz w:val="20"/>
      <w:u w:val="none"/>
    </w:rPr>
  </w:style>
  <w:style w:type="paragraph" w:styleId="TOC1">
    <w:name w:val="toc 1"/>
    <w:basedOn w:val="Normal"/>
    <w:next w:val="Normal"/>
    <w:autoRedefine/>
    <w:uiPriority w:val="39"/>
    <w:rsid w:val="00083987"/>
    <w:pPr>
      <w:tabs>
        <w:tab w:val="left" w:pos="360"/>
        <w:tab w:val="right" w:leader="dot" w:pos="9360"/>
        <w:tab w:val="right" w:pos="10080"/>
      </w:tabs>
      <w:spacing w:before="120" w:after="0" w:line="240" w:lineRule="auto"/>
    </w:pPr>
    <w:rPr>
      <w:rFonts w:eastAsiaTheme="majorEastAsia" w:cstheme="minorHAnsi"/>
      <w:b/>
      <w:bCs/>
      <w:noProof/>
      <w:lang w:val="en-GB"/>
    </w:rPr>
  </w:style>
  <w:style w:type="paragraph" w:styleId="TOC2">
    <w:name w:val="toc 2"/>
    <w:basedOn w:val="Normal"/>
    <w:next w:val="Normal"/>
    <w:autoRedefine/>
    <w:uiPriority w:val="39"/>
    <w:rsid w:val="0084002F"/>
    <w:pPr>
      <w:tabs>
        <w:tab w:val="left" w:pos="1160"/>
        <w:tab w:val="right" w:leader="dot" w:pos="9360"/>
      </w:tabs>
      <w:spacing w:after="0" w:line="240" w:lineRule="auto"/>
      <w:ind w:left="1160" w:hanging="800"/>
    </w:pPr>
    <w:rPr>
      <w:rFonts w:eastAsia="Times New Roman" w:cstheme="minorHAnsi"/>
      <w:bCs/>
      <w:noProof/>
      <w:color w:val="000000" w:themeColor="text1"/>
    </w:rPr>
  </w:style>
  <w:style w:type="paragraph" w:customStyle="1" w:styleId="Tabletext">
    <w:name w:val="Tabletext"/>
    <w:basedOn w:val="Normal"/>
    <w:autoRedefine/>
    <w:rsid w:val="00323839"/>
    <w:pPr>
      <w:spacing w:after="0" w:line="240" w:lineRule="auto"/>
      <w:jc w:val="left"/>
    </w:pPr>
    <w:rPr>
      <w:rFonts w:ascii="Arial" w:eastAsia="Times New Roman" w:hAnsi="Arial" w:cs="Times New Roman"/>
      <w:sz w:val="18"/>
      <w:szCs w:val="20"/>
    </w:rPr>
  </w:style>
  <w:style w:type="paragraph" w:customStyle="1" w:styleId="Tablehead1">
    <w:name w:val="Tablehead1"/>
    <w:basedOn w:val="Normal"/>
    <w:rsid w:val="006B35DC"/>
    <w:pPr>
      <w:keepNext/>
      <w:spacing w:before="60" w:after="60" w:line="240" w:lineRule="auto"/>
      <w:jc w:val="center"/>
    </w:pPr>
    <w:rPr>
      <w:rFonts w:ascii="Arial Bold" w:eastAsia="Times New Roman" w:hAnsi="Arial Bold" w:cs="Times New Roman"/>
      <w:b/>
      <w:bCs/>
      <w:color w:val="FFFFFF"/>
      <w:sz w:val="18"/>
      <w:szCs w:val="20"/>
    </w:rPr>
  </w:style>
  <w:style w:type="paragraph" w:customStyle="1" w:styleId="DocumentInformation">
    <w:name w:val="Document Information"/>
    <w:link w:val="DocumentInformationChar"/>
    <w:autoRedefine/>
    <w:rsid w:val="00784C9B"/>
    <w:pPr>
      <w:spacing w:before="240" w:after="240" w:line="240" w:lineRule="auto"/>
      <w:jc w:val="center"/>
    </w:pPr>
    <w:rPr>
      <w:rFonts w:eastAsia="Times New Roman" w:cstheme="minorHAnsi"/>
      <w:b/>
      <w:color w:val="002060"/>
      <w:sz w:val="28"/>
      <w:szCs w:val="28"/>
    </w:rPr>
  </w:style>
  <w:style w:type="character" w:customStyle="1" w:styleId="DocumentInformationChar">
    <w:name w:val="Document Information Char"/>
    <w:basedOn w:val="DefaultParagraphFont"/>
    <w:link w:val="DocumentInformation"/>
    <w:rsid w:val="00784C9B"/>
    <w:rPr>
      <w:rFonts w:eastAsia="Times New Roman" w:cstheme="minorHAnsi"/>
      <w:b/>
      <w:color w:val="002060"/>
      <w:sz w:val="28"/>
      <w:szCs w:val="28"/>
    </w:rPr>
  </w:style>
  <w:style w:type="paragraph" w:customStyle="1" w:styleId="Bodycopy">
    <w:name w:val="Body copy"/>
    <w:link w:val="BodycopyChar"/>
    <w:rsid w:val="006B35DC"/>
    <w:pPr>
      <w:spacing w:after="120" w:line="240" w:lineRule="auto"/>
    </w:pPr>
    <w:rPr>
      <w:rFonts w:ascii="Arial" w:eastAsia="Times" w:hAnsi="Arial" w:cs="Times New Roman"/>
      <w:color w:val="000000"/>
      <w:sz w:val="20"/>
      <w:szCs w:val="20"/>
      <w:lang w:val="en-GB"/>
    </w:rPr>
  </w:style>
  <w:style w:type="character" w:customStyle="1" w:styleId="BodycopyChar">
    <w:name w:val="Body copy Char"/>
    <w:basedOn w:val="DefaultParagraphFont"/>
    <w:link w:val="Bodycopy"/>
    <w:rsid w:val="006B35DC"/>
    <w:rPr>
      <w:rFonts w:ascii="Arial" w:eastAsia="Times" w:hAnsi="Arial" w:cs="Times New Roman"/>
      <w:color w:val="000000"/>
      <w:sz w:val="20"/>
      <w:szCs w:val="20"/>
      <w:lang w:val="en-GB"/>
    </w:rPr>
  </w:style>
  <w:style w:type="paragraph" w:styleId="BodyText">
    <w:name w:val="Body Text"/>
    <w:basedOn w:val="Normal"/>
    <w:link w:val="BodyTextChar"/>
    <w:uiPriority w:val="1"/>
    <w:rsid w:val="006B35DC"/>
    <w:pPr>
      <w:spacing w:after="120" w:line="240" w:lineRule="auto"/>
    </w:pPr>
    <w:rPr>
      <w:rFonts w:ascii="Verdana" w:eastAsia="Times New Roman" w:hAnsi="Verdana" w:cs="Times New Roman"/>
      <w:sz w:val="20"/>
      <w:szCs w:val="20"/>
    </w:rPr>
  </w:style>
  <w:style w:type="character" w:customStyle="1" w:styleId="BodyTextChar">
    <w:name w:val="Body Text Char"/>
    <w:basedOn w:val="DefaultParagraphFont"/>
    <w:link w:val="BodyText"/>
    <w:uiPriority w:val="1"/>
    <w:rsid w:val="006B35DC"/>
    <w:rPr>
      <w:rFonts w:ascii="Verdana" w:eastAsia="Times New Roman" w:hAnsi="Verdana" w:cs="Times New Roman"/>
      <w:sz w:val="20"/>
      <w:szCs w:val="20"/>
    </w:rPr>
  </w:style>
  <w:style w:type="paragraph" w:styleId="BodyText2">
    <w:name w:val="Body Text 2"/>
    <w:basedOn w:val="Normal"/>
    <w:link w:val="BodyText2Char"/>
    <w:uiPriority w:val="99"/>
    <w:unhideWhenUsed/>
    <w:rsid w:val="006B35DC"/>
    <w:pPr>
      <w:spacing w:after="120" w:line="480" w:lineRule="auto"/>
    </w:pPr>
    <w:rPr>
      <w:rFonts w:ascii="Arial" w:eastAsia="Times New Roman" w:hAnsi="Arial" w:cs="Times New Roman"/>
      <w:sz w:val="20"/>
      <w:szCs w:val="24"/>
    </w:rPr>
  </w:style>
  <w:style w:type="character" w:customStyle="1" w:styleId="BodyText2Char">
    <w:name w:val="Body Text 2 Char"/>
    <w:basedOn w:val="DefaultParagraphFont"/>
    <w:link w:val="BodyText2"/>
    <w:uiPriority w:val="99"/>
    <w:rsid w:val="006B35DC"/>
    <w:rPr>
      <w:rFonts w:ascii="Arial" w:eastAsia="Times New Roman" w:hAnsi="Arial" w:cs="Times New Roman"/>
      <w:sz w:val="20"/>
      <w:szCs w:val="24"/>
    </w:rPr>
  </w:style>
  <w:style w:type="numbering" w:styleId="111111">
    <w:name w:val="Outline List 2"/>
    <w:basedOn w:val="NoList"/>
    <w:semiHidden/>
    <w:rsid w:val="006B35DC"/>
    <w:pPr>
      <w:numPr>
        <w:numId w:val="3"/>
      </w:numPr>
    </w:pPr>
  </w:style>
  <w:style w:type="paragraph" w:styleId="ListParagraph">
    <w:name w:val="List Paragraph"/>
    <w:aliases w:val="Use Case List Paragraph,Heading2,Body Bullet,List Paragraph1,b1,Bullet for no #'s,Ref,Colorful List - Accent 11,List Paragraph Char Char,lp1,Figure_name,Number_1,new,SGLText List Paragraph,List Paragraph11,List Paragraph2,B1,bu1,Bullet Fo"/>
    <w:basedOn w:val="Normal"/>
    <w:link w:val="ListParagraphChar"/>
    <w:uiPriority w:val="34"/>
    <w:qFormat/>
    <w:rsid w:val="00404CEC"/>
    <w:pPr>
      <w:ind w:left="720"/>
      <w:contextualSpacing/>
    </w:pPr>
  </w:style>
  <w:style w:type="paragraph" w:styleId="NormalWeb">
    <w:name w:val="Normal (Web)"/>
    <w:basedOn w:val="Normal"/>
    <w:uiPriority w:val="99"/>
    <w:rsid w:val="002334DD"/>
    <w:pPr>
      <w:spacing w:after="0" w:line="240" w:lineRule="auto"/>
    </w:pPr>
    <w:rPr>
      <w:rFonts w:ascii="Times New Roman" w:eastAsia="Times New Roman" w:hAnsi="Times New Roman" w:cs="Times New Roman"/>
      <w:sz w:val="24"/>
      <w:szCs w:val="24"/>
    </w:rPr>
  </w:style>
  <w:style w:type="paragraph" w:customStyle="1" w:styleId="paragraph">
    <w:name w:val="paragraph"/>
    <w:basedOn w:val="Normal"/>
    <w:rsid w:val="002334D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2334DD"/>
  </w:style>
  <w:style w:type="character" w:customStyle="1" w:styleId="eop">
    <w:name w:val="eop"/>
    <w:basedOn w:val="DefaultParagraphFont"/>
    <w:rsid w:val="002334DD"/>
  </w:style>
  <w:style w:type="character" w:customStyle="1" w:styleId="ListParagraphChar">
    <w:name w:val="List Paragraph Char"/>
    <w:aliases w:val="Use Case List Paragraph Char,Heading2 Char,Body Bullet Char,List Paragraph1 Char,b1 Char,Bullet for no #'s Char,Ref Char,Colorful List - Accent 11 Char,List Paragraph Char Char Char,lp1 Char,Figure_name Char,Number_1 Char,new Char"/>
    <w:link w:val="ListParagraph"/>
    <w:uiPriority w:val="34"/>
    <w:qFormat/>
    <w:locked/>
    <w:rsid w:val="00404CEC"/>
  </w:style>
  <w:style w:type="character" w:styleId="CommentReference">
    <w:name w:val="annotation reference"/>
    <w:basedOn w:val="DefaultParagraphFont"/>
    <w:uiPriority w:val="99"/>
    <w:semiHidden/>
    <w:unhideWhenUsed/>
    <w:rsid w:val="005D50EF"/>
    <w:rPr>
      <w:sz w:val="16"/>
      <w:szCs w:val="16"/>
    </w:rPr>
  </w:style>
  <w:style w:type="paragraph" w:styleId="CommentText">
    <w:name w:val="annotation text"/>
    <w:basedOn w:val="Normal"/>
    <w:link w:val="CommentTextChar"/>
    <w:uiPriority w:val="99"/>
    <w:unhideWhenUsed/>
    <w:rsid w:val="005D50EF"/>
    <w:pPr>
      <w:spacing w:after="200" w:line="240" w:lineRule="auto"/>
    </w:pPr>
    <w:rPr>
      <w:sz w:val="20"/>
      <w:szCs w:val="20"/>
    </w:rPr>
  </w:style>
  <w:style w:type="character" w:customStyle="1" w:styleId="CommentTextChar">
    <w:name w:val="Comment Text Char"/>
    <w:basedOn w:val="DefaultParagraphFont"/>
    <w:link w:val="CommentText"/>
    <w:uiPriority w:val="99"/>
    <w:rsid w:val="005D50EF"/>
    <w:rPr>
      <w:sz w:val="20"/>
      <w:szCs w:val="20"/>
    </w:rPr>
  </w:style>
  <w:style w:type="table" w:styleId="TableGrid">
    <w:name w:val="Table Grid"/>
    <w:aliases w:val="Standard Deloitte Blue/Blue Table/Tableau"/>
    <w:basedOn w:val="TableNormal"/>
    <w:uiPriority w:val="59"/>
    <w:rsid w:val="005D50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04CEC"/>
    <w:pPr>
      <w:outlineLvl w:val="9"/>
    </w:pPr>
  </w:style>
  <w:style w:type="paragraph" w:styleId="TOC3">
    <w:name w:val="toc 3"/>
    <w:basedOn w:val="Normal"/>
    <w:next w:val="Normal"/>
    <w:autoRedefine/>
    <w:uiPriority w:val="39"/>
    <w:unhideWhenUsed/>
    <w:rsid w:val="00737634"/>
    <w:pPr>
      <w:tabs>
        <w:tab w:val="left" w:pos="1522"/>
        <w:tab w:val="right" w:leader="dot" w:pos="9360"/>
      </w:tabs>
      <w:spacing w:after="0"/>
      <w:ind w:left="1522" w:hanging="1080"/>
    </w:pPr>
    <w:rPr>
      <w:rFonts w:ascii="Calibri" w:hAnsi="Calibri" w:cs="Calibri"/>
    </w:rPr>
  </w:style>
  <w:style w:type="character" w:styleId="BookTitle">
    <w:name w:val="Book Title"/>
    <w:basedOn w:val="DefaultParagraphFont"/>
    <w:uiPriority w:val="33"/>
    <w:qFormat/>
    <w:rsid w:val="00404CEC"/>
    <w:rPr>
      <w:b/>
      <w:bCs/>
      <w:smallCaps/>
      <w:color w:val="auto"/>
    </w:rPr>
  </w:style>
  <w:style w:type="paragraph" w:styleId="Header">
    <w:name w:val="header"/>
    <w:aliases w:val="Appendix"/>
    <w:basedOn w:val="Normal"/>
    <w:link w:val="HeaderChar"/>
    <w:uiPriority w:val="99"/>
    <w:unhideWhenUsed/>
    <w:rsid w:val="005107ED"/>
    <w:pPr>
      <w:tabs>
        <w:tab w:val="center" w:pos="4680"/>
        <w:tab w:val="right" w:pos="9360"/>
      </w:tabs>
      <w:spacing w:after="0" w:line="240" w:lineRule="auto"/>
    </w:pPr>
  </w:style>
  <w:style w:type="character" w:customStyle="1" w:styleId="HeaderChar">
    <w:name w:val="Header Char"/>
    <w:aliases w:val="Appendix Char"/>
    <w:basedOn w:val="DefaultParagraphFont"/>
    <w:link w:val="Header"/>
    <w:uiPriority w:val="99"/>
    <w:rsid w:val="005107ED"/>
  </w:style>
  <w:style w:type="paragraph" w:styleId="Footer">
    <w:name w:val="footer"/>
    <w:basedOn w:val="Normal"/>
    <w:link w:val="FooterChar"/>
    <w:uiPriority w:val="99"/>
    <w:unhideWhenUsed/>
    <w:rsid w:val="005107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07ED"/>
  </w:style>
  <w:style w:type="paragraph" w:customStyle="1" w:styleId="BodyTextCalHEERS">
    <w:name w:val="Body Text_CalHEERS"/>
    <w:link w:val="BodyTextCalHEERSChar"/>
    <w:locked/>
    <w:rsid w:val="00542E9F"/>
    <w:pPr>
      <w:tabs>
        <w:tab w:val="left" w:pos="6480"/>
      </w:tabs>
      <w:spacing w:after="240" w:line="240" w:lineRule="auto"/>
    </w:pPr>
    <w:rPr>
      <w:rFonts w:ascii="Arial" w:eastAsia="Times New Roman" w:hAnsi="Arial" w:cs="Times New Roman"/>
      <w:color w:val="000000"/>
      <w:sz w:val="24"/>
      <w:szCs w:val="24"/>
    </w:rPr>
  </w:style>
  <w:style w:type="paragraph" w:customStyle="1" w:styleId="TableHeadingCalHEERS">
    <w:name w:val="Table Heading_CalHEERS"/>
    <w:next w:val="Normal"/>
    <w:locked/>
    <w:rsid w:val="00542E9F"/>
    <w:pPr>
      <w:keepNext/>
      <w:spacing w:after="0" w:line="240" w:lineRule="auto"/>
    </w:pPr>
    <w:rPr>
      <w:rFonts w:ascii="Arial Narrow" w:eastAsia="Times New Roman" w:hAnsi="Arial Narrow" w:cs="Times New Roman"/>
      <w:b/>
      <w:color w:val="000000"/>
    </w:rPr>
  </w:style>
  <w:style w:type="character" w:customStyle="1" w:styleId="BodyTextCalHEERSChar">
    <w:name w:val="Body Text_CalHEERS Char"/>
    <w:basedOn w:val="DefaultParagraphFont"/>
    <w:link w:val="BodyTextCalHEERS"/>
    <w:rsid w:val="00542E9F"/>
    <w:rPr>
      <w:rFonts w:ascii="Arial" w:eastAsia="Times New Roman" w:hAnsi="Arial" w:cs="Times New Roman"/>
      <w:color w:val="000000"/>
      <w:sz w:val="24"/>
      <w:szCs w:val="24"/>
    </w:rPr>
  </w:style>
  <w:style w:type="paragraph" w:customStyle="1" w:styleId="TableParagraph">
    <w:name w:val="Table Paragraph"/>
    <w:basedOn w:val="Normal"/>
    <w:uiPriority w:val="1"/>
    <w:rsid w:val="008C1AB9"/>
    <w:pPr>
      <w:widowControl w:val="0"/>
      <w:spacing w:after="0" w:line="240" w:lineRule="auto"/>
    </w:pPr>
  </w:style>
  <w:style w:type="paragraph" w:styleId="CommentSubject">
    <w:name w:val="annotation subject"/>
    <w:basedOn w:val="CommentText"/>
    <w:next w:val="CommentText"/>
    <w:link w:val="CommentSubjectChar"/>
    <w:uiPriority w:val="99"/>
    <w:semiHidden/>
    <w:unhideWhenUsed/>
    <w:rsid w:val="008C1AB9"/>
    <w:pPr>
      <w:widowControl w:val="0"/>
      <w:spacing w:after="0"/>
    </w:pPr>
    <w:rPr>
      <w:b/>
      <w:bCs/>
    </w:rPr>
  </w:style>
  <w:style w:type="character" w:customStyle="1" w:styleId="CommentSubjectChar">
    <w:name w:val="Comment Subject Char"/>
    <w:basedOn w:val="CommentTextChar"/>
    <w:link w:val="CommentSubject"/>
    <w:uiPriority w:val="99"/>
    <w:semiHidden/>
    <w:rsid w:val="008C1AB9"/>
    <w:rPr>
      <w:b/>
      <w:bCs/>
      <w:sz w:val="20"/>
      <w:szCs w:val="20"/>
    </w:rPr>
  </w:style>
  <w:style w:type="paragraph" w:styleId="BalloonText">
    <w:name w:val="Balloon Text"/>
    <w:basedOn w:val="Normal"/>
    <w:link w:val="BalloonTextChar"/>
    <w:uiPriority w:val="99"/>
    <w:semiHidden/>
    <w:unhideWhenUsed/>
    <w:rsid w:val="008C1AB9"/>
    <w:pPr>
      <w:widowControl w:val="0"/>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1AB9"/>
    <w:rPr>
      <w:rFonts w:ascii="Segoe UI" w:hAnsi="Segoe UI" w:cs="Segoe UI"/>
      <w:sz w:val="18"/>
      <w:szCs w:val="18"/>
    </w:rPr>
  </w:style>
  <w:style w:type="character" w:styleId="PlaceholderText">
    <w:name w:val="Placeholder Text"/>
    <w:basedOn w:val="DefaultParagraphFont"/>
    <w:uiPriority w:val="99"/>
    <w:semiHidden/>
    <w:rsid w:val="008C1AB9"/>
    <w:rPr>
      <w:color w:val="808080"/>
    </w:rPr>
  </w:style>
  <w:style w:type="paragraph" w:customStyle="1" w:styleId="DocumentControlInformation">
    <w:name w:val="Document Control Information"/>
    <w:autoRedefine/>
    <w:rsid w:val="008C1AB9"/>
    <w:pPr>
      <w:pageBreakBefore/>
      <w:spacing w:after="240" w:line="240" w:lineRule="auto"/>
    </w:pPr>
    <w:rPr>
      <w:rFonts w:ascii="Arial" w:eastAsia="Times New Roman" w:hAnsi="Arial" w:cs="Arial"/>
      <w:b/>
      <w:color w:val="002776"/>
      <w:sz w:val="24"/>
      <w:szCs w:val="24"/>
    </w:rPr>
  </w:style>
  <w:style w:type="paragraph" w:customStyle="1" w:styleId="DocumentIdentification">
    <w:name w:val="Document Identification"/>
    <w:autoRedefine/>
    <w:rsid w:val="008C1AB9"/>
    <w:pPr>
      <w:spacing w:after="120" w:line="280" w:lineRule="exact"/>
    </w:pPr>
    <w:rPr>
      <w:rFonts w:ascii="Arial" w:eastAsia="Times" w:hAnsi="Arial" w:cs="Times New Roman"/>
      <w:bCs/>
      <w:color w:val="000000"/>
      <w:sz w:val="20"/>
      <w:szCs w:val="20"/>
      <w:lang w:val="en-GB"/>
    </w:rPr>
  </w:style>
  <w:style w:type="paragraph" w:customStyle="1" w:styleId="TOC">
    <w:name w:val="TOC"/>
    <w:autoRedefine/>
    <w:rsid w:val="008C1AB9"/>
    <w:pPr>
      <w:spacing w:after="240" w:line="240" w:lineRule="auto"/>
    </w:pPr>
    <w:rPr>
      <w:rFonts w:ascii="Arial" w:eastAsia="Times New Roman" w:hAnsi="Arial" w:cs="Arial"/>
      <w:b/>
      <w:color w:val="002776"/>
      <w:sz w:val="24"/>
      <w:szCs w:val="24"/>
    </w:rPr>
  </w:style>
  <w:style w:type="paragraph" w:customStyle="1" w:styleId="Style1">
    <w:name w:val="Style1"/>
    <w:basedOn w:val="Heading1"/>
    <w:link w:val="Style1Char"/>
    <w:uiPriority w:val="1"/>
    <w:rsid w:val="008C1AB9"/>
    <w:pPr>
      <w:widowControl w:val="0"/>
      <w:numPr>
        <w:numId w:val="3"/>
      </w:numPr>
      <w:tabs>
        <w:tab w:val="left" w:pos="537"/>
      </w:tabs>
      <w:spacing w:before="65" w:after="0"/>
    </w:pPr>
    <w:rPr>
      <w:b w:val="0"/>
      <w:color w:val="FFC000" w:themeColor="accent4"/>
      <w:sz w:val="24"/>
      <w:szCs w:val="24"/>
    </w:rPr>
  </w:style>
  <w:style w:type="paragraph" w:customStyle="1" w:styleId="Style2">
    <w:name w:val="Style2"/>
    <w:basedOn w:val="Heading2"/>
    <w:link w:val="Style2Char"/>
    <w:uiPriority w:val="1"/>
    <w:rsid w:val="008C1AB9"/>
    <w:pPr>
      <w:keepNext w:val="0"/>
      <w:widowControl w:val="0"/>
      <w:tabs>
        <w:tab w:val="left" w:pos="681"/>
      </w:tabs>
      <w:spacing w:before="0"/>
      <w:ind w:left="536" w:hanging="432"/>
    </w:pPr>
    <w:rPr>
      <w:rFonts w:eastAsia="Trebuchet MS"/>
      <w:bCs w:val="0"/>
      <w:color w:val="FFC000" w:themeColor="accent4"/>
    </w:rPr>
  </w:style>
  <w:style w:type="character" w:customStyle="1" w:styleId="Style1Char">
    <w:name w:val="Style1 Char"/>
    <w:basedOn w:val="Heading1Char"/>
    <w:link w:val="Style1"/>
    <w:uiPriority w:val="1"/>
    <w:rsid w:val="008C1AB9"/>
    <w:rPr>
      <w:rFonts w:asciiTheme="majorHAnsi" w:eastAsiaTheme="majorEastAsia" w:hAnsiTheme="majorHAnsi" w:cstheme="majorBidi"/>
      <w:b w:val="0"/>
      <w:bCs/>
      <w:caps/>
      <w:color w:val="FFC000" w:themeColor="accent4"/>
      <w:spacing w:val="4"/>
      <w:sz w:val="24"/>
      <w:szCs w:val="24"/>
    </w:rPr>
  </w:style>
  <w:style w:type="character" w:customStyle="1" w:styleId="Style2Char">
    <w:name w:val="Style2 Char"/>
    <w:basedOn w:val="Heading2Char"/>
    <w:link w:val="Style2"/>
    <w:uiPriority w:val="1"/>
    <w:rsid w:val="008C1AB9"/>
    <w:rPr>
      <w:rFonts w:asciiTheme="majorHAnsi" w:eastAsia="Trebuchet MS" w:hAnsiTheme="majorHAnsi" w:cstheme="majorBidi"/>
      <w:b/>
      <w:bCs w:val="0"/>
      <w:color w:val="FFC000" w:themeColor="accent4"/>
      <w:sz w:val="28"/>
      <w:szCs w:val="28"/>
    </w:rPr>
  </w:style>
  <w:style w:type="paragraph" w:customStyle="1" w:styleId="Copyright">
    <w:name w:val="Copyright"/>
    <w:autoRedefine/>
    <w:rsid w:val="008C1AB9"/>
    <w:pPr>
      <w:autoSpaceDE w:val="0"/>
      <w:autoSpaceDN w:val="0"/>
      <w:adjustRightInd w:val="0"/>
      <w:spacing w:after="120" w:line="276" w:lineRule="auto"/>
      <w:ind w:left="2880"/>
    </w:pPr>
    <w:rPr>
      <w:rFonts w:ascii="Arial" w:eastAsia="Times New Roman" w:hAnsi="Arial" w:cs="Arial"/>
      <w:noProof/>
      <w:color w:val="333333"/>
      <w:sz w:val="16"/>
      <w:szCs w:val="18"/>
    </w:rPr>
  </w:style>
  <w:style w:type="paragraph" w:customStyle="1" w:styleId="CopyrightDeloitteBold">
    <w:name w:val="Copyright Deloitte Bold"/>
    <w:autoRedefine/>
    <w:rsid w:val="008C1AB9"/>
    <w:pPr>
      <w:pageBreakBefore/>
      <w:autoSpaceDE w:val="0"/>
      <w:autoSpaceDN w:val="0"/>
      <w:adjustRightInd w:val="0"/>
      <w:spacing w:before="4800" w:after="0" w:line="276" w:lineRule="auto"/>
      <w:ind w:left="2880"/>
    </w:pPr>
    <w:rPr>
      <w:rFonts w:ascii="Arial" w:eastAsia="Times New Roman" w:hAnsi="Arial" w:cs="Arial"/>
      <w:b/>
      <w:color w:val="333333"/>
      <w:sz w:val="16"/>
      <w:szCs w:val="20"/>
    </w:rPr>
  </w:style>
  <w:style w:type="paragraph" w:customStyle="1" w:styleId="Copyrightsubhead">
    <w:name w:val="Copyright subhead"/>
    <w:basedOn w:val="CopyrightDeloitteBold"/>
    <w:next w:val="Copyright"/>
    <w:rsid w:val="008C1AB9"/>
    <w:pPr>
      <w:pageBreakBefore w:val="0"/>
      <w:spacing w:before="120"/>
    </w:pPr>
    <w:rPr>
      <w:rFonts w:ascii="Arial Bold" w:hAnsi="Arial Bold"/>
    </w:rPr>
  </w:style>
  <w:style w:type="paragraph" w:customStyle="1" w:styleId="StyleToolordeliverablenameCustomColorRGB039118Left">
    <w:name w:val="Style Tool or deliverable name + Custom Color(RGB(039118)) Left:..."/>
    <w:basedOn w:val="Normal"/>
    <w:rsid w:val="008C1AB9"/>
    <w:pPr>
      <w:spacing w:before="360" w:after="0" w:line="240" w:lineRule="auto"/>
      <w:ind w:left="1440"/>
    </w:pPr>
    <w:rPr>
      <w:rFonts w:ascii="Times New Roman" w:eastAsia="Times New Roman" w:hAnsi="Times New Roman" w:cs="Times New Roman"/>
      <w:color w:val="002776"/>
      <w:sz w:val="60"/>
      <w:szCs w:val="20"/>
    </w:rPr>
  </w:style>
  <w:style w:type="paragraph" w:styleId="NoSpacing">
    <w:name w:val="No Spacing"/>
    <w:link w:val="NoSpacingChar"/>
    <w:uiPriority w:val="1"/>
    <w:qFormat/>
    <w:rsid w:val="00404CEC"/>
    <w:pPr>
      <w:spacing w:after="0" w:line="240" w:lineRule="auto"/>
    </w:pPr>
  </w:style>
  <w:style w:type="character" w:customStyle="1" w:styleId="NoSpacingChar">
    <w:name w:val="No Spacing Char"/>
    <w:basedOn w:val="DefaultParagraphFont"/>
    <w:link w:val="NoSpacing"/>
    <w:uiPriority w:val="1"/>
    <w:rsid w:val="00404CEC"/>
  </w:style>
  <w:style w:type="paragraph" w:styleId="Title">
    <w:name w:val="Title"/>
    <w:aliases w:val="Char"/>
    <w:basedOn w:val="Normal"/>
    <w:next w:val="Normal"/>
    <w:link w:val="TitleChar"/>
    <w:uiPriority w:val="10"/>
    <w:qFormat/>
    <w:rsid w:val="00404CEC"/>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aliases w:val="Char Char"/>
    <w:basedOn w:val="DefaultParagraphFont"/>
    <w:link w:val="Title"/>
    <w:uiPriority w:val="10"/>
    <w:rsid w:val="00404CEC"/>
    <w:rPr>
      <w:rFonts w:asciiTheme="majorHAnsi" w:eastAsiaTheme="majorEastAsia" w:hAnsiTheme="majorHAnsi" w:cstheme="majorBidi"/>
      <w:b/>
      <w:bCs/>
      <w:spacing w:val="-7"/>
      <w:sz w:val="48"/>
      <w:szCs w:val="48"/>
    </w:rPr>
  </w:style>
  <w:style w:type="character" w:styleId="Strong">
    <w:name w:val="Strong"/>
    <w:basedOn w:val="DefaultParagraphFont"/>
    <w:uiPriority w:val="22"/>
    <w:qFormat/>
    <w:rsid w:val="00404CEC"/>
    <w:rPr>
      <w:b/>
      <w:bCs/>
      <w:color w:val="auto"/>
    </w:rPr>
  </w:style>
  <w:style w:type="paragraph" w:customStyle="1" w:styleId="Text1">
    <w:name w:val="Text 1"/>
    <w:basedOn w:val="Normal"/>
    <w:link w:val="Text1Char"/>
    <w:rsid w:val="008C1AB9"/>
    <w:pPr>
      <w:spacing w:before="20" w:after="20" w:line="240" w:lineRule="auto"/>
      <w:ind w:left="720"/>
    </w:pPr>
    <w:rPr>
      <w:rFonts w:ascii="Arial" w:eastAsia="SimSun" w:hAnsi="Arial" w:cs="Arial"/>
      <w:sz w:val="20"/>
      <w:szCs w:val="20"/>
      <w:lang w:val="en-GB"/>
    </w:rPr>
  </w:style>
  <w:style w:type="character" w:customStyle="1" w:styleId="Text1Char">
    <w:name w:val="Text 1 Char"/>
    <w:basedOn w:val="DefaultParagraphFont"/>
    <w:link w:val="Text1"/>
    <w:rsid w:val="008C1AB9"/>
    <w:rPr>
      <w:rFonts w:ascii="Arial" w:eastAsia="SimSun" w:hAnsi="Arial" w:cs="Arial"/>
      <w:sz w:val="20"/>
      <w:szCs w:val="20"/>
      <w:lang w:val="en-GB"/>
    </w:rPr>
  </w:style>
  <w:style w:type="character" w:customStyle="1" w:styleId="search-term">
    <w:name w:val="search-term"/>
    <w:basedOn w:val="DefaultParagraphFont"/>
    <w:rsid w:val="008C1AB9"/>
  </w:style>
  <w:style w:type="paragraph" w:customStyle="1" w:styleId="Note">
    <w:name w:val="Note"/>
    <w:basedOn w:val="Normal"/>
    <w:link w:val="NoteChar"/>
    <w:rsid w:val="008C1AB9"/>
    <w:pPr>
      <w:spacing w:before="20" w:after="20" w:line="240" w:lineRule="auto"/>
      <w:ind w:left="1260" w:hanging="540"/>
    </w:pPr>
    <w:rPr>
      <w:rFonts w:ascii="Times New Roman" w:eastAsia="SimSun" w:hAnsi="Times New Roman" w:cs="Times New Roman"/>
      <w:i/>
      <w:sz w:val="20"/>
      <w:szCs w:val="20"/>
      <w:lang w:val="en-GB"/>
    </w:rPr>
  </w:style>
  <w:style w:type="character" w:customStyle="1" w:styleId="NoteChar">
    <w:name w:val="Note Char"/>
    <w:basedOn w:val="DefaultParagraphFont"/>
    <w:link w:val="Note"/>
    <w:rsid w:val="008C1AB9"/>
    <w:rPr>
      <w:rFonts w:ascii="Times New Roman" w:eastAsia="SimSun" w:hAnsi="Times New Roman" w:cs="Times New Roman"/>
      <w:i/>
      <w:sz w:val="20"/>
      <w:szCs w:val="20"/>
      <w:lang w:val="en-GB"/>
    </w:rPr>
  </w:style>
  <w:style w:type="paragraph" w:styleId="Revision">
    <w:name w:val="Revision"/>
    <w:hidden/>
    <w:uiPriority w:val="99"/>
    <w:semiHidden/>
    <w:rsid w:val="008C1AB9"/>
    <w:pPr>
      <w:spacing w:after="0" w:line="240" w:lineRule="auto"/>
    </w:pPr>
  </w:style>
  <w:style w:type="character" w:styleId="UnresolvedMention">
    <w:name w:val="Unresolved Mention"/>
    <w:basedOn w:val="DefaultParagraphFont"/>
    <w:uiPriority w:val="99"/>
    <w:unhideWhenUsed/>
    <w:rsid w:val="007A49E3"/>
    <w:rPr>
      <w:color w:val="605E5C"/>
      <w:shd w:val="clear" w:color="auto" w:fill="E1DFDD"/>
    </w:rPr>
  </w:style>
  <w:style w:type="paragraph" w:styleId="HTMLPreformatted">
    <w:name w:val="HTML Preformatted"/>
    <w:basedOn w:val="Normal"/>
    <w:link w:val="HTMLPreformattedChar"/>
    <w:uiPriority w:val="99"/>
    <w:semiHidden/>
    <w:unhideWhenUsed/>
    <w:rsid w:val="000E27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E279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D2517"/>
    <w:rPr>
      <w:color w:val="954F72" w:themeColor="followedHyperlink"/>
      <w:u w:val="single"/>
    </w:rPr>
  </w:style>
  <w:style w:type="character" w:styleId="Mention">
    <w:name w:val="Mention"/>
    <w:basedOn w:val="DefaultParagraphFont"/>
    <w:uiPriority w:val="99"/>
    <w:unhideWhenUsed/>
    <w:rsid w:val="00252DE7"/>
    <w:rPr>
      <w:color w:val="2B579A"/>
      <w:shd w:val="clear" w:color="auto" w:fill="E1DFDD"/>
    </w:rPr>
  </w:style>
  <w:style w:type="paragraph" w:styleId="EndnoteText">
    <w:name w:val="endnote text"/>
    <w:basedOn w:val="Normal"/>
    <w:link w:val="EndnoteTextChar"/>
    <w:uiPriority w:val="99"/>
    <w:semiHidden/>
    <w:unhideWhenUsed/>
    <w:rsid w:val="00CA5AB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A5AB7"/>
    <w:rPr>
      <w:sz w:val="20"/>
      <w:szCs w:val="20"/>
    </w:rPr>
  </w:style>
  <w:style w:type="character" w:styleId="EndnoteReference">
    <w:name w:val="endnote reference"/>
    <w:basedOn w:val="DefaultParagraphFont"/>
    <w:uiPriority w:val="99"/>
    <w:semiHidden/>
    <w:unhideWhenUsed/>
    <w:rsid w:val="00CA5AB7"/>
    <w:rPr>
      <w:vertAlign w:val="superscript"/>
    </w:rPr>
  </w:style>
  <w:style w:type="paragraph" w:styleId="Caption">
    <w:name w:val="caption"/>
    <w:aliases w:val="Caption Char2,Caption Char1 Char,Caption Char2 Char1 Char,Figure Caption Char Char Char,Caption Char1 Char Char Char,Caption Char Char1 Char Char Char,Caption Char1 Char1 Char Char Char Char,Caption Char Char1 Char1 Char Char Char Char,Ca,xx"/>
    <w:basedOn w:val="Normal"/>
    <w:next w:val="Normal"/>
    <w:link w:val="CaptionChar"/>
    <w:uiPriority w:val="35"/>
    <w:unhideWhenUsed/>
    <w:qFormat/>
    <w:rsid w:val="00404CEC"/>
    <w:rPr>
      <w:b/>
      <w:bCs/>
      <w:sz w:val="18"/>
      <w:szCs w:val="18"/>
    </w:rPr>
  </w:style>
  <w:style w:type="paragraph" w:styleId="Subtitle">
    <w:name w:val="Subtitle"/>
    <w:basedOn w:val="Normal"/>
    <w:next w:val="Normal"/>
    <w:link w:val="SubtitleChar"/>
    <w:uiPriority w:val="11"/>
    <w:qFormat/>
    <w:rsid w:val="00404CEC"/>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04CEC"/>
    <w:rPr>
      <w:rFonts w:asciiTheme="majorHAnsi" w:eastAsiaTheme="majorEastAsia" w:hAnsiTheme="majorHAnsi" w:cstheme="majorBidi"/>
      <w:sz w:val="24"/>
      <w:szCs w:val="24"/>
    </w:rPr>
  </w:style>
  <w:style w:type="character" w:styleId="Emphasis">
    <w:name w:val="Emphasis"/>
    <w:basedOn w:val="DefaultParagraphFont"/>
    <w:uiPriority w:val="20"/>
    <w:qFormat/>
    <w:rsid w:val="00404CEC"/>
    <w:rPr>
      <w:i/>
      <w:iCs/>
      <w:color w:val="auto"/>
    </w:rPr>
  </w:style>
  <w:style w:type="paragraph" w:styleId="Quote">
    <w:name w:val="Quote"/>
    <w:basedOn w:val="Normal"/>
    <w:next w:val="Normal"/>
    <w:link w:val="QuoteChar"/>
    <w:uiPriority w:val="29"/>
    <w:qFormat/>
    <w:rsid w:val="00404CEC"/>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404CEC"/>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404CEC"/>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404CEC"/>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404CEC"/>
    <w:rPr>
      <w:i/>
      <w:iCs/>
      <w:color w:val="auto"/>
    </w:rPr>
  </w:style>
  <w:style w:type="character" w:styleId="IntenseEmphasis">
    <w:name w:val="Intense Emphasis"/>
    <w:basedOn w:val="DefaultParagraphFont"/>
    <w:uiPriority w:val="21"/>
    <w:qFormat/>
    <w:rsid w:val="00404CEC"/>
    <w:rPr>
      <w:b/>
      <w:bCs/>
      <w:i/>
      <w:iCs/>
      <w:color w:val="auto"/>
    </w:rPr>
  </w:style>
  <w:style w:type="character" w:styleId="SubtleReference">
    <w:name w:val="Subtle Reference"/>
    <w:basedOn w:val="DefaultParagraphFont"/>
    <w:uiPriority w:val="31"/>
    <w:qFormat/>
    <w:rsid w:val="00404CEC"/>
    <w:rPr>
      <w:smallCaps/>
      <w:color w:val="auto"/>
      <w:u w:val="single" w:color="7F7F7F" w:themeColor="text1" w:themeTint="80"/>
    </w:rPr>
  </w:style>
  <w:style w:type="character" w:styleId="IntenseReference">
    <w:name w:val="Intense Reference"/>
    <w:basedOn w:val="DefaultParagraphFont"/>
    <w:uiPriority w:val="32"/>
    <w:qFormat/>
    <w:rsid w:val="00404CEC"/>
    <w:rPr>
      <w:b/>
      <w:bCs/>
      <w:smallCaps/>
      <w:color w:val="auto"/>
      <w:u w:val="single"/>
    </w:rPr>
  </w:style>
  <w:style w:type="paragraph" w:styleId="TableofFigures">
    <w:name w:val="table of figures"/>
    <w:basedOn w:val="Normal"/>
    <w:next w:val="Normal"/>
    <w:uiPriority w:val="99"/>
    <w:unhideWhenUsed/>
    <w:rsid w:val="00814AFC"/>
    <w:pPr>
      <w:spacing w:after="0" w:line="264" w:lineRule="auto"/>
      <w:jc w:val="left"/>
    </w:pPr>
    <w:rPr>
      <w:sz w:val="21"/>
      <w:szCs w:val="21"/>
      <w:lang w:val="en-GB"/>
    </w:rPr>
  </w:style>
  <w:style w:type="character" w:customStyle="1" w:styleId="ui-provider">
    <w:name w:val="ui-provider"/>
    <w:basedOn w:val="DefaultParagraphFont"/>
    <w:rsid w:val="007A1106"/>
  </w:style>
  <w:style w:type="table" w:styleId="GridTable1Light">
    <w:name w:val="Grid Table 1 Light"/>
    <w:basedOn w:val="TableNormal"/>
    <w:uiPriority w:val="46"/>
    <w:rsid w:val="0009575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4-Accent1111">
    <w:name w:val="Grid Table 4 - Accent 1111"/>
    <w:basedOn w:val="TableNormal"/>
    <w:uiPriority w:val="49"/>
    <w:rsid w:val="00F2119C"/>
    <w:pPr>
      <w:spacing w:after="0" w:line="240" w:lineRule="auto"/>
      <w:jc w:val="left"/>
    </w:pPr>
    <w:rPr>
      <w:rFonts w:ascii="Calibri" w:eastAsia="Malgun Gothic" w:hAnsi="Calibri" w:cs="Raavi"/>
      <w:sz w:val="24"/>
      <w:szCs w:val="24"/>
      <w:lang w:val="en-IN"/>
    </w:rPr>
    <w:tblPr>
      <w:tblStyleRowBandSize w:val="1"/>
      <w:tblStyleColBandSize w:val="1"/>
      <w:tblInd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TableX1">
    <w:name w:val="Table X1"/>
    <w:basedOn w:val="TableNormal"/>
    <w:next w:val="TableGrid"/>
    <w:uiPriority w:val="59"/>
    <w:rsid w:val="00E86DA7"/>
    <w:pPr>
      <w:spacing w:after="0" w:line="240" w:lineRule="auto"/>
      <w:jc w:val="left"/>
    </w:pPr>
    <w:rPr>
      <w:rFonts w:ascii="Graphik" w:eastAsia="Times New Roman" w:hAnsi="Graphik" w:cs="Arial"/>
      <w:sz w:val="18"/>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tcPr>
      <w:shd w:val="clear" w:color="auto" w:fill="auto"/>
    </w:tcPr>
    <w:tblStylePr w:type="firstRow">
      <w:rPr>
        <w:rFonts w:ascii="Graphik" w:hAnsi="Graphik"/>
        <w:color w:val="FFFFFF"/>
        <w:sz w:val="20"/>
      </w:rPr>
      <w:tblPr/>
      <w:tcPr>
        <w:shd w:val="clear" w:color="auto" w:fill="0070C0"/>
      </w:tcPr>
    </w:tblStylePr>
  </w:style>
  <w:style w:type="character" w:customStyle="1" w:styleId="scxw215128445">
    <w:name w:val="scxw215128445"/>
    <w:basedOn w:val="DefaultParagraphFont"/>
    <w:rsid w:val="006272C4"/>
  </w:style>
  <w:style w:type="table" w:styleId="GridTable4-Accent1">
    <w:name w:val="Grid Table 4 Accent 1"/>
    <w:basedOn w:val="TableNormal"/>
    <w:uiPriority w:val="49"/>
    <w:rsid w:val="00F45D32"/>
    <w:pPr>
      <w:spacing w:after="0" w:line="240" w:lineRule="auto"/>
      <w:jc w:val="left"/>
    </w:pPr>
    <w:rPr>
      <w:sz w:val="24"/>
      <w:szCs w:val="24"/>
      <w:lang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CaptionChar">
    <w:name w:val="Caption Char"/>
    <w:aliases w:val="Caption Char2 Char,Caption Char1 Char Char,Caption Char2 Char1 Char Char,Figure Caption Char Char Char Char,Caption Char1 Char Char Char Char,Caption Char Char1 Char Char Char Char,Caption Char1 Char1 Char Char Char Char Char,Ca Char"/>
    <w:basedOn w:val="DefaultParagraphFont"/>
    <w:link w:val="Caption"/>
    <w:uiPriority w:val="35"/>
    <w:rsid w:val="00F45D32"/>
    <w:rPr>
      <w:b/>
      <w:bCs/>
      <w:sz w:val="18"/>
      <w:szCs w:val="18"/>
    </w:rPr>
  </w:style>
  <w:style w:type="table" w:styleId="TableGridLight">
    <w:name w:val="Grid Table Light"/>
    <w:basedOn w:val="TableNormal"/>
    <w:uiPriority w:val="40"/>
    <w:rsid w:val="00F45D32"/>
    <w:pPr>
      <w:spacing w:after="0" w:line="240" w:lineRule="auto"/>
      <w:jc w:val="left"/>
    </w:pPr>
    <w:rPr>
      <w:rFonts w:eastAsiaTheme="minorHAnsi"/>
      <w:lang w:val="en-I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271">
    <w:name w:val="font271"/>
    <w:basedOn w:val="DefaultParagraphFont"/>
    <w:rsid w:val="004E70DC"/>
    <w:rPr>
      <w:rFonts w:ascii="Arial" w:hAnsi="Arial" w:cs="Arial" w:hint="default"/>
      <w:b w:val="0"/>
      <w:bCs w:val="0"/>
      <w:i w:val="0"/>
      <w:iCs w:val="0"/>
      <w:strike w:val="0"/>
      <w:dstrike w:val="0"/>
      <w:color w:val="000000"/>
      <w:sz w:val="22"/>
      <w:szCs w:val="22"/>
      <w:u w:val="none"/>
      <w:effect w:val="none"/>
    </w:rPr>
  </w:style>
  <w:style w:type="paragraph" w:styleId="TOC4">
    <w:name w:val="toc 4"/>
    <w:basedOn w:val="Normal"/>
    <w:next w:val="Normal"/>
    <w:autoRedefine/>
    <w:uiPriority w:val="39"/>
    <w:unhideWhenUsed/>
    <w:rsid w:val="009D469C"/>
    <w:pPr>
      <w:spacing w:after="100" w:line="278" w:lineRule="auto"/>
      <w:ind w:left="720"/>
      <w:jc w:val="left"/>
    </w:pPr>
    <w:rPr>
      <w:kern w:val="2"/>
      <w:sz w:val="24"/>
      <w:szCs w:val="24"/>
      <w14:ligatures w14:val="standardContextual"/>
    </w:rPr>
  </w:style>
  <w:style w:type="paragraph" w:styleId="TOC5">
    <w:name w:val="toc 5"/>
    <w:basedOn w:val="Normal"/>
    <w:next w:val="Normal"/>
    <w:autoRedefine/>
    <w:uiPriority w:val="39"/>
    <w:unhideWhenUsed/>
    <w:rsid w:val="009D469C"/>
    <w:pPr>
      <w:spacing w:after="100" w:line="278" w:lineRule="auto"/>
      <w:ind w:left="960"/>
      <w:jc w:val="left"/>
    </w:pPr>
    <w:rPr>
      <w:kern w:val="2"/>
      <w:sz w:val="24"/>
      <w:szCs w:val="24"/>
      <w14:ligatures w14:val="standardContextual"/>
    </w:rPr>
  </w:style>
  <w:style w:type="paragraph" w:styleId="TOC6">
    <w:name w:val="toc 6"/>
    <w:basedOn w:val="Normal"/>
    <w:next w:val="Normal"/>
    <w:autoRedefine/>
    <w:uiPriority w:val="39"/>
    <w:unhideWhenUsed/>
    <w:rsid w:val="009D469C"/>
    <w:pPr>
      <w:spacing w:after="100" w:line="278" w:lineRule="auto"/>
      <w:ind w:left="1200"/>
      <w:jc w:val="left"/>
    </w:pPr>
    <w:rPr>
      <w:kern w:val="2"/>
      <w:sz w:val="24"/>
      <w:szCs w:val="24"/>
      <w14:ligatures w14:val="standardContextual"/>
    </w:rPr>
  </w:style>
  <w:style w:type="paragraph" w:styleId="TOC7">
    <w:name w:val="toc 7"/>
    <w:basedOn w:val="Normal"/>
    <w:next w:val="Normal"/>
    <w:autoRedefine/>
    <w:uiPriority w:val="39"/>
    <w:unhideWhenUsed/>
    <w:rsid w:val="009D469C"/>
    <w:pPr>
      <w:spacing w:after="100" w:line="278" w:lineRule="auto"/>
      <w:ind w:left="1440"/>
      <w:jc w:val="left"/>
    </w:pPr>
    <w:rPr>
      <w:kern w:val="2"/>
      <w:sz w:val="24"/>
      <w:szCs w:val="24"/>
      <w14:ligatures w14:val="standardContextual"/>
    </w:rPr>
  </w:style>
  <w:style w:type="paragraph" w:styleId="TOC8">
    <w:name w:val="toc 8"/>
    <w:basedOn w:val="Normal"/>
    <w:next w:val="Normal"/>
    <w:autoRedefine/>
    <w:uiPriority w:val="39"/>
    <w:unhideWhenUsed/>
    <w:rsid w:val="009D469C"/>
    <w:pPr>
      <w:spacing w:after="100" w:line="278" w:lineRule="auto"/>
      <w:ind w:left="1680"/>
      <w:jc w:val="left"/>
    </w:pPr>
    <w:rPr>
      <w:kern w:val="2"/>
      <w:sz w:val="24"/>
      <w:szCs w:val="24"/>
      <w14:ligatures w14:val="standardContextual"/>
    </w:rPr>
  </w:style>
  <w:style w:type="paragraph" w:styleId="TOC9">
    <w:name w:val="toc 9"/>
    <w:basedOn w:val="Normal"/>
    <w:next w:val="Normal"/>
    <w:autoRedefine/>
    <w:uiPriority w:val="39"/>
    <w:unhideWhenUsed/>
    <w:rsid w:val="009D469C"/>
    <w:pPr>
      <w:spacing w:after="100" w:line="278" w:lineRule="auto"/>
      <w:ind w:left="1920"/>
      <w:jc w:val="left"/>
    </w:pPr>
    <w:rPr>
      <w:kern w:val="2"/>
      <w:sz w:val="24"/>
      <w:szCs w:val="24"/>
      <w14:ligatures w14:val="standardContextual"/>
    </w:rPr>
  </w:style>
  <w:style w:type="paragraph" w:customStyle="1" w:styleId="Body-Level2">
    <w:name w:val="Body - Level 2"/>
    <w:basedOn w:val="Normal"/>
    <w:link w:val="Body-Level2Char"/>
    <w:autoRedefine/>
    <w:qFormat/>
    <w:rsid w:val="00CA7AAE"/>
    <w:pPr>
      <w:spacing w:before="120" w:after="240" w:line="240" w:lineRule="auto"/>
    </w:pPr>
    <w:rPr>
      <w:rFonts w:ascii="Arial" w:eastAsia="Times New Roman" w:hAnsi="Arial" w:cstheme="minorHAnsi"/>
      <w:szCs w:val="24"/>
      <w:lang w:val="en-GB"/>
    </w:rPr>
  </w:style>
  <w:style w:type="character" w:customStyle="1" w:styleId="Body-Level2Char">
    <w:name w:val="Body - Level 2 Char"/>
    <w:basedOn w:val="DefaultParagraphFont"/>
    <w:link w:val="Body-Level2"/>
    <w:rsid w:val="00CA7AAE"/>
    <w:rPr>
      <w:rFonts w:ascii="Arial" w:eastAsia="Times New Roman" w:hAnsi="Arial" w:cstheme="minorHAnsi"/>
      <w:szCs w:val="24"/>
      <w:lang w:val="en-GB"/>
    </w:rPr>
  </w:style>
  <w:style w:type="paragraph" w:customStyle="1" w:styleId="pdq2pgselectionanchorcontainer">
    <w:name w:val="pdq2pg_selectionanchorcontainer"/>
    <w:basedOn w:val="Normal"/>
    <w:rsid w:val="00F92E78"/>
    <w:pPr>
      <w:spacing w:before="100" w:beforeAutospacing="1" w:after="100" w:afterAutospacing="1" w:line="240" w:lineRule="auto"/>
      <w:jc w:val="left"/>
    </w:pPr>
    <w:rPr>
      <w:rFonts w:ascii="Times New Roman" w:eastAsia="Times New Roman" w:hAnsi="Times New Roman" w:cs="Times New Roman"/>
      <w:sz w:val="24"/>
      <w:szCs w:val="24"/>
      <w:lang w:val="en-IN" w:eastAsia="en-IN"/>
    </w:rPr>
  </w:style>
  <w:style w:type="numbering" w:customStyle="1" w:styleId="CurrentList1">
    <w:name w:val="Current List1"/>
    <w:uiPriority w:val="99"/>
    <w:rsid w:val="0094039F"/>
    <w:pPr>
      <w:numPr>
        <w:numId w:val="7"/>
      </w:numPr>
    </w:pPr>
  </w:style>
  <w:style w:type="paragraph" w:customStyle="1" w:styleId="CopyrightBold">
    <w:name w:val="Copyright Bold"/>
    <w:autoRedefine/>
    <w:rsid w:val="00ED466B"/>
    <w:pPr>
      <w:pageBreakBefore/>
      <w:autoSpaceDE w:val="0"/>
      <w:autoSpaceDN w:val="0"/>
      <w:adjustRightInd w:val="0"/>
      <w:spacing w:before="4800" w:after="0" w:line="276" w:lineRule="auto"/>
      <w:ind w:left="2880"/>
    </w:pPr>
    <w:rPr>
      <w:rFonts w:ascii="Arial" w:eastAsia="Times New Roman" w:hAnsi="Arial" w:cs="Arial"/>
      <w:b/>
      <w:color w:val="333333"/>
      <w:sz w:val="16"/>
      <w:szCs w:val="20"/>
    </w:rPr>
  </w:style>
  <w:style w:type="paragraph" w:customStyle="1" w:styleId="TableCaption">
    <w:name w:val="Table Caption"/>
    <w:basedOn w:val="Caption"/>
    <w:rsid w:val="00ED466B"/>
    <w:rPr>
      <w:rFonts w:ascii="Calibri" w:hAnsi="Calibri"/>
      <w:sz w:val="20"/>
    </w:rPr>
  </w:style>
  <w:style w:type="paragraph" w:customStyle="1" w:styleId="FigureCaption">
    <w:name w:val="Figure Caption"/>
    <w:basedOn w:val="Caption"/>
    <w:rsid w:val="00ED466B"/>
    <w:rPr>
      <w:rFonts w:ascii="Calibri" w:hAnsi="Calibri"/>
      <w:sz w:val="20"/>
    </w:rPr>
  </w:style>
  <w:style w:type="paragraph" w:styleId="ListBullet">
    <w:name w:val="List Bullet"/>
    <w:basedOn w:val="Normal"/>
    <w:uiPriority w:val="99"/>
    <w:unhideWhenUsed/>
    <w:rsid w:val="006755AC"/>
    <w:pPr>
      <w:numPr>
        <w:numId w:val="9"/>
      </w:numPr>
      <w:tabs>
        <w:tab w:val="clear" w:pos="360"/>
      </w:tabs>
      <w:spacing w:after="200" w:line="276" w:lineRule="auto"/>
      <w:ind w:left="0" w:firstLine="0"/>
      <w:contextualSpacing/>
      <w:jc w:val="left"/>
    </w:pPr>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1753">
      <w:bodyDiv w:val="1"/>
      <w:marLeft w:val="0"/>
      <w:marRight w:val="0"/>
      <w:marTop w:val="0"/>
      <w:marBottom w:val="0"/>
      <w:divBdr>
        <w:top w:val="none" w:sz="0" w:space="0" w:color="auto"/>
        <w:left w:val="none" w:sz="0" w:space="0" w:color="auto"/>
        <w:bottom w:val="none" w:sz="0" w:space="0" w:color="auto"/>
        <w:right w:val="none" w:sz="0" w:space="0" w:color="auto"/>
      </w:divBdr>
    </w:div>
    <w:div w:id="17050011">
      <w:bodyDiv w:val="1"/>
      <w:marLeft w:val="0"/>
      <w:marRight w:val="0"/>
      <w:marTop w:val="0"/>
      <w:marBottom w:val="0"/>
      <w:divBdr>
        <w:top w:val="none" w:sz="0" w:space="0" w:color="auto"/>
        <w:left w:val="none" w:sz="0" w:space="0" w:color="auto"/>
        <w:bottom w:val="none" w:sz="0" w:space="0" w:color="auto"/>
        <w:right w:val="none" w:sz="0" w:space="0" w:color="auto"/>
      </w:divBdr>
    </w:div>
    <w:div w:id="21903731">
      <w:bodyDiv w:val="1"/>
      <w:marLeft w:val="0"/>
      <w:marRight w:val="0"/>
      <w:marTop w:val="0"/>
      <w:marBottom w:val="0"/>
      <w:divBdr>
        <w:top w:val="none" w:sz="0" w:space="0" w:color="auto"/>
        <w:left w:val="none" w:sz="0" w:space="0" w:color="auto"/>
        <w:bottom w:val="none" w:sz="0" w:space="0" w:color="auto"/>
        <w:right w:val="none" w:sz="0" w:space="0" w:color="auto"/>
      </w:divBdr>
    </w:div>
    <w:div w:id="22020629">
      <w:bodyDiv w:val="1"/>
      <w:marLeft w:val="0"/>
      <w:marRight w:val="0"/>
      <w:marTop w:val="0"/>
      <w:marBottom w:val="0"/>
      <w:divBdr>
        <w:top w:val="none" w:sz="0" w:space="0" w:color="auto"/>
        <w:left w:val="none" w:sz="0" w:space="0" w:color="auto"/>
        <w:bottom w:val="none" w:sz="0" w:space="0" w:color="auto"/>
        <w:right w:val="none" w:sz="0" w:space="0" w:color="auto"/>
      </w:divBdr>
    </w:div>
    <w:div w:id="23678564">
      <w:bodyDiv w:val="1"/>
      <w:marLeft w:val="0"/>
      <w:marRight w:val="0"/>
      <w:marTop w:val="0"/>
      <w:marBottom w:val="0"/>
      <w:divBdr>
        <w:top w:val="none" w:sz="0" w:space="0" w:color="auto"/>
        <w:left w:val="none" w:sz="0" w:space="0" w:color="auto"/>
        <w:bottom w:val="none" w:sz="0" w:space="0" w:color="auto"/>
        <w:right w:val="none" w:sz="0" w:space="0" w:color="auto"/>
      </w:divBdr>
    </w:div>
    <w:div w:id="25453527">
      <w:bodyDiv w:val="1"/>
      <w:marLeft w:val="0"/>
      <w:marRight w:val="0"/>
      <w:marTop w:val="0"/>
      <w:marBottom w:val="0"/>
      <w:divBdr>
        <w:top w:val="none" w:sz="0" w:space="0" w:color="auto"/>
        <w:left w:val="none" w:sz="0" w:space="0" w:color="auto"/>
        <w:bottom w:val="none" w:sz="0" w:space="0" w:color="auto"/>
        <w:right w:val="none" w:sz="0" w:space="0" w:color="auto"/>
      </w:divBdr>
    </w:div>
    <w:div w:id="27805174">
      <w:bodyDiv w:val="1"/>
      <w:marLeft w:val="0"/>
      <w:marRight w:val="0"/>
      <w:marTop w:val="0"/>
      <w:marBottom w:val="0"/>
      <w:divBdr>
        <w:top w:val="none" w:sz="0" w:space="0" w:color="auto"/>
        <w:left w:val="none" w:sz="0" w:space="0" w:color="auto"/>
        <w:bottom w:val="none" w:sz="0" w:space="0" w:color="auto"/>
        <w:right w:val="none" w:sz="0" w:space="0" w:color="auto"/>
      </w:divBdr>
    </w:div>
    <w:div w:id="31348795">
      <w:bodyDiv w:val="1"/>
      <w:marLeft w:val="0"/>
      <w:marRight w:val="0"/>
      <w:marTop w:val="0"/>
      <w:marBottom w:val="0"/>
      <w:divBdr>
        <w:top w:val="none" w:sz="0" w:space="0" w:color="auto"/>
        <w:left w:val="none" w:sz="0" w:space="0" w:color="auto"/>
        <w:bottom w:val="none" w:sz="0" w:space="0" w:color="auto"/>
        <w:right w:val="none" w:sz="0" w:space="0" w:color="auto"/>
      </w:divBdr>
    </w:div>
    <w:div w:id="51274167">
      <w:bodyDiv w:val="1"/>
      <w:marLeft w:val="0"/>
      <w:marRight w:val="0"/>
      <w:marTop w:val="0"/>
      <w:marBottom w:val="0"/>
      <w:divBdr>
        <w:top w:val="none" w:sz="0" w:space="0" w:color="auto"/>
        <w:left w:val="none" w:sz="0" w:space="0" w:color="auto"/>
        <w:bottom w:val="none" w:sz="0" w:space="0" w:color="auto"/>
        <w:right w:val="none" w:sz="0" w:space="0" w:color="auto"/>
      </w:divBdr>
    </w:div>
    <w:div w:id="51928704">
      <w:bodyDiv w:val="1"/>
      <w:marLeft w:val="0"/>
      <w:marRight w:val="0"/>
      <w:marTop w:val="0"/>
      <w:marBottom w:val="0"/>
      <w:divBdr>
        <w:top w:val="none" w:sz="0" w:space="0" w:color="auto"/>
        <w:left w:val="none" w:sz="0" w:space="0" w:color="auto"/>
        <w:bottom w:val="none" w:sz="0" w:space="0" w:color="auto"/>
        <w:right w:val="none" w:sz="0" w:space="0" w:color="auto"/>
      </w:divBdr>
    </w:div>
    <w:div w:id="67196599">
      <w:bodyDiv w:val="1"/>
      <w:marLeft w:val="0"/>
      <w:marRight w:val="0"/>
      <w:marTop w:val="0"/>
      <w:marBottom w:val="0"/>
      <w:divBdr>
        <w:top w:val="none" w:sz="0" w:space="0" w:color="auto"/>
        <w:left w:val="none" w:sz="0" w:space="0" w:color="auto"/>
        <w:bottom w:val="none" w:sz="0" w:space="0" w:color="auto"/>
        <w:right w:val="none" w:sz="0" w:space="0" w:color="auto"/>
      </w:divBdr>
    </w:div>
    <w:div w:id="72556056">
      <w:bodyDiv w:val="1"/>
      <w:marLeft w:val="0"/>
      <w:marRight w:val="0"/>
      <w:marTop w:val="0"/>
      <w:marBottom w:val="0"/>
      <w:divBdr>
        <w:top w:val="none" w:sz="0" w:space="0" w:color="auto"/>
        <w:left w:val="none" w:sz="0" w:space="0" w:color="auto"/>
        <w:bottom w:val="none" w:sz="0" w:space="0" w:color="auto"/>
        <w:right w:val="none" w:sz="0" w:space="0" w:color="auto"/>
      </w:divBdr>
    </w:div>
    <w:div w:id="81685579">
      <w:bodyDiv w:val="1"/>
      <w:marLeft w:val="0"/>
      <w:marRight w:val="0"/>
      <w:marTop w:val="0"/>
      <w:marBottom w:val="0"/>
      <w:divBdr>
        <w:top w:val="none" w:sz="0" w:space="0" w:color="auto"/>
        <w:left w:val="none" w:sz="0" w:space="0" w:color="auto"/>
        <w:bottom w:val="none" w:sz="0" w:space="0" w:color="auto"/>
        <w:right w:val="none" w:sz="0" w:space="0" w:color="auto"/>
      </w:divBdr>
    </w:div>
    <w:div w:id="83192025">
      <w:bodyDiv w:val="1"/>
      <w:marLeft w:val="0"/>
      <w:marRight w:val="0"/>
      <w:marTop w:val="0"/>
      <w:marBottom w:val="0"/>
      <w:divBdr>
        <w:top w:val="none" w:sz="0" w:space="0" w:color="auto"/>
        <w:left w:val="none" w:sz="0" w:space="0" w:color="auto"/>
        <w:bottom w:val="none" w:sz="0" w:space="0" w:color="auto"/>
        <w:right w:val="none" w:sz="0" w:space="0" w:color="auto"/>
      </w:divBdr>
    </w:div>
    <w:div w:id="90442082">
      <w:bodyDiv w:val="1"/>
      <w:marLeft w:val="0"/>
      <w:marRight w:val="0"/>
      <w:marTop w:val="0"/>
      <w:marBottom w:val="0"/>
      <w:divBdr>
        <w:top w:val="none" w:sz="0" w:space="0" w:color="auto"/>
        <w:left w:val="none" w:sz="0" w:space="0" w:color="auto"/>
        <w:bottom w:val="none" w:sz="0" w:space="0" w:color="auto"/>
        <w:right w:val="none" w:sz="0" w:space="0" w:color="auto"/>
      </w:divBdr>
      <w:divsChild>
        <w:div w:id="452526340">
          <w:marLeft w:val="0"/>
          <w:marRight w:val="0"/>
          <w:marTop w:val="0"/>
          <w:marBottom w:val="0"/>
          <w:divBdr>
            <w:top w:val="none" w:sz="0" w:space="0" w:color="auto"/>
            <w:left w:val="none" w:sz="0" w:space="0" w:color="auto"/>
            <w:bottom w:val="none" w:sz="0" w:space="0" w:color="auto"/>
            <w:right w:val="none" w:sz="0" w:space="0" w:color="auto"/>
          </w:divBdr>
          <w:divsChild>
            <w:div w:id="51193552">
              <w:marLeft w:val="0"/>
              <w:marRight w:val="0"/>
              <w:marTop w:val="0"/>
              <w:marBottom w:val="0"/>
              <w:divBdr>
                <w:top w:val="none" w:sz="0" w:space="0" w:color="auto"/>
                <w:left w:val="none" w:sz="0" w:space="0" w:color="auto"/>
                <w:bottom w:val="none" w:sz="0" w:space="0" w:color="auto"/>
                <w:right w:val="none" w:sz="0" w:space="0" w:color="auto"/>
              </w:divBdr>
            </w:div>
            <w:div w:id="210307723">
              <w:marLeft w:val="0"/>
              <w:marRight w:val="0"/>
              <w:marTop w:val="0"/>
              <w:marBottom w:val="0"/>
              <w:divBdr>
                <w:top w:val="none" w:sz="0" w:space="0" w:color="auto"/>
                <w:left w:val="none" w:sz="0" w:space="0" w:color="auto"/>
                <w:bottom w:val="none" w:sz="0" w:space="0" w:color="auto"/>
                <w:right w:val="none" w:sz="0" w:space="0" w:color="auto"/>
              </w:divBdr>
            </w:div>
            <w:div w:id="226645875">
              <w:marLeft w:val="0"/>
              <w:marRight w:val="0"/>
              <w:marTop w:val="0"/>
              <w:marBottom w:val="0"/>
              <w:divBdr>
                <w:top w:val="none" w:sz="0" w:space="0" w:color="auto"/>
                <w:left w:val="none" w:sz="0" w:space="0" w:color="auto"/>
                <w:bottom w:val="none" w:sz="0" w:space="0" w:color="auto"/>
                <w:right w:val="none" w:sz="0" w:space="0" w:color="auto"/>
              </w:divBdr>
            </w:div>
            <w:div w:id="285089500">
              <w:marLeft w:val="0"/>
              <w:marRight w:val="0"/>
              <w:marTop w:val="0"/>
              <w:marBottom w:val="0"/>
              <w:divBdr>
                <w:top w:val="none" w:sz="0" w:space="0" w:color="auto"/>
                <w:left w:val="none" w:sz="0" w:space="0" w:color="auto"/>
                <w:bottom w:val="none" w:sz="0" w:space="0" w:color="auto"/>
                <w:right w:val="none" w:sz="0" w:space="0" w:color="auto"/>
              </w:divBdr>
            </w:div>
            <w:div w:id="566039203">
              <w:marLeft w:val="0"/>
              <w:marRight w:val="0"/>
              <w:marTop w:val="0"/>
              <w:marBottom w:val="0"/>
              <w:divBdr>
                <w:top w:val="none" w:sz="0" w:space="0" w:color="auto"/>
                <w:left w:val="none" w:sz="0" w:space="0" w:color="auto"/>
                <w:bottom w:val="none" w:sz="0" w:space="0" w:color="auto"/>
                <w:right w:val="none" w:sz="0" w:space="0" w:color="auto"/>
              </w:divBdr>
            </w:div>
            <w:div w:id="968821667">
              <w:marLeft w:val="0"/>
              <w:marRight w:val="0"/>
              <w:marTop w:val="0"/>
              <w:marBottom w:val="0"/>
              <w:divBdr>
                <w:top w:val="none" w:sz="0" w:space="0" w:color="auto"/>
                <w:left w:val="none" w:sz="0" w:space="0" w:color="auto"/>
                <w:bottom w:val="none" w:sz="0" w:space="0" w:color="auto"/>
                <w:right w:val="none" w:sz="0" w:space="0" w:color="auto"/>
              </w:divBdr>
            </w:div>
            <w:div w:id="1309438661">
              <w:marLeft w:val="0"/>
              <w:marRight w:val="0"/>
              <w:marTop w:val="0"/>
              <w:marBottom w:val="0"/>
              <w:divBdr>
                <w:top w:val="none" w:sz="0" w:space="0" w:color="auto"/>
                <w:left w:val="none" w:sz="0" w:space="0" w:color="auto"/>
                <w:bottom w:val="none" w:sz="0" w:space="0" w:color="auto"/>
                <w:right w:val="none" w:sz="0" w:space="0" w:color="auto"/>
              </w:divBdr>
            </w:div>
            <w:div w:id="1778066077">
              <w:marLeft w:val="0"/>
              <w:marRight w:val="0"/>
              <w:marTop w:val="0"/>
              <w:marBottom w:val="0"/>
              <w:divBdr>
                <w:top w:val="none" w:sz="0" w:space="0" w:color="auto"/>
                <w:left w:val="none" w:sz="0" w:space="0" w:color="auto"/>
                <w:bottom w:val="none" w:sz="0" w:space="0" w:color="auto"/>
                <w:right w:val="none" w:sz="0" w:space="0" w:color="auto"/>
              </w:divBdr>
            </w:div>
            <w:div w:id="1894659968">
              <w:marLeft w:val="0"/>
              <w:marRight w:val="0"/>
              <w:marTop w:val="0"/>
              <w:marBottom w:val="0"/>
              <w:divBdr>
                <w:top w:val="none" w:sz="0" w:space="0" w:color="auto"/>
                <w:left w:val="none" w:sz="0" w:space="0" w:color="auto"/>
                <w:bottom w:val="none" w:sz="0" w:space="0" w:color="auto"/>
                <w:right w:val="none" w:sz="0" w:space="0" w:color="auto"/>
              </w:divBdr>
            </w:div>
            <w:div w:id="1913615295">
              <w:marLeft w:val="0"/>
              <w:marRight w:val="0"/>
              <w:marTop w:val="0"/>
              <w:marBottom w:val="0"/>
              <w:divBdr>
                <w:top w:val="none" w:sz="0" w:space="0" w:color="auto"/>
                <w:left w:val="none" w:sz="0" w:space="0" w:color="auto"/>
                <w:bottom w:val="none" w:sz="0" w:space="0" w:color="auto"/>
                <w:right w:val="none" w:sz="0" w:space="0" w:color="auto"/>
              </w:divBdr>
            </w:div>
            <w:div w:id="1931229736">
              <w:marLeft w:val="0"/>
              <w:marRight w:val="0"/>
              <w:marTop w:val="0"/>
              <w:marBottom w:val="0"/>
              <w:divBdr>
                <w:top w:val="none" w:sz="0" w:space="0" w:color="auto"/>
                <w:left w:val="none" w:sz="0" w:space="0" w:color="auto"/>
                <w:bottom w:val="none" w:sz="0" w:space="0" w:color="auto"/>
                <w:right w:val="none" w:sz="0" w:space="0" w:color="auto"/>
              </w:divBdr>
            </w:div>
            <w:div w:id="20193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8425">
      <w:bodyDiv w:val="1"/>
      <w:marLeft w:val="0"/>
      <w:marRight w:val="0"/>
      <w:marTop w:val="0"/>
      <w:marBottom w:val="0"/>
      <w:divBdr>
        <w:top w:val="none" w:sz="0" w:space="0" w:color="auto"/>
        <w:left w:val="none" w:sz="0" w:space="0" w:color="auto"/>
        <w:bottom w:val="none" w:sz="0" w:space="0" w:color="auto"/>
        <w:right w:val="none" w:sz="0" w:space="0" w:color="auto"/>
      </w:divBdr>
      <w:divsChild>
        <w:div w:id="336273887">
          <w:marLeft w:val="0"/>
          <w:marRight w:val="0"/>
          <w:marTop w:val="0"/>
          <w:marBottom w:val="0"/>
          <w:divBdr>
            <w:top w:val="none" w:sz="0" w:space="0" w:color="auto"/>
            <w:left w:val="none" w:sz="0" w:space="0" w:color="auto"/>
            <w:bottom w:val="none" w:sz="0" w:space="0" w:color="auto"/>
            <w:right w:val="none" w:sz="0" w:space="0" w:color="auto"/>
          </w:divBdr>
          <w:divsChild>
            <w:div w:id="15507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639">
      <w:bodyDiv w:val="1"/>
      <w:marLeft w:val="0"/>
      <w:marRight w:val="0"/>
      <w:marTop w:val="0"/>
      <w:marBottom w:val="0"/>
      <w:divBdr>
        <w:top w:val="none" w:sz="0" w:space="0" w:color="auto"/>
        <w:left w:val="none" w:sz="0" w:space="0" w:color="auto"/>
        <w:bottom w:val="none" w:sz="0" w:space="0" w:color="auto"/>
        <w:right w:val="none" w:sz="0" w:space="0" w:color="auto"/>
      </w:divBdr>
      <w:divsChild>
        <w:div w:id="635724013">
          <w:marLeft w:val="0"/>
          <w:marRight w:val="0"/>
          <w:marTop w:val="0"/>
          <w:marBottom w:val="0"/>
          <w:divBdr>
            <w:top w:val="none" w:sz="0" w:space="0" w:color="auto"/>
            <w:left w:val="none" w:sz="0" w:space="0" w:color="auto"/>
            <w:bottom w:val="none" w:sz="0" w:space="0" w:color="auto"/>
            <w:right w:val="none" w:sz="0" w:space="0" w:color="auto"/>
          </w:divBdr>
          <w:divsChild>
            <w:div w:id="101338302">
              <w:marLeft w:val="0"/>
              <w:marRight w:val="0"/>
              <w:marTop w:val="0"/>
              <w:marBottom w:val="0"/>
              <w:divBdr>
                <w:top w:val="none" w:sz="0" w:space="0" w:color="auto"/>
                <w:left w:val="none" w:sz="0" w:space="0" w:color="auto"/>
                <w:bottom w:val="none" w:sz="0" w:space="0" w:color="auto"/>
                <w:right w:val="none" w:sz="0" w:space="0" w:color="auto"/>
              </w:divBdr>
            </w:div>
            <w:div w:id="186607070">
              <w:marLeft w:val="0"/>
              <w:marRight w:val="0"/>
              <w:marTop w:val="0"/>
              <w:marBottom w:val="0"/>
              <w:divBdr>
                <w:top w:val="none" w:sz="0" w:space="0" w:color="auto"/>
                <w:left w:val="none" w:sz="0" w:space="0" w:color="auto"/>
                <w:bottom w:val="none" w:sz="0" w:space="0" w:color="auto"/>
                <w:right w:val="none" w:sz="0" w:space="0" w:color="auto"/>
              </w:divBdr>
            </w:div>
            <w:div w:id="228200668">
              <w:marLeft w:val="0"/>
              <w:marRight w:val="0"/>
              <w:marTop w:val="0"/>
              <w:marBottom w:val="0"/>
              <w:divBdr>
                <w:top w:val="none" w:sz="0" w:space="0" w:color="auto"/>
                <w:left w:val="none" w:sz="0" w:space="0" w:color="auto"/>
                <w:bottom w:val="none" w:sz="0" w:space="0" w:color="auto"/>
                <w:right w:val="none" w:sz="0" w:space="0" w:color="auto"/>
              </w:divBdr>
            </w:div>
            <w:div w:id="274486446">
              <w:marLeft w:val="0"/>
              <w:marRight w:val="0"/>
              <w:marTop w:val="0"/>
              <w:marBottom w:val="0"/>
              <w:divBdr>
                <w:top w:val="none" w:sz="0" w:space="0" w:color="auto"/>
                <w:left w:val="none" w:sz="0" w:space="0" w:color="auto"/>
                <w:bottom w:val="none" w:sz="0" w:space="0" w:color="auto"/>
                <w:right w:val="none" w:sz="0" w:space="0" w:color="auto"/>
              </w:divBdr>
            </w:div>
            <w:div w:id="350304031">
              <w:marLeft w:val="0"/>
              <w:marRight w:val="0"/>
              <w:marTop w:val="0"/>
              <w:marBottom w:val="0"/>
              <w:divBdr>
                <w:top w:val="none" w:sz="0" w:space="0" w:color="auto"/>
                <w:left w:val="none" w:sz="0" w:space="0" w:color="auto"/>
                <w:bottom w:val="none" w:sz="0" w:space="0" w:color="auto"/>
                <w:right w:val="none" w:sz="0" w:space="0" w:color="auto"/>
              </w:divBdr>
            </w:div>
            <w:div w:id="375004855">
              <w:marLeft w:val="0"/>
              <w:marRight w:val="0"/>
              <w:marTop w:val="0"/>
              <w:marBottom w:val="0"/>
              <w:divBdr>
                <w:top w:val="none" w:sz="0" w:space="0" w:color="auto"/>
                <w:left w:val="none" w:sz="0" w:space="0" w:color="auto"/>
                <w:bottom w:val="none" w:sz="0" w:space="0" w:color="auto"/>
                <w:right w:val="none" w:sz="0" w:space="0" w:color="auto"/>
              </w:divBdr>
            </w:div>
            <w:div w:id="380710599">
              <w:marLeft w:val="0"/>
              <w:marRight w:val="0"/>
              <w:marTop w:val="0"/>
              <w:marBottom w:val="0"/>
              <w:divBdr>
                <w:top w:val="none" w:sz="0" w:space="0" w:color="auto"/>
                <w:left w:val="none" w:sz="0" w:space="0" w:color="auto"/>
                <w:bottom w:val="none" w:sz="0" w:space="0" w:color="auto"/>
                <w:right w:val="none" w:sz="0" w:space="0" w:color="auto"/>
              </w:divBdr>
            </w:div>
            <w:div w:id="396785301">
              <w:marLeft w:val="0"/>
              <w:marRight w:val="0"/>
              <w:marTop w:val="0"/>
              <w:marBottom w:val="0"/>
              <w:divBdr>
                <w:top w:val="none" w:sz="0" w:space="0" w:color="auto"/>
                <w:left w:val="none" w:sz="0" w:space="0" w:color="auto"/>
                <w:bottom w:val="none" w:sz="0" w:space="0" w:color="auto"/>
                <w:right w:val="none" w:sz="0" w:space="0" w:color="auto"/>
              </w:divBdr>
            </w:div>
            <w:div w:id="403452305">
              <w:marLeft w:val="0"/>
              <w:marRight w:val="0"/>
              <w:marTop w:val="0"/>
              <w:marBottom w:val="0"/>
              <w:divBdr>
                <w:top w:val="none" w:sz="0" w:space="0" w:color="auto"/>
                <w:left w:val="none" w:sz="0" w:space="0" w:color="auto"/>
                <w:bottom w:val="none" w:sz="0" w:space="0" w:color="auto"/>
                <w:right w:val="none" w:sz="0" w:space="0" w:color="auto"/>
              </w:divBdr>
            </w:div>
            <w:div w:id="451822624">
              <w:marLeft w:val="0"/>
              <w:marRight w:val="0"/>
              <w:marTop w:val="0"/>
              <w:marBottom w:val="0"/>
              <w:divBdr>
                <w:top w:val="none" w:sz="0" w:space="0" w:color="auto"/>
                <w:left w:val="none" w:sz="0" w:space="0" w:color="auto"/>
                <w:bottom w:val="none" w:sz="0" w:space="0" w:color="auto"/>
                <w:right w:val="none" w:sz="0" w:space="0" w:color="auto"/>
              </w:divBdr>
            </w:div>
            <w:div w:id="472409229">
              <w:marLeft w:val="0"/>
              <w:marRight w:val="0"/>
              <w:marTop w:val="0"/>
              <w:marBottom w:val="0"/>
              <w:divBdr>
                <w:top w:val="none" w:sz="0" w:space="0" w:color="auto"/>
                <w:left w:val="none" w:sz="0" w:space="0" w:color="auto"/>
                <w:bottom w:val="none" w:sz="0" w:space="0" w:color="auto"/>
                <w:right w:val="none" w:sz="0" w:space="0" w:color="auto"/>
              </w:divBdr>
            </w:div>
            <w:div w:id="552470690">
              <w:marLeft w:val="0"/>
              <w:marRight w:val="0"/>
              <w:marTop w:val="0"/>
              <w:marBottom w:val="0"/>
              <w:divBdr>
                <w:top w:val="none" w:sz="0" w:space="0" w:color="auto"/>
                <w:left w:val="none" w:sz="0" w:space="0" w:color="auto"/>
                <w:bottom w:val="none" w:sz="0" w:space="0" w:color="auto"/>
                <w:right w:val="none" w:sz="0" w:space="0" w:color="auto"/>
              </w:divBdr>
            </w:div>
            <w:div w:id="632754021">
              <w:marLeft w:val="0"/>
              <w:marRight w:val="0"/>
              <w:marTop w:val="0"/>
              <w:marBottom w:val="0"/>
              <w:divBdr>
                <w:top w:val="none" w:sz="0" w:space="0" w:color="auto"/>
                <w:left w:val="none" w:sz="0" w:space="0" w:color="auto"/>
                <w:bottom w:val="none" w:sz="0" w:space="0" w:color="auto"/>
                <w:right w:val="none" w:sz="0" w:space="0" w:color="auto"/>
              </w:divBdr>
            </w:div>
            <w:div w:id="687754352">
              <w:marLeft w:val="0"/>
              <w:marRight w:val="0"/>
              <w:marTop w:val="0"/>
              <w:marBottom w:val="0"/>
              <w:divBdr>
                <w:top w:val="none" w:sz="0" w:space="0" w:color="auto"/>
                <w:left w:val="none" w:sz="0" w:space="0" w:color="auto"/>
                <w:bottom w:val="none" w:sz="0" w:space="0" w:color="auto"/>
                <w:right w:val="none" w:sz="0" w:space="0" w:color="auto"/>
              </w:divBdr>
            </w:div>
            <w:div w:id="758527990">
              <w:marLeft w:val="0"/>
              <w:marRight w:val="0"/>
              <w:marTop w:val="0"/>
              <w:marBottom w:val="0"/>
              <w:divBdr>
                <w:top w:val="none" w:sz="0" w:space="0" w:color="auto"/>
                <w:left w:val="none" w:sz="0" w:space="0" w:color="auto"/>
                <w:bottom w:val="none" w:sz="0" w:space="0" w:color="auto"/>
                <w:right w:val="none" w:sz="0" w:space="0" w:color="auto"/>
              </w:divBdr>
            </w:div>
            <w:div w:id="779957250">
              <w:marLeft w:val="0"/>
              <w:marRight w:val="0"/>
              <w:marTop w:val="0"/>
              <w:marBottom w:val="0"/>
              <w:divBdr>
                <w:top w:val="none" w:sz="0" w:space="0" w:color="auto"/>
                <w:left w:val="none" w:sz="0" w:space="0" w:color="auto"/>
                <w:bottom w:val="none" w:sz="0" w:space="0" w:color="auto"/>
                <w:right w:val="none" w:sz="0" w:space="0" w:color="auto"/>
              </w:divBdr>
            </w:div>
            <w:div w:id="915895011">
              <w:marLeft w:val="0"/>
              <w:marRight w:val="0"/>
              <w:marTop w:val="0"/>
              <w:marBottom w:val="0"/>
              <w:divBdr>
                <w:top w:val="none" w:sz="0" w:space="0" w:color="auto"/>
                <w:left w:val="none" w:sz="0" w:space="0" w:color="auto"/>
                <w:bottom w:val="none" w:sz="0" w:space="0" w:color="auto"/>
                <w:right w:val="none" w:sz="0" w:space="0" w:color="auto"/>
              </w:divBdr>
            </w:div>
            <w:div w:id="955454259">
              <w:marLeft w:val="0"/>
              <w:marRight w:val="0"/>
              <w:marTop w:val="0"/>
              <w:marBottom w:val="0"/>
              <w:divBdr>
                <w:top w:val="none" w:sz="0" w:space="0" w:color="auto"/>
                <w:left w:val="none" w:sz="0" w:space="0" w:color="auto"/>
                <w:bottom w:val="none" w:sz="0" w:space="0" w:color="auto"/>
                <w:right w:val="none" w:sz="0" w:space="0" w:color="auto"/>
              </w:divBdr>
            </w:div>
            <w:div w:id="993950497">
              <w:marLeft w:val="0"/>
              <w:marRight w:val="0"/>
              <w:marTop w:val="0"/>
              <w:marBottom w:val="0"/>
              <w:divBdr>
                <w:top w:val="none" w:sz="0" w:space="0" w:color="auto"/>
                <w:left w:val="none" w:sz="0" w:space="0" w:color="auto"/>
                <w:bottom w:val="none" w:sz="0" w:space="0" w:color="auto"/>
                <w:right w:val="none" w:sz="0" w:space="0" w:color="auto"/>
              </w:divBdr>
            </w:div>
            <w:div w:id="1007053485">
              <w:marLeft w:val="0"/>
              <w:marRight w:val="0"/>
              <w:marTop w:val="0"/>
              <w:marBottom w:val="0"/>
              <w:divBdr>
                <w:top w:val="none" w:sz="0" w:space="0" w:color="auto"/>
                <w:left w:val="none" w:sz="0" w:space="0" w:color="auto"/>
                <w:bottom w:val="none" w:sz="0" w:space="0" w:color="auto"/>
                <w:right w:val="none" w:sz="0" w:space="0" w:color="auto"/>
              </w:divBdr>
            </w:div>
            <w:div w:id="1044865063">
              <w:marLeft w:val="0"/>
              <w:marRight w:val="0"/>
              <w:marTop w:val="0"/>
              <w:marBottom w:val="0"/>
              <w:divBdr>
                <w:top w:val="none" w:sz="0" w:space="0" w:color="auto"/>
                <w:left w:val="none" w:sz="0" w:space="0" w:color="auto"/>
                <w:bottom w:val="none" w:sz="0" w:space="0" w:color="auto"/>
                <w:right w:val="none" w:sz="0" w:space="0" w:color="auto"/>
              </w:divBdr>
            </w:div>
            <w:div w:id="1071199263">
              <w:marLeft w:val="0"/>
              <w:marRight w:val="0"/>
              <w:marTop w:val="0"/>
              <w:marBottom w:val="0"/>
              <w:divBdr>
                <w:top w:val="none" w:sz="0" w:space="0" w:color="auto"/>
                <w:left w:val="none" w:sz="0" w:space="0" w:color="auto"/>
                <w:bottom w:val="none" w:sz="0" w:space="0" w:color="auto"/>
                <w:right w:val="none" w:sz="0" w:space="0" w:color="auto"/>
              </w:divBdr>
            </w:div>
            <w:div w:id="1237015093">
              <w:marLeft w:val="0"/>
              <w:marRight w:val="0"/>
              <w:marTop w:val="0"/>
              <w:marBottom w:val="0"/>
              <w:divBdr>
                <w:top w:val="none" w:sz="0" w:space="0" w:color="auto"/>
                <w:left w:val="none" w:sz="0" w:space="0" w:color="auto"/>
                <w:bottom w:val="none" w:sz="0" w:space="0" w:color="auto"/>
                <w:right w:val="none" w:sz="0" w:space="0" w:color="auto"/>
              </w:divBdr>
            </w:div>
            <w:div w:id="1379933751">
              <w:marLeft w:val="0"/>
              <w:marRight w:val="0"/>
              <w:marTop w:val="0"/>
              <w:marBottom w:val="0"/>
              <w:divBdr>
                <w:top w:val="none" w:sz="0" w:space="0" w:color="auto"/>
                <w:left w:val="none" w:sz="0" w:space="0" w:color="auto"/>
                <w:bottom w:val="none" w:sz="0" w:space="0" w:color="auto"/>
                <w:right w:val="none" w:sz="0" w:space="0" w:color="auto"/>
              </w:divBdr>
            </w:div>
            <w:div w:id="1500462143">
              <w:marLeft w:val="0"/>
              <w:marRight w:val="0"/>
              <w:marTop w:val="0"/>
              <w:marBottom w:val="0"/>
              <w:divBdr>
                <w:top w:val="none" w:sz="0" w:space="0" w:color="auto"/>
                <w:left w:val="none" w:sz="0" w:space="0" w:color="auto"/>
                <w:bottom w:val="none" w:sz="0" w:space="0" w:color="auto"/>
                <w:right w:val="none" w:sz="0" w:space="0" w:color="auto"/>
              </w:divBdr>
            </w:div>
            <w:div w:id="1525710597">
              <w:marLeft w:val="0"/>
              <w:marRight w:val="0"/>
              <w:marTop w:val="0"/>
              <w:marBottom w:val="0"/>
              <w:divBdr>
                <w:top w:val="none" w:sz="0" w:space="0" w:color="auto"/>
                <w:left w:val="none" w:sz="0" w:space="0" w:color="auto"/>
                <w:bottom w:val="none" w:sz="0" w:space="0" w:color="auto"/>
                <w:right w:val="none" w:sz="0" w:space="0" w:color="auto"/>
              </w:divBdr>
            </w:div>
            <w:div w:id="1549030915">
              <w:marLeft w:val="0"/>
              <w:marRight w:val="0"/>
              <w:marTop w:val="0"/>
              <w:marBottom w:val="0"/>
              <w:divBdr>
                <w:top w:val="none" w:sz="0" w:space="0" w:color="auto"/>
                <w:left w:val="none" w:sz="0" w:space="0" w:color="auto"/>
                <w:bottom w:val="none" w:sz="0" w:space="0" w:color="auto"/>
                <w:right w:val="none" w:sz="0" w:space="0" w:color="auto"/>
              </w:divBdr>
            </w:div>
            <w:div w:id="1706516974">
              <w:marLeft w:val="0"/>
              <w:marRight w:val="0"/>
              <w:marTop w:val="0"/>
              <w:marBottom w:val="0"/>
              <w:divBdr>
                <w:top w:val="none" w:sz="0" w:space="0" w:color="auto"/>
                <w:left w:val="none" w:sz="0" w:space="0" w:color="auto"/>
                <w:bottom w:val="none" w:sz="0" w:space="0" w:color="auto"/>
                <w:right w:val="none" w:sz="0" w:space="0" w:color="auto"/>
              </w:divBdr>
            </w:div>
            <w:div w:id="1752698958">
              <w:marLeft w:val="0"/>
              <w:marRight w:val="0"/>
              <w:marTop w:val="0"/>
              <w:marBottom w:val="0"/>
              <w:divBdr>
                <w:top w:val="none" w:sz="0" w:space="0" w:color="auto"/>
                <w:left w:val="none" w:sz="0" w:space="0" w:color="auto"/>
                <w:bottom w:val="none" w:sz="0" w:space="0" w:color="auto"/>
                <w:right w:val="none" w:sz="0" w:space="0" w:color="auto"/>
              </w:divBdr>
            </w:div>
            <w:div w:id="1763792446">
              <w:marLeft w:val="0"/>
              <w:marRight w:val="0"/>
              <w:marTop w:val="0"/>
              <w:marBottom w:val="0"/>
              <w:divBdr>
                <w:top w:val="none" w:sz="0" w:space="0" w:color="auto"/>
                <w:left w:val="none" w:sz="0" w:space="0" w:color="auto"/>
                <w:bottom w:val="none" w:sz="0" w:space="0" w:color="auto"/>
                <w:right w:val="none" w:sz="0" w:space="0" w:color="auto"/>
              </w:divBdr>
            </w:div>
            <w:div w:id="210398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4869">
      <w:bodyDiv w:val="1"/>
      <w:marLeft w:val="0"/>
      <w:marRight w:val="0"/>
      <w:marTop w:val="0"/>
      <w:marBottom w:val="0"/>
      <w:divBdr>
        <w:top w:val="none" w:sz="0" w:space="0" w:color="auto"/>
        <w:left w:val="none" w:sz="0" w:space="0" w:color="auto"/>
        <w:bottom w:val="none" w:sz="0" w:space="0" w:color="auto"/>
        <w:right w:val="none" w:sz="0" w:space="0" w:color="auto"/>
      </w:divBdr>
    </w:div>
    <w:div w:id="151456373">
      <w:bodyDiv w:val="1"/>
      <w:marLeft w:val="0"/>
      <w:marRight w:val="0"/>
      <w:marTop w:val="0"/>
      <w:marBottom w:val="0"/>
      <w:divBdr>
        <w:top w:val="none" w:sz="0" w:space="0" w:color="auto"/>
        <w:left w:val="none" w:sz="0" w:space="0" w:color="auto"/>
        <w:bottom w:val="none" w:sz="0" w:space="0" w:color="auto"/>
        <w:right w:val="none" w:sz="0" w:space="0" w:color="auto"/>
      </w:divBdr>
    </w:div>
    <w:div w:id="163015503">
      <w:bodyDiv w:val="1"/>
      <w:marLeft w:val="0"/>
      <w:marRight w:val="0"/>
      <w:marTop w:val="0"/>
      <w:marBottom w:val="0"/>
      <w:divBdr>
        <w:top w:val="none" w:sz="0" w:space="0" w:color="auto"/>
        <w:left w:val="none" w:sz="0" w:space="0" w:color="auto"/>
        <w:bottom w:val="none" w:sz="0" w:space="0" w:color="auto"/>
        <w:right w:val="none" w:sz="0" w:space="0" w:color="auto"/>
      </w:divBdr>
    </w:div>
    <w:div w:id="184369991">
      <w:bodyDiv w:val="1"/>
      <w:marLeft w:val="0"/>
      <w:marRight w:val="0"/>
      <w:marTop w:val="0"/>
      <w:marBottom w:val="0"/>
      <w:divBdr>
        <w:top w:val="none" w:sz="0" w:space="0" w:color="auto"/>
        <w:left w:val="none" w:sz="0" w:space="0" w:color="auto"/>
        <w:bottom w:val="none" w:sz="0" w:space="0" w:color="auto"/>
        <w:right w:val="none" w:sz="0" w:space="0" w:color="auto"/>
      </w:divBdr>
    </w:div>
    <w:div w:id="189300617">
      <w:bodyDiv w:val="1"/>
      <w:marLeft w:val="0"/>
      <w:marRight w:val="0"/>
      <w:marTop w:val="0"/>
      <w:marBottom w:val="0"/>
      <w:divBdr>
        <w:top w:val="none" w:sz="0" w:space="0" w:color="auto"/>
        <w:left w:val="none" w:sz="0" w:space="0" w:color="auto"/>
        <w:bottom w:val="none" w:sz="0" w:space="0" w:color="auto"/>
        <w:right w:val="none" w:sz="0" w:space="0" w:color="auto"/>
      </w:divBdr>
    </w:div>
    <w:div w:id="213011777">
      <w:bodyDiv w:val="1"/>
      <w:marLeft w:val="0"/>
      <w:marRight w:val="0"/>
      <w:marTop w:val="0"/>
      <w:marBottom w:val="0"/>
      <w:divBdr>
        <w:top w:val="none" w:sz="0" w:space="0" w:color="auto"/>
        <w:left w:val="none" w:sz="0" w:space="0" w:color="auto"/>
        <w:bottom w:val="none" w:sz="0" w:space="0" w:color="auto"/>
        <w:right w:val="none" w:sz="0" w:space="0" w:color="auto"/>
      </w:divBdr>
    </w:div>
    <w:div w:id="214395677">
      <w:bodyDiv w:val="1"/>
      <w:marLeft w:val="0"/>
      <w:marRight w:val="0"/>
      <w:marTop w:val="0"/>
      <w:marBottom w:val="0"/>
      <w:divBdr>
        <w:top w:val="none" w:sz="0" w:space="0" w:color="auto"/>
        <w:left w:val="none" w:sz="0" w:space="0" w:color="auto"/>
        <w:bottom w:val="none" w:sz="0" w:space="0" w:color="auto"/>
        <w:right w:val="none" w:sz="0" w:space="0" w:color="auto"/>
      </w:divBdr>
    </w:div>
    <w:div w:id="219292458">
      <w:bodyDiv w:val="1"/>
      <w:marLeft w:val="0"/>
      <w:marRight w:val="0"/>
      <w:marTop w:val="0"/>
      <w:marBottom w:val="0"/>
      <w:divBdr>
        <w:top w:val="none" w:sz="0" w:space="0" w:color="auto"/>
        <w:left w:val="none" w:sz="0" w:space="0" w:color="auto"/>
        <w:bottom w:val="none" w:sz="0" w:space="0" w:color="auto"/>
        <w:right w:val="none" w:sz="0" w:space="0" w:color="auto"/>
      </w:divBdr>
    </w:div>
    <w:div w:id="220947254">
      <w:bodyDiv w:val="1"/>
      <w:marLeft w:val="0"/>
      <w:marRight w:val="0"/>
      <w:marTop w:val="0"/>
      <w:marBottom w:val="0"/>
      <w:divBdr>
        <w:top w:val="none" w:sz="0" w:space="0" w:color="auto"/>
        <w:left w:val="none" w:sz="0" w:space="0" w:color="auto"/>
        <w:bottom w:val="none" w:sz="0" w:space="0" w:color="auto"/>
        <w:right w:val="none" w:sz="0" w:space="0" w:color="auto"/>
      </w:divBdr>
    </w:div>
    <w:div w:id="223568101">
      <w:bodyDiv w:val="1"/>
      <w:marLeft w:val="0"/>
      <w:marRight w:val="0"/>
      <w:marTop w:val="0"/>
      <w:marBottom w:val="0"/>
      <w:divBdr>
        <w:top w:val="none" w:sz="0" w:space="0" w:color="auto"/>
        <w:left w:val="none" w:sz="0" w:space="0" w:color="auto"/>
        <w:bottom w:val="none" w:sz="0" w:space="0" w:color="auto"/>
        <w:right w:val="none" w:sz="0" w:space="0" w:color="auto"/>
      </w:divBdr>
    </w:div>
    <w:div w:id="225725899">
      <w:bodyDiv w:val="1"/>
      <w:marLeft w:val="0"/>
      <w:marRight w:val="0"/>
      <w:marTop w:val="0"/>
      <w:marBottom w:val="0"/>
      <w:divBdr>
        <w:top w:val="none" w:sz="0" w:space="0" w:color="auto"/>
        <w:left w:val="none" w:sz="0" w:space="0" w:color="auto"/>
        <w:bottom w:val="none" w:sz="0" w:space="0" w:color="auto"/>
        <w:right w:val="none" w:sz="0" w:space="0" w:color="auto"/>
      </w:divBdr>
      <w:divsChild>
        <w:div w:id="476073436">
          <w:marLeft w:val="547"/>
          <w:marRight w:val="0"/>
          <w:marTop w:val="120"/>
          <w:marBottom w:val="0"/>
          <w:divBdr>
            <w:top w:val="none" w:sz="0" w:space="0" w:color="auto"/>
            <w:left w:val="none" w:sz="0" w:space="0" w:color="auto"/>
            <w:bottom w:val="none" w:sz="0" w:space="0" w:color="auto"/>
            <w:right w:val="none" w:sz="0" w:space="0" w:color="auto"/>
          </w:divBdr>
        </w:div>
        <w:div w:id="536940326">
          <w:marLeft w:val="547"/>
          <w:marRight w:val="0"/>
          <w:marTop w:val="120"/>
          <w:marBottom w:val="0"/>
          <w:divBdr>
            <w:top w:val="none" w:sz="0" w:space="0" w:color="auto"/>
            <w:left w:val="none" w:sz="0" w:space="0" w:color="auto"/>
            <w:bottom w:val="none" w:sz="0" w:space="0" w:color="auto"/>
            <w:right w:val="none" w:sz="0" w:space="0" w:color="auto"/>
          </w:divBdr>
        </w:div>
        <w:div w:id="680739740">
          <w:marLeft w:val="547"/>
          <w:marRight w:val="0"/>
          <w:marTop w:val="120"/>
          <w:marBottom w:val="0"/>
          <w:divBdr>
            <w:top w:val="none" w:sz="0" w:space="0" w:color="auto"/>
            <w:left w:val="none" w:sz="0" w:space="0" w:color="auto"/>
            <w:bottom w:val="none" w:sz="0" w:space="0" w:color="auto"/>
            <w:right w:val="none" w:sz="0" w:space="0" w:color="auto"/>
          </w:divBdr>
        </w:div>
        <w:div w:id="833839835">
          <w:marLeft w:val="547"/>
          <w:marRight w:val="0"/>
          <w:marTop w:val="120"/>
          <w:marBottom w:val="0"/>
          <w:divBdr>
            <w:top w:val="none" w:sz="0" w:space="0" w:color="auto"/>
            <w:left w:val="none" w:sz="0" w:space="0" w:color="auto"/>
            <w:bottom w:val="none" w:sz="0" w:space="0" w:color="auto"/>
            <w:right w:val="none" w:sz="0" w:space="0" w:color="auto"/>
          </w:divBdr>
        </w:div>
        <w:div w:id="1870604208">
          <w:marLeft w:val="547"/>
          <w:marRight w:val="0"/>
          <w:marTop w:val="120"/>
          <w:marBottom w:val="0"/>
          <w:divBdr>
            <w:top w:val="none" w:sz="0" w:space="0" w:color="auto"/>
            <w:left w:val="none" w:sz="0" w:space="0" w:color="auto"/>
            <w:bottom w:val="none" w:sz="0" w:space="0" w:color="auto"/>
            <w:right w:val="none" w:sz="0" w:space="0" w:color="auto"/>
          </w:divBdr>
        </w:div>
        <w:div w:id="2105572257">
          <w:marLeft w:val="547"/>
          <w:marRight w:val="0"/>
          <w:marTop w:val="120"/>
          <w:marBottom w:val="0"/>
          <w:divBdr>
            <w:top w:val="none" w:sz="0" w:space="0" w:color="auto"/>
            <w:left w:val="none" w:sz="0" w:space="0" w:color="auto"/>
            <w:bottom w:val="none" w:sz="0" w:space="0" w:color="auto"/>
            <w:right w:val="none" w:sz="0" w:space="0" w:color="auto"/>
          </w:divBdr>
        </w:div>
      </w:divsChild>
    </w:div>
    <w:div w:id="250890209">
      <w:bodyDiv w:val="1"/>
      <w:marLeft w:val="0"/>
      <w:marRight w:val="0"/>
      <w:marTop w:val="0"/>
      <w:marBottom w:val="0"/>
      <w:divBdr>
        <w:top w:val="none" w:sz="0" w:space="0" w:color="auto"/>
        <w:left w:val="none" w:sz="0" w:space="0" w:color="auto"/>
        <w:bottom w:val="none" w:sz="0" w:space="0" w:color="auto"/>
        <w:right w:val="none" w:sz="0" w:space="0" w:color="auto"/>
      </w:divBdr>
      <w:divsChild>
        <w:div w:id="1253705252">
          <w:marLeft w:val="0"/>
          <w:marRight w:val="0"/>
          <w:marTop w:val="0"/>
          <w:marBottom w:val="0"/>
          <w:divBdr>
            <w:top w:val="none" w:sz="0" w:space="0" w:color="auto"/>
            <w:left w:val="none" w:sz="0" w:space="0" w:color="auto"/>
            <w:bottom w:val="none" w:sz="0" w:space="0" w:color="auto"/>
            <w:right w:val="none" w:sz="0" w:space="0" w:color="auto"/>
          </w:divBdr>
          <w:divsChild>
            <w:div w:id="17931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898496">
      <w:bodyDiv w:val="1"/>
      <w:marLeft w:val="0"/>
      <w:marRight w:val="0"/>
      <w:marTop w:val="0"/>
      <w:marBottom w:val="0"/>
      <w:divBdr>
        <w:top w:val="none" w:sz="0" w:space="0" w:color="auto"/>
        <w:left w:val="none" w:sz="0" w:space="0" w:color="auto"/>
        <w:bottom w:val="none" w:sz="0" w:space="0" w:color="auto"/>
        <w:right w:val="none" w:sz="0" w:space="0" w:color="auto"/>
      </w:divBdr>
      <w:divsChild>
        <w:div w:id="963002415">
          <w:marLeft w:val="0"/>
          <w:marRight w:val="0"/>
          <w:marTop w:val="0"/>
          <w:marBottom w:val="0"/>
          <w:divBdr>
            <w:top w:val="none" w:sz="0" w:space="0" w:color="auto"/>
            <w:left w:val="none" w:sz="0" w:space="0" w:color="auto"/>
            <w:bottom w:val="none" w:sz="0" w:space="0" w:color="auto"/>
            <w:right w:val="none" w:sz="0" w:space="0" w:color="auto"/>
          </w:divBdr>
          <w:divsChild>
            <w:div w:id="972566830">
              <w:marLeft w:val="0"/>
              <w:marRight w:val="0"/>
              <w:marTop w:val="0"/>
              <w:marBottom w:val="0"/>
              <w:divBdr>
                <w:top w:val="none" w:sz="0" w:space="0" w:color="auto"/>
                <w:left w:val="none" w:sz="0" w:space="0" w:color="auto"/>
                <w:bottom w:val="none" w:sz="0" w:space="0" w:color="auto"/>
                <w:right w:val="none" w:sz="0" w:space="0" w:color="auto"/>
              </w:divBdr>
            </w:div>
            <w:div w:id="1043868657">
              <w:marLeft w:val="0"/>
              <w:marRight w:val="0"/>
              <w:marTop w:val="0"/>
              <w:marBottom w:val="0"/>
              <w:divBdr>
                <w:top w:val="none" w:sz="0" w:space="0" w:color="auto"/>
                <w:left w:val="none" w:sz="0" w:space="0" w:color="auto"/>
                <w:bottom w:val="none" w:sz="0" w:space="0" w:color="auto"/>
                <w:right w:val="none" w:sz="0" w:space="0" w:color="auto"/>
              </w:divBdr>
            </w:div>
            <w:div w:id="1527518254">
              <w:marLeft w:val="0"/>
              <w:marRight w:val="0"/>
              <w:marTop w:val="0"/>
              <w:marBottom w:val="0"/>
              <w:divBdr>
                <w:top w:val="none" w:sz="0" w:space="0" w:color="auto"/>
                <w:left w:val="none" w:sz="0" w:space="0" w:color="auto"/>
                <w:bottom w:val="none" w:sz="0" w:space="0" w:color="auto"/>
                <w:right w:val="none" w:sz="0" w:space="0" w:color="auto"/>
              </w:divBdr>
            </w:div>
            <w:div w:id="1939867174">
              <w:marLeft w:val="0"/>
              <w:marRight w:val="0"/>
              <w:marTop w:val="0"/>
              <w:marBottom w:val="0"/>
              <w:divBdr>
                <w:top w:val="none" w:sz="0" w:space="0" w:color="auto"/>
                <w:left w:val="none" w:sz="0" w:space="0" w:color="auto"/>
                <w:bottom w:val="none" w:sz="0" w:space="0" w:color="auto"/>
                <w:right w:val="none" w:sz="0" w:space="0" w:color="auto"/>
              </w:divBdr>
            </w:div>
          </w:divsChild>
        </w:div>
        <w:div w:id="1247618868">
          <w:marLeft w:val="0"/>
          <w:marRight w:val="0"/>
          <w:marTop w:val="0"/>
          <w:marBottom w:val="0"/>
          <w:divBdr>
            <w:top w:val="none" w:sz="0" w:space="0" w:color="auto"/>
            <w:left w:val="none" w:sz="0" w:space="0" w:color="auto"/>
            <w:bottom w:val="none" w:sz="0" w:space="0" w:color="auto"/>
            <w:right w:val="none" w:sz="0" w:space="0" w:color="auto"/>
          </w:divBdr>
          <w:divsChild>
            <w:div w:id="90395912">
              <w:marLeft w:val="0"/>
              <w:marRight w:val="0"/>
              <w:marTop w:val="0"/>
              <w:marBottom w:val="0"/>
              <w:divBdr>
                <w:top w:val="none" w:sz="0" w:space="0" w:color="auto"/>
                <w:left w:val="none" w:sz="0" w:space="0" w:color="auto"/>
                <w:bottom w:val="none" w:sz="0" w:space="0" w:color="auto"/>
                <w:right w:val="none" w:sz="0" w:space="0" w:color="auto"/>
              </w:divBdr>
            </w:div>
            <w:div w:id="135949149">
              <w:marLeft w:val="0"/>
              <w:marRight w:val="0"/>
              <w:marTop w:val="0"/>
              <w:marBottom w:val="0"/>
              <w:divBdr>
                <w:top w:val="none" w:sz="0" w:space="0" w:color="auto"/>
                <w:left w:val="none" w:sz="0" w:space="0" w:color="auto"/>
                <w:bottom w:val="none" w:sz="0" w:space="0" w:color="auto"/>
                <w:right w:val="none" w:sz="0" w:space="0" w:color="auto"/>
              </w:divBdr>
            </w:div>
            <w:div w:id="154492317">
              <w:marLeft w:val="0"/>
              <w:marRight w:val="0"/>
              <w:marTop w:val="0"/>
              <w:marBottom w:val="0"/>
              <w:divBdr>
                <w:top w:val="none" w:sz="0" w:space="0" w:color="auto"/>
                <w:left w:val="none" w:sz="0" w:space="0" w:color="auto"/>
                <w:bottom w:val="none" w:sz="0" w:space="0" w:color="auto"/>
                <w:right w:val="none" w:sz="0" w:space="0" w:color="auto"/>
              </w:divBdr>
            </w:div>
            <w:div w:id="395402113">
              <w:marLeft w:val="0"/>
              <w:marRight w:val="0"/>
              <w:marTop w:val="0"/>
              <w:marBottom w:val="0"/>
              <w:divBdr>
                <w:top w:val="none" w:sz="0" w:space="0" w:color="auto"/>
                <w:left w:val="none" w:sz="0" w:space="0" w:color="auto"/>
                <w:bottom w:val="none" w:sz="0" w:space="0" w:color="auto"/>
                <w:right w:val="none" w:sz="0" w:space="0" w:color="auto"/>
              </w:divBdr>
            </w:div>
            <w:div w:id="406343524">
              <w:marLeft w:val="0"/>
              <w:marRight w:val="0"/>
              <w:marTop w:val="0"/>
              <w:marBottom w:val="0"/>
              <w:divBdr>
                <w:top w:val="none" w:sz="0" w:space="0" w:color="auto"/>
                <w:left w:val="none" w:sz="0" w:space="0" w:color="auto"/>
                <w:bottom w:val="none" w:sz="0" w:space="0" w:color="auto"/>
                <w:right w:val="none" w:sz="0" w:space="0" w:color="auto"/>
              </w:divBdr>
            </w:div>
            <w:div w:id="458644345">
              <w:marLeft w:val="0"/>
              <w:marRight w:val="0"/>
              <w:marTop w:val="0"/>
              <w:marBottom w:val="0"/>
              <w:divBdr>
                <w:top w:val="none" w:sz="0" w:space="0" w:color="auto"/>
                <w:left w:val="none" w:sz="0" w:space="0" w:color="auto"/>
                <w:bottom w:val="none" w:sz="0" w:space="0" w:color="auto"/>
                <w:right w:val="none" w:sz="0" w:space="0" w:color="auto"/>
              </w:divBdr>
            </w:div>
            <w:div w:id="493179951">
              <w:marLeft w:val="0"/>
              <w:marRight w:val="0"/>
              <w:marTop w:val="0"/>
              <w:marBottom w:val="0"/>
              <w:divBdr>
                <w:top w:val="none" w:sz="0" w:space="0" w:color="auto"/>
                <w:left w:val="none" w:sz="0" w:space="0" w:color="auto"/>
                <w:bottom w:val="none" w:sz="0" w:space="0" w:color="auto"/>
                <w:right w:val="none" w:sz="0" w:space="0" w:color="auto"/>
              </w:divBdr>
            </w:div>
            <w:div w:id="530843918">
              <w:marLeft w:val="0"/>
              <w:marRight w:val="0"/>
              <w:marTop w:val="0"/>
              <w:marBottom w:val="0"/>
              <w:divBdr>
                <w:top w:val="none" w:sz="0" w:space="0" w:color="auto"/>
                <w:left w:val="none" w:sz="0" w:space="0" w:color="auto"/>
                <w:bottom w:val="none" w:sz="0" w:space="0" w:color="auto"/>
                <w:right w:val="none" w:sz="0" w:space="0" w:color="auto"/>
              </w:divBdr>
            </w:div>
            <w:div w:id="623541472">
              <w:marLeft w:val="0"/>
              <w:marRight w:val="0"/>
              <w:marTop w:val="0"/>
              <w:marBottom w:val="0"/>
              <w:divBdr>
                <w:top w:val="none" w:sz="0" w:space="0" w:color="auto"/>
                <w:left w:val="none" w:sz="0" w:space="0" w:color="auto"/>
                <w:bottom w:val="none" w:sz="0" w:space="0" w:color="auto"/>
                <w:right w:val="none" w:sz="0" w:space="0" w:color="auto"/>
              </w:divBdr>
            </w:div>
            <w:div w:id="642589531">
              <w:marLeft w:val="0"/>
              <w:marRight w:val="0"/>
              <w:marTop w:val="0"/>
              <w:marBottom w:val="0"/>
              <w:divBdr>
                <w:top w:val="none" w:sz="0" w:space="0" w:color="auto"/>
                <w:left w:val="none" w:sz="0" w:space="0" w:color="auto"/>
                <w:bottom w:val="none" w:sz="0" w:space="0" w:color="auto"/>
                <w:right w:val="none" w:sz="0" w:space="0" w:color="auto"/>
              </w:divBdr>
            </w:div>
            <w:div w:id="651980390">
              <w:marLeft w:val="0"/>
              <w:marRight w:val="0"/>
              <w:marTop w:val="0"/>
              <w:marBottom w:val="0"/>
              <w:divBdr>
                <w:top w:val="none" w:sz="0" w:space="0" w:color="auto"/>
                <w:left w:val="none" w:sz="0" w:space="0" w:color="auto"/>
                <w:bottom w:val="none" w:sz="0" w:space="0" w:color="auto"/>
                <w:right w:val="none" w:sz="0" w:space="0" w:color="auto"/>
              </w:divBdr>
            </w:div>
            <w:div w:id="737633989">
              <w:marLeft w:val="0"/>
              <w:marRight w:val="0"/>
              <w:marTop w:val="0"/>
              <w:marBottom w:val="0"/>
              <w:divBdr>
                <w:top w:val="none" w:sz="0" w:space="0" w:color="auto"/>
                <w:left w:val="none" w:sz="0" w:space="0" w:color="auto"/>
                <w:bottom w:val="none" w:sz="0" w:space="0" w:color="auto"/>
                <w:right w:val="none" w:sz="0" w:space="0" w:color="auto"/>
              </w:divBdr>
            </w:div>
            <w:div w:id="762606924">
              <w:marLeft w:val="0"/>
              <w:marRight w:val="0"/>
              <w:marTop w:val="0"/>
              <w:marBottom w:val="0"/>
              <w:divBdr>
                <w:top w:val="none" w:sz="0" w:space="0" w:color="auto"/>
                <w:left w:val="none" w:sz="0" w:space="0" w:color="auto"/>
                <w:bottom w:val="none" w:sz="0" w:space="0" w:color="auto"/>
                <w:right w:val="none" w:sz="0" w:space="0" w:color="auto"/>
              </w:divBdr>
            </w:div>
            <w:div w:id="863396662">
              <w:marLeft w:val="0"/>
              <w:marRight w:val="0"/>
              <w:marTop w:val="0"/>
              <w:marBottom w:val="0"/>
              <w:divBdr>
                <w:top w:val="none" w:sz="0" w:space="0" w:color="auto"/>
                <w:left w:val="none" w:sz="0" w:space="0" w:color="auto"/>
                <w:bottom w:val="none" w:sz="0" w:space="0" w:color="auto"/>
                <w:right w:val="none" w:sz="0" w:space="0" w:color="auto"/>
              </w:divBdr>
            </w:div>
            <w:div w:id="867722379">
              <w:marLeft w:val="0"/>
              <w:marRight w:val="0"/>
              <w:marTop w:val="0"/>
              <w:marBottom w:val="0"/>
              <w:divBdr>
                <w:top w:val="none" w:sz="0" w:space="0" w:color="auto"/>
                <w:left w:val="none" w:sz="0" w:space="0" w:color="auto"/>
                <w:bottom w:val="none" w:sz="0" w:space="0" w:color="auto"/>
                <w:right w:val="none" w:sz="0" w:space="0" w:color="auto"/>
              </w:divBdr>
            </w:div>
            <w:div w:id="883325555">
              <w:marLeft w:val="0"/>
              <w:marRight w:val="0"/>
              <w:marTop w:val="0"/>
              <w:marBottom w:val="0"/>
              <w:divBdr>
                <w:top w:val="none" w:sz="0" w:space="0" w:color="auto"/>
                <w:left w:val="none" w:sz="0" w:space="0" w:color="auto"/>
                <w:bottom w:val="none" w:sz="0" w:space="0" w:color="auto"/>
                <w:right w:val="none" w:sz="0" w:space="0" w:color="auto"/>
              </w:divBdr>
            </w:div>
            <w:div w:id="953632229">
              <w:marLeft w:val="0"/>
              <w:marRight w:val="0"/>
              <w:marTop w:val="0"/>
              <w:marBottom w:val="0"/>
              <w:divBdr>
                <w:top w:val="none" w:sz="0" w:space="0" w:color="auto"/>
                <w:left w:val="none" w:sz="0" w:space="0" w:color="auto"/>
                <w:bottom w:val="none" w:sz="0" w:space="0" w:color="auto"/>
                <w:right w:val="none" w:sz="0" w:space="0" w:color="auto"/>
              </w:divBdr>
            </w:div>
            <w:div w:id="995457460">
              <w:marLeft w:val="0"/>
              <w:marRight w:val="0"/>
              <w:marTop w:val="0"/>
              <w:marBottom w:val="0"/>
              <w:divBdr>
                <w:top w:val="none" w:sz="0" w:space="0" w:color="auto"/>
                <w:left w:val="none" w:sz="0" w:space="0" w:color="auto"/>
                <w:bottom w:val="none" w:sz="0" w:space="0" w:color="auto"/>
                <w:right w:val="none" w:sz="0" w:space="0" w:color="auto"/>
              </w:divBdr>
            </w:div>
            <w:div w:id="1055931091">
              <w:marLeft w:val="0"/>
              <w:marRight w:val="0"/>
              <w:marTop w:val="0"/>
              <w:marBottom w:val="0"/>
              <w:divBdr>
                <w:top w:val="none" w:sz="0" w:space="0" w:color="auto"/>
                <w:left w:val="none" w:sz="0" w:space="0" w:color="auto"/>
                <w:bottom w:val="none" w:sz="0" w:space="0" w:color="auto"/>
                <w:right w:val="none" w:sz="0" w:space="0" w:color="auto"/>
              </w:divBdr>
            </w:div>
            <w:div w:id="1076123363">
              <w:marLeft w:val="0"/>
              <w:marRight w:val="0"/>
              <w:marTop w:val="0"/>
              <w:marBottom w:val="0"/>
              <w:divBdr>
                <w:top w:val="none" w:sz="0" w:space="0" w:color="auto"/>
                <w:left w:val="none" w:sz="0" w:space="0" w:color="auto"/>
                <w:bottom w:val="none" w:sz="0" w:space="0" w:color="auto"/>
                <w:right w:val="none" w:sz="0" w:space="0" w:color="auto"/>
              </w:divBdr>
            </w:div>
            <w:div w:id="1123841681">
              <w:marLeft w:val="0"/>
              <w:marRight w:val="0"/>
              <w:marTop w:val="0"/>
              <w:marBottom w:val="0"/>
              <w:divBdr>
                <w:top w:val="none" w:sz="0" w:space="0" w:color="auto"/>
                <w:left w:val="none" w:sz="0" w:space="0" w:color="auto"/>
                <w:bottom w:val="none" w:sz="0" w:space="0" w:color="auto"/>
                <w:right w:val="none" w:sz="0" w:space="0" w:color="auto"/>
              </w:divBdr>
            </w:div>
            <w:div w:id="1148746450">
              <w:marLeft w:val="0"/>
              <w:marRight w:val="0"/>
              <w:marTop w:val="0"/>
              <w:marBottom w:val="0"/>
              <w:divBdr>
                <w:top w:val="none" w:sz="0" w:space="0" w:color="auto"/>
                <w:left w:val="none" w:sz="0" w:space="0" w:color="auto"/>
                <w:bottom w:val="none" w:sz="0" w:space="0" w:color="auto"/>
                <w:right w:val="none" w:sz="0" w:space="0" w:color="auto"/>
              </w:divBdr>
            </w:div>
            <w:div w:id="1150708234">
              <w:marLeft w:val="0"/>
              <w:marRight w:val="0"/>
              <w:marTop w:val="0"/>
              <w:marBottom w:val="0"/>
              <w:divBdr>
                <w:top w:val="none" w:sz="0" w:space="0" w:color="auto"/>
                <w:left w:val="none" w:sz="0" w:space="0" w:color="auto"/>
                <w:bottom w:val="none" w:sz="0" w:space="0" w:color="auto"/>
                <w:right w:val="none" w:sz="0" w:space="0" w:color="auto"/>
              </w:divBdr>
            </w:div>
            <w:div w:id="1181892968">
              <w:marLeft w:val="0"/>
              <w:marRight w:val="0"/>
              <w:marTop w:val="0"/>
              <w:marBottom w:val="0"/>
              <w:divBdr>
                <w:top w:val="none" w:sz="0" w:space="0" w:color="auto"/>
                <w:left w:val="none" w:sz="0" w:space="0" w:color="auto"/>
                <w:bottom w:val="none" w:sz="0" w:space="0" w:color="auto"/>
                <w:right w:val="none" w:sz="0" w:space="0" w:color="auto"/>
              </w:divBdr>
            </w:div>
            <w:div w:id="1345789585">
              <w:marLeft w:val="0"/>
              <w:marRight w:val="0"/>
              <w:marTop w:val="0"/>
              <w:marBottom w:val="0"/>
              <w:divBdr>
                <w:top w:val="none" w:sz="0" w:space="0" w:color="auto"/>
                <w:left w:val="none" w:sz="0" w:space="0" w:color="auto"/>
                <w:bottom w:val="none" w:sz="0" w:space="0" w:color="auto"/>
                <w:right w:val="none" w:sz="0" w:space="0" w:color="auto"/>
              </w:divBdr>
            </w:div>
            <w:div w:id="1412895229">
              <w:marLeft w:val="0"/>
              <w:marRight w:val="0"/>
              <w:marTop w:val="0"/>
              <w:marBottom w:val="0"/>
              <w:divBdr>
                <w:top w:val="none" w:sz="0" w:space="0" w:color="auto"/>
                <w:left w:val="none" w:sz="0" w:space="0" w:color="auto"/>
                <w:bottom w:val="none" w:sz="0" w:space="0" w:color="auto"/>
                <w:right w:val="none" w:sz="0" w:space="0" w:color="auto"/>
              </w:divBdr>
            </w:div>
            <w:div w:id="1489205523">
              <w:marLeft w:val="0"/>
              <w:marRight w:val="0"/>
              <w:marTop w:val="0"/>
              <w:marBottom w:val="0"/>
              <w:divBdr>
                <w:top w:val="none" w:sz="0" w:space="0" w:color="auto"/>
                <w:left w:val="none" w:sz="0" w:space="0" w:color="auto"/>
                <w:bottom w:val="none" w:sz="0" w:space="0" w:color="auto"/>
                <w:right w:val="none" w:sz="0" w:space="0" w:color="auto"/>
              </w:divBdr>
            </w:div>
            <w:div w:id="1618490182">
              <w:marLeft w:val="0"/>
              <w:marRight w:val="0"/>
              <w:marTop w:val="0"/>
              <w:marBottom w:val="0"/>
              <w:divBdr>
                <w:top w:val="none" w:sz="0" w:space="0" w:color="auto"/>
                <w:left w:val="none" w:sz="0" w:space="0" w:color="auto"/>
                <w:bottom w:val="none" w:sz="0" w:space="0" w:color="auto"/>
                <w:right w:val="none" w:sz="0" w:space="0" w:color="auto"/>
              </w:divBdr>
            </w:div>
            <w:div w:id="1768580785">
              <w:marLeft w:val="0"/>
              <w:marRight w:val="0"/>
              <w:marTop w:val="0"/>
              <w:marBottom w:val="0"/>
              <w:divBdr>
                <w:top w:val="none" w:sz="0" w:space="0" w:color="auto"/>
                <w:left w:val="none" w:sz="0" w:space="0" w:color="auto"/>
                <w:bottom w:val="none" w:sz="0" w:space="0" w:color="auto"/>
                <w:right w:val="none" w:sz="0" w:space="0" w:color="auto"/>
              </w:divBdr>
            </w:div>
            <w:div w:id="1924680674">
              <w:marLeft w:val="0"/>
              <w:marRight w:val="0"/>
              <w:marTop w:val="0"/>
              <w:marBottom w:val="0"/>
              <w:divBdr>
                <w:top w:val="none" w:sz="0" w:space="0" w:color="auto"/>
                <w:left w:val="none" w:sz="0" w:space="0" w:color="auto"/>
                <w:bottom w:val="none" w:sz="0" w:space="0" w:color="auto"/>
                <w:right w:val="none" w:sz="0" w:space="0" w:color="auto"/>
              </w:divBdr>
            </w:div>
            <w:div w:id="1935742612">
              <w:marLeft w:val="0"/>
              <w:marRight w:val="0"/>
              <w:marTop w:val="0"/>
              <w:marBottom w:val="0"/>
              <w:divBdr>
                <w:top w:val="none" w:sz="0" w:space="0" w:color="auto"/>
                <w:left w:val="none" w:sz="0" w:space="0" w:color="auto"/>
                <w:bottom w:val="none" w:sz="0" w:space="0" w:color="auto"/>
                <w:right w:val="none" w:sz="0" w:space="0" w:color="auto"/>
              </w:divBdr>
            </w:div>
            <w:div w:id="2017223285">
              <w:marLeft w:val="0"/>
              <w:marRight w:val="0"/>
              <w:marTop w:val="0"/>
              <w:marBottom w:val="0"/>
              <w:divBdr>
                <w:top w:val="none" w:sz="0" w:space="0" w:color="auto"/>
                <w:left w:val="none" w:sz="0" w:space="0" w:color="auto"/>
                <w:bottom w:val="none" w:sz="0" w:space="0" w:color="auto"/>
                <w:right w:val="none" w:sz="0" w:space="0" w:color="auto"/>
              </w:divBdr>
            </w:div>
            <w:div w:id="2042002528">
              <w:marLeft w:val="0"/>
              <w:marRight w:val="0"/>
              <w:marTop w:val="0"/>
              <w:marBottom w:val="0"/>
              <w:divBdr>
                <w:top w:val="none" w:sz="0" w:space="0" w:color="auto"/>
                <w:left w:val="none" w:sz="0" w:space="0" w:color="auto"/>
                <w:bottom w:val="none" w:sz="0" w:space="0" w:color="auto"/>
                <w:right w:val="none" w:sz="0" w:space="0" w:color="auto"/>
              </w:divBdr>
            </w:div>
            <w:div w:id="21115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07701">
      <w:bodyDiv w:val="1"/>
      <w:marLeft w:val="0"/>
      <w:marRight w:val="0"/>
      <w:marTop w:val="0"/>
      <w:marBottom w:val="0"/>
      <w:divBdr>
        <w:top w:val="none" w:sz="0" w:space="0" w:color="auto"/>
        <w:left w:val="none" w:sz="0" w:space="0" w:color="auto"/>
        <w:bottom w:val="none" w:sz="0" w:space="0" w:color="auto"/>
        <w:right w:val="none" w:sz="0" w:space="0" w:color="auto"/>
      </w:divBdr>
    </w:div>
    <w:div w:id="258761135">
      <w:bodyDiv w:val="1"/>
      <w:marLeft w:val="0"/>
      <w:marRight w:val="0"/>
      <w:marTop w:val="0"/>
      <w:marBottom w:val="0"/>
      <w:divBdr>
        <w:top w:val="none" w:sz="0" w:space="0" w:color="auto"/>
        <w:left w:val="none" w:sz="0" w:space="0" w:color="auto"/>
        <w:bottom w:val="none" w:sz="0" w:space="0" w:color="auto"/>
        <w:right w:val="none" w:sz="0" w:space="0" w:color="auto"/>
      </w:divBdr>
    </w:div>
    <w:div w:id="262152421">
      <w:bodyDiv w:val="1"/>
      <w:marLeft w:val="0"/>
      <w:marRight w:val="0"/>
      <w:marTop w:val="0"/>
      <w:marBottom w:val="0"/>
      <w:divBdr>
        <w:top w:val="none" w:sz="0" w:space="0" w:color="auto"/>
        <w:left w:val="none" w:sz="0" w:space="0" w:color="auto"/>
        <w:bottom w:val="none" w:sz="0" w:space="0" w:color="auto"/>
        <w:right w:val="none" w:sz="0" w:space="0" w:color="auto"/>
      </w:divBdr>
    </w:div>
    <w:div w:id="278799006">
      <w:bodyDiv w:val="1"/>
      <w:marLeft w:val="0"/>
      <w:marRight w:val="0"/>
      <w:marTop w:val="0"/>
      <w:marBottom w:val="0"/>
      <w:divBdr>
        <w:top w:val="none" w:sz="0" w:space="0" w:color="auto"/>
        <w:left w:val="none" w:sz="0" w:space="0" w:color="auto"/>
        <w:bottom w:val="none" w:sz="0" w:space="0" w:color="auto"/>
        <w:right w:val="none" w:sz="0" w:space="0" w:color="auto"/>
      </w:divBdr>
      <w:divsChild>
        <w:div w:id="386805366">
          <w:marLeft w:val="274"/>
          <w:marRight w:val="0"/>
          <w:marTop w:val="80"/>
          <w:marBottom w:val="0"/>
          <w:divBdr>
            <w:top w:val="none" w:sz="0" w:space="0" w:color="auto"/>
            <w:left w:val="none" w:sz="0" w:space="0" w:color="auto"/>
            <w:bottom w:val="none" w:sz="0" w:space="0" w:color="auto"/>
            <w:right w:val="none" w:sz="0" w:space="0" w:color="auto"/>
          </w:divBdr>
        </w:div>
        <w:div w:id="576474030">
          <w:marLeft w:val="274"/>
          <w:marRight w:val="0"/>
          <w:marTop w:val="80"/>
          <w:marBottom w:val="0"/>
          <w:divBdr>
            <w:top w:val="none" w:sz="0" w:space="0" w:color="auto"/>
            <w:left w:val="none" w:sz="0" w:space="0" w:color="auto"/>
            <w:bottom w:val="none" w:sz="0" w:space="0" w:color="auto"/>
            <w:right w:val="none" w:sz="0" w:space="0" w:color="auto"/>
          </w:divBdr>
        </w:div>
        <w:div w:id="1556161601">
          <w:marLeft w:val="274"/>
          <w:marRight w:val="0"/>
          <w:marTop w:val="80"/>
          <w:marBottom w:val="0"/>
          <w:divBdr>
            <w:top w:val="none" w:sz="0" w:space="0" w:color="auto"/>
            <w:left w:val="none" w:sz="0" w:space="0" w:color="auto"/>
            <w:bottom w:val="none" w:sz="0" w:space="0" w:color="auto"/>
            <w:right w:val="none" w:sz="0" w:space="0" w:color="auto"/>
          </w:divBdr>
        </w:div>
        <w:div w:id="1584217818">
          <w:marLeft w:val="274"/>
          <w:marRight w:val="0"/>
          <w:marTop w:val="80"/>
          <w:marBottom w:val="0"/>
          <w:divBdr>
            <w:top w:val="none" w:sz="0" w:space="0" w:color="auto"/>
            <w:left w:val="none" w:sz="0" w:space="0" w:color="auto"/>
            <w:bottom w:val="none" w:sz="0" w:space="0" w:color="auto"/>
            <w:right w:val="none" w:sz="0" w:space="0" w:color="auto"/>
          </w:divBdr>
        </w:div>
        <w:div w:id="1772319060">
          <w:marLeft w:val="274"/>
          <w:marRight w:val="0"/>
          <w:marTop w:val="80"/>
          <w:marBottom w:val="0"/>
          <w:divBdr>
            <w:top w:val="none" w:sz="0" w:space="0" w:color="auto"/>
            <w:left w:val="none" w:sz="0" w:space="0" w:color="auto"/>
            <w:bottom w:val="none" w:sz="0" w:space="0" w:color="auto"/>
            <w:right w:val="none" w:sz="0" w:space="0" w:color="auto"/>
          </w:divBdr>
        </w:div>
        <w:div w:id="2138377861">
          <w:marLeft w:val="274"/>
          <w:marRight w:val="0"/>
          <w:marTop w:val="80"/>
          <w:marBottom w:val="0"/>
          <w:divBdr>
            <w:top w:val="none" w:sz="0" w:space="0" w:color="auto"/>
            <w:left w:val="none" w:sz="0" w:space="0" w:color="auto"/>
            <w:bottom w:val="none" w:sz="0" w:space="0" w:color="auto"/>
            <w:right w:val="none" w:sz="0" w:space="0" w:color="auto"/>
          </w:divBdr>
        </w:div>
      </w:divsChild>
    </w:div>
    <w:div w:id="300963824">
      <w:bodyDiv w:val="1"/>
      <w:marLeft w:val="0"/>
      <w:marRight w:val="0"/>
      <w:marTop w:val="0"/>
      <w:marBottom w:val="0"/>
      <w:divBdr>
        <w:top w:val="none" w:sz="0" w:space="0" w:color="auto"/>
        <w:left w:val="none" w:sz="0" w:space="0" w:color="auto"/>
        <w:bottom w:val="none" w:sz="0" w:space="0" w:color="auto"/>
        <w:right w:val="none" w:sz="0" w:space="0" w:color="auto"/>
      </w:divBdr>
      <w:divsChild>
        <w:div w:id="1539078997">
          <w:marLeft w:val="0"/>
          <w:marRight w:val="0"/>
          <w:marTop w:val="0"/>
          <w:marBottom w:val="0"/>
          <w:divBdr>
            <w:top w:val="none" w:sz="0" w:space="0" w:color="auto"/>
            <w:left w:val="none" w:sz="0" w:space="0" w:color="auto"/>
            <w:bottom w:val="none" w:sz="0" w:space="0" w:color="auto"/>
            <w:right w:val="none" w:sz="0" w:space="0" w:color="auto"/>
          </w:divBdr>
          <w:divsChild>
            <w:div w:id="322469075">
              <w:marLeft w:val="0"/>
              <w:marRight w:val="0"/>
              <w:marTop w:val="0"/>
              <w:marBottom w:val="0"/>
              <w:divBdr>
                <w:top w:val="none" w:sz="0" w:space="0" w:color="auto"/>
                <w:left w:val="none" w:sz="0" w:space="0" w:color="auto"/>
                <w:bottom w:val="none" w:sz="0" w:space="0" w:color="auto"/>
                <w:right w:val="none" w:sz="0" w:space="0" w:color="auto"/>
              </w:divBdr>
            </w:div>
            <w:div w:id="1251812171">
              <w:marLeft w:val="0"/>
              <w:marRight w:val="0"/>
              <w:marTop w:val="0"/>
              <w:marBottom w:val="0"/>
              <w:divBdr>
                <w:top w:val="none" w:sz="0" w:space="0" w:color="auto"/>
                <w:left w:val="none" w:sz="0" w:space="0" w:color="auto"/>
                <w:bottom w:val="none" w:sz="0" w:space="0" w:color="auto"/>
                <w:right w:val="none" w:sz="0" w:space="0" w:color="auto"/>
              </w:divBdr>
            </w:div>
            <w:div w:id="1354570650">
              <w:marLeft w:val="0"/>
              <w:marRight w:val="0"/>
              <w:marTop w:val="0"/>
              <w:marBottom w:val="0"/>
              <w:divBdr>
                <w:top w:val="none" w:sz="0" w:space="0" w:color="auto"/>
                <w:left w:val="none" w:sz="0" w:space="0" w:color="auto"/>
                <w:bottom w:val="none" w:sz="0" w:space="0" w:color="auto"/>
                <w:right w:val="none" w:sz="0" w:space="0" w:color="auto"/>
              </w:divBdr>
            </w:div>
            <w:div w:id="1669940347">
              <w:marLeft w:val="0"/>
              <w:marRight w:val="0"/>
              <w:marTop w:val="0"/>
              <w:marBottom w:val="0"/>
              <w:divBdr>
                <w:top w:val="none" w:sz="0" w:space="0" w:color="auto"/>
                <w:left w:val="none" w:sz="0" w:space="0" w:color="auto"/>
                <w:bottom w:val="none" w:sz="0" w:space="0" w:color="auto"/>
                <w:right w:val="none" w:sz="0" w:space="0" w:color="auto"/>
              </w:divBdr>
            </w:div>
            <w:div w:id="1783570651">
              <w:marLeft w:val="0"/>
              <w:marRight w:val="0"/>
              <w:marTop w:val="0"/>
              <w:marBottom w:val="0"/>
              <w:divBdr>
                <w:top w:val="none" w:sz="0" w:space="0" w:color="auto"/>
                <w:left w:val="none" w:sz="0" w:space="0" w:color="auto"/>
                <w:bottom w:val="none" w:sz="0" w:space="0" w:color="auto"/>
                <w:right w:val="none" w:sz="0" w:space="0" w:color="auto"/>
              </w:divBdr>
            </w:div>
            <w:div w:id="18967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6984">
      <w:bodyDiv w:val="1"/>
      <w:marLeft w:val="0"/>
      <w:marRight w:val="0"/>
      <w:marTop w:val="0"/>
      <w:marBottom w:val="0"/>
      <w:divBdr>
        <w:top w:val="none" w:sz="0" w:space="0" w:color="auto"/>
        <w:left w:val="none" w:sz="0" w:space="0" w:color="auto"/>
        <w:bottom w:val="none" w:sz="0" w:space="0" w:color="auto"/>
        <w:right w:val="none" w:sz="0" w:space="0" w:color="auto"/>
      </w:divBdr>
    </w:div>
    <w:div w:id="311372718">
      <w:bodyDiv w:val="1"/>
      <w:marLeft w:val="0"/>
      <w:marRight w:val="0"/>
      <w:marTop w:val="0"/>
      <w:marBottom w:val="0"/>
      <w:divBdr>
        <w:top w:val="none" w:sz="0" w:space="0" w:color="auto"/>
        <w:left w:val="none" w:sz="0" w:space="0" w:color="auto"/>
        <w:bottom w:val="none" w:sz="0" w:space="0" w:color="auto"/>
        <w:right w:val="none" w:sz="0" w:space="0" w:color="auto"/>
      </w:divBdr>
    </w:div>
    <w:div w:id="327099141">
      <w:bodyDiv w:val="1"/>
      <w:marLeft w:val="0"/>
      <w:marRight w:val="0"/>
      <w:marTop w:val="0"/>
      <w:marBottom w:val="0"/>
      <w:divBdr>
        <w:top w:val="none" w:sz="0" w:space="0" w:color="auto"/>
        <w:left w:val="none" w:sz="0" w:space="0" w:color="auto"/>
        <w:bottom w:val="none" w:sz="0" w:space="0" w:color="auto"/>
        <w:right w:val="none" w:sz="0" w:space="0" w:color="auto"/>
      </w:divBdr>
    </w:div>
    <w:div w:id="332221485">
      <w:bodyDiv w:val="1"/>
      <w:marLeft w:val="0"/>
      <w:marRight w:val="0"/>
      <w:marTop w:val="0"/>
      <w:marBottom w:val="0"/>
      <w:divBdr>
        <w:top w:val="none" w:sz="0" w:space="0" w:color="auto"/>
        <w:left w:val="none" w:sz="0" w:space="0" w:color="auto"/>
        <w:bottom w:val="none" w:sz="0" w:space="0" w:color="auto"/>
        <w:right w:val="none" w:sz="0" w:space="0" w:color="auto"/>
      </w:divBdr>
    </w:div>
    <w:div w:id="339044788">
      <w:bodyDiv w:val="1"/>
      <w:marLeft w:val="0"/>
      <w:marRight w:val="0"/>
      <w:marTop w:val="0"/>
      <w:marBottom w:val="0"/>
      <w:divBdr>
        <w:top w:val="none" w:sz="0" w:space="0" w:color="auto"/>
        <w:left w:val="none" w:sz="0" w:space="0" w:color="auto"/>
        <w:bottom w:val="none" w:sz="0" w:space="0" w:color="auto"/>
        <w:right w:val="none" w:sz="0" w:space="0" w:color="auto"/>
      </w:divBdr>
      <w:divsChild>
        <w:div w:id="26687618">
          <w:marLeft w:val="0"/>
          <w:marRight w:val="0"/>
          <w:marTop w:val="0"/>
          <w:marBottom w:val="0"/>
          <w:divBdr>
            <w:top w:val="none" w:sz="0" w:space="0" w:color="auto"/>
            <w:left w:val="none" w:sz="0" w:space="0" w:color="auto"/>
            <w:bottom w:val="none" w:sz="0" w:space="0" w:color="auto"/>
            <w:right w:val="none" w:sz="0" w:space="0" w:color="auto"/>
          </w:divBdr>
          <w:divsChild>
            <w:div w:id="1845126815">
              <w:marLeft w:val="0"/>
              <w:marRight w:val="0"/>
              <w:marTop w:val="0"/>
              <w:marBottom w:val="0"/>
              <w:divBdr>
                <w:top w:val="none" w:sz="0" w:space="0" w:color="auto"/>
                <w:left w:val="none" w:sz="0" w:space="0" w:color="auto"/>
                <w:bottom w:val="none" w:sz="0" w:space="0" w:color="auto"/>
                <w:right w:val="none" w:sz="0" w:space="0" w:color="auto"/>
              </w:divBdr>
            </w:div>
          </w:divsChild>
        </w:div>
        <w:div w:id="51270435">
          <w:marLeft w:val="0"/>
          <w:marRight w:val="0"/>
          <w:marTop w:val="0"/>
          <w:marBottom w:val="0"/>
          <w:divBdr>
            <w:top w:val="none" w:sz="0" w:space="0" w:color="auto"/>
            <w:left w:val="none" w:sz="0" w:space="0" w:color="auto"/>
            <w:bottom w:val="none" w:sz="0" w:space="0" w:color="auto"/>
            <w:right w:val="none" w:sz="0" w:space="0" w:color="auto"/>
          </w:divBdr>
          <w:divsChild>
            <w:div w:id="972321510">
              <w:marLeft w:val="0"/>
              <w:marRight w:val="0"/>
              <w:marTop w:val="0"/>
              <w:marBottom w:val="0"/>
              <w:divBdr>
                <w:top w:val="none" w:sz="0" w:space="0" w:color="auto"/>
                <w:left w:val="none" w:sz="0" w:space="0" w:color="auto"/>
                <w:bottom w:val="none" w:sz="0" w:space="0" w:color="auto"/>
                <w:right w:val="none" w:sz="0" w:space="0" w:color="auto"/>
              </w:divBdr>
            </w:div>
          </w:divsChild>
        </w:div>
        <w:div w:id="77945385">
          <w:marLeft w:val="0"/>
          <w:marRight w:val="0"/>
          <w:marTop w:val="0"/>
          <w:marBottom w:val="0"/>
          <w:divBdr>
            <w:top w:val="none" w:sz="0" w:space="0" w:color="auto"/>
            <w:left w:val="none" w:sz="0" w:space="0" w:color="auto"/>
            <w:bottom w:val="none" w:sz="0" w:space="0" w:color="auto"/>
            <w:right w:val="none" w:sz="0" w:space="0" w:color="auto"/>
          </w:divBdr>
          <w:divsChild>
            <w:div w:id="1000080845">
              <w:marLeft w:val="0"/>
              <w:marRight w:val="0"/>
              <w:marTop w:val="0"/>
              <w:marBottom w:val="0"/>
              <w:divBdr>
                <w:top w:val="none" w:sz="0" w:space="0" w:color="auto"/>
                <w:left w:val="none" w:sz="0" w:space="0" w:color="auto"/>
                <w:bottom w:val="none" w:sz="0" w:space="0" w:color="auto"/>
                <w:right w:val="none" w:sz="0" w:space="0" w:color="auto"/>
              </w:divBdr>
            </w:div>
          </w:divsChild>
        </w:div>
        <w:div w:id="124197863">
          <w:marLeft w:val="0"/>
          <w:marRight w:val="0"/>
          <w:marTop w:val="0"/>
          <w:marBottom w:val="0"/>
          <w:divBdr>
            <w:top w:val="none" w:sz="0" w:space="0" w:color="auto"/>
            <w:left w:val="none" w:sz="0" w:space="0" w:color="auto"/>
            <w:bottom w:val="none" w:sz="0" w:space="0" w:color="auto"/>
            <w:right w:val="none" w:sz="0" w:space="0" w:color="auto"/>
          </w:divBdr>
          <w:divsChild>
            <w:div w:id="2126540207">
              <w:marLeft w:val="0"/>
              <w:marRight w:val="0"/>
              <w:marTop w:val="0"/>
              <w:marBottom w:val="0"/>
              <w:divBdr>
                <w:top w:val="none" w:sz="0" w:space="0" w:color="auto"/>
                <w:left w:val="none" w:sz="0" w:space="0" w:color="auto"/>
                <w:bottom w:val="none" w:sz="0" w:space="0" w:color="auto"/>
                <w:right w:val="none" w:sz="0" w:space="0" w:color="auto"/>
              </w:divBdr>
            </w:div>
          </w:divsChild>
        </w:div>
        <w:div w:id="126363037">
          <w:marLeft w:val="0"/>
          <w:marRight w:val="0"/>
          <w:marTop w:val="0"/>
          <w:marBottom w:val="0"/>
          <w:divBdr>
            <w:top w:val="none" w:sz="0" w:space="0" w:color="auto"/>
            <w:left w:val="none" w:sz="0" w:space="0" w:color="auto"/>
            <w:bottom w:val="none" w:sz="0" w:space="0" w:color="auto"/>
            <w:right w:val="none" w:sz="0" w:space="0" w:color="auto"/>
          </w:divBdr>
          <w:divsChild>
            <w:div w:id="198470657">
              <w:marLeft w:val="0"/>
              <w:marRight w:val="0"/>
              <w:marTop w:val="0"/>
              <w:marBottom w:val="0"/>
              <w:divBdr>
                <w:top w:val="none" w:sz="0" w:space="0" w:color="auto"/>
                <w:left w:val="none" w:sz="0" w:space="0" w:color="auto"/>
                <w:bottom w:val="none" w:sz="0" w:space="0" w:color="auto"/>
                <w:right w:val="none" w:sz="0" w:space="0" w:color="auto"/>
              </w:divBdr>
            </w:div>
          </w:divsChild>
        </w:div>
        <w:div w:id="183986645">
          <w:marLeft w:val="0"/>
          <w:marRight w:val="0"/>
          <w:marTop w:val="0"/>
          <w:marBottom w:val="0"/>
          <w:divBdr>
            <w:top w:val="none" w:sz="0" w:space="0" w:color="auto"/>
            <w:left w:val="none" w:sz="0" w:space="0" w:color="auto"/>
            <w:bottom w:val="none" w:sz="0" w:space="0" w:color="auto"/>
            <w:right w:val="none" w:sz="0" w:space="0" w:color="auto"/>
          </w:divBdr>
          <w:divsChild>
            <w:div w:id="1437359521">
              <w:marLeft w:val="0"/>
              <w:marRight w:val="0"/>
              <w:marTop w:val="0"/>
              <w:marBottom w:val="0"/>
              <w:divBdr>
                <w:top w:val="none" w:sz="0" w:space="0" w:color="auto"/>
                <w:left w:val="none" w:sz="0" w:space="0" w:color="auto"/>
                <w:bottom w:val="none" w:sz="0" w:space="0" w:color="auto"/>
                <w:right w:val="none" w:sz="0" w:space="0" w:color="auto"/>
              </w:divBdr>
            </w:div>
          </w:divsChild>
        </w:div>
        <w:div w:id="195503980">
          <w:marLeft w:val="0"/>
          <w:marRight w:val="0"/>
          <w:marTop w:val="0"/>
          <w:marBottom w:val="0"/>
          <w:divBdr>
            <w:top w:val="none" w:sz="0" w:space="0" w:color="auto"/>
            <w:left w:val="none" w:sz="0" w:space="0" w:color="auto"/>
            <w:bottom w:val="none" w:sz="0" w:space="0" w:color="auto"/>
            <w:right w:val="none" w:sz="0" w:space="0" w:color="auto"/>
          </w:divBdr>
          <w:divsChild>
            <w:div w:id="854612912">
              <w:marLeft w:val="0"/>
              <w:marRight w:val="0"/>
              <w:marTop w:val="0"/>
              <w:marBottom w:val="0"/>
              <w:divBdr>
                <w:top w:val="none" w:sz="0" w:space="0" w:color="auto"/>
                <w:left w:val="none" w:sz="0" w:space="0" w:color="auto"/>
                <w:bottom w:val="none" w:sz="0" w:space="0" w:color="auto"/>
                <w:right w:val="none" w:sz="0" w:space="0" w:color="auto"/>
              </w:divBdr>
            </w:div>
          </w:divsChild>
        </w:div>
        <w:div w:id="204342059">
          <w:marLeft w:val="0"/>
          <w:marRight w:val="0"/>
          <w:marTop w:val="0"/>
          <w:marBottom w:val="0"/>
          <w:divBdr>
            <w:top w:val="none" w:sz="0" w:space="0" w:color="auto"/>
            <w:left w:val="none" w:sz="0" w:space="0" w:color="auto"/>
            <w:bottom w:val="none" w:sz="0" w:space="0" w:color="auto"/>
            <w:right w:val="none" w:sz="0" w:space="0" w:color="auto"/>
          </w:divBdr>
          <w:divsChild>
            <w:div w:id="1015154212">
              <w:marLeft w:val="0"/>
              <w:marRight w:val="0"/>
              <w:marTop w:val="0"/>
              <w:marBottom w:val="0"/>
              <w:divBdr>
                <w:top w:val="none" w:sz="0" w:space="0" w:color="auto"/>
                <w:left w:val="none" w:sz="0" w:space="0" w:color="auto"/>
                <w:bottom w:val="none" w:sz="0" w:space="0" w:color="auto"/>
                <w:right w:val="none" w:sz="0" w:space="0" w:color="auto"/>
              </w:divBdr>
            </w:div>
          </w:divsChild>
        </w:div>
        <w:div w:id="226501593">
          <w:marLeft w:val="0"/>
          <w:marRight w:val="0"/>
          <w:marTop w:val="0"/>
          <w:marBottom w:val="0"/>
          <w:divBdr>
            <w:top w:val="none" w:sz="0" w:space="0" w:color="auto"/>
            <w:left w:val="none" w:sz="0" w:space="0" w:color="auto"/>
            <w:bottom w:val="none" w:sz="0" w:space="0" w:color="auto"/>
            <w:right w:val="none" w:sz="0" w:space="0" w:color="auto"/>
          </w:divBdr>
          <w:divsChild>
            <w:div w:id="435097371">
              <w:marLeft w:val="0"/>
              <w:marRight w:val="0"/>
              <w:marTop w:val="0"/>
              <w:marBottom w:val="0"/>
              <w:divBdr>
                <w:top w:val="none" w:sz="0" w:space="0" w:color="auto"/>
                <w:left w:val="none" w:sz="0" w:space="0" w:color="auto"/>
                <w:bottom w:val="none" w:sz="0" w:space="0" w:color="auto"/>
                <w:right w:val="none" w:sz="0" w:space="0" w:color="auto"/>
              </w:divBdr>
            </w:div>
          </w:divsChild>
        </w:div>
        <w:div w:id="273171427">
          <w:marLeft w:val="0"/>
          <w:marRight w:val="0"/>
          <w:marTop w:val="0"/>
          <w:marBottom w:val="0"/>
          <w:divBdr>
            <w:top w:val="none" w:sz="0" w:space="0" w:color="auto"/>
            <w:left w:val="none" w:sz="0" w:space="0" w:color="auto"/>
            <w:bottom w:val="none" w:sz="0" w:space="0" w:color="auto"/>
            <w:right w:val="none" w:sz="0" w:space="0" w:color="auto"/>
          </w:divBdr>
          <w:divsChild>
            <w:div w:id="146745110">
              <w:marLeft w:val="0"/>
              <w:marRight w:val="0"/>
              <w:marTop w:val="0"/>
              <w:marBottom w:val="0"/>
              <w:divBdr>
                <w:top w:val="none" w:sz="0" w:space="0" w:color="auto"/>
                <w:left w:val="none" w:sz="0" w:space="0" w:color="auto"/>
                <w:bottom w:val="none" w:sz="0" w:space="0" w:color="auto"/>
                <w:right w:val="none" w:sz="0" w:space="0" w:color="auto"/>
              </w:divBdr>
            </w:div>
          </w:divsChild>
        </w:div>
        <w:div w:id="309291519">
          <w:marLeft w:val="0"/>
          <w:marRight w:val="0"/>
          <w:marTop w:val="0"/>
          <w:marBottom w:val="0"/>
          <w:divBdr>
            <w:top w:val="none" w:sz="0" w:space="0" w:color="auto"/>
            <w:left w:val="none" w:sz="0" w:space="0" w:color="auto"/>
            <w:bottom w:val="none" w:sz="0" w:space="0" w:color="auto"/>
            <w:right w:val="none" w:sz="0" w:space="0" w:color="auto"/>
          </w:divBdr>
          <w:divsChild>
            <w:div w:id="535699078">
              <w:marLeft w:val="0"/>
              <w:marRight w:val="0"/>
              <w:marTop w:val="0"/>
              <w:marBottom w:val="0"/>
              <w:divBdr>
                <w:top w:val="none" w:sz="0" w:space="0" w:color="auto"/>
                <w:left w:val="none" w:sz="0" w:space="0" w:color="auto"/>
                <w:bottom w:val="none" w:sz="0" w:space="0" w:color="auto"/>
                <w:right w:val="none" w:sz="0" w:space="0" w:color="auto"/>
              </w:divBdr>
            </w:div>
          </w:divsChild>
        </w:div>
        <w:div w:id="334891311">
          <w:marLeft w:val="0"/>
          <w:marRight w:val="0"/>
          <w:marTop w:val="0"/>
          <w:marBottom w:val="0"/>
          <w:divBdr>
            <w:top w:val="none" w:sz="0" w:space="0" w:color="auto"/>
            <w:left w:val="none" w:sz="0" w:space="0" w:color="auto"/>
            <w:bottom w:val="none" w:sz="0" w:space="0" w:color="auto"/>
            <w:right w:val="none" w:sz="0" w:space="0" w:color="auto"/>
          </w:divBdr>
          <w:divsChild>
            <w:div w:id="1780876766">
              <w:marLeft w:val="0"/>
              <w:marRight w:val="0"/>
              <w:marTop w:val="0"/>
              <w:marBottom w:val="0"/>
              <w:divBdr>
                <w:top w:val="none" w:sz="0" w:space="0" w:color="auto"/>
                <w:left w:val="none" w:sz="0" w:space="0" w:color="auto"/>
                <w:bottom w:val="none" w:sz="0" w:space="0" w:color="auto"/>
                <w:right w:val="none" w:sz="0" w:space="0" w:color="auto"/>
              </w:divBdr>
            </w:div>
          </w:divsChild>
        </w:div>
        <w:div w:id="370155707">
          <w:marLeft w:val="0"/>
          <w:marRight w:val="0"/>
          <w:marTop w:val="0"/>
          <w:marBottom w:val="0"/>
          <w:divBdr>
            <w:top w:val="none" w:sz="0" w:space="0" w:color="auto"/>
            <w:left w:val="none" w:sz="0" w:space="0" w:color="auto"/>
            <w:bottom w:val="none" w:sz="0" w:space="0" w:color="auto"/>
            <w:right w:val="none" w:sz="0" w:space="0" w:color="auto"/>
          </w:divBdr>
          <w:divsChild>
            <w:div w:id="1220360994">
              <w:marLeft w:val="0"/>
              <w:marRight w:val="0"/>
              <w:marTop w:val="0"/>
              <w:marBottom w:val="0"/>
              <w:divBdr>
                <w:top w:val="none" w:sz="0" w:space="0" w:color="auto"/>
                <w:left w:val="none" w:sz="0" w:space="0" w:color="auto"/>
                <w:bottom w:val="none" w:sz="0" w:space="0" w:color="auto"/>
                <w:right w:val="none" w:sz="0" w:space="0" w:color="auto"/>
              </w:divBdr>
            </w:div>
          </w:divsChild>
        </w:div>
        <w:div w:id="383717740">
          <w:marLeft w:val="0"/>
          <w:marRight w:val="0"/>
          <w:marTop w:val="0"/>
          <w:marBottom w:val="0"/>
          <w:divBdr>
            <w:top w:val="none" w:sz="0" w:space="0" w:color="auto"/>
            <w:left w:val="none" w:sz="0" w:space="0" w:color="auto"/>
            <w:bottom w:val="none" w:sz="0" w:space="0" w:color="auto"/>
            <w:right w:val="none" w:sz="0" w:space="0" w:color="auto"/>
          </w:divBdr>
          <w:divsChild>
            <w:div w:id="826089755">
              <w:marLeft w:val="0"/>
              <w:marRight w:val="0"/>
              <w:marTop w:val="0"/>
              <w:marBottom w:val="0"/>
              <w:divBdr>
                <w:top w:val="none" w:sz="0" w:space="0" w:color="auto"/>
                <w:left w:val="none" w:sz="0" w:space="0" w:color="auto"/>
                <w:bottom w:val="none" w:sz="0" w:space="0" w:color="auto"/>
                <w:right w:val="none" w:sz="0" w:space="0" w:color="auto"/>
              </w:divBdr>
            </w:div>
          </w:divsChild>
        </w:div>
        <w:div w:id="391008653">
          <w:marLeft w:val="0"/>
          <w:marRight w:val="0"/>
          <w:marTop w:val="0"/>
          <w:marBottom w:val="0"/>
          <w:divBdr>
            <w:top w:val="none" w:sz="0" w:space="0" w:color="auto"/>
            <w:left w:val="none" w:sz="0" w:space="0" w:color="auto"/>
            <w:bottom w:val="none" w:sz="0" w:space="0" w:color="auto"/>
            <w:right w:val="none" w:sz="0" w:space="0" w:color="auto"/>
          </w:divBdr>
          <w:divsChild>
            <w:div w:id="450393754">
              <w:marLeft w:val="0"/>
              <w:marRight w:val="0"/>
              <w:marTop w:val="0"/>
              <w:marBottom w:val="0"/>
              <w:divBdr>
                <w:top w:val="none" w:sz="0" w:space="0" w:color="auto"/>
                <w:left w:val="none" w:sz="0" w:space="0" w:color="auto"/>
                <w:bottom w:val="none" w:sz="0" w:space="0" w:color="auto"/>
                <w:right w:val="none" w:sz="0" w:space="0" w:color="auto"/>
              </w:divBdr>
            </w:div>
          </w:divsChild>
        </w:div>
        <w:div w:id="407849583">
          <w:marLeft w:val="0"/>
          <w:marRight w:val="0"/>
          <w:marTop w:val="0"/>
          <w:marBottom w:val="0"/>
          <w:divBdr>
            <w:top w:val="none" w:sz="0" w:space="0" w:color="auto"/>
            <w:left w:val="none" w:sz="0" w:space="0" w:color="auto"/>
            <w:bottom w:val="none" w:sz="0" w:space="0" w:color="auto"/>
            <w:right w:val="none" w:sz="0" w:space="0" w:color="auto"/>
          </w:divBdr>
          <w:divsChild>
            <w:div w:id="1845048878">
              <w:marLeft w:val="0"/>
              <w:marRight w:val="0"/>
              <w:marTop w:val="0"/>
              <w:marBottom w:val="0"/>
              <w:divBdr>
                <w:top w:val="none" w:sz="0" w:space="0" w:color="auto"/>
                <w:left w:val="none" w:sz="0" w:space="0" w:color="auto"/>
                <w:bottom w:val="none" w:sz="0" w:space="0" w:color="auto"/>
                <w:right w:val="none" w:sz="0" w:space="0" w:color="auto"/>
              </w:divBdr>
            </w:div>
          </w:divsChild>
        </w:div>
        <w:div w:id="473106995">
          <w:marLeft w:val="0"/>
          <w:marRight w:val="0"/>
          <w:marTop w:val="0"/>
          <w:marBottom w:val="0"/>
          <w:divBdr>
            <w:top w:val="none" w:sz="0" w:space="0" w:color="auto"/>
            <w:left w:val="none" w:sz="0" w:space="0" w:color="auto"/>
            <w:bottom w:val="none" w:sz="0" w:space="0" w:color="auto"/>
            <w:right w:val="none" w:sz="0" w:space="0" w:color="auto"/>
          </w:divBdr>
          <w:divsChild>
            <w:div w:id="90051379">
              <w:marLeft w:val="0"/>
              <w:marRight w:val="0"/>
              <w:marTop w:val="0"/>
              <w:marBottom w:val="0"/>
              <w:divBdr>
                <w:top w:val="none" w:sz="0" w:space="0" w:color="auto"/>
                <w:left w:val="none" w:sz="0" w:space="0" w:color="auto"/>
                <w:bottom w:val="none" w:sz="0" w:space="0" w:color="auto"/>
                <w:right w:val="none" w:sz="0" w:space="0" w:color="auto"/>
              </w:divBdr>
            </w:div>
          </w:divsChild>
        </w:div>
        <w:div w:id="486555634">
          <w:marLeft w:val="0"/>
          <w:marRight w:val="0"/>
          <w:marTop w:val="0"/>
          <w:marBottom w:val="0"/>
          <w:divBdr>
            <w:top w:val="none" w:sz="0" w:space="0" w:color="auto"/>
            <w:left w:val="none" w:sz="0" w:space="0" w:color="auto"/>
            <w:bottom w:val="none" w:sz="0" w:space="0" w:color="auto"/>
            <w:right w:val="none" w:sz="0" w:space="0" w:color="auto"/>
          </w:divBdr>
          <w:divsChild>
            <w:div w:id="1159425556">
              <w:marLeft w:val="0"/>
              <w:marRight w:val="0"/>
              <w:marTop w:val="0"/>
              <w:marBottom w:val="0"/>
              <w:divBdr>
                <w:top w:val="none" w:sz="0" w:space="0" w:color="auto"/>
                <w:left w:val="none" w:sz="0" w:space="0" w:color="auto"/>
                <w:bottom w:val="none" w:sz="0" w:space="0" w:color="auto"/>
                <w:right w:val="none" w:sz="0" w:space="0" w:color="auto"/>
              </w:divBdr>
            </w:div>
          </w:divsChild>
        </w:div>
        <w:div w:id="496261837">
          <w:marLeft w:val="0"/>
          <w:marRight w:val="0"/>
          <w:marTop w:val="0"/>
          <w:marBottom w:val="0"/>
          <w:divBdr>
            <w:top w:val="none" w:sz="0" w:space="0" w:color="auto"/>
            <w:left w:val="none" w:sz="0" w:space="0" w:color="auto"/>
            <w:bottom w:val="none" w:sz="0" w:space="0" w:color="auto"/>
            <w:right w:val="none" w:sz="0" w:space="0" w:color="auto"/>
          </w:divBdr>
          <w:divsChild>
            <w:div w:id="1067458723">
              <w:marLeft w:val="0"/>
              <w:marRight w:val="0"/>
              <w:marTop w:val="0"/>
              <w:marBottom w:val="0"/>
              <w:divBdr>
                <w:top w:val="none" w:sz="0" w:space="0" w:color="auto"/>
                <w:left w:val="none" w:sz="0" w:space="0" w:color="auto"/>
                <w:bottom w:val="none" w:sz="0" w:space="0" w:color="auto"/>
                <w:right w:val="none" w:sz="0" w:space="0" w:color="auto"/>
              </w:divBdr>
            </w:div>
          </w:divsChild>
        </w:div>
        <w:div w:id="506555431">
          <w:marLeft w:val="0"/>
          <w:marRight w:val="0"/>
          <w:marTop w:val="0"/>
          <w:marBottom w:val="0"/>
          <w:divBdr>
            <w:top w:val="none" w:sz="0" w:space="0" w:color="auto"/>
            <w:left w:val="none" w:sz="0" w:space="0" w:color="auto"/>
            <w:bottom w:val="none" w:sz="0" w:space="0" w:color="auto"/>
            <w:right w:val="none" w:sz="0" w:space="0" w:color="auto"/>
          </w:divBdr>
          <w:divsChild>
            <w:div w:id="1940336040">
              <w:marLeft w:val="0"/>
              <w:marRight w:val="0"/>
              <w:marTop w:val="0"/>
              <w:marBottom w:val="0"/>
              <w:divBdr>
                <w:top w:val="none" w:sz="0" w:space="0" w:color="auto"/>
                <w:left w:val="none" w:sz="0" w:space="0" w:color="auto"/>
                <w:bottom w:val="none" w:sz="0" w:space="0" w:color="auto"/>
                <w:right w:val="none" w:sz="0" w:space="0" w:color="auto"/>
              </w:divBdr>
            </w:div>
          </w:divsChild>
        </w:div>
        <w:div w:id="542061847">
          <w:marLeft w:val="0"/>
          <w:marRight w:val="0"/>
          <w:marTop w:val="0"/>
          <w:marBottom w:val="0"/>
          <w:divBdr>
            <w:top w:val="none" w:sz="0" w:space="0" w:color="auto"/>
            <w:left w:val="none" w:sz="0" w:space="0" w:color="auto"/>
            <w:bottom w:val="none" w:sz="0" w:space="0" w:color="auto"/>
            <w:right w:val="none" w:sz="0" w:space="0" w:color="auto"/>
          </w:divBdr>
          <w:divsChild>
            <w:div w:id="1399092870">
              <w:marLeft w:val="0"/>
              <w:marRight w:val="0"/>
              <w:marTop w:val="0"/>
              <w:marBottom w:val="0"/>
              <w:divBdr>
                <w:top w:val="none" w:sz="0" w:space="0" w:color="auto"/>
                <w:left w:val="none" w:sz="0" w:space="0" w:color="auto"/>
                <w:bottom w:val="none" w:sz="0" w:space="0" w:color="auto"/>
                <w:right w:val="none" w:sz="0" w:space="0" w:color="auto"/>
              </w:divBdr>
            </w:div>
          </w:divsChild>
        </w:div>
        <w:div w:id="562718091">
          <w:marLeft w:val="0"/>
          <w:marRight w:val="0"/>
          <w:marTop w:val="0"/>
          <w:marBottom w:val="0"/>
          <w:divBdr>
            <w:top w:val="none" w:sz="0" w:space="0" w:color="auto"/>
            <w:left w:val="none" w:sz="0" w:space="0" w:color="auto"/>
            <w:bottom w:val="none" w:sz="0" w:space="0" w:color="auto"/>
            <w:right w:val="none" w:sz="0" w:space="0" w:color="auto"/>
          </w:divBdr>
          <w:divsChild>
            <w:div w:id="2113233974">
              <w:marLeft w:val="0"/>
              <w:marRight w:val="0"/>
              <w:marTop w:val="0"/>
              <w:marBottom w:val="0"/>
              <w:divBdr>
                <w:top w:val="none" w:sz="0" w:space="0" w:color="auto"/>
                <w:left w:val="none" w:sz="0" w:space="0" w:color="auto"/>
                <w:bottom w:val="none" w:sz="0" w:space="0" w:color="auto"/>
                <w:right w:val="none" w:sz="0" w:space="0" w:color="auto"/>
              </w:divBdr>
            </w:div>
          </w:divsChild>
        </w:div>
        <w:div w:id="578321506">
          <w:marLeft w:val="0"/>
          <w:marRight w:val="0"/>
          <w:marTop w:val="0"/>
          <w:marBottom w:val="0"/>
          <w:divBdr>
            <w:top w:val="none" w:sz="0" w:space="0" w:color="auto"/>
            <w:left w:val="none" w:sz="0" w:space="0" w:color="auto"/>
            <w:bottom w:val="none" w:sz="0" w:space="0" w:color="auto"/>
            <w:right w:val="none" w:sz="0" w:space="0" w:color="auto"/>
          </w:divBdr>
          <w:divsChild>
            <w:div w:id="1383754340">
              <w:marLeft w:val="0"/>
              <w:marRight w:val="0"/>
              <w:marTop w:val="0"/>
              <w:marBottom w:val="0"/>
              <w:divBdr>
                <w:top w:val="none" w:sz="0" w:space="0" w:color="auto"/>
                <w:left w:val="none" w:sz="0" w:space="0" w:color="auto"/>
                <w:bottom w:val="none" w:sz="0" w:space="0" w:color="auto"/>
                <w:right w:val="none" w:sz="0" w:space="0" w:color="auto"/>
              </w:divBdr>
            </w:div>
          </w:divsChild>
        </w:div>
        <w:div w:id="586504851">
          <w:marLeft w:val="0"/>
          <w:marRight w:val="0"/>
          <w:marTop w:val="0"/>
          <w:marBottom w:val="0"/>
          <w:divBdr>
            <w:top w:val="none" w:sz="0" w:space="0" w:color="auto"/>
            <w:left w:val="none" w:sz="0" w:space="0" w:color="auto"/>
            <w:bottom w:val="none" w:sz="0" w:space="0" w:color="auto"/>
            <w:right w:val="none" w:sz="0" w:space="0" w:color="auto"/>
          </w:divBdr>
          <w:divsChild>
            <w:div w:id="1792704432">
              <w:marLeft w:val="0"/>
              <w:marRight w:val="0"/>
              <w:marTop w:val="0"/>
              <w:marBottom w:val="0"/>
              <w:divBdr>
                <w:top w:val="none" w:sz="0" w:space="0" w:color="auto"/>
                <w:left w:val="none" w:sz="0" w:space="0" w:color="auto"/>
                <w:bottom w:val="none" w:sz="0" w:space="0" w:color="auto"/>
                <w:right w:val="none" w:sz="0" w:space="0" w:color="auto"/>
              </w:divBdr>
            </w:div>
          </w:divsChild>
        </w:div>
        <w:div w:id="602806381">
          <w:marLeft w:val="0"/>
          <w:marRight w:val="0"/>
          <w:marTop w:val="0"/>
          <w:marBottom w:val="0"/>
          <w:divBdr>
            <w:top w:val="none" w:sz="0" w:space="0" w:color="auto"/>
            <w:left w:val="none" w:sz="0" w:space="0" w:color="auto"/>
            <w:bottom w:val="none" w:sz="0" w:space="0" w:color="auto"/>
            <w:right w:val="none" w:sz="0" w:space="0" w:color="auto"/>
          </w:divBdr>
          <w:divsChild>
            <w:div w:id="273900475">
              <w:marLeft w:val="0"/>
              <w:marRight w:val="0"/>
              <w:marTop w:val="0"/>
              <w:marBottom w:val="0"/>
              <w:divBdr>
                <w:top w:val="none" w:sz="0" w:space="0" w:color="auto"/>
                <w:left w:val="none" w:sz="0" w:space="0" w:color="auto"/>
                <w:bottom w:val="none" w:sz="0" w:space="0" w:color="auto"/>
                <w:right w:val="none" w:sz="0" w:space="0" w:color="auto"/>
              </w:divBdr>
            </w:div>
          </w:divsChild>
        </w:div>
        <w:div w:id="627592938">
          <w:marLeft w:val="0"/>
          <w:marRight w:val="0"/>
          <w:marTop w:val="0"/>
          <w:marBottom w:val="0"/>
          <w:divBdr>
            <w:top w:val="none" w:sz="0" w:space="0" w:color="auto"/>
            <w:left w:val="none" w:sz="0" w:space="0" w:color="auto"/>
            <w:bottom w:val="none" w:sz="0" w:space="0" w:color="auto"/>
            <w:right w:val="none" w:sz="0" w:space="0" w:color="auto"/>
          </w:divBdr>
          <w:divsChild>
            <w:div w:id="112332505">
              <w:marLeft w:val="0"/>
              <w:marRight w:val="0"/>
              <w:marTop w:val="0"/>
              <w:marBottom w:val="0"/>
              <w:divBdr>
                <w:top w:val="none" w:sz="0" w:space="0" w:color="auto"/>
                <w:left w:val="none" w:sz="0" w:space="0" w:color="auto"/>
                <w:bottom w:val="none" w:sz="0" w:space="0" w:color="auto"/>
                <w:right w:val="none" w:sz="0" w:space="0" w:color="auto"/>
              </w:divBdr>
            </w:div>
          </w:divsChild>
        </w:div>
        <w:div w:id="638417740">
          <w:marLeft w:val="0"/>
          <w:marRight w:val="0"/>
          <w:marTop w:val="0"/>
          <w:marBottom w:val="0"/>
          <w:divBdr>
            <w:top w:val="none" w:sz="0" w:space="0" w:color="auto"/>
            <w:left w:val="none" w:sz="0" w:space="0" w:color="auto"/>
            <w:bottom w:val="none" w:sz="0" w:space="0" w:color="auto"/>
            <w:right w:val="none" w:sz="0" w:space="0" w:color="auto"/>
          </w:divBdr>
          <w:divsChild>
            <w:div w:id="591596402">
              <w:marLeft w:val="0"/>
              <w:marRight w:val="0"/>
              <w:marTop w:val="0"/>
              <w:marBottom w:val="0"/>
              <w:divBdr>
                <w:top w:val="none" w:sz="0" w:space="0" w:color="auto"/>
                <w:left w:val="none" w:sz="0" w:space="0" w:color="auto"/>
                <w:bottom w:val="none" w:sz="0" w:space="0" w:color="auto"/>
                <w:right w:val="none" w:sz="0" w:space="0" w:color="auto"/>
              </w:divBdr>
            </w:div>
          </w:divsChild>
        </w:div>
        <w:div w:id="680356214">
          <w:marLeft w:val="0"/>
          <w:marRight w:val="0"/>
          <w:marTop w:val="0"/>
          <w:marBottom w:val="0"/>
          <w:divBdr>
            <w:top w:val="none" w:sz="0" w:space="0" w:color="auto"/>
            <w:left w:val="none" w:sz="0" w:space="0" w:color="auto"/>
            <w:bottom w:val="none" w:sz="0" w:space="0" w:color="auto"/>
            <w:right w:val="none" w:sz="0" w:space="0" w:color="auto"/>
          </w:divBdr>
          <w:divsChild>
            <w:div w:id="379666618">
              <w:marLeft w:val="0"/>
              <w:marRight w:val="0"/>
              <w:marTop w:val="0"/>
              <w:marBottom w:val="0"/>
              <w:divBdr>
                <w:top w:val="none" w:sz="0" w:space="0" w:color="auto"/>
                <w:left w:val="none" w:sz="0" w:space="0" w:color="auto"/>
                <w:bottom w:val="none" w:sz="0" w:space="0" w:color="auto"/>
                <w:right w:val="none" w:sz="0" w:space="0" w:color="auto"/>
              </w:divBdr>
            </w:div>
          </w:divsChild>
        </w:div>
        <w:div w:id="700208617">
          <w:marLeft w:val="0"/>
          <w:marRight w:val="0"/>
          <w:marTop w:val="0"/>
          <w:marBottom w:val="0"/>
          <w:divBdr>
            <w:top w:val="none" w:sz="0" w:space="0" w:color="auto"/>
            <w:left w:val="none" w:sz="0" w:space="0" w:color="auto"/>
            <w:bottom w:val="none" w:sz="0" w:space="0" w:color="auto"/>
            <w:right w:val="none" w:sz="0" w:space="0" w:color="auto"/>
          </w:divBdr>
          <w:divsChild>
            <w:div w:id="1830753449">
              <w:marLeft w:val="0"/>
              <w:marRight w:val="0"/>
              <w:marTop w:val="0"/>
              <w:marBottom w:val="0"/>
              <w:divBdr>
                <w:top w:val="none" w:sz="0" w:space="0" w:color="auto"/>
                <w:left w:val="none" w:sz="0" w:space="0" w:color="auto"/>
                <w:bottom w:val="none" w:sz="0" w:space="0" w:color="auto"/>
                <w:right w:val="none" w:sz="0" w:space="0" w:color="auto"/>
              </w:divBdr>
            </w:div>
          </w:divsChild>
        </w:div>
        <w:div w:id="702512380">
          <w:marLeft w:val="0"/>
          <w:marRight w:val="0"/>
          <w:marTop w:val="0"/>
          <w:marBottom w:val="0"/>
          <w:divBdr>
            <w:top w:val="none" w:sz="0" w:space="0" w:color="auto"/>
            <w:left w:val="none" w:sz="0" w:space="0" w:color="auto"/>
            <w:bottom w:val="none" w:sz="0" w:space="0" w:color="auto"/>
            <w:right w:val="none" w:sz="0" w:space="0" w:color="auto"/>
          </w:divBdr>
          <w:divsChild>
            <w:div w:id="624195427">
              <w:marLeft w:val="0"/>
              <w:marRight w:val="0"/>
              <w:marTop w:val="0"/>
              <w:marBottom w:val="0"/>
              <w:divBdr>
                <w:top w:val="none" w:sz="0" w:space="0" w:color="auto"/>
                <w:left w:val="none" w:sz="0" w:space="0" w:color="auto"/>
                <w:bottom w:val="none" w:sz="0" w:space="0" w:color="auto"/>
                <w:right w:val="none" w:sz="0" w:space="0" w:color="auto"/>
              </w:divBdr>
            </w:div>
          </w:divsChild>
        </w:div>
        <w:div w:id="706763535">
          <w:marLeft w:val="0"/>
          <w:marRight w:val="0"/>
          <w:marTop w:val="0"/>
          <w:marBottom w:val="0"/>
          <w:divBdr>
            <w:top w:val="none" w:sz="0" w:space="0" w:color="auto"/>
            <w:left w:val="none" w:sz="0" w:space="0" w:color="auto"/>
            <w:bottom w:val="none" w:sz="0" w:space="0" w:color="auto"/>
            <w:right w:val="none" w:sz="0" w:space="0" w:color="auto"/>
          </w:divBdr>
          <w:divsChild>
            <w:div w:id="2020279634">
              <w:marLeft w:val="0"/>
              <w:marRight w:val="0"/>
              <w:marTop w:val="0"/>
              <w:marBottom w:val="0"/>
              <w:divBdr>
                <w:top w:val="none" w:sz="0" w:space="0" w:color="auto"/>
                <w:left w:val="none" w:sz="0" w:space="0" w:color="auto"/>
                <w:bottom w:val="none" w:sz="0" w:space="0" w:color="auto"/>
                <w:right w:val="none" w:sz="0" w:space="0" w:color="auto"/>
              </w:divBdr>
            </w:div>
          </w:divsChild>
        </w:div>
        <w:div w:id="719790111">
          <w:marLeft w:val="0"/>
          <w:marRight w:val="0"/>
          <w:marTop w:val="0"/>
          <w:marBottom w:val="0"/>
          <w:divBdr>
            <w:top w:val="none" w:sz="0" w:space="0" w:color="auto"/>
            <w:left w:val="none" w:sz="0" w:space="0" w:color="auto"/>
            <w:bottom w:val="none" w:sz="0" w:space="0" w:color="auto"/>
            <w:right w:val="none" w:sz="0" w:space="0" w:color="auto"/>
          </w:divBdr>
          <w:divsChild>
            <w:div w:id="1843203374">
              <w:marLeft w:val="0"/>
              <w:marRight w:val="0"/>
              <w:marTop w:val="0"/>
              <w:marBottom w:val="0"/>
              <w:divBdr>
                <w:top w:val="none" w:sz="0" w:space="0" w:color="auto"/>
                <w:left w:val="none" w:sz="0" w:space="0" w:color="auto"/>
                <w:bottom w:val="none" w:sz="0" w:space="0" w:color="auto"/>
                <w:right w:val="none" w:sz="0" w:space="0" w:color="auto"/>
              </w:divBdr>
            </w:div>
          </w:divsChild>
        </w:div>
        <w:div w:id="743259334">
          <w:marLeft w:val="0"/>
          <w:marRight w:val="0"/>
          <w:marTop w:val="0"/>
          <w:marBottom w:val="0"/>
          <w:divBdr>
            <w:top w:val="none" w:sz="0" w:space="0" w:color="auto"/>
            <w:left w:val="none" w:sz="0" w:space="0" w:color="auto"/>
            <w:bottom w:val="none" w:sz="0" w:space="0" w:color="auto"/>
            <w:right w:val="none" w:sz="0" w:space="0" w:color="auto"/>
          </w:divBdr>
          <w:divsChild>
            <w:div w:id="859708192">
              <w:marLeft w:val="0"/>
              <w:marRight w:val="0"/>
              <w:marTop w:val="0"/>
              <w:marBottom w:val="0"/>
              <w:divBdr>
                <w:top w:val="none" w:sz="0" w:space="0" w:color="auto"/>
                <w:left w:val="none" w:sz="0" w:space="0" w:color="auto"/>
                <w:bottom w:val="none" w:sz="0" w:space="0" w:color="auto"/>
                <w:right w:val="none" w:sz="0" w:space="0" w:color="auto"/>
              </w:divBdr>
            </w:div>
          </w:divsChild>
        </w:div>
        <w:div w:id="749236959">
          <w:marLeft w:val="0"/>
          <w:marRight w:val="0"/>
          <w:marTop w:val="0"/>
          <w:marBottom w:val="0"/>
          <w:divBdr>
            <w:top w:val="none" w:sz="0" w:space="0" w:color="auto"/>
            <w:left w:val="none" w:sz="0" w:space="0" w:color="auto"/>
            <w:bottom w:val="none" w:sz="0" w:space="0" w:color="auto"/>
            <w:right w:val="none" w:sz="0" w:space="0" w:color="auto"/>
          </w:divBdr>
          <w:divsChild>
            <w:div w:id="138618353">
              <w:marLeft w:val="0"/>
              <w:marRight w:val="0"/>
              <w:marTop w:val="0"/>
              <w:marBottom w:val="0"/>
              <w:divBdr>
                <w:top w:val="none" w:sz="0" w:space="0" w:color="auto"/>
                <w:left w:val="none" w:sz="0" w:space="0" w:color="auto"/>
                <w:bottom w:val="none" w:sz="0" w:space="0" w:color="auto"/>
                <w:right w:val="none" w:sz="0" w:space="0" w:color="auto"/>
              </w:divBdr>
            </w:div>
          </w:divsChild>
        </w:div>
        <w:div w:id="755441089">
          <w:marLeft w:val="0"/>
          <w:marRight w:val="0"/>
          <w:marTop w:val="0"/>
          <w:marBottom w:val="0"/>
          <w:divBdr>
            <w:top w:val="none" w:sz="0" w:space="0" w:color="auto"/>
            <w:left w:val="none" w:sz="0" w:space="0" w:color="auto"/>
            <w:bottom w:val="none" w:sz="0" w:space="0" w:color="auto"/>
            <w:right w:val="none" w:sz="0" w:space="0" w:color="auto"/>
          </w:divBdr>
          <w:divsChild>
            <w:div w:id="1410036338">
              <w:marLeft w:val="0"/>
              <w:marRight w:val="0"/>
              <w:marTop w:val="0"/>
              <w:marBottom w:val="0"/>
              <w:divBdr>
                <w:top w:val="none" w:sz="0" w:space="0" w:color="auto"/>
                <w:left w:val="none" w:sz="0" w:space="0" w:color="auto"/>
                <w:bottom w:val="none" w:sz="0" w:space="0" w:color="auto"/>
                <w:right w:val="none" w:sz="0" w:space="0" w:color="auto"/>
              </w:divBdr>
            </w:div>
          </w:divsChild>
        </w:div>
        <w:div w:id="829903270">
          <w:marLeft w:val="0"/>
          <w:marRight w:val="0"/>
          <w:marTop w:val="0"/>
          <w:marBottom w:val="0"/>
          <w:divBdr>
            <w:top w:val="none" w:sz="0" w:space="0" w:color="auto"/>
            <w:left w:val="none" w:sz="0" w:space="0" w:color="auto"/>
            <w:bottom w:val="none" w:sz="0" w:space="0" w:color="auto"/>
            <w:right w:val="none" w:sz="0" w:space="0" w:color="auto"/>
          </w:divBdr>
          <w:divsChild>
            <w:div w:id="193614798">
              <w:marLeft w:val="0"/>
              <w:marRight w:val="0"/>
              <w:marTop w:val="0"/>
              <w:marBottom w:val="0"/>
              <w:divBdr>
                <w:top w:val="none" w:sz="0" w:space="0" w:color="auto"/>
                <w:left w:val="none" w:sz="0" w:space="0" w:color="auto"/>
                <w:bottom w:val="none" w:sz="0" w:space="0" w:color="auto"/>
                <w:right w:val="none" w:sz="0" w:space="0" w:color="auto"/>
              </w:divBdr>
            </w:div>
          </w:divsChild>
        </w:div>
        <w:div w:id="867793075">
          <w:marLeft w:val="0"/>
          <w:marRight w:val="0"/>
          <w:marTop w:val="0"/>
          <w:marBottom w:val="0"/>
          <w:divBdr>
            <w:top w:val="none" w:sz="0" w:space="0" w:color="auto"/>
            <w:left w:val="none" w:sz="0" w:space="0" w:color="auto"/>
            <w:bottom w:val="none" w:sz="0" w:space="0" w:color="auto"/>
            <w:right w:val="none" w:sz="0" w:space="0" w:color="auto"/>
          </w:divBdr>
          <w:divsChild>
            <w:div w:id="1087263087">
              <w:marLeft w:val="0"/>
              <w:marRight w:val="0"/>
              <w:marTop w:val="0"/>
              <w:marBottom w:val="0"/>
              <w:divBdr>
                <w:top w:val="none" w:sz="0" w:space="0" w:color="auto"/>
                <w:left w:val="none" w:sz="0" w:space="0" w:color="auto"/>
                <w:bottom w:val="none" w:sz="0" w:space="0" w:color="auto"/>
                <w:right w:val="none" w:sz="0" w:space="0" w:color="auto"/>
              </w:divBdr>
            </w:div>
          </w:divsChild>
        </w:div>
        <w:div w:id="938568014">
          <w:marLeft w:val="0"/>
          <w:marRight w:val="0"/>
          <w:marTop w:val="0"/>
          <w:marBottom w:val="0"/>
          <w:divBdr>
            <w:top w:val="none" w:sz="0" w:space="0" w:color="auto"/>
            <w:left w:val="none" w:sz="0" w:space="0" w:color="auto"/>
            <w:bottom w:val="none" w:sz="0" w:space="0" w:color="auto"/>
            <w:right w:val="none" w:sz="0" w:space="0" w:color="auto"/>
          </w:divBdr>
          <w:divsChild>
            <w:div w:id="547183290">
              <w:marLeft w:val="0"/>
              <w:marRight w:val="0"/>
              <w:marTop w:val="0"/>
              <w:marBottom w:val="0"/>
              <w:divBdr>
                <w:top w:val="none" w:sz="0" w:space="0" w:color="auto"/>
                <w:left w:val="none" w:sz="0" w:space="0" w:color="auto"/>
                <w:bottom w:val="none" w:sz="0" w:space="0" w:color="auto"/>
                <w:right w:val="none" w:sz="0" w:space="0" w:color="auto"/>
              </w:divBdr>
            </w:div>
          </w:divsChild>
        </w:div>
        <w:div w:id="979574789">
          <w:marLeft w:val="0"/>
          <w:marRight w:val="0"/>
          <w:marTop w:val="0"/>
          <w:marBottom w:val="0"/>
          <w:divBdr>
            <w:top w:val="none" w:sz="0" w:space="0" w:color="auto"/>
            <w:left w:val="none" w:sz="0" w:space="0" w:color="auto"/>
            <w:bottom w:val="none" w:sz="0" w:space="0" w:color="auto"/>
            <w:right w:val="none" w:sz="0" w:space="0" w:color="auto"/>
          </w:divBdr>
          <w:divsChild>
            <w:div w:id="1721392960">
              <w:marLeft w:val="0"/>
              <w:marRight w:val="0"/>
              <w:marTop w:val="0"/>
              <w:marBottom w:val="0"/>
              <w:divBdr>
                <w:top w:val="none" w:sz="0" w:space="0" w:color="auto"/>
                <w:left w:val="none" w:sz="0" w:space="0" w:color="auto"/>
                <w:bottom w:val="none" w:sz="0" w:space="0" w:color="auto"/>
                <w:right w:val="none" w:sz="0" w:space="0" w:color="auto"/>
              </w:divBdr>
            </w:div>
          </w:divsChild>
        </w:div>
        <w:div w:id="983461518">
          <w:marLeft w:val="0"/>
          <w:marRight w:val="0"/>
          <w:marTop w:val="0"/>
          <w:marBottom w:val="0"/>
          <w:divBdr>
            <w:top w:val="none" w:sz="0" w:space="0" w:color="auto"/>
            <w:left w:val="none" w:sz="0" w:space="0" w:color="auto"/>
            <w:bottom w:val="none" w:sz="0" w:space="0" w:color="auto"/>
            <w:right w:val="none" w:sz="0" w:space="0" w:color="auto"/>
          </w:divBdr>
          <w:divsChild>
            <w:div w:id="1881478127">
              <w:marLeft w:val="0"/>
              <w:marRight w:val="0"/>
              <w:marTop w:val="0"/>
              <w:marBottom w:val="0"/>
              <w:divBdr>
                <w:top w:val="none" w:sz="0" w:space="0" w:color="auto"/>
                <w:left w:val="none" w:sz="0" w:space="0" w:color="auto"/>
                <w:bottom w:val="none" w:sz="0" w:space="0" w:color="auto"/>
                <w:right w:val="none" w:sz="0" w:space="0" w:color="auto"/>
              </w:divBdr>
            </w:div>
          </w:divsChild>
        </w:div>
        <w:div w:id="1027675730">
          <w:marLeft w:val="0"/>
          <w:marRight w:val="0"/>
          <w:marTop w:val="0"/>
          <w:marBottom w:val="0"/>
          <w:divBdr>
            <w:top w:val="none" w:sz="0" w:space="0" w:color="auto"/>
            <w:left w:val="none" w:sz="0" w:space="0" w:color="auto"/>
            <w:bottom w:val="none" w:sz="0" w:space="0" w:color="auto"/>
            <w:right w:val="none" w:sz="0" w:space="0" w:color="auto"/>
          </w:divBdr>
          <w:divsChild>
            <w:div w:id="661349221">
              <w:marLeft w:val="0"/>
              <w:marRight w:val="0"/>
              <w:marTop w:val="0"/>
              <w:marBottom w:val="0"/>
              <w:divBdr>
                <w:top w:val="none" w:sz="0" w:space="0" w:color="auto"/>
                <w:left w:val="none" w:sz="0" w:space="0" w:color="auto"/>
                <w:bottom w:val="none" w:sz="0" w:space="0" w:color="auto"/>
                <w:right w:val="none" w:sz="0" w:space="0" w:color="auto"/>
              </w:divBdr>
            </w:div>
          </w:divsChild>
        </w:div>
        <w:div w:id="1031761402">
          <w:marLeft w:val="0"/>
          <w:marRight w:val="0"/>
          <w:marTop w:val="0"/>
          <w:marBottom w:val="0"/>
          <w:divBdr>
            <w:top w:val="none" w:sz="0" w:space="0" w:color="auto"/>
            <w:left w:val="none" w:sz="0" w:space="0" w:color="auto"/>
            <w:bottom w:val="none" w:sz="0" w:space="0" w:color="auto"/>
            <w:right w:val="none" w:sz="0" w:space="0" w:color="auto"/>
          </w:divBdr>
          <w:divsChild>
            <w:div w:id="2127842371">
              <w:marLeft w:val="0"/>
              <w:marRight w:val="0"/>
              <w:marTop w:val="0"/>
              <w:marBottom w:val="0"/>
              <w:divBdr>
                <w:top w:val="none" w:sz="0" w:space="0" w:color="auto"/>
                <w:left w:val="none" w:sz="0" w:space="0" w:color="auto"/>
                <w:bottom w:val="none" w:sz="0" w:space="0" w:color="auto"/>
                <w:right w:val="none" w:sz="0" w:space="0" w:color="auto"/>
              </w:divBdr>
            </w:div>
          </w:divsChild>
        </w:div>
        <w:div w:id="1101755579">
          <w:marLeft w:val="0"/>
          <w:marRight w:val="0"/>
          <w:marTop w:val="0"/>
          <w:marBottom w:val="0"/>
          <w:divBdr>
            <w:top w:val="none" w:sz="0" w:space="0" w:color="auto"/>
            <w:left w:val="none" w:sz="0" w:space="0" w:color="auto"/>
            <w:bottom w:val="none" w:sz="0" w:space="0" w:color="auto"/>
            <w:right w:val="none" w:sz="0" w:space="0" w:color="auto"/>
          </w:divBdr>
          <w:divsChild>
            <w:div w:id="439304588">
              <w:marLeft w:val="0"/>
              <w:marRight w:val="0"/>
              <w:marTop w:val="0"/>
              <w:marBottom w:val="0"/>
              <w:divBdr>
                <w:top w:val="none" w:sz="0" w:space="0" w:color="auto"/>
                <w:left w:val="none" w:sz="0" w:space="0" w:color="auto"/>
                <w:bottom w:val="none" w:sz="0" w:space="0" w:color="auto"/>
                <w:right w:val="none" w:sz="0" w:space="0" w:color="auto"/>
              </w:divBdr>
            </w:div>
          </w:divsChild>
        </w:div>
        <w:div w:id="1157303492">
          <w:marLeft w:val="0"/>
          <w:marRight w:val="0"/>
          <w:marTop w:val="0"/>
          <w:marBottom w:val="0"/>
          <w:divBdr>
            <w:top w:val="none" w:sz="0" w:space="0" w:color="auto"/>
            <w:left w:val="none" w:sz="0" w:space="0" w:color="auto"/>
            <w:bottom w:val="none" w:sz="0" w:space="0" w:color="auto"/>
            <w:right w:val="none" w:sz="0" w:space="0" w:color="auto"/>
          </w:divBdr>
          <w:divsChild>
            <w:div w:id="1537888176">
              <w:marLeft w:val="0"/>
              <w:marRight w:val="0"/>
              <w:marTop w:val="0"/>
              <w:marBottom w:val="0"/>
              <w:divBdr>
                <w:top w:val="none" w:sz="0" w:space="0" w:color="auto"/>
                <w:left w:val="none" w:sz="0" w:space="0" w:color="auto"/>
                <w:bottom w:val="none" w:sz="0" w:space="0" w:color="auto"/>
                <w:right w:val="none" w:sz="0" w:space="0" w:color="auto"/>
              </w:divBdr>
            </w:div>
          </w:divsChild>
        </w:div>
        <w:div w:id="1158964419">
          <w:marLeft w:val="0"/>
          <w:marRight w:val="0"/>
          <w:marTop w:val="0"/>
          <w:marBottom w:val="0"/>
          <w:divBdr>
            <w:top w:val="none" w:sz="0" w:space="0" w:color="auto"/>
            <w:left w:val="none" w:sz="0" w:space="0" w:color="auto"/>
            <w:bottom w:val="none" w:sz="0" w:space="0" w:color="auto"/>
            <w:right w:val="none" w:sz="0" w:space="0" w:color="auto"/>
          </w:divBdr>
          <w:divsChild>
            <w:div w:id="739328773">
              <w:marLeft w:val="0"/>
              <w:marRight w:val="0"/>
              <w:marTop w:val="0"/>
              <w:marBottom w:val="0"/>
              <w:divBdr>
                <w:top w:val="none" w:sz="0" w:space="0" w:color="auto"/>
                <w:left w:val="none" w:sz="0" w:space="0" w:color="auto"/>
                <w:bottom w:val="none" w:sz="0" w:space="0" w:color="auto"/>
                <w:right w:val="none" w:sz="0" w:space="0" w:color="auto"/>
              </w:divBdr>
            </w:div>
          </w:divsChild>
        </w:div>
        <w:div w:id="1182546939">
          <w:marLeft w:val="0"/>
          <w:marRight w:val="0"/>
          <w:marTop w:val="0"/>
          <w:marBottom w:val="0"/>
          <w:divBdr>
            <w:top w:val="none" w:sz="0" w:space="0" w:color="auto"/>
            <w:left w:val="none" w:sz="0" w:space="0" w:color="auto"/>
            <w:bottom w:val="none" w:sz="0" w:space="0" w:color="auto"/>
            <w:right w:val="none" w:sz="0" w:space="0" w:color="auto"/>
          </w:divBdr>
          <w:divsChild>
            <w:div w:id="1469585328">
              <w:marLeft w:val="0"/>
              <w:marRight w:val="0"/>
              <w:marTop w:val="0"/>
              <w:marBottom w:val="0"/>
              <w:divBdr>
                <w:top w:val="none" w:sz="0" w:space="0" w:color="auto"/>
                <w:left w:val="none" w:sz="0" w:space="0" w:color="auto"/>
                <w:bottom w:val="none" w:sz="0" w:space="0" w:color="auto"/>
                <w:right w:val="none" w:sz="0" w:space="0" w:color="auto"/>
              </w:divBdr>
            </w:div>
          </w:divsChild>
        </w:div>
        <w:div w:id="1182549123">
          <w:marLeft w:val="0"/>
          <w:marRight w:val="0"/>
          <w:marTop w:val="0"/>
          <w:marBottom w:val="0"/>
          <w:divBdr>
            <w:top w:val="none" w:sz="0" w:space="0" w:color="auto"/>
            <w:left w:val="none" w:sz="0" w:space="0" w:color="auto"/>
            <w:bottom w:val="none" w:sz="0" w:space="0" w:color="auto"/>
            <w:right w:val="none" w:sz="0" w:space="0" w:color="auto"/>
          </w:divBdr>
          <w:divsChild>
            <w:div w:id="34164536">
              <w:marLeft w:val="0"/>
              <w:marRight w:val="0"/>
              <w:marTop w:val="0"/>
              <w:marBottom w:val="0"/>
              <w:divBdr>
                <w:top w:val="none" w:sz="0" w:space="0" w:color="auto"/>
                <w:left w:val="none" w:sz="0" w:space="0" w:color="auto"/>
                <w:bottom w:val="none" w:sz="0" w:space="0" w:color="auto"/>
                <w:right w:val="none" w:sz="0" w:space="0" w:color="auto"/>
              </w:divBdr>
            </w:div>
          </w:divsChild>
        </w:div>
        <w:div w:id="1273897974">
          <w:marLeft w:val="0"/>
          <w:marRight w:val="0"/>
          <w:marTop w:val="0"/>
          <w:marBottom w:val="0"/>
          <w:divBdr>
            <w:top w:val="none" w:sz="0" w:space="0" w:color="auto"/>
            <w:left w:val="none" w:sz="0" w:space="0" w:color="auto"/>
            <w:bottom w:val="none" w:sz="0" w:space="0" w:color="auto"/>
            <w:right w:val="none" w:sz="0" w:space="0" w:color="auto"/>
          </w:divBdr>
          <w:divsChild>
            <w:div w:id="121197699">
              <w:marLeft w:val="0"/>
              <w:marRight w:val="0"/>
              <w:marTop w:val="0"/>
              <w:marBottom w:val="0"/>
              <w:divBdr>
                <w:top w:val="none" w:sz="0" w:space="0" w:color="auto"/>
                <w:left w:val="none" w:sz="0" w:space="0" w:color="auto"/>
                <w:bottom w:val="none" w:sz="0" w:space="0" w:color="auto"/>
                <w:right w:val="none" w:sz="0" w:space="0" w:color="auto"/>
              </w:divBdr>
            </w:div>
          </w:divsChild>
        </w:div>
        <w:div w:id="1287392714">
          <w:marLeft w:val="0"/>
          <w:marRight w:val="0"/>
          <w:marTop w:val="0"/>
          <w:marBottom w:val="0"/>
          <w:divBdr>
            <w:top w:val="none" w:sz="0" w:space="0" w:color="auto"/>
            <w:left w:val="none" w:sz="0" w:space="0" w:color="auto"/>
            <w:bottom w:val="none" w:sz="0" w:space="0" w:color="auto"/>
            <w:right w:val="none" w:sz="0" w:space="0" w:color="auto"/>
          </w:divBdr>
          <w:divsChild>
            <w:div w:id="1118372936">
              <w:marLeft w:val="0"/>
              <w:marRight w:val="0"/>
              <w:marTop w:val="0"/>
              <w:marBottom w:val="0"/>
              <w:divBdr>
                <w:top w:val="none" w:sz="0" w:space="0" w:color="auto"/>
                <w:left w:val="none" w:sz="0" w:space="0" w:color="auto"/>
                <w:bottom w:val="none" w:sz="0" w:space="0" w:color="auto"/>
                <w:right w:val="none" w:sz="0" w:space="0" w:color="auto"/>
              </w:divBdr>
            </w:div>
          </w:divsChild>
        </w:div>
        <w:div w:id="1306395858">
          <w:marLeft w:val="0"/>
          <w:marRight w:val="0"/>
          <w:marTop w:val="0"/>
          <w:marBottom w:val="0"/>
          <w:divBdr>
            <w:top w:val="none" w:sz="0" w:space="0" w:color="auto"/>
            <w:left w:val="none" w:sz="0" w:space="0" w:color="auto"/>
            <w:bottom w:val="none" w:sz="0" w:space="0" w:color="auto"/>
            <w:right w:val="none" w:sz="0" w:space="0" w:color="auto"/>
          </w:divBdr>
          <w:divsChild>
            <w:div w:id="481314519">
              <w:marLeft w:val="0"/>
              <w:marRight w:val="0"/>
              <w:marTop w:val="0"/>
              <w:marBottom w:val="0"/>
              <w:divBdr>
                <w:top w:val="none" w:sz="0" w:space="0" w:color="auto"/>
                <w:left w:val="none" w:sz="0" w:space="0" w:color="auto"/>
                <w:bottom w:val="none" w:sz="0" w:space="0" w:color="auto"/>
                <w:right w:val="none" w:sz="0" w:space="0" w:color="auto"/>
              </w:divBdr>
            </w:div>
          </w:divsChild>
        </w:div>
        <w:div w:id="1343698555">
          <w:marLeft w:val="0"/>
          <w:marRight w:val="0"/>
          <w:marTop w:val="0"/>
          <w:marBottom w:val="0"/>
          <w:divBdr>
            <w:top w:val="none" w:sz="0" w:space="0" w:color="auto"/>
            <w:left w:val="none" w:sz="0" w:space="0" w:color="auto"/>
            <w:bottom w:val="none" w:sz="0" w:space="0" w:color="auto"/>
            <w:right w:val="none" w:sz="0" w:space="0" w:color="auto"/>
          </w:divBdr>
          <w:divsChild>
            <w:div w:id="1898390569">
              <w:marLeft w:val="0"/>
              <w:marRight w:val="0"/>
              <w:marTop w:val="0"/>
              <w:marBottom w:val="0"/>
              <w:divBdr>
                <w:top w:val="none" w:sz="0" w:space="0" w:color="auto"/>
                <w:left w:val="none" w:sz="0" w:space="0" w:color="auto"/>
                <w:bottom w:val="none" w:sz="0" w:space="0" w:color="auto"/>
                <w:right w:val="none" w:sz="0" w:space="0" w:color="auto"/>
              </w:divBdr>
            </w:div>
          </w:divsChild>
        </w:div>
        <w:div w:id="1366296234">
          <w:marLeft w:val="0"/>
          <w:marRight w:val="0"/>
          <w:marTop w:val="0"/>
          <w:marBottom w:val="0"/>
          <w:divBdr>
            <w:top w:val="none" w:sz="0" w:space="0" w:color="auto"/>
            <w:left w:val="none" w:sz="0" w:space="0" w:color="auto"/>
            <w:bottom w:val="none" w:sz="0" w:space="0" w:color="auto"/>
            <w:right w:val="none" w:sz="0" w:space="0" w:color="auto"/>
          </w:divBdr>
          <w:divsChild>
            <w:div w:id="2074354492">
              <w:marLeft w:val="0"/>
              <w:marRight w:val="0"/>
              <w:marTop w:val="0"/>
              <w:marBottom w:val="0"/>
              <w:divBdr>
                <w:top w:val="none" w:sz="0" w:space="0" w:color="auto"/>
                <w:left w:val="none" w:sz="0" w:space="0" w:color="auto"/>
                <w:bottom w:val="none" w:sz="0" w:space="0" w:color="auto"/>
                <w:right w:val="none" w:sz="0" w:space="0" w:color="auto"/>
              </w:divBdr>
            </w:div>
          </w:divsChild>
        </w:div>
        <w:div w:id="1379429210">
          <w:marLeft w:val="0"/>
          <w:marRight w:val="0"/>
          <w:marTop w:val="0"/>
          <w:marBottom w:val="0"/>
          <w:divBdr>
            <w:top w:val="none" w:sz="0" w:space="0" w:color="auto"/>
            <w:left w:val="none" w:sz="0" w:space="0" w:color="auto"/>
            <w:bottom w:val="none" w:sz="0" w:space="0" w:color="auto"/>
            <w:right w:val="none" w:sz="0" w:space="0" w:color="auto"/>
          </w:divBdr>
          <w:divsChild>
            <w:div w:id="1410272536">
              <w:marLeft w:val="0"/>
              <w:marRight w:val="0"/>
              <w:marTop w:val="0"/>
              <w:marBottom w:val="0"/>
              <w:divBdr>
                <w:top w:val="none" w:sz="0" w:space="0" w:color="auto"/>
                <w:left w:val="none" w:sz="0" w:space="0" w:color="auto"/>
                <w:bottom w:val="none" w:sz="0" w:space="0" w:color="auto"/>
                <w:right w:val="none" w:sz="0" w:space="0" w:color="auto"/>
              </w:divBdr>
            </w:div>
          </w:divsChild>
        </w:div>
        <w:div w:id="1380323237">
          <w:marLeft w:val="0"/>
          <w:marRight w:val="0"/>
          <w:marTop w:val="0"/>
          <w:marBottom w:val="0"/>
          <w:divBdr>
            <w:top w:val="none" w:sz="0" w:space="0" w:color="auto"/>
            <w:left w:val="none" w:sz="0" w:space="0" w:color="auto"/>
            <w:bottom w:val="none" w:sz="0" w:space="0" w:color="auto"/>
            <w:right w:val="none" w:sz="0" w:space="0" w:color="auto"/>
          </w:divBdr>
          <w:divsChild>
            <w:div w:id="815142635">
              <w:marLeft w:val="0"/>
              <w:marRight w:val="0"/>
              <w:marTop w:val="0"/>
              <w:marBottom w:val="0"/>
              <w:divBdr>
                <w:top w:val="none" w:sz="0" w:space="0" w:color="auto"/>
                <w:left w:val="none" w:sz="0" w:space="0" w:color="auto"/>
                <w:bottom w:val="none" w:sz="0" w:space="0" w:color="auto"/>
                <w:right w:val="none" w:sz="0" w:space="0" w:color="auto"/>
              </w:divBdr>
            </w:div>
          </w:divsChild>
        </w:div>
        <w:div w:id="1386565161">
          <w:marLeft w:val="0"/>
          <w:marRight w:val="0"/>
          <w:marTop w:val="0"/>
          <w:marBottom w:val="0"/>
          <w:divBdr>
            <w:top w:val="none" w:sz="0" w:space="0" w:color="auto"/>
            <w:left w:val="none" w:sz="0" w:space="0" w:color="auto"/>
            <w:bottom w:val="none" w:sz="0" w:space="0" w:color="auto"/>
            <w:right w:val="none" w:sz="0" w:space="0" w:color="auto"/>
          </w:divBdr>
          <w:divsChild>
            <w:div w:id="1556041355">
              <w:marLeft w:val="0"/>
              <w:marRight w:val="0"/>
              <w:marTop w:val="0"/>
              <w:marBottom w:val="0"/>
              <w:divBdr>
                <w:top w:val="none" w:sz="0" w:space="0" w:color="auto"/>
                <w:left w:val="none" w:sz="0" w:space="0" w:color="auto"/>
                <w:bottom w:val="none" w:sz="0" w:space="0" w:color="auto"/>
                <w:right w:val="none" w:sz="0" w:space="0" w:color="auto"/>
              </w:divBdr>
            </w:div>
          </w:divsChild>
        </w:div>
        <w:div w:id="1386755604">
          <w:marLeft w:val="0"/>
          <w:marRight w:val="0"/>
          <w:marTop w:val="0"/>
          <w:marBottom w:val="0"/>
          <w:divBdr>
            <w:top w:val="none" w:sz="0" w:space="0" w:color="auto"/>
            <w:left w:val="none" w:sz="0" w:space="0" w:color="auto"/>
            <w:bottom w:val="none" w:sz="0" w:space="0" w:color="auto"/>
            <w:right w:val="none" w:sz="0" w:space="0" w:color="auto"/>
          </w:divBdr>
          <w:divsChild>
            <w:div w:id="2069571038">
              <w:marLeft w:val="0"/>
              <w:marRight w:val="0"/>
              <w:marTop w:val="0"/>
              <w:marBottom w:val="0"/>
              <w:divBdr>
                <w:top w:val="none" w:sz="0" w:space="0" w:color="auto"/>
                <w:left w:val="none" w:sz="0" w:space="0" w:color="auto"/>
                <w:bottom w:val="none" w:sz="0" w:space="0" w:color="auto"/>
                <w:right w:val="none" w:sz="0" w:space="0" w:color="auto"/>
              </w:divBdr>
            </w:div>
          </w:divsChild>
        </w:div>
        <w:div w:id="1393960816">
          <w:marLeft w:val="0"/>
          <w:marRight w:val="0"/>
          <w:marTop w:val="0"/>
          <w:marBottom w:val="0"/>
          <w:divBdr>
            <w:top w:val="none" w:sz="0" w:space="0" w:color="auto"/>
            <w:left w:val="none" w:sz="0" w:space="0" w:color="auto"/>
            <w:bottom w:val="none" w:sz="0" w:space="0" w:color="auto"/>
            <w:right w:val="none" w:sz="0" w:space="0" w:color="auto"/>
          </w:divBdr>
          <w:divsChild>
            <w:div w:id="610283105">
              <w:marLeft w:val="0"/>
              <w:marRight w:val="0"/>
              <w:marTop w:val="0"/>
              <w:marBottom w:val="0"/>
              <w:divBdr>
                <w:top w:val="none" w:sz="0" w:space="0" w:color="auto"/>
                <w:left w:val="none" w:sz="0" w:space="0" w:color="auto"/>
                <w:bottom w:val="none" w:sz="0" w:space="0" w:color="auto"/>
                <w:right w:val="none" w:sz="0" w:space="0" w:color="auto"/>
              </w:divBdr>
            </w:div>
          </w:divsChild>
        </w:div>
        <w:div w:id="1414469893">
          <w:marLeft w:val="0"/>
          <w:marRight w:val="0"/>
          <w:marTop w:val="0"/>
          <w:marBottom w:val="0"/>
          <w:divBdr>
            <w:top w:val="none" w:sz="0" w:space="0" w:color="auto"/>
            <w:left w:val="none" w:sz="0" w:space="0" w:color="auto"/>
            <w:bottom w:val="none" w:sz="0" w:space="0" w:color="auto"/>
            <w:right w:val="none" w:sz="0" w:space="0" w:color="auto"/>
          </w:divBdr>
          <w:divsChild>
            <w:div w:id="1338654716">
              <w:marLeft w:val="0"/>
              <w:marRight w:val="0"/>
              <w:marTop w:val="0"/>
              <w:marBottom w:val="0"/>
              <w:divBdr>
                <w:top w:val="none" w:sz="0" w:space="0" w:color="auto"/>
                <w:left w:val="none" w:sz="0" w:space="0" w:color="auto"/>
                <w:bottom w:val="none" w:sz="0" w:space="0" w:color="auto"/>
                <w:right w:val="none" w:sz="0" w:space="0" w:color="auto"/>
              </w:divBdr>
            </w:div>
          </w:divsChild>
        </w:div>
        <w:div w:id="1444152507">
          <w:marLeft w:val="0"/>
          <w:marRight w:val="0"/>
          <w:marTop w:val="0"/>
          <w:marBottom w:val="0"/>
          <w:divBdr>
            <w:top w:val="none" w:sz="0" w:space="0" w:color="auto"/>
            <w:left w:val="none" w:sz="0" w:space="0" w:color="auto"/>
            <w:bottom w:val="none" w:sz="0" w:space="0" w:color="auto"/>
            <w:right w:val="none" w:sz="0" w:space="0" w:color="auto"/>
          </w:divBdr>
          <w:divsChild>
            <w:div w:id="779958201">
              <w:marLeft w:val="0"/>
              <w:marRight w:val="0"/>
              <w:marTop w:val="0"/>
              <w:marBottom w:val="0"/>
              <w:divBdr>
                <w:top w:val="none" w:sz="0" w:space="0" w:color="auto"/>
                <w:left w:val="none" w:sz="0" w:space="0" w:color="auto"/>
                <w:bottom w:val="none" w:sz="0" w:space="0" w:color="auto"/>
                <w:right w:val="none" w:sz="0" w:space="0" w:color="auto"/>
              </w:divBdr>
            </w:div>
          </w:divsChild>
        </w:div>
        <w:div w:id="1486775882">
          <w:marLeft w:val="0"/>
          <w:marRight w:val="0"/>
          <w:marTop w:val="0"/>
          <w:marBottom w:val="0"/>
          <w:divBdr>
            <w:top w:val="none" w:sz="0" w:space="0" w:color="auto"/>
            <w:left w:val="none" w:sz="0" w:space="0" w:color="auto"/>
            <w:bottom w:val="none" w:sz="0" w:space="0" w:color="auto"/>
            <w:right w:val="none" w:sz="0" w:space="0" w:color="auto"/>
          </w:divBdr>
          <w:divsChild>
            <w:div w:id="1026753568">
              <w:marLeft w:val="0"/>
              <w:marRight w:val="0"/>
              <w:marTop w:val="0"/>
              <w:marBottom w:val="0"/>
              <w:divBdr>
                <w:top w:val="none" w:sz="0" w:space="0" w:color="auto"/>
                <w:left w:val="none" w:sz="0" w:space="0" w:color="auto"/>
                <w:bottom w:val="none" w:sz="0" w:space="0" w:color="auto"/>
                <w:right w:val="none" w:sz="0" w:space="0" w:color="auto"/>
              </w:divBdr>
            </w:div>
          </w:divsChild>
        </w:div>
        <w:div w:id="1489713232">
          <w:marLeft w:val="0"/>
          <w:marRight w:val="0"/>
          <w:marTop w:val="0"/>
          <w:marBottom w:val="0"/>
          <w:divBdr>
            <w:top w:val="none" w:sz="0" w:space="0" w:color="auto"/>
            <w:left w:val="none" w:sz="0" w:space="0" w:color="auto"/>
            <w:bottom w:val="none" w:sz="0" w:space="0" w:color="auto"/>
            <w:right w:val="none" w:sz="0" w:space="0" w:color="auto"/>
          </w:divBdr>
          <w:divsChild>
            <w:div w:id="1900092500">
              <w:marLeft w:val="0"/>
              <w:marRight w:val="0"/>
              <w:marTop w:val="0"/>
              <w:marBottom w:val="0"/>
              <w:divBdr>
                <w:top w:val="none" w:sz="0" w:space="0" w:color="auto"/>
                <w:left w:val="none" w:sz="0" w:space="0" w:color="auto"/>
                <w:bottom w:val="none" w:sz="0" w:space="0" w:color="auto"/>
                <w:right w:val="none" w:sz="0" w:space="0" w:color="auto"/>
              </w:divBdr>
            </w:div>
          </w:divsChild>
        </w:div>
        <w:div w:id="1504392051">
          <w:marLeft w:val="0"/>
          <w:marRight w:val="0"/>
          <w:marTop w:val="0"/>
          <w:marBottom w:val="0"/>
          <w:divBdr>
            <w:top w:val="none" w:sz="0" w:space="0" w:color="auto"/>
            <w:left w:val="none" w:sz="0" w:space="0" w:color="auto"/>
            <w:bottom w:val="none" w:sz="0" w:space="0" w:color="auto"/>
            <w:right w:val="none" w:sz="0" w:space="0" w:color="auto"/>
          </w:divBdr>
          <w:divsChild>
            <w:div w:id="1658529814">
              <w:marLeft w:val="0"/>
              <w:marRight w:val="0"/>
              <w:marTop w:val="0"/>
              <w:marBottom w:val="0"/>
              <w:divBdr>
                <w:top w:val="none" w:sz="0" w:space="0" w:color="auto"/>
                <w:left w:val="none" w:sz="0" w:space="0" w:color="auto"/>
                <w:bottom w:val="none" w:sz="0" w:space="0" w:color="auto"/>
                <w:right w:val="none" w:sz="0" w:space="0" w:color="auto"/>
              </w:divBdr>
            </w:div>
          </w:divsChild>
        </w:div>
        <w:div w:id="1510607484">
          <w:marLeft w:val="0"/>
          <w:marRight w:val="0"/>
          <w:marTop w:val="0"/>
          <w:marBottom w:val="0"/>
          <w:divBdr>
            <w:top w:val="none" w:sz="0" w:space="0" w:color="auto"/>
            <w:left w:val="none" w:sz="0" w:space="0" w:color="auto"/>
            <w:bottom w:val="none" w:sz="0" w:space="0" w:color="auto"/>
            <w:right w:val="none" w:sz="0" w:space="0" w:color="auto"/>
          </w:divBdr>
          <w:divsChild>
            <w:div w:id="1523977022">
              <w:marLeft w:val="0"/>
              <w:marRight w:val="0"/>
              <w:marTop w:val="0"/>
              <w:marBottom w:val="0"/>
              <w:divBdr>
                <w:top w:val="none" w:sz="0" w:space="0" w:color="auto"/>
                <w:left w:val="none" w:sz="0" w:space="0" w:color="auto"/>
                <w:bottom w:val="none" w:sz="0" w:space="0" w:color="auto"/>
                <w:right w:val="none" w:sz="0" w:space="0" w:color="auto"/>
              </w:divBdr>
            </w:div>
          </w:divsChild>
        </w:div>
        <w:div w:id="1540699500">
          <w:marLeft w:val="0"/>
          <w:marRight w:val="0"/>
          <w:marTop w:val="0"/>
          <w:marBottom w:val="0"/>
          <w:divBdr>
            <w:top w:val="none" w:sz="0" w:space="0" w:color="auto"/>
            <w:left w:val="none" w:sz="0" w:space="0" w:color="auto"/>
            <w:bottom w:val="none" w:sz="0" w:space="0" w:color="auto"/>
            <w:right w:val="none" w:sz="0" w:space="0" w:color="auto"/>
          </w:divBdr>
          <w:divsChild>
            <w:div w:id="1251499924">
              <w:marLeft w:val="0"/>
              <w:marRight w:val="0"/>
              <w:marTop w:val="0"/>
              <w:marBottom w:val="0"/>
              <w:divBdr>
                <w:top w:val="none" w:sz="0" w:space="0" w:color="auto"/>
                <w:left w:val="none" w:sz="0" w:space="0" w:color="auto"/>
                <w:bottom w:val="none" w:sz="0" w:space="0" w:color="auto"/>
                <w:right w:val="none" w:sz="0" w:space="0" w:color="auto"/>
              </w:divBdr>
            </w:div>
          </w:divsChild>
        </w:div>
        <w:div w:id="1557929392">
          <w:marLeft w:val="0"/>
          <w:marRight w:val="0"/>
          <w:marTop w:val="0"/>
          <w:marBottom w:val="0"/>
          <w:divBdr>
            <w:top w:val="none" w:sz="0" w:space="0" w:color="auto"/>
            <w:left w:val="none" w:sz="0" w:space="0" w:color="auto"/>
            <w:bottom w:val="none" w:sz="0" w:space="0" w:color="auto"/>
            <w:right w:val="none" w:sz="0" w:space="0" w:color="auto"/>
          </w:divBdr>
          <w:divsChild>
            <w:div w:id="1044869107">
              <w:marLeft w:val="0"/>
              <w:marRight w:val="0"/>
              <w:marTop w:val="0"/>
              <w:marBottom w:val="0"/>
              <w:divBdr>
                <w:top w:val="none" w:sz="0" w:space="0" w:color="auto"/>
                <w:left w:val="none" w:sz="0" w:space="0" w:color="auto"/>
                <w:bottom w:val="none" w:sz="0" w:space="0" w:color="auto"/>
                <w:right w:val="none" w:sz="0" w:space="0" w:color="auto"/>
              </w:divBdr>
            </w:div>
          </w:divsChild>
        </w:div>
        <w:div w:id="1612661721">
          <w:marLeft w:val="0"/>
          <w:marRight w:val="0"/>
          <w:marTop w:val="0"/>
          <w:marBottom w:val="0"/>
          <w:divBdr>
            <w:top w:val="none" w:sz="0" w:space="0" w:color="auto"/>
            <w:left w:val="none" w:sz="0" w:space="0" w:color="auto"/>
            <w:bottom w:val="none" w:sz="0" w:space="0" w:color="auto"/>
            <w:right w:val="none" w:sz="0" w:space="0" w:color="auto"/>
          </w:divBdr>
          <w:divsChild>
            <w:div w:id="2047026835">
              <w:marLeft w:val="0"/>
              <w:marRight w:val="0"/>
              <w:marTop w:val="0"/>
              <w:marBottom w:val="0"/>
              <w:divBdr>
                <w:top w:val="none" w:sz="0" w:space="0" w:color="auto"/>
                <w:left w:val="none" w:sz="0" w:space="0" w:color="auto"/>
                <w:bottom w:val="none" w:sz="0" w:space="0" w:color="auto"/>
                <w:right w:val="none" w:sz="0" w:space="0" w:color="auto"/>
              </w:divBdr>
            </w:div>
          </w:divsChild>
        </w:div>
        <w:div w:id="1653677545">
          <w:marLeft w:val="0"/>
          <w:marRight w:val="0"/>
          <w:marTop w:val="0"/>
          <w:marBottom w:val="0"/>
          <w:divBdr>
            <w:top w:val="none" w:sz="0" w:space="0" w:color="auto"/>
            <w:left w:val="none" w:sz="0" w:space="0" w:color="auto"/>
            <w:bottom w:val="none" w:sz="0" w:space="0" w:color="auto"/>
            <w:right w:val="none" w:sz="0" w:space="0" w:color="auto"/>
          </w:divBdr>
          <w:divsChild>
            <w:div w:id="173887429">
              <w:marLeft w:val="0"/>
              <w:marRight w:val="0"/>
              <w:marTop w:val="0"/>
              <w:marBottom w:val="0"/>
              <w:divBdr>
                <w:top w:val="none" w:sz="0" w:space="0" w:color="auto"/>
                <w:left w:val="none" w:sz="0" w:space="0" w:color="auto"/>
                <w:bottom w:val="none" w:sz="0" w:space="0" w:color="auto"/>
                <w:right w:val="none" w:sz="0" w:space="0" w:color="auto"/>
              </w:divBdr>
            </w:div>
          </w:divsChild>
        </w:div>
        <w:div w:id="1675646458">
          <w:marLeft w:val="0"/>
          <w:marRight w:val="0"/>
          <w:marTop w:val="0"/>
          <w:marBottom w:val="0"/>
          <w:divBdr>
            <w:top w:val="none" w:sz="0" w:space="0" w:color="auto"/>
            <w:left w:val="none" w:sz="0" w:space="0" w:color="auto"/>
            <w:bottom w:val="none" w:sz="0" w:space="0" w:color="auto"/>
            <w:right w:val="none" w:sz="0" w:space="0" w:color="auto"/>
          </w:divBdr>
          <w:divsChild>
            <w:div w:id="883756903">
              <w:marLeft w:val="0"/>
              <w:marRight w:val="0"/>
              <w:marTop w:val="0"/>
              <w:marBottom w:val="0"/>
              <w:divBdr>
                <w:top w:val="none" w:sz="0" w:space="0" w:color="auto"/>
                <w:left w:val="none" w:sz="0" w:space="0" w:color="auto"/>
                <w:bottom w:val="none" w:sz="0" w:space="0" w:color="auto"/>
                <w:right w:val="none" w:sz="0" w:space="0" w:color="auto"/>
              </w:divBdr>
            </w:div>
          </w:divsChild>
        </w:div>
        <w:div w:id="1677879323">
          <w:marLeft w:val="0"/>
          <w:marRight w:val="0"/>
          <w:marTop w:val="0"/>
          <w:marBottom w:val="0"/>
          <w:divBdr>
            <w:top w:val="none" w:sz="0" w:space="0" w:color="auto"/>
            <w:left w:val="none" w:sz="0" w:space="0" w:color="auto"/>
            <w:bottom w:val="none" w:sz="0" w:space="0" w:color="auto"/>
            <w:right w:val="none" w:sz="0" w:space="0" w:color="auto"/>
          </w:divBdr>
          <w:divsChild>
            <w:div w:id="288323531">
              <w:marLeft w:val="0"/>
              <w:marRight w:val="0"/>
              <w:marTop w:val="0"/>
              <w:marBottom w:val="0"/>
              <w:divBdr>
                <w:top w:val="none" w:sz="0" w:space="0" w:color="auto"/>
                <w:left w:val="none" w:sz="0" w:space="0" w:color="auto"/>
                <w:bottom w:val="none" w:sz="0" w:space="0" w:color="auto"/>
                <w:right w:val="none" w:sz="0" w:space="0" w:color="auto"/>
              </w:divBdr>
            </w:div>
          </w:divsChild>
        </w:div>
        <w:div w:id="1743522380">
          <w:marLeft w:val="0"/>
          <w:marRight w:val="0"/>
          <w:marTop w:val="0"/>
          <w:marBottom w:val="0"/>
          <w:divBdr>
            <w:top w:val="none" w:sz="0" w:space="0" w:color="auto"/>
            <w:left w:val="none" w:sz="0" w:space="0" w:color="auto"/>
            <w:bottom w:val="none" w:sz="0" w:space="0" w:color="auto"/>
            <w:right w:val="none" w:sz="0" w:space="0" w:color="auto"/>
          </w:divBdr>
          <w:divsChild>
            <w:div w:id="1861315170">
              <w:marLeft w:val="0"/>
              <w:marRight w:val="0"/>
              <w:marTop w:val="0"/>
              <w:marBottom w:val="0"/>
              <w:divBdr>
                <w:top w:val="none" w:sz="0" w:space="0" w:color="auto"/>
                <w:left w:val="none" w:sz="0" w:space="0" w:color="auto"/>
                <w:bottom w:val="none" w:sz="0" w:space="0" w:color="auto"/>
                <w:right w:val="none" w:sz="0" w:space="0" w:color="auto"/>
              </w:divBdr>
            </w:div>
          </w:divsChild>
        </w:div>
        <w:div w:id="1784492530">
          <w:marLeft w:val="0"/>
          <w:marRight w:val="0"/>
          <w:marTop w:val="0"/>
          <w:marBottom w:val="0"/>
          <w:divBdr>
            <w:top w:val="none" w:sz="0" w:space="0" w:color="auto"/>
            <w:left w:val="none" w:sz="0" w:space="0" w:color="auto"/>
            <w:bottom w:val="none" w:sz="0" w:space="0" w:color="auto"/>
            <w:right w:val="none" w:sz="0" w:space="0" w:color="auto"/>
          </w:divBdr>
          <w:divsChild>
            <w:div w:id="1628587893">
              <w:marLeft w:val="0"/>
              <w:marRight w:val="0"/>
              <w:marTop w:val="0"/>
              <w:marBottom w:val="0"/>
              <w:divBdr>
                <w:top w:val="none" w:sz="0" w:space="0" w:color="auto"/>
                <w:left w:val="none" w:sz="0" w:space="0" w:color="auto"/>
                <w:bottom w:val="none" w:sz="0" w:space="0" w:color="auto"/>
                <w:right w:val="none" w:sz="0" w:space="0" w:color="auto"/>
              </w:divBdr>
            </w:div>
          </w:divsChild>
        </w:div>
        <w:div w:id="1791776314">
          <w:marLeft w:val="0"/>
          <w:marRight w:val="0"/>
          <w:marTop w:val="0"/>
          <w:marBottom w:val="0"/>
          <w:divBdr>
            <w:top w:val="none" w:sz="0" w:space="0" w:color="auto"/>
            <w:left w:val="none" w:sz="0" w:space="0" w:color="auto"/>
            <w:bottom w:val="none" w:sz="0" w:space="0" w:color="auto"/>
            <w:right w:val="none" w:sz="0" w:space="0" w:color="auto"/>
          </w:divBdr>
          <w:divsChild>
            <w:div w:id="2054234424">
              <w:marLeft w:val="0"/>
              <w:marRight w:val="0"/>
              <w:marTop w:val="0"/>
              <w:marBottom w:val="0"/>
              <w:divBdr>
                <w:top w:val="none" w:sz="0" w:space="0" w:color="auto"/>
                <w:left w:val="none" w:sz="0" w:space="0" w:color="auto"/>
                <w:bottom w:val="none" w:sz="0" w:space="0" w:color="auto"/>
                <w:right w:val="none" w:sz="0" w:space="0" w:color="auto"/>
              </w:divBdr>
            </w:div>
          </w:divsChild>
        </w:div>
        <w:div w:id="1798714471">
          <w:marLeft w:val="0"/>
          <w:marRight w:val="0"/>
          <w:marTop w:val="0"/>
          <w:marBottom w:val="0"/>
          <w:divBdr>
            <w:top w:val="none" w:sz="0" w:space="0" w:color="auto"/>
            <w:left w:val="none" w:sz="0" w:space="0" w:color="auto"/>
            <w:bottom w:val="none" w:sz="0" w:space="0" w:color="auto"/>
            <w:right w:val="none" w:sz="0" w:space="0" w:color="auto"/>
          </w:divBdr>
          <w:divsChild>
            <w:div w:id="597640410">
              <w:marLeft w:val="0"/>
              <w:marRight w:val="0"/>
              <w:marTop w:val="0"/>
              <w:marBottom w:val="0"/>
              <w:divBdr>
                <w:top w:val="none" w:sz="0" w:space="0" w:color="auto"/>
                <w:left w:val="none" w:sz="0" w:space="0" w:color="auto"/>
                <w:bottom w:val="none" w:sz="0" w:space="0" w:color="auto"/>
                <w:right w:val="none" w:sz="0" w:space="0" w:color="auto"/>
              </w:divBdr>
            </w:div>
          </w:divsChild>
        </w:div>
        <w:div w:id="1850018517">
          <w:marLeft w:val="0"/>
          <w:marRight w:val="0"/>
          <w:marTop w:val="0"/>
          <w:marBottom w:val="0"/>
          <w:divBdr>
            <w:top w:val="none" w:sz="0" w:space="0" w:color="auto"/>
            <w:left w:val="none" w:sz="0" w:space="0" w:color="auto"/>
            <w:bottom w:val="none" w:sz="0" w:space="0" w:color="auto"/>
            <w:right w:val="none" w:sz="0" w:space="0" w:color="auto"/>
          </w:divBdr>
          <w:divsChild>
            <w:div w:id="288896170">
              <w:marLeft w:val="0"/>
              <w:marRight w:val="0"/>
              <w:marTop w:val="0"/>
              <w:marBottom w:val="0"/>
              <w:divBdr>
                <w:top w:val="none" w:sz="0" w:space="0" w:color="auto"/>
                <w:left w:val="none" w:sz="0" w:space="0" w:color="auto"/>
                <w:bottom w:val="none" w:sz="0" w:space="0" w:color="auto"/>
                <w:right w:val="none" w:sz="0" w:space="0" w:color="auto"/>
              </w:divBdr>
            </w:div>
          </w:divsChild>
        </w:div>
        <w:div w:id="1853377198">
          <w:marLeft w:val="0"/>
          <w:marRight w:val="0"/>
          <w:marTop w:val="0"/>
          <w:marBottom w:val="0"/>
          <w:divBdr>
            <w:top w:val="none" w:sz="0" w:space="0" w:color="auto"/>
            <w:left w:val="none" w:sz="0" w:space="0" w:color="auto"/>
            <w:bottom w:val="none" w:sz="0" w:space="0" w:color="auto"/>
            <w:right w:val="none" w:sz="0" w:space="0" w:color="auto"/>
          </w:divBdr>
          <w:divsChild>
            <w:div w:id="1792896801">
              <w:marLeft w:val="0"/>
              <w:marRight w:val="0"/>
              <w:marTop w:val="0"/>
              <w:marBottom w:val="0"/>
              <w:divBdr>
                <w:top w:val="none" w:sz="0" w:space="0" w:color="auto"/>
                <w:left w:val="none" w:sz="0" w:space="0" w:color="auto"/>
                <w:bottom w:val="none" w:sz="0" w:space="0" w:color="auto"/>
                <w:right w:val="none" w:sz="0" w:space="0" w:color="auto"/>
              </w:divBdr>
            </w:div>
          </w:divsChild>
        </w:div>
        <w:div w:id="1900626891">
          <w:marLeft w:val="0"/>
          <w:marRight w:val="0"/>
          <w:marTop w:val="0"/>
          <w:marBottom w:val="0"/>
          <w:divBdr>
            <w:top w:val="none" w:sz="0" w:space="0" w:color="auto"/>
            <w:left w:val="none" w:sz="0" w:space="0" w:color="auto"/>
            <w:bottom w:val="none" w:sz="0" w:space="0" w:color="auto"/>
            <w:right w:val="none" w:sz="0" w:space="0" w:color="auto"/>
          </w:divBdr>
          <w:divsChild>
            <w:div w:id="1838155859">
              <w:marLeft w:val="0"/>
              <w:marRight w:val="0"/>
              <w:marTop w:val="0"/>
              <w:marBottom w:val="0"/>
              <w:divBdr>
                <w:top w:val="none" w:sz="0" w:space="0" w:color="auto"/>
                <w:left w:val="none" w:sz="0" w:space="0" w:color="auto"/>
                <w:bottom w:val="none" w:sz="0" w:space="0" w:color="auto"/>
                <w:right w:val="none" w:sz="0" w:space="0" w:color="auto"/>
              </w:divBdr>
            </w:div>
          </w:divsChild>
        </w:div>
        <w:div w:id="1905408565">
          <w:marLeft w:val="0"/>
          <w:marRight w:val="0"/>
          <w:marTop w:val="0"/>
          <w:marBottom w:val="0"/>
          <w:divBdr>
            <w:top w:val="none" w:sz="0" w:space="0" w:color="auto"/>
            <w:left w:val="none" w:sz="0" w:space="0" w:color="auto"/>
            <w:bottom w:val="none" w:sz="0" w:space="0" w:color="auto"/>
            <w:right w:val="none" w:sz="0" w:space="0" w:color="auto"/>
          </w:divBdr>
          <w:divsChild>
            <w:div w:id="19087527">
              <w:marLeft w:val="0"/>
              <w:marRight w:val="0"/>
              <w:marTop w:val="0"/>
              <w:marBottom w:val="0"/>
              <w:divBdr>
                <w:top w:val="none" w:sz="0" w:space="0" w:color="auto"/>
                <w:left w:val="none" w:sz="0" w:space="0" w:color="auto"/>
                <w:bottom w:val="none" w:sz="0" w:space="0" w:color="auto"/>
                <w:right w:val="none" w:sz="0" w:space="0" w:color="auto"/>
              </w:divBdr>
            </w:div>
          </w:divsChild>
        </w:div>
        <w:div w:id="1923754084">
          <w:marLeft w:val="0"/>
          <w:marRight w:val="0"/>
          <w:marTop w:val="0"/>
          <w:marBottom w:val="0"/>
          <w:divBdr>
            <w:top w:val="none" w:sz="0" w:space="0" w:color="auto"/>
            <w:left w:val="none" w:sz="0" w:space="0" w:color="auto"/>
            <w:bottom w:val="none" w:sz="0" w:space="0" w:color="auto"/>
            <w:right w:val="none" w:sz="0" w:space="0" w:color="auto"/>
          </w:divBdr>
          <w:divsChild>
            <w:div w:id="248972058">
              <w:marLeft w:val="0"/>
              <w:marRight w:val="0"/>
              <w:marTop w:val="0"/>
              <w:marBottom w:val="0"/>
              <w:divBdr>
                <w:top w:val="none" w:sz="0" w:space="0" w:color="auto"/>
                <w:left w:val="none" w:sz="0" w:space="0" w:color="auto"/>
                <w:bottom w:val="none" w:sz="0" w:space="0" w:color="auto"/>
                <w:right w:val="none" w:sz="0" w:space="0" w:color="auto"/>
              </w:divBdr>
            </w:div>
          </w:divsChild>
        </w:div>
        <w:div w:id="1925530988">
          <w:marLeft w:val="0"/>
          <w:marRight w:val="0"/>
          <w:marTop w:val="0"/>
          <w:marBottom w:val="0"/>
          <w:divBdr>
            <w:top w:val="none" w:sz="0" w:space="0" w:color="auto"/>
            <w:left w:val="none" w:sz="0" w:space="0" w:color="auto"/>
            <w:bottom w:val="none" w:sz="0" w:space="0" w:color="auto"/>
            <w:right w:val="none" w:sz="0" w:space="0" w:color="auto"/>
          </w:divBdr>
          <w:divsChild>
            <w:div w:id="1930429073">
              <w:marLeft w:val="0"/>
              <w:marRight w:val="0"/>
              <w:marTop w:val="0"/>
              <w:marBottom w:val="0"/>
              <w:divBdr>
                <w:top w:val="none" w:sz="0" w:space="0" w:color="auto"/>
                <w:left w:val="none" w:sz="0" w:space="0" w:color="auto"/>
                <w:bottom w:val="none" w:sz="0" w:space="0" w:color="auto"/>
                <w:right w:val="none" w:sz="0" w:space="0" w:color="auto"/>
              </w:divBdr>
            </w:div>
          </w:divsChild>
        </w:div>
        <w:div w:id="1933004073">
          <w:marLeft w:val="0"/>
          <w:marRight w:val="0"/>
          <w:marTop w:val="0"/>
          <w:marBottom w:val="0"/>
          <w:divBdr>
            <w:top w:val="none" w:sz="0" w:space="0" w:color="auto"/>
            <w:left w:val="none" w:sz="0" w:space="0" w:color="auto"/>
            <w:bottom w:val="none" w:sz="0" w:space="0" w:color="auto"/>
            <w:right w:val="none" w:sz="0" w:space="0" w:color="auto"/>
          </w:divBdr>
          <w:divsChild>
            <w:div w:id="1451704287">
              <w:marLeft w:val="0"/>
              <w:marRight w:val="0"/>
              <w:marTop w:val="0"/>
              <w:marBottom w:val="0"/>
              <w:divBdr>
                <w:top w:val="none" w:sz="0" w:space="0" w:color="auto"/>
                <w:left w:val="none" w:sz="0" w:space="0" w:color="auto"/>
                <w:bottom w:val="none" w:sz="0" w:space="0" w:color="auto"/>
                <w:right w:val="none" w:sz="0" w:space="0" w:color="auto"/>
              </w:divBdr>
            </w:div>
          </w:divsChild>
        </w:div>
        <w:div w:id="1939943104">
          <w:marLeft w:val="0"/>
          <w:marRight w:val="0"/>
          <w:marTop w:val="0"/>
          <w:marBottom w:val="0"/>
          <w:divBdr>
            <w:top w:val="none" w:sz="0" w:space="0" w:color="auto"/>
            <w:left w:val="none" w:sz="0" w:space="0" w:color="auto"/>
            <w:bottom w:val="none" w:sz="0" w:space="0" w:color="auto"/>
            <w:right w:val="none" w:sz="0" w:space="0" w:color="auto"/>
          </w:divBdr>
          <w:divsChild>
            <w:div w:id="2031760033">
              <w:marLeft w:val="0"/>
              <w:marRight w:val="0"/>
              <w:marTop w:val="0"/>
              <w:marBottom w:val="0"/>
              <w:divBdr>
                <w:top w:val="none" w:sz="0" w:space="0" w:color="auto"/>
                <w:left w:val="none" w:sz="0" w:space="0" w:color="auto"/>
                <w:bottom w:val="none" w:sz="0" w:space="0" w:color="auto"/>
                <w:right w:val="none" w:sz="0" w:space="0" w:color="auto"/>
              </w:divBdr>
            </w:div>
          </w:divsChild>
        </w:div>
        <w:div w:id="1975914454">
          <w:marLeft w:val="0"/>
          <w:marRight w:val="0"/>
          <w:marTop w:val="0"/>
          <w:marBottom w:val="0"/>
          <w:divBdr>
            <w:top w:val="none" w:sz="0" w:space="0" w:color="auto"/>
            <w:left w:val="none" w:sz="0" w:space="0" w:color="auto"/>
            <w:bottom w:val="none" w:sz="0" w:space="0" w:color="auto"/>
            <w:right w:val="none" w:sz="0" w:space="0" w:color="auto"/>
          </w:divBdr>
          <w:divsChild>
            <w:div w:id="73355132">
              <w:marLeft w:val="0"/>
              <w:marRight w:val="0"/>
              <w:marTop w:val="0"/>
              <w:marBottom w:val="0"/>
              <w:divBdr>
                <w:top w:val="none" w:sz="0" w:space="0" w:color="auto"/>
                <w:left w:val="none" w:sz="0" w:space="0" w:color="auto"/>
                <w:bottom w:val="none" w:sz="0" w:space="0" w:color="auto"/>
                <w:right w:val="none" w:sz="0" w:space="0" w:color="auto"/>
              </w:divBdr>
            </w:div>
          </w:divsChild>
        </w:div>
        <w:div w:id="2011374116">
          <w:marLeft w:val="0"/>
          <w:marRight w:val="0"/>
          <w:marTop w:val="0"/>
          <w:marBottom w:val="0"/>
          <w:divBdr>
            <w:top w:val="none" w:sz="0" w:space="0" w:color="auto"/>
            <w:left w:val="none" w:sz="0" w:space="0" w:color="auto"/>
            <w:bottom w:val="none" w:sz="0" w:space="0" w:color="auto"/>
            <w:right w:val="none" w:sz="0" w:space="0" w:color="auto"/>
          </w:divBdr>
          <w:divsChild>
            <w:div w:id="463042344">
              <w:marLeft w:val="0"/>
              <w:marRight w:val="0"/>
              <w:marTop w:val="0"/>
              <w:marBottom w:val="0"/>
              <w:divBdr>
                <w:top w:val="none" w:sz="0" w:space="0" w:color="auto"/>
                <w:left w:val="none" w:sz="0" w:space="0" w:color="auto"/>
                <w:bottom w:val="none" w:sz="0" w:space="0" w:color="auto"/>
                <w:right w:val="none" w:sz="0" w:space="0" w:color="auto"/>
              </w:divBdr>
            </w:div>
          </w:divsChild>
        </w:div>
        <w:div w:id="2079937247">
          <w:marLeft w:val="0"/>
          <w:marRight w:val="0"/>
          <w:marTop w:val="0"/>
          <w:marBottom w:val="0"/>
          <w:divBdr>
            <w:top w:val="none" w:sz="0" w:space="0" w:color="auto"/>
            <w:left w:val="none" w:sz="0" w:space="0" w:color="auto"/>
            <w:bottom w:val="none" w:sz="0" w:space="0" w:color="auto"/>
            <w:right w:val="none" w:sz="0" w:space="0" w:color="auto"/>
          </w:divBdr>
          <w:divsChild>
            <w:div w:id="2024545775">
              <w:marLeft w:val="0"/>
              <w:marRight w:val="0"/>
              <w:marTop w:val="0"/>
              <w:marBottom w:val="0"/>
              <w:divBdr>
                <w:top w:val="none" w:sz="0" w:space="0" w:color="auto"/>
                <w:left w:val="none" w:sz="0" w:space="0" w:color="auto"/>
                <w:bottom w:val="none" w:sz="0" w:space="0" w:color="auto"/>
                <w:right w:val="none" w:sz="0" w:space="0" w:color="auto"/>
              </w:divBdr>
            </w:div>
          </w:divsChild>
        </w:div>
        <w:div w:id="2103841644">
          <w:marLeft w:val="0"/>
          <w:marRight w:val="0"/>
          <w:marTop w:val="0"/>
          <w:marBottom w:val="0"/>
          <w:divBdr>
            <w:top w:val="none" w:sz="0" w:space="0" w:color="auto"/>
            <w:left w:val="none" w:sz="0" w:space="0" w:color="auto"/>
            <w:bottom w:val="none" w:sz="0" w:space="0" w:color="auto"/>
            <w:right w:val="none" w:sz="0" w:space="0" w:color="auto"/>
          </w:divBdr>
          <w:divsChild>
            <w:div w:id="209474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6285">
      <w:bodyDiv w:val="1"/>
      <w:marLeft w:val="0"/>
      <w:marRight w:val="0"/>
      <w:marTop w:val="0"/>
      <w:marBottom w:val="0"/>
      <w:divBdr>
        <w:top w:val="none" w:sz="0" w:space="0" w:color="auto"/>
        <w:left w:val="none" w:sz="0" w:space="0" w:color="auto"/>
        <w:bottom w:val="none" w:sz="0" w:space="0" w:color="auto"/>
        <w:right w:val="none" w:sz="0" w:space="0" w:color="auto"/>
      </w:divBdr>
    </w:div>
    <w:div w:id="364647220">
      <w:bodyDiv w:val="1"/>
      <w:marLeft w:val="0"/>
      <w:marRight w:val="0"/>
      <w:marTop w:val="0"/>
      <w:marBottom w:val="0"/>
      <w:divBdr>
        <w:top w:val="none" w:sz="0" w:space="0" w:color="auto"/>
        <w:left w:val="none" w:sz="0" w:space="0" w:color="auto"/>
        <w:bottom w:val="none" w:sz="0" w:space="0" w:color="auto"/>
        <w:right w:val="none" w:sz="0" w:space="0" w:color="auto"/>
      </w:divBdr>
    </w:div>
    <w:div w:id="372927962">
      <w:bodyDiv w:val="1"/>
      <w:marLeft w:val="0"/>
      <w:marRight w:val="0"/>
      <w:marTop w:val="0"/>
      <w:marBottom w:val="0"/>
      <w:divBdr>
        <w:top w:val="none" w:sz="0" w:space="0" w:color="auto"/>
        <w:left w:val="none" w:sz="0" w:space="0" w:color="auto"/>
        <w:bottom w:val="none" w:sz="0" w:space="0" w:color="auto"/>
        <w:right w:val="none" w:sz="0" w:space="0" w:color="auto"/>
      </w:divBdr>
      <w:divsChild>
        <w:div w:id="2007510363">
          <w:marLeft w:val="0"/>
          <w:marRight w:val="0"/>
          <w:marTop w:val="0"/>
          <w:marBottom w:val="0"/>
          <w:divBdr>
            <w:top w:val="none" w:sz="0" w:space="0" w:color="auto"/>
            <w:left w:val="none" w:sz="0" w:space="0" w:color="auto"/>
            <w:bottom w:val="none" w:sz="0" w:space="0" w:color="auto"/>
            <w:right w:val="none" w:sz="0" w:space="0" w:color="auto"/>
          </w:divBdr>
          <w:divsChild>
            <w:div w:id="6056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29313">
      <w:bodyDiv w:val="1"/>
      <w:marLeft w:val="0"/>
      <w:marRight w:val="0"/>
      <w:marTop w:val="0"/>
      <w:marBottom w:val="0"/>
      <w:divBdr>
        <w:top w:val="none" w:sz="0" w:space="0" w:color="auto"/>
        <w:left w:val="none" w:sz="0" w:space="0" w:color="auto"/>
        <w:bottom w:val="none" w:sz="0" w:space="0" w:color="auto"/>
        <w:right w:val="none" w:sz="0" w:space="0" w:color="auto"/>
      </w:divBdr>
      <w:divsChild>
        <w:div w:id="558052903">
          <w:marLeft w:val="0"/>
          <w:marRight w:val="0"/>
          <w:marTop w:val="0"/>
          <w:marBottom w:val="0"/>
          <w:divBdr>
            <w:top w:val="none" w:sz="0" w:space="0" w:color="auto"/>
            <w:left w:val="none" w:sz="0" w:space="0" w:color="auto"/>
            <w:bottom w:val="none" w:sz="0" w:space="0" w:color="auto"/>
            <w:right w:val="none" w:sz="0" w:space="0" w:color="auto"/>
          </w:divBdr>
          <w:divsChild>
            <w:div w:id="136042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6134">
      <w:bodyDiv w:val="1"/>
      <w:marLeft w:val="0"/>
      <w:marRight w:val="0"/>
      <w:marTop w:val="0"/>
      <w:marBottom w:val="0"/>
      <w:divBdr>
        <w:top w:val="none" w:sz="0" w:space="0" w:color="auto"/>
        <w:left w:val="none" w:sz="0" w:space="0" w:color="auto"/>
        <w:bottom w:val="none" w:sz="0" w:space="0" w:color="auto"/>
        <w:right w:val="none" w:sz="0" w:space="0" w:color="auto"/>
      </w:divBdr>
    </w:div>
    <w:div w:id="396440386">
      <w:bodyDiv w:val="1"/>
      <w:marLeft w:val="0"/>
      <w:marRight w:val="0"/>
      <w:marTop w:val="0"/>
      <w:marBottom w:val="0"/>
      <w:divBdr>
        <w:top w:val="none" w:sz="0" w:space="0" w:color="auto"/>
        <w:left w:val="none" w:sz="0" w:space="0" w:color="auto"/>
        <w:bottom w:val="none" w:sz="0" w:space="0" w:color="auto"/>
        <w:right w:val="none" w:sz="0" w:space="0" w:color="auto"/>
      </w:divBdr>
    </w:div>
    <w:div w:id="407654889">
      <w:bodyDiv w:val="1"/>
      <w:marLeft w:val="0"/>
      <w:marRight w:val="0"/>
      <w:marTop w:val="0"/>
      <w:marBottom w:val="0"/>
      <w:divBdr>
        <w:top w:val="none" w:sz="0" w:space="0" w:color="auto"/>
        <w:left w:val="none" w:sz="0" w:space="0" w:color="auto"/>
        <w:bottom w:val="none" w:sz="0" w:space="0" w:color="auto"/>
        <w:right w:val="none" w:sz="0" w:space="0" w:color="auto"/>
      </w:divBdr>
    </w:div>
    <w:div w:id="411896663">
      <w:bodyDiv w:val="1"/>
      <w:marLeft w:val="0"/>
      <w:marRight w:val="0"/>
      <w:marTop w:val="0"/>
      <w:marBottom w:val="0"/>
      <w:divBdr>
        <w:top w:val="none" w:sz="0" w:space="0" w:color="auto"/>
        <w:left w:val="none" w:sz="0" w:space="0" w:color="auto"/>
        <w:bottom w:val="none" w:sz="0" w:space="0" w:color="auto"/>
        <w:right w:val="none" w:sz="0" w:space="0" w:color="auto"/>
      </w:divBdr>
    </w:div>
    <w:div w:id="451630922">
      <w:bodyDiv w:val="1"/>
      <w:marLeft w:val="0"/>
      <w:marRight w:val="0"/>
      <w:marTop w:val="0"/>
      <w:marBottom w:val="0"/>
      <w:divBdr>
        <w:top w:val="none" w:sz="0" w:space="0" w:color="auto"/>
        <w:left w:val="none" w:sz="0" w:space="0" w:color="auto"/>
        <w:bottom w:val="none" w:sz="0" w:space="0" w:color="auto"/>
        <w:right w:val="none" w:sz="0" w:space="0" w:color="auto"/>
      </w:divBdr>
    </w:div>
    <w:div w:id="451637800">
      <w:bodyDiv w:val="1"/>
      <w:marLeft w:val="0"/>
      <w:marRight w:val="0"/>
      <w:marTop w:val="0"/>
      <w:marBottom w:val="0"/>
      <w:divBdr>
        <w:top w:val="none" w:sz="0" w:space="0" w:color="auto"/>
        <w:left w:val="none" w:sz="0" w:space="0" w:color="auto"/>
        <w:bottom w:val="none" w:sz="0" w:space="0" w:color="auto"/>
        <w:right w:val="none" w:sz="0" w:space="0" w:color="auto"/>
      </w:divBdr>
    </w:div>
    <w:div w:id="463616994">
      <w:bodyDiv w:val="1"/>
      <w:marLeft w:val="0"/>
      <w:marRight w:val="0"/>
      <w:marTop w:val="0"/>
      <w:marBottom w:val="0"/>
      <w:divBdr>
        <w:top w:val="none" w:sz="0" w:space="0" w:color="auto"/>
        <w:left w:val="none" w:sz="0" w:space="0" w:color="auto"/>
        <w:bottom w:val="none" w:sz="0" w:space="0" w:color="auto"/>
        <w:right w:val="none" w:sz="0" w:space="0" w:color="auto"/>
      </w:divBdr>
      <w:divsChild>
        <w:div w:id="15930938">
          <w:marLeft w:val="0"/>
          <w:marRight w:val="0"/>
          <w:marTop w:val="0"/>
          <w:marBottom w:val="0"/>
          <w:divBdr>
            <w:top w:val="none" w:sz="0" w:space="0" w:color="auto"/>
            <w:left w:val="none" w:sz="0" w:space="0" w:color="auto"/>
            <w:bottom w:val="none" w:sz="0" w:space="0" w:color="auto"/>
            <w:right w:val="none" w:sz="0" w:space="0" w:color="auto"/>
          </w:divBdr>
          <w:divsChild>
            <w:div w:id="140969401">
              <w:marLeft w:val="0"/>
              <w:marRight w:val="0"/>
              <w:marTop w:val="0"/>
              <w:marBottom w:val="0"/>
              <w:divBdr>
                <w:top w:val="none" w:sz="0" w:space="0" w:color="auto"/>
                <w:left w:val="none" w:sz="0" w:space="0" w:color="auto"/>
                <w:bottom w:val="none" w:sz="0" w:space="0" w:color="auto"/>
                <w:right w:val="none" w:sz="0" w:space="0" w:color="auto"/>
              </w:divBdr>
            </w:div>
          </w:divsChild>
        </w:div>
        <w:div w:id="52822699">
          <w:marLeft w:val="0"/>
          <w:marRight w:val="0"/>
          <w:marTop w:val="0"/>
          <w:marBottom w:val="0"/>
          <w:divBdr>
            <w:top w:val="none" w:sz="0" w:space="0" w:color="auto"/>
            <w:left w:val="none" w:sz="0" w:space="0" w:color="auto"/>
            <w:bottom w:val="none" w:sz="0" w:space="0" w:color="auto"/>
            <w:right w:val="none" w:sz="0" w:space="0" w:color="auto"/>
          </w:divBdr>
          <w:divsChild>
            <w:div w:id="1470904818">
              <w:marLeft w:val="0"/>
              <w:marRight w:val="0"/>
              <w:marTop w:val="0"/>
              <w:marBottom w:val="0"/>
              <w:divBdr>
                <w:top w:val="none" w:sz="0" w:space="0" w:color="auto"/>
                <w:left w:val="none" w:sz="0" w:space="0" w:color="auto"/>
                <w:bottom w:val="none" w:sz="0" w:space="0" w:color="auto"/>
                <w:right w:val="none" w:sz="0" w:space="0" w:color="auto"/>
              </w:divBdr>
            </w:div>
          </w:divsChild>
        </w:div>
        <w:div w:id="54669621">
          <w:marLeft w:val="0"/>
          <w:marRight w:val="0"/>
          <w:marTop w:val="0"/>
          <w:marBottom w:val="0"/>
          <w:divBdr>
            <w:top w:val="none" w:sz="0" w:space="0" w:color="auto"/>
            <w:left w:val="none" w:sz="0" w:space="0" w:color="auto"/>
            <w:bottom w:val="none" w:sz="0" w:space="0" w:color="auto"/>
            <w:right w:val="none" w:sz="0" w:space="0" w:color="auto"/>
          </w:divBdr>
          <w:divsChild>
            <w:div w:id="1080638628">
              <w:marLeft w:val="0"/>
              <w:marRight w:val="0"/>
              <w:marTop w:val="0"/>
              <w:marBottom w:val="0"/>
              <w:divBdr>
                <w:top w:val="none" w:sz="0" w:space="0" w:color="auto"/>
                <w:left w:val="none" w:sz="0" w:space="0" w:color="auto"/>
                <w:bottom w:val="none" w:sz="0" w:space="0" w:color="auto"/>
                <w:right w:val="none" w:sz="0" w:space="0" w:color="auto"/>
              </w:divBdr>
            </w:div>
          </w:divsChild>
        </w:div>
        <w:div w:id="69738328">
          <w:marLeft w:val="0"/>
          <w:marRight w:val="0"/>
          <w:marTop w:val="0"/>
          <w:marBottom w:val="0"/>
          <w:divBdr>
            <w:top w:val="none" w:sz="0" w:space="0" w:color="auto"/>
            <w:left w:val="none" w:sz="0" w:space="0" w:color="auto"/>
            <w:bottom w:val="none" w:sz="0" w:space="0" w:color="auto"/>
            <w:right w:val="none" w:sz="0" w:space="0" w:color="auto"/>
          </w:divBdr>
          <w:divsChild>
            <w:div w:id="1973095855">
              <w:marLeft w:val="0"/>
              <w:marRight w:val="0"/>
              <w:marTop w:val="0"/>
              <w:marBottom w:val="0"/>
              <w:divBdr>
                <w:top w:val="none" w:sz="0" w:space="0" w:color="auto"/>
                <w:left w:val="none" w:sz="0" w:space="0" w:color="auto"/>
                <w:bottom w:val="none" w:sz="0" w:space="0" w:color="auto"/>
                <w:right w:val="none" w:sz="0" w:space="0" w:color="auto"/>
              </w:divBdr>
            </w:div>
          </w:divsChild>
        </w:div>
        <w:div w:id="86926010">
          <w:marLeft w:val="0"/>
          <w:marRight w:val="0"/>
          <w:marTop w:val="0"/>
          <w:marBottom w:val="0"/>
          <w:divBdr>
            <w:top w:val="none" w:sz="0" w:space="0" w:color="auto"/>
            <w:left w:val="none" w:sz="0" w:space="0" w:color="auto"/>
            <w:bottom w:val="none" w:sz="0" w:space="0" w:color="auto"/>
            <w:right w:val="none" w:sz="0" w:space="0" w:color="auto"/>
          </w:divBdr>
          <w:divsChild>
            <w:div w:id="421605216">
              <w:marLeft w:val="0"/>
              <w:marRight w:val="0"/>
              <w:marTop w:val="0"/>
              <w:marBottom w:val="0"/>
              <w:divBdr>
                <w:top w:val="none" w:sz="0" w:space="0" w:color="auto"/>
                <w:left w:val="none" w:sz="0" w:space="0" w:color="auto"/>
                <w:bottom w:val="none" w:sz="0" w:space="0" w:color="auto"/>
                <w:right w:val="none" w:sz="0" w:space="0" w:color="auto"/>
              </w:divBdr>
            </w:div>
          </w:divsChild>
        </w:div>
        <w:div w:id="100733309">
          <w:marLeft w:val="0"/>
          <w:marRight w:val="0"/>
          <w:marTop w:val="0"/>
          <w:marBottom w:val="0"/>
          <w:divBdr>
            <w:top w:val="none" w:sz="0" w:space="0" w:color="auto"/>
            <w:left w:val="none" w:sz="0" w:space="0" w:color="auto"/>
            <w:bottom w:val="none" w:sz="0" w:space="0" w:color="auto"/>
            <w:right w:val="none" w:sz="0" w:space="0" w:color="auto"/>
          </w:divBdr>
          <w:divsChild>
            <w:div w:id="763577729">
              <w:marLeft w:val="0"/>
              <w:marRight w:val="0"/>
              <w:marTop w:val="0"/>
              <w:marBottom w:val="0"/>
              <w:divBdr>
                <w:top w:val="none" w:sz="0" w:space="0" w:color="auto"/>
                <w:left w:val="none" w:sz="0" w:space="0" w:color="auto"/>
                <w:bottom w:val="none" w:sz="0" w:space="0" w:color="auto"/>
                <w:right w:val="none" w:sz="0" w:space="0" w:color="auto"/>
              </w:divBdr>
            </w:div>
          </w:divsChild>
        </w:div>
        <w:div w:id="166947555">
          <w:marLeft w:val="0"/>
          <w:marRight w:val="0"/>
          <w:marTop w:val="0"/>
          <w:marBottom w:val="0"/>
          <w:divBdr>
            <w:top w:val="none" w:sz="0" w:space="0" w:color="auto"/>
            <w:left w:val="none" w:sz="0" w:space="0" w:color="auto"/>
            <w:bottom w:val="none" w:sz="0" w:space="0" w:color="auto"/>
            <w:right w:val="none" w:sz="0" w:space="0" w:color="auto"/>
          </w:divBdr>
          <w:divsChild>
            <w:div w:id="52505657">
              <w:marLeft w:val="0"/>
              <w:marRight w:val="0"/>
              <w:marTop w:val="0"/>
              <w:marBottom w:val="0"/>
              <w:divBdr>
                <w:top w:val="none" w:sz="0" w:space="0" w:color="auto"/>
                <w:left w:val="none" w:sz="0" w:space="0" w:color="auto"/>
                <w:bottom w:val="none" w:sz="0" w:space="0" w:color="auto"/>
                <w:right w:val="none" w:sz="0" w:space="0" w:color="auto"/>
              </w:divBdr>
            </w:div>
          </w:divsChild>
        </w:div>
        <w:div w:id="170532157">
          <w:marLeft w:val="0"/>
          <w:marRight w:val="0"/>
          <w:marTop w:val="0"/>
          <w:marBottom w:val="0"/>
          <w:divBdr>
            <w:top w:val="none" w:sz="0" w:space="0" w:color="auto"/>
            <w:left w:val="none" w:sz="0" w:space="0" w:color="auto"/>
            <w:bottom w:val="none" w:sz="0" w:space="0" w:color="auto"/>
            <w:right w:val="none" w:sz="0" w:space="0" w:color="auto"/>
          </w:divBdr>
          <w:divsChild>
            <w:div w:id="924456395">
              <w:marLeft w:val="0"/>
              <w:marRight w:val="0"/>
              <w:marTop w:val="0"/>
              <w:marBottom w:val="0"/>
              <w:divBdr>
                <w:top w:val="none" w:sz="0" w:space="0" w:color="auto"/>
                <w:left w:val="none" w:sz="0" w:space="0" w:color="auto"/>
                <w:bottom w:val="none" w:sz="0" w:space="0" w:color="auto"/>
                <w:right w:val="none" w:sz="0" w:space="0" w:color="auto"/>
              </w:divBdr>
            </w:div>
          </w:divsChild>
        </w:div>
        <w:div w:id="170876716">
          <w:marLeft w:val="0"/>
          <w:marRight w:val="0"/>
          <w:marTop w:val="0"/>
          <w:marBottom w:val="0"/>
          <w:divBdr>
            <w:top w:val="none" w:sz="0" w:space="0" w:color="auto"/>
            <w:left w:val="none" w:sz="0" w:space="0" w:color="auto"/>
            <w:bottom w:val="none" w:sz="0" w:space="0" w:color="auto"/>
            <w:right w:val="none" w:sz="0" w:space="0" w:color="auto"/>
          </w:divBdr>
          <w:divsChild>
            <w:div w:id="672032599">
              <w:marLeft w:val="0"/>
              <w:marRight w:val="0"/>
              <w:marTop w:val="0"/>
              <w:marBottom w:val="0"/>
              <w:divBdr>
                <w:top w:val="none" w:sz="0" w:space="0" w:color="auto"/>
                <w:left w:val="none" w:sz="0" w:space="0" w:color="auto"/>
                <w:bottom w:val="none" w:sz="0" w:space="0" w:color="auto"/>
                <w:right w:val="none" w:sz="0" w:space="0" w:color="auto"/>
              </w:divBdr>
            </w:div>
          </w:divsChild>
        </w:div>
        <w:div w:id="191502896">
          <w:marLeft w:val="0"/>
          <w:marRight w:val="0"/>
          <w:marTop w:val="0"/>
          <w:marBottom w:val="0"/>
          <w:divBdr>
            <w:top w:val="none" w:sz="0" w:space="0" w:color="auto"/>
            <w:left w:val="none" w:sz="0" w:space="0" w:color="auto"/>
            <w:bottom w:val="none" w:sz="0" w:space="0" w:color="auto"/>
            <w:right w:val="none" w:sz="0" w:space="0" w:color="auto"/>
          </w:divBdr>
          <w:divsChild>
            <w:div w:id="1360356399">
              <w:marLeft w:val="0"/>
              <w:marRight w:val="0"/>
              <w:marTop w:val="0"/>
              <w:marBottom w:val="0"/>
              <w:divBdr>
                <w:top w:val="none" w:sz="0" w:space="0" w:color="auto"/>
                <w:left w:val="none" w:sz="0" w:space="0" w:color="auto"/>
                <w:bottom w:val="none" w:sz="0" w:space="0" w:color="auto"/>
                <w:right w:val="none" w:sz="0" w:space="0" w:color="auto"/>
              </w:divBdr>
            </w:div>
          </w:divsChild>
        </w:div>
        <w:div w:id="265159555">
          <w:marLeft w:val="0"/>
          <w:marRight w:val="0"/>
          <w:marTop w:val="0"/>
          <w:marBottom w:val="0"/>
          <w:divBdr>
            <w:top w:val="none" w:sz="0" w:space="0" w:color="auto"/>
            <w:left w:val="none" w:sz="0" w:space="0" w:color="auto"/>
            <w:bottom w:val="none" w:sz="0" w:space="0" w:color="auto"/>
            <w:right w:val="none" w:sz="0" w:space="0" w:color="auto"/>
          </w:divBdr>
          <w:divsChild>
            <w:div w:id="279146037">
              <w:marLeft w:val="0"/>
              <w:marRight w:val="0"/>
              <w:marTop w:val="0"/>
              <w:marBottom w:val="0"/>
              <w:divBdr>
                <w:top w:val="none" w:sz="0" w:space="0" w:color="auto"/>
                <w:left w:val="none" w:sz="0" w:space="0" w:color="auto"/>
                <w:bottom w:val="none" w:sz="0" w:space="0" w:color="auto"/>
                <w:right w:val="none" w:sz="0" w:space="0" w:color="auto"/>
              </w:divBdr>
            </w:div>
          </w:divsChild>
        </w:div>
        <w:div w:id="330066307">
          <w:marLeft w:val="0"/>
          <w:marRight w:val="0"/>
          <w:marTop w:val="0"/>
          <w:marBottom w:val="0"/>
          <w:divBdr>
            <w:top w:val="none" w:sz="0" w:space="0" w:color="auto"/>
            <w:left w:val="none" w:sz="0" w:space="0" w:color="auto"/>
            <w:bottom w:val="none" w:sz="0" w:space="0" w:color="auto"/>
            <w:right w:val="none" w:sz="0" w:space="0" w:color="auto"/>
          </w:divBdr>
          <w:divsChild>
            <w:div w:id="1324317625">
              <w:marLeft w:val="0"/>
              <w:marRight w:val="0"/>
              <w:marTop w:val="0"/>
              <w:marBottom w:val="0"/>
              <w:divBdr>
                <w:top w:val="none" w:sz="0" w:space="0" w:color="auto"/>
                <w:left w:val="none" w:sz="0" w:space="0" w:color="auto"/>
                <w:bottom w:val="none" w:sz="0" w:space="0" w:color="auto"/>
                <w:right w:val="none" w:sz="0" w:space="0" w:color="auto"/>
              </w:divBdr>
            </w:div>
          </w:divsChild>
        </w:div>
        <w:div w:id="334461665">
          <w:marLeft w:val="0"/>
          <w:marRight w:val="0"/>
          <w:marTop w:val="0"/>
          <w:marBottom w:val="0"/>
          <w:divBdr>
            <w:top w:val="none" w:sz="0" w:space="0" w:color="auto"/>
            <w:left w:val="none" w:sz="0" w:space="0" w:color="auto"/>
            <w:bottom w:val="none" w:sz="0" w:space="0" w:color="auto"/>
            <w:right w:val="none" w:sz="0" w:space="0" w:color="auto"/>
          </w:divBdr>
          <w:divsChild>
            <w:div w:id="2053456371">
              <w:marLeft w:val="0"/>
              <w:marRight w:val="0"/>
              <w:marTop w:val="0"/>
              <w:marBottom w:val="0"/>
              <w:divBdr>
                <w:top w:val="none" w:sz="0" w:space="0" w:color="auto"/>
                <w:left w:val="none" w:sz="0" w:space="0" w:color="auto"/>
                <w:bottom w:val="none" w:sz="0" w:space="0" w:color="auto"/>
                <w:right w:val="none" w:sz="0" w:space="0" w:color="auto"/>
              </w:divBdr>
            </w:div>
          </w:divsChild>
        </w:div>
        <w:div w:id="347679855">
          <w:marLeft w:val="0"/>
          <w:marRight w:val="0"/>
          <w:marTop w:val="0"/>
          <w:marBottom w:val="0"/>
          <w:divBdr>
            <w:top w:val="none" w:sz="0" w:space="0" w:color="auto"/>
            <w:left w:val="none" w:sz="0" w:space="0" w:color="auto"/>
            <w:bottom w:val="none" w:sz="0" w:space="0" w:color="auto"/>
            <w:right w:val="none" w:sz="0" w:space="0" w:color="auto"/>
          </w:divBdr>
          <w:divsChild>
            <w:div w:id="1474787467">
              <w:marLeft w:val="0"/>
              <w:marRight w:val="0"/>
              <w:marTop w:val="0"/>
              <w:marBottom w:val="0"/>
              <w:divBdr>
                <w:top w:val="none" w:sz="0" w:space="0" w:color="auto"/>
                <w:left w:val="none" w:sz="0" w:space="0" w:color="auto"/>
                <w:bottom w:val="none" w:sz="0" w:space="0" w:color="auto"/>
                <w:right w:val="none" w:sz="0" w:space="0" w:color="auto"/>
              </w:divBdr>
            </w:div>
          </w:divsChild>
        </w:div>
        <w:div w:id="447314536">
          <w:marLeft w:val="0"/>
          <w:marRight w:val="0"/>
          <w:marTop w:val="0"/>
          <w:marBottom w:val="0"/>
          <w:divBdr>
            <w:top w:val="none" w:sz="0" w:space="0" w:color="auto"/>
            <w:left w:val="none" w:sz="0" w:space="0" w:color="auto"/>
            <w:bottom w:val="none" w:sz="0" w:space="0" w:color="auto"/>
            <w:right w:val="none" w:sz="0" w:space="0" w:color="auto"/>
          </w:divBdr>
          <w:divsChild>
            <w:div w:id="1257053917">
              <w:marLeft w:val="0"/>
              <w:marRight w:val="0"/>
              <w:marTop w:val="0"/>
              <w:marBottom w:val="0"/>
              <w:divBdr>
                <w:top w:val="none" w:sz="0" w:space="0" w:color="auto"/>
                <w:left w:val="none" w:sz="0" w:space="0" w:color="auto"/>
                <w:bottom w:val="none" w:sz="0" w:space="0" w:color="auto"/>
                <w:right w:val="none" w:sz="0" w:space="0" w:color="auto"/>
              </w:divBdr>
            </w:div>
          </w:divsChild>
        </w:div>
        <w:div w:id="476149968">
          <w:marLeft w:val="0"/>
          <w:marRight w:val="0"/>
          <w:marTop w:val="0"/>
          <w:marBottom w:val="0"/>
          <w:divBdr>
            <w:top w:val="none" w:sz="0" w:space="0" w:color="auto"/>
            <w:left w:val="none" w:sz="0" w:space="0" w:color="auto"/>
            <w:bottom w:val="none" w:sz="0" w:space="0" w:color="auto"/>
            <w:right w:val="none" w:sz="0" w:space="0" w:color="auto"/>
          </w:divBdr>
          <w:divsChild>
            <w:div w:id="662003906">
              <w:marLeft w:val="0"/>
              <w:marRight w:val="0"/>
              <w:marTop w:val="0"/>
              <w:marBottom w:val="0"/>
              <w:divBdr>
                <w:top w:val="none" w:sz="0" w:space="0" w:color="auto"/>
                <w:left w:val="none" w:sz="0" w:space="0" w:color="auto"/>
                <w:bottom w:val="none" w:sz="0" w:space="0" w:color="auto"/>
                <w:right w:val="none" w:sz="0" w:space="0" w:color="auto"/>
              </w:divBdr>
            </w:div>
          </w:divsChild>
        </w:div>
        <w:div w:id="491918625">
          <w:marLeft w:val="0"/>
          <w:marRight w:val="0"/>
          <w:marTop w:val="0"/>
          <w:marBottom w:val="0"/>
          <w:divBdr>
            <w:top w:val="none" w:sz="0" w:space="0" w:color="auto"/>
            <w:left w:val="none" w:sz="0" w:space="0" w:color="auto"/>
            <w:bottom w:val="none" w:sz="0" w:space="0" w:color="auto"/>
            <w:right w:val="none" w:sz="0" w:space="0" w:color="auto"/>
          </w:divBdr>
          <w:divsChild>
            <w:div w:id="1146239751">
              <w:marLeft w:val="0"/>
              <w:marRight w:val="0"/>
              <w:marTop w:val="0"/>
              <w:marBottom w:val="0"/>
              <w:divBdr>
                <w:top w:val="none" w:sz="0" w:space="0" w:color="auto"/>
                <w:left w:val="none" w:sz="0" w:space="0" w:color="auto"/>
                <w:bottom w:val="none" w:sz="0" w:space="0" w:color="auto"/>
                <w:right w:val="none" w:sz="0" w:space="0" w:color="auto"/>
              </w:divBdr>
            </w:div>
          </w:divsChild>
        </w:div>
        <w:div w:id="505176248">
          <w:marLeft w:val="0"/>
          <w:marRight w:val="0"/>
          <w:marTop w:val="0"/>
          <w:marBottom w:val="0"/>
          <w:divBdr>
            <w:top w:val="none" w:sz="0" w:space="0" w:color="auto"/>
            <w:left w:val="none" w:sz="0" w:space="0" w:color="auto"/>
            <w:bottom w:val="none" w:sz="0" w:space="0" w:color="auto"/>
            <w:right w:val="none" w:sz="0" w:space="0" w:color="auto"/>
          </w:divBdr>
          <w:divsChild>
            <w:div w:id="1283538752">
              <w:marLeft w:val="0"/>
              <w:marRight w:val="0"/>
              <w:marTop w:val="0"/>
              <w:marBottom w:val="0"/>
              <w:divBdr>
                <w:top w:val="none" w:sz="0" w:space="0" w:color="auto"/>
                <w:left w:val="none" w:sz="0" w:space="0" w:color="auto"/>
                <w:bottom w:val="none" w:sz="0" w:space="0" w:color="auto"/>
                <w:right w:val="none" w:sz="0" w:space="0" w:color="auto"/>
              </w:divBdr>
            </w:div>
          </w:divsChild>
        </w:div>
        <w:div w:id="536741597">
          <w:marLeft w:val="0"/>
          <w:marRight w:val="0"/>
          <w:marTop w:val="0"/>
          <w:marBottom w:val="0"/>
          <w:divBdr>
            <w:top w:val="none" w:sz="0" w:space="0" w:color="auto"/>
            <w:left w:val="none" w:sz="0" w:space="0" w:color="auto"/>
            <w:bottom w:val="none" w:sz="0" w:space="0" w:color="auto"/>
            <w:right w:val="none" w:sz="0" w:space="0" w:color="auto"/>
          </w:divBdr>
          <w:divsChild>
            <w:div w:id="1007053552">
              <w:marLeft w:val="0"/>
              <w:marRight w:val="0"/>
              <w:marTop w:val="0"/>
              <w:marBottom w:val="0"/>
              <w:divBdr>
                <w:top w:val="none" w:sz="0" w:space="0" w:color="auto"/>
                <w:left w:val="none" w:sz="0" w:space="0" w:color="auto"/>
                <w:bottom w:val="none" w:sz="0" w:space="0" w:color="auto"/>
                <w:right w:val="none" w:sz="0" w:space="0" w:color="auto"/>
              </w:divBdr>
            </w:div>
          </w:divsChild>
        </w:div>
        <w:div w:id="552617324">
          <w:marLeft w:val="0"/>
          <w:marRight w:val="0"/>
          <w:marTop w:val="0"/>
          <w:marBottom w:val="0"/>
          <w:divBdr>
            <w:top w:val="none" w:sz="0" w:space="0" w:color="auto"/>
            <w:left w:val="none" w:sz="0" w:space="0" w:color="auto"/>
            <w:bottom w:val="none" w:sz="0" w:space="0" w:color="auto"/>
            <w:right w:val="none" w:sz="0" w:space="0" w:color="auto"/>
          </w:divBdr>
          <w:divsChild>
            <w:div w:id="1153059139">
              <w:marLeft w:val="0"/>
              <w:marRight w:val="0"/>
              <w:marTop w:val="0"/>
              <w:marBottom w:val="0"/>
              <w:divBdr>
                <w:top w:val="none" w:sz="0" w:space="0" w:color="auto"/>
                <w:left w:val="none" w:sz="0" w:space="0" w:color="auto"/>
                <w:bottom w:val="none" w:sz="0" w:space="0" w:color="auto"/>
                <w:right w:val="none" w:sz="0" w:space="0" w:color="auto"/>
              </w:divBdr>
            </w:div>
          </w:divsChild>
        </w:div>
        <w:div w:id="584076590">
          <w:marLeft w:val="0"/>
          <w:marRight w:val="0"/>
          <w:marTop w:val="0"/>
          <w:marBottom w:val="0"/>
          <w:divBdr>
            <w:top w:val="none" w:sz="0" w:space="0" w:color="auto"/>
            <w:left w:val="none" w:sz="0" w:space="0" w:color="auto"/>
            <w:bottom w:val="none" w:sz="0" w:space="0" w:color="auto"/>
            <w:right w:val="none" w:sz="0" w:space="0" w:color="auto"/>
          </w:divBdr>
          <w:divsChild>
            <w:div w:id="1016272114">
              <w:marLeft w:val="0"/>
              <w:marRight w:val="0"/>
              <w:marTop w:val="0"/>
              <w:marBottom w:val="0"/>
              <w:divBdr>
                <w:top w:val="none" w:sz="0" w:space="0" w:color="auto"/>
                <w:left w:val="none" w:sz="0" w:space="0" w:color="auto"/>
                <w:bottom w:val="none" w:sz="0" w:space="0" w:color="auto"/>
                <w:right w:val="none" w:sz="0" w:space="0" w:color="auto"/>
              </w:divBdr>
            </w:div>
          </w:divsChild>
        </w:div>
        <w:div w:id="597907853">
          <w:marLeft w:val="0"/>
          <w:marRight w:val="0"/>
          <w:marTop w:val="0"/>
          <w:marBottom w:val="0"/>
          <w:divBdr>
            <w:top w:val="none" w:sz="0" w:space="0" w:color="auto"/>
            <w:left w:val="none" w:sz="0" w:space="0" w:color="auto"/>
            <w:bottom w:val="none" w:sz="0" w:space="0" w:color="auto"/>
            <w:right w:val="none" w:sz="0" w:space="0" w:color="auto"/>
          </w:divBdr>
          <w:divsChild>
            <w:div w:id="1069186124">
              <w:marLeft w:val="0"/>
              <w:marRight w:val="0"/>
              <w:marTop w:val="0"/>
              <w:marBottom w:val="0"/>
              <w:divBdr>
                <w:top w:val="none" w:sz="0" w:space="0" w:color="auto"/>
                <w:left w:val="none" w:sz="0" w:space="0" w:color="auto"/>
                <w:bottom w:val="none" w:sz="0" w:space="0" w:color="auto"/>
                <w:right w:val="none" w:sz="0" w:space="0" w:color="auto"/>
              </w:divBdr>
            </w:div>
          </w:divsChild>
        </w:div>
        <w:div w:id="613023836">
          <w:marLeft w:val="0"/>
          <w:marRight w:val="0"/>
          <w:marTop w:val="0"/>
          <w:marBottom w:val="0"/>
          <w:divBdr>
            <w:top w:val="none" w:sz="0" w:space="0" w:color="auto"/>
            <w:left w:val="none" w:sz="0" w:space="0" w:color="auto"/>
            <w:bottom w:val="none" w:sz="0" w:space="0" w:color="auto"/>
            <w:right w:val="none" w:sz="0" w:space="0" w:color="auto"/>
          </w:divBdr>
          <w:divsChild>
            <w:div w:id="1040518886">
              <w:marLeft w:val="0"/>
              <w:marRight w:val="0"/>
              <w:marTop w:val="0"/>
              <w:marBottom w:val="0"/>
              <w:divBdr>
                <w:top w:val="none" w:sz="0" w:space="0" w:color="auto"/>
                <w:left w:val="none" w:sz="0" w:space="0" w:color="auto"/>
                <w:bottom w:val="none" w:sz="0" w:space="0" w:color="auto"/>
                <w:right w:val="none" w:sz="0" w:space="0" w:color="auto"/>
              </w:divBdr>
            </w:div>
          </w:divsChild>
        </w:div>
        <w:div w:id="714351003">
          <w:marLeft w:val="0"/>
          <w:marRight w:val="0"/>
          <w:marTop w:val="0"/>
          <w:marBottom w:val="0"/>
          <w:divBdr>
            <w:top w:val="none" w:sz="0" w:space="0" w:color="auto"/>
            <w:left w:val="none" w:sz="0" w:space="0" w:color="auto"/>
            <w:bottom w:val="none" w:sz="0" w:space="0" w:color="auto"/>
            <w:right w:val="none" w:sz="0" w:space="0" w:color="auto"/>
          </w:divBdr>
          <w:divsChild>
            <w:div w:id="1792287941">
              <w:marLeft w:val="0"/>
              <w:marRight w:val="0"/>
              <w:marTop w:val="0"/>
              <w:marBottom w:val="0"/>
              <w:divBdr>
                <w:top w:val="none" w:sz="0" w:space="0" w:color="auto"/>
                <w:left w:val="none" w:sz="0" w:space="0" w:color="auto"/>
                <w:bottom w:val="none" w:sz="0" w:space="0" w:color="auto"/>
                <w:right w:val="none" w:sz="0" w:space="0" w:color="auto"/>
              </w:divBdr>
            </w:div>
          </w:divsChild>
        </w:div>
        <w:div w:id="808323040">
          <w:marLeft w:val="0"/>
          <w:marRight w:val="0"/>
          <w:marTop w:val="0"/>
          <w:marBottom w:val="0"/>
          <w:divBdr>
            <w:top w:val="none" w:sz="0" w:space="0" w:color="auto"/>
            <w:left w:val="none" w:sz="0" w:space="0" w:color="auto"/>
            <w:bottom w:val="none" w:sz="0" w:space="0" w:color="auto"/>
            <w:right w:val="none" w:sz="0" w:space="0" w:color="auto"/>
          </w:divBdr>
          <w:divsChild>
            <w:div w:id="1273591010">
              <w:marLeft w:val="0"/>
              <w:marRight w:val="0"/>
              <w:marTop w:val="0"/>
              <w:marBottom w:val="0"/>
              <w:divBdr>
                <w:top w:val="none" w:sz="0" w:space="0" w:color="auto"/>
                <w:left w:val="none" w:sz="0" w:space="0" w:color="auto"/>
                <w:bottom w:val="none" w:sz="0" w:space="0" w:color="auto"/>
                <w:right w:val="none" w:sz="0" w:space="0" w:color="auto"/>
              </w:divBdr>
            </w:div>
          </w:divsChild>
        </w:div>
        <w:div w:id="814838465">
          <w:marLeft w:val="0"/>
          <w:marRight w:val="0"/>
          <w:marTop w:val="0"/>
          <w:marBottom w:val="0"/>
          <w:divBdr>
            <w:top w:val="none" w:sz="0" w:space="0" w:color="auto"/>
            <w:left w:val="none" w:sz="0" w:space="0" w:color="auto"/>
            <w:bottom w:val="none" w:sz="0" w:space="0" w:color="auto"/>
            <w:right w:val="none" w:sz="0" w:space="0" w:color="auto"/>
          </w:divBdr>
          <w:divsChild>
            <w:div w:id="440220837">
              <w:marLeft w:val="0"/>
              <w:marRight w:val="0"/>
              <w:marTop w:val="0"/>
              <w:marBottom w:val="0"/>
              <w:divBdr>
                <w:top w:val="none" w:sz="0" w:space="0" w:color="auto"/>
                <w:left w:val="none" w:sz="0" w:space="0" w:color="auto"/>
                <w:bottom w:val="none" w:sz="0" w:space="0" w:color="auto"/>
                <w:right w:val="none" w:sz="0" w:space="0" w:color="auto"/>
              </w:divBdr>
            </w:div>
          </w:divsChild>
        </w:div>
        <w:div w:id="852457416">
          <w:marLeft w:val="0"/>
          <w:marRight w:val="0"/>
          <w:marTop w:val="0"/>
          <w:marBottom w:val="0"/>
          <w:divBdr>
            <w:top w:val="none" w:sz="0" w:space="0" w:color="auto"/>
            <w:left w:val="none" w:sz="0" w:space="0" w:color="auto"/>
            <w:bottom w:val="none" w:sz="0" w:space="0" w:color="auto"/>
            <w:right w:val="none" w:sz="0" w:space="0" w:color="auto"/>
          </w:divBdr>
          <w:divsChild>
            <w:div w:id="1050806661">
              <w:marLeft w:val="0"/>
              <w:marRight w:val="0"/>
              <w:marTop w:val="0"/>
              <w:marBottom w:val="0"/>
              <w:divBdr>
                <w:top w:val="none" w:sz="0" w:space="0" w:color="auto"/>
                <w:left w:val="none" w:sz="0" w:space="0" w:color="auto"/>
                <w:bottom w:val="none" w:sz="0" w:space="0" w:color="auto"/>
                <w:right w:val="none" w:sz="0" w:space="0" w:color="auto"/>
              </w:divBdr>
            </w:div>
          </w:divsChild>
        </w:div>
        <w:div w:id="878008811">
          <w:marLeft w:val="0"/>
          <w:marRight w:val="0"/>
          <w:marTop w:val="0"/>
          <w:marBottom w:val="0"/>
          <w:divBdr>
            <w:top w:val="none" w:sz="0" w:space="0" w:color="auto"/>
            <w:left w:val="none" w:sz="0" w:space="0" w:color="auto"/>
            <w:bottom w:val="none" w:sz="0" w:space="0" w:color="auto"/>
            <w:right w:val="none" w:sz="0" w:space="0" w:color="auto"/>
          </w:divBdr>
          <w:divsChild>
            <w:div w:id="1818183956">
              <w:marLeft w:val="0"/>
              <w:marRight w:val="0"/>
              <w:marTop w:val="0"/>
              <w:marBottom w:val="0"/>
              <w:divBdr>
                <w:top w:val="none" w:sz="0" w:space="0" w:color="auto"/>
                <w:left w:val="none" w:sz="0" w:space="0" w:color="auto"/>
                <w:bottom w:val="none" w:sz="0" w:space="0" w:color="auto"/>
                <w:right w:val="none" w:sz="0" w:space="0" w:color="auto"/>
              </w:divBdr>
            </w:div>
          </w:divsChild>
        </w:div>
        <w:div w:id="896546695">
          <w:marLeft w:val="0"/>
          <w:marRight w:val="0"/>
          <w:marTop w:val="0"/>
          <w:marBottom w:val="0"/>
          <w:divBdr>
            <w:top w:val="none" w:sz="0" w:space="0" w:color="auto"/>
            <w:left w:val="none" w:sz="0" w:space="0" w:color="auto"/>
            <w:bottom w:val="none" w:sz="0" w:space="0" w:color="auto"/>
            <w:right w:val="none" w:sz="0" w:space="0" w:color="auto"/>
          </w:divBdr>
          <w:divsChild>
            <w:div w:id="263924533">
              <w:marLeft w:val="0"/>
              <w:marRight w:val="0"/>
              <w:marTop w:val="0"/>
              <w:marBottom w:val="0"/>
              <w:divBdr>
                <w:top w:val="none" w:sz="0" w:space="0" w:color="auto"/>
                <w:left w:val="none" w:sz="0" w:space="0" w:color="auto"/>
                <w:bottom w:val="none" w:sz="0" w:space="0" w:color="auto"/>
                <w:right w:val="none" w:sz="0" w:space="0" w:color="auto"/>
              </w:divBdr>
            </w:div>
          </w:divsChild>
        </w:div>
        <w:div w:id="903873718">
          <w:marLeft w:val="0"/>
          <w:marRight w:val="0"/>
          <w:marTop w:val="0"/>
          <w:marBottom w:val="0"/>
          <w:divBdr>
            <w:top w:val="none" w:sz="0" w:space="0" w:color="auto"/>
            <w:left w:val="none" w:sz="0" w:space="0" w:color="auto"/>
            <w:bottom w:val="none" w:sz="0" w:space="0" w:color="auto"/>
            <w:right w:val="none" w:sz="0" w:space="0" w:color="auto"/>
          </w:divBdr>
          <w:divsChild>
            <w:div w:id="170683201">
              <w:marLeft w:val="0"/>
              <w:marRight w:val="0"/>
              <w:marTop w:val="0"/>
              <w:marBottom w:val="0"/>
              <w:divBdr>
                <w:top w:val="none" w:sz="0" w:space="0" w:color="auto"/>
                <w:left w:val="none" w:sz="0" w:space="0" w:color="auto"/>
                <w:bottom w:val="none" w:sz="0" w:space="0" w:color="auto"/>
                <w:right w:val="none" w:sz="0" w:space="0" w:color="auto"/>
              </w:divBdr>
            </w:div>
          </w:divsChild>
        </w:div>
        <w:div w:id="921379841">
          <w:marLeft w:val="0"/>
          <w:marRight w:val="0"/>
          <w:marTop w:val="0"/>
          <w:marBottom w:val="0"/>
          <w:divBdr>
            <w:top w:val="none" w:sz="0" w:space="0" w:color="auto"/>
            <w:left w:val="none" w:sz="0" w:space="0" w:color="auto"/>
            <w:bottom w:val="none" w:sz="0" w:space="0" w:color="auto"/>
            <w:right w:val="none" w:sz="0" w:space="0" w:color="auto"/>
          </w:divBdr>
          <w:divsChild>
            <w:div w:id="1394087532">
              <w:marLeft w:val="0"/>
              <w:marRight w:val="0"/>
              <w:marTop w:val="0"/>
              <w:marBottom w:val="0"/>
              <w:divBdr>
                <w:top w:val="none" w:sz="0" w:space="0" w:color="auto"/>
                <w:left w:val="none" w:sz="0" w:space="0" w:color="auto"/>
                <w:bottom w:val="none" w:sz="0" w:space="0" w:color="auto"/>
                <w:right w:val="none" w:sz="0" w:space="0" w:color="auto"/>
              </w:divBdr>
            </w:div>
          </w:divsChild>
        </w:div>
        <w:div w:id="987049384">
          <w:marLeft w:val="0"/>
          <w:marRight w:val="0"/>
          <w:marTop w:val="0"/>
          <w:marBottom w:val="0"/>
          <w:divBdr>
            <w:top w:val="none" w:sz="0" w:space="0" w:color="auto"/>
            <w:left w:val="none" w:sz="0" w:space="0" w:color="auto"/>
            <w:bottom w:val="none" w:sz="0" w:space="0" w:color="auto"/>
            <w:right w:val="none" w:sz="0" w:space="0" w:color="auto"/>
          </w:divBdr>
          <w:divsChild>
            <w:div w:id="1552964679">
              <w:marLeft w:val="0"/>
              <w:marRight w:val="0"/>
              <w:marTop w:val="0"/>
              <w:marBottom w:val="0"/>
              <w:divBdr>
                <w:top w:val="none" w:sz="0" w:space="0" w:color="auto"/>
                <w:left w:val="none" w:sz="0" w:space="0" w:color="auto"/>
                <w:bottom w:val="none" w:sz="0" w:space="0" w:color="auto"/>
                <w:right w:val="none" w:sz="0" w:space="0" w:color="auto"/>
              </w:divBdr>
            </w:div>
          </w:divsChild>
        </w:div>
        <w:div w:id="993222409">
          <w:marLeft w:val="0"/>
          <w:marRight w:val="0"/>
          <w:marTop w:val="0"/>
          <w:marBottom w:val="0"/>
          <w:divBdr>
            <w:top w:val="none" w:sz="0" w:space="0" w:color="auto"/>
            <w:left w:val="none" w:sz="0" w:space="0" w:color="auto"/>
            <w:bottom w:val="none" w:sz="0" w:space="0" w:color="auto"/>
            <w:right w:val="none" w:sz="0" w:space="0" w:color="auto"/>
          </w:divBdr>
          <w:divsChild>
            <w:div w:id="477190185">
              <w:marLeft w:val="0"/>
              <w:marRight w:val="0"/>
              <w:marTop w:val="0"/>
              <w:marBottom w:val="0"/>
              <w:divBdr>
                <w:top w:val="none" w:sz="0" w:space="0" w:color="auto"/>
                <w:left w:val="none" w:sz="0" w:space="0" w:color="auto"/>
                <w:bottom w:val="none" w:sz="0" w:space="0" w:color="auto"/>
                <w:right w:val="none" w:sz="0" w:space="0" w:color="auto"/>
              </w:divBdr>
            </w:div>
          </w:divsChild>
        </w:div>
        <w:div w:id="1015157048">
          <w:marLeft w:val="0"/>
          <w:marRight w:val="0"/>
          <w:marTop w:val="0"/>
          <w:marBottom w:val="0"/>
          <w:divBdr>
            <w:top w:val="none" w:sz="0" w:space="0" w:color="auto"/>
            <w:left w:val="none" w:sz="0" w:space="0" w:color="auto"/>
            <w:bottom w:val="none" w:sz="0" w:space="0" w:color="auto"/>
            <w:right w:val="none" w:sz="0" w:space="0" w:color="auto"/>
          </w:divBdr>
          <w:divsChild>
            <w:div w:id="1619337803">
              <w:marLeft w:val="0"/>
              <w:marRight w:val="0"/>
              <w:marTop w:val="0"/>
              <w:marBottom w:val="0"/>
              <w:divBdr>
                <w:top w:val="none" w:sz="0" w:space="0" w:color="auto"/>
                <w:left w:val="none" w:sz="0" w:space="0" w:color="auto"/>
                <w:bottom w:val="none" w:sz="0" w:space="0" w:color="auto"/>
                <w:right w:val="none" w:sz="0" w:space="0" w:color="auto"/>
              </w:divBdr>
            </w:div>
          </w:divsChild>
        </w:div>
        <w:div w:id="1041593638">
          <w:marLeft w:val="0"/>
          <w:marRight w:val="0"/>
          <w:marTop w:val="0"/>
          <w:marBottom w:val="0"/>
          <w:divBdr>
            <w:top w:val="none" w:sz="0" w:space="0" w:color="auto"/>
            <w:left w:val="none" w:sz="0" w:space="0" w:color="auto"/>
            <w:bottom w:val="none" w:sz="0" w:space="0" w:color="auto"/>
            <w:right w:val="none" w:sz="0" w:space="0" w:color="auto"/>
          </w:divBdr>
          <w:divsChild>
            <w:div w:id="2055932547">
              <w:marLeft w:val="0"/>
              <w:marRight w:val="0"/>
              <w:marTop w:val="0"/>
              <w:marBottom w:val="0"/>
              <w:divBdr>
                <w:top w:val="none" w:sz="0" w:space="0" w:color="auto"/>
                <w:left w:val="none" w:sz="0" w:space="0" w:color="auto"/>
                <w:bottom w:val="none" w:sz="0" w:space="0" w:color="auto"/>
                <w:right w:val="none" w:sz="0" w:space="0" w:color="auto"/>
              </w:divBdr>
            </w:div>
          </w:divsChild>
        </w:div>
        <w:div w:id="1093630982">
          <w:marLeft w:val="0"/>
          <w:marRight w:val="0"/>
          <w:marTop w:val="0"/>
          <w:marBottom w:val="0"/>
          <w:divBdr>
            <w:top w:val="none" w:sz="0" w:space="0" w:color="auto"/>
            <w:left w:val="none" w:sz="0" w:space="0" w:color="auto"/>
            <w:bottom w:val="none" w:sz="0" w:space="0" w:color="auto"/>
            <w:right w:val="none" w:sz="0" w:space="0" w:color="auto"/>
          </w:divBdr>
          <w:divsChild>
            <w:div w:id="1680278723">
              <w:marLeft w:val="0"/>
              <w:marRight w:val="0"/>
              <w:marTop w:val="0"/>
              <w:marBottom w:val="0"/>
              <w:divBdr>
                <w:top w:val="none" w:sz="0" w:space="0" w:color="auto"/>
                <w:left w:val="none" w:sz="0" w:space="0" w:color="auto"/>
                <w:bottom w:val="none" w:sz="0" w:space="0" w:color="auto"/>
                <w:right w:val="none" w:sz="0" w:space="0" w:color="auto"/>
              </w:divBdr>
            </w:div>
          </w:divsChild>
        </w:div>
        <w:div w:id="1121799801">
          <w:marLeft w:val="0"/>
          <w:marRight w:val="0"/>
          <w:marTop w:val="0"/>
          <w:marBottom w:val="0"/>
          <w:divBdr>
            <w:top w:val="none" w:sz="0" w:space="0" w:color="auto"/>
            <w:left w:val="none" w:sz="0" w:space="0" w:color="auto"/>
            <w:bottom w:val="none" w:sz="0" w:space="0" w:color="auto"/>
            <w:right w:val="none" w:sz="0" w:space="0" w:color="auto"/>
          </w:divBdr>
          <w:divsChild>
            <w:div w:id="316570054">
              <w:marLeft w:val="0"/>
              <w:marRight w:val="0"/>
              <w:marTop w:val="0"/>
              <w:marBottom w:val="0"/>
              <w:divBdr>
                <w:top w:val="none" w:sz="0" w:space="0" w:color="auto"/>
                <w:left w:val="none" w:sz="0" w:space="0" w:color="auto"/>
                <w:bottom w:val="none" w:sz="0" w:space="0" w:color="auto"/>
                <w:right w:val="none" w:sz="0" w:space="0" w:color="auto"/>
              </w:divBdr>
            </w:div>
          </w:divsChild>
        </w:div>
        <w:div w:id="1137142246">
          <w:marLeft w:val="0"/>
          <w:marRight w:val="0"/>
          <w:marTop w:val="0"/>
          <w:marBottom w:val="0"/>
          <w:divBdr>
            <w:top w:val="none" w:sz="0" w:space="0" w:color="auto"/>
            <w:left w:val="none" w:sz="0" w:space="0" w:color="auto"/>
            <w:bottom w:val="none" w:sz="0" w:space="0" w:color="auto"/>
            <w:right w:val="none" w:sz="0" w:space="0" w:color="auto"/>
          </w:divBdr>
          <w:divsChild>
            <w:div w:id="1652784335">
              <w:marLeft w:val="0"/>
              <w:marRight w:val="0"/>
              <w:marTop w:val="0"/>
              <w:marBottom w:val="0"/>
              <w:divBdr>
                <w:top w:val="none" w:sz="0" w:space="0" w:color="auto"/>
                <w:left w:val="none" w:sz="0" w:space="0" w:color="auto"/>
                <w:bottom w:val="none" w:sz="0" w:space="0" w:color="auto"/>
                <w:right w:val="none" w:sz="0" w:space="0" w:color="auto"/>
              </w:divBdr>
            </w:div>
          </w:divsChild>
        </w:div>
        <w:div w:id="1206020489">
          <w:marLeft w:val="0"/>
          <w:marRight w:val="0"/>
          <w:marTop w:val="0"/>
          <w:marBottom w:val="0"/>
          <w:divBdr>
            <w:top w:val="none" w:sz="0" w:space="0" w:color="auto"/>
            <w:left w:val="none" w:sz="0" w:space="0" w:color="auto"/>
            <w:bottom w:val="none" w:sz="0" w:space="0" w:color="auto"/>
            <w:right w:val="none" w:sz="0" w:space="0" w:color="auto"/>
          </w:divBdr>
          <w:divsChild>
            <w:div w:id="659433233">
              <w:marLeft w:val="0"/>
              <w:marRight w:val="0"/>
              <w:marTop w:val="0"/>
              <w:marBottom w:val="0"/>
              <w:divBdr>
                <w:top w:val="none" w:sz="0" w:space="0" w:color="auto"/>
                <w:left w:val="none" w:sz="0" w:space="0" w:color="auto"/>
                <w:bottom w:val="none" w:sz="0" w:space="0" w:color="auto"/>
                <w:right w:val="none" w:sz="0" w:space="0" w:color="auto"/>
              </w:divBdr>
            </w:div>
          </w:divsChild>
        </w:div>
        <w:div w:id="1224413581">
          <w:marLeft w:val="0"/>
          <w:marRight w:val="0"/>
          <w:marTop w:val="0"/>
          <w:marBottom w:val="0"/>
          <w:divBdr>
            <w:top w:val="none" w:sz="0" w:space="0" w:color="auto"/>
            <w:left w:val="none" w:sz="0" w:space="0" w:color="auto"/>
            <w:bottom w:val="none" w:sz="0" w:space="0" w:color="auto"/>
            <w:right w:val="none" w:sz="0" w:space="0" w:color="auto"/>
          </w:divBdr>
          <w:divsChild>
            <w:div w:id="1536885822">
              <w:marLeft w:val="0"/>
              <w:marRight w:val="0"/>
              <w:marTop w:val="0"/>
              <w:marBottom w:val="0"/>
              <w:divBdr>
                <w:top w:val="none" w:sz="0" w:space="0" w:color="auto"/>
                <w:left w:val="none" w:sz="0" w:space="0" w:color="auto"/>
                <w:bottom w:val="none" w:sz="0" w:space="0" w:color="auto"/>
                <w:right w:val="none" w:sz="0" w:space="0" w:color="auto"/>
              </w:divBdr>
            </w:div>
          </w:divsChild>
        </w:div>
        <w:div w:id="1227840389">
          <w:marLeft w:val="0"/>
          <w:marRight w:val="0"/>
          <w:marTop w:val="0"/>
          <w:marBottom w:val="0"/>
          <w:divBdr>
            <w:top w:val="none" w:sz="0" w:space="0" w:color="auto"/>
            <w:left w:val="none" w:sz="0" w:space="0" w:color="auto"/>
            <w:bottom w:val="none" w:sz="0" w:space="0" w:color="auto"/>
            <w:right w:val="none" w:sz="0" w:space="0" w:color="auto"/>
          </w:divBdr>
          <w:divsChild>
            <w:div w:id="427237483">
              <w:marLeft w:val="0"/>
              <w:marRight w:val="0"/>
              <w:marTop w:val="0"/>
              <w:marBottom w:val="0"/>
              <w:divBdr>
                <w:top w:val="none" w:sz="0" w:space="0" w:color="auto"/>
                <w:left w:val="none" w:sz="0" w:space="0" w:color="auto"/>
                <w:bottom w:val="none" w:sz="0" w:space="0" w:color="auto"/>
                <w:right w:val="none" w:sz="0" w:space="0" w:color="auto"/>
              </w:divBdr>
            </w:div>
          </w:divsChild>
        </w:div>
        <w:div w:id="1236431225">
          <w:marLeft w:val="0"/>
          <w:marRight w:val="0"/>
          <w:marTop w:val="0"/>
          <w:marBottom w:val="0"/>
          <w:divBdr>
            <w:top w:val="none" w:sz="0" w:space="0" w:color="auto"/>
            <w:left w:val="none" w:sz="0" w:space="0" w:color="auto"/>
            <w:bottom w:val="none" w:sz="0" w:space="0" w:color="auto"/>
            <w:right w:val="none" w:sz="0" w:space="0" w:color="auto"/>
          </w:divBdr>
          <w:divsChild>
            <w:div w:id="1197740128">
              <w:marLeft w:val="0"/>
              <w:marRight w:val="0"/>
              <w:marTop w:val="0"/>
              <w:marBottom w:val="0"/>
              <w:divBdr>
                <w:top w:val="none" w:sz="0" w:space="0" w:color="auto"/>
                <w:left w:val="none" w:sz="0" w:space="0" w:color="auto"/>
                <w:bottom w:val="none" w:sz="0" w:space="0" w:color="auto"/>
                <w:right w:val="none" w:sz="0" w:space="0" w:color="auto"/>
              </w:divBdr>
            </w:div>
          </w:divsChild>
        </w:div>
        <w:div w:id="1237474648">
          <w:marLeft w:val="0"/>
          <w:marRight w:val="0"/>
          <w:marTop w:val="0"/>
          <w:marBottom w:val="0"/>
          <w:divBdr>
            <w:top w:val="none" w:sz="0" w:space="0" w:color="auto"/>
            <w:left w:val="none" w:sz="0" w:space="0" w:color="auto"/>
            <w:bottom w:val="none" w:sz="0" w:space="0" w:color="auto"/>
            <w:right w:val="none" w:sz="0" w:space="0" w:color="auto"/>
          </w:divBdr>
          <w:divsChild>
            <w:div w:id="576937479">
              <w:marLeft w:val="0"/>
              <w:marRight w:val="0"/>
              <w:marTop w:val="0"/>
              <w:marBottom w:val="0"/>
              <w:divBdr>
                <w:top w:val="none" w:sz="0" w:space="0" w:color="auto"/>
                <w:left w:val="none" w:sz="0" w:space="0" w:color="auto"/>
                <w:bottom w:val="none" w:sz="0" w:space="0" w:color="auto"/>
                <w:right w:val="none" w:sz="0" w:space="0" w:color="auto"/>
              </w:divBdr>
            </w:div>
          </w:divsChild>
        </w:div>
        <w:div w:id="1261765342">
          <w:marLeft w:val="0"/>
          <w:marRight w:val="0"/>
          <w:marTop w:val="0"/>
          <w:marBottom w:val="0"/>
          <w:divBdr>
            <w:top w:val="none" w:sz="0" w:space="0" w:color="auto"/>
            <w:left w:val="none" w:sz="0" w:space="0" w:color="auto"/>
            <w:bottom w:val="none" w:sz="0" w:space="0" w:color="auto"/>
            <w:right w:val="none" w:sz="0" w:space="0" w:color="auto"/>
          </w:divBdr>
          <w:divsChild>
            <w:div w:id="1995794821">
              <w:marLeft w:val="0"/>
              <w:marRight w:val="0"/>
              <w:marTop w:val="0"/>
              <w:marBottom w:val="0"/>
              <w:divBdr>
                <w:top w:val="none" w:sz="0" w:space="0" w:color="auto"/>
                <w:left w:val="none" w:sz="0" w:space="0" w:color="auto"/>
                <w:bottom w:val="none" w:sz="0" w:space="0" w:color="auto"/>
                <w:right w:val="none" w:sz="0" w:space="0" w:color="auto"/>
              </w:divBdr>
            </w:div>
          </w:divsChild>
        </w:div>
        <w:div w:id="1395353420">
          <w:marLeft w:val="0"/>
          <w:marRight w:val="0"/>
          <w:marTop w:val="0"/>
          <w:marBottom w:val="0"/>
          <w:divBdr>
            <w:top w:val="none" w:sz="0" w:space="0" w:color="auto"/>
            <w:left w:val="none" w:sz="0" w:space="0" w:color="auto"/>
            <w:bottom w:val="none" w:sz="0" w:space="0" w:color="auto"/>
            <w:right w:val="none" w:sz="0" w:space="0" w:color="auto"/>
          </w:divBdr>
          <w:divsChild>
            <w:div w:id="110781462">
              <w:marLeft w:val="0"/>
              <w:marRight w:val="0"/>
              <w:marTop w:val="0"/>
              <w:marBottom w:val="0"/>
              <w:divBdr>
                <w:top w:val="none" w:sz="0" w:space="0" w:color="auto"/>
                <w:left w:val="none" w:sz="0" w:space="0" w:color="auto"/>
                <w:bottom w:val="none" w:sz="0" w:space="0" w:color="auto"/>
                <w:right w:val="none" w:sz="0" w:space="0" w:color="auto"/>
              </w:divBdr>
            </w:div>
          </w:divsChild>
        </w:div>
        <w:div w:id="1401752747">
          <w:marLeft w:val="0"/>
          <w:marRight w:val="0"/>
          <w:marTop w:val="0"/>
          <w:marBottom w:val="0"/>
          <w:divBdr>
            <w:top w:val="none" w:sz="0" w:space="0" w:color="auto"/>
            <w:left w:val="none" w:sz="0" w:space="0" w:color="auto"/>
            <w:bottom w:val="none" w:sz="0" w:space="0" w:color="auto"/>
            <w:right w:val="none" w:sz="0" w:space="0" w:color="auto"/>
          </w:divBdr>
          <w:divsChild>
            <w:div w:id="1653674331">
              <w:marLeft w:val="0"/>
              <w:marRight w:val="0"/>
              <w:marTop w:val="0"/>
              <w:marBottom w:val="0"/>
              <w:divBdr>
                <w:top w:val="none" w:sz="0" w:space="0" w:color="auto"/>
                <w:left w:val="none" w:sz="0" w:space="0" w:color="auto"/>
                <w:bottom w:val="none" w:sz="0" w:space="0" w:color="auto"/>
                <w:right w:val="none" w:sz="0" w:space="0" w:color="auto"/>
              </w:divBdr>
            </w:div>
          </w:divsChild>
        </w:div>
        <w:div w:id="1469544648">
          <w:marLeft w:val="0"/>
          <w:marRight w:val="0"/>
          <w:marTop w:val="0"/>
          <w:marBottom w:val="0"/>
          <w:divBdr>
            <w:top w:val="none" w:sz="0" w:space="0" w:color="auto"/>
            <w:left w:val="none" w:sz="0" w:space="0" w:color="auto"/>
            <w:bottom w:val="none" w:sz="0" w:space="0" w:color="auto"/>
            <w:right w:val="none" w:sz="0" w:space="0" w:color="auto"/>
          </w:divBdr>
          <w:divsChild>
            <w:div w:id="337276174">
              <w:marLeft w:val="0"/>
              <w:marRight w:val="0"/>
              <w:marTop w:val="0"/>
              <w:marBottom w:val="0"/>
              <w:divBdr>
                <w:top w:val="none" w:sz="0" w:space="0" w:color="auto"/>
                <w:left w:val="none" w:sz="0" w:space="0" w:color="auto"/>
                <w:bottom w:val="none" w:sz="0" w:space="0" w:color="auto"/>
                <w:right w:val="none" w:sz="0" w:space="0" w:color="auto"/>
              </w:divBdr>
            </w:div>
          </w:divsChild>
        </w:div>
        <w:div w:id="1489399567">
          <w:marLeft w:val="0"/>
          <w:marRight w:val="0"/>
          <w:marTop w:val="0"/>
          <w:marBottom w:val="0"/>
          <w:divBdr>
            <w:top w:val="none" w:sz="0" w:space="0" w:color="auto"/>
            <w:left w:val="none" w:sz="0" w:space="0" w:color="auto"/>
            <w:bottom w:val="none" w:sz="0" w:space="0" w:color="auto"/>
            <w:right w:val="none" w:sz="0" w:space="0" w:color="auto"/>
          </w:divBdr>
          <w:divsChild>
            <w:div w:id="1730422836">
              <w:marLeft w:val="0"/>
              <w:marRight w:val="0"/>
              <w:marTop w:val="0"/>
              <w:marBottom w:val="0"/>
              <w:divBdr>
                <w:top w:val="none" w:sz="0" w:space="0" w:color="auto"/>
                <w:left w:val="none" w:sz="0" w:space="0" w:color="auto"/>
                <w:bottom w:val="none" w:sz="0" w:space="0" w:color="auto"/>
                <w:right w:val="none" w:sz="0" w:space="0" w:color="auto"/>
              </w:divBdr>
            </w:div>
          </w:divsChild>
        </w:div>
        <w:div w:id="1498569810">
          <w:marLeft w:val="0"/>
          <w:marRight w:val="0"/>
          <w:marTop w:val="0"/>
          <w:marBottom w:val="0"/>
          <w:divBdr>
            <w:top w:val="none" w:sz="0" w:space="0" w:color="auto"/>
            <w:left w:val="none" w:sz="0" w:space="0" w:color="auto"/>
            <w:bottom w:val="none" w:sz="0" w:space="0" w:color="auto"/>
            <w:right w:val="none" w:sz="0" w:space="0" w:color="auto"/>
          </w:divBdr>
          <w:divsChild>
            <w:div w:id="1183935715">
              <w:marLeft w:val="0"/>
              <w:marRight w:val="0"/>
              <w:marTop w:val="0"/>
              <w:marBottom w:val="0"/>
              <w:divBdr>
                <w:top w:val="none" w:sz="0" w:space="0" w:color="auto"/>
                <w:left w:val="none" w:sz="0" w:space="0" w:color="auto"/>
                <w:bottom w:val="none" w:sz="0" w:space="0" w:color="auto"/>
                <w:right w:val="none" w:sz="0" w:space="0" w:color="auto"/>
              </w:divBdr>
            </w:div>
          </w:divsChild>
        </w:div>
        <w:div w:id="1561165742">
          <w:marLeft w:val="0"/>
          <w:marRight w:val="0"/>
          <w:marTop w:val="0"/>
          <w:marBottom w:val="0"/>
          <w:divBdr>
            <w:top w:val="none" w:sz="0" w:space="0" w:color="auto"/>
            <w:left w:val="none" w:sz="0" w:space="0" w:color="auto"/>
            <w:bottom w:val="none" w:sz="0" w:space="0" w:color="auto"/>
            <w:right w:val="none" w:sz="0" w:space="0" w:color="auto"/>
          </w:divBdr>
          <w:divsChild>
            <w:div w:id="1584878747">
              <w:marLeft w:val="0"/>
              <w:marRight w:val="0"/>
              <w:marTop w:val="0"/>
              <w:marBottom w:val="0"/>
              <w:divBdr>
                <w:top w:val="none" w:sz="0" w:space="0" w:color="auto"/>
                <w:left w:val="none" w:sz="0" w:space="0" w:color="auto"/>
                <w:bottom w:val="none" w:sz="0" w:space="0" w:color="auto"/>
                <w:right w:val="none" w:sz="0" w:space="0" w:color="auto"/>
              </w:divBdr>
            </w:div>
          </w:divsChild>
        </w:div>
        <w:div w:id="1564681983">
          <w:marLeft w:val="0"/>
          <w:marRight w:val="0"/>
          <w:marTop w:val="0"/>
          <w:marBottom w:val="0"/>
          <w:divBdr>
            <w:top w:val="none" w:sz="0" w:space="0" w:color="auto"/>
            <w:left w:val="none" w:sz="0" w:space="0" w:color="auto"/>
            <w:bottom w:val="none" w:sz="0" w:space="0" w:color="auto"/>
            <w:right w:val="none" w:sz="0" w:space="0" w:color="auto"/>
          </w:divBdr>
          <w:divsChild>
            <w:div w:id="364984483">
              <w:marLeft w:val="0"/>
              <w:marRight w:val="0"/>
              <w:marTop w:val="0"/>
              <w:marBottom w:val="0"/>
              <w:divBdr>
                <w:top w:val="none" w:sz="0" w:space="0" w:color="auto"/>
                <w:left w:val="none" w:sz="0" w:space="0" w:color="auto"/>
                <w:bottom w:val="none" w:sz="0" w:space="0" w:color="auto"/>
                <w:right w:val="none" w:sz="0" w:space="0" w:color="auto"/>
              </w:divBdr>
            </w:div>
          </w:divsChild>
        </w:div>
        <w:div w:id="1569920302">
          <w:marLeft w:val="0"/>
          <w:marRight w:val="0"/>
          <w:marTop w:val="0"/>
          <w:marBottom w:val="0"/>
          <w:divBdr>
            <w:top w:val="none" w:sz="0" w:space="0" w:color="auto"/>
            <w:left w:val="none" w:sz="0" w:space="0" w:color="auto"/>
            <w:bottom w:val="none" w:sz="0" w:space="0" w:color="auto"/>
            <w:right w:val="none" w:sz="0" w:space="0" w:color="auto"/>
          </w:divBdr>
          <w:divsChild>
            <w:div w:id="624120176">
              <w:marLeft w:val="0"/>
              <w:marRight w:val="0"/>
              <w:marTop w:val="0"/>
              <w:marBottom w:val="0"/>
              <w:divBdr>
                <w:top w:val="none" w:sz="0" w:space="0" w:color="auto"/>
                <w:left w:val="none" w:sz="0" w:space="0" w:color="auto"/>
                <w:bottom w:val="none" w:sz="0" w:space="0" w:color="auto"/>
                <w:right w:val="none" w:sz="0" w:space="0" w:color="auto"/>
              </w:divBdr>
            </w:div>
          </w:divsChild>
        </w:div>
        <w:div w:id="1575044401">
          <w:marLeft w:val="0"/>
          <w:marRight w:val="0"/>
          <w:marTop w:val="0"/>
          <w:marBottom w:val="0"/>
          <w:divBdr>
            <w:top w:val="none" w:sz="0" w:space="0" w:color="auto"/>
            <w:left w:val="none" w:sz="0" w:space="0" w:color="auto"/>
            <w:bottom w:val="none" w:sz="0" w:space="0" w:color="auto"/>
            <w:right w:val="none" w:sz="0" w:space="0" w:color="auto"/>
          </w:divBdr>
          <w:divsChild>
            <w:div w:id="328752217">
              <w:marLeft w:val="0"/>
              <w:marRight w:val="0"/>
              <w:marTop w:val="0"/>
              <w:marBottom w:val="0"/>
              <w:divBdr>
                <w:top w:val="none" w:sz="0" w:space="0" w:color="auto"/>
                <w:left w:val="none" w:sz="0" w:space="0" w:color="auto"/>
                <w:bottom w:val="none" w:sz="0" w:space="0" w:color="auto"/>
                <w:right w:val="none" w:sz="0" w:space="0" w:color="auto"/>
              </w:divBdr>
            </w:div>
          </w:divsChild>
        </w:div>
        <w:div w:id="1579359259">
          <w:marLeft w:val="0"/>
          <w:marRight w:val="0"/>
          <w:marTop w:val="0"/>
          <w:marBottom w:val="0"/>
          <w:divBdr>
            <w:top w:val="none" w:sz="0" w:space="0" w:color="auto"/>
            <w:left w:val="none" w:sz="0" w:space="0" w:color="auto"/>
            <w:bottom w:val="none" w:sz="0" w:space="0" w:color="auto"/>
            <w:right w:val="none" w:sz="0" w:space="0" w:color="auto"/>
          </w:divBdr>
          <w:divsChild>
            <w:div w:id="406388892">
              <w:marLeft w:val="0"/>
              <w:marRight w:val="0"/>
              <w:marTop w:val="0"/>
              <w:marBottom w:val="0"/>
              <w:divBdr>
                <w:top w:val="none" w:sz="0" w:space="0" w:color="auto"/>
                <w:left w:val="none" w:sz="0" w:space="0" w:color="auto"/>
                <w:bottom w:val="none" w:sz="0" w:space="0" w:color="auto"/>
                <w:right w:val="none" w:sz="0" w:space="0" w:color="auto"/>
              </w:divBdr>
            </w:div>
          </w:divsChild>
        </w:div>
        <w:div w:id="1586963081">
          <w:marLeft w:val="0"/>
          <w:marRight w:val="0"/>
          <w:marTop w:val="0"/>
          <w:marBottom w:val="0"/>
          <w:divBdr>
            <w:top w:val="none" w:sz="0" w:space="0" w:color="auto"/>
            <w:left w:val="none" w:sz="0" w:space="0" w:color="auto"/>
            <w:bottom w:val="none" w:sz="0" w:space="0" w:color="auto"/>
            <w:right w:val="none" w:sz="0" w:space="0" w:color="auto"/>
          </w:divBdr>
          <w:divsChild>
            <w:div w:id="1430465378">
              <w:marLeft w:val="0"/>
              <w:marRight w:val="0"/>
              <w:marTop w:val="0"/>
              <w:marBottom w:val="0"/>
              <w:divBdr>
                <w:top w:val="none" w:sz="0" w:space="0" w:color="auto"/>
                <w:left w:val="none" w:sz="0" w:space="0" w:color="auto"/>
                <w:bottom w:val="none" w:sz="0" w:space="0" w:color="auto"/>
                <w:right w:val="none" w:sz="0" w:space="0" w:color="auto"/>
              </w:divBdr>
            </w:div>
          </w:divsChild>
        </w:div>
        <w:div w:id="1602684826">
          <w:marLeft w:val="0"/>
          <w:marRight w:val="0"/>
          <w:marTop w:val="0"/>
          <w:marBottom w:val="0"/>
          <w:divBdr>
            <w:top w:val="none" w:sz="0" w:space="0" w:color="auto"/>
            <w:left w:val="none" w:sz="0" w:space="0" w:color="auto"/>
            <w:bottom w:val="none" w:sz="0" w:space="0" w:color="auto"/>
            <w:right w:val="none" w:sz="0" w:space="0" w:color="auto"/>
          </w:divBdr>
          <w:divsChild>
            <w:div w:id="327948299">
              <w:marLeft w:val="0"/>
              <w:marRight w:val="0"/>
              <w:marTop w:val="0"/>
              <w:marBottom w:val="0"/>
              <w:divBdr>
                <w:top w:val="none" w:sz="0" w:space="0" w:color="auto"/>
                <w:left w:val="none" w:sz="0" w:space="0" w:color="auto"/>
                <w:bottom w:val="none" w:sz="0" w:space="0" w:color="auto"/>
                <w:right w:val="none" w:sz="0" w:space="0" w:color="auto"/>
              </w:divBdr>
            </w:div>
          </w:divsChild>
        </w:div>
        <w:div w:id="1605187595">
          <w:marLeft w:val="0"/>
          <w:marRight w:val="0"/>
          <w:marTop w:val="0"/>
          <w:marBottom w:val="0"/>
          <w:divBdr>
            <w:top w:val="none" w:sz="0" w:space="0" w:color="auto"/>
            <w:left w:val="none" w:sz="0" w:space="0" w:color="auto"/>
            <w:bottom w:val="none" w:sz="0" w:space="0" w:color="auto"/>
            <w:right w:val="none" w:sz="0" w:space="0" w:color="auto"/>
          </w:divBdr>
          <w:divsChild>
            <w:div w:id="1383410797">
              <w:marLeft w:val="0"/>
              <w:marRight w:val="0"/>
              <w:marTop w:val="0"/>
              <w:marBottom w:val="0"/>
              <w:divBdr>
                <w:top w:val="none" w:sz="0" w:space="0" w:color="auto"/>
                <w:left w:val="none" w:sz="0" w:space="0" w:color="auto"/>
                <w:bottom w:val="none" w:sz="0" w:space="0" w:color="auto"/>
                <w:right w:val="none" w:sz="0" w:space="0" w:color="auto"/>
              </w:divBdr>
            </w:div>
          </w:divsChild>
        </w:div>
        <w:div w:id="1655908451">
          <w:marLeft w:val="0"/>
          <w:marRight w:val="0"/>
          <w:marTop w:val="0"/>
          <w:marBottom w:val="0"/>
          <w:divBdr>
            <w:top w:val="none" w:sz="0" w:space="0" w:color="auto"/>
            <w:left w:val="none" w:sz="0" w:space="0" w:color="auto"/>
            <w:bottom w:val="none" w:sz="0" w:space="0" w:color="auto"/>
            <w:right w:val="none" w:sz="0" w:space="0" w:color="auto"/>
          </w:divBdr>
          <w:divsChild>
            <w:div w:id="438794918">
              <w:marLeft w:val="0"/>
              <w:marRight w:val="0"/>
              <w:marTop w:val="0"/>
              <w:marBottom w:val="0"/>
              <w:divBdr>
                <w:top w:val="none" w:sz="0" w:space="0" w:color="auto"/>
                <w:left w:val="none" w:sz="0" w:space="0" w:color="auto"/>
                <w:bottom w:val="none" w:sz="0" w:space="0" w:color="auto"/>
                <w:right w:val="none" w:sz="0" w:space="0" w:color="auto"/>
              </w:divBdr>
            </w:div>
          </w:divsChild>
        </w:div>
        <w:div w:id="1676807694">
          <w:marLeft w:val="0"/>
          <w:marRight w:val="0"/>
          <w:marTop w:val="0"/>
          <w:marBottom w:val="0"/>
          <w:divBdr>
            <w:top w:val="none" w:sz="0" w:space="0" w:color="auto"/>
            <w:left w:val="none" w:sz="0" w:space="0" w:color="auto"/>
            <w:bottom w:val="none" w:sz="0" w:space="0" w:color="auto"/>
            <w:right w:val="none" w:sz="0" w:space="0" w:color="auto"/>
          </w:divBdr>
          <w:divsChild>
            <w:div w:id="10301312">
              <w:marLeft w:val="0"/>
              <w:marRight w:val="0"/>
              <w:marTop w:val="0"/>
              <w:marBottom w:val="0"/>
              <w:divBdr>
                <w:top w:val="none" w:sz="0" w:space="0" w:color="auto"/>
                <w:left w:val="none" w:sz="0" w:space="0" w:color="auto"/>
                <w:bottom w:val="none" w:sz="0" w:space="0" w:color="auto"/>
                <w:right w:val="none" w:sz="0" w:space="0" w:color="auto"/>
              </w:divBdr>
            </w:div>
          </w:divsChild>
        </w:div>
        <w:div w:id="1711105702">
          <w:marLeft w:val="0"/>
          <w:marRight w:val="0"/>
          <w:marTop w:val="0"/>
          <w:marBottom w:val="0"/>
          <w:divBdr>
            <w:top w:val="none" w:sz="0" w:space="0" w:color="auto"/>
            <w:left w:val="none" w:sz="0" w:space="0" w:color="auto"/>
            <w:bottom w:val="none" w:sz="0" w:space="0" w:color="auto"/>
            <w:right w:val="none" w:sz="0" w:space="0" w:color="auto"/>
          </w:divBdr>
          <w:divsChild>
            <w:div w:id="1864321232">
              <w:marLeft w:val="0"/>
              <w:marRight w:val="0"/>
              <w:marTop w:val="0"/>
              <w:marBottom w:val="0"/>
              <w:divBdr>
                <w:top w:val="none" w:sz="0" w:space="0" w:color="auto"/>
                <w:left w:val="none" w:sz="0" w:space="0" w:color="auto"/>
                <w:bottom w:val="none" w:sz="0" w:space="0" w:color="auto"/>
                <w:right w:val="none" w:sz="0" w:space="0" w:color="auto"/>
              </w:divBdr>
            </w:div>
          </w:divsChild>
        </w:div>
        <w:div w:id="1748961007">
          <w:marLeft w:val="0"/>
          <w:marRight w:val="0"/>
          <w:marTop w:val="0"/>
          <w:marBottom w:val="0"/>
          <w:divBdr>
            <w:top w:val="none" w:sz="0" w:space="0" w:color="auto"/>
            <w:left w:val="none" w:sz="0" w:space="0" w:color="auto"/>
            <w:bottom w:val="none" w:sz="0" w:space="0" w:color="auto"/>
            <w:right w:val="none" w:sz="0" w:space="0" w:color="auto"/>
          </w:divBdr>
          <w:divsChild>
            <w:div w:id="537207896">
              <w:marLeft w:val="0"/>
              <w:marRight w:val="0"/>
              <w:marTop w:val="0"/>
              <w:marBottom w:val="0"/>
              <w:divBdr>
                <w:top w:val="none" w:sz="0" w:space="0" w:color="auto"/>
                <w:left w:val="none" w:sz="0" w:space="0" w:color="auto"/>
                <w:bottom w:val="none" w:sz="0" w:space="0" w:color="auto"/>
                <w:right w:val="none" w:sz="0" w:space="0" w:color="auto"/>
              </w:divBdr>
            </w:div>
          </w:divsChild>
        </w:div>
        <w:div w:id="1765374121">
          <w:marLeft w:val="0"/>
          <w:marRight w:val="0"/>
          <w:marTop w:val="0"/>
          <w:marBottom w:val="0"/>
          <w:divBdr>
            <w:top w:val="none" w:sz="0" w:space="0" w:color="auto"/>
            <w:left w:val="none" w:sz="0" w:space="0" w:color="auto"/>
            <w:bottom w:val="none" w:sz="0" w:space="0" w:color="auto"/>
            <w:right w:val="none" w:sz="0" w:space="0" w:color="auto"/>
          </w:divBdr>
          <w:divsChild>
            <w:div w:id="838546255">
              <w:marLeft w:val="0"/>
              <w:marRight w:val="0"/>
              <w:marTop w:val="0"/>
              <w:marBottom w:val="0"/>
              <w:divBdr>
                <w:top w:val="none" w:sz="0" w:space="0" w:color="auto"/>
                <w:left w:val="none" w:sz="0" w:space="0" w:color="auto"/>
                <w:bottom w:val="none" w:sz="0" w:space="0" w:color="auto"/>
                <w:right w:val="none" w:sz="0" w:space="0" w:color="auto"/>
              </w:divBdr>
            </w:div>
          </w:divsChild>
        </w:div>
        <w:div w:id="1766997181">
          <w:marLeft w:val="0"/>
          <w:marRight w:val="0"/>
          <w:marTop w:val="0"/>
          <w:marBottom w:val="0"/>
          <w:divBdr>
            <w:top w:val="none" w:sz="0" w:space="0" w:color="auto"/>
            <w:left w:val="none" w:sz="0" w:space="0" w:color="auto"/>
            <w:bottom w:val="none" w:sz="0" w:space="0" w:color="auto"/>
            <w:right w:val="none" w:sz="0" w:space="0" w:color="auto"/>
          </w:divBdr>
          <w:divsChild>
            <w:div w:id="424768890">
              <w:marLeft w:val="0"/>
              <w:marRight w:val="0"/>
              <w:marTop w:val="0"/>
              <w:marBottom w:val="0"/>
              <w:divBdr>
                <w:top w:val="none" w:sz="0" w:space="0" w:color="auto"/>
                <w:left w:val="none" w:sz="0" w:space="0" w:color="auto"/>
                <w:bottom w:val="none" w:sz="0" w:space="0" w:color="auto"/>
                <w:right w:val="none" w:sz="0" w:space="0" w:color="auto"/>
              </w:divBdr>
            </w:div>
          </w:divsChild>
        </w:div>
        <w:div w:id="1812749466">
          <w:marLeft w:val="0"/>
          <w:marRight w:val="0"/>
          <w:marTop w:val="0"/>
          <w:marBottom w:val="0"/>
          <w:divBdr>
            <w:top w:val="none" w:sz="0" w:space="0" w:color="auto"/>
            <w:left w:val="none" w:sz="0" w:space="0" w:color="auto"/>
            <w:bottom w:val="none" w:sz="0" w:space="0" w:color="auto"/>
            <w:right w:val="none" w:sz="0" w:space="0" w:color="auto"/>
          </w:divBdr>
          <w:divsChild>
            <w:div w:id="1945726653">
              <w:marLeft w:val="0"/>
              <w:marRight w:val="0"/>
              <w:marTop w:val="0"/>
              <w:marBottom w:val="0"/>
              <w:divBdr>
                <w:top w:val="none" w:sz="0" w:space="0" w:color="auto"/>
                <w:left w:val="none" w:sz="0" w:space="0" w:color="auto"/>
                <w:bottom w:val="none" w:sz="0" w:space="0" w:color="auto"/>
                <w:right w:val="none" w:sz="0" w:space="0" w:color="auto"/>
              </w:divBdr>
            </w:div>
          </w:divsChild>
        </w:div>
        <w:div w:id="1815558765">
          <w:marLeft w:val="0"/>
          <w:marRight w:val="0"/>
          <w:marTop w:val="0"/>
          <w:marBottom w:val="0"/>
          <w:divBdr>
            <w:top w:val="none" w:sz="0" w:space="0" w:color="auto"/>
            <w:left w:val="none" w:sz="0" w:space="0" w:color="auto"/>
            <w:bottom w:val="none" w:sz="0" w:space="0" w:color="auto"/>
            <w:right w:val="none" w:sz="0" w:space="0" w:color="auto"/>
          </w:divBdr>
          <w:divsChild>
            <w:div w:id="342057320">
              <w:marLeft w:val="0"/>
              <w:marRight w:val="0"/>
              <w:marTop w:val="0"/>
              <w:marBottom w:val="0"/>
              <w:divBdr>
                <w:top w:val="none" w:sz="0" w:space="0" w:color="auto"/>
                <w:left w:val="none" w:sz="0" w:space="0" w:color="auto"/>
                <w:bottom w:val="none" w:sz="0" w:space="0" w:color="auto"/>
                <w:right w:val="none" w:sz="0" w:space="0" w:color="auto"/>
              </w:divBdr>
            </w:div>
          </w:divsChild>
        </w:div>
        <w:div w:id="1831479599">
          <w:marLeft w:val="0"/>
          <w:marRight w:val="0"/>
          <w:marTop w:val="0"/>
          <w:marBottom w:val="0"/>
          <w:divBdr>
            <w:top w:val="none" w:sz="0" w:space="0" w:color="auto"/>
            <w:left w:val="none" w:sz="0" w:space="0" w:color="auto"/>
            <w:bottom w:val="none" w:sz="0" w:space="0" w:color="auto"/>
            <w:right w:val="none" w:sz="0" w:space="0" w:color="auto"/>
          </w:divBdr>
          <w:divsChild>
            <w:div w:id="1804424895">
              <w:marLeft w:val="0"/>
              <w:marRight w:val="0"/>
              <w:marTop w:val="0"/>
              <w:marBottom w:val="0"/>
              <w:divBdr>
                <w:top w:val="none" w:sz="0" w:space="0" w:color="auto"/>
                <w:left w:val="none" w:sz="0" w:space="0" w:color="auto"/>
                <w:bottom w:val="none" w:sz="0" w:space="0" w:color="auto"/>
                <w:right w:val="none" w:sz="0" w:space="0" w:color="auto"/>
              </w:divBdr>
            </w:div>
          </w:divsChild>
        </w:div>
        <w:div w:id="1832138234">
          <w:marLeft w:val="0"/>
          <w:marRight w:val="0"/>
          <w:marTop w:val="0"/>
          <w:marBottom w:val="0"/>
          <w:divBdr>
            <w:top w:val="none" w:sz="0" w:space="0" w:color="auto"/>
            <w:left w:val="none" w:sz="0" w:space="0" w:color="auto"/>
            <w:bottom w:val="none" w:sz="0" w:space="0" w:color="auto"/>
            <w:right w:val="none" w:sz="0" w:space="0" w:color="auto"/>
          </w:divBdr>
          <w:divsChild>
            <w:div w:id="2141879845">
              <w:marLeft w:val="0"/>
              <w:marRight w:val="0"/>
              <w:marTop w:val="0"/>
              <w:marBottom w:val="0"/>
              <w:divBdr>
                <w:top w:val="none" w:sz="0" w:space="0" w:color="auto"/>
                <w:left w:val="none" w:sz="0" w:space="0" w:color="auto"/>
                <w:bottom w:val="none" w:sz="0" w:space="0" w:color="auto"/>
                <w:right w:val="none" w:sz="0" w:space="0" w:color="auto"/>
              </w:divBdr>
            </w:div>
          </w:divsChild>
        </w:div>
        <w:div w:id="1874027296">
          <w:marLeft w:val="0"/>
          <w:marRight w:val="0"/>
          <w:marTop w:val="0"/>
          <w:marBottom w:val="0"/>
          <w:divBdr>
            <w:top w:val="none" w:sz="0" w:space="0" w:color="auto"/>
            <w:left w:val="none" w:sz="0" w:space="0" w:color="auto"/>
            <w:bottom w:val="none" w:sz="0" w:space="0" w:color="auto"/>
            <w:right w:val="none" w:sz="0" w:space="0" w:color="auto"/>
          </w:divBdr>
          <w:divsChild>
            <w:div w:id="55134012">
              <w:marLeft w:val="0"/>
              <w:marRight w:val="0"/>
              <w:marTop w:val="0"/>
              <w:marBottom w:val="0"/>
              <w:divBdr>
                <w:top w:val="none" w:sz="0" w:space="0" w:color="auto"/>
                <w:left w:val="none" w:sz="0" w:space="0" w:color="auto"/>
                <w:bottom w:val="none" w:sz="0" w:space="0" w:color="auto"/>
                <w:right w:val="none" w:sz="0" w:space="0" w:color="auto"/>
              </w:divBdr>
            </w:div>
          </w:divsChild>
        </w:div>
        <w:div w:id="1985967418">
          <w:marLeft w:val="0"/>
          <w:marRight w:val="0"/>
          <w:marTop w:val="0"/>
          <w:marBottom w:val="0"/>
          <w:divBdr>
            <w:top w:val="none" w:sz="0" w:space="0" w:color="auto"/>
            <w:left w:val="none" w:sz="0" w:space="0" w:color="auto"/>
            <w:bottom w:val="none" w:sz="0" w:space="0" w:color="auto"/>
            <w:right w:val="none" w:sz="0" w:space="0" w:color="auto"/>
          </w:divBdr>
          <w:divsChild>
            <w:div w:id="680623359">
              <w:marLeft w:val="0"/>
              <w:marRight w:val="0"/>
              <w:marTop w:val="0"/>
              <w:marBottom w:val="0"/>
              <w:divBdr>
                <w:top w:val="none" w:sz="0" w:space="0" w:color="auto"/>
                <w:left w:val="none" w:sz="0" w:space="0" w:color="auto"/>
                <w:bottom w:val="none" w:sz="0" w:space="0" w:color="auto"/>
                <w:right w:val="none" w:sz="0" w:space="0" w:color="auto"/>
              </w:divBdr>
            </w:div>
          </w:divsChild>
        </w:div>
        <w:div w:id="2003699491">
          <w:marLeft w:val="0"/>
          <w:marRight w:val="0"/>
          <w:marTop w:val="0"/>
          <w:marBottom w:val="0"/>
          <w:divBdr>
            <w:top w:val="none" w:sz="0" w:space="0" w:color="auto"/>
            <w:left w:val="none" w:sz="0" w:space="0" w:color="auto"/>
            <w:bottom w:val="none" w:sz="0" w:space="0" w:color="auto"/>
            <w:right w:val="none" w:sz="0" w:space="0" w:color="auto"/>
          </w:divBdr>
          <w:divsChild>
            <w:div w:id="1314488178">
              <w:marLeft w:val="0"/>
              <w:marRight w:val="0"/>
              <w:marTop w:val="0"/>
              <w:marBottom w:val="0"/>
              <w:divBdr>
                <w:top w:val="none" w:sz="0" w:space="0" w:color="auto"/>
                <w:left w:val="none" w:sz="0" w:space="0" w:color="auto"/>
                <w:bottom w:val="none" w:sz="0" w:space="0" w:color="auto"/>
                <w:right w:val="none" w:sz="0" w:space="0" w:color="auto"/>
              </w:divBdr>
            </w:div>
          </w:divsChild>
        </w:div>
        <w:div w:id="2006401175">
          <w:marLeft w:val="0"/>
          <w:marRight w:val="0"/>
          <w:marTop w:val="0"/>
          <w:marBottom w:val="0"/>
          <w:divBdr>
            <w:top w:val="none" w:sz="0" w:space="0" w:color="auto"/>
            <w:left w:val="none" w:sz="0" w:space="0" w:color="auto"/>
            <w:bottom w:val="none" w:sz="0" w:space="0" w:color="auto"/>
            <w:right w:val="none" w:sz="0" w:space="0" w:color="auto"/>
          </w:divBdr>
          <w:divsChild>
            <w:div w:id="2036341541">
              <w:marLeft w:val="0"/>
              <w:marRight w:val="0"/>
              <w:marTop w:val="0"/>
              <w:marBottom w:val="0"/>
              <w:divBdr>
                <w:top w:val="none" w:sz="0" w:space="0" w:color="auto"/>
                <w:left w:val="none" w:sz="0" w:space="0" w:color="auto"/>
                <w:bottom w:val="none" w:sz="0" w:space="0" w:color="auto"/>
                <w:right w:val="none" w:sz="0" w:space="0" w:color="auto"/>
              </w:divBdr>
            </w:div>
          </w:divsChild>
        </w:div>
        <w:div w:id="2012487247">
          <w:marLeft w:val="0"/>
          <w:marRight w:val="0"/>
          <w:marTop w:val="0"/>
          <w:marBottom w:val="0"/>
          <w:divBdr>
            <w:top w:val="none" w:sz="0" w:space="0" w:color="auto"/>
            <w:left w:val="none" w:sz="0" w:space="0" w:color="auto"/>
            <w:bottom w:val="none" w:sz="0" w:space="0" w:color="auto"/>
            <w:right w:val="none" w:sz="0" w:space="0" w:color="auto"/>
          </w:divBdr>
          <w:divsChild>
            <w:div w:id="2119985179">
              <w:marLeft w:val="0"/>
              <w:marRight w:val="0"/>
              <w:marTop w:val="0"/>
              <w:marBottom w:val="0"/>
              <w:divBdr>
                <w:top w:val="none" w:sz="0" w:space="0" w:color="auto"/>
                <w:left w:val="none" w:sz="0" w:space="0" w:color="auto"/>
                <w:bottom w:val="none" w:sz="0" w:space="0" w:color="auto"/>
                <w:right w:val="none" w:sz="0" w:space="0" w:color="auto"/>
              </w:divBdr>
            </w:div>
          </w:divsChild>
        </w:div>
        <w:div w:id="2023585300">
          <w:marLeft w:val="0"/>
          <w:marRight w:val="0"/>
          <w:marTop w:val="0"/>
          <w:marBottom w:val="0"/>
          <w:divBdr>
            <w:top w:val="none" w:sz="0" w:space="0" w:color="auto"/>
            <w:left w:val="none" w:sz="0" w:space="0" w:color="auto"/>
            <w:bottom w:val="none" w:sz="0" w:space="0" w:color="auto"/>
            <w:right w:val="none" w:sz="0" w:space="0" w:color="auto"/>
          </w:divBdr>
          <w:divsChild>
            <w:div w:id="1846240583">
              <w:marLeft w:val="0"/>
              <w:marRight w:val="0"/>
              <w:marTop w:val="0"/>
              <w:marBottom w:val="0"/>
              <w:divBdr>
                <w:top w:val="none" w:sz="0" w:space="0" w:color="auto"/>
                <w:left w:val="none" w:sz="0" w:space="0" w:color="auto"/>
                <w:bottom w:val="none" w:sz="0" w:space="0" w:color="auto"/>
                <w:right w:val="none" w:sz="0" w:space="0" w:color="auto"/>
              </w:divBdr>
            </w:div>
          </w:divsChild>
        </w:div>
        <w:div w:id="2082869504">
          <w:marLeft w:val="0"/>
          <w:marRight w:val="0"/>
          <w:marTop w:val="0"/>
          <w:marBottom w:val="0"/>
          <w:divBdr>
            <w:top w:val="none" w:sz="0" w:space="0" w:color="auto"/>
            <w:left w:val="none" w:sz="0" w:space="0" w:color="auto"/>
            <w:bottom w:val="none" w:sz="0" w:space="0" w:color="auto"/>
            <w:right w:val="none" w:sz="0" w:space="0" w:color="auto"/>
          </w:divBdr>
          <w:divsChild>
            <w:div w:id="1000425804">
              <w:marLeft w:val="0"/>
              <w:marRight w:val="0"/>
              <w:marTop w:val="0"/>
              <w:marBottom w:val="0"/>
              <w:divBdr>
                <w:top w:val="none" w:sz="0" w:space="0" w:color="auto"/>
                <w:left w:val="none" w:sz="0" w:space="0" w:color="auto"/>
                <w:bottom w:val="none" w:sz="0" w:space="0" w:color="auto"/>
                <w:right w:val="none" w:sz="0" w:space="0" w:color="auto"/>
              </w:divBdr>
            </w:div>
          </w:divsChild>
        </w:div>
        <w:div w:id="2126145329">
          <w:marLeft w:val="0"/>
          <w:marRight w:val="0"/>
          <w:marTop w:val="0"/>
          <w:marBottom w:val="0"/>
          <w:divBdr>
            <w:top w:val="none" w:sz="0" w:space="0" w:color="auto"/>
            <w:left w:val="none" w:sz="0" w:space="0" w:color="auto"/>
            <w:bottom w:val="none" w:sz="0" w:space="0" w:color="auto"/>
            <w:right w:val="none" w:sz="0" w:space="0" w:color="auto"/>
          </w:divBdr>
          <w:divsChild>
            <w:div w:id="131538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776131">
      <w:bodyDiv w:val="1"/>
      <w:marLeft w:val="0"/>
      <w:marRight w:val="0"/>
      <w:marTop w:val="0"/>
      <w:marBottom w:val="0"/>
      <w:divBdr>
        <w:top w:val="none" w:sz="0" w:space="0" w:color="auto"/>
        <w:left w:val="none" w:sz="0" w:space="0" w:color="auto"/>
        <w:bottom w:val="none" w:sz="0" w:space="0" w:color="auto"/>
        <w:right w:val="none" w:sz="0" w:space="0" w:color="auto"/>
      </w:divBdr>
    </w:div>
    <w:div w:id="467474507">
      <w:bodyDiv w:val="1"/>
      <w:marLeft w:val="0"/>
      <w:marRight w:val="0"/>
      <w:marTop w:val="0"/>
      <w:marBottom w:val="0"/>
      <w:divBdr>
        <w:top w:val="none" w:sz="0" w:space="0" w:color="auto"/>
        <w:left w:val="none" w:sz="0" w:space="0" w:color="auto"/>
        <w:bottom w:val="none" w:sz="0" w:space="0" w:color="auto"/>
        <w:right w:val="none" w:sz="0" w:space="0" w:color="auto"/>
      </w:divBdr>
    </w:div>
    <w:div w:id="468013918">
      <w:bodyDiv w:val="1"/>
      <w:marLeft w:val="0"/>
      <w:marRight w:val="0"/>
      <w:marTop w:val="0"/>
      <w:marBottom w:val="0"/>
      <w:divBdr>
        <w:top w:val="none" w:sz="0" w:space="0" w:color="auto"/>
        <w:left w:val="none" w:sz="0" w:space="0" w:color="auto"/>
        <w:bottom w:val="none" w:sz="0" w:space="0" w:color="auto"/>
        <w:right w:val="none" w:sz="0" w:space="0" w:color="auto"/>
      </w:divBdr>
    </w:div>
    <w:div w:id="474570061">
      <w:bodyDiv w:val="1"/>
      <w:marLeft w:val="0"/>
      <w:marRight w:val="0"/>
      <w:marTop w:val="0"/>
      <w:marBottom w:val="0"/>
      <w:divBdr>
        <w:top w:val="none" w:sz="0" w:space="0" w:color="auto"/>
        <w:left w:val="none" w:sz="0" w:space="0" w:color="auto"/>
        <w:bottom w:val="none" w:sz="0" w:space="0" w:color="auto"/>
        <w:right w:val="none" w:sz="0" w:space="0" w:color="auto"/>
      </w:divBdr>
      <w:divsChild>
        <w:div w:id="49504333">
          <w:marLeft w:val="0"/>
          <w:marRight w:val="0"/>
          <w:marTop w:val="0"/>
          <w:marBottom w:val="0"/>
          <w:divBdr>
            <w:top w:val="none" w:sz="0" w:space="0" w:color="auto"/>
            <w:left w:val="none" w:sz="0" w:space="0" w:color="auto"/>
            <w:bottom w:val="none" w:sz="0" w:space="0" w:color="auto"/>
            <w:right w:val="none" w:sz="0" w:space="0" w:color="auto"/>
          </w:divBdr>
          <w:divsChild>
            <w:div w:id="1569419268">
              <w:marLeft w:val="0"/>
              <w:marRight w:val="0"/>
              <w:marTop w:val="0"/>
              <w:marBottom w:val="0"/>
              <w:divBdr>
                <w:top w:val="none" w:sz="0" w:space="0" w:color="auto"/>
                <w:left w:val="none" w:sz="0" w:space="0" w:color="auto"/>
                <w:bottom w:val="none" w:sz="0" w:space="0" w:color="auto"/>
                <w:right w:val="none" w:sz="0" w:space="0" w:color="auto"/>
              </w:divBdr>
            </w:div>
          </w:divsChild>
        </w:div>
        <w:div w:id="73744027">
          <w:marLeft w:val="0"/>
          <w:marRight w:val="0"/>
          <w:marTop w:val="0"/>
          <w:marBottom w:val="0"/>
          <w:divBdr>
            <w:top w:val="none" w:sz="0" w:space="0" w:color="auto"/>
            <w:left w:val="none" w:sz="0" w:space="0" w:color="auto"/>
            <w:bottom w:val="none" w:sz="0" w:space="0" w:color="auto"/>
            <w:right w:val="none" w:sz="0" w:space="0" w:color="auto"/>
          </w:divBdr>
          <w:divsChild>
            <w:div w:id="583413760">
              <w:marLeft w:val="0"/>
              <w:marRight w:val="0"/>
              <w:marTop w:val="0"/>
              <w:marBottom w:val="0"/>
              <w:divBdr>
                <w:top w:val="none" w:sz="0" w:space="0" w:color="auto"/>
                <w:left w:val="none" w:sz="0" w:space="0" w:color="auto"/>
                <w:bottom w:val="none" w:sz="0" w:space="0" w:color="auto"/>
                <w:right w:val="none" w:sz="0" w:space="0" w:color="auto"/>
              </w:divBdr>
            </w:div>
          </w:divsChild>
        </w:div>
        <w:div w:id="109980987">
          <w:marLeft w:val="0"/>
          <w:marRight w:val="0"/>
          <w:marTop w:val="0"/>
          <w:marBottom w:val="0"/>
          <w:divBdr>
            <w:top w:val="none" w:sz="0" w:space="0" w:color="auto"/>
            <w:left w:val="none" w:sz="0" w:space="0" w:color="auto"/>
            <w:bottom w:val="none" w:sz="0" w:space="0" w:color="auto"/>
            <w:right w:val="none" w:sz="0" w:space="0" w:color="auto"/>
          </w:divBdr>
          <w:divsChild>
            <w:div w:id="1972201930">
              <w:marLeft w:val="0"/>
              <w:marRight w:val="0"/>
              <w:marTop w:val="0"/>
              <w:marBottom w:val="0"/>
              <w:divBdr>
                <w:top w:val="none" w:sz="0" w:space="0" w:color="auto"/>
                <w:left w:val="none" w:sz="0" w:space="0" w:color="auto"/>
                <w:bottom w:val="none" w:sz="0" w:space="0" w:color="auto"/>
                <w:right w:val="none" w:sz="0" w:space="0" w:color="auto"/>
              </w:divBdr>
            </w:div>
          </w:divsChild>
        </w:div>
        <w:div w:id="126170939">
          <w:marLeft w:val="0"/>
          <w:marRight w:val="0"/>
          <w:marTop w:val="0"/>
          <w:marBottom w:val="0"/>
          <w:divBdr>
            <w:top w:val="none" w:sz="0" w:space="0" w:color="auto"/>
            <w:left w:val="none" w:sz="0" w:space="0" w:color="auto"/>
            <w:bottom w:val="none" w:sz="0" w:space="0" w:color="auto"/>
            <w:right w:val="none" w:sz="0" w:space="0" w:color="auto"/>
          </w:divBdr>
          <w:divsChild>
            <w:div w:id="1056397632">
              <w:marLeft w:val="0"/>
              <w:marRight w:val="0"/>
              <w:marTop w:val="0"/>
              <w:marBottom w:val="0"/>
              <w:divBdr>
                <w:top w:val="none" w:sz="0" w:space="0" w:color="auto"/>
                <w:left w:val="none" w:sz="0" w:space="0" w:color="auto"/>
                <w:bottom w:val="none" w:sz="0" w:space="0" w:color="auto"/>
                <w:right w:val="none" w:sz="0" w:space="0" w:color="auto"/>
              </w:divBdr>
            </w:div>
          </w:divsChild>
        </w:div>
        <w:div w:id="126289451">
          <w:marLeft w:val="0"/>
          <w:marRight w:val="0"/>
          <w:marTop w:val="0"/>
          <w:marBottom w:val="0"/>
          <w:divBdr>
            <w:top w:val="none" w:sz="0" w:space="0" w:color="auto"/>
            <w:left w:val="none" w:sz="0" w:space="0" w:color="auto"/>
            <w:bottom w:val="none" w:sz="0" w:space="0" w:color="auto"/>
            <w:right w:val="none" w:sz="0" w:space="0" w:color="auto"/>
          </w:divBdr>
          <w:divsChild>
            <w:div w:id="2063015371">
              <w:marLeft w:val="0"/>
              <w:marRight w:val="0"/>
              <w:marTop w:val="0"/>
              <w:marBottom w:val="0"/>
              <w:divBdr>
                <w:top w:val="none" w:sz="0" w:space="0" w:color="auto"/>
                <w:left w:val="none" w:sz="0" w:space="0" w:color="auto"/>
                <w:bottom w:val="none" w:sz="0" w:space="0" w:color="auto"/>
                <w:right w:val="none" w:sz="0" w:space="0" w:color="auto"/>
              </w:divBdr>
            </w:div>
          </w:divsChild>
        </w:div>
        <w:div w:id="180164542">
          <w:marLeft w:val="0"/>
          <w:marRight w:val="0"/>
          <w:marTop w:val="0"/>
          <w:marBottom w:val="0"/>
          <w:divBdr>
            <w:top w:val="none" w:sz="0" w:space="0" w:color="auto"/>
            <w:left w:val="none" w:sz="0" w:space="0" w:color="auto"/>
            <w:bottom w:val="none" w:sz="0" w:space="0" w:color="auto"/>
            <w:right w:val="none" w:sz="0" w:space="0" w:color="auto"/>
          </w:divBdr>
          <w:divsChild>
            <w:div w:id="58092235">
              <w:marLeft w:val="0"/>
              <w:marRight w:val="0"/>
              <w:marTop w:val="0"/>
              <w:marBottom w:val="0"/>
              <w:divBdr>
                <w:top w:val="none" w:sz="0" w:space="0" w:color="auto"/>
                <w:left w:val="none" w:sz="0" w:space="0" w:color="auto"/>
                <w:bottom w:val="none" w:sz="0" w:space="0" w:color="auto"/>
                <w:right w:val="none" w:sz="0" w:space="0" w:color="auto"/>
              </w:divBdr>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62665330">
              <w:marLeft w:val="0"/>
              <w:marRight w:val="0"/>
              <w:marTop w:val="0"/>
              <w:marBottom w:val="0"/>
              <w:divBdr>
                <w:top w:val="none" w:sz="0" w:space="0" w:color="auto"/>
                <w:left w:val="none" w:sz="0" w:space="0" w:color="auto"/>
                <w:bottom w:val="none" w:sz="0" w:space="0" w:color="auto"/>
                <w:right w:val="none" w:sz="0" w:space="0" w:color="auto"/>
              </w:divBdr>
            </w:div>
          </w:divsChild>
        </w:div>
        <w:div w:id="249312338">
          <w:marLeft w:val="0"/>
          <w:marRight w:val="0"/>
          <w:marTop w:val="0"/>
          <w:marBottom w:val="0"/>
          <w:divBdr>
            <w:top w:val="none" w:sz="0" w:space="0" w:color="auto"/>
            <w:left w:val="none" w:sz="0" w:space="0" w:color="auto"/>
            <w:bottom w:val="none" w:sz="0" w:space="0" w:color="auto"/>
            <w:right w:val="none" w:sz="0" w:space="0" w:color="auto"/>
          </w:divBdr>
          <w:divsChild>
            <w:div w:id="1262303400">
              <w:marLeft w:val="0"/>
              <w:marRight w:val="0"/>
              <w:marTop w:val="0"/>
              <w:marBottom w:val="0"/>
              <w:divBdr>
                <w:top w:val="none" w:sz="0" w:space="0" w:color="auto"/>
                <w:left w:val="none" w:sz="0" w:space="0" w:color="auto"/>
                <w:bottom w:val="none" w:sz="0" w:space="0" w:color="auto"/>
                <w:right w:val="none" w:sz="0" w:space="0" w:color="auto"/>
              </w:divBdr>
            </w:div>
          </w:divsChild>
        </w:div>
        <w:div w:id="249848145">
          <w:marLeft w:val="0"/>
          <w:marRight w:val="0"/>
          <w:marTop w:val="0"/>
          <w:marBottom w:val="0"/>
          <w:divBdr>
            <w:top w:val="none" w:sz="0" w:space="0" w:color="auto"/>
            <w:left w:val="none" w:sz="0" w:space="0" w:color="auto"/>
            <w:bottom w:val="none" w:sz="0" w:space="0" w:color="auto"/>
            <w:right w:val="none" w:sz="0" w:space="0" w:color="auto"/>
          </w:divBdr>
          <w:divsChild>
            <w:div w:id="1530870305">
              <w:marLeft w:val="0"/>
              <w:marRight w:val="0"/>
              <w:marTop w:val="0"/>
              <w:marBottom w:val="0"/>
              <w:divBdr>
                <w:top w:val="none" w:sz="0" w:space="0" w:color="auto"/>
                <w:left w:val="none" w:sz="0" w:space="0" w:color="auto"/>
                <w:bottom w:val="none" w:sz="0" w:space="0" w:color="auto"/>
                <w:right w:val="none" w:sz="0" w:space="0" w:color="auto"/>
              </w:divBdr>
            </w:div>
          </w:divsChild>
        </w:div>
        <w:div w:id="256794861">
          <w:marLeft w:val="0"/>
          <w:marRight w:val="0"/>
          <w:marTop w:val="0"/>
          <w:marBottom w:val="0"/>
          <w:divBdr>
            <w:top w:val="none" w:sz="0" w:space="0" w:color="auto"/>
            <w:left w:val="none" w:sz="0" w:space="0" w:color="auto"/>
            <w:bottom w:val="none" w:sz="0" w:space="0" w:color="auto"/>
            <w:right w:val="none" w:sz="0" w:space="0" w:color="auto"/>
          </w:divBdr>
          <w:divsChild>
            <w:div w:id="1151674141">
              <w:marLeft w:val="0"/>
              <w:marRight w:val="0"/>
              <w:marTop w:val="0"/>
              <w:marBottom w:val="0"/>
              <w:divBdr>
                <w:top w:val="none" w:sz="0" w:space="0" w:color="auto"/>
                <w:left w:val="none" w:sz="0" w:space="0" w:color="auto"/>
                <w:bottom w:val="none" w:sz="0" w:space="0" w:color="auto"/>
                <w:right w:val="none" w:sz="0" w:space="0" w:color="auto"/>
              </w:divBdr>
            </w:div>
          </w:divsChild>
        </w:div>
        <w:div w:id="272790115">
          <w:marLeft w:val="0"/>
          <w:marRight w:val="0"/>
          <w:marTop w:val="0"/>
          <w:marBottom w:val="0"/>
          <w:divBdr>
            <w:top w:val="none" w:sz="0" w:space="0" w:color="auto"/>
            <w:left w:val="none" w:sz="0" w:space="0" w:color="auto"/>
            <w:bottom w:val="none" w:sz="0" w:space="0" w:color="auto"/>
            <w:right w:val="none" w:sz="0" w:space="0" w:color="auto"/>
          </w:divBdr>
          <w:divsChild>
            <w:div w:id="1633637212">
              <w:marLeft w:val="0"/>
              <w:marRight w:val="0"/>
              <w:marTop w:val="0"/>
              <w:marBottom w:val="0"/>
              <w:divBdr>
                <w:top w:val="none" w:sz="0" w:space="0" w:color="auto"/>
                <w:left w:val="none" w:sz="0" w:space="0" w:color="auto"/>
                <w:bottom w:val="none" w:sz="0" w:space="0" w:color="auto"/>
                <w:right w:val="none" w:sz="0" w:space="0" w:color="auto"/>
              </w:divBdr>
            </w:div>
          </w:divsChild>
        </w:div>
        <w:div w:id="314770566">
          <w:marLeft w:val="0"/>
          <w:marRight w:val="0"/>
          <w:marTop w:val="0"/>
          <w:marBottom w:val="0"/>
          <w:divBdr>
            <w:top w:val="none" w:sz="0" w:space="0" w:color="auto"/>
            <w:left w:val="none" w:sz="0" w:space="0" w:color="auto"/>
            <w:bottom w:val="none" w:sz="0" w:space="0" w:color="auto"/>
            <w:right w:val="none" w:sz="0" w:space="0" w:color="auto"/>
          </w:divBdr>
          <w:divsChild>
            <w:div w:id="1492285038">
              <w:marLeft w:val="0"/>
              <w:marRight w:val="0"/>
              <w:marTop w:val="0"/>
              <w:marBottom w:val="0"/>
              <w:divBdr>
                <w:top w:val="none" w:sz="0" w:space="0" w:color="auto"/>
                <w:left w:val="none" w:sz="0" w:space="0" w:color="auto"/>
                <w:bottom w:val="none" w:sz="0" w:space="0" w:color="auto"/>
                <w:right w:val="none" w:sz="0" w:space="0" w:color="auto"/>
              </w:divBdr>
            </w:div>
          </w:divsChild>
        </w:div>
        <w:div w:id="331641616">
          <w:marLeft w:val="0"/>
          <w:marRight w:val="0"/>
          <w:marTop w:val="0"/>
          <w:marBottom w:val="0"/>
          <w:divBdr>
            <w:top w:val="none" w:sz="0" w:space="0" w:color="auto"/>
            <w:left w:val="none" w:sz="0" w:space="0" w:color="auto"/>
            <w:bottom w:val="none" w:sz="0" w:space="0" w:color="auto"/>
            <w:right w:val="none" w:sz="0" w:space="0" w:color="auto"/>
          </w:divBdr>
          <w:divsChild>
            <w:div w:id="472329203">
              <w:marLeft w:val="0"/>
              <w:marRight w:val="0"/>
              <w:marTop w:val="0"/>
              <w:marBottom w:val="0"/>
              <w:divBdr>
                <w:top w:val="none" w:sz="0" w:space="0" w:color="auto"/>
                <w:left w:val="none" w:sz="0" w:space="0" w:color="auto"/>
                <w:bottom w:val="none" w:sz="0" w:space="0" w:color="auto"/>
                <w:right w:val="none" w:sz="0" w:space="0" w:color="auto"/>
              </w:divBdr>
            </w:div>
          </w:divsChild>
        </w:div>
        <w:div w:id="410006797">
          <w:marLeft w:val="0"/>
          <w:marRight w:val="0"/>
          <w:marTop w:val="0"/>
          <w:marBottom w:val="0"/>
          <w:divBdr>
            <w:top w:val="none" w:sz="0" w:space="0" w:color="auto"/>
            <w:left w:val="none" w:sz="0" w:space="0" w:color="auto"/>
            <w:bottom w:val="none" w:sz="0" w:space="0" w:color="auto"/>
            <w:right w:val="none" w:sz="0" w:space="0" w:color="auto"/>
          </w:divBdr>
          <w:divsChild>
            <w:div w:id="1008480236">
              <w:marLeft w:val="0"/>
              <w:marRight w:val="0"/>
              <w:marTop w:val="0"/>
              <w:marBottom w:val="0"/>
              <w:divBdr>
                <w:top w:val="none" w:sz="0" w:space="0" w:color="auto"/>
                <w:left w:val="none" w:sz="0" w:space="0" w:color="auto"/>
                <w:bottom w:val="none" w:sz="0" w:space="0" w:color="auto"/>
                <w:right w:val="none" w:sz="0" w:space="0" w:color="auto"/>
              </w:divBdr>
            </w:div>
          </w:divsChild>
        </w:div>
        <w:div w:id="451247126">
          <w:marLeft w:val="0"/>
          <w:marRight w:val="0"/>
          <w:marTop w:val="0"/>
          <w:marBottom w:val="0"/>
          <w:divBdr>
            <w:top w:val="none" w:sz="0" w:space="0" w:color="auto"/>
            <w:left w:val="none" w:sz="0" w:space="0" w:color="auto"/>
            <w:bottom w:val="none" w:sz="0" w:space="0" w:color="auto"/>
            <w:right w:val="none" w:sz="0" w:space="0" w:color="auto"/>
          </w:divBdr>
          <w:divsChild>
            <w:div w:id="1001667185">
              <w:marLeft w:val="0"/>
              <w:marRight w:val="0"/>
              <w:marTop w:val="0"/>
              <w:marBottom w:val="0"/>
              <w:divBdr>
                <w:top w:val="none" w:sz="0" w:space="0" w:color="auto"/>
                <w:left w:val="none" w:sz="0" w:space="0" w:color="auto"/>
                <w:bottom w:val="none" w:sz="0" w:space="0" w:color="auto"/>
                <w:right w:val="none" w:sz="0" w:space="0" w:color="auto"/>
              </w:divBdr>
            </w:div>
          </w:divsChild>
        </w:div>
        <w:div w:id="466701338">
          <w:marLeft w:val="0"/>
          <w:marRight w:val="0"/>
          <w:marTop w:val="0"/>
          <w:marBottom w:val="0"/>
          <w:divBdr>
            <w:top w:val="none" w:sz="0" w:space="0" w:color="auto"/>
            <w:left w:val="none" w:sz="0" w:space="0" w:color="auto"/>
            <w:bottom w:val="none" w:sz="0" w:space="0" w:color="auto"/>
            <w:right w:val="none" w:sz="0" w:space="0" w:color="auto"/>
          </w:divBdr>
          <w:divsChild>
            <w:div w:id="836727310">
              <w:marLeft w:val="0"/>
              <w:marRight w:val="0"/>
              <w:marTop w:val="0"/>
              <w:marBottom w:val="0"/>
              <w:divBdr>
                <w:top w:val="none" w:sz="0" w:space="0" w:color="auto"/>
                <w:left w:val="none" w:sz="0" w:space="0" w:color="auto"/>
                <w:bottom w:val="none" w:sz="0" w:space="0" w:color="auto"/>
                <w:right w:val="none" w:sz="0" w:space="0" w:color="auto"/>
              </w:divBdr>
            </w:div>
          </w:divsChild>
        </w:div>
        <w:div w:id="473332718">
          <w:marLeft w:val="0"/>
          <w:marRight w:val="0"/>
          <w:marTop w:val="0"/>
          <w:marBottom w:val="0"/>
          <w:divBdr>
            <w:top w:val="none" w:sz="0" w:space="0" w:color="auto"/>
            <w:left w:val="none" w:sz="0" w:space="0" w:color="auto"/>
            <w:bottom w:val="none" w:sz="0" w:space="0" w:color="auto"/>
            <w:right w:val="none" w:sz="0" w:space="0" w:color="auto"/>
          </w:divBdr>
          <w:divsChild>
            <w:div w:id="331372444">
              <w:marLeft w:val="0"/>
              <w:marRight w:val="0"/>
              <w:marTop w:val="0"/>
              <w:marBottom w:val="0"/>
              <w:divBdr>
                <w:top w:val="none" w:sz="0" w:space="0" w:color="auto"/>
                <w:left w:val="none" w:sz="0" w:space="0" w:color="auto"/>
                <w:bottom w:val="none" w:sz="0" w:space="0" w:color="auto"/>
                <w:right w:val="none" w:sz="0" w:space="0" w:color="auto"/>
              </w:divBdr>
            </w:div>
          </w:divsChild>
        </w:div>
        <w:div w:id="499391189">
          <w:marLeft w:val="0"/>
          <w:marRight w:val="0"/>
          <w:marTop w:val="0"/>
          <w:marBottom w:val="0"/>
          <w:divBdr>
            <w:top w:val="none" w:sz="0" w:space="0" w:color="auto"/>
            <w:left w:val="none" w:sz="0" w:space="0" w:color="auto"/>
            <w:bottom w:val="none" w:sz="0" w:space="0" w:color="auto"/>
            <w:right w:val="none" w:sz="0" w:space="0" w:color="auto"/>
          </w:divBdr>
          <w:divsChild>
            <w:div w:id="712583221">
              <w:marLeft w:val="0"/>
              <w:marRight w:val="0"/>
              <w:marTop w:val="0"/>
              <w:marBottom w:val="0"/>
              <w:divBdr>
                <w:top w:val="none" w:sz="0" w:space="0" w:color="auto"/>
                <w:left w:val="none" w:sz="0" w:space="0" w:color="auto"/>
                <w:bottom w:val="none" w:sz="0" w:space="0" w:color="auto"/>
                <w:right w:val="none" w:sz="0" w:space="0" w:color="auto"/>
              </w:divBdr>
            </w:div>
          </w:divsChild>
        </w:div>
        <w:div w:id="529419553">
          <w:marLeft w:val="0"/>
          <w:marRight w:val="0"/>
          <w:marTop w:val="0"/>
          <w:marBottom w:val="0"/>
          <w:divBdr>
            <w:top w:val="none" w:sz="0" w:space="0" w:color="auto"/>
            <w:left w:val="none" w:sz="0" w:space="0" w:color="auto"/>
            <w:bottom w:val="none" w:sz="0" w:space="0" w:color="auto"/>
            <w:right w:val="none" w:sz="0" w:space="0" w:color="auto"/>
          </w:divBdr>
          <w:divsChild>
            <w:div w:id="1959145019">
              <w:marLeft w:val="0"/>
              <w:marRight w:val="0"/>
              <w:marTop w:val="0"/>
              <w:marBottom w:val="0"/>
              <w:divBdr>
                <w:top w:val="none" w:sz="0" w:space="0" w:color="auto"/>
                <w:left w:val="none" w:sz="0" w:space="0" w:color="auto"/>
                <w:bottom w:val="none" w:sz="0" w:space="0" w:color="auto"/>
                <w:right w:val="none" w:sz="0" w:space="0" w:color="auto"/>
              </w:divBdr>
            </w:div>
          </w:divsChild>
        </w:div>
        <w:div w:id="543102584">
          <w:marLeft w:val="0"/>
          <w:marRight w:val="0"/>
          <w:marTop w:val="0"/>
          <w:marBottom w:val="0"/>
          <w:divBdr>
            <w:top w:val="none" w:sz="0" w:space="0" w:color="auto"/>
            <w:left w:val="none" w:sz="0" w:space="0" w:color="auto"/>
            <w:bottom w:val="none" w:sz="0" w:space="0" w:color="auto"/>
            <w:right w:val="none" w:sz="0" w:space="0" w:color="auto"/>
          </w:divBdr>
          <w:divsChild>
            <w:div w:id="757093336">
              <w:marLeft w:val="0"/>
              <w:marRight w:val="0"/>
              <w:marTop w:val="0"/>
              <w:marBottom w:val="0"/>
              <w:divBdr>
                <w:top w:val="none" w:sz="0" w:space="0" w:color="auto"/>
                <w:left w:val="none" w:sz="0" w:space="0" w:color="auto"/>
                <w:bottom w:val="none" w:sz="0" w:space="0" w:color="auto"/>
                <w:right w:val="none" w:sz="0" w:space="0" w:color="auto"/>
              </w:divBdr>
            </w:div>
          </w:divsChild>
        </w:div>
        <w:div w:id="568463242">
          <w:marLeft w:val="0"/>
          <w:marRight w:val="0"/>
          <w:marTop w:val="0"/>
          <w:marBottom w:val="0"/>
          <w:divBdr>
            <w:top w:val="none" w:sz="0" w:space="0" w:color="auto"/>
            <w:left w:val="none" w:sz="0" w:space="0" w:color="auto"/>
            <w:bottom w:val="none" w:sz="0" w:space="0" w:color="auto"/>
            <w:right w:val="none" w:sz="0" w:space="0" w:color="auto"/>
          </w:divBdr>
          <w:divsChild>
            <w:div w:id="1365669410">
              <w:marLeft w:val="0"/>
              <w:marRight w:val="0"/>
              <w:marTop w:val="0"/>
              <w:marBottom w:val="0"/>
              <w:divBdr>
                <w:top w:val="none" w:sz="0" w:space="0" w:color="auto"/>
                <w:left w:val="none" w:sz="0" w:space="0" w:color="auto"/>
                <w:bottom w:val="none" w:sz="0" w:space="0" w:color="auto"/>
                <w:right w:val="none" w:sz="0" w:space="0" w:color="auto"/>
              </w:divBdr>
            </w:div>
          </w:divsChild>
        </w:div>
        <w:div w:id="571434146">
          <w:marLeft w:val="0"/>
          <w:marRight w:val="0"/>
          <w:marTop w:val="0"/>
          <w:marBottom w:val="0"/>
          <w:divBdr>
            <w:top w:val="none" w:sz="0" w:space="0" w:color="auto"/>
            <w:left w:val="none" w:sz="0" w:space="0" w:color="auto"/>
            <w:bottom w:val="none" w:sz="0" w:space="0" w:color="auto"/>
            <w:right w:val="none" w:sz="0" w:space="0" w:color="auto"/>
          </w:divBdr>
          <w:divsChild>
            <w:div w:id="1870753607">
              <w:marLeft w:val="0"/>
              <w:marRight w:val="0"/>
              <w:marTop w:val="0"/>
              <w:marBottom w:val="0"/>
              <w:divBdr>
                <w:top w:val="none" w:sz="0" w:space="0" w:color="auto"/>
                <w:left w:val="none" w:sz="0" w:space="0" w:color="auto"/>
                <w:bottom w:val="none" w:sz="0" w:space="0" w:color="auto"/>
                <w:right w:val="none" w:sz="0" w:space="0" w:color="auto"/>
              </w:divBdr>
            </w:div>
          </w:divsChild>
        </w:div>
        <w:div w:id="588544836">
          <w:marLeft w:val="0"/>
          <w:marRight w:val="0"/>
          <w:marTop w:val="0"/>
          <w:marBottom w:val="0"/>
          <w:divBdr>
            <w:top w:val="none" w:sz="0" w:space="0" w:color="auto"/>
            <w:left w:val="none" w:sz="0" w:space="0" w:color="auto"/>
            <w:bottom w:val="none" w:sz="0" w:space="0" w:color="auto"/>
            <w:right w:val="none" w:sz="0" w:space="0" w:color="auto"/>
          </w:divBdr>
          <w:divsChild>
            <w:div w:id="1085687840">
              <w:marLeft w:val="0"/>
              <w:marRight w:val="0"/>
              <w:marTop w:val="0"/>
              <w:marBottom w:val="0"/>
              <w:divBdr>
                <w:top w:val="none" w:sz="0" w:space="0" w:color="auto"/>
                <w:left w:val="none" w:sz="0" w:space="0" w:color="auto"/>
                <w:bottom w:val="none" w:sz="0" w:space="0" w:color="auto"/>
                <w:right w:val="none" w:sz="0" w:space="0" w:color="auto"/>
              </w:divBdr>
            </w:div>
          </w:divsChild>
        </w:div>
        <w:div w:id="592125750">
          <w:marLeft w:val="0"/>
          <w:marRight w:val="0"/>
          <w:marTop w:val="0"/>
          <w:marBottom w:val="0"/>
          <w:divBdr>
            <w:top w:val="none" w:sz="0" w:space="0" w:color="auto"/>
            <w:left w:val="none" w:sz="0" w:space="0" w:color="auto"/>
            <w:bottom w:val="none" w:sz="0" w:space="0" w:color="auto"/>
            <w:right w:val="none" w:sz="0" w:space="0" w:color="auto"/>
          </w:divBdr>
          <w:divsChild>
            <w:div w:id="288557014">
              <w:marLeft w:val="0"/>
              <w:marRight w:val="0"/>
              <w:marTop w:val="0"/>
              <w:marBottom w:val="0"/>
              <w:divBdr>
                <w:top w:val="none" w:sz="0" w:space="0" w:color="auto"/>
                <w:left w:val="none" w:sz="0" w:space="0" w:color="auto"/>
                <w:bottom w:val="none" w:sz="0" w:space="0" w:color="auto"/>
                <w:right w:val="none" w:sz="0" w:space="0" w:color="auto"/>
              </w:divBdr>
            </w:div>
          </w:divsChild>
        </w:div>
        <w:div w:id="597905605">
          <w:marLeft w:val="0"/>
          <w:marRight w:val="0"/>
          <w:marTop w:val="0"/>
          <w:marBottom w:val="0"/>
          <w:divBdr>
            <w:top w:val="none" w:sz="0" w:space="0" w:color="auto"/>
            <w:left w:val="none" w:sz="0" w:space="0" w:color="auto"/>
            <w:bottom w:val="none" w:sz="0" w:space="0" w:color="auto"/>
            <w:right w:val="none" w:sz="0" w:space="0" w:color="auto"/>
          </w:divBdr>
          <w:divsChild>
            <w:div w:id="331373899">
              <w:marLeft w:val="0"/>
              <w:marRight w:val="0"/>
              <w:marTop w:val="0"/>
              <w:marBottom w:val="0"/>
              <w:divBdr>
                <w:top w:val="none" w:sz="0" w:space="0" w:color="auto"/>
                <w:left w:val="none" w:sz="0" w:space="0" w:color="auto"/>
                <w:bottom w:val="none" w:sz="0" w:space="0" w:color="auto"/>
                <w:right w:val="none" w:sz="0" w:space="0" w:color="auto"/>
              </w:divBdr>
            </w:div>
          </w:divsChild>
        </w:div>
        <w:div w:id="638000774">
          <w:marLeft w:val="0"/>
          <w:marRight w:val="0"/>
          <w:marTop w:val="0"/>
          <w:marBottom w:val="0"/>
          <w:divBdr>
            <w:top w:val="none" w:sz="0" w:space="0" w:color="auto"/>
            <w:left w:val="none" w:sz="0" w:space="0" w:color="auto"/>
            <w:bottom w:val="none" w:sz="0" w:space="0" w:color="auto"/>
            <w:right w:val="none" w:sz="0" w:space="0" w:color="auto"/>
          </w:divBdr>
          <w:divsChild>
            <w:div w:id="614096934">
              <w:marLeft w:val="0"/>
              <w:marRight w:val="0"/>
              <w:marTop w:val="0"/>
              <w:marBottom w:val="0"/>
              <w:divBdr>
                <w:top w:val="none" w:sz="0" w:space="0" w:color="auto"/>
                <w:left w:val="none" w:sz="0" w:space="0" w:color="auto"/>
                <w:bottom w:val="none" w:sz="0" w:space="0" w:color="auto"/>
                <w:right w:val="none" w:sz="0" w:space="0" w:color="auto"/>
              </w:divBdr>
            </w:div>
          </w:divsChild>
        </w:div>
        <w:div w:id="687290064">
          <w:marLeft w:val="0"/>
          <w:marRight w:val="0"/>
          <w:marTop w:val="0"/>
          <w:marBottom w:val="0"/>
          <w:divBdr>
            <w:top w:val="none" w:sz="0" w:space="0" w:color="auto"/>
            <w:left w:val="none" w:sz="0" w:space="0" w:color="auto"/>
            <w:bottom w:val="none" w:sz="0" w:space="0" w:color="auto"/>
            <w:right w:val="none" w:sz="0" w:space="0" w:color="auto"/>
          </w:divBdr>
          <w:divsChild>
            <w:div w:id="802121336">
              <w:marLeft w:val="0"/>
              <w:marRight w:val="0"/>
              <w:marTop w:val="0"/>
              <w:marBottom w:val="0"/>
              <w:divBdr>
                <w:top w:val="none" w:sz="0" w:space="0" w:color="auto"/>
                <w:left w:val="none" w:sz="0" w:space="0" w:color="auto"/>
                <w:bottom w:val="none" w:sz="0" w:space="0" w:color="auto"/>
                <w:right w:val="none" w:sz="0" w:space="0" w:color="auto"/>
              </w:divBdr>
            </w:div>
          </w:divsChild>
        </w:div>
        <w:div w:id="734161162">
          <w:marLeft w:val="0"/>
          <w:marRight w:val="0"/>
          <w:marTop w:val="0"/>
          <w:marBottom w:val="0"/>
          <w:divBdr>
            <w:top w:val="none" w:sz="0" w:space="0" w:color="auto"/>
            <w:left w:val="none" w:sz="0" w:space="0" w:color="auto"/>
            <w:bottom w:val="none" w:sz="0" w:space="0" w:color="auto"/>
            <w:right w:val="none" w:sz="0" w:space="0" w:color="auto"/>
          </w:divBdr>
          <w:divsChild>
            <w:div w:id="2126579183">
              <w:marLeft w:val="0"/>
              <w:marRight w:val="0"/>
              <w:marTop w:val="0"/>
              <w:marBottom w:val="0"/>
              <w:divBdr>
                <w:top w:val="none" w:sz="0" w:space="0" w:color="auto"/>
                <w:left w:val="none" w:sz="0" w:space="0" w:color="auto"/>
                <w:bottom w:val="none" w:sz="0" w:space="0" w:color="auto"/>
                <w:right w:val="none" w:sz="0" w:space="0" w:color="auto"/>
              </w:divBdr>
            </w:div>
          </w:divsChild>
        </w:div>
        <w:div w:id="737944253">
          <w:marLeft w:val="0"/>
          <w:marRight w:val="0"/>
          <w:marTop w:val="0"/>
          <w:marBottom w:val="0"/>
          <w:divBdr>
            <w:top w:val="none" w:sz="0" w:space="0" w:color="auto"/>
            <w:left w:val="none" w:sz="0" w:space="0" w:color="auto"/>
            <w:bottom w:val="none" w:sz="0" w:space="0" w:color="auto"/>
            <w:right w:val="none" w:sz="0" w:space="0" w:color="auto"/>
          </w:divBdr>
          <w:divsChild>
            <w:div w:id="1616446378">
              <w:marLeft w:val="0"/>
              <w:marRight w:val="0"/>
              <w:marTop w:val="0"/>
              <w:marBottom w:val="0"/>
              <w:divBdr>
                <w:top w:val="none" w:sz="0" w:space="0" w:color="auto"/>
                <w:left w:val="none" w:sz="0" w:space="0" w:color="auto"/>
                <w:bottom w:val="none" w:sz="0" w:space="0" w:color="auto"/>
                <w:right w:val="none" w:sz="0" w:space="0" w:color="auto"/>
              </w:divBdr>
            </w:div>
          </w:divsChild>
        </w:div>
        <w:div w:id="813914894">
          <w:marLeft w:val="0"/>
          <w:marRight w:val="0"/>
          <w:marTop w:val="0"/>
          <w:marBottom w:val="0"/>
          <w:divBdr>
            <w:top w:val="none" w:sz="0" w:space="0" w:color="auto"/>
            <w:left w:val="none" w:sz="0" w:space="0" w:color="auto"/>
            <w:bottom w:val="none" w:sz="0" w:space="0" w:color="auto"/>
            <w:right w:val="none" w:sz="0" w:space="0" w:color="auto"/>
          </w:divBdr>
          <w:divsChild>
            <w:div w:id="632324016">
              <w:marLeft w:val="0"/>
              <w:marRight w:val="0"/>
              <w:marTop w:val="0"/>
              <w:marBottom w:val="0"/>
              <w:divBdr>
                <w:top w:val="none" w:sz="0" w:space="0" w:color="auto"/>
                <w:left w:val="none" w:sz="0" w:space="0" w:color="auto"/>
                <w:bottom w:val="none" w:sz="0" w:space="0" w:color="auto"/>
                <w:right w:val="none" w:sz="0" w:space="0" w:color="auto"/>
              </w:divBdr>
            </w:div>
          </w:divsChild>
        </w:div>
        <w:div w:id="872420270">
          <w:marLeft w:val="0"/>
          <w:marRight w:val="0"/>
          <w:marTop w:val="0"/>
          <w:marBottom w:val="0"/>
          <w:divBdr>
            <w:top w:val="none" w:sz="0" w:space="0" w:color="auto"/>
            <w:left w:val="none" w:sz="0" w:space="0" w:color="auto"/>
            <w:bottom w:val="none" w:sz="0" w:space="0" w:color="auto"/>
            <w:right w:val="none" w:sz="0" w:space="0" w:color="auto"/>
          </w:divBdr>
          <w:divsChild>
            <w:div w:id="1464039003">
              <w:marLeft w:val="0"/>
              <w:marRight w:val="0"/>
              <w:marTop w:val="0"/>
              <w:marBottom w:val="0"/>
              <w:divBdr>
                <w:top w:val="none" w:sz="0" w:space="0" w:color="auto"/>
                <w:left w:val="none" w:sz="0" w:space="0" w:color="auto"/>
                <w:bottom w:val="none" w:sz="0" w:space="0" w:color="auto"/>
                <w:right w:val="none" w:sz="0" w:space="0" w:color="auto"/>
              </w:divBdr>
            </w:div>
          </w:divsChild>
        </w:div>
        <w:div w:id="891891710">
          <w:marLeft w:val="0"/>
          <w:marRight w:val="0"/>
          <w:marTop w:val="0"/>
          <w:marBottom w:val="0"/>
          <w:divBdr>
            <w:top w:val="none" w:sz="0" w:space="0" w:color="auto"/>
            <w:left w:val="none" w:sz="0" w:space="0" w:color="auto"/>
            <w:bottom w:val="none" w:sz="0" w:space="0" w:color="auto"/>
            <w:right w:val="none" w:sz="0" w:space="0" w:color="auto"/>
          </w:divBdr>
          <w:divsChild>
            <w:div w:id="325211690">
              <w:marLeft w:val="0"/>
              <w:marRight w:val="0"/>
              <w:marTop w:val="0"/>
              <w:marBottom w:val="0"/>
              <w:divBdr>
                <w:top w:val="none" w:sz="0" w:space="0" w:color="auto"/>
                <w:left w:val="none" w:sz="0" w:space="0" w:color="auto"/>
                <w:bottom w:val="none" w:sz="0" w:space="0" w:color="auto"/>
                <w:right w:val="none" w:sz="0" w:space="0" w:color="auto"/>
              </w:divBdr>
            </w:div>
          </w:divsChild>
        </w:div>
        <w:div w:id="914778611">
          <w:marLeft w:val="0"/>
          <w:marRight w:val="0"/>
          <w:marTop w:val="0"/>
          <w:marBottom w:val="0"/>
          <w:divBdr>
            <w:top w:val="none" w:sz="0" w:space="0" w:color="auto"/>
            <w:left w:val="none" w:sz="0" w:space="0" w:color="auto"/>
            <w:bottom w:val="none" w:sz="0" w:space="0" w:color="auto"/>
            <w:right w:val="none" w:sz="0" w:space="0" w:color="auto"/>
          </w:divBdr>
          <w:divsChild>
            <w:div w:id="802039475">
              <w:marLeft w:val="0"/>
              <w:marRight w:val="0"/>
              <w:marTop w:val="0"/>
              <w:marBottom w:val="0"/>
              <w:divBdr>
                <w:top w:val="none" w:sz="0" w:space="0" w:color="auto"/>
                <w:left w:val="none" w:sz="0" w:space="0" w:color="auto"/>
                <w:bottom w:val="none" w:sz="0" w:space="0" w:color="auto"/>
                <w:right w:val="none" w:sz="0" w:space="0" w:color="auto"/>
              </w:divBdr>
            </w:div>
          </w:divsChild>
        </w:div>
        <w:div w:id="918714234">
          <w:marLeft w:val="0"/>
          <w:marRight w:val="0"/>
          <w:marTop w:val="0"/>
          <w:marBottom w:val="0"/>
          <w:divBdr>
            <w:top w:val="none" w:sz="0" w:space="0" w:color="auto"/>
            <w:left w:val="none" w:sz="0" w:space="0" w:color="auto"/>
            <w:bottom w:val="none" w:sz="0" w:space="0" w:color="auto"/>
            <w:right w:val="none" w:sz="0" w:space="0" w:color="auto"/>
          </w:divBdr>
          <w:divsChild>
            <w:div w:id="1580553770">
              <w:marLeft w:val="0"/>
              <w:marRight w:val="0"/>
              <w:marTop w:val="0"/>
              <w:marBottom w:val="0"/>
              <w:divBdr>
                <w:top w:val="none" w:sz="0" w:space="0" w:color="auto"/>
                <w:left w:val="none" w:sz="0" w:space="0" w:color="auto"/>
                <w:bottom w:val="none" w:sz="0" w:space="0" w:color="auto"/>
                <w:right w:val="none" w:sz="0" w:space="0" w:color="auto"/>
              </w:divBdr>
            </w:div>
          </w:divsChild>
        </w:div>
        <w:div w:id="1085957794">
          <w:marLeft w:val="0"/>
          <w:marRight w:val="0"/>
          <w:marTop w:val="0"/>
          <w:marBottom w:val="0"/>
          <w:divBdr>
            <w:top w:val="none" w:sz="0" w:space="0" w:color="auto"/>
            <w:left w:val="none" w:sz="0" w:space="0" w:color="auto"/>
            <w:bottom w:val="none" w:sz="0" w:space="0" w:color="auto"/>
            <w:right w:val="none" w:sz="0" w:space="0" w:color="auto"/>
          </w:divBdr>
          <w:divsChild>
            <w:div w:id="2086872485">
              <w:marLeft w:val="0"/>
              <w:marRight w:val="0"/>
              <w:marTop w:val="0"/>
              <w:marBottom w:val="0"/>
              <w:divBdr>
                <w:top w:val="none" w:sz="0" w:space="0" w:color="auto"/>
                <w:left w:val="none" w:sz="0" w:space="0" w:color="auto"/>
                <w:bottom w:val="none" w:sz="0" w:space="0" w:color="auto"/>
                <w:right w:val="none" w:sz="0" w:space="0" w:color="auto"/>
              </w:divBdr>
            </w:div>
          </w:divsChild>
        </w:div>
        <w:div w:id="1096050444">
          <w:marLeft w:val="0"/>
          <w:marRight w:val="0"/>
          <w:marTop w:val="0"/>
          <w:marBottom w:val="0"/>
          <w:divBdr>
            <w:top w:val="none" w:sz="0" w:space="0" w:color="auto"/>
            <w:left w:val="none" w:sz="0" w:space="0" w:color="auto"/>
            <w:bottom w:val="none" w:sz="0" w:space="0" w:color="auto"/>
            <w:right w:val="none" w:sz="0" w:space="0" w:color="auto"/>
          </w:divBdr>
          <w:divsChild>
            <w:div w:id="750665073">
              <w:marLeft w:val="0"/>
              <w:marRight w:val="0"/>
              <w:marTop w:val="0"/>
              <w:marBottom w:val="0"/>
              <w:divBdr>
                <w:top w:val="none" w:sz="0" w:space="0" w:color="auto"/>
                <w:left w:val="none" w:sz="0" w:space="0" w:color="auto"/>
                <w:bottom w:val="none" w:sz="0" w:space="0" w:color="auto"/>
                <w:right w:val="none" w:sz="0" w:space="0" w:color="auto"/>
              </w:divBdr>
            </w:div>
          </w:divsChild>
        </w:div>
        <w:div w:id="1132988959">
          <w:marLeft w:val="0"/>
          <w:marRight w:val="0"/>
          <w:marTop w:val="0"/>
          <w:marBottom w:val="0"/>
          <w:divBdr>
            <w:top w:val="none" w:sz="0" w:space="0" w:color="auto"/>
            <w:left w:val="none" w:sz="0" w:space="0" w:color="auto"/>
            <w:bottom w:val="none" w:sz="0" w:space="0" w:color="auto"/>
            <w:right w:val="none" w:sz="0" w:space="0" w:color="auto"/>
          </w:divBdr>
          <w:divsChild>
            <w:div w:id="819079693">
              <w:marLeft w:val="0"/>
              <w:marRight w:val="0"/>
              <w:marTop w:val="0"/>
              <w:marBottom w:val="0"/>
              <w:divBdr>
                <w:top w:val="none" w:sz="0" w:space="0" w:color="auto"/>
                <w:left w:val="none" w:sz="0" w:space="0" w:color="auto"/>
                <w:bottom w:val="none" w:sz="0" w:space="0" w:color="auto"/>
                <w:right w:val="none" w:sz="0" w:space="0" w:color="auto"/>
              </w:divBdr>
            </w:div>
          </w:divsChild>
        </w:div>
        <w:div w:id="1141390262">
          <w:marLeft w:val="0"/>
          <w:marRight w:val="0"/>
          <w:marTop w:val="0"/>
          <w:marBottom w:val="0"/>
          <w:divBdr>
            <w:top w:val="none" w:sz="0" w:space="0" w:color="auto"/>
            <w:left w:val="none" w:sz="0" w:space="0" w:color="auto"/>
            <w:bottom w:val="none" w:sz="0" w:space="0" w:color="auto"/>
            <w:right w:val="none" w:sz="0" w:space="0" w:color="auto"/>
          </w:divBdr>
          <w:divsChild>
            <w:div w:id="63339153">
              <w:marLeft w:val="0"/>
              <w:marRight w:val="0"/>
              <w:marTop w:val="0"/>
              <w:marBottom w:val="0"/>
              <w:divBdr>
                <w:top w:val="none" w:sz="0" w:space="0" w:color="auto"/>
                <w:left w:val="none" w:sz="0" w:space="0" w:color="auto"/>
                <w:bottom w:val="none" w:sz="0" w:space="0" w:color="auto"/>
                <w:right w:val="none" w:sz="0" w:space="0" w:color="auto"/>
              </w:divBdr>
            </w:div>
          </w:divsChild>
        </w:div>
        <w:div w:id="1158695676">
          <w:marLeft w:val="0"/>
          <w:marRight w:val="0"/>
          <w:marTop w:val="0"/>
          <w:marBottom w:val="0"/>
          <w:divBdr>
            <w:top w:val="none" w:sz="0" w:space="0" w:color="auto"/>
            <w:left w:val="none" w:sz="0" w:space="0" w:color="auto"/>
            <w:bottom w:val="none" w:sz="0" w:space="0" w:color="auto"/>
            <w:right w:val="none" w:sz="0" w:space="0" w:color="auto"/>
          </w:divBdr>
          <w:divsChild>
            <w:div w:id="1107889108">
              <w:marLeft w:val="0"/>
              <w:marRight w:val="0"/>
              <w:marTop w:val="0"/>
              <w:marBottom w:val="0"/>
              <w:divBdr>
                <w:top w:val="none" w:sz="0" w:space="0" w:color="auto"/>
                <w:left w:val="none" w:sz="0" w:space="0" w:color="auto"/>
                <w:bottom w:val="none" w:sz="0" w:space="0" w:color="auto"/>
                <w:right w:val="none" w:sz="0" w:space="0" w:color="auto"/>
              </w:divBdr>
            </w:div>
          </w:divsChild>
        </w:div>
        <w:div w:id="1181430855">
          <w:marLeft w:val="0"/>
          <w:marRight w:val="0"/>
          <w:marTop w:val="0"/>
          <w:marBottom w:val="0"/>
          <w:divBdr>
            <w:top w:val="none" w:sz="0" w:space="0" w:color="auto"/>
            <w:left w:val="none" w:sz="0" w:space="0" w:color="auto"/>
            <w:bottom w:val="none" w:sz="0" w:space="0" w:color="auto"/>
            <w:right w:val="none" w:sz="0" w:space="0" w:color="auto"/>
          </w:divBdr>
          <w:divsChild>
            <w:div w:id="1922793329">
              <w:marLeft w:val="0"/>
              <w:marRight w:val="0"/>
              <w:marTop w:val="0"/>
              <w:marBottom w:val="0"/>
              <w:divBdr>
                <w:top w:val="none" w:sz="0" w:space="0" w:color="auto"/>
                <w:left w:val="none" w:sz="0" w:space="0" w:color="auto"/>
                <w:bottom w:val="none" w:sz="0" w:space="0" w:color="auto"/>
                <w:right w:val="none" w:sz="0" w:space="0" w:color="auto"/>
              </w:divBdr>
            </w:div>
          </w:divsChild>
        </w:div>
        <w:div w:id="1198543494">
          <w:marLeft w:val="0"/>
          <w:marRight w:val="0"/>
          <w:marTop w:val="0"/>
          <w:marBottom w:val="0"/>
          <w:divBdr>
            <w:top w:val="none" w:sz="0" w:space="0" w:color="auto"/>
            <w:left w:val="none" w:sz="0" w:space="0" w:color="auto"/>
            <w:bottom w:val="none" w:sz="0" w:space="0" w:color="auto"/>
            <w:right w:val="none" w:sz="0" w:space="0" w:color="auto"/>
          </w:divBdr>
          <w:divsChild>
            <w:div w:id="1802190337">
              <w:marLeft w:val="0"/>
              <w:marRight w:val="0"/>
              <w:marTop w:val="0"/>
              <w:marBottom w:val="0"/>
              <w:divBdr>
                <w:top w:val="none" w:sz="0" w:space="0" w:color="auto"/>
                <w:left w:val="none" w:sz="0" w:space="0" w:color="auto"/>
                <w:bottom w:val="none" w:sz="0" w:space="0" w:color="auto"/>
                <w:right w:val="none" w:sz="0" w:space="0" w:color="auto"/>
              </w:divBdr>
            </w:div>
          </w:divsChild>
        </w:div>
        <w:div w:id="1224831635">
          <w:marLeft w:val="0"/>
          <w:marRight w:val="0"/>
          <w:marTop w:val="0"/>
          <w:marBottom w:val="0"/>
          <w:divBdr>
            <w:top w:val="none" w:sz="0" w:space="0" w:color="auto"/>
            <w:left w:val="none" w:sz="0" w:space="0" w:color="auto"/>
            <w:bottom w:val="none" w:sz="0" w:space="0" w:color="auto"/>
            <w:right w:val="none" w:sz="0" w:space="0" w:color="auto"/>
          </w:divBdr>
          <w:divsChild>
            <w:div w:id="2075227970">
              <w:marLeft w:val="0"/>
              <w:marRight w:val="0"/>
              <w:marTop w:val="0"/>
              <w:marBottom w:val="0"/>
              <w:divBdr>
                <w:top w:val="none" w:sz="0" w:space="0" w:color="auto"/>
                <w:left w:val="none" w:sz="0" w:space="0" w:color="auto"/>
                <w:bottom w:val="none" w:sz="0" w:space="0" w:color="auto"/>
                <w:right w:val="none" w:sz="0" w:space="0" w:color="auto"/>
              </w:divBdr>
            </w:div>
          </w:divsChild>
        </w:div>
        <w:div w:id="1224943917">
          <w:marLeft w:val="0"/>
          <w:marRight w:val="0"/>
          <w:marTop w:val="0"/>
          <w:marBottom w:val="0"/>
          <w:divBdr>
            <w:top w:val="none" w:sz="0" w:space="0" w:color="auto"/>
            <w:left w:val="none" w:sz="0" w:space="0" w:color="auto"/>
            <w:bottom w:val="none" w:sz="0" w:space="0" w:color="auto"/>
            <w:right w:val="none" w:sz="0" w:space="0" w:color="auto"/>
          </w:divBdr>
          <w:divsChild>
            <w:div w:id="1896819850">
              <w:marLeft w:val="0"/>
              <w:marRight w:val="0"/>
              <w:marTop w:val="0"/>
              <w:marBottom w:val="0"/>
              <w:divBdr>
                <w:top w:val="none" w:sz="0" w:space="0" w:color="auto"/>
                <w:left w:val="none" w:sz="0" w:space="0" w:color="auto"/>
                <w:bottom w:val="none" w:sz="0" w:space="0" w:color="auto"/>
                <w:right w:val="none" w:sz="0" w:space="0" w:color="auto"/>
              </w:divBdr>
            </w:div>
          </w:divsChild>
        </w:div>
        <w:div w:id="1238788633">
          <w:marLeft w:val="0"/>
          <w:marRight w:val="0"/>
          <w:marTop w:val="0"/>
          <w:marBottom w:val="0"/>
          <w:divBdr>
            <w:top w:val="none" w:sz="0" w:space="0" w:color="auto"/>
            <w:left w:val="none" w:sz="0" w:space="0" w:color="auto"/>
            <w:bottom w:val="none" w:sz="0" w:space="0" w:color="auto"/>
            <w:right w:val="none" w:sz="0" w:space="0" w:color="auto"/>
          </w:divBdr>
          <w:divsChild>
            <w:div w:id="1936743516">
              <w:marLeft w:val="0"/>
              <w:marRight w:val="0"/>
              <w:marTop w:val="0"/>
              <w:marBottom w:val="0"/>
              <w:divBdr>
                <w:top w:val="none" w:sz="0" w:space="0" w:color="auto"/>
                <w:left w:val="none" w:sz="0" w:space="0" w:color="auto"/>
                <w:bottom w:val="none" w:sz="0" w:space="0" w:color="auto"/>
                <w:right w:val="none" w:sz="0" w:space="0" w:color="auto"/>
              </w:divBdr>
            </w:div>
          </w:divsChild>
        </w:div>
        <w:div w:id="1246261600">
          <w:marLeft w:val="0"/>
          <w:marRight w:val="0"/>
          <w:marTop w:val="0"/>
          <w:marBottom w:val="0"/>
          <w:divBdr>
            <w:top w:val="none" w:sz="0" w:space="0" w:color="auto"/>
            <w:left w:val="none" w:sz="0" w:space="0" w:color="auto"/>
            <w:bottom w:val="none" w:sz="0" w:space="0" w:color="auto"/>
            <w:right w:val="none" w:sz="0" w:space="0" w:color="auto"/>
          </w:divBdr>
          <w:divsChild>
            <w:div w:id="1395158072">
              <w:marLeft w:val="0"/>
              <w:marRight w:val="0"/>
              <w:marTop w:val="0"/>
              <w:marBottom w:val="0"/>
              <w:divBdr>
                <w:top w:val="none" w:sz="0" w:space="0" w:color="auto"/>
                <w:left w:val="none" w:sz="0" w:space="0" w:color="auto"/>
                <w:bottom w:val="none" w:sz="0" w:space="0" w:color="auto"/>
                <w:right w:val="none" w:sz="0" w:space="0" w:color="auto"/>
              </w:divBdr>
            </w:div>
          </w:divsChild>
        </w:div>
        <w:div w:id="1255553248">
          <w:marLeft w:val="0"/>
          <w:marRight w:val="0"/>
          <w:marTop w:val="0"/>
          <w:marBottom w:val="0"/>
          <w:divBdr>
            <w:top w:val="none" w:sz="0" w:space="0" w:color="auto"/>
            <w:left w:val="none" w:sz="0" w:space="0" w:color="auto"/>
            <w:bottom w:val="none" w:sz="0" w:space="0" w:color="auto"/>
            <w:right w:val="none" w:sz="0" w:space="0" w:color="auto"/>
          </w:divBdr>
          <w:divsChild>
            <w:div w:id="1320383715">
              <w:marLeft w:val="0"/>
              <w:marRight w:val="0"/>
              <w:marTop w:val="0"/>
              <w:marBottom w:val="0"/>
              <w:divBdr>
                <w:top w:val="none" w:sz="0" w:space="0" w:color="auto"/>
                <w:left w:val="none" w:sz="0" w:space="0" w:color="auto"/>
                <w:bottom w:val="none" w:sz="0" w:space="0" w:color="auto"/>
                <w:right w:val="none" w:sz="0" w:space="0" w:color="auto"/>
              </w:divBdr>
            </w:div>
          </w:divsChild>
        </w:div>
        <w:div w:id="1269196687">
          <w:marLeft w:val="0"/>
          <w:marRight w:val="0"/>
          <w:marTop w:val="0"/>
          <w:marBottom w:val="0"/>
          <w:divBdr>
            <w:top w:val="none" w:sz="0" w:space="0" w:color="auto"/>
            <w:left w:val="none" w:sz="0" w:space="0" w:color="auto"/>
            <w:bottom w:val="none" w:sz="0" w:space="0" w:color="auto"/>
            <w:right w:val="none" w:sz="0" w:space="0" w:color="auto"/>
          </w:divBdr>
          <w:divsChild>
            <w:div w:id="463156360">
              <w:marLeft w:val="0"/>
              <w:marRight w:val="0"/>
              <w:marTop w:val="0"/>
              <w:marBottom w:val="0"/>
              <w:divBdr>
                <w:top w:val="none" w:sz="0" w:space="0" w:color="auto"/>
                <w:left w:val="none" w:sz="0" w:space="0" w:color="auto"/>
                <w:bottom w:val="none" w:sz="0" w:space="0" w:color="auto"/>
                <w:right w:val="none" w:sz="0" w:space="0" w:color="auto"/>
              </w:divBdr>
            </w:div>
          </w:divsChild>
        </w:div>
        <w:div w:id="1288126146">
          <w:marLeft w:val="0"/>
          <w:marRight w:val="0"/>
          <w:marTop w:val="0"/>
          <w:marBottom w:val="0"/>
          <w:divBdr>
            <w:top w:val="none" w:sz="0" w:space="0" w:color="auto"/>
            <w:left w:val="none" w:sz="0" w:space="0" w:color="auto"/>
            <w:bottom w:val="none" w:sz="0" w:space="0" w:color="auto"/>
            <w:right w:val="none" w:sz="0" w:space="0" w:color="auto"/>
          </w:divBdr>
          <w:divsChild>
            <w:div w:id="2136753776">
              <w:marLeft w:val="0"/>
              <w:marRight w:val="0"/>
              <w:marTop w:val="0"/>
              <w:marBottom w:val="0"/>
              <w:divBdr>
                <w:top w:val="none" w:sz="0" w:space="0" w:color="auto"/>
                <w:left w:val="none" w:sz="0" w:space="0" w:color="auto"/>
                <w:bottom w:val="none" w:sz="0" w:space="0" w:color="auto"/>
                <w:right w:val="none" w:sz="0" w:space="0" w:color="auto"/>
              </w:divBdr>
            </w:div>
          </w:divsChild>
        </w:div>
        <w:div w:id="1300116102">
          <w:marLeft w:val="0"/>
          <w:marRight w:val="0"/>
          <w:marTop w:val="0"/>
          <w:marBottom w:val="0"/>
          <w:divBdr>
            <w:top w:val="none" w:sz="0" w:space="0" w:color="auto"/>
            <w:left w:val="none" w:sz="0" w:space="0" w:color="auto"/>
            <w:bottom w:val="none" w:sz="0" w:space="0" w:color="auto"/>
            <w:right w:val="none" w:sz="0" w:space="0" w:color="auto"/>
          </w:divBdr>
          <w:divsChild>
            <w:div w:id="1497067953">
              <w:marLeft w:val="0"/>
              <w:marRight w:val="0"/>
              <w:marTop w:val="0"/>
              <w:marBottom w:val="0"/>
              <w:divBdr>
                <w:top w:val="none" w:sz="0" w:space="0" w:color="auto"/>
                <w:left w:val="none" w:sz="0" w:space="0" w:color="auto"/>
                <w:bottom w:val="none" w:sz="0" w:space="0" w:color="auto"/>
                <w:right w:val="none" w:sz="0" w:space="0" w:color="auto"/>
              </w:divBdr>
            </w:div>
          </w:divsChild>
        </w:div>
        <w:div w:id="1315261351">
          <w:marLeft w:val="0"/>
          <w:marRight w:val="0"/>
          <w:marTop w:val="0"/>
          <w:marBottom w:val="0"/>
          <w:divBdr>
            <w:top w:val="none" w:sz="0" w:space="0" w:color="auto"/>
            <w:left w:val="none" w:sz="0" w:space="0" w:color="auto"/>
            <w:bottom w:val="none" w:sz="0" w:space="0" w:color="auto"/>
            <w:right w:val="none" w:sz="0" w:space="0" w:color="auto"/>
          </w:divBdr>
          <w:divsChild>
            <w:div w:id="1277978670">
              <w:marLeft w:val="0"/>
              <w:marRight w:val="0"/>
              <w:marTop w:val="0"/>
              <w:marBottom w:val="0"/>
              <w:divBdr>
                <w:top w:val="none" w:sz="0" w:space="0" w:color="auto"/>
                <w:left w:val="none" w:sz="0" w:space="0" w:color="auto"/>
                <w:bottom w:val="none" w:sz="0" w:space="0" w:color="auto"/>
                <w:right w:val="none" w:sz="0" w:space="0" w:color="auto"/>
              </w:divBdr>
            </w:div>
          </w:divsChild>
        </w:div>
        <w:div w:id="1329989863">
          <w:marLeft w:val="0"/>
          <w:marRight w:val="0"/>
          <w:marTop w:val="0"/>
          <w:marBottom w:val="0"/>
          <w:divBdr>
            <w:top w:val="none" w:sz="0" w:space="0" w:color="auto"/>
            <w:left w:val="none" w:sz="0" w:space="0" w:color="auto"/>
            <w:bottom w:val="none" w:sz="0" w:space="0" w:color="auto"/>
            <w:right w:val="none" w:sz="0" w:space="0" w:color="auto"/>
          </w:divBdr>
          <w:divsChild>
            <w:div w:id="1386951369">
              <w:marLeft w:val="0"/>
              <w:marRight w:val="0"/>
              <w:marTop w:val="0"/>
              <w:marBottom w:val="0"/>
              <w:divBdr>
                <w:top w:val="none" w:sz="0" w:space="0" w:color="auto"/>
                <w:left w:val="none" w:sz="0" w:space="0" w:color="auto"/>
                <w:bottom w:val="none" w:sz="0" w:space="0" w:color="auto"/>
                <w:right w:val="none" w:sz="0" w:space="0" w:color="auto"/>
              </w:divBdr>
            </w:div>
          </w:divsChild>
        </w:div>
        <w:div w:id="1405252824">
          <w:marLeft w:val="0"/>
          <w:marRight w:val="0"/>
          <w:marTop w:val="0"/>
          <w:marBottom w:val="0"/>
          <w:divBdr>
            <w:top w:val="none" w:sz="0" w:space="0" w:color="auto"/>
            <w:left w:val="none" w:sz="0" w:space="0" w:color="auto"/>
            <w:bottom w:val="none" w:sz="0" w:space="0" w:color="auto"/>
            <w:right w:val="none" w:sz="0" w:space="0" w:color="auto"/>
          </w:divBdr>
          <w:divsChild>
            <w:div w:id="21251352">
              <w:marLeft w:val="0"/>
              <w:marRight w:val="0"/>
              <w:marTop w:val="0"/>
              <w:marBottom w:val="0"/>
              <w:divBdr>
                <w:top w:val="none" w:sz="0" w:space="0" w:color="auto"/>
                <w:left w:val="none" w:sz="0" w:space="0" w:color="auto"/>
                <w:bottom w:val="none" w:sz="0" w:space="0" w:color="auto"/>
                <w:right w:val="none" w:sz="0" w:space="0" w:color="auto"/>
              </w:divBdr>
            </w:div>
          </w:divsChild>
        </w:div>
        <w:div w:id="1425153200">
          <w:marLeft w:val="0"/>
          <w:marRight w:val="0"/>
          <w:marTop w:val="0"/>
          <w:marBottom w:val="0"/>
          <w:divBdr>
            <w:top w:val="none" w:sz="0" w:space="0" w:color="auto"/>
            <w:left w:val="none" w:sz="0" w:space="0" w:color="auto"/>
            <w:bottom w:val="none" w:sz="0" w:space="0" w:color="auto"/>
            <w:right w:val="none" w:sz="0" w:space="0" w:color="auto"/>
          </w:divBdr>
          <w:divsChild>
            <w:div w:id="158010681">
              <w:marLeft w:val="0"/>
              <w:marRight w:val="0"/>
              <w:marTop w:val="0"/>
              <w:marBottom w:val="0"/>
              <w:divBdr>
                <w:top w:val="none" w:sz="0" w:space="0" w:color="auto"/>
                <w:left w:val="none" w:sz="0" w:space="0" w:color="auto"/>
                <w:bottom w:val="none" w:sz="0" w:space="0" w:color="auto"/>
                <w:right w:val="none" w:sz="0" w:space="0" w:color="auto"/>
              </w:divBdr>
            </w:div>
          </w:divsChild>
        </w:div>
        <w:div w:id="1463691368">
          <w:marLeft w:val="0"/>
          <w:marRight w:val="0"/>
          <w:marTop w:val="0"/>
          <w:marBottom w:val="0"/>
          <w:divBdr>
            <w:top w:val="none" w:sz="0" w:space="0" w:color="auto"/>
            <w:left w:val="none" w:sz="0" w:space="0" w:color="auto"/>
            <w:bottom w:val="none" w:sz="0" w:space="0" w:color="auto"/>
            <w:right w:val="none" w:sz="0" w:space="0" w:color="auto"/>
          </w:divBdr>
          <w:divsChild>
            <w:div w:id="304629273">
              <w:marLeft w:val="0"/>
              <w:marRight w:val="0"/>
              <w:marTop w:val="0"/>
              <w:marBottom w:val="0"/>
              <w:divBdr>
                <w:top w:val="none" w:sz="0" w:space="0" w:color="auto"/>
                <w:left w:val="none" w:sz="0" w:space="0" w:color="auto"/>
                <w:bottom w:val="none" w:sz="0" w:space="0" w:color="auto"/>
                <w:right w:val="none" w:sz="0" w:space="0" w:color="auto"/>
              </w:divBdr>
            </w:div>
          </w:divsChild>
        </w:div>
        <w:div w:id="1471358468">
          <w:marLeft w:val="0"/>
          <w:marRight w:val="0"/>
          <w:marTop w:val="0"/>
          <w:marBottom w:val="0"/>
          <w:divBdr>
            <w:top w:val="none" w:sz="0" w:space="0" w:color="auto"/>
            <w:left w:val="none" w:sz="0" w:space="0" w:color="auto"/>
            <w:bottom w:val="none" w:sz="0" w:space="0" w:color="auto"/>
            <w:right w:val="none" w:sz="0" w:space="0" w:color="auto"/>
          </w:divBdr>
          <w:divsChild>
            <w:div w:id="1341736500">
              <w:marLeft w:val="0"/>
              <w:marRight w:val="0"/>
              <w:marTop w:val="0"/>
              <w:marBottom w:val="0"/>
              <w:divBdr>
                <w:top w:val="none" w:sz="0" w:space="0" w:color="auto"/>
                <w:left w:val="none" w:sz="0" w:space="0" w:color="auto"/>
                <w:bottom w:val="none" w:sz="0" w:space="0" w:color="auto"/>
                <w:right w:val="none" w:sz="0" w:space="0" w:color="auto"/>
              </w:divBdr>
            </w:div>
          </w:divsChild>
        </w:div>
        <w:div w:id="1476488248">
          <w:marLeft w:val="0"/>
          <w:marRight w:val="0"/>
          <w:marTop w:val="0"/>
          <w:marBottom w:val="0"/>
          <w:divBdr>
            <w:top w:val="none" w:sz="0" w:space="0" w:color="auto"/>
            <w:left w:val="none" w:sz="0" w:space="0" w:color="auto"/>
            <w:bottom w:val="none" w:sz="0" w:space="0" w:color="auto"/>
            <w:right w:val="none" w:sz="0" w:space="0" w:color="auto"/>
          </w:divBdr>
          <w:divsChild>
            <w:div w:id="2020036539">
              <w:marLeft w:val="0"/>
              <w:marRight w:val="0"/>
              <w:marTop w:val="0"/>
              <w:marBottom w:val="0"/>
              <w:divBdr>
                <w:top w:val="none" w:sz="0" w:space="0" w:color="auto"/>
                <w:left w:val="none" w:sz="0" w:space="0" w:color="auto"/>
                <w:bottom w:val="none" w:sz="0" w:space="0" w:color="auto"/>
                <w:right w:val="none" w:sz="0" w:space="0" w:color="auto"/>
              </w:divBdr>
            </w:div>
          </w:divsChild>
        </w:div>
        <w:div w:id="1489444976">
          <w:marLeft w:val="0"/>
          <w:marRight w:val="0"/>
          <w:marTop w:val="0"/>
          <w:marBottom w:val="0"/>
          <w:divBdr>
            <w:top w:val="none" w:sz="0" w:space="0" w:color="auto"/>
            <w:left w:val="none" w:sz="0" w:space="0" w:color="auto"/>
            <w:bottom w:val="none" w:sz="0" w:space="0" w:color="auto"/>
            <w:right w:val="none" w:sz="0" w:space="0" w:color="auto"/>
          </w:divBdr>
          <w:divsChild>
            <w:div w:id="766465232">
              <w:marLeft w:val="0"/>
              <w:marRight w:val="0"/>
              <w:marTop w:val="0"/>
              <w:marBottom w:val="0"/>
              <w:divBdr>
                <w:top w:val="none" w:sz="0" w:space="0" w:color="auto"/>
                <w:left w:val="none" w:sz="0" w:space="0" w:color="auto"/>
                <w:bottom w:val="none" w:sz="0" w:space="0" w:color="auto"/>
                <w:right w:val="none" w:sz="0" w:space="0" w:color="auto"/>
              </w:divBdr>
            </w:div>
          </w:divsChild>
        </w:div>
        <w:div w:id="1501890599">
          <w:marLeft w:val="0"/>
          <w:marRight w:val="0"/>
          <w:marTop w:val="0"/>
          <w:marBottom w:val="0"/>
          <w:divBdr>
            <w:top w:val="none" w:sz="0" w:space="0" w:color="auto"/>
            <w:left w:val="none" w:sz="0" w:space="0" w:color="auto"/>
            <w:bottom w:val="none" w:sz="0" w:space="0" w:color="auto"/>
            <w:right w:val="none" w:sz="0" w:space="0" w:color="auto"/>
          </w:divBdr>
          <w:divsChild>
            <w:div w:id="1900435951">
              <w:marLeft w:val="0"/>
              <w:marRight w:val="0"/>
              <w:marTop w:val="0"/>
              <w:marBottom w:val="0"/>
              <w:divBdr>
                <w:top w:val="none" w:sz="0" w:space="0" w:color="auto"/>
                <w:left w:val="none" w:sz="0" w:space="0" w:color="auto"/>
                <w:bottom w:val="none" w:sz="0" w:space="0" w:color="auto"/>
                <w:right w:val="none" w:sz="0" w:space="0" w:color="auto"/>
              </w:divBdr>
            </w:div>
          </w:divsChild>
        </w:div>
        <w:div w:id="1517840889">
          <w:marLeft w:val="0"/>
          <w:marRight w:val="0"/>
          <w:marTop w:val="0"/>
          <w:marBottom w:val="0"/>
          <w:divBdr>
            <w:top w:val="none" w:sz="0" w:space="0" w:color="auto"/>
            <w:left w:val="none" w:sz="0" w:space="0" w:color="auto"/>
            <w:bottom w:val="none" w:sz="0" w:space="0" w:color="auto"/>
            <w:right w:val="none" w:sz="0" w:space="0" w:color="auto"/>
          </w:divBdr>
          <w:divsChild>
            <w:div w:id="146634019">
              <w:marLeft w:val="0"/>
              <w:marRight w:val="0"/>
              <w:marTop w:val="0"/>
              <w:marBottom w:val="0"/>
              <w:divBdr>
                <w:top w:val="none" w:sz="0" w:space="0" w:color="auto"/>
                <w:left w:val="none" w:sz="0" w:space="0" w:color="auto"/>
                <w:bottom w:val="none" w:sz="0" w:space="0" w:color="auto"/>
                <w:right w:val="none" w:sz="0" w:space="0" w:color="auto"/>
              </w:divBdr>
            </w:div>
          </w:divsChild>
        </w:div>
        <w:div w:id="1693611465">
          <w:marLeft w:val="0"/>
          <w:marRight w:val="0"/>
          <w:marTop w:val="0"/>
          <w:marBottom w:val="0"/>
          <w:divBdr>
            <w:top w:val="none" w:sz="0" w:space="0" w:color="auto"/>
            <w:left w:val="none" w:sz="0" w:space="0" w:color="auto"/>
            <w:bottom w:val="none" w:sz="0" w:space="0" w:color="auto"/>
            <w:right w:val="none" w:sz="0" w:space="0" w:color="auto"/>
          </w:divBdr>
          <w:divsChild>
            <w:div w:id="1884780572">
              <w:marLeft w:val="0"/>
              <w:marRight w:val="0"/>
              <w:marTop w:val="0"/>
              <w:marBottom w:val="0"/>
              <w:divBdr>
                <w:top w:val="none" w:sz="0" w:space="0" w:color="auto"/>
                <w:left w:val="none" w:sz="0" w:space="0" w:color="auto"/>
                <w:bottom w:val="none" w:sz="0" w:space="0" w:color="auto"/>
                <w:right w:val="none" w:sz="0" w:space="0" w:color="auto"/>
              </w:divBdr>
            </w:div>
          </w:divsChild>
        </w:div>
        <w:div w:id="1719939681">
          <w:marLeft w:val="0"/>
          <w:marRight w:val="0"/>
          <w:marTop w:val="0"/>
          <w:marBottom w:val="0"/>
          <w:divBdr>
            <w:top w:val="none" w:sz="0" w:space="0" w:color="auto"/>
            <w:left w:val="none" w:sz="0" w:space="0" w:color="auto"/>
            <w:bottom w:val="none" w:sz="0" w:space="0" w:color="auto"/>
            <w:right w:val="none" w:sz="0" w:space="0" w:color="auto"/>
          </w:divBdr>
          <w:divsChild>
            <w:div w:id="312101532">
              <w:marLeft w:val="0"/>
              <w:marRight w:val="0"/>
              <w:marTop w:val="0"/>
              <w:marBottom w:val="0"/>
              <w:divBdr>
                <w:top w:val="none" w:sz="0" w:space="0" w:color="auto"/>
                <w:left w:val="none" w:sz="0" w:space="0" w:color="auto"/>
                <w:bottom w:val="none" w:sz="0" w:space="0" w:color="auto"/>
                <w:right w:val="none" w:sz="0" w:space="0" w:color="auto"/>
              </w:divBdr>
            </w:div>
          </w:divsChild>
        </w:div>
        <w:div w:id="1758674312">
          <w:marLeft w:val="0"/>
          <w:marRight w:val="0"/>
          <w:marTop w:val="0"/>
          <w:marBottom w:val="0"/>
          <w:divBdr>
            <w:top w:val="none" w:sz="0" w:space="0" w:color="auto"/>
            <w:left w:val="none" w:sz="0" w:space="0" w:color="auto"/>
            <w:bottom w:val="none" w:sz="0" w:space="0" w:color="auto"/>
            <w:right w:val="none" w:sz="0" w:space="0" w:color="auto"/>
          </w:divBdr>
          <w:divsChild>
            <w:div w:id="677119960">
              <w:marLeft w:val="0"/>
              <w:marRight w:val="0"/>
              <w:marTop w:val="0"/>
              <w:marBottom w:val="0"/>
              <w:divBdr>
                <w:top w:val="none" w:sz="0" w:space="0" w:color="auto"/>
                <w:left w:val="none" w:sz="0" w:space="0" w:color="auto"/>
                <w:bottom w:val="none" w:sz="0" w:space="0" w:color="auto"/>
                <w:right w:val="none" w:sz="0" w:space="0" w:color="auto"/>
              </w:divBdr>
            </w:div>
          </w:divsChild>
        </w:div>
        <w:div w:id="1852186942">
          <w:marLeft w:val="0"/>
          <w:marRight w:val="0"/>
          <w:marTop w:val="0"/>
          <w:marBottom w:val="0"/>
          <w:divBdr>
            <w:top w:val="none" w:sz="0" w:space="0" w:color="auto"/>
            <w:left w:val="none" w:sz="0" w:space="0" w:color="auto"/>
            <w:bottom w:val="none" w:sz="0" w:space="0" w:color="auto"/>
            <w:right w:val="none" w:sz="0" w:space="0" w:color="auto"/>
          </w:divBdr>
          <w:divsChild>
            <w:div w:id="1837458191">
              <w:marLeft w:val="0"/>
              <w:marRight w:val="0"/>
              <w:marTop w:val="0"/>
              <w:marBottom w:val="0"/>
              <w:divBdr>
                <w:top w:val="none" w:sz="0" w:space="0" w:color="auto"/>
                <w:left w:val="none" w:sz="0" w:space="0" w:color="auto"/>
                <w:bottom w:val="none" w:sz="0" w:space="0" w:color="auto"/>
                <w:right w:val="none" w:sz="0" w:space="0" w:color="auto"/>
              </w:divBdr>
            </w:div>
          </w:divsChild>
        </w:div>
        <w:div w:id="1854801229">
          <w:marLeft w:val="0"/>
          <w:marRight w:val="0"/>
          <w:marTop w:val="0"/>
          <w:marBottom w:val="0"/>
          <w:divBdr>
            <w:top w:val="none" w:sz="0" w:space="0" w:color="auto"/>
            <w:left w:val="none" w:sz="0" w:space="0" w:color="auto"/>
            <w:bottom w:val="none" w:sz="0" w:space="0" w:color="auto"/>
            <w:right w:val="none" w:sz="0" w:space="0" w:color="auto"/>
          </w:divBdr>
          <w:divsChild>
            <w:div w:id="1079715125">
              <w:marLeft w:val="0"/>
              <w:marRight w:val="0"/>
              <w:marTop w:val="0"/>
              <w:marBottom w:val="0"/>
              <w:divBdr>
                <w:top w:val="none" w:sz="0" w:space="0" w:color="auto"/>
                <w:left w:val="none" w:sz="0" w:space="0" w:color="auto"/>
                <w:bottom w:val="none" w:sz="0" w:space="0" w:color="auto"/>
                <w:right w:val="none" w:sz="0" w:space="0" w:color="auto"/>
              </w:divBdr>
            </w:div>
          </w:divsChild>
        </w:div>
        <w:div w:id="1915119080">
          <w:marLeft w:val="0"/>
          <w:marRight w:val="0"/>
          <w:marTop w:val="0"/>
          <w:marBottom w:val="0"/>
          <w:divBdr>
            <w:top w:val="none" w:sz="0" w:space="0" w:color="auto"/>
            <w:left w:val="none" w:sz="0" w:space="0" w:color="auto"/>
            <w:bottom w:val="none" w:sz="0" w:space="0" w:color="auto"/>
            <w:right w:val="none" w:sz="0" w:space="0" w:color="auto"/>
          </w:divBdr>
          <w:divsChild>
            <w:div w:id="1515730991">
              <w:marLeft w:val="0"/>
              <w:marRight w:val="0"/>
              <w:marTop w:val="0"/>
              <w:marBottom w:val="0"/>
              <w:divBdr>
                <w:top w:val="none" w:sz="0" w:space="0" w:color="auto"/>
                <w:left w:val="none" w:sz="0" w:space="0" w:color="auto"/>
                <w:bottom w:val="none" w:sz="0" w:space="0" w:color="auto"/>
                <w:right w:val="none" w:sz="0" w:space="0" w:color="auto"/>
              </w:divBdr>
            </w:div>
          </w:divsChild>
        </w:div>
        <w:div w:id="1935434088">
          <w:marLeft w:val="0"/>
          <w:marRight w:val="0"/>
          <w:marTop w:val="0"/>
          <w:marBottom w:val="0"/>
          <w:divBdr>
            <w:top w:val="none" w:sz="0" w:space="0" w:color="auto"/>
            <w:left w:val="none" w:sz="0" w:space="0" w:color="auto"/>
            <w:bottom w:val="none" w:sz="0" w:space="0" w:color="auto"/>
            <w:right w:val="none" w:sz="0" w:space="0" w:color="auto"/>
          </w:divBdr>
          <w:divsChild>
            <w:div w:id="1571771511">
              <w:marLeft w:val="0"/>
              <w:marRight w:val="0"/>
              <w:marTop w:val="0"/>
              <w:marBottom w:val="0"/>
              <w:divBdr>
                <w:top w:val="none" w:sz="0" w:space="0" w:color="auto"/>
                <w:left w:val="none" w:sz="0" w:space="0" w:color="auto"/>
                <w:bottom w:val="none" w:sz="0" w:space="0" w:color="auto"/>
                <w:right w:val="none" w:sz="0" w:space="0" w:color="auto"/>
              </w:divBdr>
            </w:div>
          </w:divsChild>
        </w:div>
        <w:div w:id="1967589544">
          <w:marLeft w:val="0"/>
          <w:marRight w:val="0"/>
          <w:marTop w:val="0"/>
          <w:marBottom w:val="0"/>
          <w:divBdr>
            <w:top w:val="none" w:sz="0" w:space="0" w:color="auto"/>
            <w:left w:val="none" w:sz="0" w:space="0" w:color="auto"/>
            <w:bottom w:val="none" w:sz="0" w:space="0" w:color="auto"/>
            <w:right w:val="none" w:sz="0" w:space="0" w:color="auto"/>
          </w:divBdr>
          <w:divsChild>
            <w:div w:id="973754380">
              <w:marLeft w:val="0"/>
              <w:marRight w:val="0"/>
              <w:marTop w:val="0"/>
              <w:marBottom w:val="0"/>
              <w:divBdr>
                <w:top w:val="none" w:sz="0" w:space="0" w:color="auto"/>
                <w:left w:val="none" w:sz="0" w:space="0" w:color="auto"/>
                <w:bottom w:val="none" w:sz="0" w:space="0" w:color="auto"/>
                <w:right w:val="none" w:sz="0" w:space="0" w:color="auto"/>
              </w:divBdr>
            </w:div>
          </w:divsChild>
        </w:div>
        <w:div w:id="2004503861">
          <w:marLeft w:val="0"/>
          <w:marRight w:val="0"/>
          <w:marTop w:val="0"/>
          <w:marBottom w:val="0"/>
          <w:divBdr>
            <w:top w:val="none" w:sz="0" w:space="0" w:color="auto"/>
            <w:left w:val="none" w:sz="0" w:space="0" w:color="auto"/>
            <w:bottom w:val="none" w:sz="0" w:space="0" w:color="auto"/>
            <w:right w:val="none" w:sz="0" w:space="0" w:color="auto"/>
          </w:divBdr>
          <w:divsChild>
            <w:div w:id="228271577">
              <w:marLeft w:val="0"/>
              <w:marRight w:val="0"/>
              <w:marTop w:val="0"/>
              <w:marBottom w:val="0"/>
              <w:divBdr>
                <w:top w:val="none" w:sz="0" w:space="0" w:color="auto"/>
                <w:left w:val="none" w:sz="0" w:space="0" w:color="auto"/>
                <w:bottom w:val="none" w:sz="0" w:space="0" w:color="auto"/>
                <w:right w:val="none" w:sz="0" w:space="0" w:color="auto"/>
              </w:divBdr>
            </w:div>
          </w:divsChild>
        </w:div>
        <w:div w:id="2035616537">
          <w:marLeft w:val="0"/>
          <w:marRight w:val="0"/>
          <w:marTop w:val="0"/>
          <w:marBottom w:val="0"/>
          <w:divBdr>
            <w:top w:val="none" w:sz="0" w:space="0" w:color="auto"/>
            <w:left w:val="none" w:sz="0" w:space="0" w:color="auto"/>
            <w:bottom w:val="none" w:sz="0" w:space="0" w:color="auto"/>
            <w:right w:val="none" w:sz="0" w:space="0" w:color="auto"/>
          </w:divBdr>
          <w:divsChild>
            <w:div w:id="2127307364">
              <w:marLeft w:val="0"/>
              <w:marRight w:val="0"/>
              <w:marTop w:val="0"/>
              <w:marBottom w:val="0"/>
              <w:divBdr>
                <w:top w:val="none" w:sz="0" w:space="0" w:color="auto"/>
                <w:left w:val="none" w:sz="0" w:space="0" w:color="auto"/>
                <w:bottom w:val="none" w:sz="0" w:space="0" w:color="auto"/>
                <w:right w:val="none" w:sz="0" w:space="0" w:color="auto"/>
              </w:divBdr>
            </w:div>
          </w:divsChild>
        </w:div>
        <w:div w:id="2088845307">
          <w:marLeft w:val="0"/>
          <w:marRight w:val="0"/>
          <w:marTop w:val="0"/>
          <w:marBottom w:val="0"/>
          <w:divBdr>
            <w:top w:val="none" w:sz="0" w:space="0" w:color="auto"/>
            <w:left w:val="none" w:sz="0" w:space="0" w:color="auto"/>
            <w:bottom w:val="none" w:sz="0" w:space="0" w:color="auto"/>
            <w:right w:val="none" w:sz="0" w:space="0" w:color="auto"/>
          </w:divBdr>
          <w:divsChild>
            <w:div w:id="372923271">
              <w:marLeft w:val="0"/>
              <w:marRight w:val="0"/>
              <w:marTop w:val="0"/>
              <w:marBottom w:val="0"/>
              <w:divBdr>
                <w:top w:val="none" w:sz="0" w:space="0" w:color="auto"/>
                <w:left w:val="none" w:sz="0" w:space="0" w:color="auto"/>
                <w:bottom w:val="none" w:sz="0" w:space="0" w:color="auto"/>
                <w:right w:val="none" w:sz="0" w:space="0" w:color="auto"/>
              </w:divBdr>
            </w:div>
          </w:divsChild>
        </w:div>
        <w:div w:id="2090231134">
          <w:marLeft w:val="0"/>
          <w:marRight w:val="0"/>
          <w:marTop w:val="0"/>
          <w:marBottom w:val="0"/>
          <w:divBdr>
            <w:top w:val="none" w:sz="0" w:space="0" w:color="auto"/>
            <w:left w:val="none" w:sz="0" w:space="0" w:color="auto"/>
            <w:bottom w:val="none" w:sz="0" w:space="0" w:color="auto"/>
            <w:right w:val="none" w:sz="0" w:space="0" w:color="auto"/>
          </w:divBdr>
          <w:divsChild>
            <w:div w:id="332999019">
              <w:marLeft w:val="0"/>
              <w:marRight w:val="0"/>
              <w:marTop w:val="0"/>
              <w:marBottom w:val="0"/>
              <w:divBdr>
                <w:top w:val="none" w:sz="0" w:space="0" w:color="auto"/>
                <w:left w:val="none" w:sz="0" w:space="0" w:color="auto"/>
                <w:bottom w:val="none" w:sz="0" w:space="0" w:color="auto"/>
                <w:right w:val="none" w:sz="0" w:space="0" w:color="auto"/>
              </w:divBdr>
            </w:div>
          </w:divsChild>
        </w:div>
        <w:div w:id="2090349336">
          <w:marLeft w:val="0"/>
          <w:marRight w:val="0"/>
          <w:marTop w:val="0"/>
          <w:marBottom w:val="0"/>
          <w:divBdr>
            <w:top w:val="none" w:sz="0" w:space="0" w:color="auto"/>
            <w:left w:val="none" w:sz="0" w:space="0" w:color="auto"/>
            <w:bottom w:val="none" w:sz="0" w:space="0" w:color="auto"/>
            <w:right w:val="none" w:sz="0" w:space="0" w:color="auto"/>
          </w:divBdr>
          <w:divsChild>
            <w:div w:id="1143887217">
              <w:marLeft w:val="0"/>
              <w:marRight w:val="0"/>
              <w:marTop w:val="0"/>
              <w:marBottom w:val="0"/>
              <w:divBdr>
                <w:top w:val="none" w:sz="0" w:space="0" w:color="auto"/>
                <w:left w:val="none" w:sz="0" w:space="0" w:color="auto"/>
                <w:bottom w:val="none" w:sz="0" w:space="0" w:color="auto"/>
                <w:right w:val="none" w:sz="0" w:space="0" w:color="auto"/>
              </w:divBdr>
            </w:div>
          </w:divsChild>
        </w:div>
        <w:div w:id="2096785227">
          <w:marLeft w:val="0"/>
          <w:marRight w:val="0"/>
          <w:marTop w:val="0"/>
          <w:marBottom w:val="0"/>
          <w:divBdr>
            <w:top w:val="none" w:sz="0" w:space="0" w:color="auto"/>
            <w:left w:val="none" w:sz="0" w:space="0" w:color="auto"/>
            <w:bottom w:val="none" w:sz="0" w:space="0" w:color="auto"/>
            <w:right w:val="none" w:sz="0" w:space="0" w:color="auto"/>
          </w:divBdr>
          <w:divsChild>
            <w:div w:id="983854701">
              <w:marLeft w:val="0"/>
              <w:marRight w:val="0"/>
              <w:marTop w:val="0"/>
              <w:marBottom w:val="0"/>
              <w:divBdr>
                <w:top w:val="none" w:sz="0" w:space="0" w:color="auto"/>
                <w:left w:val="none" w:sz="0" w:space="0" w:color="auto"/>
                <w:bottom w:val="none" w:sz="0" w:space="0" w:color="auto"/>
                <w:right w:val="none" w:sz="0" w:space="0" w:color="auto"/>
              </w:divBdr>
            </w:div>
          </w:divsChild>
        </w:div>
        <w:div w:id="2108387125">
          <w:marLeft w:val="0"/>
          <w:marRight w:val="0"/>
          <w:marTop w:val="0"/>
          <w:marBottom w:val="0"/>
          <w:divBdr>
            <w:top w:val="none" w:sz="0" w:space="0" w:color="auto"/>
            <w:left w:val="none" w:sz="0" w:space="0" w:color="auto"/>
            <w:bottom w:val="none" w:sz="0" w:space="0" w:color="auto"/>
            <w:right w:val="none" w:sz="0" w:space="0" w:color="auto"/>
          </w:divBdr>
          <w:divsChild>
            <w:div w:id="242108651">
              <w:marLeft w:val="0"/>
              <w:marRight w:val="0"/>
              <w:marTop w:val="0"/>
              <w:marBottom w:val="0"/>
              <w:divBdr>
                <w:top w:val="none" w:sz="0" w:space="0" w:color="auto"/>
                <w:left w:val="none" w:sz="0" w:space="0" w:color="auto"/>
                <w:bottom w:val="none" w:sz="0" w:space="0" w:color="auto"/>
                <w:right w:val="none" w:sz="0" w:space="0" w:color="auto"/>
              </w:divBdr>
            </w:div>
          </w:divsChild>
        </w:div>
        <w:div w:id="2130003519">
          <w:marLeft w:val="0"/>
          <w:marRight w:val="0"/>
          <w:marTop w:val="0"/>
          <w:marBottom w:val="0"/>
          <w:divBdr>
            <w:top w:val="none" w:sz="0" w:space="0" w:color="auto"/>
            <w:left w:val="none" w:sz="0" w:space="0" w:color="auto"/>
            <w:bottom w:val="none" w:sz="0" w:space="0" w:color="auto"/>
            <w:right w:val="none" w:sz="0" w:space="0" w:color="auto"/>
          </w:divBdr>
          <w:divsChild>
            <w:div w:id="19352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7751">
      <w:bodyDiv w:val="1"/>
      <w:marLeft w:val="0"/>
      <w:marRight w:val="0"/>
      <w:marTop w:val="0"/>
      <w:marBottom w:val="0"/>
      <w:divBdr>
        <w:top w:val="none" w:sz="0" w:space="0" w:color="auto"/>
        <w:left w:val="none" w:sz="0" w:space="0" w:color="auto"/>
        <w:bottom w:val="none" w:sz="0" w:space="0" w:color="auto"/>
        <w:right w:val="none" w:sz="0" w:space="0" w:color="auto"/>
      </w:divBdr>
    </w:div>
    <w:div w:id="480660539">
      <w:bodyDiv w:val="1"/>
      <w:marLeft w:val="0"/>
      <w:marRight w:val="0"/>
      <w:marTop w:val="0"/>
      <w:marBottom w:val="0"/>
      <w:divBdr>
        <w:top w:val="none" w:sz="0" w:space="0" w:color="auto"/>
        <w:left w:val="none" w:sz="0" w:space="0" w:color="auto"/>
        <w:bottom w:val="none" w:sz="0" w:space="0" w:color="auto"/>
        <w:right w:val="none" w:sz="0" w:space="0" w:color="auto"/>
      </w:divBdr>
    </w:div>
    <w:div w:id="484126886">
      <w:bodyDiv w:val="1"/>
      <w:marLeft w:val="0"/>
      <w:marRight w:val="0"/>
      <w:marTop w:val="0"/>
      <w:marBottom w:val="0"/>
      <w:divBdr>
        <w:top w:val="none" w:sz="0" w:space="0" w:color="auto"/>
        <w:left w:val="none" w:sz="0" w:space="0" w:color="auto"/>
        <w:bottom w:val="none" w:sz="0" w:space="0" w:color="auto"/>
        <w:right w:val="none" w:sz="0" w:space="0" w:color="auto"/>
      </w:divBdr>
    </w:div>
    <w:div w:id="507670965">
      <w:bodyDiv w:val="1"/>
      <w:marLeft w:val="0"/>
      <w:marRight w:val="0"/>
      <w:marTop w:val="0"/>
      <w:marBottom w:val="0"/>
      <w:divBdr>
        <w:top w:val="none" w:sz="0" w:space="0" w:color="auto"/>
        <w:left w:val="none" w:sz="0" w:space="0" w:color="auto"/>
        <w:bottom w:val="none" w:sz="0" w:space="0" w:color="auto"/>
        <w:right w:val="none" w:sz="0" w:space="0" w:color="auto"/>
      </w:divBdr>
      <w:divsChild>
        <w:div w:id="744381757">
          <w:marLeft w:val="0"/>
          <w:marRight w:val="0"/>
          <w:marTop w:val="0"/>
          <w:marBottom w:val="0"/>
          <w:divBdr>
            <w:top w:val="none" w:sz="0" w:space="0" w:color="auto"/>
            <w:left w:val="none" w:sz="0" w:space="0" w:color="auto"/>
            <w:bottom w:val="none" w:sz="0" w:space="0" w:color="auto"/>
            <w:right w:val="none" w:sz="0" w:space="0" w:color="auto"/>
          </w:divBdr>
          <w:divsChild>
            <w:div w:id="57366048">
              <w:marLeft w:val="0"/>
              <w:marRight w:val="0"/>
              <w:marTop w:val="0"/>
              <w:marBottom w:val="0"/>
              <w:divBdr>
                <w:top w:val="none" w:sz="0" w:space="0" w:color="auto"/>
                <w:left w:val="none" w:sz="0" w:space="0" w:color="auto"/>
                <w:bottom w:val="none" w:sz="0" w:space="0" w:color="auto"/>
                <w:right w:val="none" w:sz="0" w:space="0" w:color="auto"/>
              </w:divBdr>
            </w:div>
            <w:div w:id="217936214">
              <w:marLeft w:val="0"/>
              <w:marRight w:val="0"/>
              <w:marTop w:val="0"/>
              <w:marBottom w:val="0"/>
              <w:divBdr>
                <w:top w:val="none" w:sz="0" w:space="0" w:color="auto"/>
                <w:left w:val="none" w:sz="0" w:space="0" w:color="auto"/>
                <w:bottom w:val="none" w:sz="0" w:space="0" w:color="auto"/>
                <w:right w:val="none" w:sz="0" w:space="0" w:color="auto"/>
              </w:divBdr>
            </w:div>
            <w:div w:id="389111018">
              <w:marLeft w:val="0"/>
              <w:marRight w:val="0"/>
              <w:marTop w:val="0"/>
              <w:marBottom w:val="0"/>
              <w:divBdr>
                <w:top w:val="none" w:sz="0" w:space="0" w:color="auto"/>
                <w:left w:val="none" w:sz="0" w:space="0" w:color="auto"/>
                <w:bottom w:val="none" w:sz="0" w:space="0" w:color="auto"/>
                <w:right w:val="none" w:sz="0" w:space="0" w:color="auto"/>
              </w:divBdr>
            </w:div>
            <w:div w:id="464585059">
              <w:marLeft w:val="0"/>
              <w:marRight w:val="0"/>
              <w:marTop w:val="0"/>
              <w:marBottom w:val="0"/>
              <w:divBdr>
                <w:top w:val="none" w:sz="0" w:space="0" w:color="auto"/>
                <w:left w:val="none" w:sz="0" w:space="0" w:color="auto"/>
                <w:bottom w:val="none" w:sz="0" w:space="0" w:color="auto"/>
                <w:right w:val="none" w:sz="0" w:space="0" w:color="auto"/>
              </w:divBdr>
            </w:div>
            <w:div w:id="513957949">
              <w:marLeft w:val="0"/>
              <w:marRight w:val="0"/>
              <w:marTop w:val="0"/>
              <w:marBottom w:val="0"/>
              <w:divBdr>
                <w:top w:val="none" w:sz="0" w:space="0" w:color="auto"/>
                <w:left w:val="none" w:sz="0" w:space="0" w:color="auto"/>
                <w:bottom w:val="none" w:sz="0" w:space="0" w:color="auto"/>
                <w:right w:val="none" w:sz="0" w:space="0" w:color="auto"/>
              </w:divBdr>
            </w:div>
            <w:div w:id="1010255839">
              <w:marLeft w:val="0"/>
              <w:marRight w:val="0"/>
              <w:marTop w:val="0"/>
              <w:marBottom w:val="0"/>
              <w:divBdr>
                <w:top w:val="none" w:sz="0" w:space="0" w:color="auto"/>
                <w:left w:val="none" w:sz="0" w:space="0" w:color="auto"/>
                <w:bottom w:val="none" w:sz="0" w:space="0" w:color="auto"/>
                <w:right w:val="none" w:sz="0" w:space="0" w:color="auto"/>
              </w:divBdr>
            </w:div>
            <w:div w:id="1125850653">
              <w:marLeft w:val="0"/>
              <w:marRight w:val="0"/>
              <w:marTop w:val="0"/>
              <w:marBottom w:val="0"/>
              <w:divBdr>
                <w:top w:val="none" w:sz="0" w:space="0" w:color="auto"/>
                <w:left w:val="none" w:sz="0" w:space="0" w:color="auto"/>
                <w:bottom w:val="none" w:sz="0" w:space="0" w:color="auto"/>
                <w:right w:val="none" w:sz="0" w:space="0" w:color="auto"/>
              </w:divBdr>
            </w:div>
            <w:div w:id="1193684320">
              <w:marLeft w:val="0"/>
              <w:marRight w:val="0"/>
              <w:marTop w:val="0"/>
              <w:marBottom w:val="0"/>
              <w:divBdr>
                <w:top w:val="none" w:sz="0" w:space="0" w:color="auto"/>
                <w:left w:val="none" w:sz="0" w:space="0" w:color="auto"/>
                <w:bottom w:val="none" w:sz="0" w:space="0" w:color="auto"/>
                <w:right w:val="none" w:sz="0" w:space="0" w:color="auto"/>
              </w:divBdr>
            </w:div>
          </w:divsChild>
        </w:div>
        <w:div w:id="1221941171">
          <w:marLeft w:val="0"/>
          <w:marRight w:val="0"/>
          <w:marTop w:val="0"/>
          <w:marBottom w:val="0"/>
          <w:divBdr>
            <w:top w:val="none" w:sz="0" w:space="0" w:color="auto"/>
            <w:left w:val="none" w:sz="0" w:space="0" w:color="auto"/>
            <w:bottom w:val="none" w:sz="0" w:space="0" w:color="auto"/>
            <w:right w:val="none" w:sz="0" w:space="0" w:color="auto"/>
          </w:divBdr>
          <w:divsChild>
            <w:div w:id="228997245">
              <w:marLeft w:val="0"/>
              <w:marRight w:val="0"/>
              <w:marTop w:val="0"/>
              <w:marBottom w:val="0"/>
              <w:divBdr>
                <w:top w:val="none" w:sz="0" w:space="0" w:color="auto"/>
                <w:left w:val="none" w:sz="0" w:space="0" w:color="auto"/>
                <w:bottom w:val="none" w:sz="0" w:space="0" w:color="auto"/>
                <w:right w:val="none" w:sz="0" w:space="0" w:color="auto"/>
              </w:divBdr>
            </w:div>
            <w:div w:id="316611841">
              <w:marLeft w:val="0"/>
              <w:marRight w:val="0"/>
              <w:marTop w:val="0"/>
              <w:marBottom w:val="0"/>
              <w:divBdr>
                <w:top w:val="none" w:sz="0" w:space="0" w:color="auto"/>
                <w:left w:val="none" w:sz="0" w:space="0" w:color="auto"/>
                <w:bottom w:val="none" w:sz="0" w:space="0" w:color="auto"/>
                <w:right w:val="none" w:sz="0" w:space="0" w:color="auto"/>
              </w:divBdr>
            </w:div>
            <w:div w:id="561140221">
              <w:marLeft w:val="0"/>
              <w:marRight w:val="0"/>
              <w:marTop w:val="0"/>
              <w:marBottom w:val="0"/>
              <w:divBdr>
                <w:top w:val="none" w:sz="0" w:space="0" w:color="auto"/>
                <w:left w:val="none" w:sz="0" w:space="0" w:color="auto"/>
                <w:bottom w:val="none" w:sz="0" w:space="0" w:color="auto"/>
                <w:right w:val="none" w:sz="0" w:space="0" w:color="auto"/>
              </w:divBdr>
            </w:div>
            <w:div w:id="793014358">
              <w:marLeft w:val="0"/>
              <w:marRight w:val="0"/>
              <w:marTop w:val="0"/>
              <w:marBottom w:val="0"/>
              <w:divBdr>
                <w:top w:val="none" w:sz="0" w:space="0" w:color="auto"/>
                <w:left w:val="none" w:sz="0" w:space="0" w:color="auto"/>
                <w:bottom w:val="none" w:sz="0" w:space="0" w:color="auto"/>
                <w:right w:val="none" w:sz="0" w:space="0" w:color="auto"/>
              </w:divBdr>
            </w:div>
            <w:div w:id="1108818405">
              <w:marLeft w:val="0"/>
              <w:marRight w:val="0"/>
              <w:marTop w:val="0"/>
              <w:marBottom w:val="0"/>
              <w:divBdr>
                <w:top w:val="none" w:sz="0" w:space="0" w:color="auto"/>
                <w:left w:val="none" w:sz="0" w:space="0" w:color="auto"/>
                <w:bottom w:val="none" w:sz="0" w:space="0" w:color="auto"/>
                <w:right w:val="none" w:sz="0" w:space="0" w:color="auto"/>
              </w:divBdr>
            </w:div>
            <w:div w:id="1625772316">
              <w:marLeft w:val="0"/>
              <w:marRight w:val="0"/>
              <w:marTop w:val="0"/>
              <w:marBottom w:val="0"/>
              <w:divBdr>
                <w:top w:val="none" w:sz="0" w:space="0" w:color="auto"/>
                <w:left w:val="none" w:sz="0" w:space="0" w:color="auto"/>
                <w:bottom w:val="none" w:sz="0" w:space="0" w:color="auto"/>
                <w:right w:val="none" w:sz="0" w:space="0" w:color="auto"/>
              </w:divBdr>
            </w:div>
            <w:div w:id="1655140052">
              <w:marLeft w:val="0"/>
              <w:marRight w:val="0"/>
              <w:marTop w:val="0"/>
              <w:marBottom w:val="0"/>
              <w:divBdr>
                <w:top w:val="none" w:sz="0" w:space="0" w:color="auto"/>
                <w:left w:val="none" w:sz="0" w:space="0" w:color="auto"/>
                <w:bottom w:val="none" w:sz="0" w:space="0" w:color="auto"/>
                <w:right w:val="none" w:sz="0" w:space="0" w:color="auto"/>
              </w:divBdr>
            </w:div>
            <w:div w:id="1963072985">
              <w:marLeft w:val="0"/>
              <w:marRight w:val="0"/>
              <w:marTop w:val="0"/>
              <w:marBottom w:val="0"/>
              <w:divBdr>
                <w:top w:val="none" w:sz="0" w:space="0" w:color="auto"/>
                <w:left w:val="none" w:sz="0" w:space="0" w:color="auto"/>
                <w:bottom w:val="none" w:sz="0" w:space="0" w:color="auto"/>
                <w:right w:val="none" w:sz="0" w:space="0" w:color="auto"/>
              </w:divBdr>
            </w:div>
            <w:div w:id="2028363215">
              <w:marLeft w:val="0"/>
              <w:marRight w:val="0"/>
              <w:marTop w:val="0"/>
              <w:marBottom w:val="0"/>
              <w:divBdr>
                <w:top w:val="none" w:sz="0" w:space="0" w:color="auto"/>
                <w:left w:val="none" w:sz="0" w:space="0" w:color="auto"/>
                <w:bottom w:val="none" w:sz="0" w:space="0" w:color="auto"/>
                <w:right w:val="none" w:sz="0" w:space="0" w:color="auto"/>
              </w:divBdr>
            </w:div>
            <w:div w:id="207974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09888">
      <w:bodyDiv w:val="1"/>
      <w:marLeft w:val="0"/>
      <w:marRight w:val="0"/>
      <w:marTop w:val="0"/>
      <w:marBottom w:val="0"/>
      <w:divBdr>
        <w:top w:val="none" w:sz="0" w:space="0" w:color="auto"/>
        <w:left w:val="none" w:sz="0" w:space="0" w:color="auto"/>
        <w:bottom w:val="none" w:sz="0" w:space="0" w:color="auto"/>
        <w:right w:val="none" w:sz="0" w:space="0" w:color="auto"/>
      </w:divBdr>
    </w:div>
    <w:div w:id="517543667">
      <w:bodyDiv w:val="1"/>
      <w:marLeft w:val="0"/>
      <w:marRight w:val="0"/>
      <w:marTop w:val="0"/>
      <w:marBottom w:val="0"/>
      <w:divBdr>
        <w:top w:val="none" w:sz="0" w:space="0" w:color="auto"/>
        <w:left w:val="none" w:sz="0" w:space="0" w:color="auto"/>
        <w:bottom w:val="none" w:sz="0" w:space="0" w:color="auto"/>
        <w:right w:val="none" w:sz="0" w:space="0" w:color="auto"/>
      </w:divBdr>
      <w:divsChild>
        <w:div w:id="452945679">
          <w:marLeft w:val="0"/>
          <w:marRight w:val="0"/>
          <w:marTop w:val="0"/>
          <w:marBottom w:val="0"/>
          <w:divBdr>
            <w:top w:val="none" w:sz="0" w:space="0" w:color="auto"/>
            <w:left w:val="none" w:sz="0" w:space="0" w:color="auto"/>
            <w:bottom w:val="none" w:sz="0" w:space="0" w:color="auto"/>
            <w:right w:val="none" w:sz="0" w:space="0" w:color="auto"/>
          </w:divBdr>
          <w:divsChild>
            <w:div w:id="355472256">
              <w:marLeft w:val="-75"/>
              <w:marRight w:val="0"/>
              <w:marTop w:val="30"/>
              <w:marBottom w:val="30"/>
              <w:divBdr>
                <w:top w:val="none" w:sz="0" w:space="0" w:color="auto"/>
                <w:left w:val="none" w:sz="0" w:space="0" w:color="auto"/>
                <w:bottom w:val="none" w:sz="0" w:space="0" w:color="auto"/>
                <w:right w:val="none" w:sz="0" w:space="0" w:color="auto"/>
              </w:divBdr>
              <w:divsChild>
                <w:div w:id="8609092">
                  <w:marLeft w:val="0"/>
                  <w:marRight w:val="0"/>
                  <w:marTop w:val="0"/>
                  <w:marBottom w:val="0"/>
                  <w:divBdr>
                    <w:top w:val="none" w:sz="0" w:space="0" w:color="auto"/>
                    <w:left w:val="none" w:sz="0" w:space="0" w:color="auto"/>
                    <w:bottom w:val="none" w:sz="0" w:space="0" w:color="auto"/>
                    <w:right w:val="none" w:sz="0" w:space="0" w:color="auto"/>
                  </w:divBdr>
                  <w:divsChild>
                    <w:div w:id="1828782904">
                      <w:marLeft w:val="0"/>
                      <w:marRight w:val="0"/>
                      <w:marTop w:val="0"/>
                      <w:marBottom w:val="0"/>
                      <w:divBdr>
                        <w:top w:val="none" w:sz="0" w:space="0" w:color="auto"/>
                        <w:left w:val="none" w:sz="0" w:space="0" w:color="auto"/>
                        <w:bottom w:val="none" w:sz="0" w:space="0" w:color="auto"/>
                        <w:right w:val="none" w:sz="0" w:space="0" w:color="auto"/>
                      </w:divBdr>
                    </w:div>
                  </w:divsChild>
                </w:div>
                <w:div w:id="15035981">
                  <w:marLeft w:val="0"/>
                  <w:marRight w:val="0"/>
                  <w:marTop w:val="0"/>
                  <w:marBottom w:val="0"/>
                  <w:divBdr>
                    <w:top w:val="none" w:sz="0" w:space="0" w:color="auto"/>
                    <w:left w:val="none" w:sz="0" w:space="0" w:color="auto"/>
                    <w:bottom w:val="none" w:sz="0" w:space="0" w:color="auto"/>
                    <w:right w:val="none" w:sz="0" w:space="0" w:color="auto"/>
                  </w:divBdr>
                  <w:divsChild>
                    <w:div w:id="2049141490">
                      <w:marLeft w:val="0"/>
                      <w:marRight w:val="0"/>
                      <w:marTop w:val="0"/>
                      <w:marBottom w:val="0"/>
                      <w:divBdr>
                        <w:top w:val="none" w:sz="0" w:space="0" w:color="auto"/>
                        <w:left w:val="none" w:sz="0" w:space="0" w:color="auto"/>
                        <w:bottom w:val="none" w:sz="0" w:space="0" w:color="auto"/>
                        <w:right w:val="none" w:sz="0" w:space="0" w:color="auto"/>
                      </w:divBdr>
                    </w:div>
                  </w:divsChild>
                </w:div>
                <w:div w:id="21441675">
                  <w:marLeft w:val="0"/>
                  <w:marRight w:val="0"/>
                  <w:marTop w:val="0"/>
                  <w:marBottom w:val="0"/>
                  <w:divBdr>
                    <w:top w:val="none" w:sz="0" w:space="0" w:color="auto"/>
                    <w:left w:val="none" w:sz="0" w:space="0" w:color="auto"/>
                    <w:bottom w:val="none" w:sz="0" w:space="0" w:color="auto"/>
                    <w:right w:val="none" w:sz="0" w:space="0" w:color="auto"/>
                  </w:divBdr>
                  <w:divsChild>
                    <w:div w:id="352803676">
                      <w:marLeft w:val="0"/>
                      <w:marRight w:val="0"/>
                      <w:marTop w:val="0"/>
                      <w:marBottom w:val="0"/>
                      <w:divBdr>
                        <w:top w:val="none" w:sz="0" w:space="0" w:color="auto"/>
                        <w:left w:val="none" w:sz="0" w:space="0" w:color="auto"/>
                        <w:bottom w:val="none" w:sz="0" w:space="0" w:color="auto"/>
                        <w:right w:val="none" w:sz="0" w:space="0" w:color="auto"/>
                      </w:divBdr>
                    </w:div>
                  </w:divsChild>
                </w:div>
                <w:div w:id="26879716">
                  <w:marLeft w:val="0"/>
                  <w:marRight w:val="0"/>
                  <w:marTop w:val="0"/>
                  <w:marBottom w:val="0"/>
                  <w:divBdr>
                    <w:top w:val="none" w:sz="0" w:space="0" w:color="auto"/>
                    <w:left w:val="none" w:sz="0" w:space="0" w:color="auto"/>
                    <w:bottom w:val="none" w:sz="0" w:space="0" w:color="auto"/>
                    <w:right w:val="none" w:sz="0" w:space="0" w:color="auto"/>
                  </w:divBdr>
                  <w:divsChild>
                    <w:div w:id="281500925">
                      <w:marLeft w:val="0"/>
                      <w:marRight w:val="0"/>
                      <w:marTop w:val="0"/>
                      <w:marBottom w:val="0"/>
                      <w:divBdr>
                        <w:top w:val="none" w:sz="0" w:space="0" w:color="auto"/>
                        <w:left w:val="none" w:sz="0" w:space="0" w:color="auto"/>
                        <w:bottom w:val="none" w:sz="0" w:space="0" w:color="auto"/>
                        <w:right w:val="none" w:sz="0" w:space="0" w:color="auto"/>
                      </w:divBdr>
                    </w:div>
                  </w:divsChild>
                </w:div>
                <w:div w:id="38094969">
                  <w:marLeft w:val="0"/>
                  <w:marRight w:val="0"/>
                  <w:marTop w:val="0"/>
                  <w:marBottom w:val="0"/>
                  <w:divBdr>
                    <w:top w:val="none" w:sz="0" w:space="0" w:color="auto"/>
                    <w:left w:val="none" w:sz="0" w:space="0" w:color="auto"/>
                    <w:bottom w:val="none" w:sz="0" w:space="0" w:color="auto"/>
                    <w:right w:val="none" w:sz="0" w:space="0" w:color="auto"/>
                  </w:divBdr>
                  <w:divsChild>
                    <w:div w:id="1271932610">
                      <w:marLeft w:val="0"/>
                      <w:marRight w:val="0"/>
                      <w:marTop w:val="0"/>
                      <w:marBottom w:val="0"/>
                      <w:divBdr>
                        <w:top w:val="none" w:sz="0" w:space="0" w:color="auto"/>
                        <w:left w:val="none" w:sz="0" w:space="0" w:color="auto"/>
                        <w:bottom w:val="none" w:sz="0" w:space="0" w:color="auto"/>
                        <w:right w:val="none" w:sz="0" w:space="0" w:color="auto"/>
                      </w:divBdr>
                    </w:div>
                  </w:divsChild>
                </w:div>
                <w:div w:id="64380624">
                  <w:marLeft w:val="0"/>
                  <w:marRight w:val="0"/>
                  <w:marTop w:val="0"/>
                  <w:marBottom w:val="0"/>
                  <w:divBdr>
                    <w:top w:val="none" w:sz="0" w:space="0" w:color="auto"/>
                    <w:left w:val="none" w:sz="0" w:space="0" w:color="auto"/>
                    <w:bottom w:val="none" w:sz="0" w:space="0" w:color="auto"/>
                    <w:right w:val="none" w:sz="0" w:space="0" w:color="auto"/>
                  </w:divBdr>
                  <w:divsChild>
                    <w:div w:id="1118989783">
                      <w:marLeft w:val="0"/>
                      <w:marRight w:val="0"/>
                      <w:marTop w:val="0"/>
                      <w:marBottom w:val="0"/>
                      <w:divBdr>
                        <w:top w:val="none" w:sz="0" w:space="0" w:color="auto"/>
                        <w:left w:val="none" w:sz="0" w:space="0" w:color="auto"/>
                        <w:bottom w:val="none" w:sz="0" w:space="0" w:color="auto"/>
                        <w:right w:val="none" w:sz="0" w:space="0" w:color="auto"/>
                      </w:divBdr>
                    </w:div>
                  </w:divsChild>
                </w:div>
                <w:div w:id="68113520">
                  <w:marLeft w:val="0"/>
                  <w:marRight w:val="0"/>
                  <w:marTop w:val="0"/>
                  <w:marBottom w:val="0"/>
                  <w:divBdr>
                    <w:top w:val="none" w:sz="0" w:space="0" w:color="auto"/>
                    <w:left w:val="none" w:sz="0" w:space="0" w:color="auto"/>
                    <w:bottom w:val="none" w:sz="0" w:space="0" w:color="auto"/>
                    <w:right w:val="none" w:sz="0" w:space="0" w:color="auto"/>
                  </w:divBdr>
                  <w:divsChild>
                    <w:div w:id="385026993">
                      <w:marLeft w:val="0"/>
                      <w:marRight w:val="0"/>
                      <w:marTop w:val="0"/>
                      <w:marBottom w:val="0"/>
                      <w:divBdr>
                        <w:top w:val="none" w:sz="0" w:space="0" w:color="auto"/>
                        <w:left w:val="none" w:sz="0" w:space="0" w:color="auto"/>
                        <w:bottom w:val="none" w:sz="0" w:space="0" w:color="auto"/>
                        <w:right w:val="none" w:sz="0" w:space="0" w:color="auto"/>
                      </w:divBdr>
                    </w:div>
                  </w:divsChild>
                </w:div>
                <w:div w:id="85929445">
                  <w:marLeft w:val="0"/>
                  <w:marRight w:val="0"/>
                  <w:marTop w:val="0"/>
                  <w:marBottom w:val="0"/>
                  <w:divBdr>
                    <w:top w:val="none" w:sz="0" w:space="0" w:color="auto"/>
                    <w:left w:val="none" w:sz="0" w:space="0" w:color="auto"/>
                    <w:bottom w:val="none" w:sz="0" w:space="0" w:color="auto"/>
                    <w:right w:val="none" w:sz="0" w:space="0" w:color="auto"/>
                  </w:divBdr>
                  <w:divsChild>
                    <w:div w:id="2014528033">
                      <w:marLeft w:val="0"/>
                      <w:marRight w:val="0"/>
                      <w:marTop w:val="0"/>
                      <w:marBottom w:val="0"/>
                      <w:divBdr>
                        <w:top w:val="none" w:sz="0" w:space="0" w:color="auto"/>
                        <w:left w:val="none" w:sz="0" w:space="0" w:color="auto"/>
                        <w:bottom w:val="none" w:sz="0" w:space="0" w:color="auto"/>
                        <w:right w:val="none" w:sz="0" w:space="0" w:color="auto"/>
                      </w:divBdr>
                    </w:div>
                  </w:divsChild>
                </w:div>
                <w:div w:id="86465000">
                  <w:marLeft w:val="0"/>
                  <w:marRight w:val="0"/>
                  <w:marTop w:val="0"/>
                  <w:marBottom w:val="0"/>
                  <w:divBdr>
                    <w:top w:val="none" w:sz="0" w:space="0" w:color="auto"/>
                    <w:left w:val="none" w:sz="0" w:space="0" w:color="auto"/>
                    <w:bottom w:val="none" w:sz="0" w:space="0" w:color="auto"/>
                    <w:right w:val="none" w:sz="0" w:space="0" w:color="auto"/>
                  </w:divBdr>
                  <w:divsChild>
                    <w:div w:id="1242178432">
                      <w:marLeft w:val="0"/>
                      <w:marRight w:val="0"/>
                      <w:marTop w:val="0"/>
                      <w:marBottom w:val="0"/>
                      <w:divBdr>
                        <w:top w:val="none" w:sz="0" w:space="0" w:color="auto"/>
                        <w:left w:val="none" w:sz="0" w:space="0" w:color="auto"/>
                        <w:bottom w:val="none" w:sz="0" w:space="0" w:color="auto"/>
                        <w:right w:val="none" w:sz="0" w:space="0" w:color="auto"/>
                      </w:divBdr>
                    </w:div>
                  </w:divsChild>
                </w:div>
                <w:div w:id="87584343">
                  <w:marLeft w:val="0"/>
                  <w:marRight w:val="0"/>
                  <w:marTop w:val="0"/>
                  <w:marBottom w:val="0"/>
                  <w:divBdr>
                    <w:top w:val="none" w:sz="0" w:space="0" w:color="auto"/>
                    <w:left w:val="none" w:sz="0" w:space="0" w:color="auto"/>
                    <w:bottom w:val="none" w:sz="0" w:space="0" w:color="auto"/>
                    <w:right w:val="none" w:sz="0" w:space="0" w:color="auto"/>
                  </w:divBdr>
                  <w:divsChild>
                    <w:div w:id="436219097">
                      <w:marLeft w:val="0"/>
                      <w:marRight w:val="0"/>
                      <w:marTop w:val="0"/>
                      <w:marBottom w:val="0"/>
                      <w:divBdr>
                        <w:top w:val="none" w:sz="0" w:space="0" w:color="auto"/>
                        <w:left w:val="none" w:sz="0" w:space="0" w:color="auto"/>
                        <w:bottom w:val="none" w:sz="0" w:space="0" w:color="auto"/>
                        <w:right w:val="none" w:sz="0" w:space="0" w:color="auto"/>
                      </w:divBdr>
                    </w:div>
                  </w:divsChild>
                </w:div>
                <w:div w:id="93088019">
                  <w:marLeft w:val="0"/>
                  <w:marRight w:val="0"/>
                  <w:marTop w:val="0"/>
                  <w:marBottom w:val="0"/>
                  <w:divBdr>
                    <w:top w:val="none" w:sz="0" w:space="0" w:color="auto"/>
                    <w:left w:val="none" w:sz="0" w:space="0" w:color="auto"/>
                    <w:bottom w:val="none" w:sz="0" w:space="0" w:color="auto"/>
                    <w:right w:val="none" w:sz="0" w:space="0" w:color="auto"/>
                  </w:divBdr>
                  <w:divsChild>
                    <w:div w:id="1026977413">
                      <w:marLeft w:val="0"/>
                      <w:marRight w:val="0"/>
                      <w:marTop w:val="0"/>
                      <w:marBottom w:val="0"/>
                      <w:divBdr>
                        <w:top w:val="none" w:sz="0" w:space="0" w:color="auto"/>
                        <w:left w:val="none" w:sz="0" w:space="0" w:color="auto"/>
                        <w:bottom w:val="none" w:sz="0" w:space="0" w:color="auto"/>
                        <w:right w:val="none" w:sz="0" w:space="0" w:color="auto"/>
                      </w:divBdr>
                    </w:div>
                  </w:divsChild>
                </w:div>
                <w:div w:id="93747989">
                  <w:marLeft w:val="0"/>
                  <w:marRight w:val="0"/>
                  <w:marTop w:val="0"/>
                  <w:marBottom w:val="0"/>
                  <w:divBdr>
                    <w:top w:val="none" w:sz="0" w:space="0" w:color="auto"/>
                    <w:left w:val="none" w:sz="0" w:space="0" w:color="auto"/>
                    <w:bottom w:val="none" w:sz="0" w:space="0" w:color="auto"/>
                    <w:right w:val="none" w:sz="0" w:space="0" w:color="auto"/>
                  </w:divBdr>
                  <w:divsChild>
                    <w:div w:id="1269971979">
                      <w:marLeft w:val="0"/>
                      <w:marRight w:val="0"/>
                      <w:marTop w:val="0"/>
                      <w:marBottom w:val="0"/>
                      <w:divBdr>
                        <w:top w:val="none" w:sz="0" w:space="0" w:color="auto"/>
                        <w:left w:val="none" w:sz="0" w:space="0" w:color="auto"/>
                        <w:bottom w:val="none" w:sz="0" w:space="0" w:color="auto"/>
                        <w:right w:val="none" w:sz="0" w:space="0" w:color="auto"/>
                      </w:divBdr>
                    </w:div>
                  </w:divsChild>
                </w:div>
                <w:div w:id="96412919">
                  <w:marLeft w:val="0"/>
                  <w:marRight w:val="0"/>
                  <w:marTop w:val="0"/>
                  <w:marBottom w:val="0"/>
                  <w:divBdr>
                    <w:top w:val="none" w:sz="0" w:space="0" w:color="auto"/>
                    <w:left w:val="none" w:sz="0" w:space="0" w:color="auto"/>
                    <w:bottom w:val="none" w:sz="0" w:space="0" w:color="auto"/>
                    <w:right w:val="none" w:sz="0" w:space="0" w:color="auto"/>
                  </w:divBdr>
                  <w:divsChild>
                    <w:div w:id="674694525">
                      <w:marLeft w:val="0"/>
                      <w:marRight w:val="0"/>
                      <w:marTop w:val="0"/>
                      <w:marBottom w:val="0"/>
                      <w:divBdr>
                        <w:top w:val="none" w:sz="0" w:space="0" w:color="auto"/>
                        <w:left w:val="none" w:sz="0" w:space="0" w:color="auto"/>
                        <w:bottom w:val="none" w:sz="0" w:space="0" w:color="auto"/>
                        <w:right w:val="none" w:sz="0" w:space="0" w:color="auto"/>
                      </w:divBdr>
                    </w:div>
                  </w:divsChild>
                </w:div>
                <w:div w:id="130708935">
                  <w:marLeft w:val="0"/>
                  <w:marRight w:val="0"/>
                  <w:marTop w:val="0"/>
                  <w:marBottom w:val="0"/>
                  <w:divBdr>
                    <w:top w:val="none" w:sz="0" w:space="0" w:color="auto"/>
                    <w:left w:val="none" w:sz="0" w:space="0" w:color="auto"/>
                    <w:bottom w:val="none" w:sz="0" w:space="0" w:color="auto"/>
                    <w:right w:val="none" w:sz="0" w:space="0" w:color="auto"/>
                  </w:divBdr>
                  <w:divsChild>
                    <w:div w:id="48697705">
                      <w:marLeft w:val="0"/>
                      <w:marRight w:val="0"/>
                      <w:marTop w:val="0"/>
                      <w:marBottom w:val="0"/>
                      <w:divBdr>
                        <w:top w:val="none" w:sz="0" w:space="0" w:color="auto"/>
                        <w:left w:val="none" w:sz="0" w:space="0" w:color="auto"/>
                        <w:bottom w:val="none" w:sz="0" w:space="0" w:color="auto"/>
                        <w:right w:val="none" w:sz="0" w:space="0" w:color="auto"/>
                      </w:divBdr>
                    </w:div>
                  </w:divsChild>
                </w:div>
                <w:div w:id="140657953">
                  <w:marLeft w:val="0"/>
                  <w:marRight w:val="0"/>
                  <w:marTop w:val="0"/>
                  <w:marBottom w:val="0"/>
                  <w:divBdr>
                    <w:top w:val="none" w:sz="0" w:space="0" w:color="auto"/>
                    <w:left w:val="none" w:sz="0" w:space="0" w:color="auto"/>
                    <w:bottom w:val="none" w:sz="0" w:space="0" w:color="auto"/>
                    <w:right w:val="none" w:sz="0" w:space="0" w:color="auto"/>
                  </w:divBdr>
                  <w:divsChild>
                    <w:div w:id="349533342">
                      <w:marLeft w:val="0"/>
                      <w:marRight w:val="0"/>
                      <w:marTop w:val="0"/>
                      <w:marBottom w:val="0"/>
                      <w:divBdr>
                        <w:top w:val="none" w:sz="0" w:space="0" w:color="auto"/>
                        <w:left w:val="none" w:sz="0" w:space="0" w:color="auto"/>
                        <w:bottom w:val="none" w:sz="0" w:space="0" w:color="auto"/>
                        <w:right w:val="none" w:sz="0" w:space="0" w:color="auto"/>
                      </w:divBdr>
                    </w:div>
                  </w:divsChild>
                </w:div>
                <w:div w:id="168521921">
                  <w:marLeft w:val="0"/>
                  <w:marRight w:val="0"/>
                  <w:marTop w:val="0"/>
                  <w:marBottom w:val="0"/>
                  <w:divBdr>
                    <w:top w:val="none" w:sz="0" w:space="0" w:color="auto"/>
                    <w:left w:val="none" w:sz="0" w:space="0" w:color="auto"/>
                    <w:bottom w:val="none" w:sz="0" w:space="0" w:color="auto"/>
                    <w:right w:val="none" w:sz="0" w:space="0" w:color="auto"/>
                  </w:divBdr>
                  <w:divsChild>
                    <w:div w:id="1161433523">
                      <w:marLeft w:val="0"/>
                      <w:marRight w:val="0"/>
                      <w:marTop w:val="0"/>
                      <w:marBottom w:val="0"/>
                      <w:divBdr>
                        <w:top w:val="none" w:sz="0" w:space="0" w:color="auto"/>
                        <w:left w:val="none" w:sz="0" w:space="0" w:color="auto"/>
                        <w:bottom w:val="none" w:sz="0" w:space="0" w:color="auto"/>
                        <w:right w:val="none" w:sz="0" w:space="0" w:color="auto"/>
                      </w:divBdr>
                    </w:div>
                  </w:divsChild>
                </w:div>
                <w:div w:id="182787569">
                  <w:marLeft w:val="0"/>
                  <w:marRight w:val="0"/>
                  <w:marTop w:val="0"/>
                  <w:marBottom w:val="0"/>
                  <w:divBdr>
                    <w:top w:val="none" w:sz="0" w:space="0" w:color="auto"/>
                    <w:left w:val="none" w:sz="0" w:space="0" w:color="auto"/>
                    <w:bottom w:val="none" w:sz="0" w:space="0" w:color="auto"/>
                    <w:right w:val="none" w:sz="0" w:space="0" w:color="auto"/>
                  </w:divBdr>
                  <w:divsChild>
                    <w:div w:id="1566138522">
                      <w:marLeft w:val="0"/>
                      <w:marRight w:val="0"/>
                      <w:marTop w:val="0"/>
                      <w:marBottom w:val="0"/>
                      <w:divBdr>
                        <w:top w:val="none" w:sz="0" w:space="0" w:color="auto"/>
                        <w:left w:val="none" w:sz="0" w:space="0" w:color="auto"/>
                        <w:bottom w:val="none" w:sz="0" w:space="0" w:color="auto"/>
                        <w:right w:val="none" w:sz="0" w:space="0" w:color="auto"/>
                      </w:divBdr>
                    </w:div>
                  </w:divsChild>
                </w:div>
                <w:div w:id="183984528">
                  <w:marLeft w:val="0"/>
                  <w:marRight w:val="0"/>
                  <w:marTop w:val="0"/>
                  <w:marBottom w:val="0"/>
                  <w:divBdr>
                    <w:top w:val="none" w:sz="0" w:space="0" w:color="auto"/>
                    <w:left w:val="none" w:sz="0" w:space="0" w:color="auto"/>
                    <w:bottom w:val="none" w:sz="0" w:space="0" w:color="auto"/>
                    <w:right w:val="none" w:sz="0" w:space="0" w:color="auto"/>
                  </w:divBdr>
                  <w:divsChild>
                    <w:div w:id="22170359">
                      <w:marLeft w:val="0"/>
                      <w:marRight w:val="0"/>
                      <w:marTop w:val="0"/>
                      <w:marBottom w:val="0"/>
                      <w:divBdr>
                        <w:top w:val="none" w:sz="0" w:space="0" w:color="auto"/>
                        <w:left w:val="none" w:sz="0" w:space="0" w:color="auto"/>
                        <w:bottom w:val="none" w:sz="0" w:space="0" w:color="auto"/>
                        <w:right w:val="none" w:sz="0" w:space="0" w:color="auto"/>
                      </w:divBdr>
                    </w:div>
                  </w:divsChild>
                </w:div>
                <w:div w:id="197282412">
                  <w:marLeft w:val="0"/>
                  <w:marRight w:val="0"/>
                  <w:marTop w:val="0"/>
                  <w:marBottom w:val="0"/>
                  <w:divBdr>
                    <w:top w:val="none" w:sz="0" w:space="0" w:color="auto"/>
                    <w:left w:val="none" w:sz="0" w:space="0" w:color="auto"/>
                    <w:bottom w:val="none" w:sz="0" w:space="0" w:color="auto"/>
                    <w:right w:val="none" w:sz="0" w:space="0" w:color="auto"/>
                  </w:divBdr>
                  <w:divsChild>
                    <w:div w:id="1345858183">
                      <w:marLeft w:val="0"/>
                      <w:marRight w:val="0"/>
                      <w:marTop w:val="0"/>
                      <w:marBottom w:val="0"/>
                      <w:divBdr>
                        <w:top w:val="none" w:sz="0" w:space="0" w:color="auto"/>
                        <w:left w:val="none" w:sz="0" w:space="0" w:color="auto"/>
                        <w:bottom w:val="none" w:sz="0" w:space="0" w:color="auto"/>
                        <w:right w:val="none" w:sz="0" w:space="0" w:color="auto"/>
                      </w:divBdr>
                    </w:div>
                  </w:divsChild>
                </w:div>
                <w:div w:id="211045199">
                  <w:marLeft w:val="0"/>
                  <w:marRight w:val="0"/>
                  <w:marTop w:val="0"/>
                  <w:marBottom w:val="0"/>
                  <w:divBdr>
                    <w:top w:val="none" w:sz="0" w:space="0" w:color="auto"/>
                    <w:left w:val="none" w:sz="0" w:space="0" w:color="auto"/>
                    <w:bottom w:val="none" w:sz="0" w:space="0" w:color="auto"/>
                    <w:right w:val="none" w:sz="0" w:space="0" w:color="auto"/>
                  </w:divBdr>
                  <w:divsChild>
                    <w:div w:id="275252768">
                      <w:marLeft w:val="0"/>
                      <w:marRight w:val="0"/>
                      <w:marTop w:val="0"/>
                      <w:marBottom w:val="0"/>
                      <w:divBdr>
                        <w:top w:val="none" w:sz="0" w:space="0" w:color="auto"/>
                        <w:left w:val="none" w:sz="0" w:space="0" w:color="auto"/>
                        <w:bottom w:val="none" w:sz="0" w:space="0" w:color="auto"/>
                        <w:right w:val="none" w:sz="0" w:space="0" w:color="auto"/>
                      </w:divBdr>
                    </w:div>
                  </w:divsChild>
                </w:div>
                <w:div w:id="216744840">
                  <w:marLeft w:val="0"/>
                  <w:marRight w:val="0"/>
                  <w:marTop w:val="0"/>
                  <w:marBottom w:val="0"/>
                  <w:divBdr>
                    <w:top w:val="none" w:sz="0" w:space="0" w:color="auto"/>
                    <w:left w:val="none" w:sz="0" w:space="0" w:color="auto"/>
                    <w:bottom w:val="none" w:sz="0" w:space="0" w:color="auto"/>
                    <w:right w:val="none" w:sz="0" w:space="0" w:color="auto"/>
                  </w:divBdr>
                  <w:divsChild>
                    <w:div w:id="273756013">
                      <w:marLeft w:val="0"/>
                      <w:marRight w:val="0"/>
                      <w:marTop w:val="0"/>
                      <w:marBottom w:val="0"/>
                      <w:divBdr>
                        <w:top w:val="none" w:sz="0" w:space="0" w:color="auto"/>
                        <w:left w:val="none" w:sz="0" w:space="0" w:color="auto"/>
                        <w:bottom w:val="none" w:sz="0" w:space="0" w:color="auto"/>
                        <w:right w:val="none" w:sz="0" w:space="0" w:color="auto"/>
                      </w:divBdr>
                    </w:div>
                  </w:divsChild>
                </w:div>
                <w:div w:id="217859241">
                  <w:marLeft w:val="0"/>
                  <w:marRight w:val="0"/>
                  <w:marTop w:val="0"/>
                  <w:marBottom w:val="0"/>
                  <w:divBdr>
                    <w:top w:val="none" w:sz="0" w:space="0" w:color="auto"/>
                    <w:left w:val="none" w:sz="0" w:space="0" w:color="auto"/>
                    <w:bottom w:val="none" w:sz="0" w:space="0" w:color="auto"/>
                    <w:right w:val="none" w:sz="0" w:space="0" w:color="auto"/>
                  </w:divBdr>
                  <w:divsChild>
                    <w:div w:id="322005336">
                      <w:marLeft w:val="0"/>
                      <w:marRight w:val="0"/>
                      <w:marTop w:val="0"/>
                      <w:marBottom w:val="0"/>
                      <w:divBdr>
                        <w:top w:val="none" w:sz="0" w:space="0" w:color="auto"/>
                        <w:left w:val="none" w:sz="0" w:space="0" w:color="auto"/>
                        <w:bottom w:val="none" w:sz="0" w:space="0" w:color="auto"/>
                        <w:right w:val="none" w:sz="0" w:space="0" w:color="auto"/>
                      </w:divBdr>
                    </w:div>
                  </w:divsChild>
                </w:div>
                <w:div w:id="223486931">
                  <w:marLeft w:val="0"/>
                  <w:marRight w:val="0"/>
                  <w:marTop w:val="0"/>
                  <w:marBottom w:val="0"/>
                  <w:divBdr>
                    <w:top w:val="none" w:sz="0" w:space="0" w:color="auto"/>
                    <w:left w:val="none" w:sz="0" w:space="0" w:color="auto"/>
                    <w:bottom w:val="none" w:sz="0" w:space="0" w:color="auto"/>
                    <w:right w:val="none" w:sz="0" w:space="0" w:color="auto"/>
                  </w:divBdr>
                  <w:divsChild>
                    <w:div w:id="783772560">
                      <w:marLeft w:val="0"/>
                      <w:marRight w:val="0"/>
                      <w:marTop w:val="0"/>
                      <w:marBottom w:val="0"/>
                      <w:divBdr>
                        <w:top w:val="none" w:sz="0" w:space="0" w:color="auto"/>
                        <w:left w:val="none" w:sz="0" w:space="0" w:color="auto"/>
                        <w:bottom w:val="none" w:sz="0" w:space="0" w:color="auto"/>
                        <w:right w:val="none" w:sz="0" w:space="0" w:color="auto"/>
                      </w:divBdr>
                    </w:div>
                  </w:divsChild>
                </w:div>
                <w:div w:id="246692283">
                  <w:marLeft w:val="0"/>
                  <w:marRight w:val="0"/>
                  <w:marTop w:val="0"/>
                  <w:marBottom w:val="0"/>
                  <w:divBdr>
                    <w:top w:val="none" w:sz="0" w:space="0" w:color="auto"/>
                    <w:left w:val="none" w:sz="0" w:space="0" w:color="auto"/>
                    <w:bottom w:val="none" w:sz="0" w:space="0" w:color="auto"/>
                    <w:right w:val="none" w:sz="0" w:space="0" w:color="auto"/>
                  </w:divBdr>
                  <w:divsChild>
                    <w:div w:id="1046099328">
                      <w:marLeft w:val="0"/>
                      <w:marRight w:val="0"/>
                      <w:marTop w:val="0"/>
                      <w:marBottom w:val="0"/>
                      <w:divBdr>
                        <w:top w:val="none" w:sz="0" w:space="0" w:color="auto"/>
                        <w:left w:val="none" w:sz="0" w:space="0" w:color="auto"/>
                        <w:bottom w:val="none" w:sz="0" w:space="0" w:color="auto"/>
                        <w:right w:val="none" w:sz="0" w:space="0" w:color="auto"/>
                      </w:divBdr>
                    </w:div>
                  </w:divsChild>
                </w:div>
                <w:div w:id="250359223">
                  <w:marLeft w:val="0"/>
                  <w:marRight w:val="0"/>
                  <w:marTop w:val="0"/>
                  <w:marBottom w:val="0"/>
                  <w:divBdr>
                    <w:top w:val="none" w:sz="0" w:space="0" w:color="auto"/>
                    <w:left w:val="none" w:sz="0" w:space="0" w:color="auto"/>
                    <w:bottom w:val="none" w:sz="0" w:space="0" w:color="auto"/>
                    <w:right w:val="none" w:sz="0" w:space="0" w:color="auto"/>
                  </w:divBdr>
                  <w:divsChild>
                    <w:div w:id="500465440">
                      <w:marLeft w:val="0"/>
                      <w:marRight w:val="0"/>
                      <w:marTop w:val="0"/>
                      <w:marBottom w:val="0"/>
                      <w:divBdr>
                        <w:top w:val="none" w:sz="0" w:space="0" w:color="auto"/>
                        <w:left w:val="none" w:sz="0" w:space="0" w:color="auto"/>
                        <w:bottom w:val="none" w:sz="0" w:space="0" w:color="auto"/>
                        <w:right w:val="none" w:sz="0" w:space="0" w:color="auto"/>
                      </w:divBdr>
                    </w:div>
                  </w:divsChild>
                </w:div>
                <w:div w:id="255603574">
                  <w:marLeft w:val="0"/>
                  <w:marRight w:val="0"/>
                  <w:marTop w:val="0"/>
                  <w:marBottom w:val="0"/>
                  <w:divBdr>
                    <w:top w:val="none" w:sz="0" w:space="0" w:color="auto"/>
                    <w:left w:val="none" w:sz="0" w:space="0" w:color="auto"/>
                    <w:bottom w:val="none" w:sz="0" w:space="0" w:color="auto"/>
                    <w:right w:val="none" w:sz="0" w:space="0" w:color="auto"/>
                  </w:divBdr>
                  <w:divsChild>
                    <w:div w:id="1272013648">
                      <w:marLeft w:val="0"/>
                      <w:marRight w:val="0"/>
                      <w:marTop w:val="0"/>
                      <w:marBottom w:val="0"/>
                      <w:divBdr>
                        <w:top w:val="none" w:sz="0" w:space="0" w:color="auto"/>
                        <w:left w:val="none" w:sz="0" w:space="0" w:color="auto"/>
                        <w:bottom w:val="none" w:sz="0" w:space="0" w:color="auto"/>
                        <w:right w:val="none" w:sz="0" w:space="0" w:color="auto"/>
                      </w:divBdr>
                    </w:div>
                  </w:divsChild>
                </w:div>
                <w:div w:id="292830260">
                  <w:marLeft w:val="0"/>
                  <w:marRight w:val="0"/>
                  <w:marTop w:val="0"/>
                  <w:marBottom w:val="0"/>
                  <w:divBdr>
                    <w:top w:val="none" w:sz="0" w:space="0" w:color="auto"/>
                    <w:left w:val="none" w:sz="0" w:space="0" w:color="auto"/>
                    <w:bottom w:val="none" w:sz="0" w:space="0" w:color="auto"/>
                    <w:right w:val="none" w:sz="0" w:space="0" w:color="auto"/>
                  </w:divBdr>
                  <w:divsChild>
                    <w:div w:id="275214211">
                      <w:marLeft w:val="0"/>
                      <w:marRight w:val="0"/>
                      <w:marTop w:val="0"/>
                      <w:marBottom w:val="0"/>
                      <w:divBdr>
                        <w:top w:val="none" w:sz="0" w:space="0" w:color="auto"/>
                        <w:left w:val="none" w:sz="0" w:space="0" w:color="auto"/>
                        <w:bottom w:val="none" w:sz="0" w:space="0" w:color="auto"/>
                        <w:right w:val="none" w:sz="0" w:space="0" w:color="auto"/>
                      </w:divBdr>
                    </w:div>
                  </w:divsChild>
                </w:div>
                <w:div w:id="309599149">
                  <w:marLeft w:val="0"/>
                  <w:marRight w:val="0"/>
                  <w:marTop w:val="0"/>
                  <w:marBottom w:val="0"/>
                  <w:divBdr>
                    <w:top w:val="none" w:sz="0" w:space="0" w:color="auto"/>
                    <w:left w:val="none" w:sz="0" w:space="0" w:color="auto"/>
                    <w:bottom w:val="none" w:sz="0" w:space="0" w:color="auto"/>
                    <w:right w:val="none" w:sz="0" w:space="0" w:color="auto"/>
                  </w:divBdr>
                  <w:divsChild>
                    <w:div w:id="643699654">
                      <w:marLeft w:val="0"/>
                      <w:marRight w:val="0"/>
                      <w:marTop w:val="0"/>
                      <w:marBottom w:val="0"/>
                      <w:divBdr>
                        <w:top w:val="none" w:sz="0" w:space="0" w:color="auto"/>
                        <w:left w:val="none" w:sz="0" w:space="0" w:color="auto"/>
                        <w:bottom w:val="none" w:sz="0" w:space="0" w:color="auto"/>
                        <w:right w:val="none" w:sz="0" w:space="0" w:color="auto"/>
                      </w:divBdr>
                    </w:div>
                  </w:divsChild>
                </w:div>
                <w:div w:id="312372059">
                  <w:marLeft w:val="0"/>
                  <w:marRight w:val="0"/>
                  <w:marTop w:val="0"/>
                  <w:marBottom w:val="0"/>
                  <w:divBdr>
                    <w:top w:val="none" w:sz="0" w:space="0" w:color="auto"/>
                    <w:left w:val="none" w:sz="0" w:space="0" w:color="auto"/>
                    <w:bottom w:val="none" w:sz="0" w:space="0" w:color="auto"/>
                    <w:right w:val="none" w:sz="0" w:space="0" w:color="auto"/>
                  </w:divBdr>
                  <w:divsChild>
                    <w:div w:id="1668438296">
                      <w:marLeft w:val="0"/>
                      <w:marRight w:val="0"/>
                      <w:marTop w:val="0"/>
                      <w:marBottom w:val="0"/>
                      <w:divBdr>
                        <w:top w:val="none" w:sz="0" w:space="0" w:color="auto"/>
                        <w:left w:val="none" w:sz="0" w:space="0" w:color="auto"/>
                        <w:bottom w:val="none" w:sz="0" w:space="0" w:color="auto"/>
                        <w:right w:val="none" w:sz="0" w:space="0" w:color="auto"/>
                      </w:divBdr>
                    </w:div>
                  </w:divsChild>
                </w:div>
                <w:div w:id="313418639">
                  <w:marLeft w:val="0"/>
                  <w:marRight w:val="0"/>
                  <w:marTop w:val="0"/>
                  <w:marBottom w:val="0"/>
                  <w:divBdr>
                    <w:top w:val="none" w:sz="0" w:space="0" w:color="auto"/>
                    <w:left w:val="none" w:sz="0" w:space="0" w:color="auto"/>
                    <w:bottom w:val="none" w:sz="0" w:space="0" w:color="auto"/>
                    <w:right w:val="none" w:sz="0" w:space="0" w:color="auto"/>
                  </w:divBdr>
                  <w:divsChild>
                    <w:div w:id="129565927">
                      <w:marLeft w:val="0"/>
                      <w:marRight w:val="0"/>
                      <w:marTop w:val="0"/>
                      <w:marBottom w:val="0"/>
                      <w:divBdr>
                        <w:top w:val="none" w:sz="0" w:space="0" w:color="auto"/>
                        <w:left w:val="none" w:sz="0" w:space="0" w:color="auto"/>
                        <w:bottom w:val="none" w:sz="0" w:space="0" w:color="auto"/>
                        <w:right w:val="none" w:sz="0" w:space="0" w:color="auto"/>
                      </w:divBdr>
                    </w:div>
                  </w:divsChild>
                </w:div>
                <w:div w:id="339312285">
                  <w:marLeft w:val="0"/>
                  <w:marRight w:val="0"/>
                  <w:marTop w:val="0"/>
                  <w:marBottom w:val="0"/>
                  <w:divBdr>
                    <w:top w:val="none" w:sz="0" w:space="0" w:color="auto"/>
                    <w:left w:val="none" w:sz="0" w:space="0" w:color="auto"/>
                    <w:bottom w:val="none" w:sz="0" w:space="0" w:color="auto"/>
                    <w:right w:val="none" w:sz="0" w:space="0" w:color="auto"/>
                  </w:divBdr>
                  <w:divsChild>
                    <w:div w:id="560596279">
                      <w:marLeft w:val="0"/>
                      <w:marRight w:val="0"/>
                      <w:marTop w:val="0"/>
                      <w:marBottom w:val="0"/>
                      <w:divBdr>
                        <w:top w:val="none" w:sz="0" w:space="0" w:color="auto"/>
                        <w:left w:val="none" w:sz="0" w:space="0" w:color="auto"/>
                        <w:bottom w:val="none" w:sz="0" w:space="0" w:color="auto"/>
                        <w:right w:val="none" w:sz="0" w:space="0" w:color="auto"/>
                      </w:divBdr>
                    </w:div>
                  </w:divsChild>
                </w:div>
                <w:div w:id="352191519">
                  <w:marLeft w:val="0"/>
                  <w:marRight w:val="0"/>
                  <w:marTop w:val="0"/>
                  <w:marBottom w:val="0"/>
                  <w:divBdr>
                    <w:top w:val="none" w:sz="0" w:space="0" w:color="auto"/>
                    <w:left w:val="none" w:sz="0" w:space="0" w:color="auto"/>
                    <w:bottom w:val="none" w:sz="0" w:space="0" w:color="auto"/>
                    <w:right w:val="none" w:sz="0" w:space="0" w:color="auto"/>
                  </w:divBdr>
                  <w:divsChild>
                    <w:div w:id="393505703">
                      <w:marLeft w:val="0"/>
                      <w:marRight w:val="0"/>
                      <w:marTop w:val="0"/>
                      <w:marBottom w:val="0"/>
                      <w:divBdr>
                        <w:top w:val="none" w:sz="0" w:space="0" w:color="auto"/>
                        <w:left w:val="none" w:sz="0" w:space="0" w:color="auto"/>
                        <w:bottom w:val="none" w:sz="0" w:space="0" w:color="auto"/>
                        <w:right w:val="none" w:sz="0" w:space="0" w:color="auto"/>
                      </w:divBdr>
                    </w:div>
                  </w:divsChild>
                </w:div>
                <w:div w:id="366293915">
                  <w:marLeft w:val="0"/>
                  <w:marRight w:val="0"/>
                  <w:marTop w:val="0"/>
                  <w:marBottom w:val="0"/>
                  <w:divBdr>
                    <w:top w:val="none" w:sz="0" w:space="0" w:color="auto"/>
                    <w:left w:val="none" w:sz="0" w:space="0" w:color="auto"/>
                    <w:bottom w:val="none" w:sz="0" w:space="0" w:color="auto"/>
                    <w:right w:val="none" w:sz="0" w:space="0" w:color="auto"/>
                  </w:divBdr>
                  <w:divsChild>
                    <w:div w:id="392854287">
                      <w:marLeft w:val="0"/>
                      <w:marRight w:val="0"/>
                      <w:marTop w:val="0"/>
                      <w:marBottom w:val="0"/>
                      <w:divBdr>
                        <w:top w:val="none" w:sz="0" w:space="0" w:color="auto"/>
                        <w:left w:val="none" w:sz="0" w:space="0" w:color="auto"/>
                        <w:bottom w:val="none" w:sz="0" w:space="0" w:color="auto"/>
                        <w:right w:val="none" w:sz="0" w:space="0" w:color="auto"/>
                      </w:divBdr>
                    </w:div>
                  </w:divsChild>
                </w:div>
                <w:div w:id="366415384">
                  <w:marLeft w:val="0"/>
                  <w:marRight w:val="0"/>
                  <w:marTop w:val="0"/>
                  <w:marBottom w:val="0"/>
                  <w:divBdr>
                    <w:top w:val="none" w:sz="0" w:space="0" w:color="auto"/>
                    <w:left w:val="none" w:sz="0" w:space="0" w:color="auto"/>
                    <w:bottom w:val="none" w:sz="0" w:space="0" w:color="auto"/>
                    <w:right w:val="none" w:sz="0" w:space="0" w:color="auto"/>
                  </w:divBdr>
                  <w:divsChild>
                    <w:div w:id="534777314">
                      <w:marLeft w:val="0"/>
                      <w:marRight w:val="0"/>
                      <w:marTop w:val="0"/>
                      <w:marBottom w:val="0"/>
                      <w:divBdr>
                        <w:top w:val="none" w:sz="0" w:space="0" w:color="auto"/>
                        <w:left w:val="none" w:sz="0" w:space="0" w:color="auto"/>
                        <w:bottom w:val="none" w:sz="0" w:space="0" w:color="auto"/>
                        <w:right w:val="none" w:sz="0" w:space="0" w:color="auto"/>
                      </w:divBdr>
                    </w:div>
                  </w:divsChild>
                </w:div>
                <w:div w:id="378209832">
                  <w:marLeft w:val="0"/>
                  <w:marRight w:val="0"/>
                  <w:marTop w:val="0"/>
                  <w:marBottom w:val="0"/>
                  <w:divBdr>
                    <w:top w:val="none" w:sz="0" w:space="0" w:color="auto"/>
                    <w:left w:val="none" w:sz="0" w:space="0" w:color="auto"/>
                    <w:bottom w:val="none" w:sz="0" w:space="0" w:color="auto"/>
                    <w:right w:val="none" w:sz="0" w:space="0" w:color="auto"/>
                  </w:divBdr>
                  <w:divsChild>
                    <w:div w:id="1948268555">
                      <w:marLeft w:val="0"/>
                      <w:marRight w:val="0"/>
                      <w:marTop w:val="0"/>
                      <w:marBottom w:val="0"/>
                      <w:divBdr>
                        <w:top w:val="none" w:sz="0" w:space="0" w:color="auto"/>
                        <w:left w:val="none" w:sz="0" w:space="0" w:color="auto"/>
                        <w:bottom w:val="none" w:sz="0" w:space="0" w:color="auto"/>
                        <w:right w:val="none" w:sz="0" w:space="0" w:color="auto"/>
                      </w:divBdr>
                    </w:div>
                  </w:divsChild>
                </w:div>
                <w:div w:id="378895635">
                  <w:marLeft w:val="0"/>
                  <w:marRight w:val="0"/>
                  <w:marTop w:val="0"/>
                  <w:marBottom w:val="0"/>
                  <w:divBdr>
                    <w:top w:val="none" w:sz="0" w:space="0" w:color="auto"/>
                    <w:left w:val="none" w:sz="0" w:space="0" w:color="auto"/>
                    <w:bottom w:val="none" w:sz="0" w:space="0" w:color="auto"/>
                    <w:right w:val="none" w:sz="0" w:space="0" w:color="auto"/>
                  </w:divBdr>
                  <w:divsChild>
                    <w:div w:id="852304469">
                      <w:marLeft w:val="0"/>
                      <w:marRight w:val="0"/>
                      <w:marTop w:val="0"/>
                      <w:marBottom w:val="0"/>
                      <w:divBdr>
                        <w:top w:val="none" w:sz="0" w:space="0" w:color="auto"/>
                        <w:left w:val="none" w:sz="0" w:space="0" w:color="auto"/>
                        <w:bottom w:val="none" w:sz="0" w:space="0" w:color="auto"/>
                        <w:right w:val="none" w:sz="0" w:space="0" w:color="auto"/>
                      </w:divBdr>
                    </w:div>
                  </w:divsChild>
                </w:div>
                <w:div w:id="384916906">
                  <w:marLeft w:val="0"/>
                  <w:marRight w:val="0"/>
                  <w:marTop w:val="0"/>
                  <w:marBottom w:val="0"/>
                  <w:divBdr>
                    <w:top w:val="none" w:sz="0" w:space="0" w:color="auto"/>
                    <w:left w:val="none" w:sz="0" w:space="0" w:color="auto"/>
                    <w:bottom w:val="none" w:sz="0" w:space="0" w:color="auto"/>
                    <w:right w:val="none" w:sz="0" w:space="0" w:color="auto"/>
                  </w:divBdr>
                  <w:divsChild>
                    <w:div w:id="1804883407">
                      <w:marLeft w:val="0"/>
                      <w:marRight w:val="0"/>
                      <w:marTop w:val="0"/>
                      <w:marBottom w:val="0"/>
                      <w:divBdr>
                        <w:top w:val="none" w:sz="0" w:space="0" w:color="auto"/>
                        <w:left w:val="none" w:sz="0" w:space="0" w:color="auto"/>
                        <w:bottom w:val="none" w:sz="0" w:space="0" w:color="auto"/>
                        <w:right w:val="none" w:sz="0" w:space="0" w:color="auto"/>
                      </w:divBdr>
                    </w:div>
                  </w:divsChild>
                </w:div>
                <w:div w:id="391391184">
                  <w:marLeft w:val="0"/>
                  <w:marRight w:val="0"/>
                  <w:marTop w:val="0"/>
                  <w:marBottom w:val="0"/>
                  <w:divBdr>
                    <w:top w:val="none" w:sz="0" w:space="0" w:color="auto"/>
                    <w:left w:val="none" w:sz="0" w:space="0" w:color="auto"/>
                    <w:bottom w:val="none" w:sz="0" w:space="0" w:color="auto"/>
                    <w:right w:val="none" w:sz="0" w:space="0" w:color="auto"/>
                  </w:divBdr>
                  <w:divsChild>
                    <w:div w:id="637683891">
                      <w:marLeft w:val="0"/>
                      <w:marRight w:val="0"/>
                      <w:marTop w:val="0"/>
                      <w:marBottom w:val="0"/>
                      <w:divBdr>
                        <w:top w:val="none" w:sz="0" w:space="0" w:color="auto"/>
                        <w:left w:val="none" w:sz="0" w:space="0" w:color="auto"/>
                        <w:bottom w:val="none" w:sz="0" w:space="0" w:color="auto"/>
                        <w:right w:val="none" w:sz="0" w:space="0" w:color="auto"/>
                      </w:divBdr>
                    </w:div>
                  </w:divsChild>
                </w:div>
                <w:div w:id="432675813">
                  <w:marLeft w:val="0"/>
                  <w:marRight w:val="0"/>
                  <w:marTop w:val="0"/>
                  <w:marBottom w:val="0"/>
                  <w:divBdr>
                    <w:top w:val="none" w:sz="0" w:space="0" w:color="auto"/>
                    <w:left w:val="none" w:sz="0" w:space="0" w:color="auto"/>
                    <w:bottom w:val="none" w:sz="0" w:space="0" w:color="auto"/>
                    <w:right w:val="none" w:sz="0" w:space="0" w:color="auto"/>
                  </w:divBdr>
                  <w:divsChild>
                    <w:div w:id="1778867304">
                      <w:marLeft w:val="0"/>
                      <w:marRight w:val="0"/>
                      <w:marTop w:val="0"/>
                      <w:marBottom w:val="0"/>
                      <w:divBdr>
                        <w:top w:val="none" w:sz="0" w:space="0" w:color="auto"/>
                        <w:left w:val="none" w:sz="0" w:space="0" w:color="auto"/>
                        <w:bottom w:val="none" w:sz="0" w:space="0" w:color="auto"/>
                        <w:right w:val="none" w:sz="0" w:space="0" w:color="auto"/>
                      </w:divBdr>
                    </w:div>
                  </w:divsChild>
                </w:div>
                <w:div w:id="435902894">
                  <w:marLeft w:val="0"/>
                  <w:marRight w:val="0"/>
                  <w:marTop w:val="0"/>
                  <w:marBottom w:val="0"/>
                  <w:divBdr>
                    <w:top w:val="none" w:sz="0" w:space="0" w:color="auto"/>
                    <w:left w:val="none" w:sz="0" w:space="0" w:color="auto"/>
                    <w:bottom w:val="none" w:sz="0" w:space="0" w:color="auto"/>
                    <w:right w:val="none" w:sz="0" w:space="0" w:color="auto"/>
                  </w:divBdr>
                  <w:divsChild>
                    <w:div w:id="1532062097">
                      <w:marLeft w:val="0"/>
                      <w:marRight w:val="0"/>
                      <w:marTop w:val="0"/>
                      <w:marBottom w:val="0"/>
                      <w:divBdr>
                        <w:top w:val="none" w:sz="0" w:space="0" w:color="auto"/>
                        <w:left w:val="none" w:sz="0" w:space="0" w:color="auto"/>
                        <w:bottom w:val="none" w:sz="0" w:space="0" w:color="auto"/>
                        <w:right w:val="none" w:sz="0" w:space="0" w:color="auto"/>
                      </w:divBdr>
                    </w:div>
                  </w:divsChild>
                </w:div>
                <w:div w:id="436562156">
                  <w:marLeft w:val="0"/>
                  <w:marRight w:val="0"/>
                  <w:marTop w:val="0"/>
                  <w:marBottom w:val="0"/>
                  <w:divBdr>
                    <w:top w:val="none" w:sz="0" w:space="0" w:color="auto"/>
                    <w:left w:val="none" w:sz="0" w:space="0" w:color="auto"/>
                    <w:bottom w:val="none" w:sz="0" w:space="0" w:color="auto"/>
                    <w:right w:val="none" w:sz="0" w:space="0" w:color="auto"/>
                  </w:divBdr>
                  <w:divsChild>
                    <w:div w:id="91437958">
                      <w:marLeft w:val="0"/>
                      <w:marRight w:val="0"/>
                      <w:marTop w:val="0"/>
                      <w:marBottom w:val="0"/>
                      <w:divBdr>
                        <w:top w:val="none" w:sz="0" w:space="0" w:color="auto"/>
                        <w:left w:val="none" w:sz="0" w:space="0" w:color="auto"/>
                        <w:bottom w:val="none" w:sz="0" w:space="0" w:color="auto"/>
                        <w:right w:val="none" w:sz="0" w:space="0" w:color="auto"/>
                      </w:divBdr>
                    </w:div>
                  </w:divsChild>
                </w:div>
                <w:div w:id="441807124">
                  <w:marLeft w:val="0"/>
                  <w:marRight w:val="0"/>
                  <w:marTop w:val="0"/>
                  <w:marBottom w:val="0"/>
                  <w:divBdr>
                    <w:top w:val="none" w:sz="0" w:space="0" w:color="auto"/>
                    <w:left w:val="none" w:sz="0" w:space="0" w:color="auto"/>
                    <w:bottom w:val="none" w:sz="0" w:space="0" w:color="auto"/>
                    <w:right w:val="none" w:sz="0" w:space="0" w:color="auto"/>
                  </w:divBdr>
                  <w:divsChild>
                    <w:div w:id="794642017">
                      <w:marLeft w:val="0"/>
                      <w:marRight w:val="0"/>
                      <w:marTop w:val="0"/>
                      <w:marBottom w:val="0"/>
                      <w:divBdr>
                        <w:top w:val="none" w:sz="0" w:space="0" w:color="auto"/>
                        <w:left w:val="none" w:sz="0" w:space="0" w:color="auto"/>
                        <w:bottom w:val="none" w:sz="0" w:space="0" w:color="auto"/>
                        <w:right w:val="none" w:sz="0" w:space="0" w:color="auto"/>
                      </w:divBdr>
                    </w:div>
                  </w:divsChild>
                </w:div>
                <w:div w:id="454562934">
                  <w:marLeft w:val="0"/>
                  <w:marRight w:val="0"/>
                  <w:marTop w:val="0"/>
                  <w:marBottom w:val="0"/>
                  <w:divBdr>
                    <w:top w:val="none" w:sz="0" w:space="0" w:color="auto"/>
                    <w:left w:val="none" w:sz="0" w:space="0" w:color="auto"/>
                    <w:bottom w:val="none" w:sz="0" w:space="0" w:color="auto"/>
                    <w:right w:val="none" w:sz="0" w:space="0" w:color="auto"/>
                  </w:divBdr>
                  <w:divsChild>
                    <w:div w:id="799880153">
                      <w:marLeft w:val="0"/>
                      <w:marRight w:val="0"/>
                      <w:marTop w:val="0"/>
                      <w:marBottom w:val="0"/>
                      <w:divBdr>
                        <w:top w:val="none" w:sz="0" w:space="0" w:color="auto"/>
                        <w:left w:val="none" w:sz="0" w:space="0" w:color="auto"/>
                        <w:bottom w:val="none" w:sz="0" w:space="0" w:color="auto"/>
                        <w:right w:val="none" w:sz="0" w:space="0" w:color="auto"/>
                      </w:divBdr>
                    </w:div>
                  </w:divsChild>
                </w:div>
                <w:div w:id="483665598">
                  <w:marLeft w:val="0"/>
                  <w:marRight w:val="0"/>
                  <w:marTop w:val="0"/>
                  <w:marBottom w:val="0"/>
                  <w:divBdr>
                    <w:top w:val="none" w:sz="0" w:space="0" w:color="auto"/>
                    <w:left w:val="none" w:sz="0" w:space="0" w:color="auto"/>
                    <w:bottom w:val="none" w:sz="0" w:space="0" w:color="auto"/>
                    <w:right w:val="none" w:sz="0" w:space="0" w:color="auto"/>
                  </w:divBdr>
                  <w:divsChild>
                    <w:div w:id="2053118241">
                      <w:marLeft w:val="0"/>
                      <w:marRight w:val="0"/>
                      <w:marTop w:val="0"/>
                      <w:marBottom w:val="0"/>
                      <w:divBdr>
                        <w:top w:val="none" w:sz="0" w:space="0" w:color="auto"/>
                        <w:left w:val="none" w:sz="0" w:space="0" w:color="auto"/>
                        <w:bottom w:val="none" w:sz="0" w:space="0" w:color="auto"/>
                        <w:right w:val="none" w:sz="0" w:space="0" w:color="auto"/>
                      </w:divBdr>
                    </w:div>
                  </w:divsChild>
                </w:div>
                <w:div w:id="489760150">
                  <w:marLeft w:val="0"/>
                  <w:marRight w:val="0"/>
                  <w:marTop w:val="0"/>
                  <w:marBottom w:val="0"/>
                  <w:divBdr>
                    <w:top w:val="none" w:sz="0" w:space="0" w:color="auto"/>
                    <w:left w:val="none" w:sz="0" w:space="0" w:color="auto"/>
                    <w:bottom w:val="none" w:sz="0" w:space="0" w:color="auto"/>
                    <w:right w:val="none" w:sz="0" w:space="0" w:color="auto"/>
                  </w:divBdr>
                  <w:divsChild>
                    <w:div w:id="1761438905">
                      <w:marLeft w:val="0"/>
                      <w:marRight w:val="0"/>
                      <w:marTop w:val="0"/>
                      <w:marBottom w:val="0"/>
                      <w:divBdr>
                        <w:top w:val="none" w:sz="0" w:space="0" w:color="auto"/>
                        <w:left w:val="none" w:sz="0" w:space="0" w:color="auto"/>
                        <w:bottom w:val="none" w:sz="0" w:space="0" w:color="auto"/>
                        <w:right w:val="none" w:sz="0" w:space="0" w:color="auto"/>
                      </w:divBdr>
                    </w:div>
                  </w:divsChild>
                </w:div>
                <w:div w:id="499152362">
                  <w:marLeft w:val="0"/>
                  <w:marRight w:val="0"/>
                  <w:marTop w:val="0"/>
                  <w:marBottom w:val="0"/>
                  <w:divBdr>
                    <w:top w:val="none" w:sz="0" w:space="0" w:color="auto"/>
                    <w:left w:val="none" w:sz="0" w:space="0" w:color="auto"/>
                    <w:bottom w:val="none" w:sz="0" w:space="0" w:color="auto"/>
                    <w:right w:val="none" w:sz="0" w:space="0" w:color="auto"/>
                  </w:divBdr>
                  <w:divsChild>
                    <w:div w:id="1435125836">
                      <w:marLeft w:val="0"/>
                      <w:marRight w:val="0"/>
                      <w:marTop w:val="0"/>
                      <w:marBottom w:val="0"/>
                      <w:divBdr>
                        <w:top w:val="none" w:sz="0" w:space="0" w:color="auto"/>
                        <w:left w:val="none" w:sz="0" w:space="0" w:color="auto"/>
                        <w:bottom w:val="none" w:sz="0" w:space="0" w:color="auto"/>
                        <w:right w:val="none" w:sz="0" w:space="0" w:color="auto"/>
                      </w:divBdr>
                    </w:div>
                  </w:divsChild>
                </w:div>
                <w:div w:id="511527541">
                  <w:marLeft w:val="0"/>
                  <w:marRight w:val="0"/>
                  <w:marTop w:val="0"/>
                  <w:marBottom w:val="0"/>
                  <w:divBdr>
                    <w:top w:val="none" w:sz="0" w:space="0" w:color="auto"/>
                    <w:left w:val="none" w:sz="0" w:space="0" w:color="auto"/>
                    <w:bottom w:val="none" w:sz="0" w:space="0" w:color="auto"/>
                    <w:right w:val="none" w:sz="0" w:space="0" w:color="auto"/>
                  </w:divBdr>
                  <w:divsChild>
                    <w:div w:id="1843548870">
                      <w:marLeft w:val="0"/>
                      <w:marRight w:val="0"/>
                      <w:marTop w:val="0"/>
                      <w:marBottom w:val="0"/>
                      <w:divBdr>
                        <w:top w:val="none" w:sz="0" w:space="0" w:color="auto"/>
                        <w:left w:val="none" w:sz="0" w:space="0" w:color="auto"/>
                        <w:bottom w:val="none" w:sz="0" w:space="0" w:color="auto"/>
                        <w:right w:val="none" w:sz="0" w:space="0" w:color="auto"/>
                      </w:divBdr>
                    </w:div>
                  </w:divsChild>
                </w:div>
                <w:div w:id="522669112">
                  <w:marLeft w:val="0"/>
                  <w:marRight w:val="0"/>
                  <w:marTop w:val="0"/>
                  <w:marBottom w:val="0"/>
                  <w:divBdr>
                    <w:top w:val="none" w:sz="0" w:space="0" w:color="auto"/>
                    <w:left w:val="none" w:sz="0" w:space="0" w:color="auto"/>
                    <w:bottom w:val="none" w:sz="0" w:space="0" w:color="auto"/>
                    <w:right w:val="none" w:sz="0" w:space="0" w:color="auto"/>
                  </w:divBdr>
                  <w:divsChild>
                    <w:div w:id="975138417">
                      <w:marLeft w:val="0"/>
                      <w:marRight w:val="0"/>
                      <w:marTop w:val="0"/>
                      <w:marBottom w:val="0"/>
                      <w:divBdr>
                        <w:top w:val="none" w:sz="0" w:space="0" w:color="auto"/>
                        <w:left w:val="none" w:sz="0" w:space="0" w:color="auto"/>
                        <w:bottom w:val="none" w:sz="0" w:space="0" w:color="auto"/>
                        <w:right w:val="none" w:sz="0" w:space="0" w:color="auto"/>
                      </w:divBdr>
                    </w:div>
                  </w:divsChild>
                </w:div>
                <w:div w:id="533615130">
                  <w:marLeft w:val="0"/>
                  <w:marRight w:val="0"/>
                  <w:marTop w:val="0"/>
                  <w:marBottom w:val="0"/>
                  <w:divBdr>
                    <w:top w:val="none" w:sz="0" w:space="0" w:color="auto"/>
                    <w:left w:val="none" w:sz="0" w:space="0" w:color="auto"/>
                    <w:bottom w:val="none" w:sz="0" w:space="0" w:color="auto"/>
                    <w:right w:val="none" w:sz="0" w:space="0" w:color="auto"/>
                  </w:divBdr>
                  <w:divsChild>
                    <w:div w:id="604464666">
                      <w:marLeft w:val="0"/>
                      <w:marRight w:val="0"/>
                      <w:marTop w:val="0"/>
                      <w:marBottom w:val="0"/>
                      <w:divBdr>
                        <w:top w:val="none" w:sz="0" w:space="0" w:color="auto"/>
                        <w:left w:val="none" w:sz="0" w:space="0" w:color="auto"/>
                        <w:bottom w:val="none" w:sz="0" w:space="0" w:color="auto"/>
                        <w:right w:val="none" w:sz="0" w:space="0" w:color="auto"/>
                      </w:divBdr>
                    </w:div>
                  </w:divsChild>
                </w:div>
                <w:div w:id="546257285">
                  <w:marLeft w:val="0"/>
                  <w:marRight w:val="0"/>
                  <w:marTop w:val="0"/>
                  <w:marBottom w:val="0"/>
                  <w:divBdr>
                    <w:top w:val="none" w:sz="0" w:space="0" w:color="auto"/>
                    <w:left w:val="none" w:sz="0" w:space="0" w:color="auto"/>
                    <w:bottom w:val="none" w:sz="0" w:space="0" w:color="auto"/>
                    <w:right w:val="none" w:sz="0" w:space="0" w:color="auto"/>
                  </w:divBdr>
                  <w:divsChild>
                    <w:div w:id="1864904615">
                      <w:marLeft w:val="0"/>
                      <w:marRight w:val="0"/>
                      <w:marTop w:val="0"/>
                      <w:marBottom w:val="0"/>
                      <w:divBdr>
                        <w:top w:val="none" w:sz="0" w:space="0" w:color="auto"/>
                        <w:left w:val="none" w:sz="0" w:space="0" w:color="auto"/>
                        <w:bottom w:val="none" w:sz="0" w:space="0" w:color="auto"/>
                        <w:right w:val="none" w:sz="0" w:space="0" w:color="auto"/>
                      </w:divBdr>
                    </w:div>
                  </w:divsChild>
                </w:div>
                <w:div w:id="573662936">
                  <w:marLeft w:val="0"/>
                  <w:marRight w:val="0"/>
                  <w:marTop w:val="0"/>
                  <w:marBottom w:val="0"/>
                  <w:divBdr>
                    <w:top w:val="none" w:sz="0" w:space="0" w:color="auto"/>
                    <w:left w:val="none" w:sz="0" w:space="0" w:color="auto"/>
                    <w:bottom w:val="none" w:sz="0" w:space="0" w:color="auto"/>
                    <w:right w:val="none" w:sz="0" w:space="0" w:color="auto"/>
                  </w:divBdr>
                  <w:divsChild>
                    <w:div w:id="1329476379">
                      <w:marLeft w:val="0"/>
                      <w:marRight w:val="0"/>
                      <w:marTop w:val="0"/>
                      <w:marBottom w:val="0"/>
                      <w:divBdr>
                        <w:top w:val="none" w:sz="0" w:space="0" w:color="auto"/>
                        <w:left w:val="none" w:sz="0" w:space="0" w:color="auto"/>
                        <w:bottom w:val="none" w:sz="0" w:space="0" w:color="auto"/>
                        <w:right w:val="none" w:sz="0" w:space="0" w:color="auto"/>
                      </w:divBdr>
                    </w:div>
                  </w:divsChild>
                </w:div>
                <w:div w:id="585386856">
                  <w:marLeft w:val="0"/>
                  <w:marRight w:val="0"/>
                  <w:marTop w:val="0"/>
                  <w:marBottom w:val="0"/>
                  <w:divBdr>
                    <w:top w:val="none" w:sz="0" w:space="0" w:color="auto"/>
                    <w:left w:val="none" w:sz="0" w:space="0" w:color="auto"/>
                    <w:bottom w:val="none" w:sz="0" w:space="0" w:color="auto"/>
                    <w:right w:val="none" w:sz="0" w:space="0" w:color="auto"/>
                  </w:divBdr>
                  <w:divsChild>
                    <w:div w:id="184943617">
                      <w:marLeft w:val="0"/>
                      <w:marRight w:val="0"/>
                      <w:marTop w:val="0"/>
                      <w:marBottom w:val="0"/>
                      <w:divBdr>
                        <w:top w:val="none" w:sz="0" w:space="0" w:color="auto"/>
                        <w:left w:val="none" w:sz="0" w:space="0" w:color="auto"/>
                        <w:bottom w:val="none" w:sz="0" w:space="0" w:color="auto"/>
                        <w:right w:val="none" w:sz="0" w:space="0" w:color="auto"/>
                      </w:divBdr>
                    </w:div>
                  </w:divsChild>
                </w:div>
                <w:div w:id="588200359">
                  <w:marLeft w:val="0"/>
                  <w:marRight w:val="0"/>
                  <w:marTop w:val="0"/>
                  <w:marBottom w:val="0"/>
                  <w:divBdr>
                    <w:top w:val="none" w:sz="0" w:space="0" w:color="auto"/>
                    <w:left w:val="none" w:sz="0" w:space="0" w:color="auto"/>
                    <w:bottom w:val="none" w:sz="0" w:space="0" w:color="auto"/>
                    <w:right w:val="none" w:sz="0" w:space="0" w:color="auto"/>
                  </w:divBdr>
                  <w:divsChild>
                    <w:div w:id="354620825">
                      <w:marLeft w:val="0"/>
                      <w:marRight w:val="0"/>
                      <w:marTop w:val="0"/>
                      <w:marBottom w:val="0"/>
                      <w:divBdr>
                        <w:top w:val="none" w:sz="0" w:space="0" w:color="auto"/>
                        <w:left w:val="none" w:sz="0" w:space="0" w:color="auto"/>
                        <w:bottom w:val="none" w:sz="0" w:space="0" w:color="auto"/>
                        <w:right w:val="none" w:sz="0" w:space="0" w:color="auto"/>
                      </w:divBdr>
                    </w:div>
                  </w:divsChild>
                </w:div>
                <w:div w:id="594217314">
                  <w:marLeft w:val="0"/>
                  <w:marRight w:val="0"/>
                  <w:marTop w:val="0"/>
                  <w:marBottom w:val="0"/>
                  <w:divBdr>
                    <w:top w:val="none" w:sz="0" w:space="0" w:color="auto"/>
                    <w:left w:val="none" w:sz="0" w:space="0" w:color="auto"/>
                    <w:bottom w:val="none" w:sz="0" w:space="0" w:color="auto"/>
                    <w:right w:val="none" w:sz="0" w:space="0" w:color="auto"/>
                  </w:divBdr>
                  <w:divsChild>
                    <w:div w:id="1936092258">
                      <w:marLeft w:val="0"/>
                      <w:marRight w:val="0"/>
                      <w:marTop w:val="0"/>
                      <w:marBottom w:val="0"/>
                      <w:divBdr>
                        <w:top w:val="none" w:sz="0" w:space="0" w:color="auto"/>
                        <w:left w:val="none" w:sz="0" w:space="0" w:color="auto"/>
                        <w:bottom w:val="none" w:sz="0" w:space="0" w:color="auto"/>
                        <w:right w:val="none" w:sz="0" w:space="0" w:color="auto"/>
                      </w:divBdr>
                    </w:div>
                  </w:divsChild>
                </w:div>
                <w:div w:id="603655475">
                  <w:marLeft w:val="0"/>
                  <w:marRight w:val="0"/>
                  <w:marTop w:val="0"/>
                  <w:marBottom w:val="0"/>
                  <w:divBdr>
                    <w:top w:val="none" w:sz="0" w:space="0" w:color="auto"/>
                    <w:left w:val="none" w:sz="0" w:space="0" w:color="auto"/>
                    <w:bottom w:val="none" w:sz="0" w:space="0" w:color="auto"/>
                    <w:right w:val="none" w:sz="0" w:space="0" w:color="auto"/>
                  </w:divBdr>
                  <w:divsChild>
                    <w:div w:id="524291140">
                      <w:marLeft w:val="0"/>
                      <w:marRight w:val="0"/>
                      <w:marTop w:val="0"/>
                      <w:marBottom w:val="0"/>
                      <w:divBdr>
                        <w:top w:val="none" w:sz="0" w:space="0" w:color="auto"/>
                        <w:left w:val="none" w:sz="0" w:space="0" w:color="auto"/>
                        <w:bottom w:val="none" w:sz="0" w:space="0" w:color="auto"/>
                        <w:right w:val="none" w:sz="0" w:space="0" w:color="auto"/>
                      </w:divBdr>
                    </w:div>
                  </w:divsChild>
                </w:div>
                <w:div w:id="630326024">
                  <w:marLeft w:val="0"/>
                  <w:marRight w:val="0"/>
                  <w:marTop w:val="0"/>
                  <w:marBottom w:val="0"/>
                  <w:divBdr>
                    <w:top w:val="none" w:sz="0" w:space="0" w:color="auto"/>
                    <w:left w:val="none" w:sz="0" w:space="0" w:color="auto"/>
                    <w:bottom w:val="none" w:sz="0" w:space="0" w:color="auto"/>
                    <w:right w:val="none" w:sz="0" w:space="0" w:color="auto"/>
                  </w:divBdr>
                  <w:divsChild>
                    <w:div w:id="549151231">
                      <w:marLeft w:val="0"/>
                      <w:marRight w:val="0"/>
                      <w:marTop w:val="0"/>
                      <w:marBottom w:val="0"/>
                      <w:divBdr>
                        <w:top w:val="none" w:sz="0" w:space="0" w:color="auto"/>
                        <w:left w:val="none" w:sz="0" w:space="0" w:color="auto"/>
                        <w:bottom w:val="none" w:sz="0" w:space="0" w:color="auto"/>
                        <w:right w:val="none" w:sz="0" w:space="0" w:color="auto"/>
                      </w:divBdr>
                    </w:div>
                  </w:divsChild>
                </w:div>
                <w:div w:id="632565990">
                  <w:marLeft w:val="0"/>
                  <w:marRight w:val="0"/>
                  <w:marTop w:val="0"/>
                  <w:marBottom w:val="0"/>
                  <w:divBdr>
                    <w:top w:val="none" w:sz="0" w:space="0" w:color="auto"/>
                    <w:left w:val="none" w:sz="0" w:space="0" w:color="auto"/>
                    <w:bottom w:val="none" w:sz="0" w:space="0" w:color="auto"/>
                    <w:right w:val="none" w:sz="0" w:space="0" w:color="auto"/>
                  </w:divBdr>
                  <w:divsChild>
                    <w:div w:id="1271282216">
                      <w:marLeft w:val="0"/>
                      <w:marRight w:val="0"/>
                      <w:marTop w:val="0"/>
                      <w:marBottom w:val="0"/>
                      <w:divBdr>
                        <w:top w:val="none" w:sz="0" w:space="0" w:color="auto"/>
                        <w:left w:val="none" w:sz="0" w:space="0" w:color="auto"/>
                        <w:bottom w:val="none" w:sz="0" w:space="0" w:color="auto"/>
                        <w:right w:val="none" w:sz="0" w:space="0" w:color="auto"/>
                      </w:divBdr>
                    </w:div>
                  </w:divsChild>
                </w:div>
                <w:div w:id="637614181">
                  <w:marLeft w:val="0"/>
                  <w:marRight w:val="0"/>
                  <w:marTop w:val="0"/>
                  <w:marBottom w:val="0"/>
                  <w:divBdr>
                    <w:top w:val="none" w:sz="0" w:space="0" w:color="auto"/>
                    <w:left w:val="none" w:sz="0" w:space="0" w:color="auto"/>
                    <w:bottom w:val="none" w:sz="0" w:space="0" w:color="auto"/>
                    <w:right w:val="none" w:sz="0" w:space="0" w:color="auto"/>
                  </w:divBdr>
                  <w:divsChild>
                    <w:div w:id="1450859497">
                      <w:marLeft w:val="0"/>
                      <w:marRight w:val="0"/>
                      <w:marTop w:val="0"/>
                      <w:marBottom w:val="0"/>
                      <w:divBdr>
                        <w:top w:val="none" w:sz="0" w:space="0" w:color="auto"/>
                        <w:left w:val="none" w:sz="0" w:space="0" w:color="auto"/>
                        <w:bottom w:val="none" w:sz="0" w:space="0" w:color="auto"/>
                        <w:right w:val="none" w:sz="0" w:space="0" w:color="auto"/>
                      </w:divBdr>
                    </w:div>
                  </w:divsChild>
                </w:div>
                <w:div w:id="644430626">
                  <w:marLeft w:val="0"/>
                  <w:marRight w:val="0"/>
                  <w:marTop w:val="0"/>
                  <w:marBottom w:val="0"/>
                  <w:divBdr>
                    <w:top w:val="none" w:sz="0" w:space="0" w:color="auto"/>
                    <w:left w:val="none" w:sz="0" w:space="0" w:color="auto"/>
                    <w:bottom w:val="none" w:sz="0" w:space="0" w:color="auto"/>
                    <w:right w:val="none" w:sz="0" w:space="0" w:color="auto"/>
                  </w:divBdr>
                  <w:divsChild>
                    <w:div w:id="736708667">
                      <w:marLeft w:val="0"/>
                      <w:marRight w:val="0"/>
                      <w:marTop w:val="0"/>
                      <w:marBottom w:val="0"/>
                      <w:divBdr>
                        <w:top w:val="none" w:sz="0" w:space="0" w:color="auto"/>
                        <w:left w:val="none" w:sz="0" w:space="0" w:color="auto"/>
                        <w:bottom w:val="none" w:sz="0" w:space="0" w:color="auto"/>
                        <w:right w:val="none" w:sz="0" w:space="0" w:color="auto"/>
                      </w:divBdr>
                    </w:div>
                  </w:divsChild>
                </w:div>
                <w:div w:id="651102197">
                  <w:marLeft w:val="0"/>
                  <w:marRight w:val="0"/>
                  <w:marTop w:val="0"/>
                  <w:marBottom w:val="0"/>
                  <w:divBdr>
                    <w:top w:val="none" w:sz="0" w:space="0" w:color="auto"/>
                    <w:left w:val="none" w:sz="0" w:space="0" w:color="auto"/>
                    <w:bottom w:val="none" w:sz="0" w:space="0" w:color="auto"/>
                    <w:right w:val="none" w:sz="0" w:space="0" w:color="auto"/>
                  </w:divBdr>
                  <w:divsChild>
                    <w:div w:id="271013324">
                      <w:marLeft w:val="0"/>
                      <w:marRight w:val="0"/>
                      <w:marTop w:val="0"/>
                      <w:marBottom w:val="0"/>
                      <w:divBdr>
                        <w:top w:val="none" w:sz="0" w:space="0" w:color="auto"/>
                        <w:left w:val="none" w:sz="0" w:space="0" w:color="auto"/>
                        <w:bottom w:val="none" w:sz="0" w:space="0" w:color="auto"/>
                        <w:right w:val="none" w:sz="0" w:space="0" w:color="auto"/>
                      </w:divBdr>
                    </w:div>
                  </w:divsChild>
                </w:div>
                <w:div w:id="654144660">
                  <w:marLeft w:val="0"/>
                  <w:marRight w:val="0"/>
                  <w:marTop w:val="0"/>
                  <w:marBottom w:val="0"/>
                  <w:divBdr>
                    <w:top w:val="none" w:sz="0" w:space="0" w:color="auto"/>
                    <w:left w:val="none" w:sz="0" w:space="0" w:color="auto"/>
                    <w:bottom w:val="none" w:sz="0" w:space="0" w:color="auto"/>
                    <w:right w:val="none" w:sz="0" w:space="0" w:color="auto"/>
                  </w:divBdr>
                  <w:divsChild>
                    <w:div w:id="360015353">
                      <w:marLeft w:val="0"/>
                      <w:marRight w:val="0"/>
                      <w:marTop w:val="0"/>
                      <w:marBottom w:val="0"/>
                      <w:divBdr>
                        <w:top w:val="none" w:sz="0" w:space="0" w:color="auto"/>
                        <w:left w:val="none" w:sz="0" w:space="0" w:color="auto"/>
                        <w:bottom w:val="none" w:sz="0" w:space="0" w:color="auto"/>
                        <w:right w:val="none" w:sz="0" w:space="0" w:color="auto"/>
                      </w:divBdr>
                    </w:div>
                  </w:divsChild>
                </w:div>
                <w:div w:id="656421778">
                  <w:marLeft w:val="0"/>
                  <w:marRight w:val="0"/>
                  <w:marTop w:val="0"/>
                  <w:marBottom w:val="0"/>
                  <w:divBdr>
                    <w:top w:val="none" w:sz="0" w:space="0" w:color="auto"/>
                    <w:left w:val="none" w:sz="0" w:space="0" w:color="auto"/>
                    <w:bottom w:val="none" w:sz="0" w:space="0" w:color="auto"/>
                    <w:right w:val="none" w:sz="0" w:space="0" w:color="auto"/>
                  </w:divBdr>
                  <w:divsChild>
                    <w:div w:id="1039667372">
                      <w:marLeft w:val="0"/>
                      <w:marRight w:val="0"/>
                      <w:marTop w:val="0"/>
                      <w:marBottom w:val="0"/>
                      <w:divBdr>
                        <w:top w:val="none" w:sz="0" w:space="0" w:color="auto"/>
                        <w:left w:val="none" w:sz="0" w:space="0" w:color="auto"/>
                        <w:bottom w:val="none" w:sz="0" w:space="0" w:color="auto"/>
                        <w:right w:val="none" w:sz="0" w:space="0" w:color="auto"/>
                      </w:divBdr>
                    </w:div>
                  </w:divsChild>
                </w:div>
                <w:div w:id="673646808">
                  <w:marLeft w:val="0"/>
                  <w:marRight w:val="0"/>
                  <w:marTop w:val="0"/>
                  <w:marBottom w:val="0"/>
                  <w:divBdr>
                    <w:top w:val="none" w:sz="0" w:space="0" w:color="auto"/>
                    <w:left w:val="none" w:sz="0" w:space="0" w:color="auto"/>
                    <w:bottom w:val="none" w:sz="0" w:space="0" w:color="auto"/>
                    <w:right w:val="none" w:sz="0" w:space="0" w:color="auto"/>
                  </w:divBdr>
                  <w:divsChild>
                    <w:div w:id="1798789267">
                      <w:marLeft w:val="0"/>
                      <w:marRight w:val="0"/>
                      <w:marTop w:val="0"/>
                      <w:marBottom w:val="0"/>
                      <w:divBdr>
                        <w:top w:val="none" w:sz="0" w:space="0" w:color="auto"/>
                        <w:left w:val="none" w:sz="0" w:space="0" w:color="auto"/>
                        <w:bottom w:val="none" w:sz="0" w:space="0" w:color="auto"/>
                        <w:right w:val="none" w:sz="0" w:space="0" w:color="auto"/>
                      </w:divBdr>
                    </w:div>
                  </w:divsChild>
                </w:div>
                <w:div w:id="683167609">
                  <w:marLeft w:val="0"/>
                  <w:marRight w:val="0"/>
                  <w:marTop w:val="0"/>
                  <w:marBottom w:val="0"/>
                  <w:divBdr>
                    <w:top w:val="none" w:sz="0" w:space="0" w:color="auto"/>
                    <w:left w:val="none" w:sz="0" w:space="0" w:color="auto"/>
                    <w:bottom w:val="none" w:sz="0" w:space="0" w:color="auto"/>
                    <w:right w:val="none" w:sz="0" w:space="0" w:color="auto"/>
                  </w:divBdr>
                  <w:divsChild>
                    <w:div w:id="2034455942">
                      <w:marLeft w:val="0"/>
                      <w:marRight w:val="0"/>
                      <w:marTop w:val="0"/>
                      <w:marBottom w:val="0"/>
                      <w:divBdr>
                        <w:top w:val="none" w:sz="0" w:space="0" w:color="auto"/>
                        <w:left w:val="none" w:sz="0" w:space="0" w:color="auto"/>
                        <w:bottom w:val="none" w:sz="0" w:space="0" w:color="auto"/>
                        <w:right w:val="none" w:sz="0" w:space="0" w:color="auto"/>
                      </w:divBdr>
                    </w:div>
                  </w:divsChild>
                </w:div>
                <w:div w:id="687214656">
                  <w:marLeft w:val="0"/>
                  <w:marRight w:val="0"/>
                  <w:marTop w:val="0"/>
                  <w:marBottom w:val="0"/>
                  <w:divBdr>
                    <w:top w:val="none" w:sz="0" w:space="0" w:color="auto"/>
                    <w:left w:val="none" w:sz="0" w:space="0" w:color="auto"/>
                    <w:bottom w:val="none" w:sz="0" w:space="0" w:color="auto"/>
                    <w:right w:val="none" w:sz="0" w:space="0" w:color="auto"/>
                  </w:divBdr>
                  <w:divsChild>
                    <w:div w:id="284048576">
                      <w:marLeft w:val="0"/>
                      <w:marRight w:val="0"/>
                      <w:marTop w:val="0"/>
                      <w:marBottom w:val="0"/>
                      <w:divBdr>
                        <w:top w:val="none" w:sz="0" w:space="0" w:color="auto"/>
                        <w:left w:val="none" w:sz="0" w:space="0" w:color="auto"/>
                        <w:bottom w:val="none" w:sz="0" w:space="0" w:color="auto"/>
                        <w:right w:val="none" w:sz="0" w:space="0" w:color="auto"/>
                      </w:divBdr>
                    </w:div>
                  </w:divsChild>
                </w:div>
                <w:div w:id="693574780">
                  <w:marLeft w:val="0"/>
                  <w:marRight w:val="0"/>
                  <w:marTop w:val="0"/>
                  <w:marBottom w:val="0"/>
                  <w:divBdr>
                    <w:top w:val="none" w:sz="0" w:space="0" w:color="auto"/>
                    <w:left w:val="none" w:sz="0" w:space="0" w:color="auto"/>
                    <w:bottom w:val="none" w:sz="0" w:space="0" w:color="auto"/>
                    <w:right w:val="none" w:sz="0" w:space="0" w:color="auto"/>
                  </w:divBdr>
                  <w:divsChild>
                    <w:div w:id="1535776687">
                      <w:marLeft w:val="0"/>
                      <w:marRight w:val="0"/>
                      <w:marTop w:val="0"/>
                      <w:marBottom w:val="0"/>
                      <w:divBdr>
                        <w:top w:val="none" w:sz="0" w:space="0" w:color="auto"/>
                        <w:left w:val="none" w:sz="0" w:space="0" w:color="auto"/>
                        <w:bottom w:val="none" w:sz="0" w:space="0" w:color="auto"/>
                        <w:right w:val="none" w:sz="0" w:space="0" w:color="auto"/>
                      </w:divBdr>
                    </w:div>
                  </w:divsChild>
                </w:div>
                <w:div w:id="706107316">
                  <w:marLeft w:val="0"/>
                  <w:marRight w:val="0"/>
                  <w:marTop w:val="0"/>
                  <w:marBottom w:val="0"/>
                  <w:divBdr>
                    <w:top w:val="none" w:sz="0" w:space="0" w:color="auto"/>
                    <w:left w:val="none" w:sz="0" w:space="0" w:color="auto"/>
                    <w:bottom w:val="none" w:sz="0" w:space="0" w:color="auto"/>
                    <w:right w:val="none" w:sz="0" w:space="0" w:color="auto"/>
                  </w:divBdr>
                  <w:divsChild>
                    <w:div w:id="905452073">
                      <w:marLeft w:val="0"/>
                      <w:marRight w:val="0"/>
                      <w:marTop w:val="0"/>
                      <w:marBottom w:val="0"/>
                      <w:divBdr>
                        <w:top w:val="none" w:sz="0" w:space="0" w:color="auto"/>
                        <w:left w:val="none" w:sz="0" w:space="0" w:color="auto"/>
                        <w:bottom w:val="none" w:sz="0" w:space="0" w:color="auto"/>
                        <w:right w:val="none" w:sz="0" w:space="0" w:color="auto"/>
                      </w:divBdr>
                    </w:div>
                  </w:divsChild>
                </w:div>
                <w:div w:id="731580640">
                  <w:marLeft w:val="0"/>
                  <w:marRight w:val="0"/>
                  <w:marTop w:val="0"/>
                  <w:marBottom w:val="0"/>
                  <w:divBdr>
                    <w:top w:val="none" w:sz="0" w:space="0" w:color="auto"/>
                    <w:left w:val="none" w:sz="0" w:space="0" w:color="auto"/>
                    <w:bottom w:val="none" w:sz="0" w:space="0" w:color="auto"/>
                    <w:right w:val="none" w:sz="0" w:space="0" w:color="auto"/>
                  </w:divBdr>
                  <w:divsChild>
                    <w:div w:id="481849470">
                      <w:marLeft w:val="0"/>
                      <w:marRight w:val="0"/>
                      <w:marTop w:val="0"/>
                      <w:marBottom w:val="0"/>
                      <w:divBdr>
                        <w:top w:val="none" w:sz="0" w:space="0" w:color="auto"/>
                        <w:left w:val="none" w:sz="0" w:space="0" w:color="auto"/>
                        <w:bottom w:val="none" w:sz="0" w:space="0" w:color="auto"/>
                        <w:right w:val="none" w:sz="0" w:space="0" w:color="auto"/>
                      </w:divBdr>
                    </w:div>
                  </w:divsChild>
                </w:div>
                <w:div w:id="759524007">
                  <w:marLeft w:val="0"/>
                  <w:marRight w:val="0"/>
                  <w:marTop w:val="0"/>
                  <w:marBottom w:val="0"/>
                  <w:divBdr>
                    <w:top w:val="none" w:sz="0" w:space="0" w:color="auto"/>
                    <w:left w:val="none" w:sz="0" w:space="0" w:color="auto"/>
                    <w:bottom w:val="none" w:sz="0" w:space="0" w:color="auto"/>
                    <w:right w:val="none" w:sz="0" w:space="0" w:color="auto"/>
                  </w:divBdr>
                  <w:divsChild>
                    <w:div w:id="882714384">
                      <w:marLeft w:val="0"/>
                      <w:marRight w:val="0"/>
                      <w:marTop w:val="0"/>
                      <w:marBottom w:val="0"/>
                      <w:divBdr>
                        <w:top w:val="none" w:sz="0" w:space="0" w:color="auto"/>
                        <w:left w:val="none" w:sz="0" w:space="0" w:color="auto"/>
                        <w:bottom w:val="none" w:sz="0" w:space="0" w:color="auto"/>
                        <w:right w:val="none" w:sz="0" w:space="0" w:color="auto"/>
                      </w:divBdr>
                    </w:div>
                  </w:divsChild>
                </w:div>
                <w:div w:id="759910446">
                  <w:marLeft w:val="0"/>
                  <w:marRight w:val="0"/>
                  <w:marTop w:val="0"/>
                  <w:marBottom w:val="0"/>
                  <w:divBdr>
                    <w:top w:val="none" w:sz="0" w:space="0" w:color="auto"/>
                    <w:left w:val="none" w:sz="0" w:space="0" w:color="auto"/>
                    <w:bottom w:val="none" w:sz="0" w:space="0" w:color="auto"/>
                    <w:right w:val="none" w:sz="0" w:space="0" w:color="auto"/>
                  </w:divBdr>
                  <w:divsChild>
                    <w:div w:id="823012763">
                      <w:marLeft w:val="0"/>
                      <w:marRight w:val="0"/>
                      <w:marTop w:val="0"/>
                      <w:marBottom w:val="0"/>
                      <w:divBdr>
                        <w:top w:val="none" w:sz="0" w:space="0" w:color="auto"/>
                        <w:left w:val="none" w:sz="0" w:space="0" w:color="auto"/>
                        <w:bottom w:val="none" w:sz="0" w:space="0" w:color="auto"/>
                        <w:right w:val="none" w:sz="0" w:space="0" w:color="auto"/>
                      </w:divBdr>
                    </w:div>
                  </w:divsChild>
                </w:div>
                <w:div w:id="760611507">
                  <w:marLeft w:val="0"/>
                  <w:marRight w:val="0"/>
                  <w:marTop w:val="0"/>
                  <w:marBottom w:val="0"/>
                  <w:divBdr>
                    <w:top w:val="none" w:sz="0" w:space="0" w:color="auto"/>
                    <w:left w:val="none" w:sz="0" w:space="0" w:color="auto"/>
                    <w:bottom w:val="none" w:sz="0" w:space="0" w:color="auto"/>
                    <w:right w:val="none" w:sz="0" w:space="0" w:color="auto"/>
                  </w:divBdr>
                  <w:divsChild>
                    <w:div w:id="597910262">
                      <w:marLeft w:val="0"/>
                      <w:marRight w:val="0"/>
                      <w:marTop w:val="0"/>
                      <w:marBottom w:val="0"/>
                      <w:divBdr>
                        <w:top w:val="none" w:sz="0" w:space="0" w:color="auto"/>
                        <w:left w:val="none" w:sz="0" w:space="0" w:color="auto"/>
                        <w:bottom w:val="none" w:sz="0" w:space="0" w:color="auto"/>
                        <w:right w:val="none" w:sz="0" w:space="0" w:color="auto"/>
                      </w:divBdr>
                    </w:div>
                  </w:divsChild>
                </w:div>
                <w:div w:id="763191605">
                  <w:marLeft w:val="0"/>
                  <w:marRight w:val="0"/>
                  <w:marTop w:val="0"/>
                  <w:marBottom w:val="0"/>
                  <w:divBdr>
                    <w:top w:val="none" w:sz="0" w:space="0" w:color="auto"/>
                    <w:left w:val="none" w:sz="0" w:space="0" w:color="auto"/>
                    <w:bottom w:val="none" w:sz="0" w:space="0" w:color="auto"/>
                    <w:right w:val="none" w:sz="0" w:space="0" w:color="auto"/>
                  </w:divBdr>
                  <w:divsChild>
                    <w:div w:id="1699044927">
                      <w:marLeft w:val="0"/>
                      <w:marRight w:val="0"/>
                      <w:marTop w:val="0"/>
                      <w:marBottom w:val="0"/>
                      <w:divBdr>
                        <w:top w:val="none" w:sz="0" w:space="0" w:color="auto"/>
                        <w:left w:val="none" w:sz="0" w:space="0" w:color="auto"/>
                        <w:bottom w:val="none" w:sz="0" w:space="0" w:color="auto"/>
                        <w:right w:val="none" w:sz="0" w:space="0" w:color="auto"/>
                      </w:divBdr>
                    </w:div>
                  </w:divsChild>
                </w:div>
                <w:div w:id="763454245">
                  <w:marLeft w:val="0"/>
                  <w:marRight w:val="0"/>
                  <w:marTop w:val="0"/>
                  <w:marBottom w:val="0"/>
                  <w:divBdr>
                    <w:top w:val="none" w:sz="0" w:space="0" w:color="auto"/>
                    <w:left w:val="none" w:sz="0" w:space="0" w:color="auto"/>
                    <w:bottom w:val="none" w:sz="0" w:space="0" w:color="auto"/>
                    <w:right w:val="none" w:sz="0" w:space="0" w:color="auto"/>
                  </w:divBdr>
                  <w:divsChild>
                    <w:div w:id="965232896">
                      <w:marLeft w:val="0"/>
                      <w:marRight w:val="0"/>
                      <w:marTop w:val="0"/>
                      <w:marBottom w:val="0"/>
                      <w:divBdr>
                        <w:top w:val="none" w:sz="0" w:space="0" w:color="auto"/>
                        <w:left w:val="none" w:sz="0" w:space="0" w:color="auto"/>
                        <w:bottom w:val="none" w:sz="0" w:space="0" w:color="auto"/>
                        <w:right w:val="none" w:sz="0" w:space="0" w:color="auto"/>
                      </w:divBdr>
                    </w:div>
                  </w:divsChild>
                </w:div>
                <w:div w:id="774597336">
                  <w:marLeft w:val="0"/>
                  <w:marRight w:val="0"/>
                  <w:marTop w:val="0"/>
                  <w:marBottom w:val="0"/>
                  <w:divBdr>
                    <w:top w:val="none" w:sz="0" w:space="0" w:color="auto"/>
                    <w:left w:val="none" w:sz="0" w:space="0" w:color="auto"/>
                    <w:bottom w:val="none" w:sz="0" w:space="0" w:color="auto"/>
                    <w:right w:val="none" w:sz="0" w:space="0" w:color="auto"/>
                  </w:divBdr>
                  <w:divsChild>
                    <w:div w:id="1642148712">
                      <w:marLeft w:val="0"/>
                      <w:marRight w:val="0"/>
                      <w:marTop w:val="0"/>
                      <w:marBottom w:val="0"/>
                      <w:divBdr>
                        <w:top w:val="none" w:sz="0" w:space="0" w:color="auto"/>
                        <w:left w:val="none" w:sz="0" w:space="0" w:color="auto"/>
                        <w:bottom w:val="none" w:sz="0" w:space="0" w:color="auto"/>
                        <w:right w:val="none" w:sz="0" w:space="0" w:color="auto"/>
                      </w:divBdr>
                    </w:div>
                  </w:divsChild>
                </w:div>
                <w:div w:id="786045246">
                  <w:marLeft w:val="0"/>
                  <w:marRight w:val="0"/>
                  <w:marTop w:val="0"/>
                  <w:marBottom w:val="0"/>
                  <w:divBdr>
                    <w:top w:val="none" w:sz="0" w:space="0" w:color="auto"/>
                    <w:left w:val="none" w:sz="0" w:space="0" w:color="auto"/>
                    <w:bottom w:val="none" w:sz="0" w:space="0" w:color="auto"/>
                    <w:right w:val="none" w:sz="0" w:space="0" w:color="auto"/>
                  </w:divBdr>
                  <w:divsChild>
                    <w:div w:id="1412195586">
                      <w:marLeft w:val="0"/>
                      <w:marRight w:val="0"/>
                      <w:marTop w:val="0"/>
                      <w:marBottom w:val="0"/>
                      <w:divBdr>
                        <w:top w:val="none" w:sz="0" w:space="0" w:color="auto"/>
                        <w:left w:val="none" w:sz="0" w:space="0" w:color="auto"/>
                        <w:bottom w:val="none" w:sz="0" w:space="0" w:color="auto"/>
                        <w:right w:val="none" w:sz="0" w:space="0" w:color="auto"/>
                      </w:divBdr>
                    </w:div>
                  </w:divsChild>
                </w:div>
                <w:div w:id="791174624">
                  <w:marLeft w:val="0"/>
                  <w:marRight w:val="0"/>
                  <w:marTop w:val="0"/>
                  <w:marBottom w:val="0"/>
                  <w:divBdr>
                    <w:top w:val="none" w:sz="0" w:space="0" w:color="auto"/>
                    <w:left w:val="none" w:sz="0" w:space="0" w:color="auto"/>
                    <w:bottom w:val="none" w:sz="0" w:space="0" w:color="auto"/>
                    <w:right w:val="none" w:sz="0" w:space="0" w:color="auto"/>
                  </w:divBdr>
                  <w:divsChild>
                    <w:div w:id="712654400">
                      <w:marLeft w:val="0"/>
                      <w:marRight w:val="0"/>
                      <w:marTop w:val="0"/>
                      <w:marBottom w:val="0"/>
                      <w:divBdr>
                        <w:top w:val="none" w:sz="0" w:space="0" w:color="auto"/>
                        <w:left w:val="none" w:sz="0" w:space="0" w:color="auto"/>
                        <w:bottom w:val="none" w:sz="0" w:space="0" w:color="auto"/>
                        <w:right w:val="none" w:sz="0" w:space="0" w:color="auto"/>
                      </w:divBdr>
                    </w:div>
                  </w:divsChild>
                </w:div>
                <w:div w:id="800460216">
                  <w:marLeft w:val="0"/>
                  <w:marRight w:val="0"/>
                  <w:marTop w:val="0"/>
                  <w:marBottom w:val="0"/>
                  <w:divBdr>
                    <w:top w:val="none" w:sz="0" w:space="0" w:color="auto"/>
                    <w:left w:val="none" w:sz="0" w:space="0" w:color="auto"/>
                    <w:bottom w:val="none" w:sz="0" w:space="0" w:color="auto"/>
                    <w:right w:val="none" w:sz="0" w:space="0" w:color="auto"/>
                  </w:divBdr>
                  <w:divsChild>
                    <w:div w:id="1839036199">
                      <w:marLeft w:val="0"/>
                      <w:marRight w:val="0"/>
                      <w:marTop w:val="0"/>
                      <w:marBottom w:val="0"/>
                      <w:divBdr>
                        <w:top w:val="none" w:sz="0" w:space="0" w:color="auto"/>
                        <w:left w:val="none" w:sz="0" w:space="0" w:color="auto"/>
                        <w:bottom w:val="none" w:sz="0" w:space="0" w:color="auto"/>
                        <w:right w:val="none" w:sz="0" w:space="0" w:color="auto"/>
                      </w:divBdr>
                    </w:div>
                  </w:divsChild>
                </w:div>
                <w:div w:id="802187679">
                  <w:marLeft w:val="0"/>
                  <w:marRight w:val="0"/>
                  <w:marTop w:val="0"/>
                  <w:marBottom w:val="0"/>
                  <w:divBdr>
                    <w:top w:val="none" w:sz="0" w:space="0" w:color="auto"/>
                    <w:left w:val="none" w:sz="0" w:space="0" w:color="auto"/>
                    <w:bottom w:val="none" w:sz="0" w:space="0" w:color="auto"/>
                    <w:right w:val="none" w:sz="0" w:space="0" w:color="auto"/>
                  </w:divBdr>
                  <w:divsChild>
                    <w:div w:id="232934016">
                      <w:marLeft w:val="0"/>
                      <w:marRight w:val="0"/>
                      <w:marTop w:val="0"/>
                      <w:marBottom w:val="0"/>
                      <w:divBdr>
                        <w:top w:val="none" w:sz="0" w:space="0" w:color="auto"/>
                        <w:left w:val="none" w:sz="0" w:space="0" w:color="auto"/>
                        <w:bottom w:val="none" w:sz="0" w:space="0" w:color="auto"/>
                        <w:right w:val="none" w:sz="0" w:space="0" w:color="auto"/>
                      </w:divBdr>
                    </w:div>
                  </w:divsChild>
                </w:div>
                <w:div w:id="812019662">
                  <w:marLeft w:val="0"/>
                  <w:marRight w:val="0"/>
                  <w:marTop w:val="0"/>
                  <w:marBottom w:val="0"/>
                  <w:divBdr>
                    <w:top w:val="none" w:sz="0" w:space="0" w:color="auto"/>
                    <w:left w:val="none" w:sz="0" w:space="0" w:color="auto"/>
                    <w:bottom w:val="none" w:sz="0" w:space="0" w:color="auto"/>
                    <w:right w:val="none" w:sz="0" w:space="0" w:color="auto"/>
                  </w:divBdr>
                  <w:divsChild>
                    <w:div w:id="1228494458">
                      <w:marLeft w:val="0"/>
                      <w:marRight w:val="0"/>
                      <w:marTop w:val="0"/>
                      <w:marBottom w:val="0"/>
                      <w:divBdr>
                        <w:top w:val="none" w:sz="0" w:space="0" w:color="auto"/>
                        <w:left w:val="none" w:sz="0" w:space="0" w:color="auto"/>
                        <w:bottom w:val="none" w:sz="0" w:space="0" w:color="auto"/>
                        <w:right w:val="none" w:sz="0" w:space="0" w:color="auto"/>
                      </w:divBdr>
                    </w:div>
                  </w:divsChild>
                </w:div>
                <w:div w:id="822742702">
                  <w:marLeft w:val="0"/>
                  <w:marRight w:val="0"/>
                  <w:marTop w:val="0"/>
                  <w:marBottom w:val="0"/>
                  <w:divBdr>
                    <w:top w:val="none" w:sz="0" w:space="0" w:color="auto"/>
                    <w:left w:val="none" w:sz="0" w:space="0" w:color="auto"/>
                    <w:bottom w:val="none" w:sz="0" w:space="0" w:color="auto"/>
                    <w:right w:val="none" w:sz="0" w:space="0" w:color="auto"/>
                  </w:divBdr>
                  <w:divsChild>
                    <w:div w:id="1437867258">
                      <w:marLeft w:val="0"/>
                      <w:marRight w:val="0"/>
                      <w:marTop w:val="0"/>
                      <w:marBottom w:val="0"/>
                      <w:divBdr>
                        <w:top w:val="none" w:sz="0" w:space="0" w:color="auto"/>
                        <w:left w:val="none" w:sz="0" w:space="0" w:color="auto"/>
                        <w:bottom w:val="none" w:sz="0" w:space="0" w:color="auto"/>
                        <w:right w:val="none" w:sz="0" w:space="0" w:color="auto"/>
                      </w:divBdr>
                    </w:div>
                  </w:divsChild>
                </w:div>
                <w:div w:id="833254484">
                  <w:marLeft w:val="0"/>
                  <w:marRight w:val="0"/>
                  <w:marTop w:val="0"/>
                  <w:marBottom w:val="0"/>
                  <w:divBdr>
                    <w:top w:val="none" w:sz="0" w:space="0" w:color="auto"/>
                    <w:left w:val="none" w:sz="0" w:space="0" w:color="auto"/>
                    <w:bottom w:val="none" w:sz="0" w:space="0" w:color="auto"/>
                    <w:right w:val="none" w:sz="0" w:space="0" w:color="auto"/>
                  </w:divBdr>
                  <w:divsChild>
                    <w:div w:id="219362129">
                      <w:marLeft w:val="0"/>
                      <w:marRight w:val="0"/>
                      <w:marTop w:val="0"/>
                      <w:marBottom w:val="0"/>
                      <w:divBdr>
                        <w:top w:val="none" w:sz="0" w:space="0" w:color="auto"/>
                        <w:left w:val="none" w:sz="0" w:space="0" w:color="auto"/>
                        <w:bottom w:val="none" w:sz="0" w:space="0" w:color="auto"/>
                        <w:right w:val="none" w:sz="0" w:space="0" w:color="auto"/>
                      </w:divBdr>
                    </w:div>
                  </w:divsChild>
                </w:div>
                <w:div w:id="845438951">
                  <w:marLeft w:val="0"/>
                  <w:marRight w:val="0"/>
                  <w:marTop w:val="0"/>
                  <w:marBottom w:val="0"/>
                  <w:divBdr>
                    <w:top w:val="none" w:sz="0" w:space="0" w:color="auto"/>
                    <w:left w:val="none" w:sz="0" w:space="0" w:color="auto"/>
                    <w:bottom w:val="none" w:sz="0" w:space="0" w:color="auto"/>
                    <w:right w:val="none" w:sz="0" w:space="0" w:color="auto"/>
                  </w:divBdr>
                  <w:divsChild>
                    <w:div w:id="984431992">
                      <w:marLeft w:val="0"/>
                      <w:marRight w:val="0"/>
                      <w:marTop w:val="0"/>
                      <w:marBottom w:val="0"/>
                      <w:divBdr>
                        <w:top w:val="none" w:sz="0" w:space="0" w:color="auto"/>
                        <w:left w:val="none" w:sz="0" w:space="0" w:color="auto"/>
                        <w:bottom w:val="none" w:sz="0" w:space="0" w:color="auto"/>
                        <w:right w:val="none" w:sz="0" w:space="0" w:color="auto"/>
                      </w:divBdr>
                    </w:div>
                  </w:divsChild>
                </w:div>
                <w:div w:id="858007636">
                  <w:marLeft w:val="0"/>
                  <w:marRight w:val="0"/>
                  <w:marTop w:val="0"/>
                  <w:marBottom w:val="0"/>
                  <w:divBdr>
                    <w:top w:val="none" w:sz="0" w:space="0" w:color="auto"/>
                    <w:left w:val="none" w:sz="0" w:space="0" w:color="auto"/>
                    <w:bottom w:val="none" w:sz="0" w:space="0" w:color="auto"/>
                    <w:right w:val="none" w:sz="0" w:space="0" w:color="auto"/>
                  </w:divBdr>
                  <w:divsChild>
                    <w:div w:id="825319532">
                      <w:marLeft w:val="0"/>
                      <w:marRight w:val="0"/>
                      <w:marTop w:val="0"/>
                      <w:marBottom w:val="0"/>
                      <w:divBdr>
                        <w:top w:val="none" w:sz="0" w:space="0" w:color="auto"/>
                        <w:left w:val="none" w:sz="0" w:space="0" w:color="auto"/>
                        <w:bottom w:val="none" w:sz="0" w:space="0" w:color="auto"/>
                        <w:right w:val="none" w:sz="0" w:space="0" w:color="auto"/>
                      </w:divBdr>
                    </w:div>
                  </w:divsChild>
                </w:div>
                <w:div w:id="864683084">
                  <w:marLeft w:val="0"/>
                  <w:marRight w:val="0"/>
                  <w:marTop w:val="0"/>
                  <w:marBottom w:val="0"/>
                  <w:divBdr>
                    <w:top w:val="none" w:sz="0" w:space="0" w:color="auto"/>
                    <w:left w:val="none" w:sz="0" w:space="0" w:color="auto"/>
                    <w:bottom w:val="none" w:sz="0" w:space="0" w:color="auto"/>
                    <w:right w:val="none" w:sz="0" w:space="0" w:color="auto"/>
                  </w:divBdr>
                  <w:divsChild>
                    <w:div w:id="820775157">
                      <w:marLeft w:val="0"/>
                      <w:marRight w:val="0"/>
                      <w:marTop w:val="0"/>
                      <w:marBottom w:val="0"/>
                      <w:divBdr>
                        <w:top w:val="none" w:sz="0" w:space="0" w:color="auto"/>
                        <w:left w:val="none" w:sz="0" w:space="0" w:color="auto"/>
                        <w:bottom w:val="none" w:sz="0" w:space="0" w:color="auto"/>
                        <w:right w:val="none" w:sz="0" w:space="0" w:color="auto"/>
                      </w:divBdr>
                    </w:div>
                  </w:divsChild>
                </w:div>
                <w:div w:id="880628942">
                  <w:marLeft w:val="0"/>
                  <w:marRight w:val="0"/>
                  <w:marTop w:val="0"/>
                  <w:marBottom w:val="0"/>
                  <w:divBdr>
                    <w:top w:val="none" w:sz="0" w:space="0" w:color="auto"/>
                    <w:left w:val="none" w:sz="0" w:space="0" w:color="auto"/>
                    <w:bottom w:val="none" w:sz="0" w:space="0" w:color="auto"/>
                    <w:right w:val="none" w:sz="0" w:space="0" w:color="auto"/>
                  </w:divBdr>
                  <w:divsChild>
                    <w:div w:id="176047887">
                      <w:marLeft w:val="0"/>
                      <w:marRight w:val="0"/>
                      <w:marTop w:val="0"/>
                      <w:marBottom w:val="0"/>
                      <w:divBdr>
                        <w:top w:val="none" w:sz="0" w:space="0" w:color="auto"/>
                        <w:left w:val="none" w:sz="0" w:space="0" w:color="auto"/>
                        <w:bottom w:val="none" w:sz="0" w:space="0" w:color="auto"/>
                        <w:right w:val="none" w:sz="0" w:space="0" w:color="auto"/>
                      </w:divBdr>
                    </w:div>
                  </w:divsChild>
                </w:div>
                <w:div w:id="881013229">
                  <w:marLeft w:val="0"/>
                  <w:marRight w:val="0"/>
                  <w:marTop w:val="0"/>
                  <w:marBottom w:val="0"/>
                  <w:divBdr>
                    <w:top w:val="none" w:sz="0" w:space="0" w:color="auto"/>
                    <w:left w:val="none" w:sz="0" w:space="0" w:color="auto"/>
                    <w:bottom w:val="none" w:sz="0" w:space="0" w:color="auto"/>
                    <w:right w:val="none" w:sz="0" w:space="0" w:color="auto"/>
                  </w:divBdr>
                  <w:divsChild>
                    <w:div w:id="571697791">
                      <w:marLeft w:val="0"/>
                      <w:marRight w:val="0"/>
                      <w:marTop w:val="0"/>
                      <w:marBottom w:val="0"/>
                      <w:divBdr>
                        <w:top w:val="none" w:sz="0" w:space="0" w:color="auto"/>
                        <w:left w:val="none" w:sz="0" w:space="0" w:color="auto"/>
                        <w:bottom w:val="none" w:sz="0" w:space="0" w:color="auto"/>
                        <w:right w:val="none" w:sz="0" w:space="0" w:color="auto"/>
                      </w:divBdr>
                    </w:div>
                  </w:divsChild>
                </w:div>
                <w:div w:id="907497865">
                  <w:marLeft w:val="0"/>
                  <w:marRight w:val="0"/>
                  <w:marTop w:val="0"/>
                  <w:marBottom w:val="0"/>
                  <w:divBdr>
                    <w:top w:val="none" w:sz="0" w:space="0" w:color="auto"/>
                    <w:left w:val="none" w:sz="0" w:space="0" w:color="auto"/>
                    <w:bottom w:val="none" w:sz="0" w:space="0" w:color="auto"/>
                    <w:right w:val="none" w:sz="0" w:space="0" w:color="auto"/>
                  </w:divBdr>
                  <w:divsChild>
                    <w:div w:id="1481383089">
                      <w:marLeft w:val="0"/>
                      <w:marRight w:val="0"/>
                      <w:marTop w:val="0"/>
                      <w:marBottom w:val="0"/>
                      <w:divBdr>
                        <w:top w:val="none" w:sz="0" w:space="0" w:color="auto"/>
                        <w:left w:val="none" w:sz="0" w:space="0" w:color="auto"/>
                        <w:bottom w:val="none" w:sz="0" w:space="0" w:color="auto"/>
                        <w:right w:val="none" w:sz="0" w:space="0" w:color="auto"/>
                      </w:divBdr>
                    </w:div>
                  </w:divsChild>
                </w:div>
                <w:div w:id="910652954">
                  <w:marLeft w:val="0"/>
                  <w:marRight w:val="0"/>
                  <w:marTop w:val="0"/>
                  <w:marBottom w:val="0"/>
                  <w:divBdr>
                    <w:top w:val="none" w:sz="0" w:space="0" w:color="auto"/>
                    <w:left w:val="none" w:sz="0" w:space="0" w:color="auto"/>
                    <w:bottom w:val="none" w:sz="0" w:space="0" w:color="auto"/>
                    <w:right w:val="none" w:sz="0" w:space="0" w:color="auto"/>
                  </w:divBdr>
                  <w:divsChild>
                    <w:div w:id="1635987007">
                      <w:marLeft w:val="0"/>
                      <w:marRight w:val="0"/>
                      <w:marTop w:val="0"/>
                      <w:marBottom w:val="0"/>
                      <w:divBdr>
                        <w:top w:val="none" w:sz="0" w:space="0" w:color="auto"/>
                        <w:left w:val="none" w:sz="0" w:space="0" w:color="auto"/>
                        <w:bottom w:val="none" w:sz="0" w:space="0" w:color="auto"/>
                        <w:right w:val="none" w:sz="0" w:space="0" w:color="auto"/>
                      </w:divBdr>
                    </w:div>
                  </w:divsChild>
                </w:div>
                <w:div w:id="910888411">
                  <w:marLeft w:val="0"/>
                  <w:marRight w:val="0"/>
                  <w:marTop w:val="0"/>
                  <w:marBottom w:val="0"/>
                  <w:divBdr>
                    <w:top w:val="none" w:sz="0" w:space="0" w:color="auto"/>
                    <w:left w:val="none" w:sz="0" w:space="0" w:color="auto"/>
                    <w:bottom w:val="none" w:sz="0" w:space="0" w:color="auto"/>
                    <w:right w:val="none" w:sz="0" w:space="0" w:color="auto"/>
                  </w:divBdr>
                  <w:divsChild>
                    <w:div w:id="2138640683">
                      <w:marLeft w:val="0"/>
                      <w:marRight w:val="0"/>
                      <w:marTop w:val="0"/>
                      <w:marBottom w:val="0"/>
                      <w:divBdr>
                        <w:top w:val="none" w:sz="0" w:space="0" w:color="auto"/>
                        <w:left w:val="none" w:sz="0" w:space="0" w:color="auto"/>
                        <w:bottom w:val="none" w:sz="0" w:space="0" w:color="auto"/>
                        <w:right w:val="none" w:sz="0" w:space="0" w:color="auto"/>
                      </w:divBdr>
                    </w:div>
                  </w:divsChild>
                </w:div>
                <w:div w:id="918293638">
                  <w:marLeft w:val="0"/>
                  <w:marRight w:val="0"/>
                  <w:marTop w:val="0"/>
                  <w:marBottom w:val="0"/>
                  <w:divBdr>
                    <w:top w:val="none" w:sz="0" w:space="0" w:color="auto"/>
                    <w:left w:val="none" w:sz="0" w:space="0" w:color="auto"/>
                    <w:bottom w:val="none" w:sz="0" w:space="0" w:color="auto"/>
                    <w:right w:val="none" w:sz="0" w:space="0" w:color="auto"/>
                  </w:divBdr>
                  <w:divsChild>
                    <w:div w:id="1726178139">
                      <w:marLeft w:val="0"/>
                      <w:marRight w:val="0"/>
                      <w:marTop w:val="0"/>
                      <w:marBottom w:val="0"/>
                      <w:divBdr>
                        <w:top w:val="none" w:sz="0" w:space="0" w:color="auto"/>
                        <w:left w:val="none" w:sz="0" w:space="0" w:color="auto"/>
                        <w:bottom w:val="none" w:sz="0" w:space="0" w:color="auto"/>
                        <w:right w:val="none" w:sz="0" w:space="0" w:color="auto"/>
                      </w:divBdr>
                    </w:div>
                  </w:divsChild>
                </w:div>
                <w:div w:id="921910959">
                  <w:marLeft w:val="0"/>
                  <w:marRight w:val="0"/>
                  <w:marTop w:val="0"/>
                  <w:marBottom w:val="0"/>
                  <w:divBdr>
                    <w:top w:val="none" w:sz="0" w:space="0" w:color="auto"/>
                    <w:left w:val="none" w:sz="0" w:space="0" w:color="auto"/>
                    <w:bottom w:val="none" w:sz="0" w:space="0" w:color="auto"/>
                    <w:right w:val="none" w:sz="0" w:space="0" w:color="auto"/>
                  </w:divBdr>
                  <w:divsChild>
                    <w:div w:id="1748530789">
                      <w:marLeft w:val="0"/>
                      <w:marRight w:val="0"/>
                      <w:marTop w:val="0"/>
                      <w:marBottom w:val="0"/>
                      <w:divBdr>
                        <w:top w:val="none" w:sz="0" w:space="0" w:color="auto"/>
                        <w:left w:val="none" w:sz="0" w:space="0" w:color="auto"/>
                        <w:bottom w:val="none" w:sz="0" w:space="0" w:color="auto"/>
                        <w:right w:val="none" w:sz="0" w:space="0" w:color="auto"/>
                      </w:divBdr>
                    </w:div>
                  </w:divsChild>
                </w:div>
                <w:div w:id="924801620">
                  <w:marLeft w:val="0"/>
                  <w:marRight w:val="0"/>
                  <w:marTop w:val="0"/>
                  <w:marBottom w:val="0"/>
                  <w:divBdr>
                    <w:top w:val="none" w:sz="0" w:space="0" w:color="auto"/>
                    <w:left w:val="none" w:sz="0" w:space="0" w:color="auto"/>
                    <w:bottom w:val="none" w:sz="0" w:space="0" w:color="auto"/>
                    <w:right w:val="none" w:sz="0" w:space="0" w:color="auto"/>
                  </w:divBdr>
                  <w:divsChild>
                    <w:div w:id="1950160172">
                      <w:marLeft w:val="0"/>
                      <w:marRight w:val="0"/>
                      <w:marTop w:val="0"/>
                      <w:marBottom w:val="0"/>
                      <w:divBdr>
                        <w:top w:val="none" w:sz="0" w:space="0" w:color="auto"/>
                        <w:left w:val="none" w:sz="0" w:space="0" w:color="auto"/>
                        <w:bottom w:val="none" w:sz="0" w:space="0" w:color="auto"/>
                        <w:right w:val="none" w:sz="0" w:space="0" w:color="auto"/>
                      </w:divBdr>
                    </w:div>
                  </w:divsChild>
                </w:div>
                <w:div w:id="954016918">
                  <w:marLeft w:val="0"/>
                  <w:marRight w:val="0"/>
                  <w:marTop w:val="0"/>
                  <w:marBottom w:val="0"/>
                  <w:divBdr>
                    <w:top w:val="none" w:sz="0" w:space="0" w:color="auto"/>
                    <w:left w:val="none" w:sz="0" w:space="0" w:color="auto"/>
                    <w:bottom w:val="none" w:sz="0" w:space="0" w:color="auto"/>
                    <w:right w:val="none" w:sz="0" w:space="0" w:color="auto"/>
                  </w:divBdr>
                  <w:divsChild>
                    <w:div w:id="1911041202">
                      <w:marLeft w:val="0"/>
                      <w:marRight w:val="0"/>
                      <w:marTop w:val="0"/>
                      <w:marBottom w:val="0"/>
                      <w:divBdr>
                        <w:top w:val="none" w:sz="0" w:space="0" w:color="auto"/>
                        <w:left w:val="none" w:sz="0" w:space="0" w:color="auto"/>
                        <w:bottom w:val="none" w:sz="0" w:space="0" w:color="auto"/>
                        <w:right w:val="none" w:sz="0" w:space="0" w:color="auto"/>
                      </w:divBdr>
                    </w:div>
                  </w:divsChild>
                </w:div>
                <w:div w:id="960113035">
                  <w:marLeft w:val="0"/>
                  <w:marRight w:val="0"/>
                  <w:marTop w:val="0"/>
                  <w:marBottom w:val="0"/>
                  <w:divBdr>
                    <w:top w:val="none" w:sz="0" w:space="0" w:color="auto"/>
                    <w:left w:val="none" w:sz="0" w:space="0" w:color="auto"/>
                    <w:bottom w:val="none" w:sz="0" w:space="0" w:color="auto"/>
                    <w:right w:val="none" w:sz="0" w:space="0" w:color="auto"/>
                  </w:divBdr>
                  <w:divsChild>
                    <w:div w:id="1435898766">
                      <w:marLeft w:val="0"/>
                      <w:marRight w:val="0"/>
                      <w:marTop w:val="0"/>
                      <w:marBottom w:val="0"/>
                      <w:divBdr>
                        <w:top w:val="none" w:sz="0" w:space="0" w:color="auto"/>
                        <w:left w:val="none" w:sz="0" w:space="0" w:color="auto"/>
                        <w:bottom w:val="none" w:sz="0" w:space="0" w:color="auto"/>
                        <w:right w:val="none" w:sz="0" w:space="0" w:color="auto"/>
                      </w:divBdr>
                    </w:div>
                  </w:divsChild>
                </w:div>
                <w:div w:id="964120728">
                  <w:marLeft w:val="0"/>
                  <w:marRight w:val="0"/>
                  <w:marTop w:val="0"/>
                  <w:marBottom w:val="0"/>
                  <w:divBdr>
                    <w:top w:val="none" w:sz="0" w:space="0" w:color="auto"/>
                    <w:left w:val="none" w:sz="0" w:space="0" w:color="auto"/>
                    <w:bottom w:val="none" w:sz="0" w:space="0" w:color="auto"/>
                    <w:right w:val="none" w:sz="0" w:space="0" w:color="auto"/>
                  </w:divBdr>
                  <w:divsChild>
                    <w:div w:id="1344936616">
                      <w:marLeft w:val="0"/>
                      <w:marRight w:val="0"/>
                      <w:marTop w:val="0"/>
                      <w:marBottom w:val="0"/>
                      <w:divBdr>
                        <w:top w:val="none" w:sz="0" w:space="0" w:color="auto"/>
                        <w:left w:val="none" w:sz="0" w:space="0" w:color="auto"/>
                        <w:bottom w:val="none" w:sz="0" w:space="0" w:color="auto"/>
                        <w:right w:val="none" w:sz="0" w:space="0" w:color="auto"/>
                      </w:divBdr>
                    </w:div>
                  </w:divsChild>
                </w:div>
                <w:div w:id="977027950">
                  <w:marLeft w:val="0"/>
                  <w:marRight w:val="0"/>
                  <w:marTop w:val="0"/>
                  <w:marBottom w:val="0"/>
                  <w:divBdr>
                    <w:top w:val="none" w:sz="0" w:space="0" w:color="auto"/>
                    <w:left w:val="none" w:sz="0" w:space="0" w:color="auto"/>
                    <w:bottom w:val="none" w:sz="0" w:space="0" w:color="auto"/>
                    <w:right w:val="none" w:sz="0" w:space="0" w:color="auto"/>
                  </w:divBdr>
                  <w:divsChild>
                    <w:div w:id="1566528689">
                      <w:marLeft w:val="0"/>
                      <w:marRight w:val="0"/>
                      <w:marTop w:val="0"/>
                      <w:marBottom w:val="0"/>
                      <w:divBdr>
                        <w:top w:val="none" w:sz="0" w:space="0" w:color="auto"/>
                        <w:left w:val="none" w:sz="0" w:space="0" w:color="auto"/>
                        <w:bottom w:val="none" w:sz="0" w:space="0" w:color="auto"/>
                        <w:right w:val="none" w:sz="0" w:space="0" w:color="auto"/>
                      </w:divBdr>
                    </w:div>
                  </w:divsChild>
                </w:div>
                <w:div w:id="981885036">
                  <w:marLeft w:val="0"/>
                  <w:marRight w:val="0"/>
                  <w:marTop w:val="0"/>
                  <w:marBottom w:val="0"/>
                  <w:divBdr>
                    <w:top w:val="none" w:sz="0" w:space="0" w:color="auto"/>
                    <w:left w:val="none" w:sz="0" w:space="0" w:color="auto"/>
                    <w:bottom w:val="none" w:sz="0" w:space="0" w:color="auto"/>
                    <w:right w:val="none" w:sz="0" w:space="0" w:color="auto"/>
                  </w:divBdr>
                  <w:divsChild>
                    <w:div w:id="1818568051">
                      <w:marLeft w:val="0"/>
                      <w:marRight w:val="0"/>
                      <w:marTop w:val="0"/>
                      <w:marBottom w:val="0"/>
                      <w:divBdr>
                        <w:top w:val="none" w:sz="0" w:space="0" w:color="auto"/>
                        <w:left w:val="none" w:sz="0" w:space="0" w:color="auto"/>
                        <w:bottom w:val="none" w:sz="0" w:space="0" w:color="auto"/>
                        <w:right w:val="none" w:sz="0" w:space="0" w:color="auto"/>
                      </w:divBdr>
                    </w:div>
                  </w:divsChild>
                </w:div>
                <w:div w:id="994576527">
                  <w:marLeft w:val="0"/>
                  <w:marRight w:val="0"/>
                  <w:marTop w:val="0"/>
                  <w:marBottom w:val="0"/>
                  <w:divBdr>
                    <w:top w:val="none" w:sz="0" w:space="0" w:color="auto"/>
                    <w:left w:val="none" w:sz="0" w:space="0" w:color="auto"/>
                    <w:bottom w:val="none" w:sz="0" w:space="0" w:color="auto"/>
                    <w:right w:val="none" w:sz="0" w:space="0" w:color="auto"/>
                  </w:divBdr>
                  <w:divsChild>
                    <w:div w:id="1848716292">
                      <w:marLeft w:val="0"/>
                      <w:marRight w:val="0"/>
                      <w:marTop w:val="0"/>
                      <w:marBottom w:val="0"/>
                      <w:divBdr>
                        <w:top w:val="none" w:sz="0" w:space="0" w:color="auto"/>
                        <w:left w:val="none" w:sz="0" w:space="0" w:color="auto"/>
                        <w:bottom w:val="none" w:sz="0" w:space="0" w:color="auto"/>
                        <w:right w:val="none" w:sz="0" w:space="0" w:color="auto"/>
                      </w:divBdr>
                    </w:div>
                  </w:divsChild>
                </w:div>
                <w:div w:id="995568023">
                  <w:marLeft w:val="0"/>
                  <w:marRight w:val="0"/>
                  <w:marTop w:val="0"/>
                  <w:marBottom w:val="0"/>
                  <w:divBdr>
                    <w:top w:val="none" w:sz="0" w:space="0" w:color="auto"/>
                    <w:left w:val="none" w:sz="0" w:space="0" w:color="auto"/>
                    <w:bottom w:val="none" w:sz="0" w:space="0" w:color="auto"/>
                    <w:right w:val="none" w:sz="0" w:space="0" w:color="auto"/>
                  </w:divBdr>
                  <w:divsChild>
                    <w:div w:id="654451032">
                      <w:marLeft w:val="0"/>
                      <w:marRight w:val="0"/>
                      <w:marTop w:val="0"/>
                      <w:marBottom w:val="0"/>
                      <w:divBdr>
                        <w:top w:val="none" w:sz="0" w:space="0" w:color="auto"/>
                        <w:left w:val="none" w:sz="0" w:space="0" w:color="auto"/>
                        <w:bottom w:val="none" w:sz="0" w:space="0" w:color="auto"/>
                        <w:right w:val="none" w:sz="0" w:space="0" w:color="auto"/>
                      </w:divBdr>
                    </w:div>
                  </w:divsChild>
                </w:div>
                <w:div w:id="1020738098">
                  <w:marLeft w:val="0"/>
                  <w:marRight w:val="0"/>
                  <w:marTop w:val="0"/>
                  <w:marBottom w:val="0"/>
                  <w:divBdr>
                    <w:top w:val="none" w:sz="0" w:space="0" w:color="auto"/>
                    <w:left w:val="none" w:sz="0" w:space="0" w:color="auto"/>
                    <w:bottom w:val="none" w:sz="0" w:space="0" w:color="auto"/>
                    <w:right w:val="none" w:sz="0" w:space="0" w:color="auto"/>
                  </w:divBdr>
                  <w:divsChild>
                    <w:div w:id="201097140">
                      <w:marLeft w:val="0"/>
                      <w:marRight w:val="0"/>
                      <w:marTop w:val="0"/>
                      <w:marBottom w:val="0"/>
                      <w:divBdr>
                        <w:top w:val="none" w:sz="0" w:space="0" w:color="auto"/>
                        <w:left w:val="none" w:sz="0" w:space="0" w:color="auto"/>
                        <w:bottom w:val="none" w:sz="0" w:space="0" w:color="auto"/>
                        <w:right w:val="none" w:sz="0" w:space="0" w:color="auto"/>
                      </w:divBdr>
                    </w:div>
                  </w:divsChild>
                </w:div>
                <w:div w:id="1031687156">
                  <w:marLeft w:val="0"/>
                  <w:marRight w:val="0"/>
                  <w:marTop w:val="0"/>
                  <w:marBottom w:val="0"/>
                  <w:divBdr>
                    <w:top w:val="none" w:sz="0" w:space="0" w:color="auto"/>
                    <w:left w:val="none" w:sz="0" w:space="0" w:color="auto"/>
                    <w:bottom w:val="none" w:sz="0" w:space="0" w:color="auto"/>
                    <w:right w:val="none" w:sz="0" w:space="0" w:color="auto"/>
                  </w:divBdr>
                  <w:divsChild>
                    <w:div w:id="2098792570">
                      <w:marLeft w:val="0"/>
                      <w:marRight w:val="0"/>
                      <w:marTop w:val="0"/>
                      <w:marBottom w:val="0"/>
                      <w:divBdr>
                        <w:top w:val="none" w:sz="0" w:space="0" w:color="auto"/>
                        <w:left w:val="none" w:sz="0" w:space="0" w:color="auto"/>
                        <w:bottom w:val="none" w:sz="0" w:space="0" w:color="auto"/>
                        <w:right w:val="none" w:sz="0" w:space="0" w:color="auto"/>
                      </w:divBdr>
                    </w:div>
                  </w:divsChild>
                </w:div>
                <w:div w:id="1041520228">
                  <w:marLeft w:val="0"/>
                  <w:marRight w:val="0"/>
                  <w:marTop w:val="0"/>
                  <w:marBottom w:val="0"/>
                  <w:divBdr>
                    <w:top w:val="none" w:sz="0" w:space="0" w:color="auto"/>
                    <w:left w:val="none" w:sz="0" w:space="0" w:color="auto"/>
                    <w:bottom w:val="none" w:sz="0" w:space="0" w:color="auto"/>
                    <w:right w:val="none" w:sz="0" w:space="0" w:color="auto"/>
                  </w:divBdr>
                  <w:divsChild>
                    <w:div w:id="2081320786">
                      <w:marLeft w:val="0"/>
                      <w:marRight w:val="0"/>
                      <w:marTop w:val="0"/>
                      <w:marBottom w:val="0"/>
                      <w:divBdr>
                        <w:top w:val="none" w:sz="0" w:space="0" w:color="auto"/>
                        <w:left w:val="none" w:sz="0" w:space="0" w:color="auto"/>
                        <w:bottom w:val="none" w:sz="0" w:space="0" w:color="auto"/>
                        <w:right w:val="none" w:sz="0" w:space="0" w:color="auto"/>
                      </w:divBdr>
                    </w:div>
                  </w:divsChild>
                </w:div>
                <w:div w:id="1042903643">
                  <w:marLeft w:val="0"/>
                  <w:marRight w:val="0"/>
                  <w:marTop w:val="0"/>
                  <w:marBottom w:val="0"/>
                  <w:divBdr>
                    <w:top w:val="none" w:sz="0" w:space="0" w:color="auto"/>
                    <w:left w:val="none" w:sz="0" w:space="0" w:color="auto"/>
                    <w:bottom w:val="none" w:sz="0" w:space="0" w:color="auto"/>
                    <w:right w:val="none" w:sz="0" w:space="0" w:color="auto"/>
                  </w:divBdr>
                  <w:divsChild>
                    <w:div w:id="649559868">
                      <w:marLeft w:val="0"/>
                      <w:marRight w:val="0"/>
                      <w:marTop w:val="0"/>
                      <w:marBottom w:val="0"/>
                      <w:divBdr>
                        <w:top w:val="none" w:sz="0" w:space="0" w:color="auto"/>
                        <w:left w:val="none" w:sz="0" w:space="0" w:color="auto"/>
                        <w:bottom w:val="none" w:sz="0" w:space="0" w:color="auto"/>
                        <w:right w:val="none" w:sz="0" w:space="0" w:color="auto"/>
                      </w:divBdr>
                    </w:div>
                  </w:divsChild>
                </w:div>
                <w:div w:id="1046754495">
                  <w:marLeft w:val="0"/>
                  <w:marRight w:val="0"/>
                  <w:marTop w:val="0"/>
                  <w:marBottom w:val="0"/>
                  <w:divBdr>
                    <w:top w:val="none" w:sz="0" w:space="0" w:color="auto"/>
                    <w:left w:val="none" w:sz="0" w:space="0" w:color="auto"/>
                    <w:bottom w:val="none" w:sz="0" w:space="0" w:color="auto"/>
                    <w:right w:val="none" w:sz="0" w:space="0" w:color="auto"/>
                  </w:divBdr>
                  <w:divsChild>
                    <w:div w:id="2112696025">
                      <w:marLeft w:val="0"/>
                      <w:marRight w:val="0"/>
                      <w:marTop w:val="0"/>
                      <w:marBottom w:val="0"/>
                      <w:divBdr>
                        <w:top w:val="none" w:sz="0" w:space="0" w:color="auto"/>
                        <w:left w:val="none" w:sz="0" w:space="0" w:color="auto"/>
                        <w:bottom w:val="none" w:sz="0" w:space="0" w:color="auto"/>
                        <w:right w:val="none" w:sz="0" w:space="0" w:color="auto"/>
                      </w:divBdr>
                    </w:div>
                  </w:divsChild>
                </w:div>
                <w:div w:id="1060398999">
                  <w:marLeft w:val="0"/>
                  <w:marRight w:val="0"/>
                  <w:marTop w:val="0"/>
                  <w:marBottom w:val="0"/>
                  <w:divBdr>
                    <w:top w:val="none" w:sz="0" w:space="0" w:color="auto"/>
                    <w:left w:val="none" w:sz="0" w:space="0" w:color="auto"/>
                    <w:bottom w:val="none" w:sz="0" w:space="0" w:color="auto"/>
                    <w:right w:val="none" w:sz="0" w:space="0" w:color="auto"/>
                  </w:divBdr>
                  <w:divsChild>
                    <w:div w:id="1497302959">
                      <w:marLeft w:val="0"/>
                      <w:marRight w:val="0"/>
                      <w:marTop w:val="0"/>
                      <w:marBottom w:val="0"/>
                      <w:divBdr>
                        <w:top w:val="none" w:sz="0" w:space="0" w:color="auto"/>
                        <w:left w:val="none" w:sz="0" w:space="0" w:color="auto"/>
                        <w:bottom w:val="none" w:sz="0" w:space="0" w:color="auto"/>
                        <w:right w:val="none" w:sz="0" w:space="0" w:color="auto"/>
                      </w:divBdr>
                    </w:div>
                  </w:divsChild>
                </w:div>
                <w:div w:id="1089889649">
                  <w:marLeft w:val="0"/>
                  <w:marRight w:val="0"/>
                  <w:marTop w:val="0"/>
                  <w:marBottom w:val="0"/>
                  <w:divBdr>
                    <w:top w:val="none" w:sz="0" w:space="0" w:color="auto"/>
                    <w:left w:val="none" w:sz="0" w:space="0" w:color="auto"/>
                    <w:bottom w:val="none" w:sz="0" w:space="0" w:color="auto"/>
                    <w:right w:val="none" w:sz="0" w:space="0" w:color="auto"/>
                  </w:divBdr>
                  <w:divsChild>
                    <w:div w:id="1603415338">
                      <w:marLeft w:val="0"/>
                      <w:marRight w:val="0"/>
                      <w:marTop w:val="0"/>
                      <w:marBottom w:val="0"/>
                      <w:divBdr>
                        <w:top w:val="none" w:sz="0" w:space="0" w:color="auto"/>
                        <w:left w:val="none" w:sz="0" w:space="0" w:color="auto"/>
                        <w:bottom w:val="none" w:sz="0" w:space="0" w:color="auto"/>
                        <w:right w:val="none" w:sz="0" w:space="0" w:color="auto"/>
                      </w:divBdr>
                    </w:div>
                  </w:divsChild>
                </w:div>
                <w:div w:id="1106775909">
                  <w:marLeft w:val="0"/>
                  <w:marRight w:val="0"/>
                  <w:marTop w:val="0"/>
                  <w:marBottom w:val="0"/>
                  <w:divBdr>
                    <w:top w:val="none" w:sz="0" w:space="0" w:color="auto"/>
                    <w:left w:val="none" w:sz="0" w:space="0" w:color="auto"/>
                    <w:bottom w:val="none" w:sz="0" w:space="0" w:color="auto"/>
                    <w:right w:val="none" w:sz="0" w:space="0" w:color="auto"/>
                  </w:divBdr>
                  <w:divsChild>
                    <w:div w:id="677082796">
                      <w:marLeft w:val="0"/>
                      <w:marRight w:val="0"/>
                      <w:marTop w:val="0"/>
                      <w:marBottom w:val="0"/>
                      <w:divBdr>
                        <w:top w:val="none" w:sz="0" w:space="0" w:color="auto"/>
                        <w:left w:val="none" w:sz="0" w:space="0" w:color="auto"/>
                        <w:bottom w:val="none" w:sz="0" w:space="0" w:color="auto"/>
                        <w:right w:val="none" w:sz="0" w:space="0" w:color="auto"/>
                      </w:divBdr>
                    </w:div>
                  </w:divsChild>
                </w:div>
                <w:div w:id="1122726096">
                  <w:marLeft w:val="0"/>
                  <w:marRight w:val="0"/>
                  <w:marTop w:val="0"/>
                  <w:marBottom w:val="0"/>
                  <w:divBdr>
                    <w:top w:val="none" w:sz="0" w:space="0" w:color="auto"/>
                    <w:left w:val="none" w:sz="0" w:space="0" w:color="auto"/>
                    <w:bottom w:val="none" w:sz="0" w:space="0" w:color="auto"/>
                    <w:right w:val="none" w:sz="0" w:space="0" w:color="auto"/>
                  </w:divBdr>
                  <w:divsChild>
                    <w:div w:id="630985084">
                      <w:marLeft w:val="0"/>
                      <w:marRight w:val="0"/>
                      <w:marTop w:val="0"/>
                      <w:marBottom w:val="0"/>
                      <w:divBdr>
                        <w:top w:val="none" w:sz="0" w:space="0" w:color="auto"/>
                        <w:left w:val="none" w:sz="0" w:space="0" w:color="auto"/>
                        <w:bottom w:val="none" w:sz="0" w:space="0" w:color="auto"/>
                        <w:right w:val="none" w:sz="0" w:space="0" w:color="auto"/>
                      </w:divBdr>
                    </w:div>
                  </w:divsChild>
                </w:div>
                <w:div w:id="1125854961">
                  <w:marLeft w:val="0"/>
                  <w:marRight w:val="0"/>
                  <w:marTop w:val="0"/>
                  <w:marBottom w:val="0"/>
                  <w:divBdr>
                    <w:top w:val="none" w:sz="0" w:space="0" w:color="auto"/>
                    <w:left w:val="none" w:sz="0" w:space="0" w:color="auto"/>
                    <w:bottom w:val="none" w:sz="0" w:space="0" w:color="auto"/>
                    <w:right w:val="none" w:sz="0" w:space="0" w:color="auto"/>
                  </w:divBdr>
                  <w:divsChild>
                    <w:div w:id="334263579">
                      <w:marLeft w:val="0"/>
                      <w:marRight w:val="0"/>
                      <w:marTop w:val="0"/>
                      <w:marBottom w:val="0"/>
                      <w:divBdr>
                        <w:top w:val="none" w:sz="0" w:space="0" w:color="auto"/>
                        <w:left w:val="none" w:sz="0" w:space="0" w:color="auto"/>
                        <w:bottom w:val="none" w:sz="0" w:space="0" w:color="auto"/>
                        <w:right w:val="none" w:sz="0" w:space="0" w:color="auto"/>
                      </w:divBdr>
                    </w:div>
                  </w:divsChild>
                </w:div>
                <w:div w:id="1135829870">
                  <w:marLeft w:val="0"/>
                  <w:marRight w:val="0"/>
                  <w:marTop w:val="0"/>
                  <w:marBottom w:val="0"/>
                  <w:divBdr>
                    <w:top w:val="none" w:sz="0" w:space="0" w:color="auto"/>
                    <w:left w:val="none" w:sz="0" w:space="0" w:color="auto"/>
                    <w:bottom w:val="none" w:sz="0" w:space="0" w:color="auto"/>
                    <w:right w:val="none" w:sz="0" w:space="0" w:color="auto"/>
                  </w:divBdr>
                  <w:divsChild>
                    <w:div w:id="779840545">
                      <w:marLeft w:val="0"/>
                      <w:marRight w:val="0"/>
                      <w:marTop w:val="0"/>
                      <w:marBottom w:val="0"/>
                      <w:divBdr>
                        <w:top w:val="none" w:sz="0" w:space="0" w:color="auto"/>
                        <w:left w:val="none" w:sz="0" w:space="0" w:color="auto"/>
                        <w:bottom w:val="none" w:sz="0" w:space="0" w:color="auto"/>
                        <w:right w:val="none" w:sz="0" w:space="0" w:color="auto"/>
                      </w:divBdr>
                    </w:div>
                  </w:divsChild>
                </w:div>
                <w:div w:id="1152140492">
                  <w:marLeft w:val="0"/>
                  <w:marRight w:val="0"/>
                  <w:marTop w:val="0"/>
                  <w:marBottom w:val="0"/>
                  <w:divBdr>
                    <w:top w:val="none" w:sz="0" w:space="0" w:color="auto"/>
                    <w:left w:val="none" w:sz="0" w:space="0" w:color="auto"/>
                    <w:bottom w:val="none" w:sz="0" w:space="0" w:color="auto"/>
                    <w:right w:val="none" w:sz="0" w:space="0" w:color="auto"/>
                  </w:divBdr>
                  <w:divsChild>
                    <w:div w:id="909659767">
                      <w:marLeft w:val="0"/>
                      <w:marRight w:val="0"/>
                      <w:marTop w:val="0"/>
                      <w:marBottom w:val="0"/>
                      <w:divBdr>
                        <w:top w:val="none" w:sz="0" w:space="0" w:color="auto"/>
                        <w:left w:val="none" w:sz="0" w:space="0" w:color="auto"/>
                        <w:bottom w:val="none" w:sz="0" w:space="0" w:color="auto"/>
                        <w:right w:val="none" w:sz="0" w:space="0" w:color="auto"/>
                      </w:divBdr>
                    </w:div>
                  </w:divsChild>
                </w:div>
                <w:div w:id="1159617973">
                  <w:marLeft w:val="0"/>
                  <w:marRight w:val="0"/>
                  <w:marTop w:val="0"/>
                  <w:marBottom w:val="0"/>
                  <w:divBdr>
                    <w:top w:val="none" w:sz="0" w:space="0" w:color="auto"/>
                    <w:left w:val="none" w:sz="0" w:space="0" w:color="auto"/>
                    <w:bottom w:val="none" w:sz="0" w:space="0" w:color="auto"/>
                    <w:right w:val="none" w:sz="0" w:space="0" w:color="auto"/>
                  </w:divBdr>
                  <w:divsChild>
                    <w:div w:id="1488403232">
                      <w:marLeft w:val="0"/>
                      <w:marRight w:val="0"/>
                      <w:marTop w:val="0"/>
                      <w:marBottom w:val="0"/>
                      <w:divBdr>
                        <w:top w:val="none" w:sz="0" w:space="0" w:color="auto"/>
                        <w:left w:val="none" w:sz="0" w:space="0" w:color="auto"/>
                        <w:bottom w:val="none" w:sz="0" w:space="0" w:color="auto"/>
                        <w:right w:val="none" w:sz="0" w:space="0" w:color="auto"/>
                      </w:divBdr>
                    </w:div>
                  </w:divsChild>
                </w:div>
                <w:div w:id="1166633749">
                  <w:marLeft w:val="0"/>
                  <w:marRight w:val="0"/>
                  <w:marTop w:val="0"/>
                  <w:marBottom w:val="0"/>
                  <w:divBdr>
                    <w:top w:val="none" w:sz="0" w:space="0" w:color="auto"/>
                    <w:left w:val="none" w:sz="0" w:space="0" w:color="auto"/>
                    <w:bottom w:val="none" w:sz="0" w:space="0" w:color="auto"/>
                    <w:right w:val="none" w:sz="0" w:space="0" w:color="auto"/>
                  </w:divBdr>
                  <w:divsChild>
                    <w:div w:id="828136052">
                      <w:marLeft w:val="0"/>
                      <w:marRight w:val="0"/>
                      <w:marTop w:val="0"/>
                      <w:marBottom w:val="0"/>
                      <w:divBdr>
                        <w:top w:val="none" w:sz="0" w:space="0" w:color="auto"/>
                        <w:left w:val="none" w:sz="0" w:space="0" w:color="auto"/>
                        <w:bottom w:val="none" w:sz="0" w:space="0" w:color="auto"/>
                        <w:right w:val="none" w:sz="0" w:space="0" w:color="auto"/>
                      </w:divBdr>
                    </w:div>
                  </w:divsChild>
                </w:div>
                <w:div w:id="1193809854">
                  <w:marLeft w:val="0"/>
                  <w:marRight w:val="0"/>
                  <w:marTop w:val="0"/>
                  <w:marBottom w:val="0"/>
                  <w:divBdr>
                    <w:top w:val="none" w:sz="0" w:space="0" w:color="auto"/>
                    <w:left w:val="none" w:sz="0" w:space="0" w:color="auto"/>
                    <w:bottom w:val="none" w:sz="0" w:space="0" w:color="auto"/>
                    <w:right w:val="none" w:sz="0" w:space="0" w:color="auto"/>
                  </w:divBdr>
                  <w:divsChild>
                    <w:div w:id="1421029698">
                      <w:marLeft w:val="0"/>
                      <w:marRight w:val="0"/>
                      <w:marTop w:val="0"/>
                      <w:marBottom w:val="0"/>
                      <w:divBdr>
                        <w:top w:val="none" w:sz="0" w:space="0" w:color="auto"/>
                        <w:left w:val="none" w:sz="0" w:space="0" w:color="auto"/>
                        <w:bottom w:val="none" w:sz="0" w:space="0" w:color="auto"/>
                        <w:right w:val="none" w:sz="0" w:space="0" w:color="auto"/>
                      </w:divBdr>
                    </w:div>
                  </w:divsChild>
                </w:div>
                <w:div w:id="1195771861">
                  <w:marLeft w:val="0"/>
                  <w:marRight w:val="0"/>
                  <w:marTop w:val="0"/>
                  <w:marBottom w:val="0"/>
                  <w:divBdr>
                    <w:top w:val="none" w:sz="0" w:space="0" w:color="auto"/>
                    <w:left w:val="none" w:sz="0" w:space="0" w:color="auto"/>
                    <w:bottom w:val="none" w:sz="0" w:space="0" w:color="auto"/>
                    <w:right w:val="none" w:sz="0" w:space="0" w:color="auto"/>
                  </w:divBdr>
                  <w:divsChild>
                    <w:div w:id="854609197">
                      <w:marLeft w:val="0"/>
                      <w:marRight w:val="0"/>
                      <w:marTop w:val="0"/>
                      <w:marBottom w:val="0"/>
                      <w:divBdr>
                        <w:top w:val="none" w:sz="0" w:space="0" w:color="auto"/>
                        <w:left w:val="none" w:sz="0" w:space="0" w:color="auto"/>
                        <w:bottom w:val="none" w:sz="0" w:space="0" w:color="auto"/>
                        <w:right w:val="none" w:sz="0" w:space="0" w:color="auto"/>
                      </w:divBdr>
                    </w:div>
                  </w:divsChild>
                </w:div>
                <w:div w:id="1215653370">
                  <w:marLeft w:val="0"/>
                  <w:marRight w:val="0"/>
                  <w:marTop w:val="0"/>
                  <w:marBottom w:val="0"/>
                  <w:divBdr>
                    <w:top w:val="none" w:sz="0" w:space="0" w:color="auto"/>
                    <w:left w:val="none" w:sz="0" w:space="0" w:color="auto"/>
                    <w:bottom w:val="none" w:sz="0" w:space="0" w:color="auto"/>
                    <w:right w:val="none" w:sz="0" w:space="0" w:color="auto"/>
                  </w:divBdr>
                  <w:divsChild>
                    <w:div w:id="529681021">
                      <w:marLeft w:val="0"/>
                      <w:marRight w:val="0"/>
                      <w:marTop w:val="0"/>
                      <w:marBottom w:val="0"/>
                      <w:divBdr>
                        <w:top w:val="none" w:sz="0" w:space="0" w:color="auto"/>
                        <w:left w:val="none" w:sz="0" w:space="0" w:color="auto"/>
                        <w:bottom w:val="none" w:sz="0" w:space="0" w:color="auto"/>
                        <w:right w:val="none" w:sz="0" w:space="0" w:color="auto"/>
                      </w:divBdr>
                    </w:div>
                  </w:divsChild>
                </w:div>
                <w:div w:id="1238396889">
                  <w:marLeft w:val="0"/>
                  <w:marRight w:val="0"/>
                  <w:marTop w:val="0"/>
                  <w:marBottom w:val="0"/>
                  <w:divBdr>
                    <w:top w:val="none" w:sz="0" w:space="0" w:color="auto"/>
                    <w:left w:val="none" w:sz="0" w:space="0" w:color="auto"/>
                    <w:bottom w:val="none" w:sz="0" w:space="0" w:color="auto"/>
                    <w:right w:val="none" w:sz="0" w:space="0" w:color="auto"/>
                  </w:divBdr>
                  <w:divsChild>
                    <w:div w:id="277444858">
                      <w:marLeft w:val="0"/>
                      <w:marRight w:val="0"/>
                      <w:marTop w:val="0"/>
                      <w:marBottom w:val="0"/>
                      <w:divBdr>
                        <w:top w:val="none" w:sz="0" w:space="0" w:color="auto"/>
                        <w:left w:val="none" w:sz="0" w:space="0" w:color="auto"/>
                        <w:bottom w:val="none" w:sz="0" w:space="0" w:color="auto"/>
                        <w:right w:val="none" w:sz="0" w:space="0" w:color="auto"/>
                      </w:divBdr>
                    </w:div>
                  </w:divsChild>
                </w:div>
                <w:div w:id="1239637492">
                  <w:marLeft w:val="0"/>
                  <w:marRight w:val="0"/>
                  <w:marTop w:val="0"/>
                  <w:marBottom w:val="0"/>
                  <w:divBdr>
                    <w:top w:val="none" w:sz="0" w:space="0" w:color="auto"/>
                    <w:left w:val="none" w:sz="0" w:space="0" w:color="auto"/>
                    <w:bottom w:val="none" w:sz="0" w:space="0" w:color="auto"/>
                    <w:right w:val="none" w:sz="0" w:space="0" w:color="auto"/>
                  </w:divBdr>
                  <w:divsChild>
                    <w:div w:id="1153958103">
                      <w:marLeft w:val="0"/>
                      <w:marRight w:val="0"/>
                      <w:marTop w:val="0"/>
                      <w:marBottom w:val="0"/>
                      <w:divBdr>
                        <w:top w:val="none" w:sz="0" w:space="0" w:color="auto"/>
                        <w:left w:val="none" w:sz="0" w:space="0" w:color="auto"/>
                        <w:bottom w:val="none" w:sz="0" w:space="0" w:color="auto"/>
                        <w:right w:val="none" w:sz="0" w:space="0" w:color="auto"/>
                      </w:divBdr>
                    </w:div>
                  </w:divsChild>
                </w:div>
                <w:div w:id="1244795527">
                  <w:marLeft w:val="0"/>
                  <w:marRight w:val="0"/>
                  <w:marTop w:val="0"/>
                  <w:marBottom w:val="0"/>
                  <w:divBdr>
                    <w:top w:val="none" w:sz="0" w:space="0" w:color="auto"/>
                    <w:left w:val="none" w:sz="0" w:space="0" w:color="auto"/>
                    <w:bottom w:val="none" w:sz="0" w:space="0" w:color="auto"/>
                    <w:right w:val="none" w:sz="0" w:space="0" w:color="auto"/>
                  </w:divBdr>
                  <w:divsChild>
                    <w:div w:id="69431549">
                      <w:marLeft w:val="0"/>
                      <w:marRight w:val="0"/>
                      <w:marTop w:val="0"/>
                      <w:marBottom w:val="0"/>
                      <w:divBdr>
                        <w:top w:val="none" w:sz="0" w:space="0" w:color="auto"/>
                        <w:left w:val="none" w:sz="0" w:space="0" w:color="auto"/>
                        <w:bottom w:val="none" w:sz="0" w:space="0" w:color="auto"/>
                        <w:right w:val="none" w:sz="0" w:space="0" w:color="auto"/>
                      </w:divBdr>
                    </w:div>
                  </w:divsChild>
                </w:div>
                <w:div w:id="1248493067">
                  <w:marLeft w:val="0"/>
                  <w:marRight w:val="0"/>
                  <w:marTop w:val="0"/>
                  <w:marBottom w:val="0"/>
                  <w:divBdr>
                    <w:top w:val="none" w:sz="0" w:space="0" w:color="auto"/>
                    <w:left w:val="none" w:sz="0" w:space="0" w:color="auto"/>
                    <w:bottom w:val="none" w:sz="0" w:space="0" w:color="auto"/>
                    <w:right w:val="none" w:sz="0" w:space="0" w:color="auto"/>
                  </w:divBdr>
                  <w:divsChild>
                    <w:div w:id="1031108418">
                      <w:marLeft w:val="0"/>
                      <w:marRight w:val="0"/>
                      <w:marTop w:val="0"/>
                      <w:marBottom w:val="0"/>
                      <w:divBdr>
                        <w:top w:val="none" w:sz="0" w:space="0" w:color="auto"/>
                        <w:left w:val="none" w:sz="0" w:space="0" w:color="auto"/>
                        <w:bottom w:val="none" w:sz="0" w:space="0" w:color="auto"/>
                        <w:right w:val="none" w:sz="0" w:space="0" w:color="auto"/>
                      </w:divBdr>
                    </w:div>
                  </w:divsChild>
                </w:div>
                <w:div w:id="1261796291">
                  <w:marLeft w:val="0"/>
                  <w:marRight w:val="0"/>
                  <w:marTop w:val="0"/>
                  <w:marBottom w:val="0"/>
                  <w:divBdr>
                    <w:top w:val="none" w:sz="0" w:space="0" w:color="auto"/>
                    <w:left w:val="none" w:sz="0" w:space="0" w:color="auto"/>
                    <w:bottom w:val="none" w:sz="0" w:space="0" w:color="auto"/>
                    <w:right w:val="none" w:sz="0" w:space="0" w:color="auto"/>
                  </w:divBdr>
                  <w:divsChild>
                    <w:div w:id="360595202">
                      <w:marLeft w:val="0"/>
                      <w:marRight w:val="0"/>
                      <w:marTop w:val="0"/>
                      <w:marBottom w:val="0"/>
                      <w:divBdr>
                        <w:top w:val="none" w:sz="0" w:space="0" w:color="auto"/>
                        <w:left w:val="none" w:sz="0" w:space="0" w:color="auto"/>
                        <w:bottom w:val="none" w:sz="0" w:space="0" w:color="auto"/>
                        <w:right w:val="none" w:sz="0" w:space="0" w:color="auto"/>
                      </w:divBdr>
                    </w:div>
                  </w:divsChild>
                </w:div>
                <w:div w:id="1262103192">
                  <w:marLeft w:val="0"/>
                  <w:marRight w:val="0"/>
                  <w:marTop w:val="0"/>
                  <w:marBottom w:val="0"/>
                  <w:divBdr>
                    <w:top w:val="none" w:sz="0" w:space="0" w:color="auto"/>
                    <w:left w:val="none" w:sz="0" w:space="0" w:color="auto"/>
                    <w:bottom w:val="none" w:sz="0" w:space="0" w:color="auto"/>
                    <w:right w:val="none" w:sz="0" w:space="0" w:color="auto"/>
                  </w:divBdr>
                  <w:divsChild>
                    <w:div w:id="1137063455">
                      <w:marLeft w:val="0"/>
                      <w:marRight w:val="0"/>
                      <w:marTop w:val="0"/>
                      <w:marBottom w:val="0"/>
                      <w:divBdr>
                        <w:top w:val="none" w:sz="0" w:space="0" w:color="auto"/>
                        <w:left w:val="none" w:sz="0" w:space="0" w:color="auto"/>
                        <w:bottom w:val="none" w:sz="0" w:space="0" w:color="auto"/>
                        <w:right w:val="none" w:sz="0" w:space="0" w:color="auto"/>
                      </w:divBdr>
                    </w:div>
                  </w:divsChild>
                </w:div>
                <w:div w:id="1270117886">
                  <w:marLeft w:val="0"/>
                  <w:marRight w:val="0"/>
                  <w:marTop w:val="0"/>
                  <w:marBottom w:val="0"/>
                  <w:divBdr>
                    <w:top w:val="none" w:sz="0" w:space="0" w:color="auto"/>
                    <w:left w:val="none" w:sz="0" w:space="0" w:color="auto"/>
                    <w:bottom w:val="none" w:sz="0" w:space="0" w:color="auto"/>
                    <w:right w:val="none" w:sz="0" w:space="0" w:color="auto"/>
                  </w:divBdr>
                  <w:divsChild>
                    <w:div w:id="1766421130">
                      <w:marLeft w:val="0"/>
                      <w:marRight w:val="0"/>
                      <w:marTop w:val="0"/>
                      <w:marBottom w:val="0"/>
                      <w:divBdr>
                        <w:top w:val="none" w:sz="0" w:space="0" w:color="auto"/>
                        <w:left w:val="none" w:sz="0" w:space="0" w:color="auto"/>
                        <w:bottom w:val="none" w:sz="0" w:space="0" w:color="auto"/>
                        <w:right w:val="none" w:sz="0" w:space="0" w:color="auto"/>
                      </w:divBdr>
                    </w:div>
                  </w:divsChild>
                </w:div>
                <w:div w:id="1272277590">
                  <w:marLeft w:val="0"/>
                  <w:marRight w:val="0"/>
                  <w:marTop w:val="0"/>
                  <w:marBottom w:val="0"/>
                  <w:divBdr>
                    <w:top w:val="none" w:sz="0" w:space="0" w:color="auto"/>
                    <w:left w:val="none" w:sz="0" w:space="0" w:color="auto"/>
                    <w:bottom w:val="none" w:sz="0" w:space="0" w:color="auto"/>
                    <w:right w:val="none" w:sz="0" w:space="0" w:color="auto"/>
                  </w:divBdr>
                  <w:divsChild>
                    <w:div w:id="368334552">
                      <w:marLeft w:val="0"/>
                      <w:marRight w:val="0"/>
                      <w:marTop w:val="0"/>
                      <w:marBottom w:val="0"/>
                      <w:divBdr>
                        <w:top w:val="none" w:sz="0" w:space="0" w:color="auto"/>
                        <w:left w:val="none" w:sz="0" w:space="0" w:color="auto"/>
                        <w:bottom w:val="none" w:sz="0" w:space="0" w:color="auto"/>
                        <w:right w:val="none" w:sz="0" w:space="0" w:color="auto"/>
                      </w:divBdr>
                    </w:div>
                  </w:divsChild>
                </w:div>
                <w:div w:id="1331173120">
                  <w:marLeft w:val="0"/>
                  <w:marRight w:val="0"/>
                  <w:marTop w:val="0"/>
                  <w:marBottom w:val="0"/>
                  <w:divBdr>
                    <w:top w:val="none" w:sz="0" w:space="0" w:color="auto"/>
                    <w:left w:val="none" w:sz="0" w:space="0" w:color="auto"/>
                    <w:bottom w:val="none" w:sz="0" w:space="0" w:color="auto"/>
                    <w:right w:val="none" w:sz="0" w:space="0" w:color="auto"/>
                  </w:divBdr>
                  <w:divsChild>
                    <w:div w:id="1446576924">
                      <w:marLeft w:val="0"/>
                      <w:marRight w:val="0"/>
                      <w:marTop w:val="0"/>
                      <w:marBottom w:val="0"/>
                      <w:divBdr>
                        <w:top w:val="none" w:sz="0" w:space="0" w:color="auto"/>
                        <w:left w:val="none" w:sz="0" w:space="0" w:color="auto"/>
                        <w:bottom w:val="none" w:sz="0" w:space="0" w:color="auto"/>
                        <w:right w:val="none" w:sz="0" w:space="0" w:color="auto"/>
                      </w:divBdr>
                    </w:div>
                  </w:divsChild>
                </w:div>
                <w:div w:id="1365325564">
                  <w:marLeft w:val="0"/>
                  <w:marRight w:val="0"/>
                  <w:marTop w:val="0"/>
                  <w:marBottom w:val="0"/>
                  <w:divBdr>
                    <w:top w:val="none" w:sz="0" w:space="0" w:color="auto"/>
                    <w:left w:val="none" w:sz="0" w:space="0" w:color="auto"/>
                    <w:bottom w:val="none" w:sz="0" w:space="0" w:color="auto"/>
                    <w:right w:val="none" w:sz="0" w:space="0" w:color="auto"/>
                  </w:divBdr>
                  <w:divsChild>
                    <w:div w:id="1207987763">
                      <w:marLeft w:val="0"/>
                      <w:marRight w:val="0"/>
                      <w:marTop w:val="0"/>
                      <w:marBottom w:val="0"/>
                      <w:divBdr>
                        <w:top w:val="none" w:sz="0" w:space="0" w:color="auto"/>
                        <w:left w:val="none" w:sz="0" w:space="0" w:color="auto"/>
                        <w:bottom w:val="none" w:sz="0" w:space="0" w:color="auto"/>
                        <w:right w:val="none" w:sz="0" w:space="0" w:color="auto"/>
                      </w:divBdr>
                    </w:div>
                  </w:divsChild>
                </w:div>
                <w:div w:id="1379427469">
                  <w:marLeft w:val="0"/>
                  <w:marRight w:val="0"/>
                  <w:marTop w:val="0"/>
                  <w:marBottom w:val="0"/>
                  <w:divBdr>
                    <w:top w:val="none" w:sz="0" w:space="0" w:color="auto"/>
                    <w:left w:val="none" w:sz="0" w:space="0" w:color="auto"/>
                    <w:bottom w:val="none" w:sz="0" w:space="0" w:color="auto"/>
                    <w:right w:val="none" w:sz="0" w:space="0" w:color="auto"/>
                  </w:divBdr>
                  <w:divsChild>
                    <w:div w:id="1211844722">
                      <w:marLeft w:val="0"/>
                      <w:marRight w:val="0"/>
                      <w:marTop w:val="0"/>
                      <w:marBottom w:val="0"/>
                      <w:divBdr>
                        <w:top w:val="none" w:sz="0" w:space="0" w:color="auto"/>
                        <w:left w:val="none" w:sz="0" w:space="0" w:color="auto"/>
                        <w:bottom w:val="none" w:sz="0" w:space="0" w:color="auto"/>
                        <w:right w:val="none" w:sz="0" w:space="0" w:color="auto"/>
                      </w:divBdr>
                    </w:div>
                  </w:divsChild>
                </w:div>
                <w:div w:id="1417946079">
                  <w:marLeft w:val="0"/>
                  <w:marRight w:val="0"/>
                  <w:marTop w:val="0"/>
                  <w:marBottom w:val="0"/>
                  <w:divBdr>
                    <w:top w:val="none" w:sz="0" w:space="0" w:color="auto"/>
                    <w:left w:val="none" w:sz="0" w:space="0" w:color="auto"/>
                    <w:bottom w:val="none" w:sz="0" w:space="0" w:color="auto"/>
                    <w:right w:val="none" w:sz="0" w:space="0" w:color="auto"/>
                  </w:divBdr>
                  <w:divsChild>
                    <w:div w:id="1198811476">
                      <w:marLeft w:val="0"/>
                      <w:marRight w:val="0"/>
                      <w:marTop w:val="0"/>
                      <w:marBottom w:val="0"/>
                      <w:divBdr>
                        <w:top w:val="none" w:sz="0" w:space="0" w:color="auto"/>
                        <w:left w:val="none" w:sz="0" w:space="0" w:color="auto"/>
                        <w:bottom w:val="none" w:sz="0" w:space="0" w:color="auto"/>
                        <w:right w:val="none" w:sz="0" w:space="0" w:color="auto"/>
                      </w:divBdr>
                    </w:div>
                  </w:divsChild>
                </w:div>
                <w:div w:id="1423144347">
                  <w:marLeft w:val="0"/>
                  <w:marRight w:val="0"/>
                  <w:marTop w:val="0"/>
                  <w:marBottom w:val="0"/>
                  <w:divBdr>
                    <w:top w:val="none" w:sz="0" w:space="0" w:color="auto"/>
                    <w:left w:val="none" w:sz="0" w:space="0" w:color="auto"/>
                    <w:bottom w:val="none" w:sz="0" w:space="0" w:color="auto"/>
                    <w:right w:val="none" w:sz="0" w:space="0" w:color="auto"/>
                  </w:divBdr>
                  <w:divsChild>
                    <w:div w:id="1824932043">
                      <w:marLeft w:val="0"/>
                      <w:marRight w:val="0"/>
                      <w:marTop w:val="0"/>
                      <w:marBottom w:val="0"/>
                      <w:divBdr>
                        <w:top w:val="none" w:sz="0" w:space="0" w:color="auto"/>
                        <w:left w:val="none" w:sz="0" w:space="0" w:color="auto"/>
                        <w:bottom w:val="none" w:sz="0" w:space="0" w:color="auto"/>
                        <w:right w:val="none" w:sz="0" w:space="0" w:color="auto"/>
                      </w:divBdr>
                    </w:div>
                  </w:divsChild>
                </w:div>
                <w:div w:id="1469125346">
                  <w:marLeft w:val="0"/>
                  <w:marRight w:val="0"/>
                  <w:marTop w:val="0"/>
                  <w:marBottom w:val="0"/>
                  <w:divBdr>
                    <w:top w:val="none" w:sz="0" w:space="0" w:color="auto"/>
                    <w:left w:val="none" w:sz="0" w:space="0" w:color="auto"/>
                    <w:bottom w:val="none" w:sz="0" w:space="0" w:color="auto"/>
                    <w:right w:val="none" w:sz="0" w:space="0" w:color="auto"/>
                  </w:divBdr>
                  <w:divsChild>
                    <w:div w:id="734739309">
                      <w:marLeft w:val="0"/>
                      <w:marRight w:val="0"/>
                      <w:marTop w:val="0"/>
                      <w:marBottom w:val="0"/>
                      <w:divBdr>
                        <w:top w:val="none" w:sz="0" w:space="0" w:color="auto"/>
                        <w:left w:val="none" w:sz="0" w:space="0" w:color="auto"/>
                        <w:bottom w:val="none" w:sz="0" w:space="0" w:color="auto"/>
                        <w:right w:val="none" w:sz="0" w:space="0" w:color="auto"/>
                      </w:divBdr>
                    </w:div>
                  </w:divsChild>
                </w:div>
                <w:div w:id="1469205453">
                  <w:marLeft w:val="0"/>
                  <w:marRight w:val="0"/>
                  <w:marTop w:val="0"/>
                  <w:marBottom w:val="0"/>
                  <w:divBdr>
                    <w:top w:val="none" w:sz="0" w:space="0" w:color="auto"/>
                    <w:left w:val="none" w:sz="0" w:space="0" w:color="auto"/>
                    <w:bottom w:val="none" w:sz="0" w:space="0" w:color="auto"/>
                    <w:right w:val="none" w:sz="0" w:space="0" w:color="auto"/>
                  </w:divBdr>
                  <w:divsChild>
                    <w:div w:id="469052171">
                      <w:marLeft w:val="0"/>
                      <w:marRight w:val="0"/>
                      <w:marTop w:val="0"/>
                      <w:marBottom w:val="0"/>
                      <w:divBdr>
                        <w:top w:val="none" w:sz="0" w:space="0" w:color="auto"/>
                        <w:left w:val="none" w:sz="0" w:space="0" w:color="auto"/>
                        <w:bottom w:val="none" w:sz="0" w:space="0" w:color="auto"/>
                        <w:right w:val="none" w:sz="0" w:space="0" w:color="auto"/>
                      </w:divBdr>
                    </w:div>
                  </w:divsChild>
                </w:div>
                <w:div w:id="1469208027">
                  <w:marLeft w:val="0"/>
                  <w:marRight w:val="0"/>
                  <w:marTop w:val="0"/>
                  <w:marBottom w:val="0"/>
                  <w:divBdr>
                    <w:top w:val="none" w:sz="0" w:space="0" w:color="auto"/>
                    <w:left w:val="none" w:sz="0" w:space="0" w:color="auto"/>
                    <w:bottom w:val="none" w:sz="0" w:space="0" w:color="auto"/>
                    <w:right w:val="none" w:sz="0" w:space="0" w:color="auto"/>
                  </w:divBdr>
                  <w:divsChild>
                    <w:div w:id="1140266131">
                      <w:marLeft w:val="0"/>
                      <w:marRight w:val="0"/>
                      <w:marTop w:val="0"/>
                      <w:marBottom w:val="0"/>
                      <w:divBdr>
                        <w:top w:val="none" w:sz="0" w:space="0" w:color="auto"/>
                        <w:left w:val="none" w:sz="0" w:space="0" w:color="auto"/>
                        <w:bottom w:val="none" w:sz="0" w:space="0" w:color="auto"/>
                        <w:right w:val="none" w:sz="0" w:space="0" w:color="auto"/>
                      </w:divBdr>
                    </w:div>
                  </w:divsChild>
                </w:div>
                <w:div w:id="1479296763">
                  <w:marLeft w:val="0"/>
                  <w:marRight w:val="0"/>
                  <w:marTop w:val="0"/>
                  <w:marBottom w:val="0"/>
                  <w:divBdr>
                    <w:top w:val="none" w:sz="0" w:space="0" w:color="auto"/>
                    <w:left w:val="none" w:sz="0" w:space="0" w:color="auto"/>
                    <w:bottom w:val="none" w:sz="0" w:space="0" w:color="auto"/>
                    <w:right w:val="none" w:sz="0" w:space="0" w:color="auto"/>
                  </w:divBdr>
                  <w:divsChild>
                    <w:div w:id="191497152">
                      <w:marLeft w:val="0"/>
                      <w:marRight w:val="0"/>
                      <w:marTop w:val="0"/>
                      <w:marBottom w:val="0"/>
                      <w:divBdr>
                        <w:top w:val="none" w:sz="0" w:space="0" w:color="auto"/>
                        <w:left w:val="none" w:sz="0" w:space="0" w:color="auto"/>
                        <w:bottom w:val="none" w:sz="0" w:space="0" w:color="auto"/>
                        <w:right w:val="none" w:sz="0" w:space="0" w:color="auto"/>
                      </w:divBdr>
                    </w:div>
                  </w:divsChild>
                </w:div>
                <w:div w:id="1481270981">
                  <w:marLeft w:val="0"/>
                  <w:marRight w:val="0"/>
                  <w:marTop w:val="0"/>
                  <w:marBottom w:val="0"/>
                  <w:divBdr>
                    <w:top w:val="none" w:sz="0" w:space="0" w:color="auto"/>
                    <w:left w:val="none" w:sz="0" w:space="0" w:color="auto"/>
                    <w:bottom w:val="none" w:sz="0" w:space="0" w:color="auto"/>
                    <w:right w:val="none" w:sz="0" w:space="0" w:color="auto"/>
                  </w:divBdr>
                  <w:divsChild>
                    <w:div w:id="1847401683">
                      <w:marLeft w:val="0"/>
                      <w:marRight w:val="0"/>
                      <w:marTop w:val="0"/>
                      <w:marBottom w:val="0"/>
                      <w:divBdr>
                        <w:top w:val="none" w:sz="0" w:space="0" w:color="auto"/>
                        <w:left w:val="none" w:sz="0" w:space="0" w:color="auto"/>
                        <w:bottom w:val="none" w:sz="0" w:space="0" w:color="auto"/>
                        <w:right w:val="none" w:sz="0" w:space="0" w:color="auto"/>
                      </w:divBdr>
                    </w:div>
                  </w:divsChild>
                </w:div>
                <w:div w:id="1497302054">
                  <w:marLeft w:val="0"/>
                  <w:marRight w:val="0"/>
                  <w:marTop w:val="0"/>
                  <w:marBottom w:val="0"/>
                  <w:divBdr>
                    <w:top w:val="none" w:sz="0" w:space="0" w:color="auto"/>
                    <w:left w:val="none" w:sz="0" w:space="0" w:color="auto"/>
                    <w:bottom w:val="none" w:sz="0" w:space="0" w:color="auto"/>
                    <w:right w:val="none" w:sz="0" w:space="0" w:color="auto"/>
                  </w:divBdr>
                  <w:divsChild>
                    <w:div w:id="681514058">
                      <w:marLeft w:val="0"/>
                      <w:marRight w:val="0"/>
                      <w:marTop w:val="0"/>
                      <w:marBottom w:val="0"/>
                      <w:divBdr>
                        <w:top w:val="none" w:sz="0" w:space="0" w:color="auto"/>
                        <w:left w:val="none" w:sz="0" w:space="0" w:color="auto"/>
                        <w:bottom w:val="none" w:sz="0" w:space="0" w:color="auto"/>
                        <w:right w:val="none" w:sz="0" w:space="0" w:color="auto"/>
                      </w:divBdr>
                    </w:div>
                  </w:divsChild>
                </w:div>
                <w:div w:id="1505170783">
                  <w:marLeft w:val="0"/>
                  <w:marRight w:val="0"/>
                  <w:marTop w:val="0"/>
                  <w:marBottom w:val="0"/>
                  <w:divBdr>
                    <w:top w:val="none" w:sz="0" w:space="0" w:color="auto"/>
                    <w:left w:val="none" w:sz="0" w:space="0" w:color="auto"/>
                    <w:bottom w:val="none" w:sz="0" w:space="0" w:color="auto"/>
                    <w:right w:val="none" w:sz="0" w:space="0" w:color="auto"/>
                  </w:divBdr>
                  <w:divsChild>
                    <w:div w:id="8650801">
                      <w:marLeft w:val="0"/>
                      <w:marRight w:val="0"/>
                      <w:marTop w:val="0"/>
                      <w:marBottom w:val="0"/>
                      <w:divBdr>
                        <w:top w:val="none" w:sz="0" w:space="0" w:color="auto"/>
                        <w:left w:val="none" w:sz="0" w:space="0" w:color="auto"/>
                        <w:bottom w:val="none" w:sz="0" w:space="0" w:color="auto"/>
                        <w:right w:val="none" w:sz="0" w:space="0" w:color="auto"/>
                      </w:divBdr>
                    </w:div>
                  </w:divsChild>
                </w:div>
                <w:div w:id="1506165545">
                  <w:marLeft w:val="0"/>
                  <w:marRight w:val="0"/>
                  <w:marTop w:val="0"/>
                  <w:marBottom w:val="0"/>
                  <w:divBdr>
                    <w:top w:val="none" w:sz="0" w:space="0" w:color="auto"/>
                    <w:left w:val="none" w:sz="0" w:space="0" w:color="auto"/>
                    <w:bottom w:val="none" w:sz="0" w:space="0" w:color="auto"/>
                    <w:right w:val="none" w:sz="0" w:space="0" w:color="auto"/>
                  </w:divBdr>
                  <w:divsChild>
                    <w:div w:id="263151238">
                      <w:marLeft w:val="0"/>
                      <w:marRight w:val="0"/>
                      <w:marTop w:val="0"/>
                      <w:marBottom w:val="0"/>
                      <w:divBdr>
                        <w:top w:val="none" w:sz="0" w:space="0" w:color="auto"/>
                        <w:left w:val="none" w:sz="0" w:space="0" w:color="auto"/>
                        <w:bottom w:val="none" w:sz="0" w:space="0" w:color="auto"/>
                        <w:right w:val="none" w:sz="0" w:space="0" w:color="auto"/>
                      </w:divBdr>
                    </w:div>
                  </w:divsChild>
                </w:div>
                <w:div w:id="1528056207">
                  <w:marLeft w:val="0"/>
                  <w:marRight w:val="0"/>
                  <w:marTop w:val="0"/>
                  <w:marBottom w:val="0"/>
                  <w:divBdr>
                    <w:top w:val="none" w:sz="0" w:space="0" w:color="auto"/>
                    <w:left w:val="none" w:sz="0" w:space="0" w:color="auto"/>
                    <w:bottom w:val="none" w:sz="0" w:space="0" w:color="auto"/>
                    <w:right w:val="none" w:sz="0" w:space="0" w:color="auto"/>
                  </w:divBdr>
                  <w:divsChild>
                    <w:div w:id="1901331472">
                      <w:marLeft w:val="0"/>
                      <w:marRight w:val="0"/>
                      <w:marTop w:val="0"/>
                      <w:marBottom w:val="0"/>
                      <w:divBdr>
                        <w:top w:val="none" w:sz="0" w:space="0" w:color="auto"/>
                        <w:left w:val="none" w:sz="0" w:space="0" w:color="auto"/>
                        <w:bottom w:val="none" w:sz="0" w:space="0" w:color="auto"/>
                        <w:right w:val="none" w:sz="0" w:space="0" w:color="auto"/>
                      </w:divBdr>
                    </w:div>
                  </w:divsChild>
                </w:div>
                <w:div w:id="1537041388">
                  <w:marLeft w:val="0"/>
                  <w:marRight w:val="0"/>
                  <w:marTop w:val="0"/>
                  <w:marBottom w:val="0"/>
                  <w:divBdr>
                    <w:top w:val="none" w:sz="0" w:space="0" w:color="auto"/>
                    <w:left w:val="none" w:sz="0" w:space="0" w:color="auto"/>
                    <w:bottom w:val="none" w:sz="0" w:space="0" w:color="auto"/>
                    <w:right w:val="none" w:sz="0" w:space="0" w:color="auto"/>
                  </w:divBdr>
                  <w:divsChild>
                    <w:div w:id="1114137683">
                      <w:marLeft w:val="0"/>
                      <w:marRight w:val="0"/>
                      <w:marTop w:val="0"/>
                      <w:marBottom w:val="0"/>
                      <w:divBdr>
                        <w:top w:val="none" w:sz="0" w:space="0" w:color="auto"/>
                        <w:left w:val="none" w:sz="0" w:space="0" w:color="auto"/>
                        <w:bottom w:val="none" w:sz="0" w:space="0" w:color="auto"/>
                        <w:right w:val="none" w:sz="0" w:space="0" w:color="auto"/>
                      </w:divBdr>
                    </w:div>
                  </w:divsChild>
                </w:div>
                <w:div w:id="1606692959">
                  <w:marLeft w:val="0"/>
                  <w:marRight w:val="0"/>
                  <w:marTop w:val="0"/>
                  <w:marBottom w:val="0"/>
                  <w:divBdr>
                    <w:top w:val="none" w:sz="0" w:space="0" w:color="auto"/>
                    <w:left w:val="none" w:sz="0" w:space="0" w:color="auto"/>
                    <w:bottom w:val="none" w:sz="0" w:space="0" w:color="auto"/>
                    <w:right w:val="none" w:sz="0" w:space="0" w:color="auto"/>
                  </w:divBdr>
                  <w:divsChild>
                    <w:div w:id="327634885">
                      <w:marLeft w:val="0"/>
                      <w:marRight w:val="0"/>
                      <w:marTop w:val="0"/>
                      <w:marBottom w:val="0"/>
                      <w:divBdr>
                        <w:top w:val="none" w:sz="0" w:space="0" w:color="auto"/>
                        <w:left w:val="none" w:sz="0" w:space="0" w:color="auto"/>
                        <w:bottom w:val="none" w:sz="0" w:space="0" w:color="auto"/>
                        <w:right w:val="none" w:sz="0" w:space="0" w:color="auto"/>
                      </w:divBdr>
                    </w:div>
                  </w:divsChild>
                </w:div>
                <w:div w:id="1611666307">
                  <w:marLeft w:val="0"/>
                  <w:marRight w:val="0"/>
                  <w:marTop w:val="0"/>
                  <w:marBottom w:val="0"/>
                  <w:divBdr>
                    <w:top w:val="none" w:sz="0" w:space="0" w:color="auto"/>
                    <w:left w:val="none" w:sz="0" w:space="0" w:color="auto"/>
                    <w:bottom w:val="none" w:sz="0" w:space="0" w:color="auto"/>
                    <w:right w:val="none" w:sz="0" w:space="0" w:color="auto"/>
                  </w:divBdr>
                  <w:divsChild>
                    <w:div w:id="1623920730">
                      <w:marLeft w:val="0"/>
                      <w:marRight w:val="0"/>
                      <w:marTop w:val="0"/>
                      <w:marBottom w:val="0"/>
                      <w:divBdr>
                        <w:top w:val="none" w:sz="0" w:space="0" w:color="auto"/>
                        <w:left w:val="none" w:sz="0" w:space="0" w:color="auto"/>
                        <w:bottom w:val="none" w:sz="0" w:space="0" w:color="auto"/>
                        <w:right w:val="none" w:sz="0" w:space="0" w:color="auto"/>
                      </w:divBdr>
                    </w:div>
                  </w:divsChild>
                </w:div>
                <w:div w:id="1624336932">
                  <w:marLeft w:val="0"/>
                  <w:marRight w:val="0"/>
                  <w:marTop w:val="0"/>
                  <w:marBottom w:val="0"/>
                  <w:divBdr>
                    <w:top w:val="none" w:sz="0" w:space="0" w:color="auto"/>
                    <w:left w:val="none" w:sz="0" w:space="0" w:color="auto"/>
                    <w:bottom w:val="none" w:sz="0" w:space="0" w:color="auto"/>
                    <w:right w:val="none" w:sz="0" w:space="0" w:color="auto"/>
                  </w:divBdr>
                  <w:divsChild>
                    <w:div w:id="2049987816">
                      <w:marLeft w:val="0"/>
                      <w:marRight w:val="0"/>
                      <w:marTop w:val="0"/>
                      <w:marBottom w:val="0"/>
                      <w:divBdr>
                        <w:top w:val="none" w:sz="0" w:space="0" w:color="auto"/>
                        <w:left w:val="none" w:sz="0" w:space="0" w:color="auto"/>
                        <w:bottom w:val="none" w:sz="0" w:space="0" w:color="auto"/>
                        <w:right w:val="none" w:sz="0" w:space="0" w:color="auto"/>
                      </w:divBdr>
                    </w:div>
                  </w:divsChild>
                </w:div>
                <w:div w:id="1628197329">
                  <w:marLeft w:val="0"/>
                  <w:marRight w:val="0"/>
                  <w:marTop w:val="0"/>
                  <w:marBottom w:val="0"/>
                  <w:divBdr>
                    <w:top w:val="none" w:sz="0" w:space="0" w:color="auto"/>
                    <w:left w:val="none" w:sz="0" w:space="0" w:color="auto"/>
                    <w:bottom w:val="none" w:sz="0" w:space="0" w:color="auto"/>
                    <w:right w:val="none" w:sz="0" w:space="0" w:color="auto"/>
                  </w:divBdr>
                  <w:divsChild>
                    <w:div w:id="945697101">
                      <w:marLeft w:val="0"/>
                      <w:marRight w:val="0"/>
                      <w:marTop w:val="0"/>
                      <w:marBottom w:val="0"/>
                      <w:divBdr>
                        <w:top w:val="none" w:sz="0" w:space="0" w:color="auto"/>
                        <w:left w:val="none" w:sz="0" w:space="0" w:color="auto"/>
                        <w:bottom w:val="none" w:sz="0" w:space="0" w:color="auto"/>
                        <w:right w:val="none" w:sz="0" w:space="0" w:color="auto"/>
                      </w:divBdr>
                    </w:div>
                  </w:divsChild>
                </w:div>
                <w:div w:id="1629894671">
                  <w:marLeft w:val="0"/>
                  <w:marRight w:val="0"/>
                  <w:marTop w:val="0"/>
                  <w:marBottom w:val="0"/>
                  <w:divBdr>
                    <w:top w:val="none" w:sz="0" w:space="0" w:color="auto"/>
                    <w:left w:val="none" w:sz="0" w:space="0" w:color="auto"/>
                    <w:bottom w:val="none" w:sz="0" w:space="0" w:color="auto"/>
                    <w:right w:val="none" w:sz="0" w:space="0" w:color="auto"/>
                  </w:divBdr>
                  <w:divsChild>
                    <w:div w:id="729957780">
                      <w:marLeft w:val="0"/>
                      <w:marRight w:val="0"/>
                      <w:marTop w:val="0"/>
                      <w:marBottom w:val="0"/>
                      <w:divBdr>
                        <w:top w:val="none" w:sz="0" w:space="0" w:color="auto"/>
                        <w:left w:val="none" w:sz="0" w:space="0" w:color="auto"/>
                        <w:bottom w:val="none" w:sz="0" w:space="0" w:color="auto"/>
                        <w:right w:val="none" w:sz="0" w:space="0" w:color="auto"/>
                      </w:divBdr>
                    </w:div>
                  </w:divsChild>
                </w:div>
                <w:div w:id="1633486213">
                  <w:marLeft w:val="0"/>
                  <w:marRight w:val="0"/>
                  <w:marTop w:val="0"/>
                  <w:marBottom w:val="0"/>
                  <w:divBdr>
                    <w:top w:val="none" w:sz="0" w:space="0" w:color="auto"/>
                    <w:left w:val="none" w:sz="0" w:space="0" w:color="auto"/>
                    <w:bottom w:val="none" w:sz="0" w:space="0" w:color="auto"/>
                    <w:right w:val="none" w:sz="0" w:space="0" w:color="auto"/>
                  </w:divBdr>
                  <w:divsChild>
                    <w:div w:id="1506045378">
                      <w:marLeft w:val="0"/>
                      <w:marRight w:val="0"/>
                      <w:marTop w:val="0"/>
                      <w:marBottom w:val="0"/>
                      <w:divBdr>
                        <w:top w:val="none" w:sz="0" w:space="0" w:color="auto"/>
                        <w:left w:val="none" w:sz="0" w:space="0" w:color="auto"/>
                        <w:bottom w:val="none" w:sz="0" w:space="0" w:color="auto"/>
                        <w:right w:val="none" w:sz="0" w:space="0" w:color="auto"/>
                      </w:divBdr>
                    </w:div>
                  </w:divsChild>
                </w:div>
                <w:div w:id="1633557659">
                  <w:marLeft w:val="0"/>
                  <w:marRight w:val="0"/>
                  <w:marTop w:val="0"/>
                  <w:marBottom w:val="0"/>
                  <w:divBdr>
                    <w:top w:val="none" w:sz="0" w:space="0" w:color="auto"/>
                    <w:left w:val="none" w:sz="0" w:space="0" w:color="auto"/>
                    <w:bottom w:val="none" w:sz="0" w:space="0" w:color="auto"/>
                    <w:right w:val="none" w:sz="0" w:space="0" w:color="auto"/>
                  </w:divBdr>
                  <w:divsChild>
                    <w:div w:id="362903816">
                      <w:marLeft w:val="0"/>
                      <w:marRight w:val="0"/>
                      <w:marTop w:val="0"/>
                      <w:marBottom w:val="0"/>
                      <w:divBdr>
                        <w:top w:val="none" w:sz="0" w:space="0" w:color="auto"/>
                        <w:left w:val="none" w:sz="0" w:space="0" w:color="auto"/>
                        <w:bottom w:val="none" w:sz="0" w:space="0" w:color="auto"/>
                        <w:right w:val="none" w:sz="0" w:space="0" w:color="auto"/>
                      </w:divBdr>
                    </w:div>
                  </w:divsChild>
                </w:div>
                <w:div w:id="1639605009">
                  <w:marLeft w:val="0"/>
                  <w:marRight w:val="0"/>
                  <w:marTop w:val="0"/>
                  <w:marBottom w:val="0"/>
                  <w:divBdr>
                    <w:top w:val="none" w:sz="0" w:space="0" w:color="auto"/>
                    <w:left w:val="none" w:sz="0" w:space="0" w:color="auto"/>
                    <w:bottom w:val="none" w:sz="0" w:space="0" w:color="auto"/>
                    <w:right w:val="none" w:sz="0" w:space="0" w:color="auto"/>
                  </w:divBdr>
                  <w:divsChild>
                    <w:div w:id="1345982731">
                      <w:marLeft w:val="0"/>
                      <w:marRight w:val="0"/>
                      <w:marTop w:val="0"/>
                      <w:marBottom w:val="0"/>
                      <w:divBdr>
                        <w:top w:val="none" w:sz="0" w:space="0" w:color="auto"/>
                        <w:left w:val="none" w:sz="0" w:space="0" w:color="auto"/>
                        <w:bottom w:val="none" w:sz="0" w:space="0" w:color="auto"/>
                        <w:right w:val="none" w:sz="0" w:space="0" w:color="auto"/>
                      </w:divBdr>
                    </w:div>
                  </w:divsChild>
                </w:div>
                <w:div w:id="1642349848">
                  <w:marLeft w:val="0"/>
                  <w:marRight w:val="0"/>
                  <w:marTop w:val="0"/>
                  <w:marBottom w:val="0"/>
                  <w:divBdr>
                    <w:top w:val="none" w:sz="0" w:space="0" w:color="auto"/>
                    <w:left w:val="none" w:sz="0" w:space="0" w:color="auto"/>
                    <w:bottom w:val="none" w:sz="0" w:space="0" w:color="auto"/>
                    <w:right w:val="none" w:sz="0" w:space="0" w:color="auto"/>
                  </w:divBdr>
                  <w:divsChild>
                    <w:div w:id="409356332">
                      <w:marLeft w:val="0"/>
                      <w:marRight w:val="0"/>
                      <w:marTop w:val="0"/>
                      <w:marBottom w:val="0"/>
                      <w:divBdr>
                        <w:top w:val="none" w:sz="0" w:space="0" w:color="auto"/>
                        <w:left w:val="none" w:sz="0" w:space="0" w:color="auto"/>
                        <w:bottom w:val="none" w:sz="0" w:space="0" w:color="auto"/>
                        <w:right w:val="none" w:sz="0" w:space="0" w:color="auto"/>
                      </w:divBdr>
                    </w:div>
                  </w:divsChild>
                </w:div>
                <w:div w:id="1644192179">
                  <w:marLeft w:val="0"/>
                  <w:marRight w:val="0"/>
                  <w:marTop w:val="0"/>
                  <w:marBottom w:val="0"/>
                  <w:divBdr>
                    <w:top w:val="none" w:sz="0" w:space="0" w:color="auto"/>
                    <w:left w:val="none" w:sz="0" w:space="0" w:color="auto"/>
                    <w:bottom w:val="none" w:sz="0" w:space="0" w:color="auto"/>
                    <w:right w:val="none" w:sz="0" w:space="0" w:color="auto"/>
                  </w:divBdr>
                  <w:divsChild>
                    <w:div w:id="625817036">
                      <w:marLeft w:val="0"/>
                      <w:marRight w:val="0"/>
                      <w:marTop w:val="0"/>
                      <w:marBottom w:val="0"/>
                      <w:divBdr>
                        <w:top w:val="none" w:sz="0" w:space="0" w:color="auto"/>
                        <w:left w:val="none" w:sz="0" w:space="0" w:color="auto"/>
                        <w:bottom w:val="none" w:sz="0" w:space="0" w:color="auto"/>
                        <w:right w:val="none" w:sz="0" w:space="0" w:color="auto"/>
                      </w:divBdr>
                    </w:div>
                  </w:divsChild>
                </w:div>
                <w:div w:id="1646815523">
                  <w:marLeft w:val="0"/>
                  <w:marRight w:val="0"/>
                  <w:marTop w:val="0"/>
                  <w:marBottom w:val="0"/>
                  <w:divBdr>
                    <w:top w:val="none" w:sz="0" w:space="0" w:color="auto"/>
                    <w:left w:val="none" w:sz="0" w:space="0" w:color="auto"/>
                    <w:bottom w:val="none" w:sz="0" w:space="0" w:color="auto"/>
                    <w:right w:val="none" w:sz="0" w:space="0" w:color="auto"/>
                  </w:divBdr>
                  <w:divsChild>
                    <w:div w:id="918947943">
                      <w:marLeft w:val="0"/>
                      <w:marRight w:val="0"/>
                      <w:marTop w:val="0"/>
                      <w:marBottom w:val="0"/>
                      <w:divBdr>
                        <w:top w:val="none" w:sz="0" w:space="0" w:color="auto"/>
                        <w:left w:val="none" w:sz="0" w:space="0" w:color="auto"/>
                        <w:bottom w:val="none" w:sz="0" w:space="0" w:color="auto"/>
                        <w:right w:val="none" w:sz="0" w:space="0" w:color="auto"/>
                      </w:divBdr>
                    </w:div>
                  </w:divsChild>
                </w:div>
                <w:div w:id="1648897334">
                  <w:marLeft w:val="0"/>
                  <w:marRight w:val="0"/>
                  <w:marTop w:val="0"/>
                  <w:marBottom w:val="0"/>
                  <w:divBdr>
                    <w:top w:val="none" w:sz="0" w:space="0" w:color="auto"/>
                    <w:left w:val="none" w:sz="0" w:space="0" w:color="auto"/>
                    <w:bottom w:val="none" w:sz="0" w:space="0" w:color="auto"/>
                    <w:right w:val="none" w:sz="0" w:space="0" w:color="auto"/>
                  </w:divBdr>
                  <w:divsChild>
                    <w:div w:id="1515144516">
                      <w:marLeft w:val="0"/>
                      <w:marRight w:val="0"/>
                      <w:marTop w:val="0"/>
                      <w:marBottom w:val="0"/>
                      <w:divBdr>
                        <w:top w:val="none" w:sz="0" w:space="0" w:color="auto"/>
                        <w:left w:val="none" w:sz="0" w:space="0" w:color="auto"/>
                        <w:bottom w:val="none" w:sz="0" w:space="0" w:color="auto"/>
                        <w:right w:val="none" w:sz="0" w:space="0" w:color="auto"/>
                      </w:divBdr>
                    </w:div>
                  </w:divsChild>
                </w:div>
                <w:div w:id="1670862518">
                  <w:marLeft w:val="0"/>
                  <w:marRight w:val="0"/>
                  <w:marTop w:val="0"/>
                  <w:marBottom w:val="0"/>
                  <w:divBdr>
                    <w:top w:val="none" w:sz="0" w:space="0" w:color="auto"/>
                    <w:left w:val="none" w:sz="0" w:space="0" w:color="auto"/>
                    <w:bottom w:val="none" w:sz="0" w:space="0" w:color="auto"/>
                    <w:right w:val="none" w:sz="0" w:space="0" w:color="auto"/>
                  </w:divBdr>
                  <w:divsChild>
                    <w:div w:id="2139950424">
                      <w:marLeft w:val="0"/>
                      <w:marRight w:val="0"/>
                      <w:marTop w:val="0"/>
                      <w:marBottom w:val="0"/>
                      <w:divBdr>
                        <w:top w:val="none" w:sz="0" w:space="0" w:color="auto"/>
                        <w:left w:val="none" w:sz="0" w:space="0" w:color="auto"/>
                        <w:bottom w:val="none" w:sz="0" w:space="0" w:color="auto"/>
                        <w:right w:val="none" w:sz="0" w:space="0" w:color="auto"/>
                      </w:divBdr>
                    </w:div>
                  </w:divsChild>
                </w:div>
                <w:div w:id="1675841979">
                  <w:marLeft w:val="0"/>
                  <w:marRight w:val="0"/>
                  <w:marTop w:val="0"/>
                  <w:marBottom w:val="0"/>
                  <w:divBdr>
                    <w:top w:val="none" w:sz="0" w:space="0" w:color="auto"/>
                    <w:left w:val="none" w:sz="0" w:space="0" w:color="auto"/>
                    <w:bottom w:val="none" w:sz="0" w:space="0" w:color="auto"/>
                    <w:right w:val="none" w:sz="0" w:space="0" w:color="auto"/>
                  </w:divBdr>
                  <w:divsChild>
                    <w:div w:id="648099136">
                      <w:marLeft w:val="0"/>
                      <w:marRight w:val="0"/>
                      <w:marTop w:val="0"/>
                      <w:marBottom w:val="0"/>
                      <w:divBdr>
                        <w:top w:val="none" w:sz="0" w:space="0" w:color="auto"/>
                        <w:left w:val="none" w:sz="0" w:space="0" w:color="auto"/>
                        <w:bottom w:val="none" w:sz="0" w:space="0" w:color="auto"/>
                        <w:right w:val="none" w:sz="0" w:space="0" w:color="auto"/>
                      </w:divBdr>
                    </w:div>
                  </w:divsChild>
                </w:div>
                <w:div w:id="1712337961">
                  <w:marLeft w:val="0"/>
                  <w:marRight w:val="0"/>
                  <w:marTop w:val="0"/>
                  <w:marBottom w:val="0"/>
                  <w:divBdr>
                    <w:top w:val="none" w:sz="0" w:space="0" w:color="auto"/>
                    <w:left w:val="none" w:sz="0" w:space="0" w:color="auto"/>
                    <w:bottom w:val="none" w:sz="0" w:space="0" w:color="auto"/>
                    <w:right w:val="none" w:sz="0" w:space="0" w:color="auto"/>
                  </w:divBdr>
                  <w:divsChild>
                    <w:div w:id="825365905">
                      <w:marLeft w:val="0"/>
                      <w:marRight w:val="0"/>
                      <w:marTop w:val="0"/>
                      <w:marBottom w:val="0"/>
                      <w:divBdr>
                        <w:top w:val="none" w:sz="0" w:space="0" w:color="auto"/>
                        <w:left w:val="none" w:sz="0" w:space="0" w:color="auto"/>
                        <w:bottom w:val="none" w:sz="0" w:space="0" w:color="auto"/>
                        <w:right w:val="none" w:sz="0" w:space="0" w:color="auto"/>
                      </w:divBdr>
                    </w:div>
                  </w:divsChild>
                </w:div>
                <w:div w:id="1732579480">
                  <w:marLeft w:val="0"/>
                  <w:marRight w:val="0"/>
                  <w:marTop w:val="0"/>
                  <w:marBottom w:val="0"/>
                  <w:divBdr>
                    <w:top w:val="none" w:sz="0" w:space="0" w:color="auto"/>
                    <w:left w:val="none" w:sz="0" w:space="0" w:color="auto"/>
                    <w:bottom w:val="none" w:sz="0" w:space="0" w:color="auto"/>
                    <w:right w:val="none" w:sz="0" w:space="0" w:color="auto"/>
                  </w:divBdr>
                  <w:divsChild>
                    <w:div w:id="1740055974">
                      <w:marLeft w:val="0"/>
                      <w:marRight w:val="0"/>
                      <w:marTop w:val="0"/>
                      <w:marBottom w:val="0"/>
                      <w:divBdr>
                        <w:top w:val="none" w:sz="0" w:space="0" w:color="auto"/>
                        <w:left w:val="none" w:sz="0" w:space="0" w:color="auto"/>
                        <w:bottom w:val="none" w:sz="0" w:space="0" w:color="auto"/>
                        <w:right w:val="none" w:sz="0" w:space="0" w:color="auto"/>
                      </w:divBdr>
                    </w:div>
                  </w:divsChild>
                </w:div>
                <w:div w:id="1768427586">
                  <w:marLeft w:val="0"/>
                  <w:marRight w:val="0"/>
                  <w:marTop w:val="0"/>
                  <w:marBottom w:val="0"/>
                  <w:divBdr>
                    <w:top w:val="none" w:sz="0" w:space="0" w:color="auto"/>
                    <w:left w:val="none" w:sz="0" w:space="0" w:color="auto"/>
                    <w:bottom w:val="none" w:sz="0" w:space="0" w:color="auto"/>
                    <w:right w:val="none" w:sz="0" w:space="0" w:color="auto"/>
                  </w:divBdr>
                  <w:divsChild>
                    <w:div w:id="2034185633">
                      <w:marLeft w:val="0"/>
                      <w:marRight w:val="0"/>
                      <w:marTop w:val="0"/>
                      <w:marBottom w:val="0"/>
                      <w:divBdr>
                        <w:top w:val="none" w:sz="0" w:space="0" w:color="auto"/>
                        <w:left w:val="none" w:sz="0" w:space="0" w:color="auto"/>
                        <w:bottom w:val="none" w:sz="0" w:space="0" w:color="auto"/>
                        <w:right w:val="none" w:sz="0" w:space="0" w:color="auto"/>
                      </w:divBdr>
                    </w:div>
                  </w:divsChild>
                </w:div>
                <w:div w:id="1801653875">
                  <w:marLeft w:val="0"/>
                  <w:marRight w:val="0"/>
                  <w:marTop w:val="0"/>
                  <w:marBottom w:val="0"/>
                  <w:divBdr>
                    <w:top w:val="none" w:sz="0" w:space="0" w:color="auto"/>
                    <w:left w:val="none" w:sz="0" w:space="0" w:color="auto"/>
                    <w:bottom w:val="none" w:sz="0" w:space="0" w:color="auto"/>
                    <w:right w:val="none" w:sz="0" w:space="0" w:color="auto"/>
                  </w:divBdr>
                  <w:divsChild>
                    <w:div w:id="1253124218">
                      <w:marLeft w:val="0"/>
                      <w:marRight w:val="0"/>
                      <w:marTop w:val="0"/>
                      <w:marBottom w:val="0"/>
                      <w:divBdr>
                        <w:top w:val="none" w:sz="0" w:space="0" w:color="auto"/>
                        <w:left w:val="none" w:sz="0" w:space="0" w:color="auto"/>
                        <w:bottom w:val="none" w:sz="0" w:space="0" w:color="auto"/>
                        <w:right w:val="none" w:sz="0" w:space="0" w:color="auto"/>
                      </w:divBdr>
                    </w:div>
                  </w:divsChild>
                </w:div>
                <w:div w:id="1809932191">
                  <w:marLeft w:val="0"/>
                  <w:marRight w:val="0"/>
                  <w:marTop w:val="0"/>
                  <w:marBottom w:val="0"/>
                  <w:divBdr>
                    <w:top w:val="none" w:sz="0" w:space="0" w:color="auto"/>
                    <w:left w:val="none" w:sz="0" w:space="0" w:color="auto"/>
                    <w:bottom w:val="none" w:sz="0" w:space="0" w:color="auto"/>
                    <w:right w:val="none" w:sz="0" w:space="0" w:color="auto"/>
                  </w:divBdr>
                  <w:divsChild>
                    <w:div w:id="1546216411">
                      <w:marLeft w:val="0"/>
                      <w:marRight w:val="0"/>
                      <w:marTop w:val="0"/>
                      <w:marBottom w:val="0"/>
                      <w:divBdr>
                        <w:top w:val="none" w:sz="0" w:space="0" w:color="auto"/>
                        <w:left w:val="none" w:sz="0" w:space="0" w:color="auto"/>
                        <w:bottom w:val="none" w:sz="0" w:space="0" w:color="auto"/>
                        <w:right w:val="none" w:sz="0" w:space="0" w:color="auto"/>
                      </w:divBdr>
                    </w:div>
                  </w:divsChild>
                </w:div>
                <w:div w:id="1850098842">
                  <w:marLeft w:val="0"/>
                  <w:marRight w:val="0"/>
                  <w:marTop w:val="0"/>
                  <w:marBottom w:val="0"/>
                  <w:divBdr>
                    <w:top w:val="none" w:sz="0" w:space="0" w:color="auto"/>
                    <w:left w:val="none" w:sz="0" w:space="0" w:color="auto"/>
                    <w:bottom w:val="none" w:sz="0" w:space="0" w:color="auto"/>
                    <w:right w:val="none" w:sz="0" w:space="0" w:color="auto"/>
                  </w:divBdr>
                  <w:divsChild>
                    <w:div w:id="2140949772">
                      <w:marLeft w:val="0"/>
                      <w:marRight w:val="0"/>
                      <w:marTop w:val="0"/>
                      <w:marBottom w:val="0"/>
                      <w:divBdr>
                        <w:top w:val="none" w:sz="0" w:space="0" w:color="auto"/>
                        <w:left w:val="none" w:sz="0" w:space="0" w:color="auto"/>
                        <w:bottom w:val="none" w:sz="0" w:space="0" w:color="auto"/>
                        <w:right w:val="none" w:sz="0" w:space="0" w:color="auto"/>
                      </w:divBdr>
                    </w:div>
                  </w:divsChild>
                </w:div>
                <w:div w:id="1880314806">
                  <w:marLeft w:val="0"/>
                  <w:marRight w:val="0"/>
                  <w:marTop w:val="0"/>
                  <w:marBottom w:val="0"/>
                  <w:divBdr>
                    <w:top w:val="none" w:sz="0" w:space="0" w:color="auto"/>
                    <w:left w:val="none" w:sz="0" w:space="0" w:color="auto"/>
                    <w:bottom w:val="none" w:sz="0" w:space="0" w:color="auto"/>
                    <w:right w:val="none" w:sz="0" w:space="0" w:color="auto"/>
                  </w:divBdr>
                  <w:divsChild>
                    <w:div w:id="1911886362">
                      <w:marLeft w:val="0"/>
                      <w:marRight w:val="0"/>
                      <w:marTop w:val="0"/>
                      <w:marBottom w:val="0"/>
                      <w:divBdr>
                        <w:top w:val="none" w:sz="0" w:space="0" w:color="auto"/>
                        <w:left w:val="none" w:sz="0" w:space="0" w:color="auto"/>
                        <w:bottom w:val="none" w:sz="0" w:space="0" w:color="auto"/>
                        <w:right w:val="none" w:sz="0" w:space="0" w:color="auto"/>
                      </w:divBdr>
                    </w:div>
                  </w:divsChild>
                </w:div>
                <w:div w:id="1899171634">
                  <w:marLeft w:val="0"/>
                  <w:marRight w:val="0"/>
                  <w:marTop w:val="0"/>
                  <w:marBottom w:val="0"/>
                  <w:divBdr>
                    <w:top w:val="none" w:sz="0" w:space="0" w:color="auto"/>
                    <w:left w:val="none" w:sz="0" w:space="0" w:color="auto"/>
                    <w:bottom w:val="none" w:sz="0" w:space="0" w:color="auto"/>
                    <w:right w:val="none" w:sz="0" w:space="0" w:color="auto"/>
                  </w:divBdr>
                  <w:divsChild>
                    <w:div w:id="1672492516">
                      <w:marLeft w:val="0"/>
                      <w:marRight w:val="0"/>
                      <w:marTop w:val="0"/>
                      <w:marBottom w:val="0"/>
                      <w:divBdr>
                        <w:top w:val="none" w:sz="0" w:space="0" w:color="auto"/>
                        <w:left w:val="none" w:sz="0" w:space="0" w:color="auto"/>
                        <w:bottom w:val="none" w:sz="0" w:space="0" w:color="auto"/>
                        <w:right w:val="none" w:sz="0" w:space="0" w:color="auto"/>
                      </w:divBdr>
                    </w:div>
                  </w:divsChild>
                </w:div>
                <w:div w:id="1918902413">
                  <w:marLeft w:val="0"/>
                  <w:marRight w:val="0"/>
                  <w:marTop w:val="0"/>
                  <w:marBottom w:val="0"/>
                  <w:divBdr>
                    <w:top w:val="none" w:sz="0" w:space="0" w:color="auto"/>
                    <w:left w:val="none" w:sz="0" w:space="0" w:color="auto"/>
                    <w:bottom w:val="none" w:sz="0" w:space="0" w:color="auto"/>
                    <w:right w:val="none" w:sz="0" w:space="0" w:color="auto"/>
                  </w:divBdr>
                  <w:divsChild>
                    <w:div w:id="1396928302">
                      <w:marLeft w:val="0"/>
                      <w:marRight w:val="0"/>
                      <w:marTop w:val="0"/>
                      <w:marBottom w:val="0"/>
                      <w:divBdr>
                        <w:top w:val="none" w:sz="0" w:space="0" w:color="auto"/>
                        <w:left w:val="none" w:sz="0" w:space="0" w:color="auto"/>
                        <w:bottom w:val="none" w:sz="0" w:space="0" w:color="auto"/>
                        <w:right w:val="none" w:sz="0" w:space="0" w:color="auto"/>
                      </w:divBdr>
                    </w:div>
                  </w:divsChild>
                </w:div>
                <w:div w:id="1939554751">
                  <w:marLeft w:val="0"/>
                  <w:marRight w:val="0"/>
                  <w:marTop w:val="0"/>
                  <w:marBottom w:val="0"/>
                  <w:divBdr>
                    <w:top w:val="none" w:sz="0" w:space="0" w:color="auto"/>
                    <w:left w:val="none" w:sz="0" w:space="0" w:color="auto"/>
                    <w:bottom w:val="none" w:sz="0" w:space="0" w:color="auto"/>
                    <w:right w:val="none" w:sz="0" w:space="0" w:color="auto"/>
                  </w:divBdr>
                  <w:divsChild>
                    <w:div w:id="1801874492">
                      <w:marLeft w:val="0"/>
                      <w:marRight w:val="0"/>
                      <w:marTop w:val="0"/>
                      <w:marBottom w:val="0"/>
                      <w:divBdr>
                        <w:top w:val="none" w:sz="0" w:space="0" w:color="auto"/>
                        <w:left w:val="none" w:sz="0" w:space="0" w:color="auto"/>
                        <w:bottom w:val="none" w:sz="0" w:space="0" w:color="auto"/>
                        <w:right w:val="none" w:sz="0" w:space="0" w:color="auto"/>
                      </w:divBdr>
                    </w:div>
                  </w:divsChild>
                </w:div>
                <w:div w:id="1955012384">
                  <w:marLeft w:val="0"/>
                  <w:marRight w:val="0"/>
                  <w:marTop w:val="0"/>
                  <w:marBottom w:val="0"/>
                  <w:divBdr>
                    <w:top w:val="none" w:sz="0" w:space="0" w:color="auto"/>
                    <w:left w:val="none" w:sz="0" w:space="0" w:color="auto"/>
                    <w:bottom w:val="none" w:sz="0" w:space="0" w:color="auto"/>
                    <w:right w:val="none" w:sz="0" w:space="0" w:color="auto"/>
                  </w:divBdr>
                  <w:divsChild>
                    <w:div w:id="248121344">
                      <w:marLeft w:val="0"/>
                      <w:marRight w:val="0"/>
                      <w:marTop w:val="0"/>
                      <w:marBottom w:val="0"/>
                      <w:divBdr>
                        <w:top w:val="none" w:sz="0" w:space="0" w:color="auto"/>
                        <w:left w:val="none" w:sz="0" w:space="0" w:color="auto"/>
                        <w:bottom w:val="none" w:sz="0" w:space="0" w:color="auto"/>
                        <w:right w:val="none" w:sz="0" w:space="0" w:color="auto"/>
                      </w:divBdr>
                    </w:div>
                  </w:divsChild>
                </w:div>
                <w:div w:id="1965118398">
                  <w:marLeft w:val="0"/>
                  <w:marRight w:val="0"/>
                  <w:marTop w:val="0"/>
                  <w:marBottom w:val="0"/>
                  <w:divBdr>
                    <w:top w:val="none" w:sz="0" w:space="0" w:color="auto"/>
                    <w:left w:val="none" w:sz="0" w:space="0" w:color="auto"/>
                    <w:bottom w:val="none" w:sz="0" w:space="0" w:color="auto"/>
                    <w:right w:val="none" w:sz="0" w:space="0" w:color="auto"/>
                  </w:divBdr>
                  <w:divsChild>
                    <w:div w:id="574047180">
                      <w:marLeft w:val="0"/>
                      <w:marRight w:val="0"/>
                      <w:marTop w:val="0"/>
                      <w:marBottom w:val="0"/>
                      <w:divBdr>
                        <w:top w:val="none" w:sz="0" w:space="0" w:color="auto"/>
                        <w:left w:val="none" w:sz="0" w:space="0" w:color="auto"/>
                        <w:bottom w:val="none" w:sz="0" w:space="0" w:color="auto"/>
                        <w:right w:val="none" w:sz="0" w:space="0" w:color="auto"/>
                      </w:divBdr>
                    </w:div>
                  </w:divsChild>
                </w:div>
                <w:div w:id="1967615579">
                  <w:marLeft w:val="0"/>
                  <w:marRight w:val="0"/>
                  <w:marTop w:val="0"/>
                  <w:marBottom w:val="0"/>
                  <w:divBdr>
                    <w:top w:val="none" w:sz="0" w:space="0" w:color="auto"/>
                    <w:left w:val="none" w:sz="0" w:space="0" w:color="auto"/>
                    <w:bottom w:val="none" w:sz="0" w:space="0" w:color="auto"/>
                    <w:right w:val="none" w:sz="0" w:space="0" w:color="auto"/>
                  </w:divBdr>
                  <w:divsChild>
                    <w:div w:id="120463095">
                      <w:marLeft w:val="0"/>
                      <w:marRight w:val="0"/>
                      <w:marTop w:val="0"/>
                      <w:marBottom w:val="0"/>
                      <w:divBdr>
                        <w:top w:val="none" w:sz="0" w:space="0" w:color="auto"/>
                        <w:left w:val="none" w:sz="0" w:space="0" w:color="auto"/>
                        <w:bottom w:val="none" w:sz="0" w:space="0" w:color="auto"/>
                        <w:right w:val="none" w:sz="0" w:space="0" w:color="auto"/>
                      </w:divBdr>
                    </w:div>
                  </w:divsChild>
                </w:div>
                <w:div w:id="1990355274">
                  <w:marLeft w:val="0"/>
                  <w:marRight w:val="0"/>
                  <w:marTop w:val="0"/>
                  <w:marBottom w:val="0"/>
                  <w:divBdr>
                    <w:top w:val="none" w:sz="0" w:space="0" w:color="auto"/>
                    <w:left w:val="none" w:sz="0" w:space="0" w:color="auto"/>
                    <w:bottom w:val="none" w:sz="0" w:space="0" w:color="auto"/>
                    <w:right w:val="none" w:sz="0" w:space="0" w:color="auto"/>
                  </w:divBdr>
                  <w:divsChild>
                    <w:div w:id="438796050">
                      <w:marLeft w:val="0"/>
                      <w:marRight w:val="0"/>
                      <w:marTop w:val="0"/>
                      <w:marBottom w:val="0"/>
                      <w:divBdr>
                        <w:top w:val="none" w:sz="0" w:space="0" w:color="auto"/>
                        <w:left w:val="none" w:sz="0" w:space="0" w:color="auto"/>
                        <w:bottom w:val="none" w:sz="0" w:space="0" w:color="auto"/>
                        <w:right w:val="none" w:sz="0" w:space="0" w:color="auto"/>
                      </w:divBdr>
                    </w:div>
                  </w:divsChild>
                </w:div>
                <w:div w:id="2006206664">
                  <w:marLeft w:val="0"/>
                  <w:marRight w:val="0"/>
                  <w:marTop w:val="0"/>
                  <w:marBottom w:val="0"/>
                  <w:divBdr>
                    <w:top w:val="none" w:sz="0" w:space="0" w:color="auto"/>
                    <w:left w:val="none" w:sz="0" w:space="0" w:color="auto"/>
                    <w:bottom w:val="none" w:sz="0" w:space="0" w:color="auto"/>
                    <w:right w:val="none" w:sz="0" w:space="0" w:color="auto"/>
                  </w:divBdr>
                  <w:divsChild>
                    <w:div w:id="1683631560">
                      <w:marLeft w:val="0"/>
                      <w:marRight w:val="0"/>
                      <w:marTop w:val="0"/>
                      <w:marBottom w:val="0"/>
                      <w:divBdr>
                        <w:top w:val="none" w:sz="0" w:space="0" w:color="auto"/>
                        <w:left w:val="none" w:sz="0" w:space="0" w:color="auto"/>
                        <w:bottom w:val="none" w:sz="0" w:space="0" w:color="auto"/>
                        <w:right w:val="none" w:sz="0" w:space="0" w:color="auto"/>
                      </w:divBdr>
                    </w:div>
                  </w:divsChild>
                </w:div>
                <w:div w:id="2007172505">
                  <w:marLeft w:val="0"/>
                  <w:marRight w:val="0"/>
                  <w:marTop w:val="0"/>
                  <w:marBottom w:val="0"/>
                  <w:divBdr>
                    <w:top w:val="none" w:sz="0" w:space="0" w:color="auto"/>
                    <w:left w:val="none" w:sz="0" w:space="0" w:color="auto"/>
                    <w:bottom w:val="none" w:sz="0" w:space="0" w:color="auto"/>
                    <w:right w:val="none" w:sz="0" w:space="0" w:color="auto"/>
                  </w:divBdr>
                  <w:divsChild>
                    <w:div w:id="1593857944">
                      <w:marLeft w:val="0"/>
                      <w:marRight w:val="0"/>
                      <w:marTop w:val="0"/>
                      <w:marBottom w:val="0"/>
                      <w:divBdr>
                        <w:top w:val="none" w:sz="0" w:space="0" w:color="auto"/>
                        <w:left w:val="none" w:sz="0" w:space="0" w:color="auto"/>
                        <w:bottom w:val="none" w:sz="0" w:space="0" w:color="auto"/>
                        <w:right w:val="none" w:sz="0" w:space="0" w:color="auto"/>
                      </w:divBdr>
                    </w:div>
                  </w:divsChild>
                </w:div>
                <w:div w:id="2015642054">
                  <w:marLeft w:val="0"/>
                  <w:marRight w:val="0"/>
                  <w:marTop w:val="0"/>
                  <w:marBottom w:val="0"/>
                  <w:divBdr>
                    <w:top w:val="none" w:sz="0" w:space="0" w:color="auto"/>
                    <w:left w:val="none" w:sz="0" w:space="0" w:color="auto"/>
                    <w:bottom w:val="none" w:sz="0" w:space="0" w:color="auto"/>
                    <w:right w:val="none" w:sz="0" w:space="0" w:color="auto"/>
                  </w:divBdr>
                  <w:divsChild>
                    <w:div w:id="306664006">
                      <w:marLeft w:val="0"/>
                      <w:marRight w:val="0"/>
                      <w:marTop w:val="0"/>
                      <w:marBottom w:val="0"/>
                      <w:divBdr>
                        <w:top w:val="none" w:sz="0" w:space="0" w:color="auto"/>
                        <w:left w:val="none" w:sz="0" w:space="0" w:color="auto"/>
                        <w:bottom w:val="none" w:sz="0" w:space="0" w:color="auto"/>
                        <w:right w:val="none" w:sz="0" w:space="0" w:color="auto"/>
                      </w:divBdr>
                    </w:div>
                  </w:divsChild>
                </w:div>
                <w:div w:id="2041125045">
                  <w:marLeft w:val="0"/>
                  <w:marRight w:val="0"/>
                  <w:marTop w:val="0"/>
                  <w:marBottom w:val="0"/>
                  <w:divBdr>
                    <w:top w:val="none" w:sz="0" w:space="0" w:color="auto"/>
                    <w:left w:val="none" w:sz="0" w:space="0" w:color="auto"/>
                    <w:bottom w:val="none" w:sz="0" w:space="0" w:color="auto"/>
                    <w:right w:val="none" w:sz="0" w:space="0" w:color="auto"/>
                  </w:divBdr>
                  <w:divsChild>
                    <w:div w:id="1798601249">
                      <w:marLeft w:val="0"/>
                      <w:marRight w:val="0"/>
                      <w:marTop w:val="0"/>
                      <w:marBottom w:val="0"/>
                      <w:divBdr>
                        <w:top w:val="none" w:sz="0" w:space="0" w:color="auto"/>
                        <w:left w:val="none" w:sz="0" w:space="0" w:color="auto"/>
                        <w:bottom w:val="none" w:sz="0" w:space="0" w:color="auto"/>
                        <w:right w:val="none" w:sz="0" w:space="0" w:color="auto"/>
                      </w:divBdr>
                    </w:div>
                  </w:divsChild>
                </w:div>
                <w:div w:id="2043166399">
                  <w:marLeft w:val="0"/>
                  <w:marRight w:val="0"/>
                  <w:marTop w:val="0"/>
                  <w:marBottom w:val="0"/>
                  <w:divBdr>
                    <w:top w:val="none" w:sz="0" w:space="0" w:color="auto"/>
                    <w:left w:val="none" w:sz="0" w:space="0" w:color="auto"/>
                    <w:bottom w:val="none" w:sz="0" w:space="0" w:color="auto"/>
                    <w:right w:val="none" w:sz="0" w:space="0" w:color="auto"/>
                  </w:divBdr>
                  <w:divsChild>
                    <w:div w:id="1112747361">
                      <w:marLeft w:val="0"/>
                      <w:marRight w:val="0"/>
                      <w:marTop w:val="0"/>
                      <w:marBottom w:val="0"/>
                      <w:divBdr>
                        <w:top w:val="none" w:sz="0" w:space="0" w:color="auto"/>
                        <w:left w:val="none" w:sz="0" w:space="0" w:color="auto"/>
                        <w:bottom w:val="none" w:sz="0" w:space="0" w:color="auto"/>
                        <w:right w:val="none" w:sz="0" w:space="0" w:color="auto"/>
                      </w:divBdr>
                    </w:div>
                  </w:divsChild>
                </w:div>
                <w:div w:id="2071725187">
                  <w:marLeft w:val="0"/>
                  <w:marRight w:val="0"/>
                  <w:marTop w:val="0"/>
                  <w:marBottom w:val="0"/>
                  <w:divBdr>
                    <w:top w:val="none" w:sz="0" w:space="0" w:color="auto"/>
                    <w:left w:val="none" w:sz="0" w:space="0" w:color="auto"/>
                    <w:bottom w:val="none" w:sz="0" w:space="0" w:color="auto"/>
                    <w:right w:val="none" w:sz="0" w:space="0" w:color="auto"/>
                  </w:divBdr>
                  <w:divsChild>
                    <w:div w:id="2092310950">
                      <w:marLeft w:val="0"/>
                      <w:marRight w:val="0"/>
                      <w:marTop w:val="0"/>
                      <w:marBottom w:val="0"/>
                      <w:divBdr>
                        <w:top w:val="none" w:sz="0" w:space="0" w:color="auto"/>
                        <w:left w:val="none" w:sz="0" w:space="0" w:color="auto"/>
                        <w:bottom w:val="none" w:sz="0" w:space="0" w:color="auto"/>
                        <w:right w:val="none" w:sz="0" w:space="0" w:color="auto"/>
                      </w:divBdr>
                    </w:div>
                  </w:divsChild>
                </w:div>
                <w:div w:id="2075203634">
                  <w:marLeft w:val="0"/>
                  <w:marRight w:val="0"/>
                  <w:marTop w:val="0"/>
                  <w:marBottom w:val="0"/>
                  <w:divBdr>
                    <w:top w:val="none" w:sz="0" w:space="0" w:color="auto"/>
                    <w:left w:val="none" w:sz="0" w:space="0" w:color="auto"/>
                    <w:bottom w:val="none" w:sz="0" w:space="0" w:color="auto"/>
                    <w:right w:val="none" w:sz="0" w:space="0" w:color="auto"/>
                  </w:divBdr>
                  <w:divsChild>
                    <w:div w:id="1987204525">
                      <w:marLeft w:val="0"/>
                      <w:marRight w:val="0"/>
                      <w:marTop w:val="0"/>
                      <w:marBottom w:val="0"/>
                      <w:divBdr>
                        <w:top w:val="none" w:sz="0" w:space="0" w:color="auto"/>
                        <w:left w:val="none" w:sz="0" w:space="0" w:color="auto"/>
                        <w:bottom w:val="none" w:sz="0" w:space="0" w:color="auto"/>
                        <w:right w:val="none" w:sz="0" w:space="0" w:color="auto"/>
                      </w:divBdr>
                    </w:div>
                  </w:divsChild>
                </w:div>
                <w:div w:id="2077630384">
                  <w:marLeft w:val="0"/>
                  <w:marRight w:val="0"/>
                  <w:marTop w:val="0"/>
                  <w:marBottom w:val="0"/>
                  <w:divBdr>
                    <w:top w:val="none" w:sz="0" w:space="0" w:color="auto"/>
                    <w:left w:val="none" w:sz="0" w:space="0" w:color="auto"/>
                    <w:bottom w:val="none" w:sz="0" w:space="0" w:color="auto"/>
                    <w:right w:val="none" w:sz="0" w:space="0" w:color="auto"/>
                  </w:divBdr>
                  <w:divsChild>
                    <w:div w:id="1163860733">
                      <w:marLeft w:val="0"/>
                      <w:marRight w:val="0"/>
                      <w:marTop w:val="0"/>
                      <w:marBottom w:val="0"/>
                      <w:divBdr>
                        <w:top w:val="none" w:sz="0" w:space="0" w:color="auto"/>
                        <w:left w:val="none" w:sz="0" w:space="0" w:color="auto"/>
                        <w:bottom w:val="none" w:sz="0" w:space="0" w:color="auto"/>
                        <w:right w:val="none" w:sz="0" w:space="0" w:color="auto"/>
                      </w:divBdr>
                    </w:div>
                  </w:divsChild>
                </w:div>
                <w:div w:id="2096978093">
                  <w:marLeft w:val="0"/>
                  <w:marRight w:val="0"/>
                  <w:marTop w:val="0"/>
                  <w:marBottom w:val="0"/>
                  <w:divBdr>
                    <w:top w:val="none" w:sz="0" w:space="0" w:color="auto"/>
                    <w:left w:val="none" w:sz="0" w:space="0" w:color="auto"/>
                    <w:bottom w:val="none" w:sz="0" w:space="0" w:color="auto"/>
                    <w:right w:val="none" w:sz="0" w:space="0" w:color="auto"/>
                  </w:divBdr>
                  <w:divsChild>
                    <w:div w:id="1854755946">
                      <w:marLeft w:val="0"/>
                      <w:marRight w:val="0"/>
                      <w:marTop w:val="0"/>
                      <w:marBottom w:val="0"/>
                      <w:divBdr>
                        <w:top w:val="none" w:sz="0" w:space="0" w:color="auto"/>
                        <w:left w:val="none" w:sz="0" w:space="0" w:color="auto"/>
                        <w:bottom w:val="none" w:sz="0" w:space="0" w:color="auto"/>
                        <w:right w:val="none" w:sz="0" w:space="0" w:color="auto"/>
                      </w:divBdr>
                    </w:div>
                  </w:divsChild>
                </w:div>
                <w:div w:id="2123726430">
                  <w:marLeft w:val="0"/>
                  <w:marRight w:val="0"/>
                  <w:marTop w:val="0"/>
                  <w:marBottom w:val="0"/>
                  <w:divBdr>
                    <w:top w:val="none" w:sz="0" w:space="0" w:color="auto"/>
                    <w:left w:val="none" w:sz="0" w:space="0" w:color="auto"/>
                    <w:bottom w:val="none" w:sz="0" w:space="0" w:color="auto"/>
                    <w:right w:val="none" w:sz="0" w:space="0" w:color="auto"/>
                  </w:divBdr>
                  <w:divsChild>
                    <w:div w:id="1978803142">
                      <w:marLeft w:val="0"/>
                      <w:marRight w:val="0"/>
                      <w:marTop w:val="0"/>
                      <w:marBottom w:val="0"/>
                      <w:divBdr>
                        <w:top w:val="none" w:sz="0" w:space="0" w:color="auto"/>
                        <w:left w:val="none" w:sz="0" w:space="0" w:color="auto"/>
                        <w:bottom w:val="none" w:sz="0" w:space="0" w:color="auto"/>
                        <w:right w:val="none" w:sz="0" w:space="0" w:color="auto"/>
                      </w:divBdr>
                    </w:div>
                  </w:divsChild>
                </w:div>
                <w:div w:id="2131581522">
                  <w:marLeft w:val="0"/>
                  <w:marRight w:val="0"/>
                  <w:marTop w:val="0"/>
                  <w:marBottom w:val="0"/>
                  <w:divBdr>
                    <w:top w:val="none" w:sz="0" w:space="0" w:color="auto"/>
                    <w:left w:val="none" w:sz="0" w:space="0" w:color="auto"/>
                    <w:bottom w:val="none" w:sz="0" w:space="0" w:color="auto"/>
                    <w:right w:val="none" w:sz="0" w:space="0" w:color="auto"/>
                  </w:divBdr>
                  <w:divsChild>
                    <w:div w:id="1547254184">
                      <w:marLeft w:val="0"/>
                      <w:marRight w:val="0"/>
                      <w:marTop w:val="0"/>
                      <w:marBottom w:val="0"/>
                      <w:divBdr>
                        <w:top w:val="none" w:sz="0" w:space="0" w:color="auto"/>
                        <w:left w:val="none" w:sz="0" w:space="0" w:color="auto"/>
                        <w:bottom w:val="none" w:sz="0" w:space="0" w:color="auto"/>
                        <w:right w:val="none" w:sz="0" w:space="0" w:color="auto"/>
                      </w:divBdr>
                    </w:div>
                  </w:divsChild>
                </w:div>
                <w:div w:id="2138984681">
                  <w:marLeft w:val="0"/>
                  <w:marRight w:val="0"/>
                  <w:marTop w:val="0"/>
                  <w:marBottom w:val="0"/>
                  <w:divBdr>
                    <w:top w:val="none" w:sz="0" w:space="0" w:color="auto"/>
                    <w:left w:val="none" w:sz="0" w:space="0" w:color="auto"/>
                    <w:bottom w:val="none" w:sz="0" w:space="0" w:color="auto"/>
                    <w:right w:val="none" w:sz="0" w:space="0" w:color="auto"/>
                  </w:divBdr>
                  <w:divsChild>
                    <w:div w:id="69861733">
                      <w:marLeft w:val="0"/>
                      <w:marRight w:val="0"/>
                      <w:marTop w:val="0"/>
                      <w:marBottom w:val="0"/>
                      <w:divBdr>
                        <w:top w:val="none" w:sz="0" w:space="0" w:color="auto"/>
                        <w:left w:val="none" w:sz="0" w:space="0" w:color="auto"/>
                        <w:bottom w:val="none" w:sz="0" w:space="0" w:color="auto"/>
                        <w:right w:val="none" w:sz="0" w:space="0" w:color="auto"/>
                      </w:divBdr>
                    </w:div>
                  </w:divsChild>
                </w:div>
                <w:div w:id="2143763034">
                  <w:marLeft w:val="0"/>
                  <w:marRight w:val="0"/>
                  <w:marTop w:val="0"/>
                  <w:marBottom w:val="0"/>
                  <w:divBdr>
                    <w:top w:val="none" w:sz="0" w:space="0" w:color="auto"/>
                    <w:left w:val="none" w:sz="0" w:space="0" w:color="auto"/>
                    <w:bottom w:val="none" w:sz="0" w:space="0" w:color="auto"/>
                    <w:right w:val="none" w:sz="0" w:space="0" w:color="auto"/>
                  </w:divBdr>
                  <w:divsChild>
                    <w:div w:id="8825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20272">
          <w:marLeft w:val="0"/>
          <w:marRight w:val="0"/>
          <w:marTop w:val="0"/>
          <w:marBottom w:val="0"/>
          <w:divBdr>
            <w:top w:val="none" w:sz="0" w:space="0" w:color="auto"/>
            <w:left w:val="none" w:sz="0" w:space="0" w:color="auto"/>
            <w:bottom w:val="none" w:sz="0" w:space="0" w:color="auto"/>
            <w:right w:val="none" w:sz="0" w:space="0" w:color="auto"/>
          </w:divBdr>
        </w:div>
        <w:div w:id="1914044762">
          <w:marLeft w:val="0"/>
          <w:marRight w:val="0"/>
          <w:marTop w:val="0"/>
          <w:marBottom w:val="0"/>
          <w:divBdr>
            <w:top w:val="none" w:sz="0" w:space="0" w:color="auto"/>
            <w:left w:val="none" w:sz="0" w:space="0" w:color="auto"/>
            <w:bottom w:val="none" w:sz="0" w:space="0" w:color="auto"/>
            <w:right w:val="none" w:sz="0" w:space="0" w:color="auto"/>
          </w:divBdr>
        </w:div>
        <w:div w:id="2146507837">
          <w:marLeft w:val="0"/>
          <w:marRight w:val="0"/>
          <w:marTop w:val="0"/>
          <w:marBottom w:val="0"/>
          <w:divBdr>
            <w:top w:val="none" w:sz="0" w:space="0" w:color="auto"/>
            <w:left w:val="none" w:sz="0" w:space="0" w:color="auto"/>
            <w:bottom w:val="none" w:sz="0" w:space="0" w:color="auto"/>
            <w:right w:val="none" w:sz="0" w:space="0" w:color="auto"/>
          </w:divBdr>
        </w:div>
      </w:divsChild>
    </w:div>
    <w:div w:id="519660693">
      <w:bodyDiv w:val="1"/>
      <w:marLeft w:val="0"/>
      <w:marRight w:val="0"/>
      <w:marTop w:val="0"/>
      <w:marBottom w:val="0"/>
      <w:divBdr>
        <w:top w:val="none" w:sz="0" w:space="0" w:color="auto"/>
        <w:left w:val="none" w:sz="0" w:space="0" w:color="auto"/>
        <w:bottom w:val="none" w:sz="0" w:space="0" w:color="auto"/>
        <w:right w:val="none" w:sz="0" w:space="0" w:color="auto"/>
      </w:divBdr>
    </w:div>
    <w:div w:id="567151870">
      <w:bodyDiv w:val="1"/>
      <w:marLeft w:val="0"/>
      <w:marRight w:val="0"/>
      <w:marTop w:val="0"/>
      <w:marBottom w:val="0"/>
      <w:divBdr>
        <w:top w:val="none" w:sz="0" w:space="0" w:color="auto"/>
        <w:left w:val="none" w:sz="0" w:space="0" w:color="auto"/>
        <w:bottom w:val="none" w:sz="0" w:space="0" w:color="auto"/>
        <w:right w:val="none" w:sz="0" w:space="0" w:color="auto"/>
      </w:divBdr>
    </w:div>
    <w:div w:id="596641182">
      <w:bodyDiv w:val="1"/>
      <w:marLeft w:val="0"/>
      <w:marRight w:val="0"/>
      <w:marTop w:val="0"/>
      <w:marBottom w:val="0"/>
      <w:divBdr>
        <w:top w:val="none" w:sz="0" w:space="0" w:color="auto"/>
        <w:left w:val="none" w:sz="0" w:space="0" w:color="auto"/>
        <w:bottom w:val="none" w:sz="0" w:space="0" w:color="auto"/>
        <w:right w:val="none" w:sz="0" w:space="0" w:color="auto"/>
      </w:divBdr>
    </w:div>
    <w:div w:id="597368322">
      <w:bodyDiv w:val="1"/>
      <w:marLeft w:val="0"/>
      <w:marRight w:val="0"/>
      <w:marTop w:val="0"/>
      <w:marBottom w:val="0"/>
      <w:divBdr>
        <w:top w:val="none" w:sz="0" w:space="0" w:color="auto"/>
        <w:left w:val="none" w:sz="0" w:space="0" w:color="auto"/>
        <w:bottom w:val="none" w:sz="0" w:space="0" w:color="auto"/>
        <w:right w:val="none" w:sz="0" w:space="0" w:color="auto"/>
      </w:divBdr>
    </w:div>
    <w:div w:id="599946378">
      <w:bodyDiv w:val="1"/>
      <w:marLeft w:val="0"/>
      <w:marRight w:val="0"/>
      <w:marTop w:val="0"/>
      <w:marBottom w:val="0"/>
      <w:divBdr>
        <w:top w:val="none" w:sz="0" w:space="0" w:color="auto"/>
        <w:left w:val="none" w:sz="0" w:space="0" w:color="auto"/>
        <w:bottom w:val="none" w:sz="0" w:space="0" w:color="auto"/>
        <w:right w:val="none" w:sz="0" w:space="0" w:color="auto"/>
      </w:divBdr>
    </w:div>
    <w:div w:id="625354535">
      <w:bodyDiv w:val="1"/>
      <w:marLeft w:val="0"/>
      <w:marRight w:val="0"/>
      <w:marTop w:val="0"/>
      <w:marBottom w:val="0"/>
      <w:divBdr>
        <w:top w:val="none" w:sz="0" w:space="0" w:color="auto"/>
        <w:left w:val="none" w:sz="0" w:space="0" w:color="auto"/>
        <w:bottom w:val="none" w:sz="0" w:space="0" w:color="auto"/>
        <w:right w:val="none" w:sz="0" w:space="0" w:color="auto"/>
      </w:divBdr>
    </w:div>
    <w:div w:id="625739392">
      <w:bodyDiv w:val="1"/>
      <w:marLeft w:val="0"/>
      <w:marRight w:val="0"/>
      <w:marTop w:val="0"/>
      <w:marBottom w:val="0"/>
      <w:divBdr>
        <w:top w:val="none" w:sz="0" w:space="0" w:color="auto"/>
        <w:left w:val="none" w:sz="0" w:space="0" w:color="auto"/>
        <w:bottom w:val="none" w:sz="0" w:space="0" w:color="auto"/>
        <w:right w:val="none" w:sz="0" w:space="0" w:color="auto"/>
      </w:divBdr>
    </w:div>
    <w:div w:id="635254959">
      <w:bodyDiv w:val="1"/>
      <w:marLeft w:val="0"/>
      <w:marRight w:val="0"/>
      <w:marTop w:val="0"/>
      <w:marBottom w:val="0"/>
      <w:divBdr>
        <w:top w:val="none" w:sz="0" w:space="0" w:color="auto"/>
        <w:left w:val="none" w:sz="0" w:space="0" w:color="auto"/>
        <w:bottom w:val="none" w:sz="0" w:space="0" w:color="auto"/>
        <w:right w:val="none" w:sz="0" w:space="0" w:color="auto"/>
      </w:divBdr>
      <w:divsChild>
        <w:div w:id="31657055">
          <w:marLeft w:val="0"/>
          <w:marRight w:val="0"/>
          <w:marTop w:val="0"/>
          <w:marBottom w:val="0"/>
          <w:divBdr>
            <w:top w:val="none" w:sz="0" w:space="0" w:color="auto"/>
            <w:left w:val="none" w:sz="0" w:space="0" w:color="auto"/>
            <w:bottom w:val="none" w:sz="0" w:space="0" w:color="auto"/>
            <w:right w:val="none" w:sz="0" w:space="0" w:color="auto"/>
          </w:divBdr>
          <w:divsChild>
            <w:div w:id="1040133710">
              <w:marLeft w:val="0"/>
              <w:marRight w:val="0"/>
              <w:marTop w:val="0"/>
              <w:marBottom w:val="0"/>
              <w:divBdr>
                <w:top w:val="none" w:sz="0" w:space="0" w:color="auto"/>
                <w:left w:val="none" w:sz="0" w:space="0" w:color="auto"/>
                <w:bottom w:val="none" w:sz="0" w:space="0" w:color="auto"/>
                <w:right w:val="none" w:sz="0" w:space="0" w:color="auto"/>
              </w:divBdr>
            </w:div>
          </w:divsChild>
        </w:div>
        <w:div w:id="136993729">
          <w:marLeft w:val="0"/>
          <w:marRight w:val="0"/>
          <w:marTop w:val="0"/>
          <w:marBottom w:val="0"/>
          <w:divBdr>
            <w:top w:val="none" w:sz="0" w:space="0" w:color="auto"/>
            <w:left w:val="none" w:sz="0" w:space="0" w:color="auto"/>
            <w:bottom w:val="none" w:sz="0" w:space="0" w:color="auto"/>
            <w:right w:val="none" w:sz="0" w:space="0" w:color="auto"/>
          </w:divBdr>
          <w:divsChild>
            <w:div w:id="1425877025">
              <w:marLeft w:val="0"/>
              <w:marRight w:val="0"/>
              <w:marTop w:val="0"/>
              <w:marBottom w:val="0"/>
              <w:divBdr>
                <w:top w:val="none" w:sz="0" w:space="0" w:color="auto"/>
                <w:left w:val="none" w:sz="0" w:space="0" w:color="auto"/>
                <w:bottom w:val="none" w:sz="0" w:space="0" w:color="auto"/>
                <w:right w:val="none" w:sz="0" w:space="0" w:color="auto"/>
              </w:divBdr>
            </w:div>
          </w:divsChild>
        </w:div>
        <w:div w:id="151260145">
          <w:marLeft w:val="0"/>
          <w:marRight w:val="0"/>
          <w:marTop w:val="0"/>
          <w:marBottom w:val="0"/>
          <w:divBdr>
            <w:top w:val="none" w:sz="0" w:space="0" w:color="auto"/>
            <w:left w:val="none" w:sz="0" w:space="0" w:color="auto"/>
            <w:bottom w:val="none" w:sz="0" w:space="0" w:color="auto"/>
            <w:right w:val="none" w:sz="0" w:space="0" w:color="auto"/>
          </w:divBdr>
          <w:divsChild>
            <w:div w:id="550968712">
              <w:marLeft w:val="0"/>
              <w:marRight w:val="0"/>
              <w:marTop w:val="0"/>
              <w:marBottom w:val="0"/>
              <w:divBdr>
                <w:top w:val="none" w:sz="0" w:space="0" w:color="auto"/>
                <w:left w:val="none" w:sz="0" w:space="0" w:color="auto"/>
                <w:bottom w:val="none" w:sz="0" w:space="0" w:color="auto"/>
                <w:right w:val="none" w:sz="0" w:space="0" w:color="auto"/>
              </w:divBdr>
            </w:div>
          </w:divsChild>
        </w:div>
        <w:div w:id="228000614">
          <w:marLeft w:val="0"/>
          <w:marRight w:val="0"/>
          <w:marTop w:val="0"/>
          <w:marBottom w:val="0"/>
          <w:divBdr>
            <w:top w:val="none" w:sz="0" w:space="0" w:color="auto"/>
            <w:left w:val="none" w:sz="0" w:space="0" w:color="auto"/>
            <w:bottom w:val="none" w:sz="0" w:space="0" w:color="auto"/>
            <w:right w:val="none" w:sz="0" w:space="0" w:color="auto"/>
          </w:divBdr>
          <w:divsChild>
            <w:div w:id="1013458840">
              <w:marLeft w:val="0"/>
              <w:marRight w:val="0"/>
              <w:marTop w:val="0"/>
              <w:marBottom w:val="0"/>
              <w:divBdr>
                <w:top w:val="none" w:sz="0" w:space="0" w:color="auto"/>
                <w:left w:val="none" w:sz="0" w:space="0" w:color="auto"/>
                <w:bottom w:val="none" w:sz="0" w:space="0" w:color="auto"/>
                <w:right w:val="none" w:sz="0" w:space="0" w:color="auto"/>
              </w:divBdr>
            </w:div>
          </w:divsChild>
        </w:div>
        <w:div w:id="244996664">
          <w:marLeft w:val="0"/>
          <w:marRight w:val="0"/>
          <w:marTop w:val="0"/>
          <w:marBottom w:val="0"/>
          <w:divBdr>
            <w:top w:val="none" w:sz="0" w:space="0" w:color="auto"/>
            <w:left w:val="none" w:sz="0" w:space="0" w:color="auto"/>
            <w:bottom w:val="none" w:sz="0" w:space="0" w:color="auto"/>
            <w:right w:val="none" w:sz="0" w:space="0" w:color="auto"/>
          </w:divBdr>
          <w:divsChild>
            <w:div w:id="1522236305">
              <w:marLeft w:val="0"/>
              <w:marRight w:val="0"/>
              <w:marTop w:val="0"/>
              <w:marBottom w:val="0"/>
              <w:divBdr>
                <w:top w:val="none" w:sz="0" w:space="0" w:color="auto"/>
                <w:left w:val="none" w:sz="0" w:space="0" w:color="auto"/>
                <w:bottom w:val="none" w:sz="0" w:space="0" w:color="auto"/>
                <w:right w:val="none" w:sz="0" w:space="0" w:color="auto"/>
              </w:divBdr>
            </w:div>
          </w:divsChild>
        </w:div>
        <w:div w:id="321855978">
          <w:marLeft w:val="0"/>
          <w:marRight w:val="0"/>
          <w:marTop w:val="0"/>
          <w:marBottom w:val="0"/>
          <w:divBdr>
            <w:top w:val="none" w:sz="0" w:space="0" w:color="auto"/>
            <w:left w:val="none" w:sz="0" w:space="0" w:color="auto"/>
            <w:bottom w:val="none" w:sz="0" w:space="0" w:color="auto"/>
            <w:right w:val="none" w:sz="0" w:space="0" w:color="auto"/>
          </w:divBdr>
          <w:divsChild>
            <w:div w:id="568687515">
              <w:marLeft w:val="0"/>
              <w:marRight w:val="0"/>
              <w:marTop w:val="0"/>
              <w:marBottom w:val="0"/>
              <w:divBdr>
                <w:top w:val="none" w:sz="0" w:space="0" w:color="auto"/>
                <w:left w:val="none" w:sz="0" w:space="0" w:color="auto"/>
                <w:bottom w:val="none" w:sz="0" w:space="0" w:color="auto"/>
                <w:right w:val="none" w:sz="0" w:space="0" w:color="auto"/>
              </w:divBdr>
            </w:div>
          </w:divsChild>
        </w:div>
        <w:div w:id="395586924">
          <w:marLeft w:val="0"/>
          <w:marRight w:val="0"/>
          <w:marTop w:val="0"/>
          <w:marBottom w:val="0"/>
          <w:divBdr>
            <w:top w:val="none" w:sz="0" w:space="0" w:color="auto"/>
            <w:left w:val="none" w:sz="0" w:space="0" w:color="auto"/>
            <w:bottom w:val="none" w:sz="0" w:space="0" w:color="auto"/>
            <w:right w:val="none" w:sz="0" w:space="0" w:color="auto"/>
          </w:divBdr>
          <w:divsChild>
            <w:div w:id="589971061">
              <w:marLeft w:val="0"/>
              <w:marRight w:val="0"/>
              <w:marTop w:val="0"/>
              <w:marBottom w:val="0"/>
              <w:divBdr>
                <w:top w:val="none" w:sz="0" w:space="0" w:color="auto"/>
                <w:left w:val="none" w:sz="0" w:space="0" w:color="auto"/>
                <w:bottom w:val="none" w:sz="0" w:space="0" w:color="auto"/>
                <w:right w:val="none" w:sz="0" w:space="0" w:color="auto"/>
              </w:divBdr>
            </w:div>
          </w:divsChild>
        </w:div>
        <w:div w:id="400567882">
          <w:marLeft w:val="0"/>
          <w:marRight w:val="0"/>
          <w:marTop w:val="0"/>
          <w:marBottom w:val="0"/>
          <w:divBdr>
            <w:top w:val="none" w:sz="0" w:space="0" w:color="auto"/>
            <w:left w:val="none" w:sz="0" w:space="0" w:color="auto"/>
            <w:bottom w:val="none" w:sz="0" w:space="0" w:color="auto"/>
            <w:right w:val="none" w:sz="0" w:space="0" w:color="auto"/>
          </w:divBdr>
          <w:divsChild>
            <w:div w:id="1877349244">
              <w:marLeft w:val="0"/>
              <w:marRight w:val="0"/>
              <w:marTop w:val="0"/>
              <w:marBottom w:val="0"/>
              <w:divBdr>
                <w:top w:val="none" w:sz="0" w:space="0" w:color="auto"/>
                <w:left w:val="none" w:sz="0" w:space="0" w:color="auto"/>
                <w:bottom w:val="none" w:sz="0" w:space="0" w:color="auto"/>
                <w:right w:val="none" w:sz="0" w:space="0" w:color="auto"/>
              </w:divBdr>
            </w:div>
          </w:divsChild>
        </w:div>
        <w:div w:id="444807409">
          <w:marLeft w:val="0"/>
          <w:marRight w:val="0"/>
          <w:marTop w:val="0"/>
          <w:marBottom w:val="0"/>
          <w:divBdr>
            <w:top w:val="none" w:sz="0" w:space="0" w:color="auto"/>
            <w:left w:val="none" w:sz="0" w:space="0" w:color="auto"/>
            <w:bottom w:val="none" w:sz="0" w:space="0" w:color="auto"/>
            <w:right w:val="none" w:sz="0" w:space="0" w:color="auto"/>
          </w:divBdr>
          <w:divsChild>
            <w:div w:id="1074353615">
              <w:marLeft w:val="0"/>
              <w:marRight w:val="0"/>
              <w:marTop w:val="0"/>
              <w:marBottom w:val="0"/>
              <w:divBdr>
                <w:top w:val="none" w:sz="0" w:space="0" w:color="auto"/>
                <w:left w:val="none" w:sz="0" w:space="0" w:color="auto"/>
                <w:bottom w:val="none" w:sz="0" w:space="0" w:color="auto"/>
                <w:right w:val="none" w:sz="0" w:space="0" w:color="auto"/>
              </w:divBdr>
            </w:div>
          </w:divsChild>
        </w:div>
        <w:div w:id="511454237">
          <w:marLeft w:val="0"/>
          <w:marRight w:val="0"/>
          <w:marTop w:val="0"/>
          <w:marBottom w:val="0"/>
          <w:divBdr>
            <w:top w:val="none" w:sz="0" w:space="0" w:color="auto"/>
            <w:left w:val="none" w:sz="0" w:space="0" w:color="auto"/>
            <w:bottom w:val="none" w:sz="0" w:space="0" w:color="auto"/>
            <w:right w:val="none" w:sz="0" w:space="0" w:color="auto"/>
          </w:divBdr>
          <w:divsChild>
            <w:div w:id="1427116504">
              <w:marLeft w:val="0"/>
              <w:marRight w:val="0"/>
              <w:marTop w:val="0"/>
              <w:marBottom w:val="0"/>
              <w:divBdr>
                <w:top w:val="none" w:sz="0" w:space="0" w:color="auto"/>
                <w:left w:val="none" w:sz="0" w:space="0" w:color="auto"/>
                <w:bottom w:val="none" w:sz="0" w:space="0" w:color="auto"/>
                <w:right w:val="none" w:sz="0" w:space="0" w:color="auto"/>
              </w:divBdr>
            </w:div>
          </w:divsChild>
        </w:div>
        <w:div w:id="534733041">
          <w:marLeft w:val="0"/>
          <w:marRight w:val="0"/>
          <w:marTop w:val="0"/>
          <w:marBottom w:val="0"/>
          <w:divBdr>
            <w:top w:val="none" w:sz="0" w:space="0" w:color="auto"/>
            <w:left w:val="none" w:sz="0" w:space="0" w:color="auto"/>
            <w:bottom w:val="none" w:sz="0" w:space="0" w:color="auto"/>
            <w:right w:val="none" w:sz="0" w:space="0" w:color="auto"/>
          </w:divBdr>
          <w:divsChild>
            <w:div w:id="764543530">
              <w:marLeft w:val="0"/>
              <w:marRight w:val="0"/>
              <w:marTop w:val="0"/>
              <w:marBottom w:val="0"/>
              <w:divBdr>
                <w:top w:val="none" w:sz="0" w:space="0" w:color="auto"/>
                <w:left w:val="none" w:sz="0" w:space="0" w:color="auto"/>
                <w:bottom w:val="none" w:sz="0" w:space="0" w:color="auto"/>
                <w:right w:val="none" w:sz="0" w:space="0" w:color="auto"/>
              </w:divBdr>
            </w:div>
          </w:divsChild>
        </w:div>
        <w:div w:id="592126326">
          <w:marLeft w:val="0"/>
          <w:marRight w:val="0"/>
          <w:marTop w:val="0"/>
          <w:marBottom w:val="0"/>
          <w:divBdr>
            <w:top w:val="none" w:sz="0" w:space="0" w:color="auto"/>
            <w:left w:val="none" w:sz="0" w:space="0" w:color="auto"/>
            <w:bottom w:val="none" w:sz="0" w:space="0" w:color="auto"/>
            <w:right w:val="none" w:sz="0" w:space="0" w:color="auto"/>
          </w:divBdr>
          <w:divsChild>
            <w:div w:id="837769236">
              <w:marLeft w:val="0"/>
              <w:marRight w:val="0"/>
              <w:marTop w:val="0"/>
              <w:marBottom w:val="0"/>
              <w:divBdr>
                <w:top w:val="none" w:sz="0" w:space="0" w:color="auto"/>
                <w:left w:val="none" w:sz="0" w:space="0" w:color="auto"/>
                <w:bottom w:val="none" w:sz="0" w:space="0" w:color="auto"/>
                <w:right w:val="none" w:sz="0" w:space="0" w:color="auto"/>
              </w:divBdr>
            </w:div>
          </w:divsChild>
        </w:div>
        <w:div w:id="593128745">
          <w:marLeft w:val="0"/>
          <w:marRight w:val="0"/>
          <w:marTop w:val="0"/>
          <w:marBottom w:val="0"/>
          <w:divBdr>
            <w:top w:val="none" w:sz="0" w:space="0" w:color="auto"/>
            <w:left w:val="none" w:sz="0" w:space="0" w:color="auto"/>
            <w:bottom w:val="none" w:sz="0" w:space="0" w:color="auto"/>
            <w:right w:val="none" w:sz="0" w:space="0" w:color="auto"/>
          </w:divBdr>
          <w:divsChild>
            <w:div w:id="1862819290">
              <w:marLeft w:val="0"/>
              <w:marRight w:val="0"/>
              <w:marTop w:val="0"/>
              <w:marBottom w:val="0"/>
              <w:divBdr>
                <w:top w:val="none" w:sz="0" w:space="0" w:color="auto"/>
                <w:left w:val="none" w:sz="0" w:space="0" w:color="auto"/>
                <w:bottom w:val="none" w:sz="0" w:space="0" w:color="auto"/>
                <w:right w:val="none" w:sz="0" w:space="0" w:color="auto"/>
              </w:divBdr>
            </w:div>
          </w:divsChild>
        </w:div>
        <w:div w:id="600651197">
          <w:marLeft w:val="0"/>
          <w:marRight w:val="0"/>
          <w:marTop w:val="0"/>
          <w:marBottom w:val="0"/>
          <w:divBdr>
            <w:top w:val="none" w:sz="0" w:space="0" w:color="auto"/>
            <w:left w:val="none" w:sz="0" w:space="0" w:color="auto"/>
            <w:bottom w:val="none" w:sz="0" w:space="0" w:color="auto"/>
            <w:right w:val="none" w:sz="0" w:space="0" w:color="auto"/>
          </w:divBdr>
          <w:divsChild>
            <w:div w:id="116146665">
              <w:marLeft w:val="0"/>
              <w:marRight w:val="0"/>
              <w:marTop w:val="0"/>
              <w:marBottom w:val="0"/>
              <w:divBdr>
                <w:top w:val="none" w:sz="0" w:space="0" w:color="auto"/>
                <w:left w:val="none" w:sz="0" w:space="0" w:color="auto"/>
                <w:bottom w:val="none" w:sz="0" w:space="0" w:color="auto"/>
                <w:right w:val="none" w:sz="0" w:space="0" w:color="auto"/>
              </w:divBdr>
            </w:div>
          </w:divsChild>
        </w:div>
        <w:div w:id="612859197">
          <w:marLeft w:val="0"/>
          <w:marRight w:val="0"/>
          <w:marTop w:val="0"/>
          <w:marBottom w:val="0"/>
          <w:divBdr>
            <w:top w:val="none" w:sz="0" w:space="0" w:color="auto"/>
            <w:left w:val="none" w:sz="0" w:space="0" w:color="auto"/>
            <w:bottom w:val="none" w:sz="0" w:space="0" w:color="auto"/>
            <w:right w:val="none" w:sz="0" w:space="0" w:color="auto"/>
          </w:divBdr>
          <w:divsChild>
            <w:div w:id="340817262">
              <w:marLeft w:val="0"/>
              <w:marRight w:val="0"/>
              <w:marTop w:val="0"/>
              <w:marBottom w:val="0"/>
              <w:divBdr>
                <w:top w:val="none" w:sz="0" w:space="0" w:color="auto"/>
                <w:left w:val="none" w:sz="0" w:space="0" w:color="auto"/>
                <w:bottom w:val="none" w:sz="0" w:space="0" w:color="auto"/>
                <w:right w:val="none" w:sz="0" w:space="0" w:color="auto"/>
              </w:divBdr>
            </w:div>
          </w:divsChild>
        </w:div>
        <w:div w:id="619651516">
          <w:marLeft w:val="0"/>
          <w:marRight w:val="0"/>
          <w:marTop w:val="0"/>
          <w:marBottom w:val="0"/>
          <w:divBdr>
            <w:top w:val="none" w:sz="0" w:space="0" w:color="auto"/>
            <w:left w:val="none" w:sz="0" w:space="0" w:color="auto"/>
            <w:bottom w:val="none" w:sz="0" w:space="0" w:color="auto"/>
            <w:right w:val="none" w:sz="0" w:space="0" w:color="auto"/>
          </w:divBdr>
          <w:divsChild>
            <w:div w:id="2112356873">
              <w:marLeft w:val="0"/>
              <w:marRight w:val="0"/>
              <w:marTop w:val="0"/>
              <w:marBottom w:val="0"/>
              <w:divBdr>
                <w:top w:val="none" w:sz="0" w:space="0" w:color="auto"/>
                <w:left w:val="none" w:sz="0" w:space="0" w:color="auto"/>
                <w:bottom w:val="none" w:sz="0" w:space="0" w:color="auto"/>
                <w:right w:val="none" w:sz="0" w:space="0" w:color="auto"/>
              </w:divBdr>
            </w:div>
          </w:divsChild>
        </w:div>
        <w:div w:id="661859374">
          <w:marLeft w:val="0"/>
          <w:marRight w:val="0"/>
          <w:marTop w:val="0"/>
          <w:marBottom w:val="0"/>
          <w:divBdr>
            <w:top w:val="none" w:sz="0" w:space="0" w:color="auto"/>
            <w:left w:val="none" w:sz="0" w:space="0" w:color="auto"/>
            <w:bottom w:val="none" w:sz="0" w:space="0" w:color="auto"/>
            <w:right w:val="none" w:sz="0" w:space="0" w:color="auto"/>
          </w:divBdr>
          <w:divsChild>
            <w:div w:id="1794054790">
              <w:marLeft w:val="0"/>
              <w:marRight w:val="0"/>
              <w:marTop w:val="0"/>
              <w:marBottom w:val="0"/>
              <w:divBdr>
                <w:top w:val="none" w:sz="0" w:space="0" w:color="auto"/>
                <w:left w:val="none" w:sz="0" w:space="0" w:color="auto"/>
                <w:bottom w:val="none" w:sz="0" w:space="0" w:color="auto"/>
                <w:right w:val="none" w:sz="0" w:space="0" w:color="auto"/>
              </w:divBdr>
            </w:div>
          </w:divsChild>
        </w:div>
        <w:div w:id="663438971">
          <w:marLeft w:val="0"/>
          <w:marRight w:val="0"/>
          <w:marTop w:val="0"/>
          <w:marBottom w:val="0"/>
          <w:divBdr>
            <w:top w:val="none" w:sz="0" w:space="0" w:color="auto"/>
            <w:left w:val="none" w:sz="0" w:space="0" w:color="auto"/>
            <w:bottom w:val="none" w:sz="0" w:space="0" w:color="auto"/>
            <w:right w:val="none" w:sz="0" w:space="0" w:color="auto"/>
          </w:divBdr>
          <w:divsChild>
            <w:div w:id="1482967286">
              <w:marLeft w:val="0"/>
              <w:marRight w:val="0"/>
              <w:marTop w:val="0"/>
              <w:marBottom w:val="0"/>
              <w:divBdr>
                <w:top w:val="none" w:sz="0" w:space="0" w:color="auto"/>
                <w:left w:val="none" w:sz="0" w:space="0" w:color="auto"/>
                <w:bottom w:val="none" w:sz="0" w:space="0" w:color="auto"/>
                <w:right w:val="none" w:sz="0" w:space="0" w:color="auto"/>
              </w:divBdr>
            </w:div>
          </w:divsChild>
        </w:div>
        <w:div w:id="701828573">
          <w:marLeft w:val="0"/>
          <w:marRight w:val="0"/>
          <w:marTop w:val="0"/>
          <w:marBottom w:val="0"/>
          <w:divBdr>
            <w:top w:val="none" w:sz="0" w:space="0" w:color="auto"/>
            <w:left w:val="none" w:sz="0" w:space="0" w:color="auto"/>
            <w:bottom w:val="none" w:sz="0" w:space="0" w:color="auto"/>
            <w:right w:val="none" w:sz="0" w:space="0" w:color="auto"/>
          </w:divBdr>
          <w:divsChild>
            <w:div w:id="1772899114">
              <w:marLeft w:val="0"/>
              <w:marRight w:val="0"/>
              <w:marTop w:val="0"/>
              <w:marBottom w:val="0"/>
              <w:divBdr>
                <w:top w:val="none" w:sz="0" w:space="0" w:color="auto"/>
                <w:left w:val="none" w:sz="0" w:space="0" w:color="auto"/>
                <w:bottom w:val="none" w:sz="0" w:space="0" w:color="auto"/>
                <w:right w:val="none" w:sz="0" w:space="0" w:color="auto"/>
              </w:divBdr>
            </w:div>
          </w:divsChild>
        </w:div>
        <w:div w:id="747307297">
          <w:marLeft w:val="0"/>
          <w:marRight w:val="0"/>
          <w:marTop w:val="0"/>
          <w:marBottom w:val="0"/>
          <w:divBdr>
            <w:top w:val="none" w:sz="0" w:space="0" w:color="auto"/>
            <w:left w:val="none" w:sz="0" w:space="0" w:color="auto"/>
            <w:bottom w:val="none" w:sz="0" w:space="0" w:color="auto"/>
            <w:right w:val="none" w:sz="0" w:space="0" w:color="auto"/>
          </w:divBdr>
          <w:divsChild>
            <w:div w:id="2102068415">
              <w:marLeft w:val="0"/>
              <w:marRight w:val="0"/>
              <w:marTop w:val="0"/>
              <w:marBottom w:val="0"/>
              <w:divBdr>
                <w:top w:val="none" w:sz="0" w:space="0" w:color="auto"/>
                <w:left w:val="none" w:sz="0" w:space="0" w:color="auto"/>
                <w:bottom w:val="none" w:sz="0" w:space="0" w:color="auto"/>
                <w:right w:val="none" w:sz="0" w:space="0" w:color="auto"/>
              </w:divBdr>
            </w:div>
          </w:divsChild>
        </w:div>
        <w:div w:id="775098377">
          <w:marLeft w:val="0"/>
          <w:marRight w:val="0"/>
          <w:marTop w:val="0"/>
          <w:marBottom w:val="0"/>
          <w:divBdr>
            <w:top w:val="none" w:sz="0" w:space="0" w:color="auto"/>
            <w:left w:val="none" w:sz="0" w:space="0" w:color="auto"/>
            <w:bottom w:val="none" w:sz="0" w:space="0" w:color="auto"/>
            <w:right w:val="none" w:sz="0" w:space="0" w:color="auto"/>
          </w:divBdr>
          <w:divsChild>
            <w:div w:id="1676298286">
              <w:marLeft w:val="0"/>
              <w:marRight w:val="0"/>
              <w:marTop w:val="0"/>
              <w:marBottom w:val="0"/>
              <w:divBdr>
                <w:top w:val="none" w:sz="0" w:space="0" w:color="auto"/>
                <w:left w:val="none" w:sz="0" w:space="0" w:color="auto"/>
                <w:bottom w:val="none" w:sz="0" w:space="0" w:color="auto"/>
                <w:right w:val="none" w:sz="0" w:space="0" w:color="auto"/>
              </w:divBdr>
            </w:div>
          </w:divsChild>
        </w:div>
        <w:div w:id="808742664">
          <w:marLeft w:val="0"/>
          <w:marRight w:val="0"/>
          <w:marTop w:val="0"/>
          <w:marBottom w:val="0"/>
          <w:divBdr>
            <w:top w:val="none" w:sz="0" w:space="0" w:color="auto"/>
            <w:left w:val="none" w:sz="0" w:space="0" w:color="auto"/>
            <w:bottom w:val="none" w:sz="0" w:space="0" w:color="auto"/>
            <w:right w:val="none" w:sz="0" w:space="0" w:color="auto"/>
          </w:divBdr>
          <w:divsChild>
            <w:div w:id="441193608">
              <w:marLeft w:val="0"/>
              <w:marRight w:val="0"/>
              <w:marTop w:val="0"/>
              <w:marBottom w:val="0"/>
              <w:divBdr>
                <w:top w:val="none" w:sz="0" w:space="0" w:color="auto"/>
                <w:left w:val="none" w:sz="0" w:space="0" w:color="auto"/>
                <w:bottom w:val="none" w:sz="0" w:space="0" w:color="auto"/>
                <w:right w:val="none" w:sz="0" w:space="0" w:color="auto"/>
              </w:divBdr>
            </w:div>
          </w:divsChild>
        </w:div>
        <w:div w:id="834300454">
          <w:marLeft w:val="0"/>
          <w:marRight w:val="0"/>
          <w:marTop w:val="0"/>
          <w:marBottom w:val="0"/>
          <w:divBdr>
            <w:top w:val="none" w:sz="0" w:space="0" w:color="auto"/>
            <w:left w:val="none" w:sz="0" w:space="0" w:color="auto"/>
            <w:bottom w:val="none" w:sz="0" w:space="0" w:color="auto"/>
            <w:right w:val="none" w:sz="0" w:space="0" w:color="auto"/>
          </w:divBdr>
          <w:divsChild>
            <w:div w:id="364452917">
              <w:marLeft w:val="0"/>
              <w:marRight w:val="0"/>
              <w:marTop w:val="0"/>
              <w:marBottom w:val="0"/>
              <w:divBdr>
                <w:top w:val="none" w:sz="0" w:space="0" w:color="auto"/>
                <w:left w:val="none" w:sz="0" w:space="0" w:color="auto"/>
                <w:bottom w:val="none" w:sz="0" w:space="0" w:color="auto"/>
                <w:right w:val="none" w:sz="0" w:space="0" w:color="auto"/>
              </w:divBdr>
            </w:div>
          </w:divsChild>
        </w:div>
        <w:div w:id="866917162">
          <w:marLeft w:val="0"/>
          <w:marRight w:val="0"/>
          <w:marTop w:val="0"/>
          <w:marBottom w:val="0"/>
          <w:divBdr>
            <w:top w:val="none" w:sz="0" w:space="0" w:color="auto"/>
            <w:left w:val="none" w:sz="0" w:space="0" w:color="auto"/>
            <w:bottom w:val="none" w:sz="0" w:space="0" w:color="auto"/>
            <w:right w:val="none" w:sz="0" w:space="0" w:color="auto"/>
          </w:divBdr>
          <w:divsChild>
            <w:div w:id="945234844">
              <w:marLeft w:val="0"/>
              <w:marRight w:val="0"/>
              <w:marTop w:val="0"/>
              <w:marBottom w:val="0"/>
              <w:divBdr>
                <w:top w:val="none" w:sz="0" w:space="0" w:color="auto"/>
                <w:left w:val="none" w:sz="0" w:space="0" w:color="auto"/>
                <w:bottom w:val="none" w:sz="0" w:space="0" w:color="auto"/>
                <w:right w:val="none" w:sz="0" w:space="0" w:color="auto"/>
              </w:divBdr>
            </w:div>
          </w:divsChild>
        </w:div>
        <w:div w:id="887376584">
          <w:marLeft w:val="0"/>
          <w:marRight w:val="0"/>
          <w:marTop w:val="0"/>
          <w:marBottom w:val="0"/>
          <w:divBdr>
            <w:top w:val="none" w:sz="0" w:space="0" w:color="auto"/>
            <w:left w:val="none" w:sz="0" w:space="0" w:color="auto"/>
            <w:bottom w:val="none" w:sz="0" w:space="0" w:color="auto"/>
            <w:right w:val="none" w:sz="0" w:space="0" w:color="auto"/>
          </w:divBdr>
          <w:divsChild>
            <w:div w:id="1262299847">
              <w:marLeft w:val="0"/>
              <w:marRight w:val="0"/>
              <w:marTop w:val="0"/>
              <w:marBottom w:val="0"/>
              <w:divBdr>
                <w:top w:val="none" w:sz="0" w:space="0" w:color="auto"/>
                <w:left w:val="none" w:sz="0" w:space="0" w:color="auto"/>
                <w:bottom w:val="none" w:sz="0" w:space="0" w:color="auto"/>
                <w:right w:val="none" w:sz="0" w:space="0" w:color="auto"/>
              </w:divBdr>
            </w:div>
          </w:divsChild>
        </w:div>
        <w:div w:id="992755062">
          <w:marLeft w:val="0"/>
          <w:marRight w:val="0"/>
          <w:marTop w:val="0"/>
          <w:marBottom w:val="0"/>
          <w:divBdr>
            <w:top w:val="none" w:sz="0" w:space="0" w:color="auto"/>
            <w:left w:val="none" w:sz="0" w:space="0" w:color="auto"/>
            <w:bottom w:val="none" w:sz="0" w:space="0" w:color="auto"/>
            <w:right w:val="none" w:sz="0" w:space="0" w:color="auto"/>
          </w:divBdr>
          <w:divsChild>
            <w:div w:id="1408573570">
              <w:marLeft w:val="0"/>
              <w:marRight w:val="0"/>
              <w:marTop w:val="0"/>
              <w:marBottom w:val="0"/>
              <w:divBdr>
                <w:top w:val="none" w:sz="0" w:space="0" w:color="auto"/>
                <w:left w:val="none" w:sz="0" w:space="0" w:color="auto"/>
                <w:bottom w:val="none" w:sz="0" w:space="0" w:color="auto"/>
                <w:right w:val="none" w:sz="0" w:space="0" w:color="auto"/>
              </w:divBdr>
            </w:div>
          </w:divsChild>
        </w:div>
        <w:div w:id="1002197316">
          <w:marLeft w:val="0"/>
          <w:marRight w:val="0"/>
          <w:marTop w:val="0"/>
          <w:marBottom w:val="0"/>
          <w:divBdr>
            <w:top w:val="none" w:sz="0" w:space="0" w:color="auto"/>
            <w:left w:val="none" w:sz="0" w:space="0" w:color="auto"/>
            <w:bottom w:val="none" w:sz="0" w:space="0" w:color="auto"/>
            <w:right w:val="none" w:sz="0" w:space="0" w:color="auto"/>
          </w:divBdr>
          <w:divsChild>
            <w:div w:id="28842975">
              <w:marLeft w:val="0"/>
              <w:marRight w:val="0"/>
              <w:marTop w:val="0"/>
              <w:marBottom w:val="0"/>
              <w:divBdr>
                <w:top w:val="none" w:sz="0" w:space="0" w:color="auto"/>
                <w:left w:val="none" w:sz="0" w:space="0" w:color="auto"/>
                <w:bottom w:val="none" w:sz="0" w:space="0" w:color="auto"/>
                <w:right w:val="none" w:sz="0" w:space="0" w:color="auto"/>
              </w:divBdr>
            </w:div>
          </w:divsChild>
        </w:div>
        <w:div w:id="1013606584">
          <w:marLeft w:val="0"/>
          <w:marRight w:val="0"/>
          <w:marTop w:val="0"/>
          <w:marBottom w:val="0"/>
          <w:divBdr>
            <w:top w:val="none" w:sz="0" w:space="0" w:color="auto"/>
            <w:left w:val="none" w:sz="0" w:space="0" w:color="auto"/>
            <w:bottom w:val="none" w:sz="0" w:space="0" w:color="auto"/>
            <w:right w:val="none" w:sz="0" w:space="0" w:color="auto"/>
          </w:divBdr>
          <w:divsChild>
            <w:div w:id="1739284708">
              <w:marLeft w:val="0"/>
              <w:marRight w:val="0"/>
              <w:marTop w:val="0"/>
              <w:marBottom w:val="0"/>
              <w:divBdr>
                <w:top w:val="none" w:sz="0" w:space="0" w:color="auto"/>
                <w:left w:val="none" w:sz="0" w:space="0" w:color="auto"/>
                <w:bottom w:val="none" w:sz="0" w:space="0" w:color="auto"/>
                <w:right w:val="none" w:sz="0" w:space="0" w:color="auto"/>
              </w:divBdr>
            </w:div>
          </w:divsChild>
        </w:div>
        <w:div w:id="1034422368">
          <w:marLeft w:val="0"/>
          <w:marRight w:val="0"/>
          <w:marTop w:val="0"/>
          <w:marBottom w:val="0"/>
          <w:divBdr>
            <w:top w:val="none" w:sz="0" w:space="0" w:color="auto"/>
            <w:left w:val="none" w:sz="0" w:space="0" w:color="auto"/>
            <w:bottom w:val="none" w:sz="0" w:space="0" w:color="auto"/>
            <w:right w:val="none" w:sz="0" w:space="0" w:color="auto"/>
          </w:divBdr>
          <w:divsChild>
            <w:div w:id="386880109">
              <w:marLeft w:val="0"/>
              <w:marRight w:val="0"/>
              <w:marTop w:val="0"/>
              <w:marBottom w:val="0"/>
              <w:divBdr>
                <w:top w:val="none" w:sz="0" w:space="0" w:color="auto"/>
                <w:left w:val="none" w:sz="0" w:space="0" w:color="auto"/>
                <w:bottom w:val="none" w:sz="0" w:space="0" w:color="auto"/>
                <w:right w:val="none" w:sz="0" w:space="0" w:color="auto"/>
              </w:divBdr>
            </w:div>
          </w:divsChild>
        </w:div>
        <w:div w:id="1046372901">
          <w:marLeft w:val="0"/>
          <w:marRight w:val="0"/>
          <w:marTop w:val="0"/>
          <w:marBottom w:val="0"/>
          <w:divBdr>
            <w:top w:val="none" w:sz="0" w:space="0" w:color="auto"/>
            <w:left w:val="none" w:sz="0" w:space="0" w:color="auto"/>
            <w:bottom w:val="none" w:sz="0" w:space="0" w:color="auto"/>
            <w:right w:val="none" w:sz="0" w:space="0" w:color="auto"/>
          </w:divBdr>
          <w:divsChild>
            <w:div w:id="1076902691">
              <w:marLeft w:val="0"/>
              <w:marRight w:val="0"/>
              <w:marTop w:val="0"/>
              <w:marBottom w:val="0"/>
              <w:divBdr>
                <w:top w:val="none" w:sz="0" w:space="0" w:color="auto"/>
                <w:left w:val="none" w:sz="0" w:space="0" w:color="auto"/>
                <w:bottom w:val="none" w:sz="0" w:space="0" w:color="auto"/>
                <w:right w:val="none" w:sz="0" w:space="0" w:color="auto"/>
              </w:divBdr>
            </w:div>
          </w:divsChild>
        </w:div>
        <w:div w:id="1132553911">
          <w:marLeft w:val="0"/>
          <w:marRight w:val="0"/>
          <w:marTop w:val="0"/>
          <w:marBottom w:val="0"/>
          <w:divBdr>
            <w:top w:val="none" w:sz="0" w:space="0" w:color="auto"/>
            <w:left w:val="none" w:sz="0" w:space="0" w:color="auto"/>
            <w:bottom w:val="none" w:sz="0" w:space="0" w:color="auto"/>
            <w:right w:val="none" w:sz="0" w:space="0" w:color="auto"/>
          </w:divBdr>
          <w:divsChild>
            <w:div w:id="742751683">
              <w:marLeft w:val="0"/>
              <w:marRight w:val="0"/>
              <w:marTop w:val="0"/>
              <w:marBottom w:val="0"/>
              <w:divBdr>
                <w:top w:val="none" w:sz="0" w:space="0" w:color="auto"/>
                <w:left w:val="none" w:sz="0" w:space="0" w:color="auto"/>
                <w:bottom w:val="none" w:sz="0" w:space="0" w:color="auto"/>
                <w:right w:val="none" w:sz="0" w:space="0" w:color="auto"/>
              </w:divBdr>
            </w:div>
          </w:divsChild>
        </w:div>
        <w:div w:id="1144931680">
          <w:marLeft w:val="0"/>
          <w:marRight w:val="0"/>
          <w:marTop w:val="0"/>
          <w:marBottom w:val="0"/>
          <w:divBdr>
            <w:top w:val="none" w:sz="0" w:space="0" w:color="auto"/>
            <w:left w:val="none" w:sz="0" w:space="0" w:color="auto"/>
            <w:bottom w:val="none" w:sz="0" w:space="0" w:color="auto"/>
            <w:right w:val="none" w:sz="0" w:space="0" w:color="auto"/>
          </w:divBdr>
          <w:divsChild>
            <w:div w:id="1505054630">
              <w:marLeft w:val="0"/>
              <w:marRight w:val="0"/>
              <w:marTop w:val="0"/>
              <w:marBottom w:val="0"/>
              <w:divBdr>
                <w:top w:val="none" w:sz="0" w:space="0" w:color="auto"/>
                <w:left w:val="none" w:sz="0" w:space="0" w:color="auto"/>
                <w:bottom w:val="none" w:sz="0" w:space="0" w:color="auto"/>
                <w:right w:val="none" w:sz="0" w:space="0" w:color="auto"/>
              </w:divBdr>
            </w:div>
          </w:divsChild>
        </w:div>
        <w:div w:id="1161387033">
          <w:marLeft w:val="0"/>
          <w:marRight w:val="0"/>
          <w:marTop w:val="0"/>
          <w:marBottom w:val="0"/>
          <w:divBdr>
            <w:top w:val="none" w:sz="0" w:space="0" w:color="auto"/>
            <w:left w:val="none" w:sz="0" w:space="0" w:color="auto"/>
            <w:bottom w:val="none" w:sz="0" w:space="0" w:color="auto"/>
            <w:right w:val="none" w:sz="0" w:space="0" w:color="auto"/>
          </w:divBdr>
          <w:divsChild>
            <w:div w:id="465002541">
              <w:marLeft w:val="0"/>
              <w:marRight w:val="0"/>
              <w:marTop w:val="0"/>
              <w:marBottom w:val="0"/>
              <w:divBdr>
                <w:top w:val="none" w:sz="0" w:space="0" w:color="auto"/>
                <w:left w:val="none" w:sz="0" w:space="0" w:color="auto"/>
                <w:bottom w:val="none" w:sz="0" w:space="0" w:color="auto"/>
                <w:right w:val="none" w:sz="0" w:space="0" w:color="auto"/>
              </w:divBdr>
            </w:div>
          </w:divsChild>
        </w:div>
        <w:div w:id="1162619355">
          <w:marLeft w:val="0"/>
          <w:marRight w:val="0"/>
          <w:marTop w:val="0"/>
          <w:marBottom w:val="0"/>
          <w:divBdr>
            <w:top w:val="none" w:sz="0" w:space="0" w:color="auto"/>
            <w:left w:val="none" w:sz="0" w:space="0" w:color="auto"/>
            <w:bottom w:val="none" w:sz="0" w:space="0" w:color="auto"/>
            <w:right w:val="none" w:sz="0" w:space="0" w:color="auto"/>
          </w:divBdr>
          <w:divsChild>
            <w:div w:id="1381706670">
              <w:marLeft w:val="0"/>
              <w:marRight w:val="0"/>
              <w:marTop w:val="0"/>
              <w:marBottom w:val="0"/>
              <w:divBdr>
                <w:top w:val="none" w:sz="0" w:space="0" w:color="auto"/>
                <w:left w:val="none" w:sz="0" w:space="0" w:color="auto"/>
                <w:bottom w:val="none" w:sz="0" w:space="0" w:color="auto"/>
                <w:right w:val="none" w:sz="0" w:space="0" w:color="auto"/>
              </w:divBdr>
            </w:div>
          </w:divsChild>
        </w:div>
        <w:div w:id="1321539010">
          <w:marLeft w:val="0"/>
          <w:marRight w:val="0"/>
          <w:marTop w:val="0"/>
          <w:marBottom w:val="0"/>
          <w:divBdr>
            <w:top w:val="none" w:sz="0" w:space="0" w:color="auto"/>
            <w:left w:val="none" w:sz="0" w:space="0" w:color="auto"/>
            <w:bottom w:val="none" w:sz="0" w:space="0" w:color="auto"/>
            <w:right w:val="none" w:sz="0" w:space="0" w:color="auto"/>
          </w:divBdr>
          <w:divsChild>
            <w:div w:id="1469005840">
              <w:marLeft w:val="0"/>
              <w:marRight w:val="0"/>
              <w:marTop w:val="0"/>
              <w:marBottom w:val="0"/>
              <w:divBdr>
                <w:top w:val="none" w:sz="0" w:space="0" w:color="auto"/>
                <w:left w:val="none" w:sz="0" w:space="0" w:color="auto"/>
                <w:bottom w:val="none" w:sz="0" w:space="0" w:color="auto"/>
                <w:right w:val="none" w:sz="0" w:space="0" w:color="auto"/>
              </w:divBdr>
            </w:div>
          </w:divsChild>
        </w:div>
        <w:div w:id="1330401987">
          <w:marLeft w:val="0"/>
          <w:marRight w:val="0"/>
          <w:marTop w:val="0"/>
          <w:marBottom w:val="0"/>
          <w:divBdr>
            <w:top w:val="none" w:sz="0" w:space="0" w:color="auto"/>
            <w:left w:val="none" w:sz="0" w:space="0" w:color="auto"/>
            <w:bottom w:val="none" w:sz="0" w:space="0" w:color="auto"/>
            <w:right w:val="none" w:sz="0" w:space="0" w:color="auto"/>
          </w:divBdr>
          <w:divsChild>
            <w:div w:id="1620452603">
              <w:marLeft w:val="0"/>
              <w:marRight w:val="0"/>
              <w:marTop w:val="0"/>
              <w:marBottom w:val="0"/>
              <w:divBdr>
                <w:top w:val="none" w:sz="0" w:space="0" w:color="auto"/>
                <w:left w:val="none" w:sz="0" w:space="0" w:color="auto"/>
                <w:bottom w:val="none" w:sz="0" w:space="0" w:color="auto"/>
                <w:right w:val="none" w:sz="0" w:space="0" w:color="auto"/>
              </w:divBdr>
            </w:div>
          </w:divsChild>
        </w:div>
        <w:div w:id="1374574233">
          <w:marLeft w:val="0"/>
          <w:marRight w:val="0"/>
          <w:marTop w:val="0"/>
          <w:marBottom w:val="0"/>
          <w:divBdr>
            <w:top w:val="none" w:sz="0" w:space="0" w:color="auto"/>
            <w:left w:val="none" w:sz="0" w:space="0" w:color="auto"/>
            <w:bottom w:val="none" w:sz="0" w:space="0" w:color="auto"/>
            <w:right w:val="none" w:sz="0" w:space="0" w:color="auto"/>
          </w:divBdr>
          <w:divsChild>
            <w:div w:id="879316009">
              <w:marLeft w:val="0"/>
              <w:marRight w:val="0"/>
              <w:marTop w:val="0"/>
              <w:marBottom w:val="0"/>
              <w:divBdr>
                <w:top w:val="none" w:sz="0" w:space="0" w:color="auto"/>
                <w:left w:val="none" w:sz="0" w:space="0" w:color="auto"/>
                <w:bottom w:val="none" w:sz="0" w:space="0" w:color="auto"/>
                <w:right w:val="none" w:sz="0" w:space="0" w:color="auto"/>
              </w:divBdr>
            </w:div>
          </w:divsChild>
        </w:div>
        <w:div w:id="1381661930">
          <w:marLeft w:val="0"/>
          <w:marRight w:val="0"/>
          <w:marTop w:val="0"/>
          <w:marBottom w:val="0"/>
          <w:divBdr>
            <w:top w:val="none" w:sz="0" w:space="0" w:color="auto"/>
            <w:left w:val="none" w:sz="0" w:space="0" w:color="auto"/>
            <w:bottom w:val="none" w:sz="0" w:space="0" w:color="auto"/>
            <w:right w:val="none" w:sz="0" w:space="0" w:color="auto"/>
          </w:divBdr>
          <w:divsChild>
            <w:div w:id="939341066">
              <w:marLeft w:val="0"/>
              <w:marRight w:val="0"/>
              <w:marTop w:val="0"/>
              <w:marBottom w:val="0"/>
              <w:divBdr>
                <w:top w:val="none" w:sz="0" w:space="0" w:color="auto"/>
                <w:left w:val="none" w:sz="0" w:space="0" w:color="auto"/>
                <w:bottom w:val="none" w:sz="0" w:space="0" w:color="auto"/>
                <w:right w:val="none" w:sz="0" w:space="0" w:color="auto"/>
              </w:divBdr>
            </w:div>
          </w:divsChild>
        </w:div>
        <w:div w:id="1396314949">
          <w:marLeft w:val="0"/>
          <w:marRight w:val="0"/>
          <w:marTop w:val="0"/>
          <w:marBottom w:val="0"/>
          <w:divBdr>
            <w:top w:val="none" w:sz="0" w:space="0" w:color="auto"/>
            <w:left w:val="none" w:sz="0" w:space="0" w:color="auto"/>
            <w:bottom w:val="none" w:sz="0" w:space="0" w:color="auto"/>
            <w:right w:val="none" w:sz="0" w:space="0" w:color="auto"/>
          </w:divBdr>
          <w:divsChild>
            <w:div w:id="1091975968">
              <w:marLeft w:val="0"/>
              <w:marRight w:val="0"/>
              <w:marTop w:val="0"/>
              <w:marBottom w:val="0"/>
              <w:divBdr>
                <w:top w:val="none" w:sz="0" w:space="0" w:color="auto"/>
                <w:left w:val="none" w:sz="0" w:space="0" w:color="auto"/>
                <w:bottom w:val="none" w:sz="0" w:space="0" w:color="auto"/>
                <w:right w:val="none" w:sz="0" w:space="0" w:color="auto"/>
              </w:divBdr>
            </w:div>
          </w:divsChild>
        </w:div>
        <w:div w:id="1398474624">
          <w:marLeft w:val="0"/>
          <w:marRight w:val="0"/>
          <w:marTop w:val="0"/>
          <w:marBottom w:val="0"/>
          <w:divBdr>
            <w:top w:val="none" w:sz="0" w:space="0" w:color="auto"/>
            <w:left w:val="none" w:sz="0" w:space="0" w:color="auto"/>
            <w:bottom w:val="none" w:sz="0" w:space="0" w:color="auto"/>
            <w:right w:val="none" w:sz="0" w:space="0" w:color="auto"/>
          </w:divBdr>
          <w:divsChild>
            <w:div w:id="920025162">
              <w:marLeft w:val="0"/>
              <w:marRight w:val="0"/>
              <w:marTop w:val="0"/>
              <w:marBottom w:val="0"/>
              <w:divBdr>
                <w:top w:val="none" w:sz="0" w:space="0" w:color="auto"/>
                <w:left w:val="none" w:sz="0" w:space="0" w:color="auto"/>
                <w:bottom w:val="none" w:sz="0" w:space="0" w:color="auto"/>
                <w:right w:val="none" w:sz="0" w:space="0" w:color="auto"/>
              </w:divBdr>
            </w:div>
          </w:divsChild>
        </w:div>
        <w:div w:id="1480220558">
          <w:marLeft w:val="0"/>
          <w:marRight w:val="0"/>
          <w:marTop w:val="0"/>
          <w:marBottom w:val="0"/>
          <w:divBdr>
            <w:top w:val="none" w:sz="0" w:space="0" w:color="auto"/>
            <w:left w:val="none" w:sz="0" w:space="0" w:color="auto"/>
            <w:bottom w:val="none" w:sz="0" w:space="0" w:color="auto"/>
            <w:right w:val="none" w:sz="0" w:space="0" w:color="auto"/>
          </w:divBdr>
          <w:divsChild>
            <w:div w:id="566961083">
              <w:marLeft w:val="0"/>
              <w:marRight w:val="0"/>
              <w:marTop w:val="0"/>
              <w:marBottom w:val="0"/>
              <w:divBdr>
                <w:top w:val="none" w:sz="0" w:space="0" w:color="auto"/>
                <w:left w:val="none" w:sz="0" w:space="0" w:color="auto"/>
                <w:bottom w:val="none" w:sz="0" w:space="0" w:color="auto"/>
                <w:right w:val="none" w:sz="0" w:space="0" w:color="auto"/>
              </w:divBdr>
            </w:div>
          </w:divsChild>
        </w:div>
        <w:div w:id="1486891530">
          <w:marLeft w:val="0"/>
          <w:marRight w:val="0"/>
          <w:marTop w:val="0"/>
          <w:marBottom w:val="0"/>
          <w:divBdr>
            <w:top w:val="none" w:sz="0" w:space="0" w:color="auto"/>
            <w:left w:val="none" w:sz="0" w:space="0" w:color="auto"/>
            <w:bottom w:val="none" w:sz="0" w:space="0" w:color="auto"/>
            <w:right w:val="none" w:sz="0" w:space="0" w:color="auto"/>
          </w:divBdr>
          <w:divsChild>
            <w:div w:id="519902669">
              <w:marLeft w:val="0"/>
              <w:marRight w:val="0"/>
              <w:marTop w:val="0"/>
              <w:marBottom w:val="0"/>
              <w:divBdr>
                <w:top w:val="none" w:sz="0" w:space="0" w:color="auto"/>
                <w:left w:val="none" w:sz="0" w:space="0" w:color="auto"/>
                <w:bottom w:val="none" w:sz="0" w:space="0" w:color="auto"/>
                <w:right w:val="none" w:sz="0" w:space="0" w:color="auto"/>
              </w:divBdr>
            </w:div>
          </w:divsChild>
        </w:div>
        <w:div w:id="1503817692">
          <w:marLeft w:val="0"/>
          <w:marRight w:val="0"/>
          <w:marTop w:val="0"/>
          <w:marBottom w:val="0"/>
          <w:divBdr>
            <w:top w:val="none" w:sz="0" w:space="0" w:color="auto"/>
            <w:left w:val="none" w:sz="0" w:space="0" w:color="auto"/>
            <w:bottom w:val="none" w:sz="0" w:space="0" w:color="auto"/>
            <w:right w:val="none" w:sz="0" w:space="0" w:color="auto"/>
          </w:divBdr>
          <w:divsChild>
            <w:div w:id="1296135302">
              <w:marLeft w:val="0"/>
              <w:marRight w:val="0"/>
              <w:marTop w:val="0"/>
              <w:marBottom w:val="0"/>
              <w:divBdr>
                <w:top w:val="none" w:sz="0" w:space="0" w:color="auto"/>
                <w:left w:val="none" w:sz="0" w:space="0" w:color="auto"/>
                <w:bottom w:val="none" w:sz="0" w:space="0" w:color="auto"/>
                <w:right w:val="none" w:sz="0" w:space="0" w:color="auto"/>
              </w:divBdr>
            </w:div>
          </w:divsChild>
        </w:div>
        <w:div w:id="1592736091">
          <w:marLeft w:val="0"/>
          <w:marRight w:val="0"/>
          <w:marTop w:val="0"/>
          <w:marBottom w:val="0"/>
          <w:divBdr>
            <w:top w:val="none" w:sz="0" w:space="0" w:color="auto"/>
            <w:left w:val="none" w:sz="0" w:space="0" w:color="auto"/>
            <w:bottom w:val="none" w:sz="0" w:space="0" w:color="auto"/>
            <w:right w:val="none" w:sz="0" w:space="0" w:color="auto"/>
          </w:divBdr>
          <w:divsChild>
            <w:div w:id="300114376">
              <w:marLeft w:val="0"/>
              <w:marRight w:val="0"/>
              <w:marTop w:val="0"/>
              <w:marBottom w:val="0"/>
              <w:divBdr>
                <w:top w:val="none" w:sz="0" w:space="0" w:color="auto"/>
                <w:left w:val="none" w:sz="0" w:space="0" w:color="auto"/>
                <w:bottom w:val="none" w:sz="0" w:space="0" w:color="auto"/>
                <w:right w:val="none" w:sz="0" w:space="0" w:color="auto"/>
              </w:divBdr>
            </w:div>
          </w:divsChild>
        </w:div>
        <w:div w:id="1630286195">
          <w:marLeft w:val="0"/>
          <w:marRight w:val="0"/>
          <w:marTop w:val="0"/>
          <w:marBottom w:val="0"/>
          <w:divBdr>
            <w:top w:val="none" w:sz="0" w:space="0" w:color="auto"/>
            <w:left w:val="none" w:sz="0" w:space="0" w:color="auto"/>
            <w:bottom w:val="none" w:sz="0" w:space="0" w:color="auto"/>
            <w:right w:val="none" w:sz="0" w:space="0" w:color="auto"/>
          </w:divBdr>
          <w:divsChild>
            <w:div w:id="658120432">
              <w:marLeft w:val="0"/>
              <w:marRight w:val="0"/>
              <w:marTop w:val="0"/>
              <w:marBottom w:val="0"/>
              <w:divBdr>
                <w:top w:val="none" w:sz="0" w:space="0" w:color="auto"/>
                <w:left w:val="none" w:sz="0" w:space="0" w:color="auto"/>
                <w:bottom w:val="none" w:sz="0" w:space="0" w:color="auto"/>
                <w:right w:val="none" w:sz="0" w:space="0" w:color="auto"/>
              </w:divBdr>
            </w:div>
          </w:divsChild>
        </w:div>
        <w:div w:id="1638149069">
          <w:marLeft w:val="0"/>
          <w:marRight w:val="0"/>
          <w:marTop w:val="0"/>
          <w:marBottom w:val="0"/>
          <w:divBdr>
            <w:top w:val="none" w:sz="0" w:space="0" w:color="auto"/>
            <w:left w:val="none" w:sz="0" w:space="0" w:color="auto"/>
            <w:bottom w:val="none" w:sz="0" w:space="0" w:color="auto"/>
            <w:right w:val="none" w:sz="0" w:space="0" w:color="auto"/>
          </w:divBdr>
          <w:divsChild>
            <w:div w:id="1227836907">
              <w:marLeft w:val="0"/>
              <w:marRight w:val="0"/>
              <w:marTop w:val="0"/>
              <w:marBottom w:val="0"/>
              <w:divBdr>
                <w:top w:val="none" w:sz="0" w:space="0" w:color="auto"/>
                <w:left w:val="none" w:sz="0" w:space="0" w:color="auto"/>
                <w:bottom w:val="none" w:sz="0" w:space="0" w:color="auto"/>
                <w:right w:val="none" w:sz="0" w:space="0" w:color="auto"/>
              </w:divBdr>
            </w:div>
          </w:divsChild>
        </w:div>
        <w:div w:id="1639339198">
          <w:marLeft w:val="0"/>
          <w:marRight w:val="0"/>
          <w:marTop w:val="0"/>
          <w:marBottom w:val="0"/>
          <w:divBdr>
            <w:top w:val="none" w:sz="0" w:space="0" w:color="auto"/>
            <w:left w:val="none" w:sz="0" w:space="0" w:color="auto"/>
            <w:bottom w:val="none" w:sz="0" w:space="0" w:color="auto"/>
            <w:right w:val="none" w:sz="0" w:space="0" w:color="auto"/>
          </w:divBdr>
          <w:divsChild>
            <w:div w:id="1531451860">
              <w:marLeft w:val="0"/>
              <w:marRight w:val="0"/>
              <w:marTop w:val="0"/>
              <w:marBottom w:val="0"/>
              <w:divBdr>
                <w:top w:val="none" w:sz="0" w:space="0" w:color="auto"/>
                <w:left w:val="none" w:sz="0" w:space="0" w:color="auto"/>
                <w:bottom w:val="none" w:sz="0" w:space="0" w:color="auto"/>
                <w:right w:val="none" w:sz="0" w:space="0" w:color="auto"/>
              </w:divBdr>
            </w:div>
          </w:divsChild>
        </w:div>
        <w:div w:id="1686592378">
          <w:marLeft w:val="0"/>
          <w:marRight w:val="0"/>
          <w:marTop w:val="0"/>
          <w:marBottom w:val="0"/>
          <w:divBdr>
            <w:top w:val="none" w:sz="0" w:space="0" w:color="auto"/>
            <w:left w:val="none" w:sz="0" w:space="0" w:color="auto"/>
            <w:bottom w:val="none" w:sz="0" w:space="0" w:color="auto"/>
            <w:right w:val="none" w:sz="0" w:space="0" w:color="auto"/>
          </w:divBdr>
          <w:divsChild>
            <w:div w:id="110363507">
              <w:marLeft w:val="0"/>
              <w:marRight w:val="0"/>
              <w:marTop w:val="0"/>
              <w:marBottom w:val="0"/>
              <w:divBdr>
                <w:top w:val="none" w:sz="0" w:space="0" w:color="auto"/>
                <w:left w:val="none" w:sz="0" w:space="0" w:color="auto"/>
                <w:bottom w:val="none" w:sz="0" w:space="0" w:color="auto"/>
                <w:right w:val="none" w:sz="0" w:space="0" w:color="auto"/>
              </w:divBdr>
            </w:div>
          </w:divsChild>
        </w:div>
        <w:div w:id="1689865568">
          <w:marLeft w:val="0"/>
          <w:marRight w:val="0"/>
          <w:marTop w:val="0"/>
          <w:marBottom w:val="0"/>
          <w:divBdr>
            <w:top w:val="none" w:sz="0" w:space="0" w:color="auto"/>
            <w:left w:val="none" w:sz="0" w:space="0" w:color="auto"/>
            <w:bottom w:val="none" w:sz="0" w:space="0" w:color="auto"/>
            <w:right w:val="none" w:sz="0" w:space="0" w:color="auto"/>
          </w:divBdr>
          <w:divsChild>
            <w:div w:id="1587494669">
              <w:marLeft w:val="0"/>
              <w:marRight w:val="0"/>
              <w:marTop w:val="0"/>
              <w:marBottom w:val="0"/>
              <w:divBdr>
                <w:top w:val="none" w:sz="0" w:space="0" w:color="auto"/>
                <w:left w:val="none" w:sz="0" w:space="0" w:color="auto"/>
                <w:bottom w:val="none" w:sz="0" w:space="0" w:color="auto"/>
                <w:right w:val="none" w:sz="0" w:space="0" w:color="auto"/>
              </w:divBdr>
            </w:div>
          </w:divsChild>
        </w:div>
        <w:div w:id="1691756248">
          <w:marLeft w:val="0"/>
          <w:marRight w:val="0"/>
          <w:marTop w:val="0"/>
          <w:marBottom w:val="0"/>
          <w:divBdr>
            <w:top w:val="none" w:sz="0" w:space="0" w:color="auto"/>
            <w:left w:val="none" w:sz="0" w:space="0" w:color="auto"/>
            <w:bottom w:val="none" w:sz="0" w:space="0" w:color="auto"/>
            <w:right w:val="none" w:sz="0" w:space="0" w:color="auto"/>
          </w:divBdr>
          <w:divsChild>
            <w:div w:id="464198690">
              <w:marLeft w:val="0"/>
              <w:marRight w:val="0"/>
              <w:marTop w:val="0"/>
              <w:marBottom w:val="0"/>
              <w:divBdr>
                <w:top w:val="none" w:sz="0" w:space="0" w:color="auto"/>
                <w:left w:val="none" w:sz="0" w:space="0" w:color="auto"/>
                <w:bottom w:val="none" w:sz="0" w:space="0" w:color="auto"/>
                <w:right w:val="none" w:sz="0" w:space="0" w:color="auto"/>
              </w:divBdr>
            </w:div>
          </w:divsChild>
        </w:div>
        <w:div w:id="1720015066">
          <w:marLeft w:val="0"/>
          <w:marRight w:val="0"/>
          <w:marTop w:val="0"/>
          <w:marBottom w:val="0"/>
          <w:divBdr>
            <w:top w:val="none" w:sz="0" w:space="0" w:color="auto"/>
            <w:left w:val="none" w:sz="0" w:space="0" w:color="auto"/>
            <w:bottom w:val="none" w:sz="0" w:space="0" w:color="auto"/>
            <w:right w:val="none" w:sz="0" w:space="0" w:color="auto"/>
          </w:divBdr>
          <w:divsChild>
            <w:div w:id="461382948">
              <w:marLeft w:val="0"/>
              <w:marRight w:val="0"/>
              <w:marTop w:val="0"/>
              <w:marBottom w:val="0"/>
              <w:divBdr>
                <w:top w:val="none" w:sz="0" w:space="0" w:color="auto"/>
                <w:left w:val="none" w:sz="0" w:space="0" w:color="auto"/>
                <w:bottom w:val="none" w:sz="0" w:space="0" w:color="auto"/>
                <w:right w:val="none" w:sz="0" w:space="0" w:color="auto"/>
              </w:divBdr>
            </w:div>
          </w:divsChild>
        </w:div>
        <w:div w:id="1731727944">
          <w:marLeft w:val="0"/>
          <w:marRight w:val="0"/>
          <w:marTop w:val="0"/>
          <w:marBottom w:val="0"/>
          <w:divBdr>
            <w:top w:val="none" w:sz="0" w:space="0" w:color="auto"/>
            <w:left w:val="none" w:sz="0" w:space="0" w:color="auto"/>
            <w:bottom w:val="none" w:sz="0" w:space="0" w:color="auto"/>
            <w:right w:val="none" w:sz="0" w:space="0" w:color="auto"/>
          </w:divBdr>
          <w:divsChild>
            <w:div w:id="824323691">
              <w:marLeft w:val="0"/>
              <w:marRight w:val="0"/>
              <w:marTop w:val="0"/>
              <w:marBottom w:val="0"/>
              <w:divBdr>
                <w:top w:val="none" w:sz="0" w:space="0" w:color="auto"/>
                <w:left w:val="none" w:sz="0" w:space="0" w:color="auto"/>
                <w:bottom w:val="none" w:sz="0" w:space="0" w:color="auto"/>
                <w:right w:val="none" w:sz="0" w:space="0" w:color="auto"/>
              </w:divBdr>
            </w:div>
          </w:divsChild>
        </w:div>
        <w:div w:id="1783184952">
          <w:marLeft w:val="0"/>
          <w:marRight w:val="0"/>
          <w:marTop w:val="0"/>
          <w:marBottom w:val="0"/>
          <w:divBdr>
            <w:top w:val="none" w:sz="0" w:space="0" w:color="auto"/>
            <w:left w:val="none" w:sz="0" w:space="0" w:color="auto"/>
            <w:bottom w:val="none" w:sz="0" w:space="0" w:color="auto"/>
            <w:right w:val="none" w:sz="0" w:space="0" w:color="auto"/>
          </w:divBdr>
          <w:divsChild>
            <w:div w:id="1151364420">
              <w:marLeft w:val="0"/>
              <w:marRight w:val="0"/>
              <w:marTop w:val="0"/>
              <w:marBottom w:val="0"/>
              <w:divBdr>
                <w:top w:val="none" w:sz="0" w:space="0" w:color="auto"/>
                <w:left w:val="none" w:sz="0" w:space="0" w:color="auto"/>
                <w:bottom w:val="none" w:sz="0" w:space="0" w:color="auto"/>
                <w:right w:val="none" w:sz="0" w:space="0" w:color="auto"/>
              </w:divBdr>
            </w:div>
          </w:divsChild>
        </w:div>
        <w:div w:id="1800223547">
          <w:marLeft w:val="0"/>
          <w:marRight w:val="0"/>
          <w:marTop w:val="0"/>
          <w:marBottom w:val="0"/>
          <w:divBdr>
            <w:top w:val="none" w:sz="0" w:space="0" w:color="auto"/>
            <w:left w:val="none" w:sz="0" w:space="0" w:color="auto"/>
            <w:bottom w:val="none" w:sz="0" w:space="0" w:color="auto"/>
            <w:right w:val="none" w:sz="0" w:space="0" w:color="auto"/>
          </w:divBdr>
          <w:divsChild>
            <w:div w:id="17317418">
              <w:marLeft w:val="0"/>
              <w:marRight w:val="0"/>
              <w:marTop w:val="0"/>
              <w:marBottom w:val="0"/>
              <w:divBdr>
                <w:top w:val="none" w:sz="0" w:space="0" w:color="auto"/>
                <w:left w:val="none" w:sz="0" w:space="0" w:color="auto"/>
                <w:bottom w:val="none" w:sz="0" w:space="0" w:color="auto"/>
                <w:right w:val="none" w:sz="0" w:space="0" w:color="auto"/>
              </w:divBdr>
            </w:div>
          </w:divsChild>
        </w:div>
        <w:div w:id="1834755511">
          <w:marLeft w:val="0"/>
          <w:marRight w:val="0"/>
          <w:marTop w:val="0"/>
          <w:marBottom w:val="0"/>
          <w:divBdr>
            <w:top w:val="none" w:sz="0" w:space="0" w:color="auto"/>
            <w:left w:val="none" w:sz="0" w:space="0" w:color="auto"/>
            <w:bottom w:val="none" w:sz="0" w:space="0" w:color="auto"/>
            <w:right w:val="none" w:sz="0" w:space="0" w:color="auto"/>
          </w:divBdr>
          <w:divsChild>
            <w:div w:id="1528371631">
              <w:marLeft w:val="0"/>
              <w:marRight w:val="0"/>
              <w:marTop w:val="0"/>
              <w:marBottom w:val="0"/>
              <w:divBdr>
                <w:top w:val="none" w:sz="0" w:space="0" w:color="auto"/>
                <w:left w:val="none" w:sz="0" w:space="0" w:color="auto"/>
                <w:bottom w:val="none" w:sz="0" w:space="0" w:color="auto"/>
                <w:right w:val="none" w:sz="0" w:space="0" w:color="auto"/>
              </w:divBdr>
            </w:div>
          </w:divsChild>
        </w:div>
        <w:div w:id="1841847527">
          <w:marLeft w:val="0"/>
          <w:marRight w:val="0"/>
          <w:marTop w:val="0"/>
          <w:marBottom w:val="0"/>
          <w:divBdr>
            <w:top w:val="none" w:sz="0" w:space="0" w:color="auto"/>
            <w:left w:val="none" w:sz="0" w:space="0" w:color="auto"/>
            <w:bottom w:val="none" w:sz="0" w:space="0" w:color="auto"/>
            <w:right w:val="none" w:sz="0" w:space="0" w:color="auto"/>
          </w:divBdr>
          <w:divsChild>
            <w:div w:id="1617564199">
              <w:marLeft w:val="0"/>
              <w:marRight w:val="0"/>
              <w:marTop w:val="0"/>
              <w:marBottom w:val="0"/>
              <w:divBdr>
                <w:top w:val="none" w:sz="0" w:space="0" w:color="auto"/>
                <w:left w:val="none" w:sz="0" w:space="0" w:color="auto"/>
                <w:bottom w:val="none" w:sz="0" w:space="0" w:color="auto"/>
                <w:right w:val="none" w:sz="0" w:space="0" w:color="auto"/>
              </w:divBdr>
            </w:div>
          </w:divsChild>
        </w:div>
        <w:div w:id="1858040335">
          <w:marLeft w:val="0"/>
          <w:marRight w:val="0"/>
          <w:marTop w:val="0"/>
          <w:marBottom w:val="0"/>
          <w:divBdr>
            <w:top w:val="none" w:sz="0" w:space="0" w:color="auto"/>
            <w:left w:val="none" w:sz="0" w:space="0" w:color="auto"/>
            <w:bottom w:val="none" w:sz="0" w:space="0" w:color="auto"/>
            <w:right w:val="none" w:sz="0" w:space="0" w:color="auto"/>
          </w:divBdr>
          <w:divsChild>
            <w:div w:id="1215199487">
              <w:marLeft w:val="0"/>
              <w:marRight w:val="0"/>
              <w:marTop w:val="0"/>
              <w:marBottom w:val="0"/>
              <w:divBdr>
                <w:top w:val="none" w:sz="0" w:space="0" w:color="auto"/>
                <w:left w:val="none" w:sz="0" w:space="0" w:color="auto"/>
                <w:bottom w:val="none" w:sz="0" w:space="0" w:color="auto"/>
                <w:right w:val="none" w:sz="0" w:space="0" w:color="auto"/>
              </w:divBdr>
            </w:div>
          </w:divsChild>
        </w:div>
        <w:div w:id="1905874094">
          <w:marLeft w:val="0"/>
          <w:marRight w:val="0"/>
          <w:marTop w:val="0"/>
          <w:marBottom w:val="0"/>
          <w:divBdr>
            <w:top w:val="none" w:sz="0" w:space="0" w:color="auto"/>
            <w:left w:val="none" w:sz="0" w:space="0" w:color="auto"/>
            <w:bottom w:val="none" w:sz="0" w:space="0" w:color="auto"/>
            <w:right w:val="none" w:sz="0" w:space="0" w:color="auto"/>
          </w:divBdr>
          <w:divsChild>
            <w:div w:id="940261690">
              <w:marLeft w:val="0"/>
              <w:marRight w:val="0"/>
              <w:marTop w:val="0"/>
              <w:marBottom w:val="0"/>
              <w:divBdr>
                <w:top w:val="none" w:sz="0" w:space="0" w:color="auto"/>
                <w:left w:val="none" w:sz="0" w:space="0" w:color="auto"/>
                <w:bottom w:val="none" w:sz="0" w:space="0" w:color="auto"/>
                <w:right w:val="none" w:sz="0" w:space="0" w:color="auto"/>
              </w:divBdr>
            </w:div>
          </w:divsChild>
        </w:div>
        <w:div w:id="1925063262">
          <w:marLeft w:val="0"/>
          <w:marRight w:val="0"/>
          <w:marTop w:val="0"/>
          <w:marBottom w:val="0"/>
          <w:divBdr>
            <w:top w:val="none" w:sz="0" w:space="0" w:color="auto"/>
            <w:left w:val="none" w:sz="0" w:space="0" w:color="auto"/>
            <w:bottom w:val="none" w:sz="0" w:space="0" w:color="auto"/>
            <w:right w:val="none" w:sz="0" w:space="0" w:color="auto"/>
          </w:divBdr>
          <w:divsChild>
            <w:div w:id="1873222834">
              <w:marLeft w:val="0"/>
              <w:marRight w:val="0"/>
              <w:marTop w:val="0"/>
              <w:marBottom w:val="0"/>
              <w:divBdr>
                <w:top w:val="none" w:sz="0" w:space="0" w:color="auto"/>
                <w:left w:val="none" w:sz="0" w:space="0" w:color="auto"/>
                <w:bottom w:val="none" w:sz="0" w:space="0" w:color="auto"/>
                <w:right w:val="none" w:sz="0" w:space="0" w:color="auto"/>
              </w:divBdr>
            </w:div>
          </w:divsChild>
        </w:div>
        <w:div w:id="1986275737">
          <w:marLeft w:val="0"/>
          <w:marRight w:val="0"/>
          <w:marTop w:val="0"/>
          <w:marBottom w:val="0"/>
          <w:divBdr>
            <w:top w:val="none" w:sz="0" w:space="0" w:color="auto"/>
            <w:left w:val="none" w:sz="0" w:space="0" w:color="auto"/>
            <w:bottom w:val="none" w:sz="0" w:space="0" w:color="auto"/>
            <w:right w:val="none" w:sz="0" w:space="0" w:color="auto"/>
          </w:divBdr>
          <w:divsChild>
            <w:div w:id="1611276110">
              <w:marLeft w:val="0"/>
              <w:marRight w:val="0"/>
              <w:marTop w:val="0"/>
              <w:marBottom w:val="0"/>
              <w:divBdr>
                <w:top w:val="none" w:sz="0" w:space="0" w:color="auto"/>
                <w:left w:val="none" w:sz="0" w:space="0" w:color="auto"/>
                <w:bottom w:val="none" w:sz="0" w:space="0" w:color="auto"/>
                <w:right w:val="none" w:sz="0" w:space="0" w:color="auto"/>
              </w:divBdr>
            </w:div>
          </w:divsChild>
        </w:div>
        <w:div w:id="1998918512">
          <w:marLeft w:val="0"/>
          <w:marRight w:val="0"/>
          <w:marTop w:val="0"/>
          <w:marBottom w:val="0"/>
          <w:divBdr>
            <w:top w:val="none" w:sz="0" w:space="0" w:color="auto"/>
            <w:left w:val="none" w:sz="0" w:space="0" w:color="auto"/>
            <w:bottom w:val="none" w:sz="0" w:space="0" w:color="auto"/>
            <w:right w:val="none" w:sz="0" w:space="0" w:color="auto"/>
          </w:divBdr>
          <w:divsChild>
            <w:div w:id="646478626">
              <w:marLeft w:val="0"/>
              <w:marRight w:val="0"/>
              <w:marTop w:val="0"/>
              <w:marBottom w:val="0"/>
              <w:divBdr>
                <w:top w:val="none" w:sz="0" w:space="0" w:color="auto"/>
                <w:left w:val="none" w:sz="0" w:space="0" w:color="auto"/>
                <w:bottom w:val="none" w:sz="0" w:space="0" w:color="auto"/>
                <w:right w:val="none" w:sz="0" w:space="0" w:color="auto"/>
              </w:divBdr>
            </w:div>
          </w:divsChild>
        </w:div>
        <w:div w:id="2007054384">
          <w:marLeft w:val="0"/>
          <w:marRight w:val="0"/>
          <w:marTop w:val="0"/>
          <w:marBottom w:val="0"/>
          <w:divBdr>
            <w:top w:val="none" w:sz="0" w:space="0" w:color="auto"/>
            <w:left w:val="none" w:sz="0" w:space="0" w:color="auto"/>
            <w:bottom w:val="none" w:sz="0" w:space="0" w:color="auto"/>
            <w:right w:val="none" w:sz="0" w:space="0" w:color="auto"/>
          </w:divBdr>
          <w:divsChild>
            <w:div w:id="2099521662">
              <w:marLeft w:val="0"/>
              <w:marRight w:val="0"/>
              <w:marTop w:val="0"/>
              <w:marBottom w:val="0"/>
              <w:divBdr>
                <w:top w:val="none" w:sz="0" w:space="0" w:color="auto"/>
                <w:left w:val="none" w:sz="0" w:space="0" w:color="auto"/>
                <w:bottom w:val="none" w:sz="0" w:space="0" w:color="auto"/>
                <w:right w:val="none" w:sz="0" w:space="0" w:color="auto"/>
              </w:divBdr>
            </w:div>
          </w:divsChild>
        </w:div>
        <w:div w:id="2028142664">
          <w:marLeft w:val="0"/>
          <w:marRight w:val="0"/>
          <w:marTop w:val="0"/>
          <w:marBottom w:val="0"/>
          <w:divBdr>
            <w:top w:val="none" w:sz="0" w:space="0" w:color="auto"/>
            <w:left w:val="none" w:sz="0" w:space="0" w:color="auto"/>
            <w:bottom w:val="none" w:sz="0" w:space="0" w:color="auto"/>
            <w:right w:val="none" w:sz="0" w:space="0" w:color="auto"/>
          </w:divBdr>
          <w:divsChild>
            <w:div w:id="1530725993">
              <w:marLeft w:val="0"/>
              <w:marRight w:val="0"/>
              <w:marTop w:val="0"/>
              <w:marBottom w:val="0"/>
              <w:divBdr>
                <w:top w:val="none" w:sz="0" w:space="0" w:color="auto"/>
                <w:left w:val="none" w:sz="0" w:space="0" w:color="auto"/>
                <w:bottom w:val="none" w:sz="0" w:space="0" w:color="auto"/>
                <w:right w:val="none" w:sz="0" w:space="0" w:color="auto"/>
              </w:divBdr>
            </w:div>
          </w:divsChild>
        </w:div>
        <w:div w:id="2051494328">
          <w:marLeft w:val="0"/>
          <w:marRight w:val="0"/>
          <w:marTop w:val="0"/>
          <w:marBottom w:val="0"/>
          <w:divBdr>
            <w:top w:val="none" w:sz="0" w:space="0" w:color="auto"/>
            <w:left w:val="none" w:sz="0" w:space="0" w:color="auto"/>
            <w:bottom w:val="none" w:sz="0" w:space="0" w:color="auto"/>
            <w:right w:val="none" w:sz="0" w:space="0" w:color="auto"/>
          </w:divBdr>
          <w:divsChild>
            <w:div w:id="1834569747">
              <w:marLeft w:val="0"/>
              <w:marRight w:val="0"/>
              <w:marTop w:val="0"/>
              <w:marBottom w:val="0"/>
              <w:divBdr>
                <w:top w:val="none" w:sz="0" w:space="0" w:color="auto"/>
                <w:left w:val="none" w:sz="0" w:space="0" w:color="auto"/>
                <w:bottom w:val="none" w:sz="0" w:space="0" w:color="auto"/>
                <w:right w:val="none" w:sz="0" w:space="0" w:color="auto"/>
              </w:divBdr>
            </w:div>
          </w:divsChild>
        </w:div>
        <w:div w:id="2054380597">
          <w:marLeft w:val="0"/>
          <w:marRight w:val="0"/>
          <w:marTop w:val="0"/>
          <w:marBottom w:val="0"/>
          <w:divBdr>
            <w:top w:val="none" w:sz="0" w:space="0" w:color="auto"/>
            <w:left w:val="none" w:sz="0" w:space="0" w:color="auto"/>
            <w:bottom w:val="none" w:sz="0" w:space="0" w:color="auto"/>
            <w:right w:val="none" w:sz="0" w:space="0" w:color="auto"/>
          </w:divBdr>
          <w:divsChild>
            <w:div w:id="1580292876">
              <w:marLeft w:val="0"/>
              <w:marRight w:val="0"/>
              <w:marTop w:val="0"/>
              <w:marBottom w:val="0"/>
              <w:divBdr>
                <w:top w:val="none" w:sz="0" w:space="0" w:color="auto"/>
                <w:left w:val="none" w:sz="0" w:space="0" w:color="auto"/>
                <w:bottom w:val="none" w:sz="0" w:space="0" w:color="auto"/>
                <w:right w:val="none" w:sz="0" w:space="0" w:color="auto"/>
              </w:divBdr>
            </w:div>
          </w:divsChild>
        </w:div>
        <w:div w:id="2056276162">
          <w:marLeft w:val="0"/>
          <w:marRight w:val="0"/>
          <w:marTop w:val="0"/>
          <w:marBottom w:val="0"/>
          <w:divBdr>
            <w:top w:val="none" w:sz="0" w:space="0" w:color="auto"/>
            <w:left w:val="none" w:sz="0" w:space="0" w:color="auto"/>
            <w:bottom w:val="none" w:sz="0" w:space="0" w:color="auto"/>
            <w:right w:val="none" w:sz="0" w:space="0" w:color="auto"/>
          </w:divBdr>
          <w:divsChild>
            <w:div w:id="1979990694">
              <w:marLeft w:val="0"/>
              <w:marRight w:val="0"/>
              <w:marTop w:val="0"/>
              <w:marBottom w:val="0"/>
              <w:divBdr>
                <w:top w:val="none" w:sz="0" w:space="0" w:color="auto"/>
                <w:left w:val="none" w:sz="0" w:space="0" w:color="auto"/>
                <w:bottom w:val="none" w:sz="0" w:space="0" w:color="auto"/>
                <w:right w:val="none" w:sz="0" w:space="0" w:color="auto"/>
              </w:divBdr>
            </w:div>
          </w:divsChild>
        </w:div>
        <w:div w:id="2064282302">
          <w:marLeft w:val="0"/>
          <w:marRight w:val="0"/>
          <w:marTop w:val="0"/>
          <w:marBottom w:val="0"/>
          <w:divBdr>
            <w:top w:val="none" w:sz="0" w:space="0" w:color="auto"/>
            <w:left w:val="none" w:sz="0" w:space="0" w:color="auto"/>
            <w:bottom w:val="none" w:sz="0" w:space="0" w:color="auto"/>
            <w:right w:val="none" w:sz="0" w:space="0" w:color="auto"/>
          </w:divBdr>
          <w:divsChild>
            <w:div w:id="445200855">
              <w:marLeft w:val="0"/>
              <w:marRight w:val="0"/>
              <w:marTop w:val="0"/>
              <w:marBottom w:val="0"/>
              <w:divBdr>
                <w:top w:val="none" w:sz="0" w:space="0" w:color="auto"/>
                <w:left w:val="none" w:sz="0" w:space="0" w:color="auto"/>
                <w:bottom w:val="none" w:sz="0" w:space="0" w:color="auto"/>
                <w:right w:val="none" w:sz="0" w:space="0" w:color="auto"/>
              </w:divBdr>
            </w:div>
          </w:divsChild>
        </w:div>
        <w:div w:id="2066374158">
          <w:marLeft w:val="0"/>
          <w:marRight w:val="0"/>
          <w:marTop w:val="0"/>
          <w:marBottom w:val="0"/>
          <w:divBdr>
            <w:top w:val="none" w:sz="0" w:space="0" w:color="auto"/>
            <w:left w:val="none" w:sz="0" w:space="0" w:color="auto"/>
            <w:bottom w:val="none" w:sz="0" w:space="0" w:color="auto"/>
            <w:right w:val="none" w:sz="0" w:space="0" w:color="auto"/>
          </w:divBdr>
          <w:divsChild>
            <w:div w:id="35855352">
              <w:marLeft w:val="0"/>
              <w:marRight w:val="0"/>
              <w:marTop w:val="0"/>
              <w:marBottom w:val="0"/>
              <w:divBdr>
                <w:top w:val="none" w:sz="0" w:space="0" w:color="auto"/>
                <w:left w:val="none" w:sz="0" w:space="0" w:color="auto"/>
                <w:bottom w:val="none" w:sz="0" w:space="0" w:color="auto"/>
                <w:right w:val="none" w:sz="0" w:space="0" w:color="auto"/>
              </w:divBdr>
            </w:div>
          </w:divsChild>
        </w:div>
        <w:div w:id="2081514388">
          <w:marLeft w:val="0"/>
          <w:marRight w:val="0"/>
          <w:marTop w:val="0"/>
          <w:marBottom w:val="0"/>
          <w:divBdr>
            <w:top w:val="none" w:sz="0" w:space="0" w:color="auto"/>
            <w:left w:val="none" w:sz="0" w:space="0" w:color="auto"/>
            <w:bottom w:val="none" w:sz="0" w:space="0" w:color="auto"/>
            <w:right w:val="none" w:sz="0" w:space="0" w:color="auto"/>
          </w:divBdr>
          <w:divsChild>
            <w:div w:id="1627349996">
              <w:marLeft w:val="0"/>
              <w:marRight w:val="0"/>
              <w:marTop w:val="0"/>
              <w:marBottom w:val="0"/>
              <w:divBdr>
                <w:top w:val="none" w:sz="0" w:space="0" w:color="auto"/>
                <w:left w:val="none" w:sz="0" w:space="0" w:color="auto"/>
                <w:bottom w:val="none" w:sz="0" w:space="0" w:color="auto"/>
                <w:right w:val="none" w:sz="0" w:space="0" w:color="auto"/>
              </w:divBdr>
            </w:div>
          </w:divsChild>
        </w:div>
        <w:div w:id="2124300683">
          <w:marLeft w:val="0"/>
          <w:marRight w:val="0"/>
          <w:marTop w:val="0"/>
          <w:marBottom w:val="0"/>
          <w:divBdr>
            <w:top w:val="none" w:sz="0" w:space="0" w:color="auto"/>
            <w:left w:val="none" w:sz="0" w:space="0" w:color="auto"/>
            <w:bottom w:val="none" w:sz="0" w:space="0" w:color="auto"/>
            <w:right w:val="none" w:sz="0" w:space="0" w:color="auto"/>
          </w:divBdr>
          <w:divsChild>
            <w:div w:id="20706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30830">
      <w:marLeft w:val="0"/>
      <w:marRight w:val="0"/>
      <w:marTop w:val="0"/>
      <w:marBottom w:val="0"/>
      <w:divBdr>
        <w:top w:val="none" w:sz="0" w:space="0" w:color="auto"/>
        <w:left w:val="none" w:sz="0" w:space="0" w:color="auto"/>
        <w:bottom w:val="none" w:sz="0" w:space="0" w:color="auto"/>
        <w:right w:val="none" w:sz="0" w:space="0" w:color="auto"/>
      </w:divBdr>
    </w:div>
    <w:div w:id="660541313">
      <w:bodyDiv w:val="1"/>
      <w:marLeft w:val="0"/>
      <w:marRight w:val="0"/>
      <w:marTop w:val="0"/>
      <w:marBottom w:val="0"/>
      <w:divBdr>
        <w:top w:val="none" w:sz="0" w:space="0" w:color="auto"/>
        <w:left w:val="none" w:sz="0" w:space="0" w:color="auto"/>
        <w:bottom w:val="none" w:sz="0" w:space="0" w:color="auto"/>
        <w:right w:val="none" w:sz="0" w:space="0" w:color="auto"/>
      </w:divBdr>
    </w:div>
    <w:div w:id="680398930">
      <w:bodyDiv w:val="1"/>
      <w:marLeft w:val="0"/>
      <w:marRight w:val="0"/>
      <w:marTop w:val="0"/>
      <w:marBottom w:val="0"/>
      <w:divBdr>
        <w:top w:val="none" w:sz="0" w:space="0" w:color="auto"/>
        <w:left w:val="none" w:sz="0" w:space="0" w:color="auto"/>
        <w:bottom w:val="none" w:sz="0" w:space="0" w:color="auto"/>
        <w:right w:val="none" w:sz="0" w:space="0" w:color="auto"/>
      </w:divBdr>
    </w:div>
    <w:div w:id="719207062">
      <w:bodyDiv w:val="1"/>
      <w:marLeft w:val="0"/>
      <w:marRight w:val="0"/>
      <w:marTop w:val="0"/>
      <w:marBottom w:val="0"/>
      <w:divBdr>
        <w:top w:val="none" w:sz="0" w:space="0" w:color="auto"/>
        <w:left w:val="none" w:sz="0" w:space="0" w:color="auto"/>
        <w:bottom w:val="none" w:sz="0" w:space="0" w:color="auto"/>
        <w:right w:val="none" w:sz="0" w:space="0" w:color="auto"/>
      </w:divBdr>
    </w:div>
    <w:div w:id="721054192">
      <w:bodyDiv w:val="1"/>
      <w:marLeft w:val="0"/>
      <w:marRight w:val="0"/>
      <w:marTop w:val="0"/>
      <w:marBottom w:val="0"/>
      <w:divBdr>
        <w:top w:val="none" w:sz="0" w:space="0" w:color="auto"/>
        <w:left w:val="none" w:sz="0" w:space="0" w:color="auto"/>
        <w:bottom w:val="none" w:sz="0" w:space="0" w:color="auto"/>
        <w:right w:val="none" w:sz="0" w:space="0" w:color="auto"/>
      </w:divBdr>
    </w:div>
    <w:div w:id="721293442">
      <w:bodyDiv w:val="1"/>
      <w:marLeft w:val="0"/>
      <w:marRight w:val="0"/>
      <w:marTop w:val="0"/>
      <w:marBottom w:val="0"/>
      <w:divBdr>
        <w:top w:val="none" w:sz="0" w:space="0" w:color="auto"/>
        <w:left w:val="none" w:sz="0" w:space="0" w:color="auto"/>
        <w:bottom w:val="none" w:sz="0" w:space="0" w:color="auto"/>
        <w:right w:val="none" w:sz="0" w:space="0" w:color="auto"/>
      </w:divBdr>
      <w:divsChild>
        <w:div w:id="514005614">
          <w:marLeft w:val="274"/>
          <w:marRight w:val="0"/>
          <w:marTop w:val="120"/>
          <w:marBottom w:val="0"/>
          <w:divBdr>
            <w:top w:val="none" w:sz="0" w:space="0" w:color="auto"/>
            <w:left w:val="none" w:sz="0" w:space="0" w:color="auto"/>
            <w:bottom w:val="none" w:sz="0" w:space="0" w:color="auto"/>
            <w:right w:val="none" w:sz="0" w:space="0" w:color="auto"/>
          </w:divBdr>
        </w:div>
        <w:div w:id="643046837">
          <w:marLeft w:val="274"/>
          <w:marRight w:val="0"/>
          <w:marTop w:val="120"/>
          <w:marBottom w:val="0"/>
          <w:divBdr>
            <w:top w:val="none" w:sz="0" w:space="0" w:color="auto"/>
            <w:left w:val="none" w:sz="0" w:space="0" w:color="auto"/>
            <w:bottom w:val="none" w:sz="0" w:space="0" w:color="auto"/>
            <w:right w:val="none" w:sz="0" w:space="0" w:color="auto"/>
          </w:divBdr>
        </w:div>
        <w:div w:id="867915230">
          <w:marLeft w:val="274"/>
          <w:marRight w:val="0"/>
          <w:marTop w:val="120"/>
          <w:marBottom w:val="0"/>
          <w:divBdr>
            <w:top w:val="none" w:sz="0" w:space="0" w:color="auto"/>
            <w:left w:val="none" w:sz="0" w:space="0" w:color="auto"/>
            <w:bottom w:val="none" w:sz="0" w:space="0" w:color="auto"/>
            <w:right w:val="none" w:sz="0" w:space="0" w:color="auto"/>
          </w:divBdr>
        </w:div>
        <w:div w:id="1084960609">
          <w:marLeft w:val="274"/>
          <w:marRight w:val="0"/>
          <w:marTop w:val="120"/>
          <w:marBottom w:val="0"/>
          <w:divBdr>
            <w:top w:val="none" w:sz="0" w:space="0" w:color="auto"/>
            <w:left w:val="none" w:sz="0" w:space="0" w:color="auto"/>
            <w:bottom w:val="none" w:sz="0" w:space="0" w:color="auto"/>
            <w:right w:val="none" w:sz="0" w:space="0" w:color="auto"/>
          </w:divBdr>
        </w:div>
        <w:div w:id="1431076011">
          <w:marLeft w:val="274"/>
          <w:marRight w:val="0"/>
          <w:marTop w:val="120"/>
          <w:marBottom w:val="0"/>
          <w:divBdr>
            <w:top w:val="none" w:sz="0" w:space="0" w:color="auto"/>
            <w:left w:val="none" w:sz="0" w:space="0" w:color="auto"/>
            <w:bottom w:val="none" w:sz="0" w:space="0" w:color="auto"/>
            <w:right w:val="none" w:sz="0" w:space="0" w:color="auto"/>
          </w:divBdr>
        </w:div>
        <w:div w:id="1515723468">
          <w:marLeft w:val="274"/>
          <w:marRight w:val="0"/>
          <w:marTop w:val="120"/>
          <w:marBottom w:val="0"/>
          <w:divBdr>
            <w:top w:val="none" w:sz="0" w:space="0" w:color="auto"/>
            <w:left w:val="none" w:sz="0" w:space="0" w:color="auto"/>
            <w:bottom w:val="none" w:sz="0" w:space="0" w:color="auto"/>
            <w:right w:val="none" w:sz="0" w:space="0" w:color="auto"/>
          </w:divBdr>
        </w:div>
        <w:div w:id="1629822507">
          <w:marLeft w:val="274"/>
          <w:marRight w:val="0"/>
          <w:marTop w:val="120"/>
          <w:marBottom w:val="0"/>
          <w:divBdr>
            <w:top w:val="none" w:sz="0" w:space="0" w:color="auto"/>
            <w:left w:val="none" w:sz="0" w:space="0" w:color="auto"/>
            <w:bottom w:val="none" w:sz="0" w:space="0" w:color="auto"/>
            <w:right w:val="none" w:sz="0" w:space="0" w:color="auto"/>
          </w:divBdr>
        </w:div>
        <w:div w:id="1774209434">
          <w:marLeft w:val="274"/>
          <w:marRight w:val="0"/>
          <w:marTop w:val="120"/>
          <w:marBottom w:val="0"/>
          <w:divBdr>
            <w:top w:val="none" w:sz="0" w:space="0" w:color="auto"/>
            <w:left w:val="none" w:sz="0" w:space="0" w:color="auto"/>
            <w:bottom w:val="none" w:sz="0" w:space="0" w:color="auto"/>
            <w:right w:val="none" w:sz="0" w:space="0" w:color="auto"/>
          </w:divBdr>
        </w:div>
        <w:div w:id="2081629695">
          <w:marLeft w:val="274"/>
          <w:marRight w:val="0"/>
          <w:marTop w:val="120"/>
          <w:marBottom w:val="0"/>
          <w:divBdr>
            <w:top w:val="none" w:sz="0" w:space="0" w:color="auto"/>
            <w:left w:val="none" w:sz="0" w:space="0" w:color="auto"/>
            <w:bottom w:val="none" w:sz="0" w:space="0" w:color="auto"/>
            <w:right w:val="none" w:sz="0" w:space="0" w:color="auto"/>
          </w:divBdr>
        </w:div>
      </w:divsChild>
    </w:div>
    <w:div w:id="722755008">
      <w:bodyDiv w:val="1"/>
      <w:marLeft w:val="0"/>
      <w:marRight w:val="0"/>
      <w:marTop w:val="0"/>
      <w:marBottom w:val="0"/>
      <w:divBdr>
        <w:top w:val="none" w:sz="0" w:space="0" w:color="auto"/>
        <w:left w:val="none" w:sz="0" w:space="0" w:color="auto"/>
        <w:bottom w:val="none" w:sz="0" w:space="0" w:color="auto"/>
        <w:right w:val="none" w:sz="0" w:space="0" w:color="auto"/>
      </w:divBdr>
    </w:div>
    <w:div w:id="727218990">
      <w:bodyDiv w:val="1"/>
      <w:marLeft w:val="0"/>
      <w:marRight w:val="0"/>
      <w:marTop w:val="0"/>
      <w:marBottom w:val="0"/>
      <w:divBdr>
        <w:top w:val="none" w:sz="0" w:space="0" w:color="auto"/>
        <w:left w:val="none" w:sz="0" w:space="0" w:color="auto"/>
        <w:bottom w:val="none" w:sz="0" w:space="0" w:color="auto"/>
        <w:right w:val="none" w:sz="0" w:space="0" w:color="auto"/>
      </w:divBdr>
    </w:div>
    <w:div w:id="738753292">
      <w:bodyDiv w:val="1"/>
      <w:marLeft w:val="0"/>
      <w:marRight w:val="0"/>
      <w:marTop w:val="0"/>
      <w:marBottom w:val="0"/>
      <w:divBdr>
        <w:top w:val="none" w:sz="0" w:space="0" w:color="auto"/>
        <w:left w:val="none" w:sz="0" w:space="0" w:color="auto"/>
        <w:bottom w:val="none" w:sz="0" w:space="0" w:color="auto"/>
        <w:right w:val="none" w:sz="0" w:space="0" w:color="auto"/>
      </w:divBdr>
      <w:divsChild>
        <w:div w:id="1774015805">
          <w:marLeft w:val="0"/>
          <w:marRight w:val="0"/>
          <w:marTop w:val="0"/>
          <w:marBottom w:val="0"/>
          <w:divBdr>
            <w:top w:val="none" w:sz="0" w:space="0" w:color="auto"/>
            <w:left w:val="none" w:sz="0" w:space="0" w:color="auto"/>
            <w:bottom w:val="none" w:sz="0" w:space="0" w:color="auto"/>
            <w:right w:val="none" w:sz="0" w:space="0" w:color="auto"/>
          </w:divBdr>
          <w:divsChild>
            <w:div w:id="19890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36050">
      <w:bodyDiv w:val="1"/>
      <w:marLeft w:val="0"/>
      <w:marRight w:val="0"/>
      <w:marTop w:val="0"/>
      <w:marBottom w:val="0"/>
      <w:divBdr>
        <w:top w:val="none" w:sz="0" w:space="0" w:color="auto"/>
        <w:left w:val="none" w:sz="0" w:space="0" w:color="auto"/>
        <w:bottom w:val="none" w:sz="0" w:space="0" w:color="auto"/>
        <w:right w:val="none" w:sz="0" w:space="0" w:color="auto"/>
      </w:divBdr>
    </w:div>
    <w:div w:id="755595768">
      <w:bodyDiv w:val="1"/>
      <w:marLeft w:val="0"/>
      <w:marRight w:val="0"/>
      <w:marTop w:val="0"/>
      <w:marBottom w:val="0"/>
      <w:divBdr>
        <w:top w:val="none" w:sz="0" w:space="0" w:color="auto"/>
        <w:left w:val="none" w:sz="0" w:space="0" w:color="auto"/>
        <w:bottom w:val="none" w:sz="0" w:space="0" w:color="auto"/>
        <w:right w:val="none" w:sz="0" w:space="0" w:color="auto"/>
      </w:divBdr>
    </w:div>
    <w:div w:id="755832897">
      <w:bodyDiv w:val="1"/>
      <w:marLeft w:val="0"/>
      <w:marRight w:val="0"/>
      <w:marTop w:val="0"/>
      <w:marBottom w:val="0"/>
      <w:divBdr>
        <w:top w:val="none" w:sz="0" w:space="0" w:color="auto"/>
        <w:left w:val="none" w:sz="0" w:space="0" w:color="auto"/>
        <w:bottom w:val="none" w:sz="0" w:space="0" w:color="auto"/>
        <w:right w:val="none" w:sz="0" w:space="0" w:color="auto"/>
      </w:divBdr>
      <w:divsChild>
        <w:div w:id="10183851">
          <w:marLeft w:val="0"/>
          <w:marRight w:val="0"/>
          <w:marTop w:val="0"/>
          <w:marBottom w:val="0"/>
          <w:divBdr>
            <w:top w:val="none" w:sz="0" w:space="0" w:color="auto"/>
            <w:left w:val="none" w:sz="0" w:space="0" w:color="auto"/>
            <w:bottom w:val="none" w:sz="0" w:space="0" w:color="auto"/>
            <w:right w:val="none" w:sz="0" w:space="0" w:color="auto"/>
          </w:divBdr>
          <w:divsChild>
            <w:div w:id="522593079">
              <w:marLeft w:val="0"/>
              <w:marRight w:val="0"/>
              <w:marTop w:val="0"/>
              <w:marBottom w:val="0"/>
              <w:divBdr>
                <w:top w:val="none" w:sz="0" w:space="0" w:color="auto"/>
                <w:left w:val="none" w:sz="0" w:space="0" w:color="auto"/>
                <w:bottom w:val="none" w:sz="0" w:space="0" w:color="auto"/>
                <w:right w:val="none" w:sz="0" w:space="0" w:color="auto"/>
              </w:divBdr>
            </w:div>
          </w:divsChild>
        </w:div>
        <w:div w:id="13120152">
          <w:marLeft w:val="0"/>
          <w:marRight w:val="0"/>
          <w:marTop w:val="0"/>
          <w:marBottom w:val="0"/>
          <w:divBdr>
            <w:top w:val="none" w:sz="0" w:space="0" w:color="auto"/>
            <w:left w:val="none" w:sz="0" w:space="0" w:color="auto"/>
            <w:bottom w:val="none" w:sz="0" w:space="0" w:color="auto"/>
            <w:right w:val="none" w:sz="0" w:space="0" w:color="auto"/>
          </w:divBdr>
          <w:divsChild>
            <w:div w:id="1900633261">
              <w:marLeft w:val="0"/>
              <w:marRight w:val="0"/>
              <w:marTop w:val="0"/>
              <w:marBottom w:val="0"/>
              <w:divBdr>
                <w:top w:val="none" w:sz="0" w:space="0" w:color="auto"/>
                <w:left w:val="none" w:sz="0" w:space="0" w:color="auto"/>
                <w:bottom w:val="none" w:sz="0" w:space="0" w:color="auto"/>
                <w:right w:val="none" w:sz="0" w:space="0" w:color="auto"/>
              </w:divBdr>
            </w:div>
          </w:divsChild>
        </w:div>
        <w:div w:id="23676983">
          <w:marLeft w:val="0"/>
          <w:marRight w:val="0"/>
          <w:marTop w:val="0"/>
          <w:marBottom w:val="0"/>
          <w:divBdr>
            <w:top w:val="none" w:sz="0" w:space="0" w:color="auto"/>
            <w:left w:val="none" w:sz="0" w:space="0" w:color="auto"/>
            <w:bottom w:val="none" w:sz="0" w:space="0" w:color="auto"/>
            <w:right w:val="none" w:sz="0" w:space="0" w:color="auto"/>
          </w:divBdr>
          <w:divsChild>
            <w:div w:id="589891998">
              <w:marLeft w:val="0"/>
              <w:marRight w:val="0"/>
              <w:marTop w:val="0"/>
              <w:marBottom w:val="0"/>
              <w:divBdr>
                <w:top w:val="none" w:sz="0" w:space="0" w:color="auto"/>
                <w:left w:val="none" w:sz="0" w:space="0" w:color="auto"/>
                <w:bottom w:val="none" w:sz="0" w:space="0" w:color="auto"/>
                <w:right w:val="none" w:sz="0" w:space="0" w:color="auto"/>
              </w:divBdr>
            </w:div>
          </w:divsChild>
        </w:div>
        <w:div w:id="90006420">
          <w:marLeft w:val="0"/>
          <w:marRight w:val="0"/>
          <w:marTop w:val="0"/>
          <w:marBottom w:val="0"/>
          <w:divBdr>
            <w:top w:val="none" w:sz="0" w:space="0" w:color="auto"/>
            <w:left w:val="none" w:sz="0" w:space="0" w:color="auto"/>
            <w:bottom w:val="none" w:sz="0" w:space="0" w:color="auto"/>
            <w:right w:val="none" w:sz="0" w:space="0" w:color="auto"/>
          </w:divBdr>
          <w:divsChild>
            <w:div w:id="1553884157">
              <w:marLeft w:val="0"/>
              <w:marRight w:val="0"/>
              <w:marTop w:val="0"/>
              <w:marBottom w:val="0"/>
              <w:divBdr>
                <w:top w:val="none" w:sz="0" w:space="0" w:color="auto"/>
                <w:left w:val="none" w:sz="0" w:space="0" w:color="auto"/>
                <w:bottom w:val="none" w:sz="0" w:space="0" w:color="auto"/>
                <w:right w:val="none" w:sz="0" w:space="0" w:color="auto"/>
              </w:divBdr>
            </w:div>
          </w:divsChild>
        </w:div>
        <w:div w:id="140001371">
          <w:marLeft w:val="0"/>
          <w:marRight w:val="0"/>
          <w:marTop w:val="0"/>
          <w:marBottom w:val="0"/>
          <w:divBdr>
            <w:top w:val="none" w:sz="0" w:space="0" w:color="auto"/>
            <w:left w:val="none" w:sz="0" w:space="0" w:color="auto"/>
            <w:bottom w:val="none" w:sz="0" w:space="0" w:color="auto"/>
            <w:right w:val="none" w:sz="0" w:space="0" w:color="auto"/>
          </w:divBdr>
          <w:divsChild>
            <w:div w:id="533924057">
              <w:marLeft w:val="0"/>
              <w:marRight w:val="0"/>
              <w:marTop w:val="0"/>
              <w:marBottom w:val="0"/>
              <w:divBdr>
                <w:top w:val="none" w:sz="0" w:space="0" w:color="auto"/>
                <w:left w:val="none" w:sz="0" w:space="0" w:color="auto"/>
                <w:bottom w:val="none" w:sz="0" w:space="0" w:color="auto"/>
                <w:right w:val="none" w:sz="0" w:space="0" w:color="auto"/>
              </w:divBdr>
            </w:div>
          </w:divsChild>
        </w:div>
        <w:div w:id="227350695">
          <w:marLeft w:val="0"/>
          <w:marRight w:val="0"/>
          <w:marTop w:val="0"/>
          <w:marBottom w:val="0"/>
          <w:divBdr>
            <w:top w:val="none" w:sz="0" w:space="0" w:color="auto"/>
            <w:left w:val="none" w:sz="0" w:space="0" w:color="auto"/>
            <w:bottom w:val="none" w:sz="0" w:space="0" w:color="auto"/>
            <w:right w:val="none" w:sz="0" w:space="0" w:color="auto"/>
          </w:divBdr>
          <w:divsChild>
            <w:div w:id="6369297">
              <w:marLeft w:val="0"/>
              <w:marRight w:val="0"/>
              <w:marTop w:val="0"/>
              <w:marBottom w:val="0"/>
              <w:divBdr>
                <w:top w:val="none" w:sz="0" w:space="0" w:color="auto"/>
                <w:left w:val="none" w:sz="0" w:space="0" w:color="auto"/>
                <w:bottom w:val="none" w:sz="0" w:space="0" w:color="auto"/>
                <w:right w:val="none" w:sz="0" w:space="0" w:color="auto"/>
              </w:divBdr>
            </w:div>
          </w:divsChild>
        </w:div>
        <w:div w:id="290138862">
          <w:marLeft w:val="0"/>
          <w:marRight w:val="0"/>
          <w:marTop w:val="0"/>
          <w:marBottom w:val="0"/>
          <w:divBdr>
            <w:top w:val="none" w:sz="0" w:space="0" w:color="auto"/>
            <w:left w:val="none" w:sz="0" w:space="0" w:color="auto"/>
            <w:bottom w:val="none" w:sz="0" w:space="0" w:color="auto"/>
            <w:right w:val="none" w:sz="0" w:space="0" w:color="auto"/>
          </w:divBdr>
          <w:divsChild>
            <w:div w:id="1389843465">
              <w:marLeft w:val="0"/>
              <w:marRight w:val="0"/>
              <w:marTop w:val="0"/>
              <w:marBottom w:val="0"/>
              <w:divBdr>
                <w:top w:val="none" w:sz="0" w:space="0" w:color="auto"/>
                <w:left w:val="none" w:sz="0" w:space="0" w:color="auto"/>
                <w:bottom w:val="none" w:sz="0" w:space="0" w:color="auto"/>
                <w:right w:val="none" w:sz="0" w:space="0" w:color="auto"/>
              </w:divBdr>
            </w:div>
          </w:divsChild>
        </w:div>
        <w:div w:id="294723071">
          <w:marLeft w:val="0"/>
          <w:marRight w:val="0"/>
          <w:marTop w:val="0"/>
          <w:marBottom w:val="0"/>
          <w:divBdr>
            <w:top w:val="none" w:sz="0" w:space="0" w:color="auto"/>
            <w:left w:val="none" w:sz="0" w:space="0" w:color="auto"/>
            <w:bottom w:val="none" w:sz="0" w:space="0" w:color="auto"/>
            <w:right w:val="none" w:sz="0" w:space="0" w:color="auto"/>
          </w:divBdr>
          <w:divsChild>
            <w:div w:id="1827091517">
              <w:marLeft w:val="0"/>
              <w:marRight w:val="0"/>
              <w:marTop w:val="0"/>
              <w:marBottom w:val="0"/>
              <w:divBdr>
                <w:top w:val="none" w:sz="0" w:space="0" w:color="auto"/>
                <w:left w:val="none" w:sz="0" w:space="0" w:color="auto"/>
                <w:bottom w:val="none" w:sz="0" w:space="0" w:color="auto"/>
                <w:right w:val="none" w:sz="0" w:space="0" w:color="auto"/>
              </w:divBdr>
            </w:div>
          </w:divsChild>
        </w:div>
        <w:div w:id="301928473">
          <w:marLeft w:val="0"/>
          <w:marRight w:val="0"/>
          <w:marTop w:val="0"/>
          <w:marBottom w:val="0"/>
          <w:divBdr>
            <w:top w:val="none" w:sz="0" w:space="0" w:color="auto"/>
            <w:left w:val="none" w:sz="0" w:space="0" w:color="auto"/>
            <w:bottom w:val="none" w:sz="0" w:space="0" w:color="auto"/>
            <w:right w:val="none" w:sz="0" w:space="0" w:color="auto"/>
          </w:divBdr>
          <w:divsChild>
            <w:div w:id="1415467001">
              <w:marLeft w:val="0"/>
              <w:marRight w:val="0"/>
              <w:marTop w:val="0"/>
              <w:marBottom w:val="0"/>
              <w:divBdr>
                <w:top w:val="none" w:sz="0" w:space="0" w:color="auto"/>
                <w:left w:val="none" w:sz="0" w:space="0" w:color="auto"/>
                <w:bottom w:val="none" w:sz="0" w:space="0" w:color="auto"/>
                <w:right w:val="none" w:sz="0" w:space="0" w:color="auto"/>
              </w:divBdr>
            </w:div>
          </w:divsChild>
        </w:div>
        <w:div w:id="335768430">
          <w:marLeft w:val="0"/>
          <w:marRight w:val="0"/>
          <w:marTop w:val="0"/>
          <w:marBottom w:val="0"/>
          <w:divBdr>
            <w:top w:val="none" w:sz="0" w:space="0" w:color="auto"/>
            <w:left w:val="none" w:sz="0" w:space="0" w:color="auto"/>
            <w:bottom w:val="none" w:sz="0" w:space="0" w:color="auto"/>
            <w:right w:val="none" w:sz="0" w:space="0" w:color="auto"/>
          </w:divBdr>
          <w:divsChild>
            <w:div w:id="1539200230">
              <w:marLeft w:val="0"/>
              <w:marRight w:val="0"/>
              <w:marTop w:val="0"/>
              <w:marBottom w:val="0"/>
              <w:divBdr>
                <w:top w:val="none" w:sz="0" w:space="0" w:color="auto"/>
                <w:left w:val="none" w:sz="0" w:space="0" w:color="auto"/>
                <w:bottom w:val="none" w:sz="0" w:space="0" w:color="auto"/>
                <w:right w:val="none" w:sz="0" w:space="0" w:color="auto"/>
              </w:divBdr>
            </w:div>
          </w:divsChild>
        </w:div>
        <w:div w:id="373386400">
          <w:marLeft w:val="0"/>
          <w:marRight w:val="0"/>
          <w:marTop w:val="0"/>
          <w:marBottom w:val="0"/>
          <w:divBdr>
            <w:top w:val="none" w:sz="0" w:space="0" w:color="auto"/>
            <w:left w:val="none" w:sz="0" w:space="0" w:color="auto"/>
            <w:bottom w:val="none" w:sz="0" w:space="0" w:color="auto"/>
            <w:right w:val="none" w:sz="0" w:space="0" w:color="auto"/>
          </w:divBdr>
          <w:divsChild>
            <w:div w:id="2088458944">
              <w:marLeft w:val="0"/>
              <w:marRight w:val="0"/>
              <w:marTop w:val="0"/>
              <w:marBottom w:val="0"/>
              <w:divBdr>
                <w:top w:val="none" w:sz="0" w:space="0" w:color="auto"/>
                <w:left w:val="none" w:sz="0" w:space="0" w:color="auto"/>
                <w:bottom w:val="none" w:sz="0" w:space="0" w:color="auto"/>
                <w:right w:val="none" w:sz="0" w:space="0" w:color="auto"/>
              </w:divBdr>
            </w:div>
          </w:divsChild>
        </w:div>
        <w:div w:id="374624348">
          <w:marLeft w:val="0"/>
          <w:marRight w:val="0"/>
          <w:marTop w:val="0"/>
          <w:marBottom w:val="0"/>
          <w:divBdr>
            <w:top w:val="none" w:sz="0" w:space="0" w:color="auto"/>
            <w:left w:val="none" w:sz="0" w:space="0" w:color="auto"/>
            <w:bottom w:val="none" w:sz="0" w:space="0" w:color="auto"/>
            <w:right w:val="none" w:sz="0" w:space="0" w:color="auto"/>
          </w:divBdr>
          <w:divsChild>
            <w:div w:id="371001772">
              <w:marLeft w:val="0"/>
              <w:marRight w:val="0"/>
              <w:marTop w:val="0"/>
              <w:marBottom w:val="0"/>
              <w:divBdr>
                <w:top w:val="none" w:sz="0" w:space="0" w:color="auto"/>
                <w:left w:val="none" w:sz="0" w:space="0" w:color="auto"/>
                <w:bottom w:val="none" w:sz="0" w:space="0" w:color="auto"/>
                <w:right w:val="none" w:sz="0" w:space="0" w:color="auto"/>
              </w:divBdr>
            </w:div>
          </w:divsChild>
        </w:div>
        <w:div w:id="375466518">
          <w:marLeft w:val="0"/>
          <w:marRight w:val="0"/>
          <w:marTop w:val="0"/>
          <w:marBottom w:val="0"/>
          <w:divBdr>
            <w:top w:val="none" w:sz="0" w:space="0" w:color="auto"/>
            <w:left w:val="none" w:sz="0" w:space="0" w:color="auto"/>
            <w:bottom w:val="none" w:sz="0" w:space="0" w:color="auto"/>
            <w:right w:val="none" w:sz="0" w:space="0" w:color="auto"/>
          </w:divBdr>
          <w:divsChild>
            <w:div w:id="1385720246">
              <w:marLeft w:val="0"/>
              <w:marRight w:val="0"/>
              <w:marTop w:val="0"/>
              <w:marBottom w:val="0"/>
              <w:divBdr>
                <w:top w:val="none" w:sz="0" w:space="0" w:color="auto"/>
                <w:left w:val="none" w:sz="0" w:space="0" w:color="auto"/>
                <w:bottom w:val="none" w:sz="0" w:space="0" w:color="auto"/>
                <w:right w:val="none" w:sz="0" w:space="0" w:color="auto"/>
              </w:divBdr>
            </w:div>
          </w:divsChild>
        </w:div>
        <w:div w:id="420490015">
          <w:marLeft w:val="0"/>
          <w:marRight w:val="0"/>
          <w:marTop w:val="0"/>
          <w:marBottom w:val="0"/>
          <w:divBdr>
            <w:top w:val="none" w:sz="0" w:space="0" w:color="auto"/>
            <w:left w:val="none" w:sz="0" w:space="0" w:color="auto"/>
            <w:bottom w:val="none" w:sz="0" w:space="0" w:color="auto"/>
            <w:right w:val="none" w:sz="0" w:space="0" w:color="auto"/>
          </w:divBdr>
          <w:divsChild>
            <w:div w:id="426466658">
              <w:marLeft w:val="0"/>
              <w:marRight w:val="0"/>
              <w:marTop w:val="0"/>
              <w:marBottom w:val="0"/>
              <w:divBdr>
                <w:top w:val="none" w:sz="0" w:space="0" w:color="auto"/>
                <w:left w:val="none" w:sz="0" w:space="0" w:color="auto"/>
                <w:bottom w:val="none" w:sz="0" w:space="0" w:color="auto"/>
                <w:right w:val="none" w:sz="0" w:space="0" w:color="auto"/>
              </w:divBdr>
            </w:div>
          </w:divsChild>
        </w:div>
        <w:div w:id="426386586">
          <w:marLeft w:val="0"/>
          <w:marRight w:val="0"/>
          <w:marTop w:val="0"/>
          <w:marBottom w:val="0"/>
          <w:divBdr>
            <w:top w:val="none" w:sz="0" w:space="0" w:color="auto"/>
            <w:left w:val="none" w:sz="0" w:space="0" w:color="auto"/>
            <w:bottom w:val="none" w:sz="0" w:space="0" w:color="auto"/>
            <w:right w:val="none" w:sz="0" w:space="0" w:color="auto"/>
          </w:divBdr>
          <w:divsChild>
            <w:div w:id="2083477544">
              <w:marLeft w:val="0"/>
              <w:marRight w:val="0"/>
              <w:marTop w:val="0"/>
              <w:marBottom w:val="0"/>
              <w:divBdr>
                <w:top w:val="none" w:sz="0" w:space="0" w:color="auto"/>
                <w:left w:val="none" w:sz="0" w:space="0" w:color="auto"/>
                <w:bottom w:val="none" w:sz="0" w:space="0" w:color="auto"/>
                <w:right w:val="none" w:sz="0" w:space="0" w:color="auto"/>
              </w:divBdr>
            </w:div>
          </w:divsChild>
        </w:div>
        <w:div w:id="434063514">
          <w:marLeft w:val="0"/>
          <w:marRight w:val="0"/>
          <w:marTop w:val="0"/>
          <w:marBottom w:val="0"/>
          <w:divBdr>
            <w:top w:val="none" w:sz="0" w:space="0" w:color="auto"/>
            <w:left w:val="none" w:sz="0" w:space="0" w:color="auto"/>
            <w:bottom w:val="none" w:sz="0" w:space="0" w:color="auto"/>
            <w:right w:val="none" w:sz="0" w:space="0" w:color="auto"/>
          </w:divBdr>
          <w:divsChild>
            <w:div w:id="1289553964">
              <w:marLeft w:val="0"/>
              <w:marRight w:val="0"/>
              <w:marTop w:val="0"/>
              <w:marBottom w:val="0"/>
              <w:divBdr>
                <w:top w:val="none" w:sz="0" w:space="0" w:color="auto"/>
                <w:left w:val="none" w:sz="0" w:space="0" w:color="auto"/>
                <w:bottom w:val="none" w:sz="0" w:space="0" w:color="auto"/>
                <w:right w:val="none" w:sz="0" w:space="0" w:color="auto"/>
              </w:divBdr>
            </w:div>
          </w:divsChild>
        </w:div>
        <w:div w:id="445123177">
          <w:marLeft w:val="0"/>
          <w:marRight w:val="0"/>
          <w:marTop w:val="0"/>
          <w:marBottom w:val="0"/>
          <w:divBdr>
            <w:top w:val="none" w:sz="0" w:space="0" w:color="auto"/>
            <w:left w:val="none" w:sz="0" w:space="0" w:color="auto"/>
            <w:bottom w:val="none" w:sz="0" w:space="0" w:color="auto"/>
            <w:right w:val="none" w:sz="0" w:space="0" w:color="auto"/>
          </w:divBdr>
          <w:divsChild>
            <w:div w:id="2029673826">
              <w:marLeft w:val="0"/>
              <w:marRight w:val="0"/>
              <w:marTop w:val="0"/>
              <w:marBottom w:val="0"/>
              <w:divBdr>
                <w:top w:val="none" w:sz="0" w:space="0" w:color="auto"/>
                <w:left w:val="none" w:sz="0" w:space="0" w:color="auto"/>
                <w:bottom w:val="none" w:sz="0" w:space="0" w:color="auto"/>
                <w:right w:val="none" w:sz="0" w:space="0" w:color="auto"/>
              </w:divBdr>
            </w:div>
          </w:divsChild>
        </w:div>
        <w:div w:id="485899800">
          <w:marLeft w:val="0"/>
          <w:marRight w:val="0"/>
          <w:marTop w:val="0"/>
          <w:marBottom w:val="0"/>
          <w:divBdr>
            <w:top w:val="none" w:sz="0" w:space="0" w:color="auto"/>
            <w:left w:val="none" w:sz="0" w:space="0" w:color="auto"/>
            <w:bottom w:val="none" w:sz="0" w:space="0" w:color="auto"/>
            <w:right w:val="none" w:sz="0" w:space="0" w:color="auto"/>
          </w:divBdr>
          <w:divsChild>
            <w:div w:id="1526283652">
              <w:marLeft w:val="0"/>
              <w:marRight w:val="0"/>
              <w:marTop w:val="0"/>
              <w:marBottom w:val="0"/>
              <w:divBdr>
                <w:top w:val="none" w:sz="0" w:space="0" w:color="auto"/>
                <w:left w:val="none" w:sz="0" w:space="0" w:color="auto"/>
                <w:bottom w:val="none" w:sz="0" w:space="0" w:color="auto"/>
                <w:right w:val="none" w:sz="0" w:space="0" w:color="auto"/>
              </w:divBdr>
            </w:div>
          </w:divsChild>
        </w:div>
        <w:div w:id="522288357">
          <w:marLeft w:val="0"/>
          <w:marRight w:val="0"/>
          <w:marTop w:val="0"/>
          <w:marBottom w:val="0"/>
          <w:divBdr>
            <w:top w:val="none" w:sz="0" w:space="0" w:color="auto"/>
            <w:left w:val="none" w:sz="0" w:space="0" w:color="auto"/>
            <w:bottom w:val="none" w:sz="0" w:space="0" w:color="auto"/>
            <w:right w:val="none" w:sz="0" w:space="0" w:color="auto"/>
          </w:divBdr>
          <w:divsChild>
            <w:div w:id="2048752709">
              <w:marLeft w:val="0"/>
              <w:marRight w:val="0"/>
              <w:marTop w:val="0"/>
              <w:marBottom w:val="0"/>
              <w:divBdr>
                <w:top w:val="none" w:sz="0" w:space="0" w:color="auto"/>
                <w:left w:val="none" w:sz="0" w:space="0" w:color="auto"/>
                <w:bottom w:val="none" w:sz="0" w:space="0" w:color="auto"/>
                <w:right w:val="none" w:sz="0" w:space="0" w:color="auto"/>
              </w:divBdr>
            </w:div>
          </w:divsChild>
        </w:div>
        <w:div w:id="557253627">
          <w:marLeft w:val="0"/>
          <w:marRight w:val="0"/>
          <w:marTop w:val="0"/>
          <w:marBottom w:val="0"/>
          <w:divBdr>
            <w:top w:val="none" w:sz="0" w:space="0" w:color="auto"/>
            <w:left w:val="none" w:sz="0" w:space="0" w:color="auto"/>
            <w:bottom w:val="none" w:sz="0" w:space="0" w:color="auto"/>
            <w:right w:val="none" w:sz="0" w:space="0" w:color="auto"/>
          </w:divBdr>
          <w:divsChild>
            <w:div w:id="954562759">
              <w:marLeft w:val="0"/>
              <w:marRight w:val="0"/>
              <w:marTop w:val="0"/>
              <w:marBottom w:val="0"/>
              <w:divBdr>
                <w:top w:val="none" w:sz="0" w:space="0" w:color="auto"/>
                <w:left w:val="none" w:sz="0" w:space="0" w:color="auto"/>
                <w:bottom w:val="none" w:sz="0" w:space="0" w:color="auto"/>
                <w:right w:val="none" w:sz="0" w:space="0" w:color="auto"/>
              </w:divBdr>
            </w:div>
          </w:divsChild>
        </w:div>
        <w:div w:id="557861469">
          <w:marLeft w:val="0"/>
          <w:marRight w:val="0"/>
          <w:marTop w:val="0"/>
          <w:marBottom w:val="0"/>
          <w:divBdr>
            <w:top w:val="none" w:sz="0" w:space="0" w:color="auto"/>
            <w:left w:val="none" w:sz="0" w:space="0" w:color="auto"/>
            <w:bottom w:val="none" w:sz="0" w:space="0" w:color="auto"/>
            <w:right w:val="none" w:sz="0" w:space="0" w:color="auto"/>
          </w:divBdr>
          <w:divsChild>
            <w:div w:id="175652185">
              <w:marLeft w:val="0"/>
              <w:marRight w:val="0"/>
              <w:marTop w:val="0"/>
              <w:marBottom w:val="0"/>
              <w:divBdr>
                <w:top w:val="none" w:sz="0" w:space="0" w:color="auto"/>
                <w:left w:val="none" w:sz="0" w:space="0" w:color="auto"/>
                <w:bottom w:val="none" w:sz="0" w:space="0" w:color="auto"/>
                <w:right w:val="none" w:sz="0" w:space="0" w:color="auto"/>
              </w:divBdr>
            </w:div>
          </w:divsChild>
        </w:div>
        <w:div w:id="607735269">
          <w:marLeft w:val="0"/>
          <w:marRight w:val="0"/>
          <w:marTop w:val="0"/>
          <w:marBottom w:val="0"/>
          <w:divBdr>
            <w:top w:val="none" w:sz="0" w:space="0" w:color="auto"/>
            <w:left w:val="none" w:sz="0" w:space="0" w:color="auto"/>
            <w:bottom w:val="none" w:sz="0" w:space="0" w:color="auto"/>
            <w:right w:val="none" w:sz="0" w:space="0" w:color="auto"/>
          </w:divBdr>
          <w:divsChild>
            <w:div w:id="458688934">
              <w:marLeft w:val="0"/>
              <w:marRight w:val="0"/>
              <w:marTop w:val="0"/>
              <w:marBottom w:val="0"/>
              <w:divBdr>
                <w:top w:val="none" w:sz="0" w:space="0" w:color="auto"/>
                <w:left w:val="none" w:sz="0" w:space="0" w:color="auto"/>
                <w:bottom w:val="none" w:sz="0" w:space="0" w:color="auto"/>
                <w:right w:val="none" w:sz="0" w:space="0" w:color="auto"/>
              </w:divBdr>
            </w:div>
          </w:divsChild>
        </w:div>
        <w:div w:id="686491599">
          <w:marLeft w:val="0"/>
          <w:marRight w:val="0"/>
          <w:marTop w:val="0"/>
          <w:marBottom w:val="0"/>
          <w:divBdr>
            <w:top w:val="none" w:sz="0" w:space="0" w:color="auto"/>
            <w:left w:val="none" w:sz="0" w:space="0" w:color="auto"/>
            <w:bottom w:val="none" w:sz="0" w:space="0" w:color="auto"/>
            <w:right w:val="none" w:sz="0" w:space="0" w:color="auto"/>
          </w:divBdr>
          <w:divsChild>
            <w:div w:id="1241135659">
              <w:marLeft w:val="0"/>
              <w:marRight w:val="0"/>
              <w:marTop w:val="0"/>
              <w:marBottom w:val="0"/>
              <w:divBdr>
                <w:top w:val="none" w:sz="0" w:space="0" w:color="auto"/>
                <w:left w:val="none" w:sz="0" w:space="0" w:color="auto"/>
                <w:bottom w:val="none" w:sz="0" w:space="0" w:color="auto"/>
                <w:right w:val="none" w:sz="0" w:space="0" w:color="auto"/>
              </w:divBdr>
            </w:div>
          </w:divsChild>
        </w:div>
        <w:div w:id="707995569">
          <w:marLeft w:val="0"/>
          <w:marRight w:val="0"/>
          <w:marTop w:val="0"/>
          <w:marBottom w:val="0"/>
          <w:divBdr>
            <w:top w:val="none" w:sz="0" w:space="0" w:color="auto"/>
            <w:left w:val="none" w:sz="0" w:space="0" w:color="auto"/>
            <w:bottom w:val="none" w:sz="0" w:space="0" w:color="auto"/>
            <w:right w:val="none" w:sz="0" w:space="0" w:color="auto"/>
          </w:divBdr>
          <w:divsChild>
            <w:div w:id="190605073">
              <w:marLeft w:val="0"/>
              <w:marRight w:val="0"/>
              <w:marTop w:val="0"/>
              <w:marBottom w:val="0"/>
              <w:divBdr>
                <w:top w:val="none" w:sz="0" w:space="0" w:color="auto"/>
                <w:left w:val="none" w:sz="0" w:space="0" w:color="auto"/>
                <w:bottom w:val="none" w:sz="0" w:space="0" w:color="auto"/>
                <w:right w:val="none" w:sz="0" w:space="0" w:color="auto"/>
              </w:divBdr>
            </w:div>
          </w:divsChild>
        </w:div>
        <w:div w:id="734861235">
          <w:marLeft w:val="0"/>
          <w:marRight w:val="0"/>
          <w:marTop w:val="0"/>
          <w:marBottom w:val="0"/>
          <w:divBdr>
            <w:top w:val="none" w:sz="0" w:space="0" w:color="auto"/>
            <w:left w:val="none" w:sz="0" w:space="0" w:color="auto"/>
            <w:bottom w:val="none" w:sz="0" w:space="0" w:color="auto"/>
            <w:right w:val="none" w:sz="0" w:space="0" w:color="auto"/>
          </w:divBdr>
          <w:divsChild>
            <w:div w:id="1967814522">
              <w:marLeft w:val="0"/>
              <w:marRight w:val="0"/>
              <w:marTop w:val="0"/>
              <w:marBottom w:val="0"/>
              <w:divBdr>
                <w:top w:val="none" w:sz="0" w:space="0" w:color="auto"/>
                <w:left w:val="none" w:sz="0" w:space="0" w:color="auto"/>
                <w:bottom w:val="none" w:sz="0" w:space="0" w:color="auto"/>
                <w:right w:val="none" w:sz="0" w:space="0" w:color="auto"/>
              </w:divBdr>
            </w:div>
          </w:divsChild>
        </w:div>
        <w:div w:id="742265056">
          <w:marLeft w:val="0"/>
          <w:marRight w:val="0"/>
          <w:marTop w:val="0"/>
          <w:marBottom w:val="0"/>
          <w:divBdr>
            <w:top w:val="none" w:sz="0" w:space="0" w:color="auto"/>
            <w:left w:val="none" w:sz="0" w:space="0" w:color="auto"/>
            <w:bottom w:val="none" w:sz="0" w:space="0" w:color="auto"/>
            <w:right w:val="none" w:sz="0" w:space="0" w:color="auto"/>
          </w:divBdr>
          <w:divsChild>
            <w:div w:id="1146313178">
              <w:marLeft w:val="0"/>
              <w:marRight w:val="0"/>
              <w:marTop w:val="0"/>
              <w:marBottom w:val="0"/>
              <w:divBdr>
                <w:top w:val="none" w:sz="0" w:space="0" w:color="auto"/>
                <w:left w:val="none" w:sz="0" w:space="0" w:color="auto"/>
                <w:bottom w:val="none" w:sz="0" w:space="0" w:color="auto"/>
                <w:right w:val="none" w:sz="0" w:space="0" w:color="auto"/>
              </w:divBdr>
            </w:div>
          </w:divsChild>
        </w:div>
        <w:div w:id="759641775">
          <w:marLeft w:val="0"/>
          <w:marRight w:val="0"/>
          <w:marTop w:val="0"/>
          <w:marBottom w:val="0"/>
          <w:divBdr>
            <w:top w:val="none" w:sz="0" w:space="0" w:color="auto"/>
            <w:left w:val="none" w:sz="0" w:space="0" w:color="auto"/>
            <w:bottom w:val="none" w:sz="0" w:space="0" w:color="auto"/>
            <w:right w:val="none" w:sz="0" w:space="0" w:color="auto"/>
          </w:divBdr>
          <w:divsChild>
            <w:div w:id="274405295">
              <w:marLeft w:val="0"/>
              <w:marRight w:val="0"/>
              <w:marTop w:val="0"/>
              <w:marBottom w:val="0"/>
              <w:divBdr>
                <w:top w:val="none" w:sz="0" w:space="0" w:color="auto"/>
                <w:left w:val="none" w:sz="0" w:space="0" w:color="auto"/>
                <w:bottom w:val="none" w:sz="0" w:space="0" w:color="auto"/>
                <w:right w:val="none" w:sz="0" w:space="0" w:color="auto"/>
              </w:divBdr>
            </w:div>
          </w:divsChild>
        </w:div>
        <w:div w:id="780611455">
          <w:marLeft w:val="0"/>
          <w:marRight w:val="0"/>
          <w:marTop w:val="0"/>
          <w:marBottom w:val="0"/>
          <w:divBdr>
            <w:top w:val="none" w:sz="0" w:space="0" w:color="auto"/>
            <w:left w:val="none" w:sz="0" w:space="0" w:color="auto"/>
            <w:bottom w:val="none" w:sz="0" w:space="0" w:color="auto"/>
            <w:right w:val="none" w:sz="0" w:space="0" w:color="auto"/>
          </w:divBdr>
          <w:divsChild>
            <w:div w:id="1339621781">
              <w:marLeft w:val="0"/>
              <w:marRight w:val="0"/>
              <w:marTop w:val="0"/>
              <w:marBottom w:val="0"/>
              <w:divBdr>
                <w:top w:val="none" w:sz="0" w:space="0" w:color="auto"/>
                <w:left w:val="none" w:sz="0" w:space="0" w:color="auto"/>
                <w:bottom w:val="none" w:sz="0" w:space="0" w:color="auto"/>
                <w:right w:val="none" w:sz="0" w:space="0" w:color="auto"/>
              </w:divBdr>
            </w:div>
          </w:divsChild>
        </w:div>
        <w:div w:id="787629248">
          <w:marLeft w:val="0"/>
          <w:marRight w:val="0"/>
          <w:marTop w:val="0"/>
          <w:marBottom w:val="0"/>
          <w:divBdr>
            <w:top w:val="none" w:sz="0" w:space="0" w:color="auto"/>
            <w:left w:val="none" w:sz="0" w:space="0" w:color="auto"/>
            <w:bottom w:val="none" w:sz="0" w:space="0" w:color="auto"/>
            <w:right w:val="none" w:sz="0" w:space="0" w:color="auto"/>
          </w:divBdr>
          <w:divsChild>
            <w:div w:id="2044820426">
              <w:marLeft w:val="0"/>
              <w:marRight w:val="0"/>
              <w:marTop w:val="0"/>
              <w:marBottom w:val="0"/>
              <w:divBdr>
                <w:top w:val="none" w:sz="0" w:space="0" w:color="auto"/>
                <w:left w:val="none" w:sz="0" w:space="0" w:color="auto"/>
                <w:bottom w:val="none" w:sz="0" w:space="0" w:color="auto"/>
                <w:right w:val="none" w:sz="0" w:space="0" w:color="auto"/>
              </w:divBdr>
            </w:div>
          </w:divsChild>
        </w:div>
        <w:div w:id="859506949">
          <w:marLeft w:val="0"/>
          <w:marRight w:val="0"/>
          <w:marTop w:val="0"/>
          <w:marBottom w:val="0"/>
          <w:divBdr>
            <w:top w:val="none" w:sz="0" w:space="0" w:color="auto"/>
            <w:left w:val="none" w:sz="0" w:space="0" w:color="auto"/>
            <w:bottom w:val="none" w:sz="0" w:space="0" w:color="auto"/>
            <w:right w:val="none" w:sz="0" w:space="0" w:color="auto"/>
          </w:divBdr>
          <w:divsChild>
            <w:div w:id="912470668">
              <w:marLeft w:val="0"/>
              <w:marRight w:val="0"/>
              <w:marTop w:val="0"/>
              <w:marBottom w:val="0"/>
              <w:divBdr>
                <w:top w:val="none" w:sz="0" w:space="0" w:color="auto"/>
                <w:left w:val="none" w:sz="0" w:space="0" w:color="auto"/>
                <w:bottom w:val="none" w:sz="0" w:space="0" w:color="auto"/>
                <w:right w:val="none" w:sz="0" w:space="0" w:color="auto"/>
              </w:divBdr>
            </w:div>
          </w:divsChild>
        </w:div>
        <w:div w:id="869293626">
          <w:marLeft w:val="0"/>
          <w:marRight w:val="0"/>
          <w:marTop w:val="0"/>
          <w:marBottom w:val="0"/>
          <w:divBdr>
            <w:top w:val="none" w:sz="0" w:space="0" w:color="auto"/>
            <w:left w:val="none" w:sz="0" w:space="0" w:color="auto"/>
            <w:bottom w:val="none" w:sz="0" w:space="0" w:color="auto"/>
            <w:right w:val="none" w:sz="0" w:space="0" w:color="auto"/>
          </w:divBdr>
          <w:divsChild>
            <w:div w:id="486747731">
              <w:marLeft w:val="0"/>
              <w:marRight w:val="0"/>
              <w:marTop w:val="0"/>
              <w:marBottom w:val="0"/>
              <w:divBdr>
                <w:top w:val="none" w:sz="0" w:space="0" w:color="auto"/>
                <w:left w:val="none" w:sz="0" w:space="0" w:color="auto"/>
                <w:bottom w:val="none" w:sz="0" w:space="0" w:color="auto"/>
                <w:right w:val="none" w:sz="0" w:space="0" w:color="auto"/>
              </w:divBdr>
            </w:div>
          </w:divsChild>
        </w:div>
        <w:div w:id="869605544">
          <w:marLeft w:val="0"/>
          <w:marRight w:val="0"/>
          <w:marTop w:val="0"/>
          <w:marBottom w:val="0"/>
          <w:divBdr>
            <w:top w:val="none" w:sz="0" w:space="0" w:color="auto"/>
            <w:left w:val="none" w:sz="0" w:space="0" w:color="auto"/>
            <w:bottom w:val="none" w:sz="0" w:space="0" w:color="auto"/>
            <w:right w:val="none" w:sz="0" w:space="0" w:color="auto"/>
          </w:divBdr>
          <w:divsChild>
            <w:div w:id="1666469054">
              <w:marLeft w:val="0"/>
              <w:marRight w:val="0"/>
              <w:marTop w:val="0"/>
              <w:marBottom w:val="0"/>
              <w:divBdr>
                <w:top w:val="none" w:sz="0" w:space="0" w:color="auto"/>
                <w:left w:val="none" w:sz="0" w:space="0" w:color="auto"/>
                <w:bottom w:val="none" w:sz="0" w:space="0" w:color="auto"/>
                <w:right w:val="none" w:sz="0" w:space="0" w:color="auto"/>
              </w:divBdr>
            </w:div>
          </w:divsChild>
        </w:div>
        <w:div w:id="899943759">
          <w:marLeft w:val="0"/>
          <w:marRight w:val="0"/>
          <w:marTop w:val="0"/>
          <w:marBottom w:val="0"/>
          <w:divBdr>
            <w:top w:val="none" w:sz="0" w:space="0" w:color="auto"/>
            <w:left w:val="none" w:sz="0" w:space="0" w:color="auto"/>
            <w:bottom w:val="none" w:sz="0" w:space="0" w:color="auto"/>
            <w:right w:val="none" w:sz="0" w:space="0" w:color="auto"/>
          </w:divBdr>
          <w:divsChild>
            <w:div w:id="1583836603">
              <w:marLeft w:val="0"/>
              <w:marRight w:val="0"/>
              <w:marTop w:val="0"/>
              <w:marBottom w:val="0"/>
              <w:divBdr>
                <w:top w:val="none" w:sz="0" w:space="0" w:color="auto"/>
                <w:left w:val="none" w:sz="0" w:space="0" w:color="auto"/>
                <w:bottom w:val="none" w:sz="0" w:space="0" w:color="auto"/>
                <w:right w:val="none" w:sz="0" w:space="0" w:color="auto"/>
              </w:divBdr>
            </w:div>
          </w:divsChild>
        </w:div>
        <w:div w:id="908613517">
          <w:marLeft w:val="0"/>
          <w:marRight w:val="0"/>
          <w:marTop w:val="0"/>
          <w:marBottom w:val="0"/>
          <w:divBdr>
            <w:top w:val="none" w:sz="0" w:space="0" w:color="auto"/>
            <w:left w:val="none" w:sz="0" w:space="0" w:color="auto"/>
            <w:bottom w:val="none" w:sz="0" w:space="0" w:color="auto"/>
            <w:right w:val="none" w:sz="0" w:space="0" w:color="auto"/>
          </w:divBdr>
          <w:divsChild>
            <w:div w:id="2024701715">
              <w:marLeft w:val="0"/>
              <w:marRight w:val="0"/>
              <w:marTop w:val="0"/>
              <w:marBottom w:val="0"/>
              <w:divBdr>
                <w:top w:val="none" w:sz="0" w:space="0" w:color="auto"/>
                <w:left w:val="none" w:sz="0" w:space="0" w:color="auto"/>
                <w:bottom w:val="none" w:sz="0" w:space="0" w:color="auto"/>
                <w:right w:val="none" w:sz="0" w:space="0" w:color="auto"/>
              </w:divBdr>
            </w:div>
          </w:divsChild>
        </w:div>
        <w:div w:id="911432050">
          <w:marLeft w:val="0"/>
          <w:marRight w:val="0"/>
          <w:marTop w:val="0"/>
          <w:marBottom w:val="0"/>
          <w:divBdr>
            <w:top w:val="none" w:sz="0" w:space="0" w:color="auto"/>
            <w:left w:val="none" w:sz="0" w:space="0" w:color="auto"/>
            <w:bottom w:val="none" w:sz="0" w:space="0" w:color="auto"/>
            <w:right w:val="none" w:sz="0" w:space="0" w:color="auto"/>
          </w:divBdr>
          <w:divsChild>
            <w:div w:id="1049066586">
              <w:marLeft w:val="0"/>
              <w:marRight w:val="0"/>
              <w:marTop w:val="0"/>
              <w:marBottom w:val="0"/>
              <w:divBdr>
                <w:top w:val="none" w:sz="0" w:space="0" w:color="auto"/>
                <w:left w:val="none" w:sz="0" w:space="0" w:color="auto"/>
                <w:bottom w:val="none" w:sz="0" w:space="0" w:color="auto"/>
                <w:right w:val="none" w:sz="0" w:space="0" w:color="auto"/>
              </w:divBdr>
            </w:div>
          </w:divsChild>
        </w:div>
        <w:div w:id="942106308">
          <w:marLeft w:val="0"/>
          <w:marRight w:val="0"/>
          <w:marTop w:val="0"/>
          <w:marBottom w:val="0"/>
          <w:divBdr>
            <w:top w:val="none" w:sz="0" w:space="0" w:color="auto"/>
            <w:left w:val="none" w:sz="0" w:space="0" w:color="auto"/>
            <w:bottom w:val="none" w:sz="0" w:space="0" w:color="auto"/>
            <w:right w:val="none" w:sz="0" w:space="0" w:color="auto"/>
          </w:divBdr>
          <w:divsChild>
            <w:div w:id="576791165">
              <w:marLeft w:val="0"/>
              <w:marRight w:val="0"/>
              <w:marTop w:val="0"/>
              <w:marBottom w:val="0"/>
              <w:divBdr>
                <w:top w:val="none" w:sz="0" w:space="0" w:color="auto"/>
                <w:left w:val="none" w:sz="0" w:space="0" w:color="auto"/>
                <w:bottom w:val="none" w:sz="0" w:space="0" w:color="auto"/>
                <w:right w:val="none" w:sz="0" w:space="0" w:color="auto"/>
              </w:divBdr>
            </w:div>
          </w:divsChild>
        </w:div>
        <w:div w:id="962885300">
          <w:marLeft w:val="0"/>
          <w:marRight w:val="0"/>
          <w:marTop w:val="0"/>
          <w:marBottom w:val="0"/>
          <w:divBdr>
            <w:top w:val="none" w:sz="0" w:space="0" w:color="auto"/>
            <w:left w:val="none" w:sz="0" w:space="0" w:color="auto"/>
            <w:bottom w:val="none" w:sz="0" w:space="0" w:color="auto"/>
            <w:right w:val="none" w:sz="0" w:space="0" w:color="auto"/>
          </w:divBdr>
          <w:divsChild>
            <w:div w:id="744449092">
              <w:marLeft w:val="0"/>
              <w:marRight w:val="0"/>
              <w:marTop w:val="0"/>
              <w:marBottom w:val="0"/>
              <w:divBdr>
                <w:top w:val="none" w:sz="0" w:space="0" w:color="auto"/>
                <w:left w:val="none" w:sz="0" w:space="0" w:color="auto"/>
                <w:bottom w:val="none" w:sz="0" w:space="0" w:color="auto"/>
                <w:right w:val="none" w:sz="0" w:space="0" w:color="auto"/>
              </w:divBdr>
            </w:div>
          </w:divsChild>
        </w:div>
        <w:div w:id="1005353869">
          <w:marLeft w:val="0"/>
          <w:marRight w:val="0"/>
          <w:marTop w:val="0"/>
          <w:marBottom w:val="0"/>
          <w:divBdr>
            <w:top w:val="none" w:sz="0" w:space="0" w:color="auto"/>
            <w:left w:val="none" w:sz="0" w:space="0" w:color="auto"/>
            <w:bottom w:val="none" w:sz="0" w:space="0" w:color="auto"/>
            <w:right w:val="none" w:sz="0" w:space="0" w:color="auto"/>
          </w:divBdr>
          <w:divsChild>
            <w:div w:id="1171944471">
              <w:marLeft w:val="0"/>
              <w:marRight w:val="0"/>
              <w:marTop w:val="0"/>
              <w:marBottom w:val="0"/>
              <w:divBdr>
                <w:top w:val="none" w:sz="0" w:space="0" w:color="auto"/>
                <w:left w:val="none" w:sz="0" w:space="0" w:color="auto"/>
                <w:bottom w:val="none" w:sz="0" w:space="0" w:color="auto"/>
                <w:right w:val="none" w:sz="0" w:space="0" w:color="auto"/>
              </w:divBdr>
            </w:div>
          </w:divsChild>
        </w:div>
        <w:div w:id="1012994905">
          <w:marLeft w:val="0"/>
          <w:marRight w:val="0"/>
          <w:marTop w:val="0"/>
          <w:marBottom w:val="0"/>
          <w:divBdr>
            <w:top w:val="none" w:sz="0" w:space="0" w:color="auto"/>
            <w:left w:val="none" w:sz="0" w:space="0" w:color="auto"/>
            <w:bottom w:val="none" w:sz="0" w:space="0" w:color="auto"/>
            <w:right w:val="none" w:sz="0" w:space="0" w:color="auto"/>
          </w:divBdr>
          <w:divsChild>
            <w:div w:id="1500273582">
              <w:marLeft w:val="0"/>
              <w:marRight w:val="0"/>
              <w:marTop w:val="0"/>
              <w:marBottom w:val="0"/>
              <w:divBdr>
                <w:top w:val="none" w:sz="0" w:space="0" w:color="auto"/>
                <w:left w:val="none" w:sz="0" w:space="0" w:color="auto"/>
                <w:bottom w:val="none" w:sz="0" w:space="0" w:color="auto"/>
                <w:right w:val="none" w:sz="0" w:space="0" w:color="auto"/>
              </w:divBdr>
            </w:div>
          </w:divsChild>
        </w:div>
        <w:div w:id="1063603216">
          <w:marLeft w:val="0"/>
          <w:marRight w:val="0"/>
          <w:marTop w:val="0"/>
          <w:marBottom w:val="0"/>
          <w:divBdr>
            <w:top w:val="none" w:sz="0" w:space="0" w:color="auto"/>
            <w:left w:val="none" w:sz="0" w:space="0" w:color="auto"/>
            <w:bottom w:val="none" w:sz="0" w:space="0" w:color="auto"/>
            <w:right w:val="none" w:sz="0" w:space="0" w:color="auto"/>
          </w:divBdr>
          <w:divsChild>
            <w:div w:id="2041857087">
              <w:marLeft w:val="0"/>
              <w:marRight w:val="0"/>
              <w:marTop w:val="0"/>
              <w:marBottom w:val="0"/>
              <w:divBdr>
                <w:top w:val="none" w:sz="0" w:space="0" w:color="auto"/>
                <w:left w:val="none" w:sz="0" w:space="0" w:color="auto"/>
                <w:bottom w:val="none" w:sz="0" w:space="0" w:color="auto"/>
                <w:right w:val="none" w:sz="0" w:space="0" w:color="auto"/>
              </w:divBdr>
            </w:div>
          </w:divsChild>
        </w:div>
        <w:div w:id="1102412822">
          <w:marLeft w:val="0"/>
          <w:marRight w:val="0"/>
          <w:marTop w:val="0"/>
          <w:marBottom w:val="0"/>
          <w:divBdr>
            <w:top w:val="none" w:sz="0" w:space="0" w:color="auto"/>
            <w:left w:val="none" w:sz="0" w:space="0" w:color="auto"/>
            <w:bottom w:val="none" w:sz="0" w:space="0" w:color="auto"/>
            <w:right w:val="none" w:sz="0" w:space="0" w:color="auto"/>
          </w:divBdr>
          <w:divsChild>
            <w:div w:id="1240100013">
              <w:marLeft w:val="0"/>
              <w:marRight w:val="0"/>
              <w:marTop w:val="0"/>
              <w:marBottom w:val="0"/>
              <w:divBdr>
                <w:top w:val="none" w:sz="0" w:space="0" w:color="auto"/>
                <w:left w:val="none" w:sz="0" w:space="0" w:color="auto"/>
                <w:bottom w:val="none" w:sz="0" w:space="0" w:color="auto"/>
                <w:right w:val="none" w:sz="0" w:space="0" w:color="auto"/>
              </w:divBdr>
            </w:div>
          </w:divsChild>
        </w:div>
        <w:div w:id="1123378770">
          <w:marLeft w:val="0"/>
          <w:marRight w:val="0"/>
          <w:marTop w:val="0"/>
          <w:marBottom w:val="0"/>
          <w:divBdr>
            <w:top w:val="none" w:sz="0" w:space="0" w:color="auto"/>
            <w:left w:val="none" w:sz="0" w:space="0" w:color="auto"/>
            <w:bottom w:val="none" w:sz="0" w:space="0" w:color="auto"/>
            <w:right w:val="none" w:sz="0" w:space="0" w:color="auto"/>
          </w:divBdr>
          <w:divsChild>
            <w:div w:id="135463324">
              <w:marLeft w:val="0"/>
              <w:marRight w:val="0"/>
              <w:marTop w:val="0"/>
              <w:marBottom w:val="0"/>
              <w:divBdr>
                <w:top w:val="none" w:sz="0" w:space="0" w:color="auto"/>
                <w:left w:val="none" w:sz="0" w:space="0" w:color="auto"/>
                <w:bottom w:val="none" w:sz="0" w:space="0" w:color="auto"/>
                <w:right w:val="none" w:sz="0" w:space="0" w:color="auto"/>
              </w:divBdr>
            </w:div>
          </w:divsChild>
        </w:div>
        <w:div w:id="1149514036">
          <w:marLeft w:val="0"/>
          <w:marRight w:val="0"/>
          <w:marTop w:val="0"/>
          <w:marBottom w:val="0"/>
          <w:divBdr>
            <w:top w:val="none" w:sz="0" w:space="0" w:color="auto"/>
            <w:left w:val="none" w:sz="0" w:space="0" w:color="auto"/>
            <w:bottom w:val="none" w:sz="0" w:space="0" w:color="auto"/>
            <w:right w:val="none" w:sz="0" w:space="0" w:color="auto"/>
          </w:divBdr>
          <w:divsChild>
            <w:div w:id="337931747">
              <w:marLeft w:val="0"/>
              <w:marRight w:val="0"/>
              <w:marTop w:val="0"/>
              <w:marBottom w:val="0"/>
              <w:divBdr>
                <w:top w:val="none" w:sz="0" w:space="0" w:color="auto"/>
                <w:left w:val="none" w:sz="0" w:space="0" w:color="auto"/>
                <w:bottom w:val="none" w:sz="0" w:space="0" w:color="auto"/>
                <w:right w:val="none" w:sz="0" w:space="0" w:color="auto"/>
              </w:divBdr>
            </w:div>
          </w:divsChild>
        </w:div>
        <w:div w:id="1150245373">
          <w:marLeft w:val="0"/>
          <w:marRight w:val="0"/>
          <w:marTop w:val="0"/>
          <w:marBottom w:val="0"/>
          <w:divBdr>
            <w:top w:val="none" w:sz="0" w:space="0" w:color="auto"/>
            <w:left w:val="none" w:sz="0" w:space="0" w:color="auto"/>
            <w:bottom w:val="none" w:sz="0" w:space="0" w:color="auto"/>
            <w:right w:val="none" w:sz="0" w:space="0" w:color="auto"/>
          </w:divBdr>
          <w:divsChild>
            <w:div w:id="884103933">
              <w:marLeft w:val="0"/>
              <w:marRight w:val="0"/>
              <w:marTop w:val="0"/>
              <w:marBottom w:val="0"/>
              <w:divBdr>
                <w:top w:val="none" w:sz="0" w:space="0" w:color="auto"/>
                <w:left w:val="none" w:sz="0" w:space="0" w:color="auto"/>
                <w:bottom w:val="none" w:sz="0" w:space="0" w:color="auto"/>
                <w:right w:val="none" w:sz="0" w:space="0" w:color="auto"/>
              </w:divBdr>
            </w:div>
          </w:divsChild>
        </w:div>
        <w:div w:id="1168785125">
          <w:marLeft w:val="0"/>
          <w:marRight w:val="0"/>
          <w:marTop w:val="0"/>
          <w:marBottom w:val="0"/>
          <w:divBdr>
            <w:top w:val="none" w:sz="0" w:space="0" w:color="auto"/>
            <w:left w:val="none" w:sz="0" w:space="0" w:color="auto"/>
            <w:bottom w:val="none" w:sz="0" w:space="0" w:color="auto"/>
            <w:right w:val="none" w:sz="0" w:space="0" w:color="auto"/>
          </w:divBdr>
          <w:divsChild>
            <w:div w:id="1107579628">
              <w:marLeft w:val="0"/>
              <w:marRight w:val="0"/>
              <w:marTop w:val="0"/>
              <w:marBottom w:val="0"/>
              <w:divBdr>
                <w:top w:val="none" w:sz="0" w:space="0" w:color="auto"/>
                <w:left w:val="none" w:sz="0" w:space="0" w:color="auto"/>
                <w:bottom w:val="none" w:sz="0" w:space="0" w:color="auto"/>
                <w:right w:val="none" w:sz="0" w:space="0" w:color="auto"/>
              </w:divBdr>
            </w:div>
          </w:divsChild>
        </w:div>
        <w:div w:id="1175268290">
          <w:marLeft w:val="0"/>
          <w:marRight w:val="0"/>
          <w:marTop w:val="0"/>
          <w:marBottom w:val="0"/>
          <w:divBdr>
            <w:top w:val="none" w:sz="0" w:space="0" w:color="auto"/>
            <w:left w:val="none" w:sz="0" w:space="0" w:color="auto"/>
            <w:bottom w:val="none" w:sz="0" w:space="0" w:color="auto"/>
            <w:right w:val="none" w:sz="0" w:space="0" w:color="auto"/>
          </w:divBdr>
          <w:divsChild>
            <w:div w:id="691034767">
              <w:marLeft w:val="0"/>
              <w:marRight w:val="0"/>
              <w:marTop w:val="0"/>
              <w:marBottom w:val="0"/>
              <w:divBdr>
                <w:top w:val="none" w:sz="0" w:space="0" w:color="auto"/>
                <w:left w:val="none" w:sz="0" w:space="0" w:color="auto"/>
                <w:bottom w:val="none" w:sz="0" w:space="0" w:color="auto"/>
                <w:right w:val="none" w:sz="0" w:space="0" w:color="auto"/>
              </w:divBdr>
            </w:div>
          </w:divsChild>
        </w:div>
        <w:div w:id="1232423999">
          <w:marLeft w:val="0"/>
          <w:marRight w:val="0"/>
          <w:marTop w:val="0"/>
          <w:marBottom w:val="0"/>
          <w:divBdr>
            <w:top w:val="none" w:sz="0" w:space="0" w:color="auto"/>
            <w:left w:val="none" w:sz="0" w:space="0" w:color="auto"/>
            <w:bottom w:val="none" w:sz="0" w:space="0" w:color="auto"/>
            <w:right w:val="none" w:sz="0" w:space="0" w:color="auto"/>
          </w:divBdr>
          <w:divsChild>
            <w:div w:id="1142187904">
              <w:marLeft w:val="0"/>
              <w:marRight w:val="0"/>
              <w:marTop w:val="0"/>
              <w:marBottom w:val="0"/>
              <w:divBdr>
                <w:top w:val="none" w:sz="0" w:space="0" w:color="auto"/>
                <w:left w:val="none" w:sz="0" w:space="0" w:color="auto"/>
                <w:bottom w:val="none" w:sz="0" w:space="0" w:color="auto"/>
                <w:right w:val="none" w:sz="0" w:space="0" w:color="auto"/>
              </w:divBdr>
            </w:div>
          </w:divsChild>
        </w:div>
        <w:div w:id="1244561346">
          <w:marLeft w:val="0"/>
          <w:marRight w:val="0"/>
          <w:marTop w:val="0"/>
          <w:marBottom w:val="0"/>
          <w:divBdr>
            <w:top w:val="none" w:sz="0" w:space="0" w:color="auto"/>
            <w:left w:val="none" w:sz="0" w:space="0" w:color="auto"/>
            <w:bottom w:val="none" w:sz="0" w:space="0" w:color="auto"/>
            <w:right w:val="none" w:sz="0" w:space="0" w:color="auto"/>
          </w:divBdr>
          <w:divsChild>
            <w:div w:id="1293249682">
              <w:marLeft w:val="0"/>
              <w:marRight w:val="0"/>
              <w:marTop w:val="0"/>
              <w:marBottom w:val="0"/>
              <w:divBdr>
                <w:top w:val="none" w:sz="0" w:space="0" w:color="auto"/>
                <w:left w:val="none" w:sz="0" w:space="0" w:color="auto"/>
                <w:bottom w:val="none" w:sz="0" w:space="0" w:color="auto"/>
                <w:right w:val="none" w:sz="0" w:space="0" w:color="auto"/>
              </w:divBdr>
            </w:div>
          </w:divsChild>
        </w:div>
        <w:div w:id="1251621925">
          <w:marLeft w:val="0"/>
          <w:marRight w:val="0"/>
          <w:marTop w:val="0"/>
          <w:marBottom w:val="0"/>
          <w:divBdr>
            <w:top w:val="none" w:sz="0" w:space="0" w:color="auto"/>
            <w:left w:val="none" w:sz="0" w:space="0" w:color="auto"/>
            <w:bottom w:val="none" w:sz="0" w:space="0" w:color="auto"/>
            <w:right w:val="none" w:sz="0" w:space="0" w:color="auto"/>
          </w:divBdr>
          <w:divsChild>
            <w:div w:id="629939457">
              <w:marLeft w:val="0"/>
              <w:marRight w:val="0"/>
              <w:marTop w:val="0"/>
              <w:marBottom w:val="0"/>
              <w:divBdr>
                <w:top w:val="none" w:sz="0" w:space="0" w:color="auto"/>
                <w:left w:val="none" w:sz="0" w:space="0" w:color="auto"/>
                <w:bottom w:val="none" w:sz="0" w:space="0" w:color="auto"/>
                <w:right w:val="none" w:sz="0" w:space="0" w:color="auto"/>
              </w:divBdr>
            </w:div>
          </w:divsChild>
        </w:div>
        <w:div w:id="1266424358">
          <w:marLeft w:val="0"/>
          <w:marRight w:val="0"/>
          <w:marTop w:val="0"/>
          <w:marBottom w:val="0"/>
          <w:divBdr>
            <w:top w:val="none" w:sz="0" w:space="0" w:color="auto"/>
            <w:left w:val="none" w:sz="0" w:space="0" w:color="auto"/>
            <w:bottom w:val="none" w:sz="0" w:space="0" w:color="auto"/>
            <w:right w:val="none" w:sz="0" w:space="0" w:color="auto"/>
          </w:divBdr>
          <w:divsChild>
            <w:div w:id="1960136198">
              <w:marLeft w:val="0"/>
              <w:marRight w:val="0"/>
              <w:marTop w:val="0"/>
              <w:marBottom w:val="0"/>
              <w:divBdr>
                <w:top w:val="none" w:sz="0" w:space="0" w:color="auto"/>
                <w:left w:val="none" w:sz="0" w:space="0" w:color="auto"/>
                <w:bottom w:val="none" w:sz="0" w:space="0" w:color="auto"/>
                <w:right w:val="none" w:sz="0" w:space="0" w:color="auto"/>
              </w:divBdr>
            </w:div>
          </w:divsChild>
        </w:div>
        <w:div w:id="1274895455">
          <w:marLeft w:val="0"/>
          <w:marRight w:val="0"/>
          <w:marTop w:val="0"/>
          <w:marBottom w:val="0"/>
          <w:divBdr>
            <w:top w:val="none" w:sz="0" w:space="0" w:color="auto"/>
            <w:left w:val="none" w:sz="0" w:space="0" w:color="auto"/>
            <w:bottom w:val="none" w:sz="0" w:space="0" w:color="auto"/>
            <w:right w:val="none" w:sz="0" w:space="0" w:color="auto"/>
          </w:divBdr>
          <w:divsChild>
            <w:div w:id="1689528875">
              <w:marLeft w:val="0"/>
              <w:marRight w:val="0"/>
              <w:marTop w:val="0"/>
              <w:marBottom w:val="0"/>
              <w:divBdr>
                <w:top w:val="none" w:sz="0" w:space="0" w:color="auto"/>
                <w:left w:val="none" w:sz="0" w:space="0" w:color="auto"/>
                <w:bottom w:val="none" w:sz="0" w:space="0" w:color="auto"/>
                <w:right w:val="none" w:sz="0" w:space="0" w:color="auto"/>
              </w:divBdr>
            </w:div>
          </w:divsChild>
        </w:div>
        <w:div w:id="1312252945">
          <w:marLeft w:val="0"/>
          <w:marRight w:val="0"/>
          <w:marTop w:val="0"/>
          <w:marBottom w:val="0"/>
          <w:divBdr>
            <w:top w:val="none" w:sz="0" w:space="0" w:color="auto"/>
            <w:left w:val="none" w:sz="0" w:space="0" w:color="auto"/>
            <w:bottom w:val="none" w:sz="0" w:space="0" w:color="auto"/>
            <w:right w:val="none" w:sz="0" w:space="0" w:color="auto"/>
          </w:divBdr>
          <w:divsChild>
            <w:div w:id="315307624">
              <w:marLeft w:val="0"/>
              <w:marRight w:val="0"/>
              <w:marTop w:val="0"/>
              <w:marBottom w:val="0"/>
              <w:divBdr>
                <w:top w:val="none" w:sz="0" w:space="0" w:color="auto"/>
                <w:left w:val="none" w:sz="0" w:space="0" w:color="auto"/>
                <w:bottom w:val="none" w:sz="0" w:space="0" w:color="auto"/>
                <w:right w:val="none" w:sz="0" w:space="0" w:color="auto"/>
              </w:divBdr>
            </w:div>
          </w:divsChild>
        </w:div>
        <w:div w:id="1315449098">
          <w:marLeft w:val="0"/>
          <w:marRight w:val="0"/>
          <w:marTop w:val="0"/>
          <w:marBottom w:val="0"/>
          <w:divBdr>
            <w:top w:val="none" w:sz="0" w:space="0" w:color="auto"/>
            <w:left w:val="none" w:sz="0" w:space="0" w:color="auto"/>
            <w:bottom w:val="none" w:sz="0" w:space="0" w:color="auto"/>
            <w:right w:val="none" w:sz="0" w:space="0" w:color="auto"/>
          </w:divBdr>
          <w:divsChild>
            <w:div w:id="1705331195">
              <w:marLeft w:val="0"/>
              <w:marRight w:val="0"/>
              <w:marTop w:val="0"/>
              <w:marBottom w:val="0"/>
              <w:divBdr>
                <w:top w:val="none" w:sz="0" w:space="0" w:color="auto"/>
                <w:left w:val="none" w:sz="0" w:space="0" w:color="auto"/>
                <w:bottom w:val="none" w:sz="0" w:space="0" w:color="auto"/>
                <w:right w:val="none" w:sz="0" w:space="0" w:color="auto"/>
              </w:divBdr>
            </w:div>
          </w:divsChild>
        </w:div>
        <w:div w:id="1322544975">
          <w:marLeft w:val="0"/>
          <w:marRight w:val="0"/>
          <w:marTop w:val="0"/>
          <w:marBottom w:val="0"/>
          <w:divBdr>
            <w:top w:val="none" w:sz="0" w:space="0" w:color="auto"/>
            <w:left w:val="none" w:sz="0" w:space="0" w:color="auto"/>
            <w:bottom w:val="none" w:sz="0" w:space="0" w:color="auto"/>
            <w:right w:val="none" w:sz="0" w:space="0" w:color="auto"/>
          </w:divBdr>
          <w:divsChild>
            <w:div w:id="2080786996">
              <w:marLeft w:val="0"/>
              <w:marRight w:val="0"/>
              <w:marTop w:val="0"/>
              <w:marBottom w:val="0"/>
              <w:divBdr>
                <w:top w:val="none" w:sz="0" w:space="0" w:color="auto"/>
                <w:left w:val="none" w:sz="0" w:space="0" w:color="auto"/>
                <w:bottom w:val="none" w:sz="0" w:space="0" w:color="auto"/>
                <w:right w:val="none" w:sz="0" w:space="0" w:color="auto"/>
              </w:divBdr>
            </w:div>
          </w:divsChild>
        </w:div>
        <w:div w:id="1380976497">
          <w:marLeft w:val="0"/>
          <w:marRight w:val="0"/>
          <w:marTop w:val="0"/>
          <w:marBottom w:val="0"/>
          <w:divBdr>
            <w:top w:val="none" w:sz="0" w:space="0" w:color="auto"/>
            <w:left w:val="none" w:sz="0" w:space="0" w:color="auto"/>
            <w:bottom w:val="none" w:sz="0" w:space="0" w:color="auto"/>
            <w:right w:val="none" w:sz="0" w:space="0" w:color="auto"/>
          </w:divBdr>
          <w:divsChild>
            <w:div w:id="1536579068">
              <w:marLeft w:val="0"/>
              <w:marRight w:val="0"/>
              <w:marTop w:val="0"/>
              <w:marBottom w:val="0"/>
              <w:divBdr>
                <w:top w:val="none" w:sz="0" w:space="0" w:color="auto"/>
                <w:left w:val="none" w:sz="0" w:space="0" w:color="auto"/>
                <w:bottom w:val="none" w:sz="0" w:space="0" w:color="auto"/>
                <w:right w:val="none" w:sz="0" w:space="0" w:color="auto"/>
              </w:divBdr>
            </w:div>
          </w:divsChild>
        </w:div>
        <w:div w:id="1421173281">
          <w:marLeft w:val="0"/>
          <w:marRight w:val="0"/>
          <w:marTop w:val="0"/>
          <w:marBottom w:val="0"/>
          <w:divBdr>
            <w:top w:val="none" w:sz="0" w:space="0" w:color="auto"/>
            <w:left w:val="none" w:sz="0" w:space="0" w:color="auto"/>
            <w:bottom w:val="none" w:sz="0" w:space="0" w:color="auto"/>
            <w:right w:val="none" w:sz="0" w:space="0" w:color="auto"/>
          </w:divBdr>
          <w:divsChild>
            <w:div w:id="728842927">
              <w:marLeft w:val="0"/>
              <w:marRight w:val="0"/>
              <w:marTop w:val="0"/>
              <w:marBottom w:val="0"/>
              <w:divBdr>
                <w:top w:val="none" w:sz="0" w:space="0" w:color="auto"/>
                <w:left w:val="none" w:sz="0" w:space="0" w:color="auto"/>
                <w:bottom w:val="none" w:sz="0" w:space="0" w:color="auto"/>
                <w:right w:val="none" w:sz="0" w:space="0" w:color="auto"/>
              </w:divBdr>
            </w:div>
          </w:divsChild>
        </w:div>
        <w:div w:id="1451165768">
          <w:marLeft w:val="0"/>
          <w:marRight w:val="0"/>
          <w:marTop w:val="0"/>
          <w:marBottom w:val="0"/>
          <w:divBdr>
            <w:top w:val="none" w:sz="0" w:space="0" w:color="auto"/>
            <w:left w:val="none" w:sz="0" w:space="0" w:color="auto"/>
            <w:bottom w:val="none" w:sz="0" w:space="0" w:color="auto"/>
            <w:right w:val="none" w:sz="0" w:space="0" w:color="auto"/>
          </w:divBdr>
          <w:divsChild>
            <w:div w:id="2017344732">
              <w:marLeft w:val="0"/>
              <w:marRight w:val="0"/>
              <w:marTop w:val="0"/>
              <w:marBottom w:val="0"/>
              <w:divBdr>
                <w:top w:val="none" w:sz="0" w:space="0" w:color="auto"/>
                <w:left w:val="none" w:sz="0" w:space="0" w:color="auto"/>
                <w:bottom w:val="none" w:sz="0" w:space="0" w:color="auto"/>
                <w:right w:val="none" w:sz="0" w:space="0" w:color="auto"/>
              </w:divBdr>
            </w:div>
          </w:divsChild>
        </w:div>
        <w:div w:id="1515878925">
          <w:marLeft w:val="0"/>
          <w:marRight w:val="0"/>
          <w:marTop w:val="0"/>
          <w:marBottom w:val="0"/>
          <w:divBdr>
            <w:top w:val="none" w:sz="0" w:space="0" w:color="auto"/>
            <w:left w:val="none" w:sz="0" w:space="0" w:color="auto"/>
            <w:bottom w:val="none" w:sz="0" w:space="0" w:color="auto"/>
            <w:right w:val="none" w:sz="0" w:space="0" w:color="auto"/>
          </w:divBdr>
          <w:divsChild>
            <w:div w:id="1258293881">
              <w:marLeft w:val="0"/>
              <w:marRight w:val="0"/>
              <w:marTop w:val="0"/>
              <w:marBottom w:val="0"/>
              <w:divBdr>
                <w:top w:val="none" w:sz="0" w:space="0" w:color="auto"/>
                <w:left w:val="none" w:sz="0" w:space="0" w:color="auto"/>
                <w:bottom w:val="none" w:sz="0" w:space="0" w:color="auto"/>
                <w:right w:val="none" w:sz="0" w:space="0" w:color="auto"/>
              </w:divBdr>
            </w:div>
          </w:divsChild>
        </w:div>
        <w:div w:id="1557473251">
          <w:marLeft w:val="0"/>
          <w:marRight w:val="0"/>
          <w:marTop w:val="0"/>
          <w:marBottom w:val="0"/>
          <w:divBdr>
            <w:top w:val="none" w:sz="0" w:space="0" w:color="auto"/>
            <w:left w:val="none" w:sz="0" w:space="0" w:color="auto"/>
            <w:bottom w:val="none" w:sz="0" w:space="0" w:color="auto"/>
            <w:right w:val="none" w:sz="0" w:space="0" w:color="auto"/>
          </w:divBdr>
          <w:divsChild>
            <w:div w:id="81218291">
              <w:marLeft w:val="0"/>
              <w:marRight w:val="0"/>
              <w:marTop w:val="0"/>
              <w:marBottom w:val="0"/>
              <w:divBdr>
                <w:top w:val="none" w:sz="0" w:space="0" w:color="auto"/>
                <w:left w:val="none" w:sz="0" w:space="0" w:color="auto"/>
                <w:bottom w:val="none" w:sz="0" w:space="0" w:color="auto"/>
                <w:right w:val="none" w:sz="0" w:space="0" w:color="auto"/>
              </w:divBdr>
            </w:div>
          </w:divsChild>
        </w:div>
        <w:div w:id="1577782023">
          <w:marLeft w:val="0"/>
          <w:marRight w:val="0"/>
          <w:marTop w:val="0"/>
          <w:marBottom w:val="0"/>
          <w:divBdr>
            <w:top w:val="none" w:sz="0" w:space="0" w:color="auto"/>
            <w:left w:val="none" w:sz="0" w:space="0" w:color="auto"/>
            <w:bottom w:val="none" w:sz="0" w:space="0" w:color="auto"/>
            <w:right w:val="none" w:sz="0" w:space="0" w:color="auto"/>
          </w:divBdr>
          <w:divsChild>
            <w:div w:id="258292362">
              <w:marLeft w:val="0"/>
              <w:marRight w:val="0"/>
              <w:marTop w:val="0"/>
              <w:marBottom w:val="0"/>
              <w:divBdr>
                <w:top w:val="none" w:sz="0" w:space="0" w:color="auto"/>
                <w:left w:val="none" w:sz="0" w:space="0" w:color="auto"/>
                <w:bottom w:val="none" w:sz="0" w:space="0" w:color="auto"/>
                <w:right w:val="none" w:sz="0" w:space="0" w:color="auto"/>
              </w:divBdr>
            </w:div>
          </w:divsChild>
        </w:div>
        <w:div w:id="1580866648">
          <w:marLeft w:val="0"/>
          <w:marRight w:val="0"/>
          <w:marTop w:val="0"/>
          <w:marBottom w:val="0"/>
          <w:divBdr>
            <w:top w:val="none" w:sz="0" w:space="0" w:color="auto"/>
            <w:left w:val="none" w:sz="0" w:space="0" w:color="auto"/>
            <w:bottom w:val="none" w:sz="0" w:space="0" w:color="auto"/>
            <w:right w:val="none" w:sz="0" w:space="0" w:color="auto"/>
          </w:divBdr>
          <w:divsChild>
            <w:div w:id="287469852">
              <w:marLeft w:val="0"/>
              <w:marRight w:val="0"/>
              <w:marTop w:val="0"/>
              <w:marBottom w:val="0"/>
              <w:divBdr>
                <w:top w:val="none" w:sz="0" w:space="0" w:color="auto"/>
                <w:left w:val="none" w:sz="0" w:space="0" w:color="auto"/>
                <w:bottom w:val="none" w:sz="0" w:space="0" w:color="auto"/>
                <w:right w:val="none" w:sz="0" w:space="0" w:color="auto"/>
              </w:divBdr>
            </w:div>
          </w:divsChild>
        </w:div>
        <w:div w:id="1604069937">
          <w:marLeft w:val="0"/>
          <w:marRight w:val="0"/>
          <w:marTop w:val="0"/>
          <w:marBottom w:val="0"/>
          <w:divBdr>
            <w:top w:val="none" w:sz="0" w:space="0" w:color="auto"/>
            <w:left w:val="none" w:sz="0" w:space="0" w:color="auto"/>
            <w:bottom w:val="none" w:sz="0" w:space="0" w:color="auto"/>
            <w:right w:val="none" w:sz="0" w:space="0" w:color="auto"/>
          </w:divBdr>
          <w:divsChild>
            <w:div w:id="339049313">
              <w:marLeft w:val="0"/>
              <w:marRight w:val="0"/>
              <w:marTop w:val="0"/>
              <w:marBottom w:val="0"/>
              <w:divBdr>
                <w:top w:val="none" w:sz="0" w:space="0" w:color="auto"/>
                <w:left w:val="none" w:sz="0" w:space="0" w:color="auto"/>
                <w:bottom w:val="none" w:sz="0" w:space="0" w:color="auto"/>
                <w:right w:val="none" w:sz="0" w:space="0" w:color="auto"/>
              </w:divBdr>
            </w:div>
          </w:divsChild>
        </w:div>
        <w:div w:id="1605072483">
          <w:marLeft w:val="0"/>
          <w:marRight w:val="0"/>
          <w:marTop w:val="0"/>
          <w:marBottom w:val="0"/>
          <w:divBdr>
            <w:top w:val="none" w:sz="0" w:space="0" w:color="auto"/>
            <w:left w:val="none" w:sz="0" w:space="0" w:color="auto"/>
            <w:bottom w:val="none" w:sz="0" w:space="0" w:color="auto"/>
            <w:right w:val="none" w:sz="0" w:space="0" w:color="auto"/>
          </w:divBdr>
          <w:divsChild>
            <w:div w:id="751701262">
              <w:marLeft w:val="0"/>
              <w:marRight w:val="0"/>
              <w:marTop w:val="0"/>
              <w:marBottom w:val="0"/>
              <w:divBdr>
                <w:top w:val="none" w:sz="0" w:space="0" w:color="auto"/>
                <w:left w:val="none" w:sz="0" w:space="0" w:color="auto"/>
                <w:bottom w:val="none" w:sz="0" w:space="0" w:color="auto"/>
                <w:right w:val="none" w:sz="0" w:space="0" w:color="auto"/>
              </w:divBdr>
            </w:div>
          </w:divsChild>
        </w:div>
        <w:div w:id="1605578386">
          <w:marLeft w:val="0"/>
          <w:marRight w:val="0"/>
          <w:marTop w:val="0"/>
          <w:marBottom w:val="0"/>
          <w:divBdr>
            <w:top w:val="none" w:sz="0" w:space="0" w:color="auto"/>
            <w:left w:val="none" w:sz="0" w:space="0" w:color="auto"/>
            <w:bottom w:val="none" w:sz="0" w:space="0" w:color="auto"/>
            <w:right w:val="none" w:sz="0" w:space="0" w:color="auto"/>
          </w:divBdr>
          <w:divsChild>
            <w:div w:id="1954435043">
              <w:marLeft w:val="0"/>
              <w:marRight w:val="0"/>
              <w:marTop w:val="0"/>
              <w:marBottom w:val="0"/>
              <w:divBdr>
                <w:top w:val="none" w:sz="0" w:space="0" w:color="auto"/>
                <w:left w:val="none" w:sz="0" w:space="0" w:color="auto"/>
                <w:bottom w:val="none" w:sz="0" w:space="0" w:color="auto"/>
                <w:right w:val="none" w:sz="0" w:space="0" w:color="auto"/>
              </w:divBdr>
            </w:div>
          </w:divsChild>
        </w:div>
        <w:div w:id="1618873607">
          <w:marLeft w:val="0"/>
          <w:marRight w:val="0"/>
          <w:marTop w:val="0"/>
          <w:marBottom w:val="0"/>
          <w:divBdr>
            <w:top w:val="none" w:sz="0" w:space="0" w:color="auto"/>
            <w:left w:val="none" w:sz="0" w:space="0" w:color="auto"/>
            <w:bottom w:val="none" w:sz="0" w:space="0" w:color="auto"/>
            <w:right w:val="none" w:sz="0" w:space="0" w:color="auto"/>
          </w:divBdr>
          <w:divsChild>
            <w:div w:id="138498406">
              <w:marLeft w:val="0"/>
              <w:marRight w:val="0"/>
              <w:marTop w:val="0"/>
              <w:marBottom w:val="0"/>
              <w:divBdr>
                <w:top w:val="none" w:sz="0" w:space="0" w:color="auto"/>
                <w:left w:val="none" w:sz="0" w:space="0" w:color="auto"/>
                <w:bottom w:val="none" w:sz="0" w:space="0" w:color="auto"/>
                <w:right w:val="none" w:sz="0" w:space="0" w:color="auto"/>
              </w:divBdr>
            </w:div>
          </w:divsChild>
        </w:div>
        <w:div w:id="1716153128">
          <w:marLeft w:val="0"/>
          <w:marRight w:val="0"/>
          <w:marTop w:val="0"/>
          <w:marBottom w:val="0"/>
          <w:divBdr>
            <w:top w:val="none" w:sz="0" w:space="0" w:color="auto"/>
            <w:left w:val="none" w:sz="0" w:space="0" w:color="auto"/>
            <w:bottom w:val="none" w:sz="0" w:space="0" w:color="auto"/>
            <w:right w:val="none" w:sz="0" w:space="0" w:color="auto"/>
          </w:divBdr>
          <w:divsChild>
            <w:div w:id="641037076">
              <w:marLeft w:val="0"/>
              <w:marRight w:val="0"/>
              <w:marTop w:val="0"/>
              <w:marBottom w:val="0"/>
              <w:divBdr>
                <w:top w:val="none" w:sz="0" w:space="0" w:color="auto"/>
                <w:left w:val="none" w:sz="0" w:space="0" w:color="auto"/>
                <w:bottom w:val="none" w:sz="0" w:space="0" w:color="auto"/>
                <w:right w:val="none" w:sz="0" w:space="0" w:color="auto"/>
              </w:divBdr>
            </w:div>
          </w:divsChild>
        </w:div>
        <w:div w:id="1716539788">
          <w:marLeft w:val="0"/>
          <w:marRight w:val="0"/>
          <w:marTop w:val="0"/>
          <w:marBottom w:val="0"/>
          <w:divBdr>
            <w:top w:val="none" w:sz="0" w:space="0" w:color="auto"/>
            <w:left w:val="none" w:sz="0" w:space="0" w:color="auto"/>
            <w:bottom w:val="none" w:sz="0" w:space="0" w:color="auto"/>
            <w:right w:val="none" w:sz="0" w:space="0" w:color="auto"/>
          </w:divBdr>
          <w:divsChild>
            <w:div w:id="4285453">
              <w:marLeft w:val="0"/>
              <w:marRight w:val="0"/>
              <w:marTop w:val="0"/>
              <w:marBottom w:val="0"/>
              <w:divBdr>
                <w:top w:val="none" w:sz="0" w:space="0" w:color="auto"/>
                <w:left w:val="none" w:sz="0" w:space="0" w:color="auto"/>
                <w:bottom w:val="none" w:sz="0" w:space="0" w:color="auto"/>
                <w:right w:val="none" w:sz="0" w:space="0" w:color="auto"/>
              </w:divBdr>
            </w:div>
          </w:divsChild>
        </w:div>
        <w:div w:id="1811512672">
          <w:marLeft w:val="0"/>
          <w:marRight w:val="0"/>
          <w:marTop w:val="0"/>
          <w:marBottom w:val="0"/>
          <w:divBdr>
            <w:top w:val="none" w:sz="0" w:space="0" w:color="auto"/>
            <w:left w:val="none" w:sz="0" w:space="0" w:color="auto"/>
            <w:bottom w:val="none" w:sz="0" w:space="0" w:color="auto"/>
            <w:right w:val="none" w:sz="0" w:space="0" w:color="auto"/>
          </w:divBdr>
          <w:divsChild>
            <w:div w:id="1712924951">
              <w:marLeft w:val="0"/>
              <w:marRight w:val="0"/>
              <w:marTop w:val="0"/>
              <w:marBottom w:val="0"/>
              <w:divBdr>
                <w:top w:val="none" w:sz="0" w:space="0" w:color="auto"/>
                <w:left w:val="none" w:sz="0" w:space="0" w:color="auto"/>
                <w:bottom w:val="none" w:sz="0" w:space="0" w:color="auto"/>
                <w:right w:val="none" w:sz="0" w:space="0" w:color="auto"/>
              </w:divBdr>
            </w:div>
          </w:divsChild>
        </w:div>
        <w:div w:id="1846507553">
          <w:marLeft w:val="0"/>
          <w:marRight w:val="0"/>
          <w:marTop w:val="0"/>
          <w:marBottom w:val="0"/>
          <w:divBdr>
            <w:top w:val="none" w:sz="0" w:space="0" w:color="auto"/>
            <w:left w:val="none" w:sz="0" w:space="0" w:color="auto"/>
            <w:bottom w:val="none" w:sz="0" w:space="0" w:color="auto"/>
            <w:right w:val="none" w:sz="0" w:space="0" w:color="auto"/>
          </w:divBdr>
          <w:divsChild>
            <w:div w:id="2138328185">
              <w:marLeft w:val="0"/>
              <w:marRight w:val="0"/>
              <w:marTop w:val="0"/>
              <w:marBottom w:val="0"/>
              <w:divBdr>
                <w:top w:val="none" w:sz="0" w:space="0" w:color="auto"/>
                <w:left w:val="none" w:sz="0" w:space="0" w:color="auto"/>
                <w:bottom w:val="none" w:sz="0" w:space="0" w:color="auto"/>
                <w:right w:val="none" w:sz="0" w:space="0" w:color="auto"/>
              </w:divBdr>
            </w:div>
          </w:divsChild>
        </w:div>
        <w:div w:id="1914974525">
          <w:marLeft w:val="0"/>
          <w:marRight w:val="0"/>
          <w:marTop w:val="0"/>
          <w:marBottom w:val="0"/>
          <w:divBdr>
            <w:top w:val="none" w:sz="0" w:space="0" w:color="auto"/>
            <w:left w:val="none" w:sz="0" w:space="0" w:color="auto"/>
            <w:bottom w:val="none" w:sz="0" w:space="0" w:color="auto"/>
            <w:right w:val="none" w:sz="0" w:space="0" w:color="auto"/>
          </w:divBdr>
          <w:divsChild>
            <w:div w:id="821580238">
              <w:marLeft w:val="0"/>
              <w:marRight w:val="0"/>
              <w:marTop w:val="0"/>
              <w:marBottom w:val="0"/>
              <w:divBdr>
                <w:top w:val="none" w:sz="0" w:space="0" w:color="auto"/>
                <w:left w:val="none" w:sz="0" w:space="0" w:color="auto"/>
                <w:bottom w:val="none" w:sz="0" w:space="0" w:color="auto"/>
                <w:right w:val="none" w:sz="0" w:space="0" w:color="auto"/>
              </w:divBdr>
            </w:div>
          </w:divsChild>
        </w:div>
        <w:div w:id="1961064734">
          <w:marLeft w:val="0"/>
          <w:marRight w:val="0"/>
          <w:marTop w:val="0"/>
          <w:marBottom w:val="0"/>
          <w:divBdr>
            <w:top w:val="none" w:sz="0" w:space="0" w:color="auto"/>
            <w:left w:val="none" w:sz="0" w:space="0" w:color="auto"/>
            <w:bottom w:val="none" w:sz="0" w:space="0" w:color="auto"/>
            <w:right w:val="none" w:sz="0" w:space="0" w:color="auto"/>
          </w:divBdr>
          <w:divsChild>
            <w:div w:id="861168233">
              <w:marLeft w:val="0"/>
              <w:marRight w:val="0"/>
              <w:marTop w:val="0"/>
              <w:marBottom w:val="0"/>
              <w:divBdr>
                <w:top w:val="none" w:sz="0" w:space="0" w:color="auto"/>
                <w:left w:val="none" w:sz="0" w:space="0" w:color="auto"/>
                <w:bottom w:val="none" w:sz="0" w:space="0" w:color="auto"/>
                <w:right w:val="none" w:sz="0" w:space="0" w:color="auto"/>
              </w:divBdr>
            </w:div>
          </w:divsChild>
        </w:div>
        <w:div w:id="1971588966">
          <w:marLeft w:val="0"/>
          <w:marRight w:val="0"/>
          <w:marTop w:val="0"/>
          <w:marBottom w:val="0"/>
          <w:divBdr>
            <w:top w:val="none" w:sz="0" w:space="0" w:color="auto"/>
            <w:left w:val="none" w:sz="0" w:space="0" w:color="auto"/>
            <w:bottom w:val="none" w:sz="0" w:space="0" w:color="auto"/>
            <w:right w:val="none" w:sz="0" w:space="0" w:color="auto"/>
          </w:divBdr>
          <w:divsChild>
            <w:div w:id="291177789">
              <w:marLeft w:val="0"/>
              <w:marRight w:val="0"/>
              <w:marTop w:val="0"/>
              <w:marBottom w:val="0"/>
              <w:divBdr>
                <w:top w:val="none" w:sz="0" w:space="0" w:color="auto"/>
                <w:left w:val="none" w:sz="0" w:space="0" w:color="auto"/>
                <w:bottom w:val="none" w:sz="0" w:space="0" w:color="auto"/>
                <w:right w:val="none" w:sz="0" w:space="0" w:color="auto"/>
              </w:divBdr>
            </w:div>
          </w:divsChild>
        </w:div>
        <w:div w:id="1989162253">
          <w:marLeft w:val="0"/>
          <w:marRight w:val="0"/>
          <w:marTop w:val="0"/>
          <w:marBottom w:val="0"/>
          <w:divBdr>
            <w:top w:val="none" w:sz="0" w:space="0" w:color="auto"/>
            <w:left w:val="none" w:sz="0" w:space="0" w:color="auto"/>
            <w:bottom w:val="none" w:sz="0" w:space="0" w:color="auto"/>
            <w:right w:val="none" w:sz="0" w:space="0" w:color="auto"/>
          </w:divBdr>
          <w:divsChild>
            <w:div w:id="360058904">
              <w:marLeft w:val="0"/>
              <w:marRight w:val="0"/>
              <w:marTop w:val="0"/>
              <w:marBottom w:val="0"/>
              <w:divBdr>
                <w:top w:val="none" w:sz="0" w:space="0" w:color="auto"/>
                <w:left w:val="none" w:sz="0" w:space="0" w:color="auto"/>
                <w:bottom w:val="none" w:sz="0" w:space="0" w:color="auto"/>
                <w:right w:val="none" w:sz="0" w:space="0" w:color="auto"/>
              </w:divBdr>
            </w:div>
          </w:divsChild>
        </w:div>
        <w:div w:id="2011250681">
          <w:marLeft w:val="0"/>
          <w:marRight w:val="0"/>
          <w:marTop w:val="0"/>
          <w:marBottom w:val="0"/>
          <w:divBdr>
            <w:top w:val="none" w:sz="0" w:space="0" w:color="auto"/>
            <w:left w:val="none" w:sz="0" w:space="0" w:color="auto"/>
            <w:bottom w:val="none" w:sz="0" w:space="0" w:color="auto"/>
            <w:right w:val="none" w:sz="0" w:space="0" w:color="auto"/>
          </w:divBdr>
          <w:divsChild>
            <w:div w:id="750349429">
              <w:marLeft w:val="0"/>
              <w:marRight w:val="0"/>
              <w:marTop w:val="0"/>
              <w:marBottom w:val="0"/>
              <w:divBdr>
                <w:top w:val="none" w:sz="0" w:space="0" w:color="auto"/>
                <w:left w:val="none" w:sz="0" w:space="0" w:color="auto"/>
                <w:bottom w:val="none" w:sz="0" w:space="0" w:color="auto"/>
                <w:right w:val="none" w:sz="0" w:space="0" w:color="auto"/>
              </w:divBdr>
            </w:div>
          </w:divsChild>
        </w:div>
        <w:div w:id="2040474890">
          <w:marLeft w:val="0"/>
          <w:marRight w:val="0"/>
          <w:marTop w:val="0"/>
          <w:marBottom w:val="0"/>
          <w:divBdr>
            <w:top w:val="none" w:sz="0" w:space="0" w:color="auto"/>
            <w:left w:val="none" w:sz="0" w:space="0" w:color="auto"/>
            <w:bottom w:val="none" w:sz="0" w:space="0" w:color="auto"/>
            <w:right w:val="none" w:sz="0" w:space="0" w:color="auto"/>
          </w:divBdr>
          <w:divsChild>
            <w:div w:id="1402100275">
              <w:marLeft w:val="0"/>
              <w:marRight w:val="0"/>
              <w:marTop w:val="0"/>
              <w:marBottom w:val="0"/>
              <w:divBdr>
                <w:top w:val="none" w:sz="0" w:space="0" w:color="auto"/>
                <w:left w:val="none" w:sz="0" w:space="0" w:color="auto"/>
                <w:bottom w:val="none" w:sz="0" w:space="0" w:color="auto"/>
                <w:right w:val="none" w:sz="0" w:space="0" w:color="auto"/>
              </w:divBdr>
            </w:div>
          </w:divsChild>
        </w:div>
        <w:div w:id="2081366946">
          <w:marLeft w:val="0"/>
          <w:marRight w:val="0"/>
          <w:marTop w:val="0"/>
          <w:marBottom w:val="0"/>
          <w:divBdr>
            <w:top w:val="none" w:sz="0" w:space="0" w:color="auto"/>
            <w:left w:val="none" w:sz="0" w:space="0" w:color="auto"/>
            <w:bottom w:val="none" w:sz="0" w:space="0" w:color="auto"/>
            <w:right w:val="none" w:sz="0" w:space="0" w:color="auto"/>
          </w:divBdr>
          <w:divsChild>
            <w:div w:id="970673074">
              <w:marLeft w:val="0"/>
              <w:marRight w:val="0"/>
              <w:marTop w:val="0"/>
              <w:marBottom w:val="0"/>
              <w:divBdr>
                <w:top w:val="none" w:sz="0" w:space="0" w:color="auto"/>
                <w:left w:val="none" w:sz="0" w:space="0" w:color="auto"/>
                <w:bottom w:val="none" w:sz="0" w:space="0" w:color="auto"/>
                <w:right w:val="none" w:sz="0" w:space="0" w:color="auto"/>
              </w:divBdr>
            </w:div>
          </w:divsChild>
        </w:div>
        <w:div w:id="2123720599">
          <w:marLeft w:val="0"/>
          <w:marRight w:val="0"/>
          <w:marTop w:val="0"/>
          <w:marBottom w:val="0"/>
          <w:divBdr>
            <w:top w:val="none" w:sz="0" w:space="0" w:color="auto"/>
            <w:left w:val="none" w:sz="0" w:space="0" w:color="auto"/>
            <w:bottom w:val="none" w:sz="0" w:space="0" w:color="auto"/>
            <w:right w:val="none" w:sz="0" w:space="0" w:color="auto"/>
          </w:divBdr>
          <w:divsChild>
            <w:div w:id="411440243">
              <w:marLeft w:val="0"/>
              <w:marRight w:val="0"/>
              <w:marTop w:val="0"/>
              <w:marBottom w:val="0"/>
              <w:divBdr>
                <w:top w:val="none" w:sz="0" w:space="0" w:color="auto"/>
                <w:left w:val="none" w:sz="0" w:space="0" w:color="auto"/>
                <w:bottom w:val="none" w:sz="0" w:space="0" w:color="auto"/>
                <w:right w:val="none" w:sz="0" w:space="0" w:color="auto"/>
              </w:divBdr>
            </w:div>
          </w:divsChild>
        </w:div>
        <w:div w:id="2130659222">
          <w:marLeft w:val="0"/>
          <w:marRight w:val="0"/>
          <w:marTop w:val="0"/>
          <w:marBottom w:val="0"/>
          <w:divBdr>
            <w:top w:val="none" w:sz="0" w:space="0" w:color="auto"/>
            <w:left w:val="none" w:sz="0" w:space="0" w:color="auto"/>
            <w:bottom w:val="none" w:sz="0" w:space="0" w:color="auto"/>
            <w:right w:val="none" w:sz="0" w:space="0" w:color="auto"/>
          </w:divBdr>
          <w:divsChild>
            <w:div w:id="209464269">
              <w:marLeft w:val="0"/>
              <w:marRight w:val="0"/>
              <w:marTop w:val="0"/>
              <w:marBottom w:val="0"/>
              <w:divBdr>
                <w:top w:val="none" w:sz="0" w:space="0" w:color="auto"/>
                <w:left w:val="none" w:sz="0" w:space="0" w:color="auto"/>
                <w:bottom w:val="none" w:sz="0" w:space="0" w:color="auto"/>
                <w:right w:val="none" w:sz="0" w:space="0" w:color="auto"/>
              </w:divBdr>
            </w:div>
          </w:divsChild>
        </w:div>
        <w:div w:id="2131125110">
          <w:marLeft w:val="0"/>
          <w:marRight w:val="0"/>
          <w:marTop w:val="0"/>
          <w:marBottom w:val="0"/>
          <w:divBdr>
            <w:top w:val="none" w:sz="0" w:space="0" w:color="auto"/>
            <w:left w:val="none" w:sz="0" w:space="0" w:color="auto"/>
            <w:bottom w:val="none" w:sz="0" w:space="0" w:color="auto"/>
            <w:right w:val="none" w:sz="0" w:space="0" w:color="auto"/>
          </w:divBdr>
          <w:divsChild>
            <w:div w:id="380443183">
              <w:marLeft w:val="0"/>
              <w:marRight w:val="0"/>
              <w:marTop w:val="0"/>
              <w:marBottom w:val="0"/>
              <w:divBdr>
                <w:top w:val="none" w:sz="0" w:space="0" w:color="auto"/>
                <w:left w:val="none" w:sz="0" w:space="0" w:color="auto"/>
                <w:bottom w:val="none" w:sz="0" w:space="0" w:color="auto"/>
                <w:right w:val="none" w:sz="0" w:space="0" w:color="auto"/>
              </w:divBdr>
            </w:div>
          </w:divsChild>
        </w:div>
        <w:div w:id="2147240686">
          <w:marLeft w:val="0"/>
          <w:marRight w:val="0"/>
          <w:marTop w:val="0"/>
          <w:marBottom w:val="0"/>
          <w:divBdr>
            <w:top w:val="none" w:sz="0" w:space="0" w:color="auto"/>
            <w:left w:val="none" w:sz="0" w:space="0" w:color="auto"/>
            <w:bottom w:val="none" w:sz="0" w:space="0" w:color="auto"/>
            <w:right w:val="none" w:sz="0" w:space="0" w:color="auto"/>
          </w:divBdr>
          <w:divsChild>
            <w:div w:id="125968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47093">
      <w:bodyDiv w:val="1"/>
      <w:marLeft w:val="0"/>
      <w:marRight w:val="0"/>
      <w:marTop w:val="0"/>
      <w:marBottom w:val="0"/>
      <w:divBdr>
        <w:top w:val="none" w:sz="0" w:space="0" w:color="auto"/>
        <w:left w:val="none" w:sz="0" w:space="0" w:color="auto"/>
        <w:bottom w:val="none" w:sz="0" w:space="0" w:color="auto"/>
        <w:right w:val="none" w:sz="0" w:space="0" w:color="auto"/>
      </w:divBdr>
    </w:div>
    <w:div w:id="763650438">
      <w:bodyDiv w:val="1"/>
      <w:marLeft w:val="0"/>
      <w:marRight w:val="0"/>
      <w:marTop w:val="0"/>
      <w:marBottom w:val="0"/>
      <w:divBdr>
        <w:top w:val="none" w:sz="0" w:space="0" w:color="auto"/>
        <w:left w:val="none" w:sz="0" w:space="0" w:color="auto"/>
        <w:bottom w:val="none" w:sz="0" w:space="0" w:color="auto"/>
        <w:right w:val="none" w:sz="0" w:space="0" w:color="auto"/>
      </w:divBdr>
    </w:div>
    <w:div w:id="780026788">
      <w:bodyDiv w:val="1"/>
      <w:marLeft w:val="0"/>
      <w:marRight w:val="0"/>
      <w:marTop w:val="0"/>
      <w:marBottom w:val="0"/>
      <w:divBdr>
        <w:top w:val="none" w:sz="0" w:space="0" w:color="auto"/>
        <w:left w:val="none" w:sz="0" w:space="0" w:color="auto"/>
        <w:bottom w:val="none" w:sz="0" w:space="0" w:color="auto"/>
        <w:right w:val="none" w:sz="0" w:space="0" w:color="auto"/>
      </w:divBdr>
    </w:div>
    <w:div w:id="780800252">
      <w:bodyDiv w:val="1"/>
      <w:marLeft w:val="0"/>
      <w:marRight w:val="0"/>
      <w:marTop w:val="0"/>
      <w:marBottom w:val="0"/>
      <w:divBdr>
        <w:top w:val="none" w:sz="0" w:space="0" w:color="auto"/>
        <w:left w:val="none" w:sz="0" w:space="0" w:color="auto"/>
        <w:bottom w:val="none" w:sz="0" w:space="0" w:color="auto"/>
        <w:right w:val="none" w:sz="0" w:space="0" w:color="auto"/>
      </w:divBdr>
      <w:divsChild>
        <w:div w:id="1190409334">
          <w:marLeft w:val="0"/>
          <w:marRight w:val="0"/>
          <w:marTop w:val="0"/>
          <w:marBottom w:val="0"/>
          <w:divBdr>
            <w:top w:val="none" w:sz="0" w:space="0" w:color="auto"/>
            <w:left w:val="none" w:sz="0" w:space="0" w:color="auto"/>
            <w:bottom w:val="none" w:sz="0" w:space="0" w:color="auto"/>
            <w:right w:val="none" w:sz="0" w:space="0" w:color="auto"/>
          </w:divBdr>
          <w:divsChild>
            <w:div w:id="191400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88154">
      <w:bodyDiv w:val="1"/>
      <w:marLeft w:val="0"/>
      <w:marRight w:val="0"/>
      <w:marTop w:val="0"/>
      <w:marBottom w:val="0"/>
      <w:divBdr>
        <w:top w:val="none" w:sz="0" w:space="0" w:color="auto"/>
        <w:left w:val="none" w:sz="0" w:space="0" w:color="auto"/>
        <w:bottom w:val="none" w:sz="0" w:space="0" w:color="auto"/>
        <w:right w:val="none" w:sz="0" w:space="0" w:color="auto"/>
      </w:divBdr>
    </w:div>
    <w:div w:id="782309624">
      <w:bodyDiv w:val="1"/>
      <w:marLeft w:val="0"/>
      <w:marRight w:val="0"/>
      <w:marTop w:val="0"/>
      <w:marBottom w:val="0"/>
      <w:divBdr>
        <w:top w:val="none" w:sz="0" w:space="0" w:color="auto"/>
        <w:left w:val="none" w:sz="0" w:space="0" w:color="auto"/>
        <w:bottom w:val="none" w:sz="0" w:space="0" w:color="auto"/>
        <w:right w:val="none" w:sz="0" w:space="0" w:color="auto"/>
      </w:divBdr>
    </w:div>
    <w:div w:id="788554356">
      <w:bodyDiv w:val="1"/>
      <w:marLeft w:val="0"/>
      <w:marRight w:val="0"/>
      <w:marTop w:val="0"/>
      <w:marBottom w:val="0"/>
      <w:divBdr>
        <w:top w:val="none" w:sz="0" w:space="0" w:color="auto"/>
        <w:left w:val="none" w:sz="0" w:space="0" w:color="auto"/>
        <w:bottom w:val="none" w:sz="0" w:space="0" w:color="auto"/>
        <w:right w:val="none" w:sz="0" w:space="0" w:color="auto"/>
      </w:divBdr>
    </w:div>
    <w:div w:id="800346527">
      <w:bodyDiv w:val="1"/>
      <w:marLeft w:val="0"/>
      <w:marRight w:val="0"/>
      <w:marTop w:val="0"/>
      <w:marBottom w:val="0"/>
      <w:divBdr>
        <w:top w:val="none" w:sz="0" w:space="0" w:color="auto"/>
        <w:left w:val="none" w:sz="0" w:space="0" w:color="auto"/>
        <w:bottom w:val="none" w:sz="0" w:space="0" w:color="auto"/>
        <w:right w:val="none" w:sz="0" w:space="0" w:color="auto"/>
      </w:divBdr>
      <w:divsChild>
        <w:div w:id="576132624">
          <w:marLeft w:val="0"/>
          <w:marRight w:val="0"/>
          <w:marTop w:val="0"/>
          <w:marBottom w:val="0"/>
          <w:divBdr>
            <w:top w:val="none" w:sz="0" w:space="0" w:color="auto"/>
            <w:left w:val="none" w:sz="0" w:space="0" w:color="auto"/>
            <w:bottom w:val="none" w:sz="0" w:space="0" w:color="auto"/>
            <w:right w:val="none" w:sz="0" w:space="0" w:color="auto"/>
          </w:divBdr>
        </w:div>
        <w:div w:id="1451050904">
          <w:marLeft w:val="0"/>
          <w:marRight w:val="0"/>
          <w:marTop w:val="0"/>
          <w:marBottom w:val="0"/>
          <w:divBdr>
            <w:top w:val="none" w:sz="0" w:space="0" w:color="auto"/>
            <w:left w:val="none" w:sz="0" w:space="0" w:color="auto"/>
            <w:bottom w:val="none" w:sz="0" w:space="0" w:color="auto"/>
            <w:right w:val="none" w:sz="0" w:space="0" w:color="auto"/>
          </w:divBdr>
        </w:div>
        <w:div w:id="1748766566">
          <w:marLeft w:val="0"/>
          <w:marRight w:val="0"/>
          <w:marTop w:val="0"/>
          <w:marBottom w:val="0"/>
          <w:divBdr>
            <w:top w:val="none" w:sz="0" w:space="0" w:color="auto"/>
            <w:left w:val="none" w:sz="0" w:space="0" w:color="auto"/>
            <w:bottom w:val="none" w:sz="0" w:space="0" w:color="auto"/>
            <w:right w:val="none" w:sz="0" w:space="0" w:color="auto"/>
          </w:divBdr>
        </w:div>
        <w:div w:id="1960186821">
          <w:marLeft w:val="0"/>
          <w:marRight w:val="0"/>
          <w:marTop w:val="0"/>
          <w:marBottom w:val="0"/>
          <w:divBdr>
            <w:top w:val="none" w:sz="0" w:space="0" w:color="auto"/>
            <w:left w:val="none" w:sz="0" w:space="0" w:color="auto"/>
            <w:bottom w:val="none" w:sz="0" w:space="0" w:color="auto"/>
            <w:right w:val="none" w:sz="0" w:space="0" w:color="auto"/>
          </w:divBdr>
        </w:div>
        <w:div w:id="2051757717">
          <w:marLeft w:val="0"/>
          <w:marRight w:val="0"/>
          <w:marTop w:val="0"/>
          <w:marBottom w:val="0"/>
          <w:divBdr>
            <w:top w:val="none" w:sz="0" w:space="0" w:color="auto"/>
            <w:left w:val="none" w:sz="0" w:space="0" w:color="auto"/>
            <w:bottom w:val="none" w:sz="0" w:space="0" w:color="auto"/>
            <w:right w:val="none" w:sz="0" w:space="0" w:color="auto"/>
          </w:divBdr>
        </w:div>
      </w:divsChild>
    </w:div>
    <w:div w:id="813446222">
      <w:bodyDiv w:val="1"/>
      <w:marLeft w:val="0"/>
      <w:marRight w:val="0"/>
      <w:marTop w:val="0"/>
      <w:marBottom w:val="0"/>
      <w:divBdr>
        <w:top w:val="none" w:sz="0" w:space="0" w:color="auto"/>
        <w:left w:val="none" w:sz="0" w:space="0" w:color="auto"/>
        <w:bottom w:val="none" w:sz="0" w:space="0" w:color="auto"/>
        <w:right w:val="none" w:sz="0" w:space="0" w:color="auto"/>
      </w:divBdr>
    </w:div>
    <w:div w:id="814686803">
      <w:bodyDiv w:val="1"/>
      <w:marLeft w:val="0"/>
      <w:marRight w:val="0"/>
      <w:marTop w:val="0"/>
      <w:marBottom w:val="0"/>
      <w:divBdr>
        <w:top w:val="none" w:sz="0" w:space="0" w:color="auto"/>
        <w:left w:val="none" w:sz="0" w:space="0" w:color="auto"/>
        <w:bottom w:val="none" w:sz="0" w:space="0" w:color="auto"/>
        <w:right w:val="none" w:sz="0" w:space="0" w:color="auto"/>
      </w:divBdr>
    </w:div>
    <w:div w:id="815949210">
      <w:bodyDiv w:val="1"/>
      <w:marLeft w:val="0"/>
      <w:marRight w:val="0"/>
      <w:marTop w:val="0"/>
      <w:marBottom w:val="0"/>
      <w:divBdr>
        <w:top w:val="none" w:sz="0" w:space="0" w:color="auto"/>
        <w:left w:val="none" w:sz="0" w:space="0" w:color="auto"/>
        <w:bottom w:val="none" w:sz="0" w:space="0" w:color="auto"/>
        <w:right w:val="none" w:sz="0" w:space="0" w:color="auto"/>
      </w:divBdr>
    </w:div>
    <w:div w:id="816337598">
      <w:bodyDiv w:val="1"/>
      <w:marLeft w:val="0"/>
      <w:marRight w:val="0"/>
      <w:marTop w:val="0"/>
      <w:marBottom w:val="0"/>
      <w:divBdr>
        <w:top w:val="none" w:sz="0" w:space="0" w:color="auto"/>
        <w:left w:val="none" w:sz="0" w:space="0" w:color="auto"/>
        <w:bottom w:val="none" w:sz="0" w:space="0" w:color="auto"/>
        <w:right w:val="none" w:sz="0" w:space="0" w:color="auto"/>
      </w:divBdr>
    </w:div>
    <w:div w:id="819224930">
      <w:bodyDiv w:val="1"/>
      <w:marLeft w:val="0"/>
      <w:marRight w:val="0"/>
      <w:marTop w:val="0"/>
      <w:marBottom w:val="0"/>
      <w:divBdr>
        <w:top w:val="none" w:sz="0" w:space="0" w:color="auto"/>
        <w:left w:val="none" w:sz="0" w:space="0" w:color="auto"/>
        <w:bottom w:val="none" w:sz="0" w:space="0" w:color="auto"/>
        <w:right w:val="none" w:sz="0" w:space="0" w:color="auto"/>
      </w:divBdr>
    </w:div>
    <w:div w:id="840630813">
      <w:bodyDiv w:val="1"/>
      <w:marLeft w:val="0"/>
      <w:marRight w:val="0"/>
      <w:marTop w:val="0"/>
      <w:marBottom w:val="0"/>
      <w:divBdr>
        <w:top w:val="none" w:sz="0" w:space="0" w:color="auto"/>
        <w:left w:val="none" w:sz="0" w:space="0" w:color="auto"/>
        <w:bottom w:val="none" w:sz="0" w:space="0" w:color="auto"/>
        <w:right w:val="none" w:sz="0" w:space="0" w:color="auto"/>
      </w:divBdr>
      <w:divsChild>
        <w:div w:id="711074029">
          <w:marLeft w:val="0"/>
          <w:marRight w:val="0"/>
          <w:marTop w:val="0"/>
          <w:marBottom w:val="0"/>
          <w:divBdr>
            <w:top w:val="none" w:sz="0" w:space="0" w:color="auto"/>
            <w:left w:val="none" w:sz="0" w:space="0" w:color="auto"/>
            <w:bottom w:val="none" w:sz="0" w:space="0" w:color="auto"/>
            <w:right w:val="none" w:sz="0" w:space="0" w:color="auto"/>
          </w:divBdr>
          <w:divsChild>
            <w:div w:id="116897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024820">
      <w:bodyDiv w:val="1"/>
      <w:marLeft w:val="0"/>
      <w:marRight w:val="0"/>
      <w:marTop w:val="0"/>
      <w:marBottom w:val="0"/>
      <w:divBdr>
        <w:top w:val="none" w:sz="0" w:space="0" w:color="auto"/>
        <w:left w:val="none" w:sz="0" w:space="0" w:color="auto"/>
        <w:bottom w:val="none" w:sz="0" w:space="0" w:color="auto"/>
        <w:right w:val="none" w:sz="0" w:space="0" w:color="auto"/>
      </w:divBdr>
    </w:div>
    <w:div w:id="854265807">
      <w:bodyDiv w:val="1"/>
      <w:marLeft w:val="0"/>
      <w:marRight w:val="0"/>
      <w:marTop w:val="0"/>
      <w:marBottom w:val="0"/>
      <w:divBdr>
        <w:top w:val="none" w:sz="0" w:space="0" w:color="auto"/>
        <w:left w:val="none" w:sz="0" w:space="0" w:color="auto"/>
        <w:bottom w:val="none" w:sz="0" w:space="0" w:color="auto"/>
        <w:right w:val="none" w:sz="0" w:space="0" w:color="auto"/>
      </w:divBdr>
      <w:divsChild>
        <w:div w:id="118500737">
          <w:marLeft w:val="446"/>
          <w:marRight w:val="0"/>
          <w:marTop w:val="0"/>
          <w:marBottom w:val="160"/>
          <w:divBdr>
            <w:top w:val="none" w:sz="0" w:space="0" w:color="auto"/>
            <w:left w:val="none" w:sz="0" w:space="0" w:color="auto"/>
            <w:bottom w:val="none" w:sz="0" w:space="0" w:color="auto"/>
            <w:right w:val="none" w:sz="0" w:space="0" w:color="auto"/>
          </w:divBdr>
        </w:div>
        <w:div w:id="2064328558">
          <w:marLeft w:val="446"/>
          <w:marRight w:val="0"/>
          <w:marTop w:val="0"/>
          <w:marBottom w:val="160"/>
          <w:divBdr>
            <w:top w:val="none" w:sz="0" w:space="0" w:color="auto"/>
            <w:left w:val="none" w:sz="0" w:space="0" w:color="auto"/>
            <w:bottom w:val="none" w:sz="0" w:space="0" w:color="auto"/>
            <w:right w:val="none" w:sz="0" w:space="0" w:color="auto"/>
          </w:divBdr>
        </w:div>
      </w:divsChild>
    </w:div>
    <w:div w:id="857736999">
      <w:bodyDiv w:val="1"/>
      <w:marLeft w:val="0"/>
      <w:marRight w:val="0"/>
      <w:marTop w:val="0"/>
      <w:marBottom w:val="0"/>
      <w:divBdr>
        <w:top w:val="none" w:sz="0" w:space="0" w:color="auto"/>
        <w:left w:val="none" w:sz="0" w:space="0" w:color="auto"/>
        <w:bottom w:val="none" w:sz="0" w:space="0" w:color="auto"/>
        <w:right w:val="none" w:sz="0" w:space="0" w:color="auto"/>
      </w:divBdr>
    </w:div>
    <w:div w:id="890845707">
      <w:bodyDiv w:val="1"/>
      <w:marLeft w:val="0"/>
      <w:marRight w:val="0"/>
      <w:marTop w:val="0"/>
      <w:marBottom w:val="0"/>
      <w:divBdr>
        <w:top w:val="none" w:sz="0" w:space="0" w:color="auto"/>
        <w:left w:val="none" w:sz="0" w:space="0" w:color="auto"/>
        <w:bottom w:val="none" w:sz="0" w:space="0" w:color="auto"/>
        <w:right w:val="none" w:sz="0" w:space="0" w:color="auto"/>
      </w:divBdr>
    </w:div>
    <w:div w:id="899900770">
      <w:bodyDiv w:val="1"/>
      <w:marLeft w:val="0"/>
      <w:marRight w:val="0"/>
      <w:marTop w:val="0"/>
      <w:marBottom w:val="0"/>
      <w:divBdr>
        <w:top w:val="none" w:sz="0" w:space="0" w:color="auto"/>
        <w:left w:val="none" w:sz="0" w:space="0" w:color="auto"/>
        <w:bottom w:val="none" w:sz="0" w:space="0" w:color="auto"/>
        <w:right w:val="none" w:sz="0" w:space="0" w:color="auto"/>
      </w:divBdr>
    </w:div>
    <w:div w:id="928999990">
      <w:bodyDiv w:val="1"/>
      <w:marLeft w:val="0"/>
      <w:marRight w:val="0"/>
      <w:marTop w:val="0"/>
      <w:marBottom w:val="0"/>
      <w:divBdr>
        <w:top w:val="none" w:sz="0" w:space="0" w:color="auto"/>
        <w:left w:val="none" w:sz="0" w:space="0" w:color="auto"/>
        <w:bottom w:val="none" w:sz="0" w:space="0" w:color="auto"/>
        <w:right w:val="none" w:sz="0" w:space="0" w:color="auto"/>
      </w:divBdr>
    </w:div>
    <w:div w:id="936333839">
      <w:bodyDiv w:val="1"/>
      <w:marLeft w:val="0"/>
      <w:marRight w:val="0"/>
      <w:marTop w:val="0"/>
      <w:marBottom w:val="0"/>
      <w:divBdr>
        <w:top w:val="none" w:sz="0" w:space="0" w:color="auto"/>
        <w:left w:val="none" w:sz="0" w:space="0" w:color="auto"/>
        <w:bottom w:val="none" w:sz="0" w:space="0" w:color="auto"/>
        <w:right w:val="none" w:sz="0" w:space="0" w:color="auto"/>
      </w:divBdr>
    </w:div>
    <w:div w:id="950284529">
      <w:bodyDiv w:val="1"/>
      <w:marLeft w:val="0"/>
      <w:marRight w:val="0"/>
      <w:marTop w:val="0"/>
      <w:marBottom w:val="0"/>
      <w:divBdr>
        <w:top w:val="none" w:sz="0" w:space="0" w:color="auto"/>
        <w:left w:val="none" w:sz="0" w:space="0" w:color="auto"/>
        <w:bottom w:val="none" w:sz="0" w:space="0" w:color="auto"/>
        <w:right w:val="none" w:sz="0" w:space="0" w:color="auto"/>
      </w:divBdr>
    </w:div>
    <w:div w:id="966936066">
      <w:bodyDiv w:val="1"/>
      <w:marLeft w:val="0"/>
      <w:marRight w:val="0"/>
      <w:marTop w:val="0"/>
      <w:marBottom w:val="0"/>
      <w:divBdr>
        <w:top w:val="none" w:sz="0" w:space="0" w:color="auto"/>
        <w:left w:val="none" w:sz="0" w:space="0" w:color="auto"/>
        <w:bottom w:val="none" w:sz="0" w:space="0" w:color="auto"/>
        <w:right w:val="none" w:sz="0" w:space="0" w:color="auto"/>
      </w:divBdr>
    </w:div>
    <w:div w:id="983121483">
      <w:bodyDiv w:val="1"/>
      <w:marLeft w:val="0"/>
      <w:marRight w:val="0"/>
      <w:marTop w:val="0"/>
      <w:marBottom w:val="0"/>
      <w:divBdr>
        <w:top w:val="none" w:sz="0" w:space="0" w:color="auto"/>
        <w:left w:val="none" w:sz="0" w:space="0" w:color="auto"/>
        <w:bottom w:val="none" w:sz="0" w:space="0" w:color="auto"/>
        <w:right w:val="none" w:sz="0" w:space="0" w:color="auto"/>
      </w:divBdr>
      <w:divsChild>
        <w:div w:id="13849042">
          <w:marLeft w:val="0"/>
          <w:marRight w:val="0"/>
          <w:marTop w:val="0"/>
          <w:marBottom w:val="0"/>
          <w:divBdr>
            <w:top w:val="none" w:sz="0" w:space="0" w:color="auto"/>
            <w:left w:val="none" w:sz="0" w:space="0" w:color="auto"/>
            <w:bottom w:val="none" w:sz="0" w:space="0" w:color="auto"/>
            <w:right w:val="none" w:sz="0" w:space="0" w:color="auto"/>
          </w:divBdr>
          <w:divsChild>
            <w:div w:id="1535462859">
              <w:marLeft w:val="0"/>
              <w:marRight w:val="0"/>
              <w:marTop w:val="0"/>
              <w:marBottom w:val="0"/>
              <w:divBdr>
                <w:top w:val="none" w:sz="0" w:space="0" w:color="auto"/>
                <w:left w:val="none" w:sz="0" w:space="0" w:color="auto"/>
                <w:bottom w:val="none" w:sz="0" w:space="0" w:color="auto"/>
                <w:right w:val="none" w:sz="0" w:space="0" w:color="auto"/>
              </w:divBdr>
            </w:div>
          </w:divsChild>
        </w:div>
        <w:div w:id="16153624">
          <w:marLeft w:val="0"/>
          <w:marRight w:val="0"/>
          <w:marTop w:val="0"/>
          <w:marBottom w:val="0"/>
          <w:divBdr>
            <w:top w:val="none" w:sz="0" w:space="0" w:color="auto"/>
            <w:left w:val="none" w:sz="0" w:space="0" w:color="auto"/>
            <w:bottom w:val="none" w:sz="0" w:space="0" w:color="auto"/>
            <w:right w:val="none" w:sz="0" w:space="0" w:color="auto"/>
          </w:divBdr>
          <w:divsChild>
            <w:div w:id="1251155083">
              <w:marLeft w:val="0"/>
              <w:marRight w:val="0"/>
              <w:marTop w:val="0"/>
              <w:marBottom w:val="0"/>
              <w:divBdr>
                <w:top w:val="none" w:sz="0" w:space="0" w:color="auto"/>
                <w:left w:val="none" w:sz="0" w:space="0" w:color="auto"/>
                <w:bottom w:val="none" w:sz="0" w:space="0" w:color="auto"/>
                <w:right w:val="none" w:sz="0" w:space="0" w:color="auto"/>
              </w:divBdr>
            </w:div>
          </w:divsChild>
        </w:div>
        <w:div w:id="57828428">
          <w:marLeft w:val="0"/>
          <w:marRight w:val="0"/>
          <w:marTop w:val="0"/>
          <w:marBottom w:val="0"/>
          <w:divBdr>
            <w:top w:val="none" w:sz="0" w:space="0" w:color="auto"/>
            <w:left w:val="none" w:sz="0" w:space="0" w:color="auto"/>
            <w:bottom w:val="none" w:sz="0" w:space="0" w:color="auto"/>
            <w:right w:val="none" w:sz="0" w:space="0" w:color="auto"/>
          </w:divBdr>
          <w:divsChild>
            <w:div w:id="1262496281">
              <w:marLeft w:val="0"/>
              <w:marRight w:val="0"/>
              <w:marTop w:val="0"/>
              <w:marBottom w:val="0"/>
              <w:divBdr>
                <w:top w:val="none" w:sz="0" w:space="0" w:color="auto"/>
                <w:left w:val="none" w:sz="0" w:space="0" w:color="auto"/>
                <w:bottom w:val="none" w:sz="0" w:space="0" w:color="auto"/>
                <w:right w:val="none" w:sz="0" w:space="0" w:color="auto"/>
              </w:divBdr>
            </w:div>
          </w:divsChild>
        </w:div>
        <w:div w:id="67771314">
          <w:marLeft w:val="0"/>
          <w:marRight w:val="0"/>
          <w:marTop w:val="0"/>
          <w:marBottom w:val="0"/>
          <w:divBdr>
            <w:top w:val="none" w:sz="0" w:space="0" w:color="auto"/>
            <w:left w:val="none" w:sz="0" w:space="0" w:color="auto"/>
            <w:bottom w:val="none" w:sz="0" w:space="0" w:color="auto"/>
            <w:right w:val="none" w:sz="0" w:space="0" w:color="auto"/>
          </w:divBdr>
          <w:divsChild>
            <w:div w:id="1397776371">
              <w:marLeft w:val="0"/>
              <w:marRight w:val="0"/>
              <w:marTop w:val="0"/>
              <w:marBottom w:val="0"/>
              <w:divBdr>
                <w:top w:val="none" w:sz="0" w:space="0" w:color="auto"/>
                <w:left w:val="none" w:sz="0" w:space="0" w:color="auto"/>
                <w:bottom w:val="none" w:sz="0" w:space="0" w:color="auto"/>
                <w:right w:val="none" w:sz="0" w:space="0" w:color="auto"/>
              </w:divBdr>
            </w:div>
          </w:divsChild>
        </w:div>
        <w:div w:id="84228282">
          <w:marLeft w:val="0"/>
          <w:marRight w:val="0"/>
          <w:marTop w:val="0"/>
          <w:marBottom w:val="0"/>
          <w:divBdr>
            <w:top w:val="none" w:sz="0" w:space="0" w:color="auto"/>
            <w:left w:val="none" w:sz="0" w:space="0" w:color="auto"/>
            <w:bottom w:val="none" w:sz="0" w:space="0" w:color="auto"/>
            <w:right w:val="none" w:sz="0" w:space="0" w:color="auto"/>
          </w:divBdr>
          <w:divsChild>
            <w:div w:id="1223515516">
              <w:marLeft w:val="0"/>
              <w:marRight w:val="0"/>
              <w:marTop w:val="0"/>
              <w:marBottom w:val="0"/>
              <w:divBdr>
                <w:top w:val="none" w:sz="0" w:space="0" w:color="auto"/>
                <w:left w:val="none" w:sz="0" w:space="0" w:color="auto"/>
                <w:bottom w:val="none" w:sz="0" w:space="0" w:color="auto"/>
                <w:right w:val="none" w:sz="0" w:space="0" w:color="auto"/>
              </w:divBdr>
            </w:div>
          </w:divsChild>
        </w:div>
        <w:div w:id="87577080">
          <w:marLeft w:val="0"/>
          <w:marRight w:val="0"/>
          <w:marTop w:val="0"/>
          <w:marBottom w:val="0"/>
          <w:divBdr>
            <w:top w:val="none" w:sz="0" w:space="0" w:color="auto"/>
            <w:left w:val="none" w:sz="0" w:space="0" w:color="auto"/>
            <w:bottom w:val="none" w:sz="0" w:space="0" w:color="auto"/>
            <w:right w:val="none" w:sz="0" w:space="0" w:color="auto"/>
          </w:divBdr>
          <w:divsChild>
            <w:div w:id="1719864020">
              <w:marLeft w:val="0"/>
              <w:marRight w:val="0"/>
              <w:marTop w:val="0"/>
              <w:marBottom w:val="0"/>
              <w:divBdr>
                <w:top w:val="none" w:sz="0" w:space="0" w:color="auto"/>
                <w:left w:val="none" w:sz="0" w:space="0" w:color="auto"/>
                <w:bottom w:val="none" w:sz="0" w:space="0" w:color="auto"/>
                <w:right w:val="none" w:sz="0" w:space="0" w:color="auto"/>
              </w:divBdr>
            </w:div>
          </w:divsChild>
        </w:div>
        <w:div w:id="109521250">
          <w:marLeft w:val="0"/>
          <w:marRight w:val="0"/>
          <w:marTop w:val="0"/>
          <w:marBottom w:val="0"/>
          <w:divBdr>
            <w:top w:val="none" w:sz="0" w:space="0" w:color="auto"/>
            <w:left w:val="none" w:sz="0" w:space="0" w:color="auto"/>
            <w:bottom w:val="none" w:sz="0" w:space="0" w:color="auto"/>
            <w:right w:val="none" w:sz="0" w:space="0" w:color="auto"/>
          </w:divBdr>
          <w:divsChild>
            <w:div w:id="1970428427">
              <w:marLeft w:val="0"/>
              <w:marRight w:val="0"/>
              <w:marTop w:val="0"/>
              <w:marBottom w:val="0"/>
              <w:divBdr>
                <w:top w:val="none" w:sz="0" w:space="0" w:color="auto"/>
                <w:left w:val="none" w:sz="0" w:space="0" w:color="auto"/>
                <w:bottom w:val="none" w:sz="0" w:space="0" w:color="auto"/>
                <w:right w:val="none" w:sz="0" w:space="0" w:color="auto"/>
              </w:divBdr>
            </w:div>
          </w:divsChild>
        </w:div>
        <w:div w:id="172916699">
          <w:marLeft w:val="0"/>
          <w:marRight w:val="0"/>
          <w:marTop w:val="0"/>
          <w:marBottom w:val="0"/>
          <w:divBdr>
            <w:top w:val="none" w:sz="0" w:space="0" w:color="auto"/>
            <w:left w:val="none" w:sz="0" w:space="0" w:color="auto"/>
            <w:bottom w:val="none" w:sz="0" w:space="0" w:color="auto"/>
            <w:right w:val="none" w:sz="0" w:space="0" w:color="auto"/>
          </w:divBdr>
          <w:divsChild>
            <w:div w:id="436365933">
              <w:marLeft w:val="0"/>
              <w:marRight w:val="0"/>
              <w:marTop w:val="0"/>
              <w:marBottom w:val="0"/>
              <w:divBdr>
                <w:top w:val="none" w:sz="0" w:space="0" w:color="auto"/>
                <w:left w:val="none" w:sz="0" w:space="0" w:color="auto"/>
                <w:bottom w:val="none" w:sz="0" w:space="0" w:color="auto"/>
                <w:right w:val="none" w:sz="0" w:space="0" w:color="auto"/>
              </w:divBdr>
            </w:div>
          </w:divsChild>
        </w:div>
        <w:div w:id="178737516">
          <w:marLeft w:val="0"/>
          <w:marRight w:val="0"/>
          <w:marTop w:val="0"/>
          <w:marBottom w:val="0"/>
          <w:divBdr>
            <w:top w:val="none" w:sz="0" w:space="0" w:color="auto"/>
            <w:left w:val="none" w:sz="0" w:space="0" w:color="auto"/>
            <w:bottom w:val="none" w:sz="0" w:space="0" w:color="auto"/>
            <w:right w:val="none" w:sz="0" w:space="0" w:color="auto"/>
          </w:divBdr>
          <w:divsChild>
            <w:div w:id="334840677">
              <w:marLeft w:val="0"/>
              <w:marRight w:val="0"/>
              <w:marTop w:val="0"/>
              <w:marBottom w:val="0"/>
              <w:divBdr>
                <w:top w:val="none" w:sz="0" w:space="0" w:color="auto"/>
                <w:left w:val="none" w:sz="0" w:space="0" w:color="auto"/>
                <w:bottom w:val="none" w:sz="0" w:space="0" w:color="auto"/>
                <w:right w:val="none" w:sz="0" w:space="0" w:color="auto"/>
              </w:divBdr>
            </w:div>
          </w:divsChild>
        </w:div>
        <w:div w:id="192234714">
          <w:marLeft w:val="0"/>
          <w:marRight w:val="0"/>
          <w:marTop w:val="0"/>
          <w:marBottom w:val="0"/>
          <w:divBdr>
            <w:top w:val="none" w:sz="0" w:space="0" w:color="auto"/>
            <w:left w:val="none" w:sz="0" w:space="0" w:color="auto"/>
            <w:bottom w:val="none" w:sz="0" w:space="0" w:color="auto"/>
            <w:right w:val="none" w:sz="0" w:space="0" w:color="auto"/>
          </w:divBdr>
          <w:divsChild>
            <w:div w:id="270556117">
              <w:marLeft w:val="0"/>
              <w:marRight w:val="0"/>
              <w:marTop w:val="0"/>
              <w:marBottom w:val="0"/>
              <w:divBdr>
                <w:top w:val="none" w:sz="0" w:space="0" w:color="auto"/>
                <w:left w:val="none" w:sz="0" w:space="0" w:color="auto"/>
                <w:bottom w:val="none" w:sz="0" w:space="0" w:color="auto"/>
                <w:right w:val="none" w:sz="0" w:space="0" w:color="auto"/>
              </w:divBdr>
            </w:div>
          </w:divsChild>
        </w:div>
        <w:div w:id="198662823">
          <w:marLeft w:val="0"/>
          <w:marRight w:val="0"/>
          <w:marTop w:val="0"/>
          <w:marBottom w:val="0"/>
          <w:divBdr>
            <w:top w:val="none" w:sz="0" w:space="0" w:color="auto"/>
            <w:left w:val="none" w:sz="0" w:space="0" w:color="auto"/>
            <w:bottom w:val="none" w:sz="0" w:space="0" w:color="auto"/>
            <w:right w:val="none" w:sz="0" w:space="0" w:color="auto"/>
          </w:divBdr>
          <w:divsChild>
            <w:div w:id="1057363486">
              <w:marLeft w:val="0"/>
              <w:marRight w:val="0"/>
              <w:marTop w:val="0"/>
              <w:marBottom w:val="0"/>
              <w:divBdr>
                <w:top w:val="none" w:sz="0" w:space="0" w:color="auto"/>
                <w:left w:val="none" w:sz="0" w:space="0" w:color="auto"/>
                <w:bottom w:val="none" w:sz="0" w:space="0" w:color="auto"/>
                <w:right w:val="none" w:sz="0" w:space="0" w:color="auto"/>
              </w:divBdr>
            </w:div>
          </w:divsChild>
        </w:div>
        <w:div w:id="201021668">
          <w:marLeft w:val="0"/>
          <w:marRight w:val="0"/>
          <w:marTop w:val="0"/>
          <w:marBottom w:val="0"/>
          <w:divBdr>
            <w:top w:val="none" w:sz="0" w:space="0" w:color="auto"/>
            <w:left w:val="none" w:sz="0" w:space="0" w:color="auto"/>
            <w:bottom w:val="none" w:sz="0" w:space="0" w:color="auto"/>
            <w:right w:val="none" w:sz="0" w:space="0" w:color="auto"/>
          </w:divBdr>
          <w:divsChild>
            <w:div w:id="6251564">
              <w:marLeft w:val="0"/>
              <w:marRight w:val="0"/>
              <w:marTop w:val="0"/>
              <w:marBottom w:val="0"/>
              <w:divBdr>
                <w:top w:val="none" w:sz="0" w:space="0" w:color="auto"/>
                <w:left w:val="none" w:sz="0" w:space="0" w:color="auto"/>
                <w:bottom w:val="none" w:sz="0" w:space="0" w:color="auto"/>
                <w:right w:val="none" w:sz="0" w:space="0" w:color="auto"/>
              </w:divBdr>
            </w:div>
          </w:divsChild>
        </w:div>
        <w:div w:id="252280279">
          <w:marLeft w:val="0"/>
          <w:marRight w:val="0"/>
          <w:marTop w:val="0"/>
          <w:marBottom w:val="0"/>
          <w:divBdr>
            <w:top w:val="none" w:sz="0" w:space="0" w:color="auto"/>
            <w:left w:val="none" w:sz="0" w:space="0" w:color="auto"/>
            <w:bottom w:val="none" w:sz="0" w:space="0" w:color="auto"/>
            <w:right w:val="none" w:sz="0" w:space="0" w:color="auto"/>
          </w:divBdr>
          <w:divsChild>
            <w:div w:id="1851261058">
              <w:marLeft w:val="0"/>
              <w:marRight w:val="0"/>
              <w:marTop w:val="0"/>
              <w:marBottom w:val="0"/>
              <w:divBdr>
                <w:top w:val="none" w:sz="0" w:space="0" w:color="auto"/>
                <w:left w:val="none" w:sz="0" w:space="0" w:color="auto"/>
                <w:bottom w:val="none" w:sz="0" w:space="0" w:color="auto"/>
                <w:right w:val="none" w:sz="0" w:space="0" w:color="auto"/>
              </w:divBdr>
            </w:div>
          </w:divsChild>
        </w:div>
        <w:div w:id="283582162">
          <w:marLeft w:val="0"/>
          <w:marRight w:val="0"/>
          <w:marTop w:val="0"/>
          <w:marBottom w:val="0"/>
          <w:divBdr>
            <w:top w:val="none" w:sz="0" w:space="0" w:color="auto"/>
            <w:left w:val="none" w:sz="0" w:space="0" w:color="auto"/>
            <w:bottom w:val="none" w:sz="0" w:space="0" w:color="auto"/>
            <w:right w:val="none" w:sz="0" w:space="0" w:color="auto"/>
          </w:divBdr>
          <w:divsChild>
            <w:div w:id="528567075">
              <w:marLeft w:val="0"/>
              <w:marRight w:val="0"/>
              <w:marTop w:val="0"/>
              <w:marBottom w:val="0"/>
              <w:divBdr>
                <w:top w:val="none" w:sz="0" w:space="0" w:color="auto"/>
                <w:left w:val="none" w:sz="0" w:space="0" w:color="auto"/>
                <w:bottom w:val="none" w:sz="0" w:space="0" w:color="auto"/>
                <w:right w:val="none" w:sz="0" w:space="0" w:color="auto"/>
              </w:divBdr>
            </w:div>
          </w:divsChild>
        </w:div>
        <w:div w:id="298730398">
          <w:marLeft w:val="0"/>
          <w:marRight w:val="0"/>
          <w:marTop w:val="0"/>
          <w:marBottom w:val="0"/>
          <w:divBdr>
            <w:top w:val="none" w:sz="0" w:space="0" w:color="auto"/>
            <w:left w:val="none" w:sz="0" w:space="0" w:color="auto"/>
            <w:bottom w:val="none" w:sz="0" w:space="0" w:color="auto"/>
            <w:right w:val="none" w:sz="0" w:space="0" w:color="auto"/>
          </w:divBdr>
          <w:divsChild>
            <w:div w:id="469981150">
              <w:marLeft w:val="0"/>
              <w:marRight w:val="0"/>
              <w:marTop w:val="0"/>
              <w:marBottom w:val="0"/>
              <w:divBdr>
                <w:top w:val="none" w:sz="0" w:space="0" w:color="auto"/>
                <w:left w:val="none" w:sz="0" w:space="0" w:color="auto"/>
                <w:bottom w:val="none" w:sz="0" w:space="0" w:color="auto"/>
                <w:right w:val="none" w:sz="0" w:space="0" w:color="auto"/>
              </w:divBdr>
            </w:div>
          </w:divsChild>
        </w:div>
        <w:div w:id="313680127">
          <w:marLeft w:val="0"/>
          <w:marRight w:val="0"/>
          <w:marTop w:val="0"/>
          <w:marBottom w:val="0"/>
          <w:divBdr>
            <w:top w:val="none" w:sz="0" w:space="0" w:color="auto"/>
            <w:left w:val="none" w:sz="0" w:space="0" w:color="auto"/>
            <w:bottom w:val="none" w:sz="0" w:space="0" w:color="auto"/>
            <w:right w:val="none" w:sz="0" w:space="0" w:color="auto"/>
          </w:divBdr>
          <w:divsChild>
            <w:div w:id="1469126731">
              <w:marLeft w:val="0"/>
              <w:marRight w:val="0"/>
              <w:marTop w:val="0"/>
              <w:marBottom w:val="0"/>
              <w:divBdr>
                <w:top w:val="none" w:sz="0" w:space="0" w:color="auto"/>
                <w:left w:val="none" w:sz="0" w:space="0" w:color="auto"/>
                <w:bottom w:val="none" w:sz="0" w:space="0" w:color="auto"/>
                <w:right w:val="none" w:sz="0" w:space="0" w:color="auto"/>
              </w:divBdr>
            </w:div>
          </w:divsChild>
        </w:div>
        <w:div w:id="322701641">
          <w:marLeft w:val="0"/>
          <w:marRight w:val="0"/>
          <w:marTop w:val="0"/>
          <w:marBottom w:val="0"/>
          <w:divBdr>
            <w:top w:val="none" w:sz="0" w:space="0" w:color="auto"/>
            <w:left w:val="none" w:sz="0" w:space="0" w:color="auto"/>
            <w:bottom w:val="none" w:sz="0" w:space="0" w:color="auto"/>
            <w:right w:val="none" w:sz="0" w:space="0" w:color="auto"/>
          </w:divBdr>
          <w:divsChild>
            <w:div w:id="1304001298">
              <w:marLeft w:val="0"/>
              <w:marRight w:val="0"/>
              <w:marTop w:val="0"/>
              <w:marBottom w:val="0"/>
              <w:divBdr>
                <w:top w:val="none" w:sz="0" w:space="0" w:color="auto"/>
                <w:left w:val="none" w:sz="0" w:space="0" w:color="auto"/>
                <w:bottom w:val="none" w:sz="0" w:space="0" w:color="auto"/>
                <w:right w:val="none" w:sz="0" w:space="0" w:color="auto"/>
              </w:divBdr>
            </w:div>
          </w:divsChild>
        </w:div>
        <w:div w:id="322978448">
          <w:marLeft w:val="0"/>
          <w:marRight w:val="0"/>
          <w:marTop w:val="0"/>
          <w:marBottom w:val="0"/>
          <w:divBdr>
            <w:top w:val="none" w:sz="0" w:space="0" w:color="auto"/>
            <w:left w:val="none" w:sz="0" w:space="0" w:color="auto"/>
            <w:bottom w:val="none" w:sz="0" w:space="0" w:color="auto"/>
            <w:right w:val="none" w:sz="0" w:space="0" w:color="auto"/>
          </w:divBdr>
          <w:divsChild>
            <w:div w:id="1497957970">
              <w:marLeft w:val="0"/>
              <w:marRight w:val="0"/>
              <w:marTop w:val="0"/>
              <w:marBottom w:val="0"/>
              <w:divBdr>
                <w:top w:val="none" w:sz="0" w:space="0" w:color="auto"/>
                <w:left w:val="none" w:sz="0" w:space="0" w:color="auto"/>
                <w:bottom w:val="none" w:sz="0" w:space="0" w:color="auto"/>
                <w:right w:val="none" w:sz="0" w:space="0" w:color="auto"/>
              </w:divBdr>
            </w:div>
          </w:divsChild>
        </w:div>
        <w:div w:id="324893311">
          <w:marLeft w:val="0"/>
          <w:marRight w:val="0"/>
          <w:marTop w:val="0"/>
          <w:marBottom w:val="0"/>
          <w:divBdr>
            <w:top w:val="none" w:sz="0" w:space="0" w:color="auto"/>
            <w:left w:val="none" w:sz="0" w:space="0" w:color="auto"/>
            <w:bottom w:val="none" w:sz="0" w:space="0" w:color="auto"/>
            <w:right w:val="none" w:sz="0" w:space="0" w:color="auto"/>
          </w:divBdr>
          <w:divsChild>
            <w:div w:id="1832673340">
              <w:marLeft w:val="0"/>
              <w:marRight w:val="0"/>
              <w:marTop w:val="0"/>
              <w:marBottom w:val="0"/>
              <w:divBdr>
                <w:top w:val="none" w:sz="0" w:space="0" w:color="auto"/>
                <w:left w:val="none" w:sz="0" w:space="0" w:color="auto"/>
                <w:bottom w:val="none" w:sz="0" w:space="0" w:color="auto"/>
                <w:right w:val="none" w:sz="0" w:space="0" w:color="auto"/>
              </w:divBdr>
            </w:div>
          </w:divsChild>
        </w:div>
        <w:div w:id="360671699">
          <w:marLeft w:val="0"/>
          <w:marRight w:val="0"/>
          <w:marTop w:val="0"/>
          <w:marBottom w:val="0"/>
          <w:divBdr>
            <w:top w:val="none" w:sz="0" w:space="0" w:color="auto"/>
            <w:left w:val="none" w:sz="0" w:space="0" w:color="auto"/>
            <w:bottom w:val="none" w:sz="0" w:space="0" w:color="auto"/>
            <w:right w:val="none" w:sz="0" w:space="0" w:color="auto"/>
          </w:divBdr>
          <w:divsChild>
            <w:div w:id="1527517933">
              <w:marLeft w:val="0"/>
              <w:marRight w:val="0"/>
              <w:marTop w:val="0"/>
              <w:marBottom w:val="0"/>
              <w:divBdr>
                <w:top w:val="none" w:sz="0" w:space="0" w:color="auto"/>
                <w:left w:val="none" w:sz="0" w:space="0" w:color="auto"/>
                <w:bottom w:val="none" w:sz="0" w:space="0" w:color="auto"/>
                <w:right w:val="none" w:sz="0" w:space="0" w:color="auto"/>
              </w:divBdr>
            </w:div>
          </w:divsChild>
        </w:div>
        <w:div w:id="389813451">
          <w:marLeft w:val="0"/>
          <w:marRight w:val="0"/>
          <w:marTop w:val="0"/>
          <w:marBottom w:val="0"/>
          <w:divBdr>
            <w:top w:val="none" w:sz="0" w:space="0" w:color="auto"/>
            <w:left w:val="none" w:sz="0" w:space="0" w:color="auto"/>
            <w:bottom w:val="none" w:sz="0" w:space="0" w:color="auto"/>
            <w:right w:val="none" w:sz="0" w:space="0" w:color="auto"/>
          </w:divBdr>
          <w:divsChild>
            <w:div w:id="1377655308">
              <w:marLeft w:val="0"/>
              <w:marRight w:val="0"/>
              <w:marTop w:val="0"/>
              <w:marBottom w:val="0"/>
              <w:divBdr>
                <w:top w:val="none" w:sz="0" w:space="0" w:color="auto"/>
                <w:left w:val="none" w:sz="0" w:space="0" w:color="auto"/>
                <w:bottom w:val="none" w:sz="0" w:space="0" w:color="auto"/>
                <w:right w:val="none" w:sz="0" w:space="0" w:color="auto"/>
              </w:divBdr>
            </w:div>
          </w:divsChild>
        </w:div>
        <w:div w:id="392319357">
          <w:marLeft w:val="0"/>
          <w:marRight w:val="0"/>
          <w:marTop w:val="0"/>
          <w:marBottom w:val="0"/>
          <w:divBdr>
            <w:top w:val="none" w:sz="0" w:space="0" w:color="auto"/>
            <w:left w:val="none" w:sz="0" w:space="0" w:color="auto"/>
            <w:bottom w:val="none" w:sz="0" w:space="0" w:color="auto"/>
            <w:right w:val="none" w:sz="0" w:space="0" w:color="auto"/>
          </w:divBdr>
          <w:divsChild>
            <w:div w:id="657654621">
              <w:marLeft w:val="0"/>
              <w:marRight w:val="0"/>
              <w:marTop w:val="0"/>
              <w:marBottom w:val="0"/>
              <w:divBdr>
                <w:top w:val="none" w:sz="0" w:space="0" w:color="auto"/>
                <w:left w:val="none" w:sz="0" w:space="0" w:color="auto"/>
                <w:bottom w:val="none" w:sz="0" w:space="0" w:color="auto"/>
                <w:right w:val="none" w:sz="0" w:space="0" w:color="auto"/>
              </w:divBdr>
            </w:div>
          </w:divsChild>
        </w:div>
        <w:div w:id="401803271">
          <w:marLeft w:val="0"/>
          <w:marRight w:val="0"/>
          <w:marTop w:val="0"/>
          <w:marBottom w:val="0"/>
          <w:divBdr>
            <w:top w:val="none" w:sz="0" w:space="0" w:color="auto"/>
            <w:left w:val="none" w:sz="0" w:space="0" w:color="auto"/>
            <w:bottom w:val="none" w:sz="0" w:space="0" w:color="auto"/>
            <w:right w:val="none" w:sz="0" w:space="0" w:color="auto"/>
          </w:divBdr>
          <w:divsChild>
            <w:div w:id="78908074">
              <w:marLeft w:val="0"/>
              <w:marRight w:val="0"/>
              <w:marTop w:val="0"/>
              <w:marBottom w:val="0"/>
              <w:divBdr>
                <w:top w:val="none" w:sz="0" w:space="0" w:color="auto"/>
                <w:left w:val="none" w:sz="0" w:space="0" w:color="auto"/>
                <w:bottom w:val="none" w:sz="0" w:space="0" w:color="auto"/>
                <w:right w:val="none" w:sz="0" w:space="0" w:color="auto"/>
              </w:divBdr>
            </w:div>
          </w:divsChild>
        </w:div>
        <w:div w:id="458691957">
          <w:marLeft w:val="0"/>
          <w:marRight w:val="0"/>
          <w:marTop w:val="0"/>
          <w:marBottom w:val="0"/>
          <w:divBdr>
            <w:top w:val="none" w:sz="0" w:space="0" w:color="auto"/>
            <w:left w:val="none" w:sz="0" w:space="0" w:color="auto"/>
            <w:bottom w:val="none" w:sz="0" w:space="0" w:color="auto"/>
            <w:right w:val="none" w:sz="0" w:space="0" w:color="auto"/>
          </w:divBdr>
          <w:divsChild>
            <w:div w:id="442727203">
              <w:marLeft w:val="0"/>
              <w:marRight w:val="0"/>
              <w:marTop w:val="0"/>
              <w:marBottom w:val="0"/>
              <w:divBdr>
                <w:top w:val="none" w:sz="0" w:space="0" w:color="auto"/>
                <w:left w:val="none" w:sz="0" w:space="0" w:color="auto"/>
                <w:bottom w:val="none" w:sz="0" w:space="0" w:color="auto"/>
                <w:right w:val="none" w:sz="0" w:space="0" w:color="auto"/>
              </w:divBdr>
            </w:div>
          </w:divsChild>
        </w:div>
        <w:div w:id="570503443">
          <w:marLeft w:val="0"/>
          <w:marRight w:val="0"/>
          <w:marTop w:val="0"/>
          <w:marBottom w:val="0"/>
          <w:divBdr>
            <w:top w:val="none" w:sz="0" w:space="0" w:color="auto"/>
            <w:left w:val="none" w:sz="0" w:space="0" w:color="auto"/>
            <w:bottom w:val="none" w:sz="0" w:space="0" w:color="auto"/>
            <w:right w:val="none" w:sz="0" w:space="0" w:color="auto"/>
          </w:divBdr>
          <w:divsChild>
            <w:div w:id="2039117770">
              <w:marLeft w:val="0"/>
              <w:marRight w:val="0"/>
              <w:marTop w:val="0"/>
              <w:marBottom w:val="0"/>
              <w:divBdr>
                <w:top w:val="none" w:sz="0" w:space="0" w:color="auto"/>
                <w:left w:val="none" w:sz="0" w:space="0" w:color="auto"/>
                <w:bottom w:val="none" w:sz="0" w:space="0" w:color="auto"/>
                <w:right w:val="none" w:sz="0" w:space="0" w:color="auto"/>
              </w:divBdr>
            </w:div>
          </w:divsChild>
        </w:div>
        <w:div w:id="587469086">
          <w:marLeft w:val="0"/>
          <w:marRight w:val="0"/>
          <w:marTop w:val="0"/>
          <w:marBottom w:val="0"/>
          <w:divBdr>
            <w:top w:val="none" w:sz="0" w:space="0" w:color="auto"/>
            <w:left w:val="none" w:sz="0" w:space="0" w:color="auto"/>
            <w:bottom w:val="none" w:sz="0" w:space="0" w:color="auto"/>
            <w:right w:val="none" w:sz="0" w:space="0" w:color="auto"/>
          </w:divBdr>
          <w:divsChild>
            <w:div w:id="711348013">
              <w:marLeft w:val="0"/>
              <w:marRight w:val="0"/>
              <w:marTop w:val="0"/>
              <w:marBottom w:val="0"/>
              <w:divBdr>
                <w:top w:val="none" w:sz="0" w:space="0" w:color="auto"/>
                <w:left w:val="none" w:sz="0" w:space="0" w:color="auto"/>
                <w:bottom w:val="none" w:sz="0" w:space="0" w:color="auto"/>
                <w:right w:val="none" w:sz="0" w:space="0" w:color="auto"/>
              </w:divBdr>
            </w:div>
          </w:divsChild>
        </w:div>
        <w:div w:id="587469471">
          <w:marLeft w:val="0"/>
          <w:marRight w:val="0"/>
          <w:marTop w:val="0"/>
          <w:marBottom w:val="0"/>
          <w:divBdr>
            <w:top w:val="none" w:sz="0" w:space="0" w:color="auto"/>
            <w:left w:val="none" w:sz="0" w:space="0" w:color="auto"/>
            <w:bottom w:val="none" w:sz="0" w:space="0" w:color="auto"/>
            <w:right w:val="none" w:sz="0" w:space="0" w:color="auto"/>
          </w:divBdr>
          <w:divsChild>
            <w:div w:id="1409772249">
              <w:marLeft w:val="0"/>
              <w:marRight w:val="0"/>
              <w:marTop w:val="0"/>
              <w:marBottom w:val="0"/>
              <w:divBdr>
                <w:top w:val="none" w:sz="0" w:space="0" w:color="auto"/>
                <w:left w:val="none" w:sz="0" w:space="0" w:color="auto"/>
                <w:bottom w:val="none" w:sz="0" w:space="0" w:color="auto"/>
                <w:right w:val="none" w:sz="0" w:space="0" w:color="auto"/>
              </w:divBdr>
            </w:div>
          </w:divsChild>
        </w:div>
        <w:div w:id="624310406">
          <w:marLeft w:val="0"/>
          <w:marRight w:val="0"/>
          <w:marTop w:val="0"/>
          <w:marBottom w:val="0"/>
          <w:divBdr>
            <w:top w:val="none" w:sz="0" w:space="0" w:color="auto"/>
            <w:left w:val="none" w:sz="0" w:space="0" w:color="auto"/>
            <w:bottom w:val="none" w:sz="0" w:space="0" w:color="auto"/>
            <w:right w:val="none" w:sz="0" w:space="0" w:color="auto"/>
          </w:divBdr>
          <w:divsChild>
            <w:div w:id="1168786094">
              <w:marLeft w:val="0"/>
              <w:marRight w:val="0"/>
              <w:marTop w:val="0"/>
              <w:marBottom w:val="0"/>
              <w:divBdr>
                <w:top w:val="none" w:sz="0" w:space="0" w:color="auto"/>
                <w:left w:val="none" w:sz="0" w:space="0" w:color="auto"/>
                <w:bottom w:val="none" w:sz="0" w:space="0" w:color="auto"/>
                <w:right w:val="none" w:sz="0" w:space="0" w:color="auto"/>
              </w:divBdr>
            </w:div>
          </w:divsChild>
        </w:div>
        <w:div w:id="719133006">
          <w:marLeft w:val="0"/>
          <w:marRight w:val="0"/>
          <w:marTop w:val="0"/>
          <w:marBottom w:val="0"/>
          <w:divBdr>
            <w:top w:val="none" w:sz="0" w:space="0" w:color="auto"/>
            <w:left w:val="none" w:sz="0" w:space="0" w:color="auto"/>
            <w:bottom w:val="none" w:sz="0" w:space="0" w:color="auto"/>
            <w:right w:val="none" w:sz="0" w:space="0" w:color="auto"/>
          </w:divBdr>
          <w:divsChild>
            <w:div w:id="2139911964">
              <w:marLeft w:val="0"/>
              <w:marRight w:val="0"/>
              <w:marTop w:val="0"/>
              <w:marBottom w:val="0"/>
              <w:divBdr>
                <w:top w:val="none" w:sz="0" w:space="0" w:color="auto"/>
                <w:left w:val="none" w:sz="0" w:space="0" w:color="auto"/>
                <w:bottom w:val="none" w:sz="0" w:space="0" w:color="auto"/>
                <w:right w:val="none" w:sz="0" w:space="0" w:color="auto"/>
              </w:divBdr>
            </w:div>
          </w:divsChild>
        </w:div>
        <w:div w:id="720785903">
          <w:marLeft w:val="0"/>
          <w:marRight w:val="0"/>
          <w:marTop w:val="0"/>
          <w:marBottom w:val="0"/>
          <w:divBdr>
            <w:top w:val="none" w:sz="0" w:space="0" w:color="auto"/>
            <w:left w:val="none" w:sz="0" w:space="0" w:color="auto"/>
            <w:bottom w:val="none" w:sz="0" w:space="0" w:color="auto"/>
            <w:right w:val="none" w:sz="0" w:space="0" w:color="auto"/>
          </w:divBdr>
          <w:divsChild>
            <w:div w:id="2099475912">
              <w:marLeft w:val="0"/>
              <w:marRight w:val="0"/>
              <w:marTop w:val="0"/>
              <w:marBottom w:val="0"/>
              <w:divBdr>
                <w:top w:val="none" w:sz="0" w:space="0" w:color="auto"/>
                <w:left w:val="none" w:sz="0" w:space="0" w:color="auto"/>
                <w:bottom w:val="none" w:sz="0" w:space="0" w:color="auto"/>
                <w:right w:val="none" w:sz="0" w:space="0" w:color="auto"/>
              </w:divBdr>
            </w:div>
          </w:divsChild>
        </w:div>
        <w:div w:id="733283667">
          <w:marLeft w:val="0"/>
          <w:marRight w:val="0"/>
          <w:marTop w:val="0"/>
          <w:marBottom w:val="0"/>
          <w:divBdr>
            <w:top w:val="none" w:sz="0" w:space="0" w:color="auto"/>
            <w:left w:val="none" w:sz="0" w:space="0" w:color="auto"/>
            <w:bottom w:val="none" w:sz="0" w:space="0" w:color="auto"/>
            <w:right w:val="none" w:sz="0" w:space="0" w:color="auto"/>
          </w:divBdr>
          <w:divsChild>
            <w:div w:id="410271376">
              <w:marLeft w:val="0"/>
              <w:marRight w:val="0"/>
              <w:marTop w:val="0"/>
              <w:marBottom w:val="0"/>
              <w:divBdr>
                <w:top w:val="none" w:sz="0" w:space="0" w:color="auto"/>
                <w:left w:val="none" w:sz="0" w:space="0" w:color="auto"/>
                <w:bottom w:val="none" w:sz="0" w:space="0" w:color="auto"/>
                <w:right w:val="none" w:sz="0" w:space="0" w:color="auto"/>
              </w:divBdr>
            </w:div>
          </w:divsChild>
        </w:div>
        <w:div w:id="791556330">
          <w:marLeft w:val="0"/>
          <w:marRight w:val="0"/>
          <w:marTop w:val="0"/>
          <w:marBottom w:val="0"/>
          <w:divBdr>
            <w:top w:val="none" w:sz="0" w:space="0" w:color="auto"/>
            <w:left w:val="none" w:sz="0" w:space="0" w:color="auto"/>
            <w:bottom w:val="none" w:sz="0" w:space="0" w:color="auto"/>
            <w:right w:val="none" w:sz="0" w:space="0" w:color="auto"/>
          </w:divBdr>
          <w:divsChild>
            <w:div w:id="323625257">
              <w:marLeft w:val="0"/>
              <w:marRight w:val="0"/>
              <w:marTop w:val="0"/>
              <w:marBottom w:val="0"/>
              <w:divBdr>
                <w:top w:val="none" w:sz="0" w:space="0" w:color="auto"/>
                <w:left w:val="none" w:sz="0" w:space="0" w:color="auto"/>
                <w:bottom w:val="none" w:sz="0" w:space="0" w:color="auto"/>
                <w:right w:val="none" w:sz="0" w:space="0" w:color="auto"/>
              </w:divBdr>
            </w:div>
          </w:divsChild>
        </w:div>
        <w:div w:id="813571730">
          <w:marLeft w:val="0"/>
          <w:marRight w:val="0"/>
          <w:marTop w:val="0"/>
          <w:marBottom w:val="0"/>
          <w:divBdr>
            <w:top w:val="none" w:sz="0" w:space="0" w:color="auto"/>
            <w:left w:val="none" w:sz="0" w:space="0" w:color="auto"/>
            <w:bottom w:val="none" w:sz="0" w:space="0" w:color="auto"/>
            <w:right w:val="none" w:sz="0" w:space="0" w:color="auto"/>
          </w:divBdr>
          <w:divsChild>
            <w:div w:id="589194078">
              <w:marLeft w:val="0"/>
              <w:marRight w:val="0"/>
              <w:marTop w:val="0"/>
              <w:marBottom w:val="0"/>
              <w:divBdr>
                <w:top w:val="none" w:sz="0" w:space="0" w:color="auto"/>
                <w:left w:val="none" w:sz="0" w:space="0" w:color="auto"/>
                <w:bottom w:val="none" w:sz="0" w:space="0" w:color="auto"/>
                <w:right w:val="none" w:sz="0" w:space="0" w:color="auto"/>
              </w:divBdr>
            </w:div>
          </w:divsChild>
        </w:div>
        <w:div w:id="817188540">
          <w:marLeft w:val="0"/>
          <w:marRight w:val="0"/>
          <w:marTop w:val="0"/>
          <w:marBottom w:val="0"/>
          <w:divBdr>
            <w:top w:val="none" w:sz="0" w:space="0" w:color="auto"/>
            <w:left w:val="none" w:sz="0" w:space="0" w:color="auto"/>
            <w:bottom w:val="none" w:sz="0" w:space="0" w:color="auto"/>
            <w:right w:val="none" w:sz="0" w:space="0" w:color="auto"/>
          </w:divBdr>
          <w:divsChild>
            <w:div w:id="1019701777">
              <w:marLeft w:val="0"/>
              <w:marRight w:val="0"/>
              <w:marTop w:val="0"/>
              <w:marBottom w:val="0"/>
              <w:divBdr>
                <w:top w:val="none" w:sz="0" w:space="0" w:color="auto"/>
                <w:left w:val="none" w:sz="0" w:space="0" w:color="auto"/>
                <w:bottom w:val="none" w:sz="0" w:space="0" w:color="auto"/>
                <w:right w:val="none" w:sz="0" w:space="0" w:color="auto"/>
              </w:divBdr>
            </w:div>
          </w:divsChild>
        </w:div>
        <w:div w:id="837963451">
          <w:marLeft w:val="0"/>
          <w:marRight w:val="0"/>
          <w:marTop w:val="0"/>
          <w:marBottom w:val="0"/>
          <w:divBdr>
            <w:top w:val="none" w:sz="0" w:space="0" w:color="auto"/>
            <w:left w:val="none" w:sz="0" w:space="0" w:color="auto"/>
            <w:bottom w:val="none" w:sz="0" w:space="0" w:color="auto"/>
            <w:right w:val="none" w:sz="0" w:space="0" w:color="auto"/>
          </w:divBdr>
          <w:divsChild>
            <w:div w:id="1131558020">
              <w:marLeft w:val="0"/>
              <w:marRight w:val="0"/>
              <w:marTop w:val="0"/>
              <w:marBottom w:val="0"/>
              <w:divBdr>
                <w:top w:val="none" w:sz="0" w:space="0" w:color="auto"/>
                <w:left w:val="none" w:sz="0" w:space="0" w:color="auto"/>
                <w:bottom w:val="none" w:sz="0" w:space="0" w:color="auto"/>
                <w:right w:val="none" w:sz="0" w:space="0" w:color="auto"/>
              </w:divBdr>
            </w:div>
          </w:divsChild>
        </w:div>
        <w:div w:id="845440339">
          <w:marLeft w:val="0"/>
          <w:marRight w:val="0"/>
          <w:marTop w:val="0"/>
          <w:marBottom w:val="0"/>
          <w:divBdr>
            <w:top w:val="none" w:sz="0" w:space="0" w:color="auto"/>
            <w:left w:val="none" w:sz="0" w:space="0" w:color="auto"/>
            <w:bottom w:val="none" w:sz="0" w:space="0" w:color="auto"/>
            <w:right w:val="none" w:sz="0" w:space="0" w:color="auto"/>
          </w:divBdr>
          <w:divsChild>
            <w:div w:id="461654383">
              <w:marLeft w:val="0"/>
              <w:marRight w:val="0"/>
              <w:marTop w:val="0"/>
              <w:marBottom w:val="0"/>
              <w:divBdr>
                <w:top w:val="none" w:sz="0" w:space="0" w:color="auto"/>
                <w:left w:val="none" w:sz="0" w:space="0" w:color="auto"/>
                <w:bottom w:val="none" w:sz="0" w:space="0" w:color="auto"/>
                <w:right w:val="none" w:sz="0" w:space="0" w:color="auto"/>
              </w:divBdr>
            </w:div>
          </w:divsChild>
        </w:div>
        <w:div w:id="864174924">
          <w:marLeft w:val="0"/>
          <w:marRight w:val="0"/>
          <w:marTop w:val="0"/>
          <w:marBottom w:val="0"/>
          <w:divBdr>
            <w:top w:val="none" w:sz="0" w:space="0" w:color="auto"/>
            <w:left w:val="none" w:sz="0" w:space="0" w:color="auto"/>
            <w:bottom w:val="none" w:sz="0" w:space="0" w:color="auto"/>
            <w:right w:val="none" w:sz="0" w:space="0" w:color="auto"/>
          </w:divBdr>
          <w:divsChild>
            <w:div w:id="2093818870">
              <w:marLeft w:val="0"/>
              <w:marRight w:val="0"/>
              <w:marTop w:val="0"/>
              <w:marBottom w:val="0"/>
              <w:divBdr>
                <w:top w:val="none" w:sz="0" w:space="0" w:color="auto"/>
                <w:left w:val="none" w:sz="0" w:space="0" w:color="auto"/>
                <w:bottom w:val="none" w:sz="0" w:space="0" w:color="auto"/>
                <w:right w:val="none" w:sz="0" w:space="0" w:color="auto"/>
              </w:divBdr>
            </w:div>
          </w:divsChild>
        </w:div>
        <w:div w:id="930119434">
          <w:marLeft w:val="0"/>
          <w:marRight w:val="0"/>
          <w:marTop w:val="0"/>
          <w:marBottom w:val="0"/>
          <w:divBdr>
            <w:top w:val="none" w:sz="0" w:space="0" w:color="auto"/>
            <w:left w:val="none" w:sz="0" w:space="0" w:color="auto"/>
            <w:bottom w:val="none" w:sz="0" w:space="0" w:color="auto"/>
            <w:right w:val="none" w:sz="0" w:space="0" w:color="auto"/>
          </w:divBdr>
          <w:divsChild>
            <w:div w:id="777263537">
              <w:marLeft w:val="0"/>
              <w:marRight w:val="0"/>
              <w:marTop w:val="0"/>
              <w:marBottom w:val="0"/>
              <w:divBdr>
                <w:top w:val="none" w:sz="0" w:space="0" w:color="auto"/>
                <w:left w:val="none" w:sz="0" w:space="0" w:color="auto"/>
                <w:bottom w:val="none" w:sz="0" w:space="0" w:color="auto"/>
                <w:right w:val="none" w:sz="0" w:space="0" w:color="auto"/>
              </w:divBdr>
            </w:div>
          </w:divsChild>
        </w:div>
        <w:div w:id="958686654">
          <w:marLeft w:val="0"/>
          <w:marRight w:val="0"/>
          <w:marTop w:val="0"/>
          <w:marBottom w:val="0"/>
          <w:divBdr>
            <w:top w:val="none" w:sz="0" w:space="0" w:color="auto"/>
            <w:left w:val="none" w:sz="0" w:space="0" w:color="auto"/>
            <w:bottom w:val="none" w:sz="0" w:space="0" w:color="auto"/>
            <w:right w:val="none" w:sz="0" w:space="0" w:color="auto"/>
          </w:divBdr>
          <w:divsChild>
            <w:div w:id="1767070998">
              <w:marLeft w:val="0"/>
              <w:marRight w:val="0"/>
              <w:marTop w:val="0"/>
              <w:marBottom w:val="0"/>
              <w:divBdr>
                <w:top w:val="none" w:sz="0" w:space="0" w:color="auto"/>
                <w:left w:val="none" w:sz="0" w:space="0" w:color="auto"/>
                <w:bottom w:val="none" w:sz="0" w:space="0" w:color="auto"/>
                <w:right w:val="none" w:sz="0" w:space="0" w:color="auto"/>
              </w:divBdr>
            </w:div>
          </w:divsChild>
        </w:div>
        <w:div w:id="986476093">
          <w:marLeft w:val="0"/>
          <w:marRight w:val="0"/>
          <w:marTop w:val="0"/>
          <w:marBottom w:val="0"/>
          <w:divBdr>
            <w:top w:val="none" w:sz="0" w:space="0" w:color="auto"/>
            <w:left w:val="none" w:sz="0" w:space="0" w:color="auto"/>
            <w:bottom w:val="none" w:sz="0" w:space="0" w:color="auto"/>
            <w:right w:val="none" w:sz="0" w:space="0" w:color="auto"/>
          </w:divBdr>
          <w:divsChild>
            <w:div w:id="272178012">
              <w:marLeft w:val="0"/>
              <w:marRight w:val="0"/>
              <w:marTop w:val="0"/>
              <w:marBottom w:val="0"/>
              <w:divBdr>
                <w:top w:val="none" w:sz="0" w:space="0" w:color="auto"/>
                <w:left w:val="none" w:sz="0" w:space="0" w:color="auto"/>
                <w:bottom w:val="none" w:sz="0" w:space="0" w:color="auto"/>
                <w:right w:val="none" w:sz="0" w:space="0" w:color="auto"/>
              </w:divBdr>
            </w:div>
          </w:divsChild>
        </w:div>
        <w:div w:id="991449759">
          <w:marLeft w:val="0"/>
          <w:marRight w:val="0"/>
          <w:marTop w:val="0"/>
          <w:marBottom w:val="0"/>
          <w:divBdr>
            <w:top w:val="none" w:sz="0" w:space="0" w:color="auto"/>
            <w:left w:val="none" w:sz="0" w:space="0" w:color="auto"/>
            <w:bottom w:val="none" w:sz="0" w:space="0" w:color="auto"/>
            <w:right w:val="none" w:sz="0" w:space="0" w:color="auto"/>
          </w:divBdr>
          <w:divsChild>
            <w:div w:id="1781029279">
              <w:marLeft w:val="0"/>
              <w:marRight w:val="0"/>
              <w:marTop w:val="0"/>
              <w:marBottom w:val="0"/>
              <w:divBdr>
                <w:top w:val="none" w:sz="0" w:space="0" w:color="auto"/>
                <w:left w:val="none" w:sz="0" w:space="0" w:color="auto"/>
                <w:bottom w:val="none" w:sz="0" w:space="0" w:color="auto"/>
                <w:right w:val="none" w:sz="0" w:space="0" w:color="auto"/>
              </w:divBdr>
            </w:div>
          </w:divsChild>
        </w:div>
        <w:div w:id="1059473785">
          <w:marLeft w:val="0"/>
          <w:marRight w:val="0"/>
          <w:marTop w:val="0"/>
          <w:marBottom w:val="0"/>
          <w:divBdr>
            <w:top w:val="none" w:sz="0" w:space="0" w:color="auto"/>
            <w:left w:val="none" w:sz="0" w:space="0" w:color="auto"/>
            <w:bottom w:val="none" w:sz="0" w:space="0" w:color="auto"/>
            <w:right w:val="none" w:sz="0" w:space="0" w:color="auto"/>
          </w:divBdr>
          <w:divsChild>
            <w:div w:id="1168441589">
              <w:marLeft w:val="0"/>
              <w:marRight w:val="0"/>
              <w:marTop w:val="0"/>
              <w:marBottom w:val="0"/>
              <w:divBdr>
                <w:top w:val="none" w:sz="0" w:space="0" w:color="auto"/>
                <w:left w:val="none" w:sz="0" w:space="0" w:color="auto"/>
                <w:bottom w:val="none" w:sz="0" w:space="0" w:color="auto"/>
                <w:right w:val="none" w:sz="0" w:space="0" w:color="auto"/>
              </w:divBdr>
            </w:div>
          </w:divsChild>
        </w:div>
        <w:div w:id="1107848475">
          <w:marLeft w:val="0"/>
          <w:marRight w:val="0"/>
          <w:marTop w:val="0"/>
          <w:marBottom w:val="0"/>
          <w:divBdr>
            <w:top w:val="none" w:sz="0" w:space="0" w:color="auto"/>
            <w:left w:val="none" w:sz="0" w:space="0" w:color="auto"/>
            <w:bottom w:val="none" w:sz="0" w:space="0" w:color="auto"/>
            <w:right w:val="none" w:sz="0" w:space="0" w:color="auto"/>
          </w:divBdr>
          <w:divsChild>
            <w:div w:id="1472283140">
              <w:marLeft w:val="0"/>
              <w:marRight w:val="0"/>
              <w:marTop w:val="0"/>
              <w:marBottom w:val="0"/>
              <w:divBdr>
                <w:top w:val="none" w:sz="0" w:space="0" w:color="auto"/>
                <w:left w:val="none" w:sz="0" w:space="0" w:color="auto"/>
                <w:bottom w:val="none" w:sz="0" w:space="0" w:color="auto"/>
                <w:right w:val="none" w:sz="0" w:space="0" w:color="auto"/>
              </w:divBdr>
            </w:div>
          </w:divsChild>
        </w:div>
        <w:div w:id="1165778589">
          <w:marLeft w:val="0"/>
          <w:marRight w:val="0"/>
          <w:marTop w:val="0"/>
          <w:marBottom w:val="0"/>
          <w:divBdr>
            <w:top w:val="none" w:sz="0" w:space="0" w:color="auto"/>
            <w:left w:val="none" w:sz="0" w:space="0" w:color="auto"/>
            <w:bottom w:val="none" w:sz="0" w:space="0" w:color="auto"/>
            <w:right w:val="none" w:sz="0" w:space="0" w:color="auto"/>
          </w:divBdr>
          <w:divsChild>
            <w:div w:id="1518082972">
              <w:marLeft w:val="0"/>
              <w:marRight w:val="0"/>
              <w:marTop w:val="0"/>
              <w:marBottom w:val="0"/>
              <w:divBdr>
                <w:top w:val="none" w:sz="0" w:space="0" w:color="auto"/>
                <w:left w:val="none" w:sz="0" w:space="0" w:color="auto"/>
                <w:bottom w:val="none" w:sz="0" w:space="0" w:color="auto"/>
                <w:right w:val="none" w:sz="0" w:space="0" w:color="auto"/>
              </w:divBdr>
            </w:div>
          </w:divsChild>
        </w:div>
        <w:div w:id="1183712765">
          <w:marLeft w:val="0"/>
          <w:marRight w:val="0"/>
          <w:marTop w:val="0"/>
          <w:marBottom w:val="0"/>
          <w:divBdr>
            <w:top w:val="none" w:sz="0" w:space="0" w:color="auto"/>
            <w:left w:val="none" w:sz="0" w:space="0" w:color="auto"/>
            <w:bottom w:val="none" w:sz="0" w:space="0" w:color="auto"/>
            <w:right w:val="none" w:sz="0" w:space="0" w:color="auto"/>
          </w:divBdr>
          <w:divsChild>
            <w:div w:id="555972164">
              <w:marLeft w:val="0"/>
              <w:marRight w:val="0"/>
              <w:marTop w:val="0"/>
              <w:marBottom w:val="0"/>
              <w:divBdr>
                <w:top w:val="none" w:sz="0" w:space="0" w:color="auto"/>
                <w:left w:val="none" w:sz="0" w:space="0" w:color="auto"/>
                <w:bottom w:val="none" w:sz="0" w:space="0" w:color="auto"/>
                <w:right w:val="none" w:sz="0" w:space="0" w:color="auto"/>
              </w:divBdr>
            </w:div>
          </w:divsChild>
        </w:div>
        <w:div w:id="1189678039">
          <w:marLeft w:val="0"/>
          <w:marRight w:val="0"/>
          <w:marTop w:val="0"/>
          <w:marBottom w:val="0"/>
          <w:divBdr>
            <w:top w:val="none" w:sz="0" w:space="0" w:color="auto"/>
            <w:left w:val="none" w:sz="0" w:space="0" w:color="auto"/>
            <w:bottom w:val="none" w:sz="0" w:space="0" w:color="auto"/>
            <w:right w:val="none" w:sz="0" w:space="0" w:color="auto"/>
          </w:divBdr>
          <w:divsChild>
            <w:div w:id="1666398797">
              <w:marLeft w:val="0"/>
              <w:marRight w:val="0"/>
              <w:marTop w:val="0"/>
              <w:marBottom w:val="0"/>
              <w:divBdr>
                <w:top w:val="none" w:sz="0" w:space="0" w:color="auto"/>
                <w:left w:val="none" w:sz="0" w:space="0" w:color="auto"/>
                <w:bottom w:val="none" w:sz="0" w:space="0" w:color="auto"/>
                <w:right w:val="none" w:sz="0" w:space="0" w:color="auto"/>
              </w:divBdr>
            </w:div>
          </w:divsChild>
        </w:div>
        <w:div w:id="1239823346">
          <w:marLeft w:val="0"/>
          <w:marRight w:val="0"/>
          <w:marTop w:val="0"/>
          <w:marBottom w:val="0"/>
          <w:divBdr>
            <w:top w:val="none" w:sz="0" w:space="0" w:color="auto"/>
            <w:left w:val="none" w:sz="0" w:space="0" w:color="auto"/>
            <w:bottom w:val="none" w:sz="0" w:space="0" w:color="auto"/>
            <w:right w:val="none" w:sz="0" w:space="0" w:color="auto"/>
          </w:divBdr>
          <w:divsChild>
            <w:div w:id="247815960">
              <w:marLeft w:val="0"/>
              <w:marRight w:val="0"/>
              <w:marTop w:val="0"/>
              <w:marBottom w:val="0"/>
              <w:divBdr>
                <w:top w:val="none" w:sz="0" w:space="0" w:color="auto"/>
                <w:left w:val="none" w:sz="0" w:space="0" w:color="auto"/>
                <w:bottom w:val="none" w:sz="0" w:space="0" w:color="auto"/>
                <w:right w:val="none" w:sz="0" w:space="0" w:color="auto"/>
              </w:divBdr>
            </w:div>
          </w:divsChild>
        </w:div>
        <w:div w:id="1299724338">
          <w:marLeft w:val="0"/>
          <w:marRight w:val="0"/>
          <w:marTop w:val="0"/>
          <w:marBottom w:val="0"/>
          <w:divBdr>
            <w:top w:val="none" w:sz="0" w:space="0" w:color="auto"/>
            <w:left w:val="none" w:sz="0" w:space="0" w:color="auto"/>
            <w:bottom w:val="none" w:sz="0" w:space="0" w:color="auto"/>
            <w:right w:val="none" w:sz="0" w:space="0" w:color="auto"/>
          </w:divBdr>
          <w:divsChild>
            <w:div w:id="1231232828">
              <w:marLeft w:val="0"/>
              <w:marRight w:val="0"/>
              <w:marTop w:val="0"/>
              <w:marBottom w:val="0"/>
              <w:divBdr>
                <w:top w:val="none" w:sz="0" w:space="0" w:color="auto"/>
                <w:left w:val="none" w:sz="0" w:space="0" w:color="auto"/>
                <w:bottom w:val="none" w:sz="0" w:space="0" w:color="auto"/>
                <w:right w:val="none" w:sz="0" w:space="0" w:color="auto"/>
              </w:divBdr>
            </w:div>
          </w:divsChild>
        </w:div>
        <w:div w:id="1349327116">
          <w:marLeft w:val="0"/>
          <w:marRight w:val="0"/>
          <w:marTop w:val="0"/>
          <w:marBottom w:val="0"/>
          <w:divBdr>
            <w:top w:val="none" w:sz="0" w:space="0" w:color="auto"/>
            <w:left w:val="none" w:sz="0" w:space="0" w:color="auto"/>
            <w:bottom w:val="none" w:sz="0" w:space="0" w:color="auto"/>
            <w:right w:val="none" w:sz="0" w:space="0" w:color="auto"/>
          </w:divBdr>
          <w:divsChild>
            <w:div w:id="1115096286">
              <w:marLeft w:val="0"/>
              <w:marRight w:val="0"/>
              <w:marTop w:val="0"/>
              <w:marBottom w:val="0"/>
              <w:divBdr>
                <w:top w:val="none" w:sz="0" w:space="0" w:color="auto"/>
                <w:left w:val="none" w:sz="0" w:space="0" w:color="auto"/>
                <w:bottom w:val="none" w:sz="0" w:space="0" w:color="auto"/>
                <w:right w:val="none" w:sz="0" w:space="0" w:color="auto"/>
              </w:divBdr>
            </w:div>
          </w:divsChild>
        </w:div>
        <w:div w:id="1394083277">
          <w:marLeft w:val="0"/>
          <w:marRight w:val="0"/>
          <w:marTop w:val="0"/>
          <w:marBottom w:val="0"/>
          <w:divBdr>
            <w:top w:val="none" w:sz="0" w:space="0" w:color="auto"/>
            <w:left w:val="none" w:sz="0" w:space="0" w:color="auto"/>
            <w:bottom w:val="none" w:sz="0" w:space="0" w:color="auto"/>
            <w:right w:val="none" w:sz="0" w:space="0" w:color="auto"/>
          </w:divBdr>
          <w:divsChild>
            <w:div w:id="1021932080">
              <w:marLeft w:val="0"/>
              <w:marRight w:val="0"/>
              <w:marTop w:val="0"/>
              <w:marBottom w:val="0"/>
              <w:divBdr>
                <w:top w:val="none" w:sz="0" w:space="0" w:color="auto"/>
                <w:left w:val="none" w:sz="0" w:space="0" w:color="auto"/>
                <w:bottom w:val="none" w:sz="0" w:space="0" w:color="auto"/>
                <w:right w:val="none" w:sz="0" w:space="0" w:color="auto"/>
              </w:divBdr>
            </w:div>
          </w:divsChild>
        </w:div>
        <w:div w:id="1394112199">
          <w:marLeft w:val="0"/>
          <w:marRight w:val="0"/>
          <w:marTop w:val="0"/>
          <w:marBottom w:val="0"/>
          <w:divBdr>
            <w:top w:val="none" w:sz="0" w:space="0" w:color="auto"/>
            <w:left w:val="none" w:sz="0" w:space="0" w:color="auto"/>
            <w:bottom w:val="none" w:sz="0" w:space="0" w:color="auto"/>
            <w:right w:val="none" w:sz="0" w:space="0" w:color="auto"/>
          </w:divBdr>
          <w:divsChild>
            <w:div w:id="1274701817">
              <w:marLeft w:val="0"/>
              <w:marRight w:val="0"/>
              <w:marTop w:val="0"/>
              <w:marBottom w:val="0"/>
              <w:divBdr>
                <w:top w:val="none" w:sz="0" w:space="0" w:color="auto"/>
                <w:left w:val="none" w:sz="0" w:space="0" w:color="auto"/>
                <w:bottom w:val="none" w:sz="0" w:space="0" w:color="auto"/>
                <w:right w:val="none" w:sz="0" w:space="0" w:color="auto"/>
              </w:divBdr>
            </w:div>
          </w:divsChild>
        </w:div>
        <w:div w:id="1407917330">
          <w:marLeft w:val="0"/>
          <w:marRight w:val="0"/>
          <w:marTop w:val="0"/>
          <w:marBottom w:val="0"/>
          <w:divBdr>
            <w:top w:val="none" w:sz="0" w:space="0" w:color="auto"/>
            <w:left w:val="none" w:sz="0" w:space="0" w:color="auto"/>
            <w:bottom w:val="none" w:sz="0" w:space="0" w:color="auto"/>
            <w:right w:val="none" w:sz="0" w:space="0" w:color="auto"/>
          </w:divBdr>
          <w:divsChild>
            <w:div w:id="127356495">
              <w:marLeft w:val="0"/>
              <w:marRight w:val="0"/>
              <w:marTop w:val="0"/>
              <w:marBottom w:val="0"/>
              <w:divBdr>
                <w:top w:val="none" w:sz="0" w:space="0" w:color="auto"/>
                <w:left w:val="none" w:sz="0" w:space="0" w:color="auto"/>
                <w:bottom w:val="none" w:sz="0" w:space="0" w:color="auto"/>
                <w:right w:val="none" w:sz="0" w:space="0" w:color="auto"/>
              </w:divBdr>
            </w:div>
          </w:divsChild>
        </w:div>
        <w:div w:id="1417090596">
          <w:marLeft w:val="0"/>
          <w:marRight w:val="0"/>
          <w:marTop w:val="0"/>
          <w:marBottom w:val="0"/>
          <w:divBdr>
            <w:top w:val="none" w:sz="0" w:space="0" w:color="auto"/>
            <w:left w:val="none" w:sz="0" w:space="0" w:color="auto"/>
            <w:bottom w:val="none" w:sz="0" w:space="0" w:color="auto"/>
            <w:right w:val="none" w:sz="0" w:space="0" w:color="auto"/>
          </w:divBdr>
          <w:divsChild>
            <w:div w:id="1180854592">
              <w:marLeft w:val="0"/>
              <w:marRight w:val="0"/>
              <w:marTop w:val="0"/>
              <w:marBottom w:val="0"/>
              <w:divBdr>
                <w:top w:val="none" w:sz="0" w:space="0" w:color="auto"/>
                <w:left w:val="none" w:sz="0" w:space="0" w:color="auto"/>
                <w:bottom w:val="none" w:sz="0" w:space="0" w:color="auto"/>
                <w:right w:val="none" w:sz="0" w:space="0" w:color="auto"/>
              </w:divBdr>
            </w:div>
          </w:divsChild>
        </w:div>
        <w:div w:id="1419017610">
          <w:marLeft w:val="0"/>
          <w:marRight w:val="0"/>
          <w:marTop w:val="0"/>
          <w:marBottom w:val="0"/>
          <w:divBdr>
            <w:top w:val="none" w:sz="0" w:space="0" w:color="auto"/>
            <w:left w:val="none" w:sz="0" w:space="0" w:color="auto"/>
            <w:bottom w:val="none" w:sz="0" w:space="0" w:color="auto"/>
            <w:right w:val="none" w:sz="0" w:space="0" w:color="auto"/>
          </w:divBdr>
          <w:divsChild>
            <w:div w:id="522086363">
              <w:marLeft w:val="0"/>
              <w:marRight w:val="0"/>
              <w:marTop w:val="0"/>
              <w:marBottom w:val="0"/>
              <w:divBdr>
                <w:top w:val="none" w:sz="0" w:space="0" w:color="auto"/>
                <w:left w:val="none" w:sz="0" w:space="0" w:color="auto"/>
                <w:bottom w:val="none" w:sz="0" w:space="0" w:color="auto"/>
                <w:right w:val="none" w:sz="0" w:space="0" w:color="auto"/>
              </w:divBdr>
            </w:div>
          </w:divsChild>
        </w:div>
        <w:div w:id="1457605338">
          <w:marLeft w:val="0"/>
          <w:marRight w:val="0"/>
          <w:marTop w:val="0"/>
          <w:marBottom w:val="0"/>
          <w:divBdr>
            <w:top w:val="none" w:sz="0" w:space="0" w:color="auto"/>
            <w:left w:val="none" w:sz="0" w:space="0" w:color="auto"/>
            <w:bottom w:val="none" w:sz="0" w:space="0" w:color="auto"/>
            <w:right w:val="none" w:sz="0" w:space="0" w:color="auto"/>
          </w:divBdr>
          <w:divsChild>
            <w:div w:id="785779578">
              <w:marLeft w:val="0"/>
              <w:marRight w:val="0"/>
              <w:marTop w:val="0"/>
              <w:marBottom w:val="0"/>
              <w:divBdr>
                <w:top w:val="none" w:sz="0" w:space="0" w:color="auto"/>
                <w:left w:val="none" w:sz="0" w:space="0" w:color="auto"/>
                <w:bottom w:val="none" w:sz="0" w:space="0" w:color="auto"/>
                <w:right w:val="none" w:sz="0" w:space="0" w:color="auto"/>
              </w:divBdr>
            </w:div>
          </w:divsChild>
        </w:div>
        <w:div w:id="1501239036">
          <w:marLeft w:val="0"/>
          <w:marRight w:val="0"/>
          <w:marTop w:val="0"/>
          <w:marBottom w:val="0"/>
          <w:divBdr>
            <w:top w:val="none" w:sz="0" w:space="0" w:color="auto"/>
            <w:left w:val="none" w:sz="0" w:space="0" w:color="auto"/>
            <w:bottom w:val="none" w:sz="0" w:space="0" w:color="auto"/>
            <w:right w:val="none" w:sz="0" w:space="0" w:color="auto"/>
          </w:divBdr>
          <w:divsChild>
            <w:div w:id="957302157">
              <w:marLeft w:val="0"/>
              <w:marRight w:val="0"/>
              <w:marTop w:val="0"/>
              <w:marBottom w:val="0"/>
              <w:divBdr>
                <w:top w:val="none" w:sz="0" w:space="0" w:color="auto"/>
                <w:left w:val="none" w:sz="0" w:space="0" w:color="auto"/>
                <w:bottom w:val="none" w:sz="0" w:space="0" w:color="auto"/>
                <w:right w:val="none" w:sz="0" w:space="0" w:color="auto"/>
              </w:divBdr>
            </w:div>
          </w:divsChild>
        </w:div>
        <w:div w:id="1504970329">
          <w:marLeft w:val="0"/>
          <w:marRight w:val="0"/>
          <w:marTop w:val="0"/>
          <w:marBottom w:val="0"/>
          <w:divBdr>
            <w:top w:val="none" w:sz="0" w:space="0" w:color="auto"/>
            <w:left w:val="none" w:sz="0" w:space="0" w:color="auto"/>
            <w:bottom w:val="none" w:sz="0" w:space="0" w:color="auto"/>
            <w:right w:val="none" w:sz="0" w:space="0" w:color="auto"/>
          </w:divBdr>
          <w:divsChild>
            <w:div w:id="36518331">
              <w:marLeft w:val="0"/>
              <w:marRight w:val="0"/>
              <w:marTop w:val="0"/>
              <w:marBottom w:val="0"/>
              <w:divBdr>
                <w:top w:val="none" w:sz="0" w:space="0" w:color="auto"/>
                <w:left w:val="none" w:sz="0" w:space="0" w:color="auto"/>
                <w:bottom w:val="none" w:sz="0" w:space="0" w:color="auto"/>
                <w:right w:val="none" w:sz="0" w:space="0" w:color="auto"/>
              </w:divBdr>
            </w:div>
          </w:divsChild>
        </w:div>
        <w:div w:id="1518153884">
          <w:marLeft w:val="0"/>
          <w:marRight w:val="0"/>
          <w:marTop w:val="0"/>
          <w:marBottom w:val="0"/>
          <w:divBdr>
            <w:top w:val="none" w:sz="0" w:space="0" w:color="auto"/>
            <w:left w:val="none" w:sz="0" w:space="0" w:color="auto"/>
            <w:bottom w:val="none" w:sz="0" w:space="0" w:color="auto"/>
            <w:right w:val="none" w:sz="0" w:space="0" w:color="auto"/>
          </w:divBdr>
          <w:divsChild>
            <w:div w:id="26764507">
              <w:marLeft w:val="0"/>
              <w:marRight w:val="0"/>
              <w:marTop w:val="0"/>
              <w:marBottom w:val="0"/>
              <w:divBdr>
                <w:top w:val="none" w:sz="0" w:space="0" w:color="auto"/>
                <w:left w:val="none" w:sz="0" w:space="0" w:color="auto"/>
                <w:bottom w:val="none" w:sz="0" w:space="0" w:color="auto"/>
                <w:right w:val="none" w:sz="0" w:space="0" w:color="auto"/>
              </w:divBdr>
            </w:div>
          </w:divsChild>
        </w:div>
        <w:div w:id="1539123663">
          <w:marLeft w:val="0"/>
          <w:marRight w:val="0"/>
          <w:marTop w:val="0"/>
          <w:marBottom w:val="0"/>
          <w:divBdr>
            <w:top w:val="none" w:sz="0" w:space="0" w:color="auto"/>
            <w:left w:val="none" w:sz="0" w:space="0" w:color="auto"/>
            <w:bottom w:val="none" w:sz="0" w:space="0" w:color="auto"/>
            <w:right w:val="none" w:sz="0" w:space="0" w:color="auto"/>
          </w:divBdr>
          <w:divsChild>
            <w:div w:id="20283013">
              <w:marLeft w:val="0"/>
              <w:marRight w:val="0"/>
              <w:marTop w:val="0"/>
              <w:marBottom w:val="0"/>
              <w:divBdr>
                <w:top w:val="none" w:sz="0" w:space="0" w:color="auto"/>
                <w:left w:val="none" w:sz="0" w:space="0" w:color="auto"/>
                <w:bottom w:val="none" w:sz="0" w:space="0" w:color="auto"/>
                <w:right w:val="none" w:sz="0" w:space="0" w:color="auto"/>
              </w:divBdr>
            </w:div>
          </w:divsChild>
        </w:div>
        <w:div w:id="1544518394">
          <w:marLeft w:val="0"/>
          <w:marRight w:val="0"/>
          <w:marTop w:val="0"/>
          <w:marBottom w:val="0"/>
          <w:divBdr>
            <w:top w:val="none" w:sz="0" w:space="0" w:color="auto"/>
            <w:left w:val="none" w:sz="0" w:space="0" w:color="auto"/>
            <w:bottom w:val="none" w:sz="0" w:space="0" w:color="auto"/>
            <w:right w:val="none" w:sz="0" w:space="0" w:color="auto"/>
          </w:divBdr>
          <w:divsChild>
            <w:div w:id="1844590511">
              <w:marLeft w:val="0"/>
              <w:marRight w:val="0"/>
              <w:marTop w:val="0"/>
              <w:marBottom w:val="0"/>
              <w:divBdr>
                <w:top w:val="none" w:sz="0" w:space="0" w:color="auto"/>
                <w:left w:val="none" w:sz="0" w:space="0" w:color="auto"/>
                <w:bottom w:val="none" w:sz="0" w:space="0" w:color="auto"/>
                <w:right w:val="none" w:sz="0" w:space="0" w:color="auto"/>
              </w:divBdr>
            </w:div>
          </w:divsChild>
        </w:div>
        <w:div w:id="1560049416">
          <w:marLeft w:val="0"/>
          <w:marRight w:val="0"/>
          <w:marTop w:val="0"/>
          <w:marBottom w:val="0"/>
          <w:divBdr>
            <w:top w:val="none" w:sz="0" w:space="0" w:color="auto"/>
            <w:left w:val="none" w:sz="0" w:space="0" w:color="auto"/>
            <w:bottom w:val="none" w:sz="0" w:space="0" w:color="auto"/>
            <w:right w:val="none" w:sz="0" w:space="0" w:color="auto"/>
          </w:divBdr>
          <w:divsChild>
            <w:div w:id="404382996">
              <w:marLeft w:val="0"/>
              <w:marRight w:val="0"/>
              <w:marTop w:val="0"/>
              <w:marBottom w:val="0"/>
              <w:divBdr>
                <w:top w:val="none" w:sz="0" w:space="0" w:color="auto"/>
                <w:left w:val="none" w:sz="0" w:space="0" w:color="auto"/>
                <w:bottom w:val="none" w:sz="0" w:space="0" w:color="auto"/>
                <w:right w:val="none" w:sz="0" w:space="0" w:color="auto"/>
              </w:divBdr>
            </w:div>
          </w:divsChild>
        </w:div>
        <w:div w:id="1565485889">
          <w:marLeft w:val="0"/>
          <w:marRight w:val="0"/>
          <w:marTop w:val="0"/>
          <w:marBottom w:val="0"/>
          <w:divBdr>
            <w:top w:val="none" w:sz="0" w:space="0" w:color="auto"/>
            <w:left w:val="none" w:sz="0" w:space="0" w:color="auto"/>
            <w:bottom w:val="none" w:sz="0" w:space="0" w:color="auto"/>
            <w:right w:val="none" w:sz="0" w:space="0" w:color="auto"/>
          </w:divBdr>
          <w:divsChild>
            <w:div w:id="842087310">
              <w:marLeft w:val="0"/>
              <w:marRight w:val="0"/>
              <w:marTop w:val="0"/>
              <w:marBottom w:val="0"/>
              <w:divBdr>
                <w:top w:val="none" w:sz="0" w:space="0" w:color="auto"/>
                <w:left w:val="none" w:sz="0" w:space="0" w:color="auto"/>
                <w:bottom w:val="none" w:sz="0" w:space="0" w:color="auto"/>
                <w:right w:val="none" w:sz="0" w:space="0" w:color="auto"/>
              </w:divBdr>
            </w:div>
          </w:divsChild>
        </w:div>
        <w:div w:id="1575552968">
          <w:marLeft w:val="0"/>
          <w:marRight w:val="0"/>
          <w:marTop w:val="0"/>
          <w:marBottom w:val="0"/>
          <w:divBdr>
            <w:top w:val="none" w:sz="0" w:space="0" w:color="auto"/>
            <w:left w:val="none" w:sz="0" w:space="0" w:color="auto"/>
            <w:bottom w:val="none" w:sz="0" w:space="0" w:color="auto"/>
            <w:right w:val="none" w:sz="0" w:space="0" w:color="auto"/>
          </w:divBdr>
          <w:divsChild>
            <w:div w:id="1657415395">
              <w:marLeft w:val="0"/>
              <w:marRight w:val="0"/>
              <w:marTop w:val="0"/>
              <w:marBottom w:val="0"/>
              <w:divBdr>
                <w:top w:val="none" w:sz="0" w:space="0" w:color="auto"/>
                <w:left w:val="none" w:sz="0" w:space="0" w:color="auto"/>
                <w:bottom w:val="none" w:sz="0" w:space="0" w:color="auto"/>
                <w:right w:val="none" w:sz="0" w:space="0" w:color="auto"/>
              </w:divBdr>
            </w:div>
          </w:divsChild>
        </w:div>
        <w:div w:id="1579096084">
          <w:marLeft w:val="0"/>
          <w:marRight w:val="0"/>
          <w:marTop w:val="0"/>
          <w:marBottom w:val="0"/>
          <w:divBdr>
            <w:top w:val="none" w:sz="0" w:space="0" w:color="auto"/>
            <w:left w:val="none" w:sz="0" w:space="0" w:color="auto"/>
            <w:bottom w:val="none" w:sz="0" w:space="0" w:color="auto"/>
            <w:right w:val="none" w:sz="0" w:space="0" w:color="auto"/>
          </w:divBdr>
          <w:divsChild>
            <w:div w:id="1350717691">
              <w:marLeft w:val="0"/>
              <w:marRight w:val="0"/>
              <w:marTop w:val="0"/>
              <w:marBottom w:val="0"/>
              <w:divBdr>
                <w:top w:val="none" w:sz="0" w:space="0" w:color="auto"/>
                <w:left w:val="none" w:sz="0" w:space="0" w:color="auto"/>
                <w:bottom w:val="none" w:sz="0" w:space="0" w:color="auto"/>
                <w:right w:val="none" w:sz="0" w:space="0" w:color="auto"/>
              </w:divBdr>
            </w:div>
          </w:divsChild>
        </w:div>
        <w:div w:id="1580290642">
          <w:marLeft w:val="0"/>
          <w:marRight w:val="0"/>
          <w:marTop w:val="0"/>
          <w:marBottom w:val="0"/>
          <w:divBdr>
            <w:top w:val="none" w:sz="0" w:space="0" w:color="auto"/>
            <w:left w:val="none" w:sz="0" w:space="0" w:color="auto"/>
            <w:bottom w:val="none" w:sz="0" w:space="0" w:color="auto"/>
            <w:right w:val="none" w:sz="0" w:space="0" w:color="auto"/>
          </w:divBdr>
          <w:divsChild>
            <w:div w:id="280187428">
              <w:marLeft w:val="0"/>
              <w:marRight w:val="0"/>
              <w:marTop w:val="0"/>
              <w:marBottom w:val="0"/>
              <w:divBdr>
                <w:top w:val="none" w:sz="0" w:space="0" w:color="auto"/>
                <w:left w:val="none" w:sz="0" w:space="0" w:color="auto"/>
                <w:bottom w:val="none" w:sz="0" w:space="0" w:color="auto"/>
                <w:right w:val="none" w:sz="0" w:space="0" w:color="auto"/>
              </w:divBdr>
            </w:div>
          </w:divsChild>
        </w:div>
        <w:div w:id="1583488261">
          <w:marLeft w:val="0"/>
          <w:marRight w:val="0"/>
          <w:marTop w:val="0"/>
          <w:marBottom w:val="0"/>
          <w:divBdr>
            <w:top w:val="none" w:sz="0" w:space="0" w:color="auto"/>
            <w:left w:val="none" w:sz="0" w:space="0" w:color="auto"/>
            <w:bottom w:val="none" w:sz="0" w:space="0" w:color="auto"/>
            <w:right w:val="none" w:sz="0" w:space="0" w:color="auto"/>
          </w:divBdr>
          <w:divsChild>
            <w:div w:id="1069157876">
              <w:marLeft w:val="0"/>
              <w:marRight w:val="0"/>
              <w:marTop w:val="0"/>
              <w:marBottom w:val="0"/>
              <w:divBdr>
                <w:top w:val="none" w:sz="0" w:space="0" w:color="auto"/>
                <w:left w:val="none" w:sz="0" w:space="0" w:color="auto"/>
                <w:bottom w:val="none" w:sz="0" w:space="0" w:color="auto"/>
                <w:right w:val="none" w:sz="0" w:space="0" w:color="auto"/>
              </w:divBdr>
            </w:div>
          </w:divsChild>
        </w:div>
        <w:div w:id="1604149577">
          <w:marLeft w:val="0"/>
          <w:marRight w:val="0"/>
          <w:marTop w:val="0"/>
          <w:marBottom w:val="0"/>
          <w:divBdr>
            <w:top w:val="none" w:sz="0" w:space="0" w:color="auto"/>
            <w:left w:val="none" w:sz="0" w:space="0" w:color="auto"/>
            <w:bottom w:val="none" w:sz="0" w:space="0" w:color="auto"/>
            <w:right w:val="none" w:sz="0" w:space="0" w:color="auto"/>
          </w:divBdr>
          <w:divsChild>
            <w:div w:id="1218782850">
              <w:marLeft w:val="0"/>
              <w:marRight w:val="0"/>
              <w:marTop w:val="0"/>
              <w:marBottom w:val="0"/>
              <w:divBdr>
                <w:top w:val="none" w:sz="0" w:space="0" w:color="auto"/>
                <w:left w:val="none" w:sz="0" w:space="0" w:color="auto"/>
                <w:bottom w:val="none" w:sz="0" w:space="0" w:color="auto"/>
                <w:right w:val="none" w:sz="0" w:space="0" w:color="auto"/>
              </w:divBdr>
            </w:div>
          </w:divsChild>
        </w:div>
        <w:div w:id="1674262095">
          <w:marLeft w:val="0"/>
          <w:marRight w:val="0"/>
          <w:marTop w:val="0"/>
          <w:marBottom w:val="0"/>
          <w:divBdr>
            <w:top w:val="none" w:sz="0" w:space="0" w:color="auto"/>
            <w:left w:val="none" w:sz="0" w:space="0" w:color="auto"/>
            <w:bottom w:val="none" w:sz="0" w:space="0" w:color="auto"/>
            <w:right w:val="none" w:sz="0" w:space="0" w:color="auto"/>
          </w:divBdr>
          <w:divsChild>
            <w:div w:id="589235503">
              <w:marLeft w:val="0"/>
              <w:marRight w:val="0"/>
              <w:marTop w:val="0"/>
              <w:marBottom w:val="0"/>
              <w:divBdr>
                <w:top w:val="none" w:sz="0" w:space="0" w:color="auto"/>
                <w:left w:val="none" w:sz="0" w:space="0" w:color="auto"/>
                <w:bottom w:val="none" w:sz="0" w:space="0" w:color="auto"/>
                <w:right w:val="none" w:sz="0" w:space="0" w:color="auto"/>
              </w:divBdr>
            </w:div>
          </w:divsChild>
        </w:div>
        <w:div w:id="1679039155">
          <w:marLeft w:val="0"/>
          <w:marRight w:val="0"/>
          <w:marTop w:val="0"/>
          <w:marBottom w:val="0"/>
          <w:divBdr>
            <w:top w:val="none" w:sz="0" w:space="0" w:color="auto"/>
            <w:left w:val="none" w:sz="0" w:space="0" w:color="auto"/>
            <w:bottom w:val="none" w:sz="0" w:space="0" w:color="auto"/>
            <w:right w:val="none" w:sz="0" w:space="0" w:color="auto"/>
          </w:divBdr>
          <w:divsChild>
            <w:div w:id="2048556841">
              <w:marLeft w:val="0"/>
              <w:marRight w:val="0"/>
              <w:marTop w:val="0"/>
              <w:marBottom w:val="0"/>
              <w:divBdr>
                <w:top w:val="none" w:sz="0" w:space="0" w:color="auto"/>
                <w:left w:val="none" w:sz="0" w:space="0" w:color="auto"/>
                <w:bottom w:val="none" w:sz="0" w:space="0" w:color="auto"/>
                <w:right w:val="none" w:sz="0" w:space="0" w:color="auto"/>
              </w:divBdr>
            </w:div>
          </w:divsChild>
        </w:div>
        <w:div w:id="1695224340">
          <w:marLeft w:val="0"/>
          <w:marRight w:val="0"/>
          <w:marTop w:val="0"/>
          <w:marBottom w:val="0"/>
          <w:divBdr>
            <w:top w:val="none" w:sz="0" w:space="0" w:color="auto"/>
            <w:left w:val="none" w:sz="0" w:space="0" w:color="auto"/>
            <w:bottom w:val="none" w:sz="0" w:space="0" w:color="auto"/>
            <w:right w:val="none" w:sz="0" w:space="0" w:color="auto"/>
          </w:divBdr>
          <w:divsChild>
            <w:div w:id="1082525372">
              <w:marLeft w:val="0"/>
              <w:marRight w:val="0"/>
              <w:marTop w:val="0"/>
              <w:marBottom w:val="0"/>
              <w:divBdr>
                <w:top w:val="none" w:sz="0" w:space="0" w:color="auto"/>
                <w:left w:val="none" w:sz="0" w:space="0" w:color="auto"/>
                <w:bottom w:val="none" w:sz="0" w:space="0" w:color="auto"/>
                <w:right w:val="none" w:sz="0" w:space="0" w:color="auto"/>
              </w:divBdr>
            </w:div>
          </w:divsChild>
        </w:div>
        <w:div w:id="1712412628">
          <w:marLeft w:val="0"/>
          <w:marRight w:val="0"/>
          <w:marTop w:val="0"/>
          <w:marBottom w:val="0"/>
          <w:divBdr>
            <w:top w:val="none" w:sz="0" w:space="0" w:color="auto"/>
            <w:left w:val="none" w:sz="0" w:space="0" w:color="auto"/>
            <w:bottom w:val="none" w:sz="0" w:space="0" w:color="auto"/>
            <w:right w:val="none" w:sz="0" w:space="0" w:color="auto"/>
          </w:divBdr>
          <w:divsChild>
            <w:div w:id="1432774943">
              <w:marLeft w:val="0"/>
              <w:marRight w:val="0"/>
              <w:marTop w:val="0"/>
              <w:marBottom w:val="0"/>
              <w:divBdr>
                <w:top w:val="none" w:sz="0" w:space="0" w:color="auto"/>
                <w:left w:val="none" w:sz="0" w:space="0" w:color="auto"/>
                <w:bottom w:val="none" w:sz="0" w:space="0" w:color="auto"/>
                <w:right w:val="none" w:sz="0" w:space="0" w:color="auto"/>
              </w:divBdr>
            </w:div>
          </w:divsChild>
        </w:div>
        <w:div w:id="1713773751">
          <w:marLeft w:val="0"/>
          <w:marRight w:val="0"/>
          <w:marTop w:val="0"/>
          <w:marBottom w:val="0"/>
          <w:divBdr>
            <w:top w:val="none" w:sz="0" w:space="0" w:color="auto"/>
            <w:left w:val="none" w:sz="0" w:space="0" w:color="auto"/>
            <w:bottom w:val="none" w:sz="0" w:space="0" w:color="auto"/>
            <w:right w:val="none" w:sz="0" w:space="0" w:color="auto"/>
          </w:divBdr>
          <w:divsChild>
            <w:div w:id="991713936">
              <w:marLeft w:val="0"/>
              <w:marRight w:val="0"/>
              <w:marTop w:val="0"/>
              <w:marBottom w:val="0"/>
              <w:divBdr>
                <w:top w:val="none" w:sz="0" w:space="0" w:color="auto"/>
                <w:left w:val="none" w:sz="0" w:space="0" w:color="auto"/>
                <w:bottom w:val="none" w:sz="0" w:space="0" w:color="auto"/>
                <w:right w:val="none" w:sz="0" w:space="0" w:color="auto"/>
              </w:divBdr>
            </w:div>
          </w:divsChild>
        </w:div>
        <w:div w:id="1794014438">
          <w:marLeft w:val="0"/>
          <w:marRight w:val="0"/>
          <w:marTop w:val="0"/>
          <w:marBottom w:val="0"/>
          <w:divBdr>
            <w:top w:val="none" w:sz="0" w:space="0" w:color="auto"/>
            <w:left w:val="none" w:sz="0" w:space="0" w:color="auto"/>
            <w:bottom w:val="none" w:sz="0" w:space="0" w:color="auto"/>
            <w:right w:val="none" w:sz="0" w:space="0" w:color="auto"/>
          </w:divBdr>
          <w:divsChild>
            <w:div w:id="889613032">
              <w:marLeft w:val="0"/>
              <w:marRight w:val="0"/>
              <w:marTop w:val="0"/>
              <w:marBottom w:val="0"/>
              <w:divBdr>
                <w:top w:val="none" w:sz="0" w:space="0" w:color="auto"/>
                <w:left w:val="none" w:sz="0" w:space="0" w:color="auto"/>
                <w:bottom w:val="none" w:sz="0" w:space="0" w:color="auto"/>
                <w:right w:val="none" w:sz="0" w:space="0" w:color="auto"/>
              </w:divBdr>
            </w:div>
          </w:divsChild>
        </w:div>
        <w:div w:id="1870028113">
          <w:marLeft w:val="0"/>
          <w:marRight w:val="0"/>
          <w:marTop w:val="0"/>
          <w:marBottom w:val="0"/>
          <w:divBdr>
            <w:top w:val="none" w:sz="0" w:space="0" w:color="auto"/>
            <w:left w:val="none" w:sz="0" w:space="0" w:color="auto"/>
            <w:bottom w:val="none" w:sz="0" w:space="0" w:color="auto"/>
            <w:right w:val="none" w:sz="0" w:space="0" w:color="auto"/>
          </w:divBdr>
          <w:divsChild>
            <w:div w:id="1620644891">
              <w:marLeft w:val="0"/>
              <w:marRight w:val="0"/>
              <w:marTop w:val="0"/>
              <w:marBottom w:val="0"/>
              <w:divBdr>
                <w:top w:val="none" w:sz="0" w:space="0" w:color="auto"/>
                <w:left w:val="none" w:sz="0" w:space="0" w:color="auto"/>
                <w:bottom w:val="none" w:sz="0" w:space="0" w:color="auto"/>
                <w:right w:val="none" w:sz="0" w:space="0" w:color="auto"/>
              </w:divBdr>
            </w:div>
          </w:divsChild>
        </w:div>
        <w:div w:id="1917394310">
          <w:marLeft w:val="0"/>
          <w:marRight w:val="0"/>
          <w:marTop w:val="0"/>
          <w:marBottom w:val="0"/>
          <w:divBdr>
            <w:top w:val="none" w:sz="0" w:space="0" w:color="auto"/>
            <w:left w:val="none" w:sz="0" w:space="0" w:color="auto"/>
            <w:bottom w:val="none" w:sz="0" w:space="0" w:color="auto"/>
            <w:right w:val="none" w:sz="0" w:space="0" w:color="auto"/>
          </w:divBdr>
          <w:divsChild>
            <w:div w:id="881669874">
              <w:marLeft w:val="0"/>
              <w:marRight w:val="0"/>
              <w:marTop w:val="0"/>
              <w:marBottom w:val="0"/>
              <w:divBdr>
                <w:top w:val="none" w:sz="0" w:space="0" w:color="auto"/>
                <w:left w:val="none" w:sz="0" w:space="0" w:color="auto"/>
                <w:bottom w:val="none" w:sz="0" w:space="0" w:color="auto"/>
                <w:right w:val="none" w:sz="0" w:space="0" w:color="auto"/>
              </w:divBdr>
            </w:div>
          </w:divsChild>
        </w:div>
        <w:div w:id="1937446572">
          <w:marLeft w:val="0"/>
          <w:marRight w:val="0"/>
          <w:marTop w:val="0"/>
          <w:marBottom w:val="0"/>
          <w:divBdr>
            <w:top w:val="none" w:sz="0" w:space="0" w:color="auto"/>
            <w:left w:val="none" w:sz="0" w:space="0" w:color="auto"/>
            <w:bottom w:val="none" w:sz="0" w:space="0" w:color="auto"/>
            <w:right w:val="none" w:sz="0" w:space="0" w:color="auto"/>
          </w:divBdr>
          <w:divsChild>
            <w:div w:id="1535341833">
              <w:marLeft w:val="0"/>
              <w:marRight w:val="0"/>
              <w:marTop w:val="0"/>
              <w:marBottom w:val="0"/>
              <w:divBdr>
                <w:top w:val="none" w:sz="0" w:space="0" w:color="auto"/>
                <w:left w:val="none" w:sz="0" w:space="0" w:color="auto"/>
                <w:bottom w:val="none" w:sz="0" w:space="0" w:color="auto"/>
                <w:right w:val="none" w:sz="0" w:space="0" w:color="auto"/>
              </w:divBdr>
            </w:div>
          </w:divsChild>
        </w:div>
        <w:div w:id="1958565657">
          <w:marLeft w:val="0"/>
          <w:marRight w:val="0"/>
          <w:marTop w:val="0"/>
          <w:marBottom w:val="0"/>
          <w:divBdr>
            <w:top w:val="none" w:sz="0" w:space="0" w:color="auto"/>
            <w:left w:val="none" w:sz="0" w:space="0" w:color="auto"/>
            <w:bottom w:val="none" w:sz="0" w:space="0" w:color="auto"/>
            <w:right w:val="none" w:sz="0" w:space="0" w:color="auto"/>
          </w:divBdr>
          <w:divsChild>
            <w:div w:id="914125752">
              <w:marLeft w:val="0"/>
              <w:marRight w:val="0"/>
              <w:marTop w:val="0"/>
              <w:marBottom w:val="0"/>
              <w:divBdr>
                <w:top w:val="none" w:sz="0" w:space="0" w:color="auto"/>
                <w:left w:val="none" w:sz="0" w:space="0" w:color="auto"/>
                <w:bottom w:val="none" w:sz="0" w:space="0" w:color="auto"/>
                <w:right w:val="none" w:sz="0" w:space="0" w:color="auto"/>
              </w:divBdr>
            </w:div>
          </w:divsChild>
        </w:div>
        <w:div w:id="1962833214">
          <w:marLeft w:val="0"/>
          <w:marRight w:val="0"/>
          <w:marTop w:val="0"/>
          <w:marBottom w:val="0"/>
          <w:divBdr>
            <w:top w:val="none" w:sz="0" w:space="0" w:color="auto"/>
            <w:left w:val="none" w:sz="0" w:space="0" w:color="auto"/>
            <w:bottom w:val="none" w:sz="0" w:space="0" w:color="auto"/>
            <w:right w:val="none" w:sz="0" w:space="0" w:color="auto"/>
          </w:divBdr>
          <w:divsChild>
            <w:div w:id="578488600">
              <w:marLeft w:val="0"/>
              <w:marRight w:val="0"/>
              <w:marTop w:val="0"/>
              <w:marBottom w:val="0"/>
              <w:divBdr>
                <w:top w:val="none" w:sz="0" w:space="0" w:color="auto"/>
                <w:left w:val="none" w:sz="0" w:space="0" w:color="auto"/>
                <w:bottom w:val="none" w:sz="0" w:space="0" w:color="auto"/>
                <w:right w:val="none" w:sz="0" w:space="0" w:color="auto"/>
              </w:divBdr>
            </w:div>
          </w:divsChild>
        </w:div>
        <w:div w:id="1985356894">
          <w:marLeft w:val="0"/>
          <w:marRight w:val="0"/>
          <w:marTop w:val="0"/>
          <w:marBottom w:val="0"/>
          <w:divBdr>
            <w:top w:val="none" w:sz="0" w:space="0" w:color="auto"/>
            <w:left w:val="none" w:sz="0" w:space="0" w:color="auto"/>
            <w:bottom w:val="none" w:sz="0" w:space="0" w:color="auto"/>
            <w:right w:val="none" w:sz="0" w:space="0" w:color="auto"/>
          </w:divBdr>
          <w:divsChild>
            <w:div w:id="1340087334">
              <w:marLeft w:val="0"/>
              <w:marRight w:val="0"/>
              <w:marTop w:val="0"/>
              <w:marBottom w:val="0"/>
              <w:divBdr>
                <w:top w:val="none" w:sz="0" w:space="0" w:color="auto"/>
                <w:left w:val="none" w:sz="0" w:space="0" w:color="auto"/>
                <w:bottom w:val="none" w:sz="0" w:space="0" w:color="auto"/>
                <w:right w:val="none" w:sz="0" w:space="0" w:color="auto"/>
              </w:divBdr>
            </w:div>
          </w:divsChild>
        </w:div>
        <w:div w:id="2036538067">
          <w:marLeft w:val="0"/>
          <w:marRight w:val="0"/>
          <w:marTop w:val="0"/>
          <w:marBottom w:val="0"/>
          <w:divBdr>
            <w:top w:val="none" w:sz="0" w:space="0" w:color="auto"/>
            <w:left w:val="none" w:sz="0" w:space="0" w:color="auto"/>
            <w:bottom w:val="none" w:sz="0" w:space="0" w:color="auto"/>
            <w:right w:val="none" w:sz="0" w:space="0" w:color="auto"/>
          </w:divBdr>
          <w:divsChild>
            <w:div w:id="1347561471">
              <w:marLeft w:val="0"/>
              <w:marRight w:val="0"/>
              <w:marTop w:val="0"/>
              <w:marBottom w:val="0"/>
              <w:divBdr>
                <w:top w:val="none" w:sz="0" w:space="0" w:color="auto"/>
                <w:left w:val="none" w:sz="0" w:space="0" w:color="auto"/>
                <w:bottom w:val="none" w:sz="0" w:space="0" w:color="auto"/>
                <w:right w:val="none" w:sz="0" w:space="0" w:color="auto"/>
              </w:divBdr>
            </w:div>
          </w:divsChild>
        </w:div>
        <w:div w:id="2041974589">
          <w:marLeft w:val="0"/>
          <w:marRight w:val="0"/>
          <w:marTop w:val="0"/>
          <w:marBottom w:val="0"/>
          <w:divBdr>
            <w:top w:val="none" w:sz="0" w:space="0" w:color="auto"/>
            <w:left w:val="none" w:sz="0" w:space="0" w:color="auto"/>
            <w:bottom w:val="none" w:sz="0" w:space="0" w:color="auto"/>
            <w:right w:val="none" w:sz="0" w:space="0" w:color="auto"/>
          </w:divBdr>
          <w:divsChild>
            <w:div w:id="496002966">
              <w:marLeft w:val="0"/>
              <w:marRight w:val="0"/>
              <w:marTop w:val="0"/>
              <w:marBottom w:val="0"/>
              <w:divBdr>
                <w:top w:val="none" w:sz="0" w:space="0" w:color="auto"/>
                <w:left w:val="none" w:sz="0" w:space="0" w:color="auto"/>
                <w:bottom w:val="none" w:sz="0" w:space="0" w:color="auto"/>
                <w:right w:val="none" w:sz="0" w:space="0" w:color="auto"/>
              </w:divBdr>
            </w:div>
          </w:divsChild>
        </w:div>
        <w:div w:id="2051686417">
          <w:marLeft w:val="0"/>
          <w:marRight w:val="0"/>
          <w:marTop w:val="0"/>
          <w:marBottom w:val="0"/>
          <w:divBdr>
            <w:top w:val="none" w:sz="0" w:space="0" w:color="auto"/>
            <w:left w:val="none" w:sz="0" w:space="0" w:color="auto"/>
            <w:bottom w:val="none" w:sz="0" w:space="0" w:color="auto"/>
            <w:right w:val="none" w:sz="0" w:space="0" w:color="auto"/>
          </w:divBdr>
          <w:divsChild>
            <w:div w:id="105348642">
              <w:marLeft w:val="0"/>
              <w:marRight w:val="0"/>
              <w:marTop w:val="0"/>
              <w:marBottom w:val="0"/>
              <w:divBdr>
                <w:top w:val="none" w:sz="0" w:space="0" w:color="auto"/>
                <w:left w:val="none" w:sz="0" w:space="0" w:color="auto"/>
                <w:bottom w:val="none" w:sz="0" w:space="0" w:color="auto"/>
                <w:right w:val="none" w:sz="0" w:space="0" w:color="auto"/>
              </w:divBdr>
            </w:div>
          </w:divsChild>
        </w:div>
        <w:div w:id="2080469724">
          <w:marLeft w:val="0"/>
          <w:marRight w:val="0"/>
          <w:marTop w:val="0"/>
          <w:marBottom w:val="0"/>
          <w:divBdr>
            <w:top w:val="none" w:sz="0" w:space="0" w:color="auto"/>
            <w:left w:val="none" w:sz="0" w:space="0" w:color="auto"/>
            <w:bottom w:val="none" w:sz="0" w:space="0" w:color="auto"/>
            <w:right w:val="none" w:sz="0" w:space="0" w:color="auto"/>
          </w:divBdr>
          <w:divsChild>
            <w:div w:id="411126659">
              <w:marLeft w:val="0"/>
              <w:marRight w:val="0"/>
              <w:marTop w:val="0"/>
              <w:marBottom w:val="0"/>
              <w:divBdr>
                <w:top w:val="none" w:sz="0" w:space="0" w:color="auto"/>
                <w:left w:val="none" w:sz="0" w:space="0" w:color="auto"/>
                <w:bottom w:val="none" w:sz="0" w:space="0" w:color="auto"/>
                <w:right w:val="none" w:sz="0" w:space="0" w:color="auto"/>
              </w:divBdr>
            </w:div>
          </w:divsChild>
        </w:div>
        <w:div w:id="2111001179">
          <w:marLeft w:val="0"/>
          <w:marRight w:val="0"/>
          <w:marTop w:val="0"/>
          <w:marBottom w:val="0"/>
          <w:divBdr>
            <w:top w:val="none" w:sz="0" w:space="0" w:color="auto"/>
            <w:left w:val="none" w:sz="0" w:space="0" w:color="auto"/>
            <w:bottom w:val="none" w:sz="0" w:space="0" w:color="auto"/>
            <w:right w:val="none" w:sz="0" w:space="0" w:color="auto"/>
          </w:divBdr>
          <w:divsChild>
            <w:div w:id="1168670565">
              <w:marLeft w:val="0"/>
              <w:marRight w:val="0"/>
              <w:marTop w:val="0"/>
              <w:marBottom w:val="0"/>
              <w:divBdr>
                <w:top w:val="none" w:sz="0" w:space="0" w:color="auto"/>
                <w:left w:val="none" w:sz="0" w:space="0" w:color="auto"/>
                <w:bottom w:val="none" w:sz="0" w:space="0" w:color="auto"/>
                <w:right w:val="none" w:sz="0" w:space="0" w:color="auto"/>
              </w:divBdr>
            </w:div>
          </w:divsChild>
        </w:div>
        <w:div w:id="2124883008">
          <w:marLeft w:val="0"/>
          <w:marRight w:val="0"/>
          <w:marTop w:val="0"/>
          <w:marBottom w:val="0"/>
          <w:divBdr>
            <w:top w:val="none" w:sz="0" w:space="0" w:color="auto"/>
            <w:left w:val="none" w:sz="0" w:space="0" w:color="auto"/>
            <w:bottom w:val="none" w:sz="0" w:space="0" w:color="auto"/>
            <w:right w:val="none" w:sz="0" w:space="0" w:color="auto"/>
          </w:divBdr>
          <w:divsChild>
            <w:div w:id="153468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7012">
      <w:bodyDiv w:val="1"/>
      <w:marLeft w:val="0"/>
      <w:marRight w:val="0"/>
      <w:marTop w:val="0"/>
      <w:marBottom w:val="0"/>
      <w:divBdr>
        <w:top w:val="none" w:sz="0" w:space="0" w:color="auto"/>
        <w:left w:val="none" w:sz="0" w:space="0" w:color="auto"/>
        <w:bottom w:val="none" w:sz="0" w:space="0" w:color="auto"/>
        <w:right w:val="none" w:sz="0" w:space="0" w:color="auto"/>
      </w:divBdr>
    </w:div>
    <w:div w:id="992412862">
      <w:bodyDiv w:val="1"/>
      <w:marLeft w:val="0"/>
      <w:marRight w:val="0"/>
      <w:marTop w:val="0"/>
      <w:marBottom w:val="0"/>
      <w:divBdr>
        <w:top w:val="none" w:sz="0" w:space="0" w:color="auto"/>
        <w:left w:val="none" w:sz="0" w:space="0" w:color="auto"/>
        <w:bottom w:val="none" w:sz="0" w:space="0" w:color="auto"/>
        <w:right w:val="none" w:sz="0" w:space="0" w:color="auto"/>
      </w:divBdr>
      <w:divsChild>
        <w:div w:id="1156991055">
          <w:marLeft w:val="0"/>
          <w:marRight w:val="0"/>
          <w:marTop w:val="0"/>
          <w:marBottom w:val="0"/>
          <w:divBdr>
            <w:top w:val="none" w:sz="0" w:space="0" w:color="auto"/>
            <w:left w:val="none" w:sz="0" w:space="0" w:color="auto"/>
            <w:bottom w:val="none" w:sz="0" w:space="0" w:color="auto"/>
            <w:right w:val="none" w:sz="0" w:space="0" w:color="auto"/>
          </w:divBdr>
          <w:divsChild>
            <w:div w:id="543257009">
              <w:marLeft w:val="0"/>
              <w:marRight w:val="0"/>
              <w:marTop w:val="0"/>
              <w:marBottom w:val="0"/>
              <w:divBdr>
                <w:top w:val="none" w:sz="0" w:space="0" w:color="auto"/>
                <w:left w:val="none" w:sz="0" w:space="0" w:color="auto"/>
                <w:bottom w:val="none" w:sz="0" w:space="0" w:color="auto"/>
                <w:right w:val="none" w:sz="0" w:space="0" w:color="auto"/>
              </w:divBdr>
            </w:div>
            <w:div w:id="824667370">
              <w:marLeft w:val="0"/>
              <w:marRight w:val="0"/>
              <w:marTop w:val="0"/>
              <w:marBottom w:val="0"/>
              <w:divBdr>
                <w:top w:val="none" w:sz="0" w:space="0" w:color="auto"/>
                <w:left w:val="none" w:sz="0" w:space="0" w:color="auto"/>
                <w:bottom w:val="none" w:sz="0" w:space="0" w:color="auto"/>
                <w:right w:val="none" w:sz="0" w:space="0" w:color="auto"/>
              </w:divBdr>
            </w:div>
            <w:div w:id="994072400">
              <w:marLeft w:val="0"/>
              <w:marRight w:val="0"/>
              <w:marTop w:val="0"/>
              <w:marBottom w:val="0"/>
              <w:divBdr>
                <w:top w:val="none" w:sz="0" w:space="0" w:color="auto"/>
                <w:left w:val="none" w:sz="0" w:space="0" w:color="auto"/>
                <w:bottom w:val="none" w:sz="0" w:space="0" w:color="auto"/>
                <w:right w:val="none" w:sz="0" w:space="0" w:color="auto"/>
              </w:divBdr>
            </w:div>
            <w:div w:id="1195653518">
              <w:marLeft w:val="0"/>
              <w:marRight w:val="0"/>
              <w:marTop w:val="0"/>
              <w:marBottom w:val="0"/>
              <w:divBdr>
                <w:top w:val="none" w:sz="0" w:space="0" w:color="auto"/>
                <w:left w:val="none" w:sz="0" w:space="0" w:color="auto"/>
                <w:bottom w:val="none" w:sz="0" w:space="0" w:color="auto"/>
                <w:right w:val="none" w:sz="0" w:space="0" w:color="auto"/>
              </w:divBdr>
            </w:div>
          </w:divsChild>
        </w:div>
        <w:div w:id="1202668644">
          <w:marLeft w:val="0"/>
          <w:marRight w:val="0"/>
          <w:marTop w:val="0"/>
          <w:marBottom w:val="0"/>
          <w:divBdr>
            <w:top w:val="none" w:sz="0" w:space="0" w:color="auto"/>
            <w:left w:val="none" w:sz="0" w:space="0" w:color="auto"/>
            <w:bottom w:val="none" w:sz="0" w:space="0" w:color="auto"/>
            <w:right w:val="none" w:sz="0" w:space="0" w:color="auto"/>
          </w:divBdr>
          <w:divsChild>
            <w:div w:id="5449879">
              <w:marLeft w:val="0"/>
              <w:marRight w:val="0"/>
              <w:marTop w:val="0"/>
              <w:marBottom w:val="0"/>
              <w:divBdr>
                <w:top w:val="none" w:sz="0" w:space="0" w:color="auto"/>
                <w:left w:val="none" w:sz="0" w:space="0" w:color="auto"/>
                <w:bottom w:val="none" w:sz="0" w:space="0" w:color="auto"/>
                <w:right w:val="none" w:sz="0" w:space="0" w:color="auto"/>
              </w:divBdr>
            </w:div>
            <w:div w:id="29696579">
              <w:marLeft w:val="0"/>
              <w:marRight w:val="0"/>
              <w:marTop w:val="0"/>
              <w:marBottom w:val="0"/>
              <w:divBdr>
                <w:top w:val="none" w:sz="0" w:space="0" w:color="auto"/>
                <w:left w:val="none" w:sz="0" w:space="0" w:color="auto"/>
                <w:bottom w:val="none" w:sz="0" w:space="0" w:color="auto"/>
                <w:right w:val="none" w:sz="0" w:space="0" w:color="auto"/>
              </w:divBdr>
            </w:div>
            <w:div w:id="132842854">
              <w:marLeft w:val="0"/>
              <w:marRight w:val="0"/>
              <w:marTop w:val="0"/>
              <w:marBottom w:val="0"/>
              <w:divBdr>
                <w:top w:val="none" w:sz="0" w:space="0" w:color="auto"/>
                <w:left w:val="none" w:sz="0" w:space="0" w:color="auto"/>
                <w:bottom w:val="none" w:sz="0" w:space="0" w:color="auto"/>
                <w:right w:val="none" w:sz="0" w:space="0" w:color="auto"/>
              </w:divBdr>
            </w:div>
            <w:div w:id="156656893">
              <w:marLeft w:val="0"/>
              <w:marRight w:val="0"/>
              <w:marTop w:val="0"/>
              <w:marBottom w:val="0"/>
              <w:divBdr>
                <w:top w:val="none" w:sz="0" w:space="0" w:color="auto"/>
                <w:left w:val="none" w:sz="0" w:space="0" w:color="auto"/>
                <w:bottom w:val="none" w:sz="0" w:space="0" w:color="auto"/>
                <w:right w:val="none" w:sz="0" w:space="0" w:color="auto"/>
              </w:divBdr>
            </w:div>
            <w:div w:id="186915450">
              <w:marLeft w:val="0"/>
              <w:marRight w:val="0"/>
              <w:marTop w:val="0"/>
              <w:marBottom w:val="0"/>
              <w:divBdr>
                <w:top w:val="none" w:sz="0" w:space="0" w:color="auto"/>
                <w:left w:val="none" w:sz="0" w:space="0" w:color="auto"/>
                <w:bottom w:val="none" w:sz="0" w:space="0" w:color="auto"/>
                <w:right w:val="none" w:sz="0" w:space="0" w:color="auto"/>
              </w:divBdr>
            </w:div>
            <w:div w:id="202911500">
              <w:marLeft w:val="0"/>
              <w:marRight w:val="0"/>
              <w:marTop w:val="0"/>
              <w:marBottom w:val="0"/>
              <w:divBdr>
                <w:top w:val="none" w:sz="0" w:space="0" w:color="auto"/>
                <w:left w:val="none" w:sz="0" w:space="0" w:color="auto"/>
                <w:bottom w:val="none" w:sz="0" w:space="0" w:color="auto"/>
                <w:right w:val="none" w:sz="0" w:space="0" w:color="auto"/>
              </w:divBdr>
            </w:div>
            <w:div w:id="329526191">
              <w:marLeft w:val="0"/>
              <w:marRight w:val="0"/>
              <w:marTop w:val="0"/>
              <w:marBottom w:val="0"/>
              <w:divBdr>
                <w:top w:val="none" w:sz="0" w:space="0" w:color="auto"/>
                <w:left w:val="none" w:sz="0" w:space="0" w:color="auto"/>
                <w:bottom w:val="none" w:sz="0" w:space="0" w:color="auto"/>
                <w:right w:val="none" w:sz="0" w:space="0" w:color="auto"/>
              </w:divBdr>
            </w:div>
            <w:div w:id="605498527">
              <w:marLeft w:val="0"/>
              <w:marRight w:val="0"/>
              <w:marTop w:val="0"/>
              <w:marBottom w:val="0"/>
              <w:divBdr>
                <w:top w:val="none" w:sz="0" w:space="0" w:color="auto"/>
                <w:left w:val="none" w:sz="0" w:space="0" w:color="auto"/>
                <w:bottom w:val="none" w:sz="0" w:space="0" w:color="auto"/>
                <w:right w:val="none" w:sz="0" w:space="0" w:color="auto"/>
              </w:divBdr>
            </w:div>
            <w:div w:id="611669058">
              <w:marLeft w:val="0"/>
              <w:marRight w:val="0"/>
              <w:marTop w:val="0"/>
              <w:marBottom w:val="0"/>
              <w:divBdr>
                <w:top w:val="none" w:sz="0" w:space="0" w:color="auto"/>
                <w:left w:val="none" w:sz="0" w:space="0" w:color="auto"/>
                <w:bottom w:val="none" w:sz="0" w:space="0" w:color="auto"/>
                <w:right w:val="none" w:sz="0" w:space="0" w:color="auto"/>
              </w:divBdr>
            </w:div>
            <w:div w:id="1031493561">
              <w:marLeft w:val="0"/>
              <w:marRight w:val="0"/>
              <w:marTop w:val="0"/>
              <w:marBottom w:val="0"/>
              <w:divBdr>
                <w:top w:val="none" w:sz="0" w:space="0" w:color="auto"/>
                <w:left w:val="none" w:sz="0" w:space="0" w:color="auto"/>
                <w:bottom w:val="none" w:sz="0" w:space="0" w:color="auto"/>
                <w:right w:val="none" w:sz="0" w:space="0" w:color="auto"/>
              </w:divBdr>
            </w:div>
            <w:div w:id="1071661954">
              <w:marLeft w:val="0"/>
              <w:marRight w:val="0"/>
              <w:marTop w:val="0"/>
              <w:marBottom w:val="0"/>
              <w:divBdr>
                <w:top w:val="none" w:sz="0" w:space="0" w:color="auto"/>
                <w:left w:val="none" w:sz="0" w:space="0" w:color="auto"/>
                <w:bottom w:val="none" w:sz="0" w:space="0" w:color="auto"/>
                <w:right w:val="none" w:sz="0" w:space="0" w:color="auto"/>
              </w:divBdr>
            </w:div>
            <w:div w:id="1072970492">
              <w:marLeft w:val="0"/>
              <w:marRight w:val="0"/>
              <w:marTop w:val="0"/>
              <w:marBottom w:val="0"/>
              <w:divBdr>
                <w:top w:val="none" w:sz="0" w:space="0" w:color="auto"/>
                <w:left w:val="none" w:sz="0" w:space="0" w:color="auto"/>
                <w:bottom w:val="none" w:sz="0" w:space="0" w:color="auto"/>
                <w:right w:val="none" w:sz="0" w:space="0" w:color="auto"/>
              </w:divBdr>
            </w:div>
            <w:div w:id="1099986532">
              <w:marLeft w:val="0"/>
              <w:marRight w:val="0"/>
              <w:marTop w:val="0"/>
              <w:marBottom w:val="0"/>
              <w:divBdr>
                <w:top w:val="none" w:sz="0" w:space="0" w:color="auto"/>
                <w:left w:val="none" w:sz="0" w:space="0" w:color="auto"/>
                <w:bottom w:val="none" w:sz="0" w:space="0" w:color="auto"/>
                <w:right w:val="none" w:sz="0" w:space="0" w:color="auto"/>
              </w:divBdr>
            </w:div>
            <w:div w:id="1160582029">
              <w:marLeft w:val="0"/>
              <w:marRight w:val="0"/>
              <w:marTop w:val="0"/>
              <w:marBottom w:val="0"/>
              <w:divBdr>
                <w:top w:val="none" w:sz="0" w:space="0" w:color="auto"/>
                <w:left w:val="none" w:sz="0" w:space="0" w:color="auto"/>
                <w:bottom w:val="none" w:sz="0" w:space="0" w:color="auto"/>
                <w:right w:val="none" w:sz="0" w:space="0" w:color="auto"/>
              </w:divBdr>
            </w:div>
            <w:div w:id="1210461920">
              <w:marLeft w:val="0"/>
              <w:marRight w:val="0"/>
              <w:marTop w:val="0"/>
              <w:marBottom w:val="0"/>
              <w:divBdr>
                <w:top w:val="none" w:sz="0" w:space="0" w:color="auto"/>
                <w:left w:val="none" w:sz="0" w:space="0" w:color="auto"/>
                <w:bottom w:val="none" w:sz="0" w:space="0" w:color="auto"/>
                <w:right w:val="none" w:sz="0" w:space="0" w:color="auto"/>
              </w:divBdr>
            </w:div>
            <w:div w:id="1291397519">
              <w:marLeft w:val="0"/>
              <w:marRight w:val="0"/>
              <w:marTop w:val="0"/>
              <w:marBottom w:val="0"/>
              <w:divBdr>
                <w:top w:val="none" w:sz="0" w:space="0" w:color="auto"/>
                <w:left w:val="none" w:sz="0" w:space="0" w:color="auto"/>
                <w:bottom w:val="none" w:sz="0" w:space="0" w:color="auto"/>
                <w:right w:val="none" w:sz="0" w:space="0" w:color="auto"/>
              </w:divBdr>
            </w:div>
            <w:div w:id="1304307870">
              <w:marLeft w:val="0"/>
              <w:marRight w:val="0"/>
              <w:marTop w:val="0"/>
              <w:marBottom w:val="0"/>
              <w:divBdr>
                <w:top w:val="none" w:sz="0" w:space="0" w:color="auto"/>
                <w:left w:val="none" w:sz="0" w:space="0" w:color="auto"/>
                <w:bottom w:val="none" w:sz="0" w:space="0" w:color="auto"/>
                <w:right w:val="none" w:sz="0" w:space="0" w:color="auto"/>
              </w:divBdr>
            </w:div>
            <w:div w:id="1437022781">
              <w:marLeft w:val="0"/>
              <w:marRight w:val="0"/>
              <w:marTop w:val="0"/>
              <w:marBottom w:val="0"/>
              <w:divBdr>
                <w:top w:val="none" w:sz="0" w:space="0" w:color="auto"/>
                <w:left w:val="none" w:sz="0" w:space="0" w:color="auto"/>
                <w:bottom w:val="none" w:sz="0" w:space="0" w:color="auto"/>
                <w:right w:val="none" w:sz="0" w:space="0" w:color="auto"/>
              </w:divBdr>
            </w:div>
            <w:div w:id="1443039611">
              <w:marLeft w:val="0"/>
              <w:marRight w:val="0"/>
              <w:marTop w:val="0"/>
              <w:marBottom w:val="0"/>
              <w:divBdr>
                <w:top w:val="none" w:sz="0" w:space="0" w:color="auto"/>
                <w:left w:val="none" w:sz="0" w:space="0" w:color="auto"/>
                <w:bottom w:val="none" w:sz="0" w:space="0" w:color="auto"/>
                <w:right w:val="none" w:sz="0" w:space="0" w:color="auto"/>
              </w:divBdr>
            </w:div>
            <w:div w:id="1484733918">
              <w:marLeft w:val="0"/>
              <w:marRight w:val="0"/>
              <w:marTop w:val="0"/>
              <w:marBottom w:val="0"/>
              <w:divBdr>
                <w:top w:val="none" w:sz="0" w:space="0" w:color="auto"/>
                <w:left w:val="none" w:sz="0" w:space="0" w:color="auto"/>
                <w:bottom w:val="none" w:sz="0" w:space="0" w:color="auto"/>
                <w:right w:val="none" w:sz="0" w:space="0" w:color="auto"/>
              </w:divBdr>
            </w:div>
            <w:div w:id="1506704608">
              <w:marLeft w:val="0"/>
              <w:marRight w:val="0"/>
              <w:marTop w:val="0"/>
              <w:marBottom w:val="0"/>
              <w:divBdr>
                <w:top w:val="none" w:sz="0" w:space="0" w:color="auto"/>
                <w:left w:val="none" w:sz="0" w:space="0" w:color="auto"/>
                <w:bottom w:val="none" w:sz="0" w:space="0" w:color="auto"/>
                <w:right w:val="none" w:sz="0" w:space="0" w:color="auto"/>
              </w:divBdr>
            </w:div>
            <w:div w:id="1535851456">
              <w:marLeft w:val="0"/>
              <w:marRight w:val="0"/>
              <w:marTop w:val="0"/>
              <w:marBottom w:val="0"/>
              <w:divBdr>
                <w:top w:val="none" w:sz="0" w:space="0" w:color="auto"/>
                <w:left w:val="none" w:sz="0" w:space="0" w:color="auto"/>
                <w:bottom w:val="none" w:sz="0" w:space="0" w:color="auto"/>
                <w:right w:val="none" w:sz="0" w:space="0" w:color="auto"/>
              </w:divBdr>
            </w:div>
            <w:div w:id="1569999559">
              <w:marLeft w:val="0"/>
              <w:marRight w:val="0"/>
              <w:marTop w:val="0"/>
              <w:marBottom w:val="0"/>
              <w:divBdr>
                <w:top w:val="none" w:sz="0" w:space="0" w:color="auto"/>
                <w:left w:val="none" w:sz="0" w:space="0" w:color="auto"/>
                <w:bottom w:val="none" w:sz="0" w:space="0" w:color="auto"/>
                <w:right w:val="none" w:sz="0" w:space="0" w:color="auto"/>
              </w:divBdr>
            </w:div>
            <w:div w:id="1593929562">
              <w:marLeft w:val="0"/>
              <w:marRight w:val="0"/>
              <w:marTop w:val="0"/>
              <w:marBottom w:val="0"/>
              <w:divBdr>
                <w:top w:val="none" w:sz="0" w:space="0" w:color="auto"/>
                <w:left w:val="none" w:sz="0" w:space="0" w:color="auto"/>
                <w:bottom w:val="none" w:sz="0" w:space="0" w:color="auto"/>
                <w:right w:val="none" w:sz="0" w:space="0" w:color="auto"/>
              </w:divBdr>
            </w:div>
            <w:div w:id="1607227019">
              <w:marLeft w:val="0"/>
              <w:marRight w:val="0"/>
              <w:marTop w:val="0"/>
              <w:marBottom w:val="0"/>
              <w:divBdr>
                <w:top w:val="none" w:sz="0" w:space="0" w:color="auto"/>
                <w:left w:val="none" w:sz="0" w:space="0" w:color="auto"/>
                <w:bottom w:val="none" w:sz="0" w:space="0" w:color="auto"/>
                <w:right w:val="none" w:sz="0" w:space="0" w:color="auto"/>
              </w:divBdr>
            </w:div>
            <w:div w:id="1739816033">
              <w:marLeft w:val="0"/>
              <w:marRight w:val="0"/>
              <w:marTop w:val="0"/>
              <w:marBottom w:val="0"/>
              <w:divBdr>
                <w:top w:val="none" w:sz="0" w:space="0" w:color="auto"/>
                <w:left w:val="none" w:sz="0" w:space="0" w:color="auto"/>
                <w:bottom w:val="none" w:sz="0" w:space="0" w:color="auto"/>
                <w:right w:val="none" w:sz="0" w:space="0" w:color="auto"/>
              </w:divBdr>
            </w:div>
            <w:div w:id="1742364757">
              <w:marLeft w:val="0"/>
              <w:marRight w:val="0"/>
              <w:marTop w:val="0"/>
              <w:marBottom w:val="0"/>
              <w:divBdr>
                <w:top w:val="none" w:sz="0" w:space="0" w:color="auto"/>
                <w:left w:val="none" w:sz="0" w:space="0" w:color="auto"/>
                <w:bottom w:val="none" w:sz="0" w:space="0" w:color="auto"/>
                <w:right w:val="none" w:sz="0" w:space="0" w:color="auto"/>
              </w:divBdr>
            </w:div>
            <w:div w:id="1809784272">
              <w:marLeft w:val="0"/>
              <w:marRight w:val="0"/>
              <w:marTop w:val="0"/>
              <w:marBottom w:val="0"/>
              <w:divBdr>
                <w:top w:val="none" w:sz="0" w:space="0" w:color="auto"/>
                <w:left w:val="none" w:sz="0" w:space="0" w:color="auto"/>
                <w:bottom w:val="none" w:sz="0" w:space="0" w:color="auto"/>
                <w:right w:val="none" w:sz="0" w:space="0" w:color="auto"/>
              </w:divBdr>
            </w:div>
            <w:div w:id="1824806781">
              <w:marLeft w:val="0"/>
              <w:marRight w:val="0"/>
              <w:marTop w:val="0"/>
              <w:marBottom w:val="0"/>
              <w:divBdr>
                <w:top w:val="none" w:sz="0" w:space="0" w:color="auto"/>
                <w:left w:val="none" w:sz="0" w:space="0" w:color="auto"/>
                <w:bottom w:val="none" w:sz="0" w:space="0" w:color="auto"/>
                <w:right w:val="none" w:sz="0" w:space="0" w:color="auto"/>
              </w:divBdr>
            </w:div>
            <w:div w:id="1899509659">
              <w:marLeft w:val="0"/>
              <w:marRight w:val="0"/>
              <w:marTop w:val="0"/>
              <w:marBottom w:val="0"/>
              <w:divBdr>
                <w:top w:val="none" w:sz="0" w:space="0" w:color="auto"/>
                <w:left w:val="none" w:sz="0" w:space="0" w:color="auto"/>
                <w:bottom w:val="none" w:sz="0" w:space="0" w:color="auto"/>
                <w:right w:val="none" w:sz="0" w:space="0" w:color="auto"/>
              </w:divBdr>
            </w:div>
            <w:div w:id="1975744886">
              <w:marLeft w:val="0"/>
              <w:marRight w:val="0"/>
              <w:marTop w:val="0"/>
              <w:marBottom w:val="0"/>
              <w:divBdr>
                <w:top w:val="none" w:sz="0" w:space="0" w:color="auto"/>
                <w:left w:val="none" w:sz="0" w:space="0" w:color="auto"/>
                <w:bottom w:val="none" w:sz="0" w:space="0" w:color="auto"/>
                <w:right w:val="none" w:sz="0" w:space="0" w:color="auto"/>
              </w:divBdr>
            </w:div>
            <w:div w:id="2101944480">
              <w:marLeft w:val="0"/>
              <w:marRight w:val="0"/>
              <w:marTop w:val="0"/>
              <w:marBottom w:val="0"/>
              <w:divBdr>
                <w:top w:val="none" w:sz="0" w:space="0" w:color="auto"/>
                <w:left w:val="none" w:sz="0" w:space="0" w:color="auto"/>
                <w:bottom w:val="none" w:sz="0" w:space="0" w:color="auto"/>
                <w:right w:val="none" w:sz="0" w:space="0" w:color="auto"/>
              </w:divBdr>
            </w:div>
            <w:div w:id="2117558228">
              <w:marLeft w:val="0"/>
              <w:marRight w:val="0"/>
              <w:marTop w:val="0"/>
              <w:marBottom w:val="0"/>
              <w:divBdr>
                <w:top w:val="none" w:sz="0" w:space="0" w:color="auto"/>
                <w:left w:val="none" w:sz="0" w:space="0" w:color="auto"/>
                <w:bottom w:val="none" w:sz="0" w:space="0" w:color="auto"/>
                <w:right w:val="none" w:sz="0" w:space="0" w:color="auto"/>
              </w:divBdr>
            </w:div>
            <w:div w:id="213589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2125">
      <w:bodyDiv w:val="1"/>
      <w:marLeft w:val="0"/>
      <w:marRight w:val="0"/>
      <w:marTop w:val="0"/>
      <w:marBottom w:val="0"/>
      <w:divBdr>
        <w:top w:val="none" w:sz="0" w:space="0" w:color="auto"/>
        <w:left w:val="none" w:sz="0" w:space="0" w:color="auto"/>
        <w:bottom w:val="none" w:sz="0" w:space="0" w:color="auto"/>
        <w:right w:val="none" w:sz="0" w:space="0" w:color="auto"/>
      </w:divBdr>
    </w:div>
    <w:div w:id="1003358288">
      <w:bodyDiv w:val="1"/>
      <w:marLeft w:val="0"/>
      <w:marRight w:val="0"/>
      <w:marTop w:val="0"/>
      <w:marBottom w:val="0"/>
      <w:divBdr>
        <w:top w:val="none" w:sz="0" w:space="0" w:color="auto"/>
        <w:left w:val="none" w:sz="0" w:space="0" w:color="auto"/>
        <w:bottom w:val="none" w:sz="0" w:space="0" w:color="auto"/>
        <w:right w:val="none" w:sz="0" w:space="0" w:color="auto"/>
      </w:divBdr>
      <w:divsChild>
        <w:div w:id="241139464">
          <w:marLeft w:val="0"/>
          <w:marRight w:val="0"/>
          <w:marTop w:val="0"/>
          <w:marBottom w:val="0"/>
          <w:divBdr>
            <w:top w:val="none" w:sz="0" w:space="0" w:color="auto"/>
            <w:left w:val="none" w:sz="0" w:space="0" w:color="auto"/>
            <w:bottom w:val="none" w:sz="0" w:space="0" w:color="auto"/>
            <w:right w:val="none" w:sz="0" w:space="0" w:color="auto"/>
          </w:divBdr>
          <w:divsChild>
            <w:div w:id="224531251">
              <w:marLeft w:val="0"/>
              <w:marRight w:val="0"/>
              <w:marTop w:val="0"/>
              <w:marBottom w:val="0"/>
              <w:divBdr>
                <w:top w:val="none" w:sz="0" w:space="0" w:color="auto"/>
                <w:left w:val="none" w:sz="0" w:space="0" w:color="auto"/>
                <w:bottom w:val="none" w:sz="0" w:space="0" w:color="auto"/>
                <w:right w:val="none" w:sz="0" w:space="0" w:color="auto"/>
              </w:divBdr>
            </w:div>
          </w:divsChild>
        </w:div>
        <w:div w:id="250161385">
          <w:marLeft w:val="0"/>
          <w:marRight w:val="0"/>
          <w:marTop w:val="0"/>
          <w:marBottom w:val="0"/>
          <w:divBdr>
            <w:top w:val="none" w:sz="0" w:space="0" w:color="auto"/>
            <w:left w:val="none" w:sz="0" w:space="0" w:color="auto"/>
            <w:bottom w:val="none" w:sz="0" w:space="0" w:color="auto"/>
            <w:right w:val="none" w:sz="0" w:space="0" w:color="auto"/>
          </w:divBdr>
          <w:divsChild>
            <w:div w:id="2083478668">
              <w:marLeft w:val="0"/>
              <w:marRight w:val="0"/>
              <w:marTop w:val="0"/>
              <w:marBottom w:val="0"/>
              <w:divBdr>
                <w:top w:val="none" w:sz="0" w:space="0" w:color="auto"/>
                <w:left w:val="none" w:sz="0" w:space="0" w:color="auto"/>
                <w:bottom w:val="none" w:sz="0" w:space="0" w:color="auto"/>
                <w:right w:val="none" w:sz="0" w:space="0" w:color="auto"/>
              </w:divBdr>
            </w:div>
          </w:divsChild>
        </w:div>
        <w:div w:id="273750694">
          <w:marLeft w:val="0"/>
          <w:marRight w:val="0"/>
          <w:marTop w:val="0"/>
          <w:marBottom w:val="0"/>
          <w:divBdr>
            <w:top w:val="none" w:sz="0" w:space="0" w:color="auto"/>
            <w:left w:val="none" w:sz="0" w:space="0" w:color="auto"/>
            <w:bottom w:val="none" w:sz="0" w:space="0" w:color="auto"/>
            <w:right w:val="none" w:sz="0" w:space="0" w:color="auto"/>
          </w:divBdr>
          <w:divsChild>
            <w:div w:id="824274098">
              <w:marLeft w:val="0"/>
              <w:marRight w:val="0"/>
              <w:marTop w:val="0"/>
              <w:marBottom w:val="0"/>
              <w:divBdr>
                <w:top w:val="none" w:sz="0" w:space="0" w:color="auto"/>
                <w:left w:val="none" w:sz="0" w:space="0" w:color="auto"/>
                <w:bottom w:val="none" w:sz="0" w:space="0" w:color="auto"/>
                <w:right w:val="none" w:sz="0" w:space="0" w:color="auto"/>
              </w:divBdr>
            </w:div>
          </w:divsChild>
        </w:div>
        <w:div w:id="295531543">
          <w:marLeft w:val="0"/>
          <w:marRight w:val="0"/>
          <w:marTop w:val="0"/>
          <w:marBottom w:val="0"/>
          <w:divBdr>
            <w:top w:val="none" w:sz="0" w:space="0" w:color="auto"/>
            <w:left w:val="none" w:sz="0" w:space="0" w:color="auto"/>
            <w:bottom w:val="none" w:sz="0" w:space="0" w:color="auto"/>
            <w:right w:val="none" w:sz="0" w:space="0" w:color="auto"/>
          </w:divBdr>
          <w:divsChild>
            <w:div w:id="730233591">
              <w:marLeft w:val="0"/>
              <w:marRight w:val="0"/>
              <w:marTop w:val="0"/>
              <w:marBottom w:val="0"/>
              <w:divBdr>
                <w:top w:val="none" w:sz="0" w:space="0" w:color="auto"/>
                <w:left w:val="none" w:sz="0" w:space="0" w:color="auto"/>
                <w:bottom w:val="none" w:sz="0" w:space="0" w:color="auto"/>
                <w:right w:val="none" w:sz="0" w:space="0" w:color="auto"/>
              </w:divBdr>
            </w:div>
          </w:divsChild>
        </w:div>
        <w:div w:id="346642912">
          <w:marLeft w:val="0"/>
          <w:marRight w:val="0"/>
          <w:marTop w:val="0"/>
          <w:marBottom w:val="0"/>
          <w:divBdr>
            <w:top w:val="none" w:sz="0" w:space="0" w:color="auto"/>
            <w:left w:val="none" w:sz="0" w:space="0" w:color="auto"/>
            <w:bottom w:val="none" w:sz="0" w:space="0" w:color="auto"/>
            <w:right w:val="none" w:sz="0" w:space="0" w:color="auto"/>
          </w:divBdr>
          <w:divsChild>
            <w:div w:id="157506804">
              <w:marLeft w:val="0"/>
              <w:marRight w:val="0"/>
              <w:marTop w:val="0"/>
              <w:marBottom w:val="0"/>
              <w:divBdr>
                <w:top w:val="none" w:sz="0" w:space="0" w:color="auto"/>
                <w:left w:val="none" w:sz="0" w:space="0" w:color="auto"/>
                <w:bottom w:val="none" w:sz="0" w:space="0" w:color="auto"/>
                <w:right w:val="none" w:sz="0" w:space="0" w:color="auto"/>
              </w:divBdr>
            </w:div>
          </w:divsChild>
        </w:div>
        <w:div w:id="390537953">
          <w:marLeft w:val="0"/>
          <w:marRight w:val="0"/>
          <w:marTop w:val="0"/>
          <w:marBottom w:val="0"/>
          <w:divBdr>
            <w:top w:val="none" w:sz="0" w:space="0" w:color="auto"/>
            <w:left w:val="none" w:sz="0" w:space="0" w:color="auto"/>
            <w:bottom w:val="none" w:sz="0" w:space="0" w:color="auto"/>
            <w:right w:val="none" w:sz="0" w:space="0" w:color="auto"/>
          </w:divBdr>
          <w:divsChild>
            <w:div w:id="101924889">
              <w:marLeft w:val="0"/>
              <w:marRight w:val="0"/>
              <w:marTop w:val="0"/>
              <w:marBottom w:val="0"/>
              <w:divBdr>
                <w:top w:val="none" w:sz="0" w:space="0" w:color="auto"/>
                <w:left w:val="none" w:sz="0" w:space="0" w:color="auto"/>
                <w:bottom w:val="none" w:sz="0" w:space="0" w:color="auto"/>
                <w:right w:val="none" w:sz="0" w:space="0" w:color="auto"/>
              </w:divBdr>
            </w:div>
          </w:divsChild>
        </w:div>
        <w:div w:id="393235793">
          <w:marLeft w:val="0"/>
          <w:marRight w:val="0"/>
          <w:marTop w:val="0"/>
          <w:marBottom w:val="0"/>
          <w:divBdr>
            <w:top w:val="none" w:sz="0" w:space="0" w:color="auto"/>
            <w:left w:val="none" w:sz="0" w:space="0" w:color="auto"/>
            <w:bottom w:val="none" w:sz="0" w:space="0" w:color="auto"/>
            <w:right w:val="none" w:sz="0" w:space="0" w:color="auto"/>
          </w:divBdr>
          <w:divsChild>
            <w:div w:id="1506624684">
              <w:marLeft w:val="0"/>
              <w:marRight w:val="0"/>
              <w:marTop w:val="0"/>
              <w:marBottom w:val="0"/>
              <w:divBdr>
                <w:top w:val="none" w:sz="0" w:space="0" w:color="auto"/>
                <w:left w:val="none" w:sz="0" w:space="0" w:color="auto"/>
                <w:bottom w:val="none" w:sz="0" w:space="0" w:color="auto"/>
                <w:right w:val="none" w:sz="0" w:space="0" w:color="auto"/>
              </w:divBdr>
            </w:div>
          </w:divsChild>
        </w:div>
        <w:div w:id="394083655">
          <w:marLeft w:val="0"/>
          <w:marRight w:val="0"/>
          <w:marTop w:val="0"/>
          <w:marBottom w:val="0"/>
          <w:divBdr>
            <w:top w:val="none" w:sz="0" w:space="0" w:color="auto"/>
            <w:left w:val="none" w:sz="0" w:space="0" w:color="auto"/>
            <w:bottom w:val="none" w:sz="0" w:space="0" w:color="auto"/>
            <w:right w:val="none" w:sz="0" w:space="0" w:color="auto"/>
          </w:divBdr>
          <w:divsChild>
            <w:div w:id="3480488">
              <w:marLeft w:val="0"/>
              <w:marRight w:val="0"/>
              <w:marTop w:val="0"/>
              <w:marBottom w:val="0"/>
              <w:divBdr>
                <w:top w:val="none" w:sz="0" w:space="0" w:color="auto"/>
                <w:left w:val="none" w:sz="0" w:space="0" w:color="auto"/>
                <w:bottom w:val="none" w:sz="0" w:space="0" w:color="auto"/>
                <w:right w:val="none" w:sz="0" w:space="0" w:color="auto"/>
              </w:divBdr>
            </w:div>
          </w:divsChild>
        </w:div>
        <w:div w:id="494997198">
          <w:marLeft w:val="0"/>
          <w:marRight w:val="0"/>
          <w:marTop w:val="0"/>
          <w:marBottom w:val="0"/>
          <w:divBdr>
            <w:top w:val="none" w:sz="0" w:space="0" w:color="auto"/>
            <w:left w:val="none" w:sz="0" w:space="0" w:color="auto"/>
            <w:bottom w:val="none" w:sz="0" w:space="0" w:color="auto"/>
            <w:right w:val="none" w:sz="0" w:space="0" w:color="auto"/>
          </w:divBdr>
          <w:divsChild>
            <w:div w:id="539391809">
              <w:marLeft w:val="0"/>
              <w:marRight w:val="0"/>
              <w:marTop w:val="0"/>
              <w:marBottom w:val="0"/>
              <w:divBdr>
                <w:top w:val="none" w:sz="0" w:space="0" w:color="auto"/>
                <w:left w:val="none" w:sz="0" w:space="0" w:color="auto"/>
                <w:bottom w:val="none" w:sz="0" w:space="0" w:color="auto"/>
                <w:right w:val="none" w:sz="0" w:space="0" w:color="auto"/>
              </w:divBdr>
            </w:div>
          </w:divsChild>
        </w:div>
        <w:div w:id="534193725">
          <w:marLeft w:val="0"/>
          <w:marRight w:val="0"/>
          <w:marTop w:val="0"/>
          <w:marBottom w:val="0"/>
          <w:divBdr>
            <w:top w:val="none" w:sz="0" w:space="0" w:color="auto"/>
            <w:left w:val="none" w:sz="0" w:space="0" w:color="auto"/>
            <w:bottom w:val="none" w:sz="0" w:space="0" w:color="auto"/>
            <w:right w:val="none" w:sz="0" w:space="0" w:color="auto"/>
          </w:divBdr>
          <w:divsChild>
            <w:div w:id="1918324215">
              <w:marLeft w:val="0"/>
              <w:marRight w:val="0"/>
              <w:marTop w:val="0"/>
              <w:marBottom w:val="0"/>
              <w:divBdr>
                <w:top w:val="none" w:sz="0" w:space="0" w:color="auto"/>
                <w:left w:val="none" w:sz="0" w:space="0" w:color="auto"/>
                <w:bottom w:val="none" w:sz="0" w:space="0" w:color="auto"/>
                <w:right w:val="none" w:sz="0" w:space="0" w:color="auto"/>
              </w:divBdr>
            </w:div>
          </w:divsChild>
        </w:div>
        <w:div w:id="557977040">
          <w:marLeft w:val="0"/>
          <w:marRight w:val="0"/>
          <w:marTop w:val="0"/>
          <w:marBottom w:val="0"/>
          <w:divBdr>
            <w:top w:val="none" w:sz="0" w:space="0" w:color="auto"/>
            <w:left w:val="none" w:sz="0" w:space="0" w:color="auto"/>
            <w:bottom w:val="none" w:sz="0" w:space="0" w:color="auto"/>
            <w:right w:val="none" w:sz="0" w:space="0" w:color="auto"/>
          </w:divBdr>
          <w:divsChild>
            <w:div w:id="632561387">
              <w:marLeft w:val="0"/>
              <w:marRight w:val="0"/>
              <w:marTop w:val="0"/>
              <w:marBottom w:val="0"/>
              <w:divBdr>
                <w:top w:val="none" w:sz="0" w:space="0" w:color="auto"/>
                <w:left w:val="none" w:sz="0" w:space="0" w:color="auto"/>
                <w:bottom w:val="none" w:sz="0" w:space="0" w:color="auto"/>
                <w:right w:val="none" w:sz="0" w:space="0" w:color="auto"/>
              </w:divBdr>
            </w:div>
          </w:divsChild>
        </w:div>
        <w:div w:id="563298691">
          <w:marLeft w:val="0"/>
          <w:marRight w:val="0"/>
          <w:marTop w:val="0"/>
          <w:marBottom w:val="0"/>
          <w:divBdr>
            <w:top w:val="none" w:sz="0" w:space="0" w:color="auto"/>
            <w:left w:val="none" w:sz="0" w:space="0" w:color="auto"/>
            <w:bottom w:val="none" w:sz="0" w:space="0" w:color="auto"/>
            <w:right w:val="none" w:sz="0" w:space="0" w:color="auto"/>
          </w:divBdr>
          <w:divsChild>
            <w:div w:id="2073771960">
              <w:marLeft w:val="0"/>
              <w:marRight w:val="0"/>
              <w:marTop w:val="0"/>
              <w:marBottom w:val="0"/>
              <w:divBdr>
                <w:top w:val="none" w:sz="0" w:space="0" w:color="auto"/>
                <w:left w:val="none" w:sz="0" w:space="0" w:color="auto"/>
                <w:bottom w:val="none" w:sz="0" w:space="0" w:color="auto"/>
                <w:right w:val="none" w:sz="0" w:space="0" w:color="auto"/>
              </w:divBdr>
            </w:div>
          </w:divsChild>
        </w:div>
        <w:div w:id="565842172">
          <w:marLeft w:val="0"/>
          <w:marRight w:val="0"/>
          <w:marTop w:val="0"/>
          <w:marBottom w:val="0"/>
          <w:divBdr>
            <w:top w:val="none" w:sz="0" w:space="0" w:color="auto"/>
            <w:left w:val="none" w:sz="0" w:space="0" w:color="auto"/>
            <w:bottom w:val="none" w:sz="0" w:space="0" w:color="auto"/>
            <w:right w:val="none" w:sz="0" w:space="0" w:color="auto"/>
          </w:divBdr>
          <w:divsChild>
            <w:div w:id="288822054">
              <w:marLeft w:val="0"/>
              <w:marRight w:val="0"/>
              <w:marTop w:val="0"/>
              <w:marBottom w:val="0"/>
              <w:divBdr>
                <w:top w:val="none" w:sz="0" w:space="0" w:color="auto"/>
                <w:left w:val="none" w:sz="0" w:space="0" w:color="auto"/>
                <w:bottom w:val="none" w:sz="0" w:space="0" w:color="auto"/>
                <w:right w:val="none" w:sz="0" w:space="0" w:color="auto"/>
              </w:divBdr>
            </w:div>
          </w:divsChild>
        </w:div>
        <w:div w:id="638997412">
          <w:marLeft w:val="0"/>
          <w:marRight w:val="0"/>
          <w:marTop w:val="0"/>
          <w:marBottom w:val="0"/>
          <w:divBdr>
            <w:top w:val="none" w:sz="0" w:space="0" w:color="auto"/>
            <w:left w:val="none" w:sz="0" w:space="0" w:color="auto"/>
            <w:bottom w:val="none" w:sz="0" w:space="0" w:color="auto"/>
            <w:right w:val="none" w:sz="0" w:space="0" w:color="auto"/>
          </w:divBdr>
          <w:divsChild>
            <w:div w:id="1394815918">
              <w:marLeft w:val="0"/>
              <w:marRight w:val="0"/>
              <w:marTop w:val="0"/>
              <w:marBottom w:val="0"/>
              <w:divBdr>
                <w:top w:val="none" w:sz="0" w:space="0" w:color="auto"/>
                <w:left w:val="none" w:sz="0" w:space="0" w:color="auto"/>
                <w:bottom w:val="none" w:sz="0" w:space="0" w:color="auto"/>
                <w:right w:val="none" w:sz="0" w:space="0" w:color="auto"/>
              </w:divBdr>
            </w:div>
          </w:divsChild>
        </w:div>
        <w:div w:id="707491806">
          <w:marLeft w:val="0"/>
          <w:marRight w:val="0"/>
          <w:marTop w:val="0"/>
          <w:marBottom w:val="0"/>
          <w:divBdr>
            <w:top w:val="none" w:sz="0" w:space="0" w:color="auto"/>
            <w:left w:val="none" w:sz="0" w:space="0" w:color="auto"/>
            <w:bottom w:val="none" w:sz="0" w:space="0" w:color="auto"/>
            <w:right w:val="none" w:sz="0" w:space="0" w:color="auto"/>
          </w:divBdr>
          <w:divsChild>
            <w:div w:id="1653682881">
              <w:marLeft w:val="0"/>
              <w:marRight w:val="0"/>
              <w:marTop w:val="0"/>
              <w:marBottom w:val="0"/>
              <w:divBdr>
                <w:top w:val="none" w:sz="0" w:space="0" w:color="auto"/>
                <w:left w:val="none" w:sz="0" w:space="0" w:color="auto"/>
                <w:bottom w:val="none" w:sz="0" w:space="0" w:color="auto"/>
                <w:right w:val="none" w:sz="0" w:space="0" w:color="auto"/>
              </w:divBdr>
            </w:div>
          </w:divsChild>
        </w:div>
        <w:div w:id="707608161">
          <w:marLeft w:val="0"/>
          <w:marRight w:val="0"/>
          <w:marTop w:val="0"/>
          <w:marBottom w:val="0"/>
          <w:divBdr>
            <w:top w:val="none" w:sz="0" w:space="0" w:color="auto"/>
            <w:left w:val="none" w:sz="0" w:space="0" w:color="auto"/>
            <w:bottom w:val="none" w:sz="0" w:space="0" w:color="auto"/>
            <w:right w:val="none" w:sz="0" w:space="0" w:color="auto"/>
          </w:divBdr>
          <w:divsChild>
            <w:div w:id="1487477279">
              <w:marLeft w:val="0"/>
              <w:marRight w:val="0"/>
              <w:marTop w:val="0"/>
              <w:marBottom w:val="0"/>
              <w:divBdr>
                <w:top w:val="none" w:sz="0" w:space="0" w:color="auto"/>
                <w:left w:val="none" w:sz="0" w:space="0" w:color="auto"/>
                <w:bottom w:val="none" w:sz="0" w:space="0" w:color="auto"/>
                <w:right w:val="none" w:sz="0" w:space="0" w:color="auto"/>
              </w:divBdr>
            </w:div>
          </w:divsChild>
        </w:div>
        <w:div w:id="764111666">
          <w:marLeft w:val="0"/>
          <w:marRight w:val="0"/>
          <w:marTop w:val="0"/>
          <w:marBottom w:val="0"/>
          <w:divBdr>
            <w:top w:val="none" w:sz="0" w:space="0" w:color="auto"/>
            <w:left w:val="none" w:sz="0" w:space="0" w:color="auto"/>
            <w:bottom w:val="none" w:sz="0" w:space="0" w:color="auto"/>
            <w:right w:val="none" w:sz="0" w:space="0" w:color="auto"/>
          </w:divBdr>
          <w:divsChild>
            <w:div w:id="411707259">
              <w:marLeft w:val="0"/>
              <w:marRight w:val="0"/>
              <w:marTop w:val="0"/>
              <w:marBottom w:val="0"/>
              <w:divBdr>
                <w:top w:val="none" w:sz="0" w:space="0" w:color="auto"/>
                <w:left w:val="none" w:sz="0" w:space="0" w:color="auto"/>
                <w:bottom w:val="none" w:sz="0" w:space="0" w:color="auto"/>
                <w:right w:val="none" w:sz="0" w:space="0" w:color="auto"/>
              </w:divBdr>
            </w:div>
          </w:divsChild>
        </w:div>
        <w:div w:id="856041262">
          <w:marLeft w:val="0"/>
          <w:marRight w:val="0"/>
          <w:marTop w:val="0"/>
          <w:marBottom w:val="0"/>
          <w:divBdr>
            <w:top w:val="none" w:sz="0" w:space="0" w:color="auto"/>
            <w:left w:val="none" w:sz="0" w:space="0" w:color="auto"/>
            <w:bottom w:val="none" w:sz="0" w:space="0" w:color="auto"/>
            <w:right w:val="none" w:sz="0" w:space="0" w:color="auto"/>
          </w:divBdr>
          <w:divsChild>
            <w:div w:id="1422482670">
              <w:marLeft w:val="0"/>
              <w:marRight w:val="0"/>
              <w:marTop w:val="0"/>
              <w:marBottom w:val="0"/>
              <w:divBdr>
                <w:top w:val="none" w:sz="0" w:space="0" w:color="auto"/>
                <w:left w:val="none" w:sz="0" w:space="0" w:color="auto"/>
                <w:bottom w:val="none" w:sz="0" w:space="0" w:color="auto"/>
                <w:right w:val="none" w:sz="0" w:space="0" w:color="auto"/>
              </w:divBdr>
            </w:div>
          </w:divsChild>
        </w:div>
        <w:div w:id="972909704">
          <w:marLeft w:val="0"/>
          <w:marRight w:val="0"/>
          <w:marTop w:val="0"/>
          <w:marBottom w:val="0"/>
          <w:divBdr>
            <w:top w:val="none" w:sz="0" w:space="0" w:color="auto"/>
            <w:left w:val="none" w:sz="0" w:space="0" w:color="auto"/>
            <w:bottom w:val="none" w:sz="0" w:space="0" w:color="auto"/>
            <w:right w:val="none" w:sz="0" w:space="0" w:color="auto"/>
          </w:divBdr>
          <w:divsChild>
            <w:div w:id="2065983156">
              <w:marLeft w:val="0"/>
              <w:marRight w:val="0"/>
              <w:marTop w:val="0"/>
              <w:marBottom w:val="0"/>
              <w:divBdr>
                <w:top w:val="none" w:sz="0" w:space="0" w:color="auto"/>
                <w:left w:val="none" w:sz="0" w:space="0" w:color="auto"/>
                <w:bottom w:val="none" w:sz="0" w:space="0" w:color="auto"/>
                <w:right w:val="none" w:sz="0" w:space="0" w:color="auto"/>
              </w:divBdr>
            </w:div>
          </w:divsChild>
        </w:div>
        <w:div w:id="995065418">
          <w:marLeft w:val="0"/>
          <w:marRight w:val="0"/>
          <w:marTop w:val="0"/>
          <w:marBottom w:val="0"/>
          <w:divBdr>
            <w:top w:val="none" w:sz="0" w:space="0" w:color="auto"/>
            <w:left w:val="none" w:sz="0" w:space="0" w:color="auto"/>
            <w:bottom w:val="none" w:sz="0" w:space="0" w:color="auto"/>
            <w:right w:val="none" w:sz="0" w:space="0" w:color="auto"/>
          </w:divBdr>
          <w:divsChild>
            <w:div w:id="2076927248">
              <w:marLeft w:val="0"/>
              <w:marRight w:val="0"/>
              <w:marTop w:val="0"/>
              <w:marBottom w:val="0"/>
              <w:divBdr>
                <w:top w:val="none" w:sz="0" w:space="0" w:color="auto"/>
                <w:left w:val="none" w:sz="0" w:space="0" w:color="auto"/>
                <w:bottom w:val="none" w:sz="0" w:space="0" w:color="auto"/>
                <w:right w:val="none" w:sz="0" w:space="0" w:color="auto"/>
              </w:divBdr>
            </w:div>
          </w:divsChild>
        </w:div>
        <w:div w:id="1013263213">
          <w:marLeft w:val="0"/>
          <w:marRight w:val="0"/>
          <w:marTop w:val="0"/>
          <w:marBottom w:val="0"/>
          <w:divBdr>
            <w:top w:val="none" w:sz="0" w:space="0" w:color="auto"/>
            <w:left w:val="none" w:sz="0" w:space="0" w:color="auto"/>
            <w:bottom w:val="none" w:sz="0" w:space="0" w:color="auto"/>
            <w:right w:val="none" w:sz="0" w:space="0" w:color="auto"/>
          </w:divBdr>
          <w:divsChild>
            <w:div w:id="1171872646">
              <w:marLeft w:val="0"/>
              <w:marRight w:val="0"/>
              <w:marTop w:val="0"/>
              <w:marBottom w:val="0"/>
              <w:divBdr>
                <w:top w:val="none" w:sz="0" w:space="0" w:color="auto"/>
                <w:left w:val="none" w:sz="0" w:space="0" w:color="auto"/>
                <w:bottom w:val="none" w:sz="0" w:space="0" w:color="auto"/>
                <w:right w:val="none" w:sz="0" w:space="0" w:color="auto"/>
              </w:divBdr>
            </w:div>
          </w:divsChild>
        </w:div>
        <w:div w:id="1032070617">
          <w:marLeft w:val="0"/>
          <w:marRight w:val="0"/>
          <w:marTop w:val="0"/>
          <w:marBottom w:val="0"/>
          <w:divBdr>
            <w:top w:val="none" w:sz="0" w:space="0" w:color="auto"/>
            <w:left w:val="none" w:sz="0" w:space="0" w:color="auto"/>
            <w:bottom w:val="none" w:sz="0" w:space="0" w:color="auto"/>
            <w:right w:val="none" w:sz="0" w:space="0" w:color="auto"/>
          </w:divBdr>
          <w:divsChild>
            <w:div w:id="1727875969">
              <w:marLeft w:val="0"/>
              <w:marRight w:val="0"/>
              <w:marTop w:val="0"/>
              <w:marBottom w:val="0"/>
              <w:divBdr>
                <w:top w:val="none" w:sz="0" w:space="0" w:color="auto"/>
                <w:left w:val="none" w:sz="0" w:space="0" w:color="auto"/>
                <w:bottom w:val="none" w:sz="0" w:space="0" w:color="auto"/>
                <w:right w:val="none" w:sz="0" w:space="0" w:color="auto"/>
              </w:divBdr>
            </w:div>
          </w:divsChild>
        </w:div>
        <w:div w:id="1048408791">
          <w:marLeft w:val="0"/>
          <w:marRight w:val="0"/>
          <w:marTop w:val="0"/>
          <w:marBottom w:val="0"/>
          <w:divBdr>
            <w:top w:val="none" w:sz="0" w:space="0" w:color="auto"/>
            <w:left w:val="none" w:sz="0" w:space="0" w:color="auto"/>
            <w:bottom w:val="none" w:sz="0" w:space="0" w:color="auto"/>
            <w:right w:val="none" w:sz="0" w:space="0" w:color="auto"/>
          </w:divBdr>
          <w:divsChild>
            <w:div w:id="864632071">
              <w:marLeft w:val="0"/>
              <w:marRight w:val="0"/>
              <w:marTop w:val="0"/>
              <w:marBottom w:val="0"/>
              <w:divBdr>
                <w:top w:val="none" w:sz="0" w:space="0" w:color="auto"/>
                <w:left w:val="none" w:sz="0" w:space="0" w:color="auto"/>
                <w:bottom w:val="none" w:sz="0" w:space="0" w:color="auto"/>
                <w:right w:val="none" w:sz="0" w:space="0" w:color="auto"/>
              </w:divBdr>
            </w:div>
          </w:divsChild>
        </w:div>
        <w:div w:id="1062750397">
          <w:marLeft w:val="0"/>
          <w:marRight w:val="0"/>
          <w:marTop w:val="0"/>
          <w:marBottom w:val="0"/>
          <w:divBdr>
            <w:top w:val="none" w:sz="0" w:space="0" w:color="auto"/>
            <w:left w:val="none" w:sz="0" w:space="0" w:color="auto"/>
            <w:bottom w:val="none" w:sz="0" w:space="0" w:color="auto"/>
            <w:right w:val="none" w:sz="0" w:space="0" w:color="auto"/>
          </w:divBdr>
          <w:divsChild>
            <w:div w:id="723989786">
              <w:marLeft w:val="0"/>
              <w:marRight w:val="0"/>
              <w:marTop w:val="0"/>
              <w:marBottom w:val="0"/>
              <w:divBdr>
                <w:top w:val="none" w:sz="0" w:space="0" w:color="auto"/>
                <w:left w:val="none" w:sz="0" w:space="0" w:color="auto"/>
                <w:bottom w:val="none" w:sz="0" w:space="0" w:color="auto"/>
                <w:right w:val="none" w:sz="0" w:space="0" w:color="auto"/>
              </w:divBdr>
            </w:div>
          </w:divsChild>
        </w:div>
        <w:div w:id="1103915221">
          <w:marLeft w:val="0"/>
          <w:marRight w:val="0"/>
          <w:marTop w:val="0"/>
          <w:marBottom w:val="0"/>
          <w:divBdr>
            <w:top w:val="none" w:sz="0" w:space="0" w:color="auto"/>
            <w:left w:val="none" w:sz="0" w:space="0" w:color="auto"/>
            <w:bottom w:val="none" w:sz="0" w:space="0" w:color="auto"/>
            <w:right w:val="none" w:sz="0" w:space="0" w:color="auto"/>
          </w:divBdr>
          <w:divsChild>
            <w:div w:id="1161776048">
              <w:marLeft w:val="0"/>
              <w:marRight w:val="0"/>
              <w:marTop w:val="0"/>
              <w:marBottom w:val="0"/>
              <w:divBdr>
                <w:top w:val="none" w:sz="0" w:space="0" w:color="auto"/>
                <w:left w:val="none" w:sz="0" w:space="0" w:color="auto"/>
                <w:bottom w:val="none" w:sz="0" w:space="0" w:color="auto"/>
                <w:right w:val="none" w:sz="0" w:space="0" w:color="auto"/>
              </w:divBdr>
            </w:div>
          </w:divsChild>
        </w:div>
        <w:div w:id="1117867296">
          <w:marLeft w:val="0"/>
          <w:marRight w:val="0"/>
          <w:marTop w:val="0"/>
          <w:marBottom w:val="0"/>
          <w:divBdr>
            <w:top w:val="none" w:sz="0" w:space="0" w:color="auto"/>
            <w:left w:val="none" w:sz="0" w:space="0" w:color="auto"/>
            <w:bottom w:val="none" w:sz="0" w:space="0" w:color="auto"/>
            <w:right w:val="none" w:sz="0" w:space="0" w:color="auto"/>
          </w:divBdr>
          <w:divsChild>
            <w:div w:id="1162965602">
              <w:marLeft w:val="0"/>
              <w:marRight w:val="0"/>
              <w:marTop w:val="0"/>
              <w:marBottom w:val="0"/>
              <w:divBdr>
                <w:top w:val="none" w:sz="0" w:space="0" w:color="auto"/>
                <w:left w:val="none" w:sz="0" w:space="0" w:color="auto"/>
                <w:bottom w:val="none" w:sz="0" w:space="0" w:color="auto"/>
                <w:right w:val="none" w:sz="0" w:space="0" w:color="auto"/>
              </w:divBdr>
            </w:div>
          </w:divsChild>
        </w:div>
        <w:div w:id="1257902145">
          <w:marLeft w:val="0"/>
          <w:marRight w:val="0"/>
          <w:marTop w:val="0"/>
          <w:marBottom w:val="0"/>
          <w:divBdr>
            <w:top w:val="none" w:sz="0" w:space="0" w:color="auto"/>
            <w:left w:val="none" w:sz="0" w:space="0" w:color="auto"/>
            <w:bottom w:val="none" w:sz="0" w:space="0" w:color="auto"/>
            <w:right w:val="none" w:sz="0" w:space="0" w:color="auto"/>
          </w:divBdr>
          <w:divsChild>
            <w:div w:id="396978542">
              <w:marLeft w:val="0"/>
              <w:marRight w:val="0"/>
              <w:marTop w:val="0"/>
              <w:marBottom w:val="0"/>
              <w:divBdr>
                <w:top w:val="none" w:sz="0" w:space="0" w:color="auto"/>
                <w:left w:val="none" w:sz="0" w:space="0" w:color="auto"/>
                <w:bottom w:val="none" w:sz="0" w:space="0" w:color="auto"/>
                <w:right w:val="none" w:sz="0" w:space="0" w:color="auto"/>
              </w:divBdr>
            </w:div>
          </w:divsChild>
        </w:div>
        <w:div w:id="1352410663">
          <w:marLeft w:val="0"/>
          <w:marRight w:val="0"/>
          <w:marTop w:val="0"/>
          <w:marBottom w:val="0"/>
          <w:divBdr>
            <w:top w:val="none" w:sz="0" w:space="0" w:color="auto"/>
            <w:left w:val="none" w:sz="0" w:space="0" w:color="auto"/>
            <w:bottom w:val="none" w:sz="0" w:space="0" w:color="auto"/>
            <w:right w:val="none" w:sz="0" w:space="0" w:color="auto"/>
          </w:divBdr>
          <w:divsChild>
            <w:div w:id="1045831811">
              <w:marLeft w:val="0"/>
              <w:marRight w:val="0"/>
              <w:marTop w:val="0"/>
              <w:marBottom w:val="0"/>
              <w:divBdr>
                <w:top w:val="none" w:sz="0" w:space="0" w:color="auto"/>
                <w:left w:val="none" w:sz="0" w:space="0" w:color="auto"/>
                <w:bottom w:val="none" w:sz="0" w:space="0" w:color="auto"/>
                <w:right w:val="none" w:sz="0" w:space="0" w:color="auto"/>
              </w:divBdr>
            </w:div>
          </w:divsChild>
        </w:div>
        <w:div w:id="1368916405">
          <w:marLeft w:val="0"/>
          <w:marRight w:val="0"/>
          <w:marTop w:val="0"/>
          <w:marBottom w:val="0"/>
          <w:divBdr>
            <w:top w:val="none" w:sz="0" w:space="0" w:color="auto"/>
            <w:left w:val="none" w:sz="0" w:space="0" w:color="auto"/>
            <w:bottom w:val="none" w:sz="0" w:space="0" w:color="auto"/>
            <w:right w:val="none" w:sz="0" w:space="0" w:color="auto"/>
          </w:divBdr>
          <w:divsChild>
            <w:div w:id="161044034">
              <w:marLeft w:val="0"/>
              <w:marRight w:val="0"/>
              <w:marTop w:val="0"/>
              <w:marBottom w:val="0"/>
              <w:divBdr>
                <w:top w:val="none" w:sz="0" w:space="0" w:color="auto"/>
                <w:left w:val="none" w:sz="0" w:space="0" w:color="auto"/>
                <w:bottom w:val="none" w:sz="0" w:space="0" w:color="auto"/>
                <w:right w:val="none" w:sz="0" w:space="0" w:color="auto"/>
              </w:divBdr>
            </w:div>
          </w:divsChild>
        </w:div>
        <w:div w:id="1482500251">
          <w:marLeft w:val="0"/>
          <w:marRight w:val="0"/>
          <w:marTop w:val="0"/>
          <w:marBottom w:val="0"/>
          <w:divBdr>
            <w:top w:val="none" w:sz="0" w:space="0" w:color="auto"/>
            <w:left w:val="none" w:sz="0" w:space="0" w:color="auto"/>
            <w:bottom w:val="none" w:sz="0" w:space="0" w:color="auto"/>
            <w:right w:val="none" w:sz="0" w:space="0" w:color="auto"/>
          </w:divBdr>
          <w:divsChild>
            <w:div w:id="1220018458">
              <w:marLeft w:val="0"/>
              <w:marRight w:val="0"/>
              <w:marTop w:val="0"/>
              <w:marBottom w:val="0"/>
              <w:divBdr>
                <w:top w:val="none" w:sz="0" w:space="0" w:color="auto"/>
                <w:left w:val="none" w:sz="0" w:space="0" w:color="auto"/>
                <w:bottom w:val="none" w:sz="0" w:space="0" w:color="auto"/>
                <w:right w:val="none" w:sz="0" w:space="0" w:color="auto"/>
              </w:divBdr>
            </w:div>
          </w:divsChild>
        </w:div>
        <w:div w:id="1585843085">
          <w:marLeft w:val="0"/>
          <w:marRight w:val="0"/>
          <w:marTop w:val="0"/>
          <w:marBottom w:val="0"/>
          <w:divBdr>
            <w:top w:val="none" w:sz="0" w:space="0" w:color="auto"/>
            <w:left w:val="none" w:sz="0" w:space="0" w:color="auto"/>
            <w:bottom w:val="none" w:sz="0" w:space="0" w:color="auto"/>
            <w:right w:val="none" w:sz="0" w:space="0" w:color="auto"/>
          </w:divBdr>
          <w:divsChild>
            <w:div w:id="1676761400">
              <w:marLeft w:val="0"/>
              <w:marRight w:val="0"/>
              <w:marTop w:val="0"/>
              <w:marBottom w:val="0"/>
              <w:divBdr>
                <w:top w:val="none" w:sz="0" w:space="0" w:color="auto"/>
                <w:left w:val="none" w:sz="0" w:space="0" w:color="auto"/>
                <w:bottom w:val="none" w:sz="0" w:space="0" w:color="auto"/>
                <w:right w:val="none" w:sz="0" w:space="0" w:color="auto"/>
              </w:divBdr>
            </w:div>
          </w:divsChild>
        </w:div>
        <w:div w:id="1603950933">
          <w:marLeft w:val="0"/>
          <w:marRight w:val="0"/>
          <w:marTop w:val="0"/>
          <w:marBottom w:val="0"/>
          <w:divBdr>
            <w:top w:val="none" w:sz="0" w:space="0" w:color="auto"/>
            <w:left w:val="none" w:sz="0" w:space="0" w:color="auto"/>
            <w:bottom w:val="none" w:sz="0" w:space="0" w:color="auto"/>
            <w:right w:val="none" w:sz="0" w:space="0" w:color="auto"/>
          </w:divBdr>
          <w:divsChild>
            <w:div w:id="451484610">
              <w:marLeft w:val="0"/>
              <w:marRight w:val="0"/>
              <w:marTop w:val="0"/>
              <w:marBottom w:val="0"/>
              <w:divBdr>
                <w:top w:val="none" w:sz="0" w:space="0" w:color="auto"/>
                <w:left w:val="none" w:sz="0" w:space="0" w:color="auto"/>
                <w:bottom w:val="none" w:sz="0" w:space="0" w:color="auto"/>
                <w:right w:val="none" w:sz="0" w:space="0" w:color="auto"/>
              </w:divBdr>
            </w:div>
          </w:divsChild>
        </w:div>
        <w:div w:id="1623422229">
          <w:marLeft w:val="0"/>
          <w:marRight w:val="0"/>
          <w:marTop w:val="0"/>
          <w:marBottom w:val="0"/>
          <w:divBdr>
            <w:top w:val="none" w:sz="0" w:space="0" w:color="auto"/>
            <w:left w:val="none" w:sz="0" w:space="0" w:color="auto"/>
            <w:bottom w:val="none" w:sz="0" w:space="0" w:color="auto"/>
            <w:right w:val="none" w:sz="0" w:space="0" w:color="auto"/>
          </w:divBdr>
          <w:divsChild>
            <w:div w:id="1204052518">
              <w:marLeft w:val="0"/>
              <w:marRight w:val="0"/>
              <w:marTop w:val="0"/>
              <w:marBottom w:val="0"/>
              <w:divBdr>
                <w:top w:val="none" w:sz="0" w:space="0" w:color="auto"/>
                <w:left w:val="none" w:sz="0" w:space="0" w:color="auto"/>
                <w:bottom w:val="none" w:sz="0" w:space="0" w:color="auto"/>
                <w:right w:val="none" w:sz="0" w:space="0" w:color="auto"/>
              </w:divBdr>
            </w:div>
          </w:divsChild>
        </w:div>
        <w:div w:id="1657760109">
          <w:marLeft w:val="0"/>
          <w:marRight w:val="0"/>
          <w:marTop w:val="0"/>
          <w:marBottom w:val="0"/>
          <w:divBdr>
            <w:top w:val="none" w:sz="0" w:space="0" w:color="auto"/>
            <w:left w:val="none" w:sz="0" w:space="0" w:color="auto"/>
            <w:bottom w:val="none" w:sz="0" w:space="0" w:color="auto"/>
            <w:right w:val="none" w:sz="0" w:space="0" w:color="auto"/>
          </w:divBdr>
          <w:divsChild>
            <w:div w:id="1258564243">
              <w:marLeft w:val="0"/>
              <w:marRight w:val="0"/>
              <w:marTop w:val="0"/>
              <w:marBottom w:val="0"/>
              <w:divBdr>
                <w:top w:val="none" w:sz="0" w:space="0" w:color="auto"/>
                <w:left w:val="none" w:sz="0" w:space="0" w:color="auto"/>
                <w:bottom w:val="none" w:sz="0" w:space="0" w:color="auto"/>
                <w:right w:val="none" w:sz="0" w:space="0" w:color="auto"/>
              </w:divBdr>
            </w:div>
          </w:divsChild>
        </w:div>
        <w:div w:id="1871794397">
          <w:marLeft w:val="0"/>
          <w:marRight w:val="0"/>
          <w:marTop w:val="0"/>
          <w:marBottom w:val="0"/>
          <w:divBdr>
            <w:top w:val="none" w:sz="0" w:space="0" w:color="auto"/>
            <w:left w:val="none" w:sz="0" w:space="0" w:color="auto"/>
            <w:bottom w:val="none" w:sz="0" w:space="0" w:color="auto"/>
            <w:right w:val="none" w:sz="0" w:space="0" w:color="auto"/>
          </w:divBdr>
          <w:divsChild>
            <w:div w:id="1214929419">
              <w:marLeft w:val="0"/>
              <w:marRight w:val="0"/>
              <w:marTop w:val="0"/>
              <w:marBottom w:val="0"/>
              <w:divBdr>
                <w:top w:val="none" w:sz="0" w:space="0" w:color="auto"/>
                <w:left w:val="none" w:sz="0" w:space="0" w:color="auto"/>
                <w:bottom w:val="none" w:sz="0" w:space="0" w:color="auto"/>
                <w:right w:val="none" w:sz="0" w:space="0" w:color="auto"/>
              </w:divBdr>
            </w:div>
          </w:divsChild>
        </w:div>
        <w:div w:id="1985893001">
          <w:marLeft w:val="0"/>
          <w:marRight w:val="0"/>
          <w:marTop w:val="0"/>
          <w:marBottom w:val="0"/>
          <w:divBdr>
            <w:top w:val="none" w:sz="0" w:space="0" w:color="auto"/>
            <w:left w:val="none" w:sz="0" w:space="0" w:color="auto"/>
            <w:bottom w:val="none" w:sz="0" w:space="0" w:color="auto"/>
            <w:right w:val="none" w:sz="0" w:space="0" w:color="auto"/>
          </w:divBdr>
          <w:divsChild>
            <w:div w:id="1408455198">
              <w:marLeft w:val="0"/>
              <w:marRight w:val="0"/>
              <w:marTop w:val="0"/>
              <w:marBottom w:val="0"/>
              <w:divBdr>
                <w:top w:val="none" w:sz="0" w:space="0" w:color="auto"/>
                <w:left w:val="none" w:sz="0" w:space="0" w:color="auto"/>
                <w:bottom w:val="none" w:sz="0" w:space="0" w:color="auto"/>
                <w:right w:val="none" w:sz="0" w:space="0" w:color="auto"/>
              </w:divBdr>
            </w:div>
          </w:divsChild>
        </w:div>
        <w:div w:id="1986929515">
          <w:marLeft w:val="0"/>
          <w:marRight w:val="0"/>
          <w:marTop w:val="0"/>
          <w:marBottom w:val="0"/>
          <w:divBdr>
            <w:top w:val="none" w:sz="0" w:space="0" w:color="auto"/>
            <w:left w:val="none" w:sz="0" w:space="0" w:color="auto"/>
            <w:bottom w:val="none" w:sz="0" w:space="0" w:color="auto"/>
            <w:right w:val="none" w:sz="0" w:space="0" w:color="auto"/>
          </w:divBdr>
          <w:divsChild>
            <w:div w:id="926423842">
              <w:marLeft w:val="0"/>
              <w:marRight w:val="0"/>
              <w:marTop w:val="0"/>
              <w:marBottom w:val="0"/>
              <w:divBdr>
                <w:top w:val="none" w:sz="0" w:space="0" w:color="auto"/>
                <w:left w:val="none" w:sz="0" w:space="0" w:color="auto"/>
                <w:bottom w:val="none" w:sz="0" w:space="0" w:color="auto"/>
                <w:right w:val="none" w:sz="0" w:space="0" w:color="auto"/>
              </w:divBdr>
            </w:div>
          </w:divsChild>
        </w:div>
        <w:div w:id="2015300917">
          <w:marLeft w:val="0"/>
          <w:marRight w:val="0"/>
          <w:marTop w:val="0"/>
          <w:marBottom w:val="0"/>
          <w:divBdr>
            <w:top w:val="none" w:sz="0" w:space="0" w:color="auto"/>
            <w:left w:val="none" w:sz="0" w:space="0" w:color="auto"/>
            <w:bottom w:val="none" w:sz="0" w:space="0" w:color="auto"/>
            <w:right w:val="none" w:sz="0" w:space="0" w:color="auto"/>
          </w:divBdr>
          <w:divsChild>
            <w:div w:id="1716126927">
              <w:marLeft w:val="0"/>
              <w:marRight w:val="0"/>
              <w:marTop w:val="0"/>
              <w:marBottom w:val="0"/>
              <w:divBdr>
                <w:top w:val="none" w:sz="0" w:space="0" w:color="auto"/>
                <w:left w:val="none" w:sz="0" w:space="0" w:color="auto"/>
                <w:bottom w:val="none" w:sz="0" w:space="0" w:color="auto"/>
                <w:right w:val="none" w:sz="0" w:space="0" w:color="auto"/>
              </w:divBdr>
            </w:div>
          </w:divsChild>
        </w:div>
        <w:div w:id="2077894578">
          <w:marLeft w:val="0"/>
          <w:marRight w:val="0"/>
          <w:marTop w:val="0"/>
          <w:marBottom w:val="0"/>
          <w:divBdr>
            <w:top w:val="none" w:sz="0" w:space="0" w:color="auto"/>
            <w:left w:val="none" w:sz="0" w:space="0" w:color="auto"/>
            <w:bottom w:val="none" w:sz="0" w:space="0" w:color="auto"/>
            <w:right w:val="none" w:sz="0" w:space="0" w:color="auto"/>
          </w:divBdr>
          <w:divsChild>
            <w:div w:id="550772311">
              <w:marLeft w:val="0"/>
              <w:marRight w:val="0"/>
              <w:marTop w:val="0"/>
              <w:marBottom w:val="0"/>
              <w:divBdr>
                <w:top w:val="none" w:sz="0" w:space="0" w:color="auto"/>
                <w:left w:val="none" w:sz="0" w:space="0" w:color="auto"/>
                <w:bottom w:val="none" w:sz="0" w:space="0" w:color="auto"/>
                <w:right w:val="none" w:sz="0" w:space="0" w:color="auto"/>
              </w:divBdr>
            </w:div>
          </w:divsChild>
        </w:div>
        <w:div w:id="2120100572">
          <w:marLeft w:val="0"/>
          <w:marRight w:val="0"/>
          <w:marTop w:val="0"/>
          <w:marBottom w:val="0"/>
          <w:divBdr>
            <w:top w:val="none" w:sz="0" w:space="0" w:color="auto"/>
            <w:left w:val="none" w:sz="0" w:space="0" w:color="auto"/>
            <w:bottom w:val="none" w:sz="0" w:space="0" w:color="auto"/>
            <w:right w:val="none" w:sz="0" w:space="0" w:color="auto"/>
          </w:divBdr>
          <w:divsChild>
            <w:div w:id="194779131">
              <w:marLeft w:val="0"/>
              <w:marRight w:val="0"/>
              <w:marTop w:val="0"/>
              <w:marBottom w:val="0"/>
              <w:divBdr>
                <w:top w:val="none" w:sz="0" w:space="0" w:color="auto"/>
                <w:left w:val="none" w:sz="0" w:space="0" w:color="auto"/>
                <w:bottom w:val="none" w:sz="0" w:space="0" w:color="auto"/>
                <w:right w:val="none" w:sz="0" w:space="0" w:color="auto"/>
              </w:divBdr>
            </w:div>
          </w:divsChild>
        </w:div>
        <w:div w:id="2144882385">
          <w:marLeft w:val="0"/>
          <w:marRight w:val="0"/>
          <w:marTop w:val="0"/>
          <w:marBottom w:val="0"/>
          <w:divBdr>
            <w:top w:val="none" w:sz="0" w:space="0" w:color="auto"/>
            <w:left w:val="none" w:sz="0" w:space="0" w:color="auto"/>
            <w:bottom w:val="none" w:sz="0" w:space="0" w:color="auto"/>
            <w:right w:val="none" w:sz="0" w:space="0" w:color="auto"/>
          </w:divBdr>
          <w:divsChild>
            <w:div w:id="19948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89380">
      <w:bodyDiv w:val="1"/>
      <w:marLeft w:val="0"/>
      <w:marRight w:val="0"/>
      <w:marTop w:val="0"/>
      <w:marBottom w:val="0"/>
      <w:divBdr>
        <w:top w:val="none" w:sz="0" w:space="0" w:color="auto"/>
        <w:left w:val="none" w:sz="0" w:space="0" w:color="auto"/>
        <w:bottom w:val="none" w:sz="0" w:space="0" w:color="auto"/>
        <w:right w:val="none" w:sz="0" w:space="0" w:color="auto"/>
      </w:divBdr>
    </w:div>
    <w:div w:id="1014770190">
      <w:bodyDiv w:val="1"/>
      <w:marLeft w:val="0"/>
      <w:marRight w:val="0"/>
      <w:marTop w:val="0"/>
      <w:marBottom w:val="0"/>
      <w:divBdr>
        <w:top w:val="none" w:sz="0" w:space="0" w:color="auto"/>
        <w:left w:val="none" w:sz="0" w:space="0" w:color="auto"/>
        <w:bottom w:val="none" w:sz="0" w:space="0" w:color="auto"/>
        <w:right w:val="none" w:sz="0" w:space="0" w:color="auto"/>
      </w:divBdr>
      <w:divsChild>
        <w:div w:id="32728160">
          <w:marLeft w:val="0"/>
          <w:marRight w:val="0"/>
          <w:marTop w:val="0"/>
          <w:marBottom w:val="0"/>
          <w:divBdr>
            <w:top w:val="none" w:sz="0" w:space="0" w:color="auto"/>
            <w:left w:val="none" w:sz="0" w:space="0" w:color="auto"/>
            <w:bottom w:val="none" w:sz="0" w:space="0" w:color="auto"/>
            <w:right w:val="none" w:sz="0" w:space="0" w:color="auto"/>
          </w:divBdr>
          <w:divsChild>
            <w:div w:id="873620240">
              <w:marLeft w:val="0"/>
              <w:marRight w:val="0"/>
              <w:marTop w:val="0"/>
              <w:marBottom w:val="0"/>
              <w:divBdr>
                <w:top w:val="none" w:sz="0" w:space="0" w:color="auto"/>
                <w:left w:val="none" w:sz="0" w:space="0" w:color="auto"/>
                <w:bottom w:val="none" w:sz="0" w:space="0" w:color="auto"/>
                <w:right w:val="none" w:sz="0" w:space="0" w:color="auto"/>
              </w:divBdr>
            </w:div>
          </w:divsChild>
        </w:div>
        <w:div w:id="44524769">
          <w:marLeft w:val="0"/>
          <w:marRight w:val="0"/>
          <w:marTop w:val="0"/>
          <w:marBottom w:val="0"/>
          <w:divBdr>
            <w:top w:val="none" w:sz="0" w:space="0" w:color="auto"/>
            <w:left w:val="none" w:sz="0" w:space="0" w:color="auto"/>
            <w:bottom w:val="none" w:sz="0" w:space="0" w:color="auto"/>
            <w:right w:val="none" w:sz="0" w:space="0" w:color="auto"/>
          </w:divBdr>
          <w:divsChild>
            <w:div w:id="388461666">
              <w:marLeft w:val="0"/>
              <w:marRight w:val="0"/>
              <w:marTop w:val="0"/>
              <w:marBottom w:val="0"/>
              <w:divBdr>
                <w:top w:val="none" w:sz="0" w:space="0" w:color="auto"/>
                <w:left w:val="none" w:sz="0" w:space="0" w:color="auto"/>
                <w:bottom w:val="none" w:sz="0" w:space="0" w:color="auto"/>
                <w:right w:val="none" w:sz="0" w:space="0" w:color="auto"/>
              </w:divBdr>
            </w:div>
          </w:divsChild>
        </w:div>
        <w:div w:id="55205078">
          <w:marLeft w:val="0"/>
          <w:marRight w:val="0"/>
          <w:marTop w:val="0"/>
          <w:marBottom w:val="0"/>
          <w:divBdr>
            <w:top w:val="none" w:sz="0" w:space="0" w:color="auto"/>
            <w:left w:val="none" w:sz="0" w:space="0" w:color="auto"/>
            <w:bottom w:val="none" w:sz="0" w:space="0" w:color="auto"/>
            <w:right w:val="none" w:sz="0" w:space="0" w:color="auto"/>
          </w:divBdr>
          <w:divsChild>
            <w:div w:id="771320376">
              <w:marLeft w:val="0"/>
              <w:marRight w:val="0"/>
              <w:marTop w:val="0"/>
              <w:marBottom w:val="0"/>
              <w:divBdr>
                <w:top w:val="none" w:sz="0" w:space="0" w:color="auto"/>
                <w:left w:val="none" w:sz="0" w:space="0" w:color="auto"/>
                <w:bottom w:val="none" w:sz="0" w:space="0" w:color="auto"/>
                <w:right w:val="none" w:sz="0" w:space="0" w:color="auto"/>
              </w:divBdr>
            </w:div>
          </w:divsChild>
        </w:div>
        <w:div w:id="56517361">
          <w:marLeft w:val="0"/>
          <w:marRight w:val="0"/>
          <w:marTop w:val="0"/>
          <w:marBottom w:val="0"/>
          <w:divBdr>
            <w:top w:val="none" w:sz="0" w:space="0" w:color="auto"/>
            <w:left w:val="none" w:sz="0" w:space="0" w:color="auto"/>
            <w:bottom w:val="none" w:sz="0" w:space="0" w:color="auto"/>
            <w:right w:val="none" w:sz="0" w:space="0" w:color="auto"/>
          </w:divBdr>
          <w:divsChild>
            <w:div w:id="1885629948">
              <w:marLeft w:val="0"/>
              <w:marRight w:val="0"/>
              <w:marTop w:val="0"/>
              <w:marBottom w:val="0"/>
              <w:divBdr>
                <w:top w:val="none" w:sz="0" w:space="0" w:color="auto"/>
                <w:left w:val="none" w:sz="0" w:space="0" w:color="auto"/>
                <w:bottom w:val="none" w:sz="0" w:space="0" w:color="auto"/>
                <w:right w:val="none" w:sz="0" w:space="0" w:color="auto"/>
              </w:divBdr>
            </w:div>
          </w:divsChild>
        </w:div>
        <w:div w:id="90972350">
          <w:marLeft w:val="0"/>
          <w:marRight w:val="0"/>
          <w:marTop w:val="0"/>
          <w:marBottom w:val="0"/>
          <w:divBdr>
            <w:top w:val="none" w:sz="0" w:space="0" w:color="auto"/>
            <w:left w:val="none" w:sz="0" w:space="0" w:color="auto"/>
            <w:bottom w:val="none" w:sz="0" w:space="0" w:color="auto"/>
            <w:right w:val="none" w:sz="0" w:space="0" w:color="auto"/>
          </w:divBdr>
          <w:divsChild>
            <w:div w:id="1025205242">
              <w:marLeft w:val="0"/>
              <w:marRight w:val="0"/>
              <w:marTop w:val="0"/>
              <w:marBottom w:val="0"/>
              <w:divBdr>
                <w:top w:val="none" w:sz="0" w:space="0" w:color="auto"/>
                <w:left w:val="none" w:sz="0" w:space="0" w:color="auto"/>
                <w:bottom w:val="none" w:sz="0" w:space="0" w:color="auto"/>
                <w:right w:val="none" w:sz="0" w:space="0" w:color="auto"/>
              </w:divBdr>
            </w:div>
          </w:divsChild>
        </w:div>
        <w:div w:id="148063714">
          <w:marLeft w:val="0"/>
          <w:marRight w:val="0"/>
          <w:marTop w:val="0"/>
          <w:marBottom w:val="0"/>
          <w:divBdr>
            <w:top w:val="none" w:sz="0" w:space="0" w:color="auto"/>
            <w:left w:val="none" w:sz="0" w:space="0" w:color="auto"/>
            <w:bottom w:val="none" w:sz="0" w:space="0" w:color="auto"/>
            <w:right w:val="none" w:sz="0" w:space="0" w:color="auto"/>
          </w:divBdr>
          <w:divsChild>
            <w:div w:id="1923644044">
              <w:marLeft w:val="0"/>
              <w:marRight w:val="0"/>
              <w:marTop w:val="0"/>
              <w:marBottom w:val="0"/>
              <w:divBdr>
                <w:top w:val="none" w:sz="0" w:space="0" w:color="auto"/>
                <w:left w:val="none" w:sz="0" w:space="0" w:color="auto"/>
                <w:bottom w:val="none" w:sz="0" w:space="0" w:color="auto"/>
                <w:right w:val="none" w:sz="0" w:space="0" w:color="auto"/>
              </w:divBdr>
            </w:div>
          </w:divsChild>
        </w:div>
        <w:div w:id="240212945">
          <w:marLeft w:val="0"/>
          <w:marRight w:val="0"/>
          <w:marTop w:val="0"/>
          <w:marBottom w:val="0"/>
          <w:divBdr>
            <w:top w:val="none" w:sz="0" w:space="0" w:color="auto"/>
            <w:left w:val="none" w:sz="0" w:space="0" w:color="auto"/>
            <w:bottom w:val="none" w:sz="0" w:space="0" w:color="auto"/>
            <w:right w:val="none" w:sz="0" w:space="0" w:color="auto"/>
          </w:divBdr>
          <w:divsChild>
            <w:div w:id="1697535059">
              <w:marLeft w:val="0"/>
              <w:marRight w:val="0"/>
              <w:marTop w:val="0"/>
              <w:marBottom w:val="0"/>
              <w:divBdr>
                <w:top w:val="none" w:sz="0" w:space="0" w:color="auto"/>
                <w:left w:val="none" w:sz="0" w:space="0" w:color="auto"/>
                <w:bottom w:val="none" w:sz="0" w:space="0" w:color="auto"/>
                <w:right w:val="none" w:sz="0" w:space="0" w:color="auto"/>
              </w:divBdr>
            </w:div>
          </w:divsChild>
        </w:div>
        <w:div w:id="250629404">
          <w:marLeft w:val="0"/>
          <w:marRight w:val="0"/>
          <w:marTop w:val="0"/>
          <w:marBottom w:val="0"/>
          <w:divBdr>
            <w:top w:val="none" w:sz="0" w:space="0" w:color="auto"/>
            <w:left w:val="none" w:sz="0" w:space="0" w:color="auto"/>
            <w:bottom w:val="none" w:sz="0" w:space="0" w:color="auto"/>
            <w:right w:val="none" w:sz="0" w:space="0" w:color="auto"/>
          </w:divBdr>
          <w:divsChild>
            <w:div w:id="1746949683">
              <w:marLeft w:val="0"/>
              <w:marRight w:val="0"/>
              <w:marTop w:val="0"/>
              <w:marBottom w:val="0"/>
              <w:divBdr>
                <w:top w:val="none" w:sz="0" w:space="0" w:color="auto"/>
                <w:left w:val="none" w:sz="0" w:space="0" w:color="auto"/>
                <w:bottom w:val="none" w:sz="0" w:space="0" w:color="auto"/>
                <w:right w:val="none" w:sz="0" w:space="0" w:color="auto"/>
              </w:divBdr>
            </w:div>
          </w:divsChild>
        </w:div>
        <w:div w:id="271009893">
          <w:marLeft w:val="0"/>
          <w:marRight w:val="0"/>
          <w:marTop w:val="0"/>
          <w:marBottom w:val="0"/>
          <w:divBdr>
            <w:top w:val="none" w:sz="0" w:space="0" w:color="auto"/>
            <w:left w:val="none" w:sz="0" w:space="0" w:color="auto"/>
            <w:bottom w:val="none" w:sz="0" w:space="0" w:color="auto"/>
            <w:right w:val="none" w:sz="0" w:space="0" w:color="auto"/>
          </w:divBdr>
          <w:divsChild>
            <w:div w:id="984628565">
              <w:marLeft w:val="0"/>
              <w:marRight w:val="0"/>
              <w:marTop w:val="0"/>
              <w:marBottom w:val="0"/>
              <w:divBdr>
                <w:top w:val="none" w:sz="0" w:space="0" w:color="auto"/>
                <w:left w:val="none" w:sz="0" w:space="0" w:color="auto"/>
                <w:bottom w:val="none" w:sz="0" w:space="0" w:color="auto"/>
                <w:right w:val="none" w:sz="0" w:space="0" w:color="auto"/>
              </w:divBdr>
            </w:div>
          </w:divsChild>
        </w:div>
        <w:div w:id="294335313">
          <w:marLeft w:val="0"/>
          <w:marRight w:val="0"/>
          <w:marTop w:val="0"/>
          <w:marBottom w:val="0"/>
          <w:divBdr>
            <w:top w:val="none" w:sz="0" w:space="0" w:color="auto"/>
            <w:left w:val="none" w:sz="0" w:space="0" w:color="auto"/>
            <w:bottom w:val="none" w:sz="0" w:space="0" w:color="auto"/>
            <w:right w:val="none" w:sz="0" w:space="0" w:color="auto"/>
          </w:divBdr>
          <w:divsChild>
            <w:div w:id="47269483">
              <w:marLeft w:val="0"/>
              <w:marRight w:val="0"/>
              <w:marTop w:val="0"/>
              <w:marBottom w:val="0"/>
              <w:divBdr>
                <w:top w:val="none" w:sz="0" w:space="0" w:color="auto"/>
                <w:left w:val="none" w:sz="0" w:space="0" w:color="auto"/>
                <w:bottom w:val="none" w:sz="0" w:space="0" w:color="auto"/>
                <w:right w:val="none" w:sz="0" w:space="0" w:color="auto"/>
              </w:divBdr>
            </w:div>
          </w:divsChild>
        </w:div>
        <w:div w:id="308244093">
          <w:marLeft w:val="0"/>
          <w:marRight w:val="0"/>
          <w:marTop w:val="0"/>
          <w:marBottom w:val="0"/>
          <w:divBdr>
            <w:top w:val="none" w:sz="0" w:space="0" w:color="auto"/>
            <w:left w:val="none" w:sz="0" w:space="0" w:color="auto"/>
            <w:bottom w:val="none" w:sz="0" w:space="0" w:color="auto"/>
            <w:right w:val="none" w:sz="0" w:space="0" w:color="auto"/>
          </w:divBdr>
          <w:divsChild>
            <w:div w:id="115561261">
              <w:marLeft w:val="0"/>
              <w:marRight w:val="0"/>
              <w:marTop w:val="0"/>
              <w:marBottom w:val="0"/>
              <w:divBdr>
                <w:top w:val="none" w:sz="0" w:space="0" w:color="auto"/>
                <w:left w:val="none" w:sz="0" w:space="0" w:color="auto"/>
                <w:bottom w:val="none" w:sz="0" w:space="0" w:color="auto"/>
                <w:right w:val="none" w:sz="0" w:space="0" w:color="auto"/>
              </w:divBdr>
            </w:div>
          </w:divsChild>
        </w:div>
        <w:div w:id="315232206">
          <w:marLeft w:val="0"/>
          <w:marRight w:val="0"/>
          <w:marTop w:val="0"/>
          <w:marBottom w:val="0"/>
          <w:divBdr>
            <w:top w:val="none" w:sz="0" w:space="0" w:color="auto"/>
            <w:left w:val="none" w:sz="0" w:space="0" w:color="auto"/>
            <w:bottom w:val="none" w:sz="0" w:space="0" w:color="auto"/>
            <w:right w:val="none" w:sz="0" w:space="0" w:color="auto"/>
          </w:divBdr>
          <w:divsChild>
            <w:div w:id="1082294188">
              <w:marLeft w:val="0"/>
              <w:marRight w:val="0"/>
              <w:marTop w:val="0"/>
              <w:marBottom w:val="0"/>
              <w:divBdr>
                <w:top w:val="none" w:sz="0" w:space="0" w:color="auto"/>
                <w:left w:val="none" w:sz="0" w:space="0" w:color="auto"/>
                <w:bottom w:val="none" w:sz="0" w:space="0" w:color="auto"/>
                <w:right w:val="none" w:sz="0" w:space="0" w:color="auto"/>
              </w:divBdr>
            </w:div>
          </w:divsChild>
        </w:div>
        <w:div w:id="372387173">
          <w:marLeft w:val="0"/>
          <w:marRight w:val="0"/>
          <w:marTop w:val="0"/>
          <w:marBottom w:val="0"/>
          <w:divBdr>
            <w:top w:val="none" w:sz="0" w:space="0" w:color="auto"/>
            <w:left w:val="none" w:sz="0" w:space="0" w:color="auto"/>
            <w:bottom w:val="none" w:sz="0" w:space="0" w:color="auto"/>
            <w:right w:val="none" w:sz="0" w:space="0" w:color="auto"/>
          </w:divBdr>
          <w:divsChild>
            <w:div w:id="635138964">
              <w:marLeft w:val="0"/>
              <w:marRight w:val="0"/>
              <w:marTop w:val="0"/>
              <w:marBottom w:val="0"/>
              <w:divBdr>
                <w:top w:val="none" w:sz="0" w:space="0" w:color="auto"/>
                <w:left w:val="none" w:sz="0" w:space="0" w:color="auto"/>
                <w:bottom w:val="none" w:sz="0" w:space="0" w:color="auto"/>
                <w:right w:val="none" w:sz="0" w:space="0" w:color="auto"/>
              </w:divBdr>
            </w:div>
          </w:divsChild>
        </w:div>
        <w:div w:id="508449574">
          <w:marLeft w:val="0"/>
          <w:marRight w:val="0"/>
          <w:marTop w:val="0"/>
          <w:marBottom w:val="0"/>
          <w:divBdr>
            <w:top w:val="none" w:sz="0" w:space="0" w:color="auto"/>
            <w:left w:val="none" w:sz="0" w:space="0" w:color="auto"/>
            <w:bottom w:val="none" w:sz="0" w:space="0" w:color="auto"/>
            <w:right w:val="none" w:sz="0" w:space="0" w:color="auto"/>
          </w:divBdr>
          <w:divsChild>
            <w:div w:id="1181822740">
              <w:marLeft w:val="0"/>
              <w:marRight w:val="0"/>
              <w:marTop w:val="0"/>
              <w:marBottom w:val="0"/>
              <w:divBdr>
                <w:top w:val="none" w:sz="0" w:space="0" w:color="auto"/>
                <w:left w:val="none" w:sz="0" w:space="0" w:color="auto"/>
                <w:bottom w:val="none" w:sz="0" w:space="0" w:color="auto"/>
                <w:right w:val="none" w:sz="0" w:space="0" w:color="auto"/>
              </w:divBdr>
            </w:div>
          </w:divsChild>
        </w:div>
        <w:div w:id="524514600">
          <w:marLeft w:val="0"/>
          <w:marRight w:val="0"/>
          <w:marTop w:val="0"/>
          <w:marBottom w:val="0"/>
          <w:divBdr>
            <w:top w:val="none" w:sz="0" w:space="0" w:color="auto"/>
            <w:left w:val="none" w:sz="0" w:space="0" w:color="auto"/>
            <w:bottom w:val="none" w:sz="0" w:space="0" w:color="auto"/>
            <w:right w:val="none" w:sz="0" w:space="0" w:color="auto"/>
          </w:divBdr>
          <w:divsChild>
            <w:div w:id="914316462">
              <w:marLeft w:val="0"/>
              <w:marRight w:val="0"/>
              <w:marTop w:val="0"/>
              <w:marBottom w:val="0"/>
              <w:divBdr>
                <w:top w:val="none" w:sz="0" w:space="0" w:color="auto"/>
                <w:left w:val="none" w:sz="0" w:space="0" w:color="auto"/>
                <w:bottom w:val="none" w:sz="0" w:space="0" w:color="auto"/>
                <w:right w:val="none" w:sz="0" w:space="0" w:color="auto"/>
              </w:divBdr>
            </w:div>
          </w:divsChild>
        </w:div>
        <w:div w:id="568271676">
          <w:marLeft w:val="0"/>
          <w:marRight w:val="0"/>
          <w:marTop w:val="0"/>
          <w:marBottom w:val="0"/>
          <w:divBdr>
            <w:top w:val="none" w:sz="0" w:space="0" w:color="auto"/>
            <w:left w:val="none" w:sz="0" w:space="0" w:color="auto"/>
            <w:bottom w:val="none" w:sz="0" w:space="0" w:color="auto"/>
            <w:right w:val="none" w:sz="0" w:space="0" w:color="auto"/>
          </w:divBdr>
          <w:divsChild>
            <w:div w:id="1112896211">
              <w:marLeft w:val="0"/>
              <w:marRight w:val="0"/>
              <w:marTop w:val="0"/>
              <w:marBottom w:val="0"/>
              <w:divBdr>
                <w:top w:val="none" w:sz="0" w:space="0" w:color="auto"/>
                <w:left w:val="none" w:sz="0" w:space="0" w:color="auto"/>
                <w:bottom w:val="none" w:sz="0" w:space="0" w:color="auto"/>
                <w:right w:val="none" w:sz="0" w:space="0" w:color="auto"/>
              </w:divBdr>
            </w:div>
          </w:divsChild>
        </w:div>
        <w:div w:id="597712320">
          <w:marLeft w:val="0"/>
          <w:marRight w:val="0"/>
          <w:marTop w:val="0"/>
          <w:marBottom w:val="0"/>
          <w:divBdr>
            <w:top w:val="none" w:sz="0" w:space="0" w:color="auto"/>
            <w:left w:val="none" w:sz="0" w:space="0" w:color="auto"/>
            <w:bottom w:val="none" w:sz="0" w:space="0" w:color="auto"/>
            <w:right w:val="none" w:sz="0" w:space="0" w:color="auto"/>
          </w:divBdr>
          <w:divsChild>
            <w:div w:id="780146180">
              <w:marLeft w:val="0"/>
              <w:marRight w:val="0"/>
              <w:marTop w:val="0"/>
              <w:marBottom w:val="0"/>
              <w:divBdr>
                <w:top w:val="none" w:sz="0" w:space="0" w:color="auto"/>
                <w:left w:val="none" w:sz="0" w:space="0" w:color="auto"/>
                <w:bottom w:val="none" w:sz="0" w:space="0" w:color="auto"/>
                <w:right w:val="none" w:sz="0" w:space="0" w:color="auto"/>
              </w:divBdr>
            </w:div>
          </w:divsChild>
        </w:div>
        <w:div w:id="638264583">
          <w:marLeft w:val="0"/>
          <w:marRight w:val="0"/>
          <w:marTop w:val="0"/>
          <w:marBottom w:val="0"/>
          <w:divBdr>
            <w:top w:val="none" w:sz="0" w:space="0" w:color="auto"/>
            <w:left w:val="none" w:sz="0" w:space="0" w:color="auto"/>
            <w:bottom w:val="none" w:sz="0" w:space="0" w:color="auto"/>
            <w:right w:val="none" w:sz="0" w:space="0" w:color="auto"/>
          </w:divBdr>
          <w:divsChild>
            <w:div w:id="1163278995">
              <w:marLeft w:val="0"/>
              <w:marRight w:val="0"/>
              <w:marTop w:val="0"/>
              <w:marBottom w:val="0"/>
              <w:divBdr>
                <w:top w:val="none" w:sz="0" w:space="0" w:color="auto"/>
                <w:left w:val="none" w:sz="0" w:space="0" w:color="auto"/>
                <w:bottom w:val="none" w:sz="0" w:space="0" w:color="auto"/>
                <w:right w:val="none" w:sz="0" w:space="0" w:color="auto"/>
              </w:divBdr>
            </w:div>
          </w:divsChild>
        </w:div>
        <w:div w:id="656956648">
          <w:marLeft w:val="0"/>
          <w:marRight w:val="0"/>
          <w:marTop w:val="0"/>
          <w:marBottom w:val="0"/>
          <w:divBdr>
            <w:top w:val="none" w:sz="0" w:space="0" w:color="auto"/>
            <w:left w:val="none" w:sz="0" w:space="0" w:color="auto"/>
            <w:bottom w:val="none" w:sz="0" w:space="0" w:color="auto"/>
            <w:right w:val="none" w:sz="0" w:space="0" w:color="auto"/>
          </w:divBdr>
          <w:divsChild>
            <w:div w:id="1610627330">
              <w:marLeft w:val="0"/>
              <w:marRight w:val="0"/>
              <w:marTop w:val="0"/>
              <w:marBottom w:val="0"/>
              <w:divBdr>
                <w:top w:val="none" w:sz="0" w:space="0" w:color="auto"/>
                <w:left w:val="none" w:sz="0" w:space="0" w:color="auto"/>
                <w:bottom w:val="none" w:sz="0" w:space="0" w:color="auto"/>
                <w:right w:val="none" w:sz="0" w:space="0" w:color="auto"/>
              </w:divBdr>
            </w:div>
          </w:divsChild>
        </w:div>
        <w:div w:id="658852350">
          <w:marLeft w:val="0"/>
          <w:marRight w:val="0"/>
          <w:marTop w:val="0"/>
          <w:marBottom w:val="0"/>
          <w:divBdr>
            <w:top w:val="none" w:sz="0" w:space="0" w:color="auto"/>
            <w:left w:val="none" w:sz="0" w:space="0" w:color="auto"/>
            <w:bottom w:val="none" w:sz="0" w:space="0" w:color="auto"/>
            <w:right w:val="none" w:sz="0" w:space="0" w:color="auto"/>
          </w:divBdr>
          <w:divsChild>
            <w:div w:id="290331637">
              <w:marLeft w:val="0"/>
              <w:marRight w:val="0"/>
              <w:marTop w:val="0"/>
              <w:marBottom w:val="0"/>
              <w:divBdr>
                <w:top w:val="none" w:sz="0" w:space="0" w:color="auto"/>
                <w:left w:val="none" w:sz="0" w:space="0" w:color="auto"/>
                <w:bottom w:val="none" w:sz="0" w:space="0" w:color="auto"/>
                <w:right w:val="none" w:sz="0" w:space="0" w:color="auto"/>
              </w:divBdr>
            </w:div>
          </w:divsChild>
        </w:div>
        <w:div w:id="688068098">
          <w:marLeft w:val="0"/>
          <w:marRight w:val="0"/>
          <w:marTop w:val="0"/>
          <w:marBottom w:val="0"/>
          <w:divBdr>
            <w:top w:val="none" w:sz="0" w:space="0" w:color="auto"/>
            <w:left w:val="none" w:sz="0" w:space="0" w:color="auto"/>
            <w:bottom w:val="none" w:sz="0" w:space="0" w:color="auto"/>
            <w:right w:val="none" w:sz="0" w:space="0" w:color="auto"/>
          </w:divBdr>
          <w:divsChild>
            <w:div w:id="1698583639">
              <w:marLeft w:val="0"/>
              <w:marRight w:val="0"/>
              <w:marTop w:val="0"/>
              <w:marBottom w:val="0"/>
              <w:divBdr>
                <w:top w:val="none" w:sz="0" w:space="0" w:color="auto"/>
                <w:left w:val="none" w:sz="0" w:space="0" w:color="auto"/>
                <w:bottom w:val="none" w:sz="0" w:space="0" w:color="auto"/>
                <w:right w:val="none" w:sz="0" w:space="0" w:color="auto"/>
              </w:divBdr>
            </w:div>
          </w:divsChild>
        </w:div>
        <w:div w:id="762729351">
          <w:marLeft w:val="0"/>
          <w:marRight w:val="0"/>
          <w:marTop w:val="0"/>
          <w:marBottom w:val="0"/>
          <w:divBdr>
            <w:top w:val="none" w:sz="0" w:space="0" w:color="auto"/>
            <w:left w:val="none" w:sz="0" w:space="0" w:color="auto"/>
            <w:bottom w:val="none" w:sz="0" w:space="0" w:color="auto"/>
            <w:right w:val="none" w:sz="0" w:space="0" w:color="auto"/>
          </w:divBdr>
          <w:divsChild>
            <w:div w:id="1100837860">
              <w:marLeft w:val="0"/>
              <w:marRight w:val="0"/>
              <w:marTop w:val="0"/>
              <w:marBottom w:val="0"/>
              <w:divBdr>
                <w:top w:val="none" w:sz="0" w:space="0" w:color="auto"/>
                <w:left w:val="none" w:sz="0" w:space="0" w:color="auto"/>
                <w:bottom w:val="none" w:sz="0" w:space="0" w:color="auto"/>
                <w:right w:val="none" w:sz="0" w:space="0" w:color="auto"/>
              </w:divBdr>
            </w:div>
          </w:divsChild>
        </w:div>
        <w:div w:id="769860950">
          <w:marLeft w:val="0"/>
          <w:marRight w:val="0"/>
          <w:marTop w:val="0"/>
          <w:marBottom w:val="0"/>
          <w:divBdr>
            <w:top w:val="none" w:sz="0" w:space="0" w:color="auto"/>
            <w:left w:val="none" w:sz="0" w:space="0" w:color="auto"/>
            <w:bottom w:val="none" w:sz="0" w:space="0" w:color="auto"/>
            <w:right w:val="none" w:sz="0" w:space="0" w:color="auto"/>
          </w:divBdr>
          <w:divsChild>
            <w:div w:id="1542088092">
              <w:marLeft w:val="0"/>
              <w:marRight w:val="0"/>
              <w:marTop w:val="0"/>
              <w:marBottom w:val="0"/>
              <w:divBdr>
                <w:top w:val="none" w:sz="0" w:space="0" w:color="auto"/>
                <w:left w:val="none" w:sz="0" w:space="0" w:color="auto"/>
                <w:bottom w:val="none" w:sz="0" w:space="0" w:color="auto"/>
                <w:right w:val="none" w:sz="0" w:space="0" w:color="auto"/>
              </w:divBdr>
            </w:div>
          </w:divsChild>
        </w:div>
        <w:div w:id="771709149">
          <w:marLeft w:val="0"/>
          <w:marRight w:val="0"/>
          <w:marTop w:val="0"/>
          <w:marBottom w:val="0"/>
          <w:divBdr>
            <w:top w:val="none" w:sz="0" w:space="0" w:color="auto"/>
            <w:left w:val="none" w:sz="0" w:space="0" w:color="auto"/>
            <w:bottom w:val="none" w:sz="0" w:space="0" w:color="auto"/>
            <w:right w:val="none" w:sz="0" w:space="0" w:color="auto"/>
          </w:divBdr>
          <w:divsChild>
            <w:div w:id="1603107092">
              <w:marLeft w:val="0"/>
              <w:marRight w:val="0"/>
              <w:marTop w:val="0"/>
              <w:marBottom w:val="0"/>
              <w:divBdr>
                <w:top w:val="none" w:sz="0" w:space="0" w:color="auto"/>
                <w:left w:val="none" w:sz="0" w:space="0" w:color="auto"/>
                <w:bottom w:val="none" w:sz="0" w:space="0" w:color="auto"/>
                <w:right w:val="none" w:sz="0" w:space="0" w:color="auto"/>
              </w:divBdr>
            </w:div>
          </w:divsChild>
        </w:div>
        <w:div w:id="775635383">
          <w:marLeft w:val="0"/>
          <w:marRight w:val="0"/>
          <w:marTop w:val="0"/>
          <w:marBottom w:val="0"/>
          <w:divBdr>
            <w:top w:val="none" w:sz="0" w:space="0" w:color="auto"/>
            <w:left w:val="none" w:sz="0" w:space="0" w:color="auto"/>
            <w:bottom w:val="none" w:sz="0" w:space="0" w:color="auto"/>
            <w:right w:val="none" w:sz="0" w:space="0" w:color="auto"/>
          </w:divBdr>
          <w:divsChild>
            <w:div w:id="2129277596">
              <w:marLeft w:val="0"/>
              <w:marRight w:val="0"/>
              <w:marTop w:val="0"/>
              <w:marBottom w:val="0"/>
              <w:divBdr>
                <w:top w:val="none" w:sz="0" w:space="0" w:color="auto"/>
                <w:left w:val="none" w:sz="0" w:space="0" w:color="auto"/>
                <w:bottom w:val="none" w:sz="0" w:space="0" w:color="auto"/>
                <w:right w:val="none" w:sz="0" w:space="0" w:color="auto"/>
              </w:divBdr>
            </w:div>
          </w:divsChild>
        </w:div>
        <w:div w:id="793065421">
          <w:marLeft w:val="0"/>
          <w:marRight w:val="0"/>
          <w:marTop w:val="0"/>
          <w:marBottom w:val="0"/>
          <w:divBdr>
            <w:top w:val="none" w:sz="0" w:space="0" w:color="auto"/>
            <w:left w:val="none" w:sz="0" w:space="0" w:color="auto"/>
            <w:bottom w:val="none" w:sz="0" w:space="0" w:color="auto"/>
            <w:right w:val="none" w:sz="0" w:space="0" w:color="auto"/>
          </w:divBdr>
          <w:divsChild>
            <w:div w:id="406145974">
              <w:marLeft w:val="0"/>
              <w:marRight w:val="0"/>
              <w:marTop w:val="0"/>
              <w:marBottom w:val="0"/>
              <w:divBdr>
                <w:top w:val="none" w:sz="0" w:space="0" w:color="auto"/>
                <w:left w:val="none" w:sz="0" w:space="0" w:color="auto"/>
                <w:bottom w:val="none" w:sz="0" w:space="0" w:color="auto"/>
                <w:right w:val="none" w:sz="0" w:space="0" w:color="auto"/>
              </w:divBdr>
            </w:div>
          </w:divsChild>
        </w:div>
        <w:div w:id="851796945">
          <w:marLeft w:val="0"/>
          <w:marRight w:val="0"/>
          <w:marTop w:val="0"/>
          <w:marBottom w:val="0"/>
          <w:divBdr>
            <w:top w:val="none" w:sz="0" w:space="0" w:color="auto"/>
            <w:left w:val="none" w:sz="0" w:space="0" w:color="auto"/>
            <w:bottom w:val="none" w:sz="0" w:space="0" w:color="auto"/>
            <w:right w:val="none" w:sz="0" w:space="0" w:color="auto"/>
          </w:divBdr>
          <w:divsChild>
            <w:div w:id="1830974877">
              <w:marLeft w:val="0"/>
              <w:marRight w:val="0"/>
              <w:marTop w:val="0"/>
              <w:marBottom w:val="0"/>
              <w:divBdr>
                <w:top w:val="none" w:sz="0" w:space="0" w:color="auto"/>
                <w:left w:val="none" w:sz="0" w:space="0" w:color="auto"/>
                <w:bottom w:val="none" w:sz="0" w:space="0" w:color="auto"/>
                <w:right w:val="none" w:sz="0" w:space="0" w:color="auto"/>
              </w:divBdr>
            </w:div>
          </w:divsChild>
        </w:div>
        <w:div w:id="898172930">
          <w:marLeft w:val="0"/>
          <w:marRight w:val="0"/>
          <w:marTop w:val="0"/>
          <w:marBottom w:val="0"/>
          <w:divBdr>
            <w:top w:val="none" w:sz="0" w:space="0" w:color="auto"/>
            <w:left w:val="none" w:sz="0" w:space="0" w:color="auto"/>
            <w:bottom w:val="none" w:sz="0" w:space="0" w:color="auto"/>
            <w:right w:val="none" w:sz="0" w:space="0" w:color="auto"/>
          </w:divBdr>
          <w:divsChild>
            <w:div w:id="80957614">
              <w:marLeft w:val="0"/>
              <w:marRight w:val="0"/>
              <w:marTop w:val="0"/>
              <w:marBottom w:val="0"/>
              <w:divBdr>
                <w:top w:val="none" w:sz="0" w:space="0" w:color="auto"/>
                <w:left w:val="none" w:sz="0" w:space="0" w:color="auto"/>
                <w:bottom w:val="none" w:sz="0" w:space="0" w:color="auto"/>
                <w:right w:val="none" w:sz="0" w:space="0" w:color="auto"/>
              </w:divBdr>
            </w:div>
          </w:divsChild>
        </w:div>
        <w:div w:id="923759517">
          <w:marLeft w:val="0"/>
          <w:marRight w:val="0"/>
          <w:marTop w:val="0"/>
          <w:marBottom w:val="0"/>
          <w:divBdr>
            <w:top w:val="none" w:sz="0" w:space="0" w:color="auto"/>
            <w:left w:val="none" w:sz="0" w:space="0" w:color="auto"/>
            <w:bottom w:val="none" w:sz="0" w:space="0" w:color="auto"/>
            <w:right w:val="none" w:sz="0" w:space="0" w:color="auto"/>
          </w:divBdr>
          <w:divsChild>
            <w:div w:id="647788697">
              <w:marLeft w:val="0"/>
              <w:marRight w:val="0"/>
              <w:marTop w:val="0"/>
              <w:marBottom w:val="0"/>
              <w:divBdr>
                <w:top w:val="none" w:sz="0" w:space="0" w:color="auto"/>
                <w:left w:val="none" w:sz="0" w:space="0" w:color="auto"/>
                <w:bottom w:val="none" w:sz="0" w:space="0" w:color="auto"/>
                <w:right w:val="none" w:sz="0" w:space="0" w:color="auto"/>
              </w:divBdr>
            </w:div>
          </w:divsChild>
        </w:div>
        <w:div w:id="969019132">
          <w:marLeft w:val="0"/>
          <w:marRight w:val="0"/>
          <w:marTop w:val="0"/>
          <w:marBottom w:val="0"/>
          <w:divBdr>
            <w:top w:val="none" w:sz="0" w:space="0" w:color="auto"/>
            <w:left w:val="none" w:sz="0" w:space="0" w:color="auto"/>
            <w:bottom w:val="none" w:sz="0" w:space="0" w:color="auto"/>
            <w:right w:val="none" w:sz="0" w:space="0" w:color="auto"/>
          </w:divBdr>
          <w:divsChild>
            <w:div w:id="342706286">
              <w:marLeft w:val="0"/>
              <w:marRight w:val="0"/>
              <w:marTop w:val="0"/>
              <w:marBottom w:val="0"/>
              <w:divBdr>
                <w:top w:val="none" w:sz="0" w:space="0" w:color="auto"/>
                <w:left w:val="none" w:sz="0" w:space="0" w:color="auto"/>
                <w:bottom w:val="none" w:sz="0" w:space="0" w:color="auto"/>
                <w:right w:val="none" w:sz="0" w:space="0" w:color="auto"/>
              </w:divBdr>
            </w:div>
          </w:divsChild>
        </w:div>
        <w:div w:id="997270686">
          <w:marLeft w:val="0"/>
          <w:marRight w:val="0"/>
          <w:marTop w:val="0"/>
          <w:marBottom w:val="0"/>
          <w:divBdr>
            <w:top w:val="none" w:sz="0" w:space="0" w:color="auto"/>
            <w:left w:val="none" w:sz="0" w:space="0" w:color="auto"/>
            <w:bottom w:val="none" w:sz="0" w:space="0" w:color="auto"/>
            <w:right w:val="none" w:sz="0" w:space="0" w:color="auto"/>
          </w:divBdr>
          <w:divsChild>
            <w:div w:id="1312365808">
              <w:marLeft w:val="0"/>
              <w:marRight w:val="0"/>
              <w:marTop w:val="0"/>
              <w:marBottom w:val="0"/>
              <w:divBdr>
                <w:top w:val="none" w:sz="0" w:space="0" w:color="auto"/>
                <w:left w:val="none" w:sz="0" w:space="0" w:color="auto"/>
                <w:bottom w:val="none" w:sz="0" w:space="0" w:color="auto"/>
                <w:right w:val="none" w:sz="0" w:space="0" w:color="auto"/>
              </w:divBdr>
            </w:div>
          </w:divsChild>
        </w:div>
        <w:div w:id="1109351300">
          <w:marLeft w:val="0"/>
          <w:marRight w:val="0"/>
          <w:marTop w:val="0"/>
          <w:marBottom w:val="0"/>
          <w:divBdr>
            <w:top w:val="none" w:sz="0" w:space="0" w:color="auto"/>
            <w:left w:val="none" w:sz="0" w:space="0" w:color="auto"/>
            <w:bottom w:val="none" w:sz="0" w:space="0" w:color="auto"/>
            <w:right w:val="none" w:sz="0" w:space="0" w:color="auto"/>
          </w:divBdr>
          <w:divsChild>
            <w:div w:id="1291549279">
              <w:marLeft w:val="0"/>
              <w:marRight w:val="0"/>
              <w:marTop w:val="0"/>
              <w:marBottom w:val="0"/>
              <w:divBdr>
                <w:top w:val="none" w:sz="0" w:space="0" w:color="auto"/>
                <w:left w:val="none" w:sz="0" w:space="0" w:color="auto"/>
                <w:bottom w:val="none" w:sz="0" w:space="0" w:color="auto"/>
                <w:right w:val="none" w:sz="0" w:space="0" w:color="auto"/>
              </w:divBdr>
            </w:div>
          </w:divsChild>
        </w:div>
        <w:div w:id="1116027796">
          <w:marLeft w:val="0"/>
          <w:marRight w:val="0"/>
          <w:marTop w:val="0"/>
          <w:marBottom w:val="0"/>
          <w:divBdr>
            <w:top w:val="none" w:sz="0" w:space="0" w:color="auto"/>
            <w:left w:val="none" w:sz="0" w:space="0" w:color="auto"/>
            <w:bottom w:val="none" w:sz="0" w:space="0" w:color="auto"/>
            <w:right w:val="none" w:sz="0" w:space="0" w:color="auto"/>
          </w:divBdr>
          <w:divsChild>
            <w:div w:id="1360349908">
              <w:marLeft w:val="0"/>
              <w:marRight w:val="0"/>
              <w:marTop w:val="0"/>
              <w:marBottom w:val="0"/>
              <w:divBdr>
                <w:top w:val="none" w:sz="0" w:space="0" w:color="auto"/>
                <w:left w:val="none" w:sz="0" w:space="0" w:color="auto"/>
                <w:bottom w:val="none" w:sz="0" w:space="0" w:color="auto"/>
                <w:right w:val="none" w:sz="0" w:space="0" w:color="auto"/>
              </w:divBdr>
            </w:div>
          </w:divsChild>
        </w:div>
        <w:div w:id="1149247210">
          <w:marLeft w:val="0"/>
          <w:marRight w:val="0"/>
          <w:marTop w:val="0"/>
          <w:marBottom w:val="0"/>
          <w:divBdr>
            <w:top w:val="none" w:sz="0" w:space="0" w:color="auto"/>
            <w:left w:val="none" w:sz="0" w:space="0" w:color="auto"/>
            <w:bottom w:val="none" w:sz="0" w:space="0" w:color="auto"/>
            <w:right w:val="none" w:sz="0" w:space="0" w:color="auto"/>
          </w:divBdr>
          <w:divsChild>
            <w:div w:id="1327634218">
              <w:marLeft w:val="0"/>
              <w:marRight w:val="0"/>
              <w:marTop w:val="0"/>
              <w:marBottom w:val="0"/>
              <w:divBdr>
                <w:top w:val="none" w:sz="0" w:space="0" w:color="auto"/>
                <w:left w:val="none" w:sz="0" w:space="0" w:color="auto"/>
                <w:bottom w:val="none" w:sz="0" w:space="0" w:color="auto"/>
                <w:right w:val="none" w:sz="0" w:space="0" w:color="auto"/>
              </w:divBdr>
            </w:div>
          </w:divsChild>
        </w:div>
        <w:div w:id="1161580467">
          <w:marLeft w:val="0"/>
          <w:marRight w:val="0"/>
          <w:marTop w:val="0"/>
          <w:marBottom w:val="0"/>
          <w:divBdr>
            <w:top w:val="none" w:sz="0" w:space="0" w:color="auto"/>
            <w:left w:val="none" w:sz="0" w:space="0" w:color="auto"/>
            <w:bottom w:val="none" w:sz="0" w:space="0" w:color="auto"/>
            <w:right w:val="none" w:sz="0" w:space="0" w:color="auto"/>
          </w:divBdr>
          <w:divsChild>
            <w:div w:id="1137914031">
              <w:marLeft w:val="0"/>
              <w:marRight w:val="0"/>
              <w:marTop w:val="0"/>
              <w:marBottom w:val="0"/>
              <w:divBdr>
                <w:top w:val="none" w:sz="0" w:space="0" w:color="auto"/>
                <w:left w:val="none" w:sz="0" w:space="0" w:color="auto"/>
                <w:bottom w:val="none" w:sz="0" w:space="0" w:color="auto"/>
                <w:right w:val="none" w:sz="0" w:space="0" w:color="auto"/>
              </w:divBdr>
            </w:div>
          </w:divsChild>
        </w:div>
        <w:div w:id="1172724145">
          <w:marLeft w:val="0"/>
          <w:marRight w:val="0"/>
          <w:marTop w:val="0"/>
          <w:marBottom w:val="0"/>
          <w:divBdr>
            <w:top w:val="none" w:sz="0" w:space="0" w:color="auto"/>
            <w:left w:val="none" w:sz="0" w:space="0" w:color="auto"/>
            <w:bottom w:val="none" w:sz="0" w:space="0" w:color="auto"/>
            <w:right w:val="none" w:sz="0" w:space="0" w:color="auto"/>
          </w:divBdr>
          <w:divsChild>
            <w:div w:id="493570558">
              <w:marLeft w:val="0"/>
              <w:marRight w:val="0"/>
              <w:marTop w:val="0"/>
              <w:marBottom w:val="0"/>
              <w:divBdr>
                <w:top w:val="none" w:sz="0" w:space="0" w:color="auto"/>
                <w:left w:val="none" w:sz="0" w:space="0" w:color="auto"/>
                <w:bottom w:val="none" w:sz="0" w:space="0" w:color="auto"/>
                <w:right w:val="none" w:sz="0" w:space="0" w:color="auto"/>
              </w:divBdr>
            </w:div>
          </w:divsChild>
        </w:div>
        <w:div w:id="1210150573">
          <w:marLeft w:val="0"/>
          <w:marRight w:val="0"/>
          <w:marTop w:val="0"/>
          <w:marBottom w:val="0"/>
          <w:divBdr>
            <w:top w:val="none" w:sz="0" w:space="0" w:color="auto"/>
            <w:left w:val="none" w:sz="0" w:space="0" w:color="auto"/>
            <w:bottom w:val="none" w:sz="0" w:space="0" w:color="auto"/>
            <w:right w:val="none" w:sz="0" w:space="0" w:color="auto"/>
          </w:divBdr>
          <w:divsChild>
            <w:div w:id="753016012">
              <w:marLeft w:val="0"/>
              <w:marRight w:val="0"/>
              <w:marTop w:val="0"/>
              <w:marBottom w:val="0"/>
              <w:divBdr>
                <w:top w:val="none" w:sz="0" w:space="0" w:color="auto"/>
                <w:left w:val="none" w:sz="0" w:space="0" w:color="auto"/>
                <w:bottom w:val="none" w:sz="0" w:space="0" w:color="auto"/>
                <w:right w:val="none" w:sz="0" w:space="0" w:color="auto"/>
              </w:divBdr>
            </w:div>
          </w:divsChild>
        </w:div>
        <w:div w:id="1224490469">
          <w:marLeft w:val="0"/>
          <w:marRight w:val="0"/>
          <w:marTop w:val="0"/>
          <w:marBottom w:val="0"/>
          <w:divBdr>
            <w:top w:val="none" w:sz="0" w:space="0" w:color="auto"/>
            <w:left w:val="none" w:sz="0" w:space="0" w:color="auto"/>
            <w:bottom w:val="none" w:sz="0" w:space="0" w:color="auto"/>
            <w:right w:val="none" w:sz="0" w:space="0" w:color="auto"/>
          </w:divBdr>
          <w:divsChild>
            <w:div w:id="1857649408">
              <w:marLeft w:val="0"/>
              <w:marRight w:val="0"/>
              <w:marTop w:val="0"/>
              <w:marBottom w:val="0"/>
              <w:divBdr>
                <w:top w:val="none" w:sz="0" w:space="0" w:color="auto"/>
                <w:left w:val="none" w:sz="0" w:space="0" w:color="auto"/>
                <w:bottom w:val="none" w:sz="0" w:space="0" w:color="auto"/>
                <w:right w:val="none" w:sz="0" w:space="0" w:color="auto"/>
              </w:divBdr>
            </w:div>
          </w:divsChild>
        </w:div>
        <w:div w:id="1235434677">
          <w:marLeft w:val="0"/>
          <w:marRight w:val="0"/>
          <w:marTop w:val="0"/>
          <w:marBottom w:val="0"/>
          <w:divBdr>
            <w:top w:val="none" w:sz="0" w:space="0" w:color="auto"/>
            <w:left w:val="none" w:sz="0" w:space="0" w:color="auto"/>
            <w:bottom w:val="none" w:sz="0" w:space="0" w:color="auto"/>
            <w:right w:val="none" w:sz="0" w:space="0" w:color="auto"/>
          </w:divBdr>
          <w:divsChild>
            <w:div w:id="1306931565">
              <w:marLeft w:val="0"/>
              <w:marRight w:val="0"/>
              <w:marTop w:val="0"/>
              <w:marBottom w:val="0"/>
              <w:divBdr>
                <w:top w:val="none" w:sz="0" w:space="0" w:color="auto"/>
                <w:left w:val="none" w:sz="0" w:space="0" w:color="auto"/>
                <w:bottom w:val="none" w:sz="0" w:space="0" w:color="auto"/>
                <w:right w:val="none" w:sz="0" w:space="0" w:color="auto"/>
              </w:divBdr>
            </w:div>
          </w:divsChild>
        </w:div>
        <w:div w:id="1266227121">
          <w:marLeft w:val="0"/>
          <w:marRight w:val="0"/>
          <w:marTop w:val="0"/>
          <w:marBottom w:val="0"/>
          <w:divBdr>
            <w:top w:val="none" w:sz="0" w:space="0" w:color="auto"/>
            <w:left w:val="none" w:sz="0" w:space="0" w:color="auto"/>
            <w:bottom w:val="none" w:sz="0" w:space="0" w:color="auto"/>
            <w:right w:val="none" w:sz="0" w:space="0" w:color="auto"/>
          </w:divBdr>
          <w:divsChild>
            <w:div w:id="48001684">
              <w:marLeft w:val="0"/>
              <w:marRight w:val="0"/>
              <w:marTop w:val="0"/>
              <w:marBottom w:val="0"/>
              <w:divBdr>
                <w:top w:val="none" w:sz="0" w:space="0" w:color="auto"/>
                <w:left w:val="none" w:sz="0" w:space="0" w:color="auto"/>
                <w:bottom w:val="none" w:sz="0" w:space="0" w:color="auto"/>
                <w:right w:val="none" w:sz="0" w:space="0" w:color="auto"/>
              </w:divBdr>
            </w:div>
          </w:divsChild>
        </w:div>
        <w:div w:id="1330019985">
          <w:marLeft w:val="0"/>
          <w:marRight w:val="0"/>
          <w:marTop w:val="0"/>
          <w:marBottom w:val="0"/>
          <w:divBdr>
            <w:top w:val="none" w:sz="0" w:space="0" w:color="auto"/>
            <w:left w:val="none" w:sz="0" w:space="0" w:color="auto"/>
            <w:bottom w:val="none" w:sz="0" w:space="0" w:color="auto"/>
            <w:right w:val="none" w:sz="0" w:space="0" w:color="auto"/>
          </w:divBdr>
          <w:divsChild>
            <w:div w:id="3749270">
              <w:marLeft w:val="0"/>
              <w:marRight w:val="0"/>
              <w:marTop w:val="0"/>
              <w:marBottom w:val="0"/>
              <w:divBdr>
                <w:top w:val="none" w:sz="0" w:space="0" w:color="auto"/>
                <w:left w:val="none" w:sz="0" w:space="0" w:color="auto"/>
                <w:bottom w:val="none" w:sz="0" w:space="0" w:color="auto"/>
                <w:right w:val="none" w:sz="0" w:space="0" w:color="auto"/>
              </w:divBdr>
            </w:div>
          </w:divsChild>
        </w:div>
        <w:div w:id="1359351709">
          <w:marLeft w:val="0"/>
          <w:marRight w:val="0"/>
          <w:marTop w:val="0"/>
          <w:marBottom w:val="0"/>
          <w:divBdr>
            <w:top w:val="none" w:sz="0" w:space="0" w:color="auto"/>
            <w:left w:val="none" w:sz="0" w:space="0" w:color="auto"/>
            <w:bottom w:val="none" w:sz="0" w:space="0" w:color="auto"/>
            <w:right w:val="none" w:sz="0" w:space="0" w:color="auto"/>
          </w:divBdr>
          <w:divsChild>
            <w:div w:id="1310286073">
              <w:marLeft w:val="0"/>
              <w:marRight w:val="0"/>
              <w:marTop w:val="0"/>
              <w:marBottom w:val="0"/>
              <w:divBdr>
                <w:top w:val="none" w:sz="0" w:space="0" w:color="auto"/>
                <w:left w:val="none" w:sz="0" w:space="0" w:color="auto"/>
                <w:bottom w:val="none" w:sz="0" w:space="0" w:color="auto"/>
                <w:right w:val="none" w:sz="0" w:space="0" w:color="auto"/>
              </w:divBdr>
            </w:div>
          </w:divsChild>
        </w:div>
        <w:div w:id="1399522218">
          <w:marLeft w:val="0"/>
          <w:marRight w:val="0"/>
          <w:marTop w:val="0"/>
          <w:marBottom w:val="0"/>
          <w:divBdr>
            <w:top w:val="none" w:sz="0" w:space="0" w:color="auto"/>
            <w:left w:val="none" w:sz="0" w:space="0" w:color="auto"/>
            <w:bottom w:val="none" w:sz="0" w:space="0" w:color="auto"/>
            <w:right w:val="none" w:sz="0" w:space="0" w:color="auto"/>
          </w:divBdr>
          <w:divsChild>
            <w:div w:id="1397317571">
              <w:marLeft w:val="0"/>
              <w:marRight w:val="0"/>
              <w:marTop w:val="0"/>
              <w:marBottom w:val="0"/>
              <w:divBdr>
                <w:top w:val="none" w:sz="0" w:space="0" w:color="auto"/>
                <w:left w:val="none" w:sz="0" w:space="0" w:color="auto"/>
                <w:bottom w:val="none" w:sz="0" w:space="0" w:color="auto"/>
                <w:right w:val="none" w:sz="0" w:space="0" w:color="auto"/>
              </w:divBdr>
            </w:div>
          </w:divsChild>
        </w:div>
        <w:div w:id="1429471747">
          <w:marLeft w:val="0"/>
          <w:marRight w:val="0"/>
          <w:marTop w:val="0"/>
          <w:marBottom w:val="0"/>
          <w:divBdr>
            <w:top w:val="none" w:sz="0" w:space="0" w:color="auto"/>
            <w:left w:val="none" w:sz="0" w:space="0" w:color="auto"/>
            <w:bottom w:val="none" w:sz="0" w:space="0" w:color="auto"/>
            <w:right w:val="none" w:sz="0" w:space="0" w:color="auto"/>
          </w:divBdr>
          <w:divsChild>
            <w:div w:id="44718962">
              <w:marLeft w:val="0"/>
              <w:marRight w:val="0"/>
              <w:marTop w:val="0"/>
              <w:marBottom w:val="0"/>
              <w:divBdr>
                <w:top w:val="none" w:sz="0" w:space="0" w:color="auto"/>
                <w:left w:val="none" w:sz="0" w:space="0" w:color="auto"/>
                <w:bottom w:val="none" w:sz="0" w:space="0" w:color="auto"/>
                <w:right w:val="none" w:sz="0" w:space="0" w:color="auto"/>
              </w:divBdr>
            </w:div>
          </w:divsChild>
        </w:div>
        <w:div w:id="1488979943">
          <w:marLeft w:val="0"/>
          <w:marRight w:val="0"/>
          <w:marTop w:val="0"/>
          <w:marBottom w:val="0"/>
          <w:divBdr>
            <w:top w:val="none" w:sz="0" w:space="0" w:color="auto"/>
            <w:left w:val="none" w:sz="0" w:space="0" w:color="auto"/>
            <w:bottom w:val="none" w:sz="0" w:space="0" w:color="auto"/>
            <w:right w:val="none" w:sz="0" w:space="0" w:color="auto"/>
          </w:divBdr>
          <w:divsChild>
            <w:div w:id="1386611538">
              <w:marLeft w:val="0"/>
              <w:marRight w:val="0"/>
              <w:marTop w:val="0"/>
              <w:marBottom w:val="0"/>
              <w:divBdr>
                <w:top w:val="none" w:sz="0" w:space="0" w:color="auto"/>
                <w:left w:val="none" w:sz="0" w:space="0" w:color="auto"/>
                <w:bottom w:val="none" w:sz="0" w:space="0" w:color="auto"/>
                <w:right w:val="none" w:sz="0" w:space="0" w:color="auto"/>
              </w:divBdr>
            </w:div>
          </w:divsChild>
        </w:div>
        <w:div w:id="1527405954">
          <w:marLeft w:val="0"/>
          <w:marRight w:val="0"/>
          <w:marTop w:val="0"/>
          <w:marBottom w:val="0"/>
          <w:divBdr>
            <w:top w:val="none" w:sz="0" w:space="0" w:color="auto"/>
            <w:left w:val="none" w:sz="0" w:space="0" w:color="auto"/>
            <w:bottom w:val="none" w:sz="0" w:space="0" w:color="auto"/>
            <w:right w:val="none" w:sz="0" w:space="0" w:color="auto"/>
          </w:divBdr>
          <w:divsChild>
            <w:div w:id="798957269">
              <w:marLeft w:val="0"/>
              <w:marRight w:val="0"/>
              <w:marTop w:val="0"/>
              <w:marBottom w:val="0"/>
              <w:divBdr>
                <w:top w:val="none" w:sz="0" w:space="0" w:color="auto"/>
                <w:left w:val="none" w:sz="0" w:space="0" w:color="auto"/>
                <w:bottom w:val="none" w:sz="0" w:space="0" w:color="auto"/>
                <w:right w:val="none" w:sz="0" w:space="0" w:color="auto"/>
              </w:divBdr>
            </w:div>
          </w:divsChild>
        </w:div>
        <w:div w:id="1625967534">
          <w:marLeft w:val="0"/>
          <w:marRight w:val="0"/>
          <w:marTop w:val="0"/>
          <w:marBottom w:val="0"/>
          <w:divBdr>
            <w:top w:val="none" w:sz="0" w:space="0" w:color="auto"/>
            <w:left w:val="none" w:sz="0" w:space="0" w:color="auto"/>
            <w:bottom w:val="none" w:sz="0" w:space="0" w:color="auto"/>
            <w:right w:val="none" w:sz="0" w:space="0" w:color="auto"/>
          </w:divBdr>
          <w:divsChild>
            <w:div w:id="2122843392">
              <w:marLeft w:val="0"/>
              <w:marRight w:val="0"/>
              <w:marTop w:val="0"/>
              <w:marBottom w:val="0"/>
              <w:divBdr>
                <w:top w:val="none" w:sz="0" w:space="0" w:color="auto"/>
                <w:left w:val="none" w:sz="0" w:space="0" w:color="auto"/>
                <w:bottom w:val="none" w:sz="0" w:space="0" w:color="auto"/>
                <w:right w:val="none" w:sz="0" w:space="0" w:color="auto"/>
              </w:divBdr>
            </w:div>
          </w:divsChild>
        </w:div>
        <w:div w:id="1660420848">
          <w:marLeft w:val="0"/>
          <w:marRight w:val="0"/>
          <w:marTop w:val="0"/>
          <w:marBottom w:val="0"/>
          <w:divBdr>
            <w:top w:val="none" w:sz="0" w:space="0" w:color="auto"/>
            <w:left w:val="none" w:sz="0" w:space="0" w:color="auto"/>
            <w:bottom w:val="none" w:sz="0" w:space="0" w:color="auto"/>
            <w:right w:val="none" w:sz="0" w:space="0" w:color="auto"/>
          </w:divBdr>
          <w:divsChild>
            <w:div w:id="420759242">
              <w:marLeft w:val="0"/>
              <w:marRight w:val="0"/>
              <w:marTop w:val="0"/>
              <w:marBottom w:val="0"/>
              <w:divBdr>
                <w:top w:val="none" w:sz="0" w:space="0" w:color="auto"/>
                <w:left w:val="none" w:sz="0" w:space="0" w:color="auto"/>
                <w:bottom w:val="none" w:sz="0" w:space="0" w:color="auto"/>
                <w:right w:val="none" w:sz="0" w:space="0" w:color="auto"/>
              </w:divBdr>
            </w:div>
          </w:divsChild>
        </w:div>
        <w:div w:id="1695959738">
          <w:marLeft w:val="0"/>
          <w:marRight w:val="0"/>
          <w:marTop w:val="0"/>
          <w:marBottom w:val="0"/>
          <w:divBdr>
            <w:top w:val="none" w:sz="0" w:space="0" w:color="auto"/>
            <w:left w:val="none" w:sz="0" w:space="0" w:color="auto"/>
            <w:bottom w:val="none" w:sz="0" w:space="0" w:color="auto"/>
            <w:right w:val="none" w:sz="0" w:space="0" w:color="auto"/>
          </w:divBdr>
          <w:divsChild>
            <w:div w:id="454717247">
              <w:marLeft w:val="0"/>
              <w:marRight w:val="0"/>
              <w:marTop w:val="0"/>
              <w:marBottom w:val="0"/>
              <w:divBdr>
                <w:top w:val="none" w:sz="0" w:space="0" w:color="auto"/>
                <w:left w:val="none" w:sz="0" w:space="0" w:color="auto"/>
                <w:bottom w:val="none" w:sz="0" w:space="0" w:color="auto"/>
                <w:right w:val="none" w:sz="0" w:space="0" w:color="auto"/>
              </w:divBdr>
            </w:div>
          </w:divsChild>
        </w:div>
        <w:div w:id="1743723547">
          <w:marLeft w:val="0"/>
          <w:marRight w:val="0"/>
          <w:marTop w:val="0"/>
          <w:marBottom w:val="0"/>
          <w:divBdr>
            <w:top w:val="none" w:sz="0" w:space="0" w:color="auto"/>
            <w:left w:val="none" w:sz="0" w:space="0" w:color="auto"/>
            <w:bottom w:val="none" w:sz="0" w:space="0" w:color="auto"/>
            <w:right w:val="none" w:sz="0" w:space="0" w:color="auto"/>
          </w:divBdr>
          <w:divsChild>
            <w:div w:id="1062945215">
              <w:marLeft w:val="0"/>
              <w:marRight w:val="0"/>
              <w:marTop w:val="0"/>
              <w:marBottom w:val="0"/>
              <w:divBdr>
                <w:top w:val="none" w:sz="0" w:space="0" w:color="auto"/>
                <w:left w:val="none" w:sz="0" w:space="0" w:color="auto"/>
                <w:bottom w:val="none" w:sz="0" w:space="0" w:color="auto"/>
                <w:right w:val="none" w:sz="0" w:space="0" w:color="auto"/>
              </w:divBdr>
            </w:div>
          </w:divsChild>
        </w:div>
        <w:div w:id="1769765372">
          <w:marLeft w:val="0"/>
          <w:marRight w:val="0"/>
          <w:marTop w:val="0"/>
          <w:marBottom w:val="0"/>
          <w:divBdr>
            <w:top w:val="none" w:sz="0" w:space="0" w:color="auto"/>
            <w:left w:val="none" w:sz="0" w:space="0" w:color="auto"/>
            <w:bottom w:val="none" w:sz="0" w:space="0" w:color="auto"/>
            <w:right w:val="none" w:sz="0" w:space="0" w:color="auto"/>
          </w:divBdr>
          <w:divsChild>
            <w:div w:id="1981155948">
              <w:marLeft w:val="0"/>
              <w:marRight w:val="0"/>
              <w:marTop w:val="0"/>
              <w:marBottom w:val="0"/>
              <w:divBdr>
                <w:top w:val="none" w:sz="0" w:space="0" w:color="auto"/>
                <w:left w:val="none" w:sz="0" w:space="0" w:color="auto"/>
                <w:bottom w:val="none" w:sz="0" w:space="0" w:color="auto"/>
                <w:right w:val="none" w:sz="0" w:space="0" w:color="auto"/>
              </w:divBdr>
            </w:div>
          </w:divsChild>
        </w:div>
        <w:div w:id="1794670544">
          <w:marLeft w:val="0"/>
          <w:marRight w:val="0"/>
          <w:marTop w:val="0"/>
          <w:marBottom w:val="0"/>
          <w:divBdr>
            <w:top w:val="none" w:sz="0" w:space="0" w:color="auto"/>
            <w:left w:val="none" w:sz="0" w:space="0" w:color="auto"/>
            <w:bottom w:val="none" w:sz="0" w:space="0" w:color="auto"/>
            <w:right w:val="none" w:sz="0" w:space="0" w:color="auto"/>
          </w:divBdr>
          <w:divsChild>
            <w:div w:id="1748261297">
              <w:marLeft w:val="0"/>
              <w:marRight w:val="0"/>
              <w:marTop w:val="0"/>
              <w:marBottom w:val="0"/>
              <w:divBdr>
                <w:top w:val="none" w:sz="0" w:space="0" w:color="auto"/>
                <w:left w:val="none" w:sz="0" w:space="0" w:color="auto"/>
                <w:bottom w:val="none" w:sz="0" w:space="0" w:color="auto"/>
                <w:right w:val="none" w:sz="0" w:space="0" w:color="auto"/>
              </w:divBdr>
            </w:div>
          </w:divsChild>
        </w:div>
        <w:div w:id="1835149559">
          <w:marLeft w:val="0"/>
          <w:marRight w:val="0"/>
          <w:marTop w:val="0"/>
          <w:marBottom w:val="0"/>
          <w:divBdr>
            <w:top w:val="none" w:sz="0" w:space="0" w:color="auto"/>
            <w:left w:val="none" w:sz="0" w:space="0" w:color="auto"/>
            <w:bottom w:val="none" w:sz="0" w:space="0" w:color="auto"/>
            <w:right w:val="none" w:sz="0" w:space="0" w:color="auto"/>
          </w:divBdr>
          <w:divsChild>
            <w:div w:id="1018386384">
              <w:marLeft w:val="0"/>
              <w:marRight w:val="0"/>
              <w:marTop w:val="0"/>
              <w:marBottom w:val="0"/>
              <w:divBdr>
                <w:top w:val="none" w:sz="0" w:space="0" w:color="auto"/>
                <w:left w:val="none" w:sz="0" w:space="0" w:color="auto"/>
                <w:bottom w:val="none" w:sz="0" w:space="0" w:color="auto"/>
                <w:right w:val="none" w:sz="0" w:space="0" w:color="auto"/>
              </w:divBdr>
            </w:div>
          </w:divsChild>
        </w:div>
        <w:div w:id="1914929042">
          <w:marLeft w:val="0"/>
          <w:marRight w:val="0"/>
          <w:marTop w:val="0"/>
          <w:marBottom w:val="0"/>
          <w:divBdr>
            <w:top w:val="none" w:sz="0" w:space="0" w:color="auto"/>
            <w:left w:val="none" w:sz="0" w:space="0" w:color="auto"/>
            <w:bottom w:val="none" w:sz="0" w:space="0" w:color="auto"/>
            <w:right w:val="none" w:sz="0" w:space="0" w:color="auto"/>
          </w:divBdr>
          <w:divsChild>
            <w:div w:id="979186965">
              <w:marLeft w:val="0"/>
              <w:marRight w:val="0"/>
              <w:marTop w:val="0"/>
              <w:marBottom w:val="0"/>
              <w:divBdr>
                <w:top w:val="none" w:sz="0" w:space="0" w:color="auto"/>
                <w:left w:val="none" w:sz="0" w:space="0" w:color="auto"/>
                <w:bottom w:val="none" w:sz="0" w:space="0" w:color="auto"/>
                <w:right w:val="none" w:sz="0" w:space="0" w:color="auto"/>
              </w:divBdr>
            </w:div>
          </w:divsChild>
        </w:div>
        <w:div w:id="1929146478">
          <w:marLeft w:val="0"/>
          <w:marRight w:val="0"/>
          <w:marTop w:val="0"/>
          <w:marBottom w:val="0"/>
          <w:divBdr>
            <w:top w:val="none" w:sz="0" w:space="0" w:color="auto"/>
            <w:left w:val="none" w:sz="0" w:space="0" w:color="auto"/>
            <w:bottom w:val="none" w:sz="0" w:space="0" w:color="auto"/>
            <w:right w:val="none" w:sz="0" w:space="0" w:color="auto"/>
          </w:divBdr>
          <w:divsChild>
            <w:div w:id="1360161586">
              <w:marLeft w:val="0"/>
              <w:marRight w:val="0"/>
              <w:marTop w:val="0"/>
              <w:marBottom w:val="0"/>
              <w:divBdr>
                <w:top w:val="none" w:sz="0" w:space="0" w:color="auto"/>
                <w:left w:val="none" w:sz="0" w:space="0" w:color="auto"/>
                <w:bottom w:val="none" w:sz="0" w:space="0" w:color="auto"/>
                <w:right w:val="none" w:sz="0" w:space="0" w:color="auto"/>
              </w:divBdr>
            </w:div>
          </w:divsChild>
        </w:div>
        <w:div w:id="1936598157">
          <w:marLeft w:val="0"/>
          <w:marRight w:val="0"/>
          <w:marTop w:val="0"/>
          <w:marBottom w:val="0"/>
          <w:divBdr>
            <w:top w:val="none" w:sz="0" w:space="0" w:color="auto"/>
            <w:left w:val="none" w:sz="0" w:space="0" w:color="auto"/>
            <w:bottom w:val="none" w:sz="0" w:space="0" w:color="auto"/>
            <w:right w:val="none" w:sz="0" w:space="0" w:color="auto"/>
          </w:divBdr>
          <w:divsChild>
            <w:div w:id="190845065">
              <w:marLeft w:val="0"/>
              <w:marRight w:val="0"/>
              <w:marTop w:val="0"/>
              <w:marBottom w:val="0"/>
              <w:divBdr>
                <w:top w:val="none" w:sz="0" w:space="0" w:color="auto"/>
                <w:left w:val="none" w:sz="0" w:space="0" w:color="auto"/>
                <w:bottom w:val="none" w:sz="0" w:space="0" w:color="auto"/>
                <w:right w:val="none" w:sz="0" w:space="0" w:color="auto"/>
              </w:divBdr>
            </w:div>
          </w:divsChild>
        </w:div>
        <w:div w:id="1962222834">
          <w:marLeft w:val="0"/>
          <w:marRight w:val="0"/>
          <w:marTop w:val="0"/>
          <w:marBottom w:val="0"/>
          <w:divBdr>
            <w:top w:val="none" w:sz="0" w:space="0" w:color="auto"/>
            <w:left w:val="none" w:sz="0" w:space="0" w:color="auto"/>
            <w:bottom w:val="none" w:sz="0" w:space="0" w:color="auto"/>
            <w:right w:val="none" w:sz="0" w:space="0" w:color="auto"/>
          </w:divBdr>
          <w:divsChild>
            <w:div w:id="2027829842">
              <w:marLeft w:val="0"/>
              <w:marRight w:val="0"/>
              <w:marTop w:val="0"/>
              <w:marBottom w:val="0"/>
              <w:divBdr>
                <w:top w:val="none" w:sz="0" w:space="0" w:color="auto"/>
                <w:left w:val="none" w:sz="0" w:space="0" w:color="auto"/>
                <w:bottom w:val="none" w:sz="0" w:space="0" w:color="auto"/>
                <w:right w:val="none" w:sz="0" w:space="0" w:color="auto"/>
              </w:divBdr>
            </w:div>
          </w:divsChild>
        </w:div>
        <w:div w:id="1976447448">
          <w:marLeft w:val="0"/>
          <w:marRight w:val="0"/>
          <w:marTop w:val="0"/>
          <w:marBottom w:val="0"/>
          <w:divBdr>
            <w:top w:val="none" w:sz="0" w:space="0" w:color="auto"/>
            <w:left w:val="none" w:sz="0" w:space="0" w:color="auto"/>
            <w:bottom w:val="none" w:sz="0" w:space="0" w:color="auto"/>
            <w:right w:val="none" w:sz="0" w:space="0" w:color="auto"/>
          </w:divBdr>
          <w:divsChild>
            <w:div w:id="196436538">
              <w:marLeft w:val="0"/>
              <w:marRight w:val="0"/>
              <w:marTop w:val="0"/>
              <w:marBottom w:val="0"/>
              <w:divBdr>
                <w:top w:val="none" w:sz="0" w:space="0" w:color="auto"/>
                <w:left w:val="none" w:sz="0" w:space="0" w:color="auto"/>
                <w:bottom w:val="none" w:sz="0" w:space="0" w:color="auto"/>
                <w:right w:val="none" w:sz="0" w:space="0" w:color="auto"/>
              </w:divBdr>
            </w:div>
          </w:divsChild>
        </w:div>
        <w:div w:id="1977953888">
          <w:marLeft w:val="0"/>
          <w:marRight w:val="0"/>
          <w:marTop w:val="0"/>
          <w:marBottom w:val="0"/>
          <w:divBdr>
            <w:top w:val="none" w:sz="0" w:space="0" w:color="auto"/>
            <w:left w:val="none" w:sz="0" w:space="0" w:color="auto"/>
            <w:bottom w:val="none" w:sz="0" w:space="0" w:color="auto"/>
            <w:right w:val="none" w:sz="0" w:space="0" w:color="auto"/>
          </w:divBdr>
          <w:divsChild>
            <w:div w:id="1112020039">
              <w:marLeft w:val="0"/>
              <w:marRight w:val="0"/>
              <w:marTop w:val="0"/>
              <w:marBottom w:val="0"/>
              <w:divBdr>
                <w:top w:val="none" w:sz="0" w:space="0" w:color="auto"/>
                <w:left w:val="none" w:sz="0" w:space="0" w:color="auto"/>
                <w:bottom w:val="none" w:sz="0" w:space="0" w:color="auto"/>
                <w:right w:val="none" w:sz="0" w:space="0" w:color="auto"/>
              </w:divBdr>
            </w:div>
          </w:divsChild>
        </w:div>
        <w:div w:id="2119592875">
          <w:marLeft w:val="0"/>
          <w:marRight w:val="0"/>
          <w:marTop w:val="0"/>
          <w:marBottom w:val="0"/>
          <w:divBdr>
            <w:top w:val="none" w:sz="0" w:space="0" w:color="auto"/>
            <w:left w:val="none" w:sz="0" w:space="0" w:color="auto"/>
            <w:bottom w:val="none" w:sz="0" w:space="0" w:color="auto"/>
            <w:right w:val="none" w:sz="0" w:space="0" w:color="auto"/>
          </w:divBdr>
          <w:divsChild>
            <w:div w:id="1214270302">
              <w:marLeft w:val="0"/>
              <w:marRight w:val="0"/>
              <w:marTop w:val="0"/>
              <w:marBottom w:val="0"/>
              <w:divBdr>
                <w:top w:val="none" w:sz="0" w:space="0" w:color="auto"/>
                <w:left w:val="none" w:sz="0" w:space="0" w:color="auto"/>
                <w:bottom w:val="none" w:sz="0" w:space="0" w:color="auto"/>
                <w:right w:val="none" w:sz="0" w:space="0" w:color="auto"/>
              </w:divBdr>
            </w:div>
          </w:divsChild>
        </w:div>
        <w:div w:id="2124104053">
          <w:marLeft w:val="0"/>
          <w:marRight w:val="0"/>
          <w:marTop w:val="0"/>
          <w:marBottom w:val="0"/>
          <w:divBdr>
            <w:top w:val="none" w:sz="0" w:space="0" w:color="auto"/>
            <w:left w:val="none" w:sz="0" w:space="0" w:color="auto"/>
            <w:bottom w:val="none" w:sz="0" w:space="0" w:color="auto"/>
            <w:right w:val="none" w:sz="0" w:space="0" w:color="auto"/>
          </w:divBdr>
          <w:divsChild>
            <w:div w:id="9976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04706">
      <w:bodyDiv w:val="1"/>
      <w:marLeft w:val="0"/>
      <w:marRight w:val="0"/>
      <w:marTop w:val="0"/>
      <w:marBottom w:val="0"/>
      <w:divBdr>
        <w:top w:val="none" w:sz="0" w:space="0" w:color="auto"/>
        <w:left w:val="none" w:sz="0" w:space="0" w:color="auto"/>
        <w:bottom w:val="none" w:sz="0" w:space="0" w:color="auto"/>
        <w:right w:val="none" w:sz="0" w:space="0" w:color="auto"/>
      </w:divBdr>
    </w:div>
    <w:div w:id="1022051163">
      <w:bodyDiv w:val="1"/>
      <w:marLeft w:val="0"/>
      <w:marRight w:val="0"/>
      <w:marTop w:val="0"/>
      <w:marBottom w:val="0"/>
      <w:divBdr>
        <w:top w:val="none" w:sz="0" w:space="0" w:color="auto"/>
        <w:left w:val="none" w:sz="0" w:space="0" w:color="auto"/>
        <w:bottom w:val="none" w:sz="0" w:space="0" w:color="auto"/>
        <w:right w:val="none" w:sz="0" w:space="0" w:color="auto"/>
      </w:divBdr>
    </w:div>
    <w:div w:id="1027098776">
      <w:bodyDiv w:val="1"/>
      <w:marLeft w:val="0"/>
      <w:marRight w:val="0"/>
      <w:marTop w:val="0"/>
      <w:marBottom w:val="0"/>
      <w:divBdr>
        <w:top w:val="none" w:sz="0" w:space="0" w:color="auto"/>
        <w:left w:val="none" w:sz="0" w:space="0" w:color="auto"/>
        <w:bottom w:val="none" w:sz="0" w:space="0" w:color="auto"/>
        <w:right w:val="none" w:sz="0" w:space="0" w:color="auto"/>
      </w:divBdr>
    </w:div>
    <w:div w:id="1036540637">
      <w:bodyDiv w:val="1"/>
      <w:marLeft w:val="0"/>
      <w:marRight w:val="0"/>
      <w:marTop w:val="0"/>
      <w:marBottom w:val="0"/>
      <w:divBdr>
        <w:top w:val="none" w:sz="0" w:space="0" w:color="auto"/>
        <w:left w:val="none" w:sz="0" w:space="0" w:color="auto"/>
        <w:bottom w:val="none" w:sz="0" w:space="0" w:color="auto"/>
        <w:right w:val="none" w:sz="0" w:space="0" w:color="auto"/>
      </w:divBdr>
    </w:div>
    <w:div w:id="1039013506">
      <w:bodyDiv w:val="1"/>
      <w:marLeft w:val="0"/>
      <w:marRight w:val="0"/>
      <w:marTop w:val="0"/>
      <w:marBottom w:val="0"/>
      <w:divBdr>
        <w:top w:val="none" w:sz="0" w:space="0" w:color="auto"/>
        <w:left w:val="none" w:sz="0" w:space="0" w:color="auto"/>
        <w:bottom w:val="none" w:sz="0" w:space="0" w:color="auto"/>
        <w:right w:val="none" w:sz="0" w:space="0" w:color="auto"/>
      </w:divBdr>
    </w:div>
    <w:div w:id="1043822334">
      <w:bodyDiv w:val="1"/>
      <w:marLeft w:val="0"/>
      <w:marRight w:val="0"/>
      <w:marTop w:val="0"/>
      <w:marBottom w:val="0"/>
      <w:divBdr>
        <w:top w:val="none" w:sz="0" w:space="0" w:color="auto"/>
        <w:left w:val="none" w:sz="0" w:space="0" w:color="auto"/>
        <w:bottom w:val="none" w:sz="0" w:space="0" w:color="auto"/>
        <w:right w:val="none" w:sz="0" w:space="0" w:color="auto"/>
      </w:divBdr>
    </w:div>
    <w:div w:id="1054964563">
      <w:bodyDiv w:val="1"/>
      <w:marLeft w:val="0"/>
      <w:marRight w:val="0"/>
      <w:marTop w:val="0"/>
      <w:marBottom w:val="0"/>
      <w:divBdr>
        <w:top w:val="none" w:sz="0" w:space="0" w:color="auto"/>
        <w:left w:val="none" w:sz="0" w:space="0" w:color="auto"/>
        <w:bottom w:val="none" w:sz="0" w:space="0" w:color="auto"/>
        <w:right w:val="none" w:sz="0" w:space="0" w:color="auto"/>
      </w:divBdr>
    </w:div>
    <w:div w:id="1080979834">
      <w:bodyDiv w:val="1"/>
      <w:marLeft w:val="0"/>
      <w:marRight w:val="0"/>
      <w:marTop w:val="0"/>
      <w:marBottom w:val="0"/>
      <w:divBdr>
        <w:top w:val="none" w:sz="0" w:space="0" w:color="auto"/>
        <w:left w:val="none" w:sz="0" w:space="0" w:color="auto"/>
        <w:bottom w:val="none" w:sz="0" w:space="0" w:color="auto"/>
        <w:right w:val="none" w:sz="0" w:space="0" w:color="auto"/>
      </w:divBdr>
    </w:div>
    <w:div w:id="1090270848">
      <w:bodyDiv w:val="1"/>
      <w:marLeft w:val="0"/>
      <w:marRight w:val="0"/>
      <w:marTop w:val="0"/>
      <w:marBottom w:val="0"/>
      <w:divBdr>
        <w:top w:val="none" w:sz="0" w:space="0" w:color="auto"/>
        <w:left w:val="none" w:sz="0" w:space="0" w:color="auto"/>
        <w:bottom w:val="none" w:sz="0" w:space="0" w:color="auto"/>
        <w:right w:val="none" w:sz="0" w:space="0" w:color="auto"/>
      </w:divBdr>
    </w:div>
    <w:div w:id="1119959237">
      <w:bodyDiv w:val="1"/>
      <w:marLeft w:val="0"/>
      <w:marRight w:val="0"/>
      <w:marTop w:val="0"/>
      <w:marBottom w:val="0"/>
      <w:divBdr>
        <w:top w:val="none" w:sz="0" w:space="0" w:color="auto"/>
        <w:left w:val="none" w:sz="0" w:space="0" w:color="auto"/>
        <w:bottom w:val="none" w:sz="0" w:space="0" w:color="auto"/>
        <w:right w:val="none" w:sz="0" w:space="0" w:color="auto"/>
      </w:divBdr>
    </w:div>
    <w:div w:id="1138567808">
      <w:bodyDiv w:val="1"/>
      <w:marLeft w:val="0"/>
      <w:marRight w:val="0"/>
      <w:marTop w:val="0"/>
      <w:marBottom w:val="0"/>
      <w:divBdr>
        <w:top w:val="none" w:sz="0" w:space="0" w:color="auto"/>
        <w:left w:val="none" w:sz="0" w:space="0" w:color="auto"/>
        <w:bottom w:val="none" w:sz="0" w:space="0" w:color="auto"/>
        <w:right w:val="none" w:sz="0" w:space="0" w:color="auto"/>
      </w:divBdr>
    </w:div>
    <w:div w:id="1138840862">
      <w:bodyDiv w:val="1"/>
      <w:marLeft w:val="0"/>
      <w:marRight w:val="0"/>
      <w:marTop w:val="0"/>
      <w:marBottom w:val="0"/>
      <w:divBdr>
        <w:top w:val="none" w:sz="0" w:space="0" w:color="auto"/>
        <w:left w:val="none" w:sz="0" w:space="0" w:color="auto"/>
        <w:bottom w:val="none" w:sz="0" w:space="0" w:color="auto"/>
        <w:right w:val="none" w:sz="0" w:space="0" w:color="auto"/>
      </w:divBdr>
      <w:divsChild>
        <w:div w:id="51930775">
          <w:marLeft w:val="0"/>
          <w:marRight w:val="0"/>
          <w:marTop w:val="0"/>
          <w:marBottom w:val="0"/>
          <w:divBdr>
            <w:top w:val="none" w:sz="0" w:space="0" w:color="auto"/>
            <w:left w:val="none" w:sz="0" w:space="0" w:color="auto"/>
            <w:bottom w:val="none" w:sz="0" w:space="0" w:color="auto"/>
            <w:right w:val="none" w:sz="0" w:space="0" w:color="auto"/>
          </w:divBdr>
          <w:divsChild>
            <w:div w:id="332758645">
              <w:marLeft w:val="0"/>
              <w:marRight w:val="0"/>
              <w:marTop w:val="0"/>
              <w:marBottom w:val="0"/>
              <w:divBdr>
                <w:top w:val="none" w:sz="0" w:space="0" w:color="auto"/>
                <w:left w:val="none" w:sz="0" w:space="0" w:color="auto"/>
                <w:bottom w:val="none" w:sz="0" w:space="0" w:color="auto"/>
                <w:right w:val="none" w:sz="0" w:space="0" w:color="auto"/>
              </w:divBdr>
            </w:div>
          </w:divsChild>
        </w:div>
        <w:div w:id="157353708">
          <w:marLeft w:val="0"/>
          <w:marRight w:val="0"/>
          <w:marTop w:val="0"/>
          <w:marBottom w:val="0"/>
          <w:divBdr>
            <w:top w:val="none" w:sz="0" w:space="0" w:color="auto"/>
            <w:left w:val="none" w:sz="0" w:space="0" w:color="auto"/>
            <w:bottom w:val="none" w:sz="0" w:space="0" w:color="auto"/>
            <w:right w:val="none" w:sz="0" w:space="0" w:color="auto"/>
          </w:divBdr>
          <w:divsChild>
            <w:div w:id="1708749418">
              <w:marLeft w:val="0"/>
              <w:marRight w:val="0"/>
              <w:marTop w:val="0"/>
              <w:marBottom w:val="0"/>
              <w:divBdr>
                <w:top w:val="none" w:sz="0" w:space="0" w:color="auto"/>
                <w:left w:val="none" w:sz="0" w:space="0" w:color="auto"/>
                <w:bottom w:val="none" w:sz="0" w:space="0" w:color="auto"/>
                <w:right w:val="none" w:sz="0" w:space="0" w:color="auto"/>
              </w:divBdr>
            </w:div>
          </w:divsChild>
        </w:div>
        <w:div w:id="167411599">
          <w:marLeft w:val="0"/>
          <w:marRight w:val="0"/>
          <w:marTop w:val="0"/>
          <w:marBottom w:val="0"/>
          <w:divBdr>
            <w:top w:val="none" w:sz="0" w:space="0" w:color="auto"/>
            <w:left w:val="none" w:sz="0" w:space="0" w:color="auto"/>
            <w:bottom w:val="none" w:sz="0" w:space="0" w:color="auto"/>
            <w:right w:val="none" w:sz="0" w:space="0" w:color="auto"/>
          </w:divBdr>
          <w:divsChild>
            <w:div w:id="1887526752">
              <w:marLeft w:val="0"/>
              <w:marRight w:val="0"/>
              <w:marTop w:val="0"/>
              <w:marBottom w:val="0"/>
              <w:divBdr>
                <w:top w:val="none" w:sz="0" w:space="0" w:color="auto"/>
                <w:left w:val="none" w:sz="0" w:space="0" w:color="auto"/>
                <w:bottom w:val="none" w:sz="0" w:space="0" w:color="auto"/>
                <w:right w:val="none" w:sz="0" w:space="0" w:color="auto"/>
              </w:divBdr>
            </w:div>
          </w:divsChild>
        </w:div>
        <w:div w:id="169025054">
          <w:marLeft w:val="0"/>
          <w:marRight w:val="0"/>
          <w:marTop w:val="0"/>
          <w:marBottom w:val="0"/>
          <w:divBdr>
            <w:top w:val="none" w:sz="0" w:space="0" w:color="auto"/>
            <w:left w:val="none" w:sz="0" w:space="0" w:color="auto"/>
            <w:bottom w:val="none" w:sz="0" w:space="0" w:color="auto"/>
            <w:right w:val="none" w:sz="0" w:space="0" w:color="auto"/>
          </w:divBdr>
          <w:divsChild>
            <w:div w:id="448165776">
              <w:marLeft w:val="0"/>
              <w:marRight w:val="0"/>
              <w:marTop w:val="0"/>
              <w:marBottom w:val="0"/>
              <w:divBdr>
                <w:top w:val="none" w:sz="0" w:space="0" w:color="auto"/>
                <w:left w:val="none" w:sz="0" w:space="0" w:color="auto"/>
                <w:bottom w:val="none" w:sz="0" w:space="0" w:color="auto"/>
                <w:right w:val="none" w:sz="0" w:space="0" w:color="auto"/>
              </w:divBdr>
            </w:div>
          </w:divsChild>
        </w:div>
        <w:div w:id="170609849">
          <w:marLeft w:val="0"/>
          <w:marRight w:val="0"/>
          <w:marTop w:val="0"/>
          <w:marBottom w:val="0"/>
          <w:divBdr>
            <w:top w:val="none" w:sz="0" w:space="0" w:color="auto"/>
            <w:left w:val="none" w:sz="0" w:space="0" w:color="auto"/>
            <w:bottom w:val="none" w:sz="0" w:space="0" w:color="auto"/>
            <w:right w:val="none" w:sz="0" w:space="0" w:color="auto"/>
          </w:divBdr>
          <w:divsChild>
            <w:div w:id="1483086880">
              <w:marLeft w:val="0"/>
              <w:marRight w:val="0"/>
              <w:marTop w:val="0"/>
              <w:marBottom w:val="0"/>
              <w:divBdr>
                <w:top w:val="none" w:sz="0" w:space="0" w:color="auto"/>
                <w:left w:val="none" w:sz="0" w:space="0" w:color="auto"/>
                <w:bottom w:val="none" w:sz="0" w:space="0" w:color="auto"/>
                <w:right w:val="none" w:sz="0" w:space="0" w:color="auto"/>
              </w:divBdr>
            </w:div>
          </w:divsChild>
        </w:div>
        <w:div w:id="174076954">
          <w:marLeft w:val="0"/>
          <w:marRight w:val="0"/>
          <w:marTop w:val="0"/>
          <w:marBottom w:val="0"/>
          <w:divBdr>
            <w:top w:val="none" w:sz="0" w:space="0" w:color="auto"/>
            <w:left w:val="none" w:sz="0" w:space="0" w:color="auto"/>
            <w:bottom w:val="none" w:sz="0" w:space="0" w:color="auto"/>
            <w:right w:val="none" w:sz="0" w:space="0" w:color="auto"/>
          </w:divBdr>
          <w:divsChild>
            <w:div w:id="1962105696">
              <w:marLeft w:val="0"/>
              <w:marRight w:val="0"/>
              <w:marTop w:val="0"/>
              <w:marBottom w:val="0"/>
              <w:divBdr>
                <w:top w:val="none" w:sz="0" w:space="0" w:color="auto"/>
                <w:left w:val="none" w:sz="0" w:space="0" w:color="auto"/>
                <w:bottom w:val="none" w:sz="0" w:space="0" w:color="auto"/>
                <w:right w:val="none" w:sz="0" w:space="0" w:color="auto"/>
              </w:divBdr>
            </w:div>
          </w:divsChild>
        </w:div>
        <w:div w:id="178814772">
          <w:marLeft w:val="0"/>
          <w:marRight w:val="0"/>
          <w:marTop w:val="0"/>
          <w:marBottom w:val="0"/>
          <w:divBdr>
            <w:top w:val="none" w:sz="0" w:space="0" w:color="auto"/>
            <w:left w:val="none" w:sz="0" w:space="0" w:color="auto"/>
            <w:bottom w:val="none" w:sz="0" w:space="0" w:color="auto"/>
            <w:right w:val="none" w:sz="0" w:space="0" w:color="auto"/>
          </w:divBdr>
          <w:divsChild>
            <w:div w:id="1537157133">
              <w:marLeft w:val="0"/>
              <w:marRight w:val="0"/>
              <w:marTop w:val="0"/>
              <w:marBottom w:val="0"/>
              <w:divBdr>
                <w:top w:val="none" w:sz="0" w:space="0" w:color="auto"/>
                <w:left w:val="none" w:sz="0" w:space="0" w:color="auto"/>
                <w:bottom w:val="none" w:sz="0" w:space="0" w:color="auto"/>
                <w:right w:val="none" w:sz="0" w:space="0" w:color="auto"/>
              </w:divBdr>
            </w:div>
          </w:divsChild>
        </w:div>
        <w:div w:id="196166623">
          <w:marLeft w:val="0"/>
          <w:marRight w:val="0"/>
          <w:marTop w:val="0"/>
          <w:marBottom w:val="0"/>
          <w:divBdr>
            <w:top w:val="none" w:sz="0" w:space="0" w:color="auto"/>
            <w:left w:val="none" w:sz="0" w:space="0" w:color="auto"/>
            <w:bottom w:val="none" w:sz="0" w:space="0" w:color="auto"/>
            <w:right w:val="none" w:sz="0" w:space="0" w:color="auto"/>
          </w:divBdr>
          <w:divsChild>
            <w:div w:id="842745841">
              <w:marLeft w:val="0"/>
              <w:marRight w:val="0"/>
              <w:marTop w:val="0"/>
              <w:marBottom w:val="0"/>
              <w:divBdr>
                <w:top w:val="none" w:sz="0" w:space="0" w:color="auto"/>
                <w:left w:val="none" w:sz="0" w:space="0" w:color="auto"/>
                <w:bottom w:val="none" w:sz="0" w:space="0" w:color="auto"/>
                <w:right w:val="none" w:sz="0" w:space="0" w:color="auto"/>
              </w:divBdr>
            </w:div>
          </w:divsChild>
        </w:div>
        <w:div w:id="203445277">
          <w:marLeft w:val="0"/>
          <w:marRight w:val="0"/>
          <w:marTop w:val="0"/>
          <w:marBottom w:val="0"/>
          <w:divBdr>
            <w:top w:val="none" w:sz="0" w:space="0" w:color="auto"/>
            <w:left w:val="none" w:sz="0" w:space="0" w:color="auto"/>
            <w:bottom w:val="none" w:sz="0" w:space="0" w:color="auto"/>
            <w:right w:val="none" w:sz="0" w:space="0" w:color="auto"/>
          </w:divBdr>
          <w:divsChild>
            <w:div w:id="2060277252">
              <w:marLeft w:val="0"/>
              <w:marRight w:val="0"/>
              <w:marTop w:val="0"/>
              <w:marBottom w:val="0"/>
              <w:divBdr>
                <w:top w:val="none" w:sz="0" w:space="0" w:color="auto"/>
                <w:left w:val="none" w:sz="0" w:space="0" w:color="auto"/>
                <w:bottom w:val="none" w:sz="0" w:space="0" w:color="auto"/>
                <w:right w:val="none" w:sz="0" w:space="0" w:color="auto"/>
              </w:divBdr>
            </w:div>
          </w:divsChild>
        </w:div>
        <w:div w:id="213977925">
          <w:marLeft w:val="0"/>
          <w:marRight w:val="0"/>
          <w:marTop w:val="0"/>
          <w:marBottom w:val="0"/>
          <w:divBdr>
            <w:top w:val="none" w:sz="0" w:space="0" w:color="auto"/>
            <w:left w:val="none" w:sz="0" w:space="0" w:color="auto"/>
            <w:bottom w:val="none" w:sz="0" w:space="0" w:color="auto"/>
            <w:right w:val="none" w:sz="0" w:space="0" w:color="auto"/>
          </w:divBdr>
          <w:divsChild>
            <w:div w:id="1640190235">
              <w:marLeft w:val="0"/>
              <w:marRight w:val="0"/>
              <w:marTop w:val="0"/>
              <w:marBottom w:val="0"/>
              <w:divBdr>
                <w:top w:val="none" w:sz="0" w:space="0" w:color="auto"/>
                <w:left w:val="none" w:sz="0" w:space="0" w:color="auto"/>
                <w:bottom w:val="none" w:sz="0" w:space="0" w:color="auto"/>
                <w:right w:val="none" w:sz="0" w:space="0" w:color="auto"/>
              </w:divBdr>
            </w:div>
          </w:divsChild>
        </w:div>
        <w:div w:id="219052471">
          <w:marLeft w:val="0"/>
          <w:marRight w:val="0"/>
          <w:marTop w:val="0"/>
          <w:marBottom w:val="0"/>
          <w:divBdr>
            <w:top w:val="none" w:sz="0" w:space="0" w:color="auto"/>
            <w:left w:val="none" w:sz="0" w:space="0" w:color="auto"/>
            <w:bottom w:val="none" w:sz="0" w:space="0" w:color="auto"/>
            <w:right w:val="none" w:sz="0" w:space="0" w:color="auto"/>
          </w:divBdr>
          <w:divsChild>
            <w:div w:id="1159230235">
              <w:marLeft w:val="0"/>
              <w:marRight w:val="0"/>
              <w:marTop w:val="0"/>
              <w:marBottom w:val="0"/>
              <w:divBdr>
                <w:top w:val="none" w:sz="0" w:space="0" w:color="auto"/>
                <w:left w:val="none" w:sz="0" w:space="0" w:color="auto"/>
                <w:bottom w:val="none" w:sz="0" w:space="0" w:color="auto"/>
                <w:right w:val="none" w:sz="0" w:space="0" w:color="auto"/>
              </w:divBdr>
            </w:div>
          </w:divsChild>
        </w:div>
        <w:div w:id="223377060">
          <w:marLeft w:val="0"/>
          <w:marRight w:val="0"/>
          <w:marTop w:val="0"/>
          <w:marBottom w:val="0"/>
          <w:divBdr>
            <w:top w:val="none" w:sz="0" w:space="0" w:color="auto"/>
            <w:left w:val="none" w:sz="0" w:space="0" w:color="auto"/>
            <w:bottom w:val="none" w:sz="0" w:space="0" w:color="auto"/>
            <w:right w:val="none" w:sz="0" w:space="0" w:color="auto"/>
          </w:divBdr>
          <w:divsChild>
            <w:div w:id="1209687410">
              <w:marLeft w:val="0"/>
              <w:marRight w:val="0"/>
              <w:marTop w:val="0"/>
              <w:marBottom w:val="0"/>
              <w:divBdr>
                <w:top w:val="none" w:sz="0" w:space="0" w:color="auto"/>
                <w:left w:val="none" w:sz="0" w:space="0" w:color="auto"/>
                <w:bottom w:val="none" w:sz="0" w:space="0" w:color="auto"/>
                <w:right w:val="none" w:sz="0" w:space="0" w:color="auto"/>
              </w:divBdr>
            </w:div>
          </w:divsChild>
        </w:div>
        <w:div w:id="226066317">
          <w:marLeft w:val="0"/>
          <w:marRight w:val="0"/>
          <w:marTop w:val="0"/>
          <w:marBottom w:val="0"/>
          <w:divBdr>
            <w:top w:val="none" w:sz="0" w:space="0" w:color="auto"/>
            <w:left w:val="none" w:sz="0" w:space="0" w:color="auto"/>
            <w:bottom w:val="none" w:sz="0" w:space="0" w:color="auto"/>
            <w:right w:val="none" w:sz="0" w:space="0" w:color="auto"/>
          </w:divBdr>
          <w:divsChild>
            <w:div w:id="1483237050">
              <w:marLeft w:val="0"/>
              <w:marRight w:val="0"/>
              <w:marTop w:val="0"/>
              <w:marBottom w:val="0"/>
              <w:divBdr>
                <w:top w:val="none" w:sz="0" w:space="0" w:color="auto"/>
                <w:left w:val="none" w:sz="0" w:space="0" w:color="auto"/>
                <w:bottom w:val="none" w:sz="0" w:space="0" w:color="auto"/>
                <w:right w:val="none" w:sz="0" w:space="0" w:color="auto"/>
              </w:divBdr>
            </w:div>
          </w:divsChild>
        </w:div>
        <w:div w:id="254478328">
          <w:marLeft w:val="0"/>
          <w:marRight w:val="0"/>
          <w:marTop w:val="0"/>
          <w:marBottom w:val="0"/>
          <w:divBdr>
            <w:top w:val="none" w:sz="0" w:space="0" w:color="auto"/>
            <w:left w:val="none" w:sz="0" w:space="0" w:color="auto"/>
            <w:bottom w:val="none" w:sz="0" w:space="0" w:color="auto"/>
            <w:right w:val="none" w:sz="0" w:space="0" w:color="auto"/>
          </w:divBdr>
          <w:divsChild>
            <w:div w:id="1837959576">
              <w:marLeft w:val="0"/>
              <w:marRight w:val="0"/>
              <w:marTop w:val="0"/>
              <w:marBottom w:val="0"/>
              <w:divBdr>
                <w:top w:val="none" w:sz="0" w:space="0" w:color="auto"/>
                <w:left w:val="none" w:sz="0" w:space="0" w:color="auto"/>
                <w:bottom w:val="none" w:sz="0" w:space="0" w:color="auto"/>
                <w:right w:val="none" w:sz="0" w:space="0" w:color="auto"/>
              </w:divBdr>
            </w:div>
          </w:divsChild>
        </w:div>
        <w:div w:id="259533595">
          <w:marLeft w:val="0"/>
          <w:marRight w:val="0"/>
          <w:marTop w:val="0"/>
          <w:marBottom w:val="0"/>
          <w:divBdr>
            <w:top w:val="none" w:sz="0" w:space="0" w:color="auto"/>
            <w:left w:val="none" w:sz="0" w:space="0" w:color="auto"/>
            <w:bottom w:val="none" w:sz="0" w:space="0" w:color="auto"/>
            <w:right w:val="none" w:sz="0" w:space="0" w:color="auto"/>
          </w:divBdr>
          <w:divsChild>
            <w:div w:id="755328404">
              <w:marLeft w:val="0"/>
              <w:marRight w:val="0"/>
              <w:marTop w:val="0"/>
              <w:marBottom w:val="0"/>
              <w:divBdr>
                <w:top w:val="none" w:sz="0" w:space="0" w:color="auto"/>
                <w:left w:val="none" w:sz="0" w:space="0" w:color="auto"/>
                <w:bottom w:val="none" w:sz="0" w:space="0" w:color="auto"/>
                <w:right w:val="none" w:sz="0" w:space="0" w:color="auto"/>
              </w:divBdr>
            </w:div>
          </w:divsChild>
        </w:div>
        <w:div w:id="262344025">
          <w:marLeft w:val="0"/>
          <w:marRight w:val="0"/>
          <w:marTop w:val="0"/>
          <w:marBottom w:val="0"/>
          <w:divBdr>
            <w:top w:val="none" w:sz="0" w:space="0" w:color="auto"/>
            <w:left w:val="none" w:sz="0" w:space="0" w:color="auto"/>
            <w:bottom w:val="none" w:sz="0" w:space="0" w:color="auto"/>
            <w:right w:val="none" w:sz="0" w:space="0" w:color="auto"/>
          </w:divBdr>
          <w:divsChild>
            <w:div w:id="590626994">
              <w:marLeft w:val="0"/>
              <w:marRight w:val="0"/>
              <w:marTop w:val="0"/>
              <w:marBottom w:val="0"/>
              <w:divBdr>
                <w:top w:val="none" w:sz="0" w:space="0" w:color="auto"/>
                <w:left w:val="none" w:sz="0" w:space="0" w:color="auto"/>
                <w:bottom w:val="none" w:sz="0" w:space="0" w:color="auto"/>
                <w:right w:val="none" w:sz="0" w:space="0" w:color="auto"/>
              </w:divBdr>
            </w:div>
          </w:divsChild>
        </w:div>
        <w:div w:id="269433920">
          <w:marLeft w:val="0"/>
          <w:marRight w:val="0"/>
          <w:marTop w:val="0"/>
          <w:marBottom w:val="0"/>
          <w:divBdr>
            <w:top w:val="none" w:sz="0" w:space="0" w:color="auto"/>
            <w:left w:val="none" w:sz="0" w:space="0" w:color="auto"/>
            <w:bottom w:val="none" w:sz="0" w:space="0" w:color="auto"/>
            <w:right w:val="none" w:sz="0" w:space="0" w:color="auto"/>
          </w:divBdr>
          <w:divsChild>
            <w:div w:id="184484287">
              <w:marLeft w:val="0"/>
              <w:marRight w:val="0"/>
              <w:marTop w:val="0"/>
              <w:marBottom w:val="0"/>
              <w:divBdr>
                <w:top w:val="none" w:sz="0" w:space="0" w:color="auto"/>
                <w:left w:val="none" w:sz="0" w:space="0" w:color="auto"/>
                <w:bottom w:val="none" w:sz="0" w:space="0" w:color="auto"/>
                <w:right w:val="none" w:sz="0" w:space="0" w:color="auto"/>
              </w:divBdr>
            </w:div>
          </w:divsChild>
        </w:div>
        <w:div w:id="274750711">
          <w:marLeft w:val="0"/>
          <w:marRight w:val="0"/>
          <w:marTop w:val="0"/>
          <w:marBottom w:val="0"/>
          <w:divBdr>
            <w:top w:val="none" w:sz="0" w:space="0" w:color="auto"/>
            <w:left w:val="none" w:sz="0" w:space="0" w:color="auto"/>
            <w:bottom w:val="none" w:sz="0" w:space="0" w:color="auto"/>
            <w:right w:val="none" w:sz="0" w:space="0" w:color="auto"/>
          </w:divBdr>
          <w:divsChild>
            <w:div w:id="1686662816">
              <w:marLeft w:val="0"/>
              <w:marRight w:val="0"/>
              <w:marTop w:val="0"/>
              <w:marBottom w:val="0"/>
              <w:divBdr>
                <w:top w:val="none" w:sz="0" w:space="0" w:color="auto"/>
                <w:left w:val="none" w:sz="0" w:space="0" w:color="auto"/>
                <w:bottom w:val="none" w:sz="0" w:space="0" w:color="auto"/>
                <w:right w:val="none" w:sz="0" w:space="0" w:color="auto"/>
              </w:divBdr>
            </w:div>
          </w:divsChild>
        </w:div>
        <w:div w:id="289897769">
          <w:marLeft w:val="0"/>
          <w:marRight w:val="0"/>
          <w:marTop w:val="0"/>
          <w:marBottom w:val="0"/>
          <w:divBdr>
            <w:top w:val="none" w:sz="0" w:space="0" w:color="auto"/>
            <w:left w:val="none" w:sz="0" w:space="0" w:color="auto"/>
            <w:bottom w:val="none" w:sz="0" w:space="0" w:color="auto"/>
            <w:right w:val="none" w:sz="0" w:space="0" w:color="auto"/>
          </w:divBdr>
          <w:divsChild>
            <w:div w:id="447312758">
              <w:marLeft w:val="0"/>
              <w:marRight w:val="0"/>
              <w:marTop w:val="0"/>
              <w:marBottom w:val="0"/>
              <w:divBdr>
                <w:top w:val="none" w:sz="0" w:space="0" w:color="auto"/>
                <w:left w:val="none" w:sz="0" w:space="0" w:color="auto"/>
                <w:bottom w:val="none" w:sz="0" w:space="0" w:color="auto"/>
                <w:right w:val="none" w:sz="0" w:space="0" w:color="auto"/>
              </w:divBdr>
            </w:div>
          </w:divsChild>
        </w:div>
        <w:div w:id="321198620">
          <w:marLeft w:val="0"/>
          <w:marRight w:val="0"/>
          <w:marTop w:val="0"/>
          <w:marBottom w:val="0"/>
          <w:divBdr>
            <w:top w:val="none" w:sz="0" w:space="0" w:color="auto"/>
            <w:left w:val="none" w:sz="0" w:space="0" w:color="auto"/>
            <w:bottom w:val="none" w:sz="0" w:space="0" w:color="auto"/>
            <w:right w:val="none" w:sz="0" w:space="0" w:color="auto"/>
          </w:divBdr>
          <w:divsChild>
            <w:div w:id="1803569841">
              <w:marLeft w:val="0"/>
              <w:marRight w:val="0"/>
              <w:marTop w:val="0"/>
              <w:marBottom w:val="0"/>
              <w:divBdr>
                <w:top w:val="none" w:sz="0" w:space="0" w:color="auto"/>
                <w:left w:val="none" w:sz="0" w:space="0" w:color="auto"/>
                <w:bottom w:val="none" w:sz="0" w:space="0" w:color="auto"/>
                <w:right w:val="none" w:sz="0" w:space="0" w:color="auto"/>
              </w:divBdr>
            </w:div>
          </w:divsChild>
        </w:div>
        <w:div w:id="340397054">
          <w:marLeft w:val="0"/>
          <w:marRight w:val="0"/>
          <w:marTop w:val="0"/>
          <w:marBottom w:val="0"/>
          <w:divBdr>
            <w:top w:val="none" w:sz="0" w:space="0" w:color="auto"/>
            <w:left w:val="none" w:sz="0" w:space="0" w:color="auto"/>
            <w:bottom w:val="none" w:sz="0" w:space="0" w:color="auto"/>
            <w:right w:val="none" w:sz="0" w:space="0" w:color="auto"/>
          </w:divBdr>
          <w:divsChild>
            <w:div w:id="152528243">
              <w:marLeft w:val="0"/>
              <w:marRight w:val="0"/>
              <w:marTop w:val="0"/>
              <w:marBottom w:val="0"/>
              <w:divBdr>
                <w:top w:val="none" w:sz="0" w:space="0" w:color="auto"/>
                <w:left w:val="none" w:sz="0" w:space="0" w:color="auto"/>
                <w:bottom w:val="none" w:sz="0" w:space="0" w:color="auto"/>
                <w:right w:val="none" w:sz="0" w:space="0" w:color="auto"/>
              </w:divBdr>
            </w:div>
          </w:divsChild>
        </w:div>
        <w:div w:id="347148558">
          <w:marLeft w:val="0"/>
          <w:marRight w:val="0"/>
          <w:marTop w:val="0"/>
          <w:marBottom w:val="0"/>
          <w:divBdr>
            <w:top w:val="none" w:sz="0" w:space="0" w:color="auto"/>
            <w:left w:val="none" w:sz="0" w:space="0" w:color="auto"/>
            <w:bottom w:val="none" w:sz="0" w:space="0" w:color="auto"/>
            <w:right w:val="none" w:sz="0" w:space="0" w:color="auto"/>
          </w:divBdr>
          <w:divsChild>
            <w:div w:id="1106923496">
              <w:marLeft w:val="0"/>
              <w:marRight w:val="0"/>
              <w:marTop w:val="0"/>
              <w:marBottom w:val="0"/>
              <w:divBdr>
                <w:top w:val="none" w:sz="0" w:space="0" w:color="auto"/>
                <w:left w:val="none" w:sz="0" w:space="0" w:color="auto"/>
                <w:bottom w:val="none" w:sz="0" w:space="0" w:color="auto"/>
                <w:right w:val="none" w:sz="0" w:space="0" w:color="auto"/>
              </w:divBdr>
            </w:div>
          </w:divsChild>
        </w:div>
        <w:div w:id="358119681">
          <w:marLeft w:val="0"/>
          <w:marRight w:val="0"/>
          <w:marTop w:val="0"/>
          <w:marBottom w:val="0"/>
          <w:divBdr>
            <w:top w:val="none" w:sz="0" w:space="0" w:color="auto"/>
            <w:left w:val="none" w:sz="0" w:space="0" w:color="auto"/>
            <w:bottom w:val="none" w:sz="0" w:space="0" w:color="auto"/>
            <w:right w:val="none" w:sz="0" w:space="0" w:color="auto"/>
          </w:divBdr>
          <w:divsChild>
            <w:div w:id="296499311">
              <w:marLeft w:val="0"/>
              <w:marRight w:val="0"/>
              <w:marTop w:val="0"/>
              <w:marBottom w:val="0"/>
              <w:divBdr>
                <w:top w:val="none" w:sz="0" w:space="0" w:color="auto"/>
                <w:left w:val="none" w:sz="0" w:space="0" w:color="auto"/>
                <w:bottom w:val="none" w:sz="0" w:space="0" w:color="auto"/>
                <w:right w:val="none" w:sz="0" w:space="0" w:color="auto"/>
              </w:divBdr>
            </w:div>
          </w:divsChild>
        </w:div>
        <w:div w:id="372274444">
          <w:marLeft w:val="0"/>
          <w:marRight w:val="0"/>
          <w:marTop w:val="0"/>
          <w:marBottom w:val="0"/>
          <w:divBdr>
            <w:top w:val="none" w:sz="0" w:space="0" w:color="auto"/>
            <w:left w:val="none" w:sz="0" w:space="0" w:color="auto"/>
            <w:bottom w:val="none" w:sz="0" w:space="0" w:color="auto"/>
            <w:right w:val="none" w:sz="0" w:space="0" w:color="auto"/>
          </w:divBdr>
          <w:divsChild>
            <w:div w:id="661737561">
              <w:marLeft w:val="0"/>
              <w:marRight w:val="0"/>
              <w:marTop w:val="0"/>
              <w:marBottom w:val="0"/>
              <w:divBdr>
                <w:top w:val="none" w:sz="0" w:space="0" w:color="auto"/>
                <w:left w:val="none" w:sz="0" w:space="0" w:color="auto"/>
                <w:bottom w:val="none" w:sz="0" w:space="0" w:color="auto"/>
                <w:right w:val="none" w:sz="0" w:space="0" w:color="auto"/>
              </w:divBdr>
            </w:div>
          </w:divsChild>
        </w:div>
        <w:div w:id="414713206">
          <w:marLeft w:val="0"/>
          <w:marRight w:val="0"/>
          <w:marTop w:val="0"/>
          <w:marBottom w:val="0"/>
          <w:divBdr>
            <w:top w:val="none" w:sz="0" w:space="0" w:color="auto"/>
            <w:left w:val="none" w:sz="0" w:space="0" w:color="auto"/>
            <w:bottom w:val="none" w:sz="0" w:space="0" w:color="auto"/>
            <w:right w:val="none" w:sz="0" w:space="0" w:color="auto"/>
          </w:divBdr>
          <w:divsChild>
            <w:div w:id="1003897501">
              <w:marLeft w:val="0"/>
              <w:marRight w:val="0"/>
              <w:marTop w:val="0"/>
              <w:marBottom w:val="0"/>
              <w:divBdr>
                <w:top w:val="none" w:sz="0" w:space="0" w:color="auto"/>
                <w:left w:val="none" w:sz="0" w:space="0" w:color="auto"/>
                <w:bottom w:val="none" w:sz="0" w:space="0" w:color="auto"/>
                <w:right w:val="none" w:sz="0" w:space="0" w:color="auto"/>
              </w:divBdr>
            </w:div>
          </w:divsChild>
        </w:div>
        <w:div w:id="427046083">
          <w:marLeft w:val="0"/>
          <w:marRight w:val="0"/>
          <w:marTop w:val="0"/>
          <w:marBottom w:val="0"/>
          <w:divBdr>
            <w:top w:val="none" w:sz="0" w:space="0" w:color="auto"/>
            <w:left w:val="none" w:sz="0" w:space="0" w:color="auto"/>
            <w:bottom w:val="none" w:sz="0" w:space="0" w:color="auto"/>
            <w:right w:val="none" w:sz="0" w:space="0" w:color="auto"/>
          </w:divBdr>
          <w:divsChild>
            <w:div w:id="1602955311">
              <w:marLeft w:val="0"/>
              <w:marRight w:val="0"/>
              <w:marTop w:val="0"/>
              <w:marBottom w:val="0"/>
              <w:divBdr>
                <w:top w:val="none" w:sz="0" w:space="0" w:color="auto"/>
                <w:left w:val="none" w:sz="0" w:space="0" w:color="auto"/>
                <w:bottom w:val="none" w:sz="0" w:space="0" w:color="auto"/>
                <w:right w:val="none" w:sz="0" w:space="0" w:color="auto"/>
              </w:divBdr>
            </w:div>
          </w:divsChild>
        </w:div>
        <w:div w:id="427315771">
          <w:marLeft w:val="0"/>
          <w:marRight w:val="0"/>
          <w:marTop w:val="0"/>
          <w:marBottom w:val="0"/>
          <w:divBdr>
            <w:top w:val="none" w:sz="0" w:space="0" w:color="auto"/>
            <w:left w:val="none" w:sz="0" w:space="0" w:color="auto"/>
            <w:bottom w:val="none" w:sz="0" w:space="0" w:color="auto"/>
            <w:right w:val="none" w:sz="0" w:space="0" w:color="auto"/>
          </w:divBdr>
          <w:divsChild>
            <w:div w:id="533077328">
              <w:marLeft w:val="0"/>
              <w:marRight w:val="0"/>
              <w:marTop w:val="0"/>
              <w:marBottom w:val="0"/>
              <w:divBdr>
                <w:top w:val="none" w:sz="0" w:space="0" w:color="auto"/>
                <w:left w:val="none" w:sz="0" w:space="0" w:color="auto"/>
                <w:bottom w:val="none" w:sz="0" w:space="0" w:color="auto"/>
                <w:right w:val="none" w:sz="0" w:space="0" w:color="auto"/>
              </w:divBdr>
            </w:div>
          </w:divsChild>
        </w:div>
        <w:div w:id="441415115">
          <w:marLeft w:val="0"/>
          <w:marRight w:val="0"/>
          <w:marTop w:val="0"/>
          <w:marBottom w:val="0"/>
          <w:divBdr>
            <w:top w:val="none" w:sz="0" w:space="0" w:color="auto"/>
            <w:left w:val="none" w:sz="0" w:space="0" w:color="auto"/>
            <w:bottom w:val="none" w:sz="0" w:space="0" w:color="auto"/>
            <w:right w:val="none" w:sz="0" w:space="0" w:color="auto"/>
          </w:divBdr>
          <w:divsChild>
            <w:div w:id="133445980">
              <w:marLeft w:val="0"/>
              <w:marRight w:val="0"/>
              <w:marTop w:val="0"/>
              <w:marBottom w:val="0"/>
              <w:divBdr>
                <w:top w:val="none" w:sz="0" w:space="0" w:color="auto"/>
                <w:left w:val="none" w:sz="0" w:space="0" w:color="auto"/>
                <w:bottom w:val="none" w:sz="0" w:space="0" w:color="auto"/>
                <w:right w:val="none" w:sz="0" w:space="0" w:color="auto"/>
              </w:divBdr>
            </w:div>
          </w:divsChild>
        </w:div>
        <w:div w:id="462231127">
          <w:marLeft w:val="0"/>
          <w:marRight w:val="0"/>
          <w:marTop w:val="0"/>
          <w:marBottom w:val="0"/>
          <w:divBdr>
            <w:top w:val="none" w:sz="0" w:space="0" w:color="auto"/>
            <w:left w:val="none" w:sz="0" w:space="0" w:color="auto"/>
            <w:bottom w:val="none" w:sz="0" w:space="0" w:color="auto"/>
            <w:right w:val="none" w:sz="0" w:space="0" w:color="auto"/>
          </w:divBdr>
          <w:divsChild>
            <w:div w:id="210726460">
              <w:marLeft w:val="0"/>
              <w:marRight w:val="0"/>
              <w:marTop w:val="0"/>
              <w:marBottom w:val="0"/>
              <w:divBdr>
                <w:top w:val="none" w:sz="0" w:space="0" w:color="auto"/>
                <w:left w:val="none" w:sz="0" w:space="0" w:color="auto"/>
                <w:bottom w:val="none" w:sz="0" w:space="0" w:color="auto"/>
                <w:right w:val="none" w:sz="0" w:space="0" w:color="auto"/>
              </w:divBdr>
            </w:div>
          </w:divsChild>
        </w:div>
        <w:div w:id="492381070">
          <w:marLeft w:val="0"/>
          <w:marRight w:val="0"/>
          <w:marTop w:val="0"/>
          <w:marBottom w:val="0"/>
          <w:divBdr>
            <w:top w:val="none" w:sz="0" w:space="0" w:color="auto"/>
            <w:left w:val="none" w:sz="0" w:space="0" w:color="auto"/>
            <w:bottom w:val="none" w:sz="0" w:space="0" w:color="auto"/>
            <w:right w:val="none" w:sz="0" w:space="0" w:color="auto"/>
          </w:divBdr>
          <w:divsChild>
            <w:div w:id="672029306">
              <w:marLeft w:val="0"/>
              <w:marRight w:val="0"/>
              <w:marTop w:val="0"/>
              <w:marBottom w:val="0"/>
              <w:divBdr>
                <w:top w:val="none" w:sz="0" w:space="0" w:color="auto"/>
                <w:left w:val="none" w:sz="0" w:space="0" w:color="auto"/>
                <w:bottom w:val="none" w:sz="0" w:space="0" w:color="auto"/>
                <w:right w:val="none" w:sz="0" w:space="0" w:color="auto"/>
              </w:divBdr>
            </w:div>
          </w:divsChild>
        </w:div>
        <w:div w:id="500002523">
          <w:marLeft w:val="0"/>
          <w:marRight w:val="0"/>
          <w:marTop w:val="0"/>
          <w:marBottom w:val="0"/>
          <w:divBdr>
            <w:top w:val="none" w:sz="0" w:space="0" w:color="auto"/>
            <w:left w:val="none" w:sz="0" w:space="0" w:color="auto"/>
            <w:bottom w:val="none" w:sz="0" w:space="0" w:color="auto"/>
            <w:right w:val="none" w:sz="0" w:space="0" w:color="auto"/>
          </w:divBdr>
          <w:divsChild>
            <w:div w:id="1191459154">
              <w:marLeft w:val="0"/>
              <w:marRight w:val="0"/>
              <w:marTop w:val="0"/>
              <w:marBottom w:val="0"/>
              <w:divBdr>
                <w:top w:val="none" w:sz="0" w:space="0" w:color="auto"/>
                <w:left w:val="none" w:sz="0" w:space="0" w:color="auto"/>
                <w:bottom w:val="none" w:sz="0" w:space="0" w:color="auto"/>
                <w:right w:val="none" w:sz="0" w:space="0" w:color="auto"/>
              </w:divBdr>
            </w:div>
          </w:divsChild>
        </w:div>
        <w:div w:id="544366732">
          <w:marLeft w:val="0"/>
          <w:marRight w:val="0"/>
          <w:marTop w:val="0"/>
          <w:marBottom w:val="0"/>
          <w:divBdr>
            <w:top w:val="none" w:sz="0" w:space="0" w:color="auto"/>
            <w:left w:val="none" w:sz="0" w:space="0" w:color="auto"/>
            <w:bottom w:val="none" w:sz="0" w:space="0" w:color="auto"/>
            <w:right w:val="none" w:sz="0" w:space="0" w:color="auto"/>
          </w:divBdr>
          <w:divsChild>
            <w:div w:id="1547450036">
              <w:marLeft w:val="0"/>
              <w:marRight w:val="0"/>
              <w:marTop w:val="0"/>
              <w:marBottom w:val="0"/>
              <w:divBdr>
                <w:top w:val="none" w:sz="0" w:space="0" w:color="auto"/>
                <w:left w:val="none" w:sz="0" w:space="0" w:color="auto"/>
                <w:bottom w:val="none" w:sz="0" w:space="0" w:color="auto"/>
                <w:right w:val="none" w:sz="0" w:space="0" w:color="auto"/>
              </w:divBdr>
            </w:div>
          </w:divsChild>
        </w:div>
        <w:div w:id="603540876">
          <w:marLeft w:val="0"/>
          <w:marRight w:val="0"/>
          <w:marTop w:val="0"/>
          <w:marBottom w:val="0"/>
          <w:divBdr>
            <w:top w:val="none" w:sz="0" w:space="0" w:color="auto"/>
            <w:left w:val="none" w:sz="0" w:space="0" w:color="auto"/>
            <w:bottom w:val="none" w:sz="0" w:space="0" w:color="auto"/>
            <w:right w:val="none" w:sz="0" w:space="0" w:color="auto"/>
          </w:divBdr>
          <w:divsChild>
            <w:div w:id="201410025">
              <w:marLeft w:val="0"/>
              <w:marRight w:val="0"/>
              <w:marTop w:val="0"/>
              <w:marBottom w:val="0"/>
              <w:divBdr>
                <w:top w:val="none" w:sz="0" w:space="0" w:color="auto"/>
                <w:left w:val="none" w:sz="0" w:space="0" w:color="auto"/>
                <w:bottom w:val="none" w:sz="0" w:space="0" w:color="auto"/>
                <w:right w:val="none" w:sz="0" w:space="0" w:color="auto"/>
              </w:divBdr>
            </w:div>
          </w:divsChild>
        </w:div>
        <w:div w:id="607854829">
          <w:marLeft w:val="0"/>
          <w:marRight w:val="0"/>
          <w:marTop w:val="0"/>
          <w:marBottom w:val="0"/>
          <w:divBdr>
            <w:top w:val="none" w:sz="0" w:space="0" w:color="auto"/>
            <w:left w:val="none" w:sz="0" w:space="0" w:color="auto"/>
            <w:bottom w:val="none" w:sz="0" w:space="0" w:color="auto"/>
            <w:right w:val="none" w:sz="0" w:space="0" w:color="auto"/>
          </w:divBdr>
          <w:divsChild>
            <w:div w:id="2139448475">
              <w:marLeft w:val="0"/>
              <w:marRight w:val="0"/>
              <w:marTop w:val="0"/>
              <w:marBottom w:val="0"/>
              <w:divBdr>
                <w:top w:val="none" w:sz="0" w:space="0" w:color="auto"/>
                <w:left w:val="none" w:sz="0" w:space="0" w:color="auto"/>
                <w:bottom w:val="none" w:sz="0" w:space="0" w:color="auto"/>
                <w:right w:val="none" w:sz="0" w:space="0" w:color="auto"/>
              </w:divBdr>
            </w:div>
          </w:divsChild>
        </w:div>
        <w:div w:id="625356282">
          <w:marLeft w:val="0"/>
          <w:marRight w:val="0"/>
          <w:marTop w:val="0"/>
          <w:marBottom w:val="0"/>
          <w:divBdr>
            <w:top w:val="none" w:sz="0" w:space="0" w:color="auto"/>
            <w:left w:val="none" w:sz="0" w:space="0" w:color="auto"/>
            <w:bottom w:val="none" w:sz="0" w:space="0" w:color="auto"/>
            <w:right w:val="none" w:sz="0" w:space="0" w:color="auto"/>
          </w:divBdr>
          <w:divsChild>
            <w:div w:id="563636729">
              <w:marLeft w:val="0"/>
              <w:marRight w:val="0"/>
              <w:marTop w:val="0"/>
              <w:marBottom w:val="0"/>
              <w:divBdr>
                <w:top w:val="none" w:sz="0" w:space="0" w:color="auto"/>
                <w:left w:val="none" w:sz="0" w:space="0" w:color="auto"/>
                <w:bottom w:val="none" w:sz="0" w:space="0" w:color="auto"/>
                <w:right w:val="none" w:sz="0" w:space="0" w:color="auto"/>
              </w:divBdr>
            </w:div>
          </w:divsChild>
        </w:div>
        <w:div w:id="656151926">
          <w:marLeft w:val="0"/>
          <w:marRight w:val="0"/>
          <w:marTop w:val="0"/>
          <w:marBottom w:val="0"/>
          <w:divBdr>
            <w:top w:val="none" w:sz="0" w:space="0" w:color="auto"/>
            <w:left w:val="none" w:sz="0" w:space="0" w:color="auto"/>
            <w:bottom w:val="none" w:sz="0" w:space="0" w:color="auto"/>
            <w:right w:val="none" w:sz="0" w:space="0" w:color="auto"/>
          </w:divBdr>
          <w:divsChild>
            <w:div w:id="72824927">
              <w:marLeft w:val="0"/>
              <w:marRight w:val="0"/>
              <w:marTop w:val="0"/>
              <w:marBottom w:val="0"/>
              <w:divBdr>
                <w:top w:val="none" w:sz="0" w:space="0" w:color="auto"/>
                <w:left w:val="none" w:sz="0" w:space="0" w:color="auto"/>
                <w:bottom w:val="none" w:sz="0" w:space="0" w:color="auto"/>
                <w:right w:val="none" w:sz="0" w:space="0" w:color="auto"/>
              </w:divBdr>
            </w:div>
          </w:divsChild>
        </w:div>
        <w:div w:id="669915582">
          <w:marLeft w:val="0"/>
          <w:marRight w:val="0"/>
          <w:marTop w:val="0"/>
          <w:marBottom w:val="0"/>
          <w:divBdr>
            <w:top w:val="none" w:sz="0" w:space="0" w:color="auto"/>
            <w:left w:val="none" w:sz="0" w:space="0" w:color="auto"/>
            <w:bottom w:val="none" w:sz="0" w:space="0" w:color="auto"/>
            <w:right w:val="none" w:sz="0" w:space="0" w:color="auto"/>
          </w:divBdr>
          <w:divsChild>
            <w:div w:id="931159101">
              <w:marLeft w:val="0"/>
              <w:marRight w:val="0"/>
              <w:marTop w:val="0"/>
              <w:marBottom w:val="0"/>
              <w:divBdr>
                <w:top w:val="none" w:sz="0" w:space="0" w:color="auto"/>
                <w:left w:val="none" w:sz="0" w:space="0" w:color="auto"/>
                <w:bottom w:val="none" w:sz="0" w:space="0" w:color="auto"/>
                <w:right w:val="none" w:sz="0" w:space="0" w:color="auto"/>
              </w:divBdr>
            </w:div>
          </w:divsChild>
        </w:div>
        <w:div w:id="719862136">
          <w:marLeft w:val="0"/>
          <w:marRight w:val="0"/>
          <w:marTop w:val="0"/>
          <w:marBottom w:val="0"/>
          <w:divBdr>
            <w:top w:val="none" w:sz="0" w:space="0" w:color="auto"/>
            <w:left w:val="none" w:sz="0" w:space="0" w:color="auto"/>
            <w:bottom w:val="none" w:sz="0" w:space="0" w:color="auto"/>
            <w:right w:val="none" w:sz="0" w:space="0" w:color="auto"/>
          </w:divBdr>
          <w:divsChild>
            <w:div w:id="966622124">
              <w:marLeft w:val="0"/>
              <w:marRight w:val="0"/>
              <w:marTop w:val="0"/>
              <w:marBottom w:val="0"/>
              <w:divBdr>
                <w:top w:val="none" w:sz="0" w:space="0" w:color="auto"/>
                <w:left w:val="none" w:sz="0" w:space="0" w:color="auto"/>
                <w:bottom w:val="none" w:sz="0" w:space="0" w:color="auto"/>
                <w:right w:val="none" w:sz="0" w:space="0" w:color="auto"/>
              </w:divBdr>
            </w:div>
          </w:divsChild>
        </w:div>
        <w:div w:id="752093738">
          <w:marLeft w:val="0"/>
          <w:marRight w:val="0"/>
          <w:marTop w:val="0"/>
          <w:marBottom w:val="0"/>
          <w:divBdr>
            <w:top w:val="none" w:sz="0" w:space="0" w:color="auto"/>
            <w:left w:val="none" w:sz="0" w:space="0" w:color="auto"/>
            <w:bottom w:val="none" w:sz="0" w:space="0" w:color="auto"/>
            <w:right w:val="none" w:sz="0" w:space="0" w:color="auto"/>
          </w:divBdr>
          <w:divsChild>
            <w:div w:id="1511866720">
              <w:marLeft w:val="0"/>
              <w:marRight w:val="0"/>
              <w:marTop w:val="0"/>
              <w:marBottom w:val="0"/>
              <w:divBdr>
                <w:top w:val="none" w:sz="0" w:space="0" w:color="auto"/>
                <w:left w:val="none" w:sz="0" w:space="0" w:color="auto"/>
                <w:bottom w:val="none" w:sz="0" w:space="0" w:color="auto"/>
                <w:right w:val="none" w:sz="0" w:space="0" w:color="auto"/>
              </w:divBdr>
            </w:div>
          </w:divsChild>
        </w:div>
        <w:div w:id="755632693">
          <w:marLeft w:val="0"/>
          <w:marRight w:val="0"/>
          <w:marTop w:val="0"/>
          <w:marBottom w:val="0"/>
          <w:divBdr>
            <w:top w:val="none" w:sz="0" w:space="0" w:color="auto"/>
            <w:left w:val="none" w:sz="0" w:space="0" w:color="auto"/>
            <w:bottom w:val="none" w:sz="0" w:space="0" w:color="auto"/>
            <w:right w:val="none" w:sz="0" w:space="0" w:color="auto"/>
          </w:divBdr>
          <w:divsChild>
            <w:div w:id="1037123616">
              <w:marLeft w:val="0"/>
              <w:marRight w:val="0"/>
              <w:marTop w:val="0"/>
              <w:marBottom w:val="0"/>
              <w:divBdr>
                <w:top w:val="none" w:sz="0" w:space="0" w:color="auto"/>
                <w:left w:val="none" w:sz="0" w:space="0" w:color="auto"/>
                <w:bottom w:val="none" w:sz="0" w:space="0" w:color="auto"/>
                <w:right w:val="none" w:sz="0" w:space="0" w:color="auto"/>
              </w:divBdr>
            </w:div>
          </w:divsChild>
        </w:div>
        <w:div w:id="767774099">
          <w:marLeft w:val="0"/>
          <w:marRight w:val="0"/>
          <w:marTop w:val="0"/>
          <w:marBottom w:val="0"/>
          <w:divBdr>
            <w:top w:val="none" w:sz="0" w:space="0" w:color="auto"/>
            <w:left w:val="none" w:sz="0" w:space="0" w:color="auto"/>
            <w:bottom w:val="none" w:sz="0" w:space="0" w:color="auto"/>
            <w:right w:val="none" w:sz="0" w:space="0" w:color="auto"/>
          </w:divBdr>
          <w:divsChild>
            <w:div w:id="1584799681">
              <w:marLeft w:val="0"/>
              <w:marRight w:val="0"/>
              <w:marTop w:val="0"/>
              <w:marBottom w:val="0"/>
              <w:divBdr>
                <w:top w:val="none" w:sz="0" w:space="0" w:color="auto"/>
                <w:left w:val="none" w:sz="0" w:space="0" w:color="auto"/>
                <w:bottom w:val="none" w:sz="0" w:space="0" w:color="auto"/>
                <w:right w:val="none" w:sz="0" w:space="0" w:color="auto"/>
              </w:divBdr>
            </w:div>
          </w:divsChild>
        </w:div>
        <w:div w:id="817963235">
          <w:marLeft w:val="0"/>
          <w:marRight w:val="0"/>
          <w:marTop w:val="0"/>
          <w:marBottom w:val="0"/>
          <w:divBdr>
            <w:top w:val="none" w:sz="0" w:space="0" w:color="auto"/>
            <w:left w:val="none" w:sz="0" w:space="0" w:color="auto"/>
            <w:bottom w:val="none" w:sz="0" w:space="0" w:color="auto"/>
            <w:right w:val="none" w:sz="0" w:space="0" w:color="auto"/>
          </w:divBdr>
          <w:divsChild>
            <w:div w:id="190531120">
              <w:marLeft w:val="0"/>
              <w:marRight w:val="0"/>
              <w:marTop w:val="0"/>
              <w:marBottom w:val="0"/>
              <w:divBdr>
                <w:top w:val="none" w:sz="0" w:space="0" w:color="auto"/>
                <w:left w:val="none" w:sz="0" w:space="0" w:color="auto"/>
                <w:bottom w:val="none" w:sz="0" w:space="0" w:color="auto"/>
                <w:right w:val="none" w:sz="0" w:space="0" w:color="auto"/>
              </w:divBdr>
            </w:div>
          </w:divsChild>
        </w:div>
        <w:div w:id="854459781">
          <w:marLeft w:val="0"/>
          <w:marRight w:val="0"/>
          <w:marTop w:val="0"/>
          <w:marBottom w:val="0"/>
          <w:divBdr>
            <w:top w:val="none" w:sz="0" w:space="0" w:color="auto"/>
            <w:left w:val="none" w:sz="0" w:space="0" w:color="auto"/>
            <w:bottom w:val="none" w:sz="0" w:space="0" w:color="auto"/>
            <w:right w:val="none" w:sz="0" w:space="0" w:color="auto"/>
          </w:divBdr>
          <w:divsChild>
            <w:div w:id="2022390629">
              <w:marLeft w:val="0"/>
              <w:marRight w:val="0"/>
              <w:marTop w:val="0"/>
              <w:marBottom w:val="0"/>
              <w:divBdr>
                <w:top w:val="none" w:sz="0" w:space="0" w:color="auto"/>
                <w:left w:val="none" w:sz="0" w:space="0" w:color="auto"/>
                <w:bottom w:val="none" w:sz="0" w:space="0" w:color="auto"/>
                <w:right w:val="none" w:sz="0" w:space="0" w:color="auto"/>
              </w:divBdr>
            </w:div>
          </w:divsChild>
        </w:div>
        <w:div w:id="872811163">
          <w:marLeft w:val="0"/>
          <w:marRight w:val="0"/>
          <w:marTop w:val="0"/>
          <w:marBottom w:val="0"/>
          <w:divBdr>
            <w:top w:val="none" w:sz="0" w:space="0" w:color="auto"/>
            <w:left w:val="none" w:sz="0" w:space="0" w:color="auto"/>
            <w:bottom w:val="none" w:sz="0" w:space="0" w:color="auto"/>
            <w:right w:val="none" w:sz="0" w:space="0" w:color="auto"/>
          </w:divBdr>
          <w:divsChild>
            <w:div w:id="1938366237">
              <w:marLeft w:val="0"/>
              <w:marRight w:val="0"/>
              <w:marTop w:val="0"/>
              <w:marBottom w:val="0"/>
              <w:divBdr>
                <w:top w:val="none" w:sz="0" w:space="0" w:color="auto"/>
                <w:left w:val="none" w:sz="0" w:space="0" w:color="auto"/>
                <w:bottom w:val="none" w:sz="0" w:space="0" w:color="auto"/>
                <w:right w:val="none" w:sz="0" w:space="0" w:color="auto"/>
              </w:divBdr>
            </w:div>
          </w:divsChild>
        </w:div>
        <w:div w:id="890461527">
          <w:marLeft w:val="0"/>
          <w:marRight w:val="0"/>
          <w:marTop w:val="0"/>
          <w:marBottom w:val="0"/>
          <w:divBdr>
            <w:top w:val="none" w:sz="0" w:space="0" w:color="auto"/>
            <w:left w:val="none" w:sz="0" w:space="0" w:color="auto"/>
            <w:bottom w:val="none" w:sz="0" w:space="0" w:color="auto"/>
            <w:right w:val="none" w:sz="0" w:space="0" w:color="auto"/>
          </w:divBdr>
          <w:divsChild>
            <w:div w:id="1949577708">
              <w:marLeft w:val="0"/>
              <w:marRight w:val="0"/>
              <w:marTop w:val="0"/>
              <w:marBottom w:val="0"/>
              <w:divBdr>
                <w:top w:val="none" w:sz="0" w:space="0" w:color="auto"/>
                <w:left w:val="none" w:sz="0" w:space="0" w:color="auto"/>
                <w:bottom w:val="none" w:sz="0" w:space="0" w:color="auto"/>
                <w:right w:val="none" w:sz="0" w:space="0" w:color="auto"/>
              </w:divBdr>
            </w:div>
          </w:divsChild>
        </w:div>
        <w:div w:id="919021963">
          <w:marLeft w:val="0"/>
          <w:marRight w:val="0"/>
          <w:marTop w:val="0"/>
          <w:marBottom w:val="0"/>
          <w:divBdr>
            <w:top w:val="none" w:sz="0" w:space="0" w:color="auto"/>
            <w:left w:val="none" w:sz="0" w:space="0" w:color="auto"/>
            <w:bottom w:val="none" w:sz="0" w:space="0" w:color="auto"/>
            <w:right w:val="none" w:sz="0" w:space="0" w:color="auto"/>
          </w:divBdr>
          <w:divsChild>
            <w:div w:id="240452483">
              <w:marLeft w:val="0"/>
              <w:marRight w:val="0"/>
              <w:marTop w:val="0"/>
              <w:marBottom w:val="0"/>
              <w:divBdr>
                <w:top w:val="none" w:sz="0" w:space="0" w:color="auto"/>
                <w:left w:val="none" w:sz="0" w:space="0" w:color="auto"/>
                <w:bottom w:val="none" w:sz="0" w:space="0" w:color="auto"/>
                <w:right w:val="none" w:sz="0" w:space="0" w:color="auto"/>
              </w:divBdr>
            </w:div>
          </w:divsChild>
        </w:div>
        <w:div w:id="926690608">
          <w:marLeft w:val="0"/>
          <w:marRight w:val="0"/>
          <w:marTop w:val="0"/>
          <w:marBottom w:val="0"/>
          <w:divBdr>
            <w:top w:val="none" w:sz="0" w:space="0" w:color="auto"/>
            <w:left w:val="none" w:sz="0" w:space="0" w:color="auto"/>
            <w:bottom w:val="none" w:sz="0" w:space="0" w:color="auto"/>
            <w:right w:val="none" w:sz="0" w:space="0" w:color="auto"/>
          </w:divBdr>
          <w:divsChild>
            <w:div w:id="2067334933">
              <w:marLeft w:val="0"/>
              <w:marRight w:val="0"/>
              <w:marTop w:val="0"/>
              <w:marBottom w:val="0"/>
              <w:divBdr>
                <w:top w:val="none" w:sz="0" w:space="0" w:color="auto"/>
                <w:left w:val="none" w:sz="0" w:space="0" w:color="auto"/>
                <w:bottom w:val="none" w:sz="0" w:space="0" w:color="auto"/>
                <w:right w:val="none" w:sz="0" w:space="0" w:color="auto"/>
              </w:divBdr>
            </w:div>
          </w:divsChild>
        </w:div>
        <w:div w:id="946546748">
          <w:marLeft w:val="0"/>
          <w:marRight w:val="0"/>
          <w:marTop w:val="0"/>
          <w:marBottom w:val="0"/>
          <w:divBdr>
            <w:top w:val="none" w:sz="0" w:space="0" w:color="auto"/>
            <w:left w:val="none" w:sz="0" w:space="0" w:color="auto"/>
            <w:bottom w:val="none" w:sz="0" w:space="0" w:color="auto"/>
            <w:right w:val="none" w:sz="0" w:space="0" w:color="auto"/>
          </w:divBdr>
          <w:divsChild>
            <w:div w:id="2017342639">
              <w:marLeft w:val="0"/>
              <w:marRight w:val="0"/>
              <w:marTop w:val="0"/>
              <w:marBottom w:val="0"/>
              <w:divBdr>
                <w:top w:val="none" w:sz="0" w:space="0" w:color="auto"/>
                <w:left w:val="none" w:sz="0" w:space="0" w:color="auto"/>
                <w:bottom w:val="none" w:sz="0" w:space="0" w:color="auto"/>
                <w:right w:val="none" w:sz="0" w:space="0" w:color="auto"/>
              </w:divBdr>
            </w:div>
          </w:divsChild>
        </w:div>
        <w:div w:id="994797072">
          <w:marLeft w:val="0"/>
          <w:marRight w:val="0"/>
          <w:marTop w:val="0"/>
          <w:marBottom w:val="0"/>
          <w:divBdr>
            <w:top w:val="none" w:sz="0" w:space="0" w:color="auto"/>
            <w:left w:val="none" w:sz="0" w:space="0" w:color="auto"/>
            <w:bottom w:val="none" w:sz="0" w:space="0" w:color="auto"/>
            <w:right w:val="none" w:sz="0" w:space="0" w:color="auto"/>
          </w:divBdr>
          <w:divsChild>
            <w:div w:id="101808838">
              <w:marLeft w:val="0"/>
              <w:marRight w:val="0"/>
              <w:marTop w:val="0"/>
              <w:marBottom w:val="0"/>
              <w:divBdr>
                <w:top w:val="none" w:sz="0" w:space="0" w:color="auto"/>
                <w:left w:val="none" w:sz="0" w:space="0" w:color="auto"/>
                <w:bottom w:val="none" w:sz="0" w:space="0" w:color="auto"/>
                <w:right w:val="none" w:sz="0" w:space="0" w:color="auto"/>
              </w:divBdr>
            </w:div>
          </w:divsChild>
        </w:div>
        <w:div w:id="1016922380">
          <w:marLeft w:val="0"/>
          <w:marRight w:val="0"/>
          <w:marTop w:val="0"/>
          <w:marBottom w:val="0"/>
          <w:divBdr>
            <w:top w:val="none" w:sz="0" w:space="0" w:color="auto"/>
            <w:left w:val="none" w:sz="0" w:space="0" w:color="auto"/>
            <w:bottom w:val="none" w:sz="0" w:space="0" w:color="auto"/>
            <w:right w:val="none" w:sz="0" w:space="0" w:color="auto"/>
          </w:divBdr>
          <w:divsChild>
            <w:div w:id="464280978">
              <w:marLeft w:val="0"/>
              <w:marRight w:val="0"/>
              <w:marTop w:val="0"/>
              <w:marBottom w:val="0"/>
              <w:divBdr>
                <w:top w:val="none" w:sz="0" w:space="0" w:color="auto"/>
                <w:left w:val="none" w:sz="0" w:space="0" w:color="auto"/>
                <w:bottom w:val="none" w:sz="0" w:space="0" w:color="auto"/>
                <w:right w:val="none" w:sz="0" w:space="0" w:color="auto"/>
              </w:divBdr>
            </w:div>
          </w:divsChild>
        </w:div>
        <w:div w:id="1017464449">
          <w:marLeft w:val="0"/>
          <w:marRight w:val="0"/>
          <w:marTop w:val="0"/>
          <w:marBottom w:val="0"/>
          <w:divBdr>
            <w:top w:val="none" w:sz="0" w:space="0" w:color="auto"/>
            <w:left w:val="none" w:sz="0" w:space="0" w:color="auto"/>
            <w:bottom w:val="none" w:sz="0" w:space="0" w:color="auto"/>
            <w:right w:val="none" w:sz="0" w:space="0" w:color="auto"/>
          </w:divBdr>
          <w:divsChild>
            <w:div w:id="1339384360">
              <w:marLeft w:val="0"/>
              <w:marRight w:val="0"/>
              <w:marTop w:val="0"/>
              <w:marBottom w:val="0"/>
              <w:divBdr>
                <w:top w:val="none" w:sz="0" w:space="0" w:color="auto"/>
                <w:left w:val="none" w:sz="0" w:space="0" w:color="auto"/>
                <w:bottom w:val="none" w:sz="0" w:space="0" w:color="auto"/>
                <w:right w:val="none" w:sz="0" w:space="0" w:color="auto"/>
              </w:divBdr>
            </w:div>
          </w:divsChild>
        </w:div>
        <w:div w:id="1018771718">
          <w:marLeft w:val="0"/>
          <w:marRight w:val="0"/>
          <w:marTop w:val="0"/>
          <w:marBottom w:val="0"/>
          <w:divBdr>
            <w:top w:val="none" w:sz="0" w:space="0" w:color="auto"/>
            <w:left w:val="none" w:sz="0" w:space="0" w:color="auto"/>
            <w:bottom w:val="none" w:sz="0" w:space="0" w:color="auto"/>
            <w:right w:val="none" w:sz="0" w:space="0" w:color="auto"/>
          </w:divBdr>
          <w:divsChild>
            <w:div w:id="212272890">
              <w:marLeft w:val="0"/>
              <w:marRight w:val="0"/>
              <w:marTop w:val="0"/>
              <w:marBottom w:val="0"/>
              <w:divBdr>
                <w:top w:val="none" w:sz="0" w:space="0" w:color="auto"/>
                <w:left w:val="none" w:sz="0" w:space="0" w:color="auto"/>
                <w:bottom w:val="none" w:sz="0" w:space="0" w:color="auto"/>
                <w:right w:val="none" w:sz="0" w:space="0" w:color="auto"/>
              </w:divBdr>
            </w:div>
          </w:divsChild>
        </w:div>
        <w:div w:id="1024137772">
          <w:marLeft w:val="0"/>
          <w:marRight w:val="0"/>
          <w:marTop w:val="0"/>
          <w:marBottom w:val="0"/>
          <w:divBdr>
            <w:top w:val="none" w:sz="0" w:space="0" w:color="auto"/>
            <w:left w:val="none" w:sz="0" w:space="0" w:color="auto"/>
            <w:bottom w:val="none" w:sz="0" w:space="0" w:color="auto"/>
            <w:right w:val="none" w:sz="0" w:space="0" w:color="auto"/>
          </w:divBdr>
          <w:divsChild>
            <w:div w:id="216480900">
              <w:marLeft w:val="0"/>
              <w:marRight w:val="0"/>
              <w:marTop w:val="0"/>
              <w:marBottom w:val="0"/>
              <w:divBdr>
                <w:top w:val="none" w:sz="0" w:space="0" w:color="auto"/>
                <w:left w:val="none" w:sz="0" w:space="0" w:color="auto"/>
                <w:bottom w:val="none" w:sz="0" w:space="0" w:color="auto"/>
                <w:right w:val="none" w:sz="0" w:space="0" w:color="auto"/>
              </w:divBdr>
            </w:div>
          </w:divsChild>
        </w:div>
        <w:div w:id="1028530099">
          <w:marLeft w:val="0"/>
          <w:marRight w:val="0"/>
          <w:marTop w:val="0"/>
          <w:marBottom w:val="0"/>
          <w:divBdr>
            <w:top w:val="none" w:sz="0" w:space="0" w:color="auto"/>
            <w:left w:val="none" w:sz="0" w:space="0" w:color="auto"/>
            <w:bottom w:val="none" w:sz="0" w:space="0" w:color="auto"/>
            <w:right w:val="none" w:sz="0" w:space="0" w:color="auto"/>
          </w:divBdr>
          <w:divsChild>
            <w:div w:id="832911602">
              <w:marLeft w:val="0"/>
              <w:marRight w:val="0"/>
              <w:marTop w:val="0"/>
              <w:marBottom w:val="0"/>
              <w:divBdr>
                <w:top w:val="none" w:sz="0" w:space="0" w:color="auto"/>
                <w:left w:val="none" w:sz="0" w:space="0" w:color="auto"/>
                <w:bottom w:val="none" w:sz="0" w:space="0" w:color="auto"/>
                <w:right w:val="none" w:sz="0" w:space="0" w:color="auto"/>
              </w:divBdr>
            </w:div>
          </w:divsChild>
        </w:div>
        <w:div w:id="1095856173">
          <w:marLeft w:val="0"/>
          <w:marRight w:val="0"/>
          <w:marTop w:val="0"/>
          <w:marBottom w:val="0"/>
          <w:divBdr>
            <w:top w:val="none" w:sz="0" w:space="0" w:color="auto"/>
            <w:left w:val="none" w:sz="0" w:space="0" w:color="auto"/>
            <w:bottom w:val="none" w:sz="0" w:space="0" w:color="auto"/>
            <w:right w:val="none" w:sz="0" w:space="0" w:color="auto"/>
          </w:divBdr>
          <w:divsChild>
            <w:div w:id="1799294912">
              <w:marLeft w:val="0"/>
              <w:marRight w:val="0"/>
              <w:marTop w:val="0"/>
              <w:marBottom w:val="0"/>
              <w:divBdr>
                <w:top w:val="none" w:sz="0" w:space="0" w:color="auto"/>
                <w:left w:val="none" w:sz="0" w:space="0" w:color="auto"/>
                <w:bottom w:val="none" w:sz="0" w:space="0" w:color="auto"/>
                <w:right w:val="none" w:sz="0" w:space="0" w:color="auto"/>
              </w:divBdr>
            </w:div>
          </w:divsChild>
        </w:div>
        <w:div w:id="1123302314">
          <w:marLeft w:val="0"/>
          <w:marRight w:val="0"/>
          <w:marTop w:val="0"/>
          <w:marBottom w:val="0"/>
          <w:divBdr>
            <w:top w:val="none" w:sz="0" w:space="0" w:color="auto"/>
            <w:left w:val="none" w:sz="0" w:space="0" w:color="auto"/>
            <w:bottom w:val="none" w:sz="0" w:space="0" w:color="auto"/>
            <w:right w:val="none" w:sz="0" w:space="0" w:color="auto"/>
          </w:divBdr>
          <w:divsChild>
            <w:div w:id="103965001">
              <w:marLeft w:val="0"/>
              <w:marRight w:val="0"/>
              <w:marTop w:val="0"/>
              <w:marBottom w:val="0"/>
              <w:divBdr>
                <w:top w:val="none" w:sz="0" w:space="0" w:color="auto"/>
                <w:left w:val="none" w:sz="0" w:space="0" w:color="auto"/>
                <w:bottom w:val="none" w:sz="0" w:space="0" w:color="auto"/>
                <w:right w:val="none" w:sz="0" w:space="0" w:color="auto"/>
              </w:divBdr>
            </w:div>
          </w:divsChild>
        </w:div>
        <w:div w:id="1142622988">
          <w:marLeft w:val="0"/>
          <w:marRight w:val="0"/>
          <w:marTop w:val="0"/>
          <w:marBottom w:val="0"/>
          <w:divBdr>
            <w:top w:val="none" w:sz="0" w:space="0" w:color="auto"/>
            <w:left w:val="none" w:sz="0" w:space="0" w:color="auto"/>
            <w:bottom w:val="none" w:sz="0" w:space="0" w:color="auto"/>
            <w:right w:val="none" w:sz="0" w:space="0" w:color="auto"/>
          </w:divBdr>
          <w:divsChild>
            <w:div w:id="84499781">
              <w:marLeft w:val="0"/>
              <w:marRight w:val="0"/>
              <w:marTop w:val="0"/>
              <w:marBottom w:val="0"/>
              <w:divBdr>
                <w:top w:val="none" w:sz="0" w:space="0" w:color="auto"/>
                <w:left w:val="none" w:sz="0" w:space="0" w:color="auto"/>
                <w:bottom w:val="none" w:sz="0" w:space="0" w:color="auto"/>
                <w:right w:val="none" w:sz="0" w:space="0" w:color="auto"/>
              </w:divBdr>
            </w:div>
          </w:divsChild>
        </w:div>
        <w:div w:id="1144390829">
          <w:marLeft w:val="0"/>
          <w:marRight w:val="0"/>
          <w:marTop w:val="0"/>
          <w:marBottom w:val="0"/>
          <w:divBdr>
            <w:top w:val="none" w:sz="0" w:space="0" w:color="auto"/>
            <w:left w:val="none" w:sz="0" w:space="0" w:color="auto"/>
            <w:bottom w:val="none" w:sz="0" w:space="0" w:color="auto"/>
            <w:right w:val="none" w:sz="0" w:space="0" w:color="auto"/>
          </w:divBdr>
          <w:divsChild>
            <w:div w:id="2137872916">
              <w:marLeft w:val="0"/>
              <w:marRight w:val="0"/>
              <w:marTop w:val="0"/>
              <w:marBottom w:val="0"/>
              <w:divBdr>
                <w:top w:val="none" w:sz="0" w:space="0" w:color="auto"/>
                <w:left w:val="none" w:sz="0" w:space="0" w:color="auto"/>
                <w:bottom w:val="none" w:sz="0" w:space="0" w:color="auto"/>
                <w:right w:val="none" w:sz="0" w:space="0" w:color="auto"/>
              </w:divBdr>
            </w:div>
          </w:divsChild>
        </w:div>
        <w:div w:id="1167206665">
          <w:marLeft w:val="0"/>
          <w:marRight w:val="0"/>
          <w:marTop w:val="0"/>
          <w:marBottom w:val="0"/>
          <w:divBdr>
            <w:top w:val="none" w:sz="0" w:space="0" w:color="auto"/>
            <w:left w:val="none" w:sz="0" w:space="0" w:color="auto"/>
            <w:bottom w:val="none" w:sz="0" w:space="0" w:color="auto"/>
            <w:right w:val="none" w:sz="0" w:space="0" w:color="auto"/>
          </w:divBdr>
          <w:divsChild>
            <w:div w:id="69734656">
              <w:marLeft w:val="0"/>
              <w:marRight w:val="0"/>
              <w:marTop w:val="0"/>
              <w:marBottom w:val="0"/>
              <w:divBdr>
                <w:top w:val="none" w:sz="0" w:space="0" w:color="auto"/>
                <w:left w:val="none" w:sz="0" w:space="0" w:color="auto"/>
                <w:bottom w:val="none" w:sz="0" w:space="0" w:color="auto"/>
                <w:right w:val="none" w:sz="0" w:space="0" w:color="auto"/>
              </w:divBdr>
            </w:div>
          </w:divsChild>
        </w:div>
        <w:div w:id="1187057780">
          <w:marLeft w:val="0"/>
          <w:marRight w:val="0"/>
          <w:marTop w:val="0"/>
          <w:marBottom w:val="0"/>
          <w:divBdr>
            <w:top w:val="none" w:sz="0" w:space="0" w:color="auto"/>
            <w:left w:val="none" w:sz="0" w:space="0" w:color="auto"/>
            <w:bottom w:val="none" w:sz="0" w:space="0" w:color="auto"/>
            <w:right w:val="none" w:sz="0" w:space="0" w:color="auto"/>
          </w:divBdr>
          <w:divsChild>
            <w:div w:id="1853687143">
              <w:marLeft w:val="0"/>
              <w:marRight w:val="0"/>
              <w:marTop w:val="0"/>
              <w:marBottom w:val="0"/>
              <w:divBdr>
                <w:top w:val="none" w:sz="0" w:space="0" w:color="auto"/>
                <w:left w:val="none" w:sz="0" w:space="0" w:color="auto"/>
                <w:bottom w:val="none" w:sz="0" w:space="0" w:color="auto"/>
                <w:right w:val="none" w:sz="0" w:space="0" w:color="auto"/>
              </w:divBdr>
            </w:div>
          </w:divsChild>
        </w:div>
        <w:div w:id="1187252272">
          <w:marLeft w:val="0"/>
          <w:marRight w:val="0"/>
          <w:marTop w:val="0"/>
          <w:marBottom w:val="0"/>
          <w:divBdr>
            <w:top w:val="none" w:sz="0" w:space="0" w:color="auto"/>
            <w:left w:val="none" w:sz="0" w:space="0" w:color="auto"/>
            <w:bottom w:val="none" w:sz="0" w:space="0" w:color="auto"/>
            <w:right w:val="none" w:sz="0" w:space="0" w:color="auto"/>
          </w:divBdr>
          <w:divsChild>
            <w:div w:id="669069087">
              <w:marLeft w:val="0"/>
              <w:marRight w:val="0"/>
              <w:marTop w:val="0"/>
              <w:marBottom w:val="0"/>
              <w:divBdr>
                <w:top w:val="none" w:sz="0" w:space="0" w:color="auto"/>
                <w:left w:val="none" w:sz="0" w:space="0" w:color="auto"/>
                <w:bottom w:val="none" w:sz="0" w:space="0" w:color="auto"/>
                <w:right w:val="none" w:sz="0" w:space="0" w:color="auto"/>
              </w:divBdr>
            </w:div>
          </w:divsChild>
        </w:div>
        <w:div w:id="1202204379">
          <w:marLeft w:val="0"/>
          <w:marRight w:val="0"/>
          <w:marTop w:val="0"/>
          <w:marBottom w:val="0"/>
          <w:divBdr>
            <w:top w:val="none" w:sz="0" w:space="0" w:color="auto"/>
            <w:left w:val="none" w:sz="0" w:space="0" w:color="auto"/>
            <w:bottom w:val="none" w:sz="0" w:space="0" w:color="auto"/>
            <w:right w:val="none" w:sz="0" w:space="0" w:color="auto"/>
          </w:divBdr>
          <w:divsChild>
            <w:div w:id="803079230">
              <w:marLeft w:val="0"/>
              <w:marRight w:val="0"/>
              <w:marTop w:val="0"/>
              <w:marBottom w:val="0"/>
              <w:divBdr>
                <w:top w:val="none" w:sz="0" w:space="0" w:color="auto"/>
                <w:left w:val="none" w:sz="0" w:space="0" w:color="auto"/>
                <w:bottom w:val="none" w:sz="0" w:space="0" w:color="auto"/>
                <w:right w:val="none" w:sz="0" w:space="0" w:color="auto"/>
              </w:divBdr>
            </w:div>
          </w:divsChild>
        </w:div>
        <w:div w:id="1209993700">
          <w:marLeft w:val="0"/>
          <w:marRight w:val="0"/>
          <w:marTop w:val="0"/>
          <w:marBottom w:val="0"/>
          <w:divBdr>
            <w:top w:val="none" w:sz="0" w:space="0" w:color="auto"/>
            <w:left w:val="none" w:sz="0" w:space="0" w:color="auto"/>
            <w:bottom w:val="none" w:sz="0" w:space="0" w:color="auto"/>
            <w:right w:val="none" w:sz="0" w:space="0" w:color="auto"/>
          </w:divBdr>
          <w:divsChild>
            <w:div w:id="712270350">
              <w:marLeft w:val="0"/>
              <w:marRight w:val="0"/>
              <w:marTop w:val="0"/>
              <w:marBottom w:val="0"/>
              <w:divBdr>
                <w:top w:val="none" w:sz="0" w:space="0" w:color="auto"/>
                <w:left w:val="none" w:sz="0" w:space="0" w:color="auto"/>
                <w:bottom w:val="none" w:sz="0" w:space="0" w:color="auto"/>
                <w:right w:val="none" w:sz="0" w:space="0" w:color="auto"/>
              </w:divBdr>
            </w:div>
          </w:divsChild>
        </w:div>
        <w:div w:id="1262646332">
          <w:marLeft w:val="0"/>
          <w:marRight w:val="0"/>
          <w:marTop w:val="0"/>
          <w:marBottom w:val="0"/>
          <w:divBdr>
            <w:top w:val="none" w:sz="0" w:space="0" w:color="auto"/>
            <w:left w:val="none" w:sz="0" w:space="0" w:color="auto"/>
            <w:bottom w:val="none" w:sz="0" w:space="0" w:color="auto"/>
            <w:right w:val="none" w:sz="0" w:space="0" w:color="auto"/>
          </w:divBdr>
          <w:divsChild>
            <w:div w:id="847210415">
              <w:marLeft w:val="0"/>
              <w:marRight w:val="0"/>
              <w:marTop w:val="0"/>
              <w:marBottom w:val="0"/>
              <w:divBdr>
                <w:top w:val="none" w:sz="0" w:space="0" w:color="auto"/>
                <w:left w:val="none" w:sz="0" w:space="0" w:color="auto"/>
                <w:bottom w:val="none" w:sz="0" w:space="0" w:color="auto"/>
                <w:right w:val="none" w:sz="0" w:space="0" w:color="auto"/>
              </w:divBdr>
            </w:div>
          </w:divsChild>
        </w:div>
        <w:div w:id="1281690151">
          <w:marLeft w:val="0"/>
          <w:marRight w:val="0"/>
          <w:marTop w:val="0"/>
          <w:marBottom w:val="0"/>
          <w:divBdr>
            <w:top w:val="none" w:sz="0" w:space="0" w:color="auto"/>
            <w:left w:val="none" w:sz="0" w:space="0" w:color="auto"/>
            <w:bottom w:val="none" w:sz="0" w:space="0" w:color="auto"/>
            <w:right w:val="none" w:sz="0" w:space="0" w:color="auto"/>
          </w:divBdr>
          <w:divsChild>
            <w:div w:id="682786099">
              <w:marLeft w:val="0"/>
              <w:marRight w:val="0"/>
              <w:marTop w:val="0"/>
              <w:marBottom w:val="0"/>
              <w:divBdr>
                <w:top w:val="none" w:sz="0" w:space="0" w:color="auto"/>
                <w:left w:val="none" w:sz="0" w:space="0" w:color="auto"/>
                <w:bottom w:val="none" w:sz="0" w:space="0" w:color="auto"/>
                <w:right w:val="none" w:sz="0" w:space="0" w:color="auto"/>
              </w:divBdr>
            </w:div>
          </w:divsChild>
        </w:div>
        <w:div w:id="1344480146">
          <w:marLeft w:val="0"/>
          <w:marRight w:val="0"/>
          <w:marTop w:val="0"/>
          <w:marBottom w:val="0"/>
          <w:divBdr>
            <w:top w:val="none" w:sz="0" w:space="0" w:color="auto"/>
            <w:left w:val="none" w:sz="0" w:space="0" w:color="auto"/>
            <w:bottom w:val="none" w:sz="0" w:space="0" w:color="auto"/>
            <w:right w:val="none" w:sz="0" w:space="0" w:color="auto"/>
          </w:divBdr>
          <w:divsChild>
            <w:div w:id="1812399700">
              <w:marLeft w:val="0"/>
              <w:marRight w:val="0"/>
              <w:marTop w:val="0"/>
              <w:marBottom w:val="0"/>
              <w:divBdr>
                <w:top w:val="none" w:sz="0" w:space="0" w:color="auto"/>
                <w:left w:val="none" w:sz="0" w:space="0" w:color="auto"/>
                <w:bottom w:val="none" w:sz="0" w:space="0" w:color="auto"/>
                <w:right w:val="none" w:sz="0" w:space="0" w:color="auto"/>
              </w:divBdr>
            </w:div>
          </w:divsChild>
        </w:div>
        <w:div w:id="1408457481">
          <w:marLeft w:val="0"/>
          <w:marRight w:val="0"/>
          <w:marTop w:val="0"/>
          <w:marBottom w:val="0"/>
          <w:divBdr>
            <w:top w:val="none" w:sz="0" w:space="0" w:color="auto"/>
            <w:left w:val="none" w:sz="0" w:space="0" w:color="auto"/>
            <w:bottom w:val="none" w:sz="0" w:space="0" w:color="auto"/>
            <w:right w:val="none" w:sz="0" w:space="0" w:color="auto"/>
          </w:divBdr>
          <w:divsChild>
            <w:div w:id="2025552216">
              <w:marLeft w:val="0"/>
              <w:marRight w:val="0"/>
              <w:marTop w:val="0"/>
              <w:marBottom w:val="0"/>
              <w:divBdr>
                <w:top w:val="none" w:sz="0" w:space="0" w:color="auto"/>
                <w:left w:val="none" w:sz="0" w:space="0" w:color="auto"/>
                <w:bottom w:val="none" w:sz="0" w:space="0" w:color="auto"/>
                <w:right w:val="none" w:sz="0" w:space="0" w:color="auto"/>
              </w:divBdr>
            </w:div>
          </w:divsChild>
        </w:div>
        <w:div w:id="1423454526">
          <w:marLeft w:val="0"/>
          <w:marRight w:val="0"/>
          <w:marTop w:val="0"/>
          <w:marBottom w:val="0"/>
          <w:divBdr>
            <w:top w:val="none" w:sz="0" w:space="0" w:color="auto"/>
            <w:left w:val="none" w:sz="0" w:space="0" w:color="auto"/>
            <w:bottom w:val="none" w:sz="0" w:space="0" w:color="auto"/>
            <w:right w:val="none" w:sz="0" w:space="0" w:color="auto"/>
          </w:divBdr>
          <w:divsChild>
            <w:div w:id="1485049075">
              <w:marLeft w:val="0"/>
              <w:marRight w:val="0"/>
              <w:marTop w:val="0"/>
              <w:marBottom w:val="0"/>
              <w:divBdr>
                <w:top w:val="none" w:sz="0" w:space="0" w:color="auto"/>
                <w:left w:val="none" w:sz="0" w:space="0" w:color="auto"/>
                <w:bottom w:val="none" w:sz="0" w:space="0" w:color="auto"/>
                <w:right w:val="none" w:sz="0" w:space="0" w:color="auto"/>
              </w:divBdr>
            </w:div>
          </w:divsChild>
        </w:div>
        <w:div w:id="1424649511">
          <w:marLeft w:val="0"/>
          <w:marRight w:val="0"/>
          <w:marTop w:val="0"/>
          <w:marBottom w:val="0"/>
          <w:divBdr>
            <w:top w:val="none" w:sz="0" w:space="0" w:color="auto"/>
            <w:left w:val="none" w:sz="0" w:space="0" w:color="auto"/>
            <w:bottom w:val="none" w:sz="0" w:space="0" w:color="auto"/>
            <w:right w:val="none" w:sz="0" w:space="0" w:color="auto"/>
          </w:divBdr>
          <w:divsChild>
            <w:div w:id="707146534">
              <w:marLeft w:val="0"/>
              <w:marRight w:val="0"/>
              <w:marTop w:val="0"/>
              <w:marBottom w:val="0"/>
              <w:divBdr>
                <w:top w:val="none" w:sz="0" w:space="0" w:color="auto"/>
                <w:left w:val="none" w:sz="0" w:space="0" w:color="auto"/>
                <w:bottom w:val="none" w:sz="0" w:space="0" w:color="auto"/>
                <w:right w:val="none" w:sz="0" w:space="0" w:color="auto"/>
              </w:divBdr>
            </w:div>
          </w:divsChild>
        </w:div>
        <w:div w:id="1458791751">
          <w:marLeft w:val="0"/>
          <w:marRight w:val="0"/>
          <w:marTop w:val="0"/>
          <w:marBottom w:val="0"/>
          <w:divBdr>
            <w:top w:val="none" w:sz="0" w:space="0" w:color="auto"/>
            <w:left w:val="none" w:sz="0" w:space="0" w:color="auto"/>
            <w:bottom w:val="none" w:sz="0" w:space="0" w:color="auto"/>
            <w:right w:val="none" w:sz="0" w:space="0" w:color="auto"/>
          </w:divBdr>
          <w:divsChild>
            <w:div w:id="1278442237">
              <w:marLeft w:val="0"/>
              <w:marRight w:val="0"/>
              <w:marTop w:val="0"/>
              <w:marBottom w:val="0"/>
              <w:divBdr>
                <w:top w:val="none" w:sz="0" w:space="0" w:color="auto"/>
                <w:left w:val="none" w:sz="0" w:space="0" w:color="auto"/>
                <w:bottom w:val="none" w:sz="0" w:space="0" w:color="auto"/>
                <w:right w:val="none" w:sz="0" w:space="0" w:color="auto"/>
              </w:divBdr>
            </w:div>
          </w:divsChild>
        </w:div>
        <w:div w:id="1458832554">
          <w:marLeft w:val="0"/>
          <w:marRight w:val="0"/>
          <w:marTop w:val="0"/>
          <w:marBottom w:val="0"/>
          <w:divBdr>
            <w:top w:val="none" w:sz="0" w:space="0" w:color="auto"/>
            <w:left w:val="none" w:sz="0" w:space="0" w:color="auto"/>
            <w:bottom w:val="none" w:sz="0" w:space="0" w:color="auto"/>
            <w:right w:val="none" w:sz="0" w:space="0" w:color="auto"/>
          </w:divBdr>
          <w:divsChild>
            <w:div w:id="1190951720">
              <w:marLeft w:val="0"/>
              <w:marRight w:val="0"/>
              <w:marTop w:val="0"/>
              <w:marBottom w:val="0"/>
              <w:divBdr>
                <w:top w:val="none" w:sz="0" w:space="0" w:color="auto"/>
                <w:left w:val="none" w:sz="0" w:space="0" w:color="auto"/>
                <w:bottom w:val="none" w:sz="0" w:space="0" w:color="auto"/>
                <w:right w:val="none" w:sz="0" w:space="0" w:color="auto"/>
              </w:divBdr>
            </w:div>
          </w:divsChild>
        </w:div>
        <w:div w:id="1458992260">
          <w:marLeft w:val="0"/>
          <w:marRight w:val="0"/>
          <w:marTop w:val="0"/>
          <w:marBottom w:val="0"/>
          <w:divBdr>
            <w:top w:val="none" w:sz="0" w:space="0" w:color="auto"/>
            <w:left w:val="none" w:sz="0" w:space="0" w:color="auto"/>
            <w:bottom w:val="none" w:sz="0" w:space="0" w:color="auto"/>
            <w:right w:val="none" w:sz="0" w:space="0" w:color="auto"/>
          </w:divBdr>
          <w:divsChild>
            <w:div w:id="1998729999">
              <w:marLeft w:val="0"/>
              <w:marRight w:val="0"/>
              <w:marTop w:val="0"/>
              <w:marBottom w:val="0"/>
              <w:divBdr>
                <w:top w:val="none" w:sz="0" w:space="0" w:color="auto"/>
                <w:left w:val="none" w:sz="0" w:space="0" w:color="auto"/>
                <w:bottom w:val="none" w:sz="0" w:space="0" w:color="auto"/>
                <w:right w:val="none" w:sz="0" w:space="0" w:color="auto"/>
              </w:divBdr>
            </w:div>
          </w:divsChild>
        </w:div>
        <w:div w:id="1472821969">
          <w:marLeft w:val="0"/>
          <w:marRight w:val="0"/>
          <w:marTop w:val="0"/>
          <w:marBottom w:val="0"/>
          <w:divBdr>
            <w:top w:val="none" w:sz="0" w:space="0" w:color="auto"/>
            <w:left w:val="none" w:sz="0" w:space="0" w:color="auto"/>
            <w:bottom w:val="none" w:sz="0" w:space="0" w:color="auto"/>
            <w:right w:val="none" w:sz="0" w:space="0" w:color="auto"/>
          </w:divBdr>
          <w:divsChild>
            <w:div w:id="835456440">
              <w:marLeft w:val="0"/>
              <w:marRight w:val="0"/>
              <w:marTop w:val="0"/>
              <w:marBottom w:val="0"/>
              <w:divBdr>
                <w:top w:val="none" w:sz="0" w:space="0" w:color="auto"/>
                <w:left w:val="none" w:sz="0" w:space="0" w:color="auto"/>
                <w:bottom w:val="none" w:sz="0" w:space="0" w:color="auto"/>
                <w:right w:val="none" w:sz="0" w:space="0" w:color="auto"/>
              </w:divBdr>
            </w:div>
          </w:divsChild>
        </w:div>
        <w:div w:id="1473911284">
          <w:marLeft w:val="0"/>
          <w:marRight w:val="0"/>
          <w:marTop w:val="0"/>
          <w:marBottom w:val="0"/>
          <w:divBdr>
            <w:top w:val="none" w:sz="0" w:space="0" w:color="auto"/>
            <w:left w:val="none" w:sz="0" w:space="0" w:color="auto"/>
            <w:bottom w:val="none" w:sz="0" w:space="0" w:color="auto"/>
            <w:right w:val="none" w:sz="0" w:space="0" w:color="auto"/>
          </w:divBdr>
          <w:divsChild>
            <w:div w:id="820855108">
              <w:marLeft w:val="0"/>
              <w:marRight w:val="0"/>
              <w:marTop w:val="0"/>
              <w:marBottom w:val="0"/>
              <w:divBdr>
                <w:top w:val="none" w:sz="0" w:space="0" w:color="auto"/>
                <w:left w:val="none" w:sz="0" w:space="0" w:color="auto"/>
                <w:bottom w:val="none" w:sz="0" w:space="0" w:color="auto"/>
                <w:right w:val="none" w:sz="0" w:space="0" w:color="auto"/>
              </w:divBdr>
            </w:div>
          </w:divsChild>
        </w:div>
        <w:div w:id="1477189109">
          <w:marLeft w:val="0"/>
          <w:marRight w:val="0"/>
          <w:marTop w:val="0"/>
          <w:marBottom w:val="0"/>
          <w:divBdr>
            <w:top w:val="none" w:sz="0" w:space="0" w:color="auto"/>
            <w:left w:val="none" w:sz="0" w:space="0" w:color="auto"/>
            <w:bottom w:val="none" w:sz="0" w:space="0" w:color="auto"/>
            <w:right w:val="none" w:sz="0" w:space="0" w:color="auto"/>
          </w:divBdr>
          <w:divsChild>
            <w:div w:id="45186676">
              <w:marLeft w:val="0"/>
              <w:marRight w:val="0"/>
              <w:marTop w:val="0"/>
              <w:marBottom w:val="0"/>
              <w:divBdr>
                <w:top w:val="none" w:sz="0" w:space="0" w:color="auto"/>
                <w:left w:val="none" w:sz="0" w:space="0" w:color="auto"/>
                <w:bottom w:val="none" w:sz="0" w:space="0" w:color="auto"/>
                <w:right w:val="none" w:sz="0" w:space="0" w:color="auto"/>
              </w:divBdr>
            </w:div>
          </w:divsChild>
        </w:div>
        <w:div w:id="1477337507">
          <w:marLeft w:val="0"/>
          <w:marRight w:val="0"/>
          <w:marTop w:val="0"/>
          <w:marBottom w:val="0"/>
          <w:divBdr>
            <w:top w:val="none" w:sz="0" w:space="0" w:color="auto"/>
            <w:left w:val="none" w:sz="0" w:space="0" w:color="auto"/>
            <w:bottom w:val="none" w:sz="0" w:space="0" w:color="auto"/>
            <w:right w:val="none" w:sz="0" w:space="0" w:color="auto"/>
          </w:divBdr>
          <w:divsChild>
            <w:div w:id="344550873">
              <w:marLeft w:val="0"/>
              <w:marRight w:val="0"/>
              <w:marTop w:val="0"/>
              <w:marBottom w:val="0"/>
              <w:divBdr>
                <w:top w:val="none" w:sz="0" w:space="0" w:color="auto"/>
                <w:left w:val="none" w:sz="0" w:space="0" w:color="auto"/>
                <w:bottom w:val="none" w:sz="0" w:space="0" w:color="auto"/>
                <w:right w:val="none" w:sz="0" w:space="0" w:color="auto"/>
              </w:divBdr>
            </w:div>
          </w:divsChild>
        </w:div>
        <w:div w:id="1503546506">
          <w:marLeft w:val="0"/>
          <w:marRight w:val="0"/>
          <w:marTop w:val="0"/>
          <w:marBottom w:val="0"/>
          <w:divBdr>
            <w:top w:val="none" w:sz="0" w:space="0" w:color="auto"/>
            <w:left w:val="none" w:sz="0" w:space="0" w:color="auto"/>
            <w:bottom w:val="none" w:sz="0" w:space="0" w:color="auto"/>
            <w:right w:val="none" w:sz="0" w:space="0" w:color="auto"/>
          </w:divBdr>
          <w:divsChild>
            <w:div w:id="1651402741">
              <w:marLeft w:val="0"/>
              <w:marRight w:val="0"/>
              <w:marTop w:val="0"/>
              <w:marBottom w:val="0"/>
              <w:divBdr>
                <w:top w:val="none" w:sz="0" w:space="0" w:color="auto"/>
                <w:left w:val="none" w:sz="0" w:space="0" w:color="auto"/>
                <w:bottom w:val="none" w:sz="0" w:space="0" w:color="auto"/>
                <w:right w:val="none" w:sz="0" w:space="0" w:color="auto"/>
              </w:divBdr>
            </w:div>
          </w:divsChild>
        </w:div>
        <w:div w:id="1527715706">
          <w:marLeft w:val="0"/>
          <w:marRight w:val="0"/>
          <w:marTop w:val="0"/>
          <w:marBottom w:val="0"/>
          <w:divBdr>
            <w:top w:val="none" w:sz="0" w:space="0" w:color="auto"/>
            <w:left w:val="none" w:sz="0" w:space="0" w:color="auto"/>
            <w:bottom w:val="none" w:sz="0" w:space="0" w:color="auto"/>
            <w:right w:val="none" w:sz="0" w:space="0" w:color="auto"/>
          </w:divBdr>
          <w:divsChild>
            <w:div w:id="1730687782">
              <w:marLeft w:val="0"/>
              <w:marRight w:val="0"/>
              <w:marTop w:val="0"/>
              <w:marBottom w:val="0"/>
              <w:divBdr>
                <w:top w:val="none" w:sz="0" w:space="0" w:color="auto"/>
                <w:left w:val="none" w:sz="0" w:space="0" w:color="auto"/>
                <w:bottom w:val="none" w:sz="0" w:space="0" w:color="auto"/>
                <w:right w:val="none" w:sz="0" w:space="0" w:color="auto"/>
              </w:divBdr>
            </w:div>
          </w:divsChild>
        </w:div>
        <w:div w:id="1550730160">
          <w:marLeft w:val="0"/>
          <w:marRight w:val="0"/>
          <w:marTop w:val="0"/>
          <w:marBottom w:val="0"/>
          <w:divBdr>
            <w:top w:val="none" w:sz="0" w:space="0" w:color="auto"/>
            <w:left w:val="none" w:sz="0" w:space="0" w:color="auto"/>
            <w:bottom w:val="none" w:sz="0" w:space="0" w:color="auto"/>
            <w:right w:val="none" w:sz="0" w:space="0" w:color="auto"/>
          </w:divBdr>
          <w:divsChild>
            <w:div w:id="1949464884">
              <w:marLeft w:val="0"/>
              <w:marRight w:val="0"/>
              <w:marTop w:val="0"/>
              <w:marBottom w:val="0"/>
              <w:divBdr>
                <w:top w:val="none" w:sz="0" w:space="0" w:color="auto"/>
                <w:left w:val="none" w:sz="0" w:space="0" w:color="auto"/>
                <w:bottom w:val="none" w:sz="0" w:space="0" w:color="auto"/>
                <w:right w:val="none" w:sz="0" w:space="0" w:color="auto"/>
              </w:divBdr>
            </w:div>
          </w:divsChild>
        </w:div>
        <w:div w:id="1558128808">
          <w:marLeft w:val="0"/>
          <w:marRight w:val="0"/>
          <w:marTop w:val="0"/>
          <w:marBottom w:val="0"/>
          <w:divBdr>
            <w:top w:val="none" w:sz="0" w:space="0" w:color="auto"/>
            <w:left w:val="none" w:sz="0" w:space="0" w:color="auto"/>
            <w:bottom w:val="none" w:sz="0" w:space="0" w:color="auto"/>
            <w:right w:val="none" w:sz="0" w:space="0" w:color="auto"/>
          </w:divBdr>
          <w:divsChild>
            <w:div w:id="1749040178">
              <w:marLeft w:val="0"/>
              <w:marRight w:val="0"/>
              <w:marTop w:val="0"/>
              <w:marBottom w:val="0"/>
              <w:divBdr>
                <w:top w:val="none" w:sz="0" w:space="0" w:color="auto"/>
                <w:left w:val="none" w:sz="0" w:space="0" w:color="auto"/>
                <w:bottom w:val="none" w:sz="0" w:space="0" w:color="auto"/>
                <w:right w:val="none" w:sz="0" w:space="0" w:color="auto"/>
              </w:divBdr>
            </w:div>
          </w:divsChild>
        </w:div>
        <w:div w:id="1565021171">
          <w:marLeft w:val="0"/>
          <w:marRight w:val="0"/>
          <w:marTop w:val="0"/>
          <w:marBottom w:val="0"/>
          <w:divBdr>
            <w:top w:val="none" w:sz="0" w:space="0" w:color="auto"/>
            <w:left w:val="none" w:sz="0" w:space="0" w:color="auto"/>
            <w:bottom w:val="none" w:sz="0" w:space="0" w:color="auto"/>
            <w:right w:val="none" w:sz="0" w:space="0" w:color="auto"/>
          </w:divBdr>
          <w:divsChild>
            <w:div w:id="1116674793">
              <w:marLeft w:val="0"/>
              <w:marRight w:val="0"/>
              <w:marTop w:val="0"/>
              <w:marBottom w:val="0"/>
              <w:divBdr>
                <w:top w:val="none" w:sz="0" w:space="0" w:color="auto"/>
                <w:left w:val="none" w:sz="0" w:space="0" w:color="auto"/>
                <w:bottom w:val="none" w:sz="0" w:space="0" w:color="auto"/>
                <w:right w:val="none" w:sz="0" w:space="0" w:color="auto"/>
              </w:divBdr>
            </w:div>
          </w:divsChild>
        </w:div>
        <w:div w:id="1568033428">
          <w:marLeft w:val="0"/>
          <w:marRight w:val="0"/>
          <w:marTop w:val="0"/>
          <w:marBottom w:val="0"/>
          <w:divBdr>
            <w:top w:val="none" w:sz="0" w:space="0" w:color="auto"/>
            <w:left w:val="none" w:sz="0" w:space="0" w:color="auto"/>
            <w:bottom w:val="none" w:sz="0" w:space="0" w:color="auto"/>
            <w:right w:val="none" w:sz="0" w:space="0" w:color="auto"/>
          </w:divBdr>
          <w:divsChild>
            <w:div w:id="811026146">
              <w:marLeft w:val="0"/>
              <w:marRight w:val="0"/>
              <w:marTop w:val="0"/>
              <w:marBottom w:val="0"/>
              <w:divBdr>
                <w:top w:val="none" w:sz="0" w:space="0" w:color="auto"/>
                <w:left w:val="none" w:sz="0" w:space="0" w:color="auto"/>
                <w:bottom w:val="none" w:sz="0" w:space="0" w:color="auto"/>
                <w:right w:val="none" w:sz="0" w:space="0" w:color="auto"/>
              </w:divBdr>
            </w:div>
          </w:divsChild>
        </w:div>
        <w:div w:id="1592397242">
          <w:marLeft w:val="0"/>
          <w:marRight w:val="0"/>
          <w:marTop w:val="0"/>
          <w:marBottom w:val="0"/>
          <w:divBdr>
            <w:top w:val="none" w:sz="0" w:space="0" w:color="auto"/>
            <w:left w:val="none" w:sz="0" w:space="0" w:color="auto"/>
            <w:bottom w:val="none" w:sz="0" w:space="0" w:color="auto"/>
            <w:right w:val="none" w:sz="0" w:space="0" w:color="auto"/>
          </w:divBdr>
          <w:divsChild>
            <w:div w:id="765610946">
              <w:marLeft w:val="0"/>
              <w:marRight w:val="0"/>
              <w:marTop w:val="0"/>
              <w:marBottom w:val="0"/>
              <w:divBdr>
                <w:top w:val="none" w:sz="0" w:space="0" w:color="auto"/>
                <w:left w:val="none" w:sz="0" w:space="0" w:color="auto"/>
                <w:bottom w:val="none" w:sz="0" w:space="0" w:color="auto"/>
                <w:right w:val="none" w:sz="0" w:space="0" w:color="auto"/>
              </w:divBdr>
            </w:div>
          </w:divsChild>
        </w:div>
        <w:div w:id="1598253811">
          <w:marLeft w:val="0"/>
          <w:marRight w:val="0"/>
          <w:marTop w:val="0"/>
          <w:marBottom w:val="0"/>
          <w:divBdr>
            <w:top w:val="none" w:sz="0" w:space="0" w:color="auto"/>
            <w:left w:val="none" w:sz="0" w:space="0" w:color="auto"/>
            <w:bottom w:val="none" w:sz="0" w:space="0" w:color="auto"/>
            <w:right w:val="none" w:sz="0" w:space="0" w:color="auto"/>
          </w:divBdr>
          <w:divsChild>
            <w:div w:id="391196391">
              <w:marLeft w:val="0"/>
              <w:marRight w:val="0"/>
              <w:marTop w:val="0"/>
              <w:marBottom w:val="0"/>
              <w:divBdr>
                <w:top w:val="none" w:sz="0" w:space="0" w:color="auto"/>
                <w:left w:val="none" w:sz="0" w:space="0" w:color="auto"/>
                <w:bottom w:val="none" w:sz="0" w:space="0" w:color="auto"/>
                <w:right w:val="none" w:sz="0" w:space="0" w:color="auto"/>
              </w:divBdr>
            </w:div>
          </w:divsChild>
        </w:div>
        <w:div w:id="1600797315">
          <w:marLeft w:val="0"/>
          <w:marRight w:val="0"/>
          <w:marTop w:val="0"/>
          <w:marBottom w:val="0"/>
          <w:divBdr>
            <w:top w:val="none" w:sz="0" w:space="0" w:color="auto"/>
            <w:left w:val="none" w:sz="0" w:space="0" w:color="auto"/>
            <w:bottom w:val="none" w:sz="0" w:space="0" w:color="auto"/>
            <w:right w:val="none" w:sz="0" w:space="0" w:color="auto"/>
          </w:divBdr>
          <w:divsChild>
            <w:div w:id="613513290">
              <w:marLeft w:val="0"/>
              <w:marRight w:val="0"/>
              <w:marTop w:val="0"/>
              <w:marBottom w:val="0"/>
              <w:divBdr>
                <w:top w:val="none" w:sz="0" w:space="0" w:color="auto"/>
                <w:left w:val="none" w:sz="0" w:space="0" w:color="auto"/>
                <w:bottom w:val="none" w:sz="0" w:space="0" w:color="auto"/>
                <w:right w:val="none" w:sz="0" w:space="0" w:color="auto"/>
              </w:divBdr>
            </w:div>
          </w:divsChild>
        </w:div>
        <w:div w:id="1626035802">
          <w:marLeft w:val="0"/>
          <w:marRight w:val="0"/>
          <w:marTop w:val="0"/>
          <w:marBottom w:val="0"/>
          <w:divBdr>
            <w:top w:val="none" w:sz="0" w:space="0" w:color="auto"/>
            <w:left w:val="none" w:sz="0" w:space="0" w:color="auto"/>
            <w:bottom w:val="none" w:sz="0" w:space="0" w:color="auto"/>
            <w:right w:val="none" w:sz="0" w:space="0" w:color="auto"/>
          </w:divBdr>
          <w:divsChild>
            <w:div w:id="502666347">
              <w:marLeft w:val="0"/>
              <w:marRight w:val="0"/>
              <w:marTop w:val="0"/>
              <w:marBottom w:val="0"/>
              <w:divBdr>
                <w:top w:val="none" w:sz="0" w:space="0" w:color="auto"/>
                <w:left w:val="none" w:sz="0" w:space="0" w:color="auto"/>
                <w:bottom w:val="none" w:sz="0" w:space="0" w:color="auto"/>
                <w:right w:val="none" w:sz="0" w:space="0" w:color="auto"/>
              </w:divBdr>
            </w:div>
          </w:divsChild>
        </w:div>
        <w:div w:id="1650862555">
          <w:marLeft w:val="0"/>
          <w:marRight w:val="0"/>
          <w:marTop w:val="0"/>
          <w:marBottom w:val="0"/>
          <w:divBdr>
            <w:top w:val="none" w:sz="0" w:space="0" w:color="auto"/>
            <w:left w:val="none" w:sz="0" w:space="0" w:color="auto"/>
            <w:bottom w:val="none" w:sz="0" w:space="0" w:color="auto"/>
            <w:right w:val="none" w:sz="0" w:space="0" w:color="auto"/>
          </w:divBdr>
          <w:divsChild>
            <w:div w:id="1049106213">
              <w:marLeft w:val="0"/>
              <w:marRight w:val="0"/>
              <w:marTop w:val="0"/>
              <w:marBottom w:val="0"/>
              <w:divBdr>
                <w:top w:val="none" w:sz="0" w:space="0" w:color="auto"/>
                <w:left w:val="none" w:sz="0" w:space="0" w:color="auto"/>
                <w:bottom w:val="none" w:sz="0" w:space="0" w:color="auto"/>
                <w:right w:val="none" w:sz="0" w:space="0" w:color="auto"/>
              </w:divBdr>
            </w:div>
          </w:divsChild>
        </w:div>
        <w:div w:id="1664620596">
          <w:marLeft w:val="0"/>
          <w:marRight w:val="0"/>
          <w:marTop w:val="0"/>
          <w:marBottom w:val="0"/>
          <w:divBdr>
            <w:top w:val="none" w:sz="0" w:space="0" w:color="auto"/>
            <w:left w:val="none" w:sz="0" w:space="0" w:color="auto"/>
            <w:bottom w:val="none" w:sz="0" w:space="0" w:color="auto"/>
            <w:right w:val="none" w:sz="0" w:space="0" w:color="auto"/>
          </w:divBdr>
          <w:divsChild>
            <w:div w:id="1401515235">
              <w:marLeft w:val="0"/>
              <w:marRight w:val="0"/>
              <w:marTop w:val="0"/>
              <w:marBottom w:val="0"/>
              <w:divBdr>
                <w:top w:val="none" w:sz="0" w:space="0" w:color="auto"/>
                <w:left w:val="none" w:sz="0" w:space="0" w:color="auto"/>
                <w:bottom w:val="none" w:sz="0" w:space="0" w:color="auto"/>
                <w:right w:val="none" w:sz="0" w:space="0" w:color="auto"/>
              </w:divBdr>
            </w:div>
          </w:divsChild>
        </w:div>
        <w:div w:id="1686784609">
          <w:marLeft w:val="0"/>
          <w:marRight w:val="0"/>
          <w:marTop w:val="0"/>
          <w:marBottom w:val="0"/>
          <w:divBdr>
            <w:top w:val="none" w:sz="0" w:space="0" w:color="auto"/>
            <w:left w:val="none" w:sz="0" w:space="0" w:color="auto"/>
            <w:bottom w:val="none" w:sz="0" w:space="0" w:color="auto"/>
            <w:right w:val="none" w:sz="0" w:space="0" w:color="auto"/>
          </w:divBdr>
          <w:divsChild>
            <w:div w:id="1113863264">
              <w:marLeft w:val="0"/>
              <w:marRight w:val="0"/>
              <w:marTop w:val="0"/>
              <w:marBottom w:val="0"/>
              <w:divBdr>
                <w:top w:val="none" w:sz="0" w:space="0" w:color="auto"/>
                <w:left w:val="none" w:sz="0" w:space="0" w:color="auto"/>
                <w:bottom w:val="none" w:sz="0" w:space="0" w:color="auto"/>
                <w:right w:val="none" w:sz="0" w:space="0" w:color="auto"/>
              </w:divBdr>
            </w:div>
          </w:divsChild>
        </w:div>
        <w:div w:id="1688406871">
          <w:marLeft w:val="0"/>
          <w:marRight w:val="0"/>
          <w:marTop w:val="0"/>
          <w:marBottom w:val="0"/>
          <w:divBdr>
            <w:top w:val="none" w:sz="0" w:space="0" w:color="auto"/>
            <w:left w:val="none" w:sz="0" w:space="0" w:color="auto"/>
            <w:bottom w:val="none" w:sz="0" w:space="0" w:color="auto"/>
            <w:right w:val="none" w:sz="0" w:space="0" w:color="auto"/>
          </w:divBdr>
          <w:divsChild>
            <w:div w:id="120222951">
              <w:marLeft w:val="0"/>
              <w:marRight w:val="0"/>
              <w:marTop w:val="0"/>
              <w:marBottom w:val="0"/>
              <w:divBdr>
                <w:top w:val="none" w:sz="0" w:space="0" w:color="auto"/>
                <w:left w:val="none" w:sz="0" w:space="0" w:color="auto"/>
                <w:bottom w:val="none" w:sz="0" w:space="0" w:color="auto"/>
                <w:right w:val="none" w:sz="0" w:space="0" w:color="auto"/>
              </w:divBdr>
            </w:div>
          </w:divsChild>
        </w:div>
        <w:div w:id="1714961327">
          <w:marLeft w:val="0"/>
          <w:marRight w:val="0"/>
          <w:marTop w:val="0"/>
          <w:marBottom w:val="0"/>
          <w:divBdr>
            <w:top w:val="none" w:sz="0" w:space="0" w:color="auto"/>
            <w:left w:val="none" w:sz="0" w:space="0" w:color="auto"/>
            <w:bottom w:val="none" w:sz="0" w:space="0" w:color="auto"/>
            <w:right w:val="none" w:sz="0" w:space="0" w:color="auto"/>
          </w:divBdr>
          <w:divsChild>
            <w:div w:id="135073052">
              <w:marLeft w:val="0"/>
              <w:marRight w:val="0"/>
              <w:marTop w:val="0"/>
              <w:marBottom w:val="0"/>
              <w:divBdr>
                <w:top w:val="none" w:sz="0" w:space="0" w:color="auto"/>
                <w:left w:val="none" w:sz="0" w:space="0" w:color="auto"/>
                <w:bottom w:val="none" w:sz="0" w:space="0" w:color="auto"/>
                <w:right w:val="none" w:sz="0" w:space="0" w:color="auto"/>
              </w:divBdr>
            </w:div>
          </w:divsChild>
        </w:div>
        <w:div w:id="1723476502">
          <w:marLeft w:val="0"/>
          <w:marRight w:val="0"/>
          <w:marTop w:val="0"/>
          <w:marBottom w:val="0"/>
          <w:divBdr>
            <w:top w:val="none" w:sz="0" w:space="0" w:color="auto"/>
            <w:left w:val="none" w:sz="0" w:space="0" w:color="auto"/>
            <w:bottom w:val="none" w:sz="0" w:space="0" w:color="auto"/>
            <w:right w:val="none" w:sz="0" w:space="0" w:color="auto"/>
          </w:divBdr>
          <w:divsChild>
            <w:div w:id="342438444">
              <w:marLeft w:val="0"/>
              <w:marRight w:val="0"/>
              <w:marTop w:val="0"/>
              <w:marBottom w:val="0"/>
              <w:divBdr>
                <w:top w:val="none" w:sz="0" w:space="0" w:color="auto"/>
                <w:left w:val="none" w:sz="0" w:space="0" w:color="auto"/>
                <w:bottom w:val="none" w:sz="0" w:space="0" w:color="auto"/>
                <w:right w:val="none" w:sz="0" w:space="0" w:color="auto"/>
              </w:divBdr>
            </w:div>
          </w:divsChild>
        </w:div>
        <w:div w:id="1733455660">
          <w:marLeft w:val="0"/>
          <w:marRight w:val="0"/>
          <w:marTop w:val="0"/>
          <w:marBottom w:val="0"/>
          <w:divBdr>
            <w:top w:val="none" w:sz="0" w:space="0" w:color="auto"/>
            <w:left w:val="none" w:sz="0" w:space="0" w:color="auto"/>
            <w:bottom w:val="none" w:sz="0" w:space="0" w:color="auto"/>
            <w:right w:val="none" w:sz="0" w:space="0" w:color="auto"/>
          </w:divBdr>
          <w:divsChild>
            <w:div w:id="638918087">
              <w:marLeft w:val="0"/>
              <w:marRight w:val="0"/>
              <w:marTop w:val="0"/>
              <w:marBottom w:val="0"/>
              <w:divBdr>
                <w:top w:val="none" w:sz="0" w:space="0" w:color="auto"/>
                <w:left w:val="none" w:sz="0" w:space="0" w:color="auto"/>
                <w:bottom w:val="none" w:sz="0" w:space="0" w:color="auto"/>
                <w:right w:val="none" w:sz="0" w:space="0" w:color="auto"/>
              </w:divBdr>
            </w:div>
          </w:divsChild>
        </w:div>
        <w:div w:id="1742363604">
          <w:marLeft w:val="0"/>
          <w:marRight w:val="0"/>
          <w:marTop w:val="0"/>
          <w:marBottom w:val="0"/>
          <w:divBdr>
            <w:top w:val="none" w:sz="0" w:space="0" w:color="auto"/>
            <w:left w:val="none" w:sz="0" w:space="0" w:color="auto"/>
            <w:bottom w:val="none" w:sz="0" w:space="0" w:color="auto"/>
            <w:right w:val="none" w:sz="0" w:space="0" w:color="auto"/>
          </w:divBdr>
          <w:divsChild>
            <w:div w:id="639922357">
              <w:marLeft w:val="0"/>
              <w:marRight w:val="0"/>
              <w:marTop w:val="0"/>
              <w:marBottom w:val="0"/>
              <w:divBdr>
                <w:top w:val="none" w:sz="0" w:space="0" w:color="auto"/>
                <w:left w:val="none" w:sz="0" w:space="0" w:color="auto"/>
                <w:bottom w:val="none" w:sz="0" w:space="0" w:color="auto"/>
                <w:right w:val="none" w:sz="0" w:space="0" w:color="auto"/>
              </w:divBdr>
            </w:div>
          </w:divsChild>
        </w:div>
        <w:div w:id="1788238724">
          <w:marLeft w:val="0"/>
          <w:marRight w:val="0"/>
          <w:marTop w:val="0"/>
          <w:marBottom w:val="0"/>
          <w:divBdr>
            <w:top w:val="none" w:sz="0" w:space="0" w:color="auto"/>
            <w:left w:val="none" w:sz="0" w:space="0" w:color="auto"/>
            <w:bottom w:val="none" w:sz="0" w:space="0" w:color="auto"/>
            <w:right w:val="none" w:sz="0" w:space="0" w:color="auto"/>
          </w:divBdr>
          <w:divsChild>
            <w:div w:id="1492865569">
              <w:marLeft w:val="0"/>
              <w:marRight w:val="0"/>
              <w:marTop w:val="0"/>
              <w:marBottom w:val="0"/>
              <w:divBdr>
                <w:top w:val="none" w:sz="0" w:space="0" w:color="auto"/>
                <w:left w:val="none" w:sz="0" w:space="0" w:color="auto"/>
                <w:bottom w:val="none" w:sz="0" w:space="0" w:color="auto"/>
                <w:right w:val="none" w:sz="0" w:space="0" w:color="auto"/>
              </w:divBdr>
            </w:div>
          </w:divsChild>
        </w:div>
        <w:div w:id="1805199890">
          <w:marLeft w:val="0"/>
          <w:marRight w:val="0"/>
          <w:marTop w:val="0"/>
          <w:marBottom w:val="0"/>
          <w:divBdr>
            <w:top w:val="none" w:sz="0" w:space="0" w:color="auto"/>
            <w:left w:val="none" w:sz="0" w:space="0" w:color="auto"/>
            <w:bottom w:val="none" w:sz="0" w:space="0" w:color="auto"/>
            <w:right w:val="none" w:sz="0" w:space="0" w:color="auto"/>
          </w:divBdr>
          <w:divsChild>
            <w:div w:id="1783377242">
              <w:marLeft w:val="0"/>
              <w:marRight w:val="0"/>
              <w:marTop w:val="0"/>
              <w:marBottom w:val="0"/>
              <w:divBdr>
                <w:top w:val="none" w:sz="0" w:space="0" w:color="auto"/>
                <w:left w:val="none" w:sz="0" w:space="0" w:color="auto"/>
                <w:bottom w:val="none" w:sz="0" w:space="0" w:color="auto"/>
                <w:right w:val="none" w:sz="0" w:space="0" w:color="auto"/>
              </w:divBdr>
            </w:div>
          </w:divsChild>
        </w:div>
        <w:div w:id="1856729850">
          <w:marLeft w:val="0"/>
          <w:marRight w:val="0"/>
          <w:marTop w:val="0"/>
          <w:marBottom w:val="0"/>
          <w:divBdr>
            <w:top w:val="none" w:sz="0" w:space="0" w:color="auto"/>
            <w:left w:val="none" w:sz="0" w:space="0" w:color="auto"/>
            <w:bottom w:val="none" w:sz="0" w:space="0" w:color="auto"/>
            <w:right w:val="none" w:sz="0" w:space="0" w:color="auto"/>
          </w:divBdr>
          <w:divsChild>
            <w:div w:id="1187527690">
              <w:marLeft w:val="0"/>
              <w:marRight w:val="0"/>
              <w:marTop w:val="0"/>
              <w:marBottom w:val="0"/>
              <w:divBdr>
                <w:top w:val="none" w:sz="0" w:space="0" w:color="auto"/>
                <w:left w:val="none" w:sz="0" w:space="0" w:color="auto"/>
                <w:bottom w:val="none" w:sz="0" w:space="0" w:color="auto"/>
                <w:right w:val="none" w:sz="0" w:space="0" w:color="auto"/>
              </w:divBdr>
            </w:div>
          </w:divsChild>
        </w:div>
        <w:div w:id="1881358297">
          <w:marLeft w:val="0"/>
          <w:marRight w:val="0"/>
          <w:marTop w:val="0"/>
          <w:marBottom w:val="0"/>
          <w:divBdr>
            <w:top w:val="none" w:sz="0" w:space="0" w:color="auto"/>
            <w:left w:val="none" w:sz="0" w:space="0" w:color="auto"/>
            <w:bottom w:val="none" w:sz="0" w:space="0" w:color="auto"/>
            <w:right w:val="none" w:sz="0" w:space="0" w:color="auto"/>
          </w:divBdr>
          <w:divsChild>
            <w:div w:id="1365062502">
              <w:marLeft w:val="0"/>
              <w:marRight w:val="0"/>
              <w:marTop w:val="0"/>
              <w:marBottom w:val="0"/>
              <w:divBdr>
                <w:top w:val="none" w:sz="0" w:space="0" w:color="auto"/>
                <w:left w:val="none" w:sz="0" w:space="0" w:color="auto"/>
                <w:bottom w:val="none" w:sz="0" w:space="0" w:color="auto"/>
                <w:right w:val="none" w:sz="0" w:space="0" w:color="auto"/>
              </w:divBdr>
            </w:div>
          </w:divsChild>
        </w:div>
        <w:div w:id="1953856557">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0"/>
              <w:marRight w:val="0"/>
              <w:marTop w:val="0"/>
              <w:marBottom w:val="0"/>
              <w:divBdr>
                <w:top w:val="none" w:sz="0" w:space="0" w:color="auto"/>
                <w:left w:val="none" w:sz="0" w:space="0" w:color="auto"/>
                <w:bottom w:val="none" w:sz="0" w:space="0" w:color="auto"/>
                <w:right w:val="none" w:sz="0" w:space="0" w:color="auto"/>
              </w:divBdr>
            </w:div>
          </w:divsChild>
        </w:div>
        <w:div w:id="1981689986">
          <w:marLeft w:val="0"/>
          <w:marRight w:val="0"/>
          <w:marTop w:val="0"/>
          <w:marBottom w:val="0"/>
          <w:divBdr>
            <w:top w:val="none" w:sz="0" w:space="0" w:color="auto"/>
            <w:left w:val="none" w:sz="0" w:space="0" w:color="auto"/>
            <w:bottom w:val="none" w:sz="0" w:space="0" w:color="auto"/>
            <w:right w:val="none" w:sz="0" w:space="0" w:color="auto"/>
          </w:divBdr>
          <w:divsChild>
            <w:div w:id="693774055">
              <w:marLeft w:val="0"/>
              <w:marRight w:val="0"/>
              <w:marTop w:val="0"/>
              <w:marBottom w:val="0"/>
              <w:divBdr>
                <w:top w:val="none" w:sz="0" w:space="0" w:color="auto"/>
                <w:left w:val="none" w:sz="0" w:space="0" w:color="auto"/>
                <w:bottom w:val="none" w:sz="0" w:space="0" w:color="auto"/>
                <w:right w:val="none" w:sz="0" w:space="0" w:color="auto"/>
              </w:divBdr>
            </w:div>
          </w:divsChild>
        </w:div>
        <w:div w:id="1989359092">
          <w:marLeft w:val="0"/>
          <w:marRight w:val="0"/>
          <w:marTop w:val="0"/>
          <w:marBottom w:val="0"/>
          <w:divBdr>
            <w:top w:val="none" w:sz="0" w:space="0" w:color="auto"/>
            <w:left w:val="none" w:sz="0" w:space="0" w:color="auto"/>
            <w:bottom w:val="none" w:sz="0" w:space="0" w:color="auto"/>
            <w:right w:val="none" w:sz="0" w:space="0" w:color="auto"/>
          </w:divBdr>
          <w:divsChild>
            <w:div w:id="1190219247">
              <w:marLeft w:val="0"/>
              <w:marRight w:val="0"/>
              <w:marTop w:val="0"/>
              <w:marBottom w:val="0"/>
              <w:divBdr>
                <w:top w:val="none" w:sz="0" w:space="0" w:color="auto"/>
                <w:left w:val="none" w:sz="0" w:space="0" w:color="auto"/>
                <w:bottom w:val="none" w:sz="0" w:space="0" w:color="auto"/>
                <w:right w:val="none" w:sz="0" w:space="0" w:color="auto"/>
              </w:divBdr>
            </w:div>
          </w:divsChild>
        </w:div>
        <w:div w:id="1994411103">
          <w:marLeft w:val="0"/>
          <w:marRight w:val="0"/>
          <w:marTop w:val="0"/>
          <w:marBottom w:val="0"/>
          <w:divBdr>
            <w:top w:val="none" w:sz="0" w:space="0" w:color="auto"/>
            <w:left w:val="none" w:sz="0" w:space="0" w:color="auto"/>
            <w:bottom w:val="none" w:sz="0" w:space="0" w:color="auto"/>
            <w:right w:val="none" w:sz="0" w:space="0" w:color="auto"/>
          </w:divBdr>
          <w:divsChild>
            <w:div w:id="654064010">
              <w:marLeft w:val="0"/>
              <w:marRight w:val="0"/>
              <w:marTop w:val="0"/>
              <w:marBottom w:val="0"/>
              <w:divBdr>
                <w:top w:val="none" w:sz="0" w:space="0" w:color="auto"/>
                <w:left w:val="none" w:sz="0" w:space="0" w:color="auto"/>
                <w:bottom w:val="none" w:sz="0" w:space="0" w:color="auto"/>
                <w:right w:val="none" w:sz="0" w:space="0" w:color="auto"/>
              </w:divBdr>
            </w:div>
          </w:divsChild>
        </w:div>
        <w:div w:id="1998997279">
          <w:marLeft w:val="0"/>
          <w:marRight w:val="0"/>
          <w:marTop w:val="0"/>
          <w:marBottom w:val="0"/>
          <w:divBdr>
            <w:top w:val="none" w:sz="0" w:space="0" w:color="auto"/>
            <w:left w:val="none" w:sz="0" w:space="0" w:color="auto"/>
            <w:bottom w:val="none" w:sz="0" w:space="0" w:color="auto"/>
            <w:right w:val="none" w:sz="0" w:space="0" w:color="auto"/>
          </w:divBdr>
          <w:divsChild>
            <w:div w:id="422384007">
              <w:marLeft w:val="0"/>
              <w:marRight w:val="0"/>
              <w:marTop w:val="0"/>
              <w:marBottom w:val="0"/>
              <w:divBdr>
                <w:top w:val="none" w:sz="0" w:space="0" w:color="auto"/>
                <w:left w:val="none" w:sz="0" w:space="0" w:color="auto"/>
                <w:bottom w:val="none" w:sz="0" w:space="0" w:color="auto"/>
                <w:right w:val="none" w:sz="0" w:space="0" w:color="auto"/>
              </w:divBdr>
            </w:div>
          </w:divsChild>
        </w:div>
        <w:div w:id="2025671986">
          <w:marLeft w:val="0"/>
          <w:marRight w:val="0"/>
          <w:marTop w:val="0"/>
          <w:marBottom w:val="0"/>
          <w:divBdr>
            <w:top w:val="none" w:sz="0" w:space="0" w:color="auto"/>
            <w:left w:val="none" w:sz="0" w:space="0" w:color="auto"/>
            <w:bottom w:val="none" w:sz="0" w:space="0" w:color="auto"/>
            <w:right w:val="none" w:sz="0" w:space="0" w:color="auto"/>
          </w:divBdr>
          <w:divsChild>
            <w:div w:id="1383598150">
              <w:marLeft w:val="0"/>
              <w:marRight w:val="0"/>
              <w:marTop w:val="0"/>
              <w:marBottom w:val="0"/>
              <w:divBdr>
                <w:top w:val="none" w:sz="0" w:space="0" w:color="auto"/>
                <w:left w:val="none" w:sz="0" w:space="0" w:color="auto"/>
                <w:bottom w:val="none" w:sz="0" w:space="0" w:color="auto"/>
                <w:right w:val="none" w:sz="0" w:space="0" w:color="auto"/>
              </w:divBdr>
            </w:div>
          </w:divsChild>
        </w:div>
        <w:div w:id="2041006154">
          <w:marLeft w:val="0"/>
          <w:marRight w:val="0"/>
          <w:marTop w:val="0"/>
          <w:marBottom w:val="0"/>
          <w:divBdr>
            <w:top w:val="none" w:sz="0" w:space="0" w:color="auto"/>
            <w:left w:val="none" w:sz="0" w:space="0" w:color="auto"/>
            <w:bottom w:val="none" w:sz="0" w:space="0" w:color="auto"/>
            <w:right w:val="none" w:sz="0" w:space="0" w:color="auto"/>
          </w:divBdr>
          <w:divsChild>
            <w:div w:id="1701543007">
              <w:marLeft w:val="0"/>
              <w:marRight w:val="0"/>
              <w:marTop w:val="0"/>
              <w:marBottom w:val="0"/>
              <w:divBdr>
                <w:top w:val="none" w:sz="0" w:space="0" w:color="auto"/>
                <w:left w:val="none" w:sz="0" w:space="0" w:color="auto"/>
                <w:bottom w:val="none" w:sz="0" w:space="0" w:color="auto"/>
                <w:right w:val="none" w:sz="0" w:space="0" w:color="auto"/>
              </w:divBdr>
            </w:div>
          </w:divsChild>
        </w:div>
        <w:div w:id="2048531090">
          <w:marLeft w:val="0"/>
          <w:marRight w:val="0"/>
          <w:marTop w:val="0"/>
          <w:marBottom w:val="0"/>
          <w:divBdr>
            <w:top w:val="none" w:sz="0" w:space="0" w:color="auto"/>
            <w:left w:val="none" w:sz="0" w:space="0" w:color="auto"/>
            <w:bottom w:val="none" w:sz="0" w:space="0" w:color="auto"/>
            <w:right w:val="none" w:sz="0" w:space="0" w:color="auto"/>
          </w:divBdr>
          <w:divsChild>
            <w:div w:id="1572736554">
              <w:marLeft w:val="0"/>
              <w:marRight w:val="0"/>
              <w:marTop w:val="0"/>
              <w:marBottom w:val="0"/>
              <w:divBdr>
                <w:top w:val="none" w:sz="0" w:space="0" w:color="auto"/>
                <w:left w:val="none" w:sz="0" w:space="0" w:color="auto"/>
                <w:bottom w:val="none" w:sz="0" w:space="0" w:color="auto"/>
                <w:right w:val="none" w:sz="0" w:space="0" w:color="auto"/>
              </w:divBdr>
            </w:div>
          </w:divsChild>
        </w:div>
        <w:div w:id="2064598111">
          <w:marLeft w:val="0"/>
          <w:marRight w:val="0"/>
          <w:marTop w:val="0"/>
          <w:marBottom w:val="0"/>
          <w:divBdr>
            <w:top w:val="none" w:sz="0" w:space="0" w:color="auto"/>
            <w:left w:val="none" w:sz="0" w:space="0" w:color="auto"/>
            <w:bottom w:val="none" w:sz="0" w:space="0" w:color="auto"/>
            <w:right w:val="none" w:sz="0" w:space="0" w:color="auto"/>
          </w:divBdr>
          <w:divsChild>
            <w:div w:id="33818621">
              <w:marLeft w:val="0"/>
              <w:marRight w:val="0"/>
              <w:marTop w:val="0"/>
              <w:marBottom w:val="0"/>
              <w:divBdr>
                <w:top w:val="none" w:sz="0" w:space="0" w:color="auto"/>
                <w:left w:val="none" w:sz="0" w:space="0" w:color="auto"/>
                <w:bottom w:val="none" w:sz="0" w:space="0" w:color="auto"/>
                <w:right w:val="none" w:sz="0" w:space="0" w:color="auto"/>
              </w:divBdr>
            </w:div>
          </w:divsChild>
        </w:div>
        <w:div w:id="2095390879">
          <w:marLeft w:val="0"/>
          <w:marRight w:val="0"/>
          <w:marTop w:val="0"/>
          <w:marBottom w:val="0"/>
          <w:divBdr>
            <w:top w:val="none" w:sz="0" w:space="0" w:color="auto"/>
            <w:left w:val="none" w:sz="0" w:space="0" w:color="auto"/>
            <w:bottom w:val="none" w:sz="0" w:space="0" w:color="auto"/>
            <w:right w:val="none" w:sz="0" w:space="0" w:color="auto"/>
          </w:divBdr>
          <w:divsChild>
            <w:div w:id="426969545">
              <w:marLeft w:val="0"/>
              <w:marRight w:val="0"/>
              <w:marTop w:val="0"/>
              <w:marBottom w:val="0"/>
              <w:divBdr>
                <w:top w:val="none" w:sz="0" w:space="0" w:color="auto"/>
                <w:left w:val="none" w:sz="0" w:space="0" w:color="auto"/>
                <w:bottom w:val="none" w:sz="0" w:space="0" w:color="auto"/>
                <w:right w:val="none" w:sz="0" w:space="0" w:color="auto"/>
              </w:divBdr>
            </w:div>
          </w:divsChild>
        </w:div>
        <w:div w:id="2117749585">
          <w:marLeft w:val="0"/>
          <w:marRight w:val="0"/>
          <w:marTop w:val="0"/>
          <w:marBottom w:val="0"/>
          <w:divBdr>
            <w:top w:val="none" w:sz="0" w:space="0" w:color="auto"/>
            <w:left w:val="none" w:sz="0" w:space="0" w:color="auto"/>
            <w:bottom w:val="none" w:sz="0" w:space="0" w:color="auto"/>
            <w:right w:val="none" w:sz="0" w:space="0" w:color="auto"/>
          </w:divBdr>
          <w:divsChild>
            <w:div w:id="42153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55215">
      <w:bodyDiv w:val="1"/>
      <w:marLeft w:val="0"/>
      <w:marRight w:val="0"/>
      <w:marTop w:val="0"/>
      <w:marBottom w:val="0"/>
      <w:divBdr>
        <w:top w:val="none" w:sz="0" w:space="0" w:color="auto"/>
        <w:left w:val="none" w:sz="0" w:space="0" w:color="auto"/>
        <w:bottom w:val="none" w:sz="0" w:space="0" w:color="auto"/>
        <w:right w:val="none" w:sz="0" w:space="0" w:color="auto"/>
      </w:divBdr>
    </w:div>
    <w:div w:id="1139763211">
      <w:bodyDiv w:val="1"/>
      <w:marLeft w:val="0"/>
      <w:marRight w:val="0"/>
      <w:marTop w:val="0"/>
      <w:marBottom w:val="0"/>
      <w:divBdr>
        <w:top w:val="none" w:sz="0" w:space="0" w:color="auto"/>
        <w:left w:val="none" w:sz="0" w:space="0" w:color="auto"/>
        <w:bottom w:val="none" w:sz="0" w:space="0" w:color="auto"/>
        <w:right w:val="none" w:sz="0" w:space="0" w:color="auto"/>
      </w:divBdr>
      <w:divsChild>
        <w:div w:id="5403702">
          <w:marLeft w:val="0"/>
          <w:marRight w:val="0"/>
          <w:marTop w:val="0"/>
          <w:marBottom w:val="0"/>
          <w:divBdr>
            <w:top w:val="none" w:sz="0" w:space="0" w:color="auto"/>
            <w:left w:val="none" w:sz="0" w:space="0" w:color="auto"/>
            <w:bottom w:val="none" w:sz="0" w:space="0" w:color="auto"/>
            <w:right w:val="none" w:sz="0" w:space="0" w:color="auto"/>
          </w:divBdr>
          <w:divsChild>
            <w:div w:id="1328947933">
              <w:marLeft w:val="0"/>
              <w:marRight w:val="0"/>
              <w:marTop w:val="0"/>
              <w:marBottom w:val="0"/>
              <w:divBdr>
                <w:top w:val="none" w:sz="0" w:space="0" w:color="auto"/>
                <w:left w:val="none" w:sz="0" w:space="0" w:color="auto"/>
                <w:bottom w:val="none" w:sz="0" w:space="0" w:color="auto"/>
                <w:right w:val="none" w:sz="0" w:space="0" w:color="auto"/>
              </w:divBdr>
            </w:div>
          </w:divsChild>
        </w:div>
        <w:div w:id="69888211">
          <w:marLeft w:val="0"/>
          <w:marRight w:val="0"/>
          <w:marTop w:val="0"/>
          <w:marBottom w:val="0"/>
          <w:divBdr>
            <w:top w:val="none" w:sz="0" w:space="0" w:color="auto"/>
            <w:left w:val="none" w:sz="0" w:space="0" w:color="auto"/>
            <w:bottom w:val="none" w:sz="0" w:space="0" w:color="auto"/>
            <w:right w:val="none" w:sz="0" w:space="0" w:color="auto"/>
          </w:divBdr>
          <w:divsChild>
            <w:div w:id="1709645392">
              <w:marLeft w:val="0"/>
              <w:marRight w:val="0"/>
              <w:marTop w:val="0"/>
              <w:marBottom w:val="0"/>
              <w:divBdr>
                <w:top w:val="none" w:sz="0" w:space="0" w:color="auto"/>
                <w:left w:val="none" w:sz="0" w:space="0" w:color="auto"/>
                <w:bottom w:val="none" w:sz="0" w:space="0" w:color="auto"/>
                <w:right w:val="none" w:sz="0" w:space="0" w:color="auto"/>
              </w:divBdr>
            </w:div>
          </w:divsChild>
        </w:div>
        <w:div w:id="76755656">
          <w:marLeft w:val="0"/>
          <w:marRight w:val="0"/>
          <w:marTop w:val="0"/>
          <w:marBottom w:val="0"/>
          <w:divBdr>
            <w:top w:val="none" w:sz="0" w:space="0" w:color="auto"/>
            <w:left w:val="none" w:sz="0" w:space="0" w:color="auto"/>
            <w:bottom w:val="none" w:sz="0" w:space="0" w:color="auto"/>
            <w:right w:val="none" w:sz="0" w:space="0" w:color="auto"/>
          </w:divBdr>
          <w:divsChild>
            <w:div w:id="657733579">
              <w:marLeft w:val="0"/>
              <w:marRight w:val="0"/>
              <w:marTop w:val="0"/>
              <w:marBottom w:val="0"/>
              <w:divBdr>
                <w:top w:val="none" w:sz="0" w:space="0" w:color="auto"/>
                <w:left w:val="none" w:sz="0" w:space="0" w:color="auto"/>
                <w:bottom w:val="none" w:sz="0" w:space="0" w:color="auto"/>
                <w:right w:val="none" w:sz="0" w:space="0" w:color="auto"/>
              </w:divBdr>
            </w:div>
          </w:divsChild>
        </w:div>
        <w:div w:id="122622484">
          <w:marLeft w:val="0"/>
          <w:marRight w:val="0"/>
          <w:marTop w:val="0"/>
          <w:marBottom w:val="0"/>
          <w:divBdr>
            <w:top w:val="none" w:sz="0" w:space="0" w:color="auto"/>
            <w:left w:val="none" w:sz="0" w:space="0" w:color="auto"/>
            <w:bottom w:val="none" w:sz="0" w:space="0" w:color="auto"/>
            <w:right w:val="none" w:sz="0" w:space="0" w:color="auto"/>
          </w:divBdr>
          <w:divsChild>
            <w:div w:id="1198543344">
              <w:marLeft w:val="0"/>
              <w:marRight w:val="0"/>
              <w:marTop w:val="0"/>
              <w:marBottom w:val="0"/>
              <w:divBdr>
                <w:top w:val="none" w:sz="0" w:space="0" w:color="auto"/>
                <w:left w:val="none" w:sz="0" w:space="0" w:color="auto"/>
                <w:bottom w:val="none" w:sz="0" w:space="0" w:color="auto"/>
                <w:right w:val="none" w:sz="0" w:space="0" w:color="auto"/>
              </w:divBdr>
            </w:div>
          </w:divsChild>
        </w:div>
        <w:div w:id="139270642">
          <w:marLeft w:val="0"/>
          <w:marRight w:val="0"/>
          <w:marTop w:val="0"/>
          <w:marBottom w:val="0"/>
          <w:divBdr>
            <w:top w:val="none" w:sz="0" w:space="0" w:color="auto"/>
            <w:left w:val="none" w:sz="0" w:space="0" w:color="auto"/>
            <w:bottom w:val="none" w:sz="0" w:space="0" w:color="auto"/>
            <w:right w:val="none" w:sz="0" w:space="0" w:color="auto"/>
          </w:divBdr>
          <w:divsChild>
            <w:div w:id="1689865648">
              <w:marLeft w:val="0"/>
              <w:marRight w:val="0"/>
              <w:marTop w:val="0"/>
              <w:marBottom w:val="0"/>
              <w:divBdr>
                <w:top w:val="none" w:sz="0" w:space="0" w:color="auto"/>
                <w:left w:val="none" w:sz="0" w:space="0" w:color="auto"/>
                <w:bottom w:val="none" w:sz="0" w:space="0" w:color="auto"/>
                <w:right w:val="none" w:sz="0" w:space="0" w:color="auto"/>
              </w:divBdr>
            </w:div>
          </w:divsChild>
        </w:div>
        <w:div w:id="247351669">
          <w:marLeft w:val="0"/>
          <w:marRight w:val="0"/>
          <w:marTop w:val="0"/>
          <w:marBottom w:val="0"/>
          <w:divBdr>
            <w:top w:val="none" w:sz="0" w:space="0" w:color="auto"/>
            <w:left w:val="none" w:sz="0" w:space="0" w:color="auto"/>
            <w:bottom w:val="none" w:sz="0" w:space="0" w:color="auto"/>
            <w:right w:val="none" w:sz="0" w:space="0" w:color="auto"/>
          </w:divBdr>
          <w:divsChild>
            <w:div w:id="993216651">
              <w:marLeft w:val="0"/>
              <w:marRight w:val="0"/>
              <w:marTop w:val="0"/>
              <w:marBottom w:val="0"/>
              <w:divBdr>
                <w:top w:val="none" w:sz="0" w:space="0" w:color="auto"/>
                <w:left w:val="none" w:sz="0" w:space="0" w:color="auto"/>
                <w:bottom w:val="none" w:sz="0" w:space="0" w:color="auto"/>
                <w:right w:val="none" w:sz="0" w:space="0" w:color="auto"/>
              </w:divBdr>
            </w:div>
          </w:divsChild>
        </w:div>
        <w:div w:id="280184705">
          <w:marLeft w:val="0"/>
          <w:marRight w:val="0"/>
          <w:marTop w:val="0"/>
          <w:marBottom w:val="0"/>
          <w:divBdr>
            <w:top w:val="none" w:sz="0" w:space="0" w:color="auto"/>
            <w:left w:val="none" w:sz="0" w:space="0" w:color="auto"/>
            <w:bottom w:val="none" w:sz="0" w:space="0" w:color="auto"/>
            <w:right w:val="none" w:sz="0" w:space="0" w:color="auto"/>
          </w:divBdr>
          <w:divsChild>
            <w:div w:id="1138566974">
              <w:marLeft w:val="0"/>
              <w:marRight w:val="0"/>
              <w:marTop w:val="0"/>
              <w:marBottom w:val="0"/>
              <w:divBdr>
                <w:top w:val="none" w:sz="0" w:space="0" w:color="auto"/>
                <w:left w:val="none" w:sz="0" w:space="0" w:color="auto"/>
                <w:bottom w:val="none" w:sz="0" w:space="0" w:color="auto"/>
                <w:right w:val="none" w:sz="0" w:space="0" w:color="auto"/>
              </w:divBdr>
            </w:div>
          </w:divsChild>
        </w:div>
        <w:div w:id="280573750">
          <w:marLeft w:val="0"/>
          <w:marRight w:val="0"/>
          <w:marTop w:val="0"/>
          <w:marBottom w:val="0"/>
          <w:divBdr>
            <w:top w:val="none" w:sz="0" w:space="0" w:color="auto"/>
            <w:left w:val="none" w:sz="0" w:space="0" w:color="auto"/>
            <w:bottom w:val="none" w:sz="0" w:space="0" w:color="auto"/>
            <w:right w:val="none" w:sz="0" w:space="0" w:color="auto"/>
          </w:divBdr>
          <w:divsChild>
            <w:div w:id="20209367">
              <w:marLeft w:val="0"/>
              <w:marRight w:val="0"/>
              <w:marTop w:val="0"/>
              <w:marBottom w:val="0"/>
              <w:divBdr>
                <w:top w:val="none" w:sz="0" w:space="0" w:color="auto"/>
                <w:left w:val="none" w:sz="0" w:space="0" w:color="auto"/>
                <w:bottom w:val="none" w:sz="0" w:space="0" w:color="auto"/>
                <w:right w:val="none" w:sz="0" w:space="0" w:color="auto"/>
              </w:divBdr>
            </w:div>
          </w:divsChild>
        </w:div>
        <w:div w:id="355235194">
          <w:marLeft w:val="0"/>
          <w:marRight w:val="0"/>
          <w:marTop w:val="0"/>
          <w:marBottom w:val="0"/>
          <w:divBdr>
            <w:top w:val="none" w:sz="0" w:space="0" w:color="auto"/>
            <w:left w:val="none" w:sz="0" w:space="0" w:color="auto"/>
            <w:bottom w:val="none" w:sz="0" w:space="0" w:color="auto"/>
            <w:right w:val="none" w:sz="0" w:space="0" w:color="auto"/>
          </w:divBdr>
          <w:divsChild>
            <w:div w:id="172498963">
              <w:marLeft w:val="0"/>
              <w:marRight w:val="0"/>
              <w:marTop w:val="0"/>
              <w:marBottom w:val="0"/>
              <w:divBdr>
                <w:top w:val="none" w:sz="0" w:space="0" w:color="auto"/>
                <w:left w:val="none" w:sz="0" w:space="0" w:color="auto"/>
                <w:bottom w:val="none" w:sz="0" w:space="0" w:color="auto"/>
                <w:right w:val="none" w:sz="0" w:space="0" w:color="auto"/>
              </w:divBdr>
            </w:div>
          </w:divsChild>
        </w:div>
        <w:div w:id="413552981">
          <w:marLeft w:val="0"/>
          <w:marRight w:val="0"/>
          <w:marTop w:val="0"/>
          <w:marBottom w:val="0"/>
          <w:divBdr>
            <w:top w:val="none" w:sz="0" w:space="0" w:color="auto"/>
            <w:left w:val="none" w:sz="0" w:space="0" w:color="auto"/>
            <w:bottom w:val="none" w:sz="0" w:space="0" w:color="auto"/>
            <w:right w:val="none" w:sz="0" w:space="0" w:color="auto"/>
          </w:divBdr>
          <w:divsChild>
            <w:div w:id="1169907486">
              <w:marLeft w:val="0"/>
              <w:marRight w:val="0"/>
              <w:marTop w:val="0"/>
              <w:marBottom w:val="0"/>
              <w:divBdr>
                <w:top w:val="none" w:sz="0" w:space="0" w:color="auto"/>
                <w:left w:val="none" w:sz="0" w:space="0" w:color="auto"/>
                <w:bottom w:val="none" w:sz="0" w:space="0" w:color="auto"/>
                <w:right w:val="none" w:sz="0" w:space="0" w:color="auto"/>
              </w:divBdr>
            </w:div>
          </w:divsChild>
        </w:div>
        <w:div w:id="475681174">
          <w:marLeft w:val="0"/>
          <w:marRight w:val="0"/>
          <w:marTop w:val="0"/>
          <w:marBottom w:val="0"/>
          <w:divBdr>
            <w:top w:val="none" w:sz="0" w:space="0" w:color="auto"/>
            <w:left w:val="none" w:sz="0" w:space="0" w:color="auto"/>
            <w:bottom w:val="none" w:sz="0" w:space="0" w:color="auto"/>
            <w:right w:val="none" w:sz="0" w:space="0" w:color="auto"/>
          </w:divBdr>
          <w:divsChild>
            <w:div w:id="366025387">
              <w:marLeft w:val="0"/>
              <w:marRight w:val="0"/>
              <w:marTop w:val="0"/>
              <w:marBottom w:val="0"/>
              <w:divBdr>
                <w:top w:val="none" w:sz="0" w:space="0" w:color="auto"/>
                <w:left w:val="none" w:sz="0" w:space="0" w:color="auto"/>
                <w:bottom w:val="none" w:sz="0" w:space="0" w:color="auto"/>
                <w:right w:val="none" w:sz="0" w:space="0" w:color="auto"/>
              </w:divBdr>
            </w:div>
          </w:divsChild>
        </w:div>
        <w:div w:id="628782959">
          <w:marLeft w:val="0"/>
          <w:marRight w:val="0"/>
          <w:marTop w:val="0"/>
          <w:marBottom w:val="0"/>
          <w:divBdr>
            <w:top w:val="none" w:sz="0" w:space="0" w:color="auto"/>
            <w:left w:val="none" w:sz="0" w:space="0" w:color="auto"/>
            <w:bottom w:val="none" w:sz="0" w:space="0" w:color="auto"/>
            <w:right w:val="none" w:sz="0" w:space="0" w:color="auto"/>
          </w:divBdr>
          <w:divsChild>
            <w:div w:id="206375631">
              <w:marLeft w:val="0"/>
              <w:marRight w:val="0"/>
              <w:marTop w:val="0"/>
              <w:marBottom w:val="0"/>
              <w:divBdr>
                <w:top w:val="none" w:sz="0" w:space="0" w:color="auto"/>
                <w:left w:val="none" w:sz="0" w:space="0" w:color="auto"/>
                <w:bottom w:val="none" w:sz="0" w:space="0" w:color="auto"/>
                <w:right w:val="none" w:sz="0" w:space="0" w:color="auto"/>
              </w:divBdr>
            </w:div>
          </w:divsChild>
        </w:div>
        <w:div w:id="687870960">
          <w:marLeft w:val="0"/>
          <w:marRight w:val="0"/>
          <w:marTop w:val="0"/>
          <w:marBottom w:val="0"/>
          <w:divBdr>
            <w:top w:val="none" w:sz="0" w:space="0" w:color="auto"/>
            <w:left w:val="none" w:sz="0" w:space="0" w:color="auto"/>
            <w:bottom w:val="none" w:sz="0" w:space="0" w:color="auto"/>
            <w:right w:val="none" w:sz="0" w:space="0" w:color="auto"/>
          </w:divBdr>
          <w:divsChild>
            <w:div w:id="1818566376">
              <w:marLeft w:val="0"/>
              <w:marRight w:val="0"/>
              <w:marTop w:val="0"/>
              <w:marBottom w:val="0"/>
              <w:divBdr>
                <w:top w:val="none" w:sz="0" w:space="0" w:color="auto"/>
                <w:left w:val="none" w:sz="0" w:space="0" w:color="auto"/>
                <w:bottom w:val="none" w:sz="0" w:space="0" w:color="auto"/>
                <w:right w:val="none" w:sz="0" w:space="0" w:color="auto"/>
              </w:divBdr>
            </w:div>
          </w:divsChild>
        </w:div>
        <w:div w:id="724178691">
          <w:marLeft w:val="0"/>
          <w:marRight w:val="0"/>
          <w:marTop w:val="0"/>
          <w:marBottom w:val="0"/>
          <w:divBdr>
            <w:top w:val="none" w:sz="0" w:space="0" w:color="auto"/>
            <w:left w:val="none" w:sz="0" w:space="0" w:color="auto"/>
            <w:bottom w:val="none" w:sz="0" w:space="0" w:color="auto"/>
            <w:right w:val="none" w:sz="0" w:space="0" w:color="auto"/>
          </w:divBdr>
          <w:divsChild>
            <w:div w:id="2142915373">
              <w:marLeft w:val="0"/>
              <w:marRight w:val="0"/>
              <w:marTop w:val="0"/>
              <w:marBottom w:val="0"/>
              <w:divBdr>
                <w:top w:val="none" w:sz="0" w:space="0" w:color="auto"/>
                <w:left w:val="none" w:sz="0" w:space="0" w:color="auto"/>
                <w:bottom w:val="none" w:sz="0" w:space="0" w:color="auto"/>
                <w:right w:val="none" w:sz="0" w:space="0" w:color="auto"/>
              </w:divBdr>
            </w:div>
          </w:divsChild>
        </w:div>
        <w:div w:id="771053287">
          <w:marLeft w:val="0"/>
          <w:marRight w:val="0"/>
          <w:marTop w:val="0"/>
          <w:marBottom w:val="0"/>
          <w:divBdr>
            <w:top w:val="none" w:sz="0" w:space="0" w:color="auto"/>
            <w:left w:val="none" w:sz="0" w:space="0" w:color="auto"/>
            <w:bottom w:val="none" w:sz="0" w:space="0" w:color="auto"/>
            <w:right w:val="none" w:sz="0" w:space="0" w:color="auto"/>
          </w:divBdr>
          <w:divsChild>
            <w:div w:id="1866600750">
              <w:marLeft w:val="0"/>
              <w:marRight w:val="0"/>
              <w:marTop w:val="0"/>
              <w:marBottom w:val="0"/>
              <w:divBdr>
                <w:top w:val="none" w:sz="0" w:space="0" w:color="auto"/>
                <w:left w:val="none" w:sz="0" w:space="0" w:color="auto"/>
                <w:bottom w:val="none" w:sz="0" w:space="0" w:color="auto"/>
                <w:right w:val="none" w:sz="0" w:space="0" w:color="auto"/>
              </w:divBdr>
            </w:div>
          </w:divsChild>
        </w:div>
        <w:div w:id="786629548">
          <w:marLeft w:val="0"/>
          <w:marRight w:val="0"/>
          <w:marTop w:val="0"/>
          <w:marBottom w:val="0"/>
          <w:divBdr>
            <w:top w:val="none" w:sz="0" w:space="0" w:color="auto"/>
            <w:left w:val="none" w:sz="0" w:space="0" w:color="auto"/>
            <w:bottom w:val="none" w:sz="0" w:space="0" w:color="auto"/>
            <w:right w:val="none" w:sz="0" w:space="0" w:color="auto"/>
          </w:divBdr>
          <w:divsChild>
            <w:div w:id="522862861">
              <w:marLeft w:val="0"/>
              <w:marRight w:val="0"/>
              <w:marTop w:val="0"/>
              <w:marBottom w:val="0"/>
              <w:divBdr>
                <w:top w:val="none" w:sz="0" w:space="0" w:color="auto"/>
                <w:left w:val="none" w:sz="0" w:space="0" w:color="auto"/>
                <w:bottom w:val="none" w:sz="0" w:space="0" w:color="auto"/>
                <w:right w:val="none" w:sz="0" w:space="0" w:color="auto"/>
              </w:divBdr>
            </w:div>
          </w:divsChild>
        </w:div>
        <w:div w:id="853307602">
          <w:marLeft w:val="0"/>
          <w:marRight w:val="0"/>
          <w:marTop w:val="0"/>
          <w:marBottom w:val="0"/>
          <w:divBdr>
            <w:top w:val="none" w:sz="0" w:space="0" w:color="auto"/>
            <w:left w:val="none" w:sz="0" w:space="0" w:color="auto"/>
            <w:bottom w:val="none" w:sz="0" w:space="0" w:color="auto"/>
            <w:right w:val="none" w:sz="0" w:space="0" w:color="auto"/>
          </w:divBdr>
          <w:divsChild>
            <w:div w:id="1827210281">
              <w:marLeft w:val="0"/>
              <w:marRight w:val="0"/>
              <w:marTop w:val="0"/>
              <w:marBottom w:val="0"/>
              <w:divBdr>
                <w:top w:val="none" w:sz="0" w:space="0" w:color="auto"/>
                <w:left w:val="none" w:sz="0" w:space="0" w:color="auto"/>
                <w:bottom w:val="none" w:sz="0" w:space="0" w:color="auto"/>
                <w:right w:val="none" w:sz="0" w:space="0" w:color="auto"/>
              </w:divBdr>
            </w:div>
          </w:divsChild>
        </w:div>
        <w:div w:id="904684967">
          <w:marLeft w:val="0"/>
          <w:marRight w:val="0"/>
          <w:marTop w:val="0"/>
          <w:marBottom w:val="0"/>
          <w:divBdr>
            <w:top w:val="none" w:sz="0" w:space="0" w:color="auto"/>
            <w:left w:val="none" w:sz="0" w:space="0" w:color="auto"/>
            <w:bottom w:val="none" w:sz="0" w:space="0" w:color="auto"/>
            <w:right w:val="none" w:sz="0" w:space="0" w:color="auto"/>
          </w:divBdr>
          <w:divsChild>
            <w:div w:id="1050232725">
              <w:marLeft w:val="0"/>
              <w:marRight w:val="0"/>
              <w:marTop w:val="0"/>
              <w:marBottom w:val="0"/>
              <w:divBdr>
                <w:top w:val="none" w:sz="0" w:space="0" w:color="auto"/>
                <w:left w:val="none" w:sz="0" w:space="0" w:color="auto"/>
                <w:bottom w:val="none" w:sz="0" w:space="0" w:color="auto"/>
                <w:right w:val="none" w:sz="0" w:space="0" w:color="auto"/>
              </w:divBdr>
            </w:div>
          </w:divsChild>
        </w:div>
        <w:div w:id="924997820">
          <w:marLeft w:val="0"/>
          <w:marRight w:val="0"/>
          <w:marTop w:val="0"/>
          <w:marBottom w:val="0"/>
          <w:divBdr>
            <w:top w:val="none" w:sz="0" w:space="0" w:color="auto"/>
            <w:left w:val="none" w:sz="0" w:space="0" w:color="auto"/>
            <w:bottom w:val="none" w:sz="0" w:space="0" w:color="auto"/>
            <w:right w:val="none" w:sz="0" w:space="0" w:color="auto"/>
          </w:divBdr>
          <w:divsChild>
            <w:div w:id="499778642">
              <w:marLeft w:val="0"/>
              <w:marRight w:val="0"/>
              <w:marTop w:val="0"/>
              <w:marBottom w:val="0"/>
              <w:divBdr>
                <w:top w:val="none" w:sz="0" w:space="0" w:color="auto"/>
                <w:left w:val="none" w:sz="0" w:space="0" w:color="auto"/>
                <w:bottom w:val="none" w:sz="0" w:space="0" w:color="auto"/>
                <w:right w:val="none" w:sz="0" w:space="0" w:color="auto"/>
              </w:divBdr>
            </w:div>
          </w:divsChild>
        </w:div>
        <w:div w:id="934173977">
          <w:marLeft w:val="0"/>
          <w:marRight w:val="0"/>
          <w:marTop w:val="0"/>
          <w:marBottom w:val="0"/>
          <w:divBdr>
            <w:top w:val="none" w:sz="0" w:space="0" w:color="auto"/>
            <w:left w:val="none" w:sz="0" w:space="0" w:color="auto"/>
            <w:bottom w:val="none" w:sz="0" w:space="0" w:color="auto"/>
            <w:right w:val="none" w:sz="0" w:space="0" w:color="auto"/>
          </w:divBdr>
          <w:divsChild>
            <w:div w:id="1998724109">
              <w:marLeft w:val="0"/>
              <w:marRight w:val="0"/>
              <w:marTop w:val="0"/>
              <w:marBottom w:val="0"/>
              <w:divBdr>
                <w:top w:val="none" w:sz="0" w:space="0" w:color="auto"/>
                <w:left w:val="none" w:sz="0" w:space="0" w:color="auto"/>
                <w:bottom w:val="none" w:sz="0" w:space="0" w:color="auto"/>
                <w:right w:val="none" w:sz="0" w:space="0" w:color="auto"/>
              </w:divBdr>
            </w:div>
          </w:divsChild>
        </w:div>
        <w:div w:id="950088427">
          <w:marLeft w:val="0"/>
          <w:marRight w:val="0"/>
          <w:marTop w:val="0"/>
          <w:marBottom w:val="0"/>
          <w:divBdr>
            <w:top w:val="none" w:sz="0" w:space="0" w:color="auto"/>
            <w:left w:val="none" w:sz="0" w:space="0" w:color="auto"/>
            <w:bottom w:val="none" w:sz="0" w:space="0" w:color="auto"/>
            <w:right w:val="none" w:sz="0" w:space="0" w:color="auto"/>
          </w:divBdr>
          <w:divsChild>
            <w:div w:id="894122209">
              <w:marLeft w:val="0"/>
              <w:marRight w:val="0"/>
              <w:marTop w:val="0"/>
              <w:marBottom w:val="0"/>
              <w:divBdr>
                <w:top w:val="none" w:sz="0" w:space="0" w:color="auto"/>
                <w:left w:val="none" w:sz="0" w:space="0" w:color="auto"/>
                <w:bottom w:val="none" w:sz="0" w:space="0" w:color="auto"/>
                <w:right w:val="none" w:sz="0" w:space="0" w:color="auto"/>
              </w:divBdr>
            </w:div>
          </w:divsChild>
        </w:div>
        <w:div w:id="958217954">
          <w:marLeft w:val="0"/>
          <w:marRight w:val="0"/>
          <w:marTop w:val="0"/>
          <w:marBottom w:val="0"/>
          <w:divBdr>
            <w:top w:val="none" w:sz="0" w:space="0" w:color="auto"/>
            <w:left w:val="none" w:sz="0" w:space="0" w:color="auto"/>
            <w:bottom w:val="none" w:sz="0" w:space="0" w:color="auto"/>
            <w:right w:val="none" w:sz="0" w:space="0" w:color="auto"/>
          </w:divBdr>
          <w:divsChild>
            <w:div w:id="1784418623">
              <w:marLeft w:val="0"/>
              <w:marRight w:val="0"/>
              <w:marTop w:val="0"/>
              <w:marBottom w:val="0"/>
              <w:divBdr>
                <w:top w:val="none" w:sz="0" w:space="0" w:color="auto"/>
                <w:left w:val="none" w:sz="0" w:space="0" w:color="auto"/>
                <w:bottom w:val="none" w:sz="0" w:space="0" w:color="auto"/>
                <w:right w:val="none" w:sz="0" w:space="0" w:color="auto"/>
              </w:divBdr>
            </w:div>
          </w:divsChild>
        </w:div>
        <w:div w:id="983698498">
          <w:marLeft w:val="0"/>
          <w:marRight w:val="0"/>
          <w:marTop w:val="0"/>
          <w:marBottom w:val="0"/>
          <w:divBdr>
            <w:top w:val="none" w:sz="0" w:space="0" w:color="auto"/>
            <w:left w:val="none" w:sz="0" w:space="0" w:color="auto"/>
            <w:bottom w:val="none" w:sz="0" w:space="0" w:color="auto"/>
            <w:right w:val="none" w:sz="0" w:space="0" w:color="auto"/>
          </w:divBdr>
          <w:divsChild>
            <w:div w:id="2084912130">
              <w:marLeft w:val="0"/>
              <w:marRight w:val="0"/>
              <w:marTop w:val="0"/>
              <w:marBottom w:val="0"/>
              <w:divBdr>
                <w:top w:val="none" w:sz="0" w:space="0" w:color="auto"/>
                <w:left w:val="none" w:sz="0" w:space="0" w:color="auto"/>
                <w:bottom w:val="none" w:sz="0" w:space="0" w:color="auto"/>
                <w:right w:val="none" w:sz="0" w:space="0" w:color="auto"/>
              </w:divBdr>
            </w:div>
          </w:divsChild>
        </w:div>
        <w:div w:id="1056319610">
          <w:marLeft w:val="0"/>
          <w:marRight w:val="0"/>
          <w:marTop w:val="0"/>
          <w:marBottom w:val="0"/>
          <w:divBdr>
            <w:top w:val="none" w:sz="0" w:space="0" w:color="auto"/>
            <w:left w:val="none" w:sz="0" w:space="0" w:color="auto"/>
            <w:bottom w:val="none" w:sz="0" w:space="0" w:color="auto"/>
            <w:right w:val="none" w:sz="0" w:space="0" w:color="auto"/>
          </w:divBdr>
          <w:divsChild>
            <w:div w:id="960720131">
              <w:marLeft w:val="0"/>
              <w:marRight w:val="0"/>
              <w:marTop w:val="0"/>
              <w:marBottom w:val="0"/>
              <w:divBdr>
                <w:top w:val="none" w:sz="0" w:space="0" w:color="auto"/>
                <w:left w:val="none" w:sz="0" w:space="0" w:color="auto"/>
                <w:bottom w:val="none" w:sz="0" w:space="0" w:color="auto"/>
                <w:right w:val="none" w:sz="0" w:space="0" w:color="auto"/>
              </w:divBdr>
            </w:div>
          </w:divsChild>
        </w:div>
        <w:div w:id="1187671378">
          <w:marLeft w:val="0"/>
          <w:marRight w:val="0"/>
          <w:marTop w:val="0"/>
          <w:marBottom w:val="0"/>
          <w:divBdr>
            <w:top w:val="none" w:sz="0" w:space="0" w:color="auto"/>
            <w:left w:val="none" w:sz="0" w:space="0" w:color="auto"/>
            <w:bottom w:val="none" w:sz="0" w:space="0" w:color="auto"/>
            <w:right w:val="none" w:sz="0" w:space="0" w:color="auto"/>
          </w:divBdr>
          <w:divsChild>
            <w:div w:id="1315257070">
              <w:marLeft w:val="0"/>
              <w:marRight w:val="0"/>
              <w:marTop w:val="0"/>
              <w:marBottom w:val="0"/>
              <w:divBdr>
                <w:top w:val="none" w:sz="0" w:space="0" w:color="auto"/>
                <w:left w:val="none" w:sz="0" w:space="0" w:color="auto"/>
                <w:bottom w:val="none" w:sz="0" w:space="0" w:color="auto"/>
                <w:right w:val="none" w:sz="0" w:space="0" w:color="auto"/>
              </w:divBdr>
            </w:div>
          </w:divsChild>
        </w:div>
        <w:div w:id="1216430763">
          <w:marLeft w:val="0"/>
          <w:marRight w:val="0"/>
          <w:marTop w:val="0"/>
          <w:marBottom w:val="0"/>
          <w:divBdr>
            <w:top w:val="none" w:sz="0" w:space="0" w:color="auto"/>
            <w:left w:val="none" w:sz="0" w:space="0" w:color="auto"/>
            <w:bottom w:val="none" w:sz="0" w:space="0" w:color="auto"/>
            <w:right w:val="none" w:sz="0" w:space="0" w:color="auto"/>
          </w:divBdr>
          <w:divsChild>
            <w:div w:id="1741095868">
              <w:marLeft w:val="0"/>
              <w:marRight w:val="0"/>
              <w:marTop w:val="0"/>
              <w:marBottom w:val="0"/>
              <w:divBdr>
                <w:top w:val="none" w:sz="0" w:space="0" w:color="auto"/>
                <w:left w:val="none" w:sz="0" w:space="0" w:color="auto"/>
                <w:bottom w:val="none" w:sz="0" w:space="0" w:color="auto"/>
                <w:right w:val="none" w:sz="0" w:space="0" w:color="auto"/>
              </w:divBdr>
            </w:div>
          </w:divsChild>
        </w:div>
        <w:div w:id="1338538319">
          <w:marLeft w:val="0"/>
          <w:marRight w:val="0"/>
          <w:marTop w:val="0"/>
          <w:marBottom w:val="0"/>
          <w:divBdr>
            <w:top w:val="none" w:sz="0" w:space="0" w:color="auto"/>
            <w:left w:val="none" w:sz="0" w:space="0" w:color="auto"/>
            <w:bottom w:val="none" w:sz="0" w:space="0" w:color="auto"/>
            <w:right w:val="none" w:sz="0" w:space="0" w:color="auto"/>
          </w:divBdr>
          <w:divsChild>
            <w:div w:id="365065903">
              <w:marLeft w:val="0"/>
              <w:marRight w:val="0"/>
              <w:marTop w:val="0"/>
              <w:marBottom w:val="0"/>
              <w:divBdr>
                <w:top w:val="none" w:sz="0" w:space="0" w:color="auto"/>
                <w:left w:val="none" w:sz="0" w:space="0" w:color="auto"/>
                <w:bottom w:val="none" w:sz="0" w:space="0" w:color="auto"/>
                <w:right w:val="none" w:sz="0" w:space="0" w:color="auto"/>
              </w:divBdr>
            </w:div>
          </w:divsChild>
        </w:div>
        <w:div w:id="1549995543">
          <w:marLeft w:val="0"/>
          <w:marRight w:val="0"/>
          <w:marTop w:val="0"/>
          <w:marBottom w:val="0"/>
          <w:divBdr>
            <w:top w:val="none" w:sz="0" w:space="0" w:color="auto"/>
            <w:left w:val="none" w:sz="0" w:space="0" w:color="auto"/>
            <w:bottom w:val="none" w:sz="0" w:space="0" w:color="auto"/>
            <w:right w:val="none" w:sz="0" w:space="0" w:color="auto"/>
          </w:divBdr>
          <w:divsChild>
            <w:div w:id="1028602650">
              <w:marLeft w:val="0"/>
              <w:marRight w:val="0"/>
              <w:marTop w:val="0"/>
              <w:marBottom w:val="0"/>
              <w:divBdr>
                <w:top w:val="none" w:sz="0" w:space="0" w:color="auto"/>
                <w:left w:val="none" w:sz="0" w:space="0" w:color="auto"/>
                <w:bottom w:val="none" w:sz="0" w:space="0" w:color="auto"/>
                <w:right w:val="none" w:sz="0" w:space="0" w:color="auto"/>
              </w:divBdr>
            </w:div>
          </w:divsChild>
        </w:div>
        <w:div w:id="1590699359">
          <w:marLeft w:val="0"/>
          <w:marRight w:val="0"/>
          <w:marTop w:val="0"/>
          <w:marBottom w:val="0"/>
          <w:divBdr>
            <w:top w:val="none" w:sz="0" w:space="0" w:color="auto"/>
            <w:left w:val="none" w:sz="0" w:space="0" w:color="auto"/>
            <w:bottom w:val="none" w:sz="0" w:space="0" w:color="auto"/>
            <w:right w:val="none" w:sz="0" w:space="0" w:color="auto"/>
          </w:divBdr>
          <w:divsChild>
            <w:div w:id="1969776620">
              <w:marLeft w:val="0"/>
              <w:marRight w:val="0"/>
              <w:marTop w:val="0"/>
              <w:marBottom w:val="0"/>
              <w:divBdr>
                <w:top w:val="none" w:sz="0" w:space="0" w:color="auto"/>
                <w:left w:val="none" w:sz="0" w:space="0" w:color="auto"/>
                <w:bottom w:val="none" w:sz="0" w:space="0" w:color="auto"/>
                <w:right w:val="none" w:sz="0" w:space="0" w:color="auto"/>
              </w:divBdr>
            </w:div>
          </w:divsChild>
        </w:div>
        <w:div w:id="1659529071">
          <w:marLeft w:val="0"/>
          <w:marRight w:val="0"/>
          <w:marTop w:val="0"/>
          <w:marBottom w:val="0"/>
          <w:divBdr>
            <w:top w:val="none" w:sz="0" w:space="0" w:color="auto"/>
            <w:left w:val="none" w:sz="0" w:space="0" w:color="auto"/>
            <w:bottom w:val="none" w:sz="0" w:space="0" w:color="auto"/>
            <w:right w:val="none" w:sz="0" w:space="0" w:color="auto"/>
          </w:divBdr>
          <w:divsChild>
            <w:div w:id="2013607058">
              <w:marLeft w:val="0"/>
              <w:marRight w:val="0"/>
              <w:marTop w:val="0"/>
              <w:marBottom w:val="0"/>
              <w:divBdr>
                <w:top w:val="none" w:sz="0" w:space="0" w:color="auto"/>
                <w:left w:val="none" w:sz="0" w:space="0" w:color="auto"/>
                <w:bottom w:val="none" w:sz="0" w:space="0" w:color="auto"/>
                <w:right w:val="none" w:sz="0" w:space="0" w:color="auto"/>
              </w:divBdr>
            </w:div>
          </w:divsChild>
        </w:div>
        <w:div w:id="1682665560">
          <w:marLeft w:val="0"/>
          <w:marRight w:val="0"/>
          <w:marTop w:val="0"/>
          <w:marBottom w:val="0"/>
          <w:divBdr>
            <w:top w:val="none" w:sz="0" w:space="0" w:color="auto"/>
            <w:left w:val="none" w:sz="0" w:space="0" w:color="auto"/>
            <w:bottom w:val="none" w:sz="0" w:space="0" w:color="auto"/>
            <w:right w:val="none" w:sz="0" w:space="0" w:color="auto"/>
          </w:divBdr>
          <w:divsChild>
            <w:div w:id="2107186367">
              <w:marLeft w:val="0"/>
              <w:marRight w:val="0"/>
              <w:marTop w:val="0"/>
              <w:marBottom w:val="0"/>
              <w:divBdr>
                <w:top w:val="none" w:sz="0" w:space="0" w:color="auto"/>
                <w:left w:val="none" w:sz="0" w:space="0" w:color="auto"/>
                <w:bottom w:val="none" w:sz="0" w:space="0" w:color="auto"/>
                <w:right w:val="none" w:sz="0" w:space="0" w:color="auto"/>
              </w:divBdr>
            </w:div>
          </w:divsChild>
        </w:div>
        <w:div w:id="1701978123">
          <w:marLeft w:val="0"/>
          <w:marRight w:val="0"/>
          <w:marTop w:val="0"/>
          <w:marBottom w:val="0"/>
          <w:divBdr>
            <w:top w:val="none" w:sz="0" w:space="0" w:color="auto"/>
            <w:left w:val="none" w:sz="0" w:space="0" w:color="auto"/>
            <w:bottom w:val="none" w:sz="0" w:space="0" w:color="auto"/>
            <w:right w:val="none" w:sz="0" w:space="0" w:color="auto"/>
          </w:divBdr>
          <w:divsChild>
            <w:div w:id="1925600878">
              <w:marLeft w:val="0"/>
              <w:marRight w:val="0"/>
              <w:marTop w:val="0"/>
              <w:marBottom w:val="0"/>
              <w:divBdr>
                <w:top w:val="none" w:sz="0" w:space="0" w:color="auto"/>
                <w:left w:val="none" w:sz="0" w:space="0" w:color="auto"/>
                <w:bottom w:val="none" w:sz="0" w:space="0" w:color="auto"/>
                <w:right w:val="none" w:sz="0" w:space="0" w:color="auto"/>
              </w:divBdr>
            </w:div>
          </w:divsChild>
        </w:div>
        <w:div w:id="1750425263">
          <w:marLeft w:val="0"/>
          <w:marRight w:val="0"/>
          <w:marTop w:val="0"/>
          <w:marBottom w:val="0"/>
          <w:divBdr>
            <w:top w:val="none" w:sz="0" w:space="0" w:color="auto"/>
            <w:left w:val="none" w:sz="0" w:space="0" w:color="auto"/>
            <w:bottom w:val="none" w:sz="0" w:space="0" w:color="auto"/>
            <w:right w:val="none" w:sz="0" w:space="0" w:color="auto"/>
          </w:divBdr>
          <w:divsChild>
            <w:div w:id="444541721">
              <w:marLeft w:val="0"/>
              <w:marRight w:val="0"/>
              <w:marTop w:val="0"/>
              <w:marBottom w:val="0"/>
              <w:divBdr>
                <w:top w:val="none" w:sz="0" w:space="0" w:color="auto"/>
                <w:left w:val="none" w:sz="0" w:space="0" w:color="auto"/>
                <w:bottom w:val="none" w:sz="0" w:space="0" w:color="auto"/>
                <w:right w:val="none" w:sz="0" w:space="0" w:color="auto"/>
              </w:divBdr>
            </w:div>
          </w:divsChild>
        </w:div>
        <w:div w:id="1760055161">
          <w:marLeft w:val="0"/>
          <w:marRight w:val="0"/>
          <w:marTop w:val="0"/>
          <w:marBottom w:val="0"/>
          <w:divBdr>
            <w:top w:val="none" w:sz="0" w:space="0" w:color="auto"/>
            <w:left w:val="none" w:sz="0" w:space="0" w:color="auto"/>
            <w:bottom w:val="none" w:sz="0" w:space="0" w:color="auto"/>
            <w:right w:val="none" w:sz="0" w:space="0" w:color="auto"/>
          </w:divBdr>
          <w:divsChild>
            <w:div w:id="1459762713">
              <w:marLeft w:val="0"/>
              <w:marRight w:val="0"/>
              <w:marTop w:val="0"/>
              <w:marBottom w:val="0"/>
              <w:divBdr>
                <w:top w:val="none" w:sz="0" w:space="0" w:color="auto"/>
                <w:left w:val="none" w:sz="0" w:space="0" w:color="auto"/>
                <w:bottom w:val="none" w:sz="0" w:space="0" w:color="auto"/>
                <w:right w:val="none" w:sz="0" w:space="0" w:color="auto"/>
              </w:divBdr>
            </w:div>
          </w:divsChild>
        </w:div>
        <w:div w:id="1764060709">
          <w:marLeft w:val="0"/>
          <w:marRight w:val="0"/>
          <w:marTop w:val="0"/>
          <w:marBottom w:val="0"/>
          <w:divBdr>
            <w:top w:val="none" w:sz="0" w:space="0" w:color="auto"/>
            <w:left w:val="none" w:sz="0" w:space="0" w:color="auto"/>
            <w:bottom w:val="none" w:sz="0" w:space="0" w:color="auto"/>
            <w:right w:val="none" w:sz="0" w:space="0" w:color="auto"/>
          </w:divBdr>
          <w:divsChild>
            <w:div w:id="745539694">
              <w:marLeft w:val="0"/>
              <w:marRight w:val="0"/>
              <w:marTop w:val="0"/>
              <w:marBottom w:val="0"/>
              <w:divBdr>
                <w:top w:val="none" w:sz="0" w:space="0" w:color="auto"/>
                <w:left w:val="none" w:sz="0" w:space="0" w:color="auto"/>
                <w:bottom w:val="none" w:sz="0" w:space="0" w:color="auto"/>
                <w:right w:val="none" w:sz="0" w:space="0" w:color="auto"/>
              </w:divBdr>
            </w:div>
          </w:divsChild>
        </w:div>
        <w:div w:id="1830053086">
          <w:marLeft w:val="0"/>
          <w:marRight w:val="0"/>
          <w:marTop w:val="0"/>
          <w:marBottom w:val="0"/>
          <w:divBdr>
            <w:top w:val="none" w:sz="0" w:space="0" w:color="auto"/>
            <w:left w:val="none" w:sz="0" w:space="0" w:color="auto"/>
            <w:bottom w:val="none" w:sz="0" w:space="0" w:color="auto"/>
            <w:right w:val="none" w:sz="0" w:space="0" w:color="auto"/>
          </w:divBdr>
          <w:divsChild>
            <w:div w:id="534198722">
              <w:marLeft w:val="0"/>
              <w:marRight w:val="0"/>
              <w:marTop w:val="0"/>
              <w:marBottom w:val="0"/>
              <w:divBdr>
                <w:top w:val="none" w:sz="0" w:space="0" w:color="auto"/>
                <w:left w:val="none" w:sz="0" w:space="0" w:color="auto"/>
                <w:bottom w:val="none" w:sz="0" w:space="0" w:color="auto"/>
                <w:right w:val="none" w:sz="0" w:space="0" w:color="auto"/>
              </w:divBdr>
            </w:div>
          </w:divsChild>
        </w:div>
        <w:div w:id="1848212550">
          <w:marLeft w:val="0"/>
          <w:marRight w:val="0"/>
          <w:marTop w:val="0"/>
          <w:marBottom w:val="0"/>
          <w:divBdr>
            <w:top w:val="none" w:sz="0" w:space="0" w:color="auto"/>
            <w:left w:val="none" w:sz="0" w:space="0" w:color="auto"/>
            <w:bottom w:val="none" w:sz="0" w:space="0" w:color="auto"/>
            <w:right w:val="none" w:sz="0" w:space="0" w:color="auto"/>
          </w:divBdr>
          <w:divsChild>
            <w:div w:id="1853690350">
              <w:marLeft w:val="0"/>
              <w:marRight w:val="0"/>
              <w:marTop w:val="0"/>
              <w:marBottom w:val="0"/>
              <w:divBdr>
                <w:top w:val="none" w:sz="0" w:space="0" w:color="auto"/>
                <w:left w:val="none" w:sz="0" w:space="0" w:color="auto"/>
                <w:bottom w:val="none" w:sz="0" w:space="0" w:color="auto"/>
                <w:right w:val="none" w:sz="0" w:space="0" w:color="auto"/>
              </w:divBdr>
            </w:div>
          </w:divsChild>
        </w:div>
        <w:div w:id="1892694267">
          <w:marLeft w:val="0"/>
          <w:marRight w:val="0"/>
          <w:marTop w:val="0"/>
          <w:marBottom w:val="0"/>
          <w:divBdr>
            <w:top w:val="none" w:sz="0" w:space="0" w:color="auto"/>
            <w:left w:val="none" w:sz="0" w:space="0" w:color="auto"/>
            <w:bottom w:val="none" w:sz="0" w:space="0" w:color="auto"/>
            <w:right w:val="none" w:sz="0" w:space="0" w:color="auto"/>
          </w:divBdr>
          <w:divsChild>
            <w:div w:id="1184905773">
              <w:marLeft w:val="0"/>
              <w:marRight w:val="0"/>
              <w:marTop w:val="0"/>
              <w:marBottom w:val="0"/>
              <w:divBdr>
                <w:top w:val="none" w:sz="0" w:space="0" w:color="auto"/>
                <w:left w:val="none" w:sz="0" w:space="0" w:color="auto"/>
                <w:bottom w:val="none" w:sz="0" w:space="0" w:color="auto"/>
                <w:right w:val="none" w:sz="0" w:space="0" w:color="auto"/>
              </w:divBdr>
            </w:div>
          </w:divsChild>
        </w:div>
        <w:div w:id="1969781214">
          <w:marLeft w:val="0"/>
          <w:marRight w:val="0"/>
          <w:marTop w:val="0"/>
          <w:marBottom w:val="0"/>
          <w:divBdr>
            <w:top w:val="none" w:sz="0" w:space="0" w:color="auto"/>
            <w:left w:val="none" w:sz="0" w:space="0" w:color="auto"/>
            <w:bottom w:val="none" w:sz="0" w:space="0" w:color="auto"/>
            <w:right w:val="none" w:sz="0" w:space="0" w:color="auto"/>
          </w:divBdr>
          <w:divsChild>
            <w:div w:id="1825705604">
              <w:marLeft w:val="0"/>
              <w:marRight w:val="0"/>
              <w:marTop w:val="0"/>
              <w:marBottom w:val="0"/>
              <w:divBdr>
                <w:top w:val="none" w:sz="0" w:space="0" w:color="auto"/>
                <w:left w:val="none" w:sz="0" w:space="0" w:color="auto"/>
                <w:bottom w:val="none" w:sz="0" w:space="0" w:color="auto"/>
                <w:right w:val="none" w:sz="0" w:space="0" w:color="auto"/>
              </w:divBdr>
            </w:div>
          </w:divsChild>
        </w:div>
        <w:div w:id="1979531773">
          <w:marLeft w:val="0"/>
          <w:marRight w:val="0"/>
          <w:marTop w:val="0"/>
          <w:marBottom w:val="0"/>
          <w:divBdr>
            <w:top w:val="none" w:sz="0" w:space="0" w:color="auto"/>
            <w:left w:val="none" w:sz="0" w:space="0" w:color="auto"/>
            <w:bottom w:val="none" w:sz="0" w:space="0" w:color="auto"/>
            <w:right w:val="none" w:sz="0" w:space="0" w:color="auto"/>
          </w:divBdr>
          <w:divsChild>
            <w:div w:id="1751468477">
              <w:marLeft w:val="0"/>
              <w:marRight w:val="0"/>
              <w:marTop w:val="0"/>
              <w:marBottom w:val="0"/>
              <w:divBdr>
                <w:top w:val="none" w:sz="0" w:space="0" w:color="auto"/>
                <w:left w:val="none" w:sz="0" w:space="0" w:color="auto"/>
                <w:bottom w:val="none" w:sz="0" w:space="0" w:color="auto"/>
                <w:right w:val="none" w:sz="0" w:space="0" w:color="auto"/>
              </w:divBdr>
            </w:div>
          </w:divsChild>
        </w:div>
        <w:div w:id="2072457920">
          <w:marLeft w:val="0"/>
          <w:marRight w:val="0"/>
          <w:marTop w:val="0"/>
          <w:marBottom w:val="0"/>
          <w:divBdr>
            <w:top w:val="none" w:sz="0" w:space="0" w:color="auto"/>
            <w:left w:val="none" w:sz="0" w:space="0" w:color="auto"/>
            <w:bottom w:val="none" w:sz="0" w:space="0" w:color="auto"/>
            <w:right w:val="none" w:sz="0" w:space="0" w:color="auto"/>
          </w:divBdr>
          <w:divsChild>
            <w:div w:id="137908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6066">
      <w:bodyDiv w:val="1"/>
      <w:marLeft w:val="0"/>
      <w:marRight w:val="0"/>
      <w:marTop w:val="0"/>
      <w:marBottom w:val="0"/>
      <w:divBdr>
        <w:top w:val="none" w:sz="0" w:space="0" w:color="auto"/>
        <w:left w:val="none" w:sz="0" w:space="0" w:color="auto"/>
        <w:bottom w:val="none" w:sz="0" w:space="0" w:color="auto"/>
        <w:right w:val="none" w:sz="0" w:space="0" w:color="auto"/>
      </w:divBdr>
    </w:div>
    <w:div w:id="1145121350">
      <w:bodyDiv w:val="1"/>
      <w:marLeft w:val="0"/>
      <w:marRight w:val="0"/>
      <w:marTop w:val="0"/>
      <w:marBottom w:val="0"/>
      <w:divBdr>
        <w:top w:val="none" w:sz="0" w:space="0" w:color="auto"/>
        <w:left w:val="none" w:sz="0" w:space="0" w:color="auto"/>
        <w:bottom w:val="none" w:sz="0" w:space="0" w:color="auto"/>
        <w:right w:val="none" w:sz="0" w:space="0" w:color="auto"/>
      </w:divBdr>
    </w:div>
    <w:div w:id="1150096755">
      <w:bodyDiv w:val="1"/>
      <w:marLeft w:val="0"/>
      <w:marRight w:val="0"/>
      <w:marTop w:val="0"/>
      <w:marBottom w:val="0"/>
      <w:divBdr>
        <w:top w:val="none" w:sz="0" w:space="0" w:color="auto"/>
        <w:left w:val="none" w:sz="0" w:space="0" w:color="auto"/>
        <w:bottom w:val="none" w:sz="0" w:space="0" w:color="auto"/>
        <w:right w:val="none" w:sz="0" w:space="0" w:color="auto"/>
      </w:divBdr>
    </w:div>
    <w:div w:id="1154875425">
      <w:bodyDiv w:val="1"/>
      <w:marLeft w:val="0"/>
      <w:marRight w:val="0"/>
      <w:marTop w:val="0"/>
      <w:marBottom w:val="0"/>
      <w:divBdr>
        <w:top w:val="none" w:sz="0" w:space="0" w:color="auto"/>
        <w:left w:val="none" w:sz="0" w:space="0" w:color="auto"/>
        <w:bottom w:val="none" w:sz="0" w:space="0" w:color="auto"/>
        <w:right w:val="none" w:sz="0" w:space="0" w:color="auto"/>
      </w:divBdr>
    </w:div>
    <w:div w:id="1155535021">
      <w:bodyDiv w:val="1"/>
      <w:marLeft w:val="0"/>
      <w:marRight w:val="0"/>
      <w:marTop w:val="0"/>
      <w:marBottom w:val="0"/>
      <w:divBdr>
        <w:top w:val="none" w:sz="0" w:space="0" w:color="auto"/>
        <w:left w:val="none" w:sz="0" w:space="0" w:color="auto"/>
        <w:bottom w:val="none" w:sz="0" w:space="0" w:color="auto"/>
        <w:right w:val="none" w:sz="0" w:space="0" w:color="auto"/>
      </w:divBdr>
    </w:div>
    <w:div w:id="1169638695">
      <w:bodyDiv w:val="1"/>
      <w:marLeft w:val="0"/>
      <w:marRight w:val="0"/>
      <w:marTop w:val="0"/>
      <w:marBottom w:val="0"/>
      <w:divBdr>
        <w:top w:val="none" w:sz="0" w:space="0" w:color="auto"/>
        <w:left w:val="none" w:sz="0" w:space="0" w:color="auto"/>
        <w:bottom w:val="none" w:sz="0" w:space="0" w:color="auto"/>
        <w:right w:val="none" w:sz="0" w:space="0" w:color="auto"/>
      </w:divBdr>
    </w:div>
    <w:div w:id="1176650591">
      <w:bodyDiv w:val="1"/>
      <w:marLeft w:val="0"/>
      <w:marRight w:val="0"/>
      <w:marTop w:val="0"/>
      <w:marBottom w:val="0"/>
      <w:divBdr>
        <w:top w:val="none" w:sz="0" w:space="0" w:color="auto"/>
        <w:left w:val="none" w:sz="0" w:space="0" w:color="auto"/>
        <w:bottom w:val="none" w:sz="0" w:space="0" w:color="auto"/>
        <w:right w:val="none" w:sz="0" w:space="0" w:color="auto"/>
      </w:divBdr>
    </w:div>
    <w:div w:id="1184589997">
      <w:bodyDiv w:val="1"/>
      <w:marLeft w:val="0"/>
      <w:marRight w:val="0"/>
      <w:marTop w:val="0"/>
      <w:marBottom w:val="0"/>
      <w:divBdr>
        <w:top w:val="none" w:sz="0" w:space="0" w:color="auto"/>
        <w:left w:val="none" w:sz="0" w:space="0" w:color="auto"/>
        <w:bottom w:val="none" w:sz="0" w:space="0" w:color="auto"/>
        <w:right w:val="none" w:sz="0" w:space="0" w:color="auto"/>
      </w:divBdr>
    </w:div>
    <w:div w:id="1187013641">
      <w:bodyDiv w:val="1"/>
      <w:marLeft w:val="0"/>
      <w:marRight w:val="0"/>
      <w:marTop w:val="0"/>
      <w:marBottom w:val="0"/>
      <w:divBdr>
        <w:top w:val="none" w:sz="0" w:space="0" w:color="auto"/>
        <w:left w:val="none" w:sz="0" w:space="0" w:color="auto"/>
        <w:bottom w:val="none" w:sz="0" w:space="0" w:color="auto"/>
        <w:right w:val="none" w:sz="0" w:space="0" w:color="auto"/>
      </w:divBdr>
    </w:div>
    <w:div w:id="1214540161">
      <w:bodyDiv w:val="1"/>
      <w:marLeft w:val="0"/>
      <w:marRight w:val="0"/>
      <w:marTop w:val="0"/>
      <w:marBottom w:val="0"/>
      <w:divBdr>
        <w:top w:val="none" w:sz="0" w:space="0" w:color="auto"/>
        <w:left w:val="none" w:sz="0" w:space="0" w:color="auto"/>
        <w:bottom w:val="none" w:sz="0" w:space="0" w:color="auto"/>
        <w:right w:val="none" w:sz="0" w:space="0" w:color="auto"/>
      </w:divBdr>
    </w:div>
    <w:div w:id="1232421382">
      <w:bodyDiv w:val="1"/>
      <w:marLeft w:val="0"/>
      <w:marRight w:val="0"/>
      <w:marTop w:val="0"/>
      <w:marBottom w:val="0"/>
      <w:divBdr>
        <w:top w:val="none" w:sz="0" w:space="0" w:color="auto"/>
        <w:left w:val="none" w:sz="0" w:space="0" w:color="auto"/>
        <w:bottom w:val="none" w:sz="0" w:space="0" w:color="auto"/>
        <w:right w:val="none" w:sz="0" w:space="0" w:color="auto"/>
      </w:divBdr>
    </w:div>
    <w:div w:id="1240021975">
      <w:bodyDiv w:val="1"/>
      <w:marLeft w:val="0"/>
      <w:marRight w:val="0"/>
      <w:marTop w:val="0"/>
      <w:marBottom w:val="0"/>
      <w:divBdr>
        <w:top w:val="none" w:sz="0" w:space="0" w:color="auto"/>
        <w:left w:val="none" w:sz="0" w:space="0" w:color="auto"/>
        <w:bottom w:val="none" w:sz="0" w:space="0" w:color="auto"/>
        <w:right w:val="none" w:sz="0" w:space="0" w:color="auto"/>
      </w:divBdr>
    </w:div>
    <w:div w:id="1241870784">
      <w:bodyDiv w:val="1"/>
      <w:marLeft w:val="0"/>
      <w:marRight w:val="0"/>
      <w:marTop w:val="0"/>
      <w:marBottom w:val="0"/>
      <w:divBdr>
        <w:top w:val="none" w:sz="0" w:space="0" w:color="auto"/>
        <w:left w:val="none" w:sz="0" w:space="0" w:color="auto"/>
        <w:bottom w:val="none" w:sz="0" w:space="0" w:color="auto"/>
        <w:right w:val="none" w:sz="0" w:space="0" w:color="auto"/>
      </w:divBdr>
    </w:div>
    <w:div w:id="1246063516">
      <w:bodyDiv w:val="1"/>
      <w:marLeft w:val="0"/>
      <w:marRight w:val="0"/>
      <w:marTop w:val="0"/>
      <w:marBottom w:val="0"/>
      <w:divBdr>
        <w:top w:val="none" w:sz="0" w:space="0" w:color="auto"/>
        <w:left w:val="none" w:sz="0" w:space="0" w:color="auto"/>
        <w:bottom w:val="none" w:sz="0" w:space="0" w:color="auto"/>
        <w:right w:val="none" w:sz="0" w:space="0" w:color="auto"/>
      </w:divBdr>
    </w:div>
    <w:div w:id="1246765288">
      <w:bodyDiv w:val="1"/>
      <w:marLeft w:val="0"/>
      <w:marRight w:val="0"/>
      <w:marTop w:val="0"/>
      <w:marBottom w:val="0"/>
      <w:divBdr>
        <w:top w:val="none" w:sz="0" w:space="0" w:color="auto"/>
        <w:left w:val="none" w:sz="0" w:space="0" w:color="auto"/>
        <w:bottom w:val="none" w:sz="0" w:space="0" w:color="auto"/>
        <w:right w:val="none" w:sz="0" w:space="0" w:color="auto"/>
      </w:divBdr>
    </w:div>
    <w:div w:id="1250844986">
      <w:bodyDiv w:val="1"/>
      <w:marLeft w:val="0"/>
      <w:marRight w:val="0"/>
      <w:marTop w:val="0"/>
      <w:marBottom w:val="0"/>
      <w:divBdr>
        <w:top w:val="none" w:sz="0" w:space="0" w:color="auto"/>
        <w:left w:val="none" w:sz="0" w:space="0" w:color="auto"/>
        <w:bottom w:val="none" w:sz="0" w:space="0" w:color="auto"/>
        <w:right w:val="none" w:sz="0" w:space="0" w:color="auto"/>
      </w:divBdr>
    </w:div>
    <w:div w:id="1253390003">
      <w:bodyDiv w:val="1"/>
      <w:marLeft w:val="0"/>
      <w:marRight w:val="0"/>
      <w:marTop w:val="0"/>
      <w:marBottom w:val="0"/>
      <w:divBdr>
        <w:top w:val="none" w:sz="0" w:space="0" w:color="auto"/>
        <w:left w:val="none" w:sz="0" w:space="0" w:color="auto"/>
        <w:bottom w:val="none" w:sz="0" w:space="0" w:color="auto"/>
        <w:right w:val="none" w:sz="0" w:space="0" w:color="auto"/>
      </w:divBdr>
      <w:divsChild>
        <w:div w:id="7490230">
          <w:marLeft w:val="0"/>
          <w:marRight w:val="0"/>
          <w:marTop w:val="0"/>
          <w:marBottom w:val="0"/>
          <w:divBdr>
            <w:top w:val="none" w:sz="0" w:space="0" w:color="auto"/>
            <w:left w:val="none" w:sz="0" w:space="0" w:color="auto"/>
            <w:bottom w:val="none" w:sz="0" w:space="0" w:color="auto"/>
            <w:right w:val="none" w:sz="0" w:space="0" w:color="auto"/>
          </w:divBdr>
          <w:divsChild>
            <w:div w:id="1663464579">
              <w:marLeft w:val="0"/>
              <w:marRight w:val="0"/>
              <w:marTop w:val="0"/>
              <w:marBottom w:val="0"/>
              <w:divBdr>
                <w:top w:val="none" w:sz="0" w:space="0" w:color="auto"/>
                <w:left w:val="none" w:sz="0" w:space="0" w:color="auto"/>
                <w:bottom w:val="none" w:sz="0" w:space="0" w:color="auto"/>
                <w:right w:val="none" w:sz="0" w:space="0" w:color="auto"/>
              </w:divBdr>
            </w:div>
          </w:divsChild>
        </w:div>
        <w:div w:id="10230761">
          <w:marLeft w:val="0"/>
          <w:marRight w:val="0"/>
          <w:marTop w:val="0"/>
          <w:marBottom w:val="0"/>
          <w:divBdr>
            <w:top w:val="none" w:sz="0" w:space="0" w:color="auto"/>
            <w:left w:val="none" w:sz="0" w:space="0" w:color="auto"/>
            <w:bottom w:val="none" w:sz="0" w:space="0" w:color="auto"/>
            <w:right w:val="none" w:sz="0" w:space="0" w:color="auto"/>
          </w:divBdr>
          <w:divsChild>
            <w:div w:id="803086915">
              <w:marLeft w:val="0"/>
              <w:marRight w:val="0"/>
              <w:marTop w:val="0"/>
              <w:marBottom w:val="0"/>
              <w:divBdr>
                <w:top w:val="none" w:sz="0" w:space="0" w:color="auto"/>
                <w:left w:val="none" w:sz="0" w:space="0" w:color="auto"/>
                <w:bottom w:val="none" w:sz="0" w:space="0" w:color="auto"/>
                <w:right w:val="none" w:sz="0" w:space="0" w:color="auto"/>
              </w:divBdr>
            </w:div>
          </w:divsChild>
        </w:div>
        <w:div w:id="31611185">
          <w:marLeft w:val="0"/>
          <w:marRight w:val="0"/>
          <w:marTop w:val="0"/>
          <w:marBottom w:val="0"/>
          <w:divBdr>
            <w:top w:val="none" w:sz="0" w:space="0" w:color="auto"/>
            <w:left w:val="none" w:sz="0" w:space="0" w:color="auto"/>
            <w:bottom w:val="none" w:sz="0" w:space="0" w:color="auto"/>
            <w:right w:val="none" w:sz="0" w:space="0" w:color="auto"/>
          </w:divBdr>
          <w:divsChild>
            <w:div w:id="2067797097">
              <w:marLeft w:val="0"/>
              <w:marRight w:val="0"/>
              <w:marTop w:val="0"/>
              <w:marBottom w:val="0"/>
              <w:divBdr>
                <w:top w:val="none" w:sz="0" w:space="0" w:color="auto"/>
                <w:left w:val="none" w:sz="0" w:space="0" w:color="auto"/>
                <w:bottom w:val="none" w:sz="0" w:space="0" w:color="auto"/>
                <w:right w:val="none" w:sz="0" w:space="0" w:color="auto"/>
              </w:divBdr>
            </w:div>
          </w:divsChild>
        </w:div>
        <w:div w:id="31617573">
          <w:marLeft w:val="0"/>
          <w:marRight w:val="0"/>
          <w:marTop w:val="0"/>
          <w:marBottom w:val="0"/>
          <w:divBdr>
            <w:top w:val="none" w:sz="0" w:space="0" w:color="auto"/>
            <w:left w:val="none" w:sz="0" w:space="0" w:color="auto"/>
            <w:bottom w:val="none" w:sz="0" w:space="0" w:color="auto"/>
            <w:right w:val="none" w:sz="0" w:space="0" w:color="auto"/>
          </w:divBdr>
          <w:divsChild>
            <w:div w:id="1159079635">
              <w:marLeft w:val="0"/>
              <w:marRight w:val="0"/>
              <w:marTop w:val="0"/>
              <w:marBottom w:val="0"/>
              <w:divBdr>
                <w:top w:val="none" w:sz="0" w:space="0" w:color="auto"/>
                <w:left w:val="none" w:sz="0" w:space="0" w:color="auto"/>
                <w:bottom w:val="none" w:sz="0" w:space="0" w:color="auto"/>
                <w:right w:val="none" w:sz="0" w:space="0" w:color="auto"/>
              </w:divBdr>
            </w:div>
          </w:divsChild>
        </w:div>
        <w:div w:id="61177775">
          <w:marLeft w:val="0"/>
          <w:marRight w:val="0"/>
          <w:marTop w:val="0"/>
          <w:marBottom w:val="0"/>
          <w:divBdr>
            <w:top w:val="none" w:sz="0" w:space="0" w:color="auto"/>
            <w:left w:val="none" w:sz="0" w:space="0" w:color="auto"/>
            <w:bottom w:val="none" w:sz="0" w:space="0" w:color="auto"/>
            <w:right w:val="none" w:sz="0" w:space="0" w:color="auto"/>
          </w:divBdr>
          <w:divsChild>
            <w:div w:id="1848520777">
              <w:marLeft w:val="0"/>
              <w:marRight w:val="0"/>
              <w:marTop w:val="0"/>
              <w:marBottom w:val="0"/>
              <w:divBdr>
                <w:top w:val="none" w:sz="0" w:space="0" w:color="auto"/>
                <w:left w:val="none" w:sz="0" w:space="0" w:color="auto"/>
                <w:bottom w:val="none" w:sz="0" w:space="0" w:color="auto"/>
                <w:right w:val="none" w:sz="0" w:space="0" w:color="auto"/>
              </w:divBdr>
            </w:div>
          </w:divsChild>
        </w:div>
        <w:div w:id="136145525">
          <w:marLeft w:val="0"/>
          <w:marRight w:val="0"/>
          <w:marTop w:val="0"/>
          <w:marBottom w:val="0"/>
          <w:divBdr>
            <w:top w:val="none" w:sz="0" w:space="0" w:color="auto"/>
            <w:left w:val="none" w:sz="0" w:space="0" w:color="auto"/>
            <w:bottom w:val="none" w:sz="0" w:space="0" w:color="auto"/>
            <w:right w:val="none" w:sz="0" w:space="0" w:color="auto"/>
          </w:divBdr>
          <w:divsChild>
            <w:div w:id="186068175">
              <w:marLeft w:val="0"/>
              <w:marRight w:val="0"/>
              <w:marTop w:val="0"/>
              <w:marBottom w:val="0"/>
              <w:divBdr>
                <w:top w:val="none" w:sz="0" w:space="0" w:color="auto"/>
                <w:left w:val="none" w:sz="0" w:space="0" w:color="auto"/>
                <w:bottom w:val="none" w:sz="0" w:space="0" w:color="auto"/>
                <w:right w:val="none" w:sz="0" w:space="0" w:color="auto"/>
              </w:divBdr>
            </w:div>
          </w:divsChild>
        </w:div>
        <w:div w:id="197134291">
          <w:marLeft w:val="0"/>
          <w:marRight w:val="0"/>
          <w:marTop w:val="0"/>
          <w:marBottom w:val="0"/>
          <w:divBdr>
            <w:top w:val="none" w:sz="0" w:space="0" w:color="auto"/>
            <w:left w:val="none" w:sz="0" w:space="0" w:color="auto"/>
            <w:bottom w:val="none" w:sz="0" w:space="0" w:color="auto"/>
            <w:right w:val="none" w:sz="0" w:space="0" w:color="auto"/>
          </w:divBdr>
          <w:divsChild>
            <w:div w:id="599726599">
              <w:marLeft w:val="0"/>
              <w:marRight w:val="0"/>
              <w:marTop w:val="0"/>
              <w:marBottom w:val="0"/>
              <w:divBdr>
                <w:top w:val="none" w:sz="0" w:space="0" w:color="auto"/>
                <w:left w:val="none" w:sz="0" w:space="0" w:color="auto"/>
                <w:bottom w:val="none" w:sz="0" w:space="0" w:color="auto"/>
                <w:right w:val="none" w:sz="0" w:space="0" w:color="auto"/>
              </w:divBdr>
            </w:div>
          </w:divsChild>
        </w:div>
        <w:div w:id="197164849">
          <w:marLeft w:val="0"/>
          <w:marRight w:val="0"/>
          <w:marTop w:val="0"/>
          <w:marBottom w:val="0"/>
          <w:divBdr>
            <w:top w:val="none" w:sz="0" w:space="0" w:color="auto"/>
            <w:left w:val="none" w:sz="0" w:space="0" w:color="auto"/>
            <w:bottom w:val="none" w:sz="0" w:space="0" w:color="auto"/>
            <w:right w:val="none" w:sz="0" w:space="0" w:color="auto"/>
          </w:divBdr>
          <w:divsChild>
            <w:div w:id="102967269">
              <w:marLeft w:val="0"/>
              <w:marRight w:val="0"/>
              <w:marTop w:val="0"/>
              <w:marBottom w:val="0"/>
              <w:divBdr>
                <w:top w:val="none" w:sz="0" w:space="0" w:color="auto"/>
                <w:left w:val="none" w:sz="0" w:space="0" w:color="auto"/>
                <w:bottom w:val="none" w:sz="0" w:space="0" w:color="auto"/>
                <w:right w:val="none" w:sz="0" w:space="0" w:color="auto"/>
              </w:divBdr>
            </w:div>
          </w:divsChild>
        </w:div>
        <w:div w:id="227569070">
          <w:marLeft w:val="0"/>
          <w:marRight w:val="0"/>
          <w:marTop w:val="0"/>
          <w:marBottom w:val="0"/>
          <w:divBdr>
            <w:top w:val="none" w:sz="0" w:space="0" w:color="auto"/>
            <w:left w:val="none" w:sz="0" w:space="0" w:color="auto"/>
            <w:bottom w:val="none" w:sz="0" w:space="0" w:color="auto"/>
            <w:right w:val="none" w:sz="0" w:space="0" w:color="auto"/>
          </w:divBdr>
          <w:divsChild>
            <w:div w:id="1291277495">
              <w:marLeft w:val="0"/>
              <w:marRight w:val="0"/>
              <w:marTop w:val="0"/>
              <w:marBottom w:val="0"/>
              <w:divBdr>
                <w:top w:val="none" w:sz="0" w:space="0" w:color="auto"/>
                <w:left w:val="none" w:sz="0" w:space="0" w:color="auto"/>
                <w:bottom w:val="none" w:sz="0" w:space="0" w:color="auto"/>
                <w:right w:val="none" w:sz="0" w:space="0" w:color="auto"/>
              </w:divBdr>
            </w:div>
          </w:divsChild>
        </w:div>
        <w:div w:id="240873600">
          <w:marLeft w:val="0"/>
          <w:marRight w:val="0"/>
          <w:marTop w:val="0"/>
          <w:marBottom w:val="0"/>
          <w:divBdr>
            <w:top w:val="none" w:sz="0" w:space="0" w:color="auto"/>
            <w:left w:val="none" w:sz="0" w:space="0" w:color="auto"/>
            <w:bottom w:val="none" w:sz="0" w:space="0" w:color="auto"/>
            <w:right w:val="none" w:sz="0" w:space="0" w:color="auto"/>
          </w:divBdr>
          <w:divsChild>
            <w:div w:id="1183395870">
              <w:marLeft w:val="0"/>
              <w:marRight w:val="0"/>
              <w:marTop w:val="0"/>
              <w:marBottom w:val="0"/>
              <w:divBdr>
                <w:top w:val="none" w:sz="0" w:space="0" w:color="auto"/>
                <w:left w:val="none" w:sz="0" w:space="0" w:color="auto"/>
                <w:bottom w:val="none" w:sz="0" w:space="0" w:color="auto"/>
                <w:right w:val="none" w:sz="0" w:space="0" w:color="auto"/>
              </w:divBdr>
            </w:div>
          </w:divsChild>
        </w:div>
        <w:div w:id="256064219">
          <w:marLeft w:val="0"/>
          <w:marRight w:val="0"/>
          <w:marTop w:val="0"/>
          <w:marBottom w:val="0"/>
          <w:divBdr>
            <w:top w:val="none" w:sz="0" w:space="0" w:color="auto"/>
            <w:left w:val="none" w:sz="0" w:space="0" w:color="auto"/>
            <w:bottom w:val="none" w:sz="0" w:space="0" w:color="auto"/>
            <w:right w:val="none" w:sz="0" w:space="0" w:color="auto"/>
          </w:divBdr>
          <w:divsChild>
            <w:div w:id="1247767556">
              <w:marLeft w:val="0"/>
              <w:marRight w:val="0"/>
              <w:marTop w:val="0"/>
              <w:marBottom w:val="0"/>
              <w:divBdr>
                <w:top w:val="none" w:sz="0" w:space="0" w:color="auto"/>
                <w:left w:val="none" w:sz="0" w:space="0" w:color="auto"/>
                <w:bottom w:val="none" w:sz="0" w:space="0" w:color="auto"/>
                <w:right w:val="none" w:sz="0" w:space="0" w:color="auto"/>
              </w:divBdr>
            </w:div>
          </w:divsChild>
        </w:div>
        <w:div w:id="260919713">
          <w:marLeft w:val="0"/>
          <w:marRight w:val="0"/>
          <w:marTop w:val="0"/>
          <w:marBottom w:val="0"/>
          <w:divBdr>
            <w:top w:val="none" w:sz="0" w:space="0" w:color="auto"/>
            <w:left w:val="none" w:sz="0" w:space="0" w:color="auto"/>
            <w:bottom w:val="none" w:sz="0" w:space="0" w:color="auto"/>
            <w:right w:val="none" w:sz="0" w:space="0" w:color="auto"/>
          </w:divBdr>
          <w:divsChild>
            <w:div w:id="1190801418">
              <w:marLeft w:val="0"/>
              <w:marRight w:val="0"/>
              <w:marTop w:val="0"/>
              <w:marBottom w:val="0"/>
              <w:divBdr>
                <w:top w:val="none" w:sz="0" w:space="0" w:color="auto"/>
                <w:left w:val="none" w:sz="0" w:space="0" w:color="auto"/>
                <w:bottom w:val="none" w:sz="0" w:space="0" w:color="auto"/>
                <w:right w:val="none" w:sz="0" w:space="0" w:color="auto"/>
              </w:divBdr>
            </w:div>
          </w:divsChild>
        </w:div>
        <w:div w:id="297878516">
          <w:marLeft w:val="0"/>
          <w:marRight w:val="0"/>
          <w:marTop w:val="0"/>
          <w:marBottom w:val="0"/>
          <w:divBdr>
            <w:top w:val="none" w:sz="0" w:space="0" w:color="auto"/>
            <w:left w:val="none" w:sz="0" w:space="0" w:color="auto"/>
            <w:bottom w:val="none" w:sz="0" w:space="0" w:color="auto"/>
            <w:right w:val="none" w:sz="0" w:space="0" w:color="auto"/>
          </w:divBdr>
          <w:divsChild>
            <w:div w:id="2138524407">
              <w:marLeft w:val="0"/>
              <w:marRight w:val="0"/>
              <w:marTop w:val="0"/>
              <w:marBottom w:val="0"/>
              <w:divBdr>
                <w:top w:val="none" w:sz="0" w:space="0" w:color="auto"/>
                <w:left w:val="none" w:sz="0" w:space="0" w:color="auto"/>
                <w:bottom w:val="none" w:sz="0" w:space="0" w:color="auto"/>
                <w:right w:val="none" w:sz="0" w:space="0" w:color="auto"/>
              </w:divBdr>
            </w:div>
          </w:divsChild>
        </w:div>
        <w:div w:id="333387046">
          <w:marLeft w:val="0"/>
          <w:marRight w:val="0"/>
          <w:marTop w:val="0"/>
          <w:marBottom w:val="0"/>
          <w:divBdr>
            <w:top w:val="none" w:sz="0" w:space="0" w:color="auto"/>
            <w:left w:val="none" w:sz="0" w:space="0" w:color="auto"/>
            <w:bottom w:val="none" w:sz="0" w:space="0" w:color="auto"/>
            <w:right w:val="none" w:sz="0" w:space="0" w:color="auto"/>
          </w:divBdr>
          <w:divsChild>
            <w:div w:id="2024473047">
              <w:marLeft w:val="0"/>
              <w:marRight w:val="0"/>
              <w:marTop w:val="0"/>
              <w:marBottom w:val="0"/>
              <w:divBdr>
                <w:top w:val="none" w:sz="0" w:space="0" w:color="auto"/>
                <w:left w:val="none" w:sz="0" w:space="0" w:color="auto"/>
                <w:bottom w:val="none" w:sz="0" w:space="0" w:color="auto"/>
                <w:right w:val="none" w:sz="0" w:space="0" w:color="auto"/>
              </w:divBdr>
            </w:div>
          </w:divsChild>
        </w:div>
        <w:div w:id="346561020">
          <w:marLeft w:val="0"/>
          <w:marRight w:val="0"/>
          <w:marTop w:val="0"/>
          <w:marBottom w:val="0"/>
          <w:divBdr>
            <w:top w:val="none" w:sz="0" w:space="0" w:color="auto"/>
            <w:left w:val="none" w:sz="0" w:space="0" w:color="auto"/>
            <w:bottom w:val="none" w:sz="0" w:space="0" w:color="auto"/>
            <w:right w:val="none" w:sz="0" w:space="0" w:color="auto"/>
          </w:divBdr>
          <w:divsChild>
            <w:div w:id="957033462">
              <w:marLeft w:val="0"/>
              <w:marRight w:val="0"/>
              <w:marTop w:val="0"/>
              <w:marBottom w:val="0"/>
              <w:divBdr>
                <w:top w:val="none" w:sz="0" w:space="0" w:color="auto"/>
                <w:left w:val="none" w:sz="0" w:space="0" w:color="auto"/>
                <w:bottom w:val="none" w:sz="0" w:space="0" w:color="auto"/>
                <w:right w:val="none" w:sz="0" w:space="0" w:color="auto"/>
              </w:divBdr>
            </w:div>
          </w:divsChild>
        </w:div>
        <w:div w:id="355273895">
          <w:marLeft w:val="0"/>
          <w:marRight w:val="0"/>
          <w:marTop w:val="0"/>
          <w:marBottom w:val="0"/>
          <w:divBdr>
            <w:top w:val="none" w:sz="0" w:space="0" w:color="auto"/>
            <w:left w:val="none" w:sz="0" w:space="0" w:color="auto"/>
            <w:bottom w:val="none" w:sz="0" w:space="0" w:color="auto"/>
            <w:right w:val="none" w:sz="0" w:space="0" w:color="auto"/>
          </w:divBdr>
          <w:divsChild>
            <w:div w:id="1547599851">
              <w:marLeft w:val="0"/>
              <w:marRight w:val="0"/>
              <w:marTop w:val="0"/>
              <w:marBottom w:val="0"/>
              <w:divBdr>
                <w:top w:val="none" w:sz="0" w:space="0" w:color="auto"/>
                <w:left w:val="none" w:sz="0" w:space="0" w:color="auto"/>
                <w:bottom w:val="none" w:sz="0" w:space="0" w:color="auto"/>
                <w:right w:val="none" w:sz="0" w:space="0" w:color="auto"/>
              </w:divBdr>
            </w:div>
          </w:divsChild>
        </w:div>
        <w:div w:id="386728812">
          <w:marLeft w:val="0"/>
          <w:marRight w:val="0"/>
          <w:marTop w:val="0"/>
          <w:marBottom w:val="0"/>
          <w:divBdr>
            <w:top w:val="none" w:sz="0" w:space="0" w:color="auto"/>
            <w:left w:val="none" w:sz="0" w:space="0" w:color="auto"/>
            <w:bottom w:val="none" w:sz="0" w:space="0" w:color="auto"/>
            <w:right w:val="none" w:sz="0" w:space="0" w:color="auto"/>
          </w:divBdr>
          <w:divsChild>
            <w:div w:id="1809007711">
              <w:marLeft w:val="0"/>
              <w:marRight w:val="0"/>
              <w:marTop w:val="0"/>
              <w:marBottom w:val="0"/>
              <w:divBdr>
                <w:top w:val="none" w:sz="0" w:space="0" w:color="auto"/>
                <w:left w:val="none" w:sz="0" w:space="0" w:color="auto"/>
                <w:bottom w:val="none" w:sz="0" w:space="0" w:color="auto"/>
                <w:right w:val="none" w:sz="0" w:space="0" w:color="auto"/>
              </w:divBdr>
            </w:div>
          </w:divsChild>
        </w:div>
        <w:div w:id="392628731">
          <w:marLeft w:val="0"/>
          <w:marRight w:val="0"/>
          <w:marTop w:val="0"/>
          <w:marBottom w:val="0"/>
          <w:divBdr>
            <w:top w:val="none" w:sz="0" w:space="0" w:color="auto"/>
            <w:left w:val="none" w:sz="0" w:space="0" w:color="auto"/>
            <w:bottom w:val="none" w:sz="0" w:space="0" w:color="auto"/>
            <w:right w:val="none" w:sz="0" w:space="0" w:color="auto"/>
          </w:divBdr>
          <w:divsChild>
            <w:div w:id="1974870199">
              <w:marLeft w:val="0"/>
              <w:marRight w:val="0"/>
              <w:marTop w:val="0"/>
              <w:marBottom w:val="0"/>
              <w:divBdr>
                <w:top w:val="none" w:sz="0" w:space="0" w:color="auto"/>
                <w:left w:val="none" w:sz="0" w:space="0" w:color="auto"/>
                <w:bottom w:val="none" w:sz="0" w:space="0" w:color="auto"/>
                <w:right w:val="none" w:sz="0" w:space="0" w:color="auto"/>
              </w:divBdr>
            </w:div>
          </w:divsChild>
        </w:div>
        <w:div w:id="438919196">
          <w:marLeft w:val="0"/>
          <w:marRight w:val="0"/>
          <w:marTop w:val="0"/>
          <w:marBottom w:val="0"/>
          <w:divBdr>
            <w:top w:val="none" w:sz="0" w:space="0" w:color="auto"/>
            <w:left w:val="none" w:sz="0" w:space="0" w:color="auto"/>
            <w:bottom w:val="none" w:sz="0" w:space="0" w:color="auto"/>
            <w:right w:val="none" w:sz="0" w:space="0" w:color="auto"/>
          </w:divBdr>
          <w:divsChild>
            <w:div w:id="131293328">
              <w:marLeft w:val="0"/>
              <w:marRight w:val="0"/>
              <w:marTop w:val="0"/>
              <w:marBottom w:val="0"/>
              <w:divBdr>
                <w:top w:val="none" w:sz="0" w:space="0" w:color="auto"/>
                <w:left w:val="none" w:sz="0" w:space="0" w:color="auto"/>
                <w:bottom w:val="none" w:sz="0" w:space="0" w:color="auto"/>
                <w:right w:val="none" w:sz="0" w:space="0" w:color="auto"/>
              </w:divBdr>
            </w:div>
          </w:divsChild>
        </w:div>
        <w:div w:id="613561396">
          <w:marLeft w:val="0"/>
          <w:marRight w:val="0"/>
          <w:marTop w:val="0"/>
          <w:marBottom w:val="0"/>
          <w:divBdr>
            <w:top w:val="none" w:sz="0" w:space="0" w:color="auto"/>
            <w:left w:val="none" w:sz="0" w:space="0" w:color="auto"/>
            <w:bottom w:val="none" w:sz="0" w:space="0" w:color="auto"/>
            <w:right w:val="none" w:sz="0" w:space="0" w:color="auto"/>
          </w:divBdr>
          <w:divsChild>
            <w:div w:id="449978468">
              <w:marLeft w:val="0"/>
              <w:marRight w:val="0"/>
              <w:marTop w:val="0"/>
              <w:marBottom w:val="0"/>
              <w:divBdr>
                <w:top w:val="none" w:sz="0" w:space="0" w:color="auto"/>
                <w:left w:val="none" w:sz="0" w:space="0" w:color="auto"/>
                <w:bottom w:val="none" w:sz="0" w:space="0" w:color="auto"/>
                <w:right w:val="none" w:sz="0" w:space="0" w:color="auto"/>
              </w:divBdr>
            </w:div>
          </w:divsChild>
        </w:div>
        <w:div w:id="624893774">
          <w:marLeft w:val="0"/>
          <w:marRight w:val="0"/>
          <w:marTop w:val="0"/>
          <w:marBottom w:val="0"/>
          <w:divBdr>
            <w:top w:val="none" w:sz="0" w:space="0" w:color="auto"/>
            <w:left w:val="none" w:sz="0" w:space="0" w:color="auto"/>
            <w:bottom w:val="none" w:sz="0" w:space="0" w:color="auto"/>
            <w:right w:val="none" w:sz="0" w:space="0" w:color="auto"/>
          </w:divBdr>
          <w:divsChild>
            <w:div w:id="459419836">
              <w:marLeft w:val="0"/>
              <w:marRight w:val="0"/>
              <w:marTop w:val="0"/>
              <w:marBottom w:val="0"/>
              <w:divBdr>
                <w:top w:val="none" w:sz="0" w:space="0" w:color="auto"/>
                <w:left w:val="none" w:sz="0" w:space="0" w:color="auto"/>
                <w:bottom w:val="none" w:sz="0" w:space="0" w:color="auto"/>
                <w:right w:val="none" w:sz="0" w:space="0" w:color="auto"/>
              </w:divBdr>
            </w:div>
          </w:divsChild>
        </w:div>
        <w:div w:id="627979822">
          <w:marLeft w:val="0"/>
          <w:marRight w:val="0"/>
          <w:marTop w:val="0"/>
          <w:marBottom w:val="0"/>
          <w:divBdr>
            <w:top w:val="none" w:sz="0" w:space="0" w:color="auto"/>
            <w:left w:val="none" w:sz="0" w:space="0" w:color="auto"/>
            <w:bottom w:val="none" w:sz="0" w:space="0" w:color="auto"/>
            <w:right w:val="none" w:sz="0" w:space="0" w:color="auto"/>
          </w:divBdr>
          <w:divsChild>
            <w:div w:id="919363421">
              <w:marLeft w:val="0"/>
              <w:marRight w:val="0"/>
              <w:marTop w:val="0"/>
              <w:marBottom w:val="0"/>
              <w:divBdr>
                <w:top w:val="none" w:sz="0" w:space="0" w:color="auto"/>
                <w:left w:val="none" w:sz="0" w:space="0" w:color="auto"/>
                <w:bottom w:val="none" w:sz="0" w:space="0" w:color="auto"/>
                <w:right w:val="none" w:sz="0" w:space="0" w:color="auto"/>
              </w:divBdr>
            </w:div>
          </w:divsChild>
        </w:div>
        <w:div w:id="639580092">
          <w:marLeft w:val="0"/>
          <w:marRight w:val="0"/>
          <w:marTop w:val="0"/>
          <w:marBottom w:val="0"/>
          <w:divBdr>
            <w:top w:val="none" w:sz="0" w:space="0" w:color="auto"/>
            <w:left w:val="none" w:sz="0" w:space="0" w:color="auto"/>
            <w:bottom w:val="none" w:sz="0" w:space="0" w:color="auto"/>
            <w:right w:val="none" w:sz="0" w:space="0" w:color="auto"/>
          </w:divBdr>
          <w:divsChild>
            <w:div w:id="826944436">
              <w:marLeft w:val="0"/>
              <w:marRight w:val="0"/>
              <w:marTop w:val="0"/>
              <w:marBottom w:val="0"/>
              <w:divBdr>
                <w:top w:val="none" w:sz="0" w:space="0" w:color="auto"/>
                <w:left w:val="none" w:sz="0" w:space="0" w:color="auto"/>
                <w:bottom w:val="none" w:sz="0" w:space="0" w:color="auto"/>
                <w:right w:val="none" w:sz="0" w:space="0" w:color="auto"/>
              </w:divBdr>
            </w:div>
          </w:divsChild>
        </w:div>
        <w:div w:id="711925574">
          <w:marLeft w:val="0"/>
          <w:marRight w:val="0"/>
          <w:marTop w:val="0"/>
          <w:marBottom w:val="0"/>
          <w:divBdr>
            <w:top w:val="none" w:sz="0" w:space="0" w:color="auto"/>
            <w:left w:val="none" w:sz="0" w:space="0" w:color="auto"/>
            <w:bottom w:val="none" w:sz="0" w:space="0" w:color="auto"/>
            <w:right w:val="none" w:sz="0" w:space="0" w:color="auto"/>
          </w:divBdr>
          <w:divsChild>
            <w:div w:id="1938248394">
              <w:marLeft w:val="0"/>
              <w:marRight w:val="0"/>
              <w:marTop w:val="0"/>
              <w:marBottom w:val="0"/>
              <w:divBdr>
                <w:top w:val="none" w:sz="0" w:space="0" w:color="auto"/>
                <w:left w:val="none" w:sz="0" w:space="0" w:color="auto"/>
                <w:bottom w:val="none" w:sz="0" w:space="0" w:color="auto"/>
                <w:right w:val="none" w:sz="0" w:space="0" w:color="auto"/>
              </w:divBdr>
            </w:div>
          </w:divsChild>
        </w:div>
        <w:div w:id="765536126">
          <w:marLeft w:val="0"/>
          <w:marRight w:val="0"/>
          <w:marTop w:val="0"/>
          <w:marBottom w:val="0"/>
          <w:divBdr>
            <w:top w:val="none" w:sz="0" w:space="0" w:color="auto"/>
            <w:left w:val="none" w:sz="0" w:space="0" w:color="auto"/>
            <w:bottom w:val="none" w:sz="0" w:space="0" w:color="auto"/>
            <w:right w:val="none" w:sz="0" w:space="0" w:color="auto"/>
          </w:divBdr>
          <w:divsChild>
            <w:div w:id="1825051700">
              <w:marLeft w:val="0"/>
              <w:marRight w:val="0"/>
              <w:marTop w:val="0"/>
              <w:marBottom w:val="0"/>
              <w:divBdr>
                <w:top w:val="none" w:sz="0" w:space="0" w:color="auto"/>
                <w:left w:val="none" w:sz="0" w:space="0" w:color="auto"/>
                <w:bottom w:val="none" w:sz="0" w:space="0" w:color="auto"/>
                <w:right w:val="none" w:sz="0" w:space="0" w:color="auto"/>
              </w:divBdr>
            </w:div>
          </w:divsChild>
        </w:div>
        <w:div w:id="791481336">
          <w:marLeft w:val="0"/>
          <w:marRight w:val="0"/>
          <w:marTop w:val="0"/>
          <w:marBottom w:val="0"/>
          <w:divBdr>
            <w:top w:val="none" w:sz="0" w:space="0" w:color="auto"/>
            <w:left w:val="none" w:sz="0" w:space="0" w:color="auto"/>
            <w:bottom w:val="none" w:sz="0" w:space="0" w:color="auto"/>
            <w:right w:val="none" w:sz="0" w:space="0" w:color="auto"/>
          </w:divBdr>
          <w:divsChild>
            <w:div w:id="542711001">
              <w:marLeft w:val="0"/>
              <w:marRight w:val="0"/>
              <w:marTop w:val="0"/>
              <w:marBottom w:val="0"/>
              <w:divBdr>
                <w:top w:val="none" w:sz="0" w:space="0" w:color="auto"/>
                <w:left w:val="none" w:sz="0" w:space="0" w:color="auto"/>
                <w:bottom w:val="none" w:sz="0" w:space="0" w:color="auto"/>
                <w:right w:val="none" w:sz="0" w:space="0" w:color="auto"/>
              </w:divBdr>
            </w:div>
          </w:divsChild>
        </w:div>
        <w:div w:id="808862914">
          <w:marLeft w:val="0"/>
          <w:marRight w:val="0"/>
          <w:marTop w:val="0"/>
          <w:marBottom w:val="0"/>
          <w:divBdr>
            <w:top w:val="none" w:sz="0" w:space="0" w:color="auto"/>
            <w:left w:val="none" w:sz="0" w:space="0" w:color="auto"/>
            <w:bottom w:val="none" w:sz="0" w:space="0" w:color="auto"/>
            <w:right w:val="none" w:sz="0" w:space="0" w:color="auto"/>
          </w:divBdr>
          <w:divsChild>
            <w:div w:id="1354916568">
              <w:marLeft w:val="0"/>
              <w:marRight w:val="0"/>
              <w:marTop w:val="0"/>
              <w:marBottom w:val="0"/>
              <w:divBdr>
                <w:top w:val="none" w:sz="0" w:space="0" w:color="auto"/>
                <w:left w:val="none" w:sz="0" w:space="0" w:color="auto"/>
                <w:bottom w:val="none" w:sz="0" w:space="0" w:color="auto"/>
                <w:right w:val="none" w:sz="0" w:space="0" w:color="auto"/>
              </w:divBdr>
            </w:div>
          </w:divsChild>
        </w:div>
        <w:div w:id="831064201">
          <w:marLeft w:val="0"/>
          <w:marRight w:val="0"/>
          <w:marTop w:val="0"/>
          <w:marBottom w:val="0"/>
          <w:divBdr>
            <w:top w:val="none" w:sz="0" w:space="0" w:color="auto"/>
            <w:left w:val="none" w:sz="0" w:space="0" w:color="auto"/>
            <w:bottom w:val="none" w:sz="0" w:space="0" w:color="auto"/>
            <w:right w:val="none" w:sz="0" w:space="0" w:color="auto"/>
          </w:divBdr>
          <w:divsChild>
            <w:div w:id="1626814429">
              <w:marLeft w:val="0"/>
              <w:marRight w:val="0"/>
              <w:marTop w:val="0"/>
              <w:marBottom w:val="0"/>
              <w:divBdr>
                <w:top w:val="none" w:sz="0" w:space="0" w:color="auto"/>
                <w:left w:val="none" w:sz="0" w:space="0" w:color="auto"/>
                <w:bottom w:val="none" w:sz="0" w:space="0" w:color="auto"/>
                <w:right w:val="none" w:sz="0" w:space="0" w:color="auto"/>
              </w:divBdr>
            </w:div>
          </w:divsChild>
        </w:div>
        <w:div w:id="925653514">
          <w:marLeft w:val="0"/>
          <w:marRight w:val="0"/>
          <w:marTop w:val="0"/>
          <w:marBottom w:val="0"/>
          <w:divBdr>
            <w:top w:val="none" w:sz="0" w:space="0" w:color="auto"/>
            <w:left w:val="none" w:sz="0" w:space="0" w:color="auto"/>
            <w:bottom w:val="none" w:sz="0" w:space="0" w:color="auto"/>
            <w:right w:val="none" w:sz="0" w:space="0" w:color="auto"/>
          </w:divBdr>
          <w:divsChild>
            <w:div w:id="684595667">
              <w:marLeft w:val="0"/>
              <w:marRight w:val="0"/>
              <w:marTop w:val="0"/>
              <w:marBottom w:val="0"/>
              <w:divBdr>
                <w:top w:val="none" w:sz="0" w:space="0" w:color="auto"/>
                <w:left w:val="none" w:sz="0" w:space="0" w:color="auto"/>
                <w:bottom w:val="none" w:sz="0" w:space="0" w:color="auto"/>
                <w:right w:val="none" w:sz="0" w:space="0" w:color="auto"/>
              </w:divBdr>
            </w:div>
          </w:divsChild>
        </w:div>
        <w:div w:id="939294379">
          <w:marLeft w:val="0"/>
          <w:marRight w:val="0"/>
          <w:marTop w:val="0"/>
          <w:marBottom w:val="0"/>
          <w:divBdr>
            <w:top w:val="none" w:sz="0" w:space="0" w:color="auto"/>
            <w:left w:val="none" w:sz="0" w:space="0" w:color="auto"/>
            <w:bottom w:val="none" w:sz="0" w:space="0" w:color="auto"/>
            <w:right w:val="none" w:sz="0" w:space="0" w:color="auto"/>
          </w:divBdr>
          <w:divsChild>
            <w:div w:id="1685861124">
              <w:marLeft w:val="0"/>
              <w:marRight w:val="0"/>
              <w:marTop w:val="0"/>
              <w:marBottom w:val="0"/>
              <w:divBdr>
                <w:top w:val="none" w:sz="0" w:space="0" w:color="auto"/>
                <w:left w:val="none" w:sz="0" w:space="0" w:color="auto"/>
                <w:bottom w:val="none" w:sz="0" w:space="0" w:color="auto"/>
                <w:right w:val="none" w:sz="0" w:space="0" w:color="auto"/>
              </w:divBdr>
            </w:div>
          </w:divsChild>
        </w:div>
        <w:div w:id="942299498">
          <w:marLeft w:val="0"/>
          <w:marRight w:val="0"/>
          <w:marTop w:val="0"/>
          <w:marBottom w:val="0"/>
          <w:divBdr>
            <w:top w:val="none" w:sz="0" w:space="0" w:color="auto"/>
            <w:left w:val="none" w:sz="0" w:space="0" w:color="auto"/>
            <w:bottom w:val="none" w:sz="0" w:space="0" w:color="auto"/>
            <w:right w:val="none" w:sz="0" w:space="0" w:color="auto"/>
          </w:divBdr>
          <w:divsChild>
            <w:div w:id="1323198252">
              <w:marLeft w:val="0"/>
              <w:marRight w:val="0"/>
              <w:marTop w:val="0"/>
              <w:marBottom w:val="0"/>
              <w:divBdr>
                <w:top w:val="none" w:sz="0" w:space="0" w:color="auto"/>
                <w:left w:val="none" w:sz="0" w:space="0" w:color="auto"/>
                <w:bottom w:val="none" w:sz="0" w:space="0" w:color="auto"/>
                <w:right w:val="none" w:sz="0" w:space="0" w:color="auto"/>
              </w:divBdr>
            </w:div>
          </w:divsChild>
        </w:div>
        <w:div w:id="972296793">
          <w:marLeft w:val="0"/>
          <w:marRight w:val="0"/>
          <w:marTop w:val="0"/>
          <w:marBottom w:val="0"/>
          <w:divBdr>
            <w:top w:val="none" w:sz="0" w:space="0" w:color="auto"/>
            <w:left w:val="none" w:sz="0" w:space="0" w:color="auto"/>
            <w:bottom w:val="none" w:sz="0" w:space="0" w:color="auto"/>
            <w:right w:val="none" w:sz="0" w:space="0" w:color="auto"/>
          </w:divBdr>
          <w:divsChild>
            <w:div w:id="65151970">
              <w:marLeft w:val="0"/>
              <w:marRight w:val="0"/>
              <w:marTop w:val="0"/>
              <w:marBottom w:val="0"/>
              <w:divBdr>
                <w:top w:val="none" w:sz="0" w:space="0" w:color="auto"/>
                <w:left w:val="none" w:sz="0" w:space="0" w:color="auto"/>
                <w:bottom w:val="none" w:sz="0" w:space="0" w:color="auto"/>
                <w:right w:val="none" w:sz="0" w:space="0" w:color="auto"/>
              </w:divBdr>
            </w:div>
          </w:divsChild>
        </w:div>
        <w:div w:id="1021393413">
          <w:marLeft w:val="0"/>
          <w:marRight w:val="0"/>
          <w:marTop w:val="0"/>
          <w:marBottom w:val="0"/>
          <w:divBdr>
            <w:top w:val="none" w:sz="0" w:space="0" w:color="auto"/>
            <w:left w:val="none" w:sz="0" w:space="0" w:color="auto"/>
            <w:bottom w:val="none" w:sz="0" w:space="0" w:color="auto"/>
            <w:right w:val="none" w:sz="0" w:space="0" w:color="auto"/>
          </w:divBdr>
          <w:divsChild>
            <w:div w:id="584850565">
              <w:marLeft w:val="0"/>
              <w:marRight w:val="0"/>
              <w:marTop w:val="0"/>
              <w:marBottom w:val="0"/>
              <w:divBdr>
                <w:top w:val="none" w:sz="0" w:space="0" w:color="auto"/>
                <w:left w:val="none" w:sz="0" w:space="0" w:color="auto"/>
                <w:bottom w:val="none" w:sz="0" w:space="0" w:color="auto"/>
                <w:right w:val="none" w:sz="0" w:space="0" w:color="auto"/>
              </w:divBdr>
            </w:div>
          </w:divsChild>
        </w:div>
        <w:div w:id="1075281013">
          <w:marLeft w:val="0"/>
          <w:marRight w:val="0"/>
          <w:marTop w:val="0"/>
          <w:marBottom w:val="0"/>
          <w:divBdr>
            <w:top w:val="none" w:sz="0" w:space="0" w:color="auto"/>
            <w:left w:val="none" w:sz="0" w:space="0" w:color="auto"/>
            <w:bottom w:val="none" w:sz="0" w:space="0" w:color="auto"/>
            <w:right w:val="none" w:sz="0" w:space="0" w:color="auto"/>
          </w:divBdr>
          <w:divsChild>
            <w:div w:id="164169547">
              <w:marLeft w:val="0"/>
              <w:marRight w:val="0"/>
              <w:marTop w:val="0"/>
              <w:marBottom w:val="0"/>
              <w:divBdr>
                <w:top w:val="none" w:sz="0" w:space="0" w:color="auto"/>
                <w:left w:val="none" w:sz="0" w:space="0" w:color="auto"/>
                <w:bottom w:val="none" w:sz="0" w:space="0" w:color="auto"/>
                <w:right w:val="none" w:sz="0" w:space="0" w:color="auto"/>
              </w:divBdr>
            </w:div>
          </w:divsChild>
        </w:div>
        <w:div w:id="1085029270">
          <w:marLeft w:val="0"/>
          <w:marRight w:val="0"/>
          <w:marTop w:val="0"/>
          <w:marBottom w:val="0"/>
          <w:divBdr>
            <w:top w:val="none" w:sz="0" w:space="0" w:color="auto"/>
            <w:left w:val="none" w:sz="0" w:space="0" w:color="auto"/>
            <w:bottom w:val="none" w:sz="0" w:space="0" w:color="auto"/>
            <w:right w:val="none" w:sz="0" w:space="0" w:color="auto"/>
          </w:divBdr>
          <w:divsChild>
            <w:div w:id="533268322">
              <w:marLeft w:val="0"/>
              <w:marRight w:val="0"/>
              <w:marTop w:val="0"/>
              <w:marBottom w:val="0"/>
              <w:divBdr>
                <w:top w:val="none" w:sz="0" w:space="0" w:color="auto"/>
                <w:left w:val="none" w:sz="0" w:space="0" w:color="auto"/>
                <w:bottom w:val="none" w:sz="0" w:space="0" w:color="auto"/>
                <w:right w:val="none" w:sz="0" w:space="0" w:color="auto"/>
              </w:divBdr>
            </w:div>
          </w:divsChild>
        </w:div>
        <w:div w:id="1115832990">
          <w:marLeft w:val="0"/>
          <w:marRight w:val="0"/>
          <w:marTop w:val="0"/>
          <w:marBottom w:val="0"/>
          <w:divBdr>
            <w:top w:val="none" w:sz="0" w:space="0" w:color="auto"/>
            <w:left w:val="none" w:sz="0" w:space="0" w:color="auto"/>
            <w:bottom w:val="none" w:sz="0" w:space="0" w:color="auto"/>
            <w:right w:val="none" w:sz="0" w:space="0" w:color="auto"/>
          </w:divBdr>
          <w:divsChild>
            <w:div w:id="2063558488">
              <w:marLeft w:val="0"/>
              <w:marRight w:val="0"/>
              <w:marTop w:val="0"/>
              <w:marBottom w:val="0"/>
              <w:divBdr>
                <w:top w:val="none" w:sz="0" w:space="0" w:color="auto"/>
                <w:left w:val="none" w:sz="0" w:space="0" w:color="auto"/>
                <w:bottom w:val="none" w:sz="0" w:space="0" w:color="auto"/>
                <w:right w:val="none" w:sz="0" w:space="0" w:color="auto"/>
              </w:divBdr>
            </w:div>
          </w:divsChild>
        </w:div>
        <w:div w:id="1135025689">
          <w:marLeft w:val="0"/>
          <w:marRight w:val="0"/>
          <w:marTop w:val="0"/>
          <w:marBottom w:val="0"/>
          <w:divBdr>
            <w:top w:val="none" w:sz="0" w:space="0" w:color="auto"/>
            <w:left w:val="none" w:sz="0" w:space="0" w:color="auto"/>
            <w:bottom w:val="none" w:sz="0" w:space="0" w:color="auto"/>
            <w:right w:val="none" w:sz="0" w:space="0" w:color="auto"/>
          </w:divBdr>
          <w:divsChild>
            <w:div w:id="1057245327">
              <w:marLeft w:val="0"/>
              <w:marRight w:val="0"/>
              <w:marTop w:val="0"/>
              <w:marBottom w:val="0"/>
              <w:divBdr>
                <w:top w:val="none" w:sz="0" w:space="0" w:color="auto"/>
                <w:left w:val="none" w:sz="0" w:space="0" w:color="auto"/>
                <w:bottom w:val="none" w:sz="0" w:space="0" w:color="auto"/>
                <w:right w:val="none" w:sz="0" w:space="0" w:color="auto"/>
              </w:divBdr>
            </w:div>
          </w:divsChild>
        </w:div>
        <w:div w:id="1159617864">
          <w:marLeft w:val="0"/>
          <w:marRight w:val="0"/>
          <w:marTop w:val="0"/>
          <w:marBottom w:val="0"/>
          <w:divBdr>
            <w:top w:val="none" w:sz="0" w:space="0" w:color="auto"/>
            <w:left w:val="none" w:sz="0" w:space="0" w:color="auto"/>
            <w:bottom w:val="none" w:sz="0" w:space="0" w:color="auto"/>
            <w:right w:val="none" w:sz="0" w:space="0" w:color="auto"/>
          </w:divBdr>
          <w:divsChild>
            <w:div w:id="354815652">
              <w:marLeft w:val="0"/>
              <w:marRight w:val="0"/>
              <w:marTop w:val="0"/>
              <w:marBottom w:val="0"/>
              <w:divBdr>
                <w:top w:val="none" w:sz="0" w:space="0" w:color="auto"/>
                <w:left w:val="none" w:sz="0" w:space="0" w:color="auto"/>
                <w:bottom w:val="none" w:sz="0" w:space="0" w:color="auto"/>
                <w:right w:val="none" w:sz="0" w:space="0" w:color="auto"/>
              </w:divBdr>
            </w:div>
          </w:divsChild>
        </w:div>
        <w:div w:id="1160850157">
          <w:marLeft w:val="0"/>
          <w:marRight w:val="0"/>
          <w:marTop w:val="0"/>
          <w:marBottom w:val="0"/>
          <w:divBdr>
            <w:top w:val="none" w:sz="0" w:space="0" w:color="auto"/>
            <w:left w:val="none" w:sz="0" w:space="0" w:color="auto"/>
            <w:bottom w:val="none" w:sz="0" w:space="0" w:color="auto"/>
            <w:right w:val="none" w:sz="0" w:space="0" w:color="auto"/>
          </w:divBdr>
          <w:divsChild>
            <w:div w:id="654455233">
              <w:marLeft w:val="0"/>
              <w:marRight w:val="0"/>
              <w:marTop w:val="0"/>
              <w:marBottom w:val="0"/>
              <w:divBdr>
                <w:top w:val="none" w:sz="0" w:space="0" w:color="auto"/>
                <w:left w:val="none" w:sz="0" w:space="0" w:color="auto"/>
                <w:bottom w:val="none" w:sz="0" w:space="0" w:color="auto"/>
                <w:right w:val="none" w:sz="0" w:space="0" w:color="auto"/>
              </w:divBdr>
            </w:div>
          </w:divsChild>
        </w:div>
        <w:div w:id="1179201793">
          <w:marLeft w:val="0"/>
          <w:marRight w:val="0"/>
          <w:marTop w:val="0"/>
          <w:marBottom w:val="0"/>
          <w:divBdr>
            <w:top w:val="none" w:sz="0" w:space="0" w:color="auto"/>
            <w:left w:val="none" w:sz="0" w:space="0" w:color="auto"/>
            <w:bottom w:val="none" w:sz="0" w:space="0" w:color="auto"/>
            <w:right w:val="none" w:sz="0" w:space="0" w:color="auto"/>
          </w:divBdr>
          <w:divsChild>
            <w:div w:id="1279334830">
              <w:marLeft w:val="0"/>
              <w:marRight w:val="0"/>
              <w:marTop w:val="0"/>
              <w:marBottom w:val="0"/>
              <w:divBdr>
                <w:top w:val="none" w:sz="0" w:space="0" w:color="auto"/>
                <w:left w:val="none" w:sz="0" w:space="0" w:color="auto"/>
                <w:bottom w:val="none" w:sz="0" w:space="0" w:color="auto"/>
                <w:right w:val="none" w:sz="0" w:space="0" w:color="auto"/>
              </w:divBdr>
            </w:div>
          </w:divsChild>
        </w:div>
        <w:div w:id="1297418945">
          <w:marLeft w:val="0"/>
          <w:marRight w:val="0"/>
          <w:marTop w:val="0"/>
          <w:marBottom w:val="0"/>
          <w:divBdr>
            <w:top w:val="none" w:sz="0" w:space="0" w:color="auto"/>
            <w:left w:val="none" w:sz="0" w:space="0" w:color="auto"/>
            <w:bottom w:val="none" w:sz="0" w:space="0" w:color="auto"/>
            <w:right w:val="none" w:sz="0" w:space="0" w:color="auto"/>
          </w:divBdr>
          <w:divsChild>
            <w:div w:id="1421023856">
              <w:marLeft w:val="0"/>
              <w:marRight w:val="0"/>
              <w:marTop w:val="0"/>
              <w:marBottom w:val="0"/>
              <w:divBdr>
                <w:top w:val="none" w:sz="0" w:space="0" w:color="auto"/>
                <w:left w:val="none" w:sz="0" w:space="0" w:color="auto"/>
                <w:bottom w:val="none" w:sz="0" w:space="0" w:color="auto"/>
                <w:right w:val="none" w:sz="0" w:space="0" w:color="auto"/>
              </w:divBdr>
            </w:div>
          </w:divsChild>
        </w:div>
        <w:div w:id="1341539433">
          <w:marLeft w:val="0"/>
          <w:marRight w:val="0"/>
          <w:marTop w:val="0"/>
          <w:marBottom w:val="0"/>
          <w:divBdr>
            <w:top w:val="none" w:sz="0" w:space="0" w:color="auto"/>
            <w:left w:val="none" w:sz="0" w:space="0" w:color="auto"/>
            <w:bottom w:val="none" w:sz="0" w:space="0" w:color="auto"/>
            <w:right w:val="none" w:sz="0" w:space="0" w:color="auto"/>
          </w:divBdr>
          <w:divsChild>
            <w:div w:id="206993632">
              <w:marLeft w:val="0"/>
              <w:marRight w:val="0"/>
              <w:marTop w:val="0"/>
              <w:marBottom w:val="0"/>
              <w:divBdr>
                <w:top w:val="none" w:sz="0" w:space="0" w:color="auto"/>
                <w:left w:val="none" w:sz="0" w:space="0" w:color="auto"/>
                <w:bottom w:val="none" w:sz="0" w:space="0" w:color="auto"/>
                <w:right w:val="none" w:sz="0" w:space="0" w:color="auto"/>
              </w:divBdr>
            </w:div>
          </w:divsChild>
        </w:div>
        <w:div w:id="1356271457">
          <w:marLeft w:val="0"/>
          <w:marRight w:val="0"/>
          <w:marTop w:val="0"/>
          <w:marBottom w:val="0"/>
          <w:divBdr>
            <w:top w:val="none" w:sz="0" w:space="0" w:color="auto"/>
            <w:left w:val="none" w:sz="0" w:space="0" w:color="auto"/>
            <w:bottom w:val="none" w:sz="0" w:space="0" w:color="auto"/>
            <w:right w:val="none" w:sz="0" w:space="0" w:color="auto"/>
          </w:divBdr>
          <w:divsChild>
            <w:div w:id="273445461">
              <w:marLeft w:val="0"/>
              <w:marRight w:val="0"/>
              <w:marTop w:val="0"/>
              <w:marBottom w:val="0"/>
              <w:divBdr>
                <w:top w:val="none" w:sz="0" w:space="0" w:color="auto"/>
                <w:left w:val="none" w:sz="0" w:space="0" w:color="auto"/>
                <w:bottom w:val="none" w:sz="0" w:space="0" w:color="auto"/>
                <w:right w:val="none" w:sz="0" w:space="0" w:color="auto"/>
              </w:divBdr>
            </w:div>
          </w:divsChild>
        </w:div>
        <w:div w:id="1378044034">
          <w:marLeft w:val="0"/>
          <w:marRight w:val="0"/>
          <w:marTop w:val="0"/>
          <w:marBottom w:val="0"/>
          <w:divBdr>
            <w:top w:val="none" w:sz="0" w:space="0" w:color="auto"/>
            <w:left w:val="none" w:sz="0" w:space="0" w:color="auto"/>
            <w:bottom w:val="none" w:sz="0" w:space="0" w:color="auto"/>
            <w:right w:val="none" w:sz="0" w:space="0" w:color="auto"/>
          </w:divBdr>
          <w:divsChild>
            <w:div w:id="1879663201">
              <w:marLeft w:val="0"/>
              <w:marRight w:val="0"/>
              <w:marTop w:val="0"/>
              <w:marBottom w:val="0"/>
              <w:divBdr>
                <w:top w:val="none" w:sz="0" w:space="0" w:color="auto"/>
                <w:left w:val="none" w:sz="0" w:space="0" w:color="auto"/>
                <w:bottom w:val="none" w:sz="0" w:space="0" w:color="auto"/>
                <w:right w:val="none" w:sz="0" w:space="0" w:color="auto"/>
              </w:divBdr>
            </w:div>
          </w:divsChild>
        </w:div>
        <w:div w:id="1412577364">
          <w:marLeft w:val="0"/>
          <w:marRight w:val="0"/>
          <w:marTop w:val="0"/>
          <w:marBottom w:val="0"/>
          <w:divBdr>
            <w:top w:val="none" w:sz="0" w:space="0" w:color="auto"/>
            <w:left w:val="none" w:sz="0" w:space="0" w:color="auto"/>
            <w:bottom w:val="none" w:sz="0" w:space="0" w:color="auto"/>
            <w:right w:val="none" w:sz="0" w:space="0" w:color="auto"/>
          </w:divBdr>
          <w:divsChild>
            <w:div w:id="1067385795">
              <w:marLeft w:val="0"/>
              <w:marRight w:val="0"/>
              <w:marTop w:val="0"/>
              <w:marBottom w:val="0"/>
              <w:divBdr>
                <w:top w:val="none" w:sz="0" w:space="0" w:color="auto"/>
                <w:left w:val="none" w:sz="0" w:space="0" w:color="auto"/>
                <w:bottom w:val="none" w:sz="0" w:space="0" w:color="auto"/>
                <w:right w:val="none" w:sz="0" w:space="0" w:color="auto"/>
              </w:divBdr>
            </w:div>
          </w:divsChild>
        </w:div>
        <w:div w:id="1416051224">
          <w:marLeft w:val="0"/>
          <w:marRight w:val="0"/>
          <w:marTop w:val="0"/>
          <w:marBottom w:val="0"/>
          <w:divBdr>
            <w:top w:val="none" w:sz="0" w:space="0" w:color="auto"/>
            <w:left w:val="none" w:sz="0" w:space="0" w:color="auto"/>
            <w:bottom w:val="none" w:sz="0" w:space="0" w:color="auto"/>
            <w:right w:val="none" w:sz="0" w:space="0" w:color="auto"/>
          </w:divBdr>
          <w:divsChild>
            <w:div w:id="14812783">
              <w:marLeft w:val="0"/>
              <w:marRight w:val="0"/>
              <w:marTop w:val="0"/>
              <w:marBottom w:val="0"/>
              <w:divBdr>
                <w:top w:val="none" w:sz="0" w:space="0" w:color="auto"/>
                <w:left w:val="none" w:sz="0" w:space="0" w:color="auto"/>
                <w:bottom w:val="none" w:sz="0" w:space="0" w:color="auto"/>
                <w:right w:val="none" w:sz="0" w:space="0" w:color="auto"/>
              </w:divBdr>
            </w:div>
          </w:divsChild>
        </w:div>
        <w:div w:id="1428767251">
          <w:marLeft w:val="0"/>
          <w:marRight w:val="0"/>
          <w:marTop w:val="0"/>
          <w:marBottom w:val="0"/>
          <w:divBdr>
            <w:top w:val="none" w:sz="0" w:space="0" w:color="auto"/>
            <w:left w:val="none" w:sz="0" w:space="0" w:color="auto"/>
            <w:bottom w:val="none" w:sz="0" w:space="0" w:color="auto"/>
            <w:right w:val="none" w:sz="0" w:space="0" w:color="auto"/>
          </w:divBdr>
          <w:divsChild>
            <w:div w:id="1680153894">
              <w:marLeft w:val="0"/>
              <w:marRight w:val="0"/>
              <w:marTop w:val="0"/>
              <w:marBottom w:val="0"/>
              <w:divBdr>
                <w:top w:val="none" w:sz="0" w:space="0" w:color="auto"/>
                <w:left w:val="none" w:sz="0" w:space="0" w:color="auto"/>
                <w:bottom w:val="none" w:sz="0" w:space="0" w:color="auto"/>
                <w:right w:val="none" w:sz="0" w:space="0" w:color="auto"/>
              </w:divBdr>
            </w:div>
          </w:divsChild>
        </w:div>
        <w:div w:id="1444418069">
          <w:marLeft w:val="0"/>
          <w:marRight w:val="0"/>
          <w:marTop w:val="0"/>
          <w:marBottom w:val="0"/>
          <w:divBdr>
            <w:top w:val="none" w:sz="0" w:space="0" w:color="auto"/>
            <w:left w:val="none" w:sz="0" w:space="0" w:color="auto"/>
            <w:bottom w:val="none" w:sz="0" w:space="0" w:color="auto"/>
            <w:right w:val="none" w:sz="0" w:space="0" w:color="auto"/>
          </w:divBdr>
          <w:divsChild>
            <w:div w:id="1869222672">
              <w:marLeft w:val="0"/>
              <w:marRight w:val="0"/>
              <w:marTop w:val="0"/>
              <w:marBottom w:val="0"/>
              <w:divBdr>
                <w:top w:val="none" w:sz="0" w:space="0" w:color="auto"/>
                <w:left w:val="none" w:sz="0" w:space="0" w:color="auto"/>
                <w:bottom w:val="none" w:sz="0" w:space="0" w:color="auto"/>
                <w:right w:val="none" w:sz="0" w:space="0" w:color="auto"/>
              </w:divBdr>
            </w:div>
          </w:divsChild>
        </w:div>
        <w:div w:id="1454593582">
          <w:marLeft w:val="0"/>
          <w:marRight w:val="0"/>
          <w:marTop w:val="0"/>
          <w:marBottom w:val="0"/>
          <w:divBdr>
            <w:top w:val="none" w:sz="0" w:space="0" w:color="auto"/>
            <w:left w:val="none" w:sz="0" w:space="0" w:color="auto"/>
            <w:bottom w:val="none" w:sz="0" w:space="0" w:color="auto"/>
            <w:right w:val="none" w:sz="0" w:space="0" w:color="auto"/>
          </w:divBdr>
          <w:divsChild>
            <w:div w:id="1640301537">
              <w:marLeft w:val="0"/>
              <w:marRight w:val="0"/>
              <w:marTop w:val="0"/>
              <w:marBottom w:val="0"/>
              <w:divBdr>
                <w:top w:val="none" w:sz="0" w:space="0" w:color="auto"/>
                <w:left w:val="none" w:sz="0" w:space="0" w:color="auto"/>
                <w:bottom w:val="none" w:sz="0" w:space="0" w:color="auto"/>
                <w:right w:val="none" w:sz="0" w:space="0" w:color="auto"/>
              </w:divBdr>
            </w:div>
          </w:divsChild>
        </w:div>
        <w:div w:id="1484195602">
          <w:marLeft w:val="0"/>
          <w:marRight w:val="0"/>
          <w:marTop w:val="0"/>
          <w:marBottom w:val="0"/>
          <w:divBdr>
            <w:top w:val="none" w:sz="0" w:space="0" w:color="auto"/>
            <w:left w:val="none" w:sz="0" w:space="0" w:color="auto"/>
            <w:bottom w:val="none" w:sz="0" w:space="0" w:color="auto"/>
            <w:right w:val="none" w:sz="0" w:space="0" w:color="auto"/>
          </w:divBdr>
          <w:divsChild>
            <w:div w:id="654072907">
              <w:marLeft w:val="0"/>
              <w:marRight w:val="0"/>
              <w:marTop w:val="0"/>
              <w:marBottom w:val="0"/>
              <w:divBdr>
                <w:top w:val="none" w:sz="0" w:space="0" w:color="auto"/>
                <w:left w:val="none" w:sz="0" w:space="0" w:color="auto"/>
                <w:bottom w:val="none" w:sz="0" w:space="0" w:color="auto"/>
                <w:right w:val="none" w:sz="0" w:space="0" w:color="auto"/>
              </w:divBdr>
            </w:div>
          </w:divsChild>
        </w:div>
        <w:div w:id="1489516458">
          <w:marLeft w:val="0"/>
          <w:marRight w:val="0"/>
          <w:marTop w:val="0"/>
          <w:marBottom w:val="0"/>
          <w:divBdr>
            <w:top w:val="none" w:sz="0" w:space="0" w:color="auto"/>
            <w:left w:val="none" w:sz="0" w:space="0" w:color="auto"/>
            <w:bottom w:val="none" w:sz="0" w:space="0" w:color="auto"/>
            <w:right w:val="none" w:sz="0" w:space="0" w:color="auto"/>
          </w:divBdr>
          <w:divsChild>
            <w:div w:id="2011790354">
              <w:marLeft w:val="0"/>
              <w:marRight w:val="0"/>
              <w:marTop w:val="0"/>
              <w:marBottom w:val="0"/>
              <w:divBdr>
                <w:top w:val="none" w:sz="0" w:space="0" w:color="auto"/>
                <w:left w:val="none" w:sz="0" w:space="0" w:color="auto"/>
                <w:bottom w:val="none" w:sz="0" w:space="0" w:color="auto"/>
                <w:right w:val="none" w:sz="0" w:space="0" w:color="auto"/>
              </w:divBdr>
            </w:div>
          </w:divsChild>
        </w:div>
        <w:div w:id="1506750383">
          <w:marLeft w:val="0"/>
          <w:marRight w:val="0"/>
          <w:marTop w:val="0"/>
          <w:marBottom w:val="0"/>
          <w:divBdr>
            <w:top w:val="none" w:sz="0" w:space="0" w:color="auto"/>
            <w:left w:val="none" w:sz="0" w:space="0" w:color="auto"/>
            <w:bottom w:val="none" w:sz="0" w:space="0" w:color="auto"/>
            <w:right w:val="none" w:sz="0" w:space="0" w:color="auto"/>
          </w:divBdr>
          <w:divsChild>
            <w:div w:id="617025179">
              <w:marLeft w:val="0"/>
              <w:marRight w:val="0"/>
              <w:marTop w:val="0"/>
              <w:marBottom w:val="0"/>
              <w:divBdr>
                <w:top w:val="none" w:sz="0" w:space="0" w:color="auto"/>
                <w:left w:val="none" w:sz="0" w:space="0" w:color="auto"/>
                <w:bottom w:val="none" w:sz="0" w:space="0" w:color="auto"/>
                <w:right w:val="none" w:sz="0" w:space="0" w:color="auto"/>
              </w:divBdr>
            </w:div>
          </w:divsChild>
        </w:div>
        <w:div w:id="1507133173">
          <w:marLeft w:val="0"/>
          <w:marRight w:val="0"/>
          <w:marTop w:val="0"/>
          <w:marBottom w:val="0"/>
          <w:divBdr>
            <w:top w:val="none" w:sz="0" w:space="0" w:color="auto"/>
            <w:left w:val="none" w:sz="0" w:space="0" w:color="auto"/>
            <w:bottom w:val="none" w:sz="0" w:space="0" w:color="auto"/>
            <w:right w:val="none" w:sz="0" w:space="0" w:color="auto"/>
          </w:divBdr>
          <w:divsChild>
            <w:div w:id="1511219079">
              <w:marLeft w:val="0"/>
              <w:marRight w:val="0"/>
              <w:marTop w:val="0"/>
              <w:marBottom w:val="0"/>
              <w:divBdr>
                <w:top w:val="none" w:sz="0" w:space="0" w:color="auto"/>
                <w:left w:val="none" w:sz="0" w:space="0" w:color="auto"/>
                <w:bottom w:val="none" w:sz="0" w:space="0" w:color="auto"/>
                <w:right w:val="none" w:sz="0" w:space="0" w:color="auto"/>
              </w:divBdr>
            </w:div>
          </w:divsChild>
        </w:div>
        <w:div w:id="1517187757">
          <w:marLeft w:val="0"/>
          <w:marRight w:val="0"/>
          <w:marTop w:val="0"/>
          <w:marBottom w:val="0"/>
          <w:divBdr>
            <w:top w:val="none" w:sz="0" w:space="0" w:color="auto"/>
            <w:left w:val="none" w:sz="0" w:space="0" w:color="auto"/>
            <w:bottom w:val="none" w:sz="0" w:space="0" w:color="auto"/>
            <w:right w:val="none" w:sz="0" w:space="0" w:color="auto"/>
          </w:divBdr>
          <w:divsChild>
            <w:div w:id="1157066852">
              <w:marLeft w:val="0"/>
              <w:marRight w:val="0"/>
              <w:marTop w:val="0"/>
              <w:marBottom w:val="0"/>
              <w:divBdr>
                <w:top w:val="none" w:sz="0" w:space="0" w:color="auto"/>
                <w:left w:val="none" w:sz="0" w:space="0" w:color="auto"/>
                <w:bottom w:val="none" w:sz="0" w:space="0" w:color="auto"/>
                <w:right w:val="none" w:sz="0" w:space="0" w:color="auto"/>
              </w:divBdr>
            </w:div>
          </w:divsChild>
        </w:div>
        <w:div w:id="1547986667">
          <w:marLeft w:val="0"/>
          <w:marRight w:val="0"/>
          <w:marTop w:val="0"/>
          <w:marBottom w:val="0"/>
          <w:divBdr>
            <w:top w:val="none" w:sz="0" w:space="0" w:color="auto"/>
            <w:left w:val="none" w:sz="0" w:space="0" w:color="auto"/>
            <w:bottom w:val="none" w:sz="0" w:space="0" w:color="auto"/>
            <w:right w:val="none" w:sz="0" w:space="0" w:color="auto"/>
          </w:divBdr>
          <w:divsChild>
            <w:div w:id="870075870">
              <w:marLeft w:val="0"/>
              <w:marRight w:val="0"/>
              <w:marTop w:val="0"/>
              <w:marBottom w:val="0"/>
              <w:divBdr>
                <w:top w:val="none" w:sz="0" w:space="0" w:color="auto"/>
                <w:left w:val="none" w:sz="0" w:space="0" w:color="auto"/>
                <w:bottom w:val="none" w:sz="0" w:space="0" w:color="auto"/>
                <w:right w:val="none" w:sz="0" w:space="0" w:color="auto"/>
              </w:divBdr>
            </w:div>
          </w:divsChild>
        </w:div>
        <w:div w:id="1598563948">
          <w:marLeft w:val="0"/>
          <w:marRight w:val="0"/>
          <w:marTop w:val="0"/>
          <w:marBottom w:val="0"/>
          <w:divBdr>
            <w:top w:val="none" w:sz="0" w:space="0" w:color="auto"/>
            <w:left w:val="none" w:sz="0" w:space="0" w:color="auto"/>
            <w:bottom w:val="none" w:sz="0" w:space="0" w:color="auto"/>
            <w:right w:val="none" w:sz="0" w:space="0" w:color="auto"/>
          </w:divBdr>
          <w:divsChild>
            <w:div w:id="1661810140">
              <w:marLeft w:val="0"/>
              <w:marRight w:val="0"/>
              <w:marTop w:val="0"/>
              <w:marBottom w:val="0"/>
              <w:divBdr>
                <w:top w:val="none" w:sz="0" w:space="0" w:color="auto"/>
                <w:left w:val="none" w:sz="0" w:space="0" w:color="auto"/>
                <w:bottom w:val="none" w:sz="0" w:space="0" w:color="auto"/>
                <w:right w:val="none" w:sz="0" w:space="0" w:color="auto"/>
              </w:divBdr>
            </w:div>
          </w:divsChild>
        </w:div>
        <w:div w:id="1619683585">
          <w:marLeft w:val="0"/>
          <w:marRight w:val="0"/>
          <w:marTop w:val="0"/>
          <w:marBottom w:val="0"/>
          <w:divBdr>
            <w:top w:val="none" w:sz="0" w:space="0" w:color="auto"/>
            <w:left w:val="none" w:sz="0" w:space="0" w:color="auto"/>
            <w:bottom w:val="none" w:sz="0" w:space="0" w:color="auto"/>
            <w:right w:val="none" w:sz="0" w:space="0" w:color="auto"/>
          </w:divBdr>
          <w:divsChild>
            <w:div w:id="112752637">
              <w:marLeft w:val="0"/>
              <w:marRight w:val="0"/>
              <w:marTop w:val="0"/>
              <w:marBottom w:val="0"/>
              <w:divBdr>
                <w:top w:val="none" w:sz="0" w:space="0" w:color="auto"/>
                <w:left w:val="none" w:sz="0" w:space="0" w:color="auto"/>
                <w:bottom w:val="none" w:sz="0" w:space="0" w:color="auto"/>
                <w:right w:val="none" w:sz="0" w:space="0" w:color="auto"/>
              </w:divBdr>
            </w:div>
          </w:divsChild>
        </w:div>
        <w:div w:id="1665737293">
          <w:marLeft w:val="0"/>
          <w:marRight w:val="0"/>
          <w:marTop w:val="0"/>
          <w:marBottom w:val="0"/>
          <w:divBdr>
            <w:top w:val="none" w:sz="0" w:space="0" w:color="auto"/>
            <w:left w:val="none" w:sz="0" w:space="0" w:color="auto"/>
            <w:bottom w:val="none" w:sz="0" w:space="0" w:color="auto"/>
            <w:right w:val="none" w:sz="0" w:space="0" w:color="auto"/>
          </w:divBdr>
          <w:divsChild>
            <w:div w:id="72358069">
              <w:marLeft w:val="0"/>
              <w:marRight w:val="0"/>
              <w:marTop w:val="0"/>
              <w:marBottom w:val="0"/>
              <w:divBdr>
                <w:top w:val="none" w:sz="0" w:space="0" w:color="auto"/>
                <w:left w:val="none" w:sz="0" w:space="0" w:color="auto"/>
                <w:bottom w:val="none" w:sz="0" w:space="0" w:color="auto"/>
                <w:right w:val="none" w:sz="0" w:space="0" w:color="auto"/>
              </w:divBdr>
            </w:div>
          </w:divsChild>
        </w:div>
        <w:div w:id="1703164977">
          <w:marLeft w:val="0"/>
          <w:marRight w:val="0"/>
          <w:marTop w:val="0"/>
          <w:marBottom w:val="0"/>
          <w:divBdr>
            <w:top w:val="none" w:sz="0" w:space="0" w:color="auto"/>
            <w:left w:val="none" w:sz="0" w:space="0" w:color="auto"/>
            <w:bottom w:val="none" w:sz="0" w:space="0" w:color="auto"/>
            <w:right w:val="none" w:sz="0" w:space="0" w:color="auto"/>
          </w:divBdr>
          <w:divsChild>
            <w:div w:id="22753376">
              <w:marLeft w:val="0"/>
              <w:marRight w:val="0"/>
              <w:marTop w:val="0"/>
              <w:marBottom w:val="0"/>
              <w:divBdr>
                <w:top w:val="none" w:sz="0" w:space="0" w:color="auto"/>
                <w:left w:val="none" w:sz="0" w:space="0" w:color="auto"/>
                <w:bottom w:val="none" w:sz="0" w:space="0" w:color="auto"/>
                <w:right w:val="none" w:sz="0" w:space="0" w:color="auto"/>
              </w:divBdr>
            </w:div>
          </w:divsChild>
        </w:div>
        <w:div w:id="1709601024">
          <w:marLeft w:val="0"/>
          <w:marRight w:val="0"/>
          <w:marTop w:val="0"/>
          <w:marBottom w:val="0"/>
          <w:divBdr>
            <w:top w:val="none" w:sz="0" w:space="0" w:color="auto"/>
            <w:left w:val="none" w:sz="0" w:space="0" w:color="auto"/>
            <w:bottom w:val="none" w:sz="0" w:space="0" w:color="auto"/>
            <w:right w:val="none" w:sz="0" w:space="0" w:color="auto"/>
          </w:divBdr>
          <w:divsChild>
            <w:div w:id="60490064">
              <w:marLeft w:val="0"/>
              <w:marRight w:val="0"/>
              <w:marTop w:val="0"/>
              <w:marBottom w:val="0"/>
              <w:divBdr>
                <w:top w:val="none" w:sz="0" w:space="0" w:color="auto"/>
                <w:left w:val="none" w:sz="0" w:space="0" w:color="auto"/>
                <w:bottom w:val="none" w:sz="0" w:space="0" w:color="auto"/>
                <w:right w:val="none" w:sz="0" w:space="0" w:color="auto"/>
              </w:divBdr>
            </w:div>
          </w:divsChild>
        </w:div>
        <w:div w:id="1723015414">
          <w:marLeft w:val="0"/>
          <w:marRight w:val="0"/>
          <w:marTop w:val="0"/>
          <w:marBottom w:val="0"/>
          <w:divBdr>
            <w:top w:val="none" w:sz="0" w:space="0" w:color="auto"/>
            <w:left w:val="none" w:sz="0" w:space="0" w:color="auto"/>
            <w:bottom w:val="none" w:sz="0" w:space="0" w:color="auto"/>
            <w:right w:val="none" w:sz="0" w:space="0" w:color="auto"/>
          </w:divBdr>
          <w:divsChild>
            <w:div w:id="678115868">
              <w:marLeft w:val="0"/>
              <w:marRight w:val="0"/>
              <w:marTop w:val="0"/>
              <w:marBottom w:val="0"/>
              <w:divBdr>
                <w:top w:val="none" w:sz="0" w:space="0" w:color="auto"/>
                <w:left w:val="none" w:sz="0" w:space="0" w:color="auto"/>
                <w:bottom w:val="none" w:sz="0" w:space="0" w:color="auto"/>
                <w:right w:val="none" w:sz="0" w:space="0" w:color="auto"/>
              </w:divBdr>
            </w:div>
          </w:divsChild>
        </w:div>
        <w:div w:id="1769039165">
          <w:marLeft w:val="0"/>
          <w:marRight w:val="0"/>
          <w:marTop w:val="0"/>
          <w:marBottom w:val="0"/>
          <w:divBdr>
            <w:top w:val="none" w:sz="0" w:space="0" w:color="auto"/>
            <w:left w:val="none" w:sz="0" w:space="0" w:color="auto"/>
            <w:bottom w:val="none" w:sz="0" w:space="0" w:color="auto"/>
            <w:right w:val="none" w:sz="0" w:space="0" w:color="auto"/>
          </w:divBdr>
          <w:divsChild>
            <w:div w:id="1346516158">
              <w:marLeft w:val="0"/>
              <w:marRight w:val="0"/>
              <w:marTop w:val="0"/>
              <w:marBottom w:val="0"/>
              <w:divBdr>
                <w:top w:val="none" w:sz="0" w:space="0" w:color="auto"/>
                <w:left w:val="none" w:sz="0" w:space="0" w:color="auto"/>
                <w:bottom w:val="none" w:sz="0" w:space="0" w:color="auto"/>
                <w:right w:val="none" w:sz="0" w:space="0" w:color="auto"/>
              </w:divBdr>
            </w:div>
          </w:divsChild>
        </w:div>
        <w:div w:id="1771773767">
          <w:marLeft w:val="0"/>
          <w:marRight w:val="0"/>
          <w:marTop w:val="0"/>
          <w:marBottom w:val="0"/>
          <w:divBdr>
            <w:top w:val="none" w:sz="0" w:space="0" w:color="auto"/>
            <w:left w:val="none" w:sz="0" w:space="0" w:color="auto"/>
            <w:bottom w:val="none" w:sz="0" w:space="0" w:color="auto"/>
            <w:right w:val="none" w:sz="0" w:space="0" w:color="auto"/>
          </w:divBdr>
          <w:divsChild>
            <w:div w:id="1166478686">
              <w:marLeft w:val="0"/>
              <w:marRight w:val="0"/>
              <w:marTop w:val="0"/>
              <w:marBottom w:val="0"/>
              <w:divBdr>
                <w:top w:val="none" w:sz="0" w:space="0" w:color="auto"/>
                <w:left w:val="none" w:sz="0" w:space="0" w:color="auto"/>
                <w:bottom w:val="none" w:sz="0" w:space="0" w:color="auto"/>
                <w:right w:val="none" w:sz="0" w:space="0" w:color="auto"/>
              </w:divBdr>
            </w:div>
          </w:divsChild>
        </w:div>
        <w:div w:id="1797597003">
          <w:marLeft w:val="0"/>
          <w:marRight w:val="0"/>
          <w:marTop w:val="0"/>
          <w:marBottom w:val="0"/>
          <w:divBdr>
            <w:top w:val="none" w:sz="0" w:space="0" w:color="auto"/>
            <w:left w:val="none" w:sz="0" w:space="0" w:color="auto"/>
            <w:bottom w:val="none" w:sz="0" w:space="0" w:color="auto"/>
            <w:right w:val="none" w:sz="0" w:space="0" w:color="auto"/>
          </w:divBdr>
          <w:divsChild>
            <w:div w:id="1083451060">
              <w:marLeft w:val="0"/>
              <w:marRight w:val="0"/>
              <w:marTop w:val="0"/>
              <w:marBottom w:val="0"/>
              <w:divBdr>
                <w:top w:val="none" w:sz="0" w:space="0" w:color="auto"/>
                <w:left w:val="none" w:sz="0" w:space="0" w:color="auto"/>
                <w:bottom w:val="none" w:sz="0" w:space="0" w:color="auto"/>
                <w:right w:val="none" w:sz="0" w:space="0" w:color="auto"/>
              </w:divBdr>
            </w:div>
          </w:divsChild>
        </w:div>
        <w:div w:id="1815174555">
          <w:marLeft w:val="0"/>
          <w:marRight w:val="0"/>
          <w:marTop w:val="0"/>
          <w:marBottom w:val="0"/>
          <w:divBdr>
            <w:top w:val="none" w:sz="0" w:space="0" w:color="auto"/>
            <w:left w:val="none" w:sz="0" w:space="0" w:color="auto"/>
            <w:bottom w:val="none" w:sz="0" w:space="0" w:color="auto"/>
            <w:right w:val="none" w:sz="0" w:space="0" w:color="auto"/>
          </w:divBdr>
          <w:divsChild>
            <w:div w:id="1369180066">
              <w:marLeft w:val="0"/>
              <w:marRight w:val="0"/>
              <w:marTop w:val="0"/>
              <w:marBottom w:val="0"/>
              <w:divBdr>
                <w:top w:val="none" w:sz="0" w:space="0" w:color="auto"/>
                <w:left w:val="none" w:sz="0" w:space="0" w:color="auto"/>
                <w:bottom w:val="none" w:sz="0" w:space="0" w:color="auto"/>
                <w:right w:val="none" w:sz="0" w:space="0" w:color="auto"/>
              </w:divBdr>
            </w:div>
          </w:divsChild>
        </w:div>
        <w:div w:id="1865288088">
          <w:marLeft w:val="0"/>
          <w:marRight w:val="0"/>
          <w:marTop w:val="0"/>
          <w:marBottom w:val="0"/>
          <w:divBdr>
            <w:top w:val="none" w:sz="0" w:space="0" w:color="auto"/>
            <w:left w:val="none" w:sz="0" w:space="0" w:color="auto"/>
            <w:bottom w:val="none" w:sz="0" w:space="0" w:color="auto"/>
            <w:right w:val="none" w:sz="0" w:space="0" w:color="auto"/>
          </w:divBdr>
          <w:divsChild>
            <w:div w:id="819466701">
              <w:marLeft w:val="0"/>
              <w:marRight w:val="0"/>
              <w:marTop w:val="0"/>
              <w:marBottom w:val="0"/>
              <w:divBdr>
                <w:top w:val="none" w:sz="0" w:space="0" w:color="auto"/>
                <w:left w:val="none" w:sz="0" w:space="0" w:color="auto"/>
                <w:bottom w:val="none" w:sz="0" w:space="0" w:color="auto"/>
                <w:right w:val="none" w:sz="0" w:space="0" w:color="auto"/>
              </w:divBdr>
            </w:div>
          </w:divsChild>
        </w:div>
        <w:div w:id="1865941543">
          <w:marLeft w:val="0"/>
          <w:marRight w:val="0"/>
          <w:marTop w:val="0"/>
          <w:marBottom w:val="0"/>
          <w:divBdr>
            <w:top w:val="none" w:sz="0" w:space="0" w:color="auto"/>
            <w:left w:val="none" w:sz="0" w:space="0" w:color="auto"/>
            <w:bottom w:val="none" w:sz="0" w:space="0" w:color="auto"/>
            <w:right w:val="none" w:sz="0" w:space="0" w:color="auto"/>
          </w:divBdr>
          <w:divsChild>
            <w:div w:id="1334257096">
              <w:marLeft w:val="0"/>
              <w:marRight w:val="0"/>
              <w:marTop w:val="0"/>
              <w:marBottom w:val="0"/>
              <w:divBdr>
                <w:top w:val="none" w:sz="0" w:space="0" w:color="auto"/>
                <w:left w:val="none" w:sz="0" w:space="0" w:color="auto"/>
                <w:bottom w:val="none" w:sz="0" w:space="0" w:color="auto"/>
                <w:right w:val="none" w:sz="0" w:space="0" w:color="auto"/>
              </w:divBdr>
            </w:div>
          </w:divsChild>
        </w:div>
        <w:div w:id="1877428372">
          <w:marLeft w:val="0"/>
          <w:marRight w:val="0"/>
          <w:marTop w:val="0"/>
          <w:marBottom w:val="0"/>
          <w:divBdr>
            <w:top w:val="none" w:sz="0" w:space="0" w:color="auto"/>
            <w:left w:val="none" w:sz="0" w:space="0" w:color="auto"/>
            <w:bottom w:val="none" w:sz="0" w:space="0" w:color="auto"/>
            <w:right w:val="none" w:sz="0" w:space="0" w:color="auto"/>
          </w:divBdr>
          <w:divsChild>
            <w:div w:id="268005610">
              <w:marLeft w:val="0"/>
              <w:marRight w:val="0"/>
              <w:marTop w:val="0"/>
              <w:marBottom w:val="0"/>
              <w:divBdr>
                <w:top w:val="none" w:sz="0" w:space="0" w:color="auto"/>
                <w:left w:val="none" w:sz="0" w:space="0" w:color="auto"/>
                <w:bottom w:val="none" w:sz="0" w:space="0" w:color="auto"/>
                <w:right w:val="none" w:sz="0" w:space="0" w:color="auto"/>
              </w:divBdr>
            </w:div>
          </w:divsChild>
        </w:div>
        <w:div w:id="1948390195">
          <w:marLeft w:val="0"/>
          <w:marRight w:val="0"/>
          <w:marTop w:val="0"/>
          <w:marBottom w:val="0"/>
          <w:divBdr>
            <w:top w:val="none" w:sz="0" w:space="0" w:color="auto"/>
            <w:left w:val="none" w:sz="0" w:space="0" w:color="auto"/>
            <w:bottom w:val="none" w:sz="0" w:space="0" w:color="auto"/>
            <w:right w:val="none" w:sz="0" w:space="0" w:color="auto"/>
          </w:divBdr>
          <w:divsChild>
            <w:div w:id="1040203253">
              <w:marLeft w:val="0"/>
              <w:marRight w:val="0"/>
              <w:marTop w:val="0"/>
              <w:marBottom w:val="0"/>
              <w:divBdr>
                <w:top w:val="none" w:sz="0" w:space="0" w:color="auto"/>
                <w:left w:val="none" w:sz="0" w:space="0" w:color="auto"/>
                <w:bottom w:val="none" w:sz="0" w:space="0" w:color="auto"/>
                <w:right w:val="none" w:sz="0" w:space="0" w:color="auto"/>
              </w:divBdr>
            </w:div>
          </w:divsChild>
        </w:div>
        <w:div w:id="1992322861">
          <w:marLeft w:val="0"/>
          <w:marRight w:val="0"/>
          <w:marTop w:val="0"/>
          <w:marBottom w:val="0"/>
          <w:divBdr>
            <w:top w:val="none" w:sz="0" w:space="0" w:color="auto"/>
            <w:left w:val="none" w:sz="0" w:space="0" w:color="auto"/>
            <w:bottom w:val="none" w:sz="0" w:space="0" w:color="auto"/>
            <w:right w:val="none" w:sz="0" w:space="0" w:color="auto"/>
          </w:divBdr>
          <w:divsChild>
            <w:div w:id="1659532729">
              <w:marLeft w:val="0"/>
              <w:marRight w:val="0"/>
              <w:marTop w:val="0"/>
              <w:marBottom w:val="0"/>
              <w:divBdr>
                <w:top w:val="none" w:sz="0" w:space="0" w:color="auto"/>
                <w:left w:val="none" w:sz="0" w:space="0" w:color="auto"/>
                <w:bottom w:val="none" w:sz="0" w:space="0" w:color="auto"/>
                <w:right w:val="none" w:sz="0" w:space="0" w:color="auto"/>
              </w:divBdr>
            </w:div>
          </w:divsChild>
        </w:div>
        <w:div w:id="2020815253">
          <w:marLeft w:val="0"/>
          <w:marRight w:val="0"/>
          <w:marTop w:val="0"/>
          <w:marBottom w:val="0"/>
          <w:divBdr>
            <w:top w:val="none" w:sz="0" w:space="0" w:color="auto"/>
            <w:left w:val="none" w:sz="0" w:space="0" w:color="auto"/>
            <w:bottom w:val="none" w:sz="0" w:space="0" w:color="auto"/>
            <w:right w:val="none" w:sz="0" w:space="0" w:color="auto"/>
          </w:divBdr>
          <w:divsChild>
            <w:div w:id="1989162494">
              <w:marLeft w:val="0"/>
              <w:marRight w:val="0"/>
              <w:marTop w:val="0"/>
              <w:marBottom w:val="0"/>
              <w:divBdr>
                <w:top w:val="none" w:sz="0" w:space="0" w:color="auto"/>
                <w:left w:val="none" w:sz="0" w:space="0" w:color="auto"/>
                <w:bottom w:val="none" w:sz="0" w:space="0" w:color="auto"/>
                <w:right w:val="none" w:sz="0" w:space="0" w:color="auto"/>
              </w:divBdr>
            </w:div>
          </w:divsChild>
        </w:div>
        <w:div w:id="2055038172">
          <w:marLeft w:val="0"/>
          <w:marRight w:val="0"/>
          <w:marTop w:val="0"/>
          <w:marBottom w:val="0"/>
          <w:divBdr>
            <w:top w:val="none" w:sz="0" w:space="0" w:color="auto"/>
            <w:left w:val="none" w:sz="0" w:space="0" w:color="auto"/>
            <w:bottom w:val="none" w:sz="0" w:space="0" w:color="auto"/>
            <w:right w:val="none" w:sz="0" w:space="0" w:color="auto"/>
          </w:divBdr>
          <w:divsChild>
            <w:div w:id="1451045484">
              <w:marLeft w:val="0"/>
              <w:marRight w:val="0"/>
              <w:marTop w:val="0"/>
              <w:marBottom w:val="0"/>
              <w:divBdr>
                <w:top w:val="none" w:sz="0" w:space="0" w:color="auto"/>
                <w:left w:val="none" w:sz="0" w:space="0" w:color="auto"/>
                <w:bottom w:val="none" w:sz="0" w:space="0" w:color="auto"/>
                <w:right w:val="none" w:sz="0" w:space="0" w:color="auto"/>
              </w:divBdr>
            </w:div>
          </w:divsChild>
        </w:div>
        <w:div w:id="2106879203">
          <w:marLeft w:val="0"/>
          <w:marRight w:val="0"/>
          <w:marTop w:val="0"/>
          <w:marBottom w:val="0"/>
          <w:divBdr>
            <w:top w:val="none" w:sz="0" w:space="0" w:color="auto"/>
            <w:left w:val="none" w:sz="0" w:space="0" w:color="auto"/>
            <w:bottom w:val="none" w:sz="0" w:space="0" w:color="auto"/>
            <w:right w:val="none" w:sz="0" w:space="0" w:color="auto"/>
          </w:divBdr>
          <w:divsChild>
            <w:div w:id="122580075">
              <w:marLeft w:val="0"/>
              <w:marRight w:val="0"/>
              <w:marTop w:val="0"/>
              <w:marBottom w:val="0"/>
              <w:divBdr>
                <w:top w:val="none" w:sz="0" w:space="0" w:color="auto"/>
                <w:left w:val="none" w:sz="0" w:space="0" w:color="auto"/>
                <w:bottom w:val="none" w:sz="0" w:space="0" w:color="auto"/>
                <w:right w:val="none" w:sz="0" w:space="0" w:color="auto"/>
              </w:divBdr>
            </w:div>
          </w:divsChild>
        </w:div>
        <w:div w:id="2120291951">
          <w:marLeft w:val="0"/>
          <w:marRight w:val="0"/>
          <w:marTop w:val="0"/>
          <w:marBottom w:val="0"/>
          <w:divBdr>
            <w:top w:val="none" w:sz="0" w:space="0" w:color="auto"/>
            <w:left w:val="none" w:sz="0" w:space="0" w:color="auto"/>
            <w:bottom w:val="none" w:sz="0" w:space="0" w:color="auto"/>
            <w:right w:val="none" w:sz="0" w:space="0" w:color="auto"/>
          </w:divBdr>
          <w:divsChild>
            <w:div w:id="824131578">
              <w:marLeft w:val="0"/>
              <w:marRight w:val="0"/>
              <w:marTop w:val="0"/>
              <w:marBottom w:val="0"/>
              <w:divBdr>
                <w:top w:val="none" w:sz="0" w:space="0" w:color="auto"/>
                <w:left w:val="none" w:sz="0" w:space="0" w:color="auto"/>
                <w:bottom w:val="none" w:sz="0" w:space="0" w:color="auto"/>
                <w:right w:val="none" w:sz="0" w:space="0" w:color="auto"/>
              </w:divBdr>
            </w:div>
          </w:divsChild>
        </w:div>
        <w:div w:id="2139299781">
          <w:marLeft w:val="0"/>
          <w:marRight w:val="0"/>
          <w:marTop w:val="0"/>
          <w:marBottom w:val="0"/>
          <w:divBdr>
            <w:top w:val="none" w:sz="0" w:space="0" w:color="auto"/>
            <w:left w:val="none" w:sz="0" w:space="0" w:color="auto"/>
            <w:bottom w:val="none" w:sz="0" w:space="0" w:color="auto"/>
            <w:right w:val="none" w:sz="0" w:space="0" w:color="auto"/>
          </w:divBdr>
          <w:divsChild>
            <w:div w:id="22356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84882">
      <w:bodyDiv w:val="1"/>
      <w:marLeft w:val="0"/>
      <w:marRight w:val="0"/>
      <w:marTop w:val="0"/>
      <w:marBottom w:val="0"/>
      <w:divBdr>
        <w:top w:val="none" w:sz="0" w:space="0" w:color="auto"/>
        <w:left w:val="none" w:sz="0" w:space="0" w:color="auto"/>
        <w:bottom w:val="none" w:sz="0" w:space="0" w:color="auto"/>
        <w:right w:val="none" w:sz="0" w:space="0" w:color="auto"/>
      </w:divBdr>
    </w:div>
    <w:div w:id="1256549035">
      <w:bodyDiv w:val="1"/>
      <w:marLeft w:val="0"/>
      <w:marRight w:val="0"/>
      <w:marTop w:val="0"/>
      <w:marBottom w:val="0"/>
      <w:divBdr>
        <w:top w:val="none" w:sz="0" w:space="0" w:color="auto"/>
        <w:left w:val="none" w:sz="0" w:space="0" w:color="auto"/>
        <w:bottom w:val="none" w:sz="0" w:space="0" w:color="auto"/>
        <w:right w:val="none" w:sz="0" w:space="0" w:color="auto"/>
      </w:divBdr>
    </w:div>
    <w:div w:id="1257791119">
      <w:bodyDiv w:val="1"/>
      <w:marLeft w:val="0"/>
      <w:marRight w:val="0"/>
      <w:marTop w:val="0"/>
      <w:marBottom w:val="0"/>
      <w:divBdr>
        <w:top w:val="none" w:sz="0" w:space="0" w:color="auto"/>
        <w:left w:val="none" w:sz="0" w:space="0" w:color="auto"/>
        <w:bottom w:val="none" w:sz="0" w:space="0" w:color="auto"/>
        <w:right w:val="none" w:sz="0" w:space="0" w:color="auto"/>
      </w:divBdr>
    </w:div>
    <w:div w:id="1263412689">
      <w:bodyDiv w:val="1"/>
      <w:marLeft w:val="0"/>
      <w:marRight w:val="0"/>
      <w:marTop w:val="0"/>
      <w:marBottom w:val="0"/>
      <w:divBdr>
        <w:top w:val="none" w:sz="0" w:space="0" w:color="auto"/>
        <w:left w:val="none" w:sz="0" w:space="0" w:color="auto"/>
        <w:bottom w:val="none" w:sz="0" w:space="0" w:color="auto"/>
        <w:right w:val="none" w:sz="0" w:space="0" w:color="auto"/>
      </w:divBdr>
    </w:div>
    <w:div w:id="1282036855">
      <w:bodyDiv w:val="1"/>
      <w:marLeft w:val="0"/>
      <w:marRight w:val="0"/>
      <w:marTop w:val="0"/>
      <w:marBottom w:val="0"/>
      <w:divBdr>
        <w:top w:val="none" w:sz="0" w:space="0" w:color="auto"/>
        <w:left w:val="none" w:sz="0" w:space="0" w:color="auto"/>
        <w:bottom w:val="none" w:sz="0" w:space="0" w:color="auto"/>
        <w:right w:val="none" w:sz="0" w:space="0" w:color="auto"/>
      </w:divBdr>
    </w:div>
    <w:div w:id="1283531850">
      <w:bodyDiv w:val="1"/>
      <w:marLeft w:val="0"/>
      <w:marRight w:val="0"/>
      <w:marTop w:val="0"/>
      <w:marBottom w:val="0"/>
      <w:divBdr>
        <w:top w:val="none" w:sz="0" w:space="0" w:color="auto"/>
        <w:left w:val="none" w:sz="0" w:space="0" w:color="auto"/>
        <w:bottom w:val="none" w:sz="0" w:space="0" w:color="auto"/>
        <w:right w:val="none" w:sz="0" w:space="0" w:color="auto"/>
      </w:divBdr>
      <w:divsChild>
        <w:div w:id="18505922">
          <w:marLeft w:val="0"/>
          <w:marRight w:val="0"/>
          <w:marTop w:val="0"/>
          <w:marBottom w:val="0"/>
          <w:divBdr>
            <w:top w:val="none" w:sz="0" w:space="0" w:color="auto"/>
            <w:left w:val="none" w:sz="0" w:space="0" w:color="auto"/>
            <w:bottom w:val="none" w:sz="0" w:space="0" w:color="auto"/>
            <w:right w:val="none" w:sz="0" w:space="0" w:color="auto"/>
          </w:divBdr>
          <w:divsChild>
            <w:div w:id="494297805">
              <w:marLeft w:val="0"/>
              <w:marRight w:val="0"/>
              <w:marTop w:val="0"/>
              <w:marBottom w:val="0"/>
              <w:divBdr>
                <w:top w:val="none" w:sz="0" w:space="0" w:color="auto"/>
                <w:left w:val="none" w:sz="0" w:space="0" w:color="auto"/>
                <w:bottom w:val="none" w:sz="0" w:space="0" w:color="auto"/>
                <w:right w:val="none" w:sz="0" w:space="0" w:color="auto"/>
              </w:divBdr>
            </w:div>
          </w:divsChild>
        </w:div>
        <w:div w:id="44641737">
          <w:marLeft w:val="0"/>
          <w:marRight w:val="0"/>
          <w:marTop w:val="0"/>
          <w:marBottom w:val="0"/>
          <w:divBdr>
            <w:top w:val="none" w:sz="0" w:space="0" w:color="auto"/>
            <w:left w:val="none" w:sz="0" w:space="0" w:color="auto"/>
            <w:bottom w:val="none" w:sz="0" w:space="0" w:color="auto"/>
            <w:right w:val="none" w:sz="0" w:space="0" w:color="auto"/>
          </w:divBdr>
          <w:divsChild>
            <w:div w:id="1758332258">
              <w:marLeft w:val="0"/>
              <w:marRight w:val="0"/>
              <w:marTop w:val="0"/>
              <w:marBottom w:val="0"/>
              <w:divBdr>
                <w:top w:val="none" w:sz="0" w:space="0" w:color="auto"/>
                <w:left w:val="none" w:sz="0" w:space="0" w:color="auto"/>
                <w:bottom w:val="none" w:sz="0" w:space="0" w:color="auto"/>
                <w:right w:val="none" w:sz="0" w:space="0" w:color="auto"/>
              </w:divBdr>
            </w:div>
          </w:divsChild>
        </w:div>
        <w:div w:id="56442312">
          <w:marLeft w:val="0"/>
          <w:marRight w:val="0"/>
          <w:marTop w:val="0"/>
          <w:marBottom w:val="0"/>
          <w:divBdr>
            <w:top w:val="none" w:sz="0" w:space="0" w:color="auto"/>
            <w:left w:val="none" w:sz="0" w:space="0" w:color="auto"/>
            <w:bottom w:val="none" w:sz="0" w:space="0" w:color="auto"/>
            <w:right w:val="none" w:sz="0" w:space="0" w:color="auto"/>
          </w:divBdr>
          <w:divsChild>
            <w:div w:id="385838601">
              <w:marLeft w:val="0"/>
              <w:marRight w:val="0"/>
              <w:marTop w:val="0"/>
              <w:marBottom w:val="0"/>
              <w:divBdr>
                <w:top w:val="none" w:sz="0" w:space="0" w:color="auto"/>
                <w:left w:val="none" w:sz="0" w:space="0" w:color="auto"/>
                <w:bottom w:val="none" w:sz="0" w:space="0" w:color="auto"/>
                <w:right w:val="none" w:sz="0" w:space="0" w:color="auto"/>
              </w:divBdr>
            </w:div>
          </w:divsChild>
        </w:div>
        <w:div w:id="105975613">
          <w:marLeft w:val="0"/>
          <w:marRight w:val="0"/>
          <w:marTop w:val="0"/>
          <w:marBottom w:val="0"/>
          <w:divBdr>
            <w:top w:val="none" w:sz="0" w:space="0" w:color="auto"/>
            <w:left w:val="none" w:sz="0" w:space="0" w:color="auto"/>
            <w:bottom w:val="none" w:sz="0" w:space="0" w:color="auto"/>
            <w:right w:val="none" w:sz="0" w:space="0" w:color="auto"/>
          </w:divBdr>
          <w:divsChild>
            <w:div w:id="648632253">
              <w:marLeft w:val="0"/>
              <w:marRight w:val="0"/>
              <w:marTop w:val="0"/>
              <w:marBottom w:val="0"/>
              <w:divBdr>
                <w:top w:val="none" w:sz="0" w:space="0" w:color="auto"/>
                <w:left w:val="none" w:sz="0" w:space="0" w:color="auto"/>
                <w:bottom w:val="none" w:sz="0" w:space="0" w:color="auto"/>
                <w:right w:val="none" w:sz="0" w:space="0" w:color="auto"/>
              </w:divBdr>
            </w:div>
          </w:divsChild>
        </w:div>
        <w:div w:id="115418167">
          <w:marLeft w:val="0"/>
          <w:marRight w:val="0"/>
          <w:marTop w:val="0"/>
          <w:marBottom w:val="0"/>
          <w:divBdr>
            <w:top w:val="none" w:sz="0" w:space="0" w:color="auto"/>
            <w:left w:val="none" w:sz="0" w:space="0" w:color="auto"/>
            <w:bottom w:val="none" w:sz="0" w:space="0" w:color="auto"/>
            <w:right w:val="none" w:sz="0" w:space="0" w:color="auto"/>
          </w:divBdr>
          <w:divsChild>
            <w:div w:id="1099057998">
              <w:marLeft w:val="0"/>
              <w:marRight w:val="0"/>
              <w:marTop w:val="0"/>
              <w:marBottom w:val="0"/>
              <w:divBdr>
                <w:top w:val="none" w:sz="0" w:space="0" w:color="auto"/>
                <w:left w:val="none" w:sz="0" w:space="0" w:color="auto"/>
                <w:bottom w:val="none" w:sz="0" w:space="0" w:color="auto"/>
                <w:right w:val="none" w:sz="0" w:space="0" w:color="auto"/>
              </w:divBdr>
            </w:div>
          </w:divsChild>
        </w:div>
        <w:div w:id="142965846">
          <w:marLeft w:val="0"/>
          <w:marRight w:val="0"/>
          <w:marTop w:val="0"/>
          <w:marBottom w:val="0"/>
          <w:divBdr>
            <w:top w:val="none" w:sz="0" w:space="0" w:color="auto"/>
            <w:left w:val="none" w:sz="0" w:space="0" w:color="auto"/>
            <w:bottom w:val="none" w:sz="0" w:space="0" w:color="auto"/>
            <w:right w:val="none" w:sz="0" w:space="0" w:color="auto"/>
          </w:divBdr>
          <w:divsChild>
            <w:div w:id="838890274">
              <w:marLeft w:val="0"/>
              <w:marRight w:val="0"/>
              <w:marTop w:val="0"/>
              <w:marBottom w:val="0"/>
              <w:divBdr>
                <w:top w:val="none" w:sz="0" w:space="0" w:color="auto"/>
                <w:left w:val="none" w:sz="0" w:space="0" w:color="auto"/>
                <w:bottom w:val="none" w:sz="0" w:space="0" w:color="auto"/>
                <w:right w:val="none" w:sz="0" w:space="0" w:color="auto"/>
              </w:divBdr>
            </w:div>
          </w:divsChild>
        </w:div>
        <w:div w:id="150558539">
          <w:marLeft w:val="0"/>
          <w:marRight w:val="0"/>
          <w:marTop w:val="0"/>
          <w:marBottom w:val="0"/>
          <w:divBdr>
            <w:top w:val="none" w:sz="0" w:space="0" w:color="auto"/>
            <w:left w:val="none" w:sz="0" w:space="0" w:color="auto"/>
            <w:bottom w:val="none" w:sz="0" w:space="0" w:color="auto"/>
            <w:right w:val="none" w:sz="0" w:space="0" w:color="auto"/>
          </w:divBdr>
          <w:divsChild>
            <w:div w:id="1265843224">
              <w:marLeft w:val="0"/>
              <w:marRight w:val="0"/>
              <w:marTop w:val="0"/>
              <w:marBottom w:val="0"/>
              <w:divBdr>
                <w:top w:val="none" w:sz="0" w:space="0" w:color="auto"/>
                <w:left w:val="none" w:sz="0" w:space="0" w:color="auto"/>
                <w:bottom w:val="none" w:sz="0" w:space="0" w:color="auto"/>
                <w:right w:val="none" w:sz="0" w:space="0" w:color="auto"/>
              </w:divBdr>
            </w:div>
          </w:divsChild>
        </w:div>
        <w:div w:id="165363097">
          <w:marLeft w:val="0"/>
          <w:marRight w:val="0"/>
          <w:marTop w:val="0"/>
          <w:marBottom w:val="0"/>
          <w:divBdr>
            <w:top w:val="none" w:sz="0" w:space="0" w:color="auto"/>
            <w:left w:val="none" w:sz="0" w:space="0" w:color="auto"/>
            <w:bottom w:val="none" w:sz="0" w:space="0" w:color="auto"/>
            <w:right w:val="none" w:sz="0" w:space="0" w:color="auto"/>
          </w:divBdr>
          <w:divsChild>
            <w:div w:id="1007556129">
              <w:marLeft w:val="0"/>
              <w:marRight w:val="0"/>
              <w:marTop w:val="0"/>
              <w:marBottom w:val="0"/>
              <w:divBdr>
                <w:top w:val="none" w:sz="0" w:space="0" w:color="auto"/>
                <w:left w:val="none" w:sz="0" w:space="0" w:color="auto"/>
                <w:bottom w:val="none" w:sz="0" w:space="0" w:color="auto"/>
                <w:right w:val="none" w:sz="0" w:space="0" w:color="auto"/>
              </w:divBdr>
            </w:div>
          </w:divsChild>
        </w:div>
        <w:div w:id="184904820">
          <w:marLeft w:val="0"/>
          <w:marRight w:val="0"/>
          <w:marTop w:val="0"/>
          <w:marBottom w:val="0"/>
          <w:divBdr>
            <w:top w:val="none" w:sz="0" w:space="0" w:color="auto"/>
            <w:left w:val="none" w:sz="0" w:space="0" w:color="auto"/>
            <w:bottom w:val="none" w:sz="0" w:space="0" w:color="auto"/>
            <w:right w:val="none" w:sz="0" w:space="0" w:color="auto"/>
          </w:divBdr>
          <w:divsChild>
            <w:div w:id="1103456410">
              <w:marLeft w:val="0"/>
              <w:marRight w:val="0"/>
              <w:marTop w:val="0"/>
              <w:marBottom w:val="0"/>
              <w:divBdr>
                <w:top w:val="none" w:sz="0" w:space="0" w:color="auto"/>
                <w:left w:val="none" w:sz="0" w:space="0" w:color="auto"/>
                <w:bottom w:val="none" w:sz="0" w:space="0" w:color="auto"/>
                <w:right w:val="none" w:sz="0" w:space="0" w:color="auto"/>
              </w:divBdr>
            </w:div>
          </w:divsChild>
        </w:div>
        <w:div w:id="187984200">
          <w:marLeft w:val="0"/>
          <w:marRight w:val="0"/>
          <w:marTop w:val="0"/>
          <w:marBottom w:val="0"/>
          <w:divBdr>
            <w:top w:val="none" w:sz="0" w:space="0" w:color="auto"/>
            <w:left w:val="none" w:sz="0" w:space="0" w:color="auto"/>
            <w:bottom w:val="none" w:sz="0" w:space="0" w:color="auto"/>
            <w:right w:val="none" w:sz="0" w:space="0" w:color="auto"/>
          </w:divBdr>
          <w:divsChild>
            <w:div w:id="2101676013">
              <w:marLeft w:val="0"/>
              <w:marRight w:val="0"/>
              <w:marTop w:val="0"/>
              <w:marBottom w:val="0"/>
              <w:divBdr>
                <w:top w:val="none" w:sz="0" w:space="0" w:color="auto"/>
                <w:left w:val="none" w:sz="0" w:space="0" w:color="auto"/>
                <w:bottom w:val="none" w:sz="0" w:space="0" w:color="auto"/>
                <w:right w:val="none" w:sz="0" w:space="0" w:color="auto"/>
              </w:divBdr>
            </w:div>
          </w:divsChild>
        </w:div>
        <w:div w:id="279848200">
          <w:marLeft w:val="0"/>
          <w:marRight w:val="0"/>
          <w:marTop w:val="0"/>
          <w:marBottom w:val="0"/>
          <w:divBdr>
            <w:top w:val="none" w:sz="0" w:space="0" w:color="auto"/>
            <w:left w:val="none" w:sz="0" w:space="0" w:color="auto"/>
            <w:bottom w:val="none" w:sz="0" w:space="0" w:color="auto"/>
            <w:right w:val="none" w:sz="0" w:space="0" w:color="auto"/>
          </w:divBdr>
          <w:divsChild>
            <w:div w:id="1550146423">
              <w:marLeft w:val="0"/>
              <w:marRight w:val="0"/>
              <w:marTop w:val="0"/>
              <w:marBottom w:val="0"/>
              <w:divBdr>
                <w:top w:val="none" w:sz="0" w:space="0" w:color="auto"/>
                <w:left w:val="none" w:sz="0" w:space="0" w:color="auto"/>
                <w:bottom w:val="none" w:sz="0" w:space="0" w:color="auto"/>
                <w:right w:val="none" w:sz="0" w:space="0" w:color="auto"/>
              </w:divBdr>
            </w:div>
          </w:divsChild>
        </w:div>
        <w:div w:id="320818629">
          <w:marLeft w:val="0"/>
          <w:marRight w:val="0"/>
          <w:marTop w:val="0"/>
          <w:marBottom w:val="0"/>
          <w:divBdr>
            <w:top w:val="none" w:sz="0" w:space="0" w:color="auto"/>
            <w:left w:val="none" w:sz="0" w:space="0" w:color="auto"/>
            <w:bottom w:val="none" w:sz="0" w:space="0" w:color="auto"/>
            <w:right w:val="none" w:sz="0" w:space="0" w:color="auto"/>
          </w:divBdr>
          <w:divsChild>
            <w:div w:id="32124475">
              <w:marLeft w:val="0"/>
              <w:marRight w:val="0"/>
              <w:marTop w:val="0"/>
              <w:marBottom w:val="0"/>
              <w:divBdr>
                <w:top w:val="none" w:sz="0" w:space="0" w:color="auto"/>
                <w:left w:val="none" w:sz="0" w:space="0" w:color="auto"/>
                <w:bottom w:val="none" w:sz="0" w:space="0" w:color="auto"/>
                <w:right w:val="none" w:sz="0" w:space="0" w:color="auto"/>
              </w:divBdr>
            </w:div>
          </w:divsChild>
        </w:div>
        <w:div w:id="389887309">
          <w:marLeft w:val="0"/>
          <w:marRight w:val="0"/>
          <w:marTop w:val="0"/>
          <w:marBottom w:val="0"/>
          <w:divBdr>
            <w:top w:val="none" w:sz="0" w:space="0" w:color="auto"/>
            <w:left w:val="none" w:sz="0" w:space="0" w:color="auto"/>
            <w:bottom w:val="none" w:sz="0" w:space="0" w:color="auto"/>
            <w:right w:val="none" w:sz="0" w:space="0" w:color="auto"/>
          </w:divBdr>
          <w:divsChild>
            <w:div w:id="1659069317">
              <w:marLeft w:val="0"/>
              <w:marRight w:val="0"/>
              <w:marTop w:val="0"/>
              <w:marBottom w:val="0"/>
              <w:divBdr>
                <w:top w:val="none" w:sz="0" w:space="0" w:color="auto"/>
                <w:left w:val="none" w:sz="0" w:space="0" w:color="auto"/>
                <w:bottom w:val="none" w:sz="0" w:space="0" w:color="auto"/>
                <w:right w:val="none" w:sz="0" w:space="0" w:color="auto"/>
              </w:divBdr>
            </w:div>
          </w:divsChild>
        </w:div>
        <w:div w:id="414547748">
          <w:marLeft w:val="0"/>
          <w:marRight w:val="0"/>
          <w:marTop w:val="0"/>
          <w:marBottom w:val="0"/>
          <w:divBdr>
            <w:top w:val="none" w:sz="0" w:space="0" w:color="auto"/>
            <w:left w:val="none" w:sz="0" w:space="0" w:color="auto"/>
            <w:bottom w:val="none" w:sz="0" w:space="0" w:color="auto"/>
            <w:right w:val="none" w:sz="0" w:space="0" w:color="auto"/>
          </w:divBdr>
          <w:divsChild>
            <w:div w:id="336737411">
              <w:marLeft w:val="0"/>
              <w:marRight w:val="0"/>
              <w:marTop w:val="0"/>
              <w:marBottom w:val="0"/>
              <w:divBdr>
                <w:top w:val="none" w:sz="0" w:space="0" w:color="auto"/>
                <w:left w:val="none" w:sz="0" w:space="0" w:color="auto"/>
                <w:bottom w:val="none" w:sz="0" w:space="0" w:color="auto"/>
                <w:right w:val="none" w:sz="0" w:space="0" w:color="auto"/>
              </w:divBdr>
            </w:div>
          </w:divsChild>
        </w:div>
        <w:div w:id="551697030">
          <w:marLeft w:val="0"/>
          <w:marRight w:val="0"/>
          <w:marTop w:val="0"/>
          <w:marBottom w:val="0"/>
          <w:divBdr>
            <w:top w:val="none" w:sz="0" w:space="0" w:color="auto"/>
            <w:left w:val="none" w:sz="0" w:space="0" w:color="auto"/>
            <w:bottom w:val="none" w:sz="0" w:space="0" w:color="auto"/>
            <w:right w:val="none" w:sz="0" w:space="0" w:color="auto"/>
          </w:divBdr>
          <w:divsChild>
            <w:div w:id="1754428138">
              <w:marLeft w:val="0"/>
              <w:marRight w:val="0"/>
              <w:marTop w:val="0"/>
              <w:marBottom w:val="0"/>
              <w:divBdr>
                <w:top w:val="none" w:sz="0" w:space="0" w:color="auto"/>
                <w:left w:val="none" w:sz="0" w:space="0" w:color="auto"/>
                <w:bottom w:val="none" w:sz="0" w:space="0" w:color="auto"/>
                <w:right w:val="none" w:sz="0" w:space="0" w:color="auto"/>
              </w:divBdr>
            </w:div>
          </w:divsChild>
        </w:div>
        <w:div w:id="585578959">
          <w:marLeft w:val="0"/>
          <w:marRight w:val="0"/>
          <w:marTop w:val="0"/>
          <w:marBottom w:val="0"/>
          <w:divBdr>
            <w:top w:val="none" w:sz="0" w:space="0" w:color="auto"/>
            <w:left w:val="none" w:sz="0" w:space="0" w:color="auto"/>
            <w:bottom w:val="none" w:sz="0" w:space="0" w:color="auto"/>
            <w:right w:val="none" w:sz="0" w:space="0" w:color="auto"/>
          </w:divBdr>
          <w:divsChild>
            <w:div w:id="1441796555">
              <w:marLeft w:val="0"/>
              <w:marRight w:val="0"/>
              <w:marTop w:val="0"/>
              <w:marBottom w:val="0"/>
              <w:divBdr>
                <w:top w:val="none" w:sz="0" w:space="0" w:color="auto"/>
                <w:left w:val="none" w:sz="0" w:space="0" w:color="auto"/>
                <w:bottom w:val="none" w:sz="0" w:space="0" w:color="auto"/>
                <w:right w:val="none" w:sz="0" w:space="0" w:color="auto"/>
              </w:divBdr>
            </w:div>
          </w:divsChild>
        </w:div>
        <w:div w:id="648945279">
          <w:marLeft w:val="0"/>
          <w:marRight w:val="0"/>
          <w:marTop w:val="0"/>
          <w:marBottom w:val="0"/>
          <w:divBdr>
            <w:top w:val="none" w:sz="0" w:space="0" w:color="auto"/>
            <w:left w:val="none" w:sz="0" w:space="0" w:color="auto"/>
            <w:bottom w:val="none" w:sz="0" w:space="0" w:color="auto"/>
            <w:right w:val="none" w:sz="0" w:space="0" w:color="auto"/>
          </w:divBdr>
          <w:divsChild>
            <w:div w:id="1039478865">
              <w:marLeft w:val="0"/>
              <w:marRight w:val="0"/>
              <w:marTop w:val="0"/>
              <w:marBottom w:val="0"/>
              <w:divBdr>
                <w:top w:val="none" w:sz="0" w:space="0" w:color="auto"/>
                <w:left w:val="none" w:sz="0" w:space="0" w:color="auto"/>
                <w:bottom w:val="none" w:sz="0" w:space="0" w:color="auto"/>
                <w:right w:val="none" w:sz="0" w:space="0" w:color="auto"/>
              </w:divBdr>
            </w:div>
          </w:divsChild>
        </w:div>
        <w:div w:id="649408738">
          <w:marLeft w:val="0"/>
          <w:marRight w:val="0"/>
          <w:marTop w:val="0"/>
          <w:marBottom w:val="0"/>
          <w:divBdr>
            <w:top w:val="none" w:sz="0" w:space="0" w:color="auto"/>
            <w:left w:val="none" w:sz="0" w:space="0" w:color="auto"/>
            <w:bottom w:val="none" w:sz="0" w:space="0" w:color="auto"/>
            <w:right w:val="none" w:sz="0" w:space="0" w:color="auto"/>
          </w:divBdr>
          <w:divsChild>
            <w:div w:id="359478937">
              <w:marLeft w:val="0"/>
              <w:marRight w:val="0"/>
              <w:marTop w:val="0"/>
              <w:marBottom w:val="0"/>
              <w:divBdr>
                <w:top w:val="none" w:sz="0" w:space="0" w:color="auto"/>
                <w:left w:val="none" w:sz="0" w:space="0" w:color="auto"/>
                <w:bottom w:val="none" w:sz="0" w:space="0" w:color="auto"/>
                <w:right w:val="none" w:sz="0" w:space="0" w:color="auto"/>
              </w:divBdr>
            </w:div>
          </w:divsChild>
        </w:div>
        <w:div w:id="682634053">
          <w:marLeft w:val="0"/>
          <w:marRight w:val="0"/>
          <w:marTop w:val="0"/>
          <w:marBottom w:val="0"/>
          <w:divBdr>
            <w:top w:val="none" w:sz="0" w:space="0" w:color="auto"/>
            <w:left w:val="none" w:sz="0" w:space="0" w:color="auto"/>
            <w:bottom w:val="none" w:sz="0" w:space="0" w:color="auto"/>
            <w:right w:val="none" w:sz="0" w:space="0" w:color="auto"/>
          </w:divBdr>
          <w:divsChild>
            <w:div w:id="646865347">
              <w:marLeft w:val="0"/>
              <w:marRight w:val="0"/>
              <w:marTop w:val="0"/>
              <w:marBottom w:val="0"/>
              <w:divBdr>
                <w:top w:val="none" w:sz="0" w:space="0" w:color="auto"/>
                <w:left w:val="none" w:sz="0" w:space="0" w:color="auto"/>
                <w:bottom w:val="none" w:sz="0" w:space="0" w:color="auto"/>
                <w:right w:val="none" w:sz="0" w:space="0" w:color="auto"/>
              </w:divBdr>
            </w:div>
          </w:divsChild>
        </w:div>
        <w:div w:id="756288357">
          <w:marLeft w:val="0"/>
          <w:marRight w:val="0"/>
          <w:marTop w:val="0"/>
          <w:marBottom w:val="0"/>
          <w:divBdr>
            <w:top w:val="none" w:sz="0" w:space="0" w:color="auto"/>
            <w:left w:val="none" w:sz="0" w:space="0" w:color="auto"/>
            <w:bottom w:val="none" w:sz="0" w:space="0" w:color="auto"/>
            <w:right w:val="none" w:sz="0" w:space="0" w:color="auto"/>
          </w:divBdr>
          <w:divsChild>
            <w:div w:id="2037147122">
              <w:marLeft w:val="0"/>
              <w:marRight w:val="0"/>
              <w:marTop w:val="0"/>
              <w:marBottom w:val="0"/>
              <w:divBdr>
                <w:top w:val="none" w:sz="0" w:space="0" w:color="auto"/>
                <w:left w:val="none" w:sz="0" w:space="0" w:color="auto"/>
                <w:bottom w:val="none" w:sz="0" w:space="0" w:color="auto"/>
                <w:right w:val="none" w:sz="0" w:space="0" w:color="auto"/>
              </w:divBdr>
            </w:div>
          </w:divsChild>
        </w:div>
        <w:div w:id="953445510">
          <w:marLeft w:val="0"/>
          <w:marRight w:val="0"/>
          <w:marTop w:val="0"/>
          <w:marBottom w:val="0"/>
          <w:divBdr>
            <w:top w:val="none" w:sz="0" w:space="0" w:color="auto"/>
            <w:left w:val="none" w:sz="0" w:space="0" w:color="auto"/>
            <w:bottom w:val="none" w:sz="0" w:space="0" w:color="auto"/>
            <w:right w:val="none" w:sz="0" w:space="0" w:color="auto"/>
          </w:divBdr>
          <w:divsChild>
            <w:div w:id="26613800">
              <w:marLeft w:val="0"/>
              <w:marRight w:val="0"/>
              <w:marTop w:val="0"/>
              <w:marBottom w:val="0"/>
              <w:divBdr>
                <w:top w:val="none" w:sz="0" w:space="0" w:color="auto"/>
                <w:left w:val="none" w:sz="0" w:space="0" w:color="auto"/>
                <w:bottom w:val="none" w:sz="0" w:space="0" w:color="auto"/>
                <w:right w:val="none" w:sz="0" w:space="0" w:color="auto"/>
              </w:divBdr>
            </w:div>
          </w:divsChild>
        </w:div>
        <w:div w:id="1028481366">
          <w:marLeft w:val="0"/>
          <w:marRight w:val="0"/>
          <w:marTop w:val="0"/>
          <w:marBottom w:val="0"/>
          <w:divBdr>
            <w:top w:val="none" w:sz="0" w:space="0" w:color="auto"/>
            <w:left w:val="none" w:sz="0" w:space="0" w:color="auto"/>
            <w:bottom w:val="none" w:sz="0" w:space="0" w:color="auto"/>
            <w:right w:val="none" w:sz="0" w:space="0" w:color="auto"/>
          </w:divBdr>
          <w:divsChild>
            <w:div w:id="494537660">
              <w:marLeft w:val="0"/>
              <w:marRight w:val="0"/>
              <w:marTop w:val="0"/>
              <w:marBottom w:val="0"/>
              <w:divBdr>
                <w:top w:val="none" w:sz="0" w:space="0" w:color="auto"/>
                <w:left w:val="none" w:sz="0" w:space="0" w:color="auto"/>
                <w:bottom w:val="none" w:sz="0" w:space="0" w:color="auto"/>
                <w:right w:val="none" w:sz="0" w:space="0" w:color="auto"/>
              </w:divBdr>
            </w:div>
          </w:divsChild>
        </w:div>
        <w:div w:id="1035884317">
          <w:marLeft w:val="0"/>
          <w:marRight w:val="0"/>
          <w:marTop w:val="0"/>
          <w:marBottom w:val="0"/>
          <w:divBdr>
            <w:top w:val="none" w:sz="0" w:space="0" w:color="auto"/>
            <w:left w:val="none" w:sz="0" w:space="0" w:color="auto"/>
            <w:bottom w:val="none" w:sz="0" w:space="0" w:color="auto"/>
            <w:right w:val="none" w:sz="0" w:space="0" w:color="auto"/>
          </w:divBdr>
          <w:divsChild>
            <w:div w:id="239147021">
              <w:marLeft w:val="0"/>
              <w:marRight w:val="0"/>
              <w:marTop w:val="0"/>
              <w:marBottom w:val="0"/>
              <w:divBdr>
                <w:top w:val="none" w:sz="0" w:space="0" w:color="auto"/>
                <w:left w:val="none" w:sz="0" w:space="0" w:color="auto"/>
                <w:bottom w:val="none" w:sz="0" w:space="0" w:color="auto"/>
                <w:right w:val="none" w:sz="0" w:space="0" w:color="auto"/>
              </w:divBdr>
            </w:div>
          </w:divsChild>
        </w:div>
        <w:div w:id="1179389408">
          <w:marLeft w:val="0"/>
          <w:marRight w:val="0"/>
          <w:marTop w:val="0"/>
          <w:marBottom w:val="0"/>
          <w:divBdr>
            <w:top w:val="none" w:sz="0" w:space="0" w:color="auto"/>
            <w:left w:val="none" w:sz="0" w:space="0" w:color="auto"/>
            <w:bottom w:val="none" w:sz="0" w:space="0" w:color="auto"/>
            <w:right w:val="none" w:sz="0" w:space="0" w:color="auto"/>
          </w:divBdr>
          <w:divsChild>
            <w:div w:id="27222648">
              <w:marLeft w:val="0"/>
              <w:marRight w:val="0"/>
              <w:marTop w:val="0"/>
              <w:marBottom w:val="0"/>
              <w:divBdr>
                <w:top w:val="none" w:sz="0" w:space="0" w:color="auto"/>
                <w:left w:val="none" w:sz="0" w:space="0" w:color="auto"/>
                <w:bottom w:val="none" w:sz="0" w:space="0" w:color="auto"/>
                <w:right w:val="none" w:sz="0" w:space="0" w:color="auto"/>
              </w:divBdr>
            </w:div>
          </w:divsChild>
        </w:div>
        <w:div w:id="1307393876">
          <w:marLeft w:val="0"/>
          <w:marRight w:val="0"/>
          <w:marTop w:val="0"/>
          <w:marBottom w:val="0"/>
          <w:divBdr>
            <w:top w:val="none" w:sz="0" w:space="0" w:color="auto"/>
            <w:left w:val="none" w:sz="0" w:space="0" w:color="auto"/>
            <w:bottom w:val="none" w:sz="0" w:space="0" w:color="auto"/>
            <w:right w:val="none" w:sz="0" w:space="0" w:color="auto"/>
          </w:divBdr>
          <w:divsChild>
            <w:div w:id="357392006">
              <w:marLeft w:val="0"/>
              <w:marRight w:val="0"/>
              <w:marTop w:val="0"/>
              <w:marBottom w:val="0"/>
              <w:divBdr>
                <w:top w:val="none" w:sz="0" w:space="0" w:color="auto"/>
                <w:left w:val="none" w:sz="0" w:space="0" w:color="auto"/>
                <w:bottom w:val="none" w:sz="0" w:space="0" w:color="auto"/>
                <w:right w:val="none" w:sz="0" w:space="0" w:color="auto"/>
              </w:divBdr>
            </w:div>
          </w:divsChild>
        </w:div>
        <w:div w:id="1364937584">
          <w:marLeft w:val="0"/>
          <w:marRight w:val="0"/>
          <w:marTop w:val="0"/>
          <w:marBottom w:val="0"/>
          <w:divBdr>
            <w:top w:val="none" w:sz="0" w:space="0" w:color="auto"/>
            <w:left w:val="none" w:sz="0" w:space="0" w:color="auto"/>
            <w:bottom w:val="none" w:sz="0" w:space="0" w:color="auto"/>
            <w:right w:val="none" w:sz="0" w:space="0" w:color="auto"/>
          </w:divBdr>
          <w:divsChild>
            <w:div w:id="479151801">
              <w:marLeft w:val="0"/>
              <w:marRight w:val="0"/>
              <w:marTop w:val="0"/>
              <w:marBottom w:val="0"/>
              <w:divBdr>
                <w:top w:val="none" w:sz="0" w:space="0" w:color="auto"/>
                <w:left w:val="none" w:sz="0" w:space="0" w:color="auto"/>
                <w:bottom w:val="none" w:sz="0" w:space="0" w:color="auto"/>
                <w:right w:val="none" w:sz="0" w:space="0" w:color="auto"/>
              </w:divBdr>
            </w:div>
          </w:divsChild>
        </w:div>
        <w:div w:id="1412772151">
          <w:marLeft w:val="0"/>
          <w:marRight w:val="0"/>
          <w:marTop w:val="0"/>
          <w:marBottom w:val="0"/>
          <w:divBdr>
            <w:top w:val="none" w:sz="0" w:space="0" w:color="auto"/>
            <w:left w:val="none" w:sz="0" w:space="0" w:color="auto"/>
            <w:bottom w:val="none" w:sz="0" w:space="0" w:color="auto"/>
            <w:right w:val="none" w:sz="0" w:space="0" w:color="auto"/>
          </w:divBdr>
          <w:divsChild>
            <w:div w:id="336688021">
              <w:marLeft w:val="0"/>
              <w:marRight w:val="0"/>
              <w:marTop w:val="0"/>
              <w:marBottom w:val="0"/>
              <w:divBdr>
                <w:top w:val="none" w:sz="0" w:space="0" w:color="auto"/>
                <w:left w:val="none" w:sz="0" w:space="0" w:color="auto"/>
                <w:bottom w:val="none" w:sz="0" w:space="0" w:color="auto"/>
                <w:right w:val="none" w:sz="0" w:space="0" w:color="auto"/>
              </w:divBdr>
            </w:div>
          </w:divsChild>
        </w:div>
        <w:div w:id="1416047412">
          <w:marLeft w:val="0"/>
          <w:marRight w:val="0"/>
          <w:marTop w:val="0"/>
          <w:marBottom w:val="0"/>
          <w:divBdr>
            <w:top w:val="none" w:sz="0" w:space="0" w:color="auto"/>
            <w:left w:val="none" w:sz="0" w:space="0" w:color="auto"/>
            <w:bottom w:val="none" w:sz="0" w:space="0" w:color="auto"/>
            <w:right w:val="none" w:sz="0" w:space="0" w:color="auto"/>
          </w:divBdr>
          <w:divsChild>
            <w:div w:id="623582732">
              <w:marLeft w:val="0"/>
              <w:marRight w:val="0"/>
              <w:marTop w:val="0"/>
              <w:marBottom w:val="0"/>
              <w:divBdr>
                <w:top w:val="none" w:sz="0" w:space="0" w:color="auto"/>
                <w:left w:val="none" w:sz="0" w:space="0" w:color="auto"/>
                <w:bottom w:val="none" w:sz="0" w:space="0" w:color="auto"/>
                <w:right w:val="none" w:sz="0" w:space="0" w:color="auto"/>
              </w:divBdr>
            </w:div>
          </w:divsChild>
        </w:div>
        <w:div w:id="1424767485">
          <w:marLeft w:val="0"/>
          <w:marRight w:val="0"/>
          <w:marTop w:val="0"/>
          <w:marBottom w:val="0"/>
          <w:divBdr>
            <w:top w:val="none" w:sz="0" w:space="0" w:color="auto"/>
            <w:left w:val="none" w:sz="0" w:space="0" w:color="auto"/>
            <w:bottom w:val="none" w:sz="0" w:space="0" w:color="auto"/>
            <w:right w:val="none" w:sz="0" w:space="0" w:color="auto"/>
          </w:divBdr>
          <w:divsChild>
            <w:div w:id="817304593">
              <w:marLeft w:val="0"/>
              <w:marRight w:val="0"/>
              <w:marTop w:val="0"/>
              <w:marBottom w:val="0"/>
              <w:divBdr>
                <w:top w:val="none" w:sz="0" w:space="0" w:color="auto"/>
                <w:left w:val="none" w:sz="0" w:space="0" w:color="auto"/>
                <w:bottom w:val="none" w:sz="0" w:space="0" w:color="auto"/>
                <w:right w:val="none" w:sz="0" w:space="0" w:color="auto"/>
              </w:divBdr>
            </w:div>
          </w:divsChild>
        </w:div>
        <w:div w:id="1436511183">
          <w:marLeft w:val="0"/>
          <w:marRight w:val="0"/>
          <w:marTop w:val="0"/>
          <w:marBottom w:val="0"/>
          <w:divBdr>
            <w:top w:val="none" w:sz="0" w:space="0" w:color="auto"/>
            <w:left w:val="none" w:sz="0" w:space="0" w:color="auto"/>
            <w:bottom w:val="none" w:sz="0" w:space="0" w:color="auto"/>
            <w:right w:val="none" w:sz="0" w:space="0" w:color="auto"/>
          </w:divBdr>
          <w:divsChild>
            <w:div w:id="1407267826">
              <w:marLeft w:val="0"/>
              <w:marRight w:val="0"/>
              <w:marTop w:val="0"/>
              <w:marBottom w:val="0"/>
              <w:divBdr>
                <w:top w:val="none" w:sz="0" w:space="0" w:color="auto"/>
                <w:left w:val="none" w:sz="0" w:space="0" w:color="auto"/>
                <w:bottom w:val="none" w:sz="0" w:space="0" w:color="auto"/>
                <w:right w:val="none" w:sz="0" w:space="0" w:color="auto"/>
              </w:divBdr>
            </w:div>
          </w:divsChild>
        </w:div>
        <w:div w:id="1449157368">
          <w:marLeft w:val="0"/>
          <w:marRight w:val="0"/>
          <w:marTop w:val="0"/>
          <w:marBottom w:val="0"/>
          <w:divBdr>
            <w:top w:val="none" w:sz="0" w:space="0" w:color="auto"/>
            <w:left w:val="none" w:sz="0" w:space="0" w:color="auto"/>
            <w:bottom w:val="none" w:sz="0" w:space="0" w:color="auto"/>
            <w:right w:val="none" w:sz="0" w:space="0" w:color="auto"/>
          </w:divBdr>
          <w:divsChild>
            <w:div w:id="434793759">
              <w:marLeft w:val="0"/>
              <w:marRight w:val="0"/>
              <w:marTop w:val="0"/>
              <w:marBottom w:val="0"/>
              <w:divBdr>
                <w:top w:val="none" w:sz="0" w:space="0" w:color="auto"/>
                <w:left w:val="none" w:sz="0" w:space="0" w:color="auto"/>
                <w:bottom w:val="none" w:sz="0" w:space="0" w:color="auto"/>
                <w:right w:val="none" w:sz="0" w:space="0" w:color="auto"/>
              </w:divBdr>
            </w:div>
          </w:divsChild>
        </w:div>
        <w:div w:id="1468737971">
          <w:marLeft w:val="0"/>
          <w:marRight w:val="0"/>
          <w:marTop w:val="0"/>
          <w:marBottom w:val="0"/>
          <w:divBdr>
            <w:top w:val="none" w:sz="0" w:space="0" w:color="auto"/>
            <w:left w:val="none" w:sz="0" w:space="0" w:color="auto"/>
            <w:bottom w:val="none" w:sz="0" w:space="0" w:color="auto"/>
            <w:right w:val="none" w:sz="0" w:space="0" w:color="auto"/>
          </w:divBdr>
          <w:divsChild>
            <w:div w:id="213397563">
              <w:marLeft w:val="0"/>
              <w:marRight w:val="0"/>
              <w:marTop w:val="0"/>
              <w:marBottom w:val="0"/>
              <w:divBdr>
                <w:top w:val="none" w:sz="0" w:space="0" w:color="auto"/>
                <w:left w:val="none" w:sz="0" w:space="0" w:color="auto"/>
                <w:bottom w:val="none" w:sz="0" w:space="0" w:color="auto"/>
                <w:right w:val="none" w:sz="0" w:space="0" w:color="auto"/>
              </w:divBdr>
            </w:div>
          </w:divsChild>
        </w:div>
        <w:div w:id="1473793233">
          <w:marLeft w:val="0"/>
          <w:marRight w:val="0"/>
          <w:marTop w:val="0"/>
          <w:marBottom w:val="0"/>
          <w:divBdr>
            <w:top w:val="none" w:sz="0" w:space="0" w:color="auto"/>
            <w:left w:val="none" w:sz="0" w:space="0" w:color="auto"/>
            <w:bottom w:val="none" w:sz="0" w:space="0" w:color="auto"/>
            <w:right w:val="none" w:sz="0" w:space="0" w:color="auto"/>
          </w:divBdr>
          <w:divsChild>
            <w:div w:id="1210537111">
              <w:marLeft w:val="0"/>
              <w:marRight w:val="0"/>
              <w:marTop w:val="0"/>
              <w:marBottom w:val="0"/>
              <w:divBdr>
                <w:top w:val="none" w:sz="0" w:space="0" w:color="auto"/>
                <w:left w:val="none" w:sz="0" w:space="0" w:color="auto"/>
                <w:bottom w:val="none" w:sz="0" w:space="0" w:color="auto"/>
                <w:right w:val="none" w:sz="0" w:space="0" w:color="auto"/>
              </w:divBdr>
            </w:div>
          </w:divsChild>
        </w:div>
        <w:div w:id="1513839794">
          <w:marLeft w:val="0"/>
          <w:marRight w:val="0"/>
          <w:marTop w:val="0"/>
          <w:marBottom w:val="0"/>
          <w:divBdr>
            <w:top w:val="none" w:sz="0" w:space="0" w:color="auto"/>
            <w:left w:val="none" w:sz="0" w:space="0" w:color="auto"/>
            <w:bottom w:val="none" w:sz="0" w:space="0" w:color="auto"/>
            <w:right w:val="none" w:sz="0" w:space="0" w:color="auto"/>
          </w:divBdr>
          <w:divsChild>
            <w:div w:id="1055395550">
              <w:marLeft w:val="0"/>
              <w:marRight w:val="0"/>
              <w:marTop w:val="0"/>
              <w:marBottom w:val="0"/>
              <w:divBdr>
                <w:top w:val="none" w:sz="0" w:space="0" w:color="auto"/>
                <w:left w:val="none" w:sz="0" w:space="0" w:color="auto"/>
                <w:bottom w:val="none" w:sz="0" w:space="0" w:color="auto"/>
                <w:right w:val="none" w:sz="0" w:space="0" w:color="auto"/>
              </w:divBdr>
            </w:div>
          </w:divsChild>
        </w:div>
        <w:div w:id="1522427695">
          <w:marLeft w:val="0"/>
          <w:marRight w:val="0"/>
          <w:marTop w:val="0"/>
          <w:marBottom w:val="0"/>
          <w:divBdr>
            <w:top w:val="none" w:sz="0" w:space="0" w:color="auto"/>
            <w:left w:val="none" w:sz="0" w:space="0" w:color="auto"/>
            <w:bottom w:val="none" w:sz="0" w:space="0" w:color="auto"/>
            <w:right w:val="none" w:sz="0" w:space="0" w:color="auto"/>
          </w:divBdr>
          <w:divsChild>
            <w:div w:id="1187402823">
              <w:marLeft w:val="0"/>
              <w:marRight w:val="0"/>
              <w:marTop w:val="0"/>
              <w:marBottom w:val="0"/>
              <w:divBdr>
                <w:top w:val="none" w:sz="0" w:space="0" w:color="auto"/>
                <w:left w:val="none" w:sz="0" w:space="0" w:color="auto"/>
                <w:bottom w:val="none" w:sz="0" w:space="0" w:color="auto"/>
                <w:right w:val="none" w:sz="0" w:space="0" w:color="auto"/>
              </w:divBdr>
            </w:div>
          </w:divsChild>
        </w:div>
        <w:div w:id="1559323222">
          <w:marLeft w:val="0"/>
          <w:marRight w:val="0"/>
          <w:marTop w:val="0"/>
          <w:marBottom w:val="0"/>
          <w:divBdr>
            <w:top w:val="none" w:sz="0" w:space="0" w:color="auto"/>
            <w:left w:val="none" w:sz="0" w:space="0" w:color="auto"/>
            <w:bottom w:val="none" w:sz="0" w:space="0" w:color="auto"/>
            <w:right w:val="none" w:sz="0" w:space="0" w:color="auto"/>
          </w:divBdr>
          <w:divsChild>
            <w:div w:id="480270882">
              <w:marLeft w:val="0"/>
              <w:marRight w:val="0"/>
              <w:marTop w:val="0"/>
              <w:marBottom w:val="0"/>
              <w:divBdr>
                <w:top w:val="none" w:sz="0" w:space="0" w:color="auto"/>
                <w:left w:val="none" w:sz="0" w:space="0" w:color="auto"/>
                <w:bottom w:val="none" w:sz="0" w:space="0" w:color="auto"/>
                <w:right w:val="none" w:sz="0" w:space="0" w:color="auto"/>
              </w:divBdr>
            </w:div>
          </w:divsChild>
        </w:div>
        <w:div w:id="1598365967">
          <w:marLeft w:val="0"/>
          <w:marRight w:val="0"/>
          <w:marTop w:val="0"/>
          <w:marBottom w:val="0"/>
          <w:divBdr>
            <w:top w:val="none" w:sz="0" w:space="0" w:color="auto"/>
            <w:left w:val="none" w:sz="0" w:space="0" w:color="auto"/>
            <w:bottom w:val="none" w:sz="0" w:space="0" w:color="auto"/>
            <w:right w:val="none" w:sz="0" w:space="0" w:color="auto"/>
          </w:divBdr>
          <w:divsChild>
            <w:div w:id="696124986">
              <w:marLeft w:val="0"/>
              <w:marRight w:val="0"/>
              <w:marTop w:val="0"/>
              <w:marBottom w:val="0"/>
              <w:divBdr>
                <w:top w:val="none" w:sz="0" w:space="0" w:color="auto"/>
                <w:left w:val="none" w:sz="0" w:space="0" w:color="auto"/>
                <w:bottom w:val="none" w:sz="0" w:space="0" w:color="auto"/>
                <w:right w:val="none" w:sz="0" w:space="0" w:color="auto"/>
              </w:divBdr>
            </w:div>
          </w:divsChild>
        </w:div>
        <w:div w:id="1602175752">
          <w:marLeft w:val="0"/>
          <w:marRight w:val="0"/>
          <w:marTop w:val="0"/>
          <w:marBottom w:val="0"/>
          <w:divBdr>
            <w:top w:val="none" w:sz="0" w:space="0" w:color="auto"/>
            <w:left w:val="none" w:sz="0" w:space="0" w:color="auto"/>
            <w:bottom w:val="none" w:sz="0" w:space="0" w:color="auto"/>
            <w:right w:val="none" w:sz="0" w:space="0" w:color="auto"/>
          </w:divBdr>
          <w:divsChild>
            <w:div w:id="333727885">
              <w:marLeft w:val="0"/>
              <w:marRight w:val="0"/>
              <w:marTop w:val="0"/>
              <w:marBottom w:val="0"/>
              <w:divBdr>
                <w:top w:val="none" w:sz="0" w:space="0" w:color="auto"/>
                <w:left w:val="none" w:sz="0" w:space="0" w:color="auto"/>
                <w:bottom w:val="none" w:sz="0" w:space="0" w:color="auto"/>
                <w:right w:val="none" w:sz="0" w:space="0" w:color="auto"/>
              </w:divBdr>
            </w:div>
          </w:divsChild>
        </w:div>
        <w:div w:id="1628899695">
          <w:marLeft w:val="0"/>
          <w:marRight w:val="0"/>
          <w:marTop w:val="0"/>
          <w:marBottom w:val="0"/>
          <w:divBdr>
            <w:top w:val="none" w:sz="0" w:space="0" w:color="auto"/>
            <w:left w:val="none" w:sz="0" w:space="0" w:color="auto"/>
            <w:bottom w:val="none" w:sz="0" w:space="0" w:color="auto"/>
            <w:right w:val="none" w:sz="0" w:space="0" w:color="auto"/>
          </w:divBdr>
          <w:divsChild>
            <w:div w:id="944115565">
              <w:marLeft w:val="0"/>
              <w:marRight w:val="0"/>
              <w:marTop w:val="0"/>
              <w:marBottom w:val="0"/>
              <w:divBdr>
                <w:top w:val="none" w:sz="0" w:space="0" w:color="auto"/>
                <w:left w:val="none" w:sz="0" w:space="0" w:color="auto"/>
                <w:bottom w:val="none" w:sz="0" w:space="0" w:color="auto"/>
                <w:right w:val="none" w:sz="0" w:space="0" w:color="auto"/>
              </w:divBdr>
            </w:div>
          </w:divsChild>
        </w:div>
        <w:div w:id="1631939328">
          <w:marLeft w:val="0"/>
          <w:marRight w:val="0"/>
          <w:marTop w:val="0"/>
          <w:marBottom w:val="0"/>
          <w:divBdr>
            <w:top w:val="none" w:sz="0" w:space="0" w:color="auto"/>
            <w:left w:val="none" w:sz="0" w:space="0" w:color="auto"/>
            <w:bottom w:val="none" w:sz="0" w:space="0" w:color="auto"/>
            <w:right w:val="none" w:sz="0" w:space="0" w:color="auto"/>
          </w:divBdr>
          <w:divsChild>
            <w:div w:id="150146952">
              <w:marLeft w:val="0"/>
              <w:marRight w:val="0"/>
              <w:marTop w:val="0"/>
              <w:marBottom w:val="0"/>
              <w:divBdr>
                <w:top w:val="none" w:sz="0" w:space="0" w:color="auto"/>
                <w:left w:val="none" w:sz="0" w:space="0" w:color="auto"/>
                <w:bottom w:val="none" w:sz="0" w:space="0" w:color="auto"/>
                <w:right w:val="none" w:sz="0" w:space="0" w:color="auto"/>
              </w:divBdr>
            </w:div>
          </w:divsChild>
        </w:div>
        <w:div w:id="1653440121">
          <w:marLeft w:val="0"/>
          <w:marRight w:val="0"/>
          <w:marTop w:val="0"/>
          <w:marBottom w:val="0"/>
          <w:divBdr>
            <w:top w:val="none" w:sz="0" w:space="0" w:color="auto"/>
            <w:left w:val="none" w:sz="0" w:space="0" w:color="auto"/>
            <w:bottom w:val="none" w:sz="0" w:space="0" w:color="auto"/>
            <w:right w:val="none" w:sz="0" w:space="0" w:color="auto"/>
          </w:divBdr>
          <w:divsChild>
            <w:div w:id="472212419">
              <w:marLeft w:val="0"/>
              <w:marRight w:val="0"/>
              <w:marTop w:val="0"/>
              <w:marBottom w:val="0"/>
              <w:divBdr>
                <w:top w:val="none" w:sz="0" w:space="0" w:color="auto"/>
                <w:left w:val="none" w:sz="0" w:space="0" w:color="auto"/>
                <w:bottom w:val="none" w:sz="0" w:space="0" w:color="auto"/>
                <w:right w:val="none" w:sz="0" w:space="0" w:color="auto"/>
              </w:divBdr>
            </w:div>
          </w:divsChild>
        </w:div>
        <w:div w:id="1665931197">
          <w:marLeft w:val="0"/>
          <w:marRight w:val="0"/>
          <w:marTop w:val="0"/>
          <w:marBottom w:val="0"/>
          <w:divBdr>
            <w:top w:val="none" w:sz="0" w:space="0" w:color="auto"/>
            <w:left w:val="none" w:sz="0" w:space="0" w:color="auto"/>
            <w:bottom w:val="none" w:sz="0" w:space="0" w:color="auto"/>
            <w:right w:val="none" w:sz="0" w:space="0" w:color="auto"/>
          </w:divBdr>
          <w:divsChild>
            <w:div w:id="477843354">
              <w:marLeft w:val="0"/>
              <w:marRight w:val="0"/>
              <w:marTop w:val="0"/>
              <w:marBottom w:val="0"/>
              <w:divBdr>
                <w:top w:val="none" w:sz="0" w:space="0" w:color="auto"/>
                <w:left w:val="none" w:sz="0" w:space="0" w:color="auto"/>
                <w:bottom w:val="none" w:sz="0" w:space="0" w:color="auto"/>
                <w:right w:val="none" w:sz="0" w:space="0" w:color="auto"/>
              </w:divBdr>
            </w:div>
          </w:divsChild>
        </w:div>
        <w:div w:id="1674137816">
          <w:marLeft w:val="0"/>
          <w:marRight w:val="0"/>
          <w:marTop w:val="0"/>
          <w:marBottom w:val="0"/>
          <w:divBdr>
            <w:top w:val="none" w:sz="0" w:space="0" w:color="auto"/>
            <w:left w:val="none" w:sz="0" w:space="0" w:color="auto"/>
            <w:bottom w:val="none" w:sz="0" w:space="0" w:color="auto"/>
            <w:right w:val="none" w:sz="0" w:space="0" w:color="auto"/>
          </w:divBdr>
          <w:divsChild>
            <w:div w:id="501286014">
              <w:marLeft w:val="0"/>
              <w:marRight w:val="0"/>
              <w:marTop w:val="0"/>
              <w:marBottom w:val="0"/>
              <w:divBdr>
                <w:top w:val="none" w:sz="0" w:space="0" w:color="auto"/>
                <w:left w:val="none" w:sz="0" w:space="0" w:color="auto"/>
                <w:bottom w:val="none" w:sz="0" w:space="0" w:color="auto"/>
                <w:right w:val="none" w:sz="0" w:space="0" w:color="auto"/>
              </w:divBdr>
            </w:div>
          </w:divsChild>
        </w:div>
        <w:div w:id="1675305161">
          <w:marLeft w:val="0"/>
          <w:marRight w:val="0"/>
          <w:marTop w:val="0"/>
          <w:marBottom w:val="0"/>
          <w:divBdr>
            <w:top w:val="none" w:sz="0" w:space="0" w:color="auto"/>
            <w:left w:val="none" w:sz="0" w:space="0" w:color="auto"/>
            <w:bottom w:val="none" w:sz="0" w:space="0" w:color="auto"/>
            <w:right w:val="none" w:sz="0" w:space="0" w:color="auto"/>
          </w:divBdr>
          <w:divsChild>
            <w:div w:id="14232635">
              <w:marLeft w:val="0"/>
              <w:marRight w:val="0"/>
              <w:marTop w:val="0"/>
              <w:marBottom w:val="0"/>
              <w:divBdr>
                <w:top w:val="none" w:sz="0" w:space="0" w:color="auto"/>
                <w:left w:val="none" w:sz="0" w:space="0" w:color="auto"/>
                <w:bottom w:val="none" w:sz="0" w:space="0" w:color="auto"/>
                <w:right w:val="none" w:sz="0" w:space="0" w:color="auto"/>
              </w:divBdr>
            </w:div>
          </w:divsChild>
        </w:div>
        <w:div w:id="1686327832">
          <w:marLeft w:val="0"/>
          <w:marRight w:val="0"/>
          <w:marTop w:val="0"/>
          <w:marBottom w:val="0"/>
          <w:divBdr>
            <w:top w:val="none" w:sz="0" w:space="0" w:color="auto"/>
            <w:left w:val="none" w:sz="0" w:space="0" w:color="auto"/>
            <w:bottom w:val="none" w:sz="0" w:space="0" w:color="auto"/>
            <w:right w:val="none" w:sz="0" w:space="0" w:color="auto"/>
          </w:divBdr>
          <w:divsChild>
            <w:div w:id="1471748140">
              <w:marLeft w:val="0"/>
              <w:marRight w:val="0"/>
              <w:marTop w:val="0"/>
              <w:marBottom w:val="0"/>
              <w:divBdr>
                <w:top w:val="none" w:sz="0" w:space="0" w:color="auto"/>
                <w:left w:val="none" w:sz="0" w:space="0" w:color="auto"/>
                <w:bottom w:val="none" w:sz="0" w:space="0" w:color="auto"/>
                <w:right w:val="none" w:sz="0" w:space="0" w:color="auto"/>
              </w:divBdr>
            </w:div>
          </w:divsChild>
        </w:div>
        <w:div w:id="1691181285">
          <w:marLeft w:val="0"/>
          <w:marRight w:val="0"/>
          <w:marTop w:val="0"/>
          <w:marBottom w:val="0"/>
          <w:divBdr>
            <w:top w:val="none" w:sz="0" w:space="0" w:color="auto"/>
            <w:left w:val="none" w:sz="0" w:space="0" w:color="auto"/>
            <w:bottom w:val="none" w:sz="0" w:space="0" w:color="auto"/>
            <w:right w:val="none" w:sz="0" w:space="0" w:color="auto"/>
          </w:divBdr>
          <w:divsChild>
            <w:div w:id="753478928">
              <w:marLeft w:val="0"/>
              <w:marRight w:val="0"/>
              <w:marTop w:val="0"/>
              <w:marBottom w:val="0"/>
              <w:divBdr>
                <w:top w:val="none" w:sz="0" w:space="0" w:color="auto"/>
                <w:left w:val="none" w:sz="0" w:space="0" w:color="auto"/>
                <w:bottom w:val="none" w:sz="0" w:space="0" w:color="auto"/>
                <w:right w:val="none" w:sz="0" w:space="0" w:color="auto"/>
              </w:divBdr>
            </w:div>
          </w:divsChild>
        </w:div>
        <w:div w:id="1693067958">
          <w:marLeft w:val="0"/>
          <w:marRight w:val="0"/>
          <w:marTop w:val="0"/>
          <w:marBottom w:val="0"/>
          <w:divBdr>
            <w:top w:val="none" w:sz="0" w:space="0" w:color="auto"/>
            <w:left w:val="none" w:sz="0" w:space="0" w:color="auto"/>
            <w:bottom w:val="none" w:sz="0" w:space="0" w:color="auto"/>
            <w:right w:val="none" w:sz="0" w:space="0" w:color="auto"/>
          </w:divBdr>
          <w:divsChild>
            <w:div w:id="140274308">
              <w:marLeft w:val="0"/>
              <w:marRight w:val="0"/>
              <w:marTop w:val="0"/>
              <w:marBottom w:val="0"/>
              <w:divBdr>
                <w:top w:val="none" w:sz="0" w:space="0" w:color="auto"/>
                <w:left w:val="none" w:sz="0" w:space="0" w:color="auto"/>
                <w:bottom w:val="none" w:sz="0" w:space="0" w:color="auto"/>
                <w:right w:val="none" w:sz="0" w:space="0" w:color="auto"/>
              </w:divBdr>
            </w:div>
          </w:divsChild>
        </w:div>
        <w:div w:id="1722825813">
          <w:marLeft w:val="0"/>
          <w:marRight w:val="0"/>
          <w:marTop w:val="0"/>
          <w:marBottom w:val="0"/>
          <w:divBdr>
            <w:top w:val="none" w:sz="0" w:space="0" w:color="auto"/>
            <w:left w:val="none" w:sz="0" w:space="0" w:color="auto"/>
            <w:bottom w:val="none" w:sz="0" w:space="0" w:color="auto"/>
            <w:right w:val="none" w:sz="0" w:space="0" w:color="auto"/>
          </w:divBdr>
          <w:divsChild>
            <w:div w:id="256671412">
              <w:marLeft w:val="0"/>
              <w:marRight w:val="0"/>
              <w:marTop w:val="0"/>
              <w:marBottom w:val="0"/>
              <w:divBdr>
                <w:top w:val="none" w:sz="0" w:space="0" w:color="auto"/>
                <w:left w:val="none" w:sz="0" w:space="0" w:color="auto"/>
                <w:bottom w:val="none" w:sz="0" w:space="0" w:color="auto"/>
                <w:right w:val="none" w:sz="0" w:space="0" w:color="auto"/>
              </w:divBdr>
            </w:div>
          </w:divsChild>
        </w:div>
        <w:div w:id="1771465843">
          <w:marLeft w:val="0"/>
          <w:marRight w:val="0"/>
          <w:marTop w:val="0"/>
          <w:marBottom w:val="0"/>
          <w:divBdr>
            <w:top w:val="none" w:sz="0" w:space="0" w:color="auto"/>
            <w:left w:val="none" w:sz="0" w:space="0" w:color="auto"/>
            <w:bottom w:val="none" w:sz="0" w:space="0" w:color="auto"/>
            <w:right w:val="none" w:sz="0" w:space="0" w:color="auto"/>
          </w:divBdr>
          <w:divsChild>
            <w:div w:id="1403064507">
              <w:marLeft w:val="0"/>
              <w:marRight w:val="0"/>
              <w:marTop w:val="0"/>
              <w:marBottom w:val="0"/>
              <w:divBdr>
                <w:top w:val="none" w:sz="0" w:space="0" w:color="auto"/>
                <w:left w:val="none" w:sz="0" w:space="0" w:color="auto"/>
                <w:bottom w:val="none" w:sz="0" w:space="0" w:color="auto"/>
                <w:right w:val="none" w:sz="0" w:space="0" w:color="auto"/>
              </w:divBdr>
            </w:div>
          </w:divsChild>
        </w:div>
        <w:div w:id="1778061340">
          <w:marLeft w:val="0"/>
          <w:marRight w:val="0"/>
          <w:marTop w:val="0"/>
          <w:marBottom w:val="0"/>
          <w:divBdr>
            <w:top w:val="none" w:sz="0" w:space="0" w:color="auto"/>
            <w:left w:val="none" w:sz="0" w:space="0" w:color="auto"/>
            <w:bottom w:val="none" w:sz="0" w:space="0" w:color="auto"/>
            <w:right w:val="none" w:sz="0" w:space="0" w:color="auto"/>
          </w:divBdr>
          <w:divsChild>
            <w:div w:id="1247037157">
              <w:marLeft w:val="0"/>
              <w:marRight w:val="0"/>
              <w:marTop w:val="0"/>
              <w:marBottom w:val="0"/>
              <w:divBdr>
                <w:top w:val="none" w:sz="0" w:space="0" w:color="auto"/>
                <w:left w:val="none" w:sz="0" w:space="0" w:color="auto"/>
                <w:bottom w:val="none" w:sz="0" w:space="0" w:color="auto"/>
                <w:right w:val="none" w:sz="0" w:space="0" w:color="auto"/>
              </w:divBdr>
            </w:div>
          </w:divsChild>
        </w:div>
        <w:div w:id="1797023233">
          <w:marLeft w:val="0"/>
          <w:marRight w:val="0"/>
          <w:marTop w:val="0"/>
          <w:marBottom w:val="0"/>
          <w:divBdr>
            <w:top w:val="none" w:sz="0" w:space="0" w:color="auto"/>
            <w:left w:val="none" w:sz="0" w:space="0" w:color="auto"/>
            <w:bottom w:val="none" w:sz="0" w:space="0" w:color="auto"/>
            <w:right w:val="none" w:sz="0" w:space="0" w:color="auto"/>
          </w:divBdr>
          <w:divsChild>
            <w:div w:id="559248832">
              <w:marLeft w:val="0"/>
              <w:marRight w:val="0"/>
              <w:marTop w:val="0"/>
              <w:marBottom w:val="0"/>
              <w:divBdr>
                <w:top w:val="none" w:sz="0" w:space="0" w:color="auto"/>
                <w:left w:val="none" w:sz="0" w:space="0" w:color="auto"/>
                <w:bottom w:val="none" w:sz="0" w:space="0" w:color="auto"/>
                <w:right w:val="none" w:sz="0" w:space="0" w:color="auto"/>
              </w:divBdr>
            </w:div>
          </w:divsChild>
        </w:div>
        <w:div w:id="1819763249">
          <w:marLeft w:val="0"/>
          <w:marRight w:val="0"/>
          <w:marTop w:val="0"/>
          <w:marBottom w:val="0"/>
          <w:divBdr>
            <w:top w:val="none" w:sz="0" w:space="0" w:color="auto"/>
            <w:left w:val="none" w:sz="0" w:space="0" w:color="auto"/>
            <w:bottom w:val="none" w:sz="0" w:space="0" w:color="auto"/>
            <w:right w:val="none" w:sz="0" w:space="0" w:color="auto"/>
          </w:divBdr>
          <w:divsChild>
            <w:div w:id="918171601">
              <w:marLeft w:val="0"/>
              <w:marRight w:val="0"/>
              <w:marTop w:val="0"/>
              <w:marBottom w:val="0"/>
              <w:divBdr>
                <w:top w:val="none" w:sz="0" w:space="0" w:color="auto"/>
                <w:left w:val="none" w:sz="0" w:space="0" w:color="auto"/>
                <w:bottom w:val="none" w:sz="0" w:space="0" w:color="auto"/>
                <w:right w:val="none" w:sz="0" w:space="0" w:color="auto"/>
              </w:divBdr>
            </w:div>
          </w:divsChild>
        </w:div>
        <w:div w:id="1835878379">
          <w:marLeft w:val="0"/>
          <w:marRight w:val="0"/>
          <w:marTop w:val="0"/>
          <w:marBottom w:val="0"/>
          <w:divBdr>
            <w:top w:val="none" w:sz="0" w:space="0" w:color="auto"/>
            <w:left w:val="none" w:sz="0" w:space="0" w:color="auto"/>
            <w:bottom w:val="none" w:sz="0" w:space="0" w:color="auto"/>
            <w:right w:val="none" w:sz="0" w:space="0" w:color="auto"/>
          </w:divBdr>
          <w:divsChild>
            <w:div w:id="106042689">
              <w:marLeft w:val="0"/>
              <w:marRight w:val="0"/>
              <w:marTop w:val="0"/>
              <w:marBottom w:val="0"/>
              <w:divBdr>
                <w:top w:val="none" w:sz="0" w:space="0" w:color="auto"/>
                <w:left w:val="none" w:sz="0" w:space="0" w:color="auto"/>
                <w:bottom w:val="none" w:sz="0" w:space="0" w:color="auto"/>
                <w:right w:val="none" w:sz="0" w:space="0" w:color="auto"/>
              </w:divBdr>
            </w:div>
          </w:divsChild>
        </w:div>
        <w:div w:id="1926644282">
          <w:marLeft w:val="0"/>
          <w:marRight w:val="0"/>
          <w:marTop w:val="0"/>
          <w:marBottom w:val="0"/>
          <w:divBdr>
            <w:top w:val="none" w:sz="0" w:space="0" w:color="auto"/>
            <w:left w:val="none" w:sz="0" w:space="0" w:color="auto"/>
            <w:bottom w:val="none" w:sz="0" w:space="0" w:color="auto"/>
            <w:right w:val="none" w:sz="0" w:space="0" w:color="auto"/>
          </w:divBdr>
          <w:divsChild>
            <w:div w:id="1171141605">
              <w:marLeft w:val="0"/>
              <w:marRight w:val="0"/>
              <w:marTop w:val="0"/>
              <w:marBottom w:val="0"/>
              <w:divBdr>
                <w:top w:val="none" w:sz="0" w:space="0" w:color="auto"/>
                <w:left w:val="none" w:sz="0" w:space="0" w:color="auto"/>
                <w:bottom w:val="none" w:sz="0" w:space="0" w:color="auto"/>
                <w:right w:val="none" w:sz="0" w:space="0" w:color="auto"/>
              </w:divBdr>
            </w:div>
          </w:divsChild>
        </w:div>
        <w:div w:id="1934825742">
          <w:marLeft w:val="0"/>
          <w:marRight w:val="0"/>
          <w:marTop w:val="0"/>
          <w:marBottom w:val="0"/>
          <w:divBdr>
            <w:top w:val="none" w:sz="0" w:space="0" w:color="auto"/>
            <w:left w:val="none" w:sz="0" w:space="0" w:color="auto"/>
            <w:bottom w:val="none" w:sz="0" w:space="0" w:color="auto"/>
            <w:right w:val="none" w:sz="0" w:space="0" w:color="auto"/>
          </w:divBdr>
          <w:divsChild>
            <w:div w:id="507015406">
              <w:marLeft w:val="0"/>
              <w:marRight w:val="0"/>
              <w:marTop w:val="0"/>
              <w:marBottom w:val="0"/>
              <w:divBdr>
                <w:top w:val="none" w:sz="0" w:space="0" w:color="auto"/>
                <w:left w:val="none" w:sz="0" w:space="0" w:color="auto"/>
                <w:bottom w:val="none" w:sz="0" w:space="0" w:color="auto"/>
                <w:right w:val="none" w:sz="0" w:space="0" w:color="auto"/>
              </w:divBdr>
            </w:div>
          </w:divsChild>
        </w:div>
        <w:div w:id="1975089379">
          <w:marLeft w:val="0"/>
          <w:marRight w:val="0"/>
          <w:marTop w:val="0"/>
          <w:marBottom w:val="0"/>
          <w:divBdr>
            <w:top w:val="none" w:sz="0" w:space="0" w:color="auto"/>
            <w:left w:val="none" w:sz="0" w:space="0" w:color="auto"/>
            <w:bottom w:val="none" w:sz="0" w:space="0" w:color="auto"/>
            <w:right w:val="none" w:sz="0" w:space="0" w:color="auto"/>
          </w:divBdr>
          <w:divsChild>
            <w:div w:id="974869296">
              <w:marLeft w:val="0"/>
              <w:marRight w:val="0"/>
              <w:marTop w:val="0"/>
              <w:marBottom w:val="0"/>
              <w:divBdr>
                <w:top w:val="none" w:sz="0" w:space="0" w:color="auto"/>
                <w:left w:val="none" w:sz="0" w:space="0" w:color="auto"/>
                <w:bottom w:val="none" w:sz="0" w:space="0" w:color="auto"/>
                <w:right w:val="none" w:sz="0" w:space="0" w:color="auto"/>
              </w:divBdr>
            </w:div>
          </w:divsChild>
        </w:div>
        <w:div w:id="1997295806">
          <w:marLeft w:val="0"/>
          <w:marRight w:val="0"/>
          <w:marTop w:val="0"/>
          <w:marBottom w:val="0"/>
          <w:divBdr>
            <w:top w:val="none" w:sz="0" w:space="0" w:color="auto"/>
            <w:left w:val="none" w:sz="0" w:space="0" w:color="auto"/>
            <w:bottom w:val="none" w:sz="0" w:space="0" w:color="auto"/>
            <w:right w:val="none" w:sz="0" w:space="0" w:color="auto"/>
          </w:divBdr>
          <w:divsChild>
            <w:div w:id="412436671">
              <w:marLeft w:val="0"/>
              <w:marRight w:val="0"/>
              <w:marTop w:val="0"/>
              <w:marBottom w:val="0"/>
              <w:divBdr>
                <w:top w:val="none" w:sz="0" w:space="0" w:color="auto"/>
                <w:left w:val="none" w:sz="0" w:space="0" w:color="auto"/>
                <w:bottom w:val="none" w:sz="0" w:space="0" w:color="auto"/>
                <w:right w:val="none" w:sz="0" w:space="0" w:color="auto"/>
              </w:divBdr>
            </w:div>
          </w:divsChild>
        </w:div>
        <w:div w:id="2004311178">
          <w:marLeft w:val="0"/>
          <w:marRight w:val="0"/>
          <w:marTop w:val="0"/>
          <w:marBottom w:val="0"/>
          <w:divBdr>
            <w:top w:val="none" w:sz="0" w:space="0" w:color="auto"/>
            <w:left w:val="none" w:sz="0" w:space="0" w:color="auto"/>
            <w:bottom w:val="none" w:sz="0" w:space="0" w:color="auto"/>
            <w:right w:val="none" w:sz="0" w:space="0" w:color="auto"/>
          </w:divBdr>
          <w:divsChild>
            <w:div w:id="1613366979">
              <w:marLeft w:val="0"/>
              <w:marRight w:val="0"/>
              <w:marTop w:val="0"/>
              <w:marBottom w:val="0"/>
              <w:divBdr>
                <w:top w:val="none" w:sz="0" w:space="0" w:color="auto"/>
                <w:left w:val="none" w:sz="0" w:space="0" w:color="auto"/>
                <w:bottom w:val="none" w:sz="0" w:space="0" w:color="auto"/>
                <w:right w:val="none" w:sz="0" w:space="0" w:color="auto"/>
              </w:divBdr>
            </w:div>
          </w:divsChild>
        </w:div>
        <w:div w:id="2009399754">
          <w:marLeft w:val="0"/>
          <w:marRight w:val="0"/>
          <w:marTop w:val="0"/>
          <w:marBottom w:val="0"/>
          <w:divBdr>
            <w:top w:val="none" w:sz="0" w:space="0" w:color="auto"/>
            <w:left w:val="none" w:sz="0" w:space="0" w:color="auto"/>
            <w:bottom w:val="none" w:sz="0" w:space="0" w:color="auto"/>
            <w:right w:val="none" w:sz="0" w:space="0" w:color="auto"/>
          </w:divBdr>
          <w:divsChild>
            <w:div w:id="1620145483">
              <w:marLeft w:val="0"/>
              <w:marRight w:val="0"/>
              <w:marTop w:val="0"/>
              <w:marBottom w:val="0"/>
              <w:divBdr>
                <w:top w:val="none" w:sz="0" w:space="0" w:color="auto"/>
                <w:left w:val="none" w:sz="0" w:space="0" w:color="auto"/>
                <w:bottom w:val="none" w:sz="0" w:space="0" w:color="auto"/>
                <w:right w:val="none" w:sz="0" w:space="0" w:color="auto"/>
              </w:divBdr>
            </w:div>
          </w:divsChild>
        </w:div>
        <w:div w:id="2079010827">
          <w:marLeft w:val="0"/>
          <w:marRight w:val="0"/>
          <w:marTop w:val="0"/>
          <w:marBottom w:val="0"/>
          <w:divBdr>
            <w:top w:val="none" w:sz="0" w:space="0" w:color="auto"/>
            <w:left w:val="none" w:sz="0" w:space="0" w:color="auto"/>
            <w:bottom w:val="none" w:sz="0" w:space="0" w:color="auto"/>
            <w:right w:val="none" w:sz="0" w:space="0" w:color="auto"/>
          </w:divBdr>
          <w:divsChild>
            <w:div w:id="178004811">
              <w:marLeft w:val="0"/>
              <w:marRight w:val="0"/>
              <w:marTop w:val="0"/>
              <w:marBottom w:val="0"/>
              <w:divBdr>
                <w:top w:val="none" w:sz="0" w:space="0" w:color="auto"/>
                <w:left w:val="none" w:sz="0" w:space="0" w:color="auto"/>
                <w:bottom w:val="none" w:sz="0" w:space="0" w:color="auto"/>
                <w:right w:val="none" w:sz="0" w:space="0" w:color="auto"/>
              </w:divBdr>
            </w:div>
          </w:divsChild>
        </w:div>
        <w:div w:id="2101363503">
          <w:marLeft w:val="0"/>
          <w:marRight w:val="0"/>
          <w:marTop w:val="0"/>
          <w:marBottom w:val="0"/>
          <w:divBdr>
            <w:top w:val="none" w:sz="0" w:space="0" w:color="auto"/>
            <w:left w:val="none" w:sz="0" w:space="0" w:color="auto"/>
            <w:bottom w:val="none" w:sz="0" w:space="0" w:color="auto"/>
            <w:right w:val="none" w:sz="0" w:space="0" w:color="auto"/>
          </w:divBdr>
          <w:divsChild>
            <w:div w:id="15513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084">
      <w:bodyDiv w:val="1"/>
      <w:marLeft w:val="0"/>
      <w:marRight w:val="0"/>
      <w:marTop w:val="0"/>
      <w:marBottom w:val="0"/>
      <w:divBdr>
        <w:top w:val="none" w:sz="0" w:space="0" w:color="auto"/>
        <w:left w:val="none" w:sz="0" w:space="0" w:color="auto"/>
        <w:bottom w:val="none" w:sz="0" w:space="0" w:color="auto"/>
        <w:right w:val="none" w:sz="0" w:space="0" w:color="auto"/>
      </w:divBdr>
      <w:divsChild>
        <w:div w:id="21169695">
          <w:marLeft w:val="0"/>
          <w:marRight w:val="0"/>
          <w:marTop w:val="0"/>
          <w:marBottom w:val="0"/>
          <w:divBdr>
            <w:top w:val="none" w:sz="0" w:space="0" w:color="auto"/>
            <w:left w:val="none" w:sz="0" w:space="0" w:color="auto"/>
            <w:bottom w:val="none" w:sz="0" w:space="0" w:color="auto"/>
            <w:right w:val="none" w:sz="0" w:space="0" w:color="auto"/>
          </w:divBdr>
          <w:divsChild>
            <w:div w:id="823201723">
              <w:marLeft w:val="0"/>
              <w:marRight w:val="0"/>
              <w:marTop w:val="0"/>
              <w:marBottom w:val="0"/>
              <w:divBdr>
                <w:top w:val="none" w:sz="0" w:space="0" w:color="auto"/>
                <w:left w:val="none" w:sz="0" w:space="0" w:color="auto"/>
                <w:bottom w:val="none" w:sz="0" w:space="0" w:color="auto"/>
                <w:right w:val="none" w:sz="0" w:space="0" w:color="auto"/>
              </w:divBdr>
            </w:div>
          </w:divsChild>
        </w:div>
        <w:div w:id="23336842">
          <w:marLeft w:val="0"/>
          <w:marRight w:val="0"/>
          <w:marTop w:val="0"/>
          <w:marBottom w:val="0"/>
          <w:divBdr>
            <w:top w:val="none" w:sz="0" w:space="0" w:color="auto"/>
            <w:left w:val="none" w:sz="0" w:space="0" w:color="auto"/>
            <w:bottom w:val="none" w:sz="0" w:space="0" w:color="auto"/>
            <w:right w:val="none" w:sz="0" w:space="0" w:color="auto"/>
          </w:divBdr>
          <w:divsChild>
            <w:div w:id="1062825688">
              <w:marLeft w:val="0"/>
              <w:marRight w:val="0"/>
              <w:marTop w:val="0"/>
              <w:marBottom w:val="0"/>
              <w:divBdr>
                <w:top w:val="none" w:sz="0" w:space="0" w:color="auto"/>
                <w:left w:val="none" w:sz="0" w:space="0" w:color="auto"/>
                <w:bottom w:val="none" w:sz="0" w:space="0" w:color="auto"/>
                <w:right w:val="none" w:sz="0" w:space="0" w:color="auto"/>
              </w:divBdr>
            </w:div>
          </w:divsChild>
        </w:div>
        <w:div w:id="26417482">
          <w:marLeft w:val="0"/>
          <w:marRight w:val="0"/>
          <w:marTop w:val="0"/>
          <w:marBottom w:val="0"/>
          <w:divBdr>
            <w:top w:val="none" w:sz="0" w:space="0" w:color="auto"/>
            <w:left w:val="none" w:sz="0" w:space="0" w:color="auto"/>
            <w:bottom w:val="none" w:sz="0" w:space="0" w:color="auto"/>
            <w:right w:val="none" w:sz="0" w:space="0" w:color="auto"/>
          </w:divBdr>
          <w:divsChild>
            <w:div w:id="1311444606">
              <w:marLeft w:val="0"/>
              <w:marRight w:val="0"/>
              <w:marTop w:val="0"/>
              <w:marBottom w:val="0"/>
              <w:divBdr>
                <w:top w:val="none" w:sz="0" w:space="0" w:color="auto"/>
                <w:left w:val="none" w:sz="0" w:space="0" w:color="auto"/>
                <w:bottom w:val="none" w:sz="0" w:space="0" w:color="auto"/>
                <w:right w:val="none" w:sz="0" w:space="0" w:color="auto"/>
              </w:divBdr>
            </w:div>
          </w:divsChild>
        </w:div>
        <w:div w:id="65106036">
          <w:marLeft w:val="0"/>
          <w:marRight w:val="0"/>
          <w:marTop w:val="0"/>
          <w:marBottom w:val="0"/>
          <w:divBdr>
            <w:top w:val="none" w:sz="0" w:space="0" w:color="auto"/>
            <w:left w:val="none" w:sz="0" w:space="0" w:color="auto"/>
            <w:bottom w:val="none" w:sz="0" w:space="0" w:color="auto"/>
            <w:right w:val="none" w:sz="0" w:space="0" w:color="auto"/>
          </w:divBdr>
          <w:divsChild>
            <w:div w:id="1044866649">
              <w:marLeft w:val="0"/>
              <w:marRight w:val="0"/>
              <w:marTop w:val="0"/>
              <w:marBottom w:val="0"/>
              <w:divBdr>
                <w:top w:val="none" w:sz="0" w:space="0" w:color="auto"/>
                <w:left w:val="none" w:sz="0" w:space="0" w:color="auto"/>
                <w:bottom w:val="none" w:sz="0" w:space="0" w:color="auto"/>
                <w:right w:val="none" w:sz="0" w:space="0" w:color="auto"/>
              </w:divBdr>
            </w:div>
          </w:divsChild>
        </w:div>
        <w:div w:id="76830981">
          <w:marLeft w:val="0"/>
          <w:marRight w:val="0"/>
          <w:marTop w:val="0"/>
          <w:marBottom w:val="0"/>
          <w:divBdr>
            <w:top w:val="none" w:sz="0" w:space="0" w:color="auto"/>
            <w:left w:val="none" w:sz="0" w:space="0" w:color="auto"/>
            <w:bottom w:val="none" w:sz="0" w:space="0" w:color="auto"/>
            <w:right w:val="none" w:sz="0" w:space="0" w:color="auto"/>
          </w:divBdr>
          <w:divsChild>
            <w:div w:id="1142697700">
              <w:marLeft w:val="0"/>
              <w:marRight w:val="0"/>
              <w:marTop w:val="0"/>
              <w:marBottom w:val="0"/>
              <w:divBdr>
                <w:top w:val="none" w:sz="0" w:space="0" w:color="auto"/>
                <w:left w:val="none" w:sz="0" w:space="0" w:color="auto"/>
                <w:bottom w:val="none" w:sz="0" w:space="0" w:color="auto"/>
                <w:right w:val="none" w:sz="0" w:space="0" w:color="auto"/>
              </w:divBdr>
            </w:div>
          </w:divsChild>
        </w:div>
        <w:div w:id="88355695">
          <w:marLeft w:val="0"/>
          <w:marRight w:val="0"/>
          <w:marTop w:val="0"/>
          <w:marBottom w:val="0"/>
          <w:divBdr>
            <w:top w:val="none" w:sz="0" w:space="0" w:color="auto"/>
            <w:left w:val="none" w:sz="0" w:space="0" w:color="auto"/>
            <w:bottom w:val="none" w:sz="0" w:space="0" w:color="auto"/>
            <w:right w:val="none" w:sz="0" w:space="0" w:color="auto"/>
          </w:divBdr>
          <w:divsChild>
            <w:div w:id="325744375">
              <w:marLeft w:val="0"/>
              <w:marRight w:val="0"/>
              <w:marTop w:val="0"/>
              <w:marBottom w:val="0"/>
              <w:divBdr>
                <w:top w:val="none" w:sz="0" w:space="0" w:color="auto"/>
                <w:left w:val="none" w:sz="0" w:space="0" w:color="auto"/>
                <w:bottom w:val="none" w:sz="0" w:space="0" w:color="auto"/>
                <w:right w:val="none" w:sz="0" w:space="0" w:color="auto"/>
              </w:divBdr>
            </w:div>
          </w:divsChild>
        </w:div>
        <w:div w:id="148256178">
          <w:marLeft w:val="0"/>
          <w:marRight w:val="0"/>
          <w:marTop w:val="0"/>
          <w:marBottom w:val="0"/>
          <w:divBdr>
            <w:top w:val="none" w:sz="0" w:space="0" w:color="auto"/>
            <w:left w:val="none" w:sz="0" w:space="0" w:color="auto"/>
            <w:bottom w:val="none" w:sz="0" w:space="0" w:color="auto"/>
            <w:right w:val="none" w:sz="0" w:space="0" w:color="auto"/>
          </w:divBdr>
          <w:divsChild>
            <w:div w:id="253785450">
              <w:marLeft w:val="0"/>
              <w:marRight w:val="0"/>
              <w:marTop w:val="0"/>
              <w:marBottom w:val="0"/>
              <w:divBdr>
                <w:top w:val="none" w:sz="0" w:space="0" w:color="auto"/>
                <w:left w:val="none" w:sz="0" w:space="0" w:color="auto"/>
                <w:bottom w:val="none" w:sz="0" w:space="0" w:color="auto"/>
                <w:right w:val="none" w:sz="0" w:space="0" w:color="auto"/>
              </w:divBdr>
            </w:div>
          </w:divsChild>
        </w:div>
        <w:div w:id="202446124">
          <w:marLeft w:val="0"/>
          <w:marRight w:val="0"/>
          <w:marTop w:val="0"/>
          <w:marBottom w:val="0"/>
          <w:divBdr>
            <w:top w:val="none" w:sz="0" w:space="0" w:color="auto"/>
            <w:left w:val="none" w:sz="0" w:space="0" w:color="auto"/>
            <w:bottom w:val="none" w:sz="0" w:space="0" w:color="auto"/>
            <w:right w:val="none" w:sz="0" w:space="0" w:color="auto"/>
          </w:divBdr>
          <w:divsChild>
            <w:div w:id="675889000">
              <w:marLeft w:val="0"/>
              <w:marRight w:val="0"/>
              <w:marTop w:val="0"/>
              <w:marBottom w:val="0"/>
              <w:divBdr>
                <w:top w:val="none" w:sz="0" w:space="0" w:color="auto"/>
                <w:left w:val="none" w:sz="0" w:space="0" w:color="auto"/>
                <w:bottom w:val="none" w:sz="0" w:space="0" w:color="auto"/>
                <w:right w:val="none" w:sz="0" w:space="0" w:color="auto"/>
              </w:divBdr>
            </w:div>
          </w:divsChild>
        </w:div>
        <w:div w:id="276911759">
          <w:marLeft w:val="0"/>
          <w:marRight w:val="0"/>
          <w:marTop w:val="0"/>
          <w:marBottom w:val="0"/>
          <w:divBdr>
            <w:top w:val="none" w:sz="0" w:space="0" w:color="auto"/>
            <w:left w:val="none" w:sz="0" w:space="0" w:color="auto"/>
            <w:bottom w:val="none" w:sz="0" w:space="0" w:color="auto"/>
            <w:right w:val="none" w:sz="0" w:space="0" w:color="auto"/>
          </w:divBdr>
          <w:divsChild>
            <w:div w:id="29381715">
              <w:marLeft w:val="0"/>
              <w:marRight w:val="0"/>
              <w:marTop w:val="0"/>
              <w:marBottom w:val="0"/>
              <w:divBdr>
                <w:top w:val="none" w:sz="0" w:space="0" w:color="auto"/>
                <w:left w:val="none" w:sz="0" w:space="0" w:color="auto"/>
                <w:bottom w:val="none" w:sz="0" w:space="0" w:color="auto"/>
                <w:right w:val="none" w:sz="0" w:space="0" w:color="auto"/>
              </w:divBdr>
            </w:div>
          </w:divsChild>
        </w:div>
        <w:div w:id="308828518">
          <w:marLeft w:val="0"/>
          <w:marRight w:val="0"/>
          <w:marTop w:val="0"/>
          <w:marBottom w:val="0"/>
          <w:divBdr>
            <w:top w:val="none" w:sz="0" w:space="0" w:color="auto"/>
            <w:left w:val="none" w:sz="0" w:space="0" w:color="auto"/>
            <w:bottom w:val="none" w:sz="0" w:space="0" w:color="auto"/>
            <w:right w:val="none" w:sz="0" w:space="0" w:color="auto"/>
          </w:divBdr>
          <w:divsChild>
            <w:div w:id="1349335675">
              <w:marLeft w:val="0"/>
              <w:marRight w:val="0"/>
              <w:marTop w:val="0"/>
              <w:marBottom w:val="0"/>
              <w:divBdr>
                <w:top w:val="none" w:sz="0" w:space="0" w:color="auto"/>
                <w:left w:val="none" w:sz="0" w:space="0" w:color="auto"/>
                <w:bottom w:val="none" w:sz="0" w:space="0" w:color="auto"/>
                <w:right w:val="none" w:sz="0" w:space="0" w:color="auto"/>
              </w:divBdr>
            </w:div>
          </w:divsChild>
        </w:div>
        <w:div w:id="324286978">
          <w:marLeft w:val="0"/>
          <w:marRight w:val="0"/>
          <w:marTop w:val="0"/>
          <w:marBottom w:val="0"/>
          <w:divBdr>
            <w:top w:val="none" w:sz="0" w:space="0" w:color="auto"/>
            <w:left w:val="none" w:sz="0" w:space="0" w:color="auto"/>
            <w:bottom w:val="none" w:sz="0" w:space="0" w:color="auto"/>
            <w:right w:val="none" w:sz="0" w:space="0" w:color="auto"/>
          </w:divBdr>
          <w:divsChild>
            <w:div w:id="1387756536">
              <w:marLeft w:val="0"/>
              <w:marRight w:val="0"/>
              <w:marTop w:val="0"/>
              <w:marBottom w:val="0"/>
              <w:divBdr>
                <w:top w:val="none" w:sz="0" w:space="0" w:color="auto"/>
                <w:left w:val="none" w:sz="0" w:space="0" w:color="auto"/>
                <w:bottom w:val="none" w:sz="0" w:space="0" w:color="auto"/>
                <w:right w:val="none" w:sz="0" w:space="0" w:color="auto"/>
              </w:divBdr>
            </w:div>
          </w:divsChild>
        </w:div>
        <w:div w:id="334844074">
          <w:marLeft w:val="0"/>
          <w:marRight w:val="0"/>
          <w:marTop w:val="0"/>
          <w:marBottom w:val="0"/>
          <w:divBdr>
            <w:top w:val="none" w:sz="0" w:space="0" w:color="auto"/>
            <w:left w:val="none" w:sz="0" w:space="0" w:color="auto"/>
            <w:bottom w:val="none" w:sz="0" w:space="0" w:color="auto"/>
            <w:right w:val="none" w:sz="0" w:space="0" w:color="auto"/>
          </w:divBdr>
          <w:divsChild>
            <w:div w:id="1341155202">
              <w:marLeft w:val="0"/>
              <w:marRight w:val="0"/>
              <w:marTop w:val="0"/>
              <w:marBottom w:val="0"/>
              <w:divBdr>
                <w:top w:val="none" w:sz="0" w:space="0" w:color="auto"/>
                <w:left w:val="none" w:sz="0" w:space="0" w:color="auto"/>
                <w:bottom w:val="none" w:sz="0" w:space="0" w:color="auto"/>
                <w:right w:val="none" w:sz="0" w:space="0" w:color="auto"/>
              </w:divBdr>
            </w:div>
          </w:divsChild>
        </w:div>
        <w:div w:id="335117794">
          <w:marLeft w:val="0"/>
          <w:marRight w:val="0"/>
          <w:marTop w:val="0"/>
          <w:marBottom w:val="0"/>
          <w:divBdr>
            <w:top w:val="none" w:sz="0" w:space="0" w:color="auto"/>
            <w:left w:val="none" w:sz="0" w:space="0" w:color="auto"/>
            <w:bottom w:val="none" w:sz="0" w:space="0" w:color="auto"/>
            <w:right w:val="none" w:sz="0" w:space="0" w:color="auto"/>
          </w:divBdr>
          <w:divsChild>
            <w:div w:id="1225332017">
              <w:marLeft w:val="0"/>
              <w:marRight w:val="0"/>
              <w:marTop w:val="0"/>
              <w:marBottom w:val="0"/>
              <w:divBdr>
                <w:top w:val="none" w:sz="0" w:space="0" w:color="auto"/>
                <w:left w:val="none" w:sz="0" w:space="0" w:color="auto"/>
                <w:bottom w:val="none" w:sz="0" w:space="0" w:color="auto"/>
                <w:right w:val="none" w:sz="0" w:space="0" w:color="auto"/>
              </w:divBdr>
            </w:div>
          </w:divsChild>
        </w:div>
        <w:div w:id="378433557">
          <w:marLeft w:val="0"/>
          <w:marRight w:val="0"/>
          <w:marTop w:val="0"/>
          <w:marBottom w:val="0"/>
          <w:divBdr>
            <w:top w:val="none" w:sz="0" w:space="0" w:color="auto"/>
            <w:left w:val="none" w:sz="0" w:space="0" w:color="auto"/>
            <w:bottom w:val="none" w:sz="0" w:space="0" w:color="auto"/>
            <w:right w:val="none" w:sz="0" w:space="0" w:color="auto"/>
          </w:divBdr>
          <w:divsChild>
            <w:div w:id="829292981">
              <w:marLeft w:val="0"/>
              <w:marRight w:val="0"/>
              <w:marTop w:val="0"/>
              <w:marBottom w:val="0"/>
              <w:divBdr>
                <w:top w:val="none" w:sz="0" w:space="0" w:color="auto"/>
                <w:left w:val="none" w:sz="0" w:space="0" w:color="auto"/>
                <w:bottom w:val="none" w:sz="0" w:space="0" w:color="auto"/>
                <w:right w:val="none" w:sz="0" w:space="0" w:color="auto"/>
              </w:divBdr>
            </w:div>
          </w:divsChild>
        </w:div>
        <w:div w:id="392243985">
          <w:marLeft w:val="0"/>
          <w:marRight w:val="0"/>
          <w:marTop w:val="0"/>
          <w:marBottom w:val="0"/>
          <w:divBdr>
            <w:top w:val="none" w:sz="0" w:space="0" w:color="auto"/>
            <w:left w:val="none" w:sz="0" w:space="0" w:color="auto"/>
            <w:bottom w:val="none" w:sz="0" w:space="0" w:color="auto"/>
            <w:right w:val="none" w:sz="0" w:space="0" w:color="auto"/>
          </w:divBdr>
          <w:divsChild>
            <w:div w:id="893352349">
              <w:marLeft w:val="0"/>
              <w:marRight w:val="0"/>
              <w:marTop w:val="0"/>
              <w:marBottom w:val="0"/>
              <w:divBdr>
                <w:top w:val="none" w:sz="0" w:space="0" w:color="auto"/>
                <w:left w:val="none" w:sz="0" w:space="0" w:color="auto"/>
                <w:bottom w:val="none" w:sz="0" w:space="0" w:color="auto"/>
                <w:right w:val="none" w:sz="0" w:space="0" w:color="auto"/>
              </w:divBdr>
            </w:div>
          </w:divsChild>
        </w:div>
        <w:div w:id="395201519">
          <w:marLeft w:val="0"/>
          <w:marRight w:val="0"/>
          <w:marTop w:val="0"/>
          <w:marBottom w:val="0"/>
          <w:divBdr>
            <w:top w:val="none" w:sz="0" w:space="0" w:color="auto"/>
            <w:left w:val="none" w:sz="0" w:space="0" w:color="auto"/>
            <w:bottom w:val="none" w:sz="0" w:space="0" w:color="auto"/>
            <w:right w:val="none" w:sz="0" w:space="0" w:color="auto"/>
          </w:divBdr>
          <w:divsChild>
            <w:div w:id="2000308276">
              <w:marLeft w:val="0"/>
              <w:marRight w:val="0"/>
              <w:marTop w:val="0"/>
              <w:marBottom w:val="0"/>
              <w:divBdr>
                <w:top w:val="none" w:sz="0" w:space="0" w:color="auto"/>
                <w:left w:val="none" w:sz="0" w:space="0" w:color="auto"/>
                <w:bottom w:val="none" w:sz="0" w:space="0" w:color="auto"/>
                <w:right w:val="none" w:sz="0" w:space="0" w:color="auto"/>
              </w:divBdr>
            </w:div>
          </w:divsChild>
        </w:div>
        <w:div w:id="518356863">
          <w:marLeft w:val="0"/>
          <w:marRight w:val="0"/>
          <w:marTop w:val="0"/>
          <w:marBottom w:val="0"/>
          <w:divBdr>
            <w:top w:val="none" w:sz="0" w:space="0" w:color="auto"/>
            <w:left w:val="none" w:sz="0" w:space="0" w:color="auto"/>
            <w:bottom w:val="none" w:sz="0" w:space="0" w:color="auto"/>
            <w:right w:val="none" w:sz="0" w:space="0" w:color="auto"/>
          </w:divBdr>
          <w:divsChild>
            <w:div w:id="716122970">
              <w:marLeft w:val="0"/>
              <w:marRight w:val="0"/>
              <w:marTop w:val="0"/>
              <w:marBottom w:val="0"/>
              <w:divBdr>
                <w:top w:val="none" w:sz="0" w:space="0" w:color="auto"/>
                <w:left w:val="none" w:sz="0" w:space="0" w:color="auto"/>
                <w:bottom w:val="none" w:sz="0" w:space="0" w:color="auto"/>
                <w:right w:val="none" w:sz="0" w:space="0" w:color="auto"/>
              </w:divBdr>
            </w:div>
          </w:divsChild>
        </w:div>
        <w:div w:id="548146909">
          <w:marLeft w:val="0"/>
          <w:marRight w:val="0"/>
          <w:marTop w:val="0"/>
          <w:marBottom w:val="0"/>
          <w:divBdr>
            <w:top w:val="none" w:sz="0" w:space="0" w:color="auto"/>
            <w:left w:val="none" w:sz="0" w:space="0" w:color="auto"/>
            <w:bottom w:val="none" w:sz="0" w:space="0" w:color="auto"/>
            <w:right w:val="none" w:sz="0" w:space="0" w:color="auto"/>
          </w:divBdr>
          <w:divsChild>
            <w:div w:id="1150900538">
              <w:marLeft w:val="0"/>
              <w:marRight w:val="0"/>
              <w:marTop w:val="0"/>
              <w:marBottom w:val="0"/>
              <w:divBdr>
                <w:top w:val="none" w:sz="0" w:space="0" w:color="auto"/>
                <w:left w:val="none" w:sz="0" w:space="0" w:color="auto"/>
                <w:bottom w:val="none" w:sz="0" w:space="0" w:color="auto"/>
                <w:right w:val="none" w:sz="0" w:space="0" w:color="auto"/>
              </w:divBdr>
            </w:div>
          </w:divsChild>
        </w:div>
        <w:div w:id="619458612">
          <w:marLeft w:val="0"/>
          <w:marRight w:val="0"/>
          <w:marTop w:val="0"/>
          <w:marBottom w:val="0"/>
          <w:divBdr>
            <w:top w:val="none" w:sz="0" w:space="0" w:color="auto"/>
            <w:left w:val="none" w:sz="0" w:space="0" w:color="auto"/>
            <w:bottom w:val="none" w:sz="0" w:space="0" w:color="auto"/>
            <w:right w:val="none" w:sz="0" w:space="0" w:color="auto"/>
          </w:divBdr>
          <w:divsChild>
            <w:div w:id="1436290250">
              <w:marLeft w:val="0"/>
              <w:marRight w:val="0"/>
              <w:marTop w:val="0"/>
              <w:marBottom w:val="0"/>
              <w:divBdr>
                <w:top w:val="none" w:sz="0" w:space="0" w:color="auto"/>
                <w:left w:val="none" w:sz="0" w:space="0" w:color="auto"/>
                <w:bottom w:val="none" w:sz="0" w:space="0" w:color="auto"/>
                <w:right w:val="none" w:sz="0" w:space="0" w:color="auto"/>
              </w:divBdr>
            </w:div>
          </w:divsChild>
        </w:div>
        <w:div w:id="625427389">
          <w:marLeft w:val="0"/>
          <w:marRight w:val="0"/>
          <w:marTop w:val="0"/>
          <w:marBottom w:val="0"/>
          <w:divBdr>
            <w:top w:val="none" w:sz="0" w:space="0" w:color="auto"/>
            <w:left w:val="none" w:sz="0" w:space="0" w:color="auto"/>
            <w:bottom w:val="none" w:sz="0" w:space="0" w:color="auto"/>
            <w:right w:val="none" w:sz="0" w:space="0" w:color="auto"/>
          </w:divBdr>
          <w:divsChild>
            <w:div w:id="2077704401">
              <w:marLeft w:val="0"/>
              <w:marRight w:val="0"/>
              <w:marTop w:val="0"/>
              <w:marBottom w:val="0"/>
              <w:divBdr>
                <w:top w:val="none" w:sz="0" w:space="0" w:color="auto"/>
                <w:left w:val="none" w:sz="0" w:space="0" w:color="auto"/>
                <w:bottom w:val="none" w:sz="0" w:space="0" w:color="auto"/>
                <w:right w:val="none" w:sz="0" w:space="0" w:color="auto"/>
              </w:divBdr>
            </w:div>
          </w:divsChild>
        </w:div>
        <w:div w:id="643120914">
          <w:marLeft w:val="0"/>
          <w:marRight w:val="0"/>
          <w:marTop w:val="0"/>
          <w:marBottom w:val="0"/>
          <w:divBdr>
            <w:top w:val="none" w:sz="0" w:space="0" w:color="auto"/>
            <w:left w:val="none" w:sz="0" w:space="0" w:color="auto"/>
            <w:bottom w:val="none" w:sz="0" w:space="0" w:color="auto"/>
            <w:right w:val="none" w:sz="0" w:space="0" w:color="auto"/>
          </w:divBdr>
          <w:divsChild>
            <w:div w:id="917441354">
              <w:marLeft w:val="0"/>
              <w:marRight w:val="0"/>
              <w:marTop w:val="0"/>
              <w:marBottom w:val="0"/>
              <w:divBdr>
                <w:top w:val="none" w:sz="0" w:space="0" w:color="auto"/>
                <w:left w:val="none" w:sz="0" w:space="0" w:color="auto"/>
                <w:bottom w:val="none" w:sz="0" w:space="0" w:color="auto"/>
                <w:right w:val="none" w:sz="0" w:space="0" w:color="auto"/>
              </w:divBdr>
            </w:div>
          </w:divsChild>
        </w:div>
        <w:div w:id="649556163">
          <w:marLeft w:val="0"/>
          <w:marRight w:val="0"/>
          <w:marTop w:val="0"/>
          <w:marBottom w:val="0"/>
          <w:divBdr>
            <w:top w:val="none" w:sz="0" w:space="0" w:color="auto"/>
            <w:left w:val="none" w:sz="0" w:space="0" w:color="auto"/>
            <w:bottom w:val="none" w:sz="0" w:space="0" w:color="auto"/>
            <w:right w:val="none" w:sz="0" w:space="0" w:color="auto"/>
          </w:divBdr>
          <w:divsChild>
            <w:div w:id="1767535632">
              <w:marLeft w:val="0"/>
              <w:marRight w:val="0"/>
              <w:marTop w:val="0"/>
              <w:marBottom w:val="0"/>
              <w:divBdr>
                <w:top w:val="none" w:sz="0" w:space="0" w:color="auto"/>
                <w:left w:val="none" w:sz="0" w:space="0" w:color="auto"/>
                <w:bottom w:val="none" w:sz="0" w:space="0" w:color="auto"/>
                <w:right w:val="none" w:sz="0" w:space="0" w:color="auto"/>
              </w:divBdr>
            </w:div>
          </w:divsChild>
        </w:div>
        <w:div w:id="654381820">
          <w:marLeft w:val="0"/>
          <w:marRight w:val="0"/>
          <w:marTop w:val="0"/>
          <w:marBottom w:val="0"/>
          <w:divBdr>
            <w:top w:val="none" w:sz="0" w:space="0" w:color="auto"/>
            <w:left w:val="none" w:sz="0" w:space="0" w:color="auto"/>
            <w:bottom w:val="none" w:sz="0" w:space="0" w:color="auto"/>
            <w:right w:val="none" w:sz="0" w:space="0" w:color="auto"/>
          </w:divBdr>
          <w:divsChild>
            <w:div w:id="265622587">
              <w:marLeft w:val="0"/>
              <w:marRight w:val="0"/>
              <w:marTop w:val="0"/>
              <w:marBottom w:val="0"/>
              <w:divBdr>
                <w:top w:val="none" w:sz="0" w:space="0" w:color="auto"/>
                <w:left w:val="none" w:sz="0" w:space="0" w:color="auto"/>
                <w:bottom w:val="none" w:sz="0" w:space="0" w:color="auto"/>
                <w:right w:val="none" w:sz="0" w:space="0" w:color="auto"/>
              </w:divBdr>
            </w:div>
          </w:divsChild>
        </w:div>
        <w:div w:id="662318374">
          <w:marLeft w:val="0"/>
          <w:marRight w:val="0"/>
          <w:marTop w:val="0"/>
          <w:marBottom w:val="0"/>
          <w:divBdr>
            <w:top w:val="none" w:sz="0" w:space="0" w:color="auto"/>
            <w:left w:val="none" w:sz="0" w:space="0" w:color="auto"/>
            <w:bottom w:val="none" w:sz="0" w:space="0" w:color="auto"/>
            <w:right w:val="none" w:sz="0" w:space="0" w:color="auto"/>
          </w:divBdr>
          <w:divsChild>
            <w:div w:id="515123561">
              <w:marLeft w:val="0"/>
              <w:marRight w:val="0"/>
              <w:marTop w:val="0"/>
              <w:marBottom w:val="0"/>
              <w:divBdr>
                <w:top w:val="none" w:sz="0" w:space="0" w:color="auto"/>
                <w:left w:val="none" w:sz="0" w:space="0" w:color="auto"/>
                <w:bottom w:val="none" w:sz="0" w:space="0" w:color="auto"/>
                <w:right w:val="none" w:sz="0" w:space="0" w:color="auto"/>
              </w:divBdr>
            </w:div>
          </w:divsChild>
        </w:div>
        <w:div w:id="670134902">
          <w:marLeft w:val="0"/>
          <w:marRight w:val="0"/>
          <w:marTop w:val="0"/>
          <w:marBottom w:val="0"/>
          <w:divBdr>
            <w:top w:val="none" w:sz="0" w:space="0" w:color="auto"/>
            <w:left w:val="none" w:sz="0" w:space="0" w:color="auto"/>
            <w:bottom w:val="none" w:sz="0" w:space="0" w:color="auto"/>
            <w:right w:val="none" w:sz="0" w:space="0" w:color="auto"/>
          </w:divBdr>
          <w:divsChild>
            <w:div w:id="1413115556">
              <w:marLeft w:val="0"/>
              <w:marRight w:val="0"/>
              <w:marTop w:val="0"/>
              <w:marBottom w:val="0"/>
              <w:divBdr>
                <w:top w:val="none" w:sz="0" w:space="0" w:color="auto"/>
                <w:left w:val="none" w:sz="0" w:space="0" w:color="auto"/>
                <w:bottom w:val="none" w:sz="0" w:space="0" w:color="auto"/>
                <w:right w:val="none" w:sz="0" w:space="0" w:color="auto"/>
              </w:divBdr>
            </w:div>
          </w:divsChild>
        </w:div>
        <w:div w:id="732461797">
          <w:marLeft w:val="0"/>
          <w:marRight w:val="0"/>
          <w:marTop w:val="0"/>
          <w:marBottom w:val="0"/>
          <w:divBdr>
            <w:top w:val="none" w:sz="0" w:space="0" w:color="auto"/>
            <w:left w:val="none" w:sz="0" w:space="0" w:color="auto"/>
            <w:bottom w:val="none" w:sz="0" w:space="0" w:color="auto"/>
            <w:right w:val="none" w:sz="0" w:space="0" w:color="auto"/>
          </w:divBdr>
          <w:divsChild>
            <w:div w:id="1583219616">
              <w:marLeft w:val="0"/>
              <w:marRight w:val="0"/>
              <w:marTop w:val="0"/>
              <w:marBottom w:val="0"/>
              <w:divBdr>
                <w:top w:val="none" w:sz="0" w:space="0" w:color="auto"/>
                <w:left w:val="none" w:sz="0" w:space="0" w:color="auto"/>
                <w:bottom w:val="none" w:sz="0" w:space="0" w:color="auto"/>
                <w:right w:val="none" w:sz="0" w:space="0" w:color="auto"/>
              </w:divBdr>
            </w:div>
          </w:divsChild>
        </w:div>
        <w:div w:id="746196537">
          <w:marLeft w:val="0"/>
          <w:marRight w:val="0"/>
          <w:marTop w:val="0"/>
          <w:marBottom w:val="0"/>
          <w:divBdr>
            <w:top w:val="none" w:sz="0" w:space="0" w:color="auto"/>
            <w:left w:val="none" w:sz="0" w:space="0" w:color="auto"/>
            <w:bottom w:val="none" w:sz="0" w:space="0" w:color="auto"/>
            <w:right w:val="none" w:sz="0" w:space="0" w:color="auto"/>
          </w:divBdr>
          <w:divsChild>
            <w:div w:id="110249803">
              <w:marLeft w:val="0"/>
              <w:marRight w:val="0"/>
              <w:marTop w:val="0"/>
              <w:marBottom w:val="0"/>
              <w:divBdr>
                <w:top w:val="none" w:sz="0" w:space="0" w:color="auto"/>
                <w:left w:val="none" w:sz="0" w:space="0" w:color="auto"/>
                <w:bottom w:val="none" w:sz="0" w:space="0" w:color="auto"/>
                <w:right w:val="none" w:sz="0" w:space="0" w:color="auto"/>
              </w:divBdr>
            </w:div>
          </w:divsChild>
        </w:div>
        <w:div w:id="837579357">
          <w:marLeft w:val="0"/>
          <w:marRight w:val="0"/>
          <w:marTop w:val="0"/>
          <w:marBottom w:val="0"/>
          <w:divBdr>
            <w:top w:val="none" w:sz="0" w:space="0" w:color="auto"/>
            <w:left w:val="none" w:sz="0" w:space="0" w:color="auto"/>
            <w:bottom w:val="none" w:sz="0" w:space="0" w:color="auto"/>
            <w:right w:val="none" w:sz="0" w:space="0" w:color="auto"/>
          </w:divBdr>
          <w:divsChild>
            <w:div w:id="1063873461">
              <w:marLeft w:val="0"/>
              <w:marRight w:val="0"/>
              <w:marTop w:val="0"/>
              <w:marBottom w:val="0"/>
              <w:divBdr>
                <w:top w:val="none" w:sz="0" w:space="0" w:color="auto"/>
                <w:left w:val="none" w:sz="0" w:space="0" w:color="auto"/>
                <w:bottom w:val="none" w:sz="0" w:space="0" w:color="auto"/>
                <w:right w:val="none" w:sz="0" w:space="0" w:color="auto"/>
              </w:divBdr>
            </w:div>
          </w:divsChild>
        </w:div>
        <w:div w:id="851918005">
          <w:marLeft w:val="0"/>
          <w:marRight w:val="0"/>
          <w:marTop w:val="0"/>
          <w:marBottom w:val="0"/>
          <w:divBdr>
            <w:top w:val="none" w:sz="0" w:space="0" w:color="auto"/>
            <w:left w:val="none" w:sz="0" w:space="0" w:color="auto"/>
            <w:bottom w:val="none" w:sz="0" w:space="0" w:color="auto"/>
            <w:right w:val="none" w:sz="0" w:space="0" w:color="auto"/>
          </w:divBdr>
          <w:divsChild>
            <w:div w:id="769663757">
              <w:marLeft w:val="0"/>
              <w:marRight w:val="0"/>
              <w:marTop w:val="0"/>
              <w:marBottom w:val="0"/>
              <w:divBdr>
                <w:top w:val="none" w:sz="0" w:space="0" w:color="auto"/>
                <w:left w:val="none" w:sz="0" w:space="0" w:color="auto"/>
                <w:bottom w:val="none" w:sz="0" w:space="0" w:color="auto"/>
                <w:right w:val="none" w:sz="0" w:space="0" w:color="auto"/>
              </w:divBdr>
            </w:div>
          </w:divsChild>
        </w:div>
        <w:div w:id="852761282">
          <w:marLeft w:val="0"/>
          <w:marRight w:val="0"/>
          <w:marTop w:val="0"/>
          <w:marBottom w:val="0"/>
          <w:divBdr>
            <w:top w:val="none" w:sz="0" w:space="0" w:color="auto"/>
            <w:left w:val="none" w:sz="0" w:space="0" w:color="auto"/>
            <w:bottom w:val="none" w:sz="0" w:space="0" w:color="auto"/>
            <w:right w:val="none" w:sz="0" w:space="0" w:color="auto"/>
          </w:divBdr>
          <w:divsChild>
            <w:div w:id="576327726">
              <w:marLeft w:val="0"/>
              <w:marRight w:val="0"/>
              <w:marTop w:val="0"/>
              <w:marBottom w:val="0"/>
              <w:divBdr>
                <w:top w:val="none" w:sz="0" w:space="0" w:color="auto"/>
                <w:left w:val="none" w:sz="0" w:space="0" w:color="auto"/>
                <w:bottom w:val="none" w:sz="0" w:space="0" w:color="auto"/>
                <w:right w:val="none" w:sz="0" w:space="0" w:color="auto"/>
              </w:divBdr>
            </w:div>
          </w:divsChild>
        </w:div>
        <w:div w:id="908152848">
          <w:marLeft w:val="0"/>
          <w:marRight w:val="0"/>
          <w:marTop w:val="0"/>
          <w:marBottom w:val="0"/>
          <w:divBdr>
            <w:top w:val="none" w:sz="0" w:space="0" w:color="auto"/>
            <w:left w:val="none" w:sz="0" w:space="0" w:color="auto"/>
            <w:bottom w:val="none" w:sz="0" w:space="0" w:color="auto"/>
            <w:right w:val="none" w:sz="0" w:space="0" w:color="auto"/>
          </w:divBdr>
          <w:divsChild>
            <w:div w:id="587468772">
              <w:marLeft w:val="0"/>
              <w:marRight w:val="0"/>
              <w:marTop w:val="0"/>
              <w:marBottom w:val="0"/>
              <w:divBdr>
                <w:top w:val="none" w:sz="0" w:space="0" w:color="auto"/>
                <w:left w:val="none" w:sz="0" w:space="0" w:color="auto"/>
                <w:bottom w:val="none" w:sz="0" w:space="0" w:color="auto"/>
                <w:right w:val="none" w:sz="0" w:space="0" w:color="auto"/>
              </w:divBdr>
            </w:div>
          </w:divsChild>
        </w:div>
        <w:div w:id="908805523">
          <w:marLeft w:val="0"/>
          <w:marRight w:val="0"/>
          <w:marTop w:val="0"/>
          <w:marBottom w:val="0"/>
          <w:divBdr>
            <w:top w:val="none" w:sz="0" w:space="0" w:color="auto"/>
            <w:left w:val="none" w:sz="0" w:space="0" w:color="auto"/>
            <w:bottom w:val="none" w:sz="0" w:space="0" w:color="auto"/>
            <w:right w:val="none" w:sz="0" w:space="0" w:color="auto"/>
          </w:divBdr>
          <w:divsChild>
            <w:div w:id="1281761424">
              <w:marLeft w:val="0"/>
              <w:marRight w:val="0"/>
              <w:marTop w:val="0"/>
              <w:marBottom w:val="0"/>
              <w:divBdr>
                <w:top w:val="none" w:sz="0" w:space="0" w:color="auto"/>
                <w:left w:val="none" w:sz="0" w:space="0" w:color="auto"/>
                <w:bottom w:val="none" w:sz="0" w:space="0" w:color="auto"/>
                <w:right w:val="none" w:sz="0" w:space="0" w:color="auto"/>
              </w:divBdr>
            </w:div>
          </w:divsChild>
        </w:div>
        <w:div w:id="960184716">
          <w:marLeft w:val="0"/>
          <w:marRight w:val="0"/>
          <w:marTop w:val="0"/>
          <w:marBottom w:val="0"/>
          <w:divBdr>
            <w:top w:val="none" w:sz="0" w:space="0" w:color="auto"/>
            <w:left w:val="none" w:sz="0" w:space="0" w:color="auto"/>
            <w:bottom w:val="none" w:sz="0" w:space="0" w:color="auto"/>
            <w:right w:val="none" w:sz="0" w:space="0" w:color="auto"/>
          </w:divBdr>
          <w:divsChild>
            <w:div w:id="985861319">
              <w:marLeft w:val="0"/>
              <w:marRight w:val="0"/>
              <w:marTop w:val="0"/>
              <w:marBottom w:val="0"/>
              <w:divBdr>
                <w:top w:val="none" w:sz="0" w:space="0" w:color="auto"/>
                <w:left w:val="none" w:sz="0" w:space="0" w:color="auto"/>
                <w:bottom w:val="none" w:sz="0" w:space="0" w:color="auto"/>
                <w:right w:val="none" w:sz="0" w:space="0" w:color="auto"/>
              </w:divBdr>
            </w:div>
          </w:divsChild>
        </w:div>
        <w:div w:id="962150436">
          <w:marLeft w:val="0"/>
          <w:marRight w:val="0"/>
          <w:marTop w:val="0"/>
          <w:marBottom w:val="0"/>
          <w:divBdr>
            <w:top w:val="none" w:sz="0" w:space="0" w:color="auto"/>
            <w:left w:val="none" w:sz="0" w:space="0" w:color="auto"/>
            <w:bottom w:val="none" w:sz="0" w:space="0" w:color="auto"/>
            <w:right w:val="none" w:sz="0" w:space="0" w:color="auto"/>
          </w:divBdr>
          <w:divsChild>
            <w:div w:id="414591717">
              <w:marLeft w:val="0"/>
              <w:marRight w:val="0"/>
              <w:marTop w:val="0"/>
              <w:marBottom w:val="0"/>
              <w:divBdr>
                <w:top w:val="none" w:sz="0" w:space="0" w:color="auto"/>
                <w:left w:val="none" w:sz="0" w:space="0" w:color="auto"/>
                <w:bottom w:val="none" w:sz="0" w:space="0" w:color="auto"/>
                <w:right w:val="none" w:sz="0" w:space="0" w:color="auto"/>
              </w:divBdr>
            </w:div>
          </w:divsChild>
        </w:div>
        <w:div w:id="1081874271">
          <w:marLeft w:val="0"/>
          <w:marRight w:val="0"/>
          <w:marTop w:val="0"/>
          <w:marBottom w:val="0"/>
          <w:divBdr>
            <w:top w:val="none" w:sz="0" w:space="0" w:color="auto"/>
            <w:left w:val="none" w:sz="0" w:space="0" w:color="auto"/>
            <w:bottom w:val="none" w:sz="0" w:space="0" w:color="auto"/>
            <w:right w:val="none" w:sz="0" w:space="0" w:color="auto"/>
          </w:divBdr>
          <w:divsChild>
            <w:div w:id="1013999051">
              <w:marLeft w:val="0"/>
              <w:marRight w:val="0"/>
              <w:marTop w:val="0"/>
              <w:marBottom w:val="0"/>
              <w:divBdr>
                <w:top w:val="none" w:sz="0" w:space="0" w:color="auto"/>
                <w:left w:val="none" w:sz="0" w:space="0" w:color="auto"/>
                <w:bottom w:val="none" w:sz="0" w:space="0" w:color="auto"/>
                <w:right w:val="none" w:sz="0" w:space="0" w:color="auto"/>
              </w:divBdr>
            </w:div>
          </w:divsChild>
        </w:div>
        <w:div w:id="1087187269">
          <w:marLeft w:val="0"/>
          <w:marRight w:val="0"/>
          <w:marTop w:val="0"/>
          <w:marBottom w:val="0"/>
          <w:divBdr>
            <w:top w:val="none" w:sz="0" w:space="0" w:color="auto"/>
            <w:left w:val="none" w:sz="0" w:space="0" w:color="auto"/>
            <w:bottom w:val="none" w:sz="0" w:space="0" w:color="auto"/>
            <w:right w:val="none" w:sz="0" w:space="0" w:color="auto"/>
          </w:divBdr>
          <w:divsChild>
            <w:div w:id="2142917329">
              <w:marLeft w:val="0"/>
              <w:marRight w:val="0"/>
              <w:marTop w:val="0"/>
              <w:marBottom w:val="0"/>
              <w:divBdr>
                <w:top w:val="none" w:sz="0" w:space="0" w:color="auto"/>
                <w:left w:val="none" w:sz="0" w:space="0" w:color="auto"/>
                <w:bottom w:val="none" w:sz="0" w:space="0" w:color="auto"/>
                <w:right w:val="none" w:sz="0" w:space="0" w:color="auto"/>
              </w:divBdr>
            </w:div>
          </w:divsChild>
        </w:div>
        <w:div w:id="1093745201">
          <w:marLeft w:val="0"/>
          <w:marRight w:val="0"/>
          <w:marTop w:val="0"/>
          <w:marBottom w:val="0"/>
          <w:divBdr>
            <w:top w:val="none" w:sz="0" w:space="0" w:color="auto"/>
            <w:left w:val="none" w:sz="0" w:space="0" w:color="auto"/>
            <w:bottom w:val="none" w:sz="0" w:space="0" w:color="auto"/>
            <w:right w:val="none" w:sz="0" w:space="0" w:color="auto"/>
          </w:divBdr>
          <w:divsChild>
            <w:div w:id="640695398">
              <w:marLeft w:val="0"/>
              <w:marRight w:val="0"/>
              <w:marTop w:val="0"/>
              <w:marBottom w:val="0"/>
              <w:divBdr>
                <w:top w:val="none" w:sz="0" w:space="0" w:color="auto"/>
                <w:left w:val="none" w:sz="0" w:space="0" w:color="auto"/>
                <w:bottom w:val="none" w:sz="0" w:space="0" w:color="auto"/>
                <w:right w:val="none" w:sz="0" w:space="0" w:color="auto"/>
              </w:divBdr>
            </w:div>
          </w:divsChild>
        </w:div>
        <w:div w:id="1094285506">
          <w:marLeft w:val="0"/>
          <w:marRight w:val="0"/>
          <w:marTop w:val="0"/>
          <w:marBottom w:val="0"/>
          <w:divBdr>
            <w:top w:val="none" w:sz="0" w:space="0" w:color="auto"/>
            <w:left w:val="none" w:sz="0" w:space="0" w:color="auto"/>
            <w:bottom w:val="none" w:sz="0" w:space="0" w:color="auto"/>
            <w:right w:val="none" w:sz="0" w:space="0" w:color="auto"/>
          </w:divBdr>
          <w:divsChild>
            <w:div w:id="1603682904">
              <w:marLeft w:val="0"/>
              <w:marRight w:val="0"/>
              <w:marTop w:val="0"/>
              <w:marBottom w:val="0"/>
              <w:divBdr>
                <w:top w:val="none" w:sz="0" w:space="0" w:color="auto"/>
                <w:left w:val="none" w:sz="0" w:space="0" w:color="auto"/>
                <w:bottom w:val="none" w:sz="0" w:space="0" w:color="auto"/>
                <w:right w:val="none" w:sz="0" w:space="0" w:color="auto"/>
              </w:divBdr>
            </w:div>
          </w:divsChild>
        </w:div>
        <w:div w:id="1097604175">
          <w:marLeft w:val="0"/>
          <w:marRight w:val="0"/>
          <w:marTop w:val="0"/>
          <w:marBottom w:val="0"/>
          <w:divBdr>
            <w:top w:val="none" w:sz="0" w:space="0" w:color="auto"/>
            <w:left w:val="none" w:sz="0" w:space="0" w:color="auto"/>
            <w:bottom w:val="none" w:sz="0" w:space="0" w:color="auto"/>
            <w:right w:val="none" w:sz="0" w:space="0" w:color="auto"/>
          </w:divBdr>
          <w:divsChild>
            <w:div w:id="982735496">
              <w:marLeft w:val="0"/>
              <w:marRight w:val="0"/>
              <w:marTop w:val="0"/>
              <w:marBottom w:val="0"/>
              <w:divBdr>
                <w:top w:val="none" w:sz="0" w:space="0" w:color="auto"/>
                <w:left w:val="none" w:sz="0" w:space="0" w:color="auto"/>
                <w:bottom w:val="none" w:sz="0" w:space="0" w:color="auto"/>
                <w:right w:val="none" w:sz="0" w:space="0" w:color="auto"/>
              </w:divBdr>
            </w:div>
          </w:divsChild>
        </w:div>
        <w:div w:id="1103234006">
          <w:marLeft w:val="0"/>
          <w:marRight w:val="0"/>
          <w:marTop w:val="0"/>
          <w:marBottom w:val="0"/>
          <w:divBdr>
            <w:top w:val="none" w:sz="0" w:space="0" w:color="auto"/>
            <w:left w:val="none" w:sz="0" w:space="0" w:color="auto"/>
            <w:bottom w:val="none" w:sz="0" w:space="0" w:color="auto"/>
            <w:right w:val="none" w:sz="0" w:space="0" w:color="auto"/>
          </w:divBdr>
          <w:divsChild>
            <w:div w:id="1619408728">
              <w:marLeft w:val="0"/>
              <w:marRight w:val="0"/>
              <w:marTop w:val="0"/>
              <w:marBottom w:val="0"/>
              <w:divBdr>
                <w:top w:val="none" w:sz="0" w:space="0" w:color="auto"/>
                <w:left w:val="none" w:sz="0" w:space="0" w:color="auto"/>
                <w:bottom w:val="none" w:sz="0" w:space="0" w:color="auto"/>
                <w:right w:val="none" w:sz="0" w:space="0" w:color="auto"/>
              </w:divBdr>
            </w:div>
          </w:divsChild>
        </w:div>
        <w:div w:id="1112821223">
          <w:marLeft w:val="0"/>
          <w:marRight w:val="0"/>
          <w:marTop w:val="0"/>
          <w:marBottom w:val="0"/>
          <w:divBdr>
            <w:top w:val="none" w:sz="0" w:space="0" w:color="auto"/>
            <w:left w:val="none" w:sz="0" w:space="0" w:color="auto"/>
            <w:bottom w:val="none" w:sz="0" w:space="0" w:color="auto"/>
            <w:right w:val="none" w:sz="0" w:space="0" w:color="auto"/>
          </w:divBdr>
          <w:divsChild>
            <w:div w:id="1822038263">
              <w:marLeft w:val="0"/>
              <w:marRight w:val="0"/>
              <w:marTop w:val="0"/>
              <w:marBottom w:val="0"/>
              <w:divBdr>
                <w:top w:val="none" w:sz="0" w:space="0" w:color="auto"/>
                <w:left w:val="none" w:sz="0" w:space="0" w:color="auto"/>
                <w:bottom w:val="none" w:sz="0" w:space="0" w:color="auto"/>
                <w:right w:val="none" w:sz="0" w:space="0" w:color="auto"/>
              </w:divBdr>
            </w:div>
          </w:divsChild>
        </w:div>
        <w:div w:id="1151822780">
          <w:marLeft w:val="0"/>
          <w:marRight w:val="0"/>
          <w:marTop w:val="0"/>
          <w:marBottom w:val="0"/>
          <w:divBdr>
            <w:top w:val="none" w:sz="0" w:space="0" w:color="auto"/>
            <w:left w:val="none" w:sz="0" w:space="0" w:color="auto"/>
            <w:bottom w:val="none" w:sz="0" w:space="0" w:color="auto"/>
            <w:right w:val="none" w:sz="0" w:space="0" w:color="auto"/>
          </w:divBdr>
          <w:divsChild>
            <w:div w:id="803238058">
              <w:marLeft w:val="0"/>
              <w:marRight w:val="0"/>
              <w:marTop w:val="0"/>
              <w:marBottom w:val="0"/>
              <w:divBdr>
                <w:top w:val="none" w:sz="0" w:space="0" w:color="auto"/>
                <w:left w:val="none" w:sz="0" w:space="0" w:color="auto"/>
                <w:bottom w:val="none" w:sz="0" w:space="0" w:color="auto"/>
                <w:right w:val="none" w:sz="0" w:space="0" w:color="auto"/>
              </w:divBdr>
            </w:div>
          </w:divsChild>
        </w:div>
        <w:div w:id="1188063777">
          <w:marLeft w:val="0"/>
          <w:marRight w:val="0"/>
          <w:marTop w:val="0"/>
          <w:marBottom w:val="0"/>
          <w:divBdr>
            <w:top w:val="none" w:sz="0" w:space="0" w:color="auto"/>
            <w:left w:val="none" w:sz="0" w:space="0" w:color="auto"/>
            <w:bottom w:val="none" w:sz="0" w:space="0" w:color="auto"/>
            <w:right w:val="none" w:sz="0" w:space="0" w:color="auto"/>
          </w:divBdr>
          <w:divsChild>
            <w:div w:id="1274819739">
              <w:marLeft w:val="0"/>
              <w:marRight w:val="0"/>
              <w:marTop w:val="0"/>
              <w:marBottom w:val="0"/>
              <w:divBdr>
                <w:top w:val="none" w:sz="0" w:space="0" w:color="auto"/>
                <w:left w:val="none" w:sz="0" w:space="0" w:color="auto"/>
                <w:bottom w:val="none" w:sz="0" w:space="0" w:color="auto"/>
                <w:right w:val="none" w:sz="0" w:space="0" w:color="auto"/>
              </w:divBdr>
            </w:div>
          </w:divsChild>
        </w:div>
        <w:div w:id="1212041271">
          <w:marLeft w:val="0"/>
          <w:marRight w:val="0"/>
          <w:marTop w:val="0"/>
          <w:marBottom w:val="0"/>
          <w:divBdr>
            <w:top w:val="none" w:sz="0" w:space="0" w:color="auto"/>
            <w:left w:val="none" w:sz="0" w:space="0" w:color="auto"/>
            <w:bottom w:val="none" w:sz="0" w:space="0" w:color="auto"/>
            <w:right w:val="none" w:sz="0" w:space="0" w:color="auto"/>
          </w:divBdr>
          <w:divsChild>
            <w:div w:id="480655092">
              <w:marLeft w:val="0"/>
              <w:marRight w:val="0"/>
              <w:marTop w:val="0"/>
              <w:marBottom w:val="0"/>
              <w:divBdr>
                <w:top w:val="none" w:sz="0" w:space="0" w:color="auto"/>
                <w:left w:val="none" w:sz="0" w:space="0" w:color="auto"/>
                <w:bottom w:val="none" w:sz="0" w:space="0" w:color="auto"/>
                <w:right w:val="none" w:sz="0" w:space="0" w:color="auto"/>
              </w:divBdr>
            </w:div>
          </w:divsChild>
        </w:div>
        <w:div w:id="1224875429">
          <w:marLeft w:val="0"/>
          <w:marRight w:val="0"/>
          <w:marTop w:val="0"/>
          <w:marBottom w:val="0"/>
          <w:divBdr>
            <w:top w:val="none" w:sz="0" w:space="0" w:color="auto"/>
            <w:left w:val="none" w:sz="0" w:space="0" w:color="auto"/>
            <w:bottom w:val="none" w:sz="0" w:space="0" w:color="auto"/>
            <w:right w:val="none" w:sz="0" w:space="0" w:color="auto"/>
          </w:divBdr>
          <w:divsChild>
            <w:div w:id="301234223">
              <w:marLeft w:val="0"/>
              <w:marRight w:val="0"/>
              <w:marTop w:val="0"/>
              <w:marBottom w:val="0"/>
              <w:divBdr>
                <w:top w:val="none" w:sz="0" w:space="0" w:color="auto"/>
                <w:left w:val="none" w:sz="0" w:space="0" w:color="auto"/>
                <w:bottom w:val="none" w:sz="0" w:space="0" w:color="auto"/>
                <w:right w:val="none" w:sz="0" w:space="0" w:color="auto"/>
              </w:divBdr>
            </w:div>
          </w:divsChild>
        </w:div>
        <w:div w:id="1259212269">
          <w:marLeft w:val="0"/>
          <w:marRight w:val="0"/>
          <w:marTop w:val="0"/>
          <w:marBottom w:val="0"/>
          <w:divBdr>
            <w:top w:val="none" w:sz="0" w:space="0" w:color="auto"/>
            <w:left w:val="none" w:sz="0" w:space="0" w:color="auto"/>
            <w:bottom w:val="none" w:sz="0" w:space="0" w:color="auto"/>
            <w:right w:val="none" w:sz="0" w:space="0" w:color="auto"/>
          </w:divBdr>
          <w:divsChild>
            <w:div w:id="2079665998">
              <w:marLeft w:val="0"/>
              <w:marRight w:val="0"/>
              <w:marTop w:val="0"/>
              <w:marBottom w:val="0"/>
              <w:divBdr>
                <w:top w:val="none" w:sz="0" w:space="0" w:color="auto"/>
                <w:left w:val="none" w:sz="0" w:space="0" w:color="auto"/>
                <w:bottom w:val="none" w:sz="0" w:space="0" w:color="auto"/>
                <w:right w:val="none" w:sz="0" w:space="0" w:color="auto"/>
              </w:divBdr>
            </w:div>
          </w:divsChild>
        </w:div>
        <w:div w:id="1264730926">
          <w:marLeft w:val="0"/>
          <w:marRight w:val="0"/>
          <w:marTop w:val="0"/>
          <w:marBottom w:val="0"/>
          <w:divBdr>
            <w:top w:val="none" w:sz="0" w:space="0" w:color="auto"/>
            <w:left w:val="none" w:sz="0" w:space="0" w:color="auto"/>
            <w:bottom w:val="none" w:sz="0" w:space="0" w:color="auto"/>
            <w:right w:val="none" w:sz="0" w:space="0" w:color="auto"/>
          </w:divBdr>
          <w:divsChild>
            <w:div w:id="1641576792">
              <w:marLeft w:val="0"/>
              <w:marRight w:val="0"/>
              <w:marTop w:val="0"/>
              <w:marBottom w:val="0"/>
              <w:divBdr>
                <w:top w:val="none" w:sz="0" w:space="0" w:color="auto"/>
                <w:left w:val="none" w:sz="0" w:space="0" w:color="auto"/>
                <w:bottom w:val="none" w:sz="0" w:space="0" w:color="auto"/>
                <w:right w:val="none" w:sz="0" w:space="0" w:color="auto"/>
              </w:divBdr>
            </w:div>
          </w:divsChild>
        </w:div>
        <w:div w:id="1288463264">
          <w:marLeft w:val="0"/>
          <w:marRight w:val="0"/>
          <w:marTop w:val="0"/>
          <w:marBottom w:val="0"/>
          <w:divBdr>
            <w:top w:val="none" w:sz="0" w:space="0" w:color="auto"/>
            <w:left w:val="none" w:sz="0" w:space="0" w:color="auto"/>
            <w:bottom w:val="none" w:sz="0" w:space="0" w:color="auto"/>
            <w:right w:val="none" w:sz="0" w:space="0" w:color="auto"/>
          </w:divBdr>
          <w:divsChild>
            <w:div w:id="748768750">
              <w:marLeft w:val="0"/>
              <w:marRight w:val="0"/>
              <w:marTop w:val="0"/>
              <w:marBottom w:val="0"/>
              <w:divBdr>
                <w:top w:val="none" w:sz="0" w:space="0" w:color="auto"/>
                <w:left w:val="none" w:sz="0" w:space="0" w:color="auto"/>
                <w:bottom w:val="none" w:sz="0" w:space="0" w:color="auto"/>
                <w:right w:val="none" w:sz="0" w:space="0" w:color="auto"/>
              </w:divBdr>
            </w:div>
          </w:divsChild>
        </w:div>
        <w:div w:id="1297951658">
          <w:marLeft w:val="0"/>
          <w:marRight w:val="0"/>
          <w:marTop w:val="0"/>
          <w:marBottom w:val="0"/>
          <w:divBdr>
            <w:top w:val="none" w:sz="0" w:space="0" w:color="auto"/>
            <w:left w:val="none" w:sz="0" w:space="0" w:color="auto"/>
            <w:bottom w:val="none" w:sz="0" w:space="0" w:color="auto"/>
            <w:right w:val="none" w:sz="0" w:space="0" w:color="auto"/>
          </w:divBdr>
          <w:divsChild>
            <w:div w:id="788471679">
              <w:marLeft w:val="0"/>
              <w:marRight w:val="0"/>
              <w:marTop w:val="0"/>
              <w:marBottom w:val="0"/>
              <w:divBdr>
                <w:top w:val="none" w:sz="0" w:space="0" w:color="auto"/>
                <w:left w:val="none" w:sz="0" w:space="0" w:color="auto"/>
                <w:bottom w:val="none" w:sz="0" w:space="0" w:color="auto"/>
                <w:right w:val="none" w:sz="0" w:space="0" w:color="auto"/>
              </w:divBdr>
            </w:div>
          </w:divsChild>
        </w:div>
        <w:div w:id="1331106186">
          <w:marLeft w:val="0"/>
          <w:marRight w:val="0"/>
          <w:marTop w:val="0"/>
          <w:marBottom w:val="0"/>
          <w:divBdr>
            <w:top w:val="none" w:sz="0" w:space="0" w:color="auto"/>
            <w:left w:val="none" w:sz="0" w:space="0" w:color="auto"/>
            <w:bottom w:val="none" w:sz="0" w:space="0" w:color="auto"/>
            <w:right w:val="none" w:sz="0" w:space="0" w:color="auto"/>
          </w:divBdr>
          <w:divsChild>
            <w:div w:id="488178997">
              <w:marLeft w:val="0"/>
              <w:marRight w:val="0"/>
              <w:marTop w:val="0"/>
              <w:marBottom w:val="0"/>
              <w:divBdr>
                <w:top w:val="none" w:sz="0" w:space="0" w:color="auto"/>
                <w:left w:val="none" w:sz="0" w:space="0" w:color="auto"/>
                <w:bottom w:val="none" w:sz="0" w:space="0" w:color="auto"/>
                <w:right w:val="none" w:sz="0" w:space="0" w:color="auto"/>
              </w:divBdr>
            </w:div>
          </w:divsChild>
        </w:div>
        <w:div w:id="1342320699">
          <w:marLeft w:val="0"/>
          <w:marRight w:val="0"/>
          <w:marTop w:val="0"/>
          <w:marBottom w:val="0"/>
          <w:divBdr>
            <w:top w:val="none" w:sz="0" w:space="0" w:color="auto"/>
            <w:left w:val="none" w:sz="0" w:space="0" w:color="auto"/>
            <w:bottom w:val="none" w:sz="0" w:space="0" w:color="auto"/>
            <w:right w:val="none" w:sz="0" w:space="0" w:color="auto"/>
          </w:divBdr>
          <w:divsChild>
            <w:div w:id="1827235135">
              <w:marLeft w:val="0"/>
              <w:marRight w:val="0"/>
              <w:marTop w:val="0"/>
              <w:marBottom w:val="0"/>
              <w:divBdr>
                <w:top w:val="none" w:sz="0" w:space="0" w:color="auto"/>
                <w:left w:val="none" w:sz="0" w:space="0" w:color="auto"/>
                <w:bottom w:val="none" w:sz="0" w:space="0" w:color="auto"/>
                <w:right w:val="none" w:sz="0" w:space="0" w:color="auto"/>
              </w:divBdr>
            </w:div>
          </w:divsChild>
        </w:div>
        <w:div w:id="1365671406">
          <w:marLeft w:val="0"/>
          <w:marRight w:val="0"/>
          <w:marTop w:val="0"/>
          <w:marBottom w:val="0"/>
          <w:divBdr>
            <w:top w:val="none" w:sz="0" w:space="0" w:color="auto"/>
            <w:left w:val="none" w:sz="0" w:space="0" w:color="auto"/>
            <w:bottom w:val="none" w:sz="0" w:space="0" w:color="auto"/>
            <w:right w:val="none" w:sz="0" w:space="0" w:color="auto"/>
          </w:divBdr>
          <w:divsChild>
            <w:div w:id="1042898916">
              <w:marLeft w:val="0"/>
              <w:marRight w:val="0"/>
              <w:marTop w:val="0"/>
              <w:marBottom w:val="0"/>
              <w:divBdr>
                <w:top w:val="none" w:sz="0" w:space="0" w:color="auto"/>
                <w:left w:val="none" w:sz="0" w:space="0" w:color="auto"/>
                <w:bottom w:val="none" w:sz="0" w:space="0" w:color="auto"/>
                <w:right w:val="none" w:sz="0" w:space="0" w:color="auto"/>
              </w:divBdr>
            </w:div>
          </w:divsChild>
        </w:div>
        <w:div w:id="1370447523">
          <w:marLeft w:val="0"/>
          <w:marRight w:val="0"/>
          <w:marTop w:val="0"/>
          <w:marBottom w:val="0"/>
          <w:divBdr>
            <w:top w:val="none" w:sz="0" w:space="0" w:color="auto"/>
            <w:left w:val="none" w:sz="0" w:space="0" w:color="auto"/>
            <w:bottom w:val="none" w:sz="0" w:space="0" w:color="auto"/>
            <w:right w:val="none" w:sz="0" w:space="0" w:color="auto"/>
          </w:divBdr>
          <w:divsChild>
            <w:div w:id="482821590">
              <w:marLeft w:val="0"/>
              <w:marRight w:val="0"/>
              <w:marTop w:val="0"/>
              <w:marBottom w:val="0"/>
              <w:divBdr>
                <w:top w:val="none" w:sz="0" w:space="0" w:color="auto"/>
                <w:left w:val="none" w:sz="0" w:space="0" w:color="auto"/>
                <w:bottom w:val="none" w:sz="0" w:space="0" w:color="auto"/>
                <w:right w:val="none" w:sz="0" w:space="0" w:color="auto"/>
              </w:divBdr>
            </w:div>
          </w:divsChild>
        </w:div>
        <w:div w:id="1394625128">
          <w:marLeft w:val="0"/>
          <w:marRight w:val="0"/>
          <w:marTop w:val="0"/>
          <w:marBottom w:val="0"/>
          <w:divBdr>
            <w:top w:val="none" w:sz="0" w:space="0" w:color="auto"/>
            <w:left w:val="none" w:sz="0" w:space="0" w:color="auto"/>
            <w:bottom w:val="none" w:sz="0" w:space="0" w:color="auto"/>
            <w:right w:val="none" w:sz="0" w:space="0" w:color="auto"/>
          </w:divBdr>
          <w:divsChild>
            <w:div w:id="1305354591">
              <w:marLeft w:val="0"/>
              <w:marRight w:val="0"/>
              <w:marTop w:val="0"/>
              <w:marBottom w:val="0"/>
              <w:divBdr>
                <w:top w:val="none" w:sz="0" w:space="0" w:color="auto"/>
                <w:left w:val="none" w:sz="0" w:space="0" w:color="auto"/>
                <w:bottom w:val="none" w:sz="0" w:space="0" w:color="auto"/>
                <w:right w:val="none" w:sz="0" w:space="0" w:color="auto"/>
              </w:divBdr>
            </w:div>
          </w:divsChild>
        </w:div>
        <w:div w:id="1407800615">
          <w:marLeft w:val="0"/>
          <w:marRight w:val="0"/>
          <w:marTop w:val="0"/>
          <w:marBottom w:val="0"/>
          <w:divBdr>
            <w:top w:val="none" w:sz="0" w:space="0" w:color="auto"/>
            <w:left w:val="none" w:sz="0" w:space="0" w:color="auto"/>
            <w:bottom w:val="none" w:sz="0" w:space="0" w:color="auto"/>
            <w:right w:val="none" w:sz="0" w:space="0" w:color="auto"/>
          </w:divBdr>
          <w:divsChild>
            <w:div w:id="1249803248">
              <w:marLeft w:val="0"/>
              <w:marRight w:val="0"/>
              <w:marTop w:val="0"/>
              <w:marBottom w:val="0"/>
              <w:divBdr>
                <w:top w:val="none" w:sz="0" w:space="0" w:color="auto"/>
                <w:left w:val="none" w:sz="0" w:space="0" w:color="auto"/>
                <w:bottom w:val="none" w:sz="0" w:space="0" w:color="auto"/>
                <w:right w:val="none" w:sz="0" w:space="0" w:color="auto"/>
              </w:divBdr>
            </w:div>
          </w:divsChild>
        </w:div>
        <w:div w:id="1413820844">
          <w:marLeft w:val="0"/>
          <w:marRight w:val="0"/>
          <w:marTop w:val="0"/>
          <w:marBottom w:val="0"/>
          <w:divBdr>
            <w:top w:val="none" w:sz="0" w:space="0" w:color="auto"/>
            <w:left w:val="none" w:sz="0" w:space="0" w:color="auto"/>
            <w:bottom w:val="none" w:sz="0" w:space="0" w:color="auto"/>
            <w:right w:val="none" w:sz="0" w:space="0" w:color="auto"/>
          </w:divBdr>
          <w:divsChild>
            <w:div w:id="587038160">
              <w:marLeft w:val="0"/>
              <w:marRight w:val="0"/>
              <w:marTop w:val="0"/>
              <w:marBottom w:val="0"/>
              <w:divBdr>
                <w:top w:val="none" w:sz="0" w:space="0" w:color="auto"/>
                <w:left w:val="none" w:sz="0" w:space="0" w:color="auto"/>
                <w:bottom w:val="none" w:sz="0" w:space="0" w:color="auto"/>
                <w:right w:val="none" w:sz="0" w:space="0" w:color="auto"/>
              </w:divBdr>
            </w:div>
          </w:divsChild>
        </w:div>
        <w:div w:id="1424183227">
          <w:marLeft w:val="0"/>
          <w:marRight w:val="0"/>
          <w:marTop w:val="0"/>
          <w:marBottom w:val="0"/>
          <w:divBdr>
            <w:top w:val="none" w:sz="0" w:space="0" w:color="auto"/>
            <w:left w:val="none" w:sz="0" w:space="0" w:color="auto"/>
            <w:bottom w:val="none" w:sz="0" w:space="0" w:color="auto"/>
            <w:right w:val="none" w:sz="0" w:space="0" w:color="auto"/>
          </w:divBdr>
          <w:divsChild>
            <w:div w:id="900597592">
              <w:marLeft w:val="0"/>
              <w:marRight w:val="0"/>
              <w:marTop w:val="0"/>
              <w:marBottom w:val="0"/>
              <w:divBdr>
                <w:top w:val="none" w:sz="0" w:space="0" w:color="auto"/>
                <w:left w:val="none" w:sz="0" w:space="0" w:color="auto"/>
                <w:bottom w:val="none" w:sz="0" w:space="0" w:color="auto"/>
                <w:right w:val="none" w:sz="0" w:space="0" w:color="auto"/>
              </w:divBdr>
            </w:div>
          </w:divsChild>
        </w:div>
        <w:div w:id="1426149695">
          <w:marLeft w:val="0"/>
          <w:marRight w:val="0"/>
          <w:marTop w:val="0"/>
          <w:marBottom w:val="0"/>
          <w:divBdr>
            <w:top w:val="none" w:sz="0" w:space="0" w:color="auto"/>
            <w:left w:val="none" w:sz="0" w:space="0" w:color="auto"/>
            <w:bottom w:val="none" w:sz="0" w:space="0" w:color="auto"/>
            <w:right w:val="none" w:sz="0" w:space="0" w:color="auto"/>
          </w:divBdr>
          <w:divsChild>
            <w:div w:id="313753257">
              <w:marLeft w:val="0"/>
              <w:marRight w:val="0"/>
              <w:marTop w:val="0"/>
              <w:marBottom w:val="0"/>
              <w:divBdr>
                <w:top w:val="none" w:sz="0" w:space="0" w:color="auto"/>
                <w:left w:val="none" w:sz="0" w:space="0" w:color="auto"/>
                <w:bottom w:val="none" w:sz="0" w:space="0" w:color="auto"/>
                <w:right w:val="none" w:sz="0" w:space="0" w:color="auto"/>
              </w:divBdr>
            </w:div>
          </w:divsChild>
        </w:div>
        <w:div w:id="1455948942">
          <w:marLeft w:val="0"/>
          <w:marRight w:val="0"/>
          <w:marTop w:val="0"/>
          <w:marBottom w:val="0"/>
          <w:divBdr>
            <w:top w:val="none" w:sz="0" w:space="0" w:color="auto"/>
            <w:left w:val="none" w:sz="0" w:space="0" w:color="auto"/>
            <w:bottom w:val="none" w:sz="0" w:space="0" w:color="auto"/>
            <w:right w:val="none" w:sz="0" w:space="0" w:color="auto"/>
          </w:divBdr>
          <w:divsChild>
            <w:div w:id="1922904096">
              <w:marLeft w:val="0"/>
              <w:marRight w:val="0"/>
              <w:marTop w:val="0"/>
              <w:marBottom w:val="0"/>
              <w:divBdr>
                <w:top w:val="none" w:sz="0" w:space="0" w:color="auto"/>
                <w:left w:val="none" w:sz="0" w:space="0" w:color="auto"/>
                <w:bottom w:val="none" w:sz="0" w:space="0" w:color="auto"/>
                <w:right w:val="none" w:sz="0" w:space="0" w:color="auto"/>
              </w:divBdr>
            </w:div>
          </w:divsChild>
        </w:div>
        <w:div w:id="1488596858">
          <w:marLeft w:val="0"/>
          <w:marRight w:val="0"/>
          <w:marTop w:val="0"/>
          <w:marBottom w:val="0"/>
          <w:divBdr>
            <w:top w:val="none" w:sz="0" w:space="0" w:color="auto"/>
            <w:left w:val="none" w:sz="0" w:space="0" w:color="auto"/>
            <w:bottom w:val="none" w:sz="0" w:space="0" w:color="auto"/>
            <w:right w:val="none" w:sz="0" w:space="0" w:color="auto"/>
          </w:divBdr>
          <w:divsChild>
            <w:div w:id="1498840422">
              <w:marLeft w:val="0"/>
              <w:marRight w:val="0"/>
              <w:marTop w:val="0"/>
              <w:marBottom w:val="0"/>
              <w:divBdr>
                <w:top w:val="none" w:sz="0" w:space="0" w:color="auto"/>
                <w:left w:val="none" w:sz="0" w:space="0" w:color="auto"/>
                <w:bottom w:val="none" w:sz="0" w:space="0" w:color="auto"/>
                <w:right w:val="none" w:sz="0" w:space="0" w:color="auto"/>
              </w:divBdr>
            </w:div>
          </w:divsChild>
        </w:div>
        <w:div w:id="1495684556">
          <w:marLeft w:val="0"/>
          <w:marRight w:val="0"/>
          <w:marTop w:val="0"/>
          <w:marBottom w:val="0"/>
          <w:divBdr>
            <w:top w:val="none" w:sz="0" w:space="0" w:color="auto"/>
            <w:left w:val="none" w:sz="0" w:space="0" w:color="auto"/>
            <w:bottom w:val="none" w:sz="0" w:space="0" w:color="auto"/>
            <w:right w:val="none" w:sz="0" w:space="0" w:color="auto"/>
          </w:divBdr>
          <w:divsChild>
            <w:div w:id="1967731434">
              <w:marLeft w:val="0"/>
              <w:marRight w:val="0"/>
              <w:marTop w:val="0"/>
              <w:marBottom w:val="0"/>
              <w:divBdr>
                <w:top w:val="none" w:sz="0" w:space="0" w:color="auto"/>
                <w:left w:val="none" w:sz="0" w:space="0" w:color="auto"/>
                <w:bottom w:val="none" w:sz="0" w:space="0" w:color="auto"/>
                <w:right w:val="none" w:sz="0" w:space="0" w:color="auto"/>
              </w:divBdr>
            </w:div>
          </w:divsChild>
        </w:div>
        <w:div w:id="1497724439">
          <w:marLeft w:val="0"/>
          <w:marRight w:val="0"/>
          <w:marTop w:val="0"/>
          <w:marBottom w:val="0"/>
          <w:divBdr>
            <w:top w:val="none" w:sz="0" w:space="0" w:color="auto"/>
            <w:left w:val="none" w:sz="0" w:space="0" w:color="auto"/>
            <w:bottom w:val="none" w:sz="0" w:space="0" w:color="auto"/>
            <w:right w:val="none" w:sz="0" w:space="0" w:color="auto"/>
          </w:divBdr>
          <w:divsChild>
            <w:div w:id="1476265646">
              <w:marLeft w:val="0"/>
              <w:marRight w:val="0"/>
              <w:marTop w:val="0"/>
              <w:marBottom w:val="0"/>
              <w:divBdr>
                <w:top w:val="none" w:sz="0" w:space="0" w:color="auto"/>
                <w:left w:val="none" w:sz="0" w:space="0" w:color="auto"/>
                <w:bottom w:val="none" w:sz="0" w:space="0" w:color="auto"/>
                <w:right w:val="none" w:sz="0" w:space="0" w:color="auto"/>
              </w:divBdr>
            </w:div>
          </w:divsChild>
        </w:div>
        <w:div w:id="1500996189">
          <w:marLeft w:val="0"/>
          <w:marRight w:val="0"/>
          <w:marTop w:val="0"/>
          <w:marBottom w:val="0"/>
          <w:divBdr>
            <w:top w:val="none" w:sz="0" w:space="0" w:color="auto"/>
            <w:left w:val="none" w:sz="0" w:space="0" w:color="auto"/>
            <w:bottom w:val="none" w:sz="0" w:space="0" w:color="auto"/>
            <w:right w:val="none" w:sz="0" w:space="0" w:color="auto"/>
          </w:divBdr>
          <w:divsChild>
            <w:div w:id="1432968921">
              <w:marLeft w:val="0"/>
              <w:marRight w:val="0"/>
              <w:marTop w:val="0"/>
              <w:marBottom w:val="0"/>
              <w:divBdr>
                <w:top w:val="none" w:sz="0" w:space="0" w:color="auto"/>
                <w:left w:val="none" w:sz="0" w:space="0" w:color="auto"/>
                <w:bottom w:val="none" w:sz="0" w:space="0" w:color="auto"/>
                <w:right w:val="none" w:sz="0" w:space="0" w:color="auto"/>
              </w:divBdr>
            </w:div>
          </w:divsChild>
        </w:div>
        <w:div w:id="1540892717">
          <w:marLeft w:val="0"/>
          <w:marRight w:val="0"/>
          <w:marTop w:val="0"/>
          <w:marBottom w:val="0"/>
          <w:divBdr>
            <w:top w:val="none" w:sz="0" w:space="0" w:color="auto"/>
            <w:left w:val="none" w:sz="0" w:space="0" w:color="auto"/>
            <w:bottom w:val="none" w:sz="0" w:space="0" w:color="auto"/>
            <w:right w:val="none" w:sz="0" w:space="0" w:color="auto"/>
          </w:divBdr>
          <w:divsChild>
            <w:div w:id="85468375">
              <w:marLeft w:val="0"/>
              <w:marRight w:val="0"/>
              <w:marTop w:val="0"/>
              <w:marBottom w:val="0"/>
              <w:divBdr>
                <w:top w:val="none" w:sz="0" w:space="0" w:color="auto"/>
                <w:left w:val="none" w:sz="0" w:space="0" w:color="auto"/>
                <w:bottom w:val="none" w:sz="0" w:space="0" w:color="auto"/>
                <w:right w:val="none" w:sz="0" w:space="0" w:color="auto"/>
              </w:divBdr>
            </w:div>
          </w:divsChild>
        </w:div>
        <w:div w:id="1552573416">
          <w:marLeft w:val="0"/>
          <w:marRight w:val="0"/>
          <w:marTop w:val="0"/>
          <w:marBottom w:val="0"/>
          <w:divBdr>
            <w:top w:val="none" w:sz="0" w:space="0" w:color="auto"/>
            <w:left w:val="none" w:sz="0" w:space="0" w:color="auto"/>
            <w:bottom w:val="none" w:sz="0" w:space="0" w:color="auto"/>
            <w:right w:val="none" w:sz="0" w:space="0" w:color="auto"/>
          </w:divBdr>
          <w:divsChild>
            <w:div w:id="913856010">
              <w:marLeft w:val="0"/>
              <w:marRight w:val="0"/>
              <w:marTop w:val="0"/>
              <w:marBottom w:val="0"/>
              <w:divBdr>
                <w:top w:val="none" w:sz="0" w:space="0" w:color="auto"/>
                <w:left w:val="none" w:sz="0" w:space="0" w:color="auto"/>
                <w:bottom w:val="none" w:sz="0" w:space="0" w:color="auto"/>
                <w:right w:val="none" w:sz="0" w:space="0" w:color="auto"/>
              </w:divBdr>
            </w:div>
          </w:divsChild>
        </w:div>
        <w:div w:id="1587610836">
          <w:marLeft w:val="0"/>
          <w:marRight w:val="0"/>
          <w:marTop w:val="0"/>
          <w:marBottom w:val="0"/>
          <w:divBdr>
            <w:top w:val="none" w:sz="0" w:space="0" w:color="auto"/>
            <w:left w:val="none" w:sz="0" w:space="0" w:color="auto"/>
            <w:bottom w:val="none" w:sz="0" w:space="0" w:color="auto"/>
            <w:right w:val="none" w:sz="0" w:space="0" w:color="auto"/>
          </w:divBdr>
          <w:divsChild>
            <w:div w:id="1784495020">
              <w:marLeft w:val="0"/>
              <w:marRight w:val="0"/>
              <w:marTop w:val="0"/>
              <w:marBottom w:val="0"/>
              <w:divBdr>
                <w:top w:val="none" w:sz="0" w:space="0" w:color="auto"/>
                <w:left w:val="none" w:sz="0" w:space="0" w:color="auto"/>
                <w:bottom w:val="none" w:sz="0" w:space="0" w:color="auto"/>
                <w:right w:val="none" w:sz="0" w:space="0" w:color="auto"/>
              </w:divBdr>
            </w:div>
          </w:divsChild>
        </w:div>
        <w:div w:id="1604612286">
          <w:marLeft w:val="0"/>
          <w:marRight w:val="0"/>
          <w:marTop w:val="0"/>
          <w:marBottom w:val="0"/>
          <w:divBdr>
            <w:top w:val="none" w:sz="0" w:space="0" w:color="auto"/>
            <w:left w:val="none" w:sz="0" w:space="0" w:color="auto"/>
            <w:bottom w:val="none" w:sz="0" w:space="0" w:color="auto"/>
            <w:right w:val="none" w:sz="0" w:space="0" w:color="auto"/>
          </w:divBdr>
          <w:divsChild>
            <w:div w:id="882402487">
              <w:marLeft w:val="0"/>
              <w:marRight w:val="0"/>
              <w:marTop w:val="0"/>
              <w:marBottom w:val="0"/>
              <w:divBdr>
                <w:top w:val="none" w:sz="0" w:space="0" w:color="auto"/>
                <w:left w:val="none" w:sz="0" w:space="0" w:color="auto"/>
                <w:bottom w:val="none" w:sz="0" w:space="0" w:color="auto"/>
                <w:right w:val="none" w:sz="0" w:space="0" w:color="auto"/>
              </w:divBdr>
            </w:div>
          </w:divsChild>
        </w:div>
        <w:div w:id="1667519096">
          <w:marLeft w:val="0"/>
          <w:marRight w:val="0"/>
          <w:marTop w:val="0"/>
          <w:marBottom w:val="0"/>
          <w:divBdr>
            <w:top w:val="none" w:sz="0" w:space="0" w:color="auto"/>
            <w:left w:val="none" w:sz="0" w:space="0" w:color="auto"/>
            <w:bottom w:val="none" w:sz="0" w:space="0" w:color="auto"/>
            <w:right w:val="none" w:sz="0" w:space="0" w:color="auto"/>
          </w:divBdr>
          <w:divsChild>
            <w:div w:id="202208180">
              <w:marLeft w:val="0"/>
              <w:marRight w:val="0"/>
              <w:marTop w:val="0"/>
              <w:marBottom w:val="0"/>
              <w:divBdr>
                <w:top w:val="none" w:sz="0" w:space="0" w:color="auto"/>
                <w:left w:val="none" w:sz="0" w:space="0" w:color="auto"/>
                <w:bottom w:val="none" w:sz="0" w:space="0" w:color="auto"/>
                <w:right w:val="none" w:sz="0" w:space="0" w:color="auto"/>
              </w:divBdr>
            </w:div>
          </w:divsChild>
        </w:div>
        <w:div w:id="1679309161">
          <w:marLeft w:val="0"/>
          <w:marRight w:val="0"/>
          <w:marTop w:val="0"/>
          <w:marBottom w:val="0"/>
          <w:divBdr>
            <w:top w:val="none" w:sz="0" w:space="0" w:color="auto"/>
            <w:left w:val="none" w:sz="0" w:space="0" w:color="auto"/>
            <w:bottom w:val="none" w:sz="0" w:space="0" w:color="auto"/>
            <w:right w:val="none" w:sz="0" w:space="0" w:color="auto"/>
          </w:divBdr>
          <w:divsChild>
            <w:div w:id="1082530130">
              <w:marLeft w:val="0"/>
              <w:marRight w:val="0"/>
              <w:marTop w:val="0"/>
              <w:marBottom w:val="0"/>
              <w:divBdr>
                <w:top w:val="none" w:sz="0" w:space="0" w:color="auto"/>
                <w:left w:val="none" w:sz="0" w:space="0" w:color="auto"/>
                <w:bottom w:val="none" w:sz="0" w:space="0" w:color="auto"/>
                <w:right w:val="none" w:sz="0" w:space="0" w:color="auto"/>
              </w:divBdr>
            </w:div>
          </w:divsChild>
        </w:div>
        <w:div w:id="1682511964">
          <w:marLeft w:val="0"/>
          <w:marRight w:val="0"/>
          <w:marTop w:val="0"/>
          <w:marBottom w:val="0"/>
          <w:divBdr>
            <w:top w:val="none" w:sz="0" w:space="0" w:color="auto"/>
            <w:left w:val="none" w:sz="0" w:space="0" w:color="auto"/>
            <w:bottom w:val="none" w:sz="0" w:space="0" w:color="auto"/>
            <w:right w:val="none" w:sz="0" w:space="0" w:color="auto"/>
          </w:divBdr>
          <w:divsChild>
            <w:div w:id="1303118560">
              <w:marLeft w:val="0"/>
              <w:marRight w:val="0"/>
              <w:marTop w:val="0"/>
              <w:marBottom w:val="0"/>
              <w:divBdr>
                <w:top w:val="none" w:sz="0" w:space="0" w:color="auto"/>
                <w:left w:val="none" w:sz="0" w:space="0" w:color="auto"/>
                <w:bottom w:val="none" w:sz="0" w:space="0" w:color="auto"/>
                <w:right w:val="none" w:sz="0" w:space="0" w:color="auto"/>
              </w:divBdr>
            </w:div>
          </w:divsChild>
        </w:div>
        <w:div w:id="1696882036">
          <w:marLeft w:val="0"/>
          <w:marRight w:val="0"/>
          <w:marTop w:val="0"/>
          <w:marBottom w:val="0"/>
          <w:divBdr>
            <w:top w:val="none" w:sz="0" w:space="0" w:color="auto"/>
            <w:left w:val="none" w:sz="0" w:space="0" w:color="auto"/>
            <w:bottom w:val="none" w:sz="0" w:space="0" w:color="auto"/>
            <w:right w:val="none" w:sz="0" w:space="0" w:color="auto"/>
          </w:divBdr>
          <w:divsChild>
            <w:div w:id="1769963088">
              <w:marLeft w:val="0"/>
              <w:marRight w:val="0"/>
              <w:marTop w:val="0"/>
              <w:marBottom w:val="0"/>
              <w:divBdr>
                <w:top w:val="none" w:sz="0" w:space="0" w:color="auto"/>
                <w:left w:val="none" w:sz="0" w:space="0" w:color="auto"/>
                <w:bottom w:val="none" w:sz="0" w:space="0" w:color="auto"/>
                <w:right w:val="none" w:sz="0" w:space="0" w:color="auto"/>
              </w:divBdr>
            </w:div>
          </w:divsChild>
        </w:div>
        <w:div w:id="1772822726">
          <w:marLeft w:val="0"/>
          <w:marRight w:val="0"/>
          <w:marTop w:val="0"/>
          <w:marBottom w:val="0"/>
          <w:divBdr>
            <w:top w:val="none" w:sz="0" w:space="0" w:color="auto"/>
            <w:left w:val="none" w:sz="0" w:space="0" w:color="auto"/>
            <w:bottom w:val="none" w:sz="0" w:space="0" w:color="auto"/>
            <w:right w:val="none" w:sz="0" w:space="0" w:color="auto"/>
          </w:divBdr>
          <w:divsChild>
            <w:div w:id="659427145">
              <w:marLeft w:val="0"/>
              <w:marRight w:val="0"/>
              <w:marTop w:val="0"/>
              <w:marBottom w:val="0"/>
              <w:divBdr>
                <w:top w:val="none" w:sz="0" w:space="0" w:color="auto"/>
                <w:left w:val="none" w:sz="0" w:space="0" w:color="auto"/>
                <w:bottom w:val="none" w:sz="0" w:space="0" w:color="auto"/>
                <w:right w:val="none" w:sz="0" w:space="0" w:color="auto"/>
              </w:divBdr>
            </w:div>
          </w:divsChild>
        </w:div>
        <w:div w:id="1775399706">
          <w:marLeft w:val="0"/>
          <w:marRight w:val="0"/>
          <w:marTop w:val="0"/>
          <w:marBottom w:val="0"/>
          <w:divBdr>
            <w:top w:val="none" w:sz="0" w:space="0" w:color="auto"/>
            <w:left w:val="none" w:sz="0" w:space="0" w:color="auto"/>
            <w:bottom w:val="none" w:sz="0" w:space="0" w:color="auto"/>
            <w:right w:val="none" w:sz="0" w:space="0" w:color="auto"/>
          </w:divBdr>
          <w:divsChild>
            <w:div w:id="986007359">
              <w:marLeft w:val="0"/>
              <w:marRight w:val="0"/>
              <w:marTop w:val="0"/>
              <w:marBottom w:val="0"/>
              <w:divBdr>
                <w:top w:val="none" w:sz="0" w:space="0" w:color="auto"/>
                <w:left w:val="none" w:sz="0" w:space="0" w:color="auto"/>
                <w:bottom w:val="none" w:sz="0" w:space="0" w:color="auto"/>
                <w:right w:val="none" w:sz="0" w:space="0" w:color="auto"/>
              </w:divBdr>
            </w:div>
          </w:divsChild>
        </w:div>
        <w:div w:id="1897736783">
          <w:marLeft w:val="0"/>
          <w:marRight w:val="0"/>
          <w:marTop w:val="0"/>
          <w:marBottom w:val="0"/>
          <w:divBdr>
            <w:top w:val="none" w:sz="0" w:space="0" w:color="auto"/>
            <w:left w:val="none" w:sz="0" w:space="0" w:color="auto"/>
            <w:bottom w:val="none" w:sz="0" w:space="0" w:color="auto"/>
            <w:right w:val="none" w:sz="0" w:space="0" w:color="auto"/>
          </w:divBdr>
          <w:divsChild>
            <w:div w:id="1453088841">
              <w:marLeft w:val="0"/>
              <w:marRight w:val="0"/>
              <w:marTop w:val="0"/>
              <w:marBottom w:val="0"/>
              <w:divBdr>
                <w:top w:val="none" w:sz="0" w:space="0" w:color="auto"/>
                <w:left w:val="none" w:sz="0" w:space="0" w:color="auto"/>
                <w:bottom w:val="none" w:sz="0" w:space="0" w:color="auto"/>
                <w:right w:val="none" w:sz="0" w:space="0" w:color="auto"/>
              </w:divBdr>
            </w:div>
          </w:divsChild>
        </w:div>
        <w:div w:id="1912932824">
          <w:marLeft w:val="0"/>
          <w:marRight w:val="0"/>
          <w:marTop w:val="0"/>
          <w:marBottom w:val="0"/>
          <w:divBdr>
            <w:top w:val="none" w:sz="0" w:space="0" w:color="auto"/>
            <w:left w:val="none" w:sz="0" w:space="0" w:color="auto"/>
            <w:bottom w:val="none" w:sz="0" w:space="0" w:color="auto"/>
            <w:right w:val="none" w:sz="0" w:space="0" w:color="auto"/>
          </w:divBdr>
          <w:divsChild>
            <w:div w:id="251207718">
              <w:marLeft w:val="0"/>
              <w:marRight w:val="0"/>
              <w:marTop w:val="0"/>
              <w:marBottom w:val="0"/>
              <w:divBdr>
                <w:top w:val="none" w:sz="0" w:space="0" w:color="auto"/>
                <w:left w:val="none" w:sz="0" w:space="0" w:color="auto"/>
                <w:bottom w:val="none" w:sz="0" w:space="0" w:color="auto"/>
                <w:right w:val="none" w:sz="0" w:space="0" w:color="auto"/>
              </w:divBdr>
            </w:div>
          </w:divsChild>
        </w:div>
        <w:div w:id="1928729886">
          <w:marLeft w:val="0"/>
          <w:marRight w:val="0"/>
          <w:marTop w:val="0"/>
          <w:marBottom w:val="0"/>
          <w:divBdr>
            <w:top w:val="none" w:sz="0" w:space="0" w:color="auto"/>
            <w:left w:val="none" w:sz="0" w:space="0" w:color="auto"/>
            <w:bottom w:val="none" w:sz="0" w:space="0" w:color="auto"/>
            <w:right w:val="none" w:sz="0" w:space="0" w:color="auto"/>
          </w:divBdr>
          <w:divsChild>
            <w:div w:id="1626429706">
              <w:marLeft w:val="0"/>
              <w:marRight w:val="0"/>
              <w:marTop w:val="0"/>
              <w:marBottom w:val="0"/>
              <w:divBdr>
                <w:top w:val="none" w:sz="0" w:space="0" w:color="auto"/>
                <w:left w:val="none" w:sz="0" w:space="0" w:color="auto"/>
                <w:bottom w:val="none" w:sz="0" w:space="0" w:color="auto"/>
                <w:right w:val="none" w:sz="0" w:space="0" w:color="auto"/>
              </w:divBdr>
            </w:div>
          </w:divsChild>
        </w:div>
        <w:div w:id="1934237400">
          <w:marLeft w:val="0"/>
          <w:marRight w:val="0"/>
          <w:marTop w:val="0"/>
          <w:marBottom w:val="0"/>
          <w:divBdr>
            <w:top w:val="none" w:sz="0" w:space="0" w:color="auto"/>
            <w:left w:val="none" w:sz="0" w:space="0" w:color="auto"/>
            <w:bottom w:val="none" w:sz="0" w:space="0" w:color="auto"/>
            <w:right w:val="none" w:sz="0" w:space="0" w:color="auto"/>
          </w:divBdr>
          <w:divsChild>
            <w:div w:id="1713505423">
              <w:marLeft w:val="0"/>
              <w:marRight w:val="0"/>
              <w:marTop w:val="0"/>
              <w:marBottom w:val="0"/>
              <w:divBdr>
                <w:top w:val="none" w:sz="0" w:space="0" w:color="auto"/>
                <w:left w:val="none" w:sz="0" w:space="0" w:color="auto"/>
                <w:bottom w:val="none" w:sz="0" w:space="0" w:color="auto"/>
                <w:right w:val="none" w:sz="0" w:space="0" w:color="auto"/>
              </w:divBdr>
            </w:div>
          </w:divsChild>
        </w:div>
        <w:div w:id="2003896468">
          <w:marLeft w:val="0"/>
          <w:marRight w:val="0"/>
          <w:marTop w:val="0"/>
          <w:marBottom w:val="0"/>
          <w:divBdr>
            <w:top w:val="none" w:sz="0" w:space="0" w:color="auto"/>
            <w:left w:val="none" w:sz="0" w:space="0" w:color="auto"/>
            <w:bottom w:val="none" w:sz="0" w:space="0" w:color="auto"/>
            <w:right w:val="none" w:sz="0" w:space="0" w:color="auto"/>
          </w:divBdr>
          <w:divsChild>
            <w:div w:id="2115248313">
              <w:marLeft w:val="0"/>
              <w:marRight w:val="0"/>
              <w:marTop w:val="0"/>
              <w:marBottom w:val="0"/>
              <w:divBdr>
                <w:top w:val="none" w:sz="0" w:space="0" w:color="auto"/>
                <w:left w:val="none" w:sz="0" w:space="0" w:color="auto"/>
                <w:bottom w:val="none" w:sz="0" w:space="0" w:color="auto"/>
                <w:right w:val="none" w:sz="0" w:space="0" w:color="auto"/>
              </w:divBdr>
            </w:div>
          </w:divsChild>
        </w:div>
        <w:div w:id="2014213682">
          <w:marLeft w:val="0"/>
          <w:marRight w:val="0"/>
          <w:marTop w:val="0"/>
          <w:marBottom w:val="0"/>
          <w:divBdr>
            <w:top w:val="none" w:sz="0" w:space="0" w:color="auto"/>
            <w:left w:val="none" w:sz="0" w:space="0" w:color="auto"/>
            <w:bottom w:val="none" w:sz="0" w:space="0" w:color="auto"/>
            <w:right w:val="none" w:sz="0" w:space="0" w:color="auto"/>
          </w:divBdr>
          <w:divsChild>
            <w:div w:id="818885215">
              <w:marLeft w:val="0"/>
              <w:marRight w:val="0"/>
              <w:marTop w:val="0"/>
              <w:marBottom w:val="0"/>
              <w:divBdr>
                <w:top w:val="none" w:sz="0" w:space="0" w:color="auto"/>
                <w:left w:val="none" w:sz="0" w:space="0" w:color="auto"/>
                <w:bottom w:val="none" w:sz="0" w:space="0" w:color="auto"/>
                <w:right w:val="none" w:sz="0" w:space="0" w:color="auto"/>
              </w:divBdr>
            </w:div>
          </w:divsChild>
        </w:div>
        <w:div w:id="2034989412">
          <w:marLeft w:val="0"/>
          <w:marRight w:val="0"/>
          <w:marTop w:val="0"/>
          <w:marBottom w:val="0"/>
          <w:divBdr>
            <w:top w:val="none" w:sz="0" w:space="0" w:color="auto"/>
            <w:left w:val="none" w:sz="0" w:space="0" w:color="auto"/>
            <w:bottom w:val="none" w:sz="0" w:space="0" w:color="auto"/>
            <w:right w:val="none" w:sz="0" w:space="0" w:color="auto"/>
          </w:divBdr>
          <w:divsChild>
            <w:div w:id="52051452">
              <w:marLeft w:val="0"/>
              <w:marRight w:val="0"/>
              <w:marTop w:val="0"/>
              <w:marBottom w:val="0"/>
              <w:divBdr>
                <w:top w:val="none" w:sz="0" w:space="0" w:color="auto"/>
                <w:left w:val="none" w:sz="0" w:space="0" w:color="auto"/>
                <w:bottom w:val="none" w:sz="0" w:space="0" w:color="auto"/>
                <w:right w:val="none" w:sz="0" w:space="0" w:color="auto"/>
              </w:divBdr>
            </w:div>
          </w:divsChild>
        </w:div>
        <w:div w:id="2068796433">
          <w:marLeft w:val="0"/>
          <w:marRight w:val="0"/>
          <w:marTop w:val="0"/>
          <w:marBottom w:val="0"/>
          <w:divBdr>
            <w:top w:val="none" w:sz="0" w:space="0" w:color="auto"/>
            <w:left w:val="none" w:sz="0" w:space="0" w:color="auto"/>
            <w:bottom w:val="none" w:sz="0" w:space="0" w:color="auto"/>
            <w:right w:val="none" w:sz="0" w:space="0" w:color="auto"/>
          </w:divBdr>
          <w:divsChild>
            <w:div w:id="788233908">
              <w:marLeft w:val="0"/>
              <w:marRight w:val="0"/>
              <w:marTop w:val="0"/>
              <w:marBottom w:val="0"/>
              <w:divBdr>
                <w:top w:val="none" w:sz="0" w:space="0" w:color="auto"/>
                <w:left w:val="none" w:sz="0" w:space="0" w:color="auto"/>
                <w:bottom w:val="none" w:sz="0" w:space="0" w:color="auto"/>
                <w:right w:val="none" w:sz="0" w:space="0" w:color="auto"/>
              </w:divBdr>
            </w:div>
          </w:divsChild>
        </w:div>
        <w:div w:id="2084714787">
          <w:marLeft w:val="0"/>
          <w:marRight w:val="0"/>
          <w:marTop w:val="0"/>
          <w:marBottom w:val="0"/>
          <w:divBdr>
            <w:top w:val="none" w:sz="0" w:space="0" w:color="auto"/>
            <w:left w:val="none" w:sz="0" w:space="0" w:color="auto"/>
            <w:bottom w:val="none" w:sz="0" w:space="0" w:color="auto"/>
            <w:right w:val="none" w:sz="0" w:space="0" w:color="auto"/>
          </w:divBdr>
          <w:divsChild>
            <w:div w:id="136458487">
              <w:marLeft w:val="0"/>
              <w:marRight w:val="0"/>
              <w:marTop w:val="0"/>
              <w:marBottom w:val="0"/>
              <w:divBdr>
                <w:top w:val="none" w:sz="0" w:space="0" w:color="auto"/>
                <w:left w:val="none" w:sz="0" w:space="0" w:color="auto"/>
                <w:bottom w:val="none" w:sz="0" w:space="0" w:color="auto"/>
                <w:right w:val="none" w:sz="0" w:space="0" w:color="auto"/>
              </w:divBdr>
            </w:div>
          </w:divsChild>
        </w:div>
        <w:div w:id="2122146533">
          <w:marLeft w:val="0"/>
          <w:marRight w:val="0"/>
          <w:marTop w:val="0"/>
          <w:marBottom w:val="0"/>
          <w:divBdr>
            <w:top w:val="none" w:sz="0" w:space="0" w:color="auto"/>
            <w:left w:val="none" w:sz="0" w:space="0" w:color="auto"/>
            <w:bottom w:val="none" w:sz="0" w:space="0" w:color="auto"/>
            <w:right w:val="none" w:sz="0" w:space="0" w:color="auto"/>
          </w:divBdr>
          <w:divsChild>
            <w:div w:id="1350713819">
              <w:marLeft w:val="0"/>
              <w:marRight w:val="0"/>
              <w:marTop w:val="0"/>
              <w:marBottom w:val="0"/>
              <w:divBdr>
                <w:top w:val="none" w:sz="0" w:space="0" w:color="auto"/>
                <w:left w:val="none" w:sz="0" w:space="0" w:color="auto"/>
                <w:bottom w:val="none" w:sz="0" w:space="0" w:color="auto"/>
                <w:right w:val="none" w:sz="0" w:space="0" w:color="auto"/>
              </w:divBdr>
            </w:div>
          </w:divsChild>
        </w:div>
        <w:div w:id="2128892220">
          <w:marLeft w:val="0"/>
          <w:marRight w:val="0"/>
          <w:marTop w:val="0"/>
          <w:marBottom w:val="0"/>
          <w:divBdr>
            <w:top w:val="none" w:sz="0" w:space="0" w:color="auto"/>
            <w:left w:val="none" w:sz="0" w:space="0" w:color="auto"/>
            <w:bottom w:val="none" w:sz="0" w:space="0" w:color="auto"/>
            <w:right w:val="none" w:sz="0" w:space="0" w:color="auto"/>
          </w:divBdr>
          <w:divsChild>
            <w:div w:id="2027291771">
              <w:marLeft w:val="0"/>
              <w:marRight w:val="0"/>
              <w:marTop w:val="0"/>
              <w:marBottom w:val="0"/>
              <w:divBdr>
                <w:top w:val="none" w:sz="0" w:space="0" w:color="auto"/>
                <w:left w:val="none" w:sz="0" w:space="0" w:color="auto"/>
                <w:bottom w:val="none" w:sz="0" w:space="0" w:color="auto"/>
                <w:right w:val="none" w:sz="0" w:space="0" w:color="auto"/>
              </w:divBdr>
            </w:div>
          </w:divsChild>
        </w:div>
        <w:div w:id="2144151953">
          <w:marLeft w:val="0"/>
          <w:marRight w:val="0"/>
          <w:marTop w:val="0"/>
          <w:marBottom w:val="0"/>
          <w:divBdr>
            <w:top w:val="none" w:sz="0" w:space="0" w:color="auto"/>
            <w:left w:val="none" w:sz="0" w:space="0" w:color="auto"/>
            <w:bottom w:val="none" w:sz="0" w:space="0" w:color="auto"/>
            <w:right w:val="none" w:sz="0" w:space="0" w:color="auto"/>
          </w:divBdr>
          <w:divsChild>
            <w:div w:id="57043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3987">
      <w:bodyDiv w:val="1"/>
      <w:marLeft w:val="0"/>
      <w:marRight w:val="0"/>
      <w:marTop w:val="0"/>
      <w:marBottom w:val="0"/>
      <w:divBdr>
        <w:top w:val="none" w:sz="0" w:space="0" w:color="auto"/>
        <w:left w:val="none" w:sz="0" w:space="0" w:color="auto"/>
        <w:bottom w:val="none" w:sz="0" w:space="0" w:color="auto"/>
        <w:right w:val="none" w:sz="0" w:space="0" w:color="auto"/>
      </w:divBdr>
      <w:divsChild>
        <w:div w:id="667750758">
          <w:marLeft w:val="0"/>
          <w:marRight w:val="0"/>
          <w:marTop w:val="0"/>
          <w:marBottom w:val="0"/>
          <w:divBdr>
            <w:top w:val="none" w:sz="0" w:space="0" w:color="auto"/>
            <w:left w:val="none" w:sz="0" w:space="0" w:color="auto"/>
            <w:bottom w:val="none" w:sz="0" w:space="0" w:color="auto"/>
            <w:right w:val="none" w:sz="0" w:space="0" w:color="auto"/>
          </w:divBdr>
          <w:divsChild>
            <w:div w:id="337774439">
              <w:marLeft w:val="0"/>
              <w:marRight w:val="0"/>
              <w:marTop w:val="0"/>
              <w:marBottom w:val="0"/>
              <w:divBdr>
                <w:top w:val="none" w:sz="0" w:space="0" w:color="auto"/>
                <w:left w:val="none" w:sz="0" w:space="0" w:color="auto"/>
                <w:bottom w:val="none" w:sz="0" w:space="0" w:color="auto"/>
                <w:right w:val="none" w:sz="0" w:space="0" w:color="auto"/>
              </w:divBdr>
            </w:div>
            <w:div w:id="433015198">
              <w:marLeft w:val="0"/>
              <w:marRight w:val="0"/>
              <w:marTop w:val="0"/>
              <w:marBottom w:val="0"/>
              <w:divBdr>
                <w:top w:val="none" w:sz="0" w:space="0" w:color="auto"/>
                <w:left w:val="none" w:sz="0" w:space="0" w:color="auto"/>
                <w:bottom w:val="none" w:sz="0" w:space="0" w:color="auto"/>
                <w:right w:val="none" w:sz="0" w:space="0" w:color="auto"/>
              </w:divBdr>
            </w:div>
            <w:div w:id="859511290">
              <w:marLeft w:val="0"/>
              <w:marRight w:val="0"/>
              <w:marTop w:val="0"/>
              <w:marBottom w:val="0"/>
              <w:divBdr>
                <w:top w:val="none" w:sz="0" w:space="0" w:color="auto"/>
                <w:left w:val="none" w:sz="0" w:space="0" w:color="auto"/>
                <w:bottom w:val="none" w:sz="0" w:space="0" w:color="auto"/>
                <w:right w:val="none" w:sz="0" w:space="0" w:color="auto"/>
              </w:divBdr>
            </w:div>
            <w:div w:id="1821849676">
              <w:marLeft w:val="0"/>
              <w:marRight w:val="0"/>
              <w:marTop w:val="0"/>
              <w:marBottom w:val="0"/>
              <w:divBdr>
                <w:top w:val="none" w:sz="0" w:space="0" w:color="auto"/>
                <w:left w:val="none" w:sz="0" w:space="0" w:color="auto"/>
                <w:bottom w:val="none" w:sz="0" w:space="0" w:color="auto"/>
                <w:right w:val="none" w:sz="0" w:space="0" w:color="auto"/>
              </w:divBdr>
            </w:div>
          </w:divsChild>
        </w:div>
        <w:div w:id="1291476917">
          <w:marLeft w:val="0"/>
          <w:marRight w:val="0"/>
          <w:marTop w:val="0"/>
          <w:marBottom w:val="0"/>
          <w:divBdr>
            <w:top w:val="none" w:sz="0" w:space="0" w:color="auto"/>
            <w:left w:val="none" w:sz="0" w:space="0" w:color="auto"/>
            <w:bottom w:val="none" w:sz="0" w:space="0" w:color="auto"/>
            <w:right w:val="none" w:sz="0" w:space="0" w:color="auto"/>
          </w:divBdr>
          <w:divsChild>
            <w:div w:id="98382187">
              <w:marLeft w:val="0"/>
              <w:marRight w:val="0"/>
              <w:marTop w:val="0"/>
              <w:marBottom w:val="0"/>
              <w:divBdr>
                <w:top w:val="none" w:sz="0" w:space="0" w:color="auto"/>
                <w:left w:val="none" w:sz="0" w:space="0" w:color="auto"/>
                <w:bottom w:val="none" w:sz="0" w:space="0" w:color="auto"/>
                <w:right w:val="none" w:sz="0" w:space="0" w:color="auto"/>
              </w:divBdr>
            </w:div>
            <w:div w:id="121727505">
              <w:marLeft w:val="0"/>
              <w:marRight w:val="0"/>
              <w:marTop w:val="0"/>
              <w:marBottom w:val="0"/>
              <w:divBdr>
                <w:top w:val="none" w:sz="0" w:space="0" w:color="auto"/>
                <w:left w:val="none" w:sz="0" w:space="0" w:color="auto"/>
                <w:bottom w:val="none" w:sz="0" w:space="0" w:color="auto"/>
                <w:right w:val="none" w:sz="0" w:space="0" w:color="auto"/>
              </w:divBdr>
            </w:div>
            <w:div w:id="153303544">
              <w:marLeft w:val="0"/>
              <w:marRight w:val="0"/>
              <w:marTop w:val="0"/>
              <w:marBottom w:val="0"/>
              <w:divBdr>
                <w:top w:val="none" w:sz="0" w:space="0" w:color="auto"/>
                <w:left w:val="none" w:sz="0" w:space="0" w:color="auto"/>
                <w:bottom w:val="none" w:sz="0" w:space="0" w:color="auto"/>
                <w:right w:val="none" w:sz="0" w:space="0" w:color="auto"/>
              </w:divBdr>
            </w:div>
            <w:div w:id="154690344">
              <w:marLeft w:val="0"/>
              <w:marRight w:val="0"/>
              <w:marTop w:val="0"/>
              <w:marBottom w:val="0"/>
              <w:divBdr>
                <w:top w:val="none" w:sz="0" w:space="0" w:color="auto"/>
                <w:left w:val="none" w:sz="0" w:space="0" w:color="auto"/>
                <w:bottom w:val="none" w:sz="0" w:space="0" w:color="auto"/>
                <w:right w:val="none" w:sz="0" w:space="0" w:color="auto"/>
              </w:divBdr>
            </w:div>
            <w:div w:id="170149456">
              <w:marLeft w:val="0"/>
              <w:marRight w:val="0"/>
              <w:marTop w:val="0"/>
              <w:marBottom w:val="0"/>
              <w:divBdr>
                <w:top w:val="none" w:sz="0" w:space="0" w:color="auto"/>
                <w:left w:val="none" w:sz="0" w:space="0" w:color="auto"/>
                <w:bottom w:val="none" w:sz="0" w:space="0" w:color="auto"/>
                <w:right w:val="none" w:sz="0" w:space="0" w:color="auto"/>
              </w:divBdr>
            </w:div>
            <w:div w:id="196433851">
              <w:marLeft w:val="0"/>
              <w:marRight w:val="0"/>
              <w:marTop w:val="0"/>
              <w:marBottom w:val="0"/>
              <w:divBdr>
                <w:top w:val="none" w:sz="0" w:space="0" w:color="auto"/>
                <w:left w:val="none" w:sz="0" w:space="0" w:color="auto"/>
                <w:bottom w:val="none" w:sz="0" w:space="0" w:color="auto"/>
                <w:right w:val="none" w:sz="0" w:space="0" w:color="auto"/>
              </w:divBdr>
            </w:div>
            <w:div w:id="213859156">
              <w:marLeft w:val="0"/>
              <w:marRight w:val="0"/>
              <w:marTop w:val="0"/>
              <w:marBottom w:val="0"/>
              <w:divBdr>
                <w:top w:val="none" w:sz="0" w:space="0" w:color="auto"/>
                <w:left w:val="none" w:sz="0" w:space="0" w:color="auto"/>
                <w:bottom w:val="none" w:sz="0" w:space="0" w:color="auto"/>
                <w:right w:val="none" w:sz="0" w:space="0" w:color="auto"/>
              </w:divBdr>
            </w:div>
            <w:div w:id="214246197">
              <w:marLeft w:val="0"/>
              <w:marRight w:val="0"/>
              <w:marTop w:val="0"/>
              <w:marBottom w:val="0"/>
              <w:divBdr>
                <w:top w:val="none" w:sz="0" w:space="0" w:color="auto"/>
                <w:left w:val="none" w:sz="0" w:space="0" w:color="auto"/>
                <w:bottom w:val="none" w:sz="0" w:space="0" w:color="auto"/>
                <w:right w:val="none" w:sz="0" w:space="0" w:color="auto"/>
              </w:divBdr>
            </w:div>
            <w:div w:id="221718522">
              <w:marLeft w:val="0"/>
              <w:marRight w:val="0"/>
              <w:marTop w:val="0"/>
              <w:marBottom w:val="0"/>
              <w:divBdr>
                <w:top w:val="none" w:sz="0" w:space="0" w:color="auto"/>
                <w:left w:val="none" w:sz="0" w:space="0" w:color="auto"/>
                <w:bottom w:val="none" w:sz="0" w:space="0" w:color="auto"/>
                <w:right w:val="none" w:sz="0" w:space="0" w:color="auto"/>
              </w:divBdr>
            </w:div>
            <w:div w:id="249895241">
              <w:marLeft w:val="0"/>
              <w:marRight w:val="0"/>
              <w:marTop w:val="0"/>
              <w:marBottom w:val="0"/>
              <w:divBdr>
                <w:top w:val="none" w:sz="0" w:space="0" w:color="auto"/>
                <w:left w:val="none" w:sz="0" w:space="0" w:color="auto"/>
                <w:bottom w:val="none" w:sz="0" w:space="0" w:color="auto"/>
                <w:right w:val="none" w:sz="0" w:space="0" w:color="auto"/>
              </w:divBdr>
            </w:div>
            <w:div w:id="425544259">
              <w:marLeft w:val="0"/>
              <w:marRight w:val="0"/>
              <w:marTop w:val="0"/>
              <w:marBottom w:val="0"/>
              <w:divBdr>
                <w:top w:val="none" w:sz="0" w:space="0" w:color="auto"/>
                <w:left w:val="none" w:sz="0" w:space="0" w:color="auto"/>
                <w:bottom w:val="none" w:sz="0" w:space="0" w:color="auto"/>
                <w:right w:val="none" w:sz="0" w:space="0" w:color="auto"/>
              </w:divBdr>
            </w:div>
            <w:div w:id="614950374">
              <w:marLeft w:val="0"/>
              <w:marRight w:val="0"/>
              <w:marTop w:val="0"/>
              <w:marBottom w:val="0"/>
              <w:divBdr>
                <w:top w:val="none" w:sz="0" w:space="0" w:color="auto"/>
                <w:left w:val="none" w:sz="0" w:space="0" w:color="auto"/>
                <w:bottom w:val="none" w:sz="0" w:space="0" w:color="auto"/>
                <w:right w:val="none" w:sz="0" w:space="0" w:color="auto"/>
              </w:divBdr>
            </w:div>
            <w:div w:id="729501909">
              <w:marLeft w:val="0"/>
              <w:marRight w:val="0"/>
              <w:marTop w:val="0"/>
              <w:marBottom w:val="0"/>
              <w:divBdr>
                <w:top w:val="none" w:sz="0" w:space="0" w:color="auto"/>
                <w:left w:val="none" w:sz="0" w:space="0" w:color="auto"/>
                <w:bottom w:val="none" w:sz="0" w:space="0" w:color="auto"/>
                <w:right w:val="none" w:sz="0" w:space="0" w:color="auto"/>
              </w:divBdr>
            </w:div>
            <w:div w:id="759062705">
              <w:marLeft w:val="0"/>
              <w:marRight w:val="0"/>
              <w:marTop w:val="0"/>
              <w:marBottom w:val="0"/>
              <w:divBdr>
                <w:top w:val="none" w:sz="0" w:space="0" w:color="auto"/>
                <w:left w:val="none" w:sz="0" w:space="0" w:color="auto"/>
                <w:bottom w:val="none" w:sz="0" w:space="0" w:color="auto"/>
                <w:right w:val="none" w:sz="0" w:space="0" w:color="auto"/>
              </w:divBdr>
            </w:div>
            <w:div w:id="780301560">
              <w:marLeft w:val="0"/>
              <w:marRight w:val="0"/>
              <w:marTop w:val="0"/>
              <w:marBottom w:val="0"/>
              <w:divBdr>
                <w:top w:val="none" w:sz="0" w:space="0" w:color="auto"/>
                <w:left w:val="none" w:sz="0" w:space="0" w:color="auto"/>
                <w:bottom w:val="none" w:sz="0" w:space="0" w:color="auto"/>
                <w:right w:val="none" w:sz="0" w:space="0" w:color="auto"/>
              </w:divBdr>
            </w:div>
            <w:div w:id="883952141">
              <w:marLeft w:val="0"/>
              <w:marRight w:val="0"/>
              <w:marTop w:val="0"/>
              <w:marBottom w:val="0"/>
              <w:divBdr>
                <w:top w:val="none" w:sz="0" w:space="0" w:color="auto"/>
                <w:left w:val="none" w:sz="0" w:space="0" w:color="auto"/>
                <w:bottom w:val="none" w:sz="0" w:space="0" w:color="auto"/>
                <w:right w:val="none" w:sz="0" w:space="0" w:color="auto"/>
              </w:divBdr>
            </w:div>
            <w:div w:id="987130739">
              <w:marLeft w:val="0"/>
              <w:marRight w:val="0"/>
              <w:marTop w:val="0"/>
              <w:marBottom w:val="0"/>
              <w:divBdr>
                <w:top w:val="none" w:sz="0" w:space="0" w:color="auto"/>
                <w:left w:val="none" w:sz="0" w:space="0" w:color="auto"/>
                <w:bottom w:val="none" w:sz="0" w:space="0" w:color="auto"/>
                <w:right w:val="none" w:sz="0" w:space="0" w:color="auto"/>
              </w:divBdr>
            </w:div>
            <w:div w:id="1035273095">
              <w:marLeft w:val="0"/>
              <w:marRight w:val="0"/>
              <w:marTop w:val="0"/>
              <w:marBottom w:val="0"/>
              <w:divBdr>
                <w:top w:val="none" w:sz="0" w:space="0" w:color="auto"/>
                <w:left w:val="none" w:sz="0" w:space="0" w:color="auto"/>
                <w:bottom w:val="none" w:sz="0" w:space="0" w:color="auto"/>
                <w:right w:val="none" w:sz="0" w:space="0" w:color="auto"/>
              </w:divBdr>
            </w:div>
            <w:div w:id="1126701315">
              <w:marLeft w:val="0"/>
              <w:marRight w:val="0"/>
              <w:marTop w:val="0"/>
              <w:marBottom w:val="0"/>
              <w:divBdr>
                <w:top w:val="none" w:sz="0" w:space="0" w:color="auto"/>
                <w:left w:val="none" w:sz="0" w:space="0" w:color="auto"/>
                <w:bottom w:val="none" w:sz="0" w:space="0" w:color="auto"/>
                <w:right w:val="none" w:sz="0" w:space="0" w:color="auto"/>
              </w:divBdr>
            </w:div>
            <w:div w:id="1140417169">
              <w:marLeft w:val="0"/>
              <w:marRight w:val="0"/>
              <w:marTop w:val="0"/>
              <w:marBottom w:val="0"/>
              <w:divBdr>
                <w:top w:val="none" w:sz="0" w:space="0" w:color="auto"/>
                <w:left w:val="none" w:sz="0" w:space="0" w:color="auto"/>
                <w:bottom w:val="none" w:sz="0" w:space="0" w:color="auto"/>
                <w:right w:val="none" w:sz="0" w:space="0" w:color="auto"/>
              </w:divBdr>
            </w:div>
            <w:div w:id="1154564635">
              <w:marLeft w:val="0"/>
              <w:marRight w:val="0"/>
              <w:marTop w:val="0"/>
              <w:marBottom w:val="0"/>
              <w:divBdr>
                <w:top w:val="none" w:sz="0" w:space="0" w:color="auto"/>
                <w:left w:val="none" w:sz="0" w:space="0" w:color="auto"/>
                <w:bottom w:val="none" w:sz="0" w:space="0" w:color="auto"/>
                <w:right w:val="none" w:sz="0" w:space="0" w:color="auto"/>
              </w:divBdr>
            </w:div>
            <w:div w:id="1216772510">
              <w:marLeft w:val="0"/>
              <w:marRight w:val="0"/>
              <w:marTop w:val="0"/>
              <w:marBottom w:val="0"/>
              <w:divBdr>
                <w:top w:val="none" w:sz="0" w:space="0" w:color="auto"/>
                <w:left w:val="none" w:sz="0" w:space="0" w:color="auto"/>
                <w:bottom w:val="none" w:sz="0" w:space="0" w:color="auto"/>
                <w:right w:val="none" w:sz="0" w:space="0" w:color="auto"/>
              </w:divBdr>
            </w:div>
            <w:div w:id="1236890812">
              <w:marLeft w:val="0"/>
              <w:marRight w:val="0"/>
              <w:marTop w:val="0"/>
              <w:marBottom w:val="0"/>
              <w:divBdr>
                <w:top w:val="none" w:sz="0" w:space="0" w:color="auto"/>
                <w:left w:val="none" w:sz="0" w:space="0" w:color="auto"/>
                <w:bottom w:val="none" w:sz="0" w:space="0" w:color="auto"/>
                <w:right w:val="none" w:sz="0" w:space="0" w:color="auto"/>
              </w:divBdr>
            </w:div>
            <w:div w:id="1268806284">
              <w:marLeft w:val="0"/>
              <w:marRight w:val="0"/>
              <w:marTop w:val="0"/>
              <w:marBottom w:val="0"/>
              <w:divBdr>
                <w:top w:val="none" w:sz="0" w:space="0" w:color="auto"/>
                <w:left w:val="none" w:sz="0" w:space="0" w:color="auto"/>
                <w:bottom w:val="none" w:sz="0" w:space="0" w:color="auto"/>
                <w:right w:val="none" w:sz="0" w:space="0" w:color="auto"/>
              </w:divBdr>
            </w:div>
            <w:div w:id="1348287252">
              <w:marLeft w:val="0"/>
              <w:marRight w:val="0"/>
              <w:marTop w:val="0"/>
              <w:marBottom w:val="0"/>
              <w:divBdr>
                <w:top w:val="none" w:sz="0" w:space="0" w:color="auto"/>
                <w:left w:val="none" w:sz="0" w:space="0" w:color="auto"/>
                <w:bottom w:val="none" w:sz="0" w:space="0" w:color="auto"/>
                <w:right w:val="none" w:sz="0" w:space="0" w:color="auto"/>
              </w:divBdr>
            </w:div>
            <w:div w:id="1462334994">
              <w:marLeft w:val="0"/>
              <w:marRight w:val="0"/>
              <w:marTop w:val="0"/>
              <w:marBottom w:val="0"/>
              <w:divBdr>
                <w:top w:val="none" w:sz="0" w:space="0" w:color="auto"/>
                <w:left w:val="none" w:sz="0" w:space="0" w:color="auto"/>
                <w:bottom w:val="none" w:sz="0" w:space="0" w:color="auto"/>
                <w:right w:val="none" w:sz="0" w:space="0" w:color="auto"/>
              </w:divBdr>
            </w:div>
            <w:div w:id="1684210214">
              <w:marLeft w:val="0"/>
              <w:marRight w:val="0"/>
              <w:marTop w:val="0"/>
              <w:marBottom w:val="0"/>
              <w:divBdr>
                <w:top w:val="none" w:sz="0" w:space="0" w:color="auto"/>
                <w:left w:val="none" w:sz="0" w:space="0" w:color="auto"/>
                <w:bottom w:val="none" w:sz="0" w:space="0" w:color="auto"/>
                <w:right w:val="none" w:sz="0" w:space="0" w:color="auto"/>
              </w:divBdr>
            </w:div>
            <w:div w:id="1751803981">
              <w:marLeft w:val="0"/>
              <w:marRight w:val="0"/>
              <w:marTop w:val="0"/>
              <w:marBottom w:val="0"/>
              <w:divBdr>
                <w:top w:val="none" w:sz="0" w:space="0" w:color="auto"/>
                <w:left w:val="none" w:sz="0" w:space="0" w:color="auto"/>
                <w:bottom w:val="none" w:sz="0" w:space="0" w:color="auto"/>
                <w:right w:val="none" w:sz="0" w:space="0" w:color="auto"/>
              </w:divBdr>
            </w:div>
            <w:div w:id="1790734614">
              <w:marLeft w:val="0"/>
              <w:marRight w:val="0"/>
              <w:marTop w:val="0"/>
              <w:marBottom w:val="0"/>
              <w:divBdr>
                <w:top w:val="none" w:sz="0" w:space="0" w:color="auto"/>
                <w:left w:val="none" w:sz="0" w:space="0" w:color="auto"/>
                <w:bottom w:val="none" w:sz="0" w:space="0" w:color="auto"/>
                <w:right w:val="none" w:sz="0" w:space="0" w:color="auto"/>
              </w:divBdr>
            </w:div>
            <w:div w:id="1836068971">
              <w:marLeft w:val="0"/>
              <w:marRight w:val="0"/>
              <w:marTop w:val="0"/>
              <w:marBottom w:val="0"/>
              <w:divBdr>
                <w:top w:val="none" w:sz="0" w:space="0" w:color="auto"/>
                <w:left w:val="none" w:sz="0" w:space="0" w:color="auto"/>
                <w:bottom w:val="none" w:sz="0" w:space="0" w:color="auto"/>
                <w:right w:val="none" w:sz="0" w:space="0" w:color="auto"/>
              </w:divBdr>
            </w:div>
            <w:div w:id="1895776913">
              <w:marLeft w:val="0"/>
              <w:marRight w:val="0"/>
              <w:marTop w:val="0"/>
              <w:marBottom w:val="0"/>
              <w:divBdr>
                <w:top w:val="none" w:sz="0" w:space="0" w:color="auto"/>
                <w:left w:val="none" w:sz="0" w:space="0" w:color="auto"/>
                <w:bottom w:val="none" w:sz="0" w:space="0" w:color="auto"/>
                <w:right w:val="none" w:sz="0" w:space="0" w:color="auto"/>
              </w:divBdr>
            </w:div>
            <w:div w:id="1897467430">
              <w:marLeft w:val="0"/>
              <w:marRight w:val="0"/>
              <w:marTop w:val="0"/>
              <w:marBottom w:val="0"/>
              <w:divBdr>
                <w:top w:val="none" w:sz="0" w:space="0" w:color="auto"/>
                <w:left w:val="none" w:sz="0" w:space="0" w:color="auto"/>
                <w:bottom w:val="none" w:sz="0" w:space="0" w:color="auto"/>
                <w:right w:val="none" w:sz="0" w:space="0" w:color="auto"/>
              </w:divBdr>
            </w:div>
            <w:div w:id="1945116338">
              <w:marLeft w:val="0"/>
              <w:marRight w:val="0"/>
              <w:marTop w:val="0"/>
              <w:marBottom w:val="0"/>
              <w:divBdr>
                <w:top w:val="none" w:sz="0" w:space="0" w:color="auto"/>
                <w:left w:val="none" w:sz="0" w:space="0" w:color="auto"/>
                <w:bottom w:val="none" w:sz="0" w:space="0" w:color="auto"/>
                <w:right w:val="none" w:sz="0" w:space="0" w:color="auto"/>
              </w:divBdr>
            </w:div>
            <w:div w:id="199629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167628">
      <w:bodyDiv w:val="1"/>
      <w:marLeft w:val="0"/>
      <w:marRight w:val="0"/>
      <w:marTop w:val="0"/>
      <w:marBottom w:val="0"/>
      <w:divBdr>
        <w:top w:val="none" w:sz="0" w:space="0" w:color="auto"/>
        <w:left w:val="none" w:sz="0" w:space="0" w:color="auto"/>
        <w:bottom w:val="none" w:sz="0" w:space="0" w:color="auto"/>
        <w:right w:val="none" w:sz="0" w:space="0" w:color="auto"/>
      </w:divBdr>
    </w:div>
    <w:div w:id="1349679184">
      <w:bodyDiv w:val="1"/>
      <w:marLeft w:val="0"/>
      <w:marRight w:val="0"/>
      <w:marTop w:val="0"/>
      <w:marBottom w:val="0"/>
      <w:divBdr>
        <w:top w:val="none" w:sz="0" w:space="0" w:color="auto"/>
        <w:left w:val="none" w:sz="0" w:space="0" w:color="auto"/>
        <w:bottom w:val="none" w:sz="0" w:space="0" w:color="auto"/>
        <w:right w:val="none" w:sz="0" w:space="0" w:color="auto"/>
      </w:divBdr>
      <w:divsChild>
        <w:div w:id="1255167518">
          <w:marLeft w:val="0"/>
          <w:marRight w:val="0"/>
          <w:marTop w:val="0"/>
          <w:marBottom w:val="0"/>
          <w:divBdr>
            <w:top w:val="none" w:sz="0" w:space="0" w:color="auto"/>
            <w:left w:val="none" w:sz="0" w:space="0" w:color="auto"/>
            <w:bottom w:val="none" w:sz="0" w:space="0" w:color="auto"/>
            <w:right w:val="none" w:sz="0" w:space="0" w:color="auto"/>
          </w:divBdr>
          <w:divsChild>
            <w:div w:id="238058711">
              <w:marLeft w:val="0"/>
              <w:marRight w:val="0"/>
              <w:marTop w:val="0"/>
              <w:marBottom w:val="0"/>
              <w:divBdr>
                <w:top w:val="none" w:sz="0" w:space="0" w:color="auto"/>
                <w:left w:val="none" w:sz="0" w:space="0" w:color="auto"/>
                <w:bottom w:val="none" w:sz="0" w:space="0" w:color="auto"/>
                <w:right w:val="none" w:sz="0" w:space="0" w:color="auto"/>
              </w:divBdr>
            </w:div>
            <w:div w:id="478889922">
              <w:marLeft w:val="0"/>
              <w:marRight w:val="0"/>
              <w:marTop w:val="0"/>
              <w:marBottom w:val="0"/>
              <w:divBdr>
                <w:top w:val="none" w:sz="0" w:space="0" w:color="auto"/>
                <w:left w:val="none" w:sz="0" w:space="0" w:color="auto"/>
                <w:bottom w:val="none" w:sz="0" w:space="0" w:color="auto"/>
                <w:right w:val="none" w:sz="0" w:space="0" w:color="auto"/>
              </w:divBdr>
            </w:div>
            <w:div w:id="1006130454">
              <w:marLeft w:val="0"/>
              <w:marRight w:val="0"/>
              <w:marTop w:val="0"/>
              <w:marBottom w:val="0"/>
              <w:divBdr>
                <w:top w:val="none" w:sz="0" w:space="0" w:color="auto"/>
                <w:left w:val="none" w:sz="0" w:space="0" w:color="auto"/>
                <w:bottom w:val="none" w:sz="0" w:space="0" w:color="auto"/>
                <w:right w:val="none" w:sz="0" w:space="0" w:color="auto"/>
              </w:divBdr>
            </w:div>
            <w:div w:id="1431438677">
              <w:marLeft w:val="0"/>
              <w:marRight w:val="0"/>
              <w:marTop w:val="0"/>
              <w:marBottom w:val="0"/>
              <w:divBdr>
                <w:top w:val="none" w:sz="0" w:space="0" w:color="auto"/>
                <w:left w:val="none" w:sz="0" w:space="0" w:color="auto"/>
                <w:bottom w:val="none" w:sz="0" w:space="0" w:color="auto"/>
                <w:right w:val="none" w:sz="0" w:space="0" w:color="auto"/>
              </w:divBdr>
            </w:div>
            <w:div w:id="1549491625">
              <w:marLeft w:val="0"/>
              <w:marRight w:val="0"/>
              <w:marTop w:val="0"/>
              <w:marBottom w:val="0"/>
              <w:divBdr>
                <w:top w:val="none" w:sz="0" w:space="0" w:color="auto"/>
                <w:left w:val="none" w:sz="0" w:space="0" w:color="auto"/>
                <w:bottom w:val="none" w:sz="0" w:space="0" w:color="auto"/>
                <w:right w:val="none" w:sz="0" w:space="0" w:color="auto"/>
              </w:divBdr>
            </w:div>
            <w:div w:id="1843083091">
              <w:marLeft w:val="0"/>
              <w:marRight w:val="0"/>
              <w:marTop w:val="0"/>
              <w:marBottom w:val="0"/>
              <w:divBdr>
                <w:top w:val="none" w:sz="0" w:space="0" w:color="auto"/>
                <w:left w:val="none" w:sz="0" w:space="0" w:color="auto"/>
                <w:bottom w:val="none" w:sz="0" w:space="0" w:color="auto"/>
                <w:right w:val="none" w:sz="0" w:space="0" w:color="auto"/>
              </w:divBdr>
            </w:div>
            <w:div w:id="1948268690">
              <w:marLeft w:val="0"/>
              <w:marRight w:val="0"/>
              <w:marTop w:val="0"/>
              <w:marBottom w:val="0"/>
              <w:divBdr>
                <w:top w:val="none" w:sz="0" w:space="0" w:color="auto"/>
                <w:left w:val="none" w:sz="0" w:space="0" w:color="auto"/>
                <w:bottom w:val="none" w:sz="0" w:space="0" w:color="auto"/>
                <w:right w:val="none" w:sz="0" w:space="0" w:color="auto"/>
              </w:divBdr>
            </w:div>
            <w:div w:id="2079747660">
              <w:marLeft w:val="0"/>
              <w:marRight w:val="0"/>
              <w:marTop w:val="0"/>
              <w:marBottom w:val="0"/>
              <w:divBdr>
                <w:top w:val="none" w:sz="0" w:space="0" w:color="auto"/>
                <w:left w:val="none" w:sz="0" w:space="0" w:color="auto"/>
                <w:bottom w:val="none" w:sz="0" w:space="0" w:color="auto"/>
                <w:right w:val="none" w:sz="0" w:space="0" w:color="auto"/>
              </w:divBdr>
            </w:div>
          </w:divsChild>
        </w:div>
        <w:div w:id="2055539140">
          <w:marLeft w:val="0"/>
          <w:marRight w:val="0"/>
          <w:marTop w:val="0"/>
          <w:marBottom w:val="0"/>
          <w:divBdr>
            <w:top w:val="none" w:sz="0" w:space="0" w:color="auto"/>
            <w:left w:val="none" w:sz="0" w:space="0" w:color="auto"/>
            <w:bottom w:val="none" w:sz="0" w:space="0" w:color="auto"/>
            <w:right w:val="none" w:sz="0" w:space="0" w:color="auto"/>
          </w:divBdr>
          <w:divsChild>
            <w:div w:id="279654690">
              <w:marLeft w:val="0"/>
              <w:marRight w:val="0"/>
              <w:marTop w:val="0"/>
              <w:marBottom w:val="0"/>
              <w:divBdr>
                <w:top w:val="none" w:sz="0" w:space="0" w:color="auto"/>
                <w:left w:val="none" w:sz="0" w:space="0" w:color="auto"/>
                <w:bottom w:val="none" w:sz="0" w:space="0" w:color="auto"/>
                <w:right w:val="none" w:sz="0" w:space="0" w:color="auto"/>
              </w:divBdr>
            </w:div>
            <w:div w:id="289214359">
              <w:marLeft w:val="0"/>
              <w:marRight w:val="0"/>
              <w:marTop w:val="0"/>
              <w:marBottom w:val="0"/>
              <w:divBdr>
                <w:top w:val="none" w:sz="0" w:space="0" w:color="auto"/>
                <w:left w:val="none" w:sz="0" w:space="0" w:color="auto"/>
                <w:bottom w:val="none" w:sz="0" w:space="0" w:color="auto"/>
                <w:right w:val="none" w:sz="0" w:space="0" w:color="auto"/>
              </w:divBdr>
            </w:div>
            <w:div w:id="317728433">
              <w:marLeft w:val="0"/>
              <w:marRight w:val="0"/>
              <w:marTop w:val="0"/>
              <w:marBottom w:val="0"/>
              <w:divBdr>
                <w:top w:val="none" w:sz="0" w:space="0" w:color="auto"/>
                <w:left w:val="none" w:sz="0" w:space="0" w:color="auto"/>
                <w:bottom w:val="none" w:sz="0" w:space="0" w:color="auto"/>
                <w:right w:val="none" w:sz="0" w:space="0" w:color="auto"/>
              </w:divBdr>
            </w:div>
            <w:div w:id="945623642">
              <w:marLeft w:val="0"/>
              <w:marRight w:val="0"/>
              <w:marTop w:val="0"/>
              <w:marBottom w:val="0"/>
              <w:divBdr>
                <w:top w:val="none" w:sz="0" w:space="0" w:color="auto"/>
                <w:left w:val="none" w:sz="0" w:space="0" w:color="auto"/>
                <w:bottom w:val="none" w:sz="0" w:space="0" w:color="auto"/>
                <w:right w:val="none" w:sz="0" w:space="0" w:color="auto"/>
              </w:divBdr>
            </w:div>
            <w:div w:id="1167014889">
              <w:marLeft w:val="0"/>
              <w:marRight w:val="0"/>
              <w:marTop w:val="0"/>
              <w:marBottom w:val="0"/>
              <w:divBdr>
                <w:top w:val="none" w:sz="0" w:space="0" w:color="auto"/>
                <w:left w:val="none" w:sz="0" w:space="0" w:color="auto"/>
                <w:bottom w:val="none" w:sz="0" w:space="0" w:color="auto"/>
                <w:right w:val="none" w:sz="0" w:space="0" w:color="auto"/>
              </w:divBdr>
            </w:div>
            <w:div w:id="1367024638">
              <w:marLeft w:val="0"/>
              <w:marRight w:val="0"/>
              <w:marTop w:val="0"/>
              <w:marBottom w:val="0"/>
              <w:divBdr>
                <w:top w:val="none" w:sz="0" w:space="0" w:color="auto"/>
                <w:left w:val="none" w:sz="0" w:space="0" w:color="auto"/>
                <w:bottom w:val="none" w:sz="0" w:space="0" w:color="auto"/>
                <w:right w:val="none" w:sz="0" w:space="0" w:color="auto"/>
              </w:divBdr>
            </w:div>
            <w:div w:id="1552575799">
              <w:marLeft w:val="0"/>
              <w:marRight w:val="0"/>
              <w:marTop w:val="0"/>
              <w:marBottom w:val="0"/>
              <w:divBdr>
                <w:top w:val="none" w:sz="0" w:space="0" w:color="auto"/>
                <w:left w:val="none" w:sz="0" w:space="0" w:color="auto"/>
                <w:bottom w:val="none" w:sz="0" w:space="0" w:color="auto"/>
                <w:right w:val="none" w:sz="0" w:space="0" w:color="auto"/>
              </w:divBdr>
            </w:div>
            <w:div w:id="1812090725">
              <w:marLeft w:val="0"/>
              <w:marRight w:val="0"/>
              <w:marTop w:val="0"/>
              <w:marBottom w:val="0"/>
              <w:divBdr>
                <w:top w:val="none" w:sz="0" w:space="0" w:color="auto"/>
                <w:left w:val="none" w:sz="0" w:space="0" w:color="auto"/>
                <w:bottom w:val="none" w:sz="0" w:space="0" w:color="auto"/>
                <w:right w:val="none" w:sz="0" w:space="0" w:color="auto"/>
              </w:divBdr>
            </w:div>
            <w:div w:id="2069180632">
              <w:marLeft w:val="0"/>
              <w:marRight w:val="0"/>
              <w:marTop w:val="0"/>
              <w:marBottom w:val="0"/>
              <w:divBdr>
                <w:top w:val="none" w:sz="0" w:space="0" w:color="auto"/>
                <w:left w:val="none" w:sz="0" w:space="0" w:color="auto"/>
                <w:bottom w:val="none" w:sz="0" w:space="0" w:color="auto"/>
                <w:right w:val="none" w:sz="0" w:space="0" w:color="auto"/>
              </w:divBdr>
            </w:div>
            <w:div w:id="212221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15318">
      <w:marLeft w:val="0"/>
      <w:marRight w:val="0"/>
      <w:marTop w:val="0"/>
      <w:marBottom w:val="0"/>
      <w:divBdr>
        <w:top w:val="none" w:sz="0" w:space="0" w:color="auto"/>
        <w:left w:val="none" w:sz="0" w:space="0" w:color="auto"/>
        <w:bottom w:val="none" w:sz="0" w:space="0" w:color="auto"/>
        <w:right w:val="none" w:sz="0" w:space="0" w:color="auto"/>
      </w:divBdr>
    </w:div>
    <w:div w:id="1376616206">
      <w:bodyDiv w:val="1"/>
      <w:marLeft w:val="0"/>
      <w:marRight w:val="0"/>
      <w:marTop w:val="0"/>
      <w:marBottom w:val="0"/>
      <w:divBdr>
        <w:top w:val="none" w:sz="0" w:space="0" w:color="auto"/>
        <w:left w:val="none" w:sz="0" w:space="0" w:color="auto"/>
        <w:bottom w:val="none" w:sz="0" w:space="0" w:color="auto"/>
        <w:right w:val="none" w:sz="0" w:space="0" w:color="auto"/>
      </w:divBdr>
    </w:div>
    <w:div w:id="1393384701">
      <w:bodyDiv w:val="1"/>
      <w:marLeft w:val="0"/>
      <w:marRight w:val="0"/>
      <w:marTop w:val="0"/>
      <w:marBottom w:val="0"/>
      <w:divBdr>
        <w:top w:val="none" w:sz="0" w:space="0" w:color="auto"/>
        <w:left w:val="none" w:sz="0" w:space="0" w:color="auto"/>
        <w:bottom w:val="none" w:sz="0" w:space="0" w:color="auto"/>
        <w:right w:val="none" w:sz="0" w:space="0" w:color="auto"/>
      </w:divBdr>
      <w:divsChild>
        <w:div w:id="30806558">
          <w:marLeft w:val="0"/>
          <w:marRight w:val="0"/>
          <w:marTop w:val="0"/>
          <w:marBottom w:val="0"/>
          <w:divBdr>
            <w:top w:val="none" w:sz="0" w:space="0" w:color="auto"/>
            <w:left w:val="none" w:sz="0" w:space="0" w:color="auto"/>
            <w:bottom w:val="none" w:sz="0" w:space="0" w:color="auto"/>
            <w:right w:val="none" w:sz="0" w:space="0" w:color="auto"/>
          </w:divBdr>
        </w:div>
        <w:div w:id="111678594">
          <w:marLeft w:val="0"/>
          <w:marRight w:val="0"/>
          <w:marTop w:val="0"/>
          <w:marBottom w:val="0"/>
          <w:divBdr>
            <w:top w:val="none" w:sz="0" w:space="0" w:color="auto"/>
            <w:left w:val="none" w:sz="0" w:space="0" w:color="auto"/>
            <w:bottom w:val="none" w:sz="0" w:space="0" w:color="auto"/>
            <w:right w:val="none" w:sz="0" w:space="0" w:color="auto"/>
          </w:divBdr>
        </w:div>
        <w:div w:id="345787062">
          <w:marLeft w:val="0"/>
          <w:marRight w:val="0"/>
          <w:marTop w:val="0"/>
          <w:marBottom w:val="0"/>
          <w:divBdr>
            <w:top w:val="none" w:sz="0" w:space="0" w:color="auto"/>
            <w:left w:val="none" w:sz="0" w:space="0" w:color="auto"/>
            <w:bottom w:val="none" w:sz="0" w:space="0" w:color="auto"/>
            <w:right w:val="none" w:sz="0" w:space="0" w:color="auto"/>
          </w:divBdr>
        </w:div>
        <w:div w:id="1356928423">
          <w:marLeft w:val="0"/>
          <w:marRight w:val="0"/>
          <w:marTop w:val="0"/>
          <w:marBottom w:val="0"/>
          <w:divBdr>
            <w:top w:val="none" w:sz="0" w:space="0" w:color="auto"/>
            <w:left w:val="none" w:sz="0" w:space="0" w:color="auto"/>
            <w:bottom w:val="none" w:sz="0" w:space="0" w:color="auto"/>
            <w:right w:val="none" w:sz="0" w:space="0" w:color="auto"/>
          </w:divBdr>
        </w:div>
        <w:div w:id="1418330545">
          <w:marLeft w:val="0"/>
          <w:marRight w:val="0"/>
          <w:marTop w:val="0"/>
          <w:marBottom w:val="0"/>
          <w:divBdr>
            <w:top w:val="none" w:sz="0" w:space="0" w:color="auto"/>
            <w:left w:val="none" w:sz="0" w:space="0" w:color="auto"/>
            <w:bottom w:val="none" w:sz="0" w:space="0" w:color="auto"/>
            <w:right w:val="none" w:sz="0" w:space="0" w:color="auto"/>
          </w:divBdr>
        </w:div>
        <w:div w:id="1496339933">
          <w:marLeft w:val="0"/>
          <w:marRight w:val="0"/>
          <w:marTop w:val="0"/>
          <w:marBottom w:val="0"/>
          <w:divBdr>
            <w:top w:val="none" w:sz="0" w:space="0" w:color="auto"/>
            <w:left w:val="none" w:sz="0" w:space="0" w:color="auto"/>
            <w:bottom w:val="none" w:sz="0" w:space="0" w:color="auto"/>
            <w:right w:val="none" w:sz="0" w:space="0" w:color="auto"/>
          </w:divBdr>
        </w:div>
        <w:div w:id="1520461044">
          <w:marLeft w:val="0"/>
          <w:marRight w:val="0"/>
          <w:marTop w:val="0"/>
          <w:marBottom w:val="0"/>
          <w:divBdr>
            <w:top w:val="none" w:sz="0" w:space="0" w:color="auto"/>
            <w:left w:val="none" w:sz="0" w:space="0" w:color="auto"/>
            <w:bottom w:val="none" w:sz="0" w:space="0" w:color="auto"/>
            <w:right w:val="none" w:sz="0" w:space="0" w:color="auto"/>
          </w:divBdr>
        </w:div>
        <w:div w:id="1625309287">
          <w:marLeft w:val="0"/>
          <w:marRight w:val="0"/>
          <w:marTop w:val="0"/>
          <w:marBottom w:val="0"/>
          <w:divBdr>
            <w:top w:val="none" w:sz="0" w:space="0" w:color="auto"/>
            <w:left w:val="none" w:sz="0" w:space="0" w:color="auto"/>
            <w:bottom w:val="none" w:sz="0" w:space="0" w:color="auto"/>
            <w:right w:val="none" w:sz="0" w:space="0" w:color="auto"/>
          </w:divBdr>
        </w:div>
        <w:div w:id="1880126612">
          <w:marLeft w:val="0"/>
          <w:marRight w:val="0"/>
          <w:marTop w:val="0"/>
          <w:marBottom w:val="0"/>
          <w:divBdr>
            <w:top w:val="none" w:sz="0" w:space="0" w:color="auto"/>
            <w:left w:val="none" w:sz="0" w:space="0" w:color="auto"/>
            <w:bottom w:val="none" w:sz="0" w:space="0" w:color="auto"/>
            <w:right w:val="none" w:sz="0" w:space="0" w:color="auto"/>
          </w:divBdr>
        </w:div>
        <w:div w:id="2047676328">
          <w:marLeft w:val="0"/>
          <w:marRight w:val="0"/>
          <w:marTop w:val="0"/>
          <w:marBottom w:val="0"/>
          <w:divBdr>
            <w:top w:val="none" w:sz="0" w:space="0" w:color="auto"/>
            <w:left w:val="none" w:sz="0" w:space="0" w:color="auto"/>
            <w:bottom w:val="none" w:sz="0" w:space="0" w:color="auto"/>
            <w:right w:val="none" w:sz="0" w:space="0" w:color="auto"/>
          </w:divBdr>
        </w:div>
      </w:divsChild>
    </w:div>
    <w:div w:id="1402290171">
      <w:bodyDiv w:val="1"/>
      <w:marLeft w:val="0"/>
      <w:marRight w:val="0"/>
      <w:marTop w:val="0"/>
      <w:marBottom w:val="0"/>
      <w:divBdr>
        <w:top w:val="none" w:sz="0" w:space="0" w:color="auto"/>
        <w:left w:val="none" w:sz="0" w:space="0" w:color="auto"/>
        <w:bottom w:val="none" w:sz="0" w:space="0" w:color="auto"/>
        <w:right w:val="none" w:sz="0" w:space="0" w:color="auto"/>
      </w:divBdr>
    </w:div>
    <w:div w:id="1403992005">
      <w:bodyDiv w:val="1"/>
      <w:marLeft w:val="0"/>
      <w:marRight w:val="0"/>
      <w:marTop w:val="0"/>
      <w:marBottom w:val="0"/>
      <w:divBdr>
        <w:top w:val="none" w:sz="0" w:space="0" w:color="auto"/>
        <w:left w:val="none" w:sz="0" w:space="0" w:color="auto"/>
        <w:bottom w:val="none" w:sz="0" w:space="0" w:color="auto"/>
        <w:right w:val="none" w:sz="0" w:space="0" w:color="auto"/>
      </w:divBdr>
      <w:divsChild>
        <w:div w:id="136725261">
          <w:marLeft w:val="274"/>
          <w:marRight w:val="0"/>
          <w:marTop w:val="120"/>
          <w:marBottom w:val="0"/>
          <w:divBdr>
            <w:top w:val="none" w:sz="0" w:space="0" w:color="auto"/>
            <w:left w:val="none" w:sz="0" w:space="0" w:color="auto"/>
            <w:bottom w:val="none" w:sz="0" w:space="0" w:color="auto"/>
            <w:right w:val="none" w:sz="0" w:space="0" w:color="auto"/>
          </w:divBdr>
        </w:div>
        <w:div w:id="190922981">
          <w:marLeft w:val="274"/>
          <w:marRight w:val="0"/>
          <w:marTop w:val="120"/>
          <w:marBottom w:val="0"/>
          <w:divBdr>
            <w:top w:val="none" w:sz="0" w:space="0" w:color="auto"/>
            <w:left w:val="none" w:sz="0" w:space="0" w:color="auto"/>
            <w:bottom w:val="none" w:sz="0" w:space="0" w:color="auto"/>
            <w:right w:val="none" w:sz="0" w:space="0" w:color="auto"/>
          </w:divBdr>
        </w:div>
        <w:div w:id="233785768">
          <w:marLeft w:val="274"/>
          <w:marRight w:val="0"/>
          <w:marTop w:val="120"/>
          <w:marBottom w:val="0"/>
          <w:divBdr>
            <w:top w:val="none" w:sz="0" w:space="0" w:color="auto"/>
            <w:left w:val="none" w:sz="0" w:space="0" w:color="auto"/>
            <w:bottom w:val="none" w:sz="0" w:space="0" w:color="auto"/>
            <w:right w:val="none" w:sz="0" w:space="0" w:color="auto"/>
          </w:divBdr>
        </w:div>
        <w:div w:id="326515297">
          <w:marLeft w:val="274"/>
          <w:marRight w:val="0"/>
          <w:marTop w:val="120"/>
          <w:marBottom w:val="0"/>
          <w:divBdr>
            <w:top w:val="none" w:sz="0" w:space="0" w:color="auto"/>
            <w:left w:val="none" w:sz="0" w:space="0" w:color="auto"/>
            <w:bottom w:val="none" w:sz="0" w:space="0" w:color="auto"/>
            <w:right w:val="none" w:sz="0" w:space="0" w:color="auto"/>
          </w:divBdr>
        </w:div>
        <w:div w:id="1366634029">
          <w:marLeft w:val="274"/>
          <w:marRight w:val="0"/>
          <w:marTop w:val="120"/>
          <w:marBottom w:val="0"/>
          <w:divBdr>
            <w:top w:val="none" w:sz="0" w:space="0" w:color="auto"/>
            <w:left w:val="none" w:sz="0" w:space="0" w:color="auto"/>
            <w:bottom w:val="none" w:sz="0" w:space="0" w:color="auto"/>
            <w:right w:val="none" w:sz="0" w:space="0" w:color="auto"/>
          </w:divBdr>
        </w:div>
        <w:div w:id="1545436235">
          <w:marLeft w:val="274"/>
          <w:marRight w:val="0"/>
          <w:marTop w:val="120"/>
          <w:marBottom w:val="0"/>
          <w:divBdr>
            <w:top w:val="none" w:sz="0" w:space="0" w:color="auto"/>
            <w:left w:val="none" w:sz="0" w:space="0" w:color="auto"/>
            <w:bottom w:val="none" w:sz="0" w:space="0" w:color="auto"/>
            <w:right w:val="none" w:sz="0" w:space="0" w:color="auto"/>
          </w:divBdr>
        </w:div>
        <w:div w:id="1560096360">
          <w:marLeft w:val="274"/>
          <w:marRight w:val="0"/>
          <w:marTop w:val="120"/>
          <w:marBottom w:val="0"/>
          <w:divBdr>
            <w:top w:val="none" w:sz="0" w:space="0" w:color="auto"/>
            <w:left w:val="none" w:sz="0" w:space="0" w:color="auto"/>
            <w:bottom w:val="none" w:sz="0" w:space="0" w:color="auto"/>
            <w:right w:val="none" w:sz="0" w:space="0" w:color="auto"/>
          </w:divBdr>
        </w:div>
        <w:div w:id="1717896806">
          <w:marLeft w:val="274"/>
          <w:marRight w:val="0"/>
          <w:marTop w:val="120"/>
          <w:marBottom w:val="0"/>
          <w:divBdr>
            <w:top w:val="none" w:sz="0" w:space="0" w:color="auto"/>
            <w:left w:val="none" w:sz="0" w:space="0" w:color="auto"/>
            <w:bottom w:val="none" w:sz="0" w:space="0" w:color="auto"/>
            <w:right w:val="none" w:sz="0" w:space="0" w:color="auto"/>
          </w:divBdr>
        </w:div>
        <w:div w:id="1807232756">
          <w:marLeft w:val="274"/>
          <w:marRight w:val="0"/>
          <w:marTop w:val="120"/>
          <w:marBottom w:val="0"/>
          <w:divBdr>
            <w:top w:val="none" w:sz="0" w:space="0" w:color="auto"/>
            <w:left w:val="none" w:sz="0" w:space="0" w:color="auto"/>
            <w:bottom w:val="none" w:sz="0" w:space="0" w:color="auto"/>
            <w:right w:val="none" w:sz="0" w:space="0" w:color="auto"/>
          </w:divBdr>
        </w:div>
      </w:divsChild>
    </w:div>
    <w:div w:id="1433433371">
      <w:bodyDiv w:val="1"/>
      <w:marLeft w:val="0"/>
      <w:marRight w:val="0"/>
      <w:marTop w:val="0"/>
      <w:marBottom w:val="0"/>
      <w:divBdr>
        <w:top w:val="none" w:sz="0" w:space="0" w:color="auto"/>
        <w:left w:val="none" w:sz="0" w:space="0" w:color="auto"/>
        <w:bottom w:val="none" w:sz="0" w:space="0" w:color="auto"/>
        <w:right w:val="none" w:sz="0" w:space="0" w:color="auto"/>
      </w:divBdr>
      <w:divsChild>
        <w:div w:id="41176532">
          <w:marLeft w:val="0"/>
          <w:marRight w:val="0"/>
          <w:marTop w:val="0"/>
          <w:marBottom w:val="0"/>
          <w:divBdr>
            <w:top w:val="none" w:sz="0" w:space="0" w:color="auto"/>
            <w:left w:val="none" w:sz="0" w:space="0" w:color="auto"/>
            <w:bottom w:val="none" w:sz="0" w:space="0" w:color="auto"/>
            <w:right w:val="none" w:sz="0" w:space="0" w:color="auto"/>
          </w:divBdr>
        </w:div>
        <w:div w:id="572736872">
          <w:marLeft w:val="0"/>
          <w:marRight w:val="0"/>
          <w:marTop w:val="0"/>
          <w:marBottom w:val="0"/>
          <w:divBdr>
            <w:top w:val="none" w:sz="0" w:space="0" w:color="auto"/>
            <w:left w:val="none" w:sz="0" w:space="0" w:color="auto"/>
            <w:bottom w:val="none" w:sz="0" w:space="0" w:color="auto"/>
            <w:right w:val="none" w:sz="0" w:space="0" w:color="auto"/>
          </w:divBdr>
        </w:div>
        <w:div w:id="1854301966">
          <w:marLeft w:val="0"/>
          <w:marRight w:val="0"/>
          <w:marTop w:val="0"/>
          <w:marBottom w:val="0"/>
          <w:divBdr>
            <w:top w:val="none" w:sz="0" w:space="0" w:color="auto"/>
            <w:left w:val="none" w:sz="0" w:space="0" w:color="auto"/>
            <w:bottom w:val="none" w:sz="0" w:space="0" w:color="auto"/>
            <w:right w:val="none" w:sz="0" w:space="0" w:color="auto"/>
          </w:divBdr>
        </w:div>
      </w:divsChild>
    </w:div>
    <w:div w:id="1444763573">
      <w:bodyDiv w:val="1"/>
      <w:marLeft w:val="0"/>
      <w:marRight w:val="0"/>
      <w:marTop w:val="0"/>
      <w:marBottom w:val="0"/>
      <w:divBdr>
        <w:top w:val="none" w:sz="0" w:space="0" w:color="auto"/>
        <w:left w:val="none" w:sz="0" w:space="0" w:color="auto"/>
        <w:bottom w:val="none" w:sz="0" w:space="0" w:color="auto"/>
        <w:right w:val="none" w:sz="0" w:space="0" w:color="auto"/>
      </w:divBdr>
    </w:div>
    <w:div w:id="1445227502">
      <w:bodyDiv w:val="1"/>
      <w:marLeft w:val="0"/>
      <w:marRight w:val="0"/>
      <w:marTop w:val="0"/>
      <w:marBottom w:val="0"/>
      <w:divBdr>
        <w:top w:val="none" w:sz="0" w:space="0" w:color="auto"/>
        <w:left w:val="none" w:sz="0" w:space="0" w:color="auto"/>
        <w:bottom w:val="none" w:sz="0" w:space="0" w:color="auto"/>
        <w:right w:val="none" w:sz="0" w:space="0" w:color="auto"/>
      </w:divBdr>
    </w:div>
    <w:div w:id="1448504807">
      <w:bodyDiv w:val="1"/>
      <w:marLeft w:val="0"/>
      <w:marRight w:val="0"/>
      <w:marTop w:val="0"/>
      <w:marBottom w:val="0"/>
      <w:divBdr>
        <w:top w:val="none" w:sz="0" w:space="0" w:color="auto"/>
        <w:left w:val="none" w:sz="0" w:space="0" w:color="auto"/>
        <w:bottom w:val="none" w:sz="0" w:space="0" w:color="auto"/>
        <w:right w:val="none" w:sz="0" w:space="0" w:color="auto"/>
      </w:divBdr>
      <w:divsChild>
        <w:div w:id="1414165384">
          <w:marLeft w:val="0"/>
          <w:marRight w:val="0"/>
          <w:marTop w:val="0"/>
          <w:marBottom w:val="0"/>
          <w:divBdr>
            <w:top w:val="none" w:sz="0" w:space="0" w:color="auto"/>
            <w:left w:val="none" w:sz="0" w:space="0" w:color="auto"/>
            <w:bottom w:val="none" w:sz="0" w:space="0" w:color="auto"/>
            <w:right w:val="none" w:sz="0" w:space="0" w:color="auto"/>
          </w:divBdr>
          <w:divsChild>
            <w:div w:id="17141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39595">
      <w:bodyDiv w:val="1"/>
      <w:marLeft w:val="0"/>
      <w:marRight w:val="0"/>
      <w:marTop w:val="0"/>
      <w:marBottom w:val="0"/>
      <w:divBdr>
        <w:top w:val="none" w:sz="0" w:space="0" w:color="auto"/>
        <w:left w:val="none" w:sz="0" w:space="0" w:color="auto"/>
        <w:bottom w:val="none" w:sz="0" w:space="0" w:color="auto"/>
        <w:right w:val="none" w:sz="0" w:space="0" w:color="auto"/>
      </w:divBdr>
      <w:divsChild>
        <w:div w:id="29765117">
          <w:marLeft w:val="0"/>
          <w:marRight w:val="0"/>
          <w:marTop w:val="0"/>
          <w:marBottom w:val="0"/>
          <w:divBdr>
            <w:top w:val="none" w:sz="0" w:space="0" w:color="auto"/>
            <w:left w:val="none" w:sz="0" w:space="0" w:color="auto"/>
            <w:bottom w:val="none" w:sz="0" w:space="0" w:color="auto"/>
            <w:right w:val="none" w:sz="0" w:space="0" w:color="auto"/>
          </w:divBdr>
          <w:divsChild>
            <w:div w:id="824511148">
              <w:marLeft w:val="0"/>
              <w:marRight w:val="0"/>
              <w:marTop w:val="0"/>
              <w:marBottom w:val="0"/>
              <w:divBdr>
                <w:top w:val="none" w:sz="0" w:space="0" w:color="auto"/>
                <w:left w:val="none" w:sz="0" w:space="0" w:color="auto"/>
                <w:bottom w:val="none" w:sz="0" w:space="0" w:color="auto"/>
                <w:right w:val="none" w:sz="0" w:space="0" w:color="auto"/>
              </w:divBdr>
            </w:div>
          </w:divsChild>
        </w:div>
        <w:div w:id="60298726">
          <w:marLeft w:val="0"/>
          <w:marRight w:val="0"/>
          <w:marTop w:val="0"/>
          <w:marBottom w:val="0"/>
          <w:divBdr>
            <w:top w:val="none" w:sz="0" w:space="0" w:color="auto"/>
            <w:left w:val="none" w:sz="0" w:space="0" w:color="auto"/>
            <w:bottom w:val="none" w:sz="0" w:space="0" w:color="auto"/>
            <w:right w:val="none" w:sz="0" w:space="0" w:color="auto"/>
          </w:divBdr>
          <w:divsChild>
            <w:div w:id="812454266">
              <w:marLeft w:val="0"/>
              <w:marRight w:val="0"/>
              <w:marTop w:val="0"/>
              <w:marBottom w:val="0"/>
              <w:divBdr>
                <w:top w:val="none" w:sz="0" w:space="0" w:color="auto"/>
                <w:left w:val="none" w:sz="0" w:space="0" w:color="auto"/>
                <w:bottom w:val="none" w:sz="0" w:space="0" w:color="auto"/>
                <w:right w:val="none" w:sz="0" w:space="0" w:color="auto"/>
              </w:divBdr>
            </w:div>
          </w:divsChild>
        </w:div>
        <w:div w:id="69933680">
          <w:marLeft w:val="0"/>
          <w:marRight w:val="0"/>
          <w:marTop w:val="0"/>
          <w:marBottom w:val="0"/>
          <w:divBdr>
            <w:top w:val="none" w:sz="0" w:space="0" w:color="auto"/>
            <w:left w:val="none" w:sz="0" w:space="0" w:color="auto"/>
            <w:bottom w:val="none" w:sz="0" w:space="0" w:color="auto"/>
            <w:right w:val="none" w:sz="0" w:space="0" w:color="auto"/>
          </w:divBdr>
          <w:divsChild>
            <w:div w:id="931933047">
              <w:marLeft w:val="0"/>
              <w:marRight w:val="0"/>
              <w:marTop w:val="0"/>
              <w:marBottom w:val="0"/>
              <w:divBdr>
                <w:top w:val="none" w:sz="0" w:space="0" w:color="auto"/>
                <w:left w:val="none" w:sz="0" w:space="0" w:color="auto"/>
                <w:bottom w:val="none" w:sz="0" w:space="0" w:color="auto"/>
                <w:right w:val="none" w:sz="0" w:space="0" w:color="auto"/>
              </w:divBdr>
            </w:div>
          </w:divsChild>
        </w:div>
        <w:div w:id="109208963">
          <w:marLeft w:val="0"/>
          <w:marRight w:val="0"/>
          <w:marTop w:val="0"/>
          <w:marBottom w:val="0"/>
          <w:divBdr>
            <w:top w:val="none" w:sz="0" w:space="0" w:color="auto"/>
            <w:left w:val="none" w:sz="0" w:space="0" w:color="auto"/>
            <w:bottom w:val="none" w:sz="0" w:space="0" w:color="auto"/>
            <w:right w:val="none" w:sz="0" w:space="0" w:color="auto"/>
          </w:divBdr>
          <w:divsChild>
            <w:div w:id="278029926">
              <w:marLeft w:val="0"/>
              <w:marRight w:val="0"/>
              <w:marTop w:val="0"/>
              <w:marBottom w:val="0"/>
              <w:divBdr>
                <w:top w:val="none" w:sz="0" w:space="0" w:color="auto"/>
                <w:left w:val="none" w:sz="0" w:space="0" w:color="auto"/>
                <w:bottom w:val="none" w:sz="0" w:space="0" w:color="auto"/>
                <w:right w:val="none" w:sz="0" w:space="0" w:color="auto"/>
              </w:divBdr>
            </w:div>
          </w:divsChild>
        </w:div>
        <w:div w:id="122961970">
          <w:marLeft w:val="0"/>
          <w:marRight w:val="0"/>
          <w:marTop w:val="0"/>
          <w:marBottom w:val="0"/>
          <w:divBdr>
            <w:top w:val="none" w:sz="0" w:space="0" w:color="auto"/>
            <w:left w:val="none" w:sz="0" w:space="0" w:color="auto"/>
            <w:bottom w:val="none" w:sz="0" w:space="0" w:color="auto"/>
            <w:right w:val="none" w:sz="0" w:space="0" w:color="auto"/>
          </w:divBdr>
          <w:divsChild>
            <w:div w:id="1986159760">
              <w:marLeft w:val="0"/>
              <w:marRight w:val="0"/>
              <w:marTop w:val="0"/>
              <w:marBottom w:val="0"/>
              <w:divBdr>
                <w:top w:val="none" w:sz="0" w:space="0" w:color="auto"/>
                <w:left w:val="none" w:sz="0" w:space="0" w:color="auto"/>
                <w:bottom w:val="none" w:sz="0" w:space="0" w:color="auto"/>
                <w:right w:val="none" w:sz="0" w:space="0" w:color="auto"/>
              </w:divBdr>
            </w:div>
          </w:divsChild>
        </w:div>
        <w:div w:id="140390920">
          <w:marLeft w:val="0"/>
          <w:marRight w:val="0"/>
          <w:marTop w:val="0"/>
          <w:marBottom w:val="0"/>
          <w:divBdr>
            <w:top w:val="none" w:sz="0" w:space="0" w:color="auto"/>
            <w:left w:val="none" w:sz="0" w:space="0" w:color="auto"/>
            <w:bottom w:val="none" w:sz="0" w:space="0" w:color="auto"/>
            <w:right w:val="none" w:sz="0" w:space="0" w:color="auto"/>
          </w:divBdr>
          <w:divsChild>
            <w:div w:id="131099455">
              <w:marLeft w:val="0"/>
              <w:marRight w:val="0"/>
              <w:marTop w:val="0"/>
              <w:marBottom w:val="0"/>
              <w:divBdr>
                <w:top w:val="none" w:sz="0" w:space="0" w:color="auto"/>
                <w:left w:val="none" w:sz="0" w:space="0" w:color="auto"/>
                <w:bottom w:val="none" w:sz="0" w:space="0" w:color="auto"/>
                <w:right w:val="none" w:sz="0" w:space="0" w:color="auto"/>
              </w:divBdr>
            </w:div>
          </w:divsChild>
        </w:div>
        <w:div w:id="161239497">
          <w:marLeft w:val="0"/>
          <w:marRight w:val="0"/>
          <w:marTop w:val="0"/>
          <w:marBottom w:val="0"/>
          <w:divBdr>
            <w:top w:val="none" w:sz="0" w:space="0" w:color="auto"/>
            <w:left w:val="none" w:sz="0" w:space="0" w:color="auto"/>
            <w:bottom w:val="none" w:sz="0" w:space="0" w:color="auto"/>
            <w:right w:val="none" w:sz="0" w:space="0" w:color="auto"/>
          </w:divBdr>
          <w:divsChild>
            <w:div w:id="330837799">
              <w:marLeft w:val="0"/>
              <w:marRight w:val="0"/>
              <w:marTop w:val="0"/>
              <w:marBottom w:val="0"/>
              <w:divBdr>
                <w:top w:val="none" w:sz="0" w:space="0" w:color="auto"/>
                <w:left w:val="none" w:sz="0" w:space="0" w:color="auto"/>
                <w:bottom w:val="none" w:sz="0" w:space="0" w:color="auto"/>
                <w:right w:val="none" w:sz="0" w:space="0" w:color="auto"/>
              </w:divBdr>
            </w:div>
          </w:divsChild>
        </w:div>
        <w:div w:id="170991268">
          <w:marLeft w:val="0"/>
          <w:marRight w:val="0"/>
          <w:marTop w:val="0"/>
          <w:marBottom w:val="0"/>
          <w:divBdr>
            <w:top w:val="none" w:sz="0" w:space="0" w:color="auto"/>
            <w:left w:val="none" w:sz="0" w:space="0" w:color="auto"/>
            <w:bottom w:val="none" w:sz="0" w:space="0" w:color="auto"/>
            <w:right w:val="none" w:sz="0" w:space="0" w:color="auto"/>
          </w:divBdr>
          <w:divsChild>
            <w:div w:id="1300376696">
              <w:marLeft w:val="0"/>
              <w:marRight w:val="0"/>
              <w:marTop w:val="0"/>
              <w:marBottom w:val="0"/>
              <w:divBdr>
                <w:top w:val="none" w:sz="0" w:space="0" w:color="auto"/>
                <w:left w:val="none" w:sz="0" w:space="0" w:color="auto"/>
                <w:bottom w:val="none" w:sz="0" w:space="0" w:color="auto"/>
                <w:right w:val="none" w:sz="0" w:space="0" w:color="auto"/>
              </w:divBdr>
            </w:div>
          </w:divsChild>
        </w:div>
        <w:div w:id="218984179">
          <w:marLeft w:val="0"/>
          <w:marRight w:val="0"/>
          <w:marTop w:val="0"/>
          <w:marBottom w:val="0"/>
          <w:divBdr>
            <w:top w:val="none" w:sz="0" w:space="0" w:color="auto"/>
            <w:left w:val="none" w:sz="0" w:space="0" w:color="auto"/>
            <w:bottom w:val="none" w:sz="0" w:space="0" w:color="auto"/>
            <w:right w:val="none" w:sz="0" w:space="0" w:color="auto"/>
          </w:divBdr>
          <w:divsChild>
            <w:div w:id="221795948">
              <w:marLeft w:val="0"/>
              <w:marRight w:val="0"/>
              <w:marTop w:val="0"/>
              <w:marBottom w:val="0"/>
              <w:divBdr>
                <w:top w:val="none" w:sz="0" w:space="0" w:color="auto"/>
                <w:left w:val="none" w:sz="0" w:space="0" w:color="auto"/>
                <w:bottom w:val="none" w:sz="0" w:space="0" w:color="auto"/>
                <w:right w:val="none" w:sz="0" w:space="0" w:color="auto"/>
              </w:divBdr>
            </w:div>
          </w:divsChild>
        </w:div>
        <w:div w:id="224338862">
          <w:marLeft w:val="0"/>
          <w:marRight w:val="0"/>
          <w:marTop w:val="0"/>
          <w:marBottom w:val="0"/>
          <w:divBdr>
            <w:top w:val="none" w:sz="0" w:space="0" w:color="auto"/>
            <w:left w:val="none" w:sz="0" w:space="0" w:color="auto"/>
            <w:bottom w:val="none" w:sz="0" w:space="0" w:color="auto"/>
            <w:right w:val="none" w:sz="0" w:space="0" w:color="auto"/>
          </w:divBdr>
          <w:divsChild>
            <w:div w:id="2021736973">
              <w:marLeft w:val="0"/>
              <w:marRight w:val="0"/>
              <w:marTop w:val="0"/>
              <w:marBottom w:val="0"/>
              <w:divBdr>
                <w:top w:val="none" w:sz="0" w:space="0" w:color="auto"/>
                <w:left w:val="none" w:sz="0" w:space="0" w:color="auto"/>
                <w:bottom w:val="none" w:sz="0" w:space="0" w:color="auto"/>
                <w:right w:val="none" w:sz="0" w:space="0" w:color="auto"/>
              </w:divBdr>
            </w:div>
          </w:divsChild>
        </w:div>
        <w:div w:id="236984635">
          <w:marLeft w:val="0"/>
          <w:marRight w:val="0"/>
          <w:marTop w:val="0"/>
          <w:marBottom w:val="0"/>
          <w:divBdr>
            <w:top w:val="none" w:sz="0" w:space="0" w:color="auto"/>
            <w:left w:val="none" w:sz="0" w:space="0" w:color="auto"/>
            <w:bottom w:val="none" w:sz="0" w:space="0" w:color="auto"/>
            <w:right w:val="none" w:sz="0" w:space="0" w:color="auto"/>
          </w:divBdr>
          <w:divsChild>
            <w:div w:id="977690444">
              <w:marLeft w:val="0"/>
              <w:marRight w:val="0"/>
              <w:marTop w:val="0"/>
              <w:marBottom w:val="0"/>
              <w:divBdr>
                <w:top w:val="none" w:sz="0" w:space="0" w:color="auto"/>
                <w:left w:val="none" w:sz="0" w:space="0" w:color="auto"/>
                <w:bottom w:val="none" w:sz="0" w:space="0" w:color="auto"/>
                <w:right w:val="none" w:sz="0" w:space="0" w:color="auto"/>
              </w:divBdr>
            </w:div>
          </w:divsChild>
        </w:div>
        <w:div w:id="241794701">
          <w:marLeft w:val="0"/>
          <w:marRight w:val="0"/>
          <w:marTop w:val="0"/>
          <w:marBottom w:val="0"/>
          <w:divBdr>
            <w:top w:val="none" w:sz="0" w:space="0" w:color="auto"/>
            <w:left w:val="none" w:sz="0" w:space="0" w:color="auto"/>
            <w:bottom w:val="none" w:sz="0" w:space="0" w:color="auto"/>
            <w:right w:val="none" w:sz="0" w:space="0" w:color="auto"/>
          </w:divBdr>
          <w:divsChild>
            <w:div w:id="2075542323">
              <w:marLeft w:val="0"/>
              <w:marRight w:val="0"/>
              <w:marTop w:val="0"/>
              <w:marBottom w:val="0"/>
              <w:divBdr>
                <w:top w:val="none" w:sz="0" w:space="0" w:color="auto"/>
                <w:left w:val="none" w:sz="0" w:space="0" w:color="auto"/>
                <w:bottom w:val="none" w:sz="0" w:space="0" w:color="auto"/>
                <w:right w:val="none" w:sz="0" w:space="0" w:color="auto"/>
              </w:divBdr>
            </w:div>
          </w:divsChild>
        </w:div>
        <w:div w:id="250430288">
          <w:marLeft w:val="0"/>
          <w:marRight w:val="0"/>
          <w:marTop w:val="0"/>
          <w:marBottom w:val="0"/>
          <w:divBdr>
            <w:top w:val="none" w:sz="0" w:space="0" w:color="auto"/>
            <w:left w:val="none" w:sz="0" w:space="0" w:color="auto"/>
            <w:bottom w:val="none" w:sz="0" w:space="0" w:color="auto"/>
            <w:right w:val="none" w:sz="0" w:space="0" w:color="auto"/>
          </w:divBdr>
          <w:divsChild>
            <w:div w:id="1289702262">
              <w:marLeft w:val="0"/>
              <w:marRight w:val="0"/>
              <w:marTop w:val="0"/>
              <w:marBottom w:val="0"/>
              <w:divBdr>
                <w:top w:val="none" w:sz="0" w:space="0" w:color="auto"/>
                <w:left w:val="none" w:sz="0" w:space="0" w:color="auto"/>
                <w:bottom w:val="none" w:sz="0" w:space="0" w:color="auto"/>
                <w:right w:val="none" w:sz="0" w:space="0" w:color="auto"/>
              </w:divBdr>
            </w:div>
          </w:divsChild>
        </w:div>
        <w:div w:id="271403242">
          <w:marLeft w:val="0"/>
          <w:marRight w:val="0"/>
          <w:marTop w:val="0"/>
          <w:marBottom w:val="0"/>
          <w:divBdr>
            <w:top w:val="none" w:sz="0" w:space="0" w:color="auto"/>
            <w:left w:val="none" w:sz="0" w:space="0" w:color="auto"/>
            <w:bottom w:val="none" w:sz="0" w:space="0" w:color="auto"/>
            <w:right w:val="none" w:sz="0" w:space="0" w:color="auto"/>
          </w:divBdr>
          <w:divsChild>
            <w:div w:id="330108329">
              <w:marLeft w:val="0"/>
              <w:marRight w:val="0"/>
              <w:marTop w:val="0"/>
              <w:marBottom w:val="0"/>
              <w:divBdr>
                <w:top w:val="none" w:sz="0" w:space="0" w:color="auto"/>
                <w:left w:val="none" w:sz="0" w:space="0" w:color="auto"/>
                <w:bottom w:val="none" w:sz="0" w:space="0" w:color="auto"/>
                <w:right w:val="none" w:sz="0" w:space="0" w:color="auto"/>
              </w:divBdr>
            </w:div>
          </w:divsChild>
        </w:div>
        <w:div w:id="283275083">
          <w:marLeft w:val="0"/>
          <w:marRight w:val="0"/>
          <w:marTop w:val="0"/>
          <w:marBottom w:val="0"/>
          <w:divBdr>
            <w:top w:val="none" w:sz="0" w:space="0" w:color="auto"/>
            <w:left w:val="none" w:sz="0" w:space="0" w:color="auto"/>
            <w:bottom w:val="none" w:sz="0" w:space="0" w:color="auto"/>
            <w:right w:val="none" w:sz="0" w:space="0" w:color="auto"/>
          </w:divBdr>
          <w:divsChild>
            <w:div w:id="1163282894">
              <w:marLeft w:val="0"/>
              <w:marRight w:val="0"/>
              <w:marTop w:val="0"/>
              <w:marBottom w:val="0"/>
              <w:divBdr>
                <w:top w:val="none" w:sz="0" w:space="0" w:color="auto"/>
                <w:left w:val="none" w:sz="0" w:space="0" w:color="auto"/>
                <w:bottom w:val="none" w:sz="0" w:space="0" w:color="auto"/>
                <w:right w:val="none" w:sz="0" w:space="0" w:color="auto"/>
              </w:divBdr>
            </w:div>
          </w:divsChild>
        </w:div>
        <w:div w:id="289210999">
          <w:marLeft w:val="0"/>
          <w:marRight w:val="0"/>
          <w:marTop w:val="0"/>
          <w:marBottom w:val="0"/>
          <w:divBdr>
            <w:top w:val="none" w:sz="0" w:space="0" w:color="auto"/>
            <w:left w:val="none" w:sz="0" w:space="0" w:color="auto"/>
            <w:bottom w:val="none" w:sz="0" w:space="0" w:color="auto"/>
            <w:right w:val="none" w:sz="0" w:space="0" w:color="auto"/>
          </w:divBdr>
          <w:divsChild>
            <w:div w:id="346756672">
              <w:marLeft w:val="0"/>
              <w:marRight w:val="0"/>
              <w:marTop w:val="0"/>
              <w:marBottom w:val="0"/>
              <w:divBdr>
                <w:top w:val="none" w:sz="0" w:space="0" w:color="auto"/>
                <w:left w:val="none" w:sz="0" w:space="0" w:color="auto"/>
                <w:bottom w:val="none" w:sz="0" w:space="0" w:color="auto"/>
                <w:right w:val="none" w:sz="0" w:space="0" w:color="auto"/>
              </w:divBdr>
            </w:div>
          </w:divsChild>
        </w:div>
        <w:div w:id="307712839">
          <w:marLeft w:val="0"/>
          <w:marRight w:val="0"/>
          <w:marTop w:val="0"/>
          <w:marBottom w:val="0"/>
          <w:divBdr>
            <w:top w:val="none" w:sz="0" w:space="0" w:color="auto"/>
            <w:left w:val="none" w:sz="0" w:space="0" w:color="auto"/>
            <w:bottom w:val="none" w:sz="0" w:space="0" w:color="auto"/>
            <w:right w:val="none" w:sz="0" w:space="0" w:color="auto"/>
          </w:divBdr>
          <w:divsChild>
            <w:div w:id="609706792">
              <w:marLeft w:val="0"/>
              <w:marRight w:val="0"/>
              <w:marTop w:val="0"/>
              <w:marBottom w:val="0"/>
              <w:divBdr>
                <w:top w:val="none" w:sz="0" w:space="0" w:color="auto"/>
                <w:left w:val="none" w:sz="0" w:space="0" w:color="auto"/>
                <w:bottom w:val="none" w:sz="0" w:space="0" w:color="auto"/>
                <w:right w:val="none" w:sz="0" w:space="0" w:color="auto"/>
              </w:divBdr>
            </w:div>
          </w:divsChild>
        </w:div>
        <w:div w:id="311256296">
          <w:marLeft w:val="0"/>
          <w:marRight w:val="0"/>
          <w:marTop w:val="0"/>
          <w:marBottom w:val="0"/>
          <w:divBdr>
            <w:top w:val="none" w:sz="0" w:space="0" w:color="auto"/>
            <w:left w:val="none" w:sz="0" w:space="0" w:color="auto"/>
            <w:bottom w:val="none" w:sz="0" w:space="0" w:color="auto"/>
            <w:right w:val="none" w:sz="0" w:space="0" w:color="auto"/>
          </w:divBdr>
          <w:divsChild>
            <w:div w:id="825245784">
              <w:marLeft w:val="0"/>
              <w:marRight w:val="0"/>
              <w:marTop w:val="0"/>
              <w:marBottom w:val="0"/>
              <w:divBdr>
                <w:top w:val="none" w:sz="0" w:space="0" w:color="auto"/>
                <w:left w:val="none" w:sz="0" w:space="0" w:color="auto"/>
                <w:bottom w:val="none" w:sz="0" w:space="0" w:color="auto"/>
                <w:right w:val="none" w:sz="0" w:space="0" w:color="auto"/>
              </w:divBdr>
            </w:div>
          </w:divsChild>
        </w:div>
        <w:div w:id="355808803">
          <w:marLeft w:val="0"/>
          <w:marRight w:val="0"/>
          <w:marTop w:val="0"/>
          <w:marBottom w:val="0"/>
          <w:divBdr>
            <w:top w:val="none" w:sz="0" w:space="0" w:color="auto"/>
            <w:left w:val="none" w:sz="0" w:space="0" w:color="auto"/>
            <w:bottom w:val="none" w:sz="0" w:space="0" w:color="auto"/>
            <w:right w:val="none" w:sz="0" w:space="0" w:color="auto"/>
          </w:divBdr>
          <w:divsChild>
            <w:div w:id="1900436397">
              <w:marLeft w:val="0"/>
              <w:marRight w:val="0"/>
              <w:marTop w:val="0"/>
              <w:marBottom w:val="0"/>
              <w:divBdr>
                <w:top w:val="none" w:sz="0" w:space="0" w:color="auto"/>
                <w:left w:val="none" w:sz="0" w:space="0" w:color="auto"/>
                <w:bottom w:val="none" w:sz="0" w:space="0" w:color="auto"/>
                <w:right w:val="none" w:sz="0" w:space="0" w:color="auto"/>
              </w:divBdr>
            </w:div>
          </w:divsChild>
        </w:div>
        <w:div w:id="374432341">
          <w:marLeft w:val="0"/>
          <w:marRight w:val="0"/>
          <w:marTop w:val="0"/>
          <w:marBottom w:val="0"/>
          <w:divBdr>
            <w:top w:val="none" w:sz="0" w:space="0" w:color="auto"/>
            <w:left w:val="none" w:sz="0" w:space="0" w:color="auto"/>
            <w:bottom w:val="none" w:sz="0" w:space="0" w:color="auto"/>
            <w:right w:val="none" w:sz="0" w:space="0" w:color="auto"/>
          </w:divBdr>
          <w:divsChild>
            <w:div w:id="512496425">
              <w:marLeft w:val="0"/>
              <w:marRight w:val="0"/>
              <w:marTop w:val="0"/>
              <w:marBottom w:val="0"/>
              <w:divBdr>
                <w:top w:val="none" w:sz="0" w:space="0" w:color="auto"/>
                <w:left w:val="none" w:sz="0" w:space="0" w:color="auto"/>
                <w:bottom w:val="none" w:sz="0" w:space="0" w:color="auto"/>
                <w:right w:val="none" w:sz="0" w:space="0" w:color="auto"/>
              </w:divBdr>
            </w:div>
          </w:divsChild>
        </w:div>
        <w:div w:id="400253439">
          <w:marLeft w:val="0"/>
          <w:marRight w:val="0"/>
          <w:marTop w:val="0"/>
          <w:marBottom w:val="0"/>
          <w:divBdr>
            <w:top w:val="none" w:sz="0" w:space="0" w:color="auto"/>
            <w:left w:val="none" w:sz="0" w:space="0" w:color="auto"/>
            <w:bottom w:val="none" w:sz="0" w:space="0" w:color="auto"/>
            <w:right w:val="none" w:sz="0" w:space="0" w:color="auto"/>
          </w:divBdr>
          <w:divsChild>
            <w:div w:id="2142185265">
              <w:marLeft w:val="0"/>
              <w:marRight w:val="0"/>
              <w:marTop w:val="0"/>
              <w:marBottom w:val="0"/>
              <w:divBdr>
                <w:top w:val="none" w:sz="0" w:space="0" w:color="auto"/>
                <w:left w:val="none" w:sz="0" w:space="0" w:color="auto"/>
                <w:bottom w:val="none" w:sz="0" w:space="0" w:color="auto"/>
                <w:right w:val="none" w:sz="0" w:space="0" w:color="auto"/>
              </w:divBdr>
            </w:div>
          </w:divsChild>
        </w:div>
        <w:div w:id="410591810">
          <w:marLeft w:val="0"/>
          <w:marRight w:val="0"/>
          <w:marTop w:val="0"/>
          <w:marBottom w:val="0"/>
          <w:divBdr>
            <w:top w:val="none" w:sz="0" w:space="0" w:color="auto"/>
            <w:left w:val="none" w:sz="0" w:space="0" w:color="auto"/>
            <w:bottom w:val="none" w:sz="0" w:space="0" w:color="auto"/>
            <w:right w:val="none" w:sz="0" w:space="0" w:color="auto"/>
          </w:divBdr>
          <w:divsChild>
            <w:div w:id="401148332">
              <w:marLeft w:val="0"/>
              <w:marRight w:val="0"/>
              <w:marTop w:val="0"/>
              <w:marBottom w:val="0"/>
              <w:divBdr>
                <w:top w:val="none" w:sz="0" w:space="0" w:color="auto"/>
                <w:left w:val="none" w:sz="0" w:space="0" w:color="auto"/>
                <w:bottom w:val="none" w:sz="0" w:space="0" w:color="auto"/>
                <w:right w:val="none" w:sz="0" w:space="0" w:color="auto"/>
              </w:divBdr>
            </w:div>
          </w:divsChild>
        </w:div>
        <w:div w:id="441345867">
          <w:marLeft w:val="0"/>
          <w:marRight w:val="0"/>
          <w:marTop w:val="0"/>
          <w:marBottom w:val="0"/>
          <w:divBdr>
            <w:top w:val="none" w:sz="0" w:space="0" w:color="auto"/>
            <w:left w:val="none" w:sz="0" w:space="0" w:color="auto"/>
            <w:bottom w:val="none" w:sz="0" w:space="0" w:color="auto"/>
            <w:right w:val="none" w:sz="0" w:space="0" w:color="auto"/>
          </w:divBdr>
          <w:divsChild>
            <w:div w:id="1351298539">
              <w:marLeft w:val="0"/>
              <w:marRight w:val="0"/>
              <w:marTop w:val="0"/>
              <w:marBottom w:val="0"/>
              <w:divBdr>
                <w:top w:val="none" w:sz="0" w:space="0" w:color="auto"/>
                <w:left w:val="none" w:sz="0" w:space="0" w:color="auto"/>
                <w:bottom w:val="none" w:sz="0" w:space="0" w:color="auto"/>
                <w:right w:val="none" w:sz="0" w:space="0" w:color="auto"/>
              </w:divBdr>
            </w:div>
          </w:divsChild>
        </w:div>
        <w:div w:id="462162629">
          <w:marLeft w:val="0"/>
          <w:marRight w:val="0"/>
          <w:marTop w:val="0"/>
          <w:marBottom w:val="0"/>
          <w:divBdr>
            <w:top w:val="none" w:sz="0" w:space="0" w:color="auto"/>
            <w:left w:val="none" w:sz="0" w:space="0" w:color="auto"/>
            <w:bottom w:val="none" w:sz="0" w:space="0" w:color="auto"/>
            <w:right w:val="none" w:sz="0" w:space="0" w:color="auto"/>
          </w:divBdr>
          <w:divsChild>
            <w:div w:id="2047103296">
              <w:marLeft w:val="0"/>
              <w:marRight w:val="0"/>
              <w:marTop w:val="0"/>
              <w:marBottom w:val="0"/>
              <w:divBdr>
                <w:top w:val="none" w:sz="0" w:space="0" w:color="auto"/>
                <w:left w:val="none" w:sz="0" w:space="0" w:color="auto"/>
                <w:bottom w:val="none" w:sz="0" w:space="0" w:color="auto"/>
                <w:right w:val="none" w:sz="0" w:space="0" w:color="auto"/>
              </w:divBdr>
            </w:div>
          </w:divsChild>
        </w:div>
        <w:div w:id="496313225">
          <w:marLeft w:val="0"/>
          <w:marRight w:val="0"/>
          <w:marTop w:val="0"/>
          <w:marBottom w:val="0"/>
          <w:divBdr>
            <w:top w:val="none" w:sz="0" w:space="0" w:color="auto"/>
            <w:left w:val="none" w:sz="0" w:space="0" w:color="auto"/>
            <w:bottom w:val="none" w:sz="0" w:space="0" w:color="auto"/>
            <w:right w:val="none" w:sz="0" w:space="0" w:color="auto"/>
          </w:divBdr>
          <w:divsChild>
            <w:div w:id="2115438683">
              <w:marLeft w:val="0"/>
              <w:marRight w:val="0"/>
              <w:marTop w:val="0"/>
              <w:marBottom w:val="0"/>
              <w:divBdr>
                <w:top w:val="none" w:sz="0" w:space="0" w:color="auto"/>
                <w:left w:val="none" w:sz="0" w:space="0" w:color="auto"/>
                <w:bottom w:val="none" w:sz="0" w:space="0" w:color="auto"/>
                <w:right w:val="none" w:sz="0" w:space="0" w:color="auto"/>
              </w:divBdr>
            </w:div>
          </w:divsChild>
        </w:div>
        <w:div w:id="530536574">
          <w:marLeft w:val="0"/>
          <w:marRight w:val="0"/>
          <w:marTop w:val="0"/>
          <w:marBottom w:val="0"/>
          <w:divBdr>
            <w:top w:val="none" w:sz="0" w:space="0" w:color="auto"/>
            <w:left w:val="none" w:sz="0" w:space="0" w:color="auto"/>
            <w:bottom w:val="none" w:sz="0" w:space="0" w:color="auto"/>
            <w:right w:val="none" w:sz="0" w:space="0" w:color="auto"/>
          </w:divBdr>
          <w:divsChild>
            <w:div w:id="2004619459">
              <w:marLeft w:val="0"/>
              <w:marRight w:val="0"/>
              <w:marTop w:val="0"/>
              <w:marBottom w:val="0"/>
              <w:divBdr>
                <w:top w:val="none" w:sz="0" w:space="0" w:color="auto"/>
                <w:left w:val="none" w:sz="0" w:space="0" w:color="auto"/>
                <w:bottom w:val="none" w:sz="0" w:space="0" w:color="auto"/>
                <w:right w:val="none" w:sz="0" w:space="0" w:color="auto"/>
              </w:divBdr>
            </w:div>
          </w:divsChild>
        </w:div>
        <w:div w:id="531184782">
          <w:marLeft w:val="0"/>
          <w:marRight w:val="0"/>
          <w:marTop w:val="0"/>
          <w:marBottom w:val="0"/>
          <w:divBdr>
            <w:top w:val="none" w:sz="0" w:space="0" w:color="auto"/>
            <w:left w:val="none" w:sz="0" w:space="0" w:color="auto"/>
            <w:bottom w:val="none" w:sz="0" w:space="0" w:color="auto"/>
            <w:right w:val="none" w:sz="0" w:space="0" w:color="auto"/>
          </w:divBdr>
          <w:divsChild>
            <w:div w:id="87848832">
              <w:marLeft w:val="0"/>
              <w:marRight w:val="0"/>
              <w:marTop w:val="0"/>
              <w:marBottom w:val="0"/>
              <w:divBdr>
                <w:top w:val="none" w:sz="0" w:space="0" w:color="auto"/>
                <w:left w:val="none" w:sz="0" w:space="0" w:color="auto"/>
                <w:bottom w:val="none" w:sz="0" w:space="0" w:color="auto"/>
                <w:right w:val="none" w:sz="0" w:space="0" w:color="auto"/>
              </w:divBdr>
            </w:div>
          </w:divsChild>
        </w:div>
        <w:div w:id="592394771">
          <w:marLeft w:val="0"/>
          <w:marRight w:val="0"/>
          <w:marTop w:val="0"/>
          <w:marBottom w:val="0"/>
          <w:divBdr>
            <w:top w:val="none" w:sz="0" w:space="0" w:color="auto"/>
            <w:left w:val="none" w:sz="0" w:space="0" w:color="auto"/>
            <w:bottom w:val="none" w:sz="0" w:space="0" w:color="auto"/>
            <w:right w:val="none" w:sz="0" w:space="0" w:color="auto"/>
          </w:divBdr>
          <w:divsChild>
            <w:div w:id="52244334">
              <w:marLeft w:val="0"/>
              <w:marRight w:val="0"/>
              <w:marTop w:val="0"/>
              <w:marBottom w:val="0"/>
              <w:divBdr>
                <w:top w:val="none" w:sz="0" w:space="0" w:color="auto"/>
                <w:left w:val="none" w:sz="0" w:space="0" w:color="auto"/>
                <w:bottom w:val="none" w:sz="0" w:space="0" w:color="auto"/>
                <w:right w:val="none" w:sz="0" w:space="0" w:color="auto"/>
              </w:divBdr>
            </w:div>
          </w:divsChild>
        </w:div>
        <w:div w:id="625544794">
          <w:marLeft w:val="0"/>
          <w:marRight w:val="0"/>
          <w:marTop w:val="0"/>
          <w:marBottom w:val="0"/>
          <w:divBdr>
            <w:top w:val="none" w:sz="0" w:space="0" w:color="auto"/>
            <w:left w:val="none" w:sz="0" w:space="0" w:color="auto"/>
            <w:bottom w:val="none" w:sz="0" w:space="0" w:color="auto"/>
            <w:right w:val="none" w:sz="0" w:space="0" w:color="auto"/>
          </w:divBdr>
          <w:divsChild>
            <w:div w:id="720832226">
              <w:marLeft w:val="0"/>
              <w:marRight w:val="0"/>
              <w:marTop w:val="0"/>
              <w:marBottom w:val="0"/>
              <w:divBdr>
                <w:top w:val="none" w:sz="0" w:space="0" w:color="auto"/>
                <w:left w:val="none" w:sz="0" w:space="0" w:color="auto"/>
                <w:bottom w:val="none" w:sz="0" w:space="0" w:color="auto"/>
                <w:right w:val="none" w:sz="0" w:space="0" w:color="auto"/>
              </w:divBdr>
            </w:div>
          </w:divsChild>
        </w:div>
        <w:div w:id="641275614">
          <w:marLeft w:val="0"/>
          <w:marRight w:val="0"/>
          <w:marTop w:val="0"/>
          <w:marBottom w:val="0"/>
          <w:divBdr>
            <w:top w:val="none" w:sz="0" w:space="0" w:color="auto"/>
            <w:left w:val="none" w:sz="0" w:space="0" w:color="auto"/>
            <w:bottom w:val="none" w:sz="0" w:space="0" w:color="auto"/>
            <w:right w:val="none" w:sz="0" w:space="0" w:color="auto"/>
          </w:divBdr>
          <w:divsChild>
            <w:div w:id="1720010601">
              <w:marLeft w:val="0"/>
              <w:marRight w:val="0"/>
              <w:marTop w:val="0"/>
              <w:marBottom w:val="0"/>
              <w:divBdr>
                <w:top w:val="none" w:sz="0" w:space="0" w:color="auto"/>
                <w:left w:val="none" w:sz="0" w:space="0" w:color="auto"/>
                <w:bottom w:val="none" w:sz="0" w:space="0" w:color="auto"/>
                <w:right w:val="none" w:sz="0" w:space="0" w:color="auto"/>
              </w:divBdr>
            </w:div>
          </w:divsChild>
        </w:div>
        <w:div w:id="685519345">
          <w:marLeft w:val="0"/>
          <w:marRight w:val="0"/>
          <w:marTop w:val="0"/>
          <w:marBottom w:val="0"/>
          <w:divBdr>
            <w:top w:val="none" w:sz="0" w:space="0" w:color="auto"/>
            <w:left w:val="none" w:sz="0" w:space="0" w:color="auto"/>
            <w:bottom w:val="none" w:sz="0" w:space="0" w:color="auto"/>
            <w:right w:val="none" w:sz="0" w:space="0" w:color="auto"/>
          </w:divBdr>
          <w:divsChild>
            <w:div w:id="854460010">
              <w:marLeft w:val="0"/>
              <w:marRight w:val="0"/>
              <w:marTop w:val="0"/>
              <w:marBottom w:val="0"/>
              <w:divBdr>
                <w:top w:val="none" w:sz="0" w:space="0" w:color="auto"/>
                <w:left w:val="none" w:sz="0" w:space="0" w:color="auto"/>
                <w:bottom w:val="none" w:sz="0" w:space="0" w:color="auto"/>
                <w:right w:val="none" w:sz="0" w:space="0" w:color="auto"/>
              </w:divBdr>
            </w:div>
          </w:divsChild>
        </w:div>
        <w:div w:id="694039842">
          <w:marLeft w:val="0"/>
          <w:marRight w:val="0"/>
          <w:marTop w:val="0"/>
          <w:marBottom w:val="0"/>
          <w:divBdr>
            <w:top w:val="none" w:sz="0" w:space="0" w:color="auto"/>
            <w:left w:val="none" w:sz="0" w:space="0" w:color="auto"/>
            <w:bottom w:val="none" w:sz="0" w:space="0" w:color="auto"/>
            <w:right w:val="none" w:sz="0" w:space="0" w:color="auto"/>
          </w:divBdr>
          <w:divsChild>
            <w:div w:id="2065180325">
              <w:marLeft w:val="0"/>
              <w:marRight w:val="0"/>
              <w:marTop w:val="0"/>
              <w:marBottom w:val="0"/>
              <w:divBdr>
                <w:top w:val="none" w:sz="0" w:space="0" w:color="auto"/>
                <w:left w:val="none" w:sz="0" w:space="0" w:color="auto"/>
                <w:bottom w:val="none" w:sz="0" w:space="0" w:color="auto"/>
                <w:right w:val="none" w:sz="0" w:space="0" w:color="auto"/>
              </w:divBdr>
            </w:div>
          </w:divsChild>
        </w:div>
        <w:div w:id="700789375">
          <w:marLeft w:val="0"/>
          <w:marRight w:val="0"/>
          <w:marTop w:val="0"/>
          <w:marBottom w:val="0"/>
          <w:divBdr>
            <w:top w:val="none" w:sz="0" w:space="0" w:color="auto"/>
            <w:left w:val="none" w:sz="0" w:space="0" w:color="auto"/>
            <w:bottom w:val="none" w:sz="0" w:space="0" w:color="auto"/>
            <w:right w:val="none" w:sz="0" w:space="0" w:color="auto"/>
          </w:divBdr>
          <w:divsChild>
            <w:div w:id="301932424">
              <w:marLeft w:val="0"/>
              <w:marRight w:val="0"/>
              <w:marTop w:val="0"/>
              <w:marBottom w:val="0"/>
              <w:divBdr>
                <w:top w:val="none" w:sz="0" w:space="0" w:color="auto"/>
                <w:left w:val="none" w:sz="0" w:space="0" w:color="auto"/>
                <w:bottom w:val="none" w:sz="0" w:space="0" w:color="auto"/>
                <w:right w:val="none" w:sz="0" w:space="0" w:color="auto"/>
              </w:divBdr>
            </w:div>
          </w:divsChild>
        </w:div>
        <w:div w:id="708066684">
          <w:marLeft w:val="0"/>
          <w:marRight w:val="0"/>
          <w:marTop w:val="0"/>
          <w:marBottom w:val="0"/>
          <w:divBdr>
            <w:top w:val="none" w:sz="0" w:space="0" w:color="auto"/>
            <w:left w:val="none" w:sz="0" w:space="0" w:color="auto"/>
            <w:bottom w:val="none" w:sz="0" w:space="0" w:color="auto"/>
            <w:right w:val="none" w:sz="0" w:space="0" w:color="auto"/>
          </w:divBdr>
          <w:divsChild>
            <w:div w:id="878517585">
              <w:marLeft w:val="0"/>
              <w:marRight w:val="0"/>
              <w:marTop w:val="0"/>
              <w:marBottom w:val="0"/>
              <w:divBdr>
                <w:top w:val="none" w:sz="0" w:space="0" w:color="auto"/>
                <w:left w:val="none" w:sz="0" w:space="0" w:color="auto"/>
                <w:bottom w:val="none" w:sz="0" w:space="0" w:color="auto"/>
                <w:right w:val="none" w:sz="0" w:space="0" w:color="auto"/>
              </w:divBdr>
            </w:div>
          </w:divsChild>
        </w:div>
        <w:div w:id="723062147">
          <w:marLeft w:val="0"/>
          <w:marRight w:val="0"/>
          <w:marTop w:val="0"/>
          <w:marBottom w:val="0"/>
          <w:divBdr>
            <w:top w:val="none" w:sz="0" w:space="0" w:color="auto"/>
            <w:left w:val="none" w:sz="0" w:space="0" w:color="auto"/>
            <w:bottom w:val="none" w:sz="0" w:space="0" w:color="auto"/>
            <w:right w:val="none" w:sz="0" w:space="0" w:color="auto"/>
          </w:divBdr>
          <w:divsChild>
            <w:div w:id="786242393">
              <w:marLeft w:val="0"/>
              <w:marRight w:val="0"/>
              <w:marTop w:val="0"/>
              <w:marBottom w:val="0"/>
              <w:divBdr>
                <w:top w:val="none" w:sz="0" w:space="0" w:color="auto"/>
                <w:left w:val="none" w:sz="0" w:space="0" w:color="auto"/>
                <w:bottom w:val="none" w:sz="0" w:space="0" w:color="auto"/>
                <w:right w:val="none" w:sz="0" w:space="0" w:color="auto"/>
              </w:divBdr>
            </w:div>
          </w:divsChild>
        </w:div>
        <w:div w:id="732310124">
          <w:marLeft w:val="0"/>
          <w:marRight w:val="0"/>
          <w:marTop w:val="0"/>
          <w:marBottom w:val="0"/>
          <w:divBdr>
            <w:top w:val="none" w:sz="0" w:space="0" w:color="auto"/>
            <w:left w:val="none" w:sz="0" w:space="0" w:color="auto"/>
            <w:bottom w:val="none" w:sz="0" w:space="0" w:color="auto"/>
            <w:right w:val="none" w:sz="0" w:space="0" w:color="auto"/>
          </w:divBdr>
          <w:divsChild>
            <w:div w:id="1127165146">
              <w:marLeft w:val="0"/>
              <w:marRight w:val="0"/>
              <w:marTop w:val="0"/>
              <w:marBottom w:val="0"/>
              <w:divBdr>
                <w:top w:val="none" w:sz="0" w:space="0" w:color="auto"/>
                <w:left w:val="none" w:sz="0" w:space="0" w:color="auto"/>
                <w:bottom w:val="none" w:sz="0" w:space="0" w:color="auto"/>
                <w:right w:val="none" w:sz="0" w:space="0" w:color="auto"/>
              </w:divBdr>
            </w:div>
          </w:divsChild>
        </w:div>
        <w:div w:id="757483254">
          <w:marLeft w:val="0"/>
          <w:marRight w:val="0"/>
          <w:marTop w:val="0"/>
          <w:marBottom w:val="0"/>
          <w:divBdr>
            <w:top w:val="none" w:sz="0" w:space="0" w:color="auto"/>
            <w:left w:val="none" w:sz="0" w:space="0" w:color="auto"/>
            <w:bottom w:val="none" w:sz="0" w:space="0" w:color="auto"/>
            <w:right w:val="none" w:sz="0" w:space="0" w:color="auto"/>
          </w:divBdr>
          <w:divsChild>
            <w:div w:id="943460671">
              <w:marLeft w:val="0"/>
              <w:marRight w:val="0"/>
              <w:marTop w:val="0"/>
              <w:marBottom w:val="0"/>
              <w:divBdr>
                <w:top w:val="none" w:sz="0" w:space="0" w:color="auto"/>
                <w:left w:val="none" w:sz="0" w:space="0" w:color="auto"/>
                <w:bottom w:val="none" w:sz="0" w:space="0" w:color="auto"/>
                <w:right w:val="none" w:sz="0" w:space="0" w:color="auto"/>
              </w:divBdr>
            </w:div>
          </w:divsChild>
        </w:div>
        <w:div w:id="791630443">
          <w:marLeft w:val="0"/>
          <w:marRight w:val="0"/>
          <w:marTop w:val="0"/>
          <w:marBottom w:val="0"/>
          <w:divBdr>
            <w:top w:val="none" w:sz="0" w:space="0" w:color="auto"/>
            <w:left w:val="none" w:sz="0" w:space="0" w:color="auto"/>
            <w:bottom w:val="none" w:sz="0" w:space="0" w:color="auto"/>
            <w:right w:val="none" w:sz="0" w:space="0" w:color="auto"/>
          </w:divBdr>
          <w:divsChild>
            <w:div w:id="1658068178">
              <w:marLeft w:val="0"/>
              <w:marRight w:val="0"/>
              <w:marTop w:val="0"/>
              <w:marBottom w:val="0"/>
              <w:divBdr>
                <w:top w:val="none" w:sz="0" w:space="0" w:color="auto"/>
                <w:left w:val="none" w:sz="0" w:space="0" w:color="auto"/>
                <w:bottom w:val="none" w:sz="0" w:space="0" w:color="auto"/>
                <w:right w:val="none" w:sz="0" w:space="0" w:color="auto"/>
              </w:divBdr>
            </w:div>
          </w:divsChild>
        </w:div>
        <w:div w:id="822740270">
          <w:marLeft w:val="0"/>
          <w:marRight w:val="0"/>
          <w:marTop w:val="0"/>
          <w:marBottom w:val="0"/>
          <w:divBdr>
            <w:top w:val="none" w:sz="0" w:space="0" w:color="auto"/>
            <w:left w:val="none" w:sz="0" w:space="0" w:color="auto"/>
            <w:bottom w:val="none" w:sz="0" w:space="0" w:color="auto"/>
            <w:right w:val="none" w:sz="0" w:space="0" w:color="auto"/>
          </w:divBdr>
          <w:divsChild>
            <w:div w:id="196897861">
              <w:marLeft w:val="0"/>
              <w:marRight w:val="0"/>
              <w:marTop w:val="0"/>
              <w:marBottom w:val="0"/>
              <w:divBdr>
                <w:top w:val="none" w:sz="0" w:space="0" w:color="auto"/>
                <w:left w:val="none" w:sz="0" w:space="0" w:color="auto"/>
                <w:bottom w:val="none" w:sz="0" w:space="0" w:color="auto"/>
                <w:right w:val="none" w:sz="0" w:space="0" w:color="auto"/>
              </w:divBdr>
            </w:div>
          </w:divsChild>
        </w:div>
        <w:div w:id="826673437">
          <w:marLeft w:val="0"/>
          <w:marRight w:val="0"/>
          <w:marTop w:val="0"/>
          <w:marBottom w:val="0"/>
          <w:divBdr>
            <w:top w:val="none" w:sz="0" w:space="0" w:color="auto"/>
            <w:left w:val="none" w:sz="0" w:space="0" w:color="auto"/>
            <w:bottom w:val="none" w:sz="0" w:space="0" w:color="auto"/>
            <w:right w:val="none" w:sz="0" w:space="0" w:color="auto"/>
          </w:divBdr>
          <w:divsChild>
            <w:div w:id="1600598711">
              <w:marLeft w:val="0"/>
              <w:marRight w:val="0"/>
              <w:marTop w:val="0"/>
              <w:marBottom w:val="0"/>
              <w:divBdr>
                <w:top w:val="none" w:sz="0" w:space="0" w:color="auto"/>
                <w:left w:val="none" w:sz="0" w:space="0" w:color="auto"/>
                <w:bottom w:val="none" w:sz="0" w:space="0" w:color="auto"/>
                <w:right w:val="none" w:sz="0" w:space="0" w:color="auto"/>
              </w:divBdr>
            </w:div>
          </w:divsChild>
        </w:div>
        <w:div w:id="849877632">
          <w:marLeft w:val="0"/>
          <w:marRight w:val="0"/>
          <w:marTop w:val="0"/>
          <w:marBottom w:val="0"/>
          <w:divBdr>
            <w:top w:val="none" w:sz="0" w:space="0" w:color="auto"/>
            <w:left w:val="none" w:sz="0" w:space="0" w:color="auto"/>
            <w:bottom w:val="none" w:sz="0" w:space="0" w:color="auto"/>
            <w:right w:val="none" w:sz="0" w:space="0" w:color="auto"/>
          </w:divBdr>
          <w:divsChild>
            <w:div w:id="1790852228">
              <w:marLeft w:val="0"/>
              <w:marRight w:val="0"/>
              <w:marTop w:val="0"/>
              <w:marBottom w:val="0"/>
              <w:divBdr>
                <w:top w:val="none" w:sz="0" w:space="0" w:color="auto"/>
                <w:left w:val="none" w:sz="0" w:space="0" w:color="auto"/>
                <w:bottom w:val="none" w:sz="0" w:space="0" w:color="auto"/>
                <w:right w:val="none" w:sz="0" w:space="0" w:color="auto"/>
              </w:divBdr>
            </w:div>
          </w:divsChild>
        </w:div>
        <w:div w:id="854728109">
          <w:marLeft w:val="0"/>
          <w:marRight w:val="0"/>
          <w:marTop w:val="0"/>
          <w:marBottom w:val="0"/>
          <w:divBdr>
            <w:top w:val="none" w:sz="0" w:space="0" w:color="auto"/>
            <w:left w:val="none" w:sz="0" w:space="0" w:color="auto"/>
            <w:bottom w:val="none" w:sz="0" w:space="0" w:color="auto"/>
            <w:right w:val="none" w:sz="0" w:space="0" w:color="auto"/>
          </w:divBdr>
          <w:divsChild>
            <w:div w:id="1406610666">
              <w:marLeft w:val="0"/>
              <w:marRight w:val="0"/>
              <w:marTop w:val="0"/>
              <w:marBottom w:val="0"/>
              <w:divBdr>
                <w:top w:val="none" w:sz="0" w:space="0" w:color="auto"/>
                <w:left w:val="none" w:sz="0" w:space="0" w:color="auto"/>
                <w:bottom w:val="none" w:sz="0" w:space="0" w:color="auto"/>
                <w:right w:val="none" w:sz="0" w:space="0" w:color="auto"/>
              </w:divBdr>
            </w:div>
          </w:divsChild>
        </w:div>
        <w:div w:id="874387412">
          <w:marLeft w:val="0"/>
          <w:marRight w:val="0"/>
          <w:marTop w:val="0"/>
          <w:marBottom w:val="0"/>
          <w:divBdr>
            <w:top w:val="none" w:sz="0" w:space="0" w:color="auto"/>
            <w:left w:val="none" w:sz="0" w:space="0" w:color="auto"/>
            <w:bottom w:val="none" w:sz="0" w:space="0" w:color="auto"/>
            <w:right w:val="none" w:sz="0" w:space="0" w:color="auto"/>
          </w:divBdr>
          <w:divsChild>
            <w:div w:id="1635527701">
              <w:marLeft w:val="0"/>
              <w:marRight w:val="0"/>
              <w:marTop w:val="0"/>
              <w:marBottom w:val="0"/>
              <w:divBdr>
                <w:top w:val="none" w:sz="0" w:space="0" w:color="auto"/>
                <w:left w:val="none" w:sz="0" w:space="0" w:color="auto"/>
                <w:bottom w:val="none" w:sz="0" w:space="0" w:color="auto"/>
                <w:right w:val="none" w:sz="0" w:space="0" w:color="auto"/>
              </w:divBdr>
            </w:div>
          </w:divsChild>
        </w:div>
        <w:div w:id="894589760">
          <w:marLeft w:val="0"/>
          <w:marRight w:val="0"/>
          <w:marTop w:val="0"/>
          <w:marBottom w:val="0"/>
          <w:divBdr>
            <w:top w:val="none" w:sz="0" w:space="0" w:color="auto"/>
            <w:left w:val="none" w:sz="0" w:space="0" w:color="auto"/>
            <w:bottom w:val="none" w:sz="0" w:space="0" w:color="auto"/>
            <w:right w:val="none" w:sz="0" w:space="0" w:color="auto"/>
          </w:divBdr>
          <w:divsChild>
            <w:div w:id="1014962689">
              <w:marLeft w:val="0"/>
              <w:marRight w:val="0"/>
              <w:marTop w:val="0"/>
              <w:marBottom w:val="0"/>
              <w:divBdr>
                <w:top w:val="none" w:sz="0" w:space="0" w:color="auto"/>
                <w:left w:val="none" w:sz="0" w:space="0" w:color="auto"/>
                <w:bottom w:val="none" w:sz="0" w:space="0" w:color="auto"/>
                <w:right w:val="none" w:sz="0" w:space="0" w:color="auto"/>
              </w:divBdr>
            </w:div>
          </w:divsChild>
        </w:div>
        <w:div w:id="901060166">
          <w:marLeft w:val="0"/>
          <w:marRight w:val="0"/>
          <w:marTop w:val="0"/>
          <w:marBottom w:val="0"/>
          <w:divBdr>
            <w:top w:val="none" w:sz="0" w:space="0" w:color="auto"/>
            <w:left w:val="none" w:sz="0" w:space="0" w:color="auto"/>
            <w:bottom w:val="none" w:sz="0" w:space="0" w:color="auto"/>
            <w:right w:val="none" w:sz="0" w:space="0" w:color="auto"/>
          </w:divBdr>
          <w:divsChild>
            <w:div w:id="1886410553">
              <w:marLeft w:val="0"/>
              <w:marRight w:val="0"/>
              <w:marTop w:val="0"/>
              <w:marBottom w:val="0"/>
              <w:divBdr>
                <w:top w:val="none" w:sz="0" w:space="0" w:color="auto"/>
                <w:left w:val="none" w:sz="0" w:space="0" w:color="auto"/>
                <w:bottom w:val="none" w:sz="0" w:space="0" w:color="auto"/>
                <w:right w:val="none" w:sz="0" w:space="0" w:color="auto"/>
              </w:divBdr>
            </w:div>
          </w:divsChild>
        </w:div>
        <w:div w:id="944456596">
          <w:marLeft w:val="0"/>
          <w:marRight w:val="0"/>
          <w:marTop w:val="0"/>
          <w:marBottom w:val="0"/>
          <w:divBdr>
            <w:top w:val="none" w:sz="0" w:space="0" w:color="auto"/>
            <w:left w:val="none" w:sz="0" w:space="0" w:color="auto"/>
            <w:bottom w:val="none" w:sz="0" w:space="0" w:color="auto"/>
            <w:right w:val="none" w:sz="0" w:space="0" w:color="auto"/>
          </w:divBdr>
          <w:divsChild>
            <w:div w:id="607396544">
              <w:marLeft w:val="0"/>
              <w:marRight w:val="0"/>
              <w:marTop w:val="0"/>
              <w:marBottom w:val="0"/>
              <w:divBdr>
                <w:top w:val="none" w:sz="0" w:space="0" w:color="auto"/>
                <w:left w:val="none" w:sz="0" w:space="0" w:color="auto"/>
                <w:bottom w:val="none" w:sz="0" w:space="0" w:color="auto"/>
                <w:right w:val="none" w:sz="0" w:space="0" w:color="auto"/>
              </w:divBdr>
            </w:div>
          </w:divsChild>
        </w:div>
        <w:div w:id="954678097">
          <w:marLeft w:val="0"/>
          <w:marRight w:val="0"/>
          <w:marTop w:val="0"/>
          <w:marBottom w:val="0"/>
          <w:divBdr>
            <w:top w:val="none" w:sz="0" w:space="0" w:color="auto"/>
            <w:left w:val="none" w:sz="0" w:space="0" w:color="auto"/>
            <w:bottom w:val="none" w:sz="0" w:space="0" w:color="auto"/>
            <w:right w:val="none" w:sz="0" w:space="0" w:color="auto"/>
          </w:divBdr>
          <w:divsChild>
            <w:div w:id="1435785307">
              <w:marLeft w:val="0"/>
              <w:marRight w:val="0"/>
              <w:marTop w:val="0"/>
              <w:marBottom w:val="0"/>
              <w:divBdr>
                <w:top w:val="none" w:sz="0" w:space="0" w:color="auto"/>
                <w:left w:val="none" w:sz="0" w:space="0" w:color="auto"/>
                <w:bottom w:val="none" w:sz="0" w:space="0" w:color="auto"/>
                <w:right w:val="none" w:sz="0" w:space="0" w:color="auto"/>
              </w:divBdr>
            </w:div>
          </w:divsChild>
        </w:div>
        <w:div w:id="957373911">
          <w:marLeft w:val="0"/>
          <w:marRight w:val="0"/>
          <w:marTop w:val="0"/>
          <w:marBottom w:val="0"/>
          <w:divBdr>
            <w:top w:val="none" w:sz="0" w:space="0" w:color="auto"/>
            <w:left w:val="none" w:sz="0" w:space="0" w:color="auto"/>
            <w:bottom w:val="none" w:sz="0" w:space="0" w:color="auto"/>
            <w:right w:val="none" w:sz="0" w:space="0" w:color="auto"/>
          </w:divBdr>
          <w:divsChild>
            <w:div w:id="669285840">
              <w:marLeft w:val="0"/>
              <w:marRight w:val="0"/>
              <w:marTop w:val="0"/>
              <w:marBottom w:val="0"/>
              <w:divBdr>
                <w:top w:val="none" w:sz="0" w:space="0" w:color="auto"/>
                <w:left w:val="none" w:sz="0" w:space="0" w:color="auto"/>
                <w:bottom w:val="none" w:sz="0" w:space="0" w:color="auto"/>
                <w:right w:val="none" w:sz="0" w:space="0" w:color="auto"/>
              </w:divBdr>
            </w:div>
          </w:divsChild>
        </w:div>
        <w:div w:id="957415720">
          <w:marLeft w:val="0"/>
          <w:marRight w:val="0"/>
          <w:marTop w:val="0"/>
          <w:marBottom w:val="0"/>
          <w:divBdr>
            <w:top w:val="none" w:sz="0" w:space="0" w:color="auto"/>
            <w:left w:val="none" w:sz="0" w:space="0" w:color="auto"/>
            <w:bottom w:val="none" w:sz="0" w:space="0" w:color="auto"/>
            <w:right w:val="none" w:sz="0" w:space="0" w:color="auto"/>
          </w:divBdr>
          <w:divsChild>
            <w:div w:id="618685085">
              <w:marLeft w:val="0"/>
              <w:marRight w:val="0"/>
              <w:marTop w:val="0"/>
              <w:marBottom w:val="0"/>
              <w:divBdr>
                <w:top w:val="none" w:sz="0" w:space="0" w:color="auto"/>
                <w:left w:val="none" w:sz="0" w:space="0" w:color="auto"/>
                <w:bottom w:val="none" w:sz="0" w:space="0" w:color="auto"/>
                <w:right w:val="none" w:sz="0" w:space="0" w:color="auto"/>
              </w:divBdr>
            </w:div>
          </w:divsChild>
        </w:div>
        <w:div w:id="969481569">
          <w:marLeft w:val="0"/>
          <w:marRight w:val="0"/>
          <w:marTop w:val="0"/>
          <w:marBottom w:val="0"/>
          <w:divBdr>
            <w:top w:val="none" w:sz="0" w:space="0" w:color="auto"/>
            <w:left w:val="none" w:sz="0" w:space="0" w:color="auto"/>
            <w:bottom w:val="none" w:sz="0" w:space="0" w:color="auto"/>
            <w:right w:val="none" w:sz="0" w:space="0" w:color="auto"/>
          </w:divBdr>
          <w:divsChild>
            <w:div w:id="1371568808">
              <w:marLeft w:val="0"/>
              <w:marRight w:val="0"/>
              <w:marTop w:val="0"/>
              <w:marBottom w:val="0"/>
              <w:divBdr>
                <w:top w:val="none" w:sz="0" w:space="0" w:color="auto"/>
                <w:left w:val="none" w:sz="0" w:space="0" w:color="auto"/>
                <w:bottom w:val="none" w:sz="0" w:space="0" w:color="auto"/>
                <w:right w:val="none" w:sz="0" w:space="0" w:color="auto"/>
              </w:divBdr>
            </w:div>
          </w:divsChild>
        </w:div>
        <w:div w:id="974601978">
          <w:marLeft w:val="0"/>
          <w:marRight w:val="0"/>
          <w:marTop w:val="0"/>
          <w:marBottom w:val="0"/>
          <w:divBdr>
            <w:top w:val="none" w:sz="0" w:space="0" w:color="auto"/>
            <w:left w:val="none" w:sz="0" w:space="0" w:color="auto"/>
            <w:bottom w:val="none" w:sz="0" w:space="0" w:color="auto"/>
            <w:right w:val="none" w:sz="0" w:space="0" w:color="auto"/>
          </w:divBdr>
          <w:divsChild>
            <w:div w:id="2055302557">
              <w:marLeft w:val="0"/>
              <w:marRight w:val="0"/>
              <w:marTop w:val="0"/>
              <w:marBottom w:val="0"/>
              <w:divBdr>
                <w:top w:val="none" w:sz="0" w:space="0" w:color="auto"/>
                <w:left w:val="none" w:sz="0" w:space="0" w:color="auto"/>
                <w:bottom w:val="none" w:sz="0" w:space="0" w:color="auto"/>
                <w:right w:val="none" w:sz="0" w:space="0" w:color="auto"/>
              </w:divBdr>
            </w:div>
          </w:divsChild>
        </w:div>
        <w:div w:id="977497359">
          <w:marLeft w:val="0"/>
          <w:marRight w:val="0"/>
          <w:marTop w:val="0"/>
          <w:marBottom w:val="0"/>
          <w:divBdr>
            <w:top w:val="none" w:sz="0" w:space="0" w:color="auto"/>
            <w:left w:val="none" w:sz="0" w:space="0" w:color="auto"/>
            <w:bottom w:val="none" w:sz="0" w:space="0" w:color="auto"/>
            <w:right w:val="none" w:sz="0" w:space="0" w:color="auto"/>
          </w:divBdr>
          <w:divsChild>
            <w:div w:id="1699163771">
              <w:marLeft w:val="0"/>
              <w:marRight w:val="0"/>
              <w:marTop w:val="0"/>
              <w:marBottom w:val="0"/>
              <w:divBdr>
                <w:top w:val="none" w:sz="0" w:space="0" w:color="auto"/>
                <w:left w:val="none" w:sz="0" w:space="0" w:color="auto"/>
                <w:bottom w:val="none" w:sz="0" w:space="0" w:color="auto"/>
                <w:right w:val="none" w:sz="0" w:space="0" w:color="auto"/>
              </w:divBdr>
            </w:div>
          </w:divsChild>
        </w:div>
        <w:div w:id="1049308007">
          <w:marLeft w:val="0"/>
          <w:marRight w:val="0"/>
          <w:marTop w:val="0"/>
          <w:marBottom w:val="0"/>
          <w:divBdr>
            <w:top w:val="none" w:sz="0" w:space="0" w:color="auto"/>
            <w:left w:val="none" w:sz="0" w:space="0" w:color="auto"/>
            <w:bottom w:val="none" w:sz="0" w:space="0" w:color="auto"/>
            <w:right w:val="none" w:sz="0" w:space="0" w:color="auto"/>
          </w:divBdr>
          <w:divsChild>
            <w:div w:id="718162430">
              <w:marLeft w:val="0"/>
              <w:marRight w:val="0"/>
              <w:marTop w:val="0"/>
              <w:marBottom w:val="0"/>
              <w:divBdr>
                <w:top w:val="none" w:sz="0" w:space="0" w:color="auto"/>
                <w:left w:val="none" w:sz="0" w:space="0" w:color="auto"/>
                <w:bottom w:val="none" w:sz="0" w:space="0" w:color="auto"/>
                <w:right w:val="none" w:sz="0" w:space="0" w:color="auto"/>
              </w:divBdr>
            </w:div>
          </w:divsChild>
        </w:div>
        <w:div w:id="1064329655">
          <w:marLeft w:val="0"/>
          <w:marRight w:val="0"/>
          <w:marTop w:val="0"/>
          <w:marBottom w:val="0"/>
          <w:divBdr>
            <w:top w:val="none" w:sz="0" w:space="0" w:color="auto"/>
            <w:left w:val="none" w:sz="0" w:space="0" w:color="auto"/>
            <w:bottom w:val="none" w:sz="0" w:space="0" w:color="auto"/>
            <w:right w:val="none" w:sz="0" w:space="0" w:color="auto"/>
          </w:divBdr>
          <w:divsChild>
            <w:div w:id="236207430">
              <w:marLeft w:val="0"/>
              <w:marRight w:val="0"/>
              <w:marTop w:val="0"/>
              <w:marBottom w:val="0"/>
              <w:divBdr>
                <w:top w:val="none" w:sz="0" w:space="0" w:color="auto"/>
                <w:left w:val="none" w:sz="0" w:space="0" w:color="auto"/>
                <w:bottom w:val="none" w:sz="0" w:space="0" w:color="auto"/>
                <w:right w:val="none" w:sz="0" w:space="0" w:color="auto"/>
              </w:divBdr>
            </w:div>
          </w:divsChild>
        </w:div>
        <w:div w:id="1080102590">
          <w:marLeft w:val="0"/>
          <w:marRight w:val="0"/>
          <w:marTop w:val="0"/>
          <w:marBottom w:val="0"/>
          <w:divBdr>
            <w:top w:val="none" w:sz="0" w:space="0" w:color="auto"/>
            <w:left w:val="none" w:sz="0" w:space="0" w:color="auto"/>
            <w:bottom w:val="none" w:sz="0" w:space="0" w:color="auto"/>
            <w:right w:val="none" w:sz="0" w:space="0" w:color="auto"/>
          </w:divBdr>
          <w:divsChild>
            <w:div w:id="2050178638">
              <w:marLeft w:val="0"/>
              <w:marRight w:val="0"/>
              <w:marTop w:val="0"/>
              <w:marBottom w:val="0"/>
              <w:divBdr>
                <w:top w:val="none" w:sz="0" w:space="0" w:color="auto"/>
                <w:left w:val="none" w:sz="0" w:space="0" w:color="auto"/>
                <w:bottom w:val="none" w:sz="0" w:space="0" w:color="auto"/>
                <w:right w:val="none" w:sz="0" w:space="0" w:color="auto"/>
              </w:divBdr>
            </w:div>
          </w:divsChild>
        </w:div>
        <w:div w:id="1085615914">
          <w:marLeft w:val="0"/>
          <w:marRight w:val="0"/>
          <w:marTop w:val="0"/>
          <w:marBottom w:val="0"/>
          <w:divBdr>
            <w:top w:val="none" w:sz="0" w:space="0" w:color="auto"/>
            <w:left w:val="none" w:sz="0" w:space="0" w:color="auto"/>
            <w:bottom w:val="none" w:sz="0" w:space="0" w:color="auto"/>
            <w:right w:val="none" w:sz="0" w:space="0" w:color="auto"/>
          </w:divBdr>
          <w:divsChild>
            <w:div w:id="1769931427">
              <w:marLeft w:val="0"/>
              <w:marRight w:val="0"/>
              <w:marTop w:val="0"/>
              <w:marBottom w:val="0"/>
              <w:divBdr>
                <w:top w:val="none" w:sz="0" w:space="0" w:color="auto"/>
                <w:left w:val="none" w:sz="0" w:space="0" w:color="auto"/>
                <w:bottom w:val="none" w:sz="0" w:space="0" w:color="auto"/>
                <w:right w:val="none" w:sz="0" w:space="0" w:color="auto"/>
              </w:divBdr>
            </w:div>
          </w:divsChild>
        </w:div>
        <w:div w:id="1096511466">
          <w:marLeft w:val="0"/>
          <w:marRight w:val="0"/>
          <w:marTop w:val="0"/>
          <w:marBottom w:val="0"/>
          <w:divBdr>
            <w:top w:val="none" w:sz="0" w:space="0" w:color="auto"/>
            <w:left w:val="none" w:sz="0" w:space="0" w:color="auto"/>
            <w:bottom w:val="none" w:sz="0" w:space="0" w:color="auto"/>
            <w:right w:val="none" w:sz="0" w:space="0" w:color="auto"/>
          </w:divBdr>
          <w:divsChild>
            <w:div w:id="509223256">
              <w:marLeft w:val="0"/>
              <w:marRight w:val="0"/>
              <w:marTop w:val="0"/>
              <w:marBottom w:val="0"/>
              <w:divBdr>
                <w:top w:val="none" w:sz="0" w:space="0" w:color="auto"/>
                <w:left w:val="none" w:sz="0" w:space="0" w:color="auto"/>
                <w:bottom w:val="none" w:sz="0" w:space="0" w:color="auto"/>
                <w:right w:val="none" w:sz="0" w:space="0" w:color="auto"/>
              </w:divBdr>
            </w:div>
          </w:divsChild>
        </w:div>
        <w:div w:id="1114446753">
          <w:marLeft w:val="0"/>
          <w:marRight w:val="0"/>
          <w:marTop w:val="0"/>
          <w:marBottom w:val="0"/>
          <w:divBdr>
            <w:top w:val="none" w:sz="0" w:space="0" w:color="auto"/>
            <w:left w:val="none" w:sz="0" w:space="0" w:color="auto"/>
            <w:bottom w:val="none" w:sz="0" w:space="0" w:color="auto"/>
            <w:right w:val="none" w:sz="0" w:space="0" w:color="auto"/>
          </w:divBdr>
          <w:divsChild>
            <w:div w:id="1699039569">
              <w:marLeft w:val="0"/>
              <w:marRight w:val="0"/>
              <w:marTop w:val="0"/>
              <w:marBottom w:val="0"/>
              <w:divBdr>
                <w:top w:val="none" w:sz="0" w:space="0" w:color="auto"/>
                <w:left w:val="none" w:sz="0" w:space="0" w:color="auto"/>
                <w:bottom w:val="none" w:sz="0" w:space="0" w:color="auto"/>
                <w:right w:val="none" w:sz="0" w:space="0" w:color="auto"/>
              </w:divBdr>
            </w:div>
          </w:divsChild>
        </w:div>
        <w:div w:id="1118717193">
          <w:marLeft w:val="0"/>
          <w:marRight w:val="0"/>
          <w:marTop w:val="0"/>
          <w:marBottom w:val="0"/>
          <w:divBdr>
            <w:top w:val="none" w:sz="0" w:space="0" w:color="auto"/>
            <w:left w:val="none" w:sz="0" w:space="0" w:color="auto"/>
            <w:bottom w:val="none" w:sz="0" w:space="0" w:color="auto"/>
            <w:right w:val="none" w:sz="0" w:space="0" w:color="auto"/>
          </w:divBdr>
          <w:divsChild>
            <w:div w:id="1556307009">
              <w:marLeft w:val="0"/>
              <w:marRight w:val="0"/>
              <w:marTop w:val="0"/>
              <w:marBottom w:val="0"/>
              <w:divBdr>
                <w:top w:val="none" w:sz="0" w:space="0" w:color="auto"/>
                <w:left w:val="none" w:sz="0" w:space="0" w:color="auto"/>
                <w:bottom w:val="none" w:sz="0" w:space="0" w:color="auto"/>
                <w:right w:val="none" w:sz="0" w:space="0" w:color="auto"/>
              </w:divBdr>
            </w:div>
          </w:divsChild>
        </w:div>
        <w:div w:id="1134641425">
          <w:marLeft w:val="0"/>
          <w:marRight w:val="0"/>
          <w:marTop w:val="0"/>
          <w:marBottom w:val="0"/>
          <w:divBdr>
            <w:top w:val="none" w:sz="0" w:space="0" w:color="auto"/>
            <w:left w:val="none" w:sz="0" w:space="0" w:color="auto"/>
            <w:bottom w:val="none" w:sz="0" w:space="0" w:color="auto"/>
            <w:right w:val="none" w:sz="0" w:space="0" w:color="auto"/>
          </w:divBdr>
          <w:divsChild>
            <w:div w:id="591202329">
              <w:marLeft w:val="0"/>
              <w:marRight w:val="0"/>
              <w:marTop w:val="0"/>
              <w:marBottom w:val="0"/>
              <w:divBdr>
                <w:top w:val="none" w:sz="0" w:space="0" w:color="auto"/>
                <w:left w:val="none" w:sz="0" w:space="0" w:color="auto"/>
                <w:bottom w:val="none" w:sz="0" w:space="0" w:color="auto"/>
                <w:right w:val="none" w:sz="0" w:space="0" w:color="auto"/>
              </w:divBdr>
            </w:div>
          </w:divsChild>
        </w:div>
        <w:div w:id="1136607264">
          <w:marLeft w:val="0"/>
          <w:marRight w:val="0"/>
          <w:marTop w:val="0"/>
          <w:marBottom w:val="0"/>
          <w:divBdr>
            <w:top w:val="none" w:sz="0" w:space="0" w:color="auto"/>
            <w:left w:val="none" w:sz="0" w:space="0" w:color="auto"/>
            <w:bottom w:val="none" w:sz="0" w:space="0" w:color="auto"/>
            <w:right w:val="none" w:sz="0" w:space="0" w:color="auto"/>
          </w:divBdr>
          <w:divsChild>
            <w:div w:id="1078672860">
              <w:marLeft w:val="0"/>
              <w:marRight w:val="0"/>
              <w:marTop w:val="0"/>
              <w:marBottom w:val="0"/>
              <w:divBdr>
                <w:top w:val="none" w:sz="0" w:space="0" w:color="auto"/>
                <w:left w:val="none" w:sz="0" w:space="0" w:color="auto"/>
                <w:bottom w:val="none" w:sz="0" w:space="0" w:color="auto"/>
                <w:right w:val="none" w:sz="0" w:space="0" w:color="auto"/>
              </w:divBdr>
            </w:div>
          </w:divsChild>
        </w:div>
        <w:div w:id="1147287784">
          <w:marLeft w:val="0"/>
          <w:marRight w:val="0"/>
          <w:marTop w:val="0"/>
          <w:marBottom w:val="0"/>
          <w:divBdr>
            <w:top w:val="none" w:sz="0" w:space="0" w:color="auto"/>
            <w:left w:val="none" w:sz="0" w:space="0" w:color="auto"/>
            <w:bottom w:val="none" w:sz="0" w:space="0" w:color="auto"/>
            <w:right w:val="none" w:sz="0" w:space="0" w:color="auto"/>
          </w:divBdr>
          <w:divsChild>
            <w:div w:id="83574009">
              <w:marLeft w:val="0"/>
              <w:marRight w:val="0"/>
              <w:marTop w:val="0"/>
              <w:marBottom w:val="0"/>
              <w:divBdr>
                <w:top w:val="none" w:sz="0" w:space="0" w:color="auto"/>
                <w:left w:val="none" w:sz="0" w:space="0" w:color="auto"/>
                <w:bottom w:val="none" w:sz="0" w:space="0" w:color="auto"/>
                <w:right w:val="none" w:sz="0" w:space="0" w:color="auto"/>
              </w:divBdr>
            </w:div>
          </w:divsChild>
        </w:div>
        <w:div w:id="1156383548">
          <w:marLeft w:val="0"/>
          <w:marRight w:val="0"/>
          <w:marTop w:val="0"/>
          <w:marBottom w:val="0"/>
          <w:divBdr>
            <w:top w:val="none" w:sz="0" w:space="0" w:color="auto"/>
            <w:left w:val="none" w:sz="0" w:space="0" w:color="auto"/>
            <w:bottom w:val="none" w:sz="0" w:space="0" w:color="auto"/>
            <w:right w:val="none" w:sz="0" w:space="0" w:color="auto"/>
          </w:divBdr>
          <w:divsChild>
            <w:div w:id="1380738193">
              <w:marLeft w:val="0"/>
              <w:marRight w:val="0"/>
              <w:marTop w:val="0"/>
              <w:marBottom w:val="0"/>
              <w:divBdr>
                <w:top w:val="none" w:sz="0" w:space="0" w:color="auto"/>
                <w:left w:val="none" w:sz="0" w:space="0" w:color="auto"/>
                <w:bottom w:val="none" w:sz="0" w:space="0" w:color="auto"/>
                <w:right w:val="none" w:sz="0" w:space="0" w:color="auto"/>
              </w:divBdr>
            </w:div>
          </w:divsChild>
        </w:div>
        <w:div w:id="1181623287">
          <w:marLeft w:val="0"/>
          <w:marRight w:val="0"/>
          <w:marTop w:val="0"/>
          <w:marBottom w:val="0"/>
          <w:divBdr>
            <w:top w:val="none" w:sz="0" w:space="0" w:color="auto"/>
            <w:left w:val="none" w:sz="0" w:space="0" w:color="auto"/>
            <w:bottom w:val="none" w:sz="0" w:space="0" w:color="auto"/>
            <w:right w:val="none" w:sz="0" w:space="0" w:color="auto"/>
          </w:divBdr>
          <w:divsChild>
            <w:div w:id="1800220817">
              <w:marLeft w:val="0"/>
              <w:marRight w:val="0"/>
              <w:marTop w:val="0"/>
              <w:marBottom w:val="0"/>
              <w:divBdr>
                <w:top w:val="none" w:sz="0" w:space="0" w:color="auto"/>
                <w:left w:val="none" w:sz="0" w:space="0" w:color="auto"/>
                <w:bottom w:val="none" w:sz="0" w:space="0" w:color="auto"/>
                <w:right w:val="none" w:sz="0" w:space="0" w:color="auto"/>
              </w:divBdr>
            </w:div>
          </w:divsChild>
        </w:div>
        <w:div w:id="1204101771">
          <w:marLeft w:val="0"/>
          <w:marRight w:val="0"/>
          <w:marTop w:val="0"/>
          <w:marBottom w:val="0"/>
          <w:divBdr>
            <w:top w:val="none" w:sz="0" w:space="0" w:color="auto"/>
            <w:left w:val="none" w:sz="0" w:space="0" w:color="auto"/>
            <w:bottom w:val="none" w:sz="0" w:space="0" w:color="auto"/>
            <w:right w:val="none" w:sz="0" w:space="0" w:color="auto"/>
          </w:divBdr>
          <w:divsChild>
            <w:div w:id="1766263363">
              <w:marLeft w:val="0"/>
              <w:marRight w:val="0"/>
              <w:marTop w:val="0"/>
              <w:marBottom w:val="0"/>
              <w:divBdr>
                <w:top w:val="none" w:sz="0" w:space="0" w:color="auto"/>
                <w:left w:val="none" w:sz="0" w:space="0" w:color="auto"/>
                <w:bottom w:val="none" w:sz="0" w:space="0" w:color="auto"/>
                <w:right w:val="none" w:sz="0" w:space="0" w:color="auto"/>
              </w:divBdr>
            </w:div>
          </w:divsChild>
        </w:div>
        <w:div w:id="1204558538">
          <w:marLeft w:val="0"/>
          <w:marRight w:val="0"/>
          <w:marTop w:val="0"/>
          <w:marBottom w:val="0"/>
          <w:divBdr>
            <w:top w:val="none" w:sz="0" w:space="0" w:color="auto"/>
            <w:left w:val="none" w:sz="0" w:space="0" w:color="auto"/>
            <w:bottom w:val="none" w:sz="0" w:space="0" w:color="auto"/>
            <w:right w:val="none" w:sz="0" w:space="0" w:color="auto"/>
          </w:divBdr>
          <w:divsChild>
            <w:div w:id="1817188312">
              <w:marLeft w:val="0"/>
              <w:marRight w:val="0"/>
              <w:marTop w:val="0"/>
              <w:marBottom w:val="0"/>
              <w:divBdr>
                <w:top w:val="none" w:sz="0" w:space="0" w:color="auto"/>
                <w:left w:val="none" w:sz="0" w:space="0" w:color="auto"/>
                <w:bottom w:val="none" w:sz="0" w:space="0" w:color="auto"/>
                <w:right w:val="none" w:sz="0" w:space="0" w:color="auto"/>
              </w:divBdr>
            </w:div>
          </w:divsChild>
        </w:div>
        <w:div w:id="1255505639">
          <w:marLeft w:val="0"/>
          <w:marRight w:val="0"/>
          <w:marTop w:val="0"/>
          <w:marBottom w:val="0"/>
          <w:divBdr>
            <w:top w:val="none" w:sz="0" w:space="0" w:color="auto"/>
            <w:left w:val="none" w:sz="0" w:space="0" w:color="auto"/>
            <w:bottom w:val="none" w:sz="0" w:space="0" w:color="auto"/>
            <w:right w:val="none" w:sz="0" w:space="0" w:color="auto"/>
          </w:divBdr>
          <w:divsChild>
            <w:div w:id="679896470">
              <w:marLeft w:val="0"/>
              <w:marRight w:val="0"/>
              <w:marTop w:val="0"/>
              <w:marBottom w:val="0"/>
              <w:divBdr>
                <w:top w:val="none" w:sz="0" w:space="0" w:color="auto"/>
                <w:left w:val="none" w:sz="0" w:space="0" w:color="auto"/>
                <w:bottom w:val="none" w:sz="0" w:space="0" w:color="auto"/>
                <w:right w:val="none" w:sz="0" w:space="0" w:color="auto"/>
              </w:divBdr>
            </w:div>
          </w:divsChild>
        </w:div>
        <w:div w:id="1284773225">
          <w:marLeft w:val="0"/>
          <w:marRight w:val="0"/>
          <w:marTop w:val="0"/>
          <w:marBottom w:val="0"/>
          <w:divBdr>
            <w:top w:val="none" w:sz="0" w:space="0" w:color="auto"/>
            <w:left w:val="none" w:sz="0" w:space="0" w:color="auto"/>
            <w:bottom w:val="none" w:sz="0" w:space="0" w:color="auto"/>
            <w:right w:val="none" w:sz="0" w:space="0" w:color="auto"/>
          </w:divBdr>
          <w:divsChild>
            <w:div w:id="843085981">
              <w:marLeft w:val="0"/>
              <w:marRight w:val="0"/>
              <w:marTop w:val="0"/>
              <w:marBottom w:val="0"/>
              <w:divBdr>
                <w:top w:val="none" w:sz="0" w:space="0" w:color="auto"/>
                <w:left w:val="none" w:sz="0" w:space="0" w:color="auto"/>
                <w:bottom w:val="none" w:sz="0" w:space="0" w:color="auto"/>
                <w:right w:val="none" w:sz="0" w:space="0" w:color="auto"/>
              </w:divBdr>
            </w:div>
          </w:divsChild>
        </w:div>
        <w:div w:id="1294410275">
          <w:marLeft w:val="0"/>
          <w:marRight w:val="0"/>
          <w:marTop w:val="0"/>
          <w:marBottom w:val="0"/>
          <w:divBdr>
            <w:top w:val="none" w:sz="0" w:space="0" w:color="auto"/>
            <w:left w:val="none" w:sz="0" w:space="0" w:color="auto"/>
            <w:bottom w:val="none" w:sz="0" w:space="0" w:color="auto"/>
            <w:right w:val="none" w:sz="0" w:space="0" w:color="auto"/>
          </w:divBdr>
          <w:divsChild>
            <w:div w:id="611279611">
              <w:marLeft w:val="0"/>
              <w:marRight w:val="0"/>
              <w:marTop w:val="0"/>
              <w:marBottom w:val="0"/>
              <w:divBdr>
                <w:top w:val="none" w:sz="0" w:space="0" w:color="auto"/>
                <w:left w:val="none" w:sz="0" w:space="0" w:color="auto"/>
                <w:bottom w:val="none" w:sz="0" w:space="0" w:color="auto"/>
                <w:right w:val="none" w:sz="0" w:space="0" w:color="auto"/>
              </w:divBdr>
            </w:div>
          </w:divsChild>
        </w:div>
        <w:div w:id="1304040358">
          <w:marLeft w:val="0"/>
          <w:marRight w:val="0"/>
          <w:marTop w:val="0"/>
          <w:marBottom w:val="0"/>
          <w:divBdr>
            <w:top w:val="none" w:sz="0" w:space="0" w:color="auto"/>
            <w:left w:val="none" w:sz="0" w:space="0" w:color="auto"/>
            <w:bottom w:val="none" w:sz="0" w:space="0" w:color="auto"/>
            <w:right w:val="none" w:sz="0" w:space="0" w:color="auto"/>
          </w:divBdr>
          <w:divsChild>
            <w:div w:id="249434762">
              <w:marLeft w:val="0"/>
              <w:marRight w:val="0"/>
              <w:marTop w:val="0"/>
              <w:marBottom w:val="0"/>
              <w:divBdr>
                <w:top w:val="none" w:sz="0" w:space="0" w:color="auto"/>
                <w:left w:val="none" w:sz="0" w:space="0" w:color="auto"/>
                <w:bottom w:val="none" w:sz="0" w:space="0" w:color="auto"/>
                <w:right w:val="none" w:sz="0" w:space="0" w:color="auto"/>
              </w:divBdr>
            </w:div>
          </w:divsChild>
        </w:div>
        <w:div w:id="1318270025">
          <w:marLeft w:val="0"/>
          <w:marRight w:val="0"/>
          <w:marTop w:val="0"/>
          <w:marBottom w:val="0"/>
          <w:divBdr>
            <w:top w:val="none" w:sz="0" w:space="0" w:color="auto"/>
            <w:left w:val="none" w:sz="0" w:space="0" w:color="auto"/>
            <w:bottom w:val="none" w:sz="0" w:space="0" w:color="auto"/>
            <w:right w:val="none" w:sz="0" w:space="0" w:color="auto"/>
          </w:divBdr>
          <w:divsChild>
            <w:div w:id="1304697850">
              <w:marLeft w:val="0"/>
              <w:marRight w:val="0"/>
              <w:marTop w:val="0"/>
              <w:marBottom w:val="0"/>
              <w:divBdr>
                <w:top w:val="none" w:sz="0" w:space="0" w:color="auto"/>
                <w:left w:val="none" w:sz="0" w:space="0" w:color="auto"/>
                <w:bottom w:val="none" w:sz="0" w:space="0" w:color="auto"/>
                <w:right w:val="none" w:sz="0" w:space="0" w:color="auto"/>
              </w:divBdr>
            </w:div>
          </w:divsChild>
        </w:div>
        <w:div w:id="1322807003">
          <w:marLeft w:val="0"/>
          <w:marRight w:val="0"/>
          <w:marTop w:val="0"/>
          <w:marBottom w:val="0"/>
          <w:divBdr>
            <w:top w:val="none" w:sz="0" w:space="0" w:color="auto"/>
            <w:left w:val="none" w:sz="0" w:space="0" w:color="auto"/>
            <w:bottom w:val="none" w:sz="0" w:space="0" w:color="auto"/>
            <w:right w:val="none" w:sz="0" w:space="0" w:color="auto"/>
          </w:divBdr>
          <w:divsChild>
            <w:div w:id="338430101">
              <w:marLeft w:val="0"/>
              <w:marRight w:val="0"/>
              <w:marTop w:val="0"/>
              <w:marBottom w:val="0"/>
              <w:divBdr>
                <w:top w:val="none" w:sz="0" w:space="0" w:color="auto"/>
                <w:left w:val="none" w:sz="0" w:space="0" w:color="auto"/>
                <w:bottom w:val="none" w:sz="0" w:space="0" w:color="auto"/>
                <w:right w:val="none" w:sz="0" w:space="0" w:color="auto"/>
              </w:divBdr>
            </w:div>
          </w:divsChild>
        </w:div>
        <w:div w:id="1333751825">
          <w:marLeft w:val="0"/>
          <w:marRight w:val="0"/>
          <w:marTop w:val="0"/>
          <w:marBottom w:val="0"/>
          <w:divBdr>
            <w:top w:val="none" w:sz="0" w:space="0" w:color="auto"/>
            <w:left w:val="none" w:sz="0" w:space="0" w:color="auto"/>
            <w:bottom w:val="none" w:sz="0" w:space="0" w:color="auto"/>
            <w:right w:val="none" w:sz="0" w:space="0" w:color="auto"/>
          </w:divBdr>
          <w:divsChild>
            <w:div w:id="182331650">
              <w:marLeft w:val="0"/>
              <w:marRight w:val="0"/>
              <w:marTop w:val="0"/>
              <w:marBottom w:val="0"/>
              <w:divBdr>
                <w:top w:val="none" w:sz="0" w:space="0" w:color="auto"/>
                <w:left w:val="none" w:sz="0" w:space="0" w:color="auto"/>
                <w:bottom w:val="none" w:sz="0" w:space="0" w:color="auto"/>
                <w:right w:val="none" w:sz="0" w:space="0" w:color="auto"/>
              </w:divBdr>
            </w:div>
          </w:divsChild>
        </w:div>
        <w:div w:id="1370379731">
          <w:marLeft w:val="0"/>
          <w:marRight w:val="0"/>
          <w:marTop w:val="0"/>
          <w:marBottom w:val="0"/>
          <w:divBdr>
            <w:top w:val="none" w:sz="0" w:space="0" w:color="auto"/>
            <w:left w:val="none" w:sz="0" w:space="0" w:color="auto"/>
            <w:bottom w:val="none" w:sz="0" w:space="0" w:color="auto"/>
            <w:right w:val="none" w:sz="0" w:space="0" w:color="auto"/>
          </w:divBdr>
          <w:divsChild>
            <w:div w:id="1313680119">
              <w:marLeft w:val="0"/>
              <w:marRight w:val="0"/>
              <w:marTop w:val="0"/>
              <w:marBottom w:val="0"/>
              <w:divBdr>
                <w:top w:val="none" w:sz="0" w:space="0" w:color="auto"/>
                <w:left w:val="none" w:sz="0" w:space="0" w:color="auto"/>
                <w:bottom w:val="none" w:sz="0" w:space="0" w:color="auto"/>
                <w:right w:val="none" w:sz="0" w:space="0" w:color="auto"/>
              </w:divBdr>
            </w:div>
          </w:divsChild>
        </w:div>
        <w:div w:id="1388335941">
          <w:marLeft w:val="0"/>
          <w:marRight w:val="0"/>
          <w:marTop w:val="0"/>
          <w:marBottom w:val="0"/>
          <w:divBdr>
            <w:top w:val="none" w:sz="0" w:space="0" w:color="auto"/>
            <w:left w:val="none" w:sz="0" w:space="0" w:color="auto"/>
            <w:bottom w:val="none" w:sz="0" w:space="0" w:color="auto"/>
            <w:right w:val="none" w:sz="0" w:space="0" w:color="auto"/>
          </w:divBdr>
          <w:divsChild>
            <w:div w:id="819227708">
              <w:marLeft w:val="0"/>
              <w:marRight w:val="0"/>
              <w:marTop w:val="0"/>
              <w:marBottom w:val="0"/>
              <w:divBdr>
                <w:top w:val="none" w:sz="0" w:space="0" w:color="auto"/>
                <w:left w:val="none" w:sz="0" w:space="0" w:color="auto"/>
                <w:bottom w:val="none" w:sz="0" w:space="0" w:color="auto"/>
                <w:right w:val="none" w:sz="0" w:space="0" w:color="auto"/>
              </w:divBdr>
            </w:div>
          </w:divsChild>
        </w:div>
        <w:div w:id="1408306980">
          <w:marLeft w:val="0"/>
          <w:marRight w:val="0"/>
          <w:marTop w:val="0"/>
          <w:marBottom w:val="0"/>
          <w:divBdr>
            <w:top w:val="none" w:sz="0" w:space="0" w:color="auto"/>
            <w:left w:val="none" w:sz="0" w:space="0" w:color="auto"/>
            <w:bottom w:val="none" w:sz="0" w:space="0" w:color="auto"/>
            <w:right w:val="none" w:sz="0" w:space="0" w:color="auto"/>
          </w:divBdr>
          <w:divsChild>
            <w:div w:id="1050761541">
              <w:marLeft w:val="0"/>
              <w:marRight w:val="0"/>
              <w:marTop w:val="0"/>
              <w:marBottom w:val="0"/>
              <w:divBdr>
                <w:top w:val="none" w:sz="0" w:space="0" w:color="auto"/>
                <w:left w:val="none" w:sz="0" w:space="0" w:color="auto"/>
                <w:bottom w:val="none" w:sz="0" w:space="0" w:color="auto"/>
                <w:right w:val="none" w:sz="0" w:space="0" w:color="auto"/>
              </w:divBdr>
            </w:div>
          </w:divsChild>
        </w:div>
        <w:div w:id="1442650142">
          <w:marLeft w:val="0"/>
          <w:marRight w:val="0"/>
          <w:marTop w:val="0"/>
          <w:marBottom w:val="0"/>
          <w:divBdr>
            <w:top w:val="none" w:sz="0" w:space="0" w:color="auto"/>
            <w:left w:val="none" w:sz="0" w:space="0" w:color="auto"/>
            <w:bottom w:val="none" w:sz="0" w:space="0" w:color="auto"/>
            <w:right w:val="none" w:sz="0" w:space="0" w:color="auto"/>
          </w:divBdr>
          <w:divsChild>
            <w:div w:id="1872913400">
              <w:marLeft w:val="0"/>
              <w:marRight w:val="0"/>
              <w:marTop w:val="0"/>
              <w:marBottom w:val="0"/>
              <w:divBdr>
                <w:top w:val="none" w:sz="0" w:space="0" w:color="auto"/>
                <w:left w:val="none" w:sz="0" w:space="0" w:color="auto"/>
                <w:bottom w:val="none" w:sz="0" w:space="0" w:color="auto"/>
                <w:right w:val="none" w:sz="0" w:space="0" w:color="auto"/>
              </w:divBdr>
            </w:div>
          </w:divsChild>
        </w:div>
        <w:div w:id="1496995023">
          <w:marLeft w:val="0"/>
          <w:marRight w:val="0"/>
          <w:marTop w:val="0"/>
          <w:marBottom w:val="0"/>
          <w:divBdr>
            <w:top w:val="none" w:sz="0" w:space="0" w:color="auto"/>
            <w:left w:val="none" w:sz="0" w:space="0" w:color="auto"/>
            <w:bottom w:val="none" w:sz="0" w:space="0" w:color="auto"/>
            <w:right w:val="none" w:sz="0" w:space="0" w:color="auto"/>
          </w:divBdr>
          <w:divsChild>
            <w:div w:id="2047829485">
              <w:marLeft w:val="0"/>
              <w:marRight w:val="0"/>
              <w:marTop w:val="0"/>
              <w:marBottom w:val="0"/>
              <w:divBdr>
                <w:top w:val="none" w:sz="0" w:space="0" w:color="auto"/>
                <w:left w:val="none" w:sz="0" w:space="0" w:color="auto"/>
                <w:bottom w:val="none" w:sz="0" w:space="0" w:color="auto"/>
                <w:right w:val="none" w:sz="0" w:space="0" w:color="auto"/>
              </w:divBdr>
            </w:div>
          </w:divsChild>
        </w:div>
        <w:div w:id="1502159612">
          <w:marLeft w:val="0"/>
          <w:marRight w:val="0"/>
          <w:marTop w:val="0"/>
          <w:marBottom w:val="0"/>
          <w:divBdr>
            <w:top w:val="none" w:sz="0" w:space="0" w:color="auto"/>
            <w:left w:val="none" w:sz="0" w:space="0" w:color="auto"/>
            <w:bottom w:val="none" w:sz="0" w:space="0" w:color="auto"/>
            <w:right w:val="none" w:sz="0" w:space="0" w:color="auto"/>
          </w:divBdr>
          <w:divsChild>
            <w:div w:id="1098521200">
              <w:marLeft w:val="0"/>
              <w:marRight w:val="0"/>
              <w:marTop w:val="0"/>
              <w:marBottom w:val="0"/>
              <w:divBdr>
                <w:top w:val="none" w:sz="0" w:space="0" w:color="auto"/>
                <w:left w:val="none" w:sz="0" w:space="0" w:color="auto"/>
                <w:bottom w:val="none" w:sz="0" w:space="0" w:color="auto"/>
                <w:right w:val="none" w:sz="0" w:space="0" w:color="auto"/>
              </w:divBdr>
            </w:div>
          </w:divsChild>
        </w:div>
        <w:div w:id="1514682200">
          <w:marLeft w:val="0"/>
          <w:marRight w:val="0"/>
          <w:marTop w:val="0"/>
          <w:marBottom w:val="0"/>
          <w:divBdr>
            <w:top w:val="none" w:sz="0" w:space="0" w:color="auto"/>
            <w:left w:val="none" w:sz="0" w:space="0" w:color="auto"/>
            <w:bottom w:val="none" w:sz="0" w:space="0" w:color="auto"/>
            <w:right w:val="none" w:sz="0" w:space="0" w:color="auto"/>
          </w:divBdr>
          <w:divsChild>
            <w:div w:id="1376659051">
              <w:marLeft w:val="0"/>
              <w:marRight w:val="0"/>
              <w:marTop w:val="0"/>
              <w:marBottom w:val="0"/>
              <w:divBdr>
                <w:top w:val="none" w:sz="0" w:space="0" w:color="auto"/>
                <w:left w:val="none" w:sz="0" w:space="0" w:color="auto"/>
                <w:bottom w:val="none" w:sz="0" w:space="0" w:color="auto"/>
                <w:right w:val="none" w:sz="0" w:space="0" w:color="auto"/>
              </w:divBdr>
            </w:div>
          </w:divsChild>
        </w:div>
        <w:div w:id="1519155363">
          <w:marLeft w:val="0"/>
          <w:marRight w:val="0"/>
          <w:marTop w:val="0"/>
          <w:marBottom w:val="0"/>
          <w:divBdr>
            <w:top w:val="none" w:sz="0" w:space="0" w:color="auto"/>
            <w:left w:val="none" w:sz="0" w:space="0" w:color="auto"/>
            <w:bottom w:val="none" w:sz="0" w:space="0" w:color="auto"/>
            <w:right w:val="none" w:sz="0" w:space="0" w:color="auto"/>
          </w:divBdr>
          <w:divsChild>
            <w:div w:id="1563637896">
              <w:marLeft w:val="0"/>
              <w:marRight w:val="0"/>
              <w:marTop w:val="0"/>
              <w:marBottom w:val="0"/>
              <w:divBdr>
                <w:top w:val="none" w:sz="0" w:space="0" w:color="auto"/>
                <w:left w:val="none" w:sz="0" w:space="0" w:color="auto"/>
                <w:bottom w:val="none" w:sz="0" w:space="0" w:color="auto"/>
                <w:right w:val="none" w:sz="0" w:space="0" w:color="auto"/>
              </w:divBdr>
            </w:div>
          </w:divsChild>
        </w:div>
        <w:div w:id="1567379196">
          <w:marLeft w:val="0"/>
          <w:marRight w:val="0"/>
          <w:marTop w:val="0"/>
          <w:marBottom w:val="0"/>
          <w:divBdr>
            <w:top w:val="none" w:sz="0" w:space="0" w:color="auto"/>
            <w:left w:val="none" w:sz="0" w:space="0" w:color="auto"/>
            <w:bottom w:val="none" w:sz="0" w:space="0" w:color="auto"/>
            <w:right w:val="none" w:sz="0" w:space="0" w:color="auto"/>
          </w:divBdr>
          <w:divsChild>
            <w:div w:id="1201475290">
              <w:marLeft w:val="0"/>
              <w:marRight w:val="0"/>
              <w:marTop w:val="0"/>
              <w:marBottom w:val="0"/>
              <w:divBdr>
                <w:top w:val="none" w:sz="0" w:space="0" w:color="auto"/>
                <w:left w:val="none" w:sz="0" w:space="0" w:color="auto"/>
                <w:bottom w:val="none" w:sz="0" w:space="0" w:color="auto"/>
                <w:right w:val="none" w:sz="0" w:space="0" w:color="auto"/>
              </w:divBdr>
            </w:div>
          </w:divsChild>
        </w:div>
        <w:div w:id="1573196731">
          <w:marLeft w:val="0"/>
          <w:marRight w:val="0"/>
          <w:marTop w:val="0"/>
          <w:marBottom w:val="0"/>
          <w:divBdr>
            <w:top w:val="none" w:sz="0" w:space="0" w:color="auto"/>
            <w:left w:val="none" w:sz="0" w:space="0" w:color="auto"/>
            <w:bottom w:val="none" w:sz="0" w:space="0" w:color="auto"/>
            <w:right w:val="none" w:sz="0" w:space="0" w:color="auto"/>
          </w:divBdr>
          <w:divsChild>
            <w:div w:id="1221752686">
              <w:marLeft w:val="0"/>
              <w:marRight w:val="0"/>
              <w:marTop w:val="0"/>
              <w:marBottom w:val="0"/>
              <w:divBdr>
                <w:top w:val="none" w:sz="0" w:space="0" w:color="auto"/>
                <w:left w:val="none" w:sz="0" w:space="0" w:color="auto"/>
                <w:bottom w:val="none" w:sz="0" w:space="0" w:color="auto"/>
                <w:right w:val="none" w:sz="0" w:space="0" w:color="auto"/>
              </w:divBdr>
            </w:div>
          </w:divsChild>
        </w:div>
        <w:div w:id="1605112559">
          <w:marLeft w:val="0"/>
          <w:marRight w:val="0"/>
          <w:marTop w:val="0"/>
          <w:marBottom w:val="0"/>
          <w:divBdr>
            <w:top w:val="none" w:sz="0" w:space="0" w:color="auto"/>
            <w:left w:val="none" w:sz="0" w:space="0" w:color="auto"/>
            <w:bottom w:val="none" w:sz="0" w:space="0" w:color="auto"/>
            <w:right w:val="none" w:sz="0" w:space="0" w:color="auto"/>
          </w:divBdr>
          <w:divsChild>
            <w:div w:id="1966080653">
              <w:marLeft w:val="0"/>
              <w:marRight w:val="0"/>
              <w:marTop w:val="0"/>
              <w:marBottom w:val="0"/>
              <w:divBdr>
                <w:top w:val="none" w:sz="0" w:space="0" w:color="auto"/>
                <w:left w:val="none" w:sz="0" w:space="0" w:color="auto"/>
                <w:bottom w:val="none" w:sz="0" w:space="0" w:color="auto"/>
                <w:right w:val="none" w:sz="0" w:space="0" w:color="auto"/>
              </w:divBdr>
            </w:div>
          </w:divsChild>
        </w:div>
        <w:div w:id="1643584013">
          <w:marLeft w:val="0"/>
          <w:marRight w:val="0"/>
          <w:marTop w:val="0"/>
          <w:marBottom w:val="0"/>
          <w:divBdr>
            <w:top w:val="none" w:sz="0" w:space="0" w:color="auto"/>
            <w:left w:val="none" w:sz="0" w:space="0" w:color="auto"/>
            <w:bottom w:val="none" w:sz="0" w:space="0" w:color="auto"/>
            <w:right w:val="none" w:sz="0" w:space="0" w:color="auto"/>
          </w:divBdr>
          <w:divsChild>
            <w:div w:id="90393758">
              <w:marLeft w:val="0"/>
              <w:marRight w:val="0"/>
              <w:marTop w:val="0"/>
              <w:marBottom w:val="0"/>
              <w:divBdr>
                <w:top w:val="none" w:sz="0" w:space="0" w:color="auto"/>
                <w:left w:val="none" w:sz="0" w:space="0" w:color="auto"/>
                <w:bottom w:val="none" w:sz="0" w:space="0" w:color="auto"/>
                <w:right w:val="none" w:sz="0" w:space="0" w:color="auto"/>
              </w:divBdr>
            </w:div>
          </w:divsChild>
        </w:div>
        <w:div w:id="1647315897">
          <w:marLeft w:val="0"/>
          <w:marRight w:val="0"/>
          <w:marTop w:val="0"/>
          <w:marBottom w:val="0"/>
          <w:divBdr>
            <w:top w:val="none" w:sz="0" w:space="0" w:color="auto"/>
            <w:left w:val="none" w:sz="0" w:space="0" w:color="auto"/>
            <w:bottom w:val="none" w:sz="0" w:space="0" w:color="auto"/>
            <w:right w:val="none" w:sz="0" w:space="0" w:color="auto"/>
          </w:divBdr>
          <w:divsChild>
            <w:div w:id="680355690">
              <w:marLeft w:val="0"/>
              <w:marRight w:val="0"/>
              <w:marTop w:val="0"/>
              <w:marBottom w:val="0"/>
              <w:divBdr>
                <w:top w:val="none" w:sz="0" w:space="0" w:color="auto"/>
                <w:left w:val="none" w:sz="0" w:space="0" w:color="auto"/>
                <w:bottom w:val="none" w:sz="0" w:space="0" w:color="auto"/>
                <w:right w:val="none" w:sz="0" w:space="0" w:color="auto"/>
              </w:divBdr>
            </w:div>
          </w:divsChild>
        </w:div>
        <w:div w:id="1647783511">
          <w:marLeft w:val="0"/>
          <w:marRight w:val="0"/>
          <w:marTop w:val="0"/>
          <w:marBottom w:val="0"/>
          <w:divBdr>
            <w:top w:val="none" w:sz="0" w:space="0" w:color="auto"/>
            <w:left w:val="none" w:sz="0" w:space="0" w:color="auto"/>
            <w:bottom w:val="none" w:sz="0" w:space="0" w:color="auto"/>
            <w:right w:val="none" w:sz="0" w:space="0" w:color="auto"/>
          </w:divBdr>
          <w:divsChild>
            <w:div w:id="1197932680">
              <w:marLeft w:val="0"/>
              <w:marRight w:val="0"/>
              <w:marTop w:val="0"/>
              <w:marBottom w:val="0"/>
              <w:divBdr>
                <w:top w:val="none" w:sz="0" w:space="0" w:color="auto"/>
                <w:left w:val="none" w:sz="0" w:space="0" w:color="auto"/>
                <w:bottom w:val="none" w:sz="0" w:space="0" w:color="auto"/>
                <w:right w:val="none" w:sz="0" w:space="0" w:color="auto"/>
              </w:divBdr>
            </w:div>
          </w:divsChild>
        </w:div>
        <w:div w:id="1668046694">
          <w:marLeft w:val="0"/>
          <w:marRight w:val="0"/>
          <w:marTop w:val="0"/>
          <w:marBottom w:val="0"/>
          <w:divBdr>
            <w:top w:val="none" w:sz="0" w:space="0" w:color="auto"/>
            <w:left w:val="none" w:sz="0" w:space="0" w:color="auto"/>
            <w:bottom w:val="none" w:sz="0" w:space="0" w:color="auto"/>
            <w:right w:val="none" w:sz="0" w:space="0" w:color="auto"/>
          </w:divBdr>
          <w:divsChild>
            <w:div w:id="117115824">
              <w:marLeft w:val="0"/>
              <w:marRight w:val="0"/>
              <w:marTop w:val="0"/>
              <w:marBottom w:val="0"/>
              <w:divBdr>
                <w:top w:val="none" w:sz="0" w:space="0" w:color="auto"/>
                <w:left w:val="none" w:sz="0" w:space="0" w:color="auto"/>
                <w:bottom w:val="none" w:sz="0" w:space="0" w:color="auto"/>
                <w:right w:val="none" w:sz="0" w:space="0" w:color="auto"/>
              </w:divBdr>
            </w:div>
          </w:divsChild>
        </w:div>
        <w:div w:id="1671442073">
          <w:marLeft w:val="0"/>
          <w:marRight w:val="0"/>
          <w:marTop w:val="0"/>
          <w:marBottom w:val="0"/>
          <w:divBdr>
            <w:top w:val="none" w:sz="0" w:space="0" w:color="auto"/>
            <w:left w:val="none" w:sz="0" w:space="0" w:color="auto"/>
            <w:bottom w:val="none" w:sz="0" w:space="0" w:color="auto"/>
            <w:right w:val="none" w:sz="0" w:space="0" w:color="auto"/>
          </w:divBdr>
          <w:divsChild>
            <w:div w:id="1812752077">
              <w:marLeft w:val="0"/>
              <w:marRight w:val="0"/>
              <w:marTop w:val="0"/>
              <w:marBottom w:val="0"/>
              <w:divBdr>
                <w:top w:val="none" w:sz="0" w:space="0" w:color="auto"/>
                <w:left w:val="none" w:sz="0" w:space="0" w:color="auto"/>
                <w:bottom w:val="none" w:sz="0" w:space="0" w:color="auto"/>
                <w:right w:val="none" w:sz="0" w:space="0" w:color="auto"/>
              </w:divBdr>
            </w:div>
          </w:divsChild>
        </w:div>
        <w:div w:id="1704599634">
          <w:marLeft w:val="0"/>
          <w:marRight w:val="0"/>
          <w:marTop w:val="0"/>
          <w:marBottom w:val="0"/>
          <w:divBdr>
            <w:top w:val="none" w:sz="0" w:space="0" w:color="auto"/>
            <w:left w:val="none" w:sz="0" w:space="0" w:color="auto"/>
            <w:bottom w:val="none" w:sz="0" w:space="0" w:color="auto"/>
            <w:right w:val="none" w:sz="0" w:space="0" w:color="auto"/>
          </w:divBdr>
          <w:divsChild>
            <w:div w:id="2063944702">
              <w:marLeft w:val="0"/>
              <w:marRight w:val="0"/>
              <w:marTop w:val="0"/>
              <w:marBottom w:val="0"/>
              <w:divBdr>
                <w:top w:val="none" w:sz="0" w:space="0" w:color="auto"/>
                <w:left w:val="none" w:sz="0" w:space="0" w:color="auto"/>
                <w:bottom w:val="none" w:sz="0" w:space="0" w:color="auto"/>
                <w:right w:val="none" w:sz="0" w:space="0" w:color="auto"/>
              </w:divBdr>
            </w:div>
          </w:divsChild>
        </w:div>
        <w:div w:id="1705325185">
          <w:marLeft w:val="0"/>
          <w:marRight w:val="0"/>
          <w:marTop w:val="0"/>
          <w:marBottom w:val="0"/>
          <w:divBdr>
            <w:top w:val="none" w:sz="0" w:space="0" w:color="auto"/>
            <w:left w:val="none" w:sz="0" w:space="0" w:color="auto"/>
            <w:bottom w:val="none" w:sz="0" w:space="0" w:color="auto"/>
            <w:right w:val="none" w:sz="0" w:space="0" w:color="auto"/>
          </w:divBdr>
          <w:divsChild>
            <w:div w:id="678236471">
              <w:marLeft w:val="0"/>
              <w:marRight w:val="0"/>
              <w:marTop w:val="0"/>
              <w:marBottom w:val="0"/>
              <w:divBdr>
                <w:top w:val="none" w:sz="0" w:space="0" w:color="auto"/>
                <w:left w:val="none" w:sz="0" w:space="0" w:color="auto"/>
                <w:bottom w:val="none" w:sz="0" w:space="0" w:color="auto"/>
                <w:right w:val="none" w:sz="0" w:space="0" w:color="auto"/>
              </w:divBdr>
            </w:div>
          </w:divsChild>
        </w:div>
        <w:div w:id="1731272235">
          <w:marLeft w:val="0"/>
          <w:marRight w:val="0"/>
          <w:marTop w:val="0"/>
          <w:marBottom w:val="0"/>
          <w:divBdr>
            <w:top w:val="none" w:sz="0" w:space="0" w:color="auto"/>
            <w:left w:val="none" w:sz="0" w:space="0" w:color="auto"/>
            <w:bottom w:val="none" w:sz="0" w:space="0" w:color="auto"/>
            <w:right w:val="none" w:sz="0" w:space="0" w:color="auto"/>
          </w:divBdr>
          <w:divsChild>
            <w:div w:id="660039433">
              <w:marLeft w:val="0"/>
              <w:marRight w:val="0"/>
              <w:marTop w:val="0"/>
              <w:marBottom w:val="0"/>
              <w:divBdr>
                <w:top w:val="none" w:sz="0" w:space="0" w:color="auto"/>
                <w:left w:val="none" w:sz="0" w:space="0" w:color="auto"/>
                <w:bottom w:val="none" w:sz="0" w:space="0" w:color="auto"/>
                <w:right w:val="none" w:sz="0" w:space="0" w:color="auto"/>
              </w:divBdr>
            </w:div>
          </w:divsChild>
        </w:div>
        <w:div w:id="1740859341">
          <w:marLeft w:val="0"/>
          <w:marRight w:val="0"/>
          <w:marTop w:val="0"/>
          <w:marBottom w:val="0"/>
          <w:divBdr>
            <w:top w:val="none" w:sz="0" w:space="0" w:color="auto"/>
            <w:left w:val="none" w:sz="0" w:space="0" w:color="auto"/>
            <w:bottom w:val="none" w:sz="0" w:space="0" w:color="auto"/>
            <w:right w:val="none" w:sz="0" w:space="0" w:color="auto"/>
          </w:divBdr>
          <w:divsChild>
            <w:div w:id="1576821309">
              <w:marLeft w:val="0"/>
              <w:marRight w:val="0"/>
              <w:marTop w:val="0"/>
              <w:marBottom w:val="0"/>
              <w:divBdr>
                <w:top w:val="none" w:sz="0" w:space="0" w:color="auto"/>
                <w:left w:val="none" w:sz="0" w:space="0" w:color="auto"/>
                <w:bottom w:val="none" w:sz="0" w:space="0" w:color="auto"/>
                <w:right w:val="none" w:sz="0" w:space="0" w:color="auto"/>
              </w:divBdr>
            </w:div>
          </w:divsChild>
        </w:div>
        <w:div w:id="1788504059">
          <w:marLeft w:val="0"/>
          <w:marRight w:val="0"/>
          <w:marTop w:val="0"/>
          <w:marBottom w:val="0"/>
          <w:divBdr>
            <w:top w:val="none" w:sz="0" w:space="0" w:color="auto"/>
            <w:left w:val="none" w:sz="0" w:space="0" w:color="auto"/>
            <w:bottom w:val="none" w:sz="0" w:space="0" w:color="auto"/>
            <w:right w:val="none" w:sz="0" w:space="0" w:color="auto"/>
          </w:divBdr>
          <w:divsChild>
            <w:div w:id="1792897361">
              <w:marLeft w:val="0"/>
              <w:marRight w:val="0"/>
              <w:marTop w:val="0"/>
              <w:marBottom w:val="0"/>
              <w:divBdr>
                <w:top w:val="none" w:sz="0" w:space="0" w:color="auto"/>
                <w:left w:val="none" w:sz="0" w:space="0" w:color="auto"/>
                <w:bottom w:val="none" w:sz="0" w:space="0" w:color="auto"/>
                <w:right w:val="none" w:sz="0" w:space="0" w:color="auto"/>
              </w:divBdr>
            </w:div>
          </w:divsChild>
        </w:div>
        <w:div w:id="1790513137">
          <w:marLeft w:val="0"/>
          <w:marRight w:val="0"/>
          <w:marTop w:val="0"/>
          <w:marBottom w:val="0"/>
          <w:divBdr>
            <w:top w:val="none" w:sz="0" w:space="0" w:color="auto"/>
            <w:left w:val="none" w:sz="0" w:space="0" w:color="auto"/>
            <w:bottom w:val="none" w:sz="0" w:space="0" w:color="auto"/>
            <w:right w:val="none" w:sz="0" w:space="0" w:color="auto"/>
          </w:divBdr>
          <w:divsChild>
            <w:div w:id="1702709789">
              <w:marLeft w:val="0"/>
              <w:marRight w:val="0"/>
              <w:marTop w:val="0"/>
              <w:marBottom w:val="0"/>
              <w:divBdr>
                <w:top w:val="none" w:sz="0" w:space="0" w:color="auto"/>
                <w:left w:val="none" w:sz="0" w:space="0" w:color="auto"/>
                <w:bottom w:val="none" w:sz="0" w:space="0" w:color="auto"/>
                <w:right w:val="none" w:sz="0" w:space="0" w:color="auto"/>
              </w:divBdr>
            </w:div>
          </w:divsChild>
        </w:div>
        <w:div w:id="1804541018">
          <w:marLeft w:val="0"/>
          <w:marRight w:val="0"/>
          <w:marTop w:val="0"/>
          <w:marBottom w:val="0"/>
          <w:divBdr>
            <w:top w:val="none" w:sz="0" w:space="0" w:color="auto"/>
            <w:left w:val="none" w:sz="0" w:space="0" w:color="auto"/>
            <w:bottom w:val="none" w:sz="0" w:space="0" w:color="auto"/>
            <w:right w:val="none" w:sz="0" w:space="0" w:color="auto"/>
          </w:divBdr>
          <w:divsChild>
            <w:div w:id="1993243636">
              <w:marLeft w:val="0"/>
              <w:marRight w:val="0"/>
              <w:marTop w:val="0"/>
              <w:marBottom w:val="0"/>
              <w:divBdr>
                <w:top w:val="none" w:sz="0" w:space="0" w:color="auto"/>
                <w:left w:val="none" w:sz="0" w:space="0" w:color="auto"/>
                <w:bottom w:val="none" w:sz="0" w:space="0" w:color="auto"/>
                <w:right w:val="none" w:sz="0" w:space="0" w:color="auto"/>
              </w:divBdr>
            </w:div>
          </w:divsChild>
        </w:div>
        <w:div w:id="1814567808">
          <w:marLeft w:val="0"/>
          <w:marRight w:val="0"/>
          <w:marTop w:val="0"/>
          <w:marBottom w:val="0"/>
          <w:divBdr>
            <w:top w:val="none" w:sz="0" w:space="0" w:color="auto"/>
            <w:left w:val="none" w:sz="0" w:space="0" w:color="auto"/>
            <w:bottom w:val="none" w:sz="0" w:space="0" w:color="auto"/>
            <w:right w:val="none" w:sz="0" w:space="0" w:color="auto"/>
          </w:divBdr>
          <w:divsChild>
            <w:div w:id="255939509">
              <w:marLeft w:val="0"/>
              <w:marRight w:val="0"/>
              <w:marTop w:val="0"/>
              <w:marBottom w:val="0"/>
              <w:divBdr>
                <w:top w:val="none" w:sz="0" w:space="0" w:color="auto"/>
                <w:left w:val="none" w:sz="0" w:space="0" w:color="auto"/>
                <w:bottom w:val="none" w:sz="0" w:space="0" w:color="auto"/>
                <w:right w:val="none" w:sz="0" w:space="0" w:color="auto"/>
              </w:divBdr>
            </w:div>
          </w:divsChild>
        </w:div>
        <w:div w:id="1843858423">
          <w:marLeft w:val="0"/>
          <w:marRight w:val="0"/>
          <w:marTop w:val="0"/>
          <w:marBottom w:val="0"/>
          <w:divBdr>
            <w:top w:val="none" w:sz="0" w:space="0" w:color="auto"/>
            <w:left w:val="none" w:sz="0" w:space="0" w:color="auto"/>
            <w:bottom w:val="none" w:sz="0" w:space="0" w:color="auto"/>
            <w:right w:val="none" w:sz="0" w:space="0" w:color="auto"/>
          </w:divBdr>
          <w:divsChild>
            <w:div w:id="929702433">
              <w:marLeft w:val="0"/>
              <w:marRight w:val="0"/>
              <w:marTop w:val="0"/>
              <w:marBottom w:val="0"/>
              <w:divBdr>
                <w:top w:val="none" w:sz="0" w:space="0" w:color="auto"/>
                <w:left w:val="none" w:sz="0" w:space="0" w:color="auto"/>
                <w:bottom w:val="none" w:sz="0" w:space="0" w:color="auto"/>
                <w:right w:val="none" w:sz="0" w:space="0" w:color="auto"/>
              </w:divBdr>
            </w:div>
          </w:divsChild>
        </w:div>
        <w:div w:id="1845392920">
          <w:marLeft w:val="0"/>
          <w:marRight w:val="0"/>
          <w:marTop w:val="0"/>
          <w:marBottom w:val="0"/>
          <w:divBdr>
            <w:top w:val="none" w:sz="0" w:space="0" w:color="auto"/>
            <w:left w:val="none" w:sz="0" w:space="0" w:color="auto"/>
            <w:bottom w:val="none" w:sz="0" w:space="0" w:color="auto"/>
            <w:right w:val="none" w:sz="0" w:space="0" w:color="auto"/>
          </w:divBdr>
          <w:divsChild>
            <w:div w:id="702366944">
              <w:marLeft w:val="0"/>
              <w:marRight w:val="0"/>
              <w:marTop w:val="0"/>
              <w:marBottom w:val="0"/>
              <w:divBdr>
                <w:top w:val="none" w:sz="0" w:space="0" w:color="auto"/>
                <w:left w:val="none" w:sz="0" w:space="0" w:color="auto"/>
                <w:bottom w:val="none" w:sz="0" w:space="0" w:color="auto"/>
                <w:right w:val="none" w:sz="0" w:space="0" w:color="auto"/>
              </w:divBdr>
            </w:div>
          </w:divsChild>
        </w:div>
        <w:div w:id="1870752279">
          <w:marLeft w:val="0"/>
          <w:marRight w:val="0"/>
          <w:marTop w:val="0"/>
          <w:marBottom w:val="0"/>
          <w:divBdr>
            <w:top w:val="none" w:sz="0" w:space="0" w:color="auto"/>
            <w:left w:val="none" w:sz="0" w:space="0" w:color="auto"/>
            <w:bottom w:val="none" w:sz="0" w:space="0" w:color="auto"/>
            <w:right w:val="none" w:sz="0" w:space="0" w:color="auto"/>
          </w:divBdr>
          <w:divsChild>
            <w:div w:id="1513372265">
              <w:marLeft w:val="0"/>
              <w:marRight w:val="0"/>
              <w:marTop w:val="0"/>
              <w:marBottom w:val="0"/>
              <w:divBdr>
                <w:top w:val="none" w:sz="0" w:space="0" w:color="auto"/>
                <w:left w:val="none" w:sz="0" w:space="0" w:color="auto"/>
                <w:bottom w:val="none" w:sz="0" w:space="0" w:color="auto"/>
                <w:right w:val="none" w:sz="0" w:space="0" w:color="auto"/>
              </w:divBdr>
            </w:div>
          </w:divsChild>
        </w:div>
        <w:div w:id="1881702361">
          <w:marLeft w:val="0"/>
          <w:marRight w:val="0"/>
          <w:marTop w:val="0"/>
          <w:marBottom w:val="0"/>
          <w:divBdr>
            <w:top w:val="none" w:sz="0" w:space="0" w:color="auto"/>
            <w:left w:val="none" w:sz="0" w:space="0" w:color="auto"/>
            <w:bottom w:val="none" w:sz="0" w:space="0" w:color="auto"/>
            <w:right w:val="none" w:sz="0" w:space="0" w:color="auto"/>
          </w:divBdr>
          <w:divsChild>
            <w:div w:id="951743435">
              <w:marLeft w:val="0"/>
              <w:marRight w:val="0"/>
              <w:marTop w:val="0"/>
              <w:marBottom w:val="0"/>
              <w:divBdr>
                <w:top w:val="none" w:sz="0" w:space="0" w:color="auto"/>
                <w:left w:val="none" w:sz="0" w:space="0" w:color="auto"/>
                <w:bottom w:val="none" w:sz="0" w:space="0" w:color="auto"/>
                <w:right w:val="none" w:sz="0" w:space="0" w:color="auto"/>
              </w:divBdr>
            </w:div>
          </w:divsChild>
        </w:div>
        <w:div w:id="1886604278">
          <w:marLeft w:val="0"/>
          <w:marRight w:val="0"/>
          <w:marTop w:val="0"/>
          <w:marBottom w:val="0"/>
          <w:divBdr>
            <w:top w:val="none" w:sz="0" w:space="0" w:color="auto"/>
            <w:left w:val="none" w:sz="0" w:space="0" w:color="auto"/>
            <w:bottom w:val="none" w:sz="0" w:space="0" w:color="auto"/>
            <w:right w:val="none" w:sz="0" w:space="0" w:color="auto"/>
          </w:divBdr>
          <w:divsChild>
            <w:div w:id="519010479">
              <w:marLeft w:val="0"/>
              <w:marRight w:val="0"/>
              <w:marTop w:val="0"/>
              <w:marBottom w:val="0"/>
              <w:divBdr>
                <w:top w:val="none" w:sz="0" w:space="0" w:color="auto"/>
                <w:left w:val="none" w:sz="0" w:space="0" w:color="auto"/>
                <w:bottom w:val="none" w:sz="0" w:space="0" w:color="auto"/>
                <w:right w:val="none" w:sz="0" w:space="0" w:color="auto"/>
              </w:divBdr>
            </w:div>
          </w:divsChild>
        </w:div>
        <w:div w:id="1891921166">
          <w:marLeft w:val="0"/>
          <w:marRight w:val="0"/>
          <w:marTop w:val="0"/>
          <w:marBottom w:val="0"/>
          <w:divBdr>
            <w:top w:val="none" w:sz="0" w:space="0" w:color="auto"/>
            <w:left w:val="none" w:sz="0" w:space="0" w:color="auto"/>
            <w:bottom w:val="none" w:sz="0" w:space="0" w:color="auto"/>
            <w:right w:val="none" w:sz="0" w:space="0" w:color="auto"/>
          </w:divBdr>
          <w:divsChild>
            <w:div w:id="1154831959">
              <w:marLeft w:val="0"/>
              <w:marRight w:val="0"/>
              <w:marTop w:val="0"/>
              <w:marBottom w:val="0"/>
              <w:divBdr>
                <w:top w:val="none" w:sz="0" w:space="0" w:color="auto"/>
                <w:left w:val="none" w:sz="0" w:space="0" w:color="auto"/>
                <w:bottom w:val="none" w:sz="0" w:space="0" w:color="auto"/>
                <w:right w:val="none" w:sz="0" w:space="0" w:color="auto"/>
              </w:divBdr>
            </w:div>
          </w:divsChild>
        </w:div>
        <w:div w:id="1894930167">
          <w:marLeft w:val="0"/>
          <w:marRight w:val="0"/>
          <w:marTop w:val="0"/>
          <w:marBottom w:val="0"/>
          <w:divBdr>
            <w:top w:val="none" w:sz="0" w:space="0" w:color="auto"/>
            <w:left w:val="none" w:sz="0" w:space="0" w:color="auto"/>
            <w:bottom w:val="none" w:sz="0" w:space="0" w:color="auto"/>
            <w:right w:val="none" w:sz="0" w:space="0" w:color="auto"/>
          </w:divBdr>
          <w:divsChild>
            <w:div w:id="871303402">
              <w:marLeft w:val="0"/>
              <w:marRight w:val="0"/>
              <w:marTop w:val="0"/>
              <w:marBottom w:val="0"/>
              <w:divBdr>
                <w:top w:val="none" w:sz="0" w:space="0" w:color="auto"/>
                <w:left w:val="none" w:sz="0" w:space="0" w:color="auto"/>
                <w:bottom w:val="none" w:sz="0" w:space="0" w:color="auto"/>
                <w:right w:val="none" w:sz="0" w:space="0" w:color="auto"/>
              </w:divBdr>
            </w:div>
          </w:divsChild>
        </w:div>
        <w:div w:id="1963148217">
          <w:marLeft w:val="0"/>
          <w:marRight w:val="0"/>
          <w:marTop w:val="0"/>
          <w:marBottom w:val="0"/>
          <w:divBdr>
            <w:top w:val="none" w:sz="0" w:space="0" w:color="auto"/>
            <w:left w:val="none" w:sz="0" w:space="0" w:color="auto"/>
            <w:bottom w:val="none" w:sz="0" w:space="0" w:color="auto"/>
            <w:right w:val="none" w:sz="0" w:space="0" w:color="auto"/>
          </w:divBdr>
          <w:divsChild>
            <w:div w:id="695153003">
              <w:marLeft w:val="0"/>
              <w:marRight w:val="0"/>
              <w:marTop w:val="0"/>
              <w:marBottom w:val="0"/>
              <w:divBdr>
                <w:top w:val="none" w:sz="0" w:space="0" w:color="auto"/>
                <w:left w:val="none" w:sz="0" w:space="0" w:color="auto"/>
                <w:bottom w:val="none" w:sz="0" w:space="0" w:color="auto"/>
                <w:right w:val="none" w:sz="0" w:space="0" w:color="auto"/>
              </w:divBdr>
            </w:div>
          </w:divsChild>
        </w:div>
        <w:div w:id="1993756651">
          <w:marLeft w:val="0"/>
          <w:marRight w:val="0"/>
          <w:marTop w:val="0"/>
          <w:marBottom w:val="0"/>
          <w:divBdr>
            <w:top w:val="none" w:sz="0" w:space="0" w:color="auto"/>
            <w:left w:val="none" w:sz="0" w:space="0" w:color="auto"/>
            <w:bottom w:val="none" w:sz="0" w:space="0" w:color="auto"/>
            <w:right w:val="none" w:sz="0" w:space="0" w:color="auto"/>
          </w:divBdr>
          <w:divsChild>
            <w:div w:id="1253782014">
              <w:marLeft w:val="0"/>
              <w:marRight w:val="0"/>
              <w:marTop w:val="0"/>
              <w:marBottom w:val="0"/>
              <w:divBdr>
                <w:top w:val="none" w:sz="0" w:space="0" w:color="auto"/>
                <w:left w:val="none" w:sz="0" w:space="0" w:color="auto"/>
                <w:bottom w:val="none" w:sz="0" w:space="0" w:color="auto"/>
                <w:right w:val="none" w:sz="0" w:space="0" w:color="auto"/>
              </w:divBdr>
            </w:div>
          </w:divsChild>
        </w:div>
        <w:div w:id="2009018078">
          <w:marLeft w:val="0"/>
          <w:marRight w:val="0"/>
          <w:marTop w:val="0"/>
          <w:marBottom w:val="0"/>
          <w:divBdr>
            <w:top w:val="none" w:sz="0" w:space="0" w:color="auto"/>
            <w:left w:val="none" w:sz="0" w:space="0" w:color="auto"/>
            <w:bottom w:val="none" w:sz="0" w:space="0" w:color="auto"/>
            <w:right w:val="none" w:sz="0" w:space="0" w:color="auto"/>
          </w:divBdr>
          <w:divsChild>
            <w:div w:id="495190756">
              <w:marLeft w:val="0"/>
              <w:marRight w:val="0"/>
              <w:marTop w:val="0"/>
              <w:marBottom w:val="0"/>
              <w:divBdr>
                <w:top w:val="none" w:sz="0" w:space="0" w:color="auto"/>
                <w:left w:val="none" w:sz="0" w:space="0" w:color="auto"/>
                <w:bottom w:val="none" w:sz="0" w:space="0" w:color="auto"/>
                <w:right w:val="none" w:sz="0" w:space="0" w:color="auto"/>
              </w:divBdr>
            </w:div>
          </w:divsChild>
        </w:div>
        <w:div w:id="2018077131">
          <w:marLeft w:val="0"/>
          <w:marRight w:val="0"/>
          <w:marTop w:val="0"/>
          <w:marBottom w:val="0"/>
          <w:divBdr>
            <w:top w:val="none" w:sz="0" w:space="0" w:color="auto"/>
            <w:left w:val="none" w:sz="0" w:space="0" w:color="auto"/>
            <w:bottom w:val="none" w:sz="0" w:space="0" w:color="auto"/>
            <w:right w:val="none" w:sz="0" w:space="0" w:color="auto"/>
          </w:divBdr>
          <w:divsChild>
            <w:div w:id="145898450">
              <w:marLeft w:val="0"/>
              <w:marRight w:val="0"/>
              <w:marTop w:val="0"/>
              <w:marBottom w:val="0"/>
              <w:divBdr>
                <w:top w:val="none" w:sz="0" w:space="0" w:color="auto"/>
                <w:left w:val="none" w:sz="0" w:space="0" w:color="auto"/>
                <w:bottom w:val="none" w:sz="0" w:space="0" w:color="auto"/>
                <w:right w:val="none" w:sz="0" w:space="0" w:color="auto"/>
              </w:divBdr>
            </w:div>
          </w:divsChild>
        </w:div>
        <w:div w:id="2145270580">
          <w:marLeft w:val="0"/>
          <w:marRight w:val="0"/>
          <w:marTop w:val="0"/>
          <w:marBottom w:val="0"/>
          <w:divBdr>
            <w:top w:val="none" w:sz="0" w:space="0" w:color="auto"/>
            <w:left w:val="none" w:sz="0" w:space="0" w:color="auto"/>
            <w:bottom w:val="none" w:sz="0" w:space="0" w:color="auto"/>
            <w:right w:val="none" w:sz="0" w:space="0" w:color="auto"/>
          </w:divBdr>
          <w:divsChild>
            <w:div w:id="56125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02673">
      <w:bodyDiv w:val="1"/>
      <w:marLeft w:val="0"/>
      <w:marRight w:val="0"/>
      <w:marTop w:val="0"/>
      <w:marBottom w:val="0"/>
      <w:divBdr>
        <w:top w:val="none" w:sz="0" w:space="0" w:color="auto"/>
        <w:left w:val="none" w:sz="0" w:space="0" w:color="auto"/>
        <w:bottom w:val="none" w:sz="0" w:space="0" w:color="auto"/>
        <w:right w:val="none" w:sz="0" w:space="0" w:color="auto"/>
      </w:divBdr>
    </w:div>
    <w:div w:id="1477530086">
      <w:bodyDiv w:val="1"/>
      <w:marLeft w:val="0"/>
      <w:marRight w:val="0"/>
      <w:marTop w:val="0"/>
      <w:marBottom w:val="0"/>
      <w:divBdr>
        <w:top w:val="none" w:sz="0" w:space="0" w:color="auto"/>
        <w:left w:val="none" w:sz="0" w:space="0" w:color="auto"/>
        <w:bottom w:val="none" w:sz="0" w:space="0" w:color="auto"/>
        <w:right w:val="none" w:sz="0" w:space="0" w:color="auto"/>
      </w:divBdr>
      <w:divsChild>
        <w:div w:id="1903640359">
          <w:marLeft w:val="0"/>
          <w:marRight w:val="0"/>
          <w:marTop w:val="0"/>
          <w:marBottom w:val="0"/>
          <w:divBdr>
            <w:top w:val="none" w:sz="0" w:space="0" w:color="auto"/>
            <w:left w:val="none" w:sz="0" w:space="0" w:color="auto"/>
            <w:bottom w:val="none" w:sz="0" w:space="0" w:color="auto"/>
            <w:right w:val="none" w:sz="0" w:space="0" w:color="auto"/>
          </w:divBdr>
          <w:divsChild>
            <w:div w:id="41721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91604">
      <w:bodyDiv w:val="1"/>
      <w:marLeft w:val="0"/>
      <w:marRight w:val="0"/>
      <w:marTop w:val="0"/>
      <w:marBottom w:val="0"/>
      <w:divBdr>
        <w:top w:val="none" w:sz="0" w:space="0" w:color="auto"/>
        <w:left w:val="none" w:sz="0" w:space="0" w:color="auto"/>
        <w:bottom w:val="none" w:sz="0" w:space="0" w:color="auto"/>
        <w:right w:val="none" w:sz="0" w:space="0" w:color="auto"/>
      </w:divBdr>
      <w:divsChild>
        <w:div w:id="1072116818">
          <w:marLeft w:val="446"/>
          <w:marRight w:val="0"/>
          <w:marTop w:val="0"/>
          <w:marBottom w:val="160"/>
          <w:divBdr>
            <w:top w:val="none" w:sz="0" w:space="0" w:color="auto"/>
            <w:left w:val="none" w:sz="0" w:space="0" w:color="auto"/>
            <w:bottom w:val="none" w:sz="0" w:space="0" w:color="auto"/>
            <w:right w:val="none" w:sz="0" w:space="0" w:color="auto"/>
          </w:divBdr>
        </w:div>
        <w:div w:id="1574317305">
          <w:marLeft w:val="446"/>
          <w:marRight w:val="0"/>
          <w:marTop w:val="0"/>
          <w:marBottom w:val="160"/>
          <w:divBdr>
            <w:top w:val="none" w:sz="0" w:space="0" w:color="auto"/>
            <w:left w:val="none" w:sz="0" w:space="0" w:color="auto"/>
            <w:bottom w:val="none" w:sz="0" w:space="0" w:color="auto"/>
            <w:right w:val="none" w:sz="0" w:space="0" w:color="auto"/>
          </w:divBdr>
        </w:div>
      </w:divsChild>
    </w:div>
    <w:div w:id="1492913546">
      <w:bodyDiv w:val="1"/>
      <w:marLeft w:val="0"/>
      <w:marRight w:val="0"/>
      <w:marTop w:val="0"/>
      <w:marBottom w:val="0"/>
      <w:divBdr>
        <w:top w:val="none" w:sz="0" w:space="0" w:color="auto"/>
        <w:left w:val="none" w:sz="0" w:space="0" w:color="auto"/>
        <w:bottom w:val="none" w:sz="0" w:space="0" w:color="auto"/>
        <w:right w:val="none" w:sz="0" w:space="0" w:color="auto"/>
      </w:divBdr>
    </w:div>
    <w:div w:id="1495417229">
      <w:bodyDiv w:val="1"/>
      <w:marLeft w:val="0"/>
      <w:marRight w:val="0"/>
      <w:marTop w:val="0"/>
      <w:marBottom w:val="0"/>
      <w:divBdr>
        <w:top w:val="none" w:sz="0" w:space="0" w:color="auto"/>
        <w:left w:val="none" w:sz="0" w:space="0" w:color="auto"/>
        <w:bottom w:val="none" w:sz="0" w:space="0" w:color="auto"/>
        <w:right w:val="none" w:sz="0" w:space="0" w:color="auto"/>
      </w:divBdr>
      <w:divsChild>
        <w:div w:id="28453514">
          <w:marLeft w:val="0"/>
          <w:marRight w:val="0"/>
          <w:marTop w:val="0"/>
          <w:marBottom w:val="0"/>
          <w:divBdr>
            <w:top w:val="none" w:sz="0" w:space="0" w:color="auto"/>
            <w:left w:val="none" w:sz="0" w:space="0" w:color="auto"/>
            <w:bottom w:val="none" w:sz="0" w:space="0" w:color="auto"/>
            <w:right w:val="none" w:sz="0" w:space="0" w:color="auto"/>
          </w:divBdr>
          <w:divsChild>
            <w:div w:id="1110006160">
              <w:marLeft w:val="0"/>
              <w:marRight w:val="0"/>
              <w:marTop w:val="0"/>
              <w:marBottom w:val="0"/>
              <w:divBdr>
                <w:top w:val="none" w:sz="0" w:space="0" w:color="auto"/>
                <w:left w:val="none" w:sz="0" w:space="0" w:color="auto"/>
                <w:bottom w:val="none" w:sz="0" w:space="0" w:color="auto"/>
                <w:right w:val="none" w:sz="0" w:space="0" w:color="auto"/>
              </w:divBdr>
            </w:div>
          </w:divsChild>
        </w:div>
        <w:div w:id="167870319">
          <w:marLeft w:val="0"/>
          <w:marRight w:val="0"/>
          <w:marTop w:val="0"/>
          <w:marBottom w:val="0"/>
          <w:divBdr>
            <w:top w:val="none" w:sz="0" w:space="0" w:color="auto"/>
            <w:left w:val="none" w:sz="0" w:space="0" w:color="auto"/>
            <w:bottom w:val="none" w:sz="0" w:space="0" w:color="auto"/>
            <w:right w:val="none" w:sz="0" w:space="0" w:color="auto"/>
          </w:divBdr>
          <w:divsChild>
            <w:div w:id="576552752">
              <w:marLeft w:val="0"/>
              <w:marRight w:val="0"/>
              <w:marTop w:val="0"/>
              <w:marBottom w:val="0"/>
              <w:divBdr>
                <w:top w:val="none" w:sz="0" w:space="0" w:color="auto"/>
                <w:left w:val="none" w:sz="0" w:space="0" w:color="auto"/>
                <w:bottom w:val="none" w:sz="0" w:space="0" w:color="auto"/>
                <w:right w:val="none" w:sz="0" w:space="0" w:color="auto"/>
              </w:divBdr>
            </w:div>
          </w:divsChild>
        </w:div>
        <w:div w:id="169414391">
          <w:marLeft w:val="0"/>
          <w:marRight w:val="0"/>
          <w:marTop w:val="0"/>
          <w:marBottom w:val="0"/>
          <w:divBdr>
            <w:top w:val="none" w:sz="0" w:space="0" w:color="auto"/>
            <w:left w:val="none" w:sz="0" w:space="0" w:color="auto"/>
            <w:bottom w:val="none" w:sz="0" w:space="0" w:color="auto"/>
            <w:right w:val="none" w:sz="0" w:space="0" w:color="auto"/>
          </w:divBdr>
          <w:divsChild>
            <w:div w:id="50034033">
              <w:marLeft w:val="0"/>
              <w:marRight w:val="0"/>
              <w:marTop w:val="0"/>
              <w:marBottom w:val="0"/>
              <w:divBdr>
                <w:top w:val="none" w:sz="0" w:space="0" w:color="auto"/>
                <w:left w:val="none" w:sz="0" w:space="0" w:color="auto"/>
                <w:bottom w:val="none" w:sz="0" w:space="0" w:color="auto"/>
                <w:right w:val="none" w:sz="0" w:space="0" w:color="auto"/>
              </w:divBdr>
            </w:div>
          </w:divsChild>
        </w:div>
        <w:div w:id="198862040">
          <w:marLeft w:val="0"/>
          <w:marRight w:val="0"/>
          <w:marTop w:val="0"/>
          <w:marBottom w:val="0"/>
          <w:divBdr>
            <w:top w:val="none" w:sz="0" w:space="0" w:color="auto"/>
            <w:left w:val="none" w:sz="0" w:space="0" w:color="auto"/>
            <w:bottom w:val="none" w:sz="0" w:space="0" w:color="auto"/>
            <w:right w:val="none" w:sz="0" w:space="0" w:color="auto"/>
          </w:divBdr>
          <w:divsChild>
            <w:div w:id="1959291154">
              <w:marLeft w:val="0"/>
              <w:marRight w:val="0"/>
              <w:marTop w:val="0"/>
              <w:marBottom w:val="0"/>
              <w:divBdr>
                <w:top w:val="none" w:sz="0" w:space="0" w:color="auto"/>
                <w:left w:val="none" w:sz="0" w:space="0" w:color="auto"/>
                <w:bottom w:val="none" w:sz="0" w:space="0" w:color="auto"/>
                <w:right w:val="none" w:sz="0" w:space="0" w:color="auto"/>
              </w:divBdr>
            </w:div>
          </w:divsChild>
        </w:div>
        <w:div w:id="229196684">
          <w:marLeft w:val="0"/>
          <w:marRight w:val="0"/>
          <w:marTop w:val="0"/>
          <w:marBottom w:val="0"/>
          <w:divBdr>
            <w:top w:val="none" w:sz="0" w:space="0" w:color="auto"/>
            <w:left w:val="none" w:sz="0" w:space="0" w:color="auto"/>
            <w:bottom w:val="none" w:sz="0" w:space="0" w:color="auto"/>
            <w:right w:val="none" w:sz="0" w:space="0" w:color="auto"/>
          </w:divBdr>
          <w:divsChild>
            <w:div w:id="494881077">
              <w:marLeft w:val="0"/>
              <w:marRight w:val="0"/>
              <w:marTop w:val="0"/>
              <w:marBottom w:val="0"/>
              <w:divBdr>
                <w:top w:val="none" w:sz="0" w:space="0" w:color="auto"/>
                <w:left w:val="none" w:sz="0" w:space="0" w:color="auto"/>
                <w:bottom w:val="none" w:sz="0" w:space="0" w:color="auto"/>
                <w:right w:val="none" w:sz="0" w:space="0" w:color="auto"/>
              </w:divBdr>
            </w:div>
          </w:divsChild>
        </w:div>
        <w:div w:id="296961005">
          <w:marLeft w:val="0"/>
          <w:marRight w:val="0"/>
          <w:marTop w:val="0"/>
          <w:marBottom w:val="0"/>
          <w:divBdr>
            <w:top w:val="none" w:sz="0" w:space="0" w:color="auto"/>
            <w:left w:val="none" w:sz="0" w:space="0" w:color="auto"/>
            <w:bottom w:val="none" w:sz="0" w:space="0" w:color="auto"/>
            <w:right w:val="none" w:sz="0" w:space="0" w:color="auto"/>
          </w:divBdr>
          <w:divsChild>
            <w:div w:id="1957252866">
              <w:marLeft w:val="0"/>
              <w:marRight w:val="0"/>
              <w:marTop w:val="0"/>
              <w:marBottom w:val="0"/>
              <w:divBdr>
                <w:top w:val="none" w:sz="0" w:space="0" w:color="auto"/>
                <w:left w:val="none" w:sz="0" w:space="0" w:color="auto"/>
                <w:bottom w:val="none" w:sz="0" w:space="0" w:color="auto"/>
                <w:right w:val="none" w:sz="0" w:space="0" w:color="auto"/>
              </w:divBdr>
            </w:div>
          </w:divsChild>
        </w:div>
        <w:div w:id="317344135">
          <w:marLeft w:val="0"/>
          <w:marRight w:val="0"/>
          <w:marTop w:val="0"/>
          <w:marBottom w:val="0"/>
          <w:divBdr>
            <w:top w:val="none" w:sz="0" w:space="0" w:color="auto"/>
            <w:left w:val="none" w:sz="0" w:space="0" w:color="auto"/>
            <w:bottom w:val="none" w:sz="0" w:space="0" w:color="auto"/>
            <w:right w:val="none" w:sz="0" w:space="0" w:color="auto"/>
          </w:divBdr>
          <w:divsChild>
            <w:div w:id="227497910">
              <w:marLeft w:val="0"/>
              <w:marRight w:val="0"/>
              <w:marTop w:val="0"/>
              <w:marBottom w:val="0"/>
              <w:divBdr>
                <w:top w:val="none" w:sz="0" w:space="0" w:color="auto"/>
                <w:left w:val="none" w:sz="0" w:space="0" w:color="auto"/>
                <w:bottom w:val="none" w:sz="0" w:space="0" w:color="auto"/>
                <w:right w:val="none" w:sz="0" w:space="0" w:color="auto"/>
              </w:divBdr>
            </w:div>
          </w:divsChild>
        </w:div>
        <w:div w:id="405961906">
          <w:marLeft w:val="0"/>
          <w:marRight w:val="0"/>
          <w:marTop w:val="0"/>
          <w:marBottom w:val="0"/>
          <w:divBdr>
            <w:top w:val="none" w:sz="0" w:space="0" w:color="auto"/>
            <w:left w:val="none" w:sz="0" w:space="0" w:color="auto"/>
            <w:bottom w:val="none" w:sz="0" w:space="0" w:color="auto"/>
            <w:right w:val="none" w:sz="0" w:space="0" w:color="auto"/>
          </w:divBdr>
          <w:divsChild>
            <w:div w:id="30692482">
              <w:marLeft w:val="0"/>
              <w:marRight w:val="0"/>
              <w:marTop w:val="0"/>
              <w:marBottom w:val="0"/>
              <w:divBdr>
                <w:top w:val="none" w:sz="0" w:space="0" w:color="auto"/>
                <w:left w:val="none" w:sz="0" w:space="0" w:color="auto"/>
                <w:bottom w:val="none" w:sz="0" w:space="0" w:color="auto"/>
                <w:right w:val="none" w:sz="0" w:space="0" w:color="auto"/>
              </w:divBdr>
            </w:div>
          </w:divsChild>
        </w:div>
        <w:div w:id="415175636">
          <w:marLeft w:val="0"/>
          <w:marRight w:val="0"/>
          <w:marTop w:val="0"/>
          <w:marBottom w:val="0"/>
          <w:divBdr>
            <w:top w:val="none" w:sz="0" w:space="0" w:color="auto"/>
            <w:left w:val="none" w:sz="0" w:space="0" w:color="auto"/>
            <w:bottom w:val="none" w:sz="0" w:space="0" w:color="auto"/>
            <w:right w:val="none" w:sz="0" w:space="0" w:color="auto"/>
          </w:divBdr>
          <w:divsChild>
            <w:div w:id="1974557916">
              <w:marLeft w:val="0"/>
              <w:marRight w:val="0"/>
              <w:marTop w:val="0"/>
              <w:marBottom w:val="0"/>
              <w:divBdr>
                <w:top w:val="none" w:sz="0" w:space="0" w:color="auto"/>
                <w:left w:val="none" w:sz="0" w:space="0" w:color="auto"/>
                <w:bottom w:val="none" w:sz="0" w:space="0" w:color="auto"/>
                <w:right w:val="none" w:sz="0" w:space="0" w:color="auto"/>
              </w:divBdr>
            </w:div>
          </w:divsChild>
        </w:div>
        <w:div w:id="444927566">
          <w:marLeft w:val="0"/>
          <w:marRight w:val="0"/>
          <w:marTop w:val="0"/>
          <w:marBottom w:val="0"/>
          <w:divBdr>
            <w:top w:val="none" w:sz="0" w:space="0" w:color="auto"/>
            <w:left w:val="none" w:sz="0" w:space="0" w:color="auto"/>
            <w:bottom w:val="none" w:sz="0" w:space="0" w:color="auto"/>
            <w:right w:val="none" w:sz="0" w:space="0" w:color="auto"/>
          </w:divBdr>
          <w:divsChild>
            <w:div w:id="1536967996">
              <w:marLeft w:val="0"/>
              <w:marRight w:val="0"/>
              <w:marTop w:val="0"/>
              <w:marBottom w:val="0"/>
              <w:divBdr>
                <w:top w:val="none" w:sz="0" w:space="0" w:color="auto"/>
                <w:left w:val="none" w:sz="0" w:space="0" w:color="auto"/>
                <w:bottom w:val="none" w:sz="0" w:space="0" w:color="auto"/>
                <w:right w:val="none" w:sz="0" w:space="0" w:color="auto"/>
              </w:divBdr>
            </w:div>
          </w:divsChild>
        </w:div>
        <w:div w:id="496463905">
          <w:marLeft w:val="0"/>
          <w:marRight w:val="0"/>
          <w:marTop w:val="0"/>
          <w:marBottom w:val="0"/>
          <w:divBdr>
            <w:top w:val="none" w:sz="0" w:space="0" w:color="auto"/>
            <w:left w:val="none" w:sz="0" w:space="0" w:color="auto"/>
            <w:bottom w:val="none" w:sz="0" w:space="0" w:color="auto"/>
            <w:right w:val="none" w:sz="0" w:space="0" w:color="auto"/>
          </w:divBdr>
          <w:divsChild>
            <w:div w:id="159081973">
              <w:marLeft w:val="0"/>
              <w:marRight w:val="0"/>
              <w:marTop w:val="0"/>
              <w:marBottom w:val="0"/>
              <w:divBdr>
                <w:top w:val="none" w:sz="0" w:space="0" w:color="auto"/>
                <w:left w:val="none" w:sz="0" w:space="0" w:color="auto"/>
                <w:bottom w:val="none" w:sz="0" w:space="0" w:color="auto"/>
                <w:right w:val="none" w:sz="0" w:space="0" w:color="auto"/>
              </w:divBdr>
            </w:div>
          </w:divsChild>
        </w:div>
        <w:div w:id="539633129">
          <w:marLeft w:val="0"/>
          <w:marRight w:val="0"/>
          <w:marTop w:val="0"/>
          <w:marBottom w:val="0"/>
          <w:divBdr>
            <w:top w:val="none" w:sz="0" w:space="0" w:color="auto"/>
            <w:left w:val="none" w:sz="0" w:space="0" w:color="auto"/>
            <w:bottom w:val="none" w:sz="0" w:space="0" w:color="auto"/>
            <w:right w:val="none" w:sz="0" w:space="0" w:color="auto"/>
          </w:divBdr>
          <w:divsChild>
            <w:div w:id="1784184678">
              <w:marLeft w:val="0"/>
              <w:marRight w:val="0"/>
              <w:marTop w:val="0"/>
              <w:marBottom w:val="0"/>
              <w:divBdr>
                <w:top w:val="none" w:sz="0" w:space="0" w:color="auto"/>
                <w:left w:val="none" w:sz="0" w:space="0" w:color="auto"/>
                <w:bottom w:val="none" w:sz="0" w:space="0" w:color="auto"/>
                <w:right w:val="none" w:sz="0" w:space="0" w:color="auto"/>
              </w:divBdr>
            </w:div>
          </w:divsChild>
        </w:div>
        <w:div w:id="585312475">
          <w:marLeft w:val="0"/>
          <w:marRight w:val="0"/>
          <w:marTop w:val="0"/>
          <w:marBottom w:val="0"/>
          <w:divBdr>
            <w:top w:val="none" w:sz="0" w:space="0" w:color="auto"/>
            <w:left w:val="none" w:sz="0" w:space="0" w:color="auto"/>
            <w:bottom w:val="none" w:sz="0" w:space="0" w:color="auto"/>
            <w:right w:val="none" w:sz="0" w:space="0" w:color="auto"/>
          </w:divBdr>
          <w:divsChild>
            <w:div w:id="1730761017">
              <w:marLeft w:val="0"/>
              <w:marRight w:val="0"/>
              <w:marTop w:val="0"/>
              <w:marBottom w:val="0"/>
              <w:divBdr>
                <w:top w:val="none" w:sz="0" w:space="0" w:color="auto"/>
                <w:left w:val="none" w:sz="0" w:space="0" w:color="auto"/>
                <w:bottom w:val="none" w:sz="0" w:space="0" w:color="auto"/>
                <w:right w:val="none" w:sz="0" w:space="0" w:color="auto"/>
              </w:divBdr>
            </w:div>
          </w:divsChild>
        </w:div>
        <w:div w:id="594633496">
          <w:marLeft w:val="0"/>
          <w:marRight w:val="0"/>
          <w:marTop w:val="0"/>
          <w:marBottom w:val="0"/>
          <w:divBdr>
            <w:top w:val="none" w:sz="0" w:space="0" w:color="auto"/>
            <w:left w:val="none" w:sz="0" w:space="0" w:color="auto"/>
            <w:bottom w:val="none" w:sz="0" w:space="0" w:color="auto"/>
            <w:right w:val="none" w:sz="0" w:space="0" w:color="auto"/>
          </w:divBdr>
          <w:divsChild>
            <w:div w:id="1495221140">
              <w:marLeft w:val="0"/>
              <w:marRight w:val="0"/>
              <w:marTop w:val="0"/>
              <w:marBottom w:val="0"/>
              <w:divBdr>
                <w:top w:val="none" w:sz="0" w:space="0" w:color="auto"/>
                <w:left w:val="none" w:sz="0" w:space="0" w:color="auto"/>
                <w:bottom w:val="none" w:sz="0" w:space="0" w:color="auto"/>
                <w:right w:val="none" w:sz="0" w:space="0" w:color="auto"/>
              </w:divBdr>
            </w:div>
          </w:divsChild>
        </w:div>
        <w:div w:id="754285447">
          <w:marLeft w:val="0"/>
          <w:marRight w:val="0"/>
          <w:marTop w:val="0"/>
          <w:marBottom w:val="0"/>
          <w:divBdr>
            <w:top w:val="none" w:sz="0" w:space="0" w:color="auto"/>
            <w:left w:val="none" w:sz="0" w:space="0" w:color="auto"/>
            <w:bottom w:val="none" w:sz="0" w:space="0" w:color="auto"/>
            <w:right w:val="none" w:sz="0" w:space="0" w:color="auto"/>
          </w:divBdr>
          <w:divsChild>
            <w:div w:id="2027824699">
              <w:marLeft w:val="0"/>
              <w:marRight w:val="0"/>
              <w:marTop w:val="0"/>
              <w:marBottom w:val="0"/>
              <w:divBdr>
                <w:top w:val="none" w:sz="0" w:space="0" w:color="auto"/>
                <w:left w:val="none" w:sz="0" w:space="0" w:color="auto"/>
                <w:bottom w:val="none" w:sz="0" w:space="0" w:color="auto"/>
                <w:right w:val="none" w:sz="0" w:space="0" w:color="auto"/>
              </w:divBdr>
            </w:div>
          </w:divsChild>
        </w:div>
        <w:div w:id="808592641">
          <w:marLeft w:val="0"/>
          <w:marRight w:val="0"/>
          <w:marTop w:val="0"/>
          <w:marBottom w:val="0"/>
          <w:divBdr>
            <w:top w:val="none" w:sz="0" w:space="0" w:color="auto"/>
            <w:left w:val="none" w:sz="0" w:space="0" w:color="auto"/>
            <w:bottom w:val="none" w:sz="0" w:space="0" w:color="auto"/>
            <w:right w:val="none" w:sz="0" w:space="0" w:color="auto"/>
          </w:divBdr>
          <w:divsChild>
            <w:div w:id="1125001280">
              <w:marLeft w:val="0"/>
              <w:marRight w:val="0"/>
              <w:marTop w:val="0"/>
              <w:marBottom w:val="0"/>
              <w:divBdr>
                <w:top w:val="none" w:sz="0" w:space="0" w:color="auto"/>
                <w:left w:val="none" w:sz="0" w:space="0" w:color="auto"/>
                <w:bottom w:val="none" w:sz="0" w:space="0" w:color="auto"/>
                <w:right w:val="none" w:sz="0" w:space="0" w:color="auto"/>
              </w:divBdr>
            </w:div>
          </w:divsChild>
        </w:div>
        <w:div w:id="834958992">
          <w:marLeft w:val="0"/>
          <w:marRight w:val="0"/>
          <w:marTop w:val="0"/>
          <w:marBottom w:val="0"/>
          <w:divBdr>
            <w:top w:val="none" w:sz="0" w:space="0" w:color="auto"/>
            <w:left w:val="none" w:sz="0" w:space="0" w:color="auto"/>
            <w:bottom w:val="none" w:sz="0" w:space="0" w:color="auto"/>
            <w:right w:val="none" w:sz="0" w:space="0" w:color="auto"/>
          </w:divBdr>
          <w:divsChild>
            <w:div w:id="612517721">
              <w:marLeft w:val="0"/>
              <w:marRight w:val="0"/>
              <w:marTop w:val="0"/>
              <w:marBottom w:val="0"/>
              <w:divBdr>
                <w:top w:val="none" w:sz="0" w:space="0" w:color="auto"/>
                <w:left w:val="none" w:sz="0" w:space="0" w:color="auto"/>
                <w:bottom w:val="none" w:sz="0" w:space="0" w:color="auto"/>
                <w:right w:val="none" w:sz="0" w:space="0" w:color="auto"/>
              </w:divBdr>
            </w:div>
          </w:divsChild>
        </w:div>
        <w:div w:id="846015742">
          <w:marLeft w:val="0"/>
          <w:marRight w:val="0"/>
          <w:marTop w:val="0"/>
          <w:marBottom w:val="0"/>
          <w:divBdr>
            <w:top w:val="none" w:sz="0" w:space="0" w:color="auto"/>
            <w:left w:val="none" w:sz="0" w:space="0" w:color="auto"/>
            <w:bottom w:val="none" w:sz="0" w:space="0" w:color="auto"/>
            <w:right w:val="none" w:sz="0" w:space="0" w:color="auto"/>
          </w:divBdr>
          <w:divsChild>
            <w:div w:id="2017073779">
              <w:marLeft w:val="0"/>
              <w:marRight w:val="0"/>
              <w:marTop w:val="0"/>
              <w:marBottom w:val="0"/>
              <w:divBdr>
                <w:top w:val="none" w:sz="0" w:space="0" w:color="auto"/>
                <w:left w:val="none" w:sz="0" w:space="0" w:color="auto"/>
                <w:bottom w:val="none" w:sz="0" w:space="0" w:color="auto"/>
                <w:right w:val="none" w:sz="0" w:space="0" w:color="auto"/>
              </w:divBdr>
            </w:div>
          </w:divsChild>
        </w:div>
        <w:div w:id="933627771">
          <w:marLeft w:val="0"/>
          <w:marRight w:val="0"/>
          <w:marTop w:val="0"/>
          <w:marBottom w:val="0"/>
          <w:divBdr>
            <w:top w:val="none" w:sz="0" w:space="0" w:color="auto"/>
            <w:left w:val="none" w:sz="0" w:space="0" w:color="auto"/>
            <w:bottom w:val="none" w:sz="0" w:space="0" w:color="auto"/>
            <w:right w:val="none" w:sz="0" w:space="0" w:color="auto"/>
          </w:divBdr>
          <w:divsChild>
            <w:div w:id="1232279048">
              <w:marLeft w:val="0"/>
              <w:marRight w:val="0"/>
              <w:marTop w:val="0"/>
              <w:marBottom w:val="0"/>
              <w:divBdr>
                <w:top w:val="none" w:sz="0" w:space="0" w:color="auto"/>
                <w:left w:val="none" w:sz="0" w:space="0" w:color="auto"/>
                <w:bottom w:val="none" w:sz="0" w:space="0" w:color="auto"/>
                <w:right w:val="none" w:sz="0" w:space="0" w:color="auto"/>
              </w:divBdr>
            </w:div>
          </w:divsChild>
        </w:div>
        <w:div w:id="940797604">
          <w:marLeft w:val="0"/>
          <w:marRight w:val="0"/>
          <w:marTop w:val="0"/>
          <w:marBottom w:val="0"/>
          <w:divBdr>
            <w:top w:val="none" w:sz="0" w:space="0" w:color="auto"/>
            <w:left w:val="none" w:sz="0" w:space="0" w:color="auto"/>
            <w:bottom w:val="none" w:sz="0" w:space="0" w:color="auto"/>
            <w:right w:val="none" w:sz="0" w:space="0" w:color="auto"/>
          </w:divBdr>
          <w:divsChild>
            <w:div w:id="128911432">
              <w:marLeft w:val="0"/>
              <w:marRight w:val="0"/>
              <w:marTop w:val="0"/>
              <w:marBottom w:val="0"/>
              <w:divBdr>
                <w:top w:val="none" w:sz="0" w:space="0" w:color="auto"/>
                <w:left w:val="none" w:sz="0" w:space="0" w:color="auto"/>
                <w:bottom w:val="none" w:sz="0" w:space="0" w:color="auto"/>
                <w:right w:val="none" w:sz="0" w:space="0" w:color="auto"/>
              </w:divBdr>
            </w:div>
          </w:divsChild>
        </w:div>
        <w:div w:id="1152410458">
          <w:marLeft w:val="0"/>
          <w:marRight w:val="0"/>
          <w:marTop w:val="0"/>
          <w:marBottom w:val="0"/>
          <w:divBdr>
            <w:top w:val="none" w:sz="0" w:space="0" w:color="auto"/>
            <w:left w:val="none" w:sz="0" w:space="0" w:color="auto"/>
            <w:bottom w:val="none" w:sz="0" w:space="0" w:color="auto"/>
            <w:right w:val="none" w:sz="0" w:space="0" w:color="auto"/>
          </w:divBdr>
          <w:divsChild>
            <w:div w:id="355035358">
              <w:marLeft w:val="0"/>
              <w:marRight w:val="0"/>
              <w:marTop w:val="0"/>
              <w:marBottom w:val="0"/>
              <w:divBdr>
                <w:top w:val="none" w:sz="0" w:space="0" w:color="auto"/>
                <w:left w:val="none" w:sz="0" w:space="0" w:color="auto"/>
                <w:bottom w:val="none" w:sz="0" w:space="0" w:color="auto"/>
                <w:right w:val="none" w:sz="0" w:space="0" w:color="auto"/>
              </w:divBdr>
            </w:div>
          </w:divsChild>
        </w:div>
        <w:div w:id="1212383066">
          <w:marLeft w:val="0"/>
          <w:marRight w:val="0"/>
          <w:marTop w:val="0"/>
          <w:marBottom w:val="0"/>
          <w:divBdr>
            <w:top w:val="none" w:sz="0" w:space="0" w:color="auto"/>
            <w:left w:val="none" w:sz="0" w:space="0" w:color="auto"/>
            <w:bottom w:val="none" w:sz="0" w:space="0" w:color="auto"/>
            <w:right w:val="none" w:sz="0" w:space="0" w:color="auto"/>
          </w:divBdr>
          <w:divsChild>
            <w:div w:id="1807578239">
              <w:marLeft w:val="0"/>
              <w:marRight w:val="0"/>
              <w:marTop w:val="0"/>
              <w:marBottom w:val="0"/>
              <w:divBdr>
                <w:top w:val="none" w:sz="0" w:space="0" w:color="auto"/>
                <w:left w:val="none" w:sz="0" w:space="0" w:color="auto"/>
                <w:bottom w:val="none" w:sz="0" w:space="0" w:color="auto"/>
                <w:right w:val="none" w:sz="0" w:space="0" w:color="auto"/>
              </w:divBdr>
            </w:div>
          </w:divsChild>
        </w:div>
        <w:div w:id="1251427495">
          <w:marLeft w:val="0"/>
          <w:marRight w:val="0"/>
          <w:marTop w:val="0"/>
          <w:marBottom w:val="0"/>
          <w:divBdr>
            <w:top w:val="none" w:sz="0" w:space="0" w:color="auto"/>
            <w:left w:val="none" w:sz="0" w:space="0" w:color="auto"/>
            <w:bottom w:val="none" w:sz="0" w:space="0" w:color="auto"/>
            <w:right w:val="none" w:sz="0" w:space="0" w:color="auto"/>
          </w:divBdr>
          <w:divsChild>
            <w:div w:id="522746814">
              <w:marLeft w:val="0"/>
              <w:marRight w:val="0"/>
              <w:marTop w:val="0"/>
              <w:marBottom w:val="0"/>
              <w:divBdr>
                <w:top w:val="none" w:sz="0" w:space="0" w:color="auto"/>
                <w:left w:val="none" w:sz="0" w:space="0" w:color="auto"/>
                <w:bottom w:val="none" w:sz="0" w:space="0" w:color="auto"/>
                <w:right w:val="none" w:sz="0" w:space="0" w:color="auto"/>
              </w:divBdr>
            </w:div>
          </w:divsChild>
        </w:div>
        <w:div w:id="1272082697">
          <w:marLeft w:val="0"/>
          <w:marRight w:val="0"/>
          <w:marTop w:val="0"/>
          <w:marBottom w:val="0"/>
          <w:divBdr>
            <w:top w:val="none" w:sz="0" w:space="0" w:color="auto"/>
            <w:left w:val="none" w:sz="0" w:space="0" w:color="auto"/>
            <w:bottom w:val="none" w:sz="0" w:space="0" w:color="auto"/>
            <w:right w:val="none" w:sz="0" w:space="0" w:color="auto"/>
          </w:divBdr>
          <w:divsChild>
            <w:div w:id="1576935738">
              <w:marLeft w:val="0"/>
              <w:marRight w:val="0"/>
              <w:marTop w:val="0"/>
              <w:marBottom w:val="0"/>
              <w:divBdr>
                <w:top w:val="none" w:sz="0" w:space="0" w:color="auto"/>
                <w:left w:val="none" w:sz="0" w:space="0" w:color="auto"/>
                <w:bottom w:val="none" w:sz="0" w:space="0" w:color="auto"/>
                <w:right w:val="none" w:sz="0" w:space="0" w:color="auto"/>
              </w:divBdr>
            </w:div>
          </w:divsChild>
        </w:div>
        <w:div w:id="1272318739">
          <w:marLeft w:val="0"/>
          <w:marRight w:val="0"/>
          <w:marTop w:val="0"/>
          <w:marBottom w:val="0"/>
          <w:divBdr>
            <w:top w:val="none" w:sz="0" w:space="0" w:color="auto"/>
            <w:left w:val="none" w:sz="0" w:space="0" w:color="auto"/>
            <w:bottom w:val="none" w:sz="0" w:space="0" w:color="auto"/>
            <w:right w:val="none" w:sz="0" w:space="0" w:color="auto"/>
          </w:divBdr>
          <w:divsChild>
            <w:div w:id="2084445958">
              <w:marLeft w:val="0"/>
              <w:marRight w:val="0"/>
              <w:marTop w:val="0"/>
              <w:marBottom w:val="0"/>
              <w:divBdr>
                <w:top w:val="none" w:sz="0" w:space="0" w:color="auto"/>
                <w:left w:val="none" w:sz="0" w:space="0" w:color="auto"/>
                <w:bottom w:val="none" w:sz="0" w:space="0" w:color="auto"/>
                <w:right w:val="none" w:sz="0" w:space="0" w:color="auto"/>
              </w:divBdr>
            </w:div>
          </w:divsChild>
        </w:div>
        <w:div w:id="1290090517">
          <w:marLeft w:val="0"/>
          <w:marRight w:val="0"/>
          <w:marTop w:val="0"/>
          <w:marBottom w:val="0"/>
          <w:divBdr>
            <w:top w:val="none" w:sz="0" w:space="0" w:color="auto"/>
            <w:left w:val="none" w:sz="0" w:space="0" w:color="auto"/>
            <w:bottom w:val="none" w:sz="0" w:space="0" w:color="auto"/>
            <w:right w:val="none" w:sz="0" w:space="0" w:color="auto"/>
          </w:divBdr>
          <w:divsChild>
            <w:div w:id="341202485">
              <w:marLeft w:val="0"/>
              <w:marRight w:val="0"/>
              <w:marTop w:val="0"/>
              <w:marBottom w:val="0"/>
              <w:divBdr>
                <w:top w:val="none" w:sz="0" w:space="0" w:color="auto"/>
                <w:left w:val="none" w:sz="0" w:space="0" w:color="auto"/>
                <w:bottom w:val="none" w:sz="0" w:space="0" w:color="auto"/>
                <w:right w:val="none" w:sz="0" w:space="0" w:color="auto"/>
              </w:divBdr>
            </w:div>
          </w:divsChild>
        </w:div>
        <w:div w:id="1345354240">
          <w:marLeft w:val="0"/>
          <w:marRight w:val="0"/>
          <w:marTop w:val="0"/>
          <w:marBottom w:val="0"/>
          <w:divBdr>
            <w:top w:val="none" w:sz="0" w:space="0" w:color="auto"/>
            <w:left w:val="none" w:sz="0" w:space="0" w:color="auto"/>
            <w:bottom w:val="none" w:sz="0" w:space="0" w:color="auto"/>
            <w:right w:val="none" w:sz="0" w:space="0" w:color="auto"/>
          </w:divBdr>
          <w:divsChild>
            <w:div w:id="361518278">
              <w:marLeft w:val="0"/>
              <w:marRight w:val="0"/>
              <w:marTop w:val="0"/>
              <w:marBottom w:val="0"/>
              <w:divBdr>
                <w:top w:val="none" w:sz="0" w:space="0" w:color="auto"/>
                <w:left w:val="none" w:sz="0" w:space="0" w:color="auto"/>
                <w:bottom w:val="none" w:sz="0" w:space="0" w:color="auto"/>
                <w:right w:val="none" w:sz="0" w:space="0" w:color="auto"/>
              </w:divBdr>
            </w:div>
          </w:divsChild>
        </w:div>
        <w:div w:id="1350060829">
          <w:marLeft w:val="0"/>
          <w:marRight w:val="0"/>
          <w:marTop w:val="0"/>
          <w:marBottom w:val="0"/>
          <w:divBdr>
            <w:top w:val="none" w:sz="0" w:space="0" w:color="auto"/>
            <w:left w:val="none" w:sz="0" w:space="0" w:color="auto"/>
            <w:bottom w:val="none" w:sz="0" w:space="0" w:color="auto"/>
            <w:right w:val="none" w:sz="0" w:space="0" w:color="auto"/>
          </w:divBdr>
          <w:divsChild>
            <w:div w:id="2011833499">
              <w:marLeft w:val="0"/>
              <w:marRight w:val="0"/>
              <w:marTop w:val="0"/>
              <w:marBottom w:val="0"/>
              <w:divBdr>
                <w:top w:val="none" w:sz="0" w:space="0" w:color="auto"/>
                <w:left w:val="none" w:sz="0" w:space="0" w:color="auto"/>
                <w:bottom w:val="none" w:sz="0" w:space="0" w:color="auto"/>
                <w:right w:val="none" w:sz="0" w:space="0" w:color="auto"/>
              </w:divBdr>
            </w:div>
          </w:divsChild>
        </w:div>
        <w:div w:id="1400398538">
          <w:marLeft w:val="0"/>
          <w:marRight w:val="0"/>
          <w:marTop w:val="0"/>
          <w:marBottom w:val="0"/>
          <w:divBdr>
            <w:top w:val="none" w:sz="0" w:space="0" w:color="auto"/>
            <w:left w:val="none" w:sz="0" w:space="0" w:color="auto"/>
            <w:bottom w:val="none" w:sz="0" w:space="0" w:color="auto"/>
            <w:right w:val="none" w:sz="0" w:space="0" w:color="auto"/>
          </w:divBdr>
          <w:divsChild>
            <w:div w:id="1900431941">
              <w:marLeft w:val="0"/>
              <w:marRight w:val="0"/>
              <w:marTop w:val="0"/>
              <w:marBottom w:val="0"/>
              <w:divBdr>
                <w:top w:val="none" w:sz="0" w:space="0" w:color="auto"/>
                <w:left w:val="none" w:sz="0" w:space="0" w:color="auto"/>
                <w:bottom w:val="none" w:sz="0" w:space="0" w:color="auto"/>
                <w:right w:val="none" w:sz="0" w:space="0" w:color="auto"/>
              </w:divBdr>
            </w:div>
          </w:divsChild>
        </w:div>
        <w:div w:id="1417243363">
          <w:marLeft w:val="0"/>
          <w:marRight w:val="0"/>
          <w:marTop w:val="0"/>
          <w:marBottom w:val="0"/>
          <w:divBdr>
            <w:top w:val="none" w:sz="0" w:space="0" w:color="auto"/>
            <w:left w:val="none" w:sz="0" w:space="0" w:color="auto"/>
            <w:bottom w:val="none" w:sz="0" w:space="0" w:color="auto"/>
            <w:right w:val="none" w:sz="0" w:space="0" w:color="auto"/>
          </w:divBdr>
          <w:divsChild>
            <w:div w:id="1458257426">
              <w:marLeft w:val="0"/>
              <w:marRight w:val="0"/>
              <w:marTop w:val="0"/>
              <w:marBottom w:val="0"/>
              <w:divBdr>
                <w:top w:val="none" w:sz="0" w:space="0" w:color="auto"/>
                <w:left w:val="none" w:sz="0" w:space="0" w:color="auto"/>
                <w:bottom w:val="none" w:sz="0" w:space="0" w:color="auto"/>
                <w:right w:val="none" w:sz="0" w:space="0" w:color="auto"/>
              </w:divBdr>
            </w:div>
          </w:divsChild>
        </w:div>
        <w:div w:id="1433355360">
          <w:marLeft w:val="0"/>
          <w:marRight w:val="0"/>
          <w:marTop w:val="0"/>
          <w:marBottom w:val="0"/>
          <w:divBdr>
            <w:top w:val="none" w:sz="0" w:space="0" w:color="auto"/>
            <w:left w:val="none" w:sz="0" w:space="0" w:color="auto"/>
            <w:bottom w:val="none" w:sz="0" w:space="0" w:color="auto"/>
            <w:right w:val="none" w:sz="0" w:space="0" w:color="auto"/>
          </w:divBdr>
          <w:divsChild>
            <w:div w:id="1354845021">
              <w:marLeft w:val="0"/>
              <w:marRight w:val="0"/>
              <w:marTop w:val="0"/>
              <w:marBottom w:val="0"/>
              <w:divBdr>
                <w:top w:val="none" w:sz="0" w:space="0" w:color="auto"/>
                <w:left w:val="none" w:sz="0" w:space="0" w:color="auto"/>
                <w:bottom w:val="none" w:sz="0" w:space="0" w:color="auto"/>
                <w:right w:val="none" w:sz="0" w:space="0" w:color="auto"/>
              </w:divBdr>
            </w:div>
          </w:divsChild>
        </w:div>
        <w:div w:id="1470125175">
          <w:marLeft w:val="0"/>
          <w:marRight w:val="0"/>
          <w:marTop w:val="0"/>
          <w:marBottom w:val="0"/>
          <w:divBdr>
            <w:top w:val="none" w:sz="0" w:space="0" w:color="auto"/>
            <w:left w:val="none" w:sz="0" w:space="0" w:color="auto"/>
            <w:bottom w:val="none" w:sz="0" w:space="0" w:color="auto"/>
            <w:right w:val="none" w:sz="0" w:space="0" w:color="auto"/>
          </w:divBdr>
          <w:divsChild>
            <w:div w:id="1685285277">
              <w:marLeft w:val="0"/>
              <w:marRight w:val="0"/>
              <w:marTop w:val="0"/>
              <w:marBottom w:val="0"/>
              <w:divBdr>
                <w:top w:val="none" w:sz="0" w:space="0" w:color="auto"/>
                <w:left w:val="none" w:sz="0" w:space="0" w:color="auto"/>
                <w:bottom w:val="none" w:sz="0" w:space="0" w:color="auto"/>
                <w:right w:val="none" w:sz="0" w:space="0" w:color="auto"/>
              </w:divBdr>
            </w:div>
          </w:divsChild>
        </w:div>
        <w:div w:id="1526559895">
          <w:marLeft w:val="0"/>
          <w:marRight w:val="0"/>
          <w:marTop w:val="0"/>
          <w:marBottom w:val="0"/>
          <w:divBdr>
            <w:top w:val="none" w:sz="0" w:space="0" w:color="auto"/>
            <w:left w:val="none" w:sz="0" w:space="0" w:color="auto"/>
            <w:bottom w:val="none" w:sz="0" w:space="0" w:color="auto"/>
            <w:right w:val="none" w:sz="0" w:space="0" w:color="auto"/>
          </w:divBdr>
          <w:divsChild>
            <w:div w:id="1231307710">
              <w:marLeft w:val="0"/>
              <w:marRight w:val="0"/>
              <w:marTop w:val="0"/>
              <w:marBottom w:val="0"/>
              <w:divBdr>
                <w:top w:val="none" w:sz="0" w:space="0" w:color="auto"/>
                <w:left w:val="none" w:sz="0" w:space="0" w:color="auto"/>
                <w:bottom w:val="none" w:sz="0" w:space="0" w:color="auto"/>
                <w:right w:val="none" w:sz="0" w:space="0" w:color="auto"/>
              </w:divBdr>
            </w:div>
          </w:divsChild>
        </w:div>
        <w:div w:id="1598440209">
          <w:marLeft w:val="0"/>
          <w:marRight w:val="0"/>
          <w:marTop w:val="0"/>
          <w:marBottom w:val="0"/>
          <w:divBdr>
            <w:top w:val="none" w:sz="0" w:space="0" w:color="auto"/>
            <w:left w:val="none" w:sz="0" w:space="0" w:color="auto"/>
            <w:bottom w:val="none" w:sz="0" w:space="0" w:color="auto"/>
            <w:right w:val="none" w:sz="0" w:space="0" w:color="auto"/>
          </w:divBdr>
          <w:divsChild>
            <w:div w:id="458845844">
              <w:marLeft w:val="0"/>
              <w:marRight w:val="0"/>
              <w:marTop w:val="0"/>
              <w:marBottom w:val="0"/>
              <w:divBdr>
                <w:top w:val="none" w:sz="0" w:space="0" w:color="auto"/>
                <w:left w:val="none" w:sz="0" w:space="0" w:color="auto"/>
                <w:bottom w:val="none" w:sz="0" w:space="0" w:color="auto"/>
                <w:right w:val="none" w:sz="0" w:space="0" w:color="auto"/>
              </w:divBdr>
            </w:div>
          </w:divsChild>
        </w:div>
        <w:div w:id="1726565240">
          <w:marLeft w:val="0"/>
          <w:marRight w:val="0"/>
          <w:marTop w:val="0"/>
          <w:marBottom w:val="0"/>
          <w:divBdr>
            <w:top w:val="none" w:sz="0" w:space="0" w:color="auto"/>
            <w:left w:val="none" w:sz="0" w:space="0" w:color="auto"/>
            <w:bottom w:val="none" w:sz="0" w:space="0" w:color="auto"/>
            <w:right w:val="none" w:sz="0" w:space="0" w:color="auto"/>
          </w:divBdr>
          <w:divsChild>
            <w:div w:id="1136988040">
              <w:marLeft w:val="0"/>
              <w:marRight w:val="0"/>
              <w:marTop w:val="0"/>
              <w:marBottom w:val="0"/>
              <w:divBdr>
                <w:top w:val="none" w:sz="0" w:space="0" w:color="auto"/>
                <w:left w:val="none" w:sz="0" w:space="0" w:color="auto"/>
                <w:bottom w:val="none" w:sz="0" w:space="0" w:color="auto"/>
                <w:right w:val="none" w:sz="0" w:space="0" w:color="auto"/>
              </w:divBdr>
            </w:div>
          </w:divsChild>
        </w:div>
        <w:div w:id="1928540896">
          <w:marLeft w:val="0"/>
          <w:marRight w:val="0"/>
          <w:marTop w:val="0"/>
          <w:marBottom w:val="0"/>
          <w:divBdr>
            <w:top w:val="none" w:sz="0" w:space="0" w:color="auto"/>
            <w:left w:val="none" w:sz="0" w:space="0" w:color="auto"/>
            <w:bottom w:val="none" w:sz="0" w:space="0" w:color="auto"/>
            <w:right w:val="none" w:sz="0" w:space="0" w:color="auto"/>
          </w:divBdr>
          <w:divsChild>
            <w:div w:id="866332188">
              <w:marLeft w:val="0"/>
              <w:marRight w:val="0"/>
              <w:marTop w:val="0"/>
              <w:marBottom w:val="0"/>
              <w:divBdr>
                <w:top w:val="none" w:sz="0" w:space="0" w:color="auto"/>
                <w:left w:val="none" w:sz="0" w:space="0" w:color="auto"/>
                <w:bottom w:val="none" w:sz="0" w:space="0" w:color="auto"/>
                <w:right w:val="none" w:sz="0" w:space="0" w:color="auto"/>
              </w:divBdr>
            </w:div>
          </w:divsChild>
        </w:div>
        <w:div w:id="1930313412">
          <w:marLeft w:val="0"/>
          <w:marRight w:val="0"/>
          <w:marTop w:val="0"/>
          <w:marBottom w:val="0"/>
          <w:divBdr>
            <w:top w:val="none" w:sz="0" w:space="0" w:color="auto"/>
            <w:left w:val="none" w:sz="0" w:space="0" w:color="auto"/>
            <w:bottom w:val="none" w:sz="0" w:space="0" w:color="auto"/>
            <w:right w:val="none" w:sz="0" w:space="0" w:color="auto"/>
          </w:divBdr>
          <w:divsChild>
            <w:div w:id="1253783322">
              <w:marLeft w:val="0"/>
              <w:marRight w:val="0"/>
              <w:marTop w:val="0"/>
              <w:marBottom w:val="0"/>
              <w:divBdr>
                <w:top w:val="none" w:sz="0" w:space="0" w:color="auto"/>
                <w:left w:val="none" w:sz="0" w:space="0" w:color="auto"/>
                <w:bottom w:val="none" w:sz="0" w:space="0" w:color="auto"/>
                <w:right w:val="none" w:sz="0" w:space="0" w:color="auto"/>
              </w:divBdr>
            </w:div>
          </w:divsChild>
        </w:div>
        <w:div w:id="1946695511">
          <w:marLeft w:val="0"/>
          <w:marRight w:val="0"/>
          <w:marTop w:val="0"/>
          <w:marBottom w:val="0"/>
          <w:divBdr>
            <w:top w:val="none" w:sz="0" w:space="0" w:color="auto"/>
            <w:left w:val="none" w:sz="0" w:space="0" w:color="auto"/>
            <w:bottom w:val="none" w:sz="0" w:space="0" w:color="auto"/>
            <w:right w:val="none" w:sz="0" w:space="0" w:color="auto"/>
          </w:divBdr>
          <w:divsChild>
            <w:div w:id="1569610604">
              <w:marLeft w:val="0"/>
              <w:marRight w:val="0"/>
              <w:marTop w:val="0"/>
              <w:marBottom w:val="0"/>
              <w:divBdr>
                <w:top w:val="none" w:sz="0" w:space="0" w:color="auto"/>
                <w:left w:val="none" w:sz="0" w:space="0" w:color="auto"/>
                <w:bottom w:val="none" w:sz="0" w:space="0" w:color="auto"/>
                <w:right w:val="none" w:sz="0" w:space="0" w:color="auto"/>
              </w:divBdr>
            </w:div>
          </w:divsChild>
        </w:div>
        <w:div w:id="2009627526">
          <w:marLeft w:val="0"/>
          <w:marRight w:val="0"/>
          <w:marTop w:val="0"/>
          <w:marBottom w:val="0"/>
          <w:divBdr>
            <w:top w:val="none" w:sz="0" w:space="0" w:color="auto"/>
            <w:left w:val="none" w:sz="0" w:space="0" w:color="auto"/>
            <w:bottom w:val="none" w:sz="0" w:space="0" w:color="auto"/>
            <w:right w:val="none" w:sz="0" w:space="0" w:color="auto"/>
          </w:divBdr>
          <w:divsChild>
            <w:div w:id="788158146">
              <w:marLeft w:val="0"/>
              <w:marRight w:val="0"/>
              <w:marTop w:val="0"/>
              <w:marBottom w:val="0"/>
              <w:divBdr>
                <w:top w:val="none" w:sz="0" w:space="0" w:color="auto"/>
                <w:left w:val="none" w:sz="0" w:space="0" w:color="auto"/>
                <w:bottom w:val="none" w:sz="0" w:space="0" w:color="auto"/>
                <w:right w:val="none" w:sz="0" w:space="0" w:color="auto"/>
              </w:divBdr>
            </w:div>
          </w:divsChild>
        </w:div>
        <w:div w:id="2085494538">
          <w:marLeft w:val="0"/>
          <w:marRight w:val="0"/>
          <w:marTop w:val="0"/>
          <w:marBottom w:val="0"/>
          <w:divBdr>
            <w:top w:val="none" w:sz="0" w:space="0" w:color="auto"/>
            <w:left w:val="none" w:sz="0" w:space="0" w:color="auto"/>
            <w:bottom w:val="none" w:sz="0" w:space="0" w:color="auto"/>
            <w:right w:val="none" w:sz="0" w:space="0" w:color="auto"/>
          </w:divBdr>
          <w:divsChild>
            <w:div w:id="1063409853">
              <w:marLeft w:val="0"/>
              <w:marRight w:val="0"/>
              <w:marTop w:val="0"/>
              <w:marBottom w:val="0"/>
              <w:divBdr>
                <w:top w:val="none" w:sz="0" w:space="0" w:color="auto"/>
                <w:left w:val="none" w:sz="0" w:space="0" w:color="auto"/>
                <w:bottom w:val="none" w:sz="0" w:space="0" w:color="auto"/>
                <w:right w:val="none" w:sz="0" w:space="0" w:color="auto"/>
              </w:divBdr>
            </w:div>
          </w:divsChild>
        </w:div>
        <w:div w:id="2100250411">
          <w:marLeft w:val="0"/>
          <w:marRight w:val="0"/>
          <w:marTop w:val="0"/>
          <w:marBottom w:val="0"/>
          <w:divBdr>
            <w:top w:val="none" w:sz="0" w:space="0" w:color="auto"/>
            <w:left w:val="none" w:sz="0" w:space="0" w:color="auto"/>
            <w:bottom w:val="none" w:sz="0" w:space="0" w:color="auto"/>
            <w:right w:val="none" w:sz="0" w:space="0" w:color="auto"/>
          </w:divBdr>
          <w:divsChild>
            <w:div w:id="11795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3683">
      <w:bodyDiv w:val="1"/>
      <w:marLeft w:val="0"/>
      <w:marRight w:val="0"/>
      <w:marTop w:val="0"/>
      <w:marBottom w:val="0"/>
      <w:divBdr>
        <w:top w:val="none" w:sz="0" w:space="0" w:color="auto"/>
        <w:left w:val="none" w:sz="0" w:space="0" w:color="auto"/>
        <w:bottom w:val="none" w:sz="0" w:space="0" w:color="auto"/>
        <w:right w:val="none" w:sz="0" w:space="0" w:color="auto"/>
      </w:divBdr>
    </w:div>
    <w:div w:id="1521427665">
      <w:bodyDiv w:val="1"/>
      <w:marLeft w:val="0"/>
      <w:marRight w:val="0"/>
      <w:marTop w:val="0"/>
      <w:marBottom w:val="0"/>
      <w:divBdr>
        <w:top w:val="none" w:sz="0" w:space="0" w:color="auto"/>
        <w:left w:val="none" w:sz="0" w:space="0" w:color="auto"/>
        <w:bottom w:val="none" w:sz="0" w:space="0" w:color="auto"/>
        <w:right w:val="none" w:sz="0" w:space="0" w:color="auto"/>
      </w:divBdr>
      <w:divsChild>
        <w:div w:id="57823126">
          <w:marLeft w:val="0"/>
          <w:marRight w:val="0"/>
          <w:marTop w:val="0"/>
          <w:marBottom w:val="0"/>
          <w:divBdr>
            <w:top w:val="none" w:sz="0" w:space="0" w:color="auto"/>
            <w:left w:val="none" w:sz="0" w:space="0" w:color="auto"/>
            <w:bottom w:val="none" w:sz="0" w:space="0" w:color="auto"/>
            <w:right w:val="none" w:sz="0" w:space="0" w:color="auto"/>
          </w:divBdr>
          <w:divsChild>
            <w:div w:id="1590886800">
              <w:marLeft w:val="0"/>
              <w:marRight w:val="0"/>
              <w:marTop w:val="0"/>
              <w:marBottom w:val="0"/>
              <w:divBdr>
                <w:top w:val="none" w:sz="0" w:space="0" w:color="auto"/>
                <w:left w:val="none" w:sz="0" w:space="0" w:color="auto"/>
                <w:bottom w:val="none" w:sz="0" w:space="0" w:color="auto"/>
                <w:right w:val="none" w:sz="0" w:space="0" w:color="auto"/>
              </w:divBdr>
            </w:div>
          </w:divsChild>
        </w:div>
        <w:div w:id="79640542">
          <w:marLeft w:val="0"/>
          <w:marRight w:val="0"/>
          <w:marTop w:val="0"/>
          <w:marBottom w:val="0"/>
          <w:divBdr>
            <w:top w:val="none" w:sz="0" w:space="0" w:color="auto"/>
            <w:left w:val="none" w:sz="0" w:space="0" w:color="auto"/>
            <w:bottom w:val="none" w:sz="0" w:space="0" w:color="auto"/>
            <w:right w:val="none" w:sz="0" w:space="0" w:color="auto"/>
          </w:divBdr>
          <w:divsChild>
            <w:div w:id="631177516">
              <w:marLeft w:val="0"/>
              <w:marRight w:val="0"/>
              <w:marTop w:val="0"/>
              <w:marBottom w:val="0"/>
              <w:divBdr>
                <w:top w:val="none" w:sz="0" w:space="0" w:color="auto"/>
                <w:left w:val="none" w:sz="0" w:space="0" w:color="auto"/>
                <w:bottom w:val="none" w:sz="0" w:space="0" w:color="auto"/>
                <w:right w:val="none" w:sz="0" w:space="0" w:color="auto"/>
              </w:divBdr>
            </w:div>
          </w:divsChild>
        </w:div>
        <w:div w:id="110705370">
          <w:marLeft w:val="0"/>
          <w:marRight w:val="0"/>
          <w:marTop w:val="0"/>
          <w:marBottom w:val="0"/>
          <w:divBdr>
            <w:top w:val="none" w:sz="0" w:space="0" w:color="auto"/>
            <w:left w:val="none" w:sz="0" w:space="0" w:color="auto"/>
            <w:bottom w:val="none" w:sz="0" w:space="0" w:color="auto"/>
            <w:right w:val="none" w:sz="0" w:space="0" w:color="auto"/>
          </w:divBdr>
          <w:divsChild>
            <w:div w:id="1636133322">
              <w:marLeft w:val="0"/>
              <w:marRight w:val="0"/>
              <w:marTop w:val="0"/>
              <w:marBottom w:val="0"/>
              <w:divBdr>
                <w:top w:val="none" w:sz="0" w:space="0" w:color="auto"/>
                <w:left w:val="none" w:sz="0" w:space="0" w:color="auto"/>
                <w:bottom w:val="none" w:sz="0" w:space="0" w:color="auto"/>
                <w:right w:val="none" w:sz="0" w:space="0" w:color="auto"/>
              </w:divBdr>
            </w:div>
          </w:divsChild>
        </w:div>
        <w:div w:id="134879093">
          <w:marLeft w:val="0"/>
          <w:marRight w:val="0"/>
          <w:marTop w:val="0"/>
          <w:marBottom w:val="0"/>
          <w:divBdr>
            <w:top w:val="none" w:sz="0" w:space="0" w:color="auto"/>
            <w:left w:val="none" w:sz="0" w:space="0" w:color="auto"/>
            <w:bottom w:val="none" w:sz="0" w:space="0" w:color="auto"/>
            <w:right w:val="none" w:sz="0" w:space="0" w:color="auto"/>
          </w:divBdr>
          <w:divsChild>
            <w:div w:id="249892321">
              <w:marLeft w:val="0"/>
              <w:marRight w:val="0"/>
              <w:marTop w:val="0"/>
              <w:marBottom w:val="0"/>
              <w:divBdr>
                <w:top w:val="none" w:sz="0" w:space="0" w:color="auto"/>
                <w:left w:val="none" w:sz="0" w:space="0" w:color="auto"/>
                <w:bottom w:val="none" w:sz="0" w:space="0" w:color="auto"/>
                <w:right w:val="none" w:sz="0" w:space="0" w:color="auto"/>
              </w:divBdr>
            </w:div>
          </w:divsChild>
        </w:div>
        <w:div w:id="362873746">
          <w:marLeft w:val="0"/>
          <w:marRight w:val="0"/>
          <w:marTop w:val="0"/>
          <w:marBottom w:val="0"/>
          <w:divBdr>
            <w:top w:val="none" w:sz="0" w:space="0" w:color="auto"/>
            <w:left w:val="none" w:sz="0" w:space="0" w:color="auto"/>
            <w:bottom w:val="none" w:sz="0" w:space="0" w:color="auto"/>
            <w:right w:val="none" w:sz="0" w:space="0" w:color="auto"/>
          </w:divBdr>
          <w:divsChild>
            <w:div w:id="1538542294">
              <w:marLeft w:val="0"/>
              <w:marRight w:val="0"/>
              <w:marTop w:val="0"/>
              <w:marBottom w:val="0"/>
              <w:divBdr>
                <w:top w:val="none" w:sz="0" w:space="0" w:color="auto"/>
                <w:left w:val="none" w:sz="0" w:space="0" w:color="auto"/>
                <w:bottom w:val="none" w:sz="0" w:space="0" w:color="auto"/>
                <w:right w:val="none" w:sz="0" w:space="0" w:color="auto"/>
              </w:divBdr>
            </w:div>
          </w:divsChild>
        </w:div>
        <w:div w:id="377707174">
          <w:marLeft w:val="0"/>
          <w:marRight w:val="0"/>
          <w:marTop w:val="0"/>
          <w:marBottom w:val="0"/>
          <w:divBdr>
            <w:top w:val="none" w:sz="0" w:space="0" w:color="auto"/>
            <w:left w:val="none" w:sz="0" w:space="0" w:color="auto"/>
            <w:bottom w:val="none" w:sz="0" w:space="0" w:color="auto"/>
            <w:right w:val="none" w:sz="0" w:space="0" w:color="auto"/>
          </w:divBdr>
          <w:divsChild>
            <w:div w:id="1967929025">
              <w:marLeft w:val="0"/>
              <w:marRight w:val="0"/>
              <w:marTop w:val="0"/>
              <w:marBottom w:val="0"/>
              <w:divBdr>
                <w:top w:val="none" w:sz="0" w:space="0" w:color="auto"/>
                <w:left w:val="none" w:sz="0" w:space="0" w:color="auto"/>
                <w:bottom w:val="none" w:sz="0" w:space="0" w:color="auto"/>
                <w:right w:val="none" w:sz="0" w:space="0" w:color="auto"/>
              </w:divBdr>
            </w:div>
          </w:divsChild>
        </w:div>
        <w:div w:id="415637566">
          <w:marLeft w:val="0"/>
          <w:marRight w:val="0"/>
          <w:marTop w:val="0"/>
          <w:marBottom w:val="0"/>
          <w:divBdr>
            <w:top w:val="none" w:sz="0" w:space="0" w:color="auto"/>
            <w:left w:val="none" w:sz="0" w:space="0" w:color="auto"/>
            <w:bottom w:val="none" w:sz="0" w:space="0" w:color="auto"/>
            <w:right w:val="none" w:sz="0" w:space="0" w:color="auto"/>
          </w:divBdr>
          <w:divsChild>
            <w:div w:id="1211040865">
              <w:marLeft w:val="0"/>
              <w:marRight w:val="0"/>
              <w:marTop w:val="0"/>
              <w:marBottom w:val="0"/>
              <w:divBdr>
                <w:top w:val="none" w:sz="0" w:space="0" w:color="auto"/>
                <w:left w:val="none" w:sz="0" w:space="0" w:color="auto"/>
                <w:bottom w:val="none" w:sz="0" w:space="0" w:color="auto"/>
                <w:right w:val="none" w:sz="0" w:space="0" w:color="auto"/>
              </w:divBdr>
            </w:div>
          </w:divsChild>
        </w:div>
        <w:div w:id="417214018">
          <w:marLeft w:val="0"/>
          <w:marRight w:val="0"/>
          <w:marTop w:val="0"/>
          <w:marBottom w:val="0"/>
          <w:divBdr>
            <w:top w:val="none" w:sz="0" w:space="0" w:color="auto"/>
            <w:left w:val="none" w:sz="0" w:space="0" w:color="auto"/>
            <w:bottom w:val="none" w:sz="0" w:space="0" w:color="auto"/>
            <w:right w:val="none" w:sz="0" w:space="0" w:color="auto"/>
          </w:divBdr>
          <w:divsChild>
            <w:div w:id="1054767260">
              <w:marLeft w:val="0"/>
              <w:marRight w:val="0"/>
              <w:marTop w:val="0"/>
              <w:marBottom w:val="0"/>
              <w:divBdr>
                <w:top w:val="none" w:sz="0" w:space="0" w:color="auto"/>
                <w:left w:val="none" w:sz="0" w:space="0" w:color="auto"/>
                <w:bottom w:val="none" w:sz="0" w:space="0" w:color="auto"/>
                <w:right w:val="none" w:sz="0" w:space="0" w:color="auto"/>
              </w:divBdr>
            </w:div>
          </w:divsChild>
        </w:div>
        <w:div w:id="420488593">
          <w:marLeft w:val="0"/>
          <w:marRight w:val="0"/>
          <w:marTop w:val="0"/>
          <w:marBottom w:val="0"/>
          <w:divBdr>
            <w:top w:val="none" w:sz="0" w:space="0" w:color="auto"/>
            <w:left w:val="none" w:sz="0" w:space="0" w:color="auto"/>
            <w:bottom w:val="none" w:sz="0" w:space="0" w:color="auto"/>
            <w:right w:val="none" w:sz="0" w:space="0" w:color="auto"/>
          </w:divBdr>
          <w:divsChild>
            <w:div w:id="186061262">
              <w:marLeft w:val="0"/>
              <w:marRight w:val="0"/>
              <w:marTop w:val="0"/>
              <w:marBottom w:val="0"/>
              <w:divBdr>
                <w:top w:val="none" w:sz="0" w:space="0" w:color="auto"/>
                <w:left w:val="none" w:sz="0" w:space="0" w:color="auto"/>
                <w:bottom w:val="none" w:sz="0" w:space="0" w:color="auto"/>
                <w:right w:val="none" w:sz="0" w:space="0" w:color="auto"/>
              </w:divBdr>
            </w:div>
          </w:divsChild>
        </w:div>
        <w:div w:id="438183499">
          <w:marLeft w:val="0"/>
          <w:marRight w:val="0"/>
          <w:marTop w:val="0"/>
          <w:marBottom w:val="0"/>
          <w:divBdr>
            <w:top w:val="none" w:sz="0" w:space="0" w:color="auto"/>
            <w:left w:val="none" w:sz="0" w:space="0" w:color="auto"/>
            <w:bottom w:val="none" w:sz="0" w:space="0" w:color="auto"/>
            <w:right w:val="none" w:sz="0" w:space="0" w:color="auto"/>
          </w:divBdr>
          <w:divsChild>
            <w:div w:id="1928494506">
              <w:marLeft w:val="0"/>
              <w:marRight w:val="0"/>
              <w:marTop w:val="0"/>
              <w:marBottom w:val="0"/>
              <w:divBdr>
                <w:top w:val="none" w:sz="0" w:space="0" w:color="auto"/>
                <w:left w:val="none" w:sz="0" w:space="0" w:color="auto"/>
                <w:bottom w:val="none" w:sz="0" w:space="0" w:color="auto"/>
                <w:right w:val="none" w:sz="0" w:space="0" w:color="auto"/>
              </w:divBdr>
            </w:div>
          </w:divsChild>
        </w:div>
        <w:div w:id="439690278">
          <w:marLeft w:val="0"/>
          <w:marRight w:val="0"/>
          <w:marTop w:val="0"/>
          <w:marBottom w:val="0"/>
          <w:divBdr>
            <w:top w:val="none" w:sz="0" w:space="0" w:color="auto"/>
            <w:left w:val="none" w:sz="0" w:space="0" w:color="auto"/>
            <w:bottom w:val="none" w:sz="0" w:space="0" w:color="auto"/>
            <w:right w:val="none" w:sz="0" w:space="0" w:color="auto"/>
          </w:divBdr>
          <w:divsChild>
            <w:div w:id="1419255994">
              <w:marLeft w:val="0"/>
              <w:marRight w:val="0"/>
              <w:marTop w:val="0"/>
              <w:marBottom w:val="0"/>
              <w:divBdr>
                <w:top w:val="none" w:sz="0" w:space="0" w:color="auto"/>
                <w:left w:val="none" w:sz="0" w:space="0" w:color="auto"/>
                <w:bottom w:val="none" w:sz="0" w:space="0" w:color="auto"/>
                <w:right w:val="none" w:sz="0" w:space="0" w:color="auto"/>
              </w:divBdr>
            </w:div>
          </w:divsChild>
        </w:div>
        <w:div w:id="445856334">
          <w:marLeft w:val="0"/>
          <w:marRight w:val="0"/>
          <w:marTop w:val="0"/>
          <w:marBottom w:val="0"/>
          <w:divBdr>
            <w:top w:val="none" w:sz="0" w:space="0" w:color="auto"/>
            <w:left w:val="none" w:sz="0" w:space="0" w:color="auto"/>
            <w:bottom w:val="none" w:sz="0" w:space="0" w:color="auto"/>
            <w:right w:val="none" w:sz="0" w:space="0" w:color="auto"/>
          </w:divBdr>
          <w:divsChild>
            <w:div w:id="1918008019">
              <w:marLeft w:val="0"/>
              <w:marRight w:val="0"/>
              <w:marTop w:val="0"/>
              <w:marBottom w:val="0"/>
              <w:divBdr>
                <w:top w:val="none" w:sz="0" w:space="0" w:color="auto"/>
                <w:left w:val="none" w:sz="0" w:space="0" w:color="auto"/>
                <w:bottom w:val="none" w:sz="0" w:space="0" w:color="auto"/>
                <w:right w:val="none" w:sz="0" w:space="0" w:color="auto"/>
              </w:divBdr>
            </w:div>
          </w:divsChild>
        </w:div>
        <w:div w:id="466238519">
          <w:marLeft w:val="0"/>
          <w:marRight w:val="0"/>
          <w:marTop w:val="0"/>
          <w:marBottom w:val="0"/>
          <w:divBdr>
            <w:top w:val="none" w:sz="0" w:space="0" w:color="auto"/>
            <w:left w:val="none" w:sz="0" w:space="0" w:color="auto"/>
            <w:bottom w:val="none" w:sz="0" w:space="0" w:color="auto"/>
            <w:right w:val="none" w:sz="0" w:space="0" w:color="auto"/>
          </w:divBdr>
          <w:divsChild>
            <w:div w:id="256452778">
              <w:marLeft w:val="0"/>
              <w:marRight w:val="0"/>
              <w:marTop w:val="0"/>
              <w:marBottom w:val="0"/>
              <w:divBdr>
                <w:top w:val="none" w:sz="0" w:space="0" w:color="auto"/>
                <w:left w:val="none" w:sz="0" w:space="0" w:color="auto"/>
                <w:bottom w:val="none" w:sz="0" w:space="0" w:color="auto"/>
                <w:right w:val="none" w:sz="0" w:space="0" w:color="auto"/>
              </w:divBdr>
            </w:div>
          </w:divsChild>
        </w:div>
        <w:div w:id="495608604">
          <w:marLeft w:val="0"/>
          <w:marRight w:val="0"/>
          <w:marTop w:val="0"/>
          <w:marBottom w:val="0"/>
          <w:divBdr>
            <w:top w:val="none" w:sz="0" w:space="0" w:color="auto"/>
            <w:left w:val="none" w:sz="0" w:space="0" w:color="auto"/>
            <w:bottom w:val="none" w:sz="0" w:space="0" w:color="auto"/>
            <w:right w:val="none" w:sz="0" w:space="0" w:color="auto"/>
          </w:divBdr>
          <w:divsChild>
            <w:div w:id="1347441260">
              <w:marLeft w:val="0"/>
              <w:marRight w:val="0"/>
              <w:marTop w:val="0"/>
              <w:marBottom w:val="0"/>
              <w:divBdr>
                <w:top w:val="none" w:sz="0" w:space="0" w:color="auto"/>
                <w:left w:val="none" w:sz="0" w:space="0" w:color="auto"/>
                <w:bottom w:val="none" w:sz="0" w:space="0" w:color="auto"/>
                <w:right w:val="none" w:sz="0" w:space="0" w:color="auto"/>
              </w:divBdr>
            </w:div>
          </w:divsChild>
        </w:div>
        <w:div w:id="495847817">
          <w:marLeft w:val="0"/>
          <w:marRight w:val="0"/>
          <w:marTop w:val="0"/>
          <w:marBottom w:val="0"/>
          <w:divBdr>
            <w:top w:val="none" w:sz="0" w:space="0" w:color="auto"/>
            <w:left w:val="none" w:sz="0" w:space="0" w:color="auto"/>
            <w:bottom w:val="none" w:sz="0" w:space="0" w:color="auto"/>
            <w:right w:val="none" w:sz="0" w:space="0" w:color="auto"/>
          </w:divBdr>
          <w:divsChild>
            <w:div w:id="2139909876">
              <w:marLeft w:val="0"/>
              <w:marRight w:val="0"/>
              <w:marTop w:val="0"/>
              <w:marBottom w:val="0"/>
              <w:divBdr>
                <w:top w:val="none" w:sz="0" w:space="0" w:color="auto"/>
                <w:left w:val="none" w:sz="0" w:space="0" w:color="auto"/>
                <w:bottom w:val="none" w:sz="0" w:space="0" w:color="auto"/>
                <w:right w:val="none" w:sz="0" w:space="0" w:color="auto"/>
              </w:divBdr>
            </w:div>
          </w:divsChild>
        </w:div>
        <w:div w:id="525363203">
          <w:marLeft w:val="0"/>
          <w:marRight w:val="0"/>
          <w:marTop w:val="0"/>
          <w:marBottom w:val="0"/>
          <w:divBdr>
            <w:top w:val="none" w:sz="0" w:space="0" w:color="auto"/>
            <w:left w:val="none" w:sz="0" w:space="0" w:color="auto"/>
            <w:bottom w:val="none" w:sz="0" w:space="0" w:color="auto"/>
            <w:right w:val="none" w:sz="0" w:space="0" w:color="auto"/>
          </w:divBdr>
          <w:divsChild>
            <w:div w:id="684482761">
              <w:marLeft w:val="0"/>
              <w:marRight w:val="0"/>
              <w:marTop w:val="0"/>
              <w:marBottom w:val="0"/>
              <w:divBdr>
                <w:top w:val="none" w:sz="0" w:space="0" w:color="auto"/>
                <w:left w:val="none" w:sz="0" w:space="0" w:color="auto"/>
                <w:bottom w:val="none" w:sz="0" w:space="0" w:color="auto"/>
                <w:right w:val="none" w:sz="0" w:space="0" w:color="auto"/>
              </w:divBdr>
            </w:div>
          </w:divsChild>
        </w:div>
        <w:div w:id="534075004">
          <w:marLeft w:val="0"/>
          <w:marRight w:val="0"/>
          <w:marTop w:val="0"/>
          <w:marBottom w:val="0"/>
          <w:divBdr>
            <w:top w:val="none" w:sz="0" w:space="0" w:color="auto"/>
            <w:left w:val="none" w:sz="0" w:space="0" w:color="auto"/>
            <w:bottom w:val="none" w:sz="0" w:space="0" w:color="auto"/>
            <w:right w:val="none" w:sz="0" w:space="0" w:color="auto"/>
          </w:divBdr>
          <w:divsChild>
            <w:div w:id="1591155771">
              <w:marLeft w:val="0"/>
              <w:marRight w:val="0"/>
              <w:marTop w:val="0"/>
              <w:marBottom w:val="0"/>
              <w:divBdr>
                <w:top w:val="none" w:sz="0" w:space="0" w:color="auto"/>
                <w:left w:val="none" w:sz="0" w:space="0" w:color="auto"/>
                <w:bottom w:val="none" w:sz="0" w:space="0" w:color="auto"/>
                <w:right w:val="none" w:sz="0" w:space="0" w:color="auto"/>
              </w:divBdr>
            </w:div>
          </w:divsChild>
        </w:div>
        <w:div w:id="547570013">
          <w:marLeft w:val="0"/>
          <w:marRight w:val="0"/>
          <w:marTop w:val="0"/>
          <w:marBottom w:val="0"/>
          <w:divBdr>
            <w:top w:val="none" w:sz="0" w:space="0" w:color="auto"/>
            <w:left w:val="none" w:sz="0" w:space="0" w:color="auto"/>
            <w:bottom w:val="none" w:sz="0" w:space="0" w:color="auto"/>
            <w:right w:val="none" w:sz="0" w:space="0" w:color="auto"/>
          </w:divBdr>
          <w:divsChild>
            <w:div w:id="1565481941">
              <w:marLeft w:val="0"/>
              <w:marRight w:val="0"/>
              <w:marTop w:val="0"/>
              <w:marBottom w:val="0"/>
              <w:divBdr>
                <w:top w:val="none" w:sz="0" w:space="0" w:color="auto"/>
                <w:left w:val="none" w:sz="0" w:space="0" w:color="auto"/>
                <w:bottom w:val="none" w:sz="0" w:space="0" w:color="auto"/>
                <w:right w:val="none" w:sz="0" w:space="0" w:color="auto"/>
              </w:divBdr>
            </w:div>
          </w:divsChild>
        </w:div>
        <w:div w:id="558901987">
          <w:marLeft w:val="0"/>
          <w:marRight w:val="0"/>
          <w:marTop w:val="0"/>
          <w:marBottom w:val="0"/>
          <w:divBdr>
            <w:top w:val="none" w:sz="0" w:space="0" w:color="auto"/>
            <w:left w:val="none" w:sz="0" w:space="0" w:color="auto"/>
            <w:bottom w:val="none" w:sz="0" w:space="0" w:color="auto"/>
            <w:right w:val="none" w:sz="0" w:space="0" w:color="auto"/>
          </w:divBdr>
          <w:divsChild>
            <w:div w:id="385565438">
              <w:marLeft w:val="0"/>
              <w:marRight w:val="0"/>
              <w:marTop w:val="0"/>
              <w:marBottom w:val="0"/>
              <w:divBdr>
                <w:top w:val="none" w:sz="0" w:space="0" w:color="auto"/>
                <w:left w:val="none" w:sz="0" w:space="0" w:color="auto"/>
                <w:bottom w:val="none" w:sz="0" w:space="0" w:color="auto"/>
                <w:right w:val="none" w:sz="0" w:space="0" w:color="auto"/>
              </w:divBdr>
            </w:div>
          </w:divsChild>
        </w:div>
        <w:div w:id="575749799">
          <w:marLeft w:val="0"/>
          <w:marRight w:val="0"/>
          <w:marTop w:val="0"/>
          <w:marBottom w:val="0"/>
          <w:divBdr>
            <w:top w:val="none" w:sz="0" w:space="0" w:color="auto"/>
            <w:left w:val="none" w:sz="0" w:space="0" w:color="auto"/>
            <w:bottom w:val="none" w:sz="0" w:space="0" w:color="auto"/>
            <w:right w:val="none" w:sz="0" w:space="0" w:color="auto"/>
          </w:divBdr>
          <w:divsChild>
            <w:div w:id="1764689751">
              <w:marLeft w:val="0"/>
              <w:marRight w:val="0"/>
              <w:marTop w:val="0"/>
              <w:marBottom w:val="0"/>
              <w:divBdr>
                <w:top w:val="none" w:sz="0" w:space="0" w:color="auto"/>
                <w:left w:val="none" w:sz="0" w:space="0" w:color="auto"/>
                <w:bottom w:val="none" w:sz="0" w:space="0" w:color="auto"/>
                <w:right w:val="none" w:sz="0" w:space="0" w:color="auto"/>
              </w:divBdr>
            </w:div>
          </w:divsChild>
        </w:div>
        <w:div w:id="676348178">
          <w:marLeft w:val="0"/>
          <w:marRight w:val="0"/>
          <w:marTop w:val="0"/>
          <w:marBottom w:val="0"/>
          <w:divBdr>
            <w:top w:val="none" w:sz="0" w:space="0" w:color="auto"/>
            <w:left w:val="none" w:sz="0" w:space="0" w:color="auto"/>
            <w:bottom w:val="none" w:sz="0" w:space="0" w:color="auto"/>
            <w:right w:val="none" w:sz="0" w:space="0" w:color="auto"/>
          </w:divBdr>
          <w:divsChild>
            <w:div w:id="1294754427">
              <w:marLeft w:val="0"/>
              <w:marRight w:val="0"/>
              <w:marTop w:val="0"/>
              <w:marBottom w:val="0"/>
              <w:divBdr>
                <w:top w:val="none" w:sz="0" w:space="0" w:color="auto"/>
                <w:left w:val="none" w:sz="0" w:space="0" w:color="auto"/>
                <w:bottom w:val="none" w:sz="0" w:space="0" w:color="auto"/>
                <w:right w:val="none" w:sz="0" w:space="0" w:color="auto"/>
              </w:divBdr>
            </w:div>
          </w:divsChild>
        </w:div>
        <w:div w:id="746347841">
          <w:marLeft w:val="0"/>
          <w:marRight w:val="0"/>
          <w:marTop w:val="0"/>
          <w:marBottom w:val="0"/>
          <w:divBdr>
            <w:top w:val="none" w:sz="0" w:space="0" w:color="auto"/>
            <w:left w:val="none" w:sz="0" w:space="0" w:color="auto"/>
            <w:bottom w:val="none" w:sz="0" w:space="0" w:color="auto"/>
            <w:right w:val="none" w:sz="0" w:space="0" w:color="auto"/>
          </w:divBdr>
          <w:divsChild>
            <w:div w:id="1757239920">
              <w:marLeft w:val="0"/>
              <w:marRight w:val="0"/>
              <w:marTop w:val="0"/>
              <w:marBottom w:val="0"/>
              <w:divBdr>
                <w:top w:val="none" w:sz="0" w:space="0" w:color="auto"/>
                <w:left w:val="none" w:sz="0" w:space="0" w:color="auto"/>
                <w:bottom w:val="none" w:sz="0" w:space="0" w:color="auto"/>
                <w:right w:val="none" w:sz="0" w:space="0" w:color="auto"/>
              </w:divBdr>
            </w:div>
          </w:divsChild>
        </w:div>
        <w:div w:id="780806574">
          <w:marLeft w:val="0"/>
          <w:marRight w:val="0"/>
          <w:marTop w:val="0"/>
          <w:marBottom w:val="0"/>
          <w:divBdr>
            <w:top w:val="none" w:sz="0" w:space="0" w:color="auto"/>
            <w:left w:val="none" w:sz="0" w:space="0" w:color="auto"/>
            <w:bottom w:val="none" w:sz="0" w:space="0" w:color="auto"/>
            <w:right w:val="none" w:sz="0" w:space="0" w:color="auto"/>
          </w:divBdr>
          <w:divsChild>
            <w:div w:id="1241789064">
              <w:marLeft w:val="0"/>
              <w:marRight w:val="0"/>
              <w:marTop w:val="0"/>
              <w:marBottom w:val="0"/>
              <w:divBdr>
                <w:top w:val="none" w:sz="0" w:space="0" w:color="auto"/>
                <w:left w:val="none" w:sz="0" w:space="0" w:color="auto"/>
                <w:bottom w:val="none" w:sz="0" w:space="0" w:color="auto"/>
                <w:right w:val="none" w:sz="0" w:space="0" w:color="auto"/>
              </w:divBdr>
            </w:div>
          </w:divsChild>
        </w:div>
        <w:div w:id="854735698">
          <w:marLeft w:val="0"/>
          <w:marRight w:val="0"/>
          <w:marTop w:val="0"/>
          <w:marBottom w:val="0"/>
          <w:divBdr>
            <w:top w:val="none" w:sz="0" w:space="0" w:color="auto"/>
            <w:left w:val="none" w:sz="0" w:space="0" w:color="auto"/>
            <w:bottom w:val="none" w:sz="0" w:space="0" w:color="auto"/>
            <w:right w:val="none" w:sz="0" w:space="0" w:color="auto"/>
          </w:divBdr>
          <w:divsChild>
            <w:div w:id="932979235">
              <w:marLeft w:val="0"/>
              <w:marRight w:val="0"/>
              <w:marTop w:val="0"/>
              <w:marBottom w:val="0"/>
              <w:divBdr>
                <w:top w:val="none" w:sz="0" w:space="0" w:color="auto"/>
                <w:left w:val="none" w:sz="0" w:space="0" w:color="auto"/>
                <w:bottom w:val="none" w:sz="0" w:space="0" w:color="auto"/>
                <w:right w:val="none" w:sz="0" w:space="0" w:color="auto"/>
              </w:divBdr>
            </w:div>
          </w:divsChild>
        </w:div>
        <w:div w:id="871576115">
          <w:marLeft w:val="0"/>
          <w:marRight w:val="0"/>
          <w:marTop w:val="0"/>
          <w:marBottom w:val="0"/>
          <w:divBdr>
            <w:top w:val="none" w:sz="0" w:space="0" w:color="auto"/>
            <w:left w:val="none" w:sz="0" w:space="0" w:color="auto"/>
            <w:bottom w:val="none" w:sz="0" w:space="0" w:color="auto"/>
            <w:right w:val="none" w:sz="0" w:space="0" w:color="auto"/>
          </w:divBdr>
          <w:divsChild>
            <w:div w:id="856966704">
              <w:marLeft w:val="0"/>
              <w:marRight w:val="0"/>
              <w:marTop w:val="0"/>
              <w:marBottom w:val="0"/>
              <w:divBdr>
                <w:top w:val="none" w:sz="0" w:space="0" w:color="auto"/>
                <w:left w:val="none" w:sz="0" w:space="0" w:color="auto"/>
                <w:bottom w:val="none" w:sz="0" w:space="0" w:color="auto"/>
                <w:right w:val="none" w:sz="0" w:space="0" w:color="auto"/>
              </w:divBdr>
            </w:div>
          </w:divsChild>
        </w:div>
        <w:div w:id="905871085">
          <w:marLeft w:val="0"/>
          <w:marRight w:val="0"/>
          <w:marTop w:val="0"/>
          <w:marBottom w:val="0"/>
          <w:divBdr>
            <w:top w:val="none" w:sz="0" w:space="0" w:color="auto"/>
            <w:left w:val="none" w:sz="0" w:space="0" w:color="auto"/>
            <w:bottom w:val="none" w:sz="0" w:space="0" w:color="auto"/>
            <w:right w:val="none" w:sz="0" w:space="0" w:color="auto"/>
          </w:divBdr>
          <w:divsChild>
            <w:div w:id="547029250">
              <w:marLeft w:val="0"/>
              <w:marRight w:val="0"/>
              <w:marTop w:val="0"/>
              <w:marBottom w:val="0"/>
              <w:divBdr>
                <w:top w:val="none" w:sz="0" w:space="0" w:color="auto"/>
                <w:left w:val="none" w:sz="0" w:space="0" w:color="auto"/>
                <w:bottom w:val="none" w:sz="0" w:space="0" w:color="auto"/>
                <w:right w:val="none" w:sz="0" w:space="0" w:color="auto"/>
              </w:divBdr>
            </w:div>
          </w:divsChild>
        </w:div>
        <w:div w:id="952438956">
          <w:marLeft w:val="0"/>
          <w:marRight w:val="0"/>
          <w:marTop w:val="0"/>
          <w:marBottom w:val="0"/>
          <w:divBdr>
            <w:top w:val="none" w:sz="0" w:space="0" w:color="auto"/>
            <w:left w:val="none" w:sz="0" w:space="0" w:color="auto"/>
            <w:bottom w:val="none" w:sz="0" w:space="0" w:color="auto"/>
            <w:right w:val="none" w:sz="0" w:space="0" w:color="auto"/>
          </w:divBdr>
          <w:divsChild>
            <w:div w:id="784810220">
              <w:marLeft w:val="0"/>
              <w:marRight w:val="0"/>
              <w:marTop w:val="0"/>
              <w:marBottom w:val="0"/>
              <w:divBdr>
                <w:top w:val="none" w:sz="0" w:space="0" w:color="auto"/>
                <w:left w:val="none" w:sz="0" w:space="0" w:color="auto"/>
                <w:bottom w:val="none" w:sz="0" w:space="0" w:color="auto"/>
                <w:right w:val="none" w:sz="0" w:space="0" w:color="auto"/>
              </w:divBdr>
            </w:div>
          </w:divsChild>
        </w:div>
        <w:div w:id="994456841">
          <w:marLeft w:val="0"/>
          <w:marRight w:val="0"/>
          <w:marTop w:val="0"/>
          <w:marBottom w:val="0"/>
          <w:divBdr>
            <w:top w:val="none" w:sz="0" w:space="0" w:color="auto"/>
            <w:left w:val="none" w:sz="0" w:space="0" w:color="auto"/>
            <w:bottom w:val="none" w:sz="0" w:space="0" w:color="auto"/>
            <w:right w:val="none" w:sz="0" w:space="0" w:color="auto"/>
          </w:divBdr>
          <w:divsChild>
            <w:div w:id="210649931">
              <w:marLeft w:val="0"/>
              <w:marRight w:val="0"/>
              <w:marTop w:val="0"/>
              <w:marBottom w:val="0"/>
              <w:divBdr>
                <w:top w:val="none" w:sz="0" w:space="0" w:color="auto"/>
                <w:left w:val="none" w:sz="0" w:space="0" w:color="auto"/>
                <w:bottom w:val="none" w:sz="0" w:space="0" w:color="auto"/>
                <w:right w:val="none" w:sz="0" w:space="0" w:color="auto"/>
              </w:divBdr>
            </w:div>
          </w:divsChild>
        </w:div>
        <w:div w:id="1008099091">
          <w:marLeft w:val="0"/>
          <w:marRight w:val="0"/>
          <w:marTop w:val="0"/>
          <w:marBottom w:val="0"/>
          <w:divBdr>
            <w:top w:val="none" w:sz="0" w:space="0" w:color="auto"/>
            <w:left w:val="none" w:sz="0" w:space="0" w:color="auto"/>
            <w:bottom w:val="none" w:sz="0" w:space="0" w:color="auto"/>
            <w:right w:val="none" w:sz="0" w:space="0" w:color="auto"/>
          </w:divBdr>
          <w:divsChild>
            <w:div w:id="380061342">
              <w:marLeft w:val="0"/>
              <w:marRight w:val="0"/>
              <w:marTop w:val="0"/>
              <w:marBottom w:val="0"/>
              <w:divBdr>
                <w:top w:val="none" w:sz="0" w:space="0" w:color="auto"/>
                <w:left w:val="none" w:sz="0" w:space="0" w:color="auto"/>
                <w:bottom w:val="none" w:sz="0" w:space="0" w:color="auto"/>
                <w:right w:val="none" w:sz="0" w:space="0" w:color="auto"/>
              </w:divBdr>
            </w:div>
          </w:divsChild>
        </w:div>
        <w:div w:id="1022511472">
          <w:marLeft w:val="0"/>
          <w:marRight w:val="0"/>
          <w:marTop w:val="0"/>
          <w:marBottom w:val="0"/>
          <w:divBdr>
            <w:top w:val="none" w:sz="0" w:space="0" w:color="auto"/>
            <w:left w:val="none" w:sz="0" w:space="0" w:color="auto"/>
            <w:bottom w:val="none" w:sz="0" w:space="0" w:color="auto"/>
            <w:right w:val="none" w:sz="0" w:space="0" w:color="auto"/>
          </w:divBdr>
          <w:divsChild>
            <w:div w:id="1642537347">
              <w:marLeft w:val="0"/>
              <w:marRight w:val="0"/>
              <w:marTop w:val="0"/>
              <w:marBottom w:val="0"/>
              <w:divBdr>
                <w:top w:val="none" w:sz="0" w:space="0" w:color="auto"/>
                <w:left w:val="none" w:sz="0" w:space="0" w:color="auto"/>
                <w:bottom w:val="none" w:sz="0" w:space="0" w:color="auto"/>
                <w:right w:val="none" w:sz="0" w:space="0" w:color="auto"/>
              </w:divBdr>
            </w:div>
          </w:divsChild>
        </w:div>
        <w:div w:id="1034306343">
          <w:marLeft w:val="0"/>
          <w:marRight w:val="0"/>
          <w:marTop w:val="0"/>
          <w:marBottom w:val="0"/>
          <w:divBdr>
            <w:top w:val="none" w:sz="0" w:space="0" w:color="auto"/>
            <w:left w:val="none" w:sz="0" w:space="0" w:color="auto"/>
            <w:bottom w:val="none" w:sz="0" w:space="0" w:color="auto"/>
            <w:right w:val="none" w:sz="0" w:space="0" w:color="auto"/>
          </w:divBdr>
          <w:divsChild>
            <w:div w:id="1963925888">
              <w:marLeft w:val="0"/>
              <w:marRight w:val="0"/>
              <w:marTop w:val="0"/>
              <w:marBottom w:val="0"/>
              <w:divBdr>
                <w:top w:val="none" w:sz="0" w:space="0" w:color="auto"/>
                <w:left w:val="none" w:sz="0" w:space="0" w:color="auto"/>
                <w:bottom w:val="none" w:sz="0" w:space="0" w:color="auto"/>
                <w:right w:val="none" w:sz="0" w:space="0" w:color="auto"/>
              </w:divBdr>
            </w:div>
          </w:divsChild>
        </w:div>
        <w:div w:id="1035353448">
          <w:marLeft w:val="0"/>
          <w:marRight w:val="0"/>
          <w:marTop w:val="0"/>
          <w:marBottom w:val="0"/>
          <w:divBdr>
            <w:top w:val="none" w:sz="0" w:space="0" w:color="auto"/>
            <w:left w:val="none" w:sz="0" w:space="0" w:color="auto"/>
            <w:bottom w:val="none" w:sz="0" w:space="0" w:color="auto"/>
            <w:right w:val="none" w:sz="0" w:space="0" w:color="auto"/>
          </w:divBdr>
          <w:divsChild>
            <w:div w:id="1418019523">
              <w:marLeft w:val="0"/>
              <w:marRight w:val="0"/>
              <w:marTop w:val="0"/>
              <w:marBottom w:val="0"/>
              <w:divBdr>
                <w:top w:val="none" w:sz="0" w:space="0" w:color="auto"/>
                <w:left w:val="none" w:sz="0" w:space="0" w:color="auto"/>
                <w:bottom w:val="none" w:sz="0" w:space="0" w:color="auto"/>
                <w:right w:val="none" w:sz="0" w:space="0" w:color="auto"/>
              </w:divBdr>
            </w:div>
          </w:divsChild>
        </w:div>
        <w:div w:id="1041125457">
          <w:marLeft w:val="0"/>
          <w:marRight w:val="0"/>
          <w:marTop w:val="0"/>
          <w:marBottom w:val="0"/>
          <w:divBdr>
            <w:top w:val="none" w:sz="0" w:space="0" w:color="auto"/>
            <w:left w:val="none" w:sz="0" w:space="0" w:color="auto"/>
            <w:bottom w:val="none" w:sz="0" w:space="0" w:color="auto"/>
            <w:right w:val="none" w:sz="0" w:space="0" w:color="auto"/>
          </w:divBdr>
          <w:divsChild>
            <w:div w:id="1181510024">
              <w:marLeft w:val="0"/>
              <w:marRight w:val="0"/>
              <w:marTop w:val="0"/>
              <w:marBottom w:val="0"/>
              <w:divBdr>
                <w:top w:val="none" w:sz="0" w:space="0" w:color="auto"/>
                <w:left w:val="none" w:sz="0" w:space="0" w:color="auto"/>
                <w:bottom w:val="none" w:sz="0" w:space="0" w:color="auto"/>
                <w:right w:val="none" w:sz="0" w:space="0" w:color="auto"/>
              </w:divBdr>
            </w:div>
          </w:divsChild>
        </w:div>
        <w:div w:id="1059212920">
          <w:marLeft w:val="0"/>
          <w:marRight w:val="0"/>
          <w:marTop w:val="0"/>
          <w:marBottom w:val="0"/>
          <w:divBdr>
            <w:top w:val="none" w:sz="0" w:space="0" w:color="auto"/>
            <w:left w:val="none" w:sz="0" w:space="0" w:color="auto"/>
            <w:bottom w:val="none" w:sz="0" w:space="0" w:color="auto"/>
            <w:right w:val="none" w:sz="0" w:space="0" w:color="auto"/>
          </w:divBdr>
          <w:divsChild>
            <w:div w:id="1160731075">
              <w:marLeft w:val="0"/>
              <w:marRight w:val="0"/>
              <w:marTop w:val="0"/>
              <w:marBottom w:val="0"/>
              <w:divBdr>
                <w:top w:val="none" w:sz="0" w:space="0" w:color="auto"/>
                <w:left w:val="none" w:sz="0" w:space="0" w:color="auto"/>
                <w:bottom w:val="none" w:sz="0" w:space="0" w:color="auto"/>
                <w:right w:val="none" w:sz="0" w:space="0" w:color="auto"/>
              </w:divBdr>
            </w:div>
          </w:divsChild>
        </w:div>
        <w:div w:id="1069688727">
          <w:marLeft w:val="0"/>
          <w:marRight w:val="0"/>
          <w:marTop w:val="0"/>
          <w:marBottom w:val="0"/>
          <w:divBdr>
            <w:top w:val="none" w:sz="0" w:space="0" w:color="auto"/>
            <w:left w:val="none" w:sz="0" w:space="0" w:color="auto"/>
            <w:bottom w:val="none" w:sz="0" w:space="0" w:color="auto"/>
            <w:right w:val="none" w:sz="0" w:space="0" w:color="auto"/>
          </w:divBdr>
          <w:divsChild>
            <w:div w:id="754665519">
              <w:marLeft w:val="0"/>
              <w:marRight w:val="0"/>
              <w:marTop w:val="0"/>
              <w:marBottom w:val="0"/>
              <w:divBdr>
                <w:top w:val="none" w:sz="0" w:space="0" w:color="auto"/>
                <w:left w:val="none" w:sz="0" w:space="0" w:color="auto"/>
                <w:bottom w:val="none" w:sz="0" w:space="0" w:color="auto"/>
                <w:right w:val="none" w:sz="0" w:space="0" w:color="auto"/>
              </w:divBdr>
            </w:div>
          </w:divsChild>
        </w:div>
        <w:div w:id="1072431984">
          <w:marLeft w:val="0"/>
          <w:marRight w:val="0"/>
          <w:marTop w:val="0"/>
          <w:marBottom w:val="0"/>
          <w:divBdr>
            <w:top w:val="none" w:sz="0" w:space="0" w:color="auto"/>
            <w:left w:val="none" w:sz="0" w:space="0" w:color="auto"/>
            <w:bottom w:val="none" w:sz="0" w:space="0" w:color="auto"/>
            <w:right w:val="none" w:sz="0" w:space="0" w:color="auto"/>
          </w:divBdr>
          <w:divsChild>
            <w:div w:id="534001860">
              <w:marLeft w:val="0"/>
              <w:marRight w:val="0"/>
              <w:marTop w:val="0"/>
              <w:marBottom w:val="0"/>
              <w:divBdr>
                <w:top w:val="none" w:sz="0" w:space="0" w:color="auto"/>
                <w:left w:val="none" w:sz="0" w:space="0" w:color="auto"/>
                <w:bottom w:val="none" w:sz="0" w:space="0" w:color="auto"/>
                <w:right w:val="none" w:sz="0" w:space="0" w:color="auto"/>
              </w:divBdr>
            </w:div>
          </w:divsChild>
        </w:div>
        <w:div w:id="1155297454">
          <w:marLeft w:val="0"/>
          <w:marRight w:val="0"/>
          <w:marTop w:val="0"/>
          <w:marBottom w:val="0"/>
          <w:divBdr>
            <w:top w:val="none" w:sz="0" w:space="0" w:color="auto"/>
            <w:left w:val="none" w:sz="0" w:space="0" w:color="auto"/>
            <w:bottom w:val="none" w:sz="0" w:space="0" w:color="auto"/>
            <w:right w:val="none" w:sz="0" w:space="0" w:color="auto"/>
          </w:divBdr>
          <w:divsChild>
            <w:div w:id="713698212">
              <w:marLeft w:val="0"/>
              <w:marRight w:val="0"/>
              <w:marTop w:val="0"/>
              <w:marBottom w:val="0"/>
              <w:divBdr>
                <w:top w:val="none" w:sz="0" w:space="0" w:color="auto"/>
                <w:left w:val="none" w:sz="0" w:space="0" w:color="auto"/>
                <w:bottom w:val="none" w:sz="0" w:space="0" w:color="auto"/>
                <w:right w:val="none" w:sz="0" w:space="0" w:color="auto"/>
              </w:divBdr>
            </w:div>
          </w:divsChild>
        </w:div>
        <w:div w:id="1216157414">
          <w:marLeft w:val="0"/>
          <w:marRight w:val="0"/>
          <w:marTop w:val="0"/>
          <w:marBottom w:val="0"/>
          <w:divBdr>
            <w:top w:val="none" w:sz="0" w:space="0" w:color="auto"/>
            <w:left w:val="none" w:sz="0" w:space="0" w:color="auto"/>
            <w:bottom w:val="none" w:sz="0" w:space="0" w:color="auto"/>
            <w:right w:val="none" w:sz="0" w:space="0" w:color="auto"/>
          </w:divBdr>
          <w:divsChild>
            <w:div w:id="1643149879">
              <w:marLeft w:val="0"/>
              <w:marRight w:val="0"/>
              <w:marTop w:val="0"/>
              <w:marBottom w:val="0"/>
              <w:divBdr>
                <w:top w:val="none" w:sz="0" w:space="0" w:color="auto"/>
                <w:left w:val="none" w:sz="0" w:space="0" w:color="auto"/>
                <w:bottom w:val="none" w:sz="0" w:space="0" w:color="auto"/>
                <w:right w:val="none" w:sz="0" w:space="0" w:color="auto"/>
              </w:divBdr>
            </w:div>
          </w:divsChild>
        </w:div>
        <w:div w:id="1263417664">
          <w:marLeft w:val="0"/>
          <w:marRight w:val="0"/>
          <w:marTop w:val="0"/>
          <w:marBottom w:val="0"/>
          <w:divBdr>
            <w:top w:val="none" w:sz="0" w:space="0" w:color="auto"/>
            <w:left w:val="none" w:sz="0" w:space="0" w:color="auto"/>
            <w:bottom w:val="none" w:sz="0" w:space="0" w:color="auto"/>
            <w:right w:val="none" w:sz="0" w:space="0" w:color="auto"/>
          </w:divBdr>
          <w:divsChild>
            <w:div w:id="1403258242">
              <w:marLeft w:val="0"/>
              <w:marRight w:val="0"/>
              <w:marTop w:val="0"/>
              <w:marBottom w:val="0"/>
              <w:divBdr>
                <w:top w:val="none" w:sz="0" w:space="0" w:color="auto"/>
                <w:left w:val="none" w:sz="0" w:space="0" w:color="auto"/>
                <w:bottom w:val="none" w:sz="0" w:space="0" w:color="auto"/>
                <w:right w:val="none" w:sz="0" w:space="0" w:color="auto"/>
              </w:divBdr>
            </w:div>
          </w:divsChild>
        </w:div>
        <w:div w:id="1393119239">
          <w:marLeft w:val="0"/>
          <w:marRight w:val="0"/>
          <w:marTop w:val="0"/>
          <w:marBottom w:val="0"/>
          <w:divBdr>
            <w:top w:val="none" w:sz="0" w:space="0" w:color="auto"/>
            <w:left w:val="none" w:sz="0" w:space="0" w:color="auto"/>
            <w:bottom w:val="none" w:sz="0" w:space="0" w:color="auto"/>
            <w:right w:val="none" w:sz="0" w:space="0" w:color="auto"/>
          </w:divBdr>
          <w:divsChild>
            <w:div w:id="716274775">
              <w:marLeft w:val="0"/>
              <w:marRight w:val="0"/>
              <w:marTop w:val="0"/>
              <w:marBottom w:val="0"/>
              <w:divBdr>
                <w:top w:val="none" w:sz="0" w:space="0" w:color="auto"/>
                <w:left w:val="none" w:sz="0" w:space="0" w:color="auto"/>
                <w:bottom w:val="none" w:sz="0" w:space="0" w:color="auto"/>
                <w:right w:val="none" w:sz="0" w:space="0" w:color="auto"/>
              </w:divBdr>
            </w:div>
          </w:divsChild>
        </w:div>
        <w:div w:id="1431118301">
          <w:marLeft w:val="0"/>
          <w:marRight w:val="0"/>
          <w:marTop w:val="0"/>
          <w:marBottom w:val="0"/>
          <w:divBdr>
            <w:top w:val="none" w:sz="0" w:space="0" w:color="auto"/>
            <w:left w:val="none" w:sz="0" w:space="0" w:color="auto"/>
            <w:bottom w:val="none" w:sz="0" w:space="0" w:color="auto"/>
            <w:right w:val="none" w:sz="0" w:space="0" w:color="auto"/>
          </w:divBdr>
          <w:divsChild>
            <w:div w:id="1603685987">
              <w:marLeft w:val="0"/>
              <w:marRight w:val="0"/>
              <w:marTop w:val="0"/>
              <w:marBottom w:val="0"/>
              <w:divBdr>
                <w:top w:val="none" w:sz="0" w:space="0" w:color="auto"/>
                <w:left w:val="none" w:sz="0" w:space="0" w:color="auto"/>
                <w:bottom w:val="none" w:sz="0" w:space="0" w:color="auto"/>
                <w:right w:val="none" w:sz="0" w:space="0" w:color="auto"/>
              </w:divBdr>
            </w:div>
          </w:divsChild>
        </w:div>
        <w:div w:id="1482383459">
          <w:marLeft w:val="0"/>
          <w:marRight w:val="0"/>
          <w:marTop w:val="0"/>
          <w:marBottom w:val="0"/>
          <w:divBdr>
            <w:top w:val="none" w:sz="0" w:space="0" w:color="auto"/>
            <w:left w:val="none" w:sz="0" w:space="0" w:color="auto"/>
            <w:bottom w:val="none" w:sz="0" w:space="0" w:color="auto"/>
            <w:right w:val="none" w:sz="0" w:space="0" w:color="auto"/>
          </w:divBdr>
          <w:divsChild>
            <w:div w:id="86582650">
              <w:marLeft w:val="0"/>
              <w:marRight w:val="0"/>
              <w:marTop w:val="0"/>
              <w:marBottom w:val="0"/>
              <w:divBdr>
                <w:top w:val="none" w:sz="0" w:space="0" w:color="auto"/>
                <w:left w:val="none" w:sz="0" w:space="0" w:color="auto"/>
                <w:bottom w:val="none" w:sz="0" w:space="0" w:color="auto"/>
                <w:right w:val="none" w:sz="0" w:space="0" w:color="auto"/>
              </w:divBdr>
            </w:div>
          </w:divsChild>
        </w:div>
        <w:div w:id="1492715989">
          <w:marLeft w:val="0"/>
          <w:marRight w:val="0"/>
          <w:marTop w:val="0"/>
          <w:marBottom w:val="0"/>
          <w:divBdr>
            <w:top w:val="none" w:sz="0" w:space="0" w:color="auto"/>
            <w:left w:val="none" w:sz="0" w:space="0" w:color="auto"/>
            <w:bottom w:val="none" w:sz="0" w:space="0" w:color="auto"/>
            <w:right w:val="none" w:sz="0" w:space="0" w:color="auto"/>
          </w:divBdr>
          <w:divsChild>
            <w:div w:id="1016276029">
              <w:marLeft w:val="0"/>
              <w:marRight w:val="0"/>
              <w:marTop w:val="0"/>
              <w:marBottom w:val="0"/>
              <w:divBdr>
                <w:top w:val="none" w:sz="0" w:space="0" w:color="auto"/>
                <w:left w:val="none" w:sz="0" w:space="0" w:color="auto"/>
                <w:bottom w:val="none" w:sz="0" w:space="0" w:color="auto"/>
                <w:right w:val="none" w:sz="0" w:space="0" w:color="auto"/>
              </w:divBdr>
            </w:div>
          </w:divsChild>
        </w:div>
        <w:div w:id="1502310965">
          <w:marLeft w:val="0"/>
          <w:marRight w:val="0"/>
          <w:marTop w:val="0"/>
          <w:marBottom w:val="0"/>
          <w:divBdr>
            <w:top w:val="none" w:sz="0" w:space="0" w:color="auto"/>
            <w:left w:val="none" w:sz="0" w:space="0" w:color="auto"/>
            <w:bottom w:val="none" w:sz="0" w:space="0" w:color="auto"/>
            <w:right w:val="none" w:sz="0" w:space="0" w:color="auto"/>
          </w:divBdr>
          <w:divsChild>
            <w:div w:id="1447770558">
              <w:marLeft w:val="0"/>
              <w:marRight w:val="0"/>
              <w:marTop w:val="0"/>
              <w:marBottom w:val="0"/>
              <w:divBdr>
                <w:top w:val="none" w:sz="0" w:space="0" w:color="auto"/>
                <w:left w:val="none" w:sz="0" w:space="0" w:color="auto"/>
                <w:bottom w:val="none" w:sz="0" w:space="0" w:color="auto"/>
                <w:right w:val="none" w:sz="0" w:space="0" w:color="auto"/>
              </w:divBdr>
            </w:div>
          </w:divsChild>
        </w:div>
        <w:div w:id="1532110812">
          <w:marLeft w:val="0"/>
          <w:marRight w:val="0"/>
          <w:marTop w:val="0"/>
          <w:marBottom w:val="0"/>
          <w:divBdr>
            <w:top w:val="none" w:sz="0" w:space="0" w:color="auto"/>
            <w:left w:val="none" w:sz="0" w:space="0" w:color="auto"/>
            <w:bottom w:val="none" w:sz="0" w:space="0" w:color="auto"/>
            <w:right w:val="none" w:sz="0" w:space="0" w:color="auto"/>
          </w:divBdr>
          <w:divsChild>
            <w:div w:id="76444976">
              <w:marLeft w:val="0"/>
              <w:marRight w:val="0"/>
              <w:marTop w:val="0"/>
              <w:marBottom w:val="0"/>
              <w:divBdr>
                <w:top w:val="none" w:sz="0" w:space="0" w:color="auto"/>
                <w:left w:val="none" w:sz="0" w:space="0" w:color="auto"/>
                <w:bottom w:val="none" w:sz="0" w:space="0" w:color="auto"/>
                <w:right w:val="none" w:sz="0" w:space="0" w:color="auto"/>
              </w:divBdr>
            </w:div>
          </w:divsChild>
        </w:div>
        <w:div w:id="1532257361">
          <w:marLeft w:val="0"/>
          <w:marRight w:val="0"/>
          <w:marTop w:val="0"/>
          <w:marBottom w:val="0"/>
          <w:divBdr>
            <w:top w:val="none" w:sz="0" w:space="0" w:color="auto"/>
            <w:left w:val="none" w:sz="0" w:space="0" w:color="auto"/>
            <w:bottom w:val="none" w:sz="0" w:space="0" w:color="auto"/>
            <w:right w:val="none" w:sz="0" w:space="0" w:color="auto"/>
          </w:divBdr>
          <w:divsChild>
            <w:div w:id="233397854">
              <w:marLeft w:val="0"/>
              <w:marRight w:val="0"/>
              <w:marTop w:val="0"/>
              <w:marBottom w:val="0"/>
              <w:divBdr>
                <w:top w:val="none" w:sz="0" w:space="0" w:color="auto"/>
                <w:left w:val="none" w:sz="0" w:space="0" w:color="auto"/>
                <w:bottom w:val="none" w:sz="0" w:space="0" w:color="auto"/>
                <w:right w:val="none" w:sz="0" w:space="0" w:color="auto"/>
              </w:divBdr>
            </w:div>
          </w:divsChild>
        </w:div>
        <w:div w:id="1638337649">
          <w:marLeft w:val="0"/>
          <w:marRight w:val="0"/>
          <w:marTop w:val="0"/>
          <w:marBottom w:val="0"/>
          <w:divBdr>
            <w:top w:val="none" w:sz="0" w:space="0" w:color="auto"/>
            <w:left w:val="none" w:sz="0" w:space="0" w:color="auto"/>
            <w:bottom w:val="none" w:sz="0" w:space="0" w:color="auto"/>
            <w:right w:val="none" w:sz="0" w:space="0" w:color="auto"/>
          </w:divBdr>
          <w:divsChild>
            <w:div w:id="1204709853">
              <w:marLeft w:val="0"/>
              <w:marRight w:val="0"/>
              <w:marTop w:val="0"/>
              <w:marBottom w:val="0"/>
              <w:divBdr>
                <w:top w:val="none" w:sz="0" w:space="0" w:color="auto"/>
                <w:left w:val="none" w:sz="0" w:space="0" w:color="auto"/>
                <w:bottom w:val="none" w:sz="0" w:space="0" w:color="auto"/>
                <w:right w:val="none" w:sz="0" w:space="0" w:color="auto"/>
              </w:divBdr>
            </w:div>
          </w:divsChild>
        </w:div>
        <w:div w:id="1730568533">
          <w:marLeft w:val="0"/>
          <w:marRight w:val="0"/>
          <w:marTop w:val="0"/>
          <w:marBottom w:val="0"/>
          <w:divBdr>
            <w:top w:val="none" w:sz="0" w:space="0" w:color="auto"/>
            <w:left w:val="none" w:sz="0" w:space="0" w:color="auto"/>
            <w:bottom w:val="none" w:sz="0" w:space="0" w:color="auto"/>
            <w:right w:val="none" w:sz="0" w:space="0" w:color="auto"/>
          </w:divBdr>
          <w:divsChild>
            <w:div w:id="140392011">
              <w:marLeft w:val="0"/>
              <w:marRight w:val="0"/>
              <w:marTop w:val="0"/>
              <w:marBottom w:val="0"/>
              <w:divBdr>
                <w:top w:val="none" w:sz="0" w:space="0" w:color="auto"/>
                <w:left w:val="none" w:sz="0" w:space="0" w:color="auto"/>
                <w:bottom w:val="none" w:sz="0" w:space="0" w:color="auto"/>
                <w:right w:val="none" w:sz="0" w:space="0" w:color="auto"/>
              </w:divBdr>
            </w:div>
          </w:divsChild>
        </w:div>
        <w:div w:id="1740664416">
          <w:marLeft w:val="0"/>
          <w:marRight w:val="0"/>
          <w:marTop w:val="0"/>
          <w:marBottom w:val="0"/>
          <w:divBdr>
            <w:top w:val="none" w:sz="0" w:space="0" w:color="auto"/>
            <w:left w:val="none" w:sz="0" w:space="0" w:color="auto"/>
            <w:bottom w:val="none" w:sz="0" w:space="0" w:color="auto"/>
            <w:right w:val="none" w:sz="0" w:space="0" w:color="auto"/>
          </w:divBdr>
          <w:divsChild>
            <w:div w:id="386733040">
              <w:marLeft w:val="0"/>
              <w:marRight w:val="0"/>
              <w:marTop w:val="0"/>
              <w:marBottom w:val="0"/>
              <w:divBdr>
                <w:top w:val="none" w:sz="0" w:space="0" w:color="auto"/>
                <w:left w:val="none" w:sz="0" w:space="0" w:color="auto"/>
                <w:bottom w:val="none" w:sz="0" w:space="0" w:color="auto"/>
                <w:right w:val="none" w:sz="0" w:space="0" w:color="auto"/>
              </w:divBdr>
            </w:div>
          </w:divsChild>
        </w:div>
        <w:div w:id="1742409529">
          <w:marLeft w:val="0"/>
          <w:marRight w:val="0"/>
          <w:marTop w:val="0"/>
          <w:marBottom w:val="0"/>
          <w:divBdr>
            <w:top w:val="none" w:sz="0" w:space="0" w:color="auto"/>
            <w:left w:val="none" w:sz="0" w:space="0" w:color="auto"/>
            <w:bottom w:val="none" w:sz="0" w:space="0" w:color="auto"/>
            <w:right w:val="none" w:sz="0" w:space="0" w:color="auto"/>
          </w:divBdr>
          <w:divsChild>
            <w:div w:id="600530456">
              <w:marLeft w:val="0"/>
              <w:marRight w:val="0"/>
              <w:marTop w:val="0"/>
              <w:marBottom w:val="0"/>
              <w:divBdr>
                <w:top w:val="none" w:sz="0" w:space="0" w:color="auto"/>
                <w:left w:val="none" w:sz="0" w:space="0" w:color="auto"/>
                <w:bottom w:val="none" w:sz="0" w:space="0" w:color="auto"/>
                <w:right w:val="none" w:sz="0" w:space="0" w:color="auto"/>
              </w:divBdr>
            </w:div>
          </w:divsChild>
        </w:div>
        <w:div w:id="1789082862">
          <w:marLeft w:val="0"/>
          <w:marRight w:val="0"/>
          <w:marTop w:val="0"/>
          <w:marBottom w:val="0"/>
          <w:divBdr>
            <w:top w:val="none" w:sz="0" w:space="0" w:color="auto"/>
            <w:left w:val="none" w:sz="0" w:space="0" w:color="auto"/>
            <w:bottom w:val="none" w:sz="0" w:space="0" w:color="auto"/>
            <w:right w:val="none" w:sz="0" w:space="0" w:color="auto"/>
          </w:divBdr>
          <w:divsChild>
            <w:div w:id="522523692">
              <w:marLeft w:val="0"/>
              <w:marRight w:val="0"/>
              <w:marTop w:val="0"/>
              <w:marBottom w:val="0"/>
              <w:divBdr>
                <w:top w:val="none" w:sz="0" w:space="0" w:color="auto"/>
                <w:left w:val="none" w:sz="0" w:space="0" w:color="auto"/>
                <w:bottom w:val="none" w:sz="0" w:space="0" w:color="auto"/>
                <w:right w:val="none" w:sz="0" w:space="0" w:color="auto"/>
              </w:divBdr>
            </w:div>
          </w:divsChild>
        </w:div>
        <w:div w:id="1789928782">
          <w:marLeft w:val="0"/>
          <w:marRight w:val="0"/>
          <w:marTop w:val="0"/>
          <w:marBottom w:val="0"/>
          <w:divBdr>
            <w:top w:val="none" w:sz="0" w:space="0" w:color="auto"/>
            <w:left w:val="none" w:sz="0" w:space="0" w:color="auto"/>
            <w:bottom w:val="none" w:sz="0" w:space="0" w:color="auto"/>
            <w:right w:val="none" w:sz="0" w:space="0" w:color="auto"/>
          </w:divBdr>
          <w:divsChild>
            <w:div w:id="815142599">
              <w:marLeft w:val="0"/>
              <w:marRight w:val="0"/>
              <w:marTop w:val="0"/>
              <w:marBottom w:val="0"/>
              <w:divBdr>
                <w:top w:val="none" w:sz="0" w:space="0" w:color="auto"/>
                <w:left w:val="none" w:sz="0" w:space="0" w:color="auto"/>
                <w:bottom w:val="none" w:sz="0" w:space="0" w:color="auto"/>
                <w:right w:val="none" w:sz="0" w:space="0" w:color="auto"/>
              </w:divBdr>
            </w:div>
          </w:divsChild>
        </w:div>
        <w:div w:id="1845630259">
          <w:marLeft w:val="0"/>
          <w:marRight w:val="0"/>
          <w:marTop w:val="0"/>
          <w:marBottom w:val="0"/>
          <w:divBdr>
            <w:top w:val="none" w:sz="0" w:space="0" w:color="auto"/>
            <w:left w:val="none" w:sz="0" w:space="0" w:color="auto"/>
            <w:bottom w:val="none" w:sz="0" w:space="0" w:color="auto"/>
            <w:right w:val="none" w:sz="0" w:space="0" w:color="auto"/>
          </w:divBdr>
          <w:divsChild>
            <w:div w:id="1784300945">
              <w:marLeft w:val="0"/>
              <w:marRight w:val="0"/>
              <w:marTop w:val="0"/>
              <w:marBottom w:val="0"/>
              <w:divBdr>
                <w:top w:val="none" w:sz="0" w:space="0" w:color="auto"/>
                <w:left w:val="none" w:sz="0" w:space="0" w:color="auto"/>
                <w:bottom w:val="none" w:sz="0" w:space="0" w:color="auto"/>
                <w:right w:val="none" w:sz="0" w:space="0" w:color="auto"/>
              </w:divBdr>
            </w:div>
          </w:divsChild>
        </w:div>
        <w:div w:id="2041781941">
          <w:marLeft w:val="0"/>
          <w:marRight w:val="0"/>
          <w:marTop w:val="0"/>
          <w:marBottom w:val="0"/>
          <w:divBdr>
            <w:top w:val="none" w:sz="0" w:space="0" w:color="auto"/>
            <w:left w:val="none" w:sz="0" w:space="0" w:color="auto"/>
            <w:bottom w:val="none" w:sz="0" w:space="0" w:color="auto"/>
            <w:right w:val="none" w:sz="0" w:space="0" w:color="auto"/>
          </w:divBdr>
          <w:divsChild>
            <w:div w:id="1513955904">
              <w:marLeft w:val="0"/>
              <w:marRight w:val="0"/>
              <w:marTop w:val="0"/>
              <w:marBottom w:val="0"/>
              <w:divBdr>
                <w:top w:val="none" w:sz="0" w:space="0" w:color="auto"/>
                <w:left w:val="none" w:sz="0" w:space="0" w:color="auto"/>
                <w:bottom w:val="none" w:sz="0" w:space="0" w:color="auto"/>
                <w:right w:val="none" w:sz="0" w:space="0" w:color="auto"/>
              </w:divBdr>
            </w:div>
          </w:divsChild>
        </w:div>
        <w:div w:id="2074691839">
          <w:marLeft w:val="0"/>
          <w:marRight w:val="0"/>
          <w:marTop w:val="0"/>
          <w:marBottom w:val="0"/>
          <w:divBdr>
            <w:top w:val="none" w:sz="0" w:space="0" w:color="auto"/>
            <w:left w:val="none" w:sz="0" w:space="0" w:color="auto"/>
            <w:bottom w:val="none" w:sz="0" w:space="0" w:color="auto"/>
            <w:right w:val="none" w:sz="0" w:space="0" w:color="auto"/>
          </w:divBdr>
          <w:divsChild>
            <w:div w:id="1529679859">
              <w:marLeft w:val="0"/>
              <w:marRight w:val="0"/>
              <w:marTop w:val="0"/>
              <w:marBottom w:val="0"/>
              <w:divBdr>
                <w:top w:val="none" w:sz="0" w:space="0" w:color="auto"/>
                <w:left w:val="none" w:sz="0" w:space="0" w:color="auto"/>
                <w:bottom w:val="none" w:sz="0" w:space="0" w:color="auto"/>
                <w:right w:val="none" w:sz="0" w:space="0" w:color="auto"/>
              </w:divBdr>
            </w:div>
          </w:divsChild>
        </w:div>
        <w:div w:id="2085492509">
          <w:marLeft w:val="0"/>
          <w:marRight w:val="0"/>
          <w:marTop w:val="0"/>
          <w:marBottom w:val="0"/>
          <w:divBdr>
            <w:top w:val="none" w:sz="0" w:space="0" w:color="auto"/>
            <w:left w:val="none" w:sz="0" w:space="0" w:color="auto"/>
            <w:bottom w:val="none" w:sz="0" w:space="0" w:color="auto"/>
            <w:right w:val="none" w:sz="0" w:space="0" w:color="auto"/>
          </w:divBdr>
          <w:divsChild>
            <w:div w:id="757288091">
              <w:marLeft w:val="0"/>
              <w:marRight w:val="0"/>
              <w:marTop w:val="0"/>
              <w:marBottom w:val="0"/>
              <w:divBdr>
                <w:top w:val="none" w:sz="0" w:space="0" w:color="auto"/>
                <w:left w:val="none" w:sz="0" w:space="0" w:color="auto"/>
                <w:bottom w:val="none" w:sz="0" w:space="0" w:color="auto"/>
                <w:right w:val="none" w:sz="0" w:space="0" w:color="auto"/>
              </w:divBdr>
            </w:div>
          </w:divsChild>
        </w:div>
        <w:div w:id="2099787771">
          <w:marLeft w:val="0"/>
          <w:marRight w:val="0"/>
          <w:marTop w:val="0"/>
          <w:marBottom w:val="0"/>
          <w:divBdr>
            <w:top w:val="none" w:sz="0" w:space="0" w:color="auto"/>
            <w:left w:val="none" w:sz="0" w:space="0" w:color="auto"/>
            <w:bottom w:val="none" w:sz="0" w:space="0" w:color="auto"/>
            <w:right w:val="none" w:sz="0" w:space="0" w:color="auto"/>
          </w:divBdr>
          <w:divsChild>
            <w:div w:id="1704819013">
              <w:marLeft w:val="0"/>
              <w:marRight w:val="0"/>
              <w:marTop w:val="0"/>
              <w:marBottom w:val="0"/>
              <w:divBdr>
                <w:top w:val="none" w:sz="0" w:space="0" w:color="auto"/>
                <w:left w:val="none" w:sz="0" w:space="0" w:color="auto"/>
                <w:bottom w:val="none" w:sz="0" w:space="0" w:color="auto"/>
                <w:right w:val="none" w:sz="0" w:space="0" w:color="auto"/>
              </w:divBdr>
            </w:div>
          </w:divsChild>
        </w:div>
        <w:div w:id="2100057413">
          <w:marLeft w:val="0"/>
          <w:marRight w:val="0"/>
          <w:marTop w:val="0"/>
          <w:marBottom w:val="0"/>
          <w:divBdr>
            <w:top w:val="none" w:sz="0" w:space="0" w:color="auto"/>
            <w:left w:val="none" w:sz="0" w:space="0" w:color="auto"/>
            <w:bottom w:val="none" w:sz="0" w:space="0" w:color="auto"/>
            <w:right w:val="none" w:sz="0" w:space="0" w:color="auto"/>
          </w:divBdr>
          <w:divsChild>
            <w:div w:id="1925726055">
              <w:marLeft w:val="0"/>
              <w:marRight w:val="0"/>
              <w:marTop w:val="0"/>
              <w:marBottom w:val="0"/>
              <w:divBdr>
                <w:top w:val="none" w:sz="0" w:space="0" w:color="auto"/>
                <w:left w:val="none" w:sz="0" w:space="0" w:color="auto"/>
                <w:bottom w:val="none" w:sz="0" w:space="0" w:color="auto"/>
                <w:right w:val="none" w:sz="0" w:space="0" w:color="auto"/>
              </w:divBdr>
            </w:div>
          </w:divsChild>
        </w:div>
        <w:div w:id="2124571096">
          <w:marLeft w:val="0"/>
          <w:marRight w:val="0"/>
          <w:marTop w:val="0"/>
          <w:marBottom w:val="0"/>
          <w:divBdr>
            <w:top w:val="none" w:sz="0" w:space="0" w:color="auto"/>
            <w:left w:val="none" w:sz="0" w:space="0" w:color="auto"/>
            <w:bottom w:val="none" w:sz="0" w:space="0" w:color="auto"/>
            <w:right w:val="none" w:sz="0" w:space="0" w:color="auto"/>
          </w:divBdr>
          <w:divsChild>
            <w:div w:id="943076112">
              <w:marLeft w:val="0"/>
              <w:marRight w:val="0"/>
              <w:marTop w:val="0"/>
              <w:marBottom w:val="0"/>
              <w:divBdr>
                <w:top w:val="none" w:sz="0" w:space="0" w:color="auto"/>
                <w:left w:val="none" w:sz="0" w:space="0" w:color="auto"/>
                <w:bottom w:val="none" w:sz="0" w:space="0" w:color="auto"/>
                <w:right w:val="none" w:sz="0" w:space="0" w:color="auto"/>
              </w:divBdr>
            </w:div>
          </w:divsChild>
        </w:div>
        <w:div w:id="2127195234">
          <w:marLeft w:val="0"/>
          <w:marRight w:val="0"/>
          <w:marTop w:val="0"/>
          <w:marBottom w:val="0"/>
          <w:divBdr>
            <w:top w:val="none" w:sz="0" w:space="0" w:color="auto"/>
            <w:left w:val="none" w:sz="0" w:space="0" w:color="auto"/>
            <w:bottom w:val="none" w:sz="0" w:space="0" w:color="auto"/>
            <w:right w:val="none" w:sz="0" w:space="0" w:color="auto"/>
          </w:divBdr>
          <w:divsChild>
            <w:div w:id="1962691022">
              <w:marLeft w:val="0"/>
              <w:marRight w:val="0"/>
              <w:marTop w:val="0"/>
              <w:marBottom w:val="0"/>
              <w:divBdr>
                <w:top w:val="none" w:sz="0" w:space="0" w:color="auto"/>
                <w:left w:val="none" w:sz="0" w:space="0" w:color="auto"/>
                <w:bottom w:val="none" w:sz="0" w:space="0" w:color="auto"/>
                <w:right w:val="none" w:sz="0" w:space="0" w:color="auto"/>
              </w:divBdr>
            </w:div>
          </w:divsChild>
        </w:div>
        <w:div w:id="2136754376">
          <w:marLeft w:val="0"/>
          <w:marRight w:val="0"/>
          <w:marTop w:val="0"/>
          <w:marBottom w:val="0"/>
          <w:divBdr>
            <w:top w:val="none" w:sz="0" w:space="0" w:color="auto"/>
            <w:left w:val="none" w:sz="0" w:space="0" w:color="auto"/>
            <w:bottom w:val="none" w:sz="0" w:space="0" w:color="auto"/>
            <w:right w:val="none" w:sz="0" w:space="0" w:color="auto"/>
          </w:divBdr>
          <w:divsChild>
            <w:div w:id="15479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82286">
      <w:bodyDiv w:val="1"/>
      <w:marLeft w:val="0"/>
      <w:marRight w:val="0"/>
      <w:marTop w:val="0"/>
      <w:marBottom w:val="0"/>
      <w:divBdr>
        <w:top w:val="none" w:sz="0" w:space="0" w:color="auto"/>
        <w:left w:val="none" w:sz="0" w:space="0" w:color="auto"/>
        <w:bottom w:val="none" w:sz="0" w:space="0" w:color="auto"/>
        <w:right w:val="none" w:sz="0" w:space="0" w:color="auto"/>
      </w:divBdr>
    </w:div>
    <w:div w:id="1540703240">
      <w:bodyDiv w:val="1"/>
      <w:marLeft w:val="0"/>
      <w:marRight w:val="0"/>
      <w:marTop w:val="0"/>
      <w:marBottom w:val="0"/>
      <w:divBdr>
        <w:top w:val="none" w:sz="0" w:space="0" w:color="auto"/>
        <w:left w:val="none" w:sz="0" w:space="0" w:color="auto"/>
        <w:bottom w:val="none" w:sz="0" w:space="0" w:color="auto"/>
        <w:right w:val="none" w:sz="0" w:space="0" w:color="auto"/>
      </w:divBdr>
    </w:div>
    <w:div w:id="1544633807">
      <w:bodyDiv w:val="1"/>
      <w:marLeft w:val="0"/>
      <w:marRight w:val="0"/>
      <w:marTop w:val="0"/>
      <w:marBottom w:val="0"/>
      <w:divBdr>
        <w:top w:val="none" w:sz="0" w:space="0" w:color="auto"/>
        <w:left w:val="none" w:sz="0" w:space="0" w:color="auto"/>
        <w:bottom w:val="none" w:sz="0" w:space="0" w:color="auto"/>
        <w:right w:val="none" w:sz="0" w:space="0" w:color="auto"/>
      </w:divBdr>
      <w:divsChild>
        <w:div w:id="1781148107">
          <w:marLeft w:val="0"/>
          <w:marRight w:val="0"/>
          <w:marTop w:val="0"/>
          <w:marBottom w:val="0"/>
          <w:divBdr>
            <w:top w:val="none" w:sz="0" w:space="0" w:color="auto"/>
            <w:left w:val="none" w:sz="0" w:space="0" w:color="auto"/>
            <w:bottom w:val="none" w:sz="0" w:space="0" w:color="auto"/>
            <w:right w:val="none" w:sz="0" w:space="0" w:color="auto"/>
          </w:divBdr>
          <w:divsChild>
            <w:div w:id="16352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7587">
      <w:bodyDiv w:val="1"/>
      <w:marLeft w:val="0"/>
      <w:marRight w:val="0"/>
      <w:marTop w:val="0"/>
      <w:marBottom w:val="0"/>
      <w:divBdr>
        <w:top w:val="none" w:sz="0" w:space="0" w:color="auto"/>
        <w:left w:val="none" w:sz="0" w:space="0" w:color="auto"/>
        <w:bottom w:val="none" w:sz="0" w:space="0" w:color="auto"/>
        <w:right w:val="none" w:sz="0" w:space="0" w:color="auto"/>
      </w:divBdr>
    </w:div>
    <w:div w:id="1563911058">
      <w:bodyDiv w:val="1"/>
      <w:marLeft w:val="0"/>
      <w:marRight w:val="0"/>
      <w:marTop w:val="0"/>
      <w:marBottom w:val="0"/>
      <w:divBdr>
        <w:top w:val="none" w:sz="0" w:space="0" w:color="auto"/>
        <w:left w:val="none" w:sz="0" w:space="0" w:color="auto"/>
        <w:bottom w:val="none" w:sz="0" w:space="0" w:color="auto"/>
        <w:right w:val="none" w:sz="0" w:space="0" w:color="auto"/>
      </w:divBdr>
    </w:div>
    <w:div w:id="1579705303">
      <w:bodyDiv w:val="1"/>
      <w:marLeft w:val="0"/>
      <w:marRight w:val="0"/>
      <w:marTop w:val="0"/>
      <w:marBottom w:val="0"/>
      <w:divBdr>
        <w:top w:val="none" w:sz="0" w:space="0" w:color="auto"/>
        <w:left w:val="none" w:sz="0" w:space="0" w:color="auto"/>
        <w:bottom w:val="none" w:sz="0" w:space="0" w:color="auto"/>
        <w:right w:val="none" w:sz="0" w:space="0" w:color="auto"/>
      </w:divBdr>
    </w:div>
    <w:div w:id="1595548431">
      <w:bodyDiv w:val="1"/>
      <w:marLeft w:val="0"/>
      <w:marRight w:val="0"/>
      <w:marTop w:val="0"/>
      <w:marBottom w:val="0"/>
      <w:divBdr>
        <w:top w:val="none" w:sz="0" w:space="0" w:color="auto"/>
        <w:left w:val="none" w:sz="0" w:space="0" w:color="auto"/>
        <w:bottom w:val="none" w:sz="0" w:space="0" w:color="auto"/>
        <w:right w:val="none" w:sz="0" w:space="0" w:color="auto"/>
      </w:divBdr>
    </w:div>
    <w:div w:id="1606230937">
      <w:bodyDiv w:val="1"/>
      <w:marLeft w:val="0"/>
      <w:marRight w:val="0"/>
      <w:marTop w:val="0"/>
      <w:marBottom w:val="0"/>
      <w:divBdr>
        <w:top w:val="none" w:sz="0" w:space="0" w:color="auto"/>
        <w:left w:val="none" w:sz="0" w:space="0" w:color="auto"/>
        <w:bottom w:val="none" w:sz="0" w:space="0" w:color="auto"/>
        <w:right w:val="none" w:sz="0" w:space="0" w:color="auto"/>
      </w:divBdr>
    </w:div>
    <w:div w:id="1622106194">
      <w:bodyDiv w:val="1"/>
      <w:marLeft w:val="0"/>
      <w:marRight w:val="0"/>
      <w:marTop w:val="0"/>
      <w:marBottom w:val="0"/>
      <w:divBdr>
        <w:top w:val="none" w:sz="0" w:space="0" w:color="auto"/>
        <w:left w:val="none" w:sz="0" w:space="0" w:color="auto"/>
        <w:bottom w:val="none" w:sz="0" w:space="0" w:color="auto"/>
        <w:right w:val="none" w:sz="0" w:space="0" w:color="auto"/>
      </w:divBdr>
    </w:div>
    <w:div w:id="1634015472">
      <w:bodyDiv w:val="1"/>
      <w:marLeft w:val="0"/>
      <w:marRight w:val="0"/>
      <w:marTop w:val="0"/>
      <w:marBottom w:val="0"/>
      <w:divBdr>
        <w:top w:val="none" w:sz="0" w:space="0" w:color="auto"/>
        <w:left w:val="none" w:sz="0" w:space="0" w:color="auto"/>
        <w:bottom w:val="none" w:sz="0" w:space="0" w:color="auto"/>
        <w:right w:val="none" w:sz="0" w:space="0" w:color="auto"/>
      </w:divBdr>
      <w:divsChild>
        <w:div w:id="76483071">
          <w:marLeft w:val="0"/>
          <w:marRight w:val="0"/>
          <w:marTop w:val="0"/>
          <w:marBottom w:val="0"/>
          <w:divBdr>
            <w:top w:val="none" w:sz="0" w:space="0" w:color="auto"/>
            <w:left w:val="none" w:sz="0" w:space="0" w:color="auto"/>
            <w:bottom w:val="none" w:sz="0" w:space="0" w:color="auto"/>
            <w:right w:val="none" w:sz="0" w:space="0" w:color="auto"/>
          </w:divBdr>
          <w:divsChild>
            <w:div w:id="1360156778">
              <w:marLeft w:val="0"/>
              <w:marRight w:val="0"/>
              <w:marTop w:val="0"/>
              <w:marBottom w:val="0"/>
              <w:divBdr>
                <w:top w:val="none" w:sz="0" w:space="0" w:color="auto"/>
                <w:left w:val="none" w:sz="0" w:space="0" w:color="auto"/>
                <w:bottom w:val="none" w:sz="0" w:space="0" w:color="auto"/>
                <w:right w:val="none" w:sz="0" w:space="0" w:color="auto"/>
              </w:divBdr>
            </w:div>
          </w:divsChild>
        </w:div>
        <w:div w:id="88040497">
          <w:marLeft w:val="0"/>
          <w:marRight w:val="0"/>
          <w:marTop w:val="0"/>
          <w:marBottom w:val="0"/>
          <w:divBdr>
            <w:top w:val="none" w:sz="0" w:space="0" w:color="auto"/>
            <w:left w:val="none" w:sz="0" w:space="0" w:color="auto"/>
            <w:bottom w:val="none" w:sz="0" w:space="0" w:color="auto"/>
            <w:right w:val="none" w:sz="0" w:space="0" w:color="auto"/>
          </w:divBdr>
          <w:divsChild>
            <w:div w:id="793669697">
              <w:marLeft w:val="0"/>
              <w:marRight w:val="0"/>
              <w:marTop w:val="0"/>
              <w:marBottom w:val="0"/>
              <w:divBdr>
                <w:top w:val="none" w:sz="0" w:space="0" w:color="auto"/>
                <w:left w:val="none" w:sz="0" w:space="0" w:color="auto"/>
                <w:bottom w:val="none" w:sz="0" w:space="0" w:color="auto"/>
                <w:right w:val="none" w:sz="0" w:space="0" w:color="auto"/>
              </w:divBdr>
            </w:div>
          </w:divsChild>
        </w:div>
        <w:div w:id="92865227">
          <w:marLeft w:val="0"/>
          <w:marRight w:val="0"/>
          <w:marTop w:val="0"/>
          <w:marBottom w:val="0"/>
          <w:divBdr>
            <w:top w:val="none" w:sz="0" w:space="0" w:color="auto"/>
            <w:left w:val="none" w:sz="0" w:space="0" w:color="auto"/>
            <w:bottom w:val="none" w:sz="0" w:space="0" w:color="auto"/>
            <w:right w:val="none" w:sz="0" w:space="0" w:color="auto"/>
          </w:divBdr>
          <w:divsChild>
            <w:div w:id="2105034327">
              <w:marLeft w:val="0"/>
              <w:marRight w:val="0"/>
              <w:marTop w:val="0"/>
              <w:marBottom w:val="0"/>
              <w:divBdr>
                <w:top w:val="none" w:sz="0" w:space="0" w:color="auto"/>
                <w:left w:val="none" w:sz="0" w:space="0" w:color="auto"/>
                <w:bottom w:val="none" w:sz="0" w:space="0" w:color="auto"/>
                <w:right w:val="none" w:sz="0" w:space="0" w:color="auto"/>
              </w:divBdr>
            </w:div>
          </w:divsChild>
        </w:div>
        <w:div w:id="143739700">
          <w:marLeft w:val="0"/>
          <w:marRight w:val="0"/>
          <w:marTop w:val="0"/>
          <w:marBottom w:val="0"/>
          <w:divBdr>
            <w:top w:val="none" w:sz="0" w:space="0" w:color="auto"/>
            <w:left w:val="none" w:sz="0" w:space="0" w:color="auto"/>
            <w:bottom w:val="none" w:sz="0" w:space="0" w:color="auto"/>
            <w:right w:val="none" w:sz="0" w:space="0" w:color="auto"/>
          </w:divBdr>
          <w:divsChild>
            <w:div w:id="647713765">
              <w:marLeft w:val="0"/>
              <w:marRight w:val="0"/>
              <w:marTop w:val="0"/>
              <w:marBottom w:val="0"/>
              <w:divBdr>
                <w:top w:val="none" w:sz="0" w:space="0" w:color="auto"/>
                <w:left w:val="none" w:sz="0" w:space="0" w:color="auto"/>
                <w:bottom w:val="none" w:sz="0" w:space="0" w:color="auto"/>
                <w:right w:val="none" w:sz="0" w:space="0" w:color="auto"/>
              </w:divBdr>
            </w:div>
          </w:divsChild>
        </w:div>
        <w:div w:id="168757745">
          <w:marLeft w:val="0"/>
          <w:marRight w:val="0"/>
          <w:marTop w:val="0"/>
          <w:marBottom w:val="0"/>
          <w:divBdr>
            <w:top w:val="none" w:sz="0" w:space="0" w:color="auto"/>
            <w:left w:val="none" w:sz="0" w:space="0" w:color="auto"/>
            <w:bottom w:val="none" w:sz="0" w:space="0" w:color="auto"/>
            <w:right w:val="none" w:sz="0" w:space="0" w:color="auto"/>
          </w:divBdr>
          <w:divsChild>
            <w:div w:id="725252945">
              <w:marLeft w:val="0"/>
              <w:marRight w:val="0"/>
              <w:marTop w:val="0"/>
              <w:marBottom w:val="0"/>
              <w:divBdr>
                <w:top w:val="none" w:sz="0" w:space="0" w:color="auto"/>
                <w:left w:val="none" w:sz="0" w:space="0" w:color="auto"/>
                <w:bottom w:val="none" w:sz="0" w:space="0" w:color="auto"/>
                <w:right w:val="none" w:sz="0" w:space="0" w:color="auto"/>
              </w:divBdr>
            </w:div>
          </w:divsChild>
        </w:div>
        <w:div w:id="208342886">
          <w:marLeft w:val="0"/>
          <w:marRight w:val="0"/>
          <w:marTop w:val="0"/>
          <w:marBottom w:val="0"/>
          <w:divBdr>
            <w:top w:val="none" w:sz="0" w:space="0" w:color="auto"/>
            <w:left w:val="none" w:sz="0" w:space="0" w:color="auto"/>
            <w:bottom w:val="none" w:sz="0" w:space="0" w:color="auto"/>
            <w:right w:val="none" w:sz="0" w:space="0" w:color="auto"/>
          </w:divBdr>
          <w:divsChild>
            <w:div w:id="1562206749">
              <w:marLeft w:val="0"/>
              <w:marRight w:val="0"/>
              <w:marTop w:val="0"/>
              <w:marBottom w:val="0"/>
              <w:divBdr>
                <w:top w:val="none" w:sz="0" w:space="0" w:color="auto"/>
                <w:left w:val="none" w:sz="0" w:space="0" w:color="auto"/>
                <w:bottom w:val="none" w:sz="0" w:space="0" w:color="auto"/>
                <w:right w:val="none" w:sz="0" w:space="0" w:color="auto"/>
              </w:divBdr>
            </w:div>
          </w:divsChild>
        </w:div>
        <w:div w:id="252787072">
          <w:marLeft w:val="0"/>
          <w:marRight w:val="0"/>
          <w:marTop w:val="0"/>
          <w:marBottom w:val="0"/>
          <w:divBdr>
            <w:top w:val="none" w:sz="0" w:space="0" w:color="auto"/>
            <w:left w:val="none" w:sz="0" w:space="0" w:color="auto"/>
            <w:bottom w:val="none" w:sz="0" w:space="0" w:color="auto"/>
            <w:right w:val="none" w:sz="0" w:space="0" w:color="auto"/>
          </w:divBdr>
          <w:divsChild>
            <w:div w:id="873880913">
              <w:marLeft w:val="0"/>
              <w:marRight w:val="0"/>
              <w:marTop w:val="0"/>
              <w:marBottom w:val="0"/>
              <w:divBdr>
                <w:top w:val="none" w:sz="0" w:space="0" w:color="auto"/>
                <w:left w:val="none" w:sz="0" w:space="0" w:color="auto"/>
                <w:bottom w:val="none" w:sz="0" w:space="0" w:color="auto"/>
                <w:right w:val="none" w:sz="0" w:space="0" w:color="auto"/>
              </w:divBdr>
            </w:div>
          </w:divsChild>
        </w:div>
        <w:div w:id="301234454">
          <w:marLeft w:val="0"/>
          <w:marRight w:val="0"/>
          <w:marTop w:val="0"/>
          <w:marBottom w:val="0"/>
          <w:divBdr>
            <w:top w:val="none" w:sz="0" w:space="0" w:color="auto"/>
            <w:left w:val="none" w:sz="0" w:space="0" w:color="auto"/>
            <w:bottom w:val="none" w:sz="0" w:space="0" w:color="auto"/>
            <w:right w:val="none" w:sz="0" w:space="0" w:color="auto"/>
          </w:divBdr>
          <w:divsChild>
            <w:div w:id="2146897331">
              <w:marLeft w:val="0"/>
              <w:marRight w:val="0"/>
              <w:marTop w:val="0"/>
              <w:marBottom w:val="0"/>
              <w:divBdr>
                <w:top w:val="none" w:sz="0" w:space="0" w:color="auto"/>
                <w:left w:val="none" w:sz="0" w:space="0" w:color="auto"/>
                <w:bottom w:val="none" w:sz="0" w:space="0" w:color="auto"/>
                <w:right w:val="none" w:sz="0" w:space="0" w:color="auto"/>
              </w:divBdr>
            </w:div>
          </w:divsChild>
        </w:div>
        <w:div w:id="311443507">
          <w:marLeft w:val="0"/>
          <w:marRight w:val="0"/>
          <w:marTop w:val="0"/>
          <w:marBottom w:val="0"/>
          <w:divBdr>
            <w:top w:val="none" w:sz="0" w:space="0" w:color="auto"/>
            <w:left w:val="none" w:sz="0" w:space="0" w:color="auto"/>
            <w:bottom w:val="none" w:sz="0" w:space="0" w:color="auto"/>
            <w:right w:val="none" w:sz="0" w:space="0" w:color="auto"/>
          </w:divBdr>
          <w:divsChild>
            <w:div w:id="1282106669">
              <w:marLeft w:val="0"/>
              <w:marRight w:val="0"/>
              <w:marTop w:val="0"/>
              <w:marBottom w:val="0"/>
              <w:divBdr>
                <w:top w:val="none" w:sz="0" w:space="0" w:color="auto"/>
                <w:left w:val="none" w:sz="0" w:space="0" w:color="auto"/>
                <w:bottom w:val="none" w:sz="0" w:space="0" w:color="auto"/>
                <w:right w:val="none" w:sz="0" w:space="0" w:color="auto"/>
              </w:divBdr>
            </w:div>
          </w:divsChild>
        </w:div>
        <w:div w:id="339624903">
          <w:marLeft w:val="0"/>
          <w:marRight w:val="0"/>
          <w:marTop w:val="0"/>
          <w:marBottom w:val="0"/>
          <w:divBdr>
            <w:top w:val="none" w:sz="0" w:space="0" w:color="auto"/>
            <w:left w:val="none" w:sz="0" w:space="0" w:color="auto"/>
            <w:bottom w:val="none" w:sz="0" w:space="0" w:color="auto"/>
            <w:right w:val="none" w:sz="0" w:space="0" w:color="auto"/>
          </w:divBdr>
          <w:divsChild>
            <w:div w:id="976378410">
              <w:marLeft w:val="0"/>
              <w:marRight w:val="0"/>
              <w:marTop w:val="0"/>
              <w:marBottom w:val="0"/>
              <w:divBdr>
                <w:top w:val="none" w:sz="0" w:space="0" w:color="auto"/>
                <w:left w:val="none" w:sz="0" w:space="0" w:color="auto"/>
                <w:bottom w:val="none" w:sz="0" w:space="0" w:color="auto"/>
                <w:right w:val="none" w:sz="0" w:space="0" w:color="auto"/>
              </w:divBdr>
            </w:div>
          </w:divsChild>
        </w:div>
        <w:div w:id="353043255">
          <w:marLeft w:val="0"/>
          <w:marRight w:val="0"/>
          <w:marTop w:val="0"/>
          <w:marBottom w:val="0"/>
          <w:divBdr>
            <w:top w:val="none" w:sz="0" w:space="0" w:color="auto"/>
            <w:left w:val="none" w:sz="0" w:space="0" w:color="auto"/>
            <w:bottom w:val="none" w:sz="0" w:space="0" w:color="auto"/>
            <w:right w:val="none" w:sz="0" w:space="0" w:color="auto"/>
          </w:divBdr>
          <w:divsChild>
            <w:div w:id="722827046">
              <w:marLeft w:val="0"/>
              <w:marRight w:val="0"/>
              <w:marTop w:val="0"/>
              <w:marBottom w:val="0"/>
              <w:divBdr>
                <w:top w:val="none" w:sz="0" w:space="0" w:color="auto"/>
                <w:left w:val="none" w:sz="0" w:space="0" w:color="auto"/>
                <w:bottom w:val="none" w:sz="0" w:space="0" w:color="auto"/>
                <w:right w:val="none" w:sz="0" w:space="0" w:color="auto"/>
              </w:divBdr>
            </w:div>
          </w:divsChild>
        </w:div>
        <w:div w:id="356392883">
          <w:marLeft w:val="0"/>
          <w:marRight w:val="0"/>
          <w:marTop w:val="0"/>
          <w:marBottom w:val="0"/>
          <w:divBdr>
            <w:top w:val="none" w:sz="0" w:space="0" w:color="auto"/>
            <w:left w:val="none" w:sz="0" w:space="0" w:color="auto"/>
            <w:bottom w:val="none" w:sz="0" w:space="0" w:color="auto"/>
            <w:right w:val="none" w:sz="0" w:space="0" w:color="auto"/>
          </w:divBdr>
          <w:divsChild>
            <w:div w:id="1802117346">
              <w:marLeft w:val="0"/>
              <w:marRight w:val="0"/>
              <w:marTop w:val="0"/>
              <w:marBottom w:val="0"/>
              <w:divBdr>
                <w:top w:val="none" w:sz="0" w:space="0" w:color="auto"/>
                <w:left w:val="none" w:sz="0" w:space="0" w:color="auto"/>
                <w:bottom w:val="none" w:sz="0" w:space="0" w:color="auto"/>
                <w:right w:val="none" w:sz="0" w:space="0" w:color="auto"/>
              </w:divBdr>
            </w:div>
          </w:divsChild>
        </w:div>
        <w:div w:id="363212924">
          <w:marLeft w:val="0"/>
          <w:marRight w:val="0"/>
          <w:marTop w:val="0"/>
          <w:marBottom w:val="0"/>
          <w:divBdr>
            <w:top w:val="none" w:sz="0" w:space="0" w:color="auto"/>
            <w:left w:val="none" w:sz="0" w:space="0" w:color="auto"/>
            <w:bottom w:val="none" w:sz="0" w:space="0" w:color="auto"/>
            <w:right w:val="none" w:sz="0" w:space="0" w:color="auto"/>
          </w:divBdr>
          <w:divsChild>
            <w:div w:id="908802970">
              <w:marLeft w:val="0"/>
              <w:marRight w:val="0"/>
              <w:marTop w:val="0"/>
              <w:marBottom w:val="0"/>
              <w:divBdr>
                <w:top w:val="none" w:sz="0" w:space="0" w:color="auto"/>
                <w:left w:val="none" w:sz="0" w:space="0" w:color="auto"/>
                <w:bottom w:val="none" w:sz="0" w:space="0" w:color="auto"/>
                <w:right w:val="none" w:sz="0" w:space="0" w:color="auto"/>
              </w:divBdr>
            </w:div>
          </w:divsChild>
        </w:div>
        <w:div w:id="416904878">
          <w:marLeft w:val="0"/>
          <w:marRight w:val="0"/>
          <w:marTop w:val="0"/>
          <w:marBottom w:val="0"/>
          <w:divBdr>
            <w:top w:val="none" w:sz="0" w:space="0" w:color="auto"/>
            <w:left w:val="none" w:sz="0" w:space="0" w:color="auto"/>
            <w:bottom w:val="none" w:sz="0" w:space="0" w:color="auto"/>
            <w:right w:val="none" w:sz="0" w:space="0" w:color="auto"/>
          </w:divBdr>
          <w:divsChild>
            <w:div w:id="778137168">
              <w:marLeft w:val="0"/>
              <w:marRight w:val="0"/>
              <w:marTop w:val="0"/>
              <w:marBottom w:val="0"/>
              <w:divBdr>
                <w:top w:val="none" w:sz="0" w:space="0" w:color="auto"/>
                <w:left w:val="none" w:sz="0" w:space="0" w:color="auto"/>
                <w:bottom w:val="none" w:sz="0" w:space="0" w:color="auto"/>
                <w:right w:val="none" w:sz="0" w:space="0" w:color="auto"/>
              </w:divBdr>
            </w:div>
          </w:divsChild>
        </w:div>
        <w:div w:id="426927470">
          <w:marLeft w:val="0"/>
          <w:marRight w:val="0"/>
          <w:marTop w:val="0"/>
          <w:marBottom w:val="0"/>
          <w:divBdr>
            <w:top w:val="none" w:sz="0" w:space="0" w:color="auto"/>
            <w:left w:val="none" w:sz="0" w:space="0" w:color="auto"/>
            <w:bottom w:val="none" w:sz="0" w:space="0" w:color="auto"/>
            <w:right w:val="none" w:sz="0" w:space="0" w:color="auto"/>
          </w:divBdr>
          <w:divsChild>
            <w:div w:id="1469278603">
              <w:marLeft w:val="0"/>
              <w:marRight w:val="0"/>
              <w:marTop w:val="0"/>
              <w:marBottom w:val="0"/>
              <w:divBdr>
                <w:top w:val="none" w:sz="0" w:space="0" w:color="auto"/>
                <w:left w:val="none" w:sz="0" w:space="0" w:color="auto"/>
                <w:bottom w:val="none" w:sz="0" w:space="0" w:color="auto"/>
                <w:right w:val="none" w:sz="0" w:space="0" w:color="auto"/>
              </w:divBdr>
            </w:div>
          </w:divsChild>
        </w:div>
        <w:div w:id="486167579">
          <w:marLeft w:val="0"/>
          <w:marRight w:val="0"/>
          <w:marTop w:val="0"/>
          <w:marBottom w:val="0"/>
          <w:divBdr>
            <w:top w:val="none" w:sz="0" w:space="0" w:color="auto"/>
            <w:left w:val="none" w:sz="0" w:space="0" w:color="auto"/>
            <w:bottom w:val="none" w:sz="0" w:space="0" w:color="auto"/>
            <w:right w:val="none" w:sz="0" w:space="0" w:color="auto"/>
          </w:divBdr>
          <w:divsChild>
            <w:div w:id="191503743">
              <w:marLeft w:val="0"/>
              <w:marRight w:val="0"/>
              <w:marTop w:val="0"/>
              <w:marBottom w:val="0"/>
              <w:divBdr>
                <w:top w:val="none" w:sz="0" w:space="0" w:color="auto"/>
                <w:left w:val="none" w:sz="0" w:space="0" w:color="auto"/>
                <w:bottom w:val="none" w:sz="0" w:space="0" w:color="auto"/>
                <w:right w:val="none" w:sz="0" w:space="0" w:color="auto"/>
              </w:divBdr>
            </w:div>
          </w:divsChild>
        </w:div>
        <w:div w:id="509025013">
          <w:marLeft w:val="0"/>
          <w:marRight w:val="0"/>
          <w:marTop w:val="0"/>
          <w:marBottom w:val="0"/>
          <w:divBdr>
            <w:top w:val="none" w:sz="0" w:space="0" w:color="auto"/>
            <w:left w:val="none" w:sz="0" w:space="0" w:color="auto"/>
            <w:bottom w:val="none" w:sz="0" w:space="0" w:color="auto"/>
            <w:right w:val="none" w:sz="0" w:space="0" w:color="auto"/>
          </w:divBdr>
          <w:divsChild>
            <w:div w:id="1134298186">
              <w:marLeft w:val="0"/>
              <w:marRight w:val="0"/>
              <w:marTop w:val="0"/>
              <w:marBottom w:val="0"/>
              <w:divBdr>
                <w:top w:val="none" w:sz="0" w:space="0" w:color="auto"/>
                <w:left w:val="none" w:sz="0" w:space="0" w:color="auto"/>
                <w:bottom w:val="none" w:sz="0" w:space="0" w:color="auto"/>
                <w:right w:val="none" w:sz="0" w:space="0" w:color="auto"/>
              </w:divBdr>
            </w:div>
          </w:divsChild>
        </w:div>
        <w:div w:id="541208075">
          <w:marLeft w:val="0"/>
          <w:marRight w:val="0"/>
          <w:marTop w:val="0"/>
          <w:marBottom w:val="0"/>
          <w:divBdr>
            <w:top w:val="none" w:sz="0" w:space="0" w:color="auto"/>
            <w:left w:val="none" w:sz="0" w:space="0" w:color="auto"/>
            <w:bottom w:val="none" w:sz="0" w:space="0" w:color="auto"/>
            <w:right w:val="none" w:sz="0" w:space="0" w:color="auto"/>
          </w:divBdr>
          <w:divsChild>
            <w:div w:id="1132600399">
              <w:marLeft w:val="0"/>
              <w:marRight w:val="0"/>
              <w:marTop w:val="0"/>
              <w:marBottom w:val="0"/>
              <w:divBdr>
                <w:top w:val="none" w:sz="0" w:space="0" w:color="auto"/>
                <w:left w:val="none" w:sz="0" w:space="0" w:color="auto"/>
                <w:bottom w:val="none" w:sz="0" w:space="0" w:color="auto"/>
                <w:right w:val="none" w:sz="0" w:space="0" w:color="auto"/>
              </w:divBdr>
            </w:div>
          </w:divsChild>
        </w:div>
        <w:div w:id="564531464">
          <w:marLeft w:val="0"/>
          <w:marRight w:val="0"/>
          <w:marTop w:val="0"/>
          <w:marBottom w:val="0"/>
          <w:divBdr>
            <w:top w:val="none" w:sz="0" w:space="0" w:color="auto"/>
            <w:left w:val="none" w:sz="0" w:space="0" w:color="auto"/>
            <w:bottom w:val="none" w:sz="0" w:space="0" w:color="auto"/>
            <w:right w:val="none" w:sz="0" w:space="0" w:color="auto"/>
          </w:divBdr>
          <w:divsChild>
            <w:div w:id="342559986">
              <w:marLeft w:val="0"/>
              <w:marRight w:val="0"/>
              <w:marTop w:val="0"/>
              <w:marBottom w:val="0"/>
              <w:divBdr>
                <w:top w:val="none" w:sz="0" w:space="0" w:color="auto"/>
                <w:left w:val="none" w:sz="0" w:space="0" w:color="auto"/>
                <w:bottom w:val="none" w:sz="0" w:space="0" w:color="auto"/>
                <w:right w:val="none" w:sz="0" w:space="0" w:color="auto"/>
              </w:divBdr>
            </w:div>
          </w:divsChild>
        </w:div>
        <w:div w:id="568619319">
          <w:marLeft w:val="0"/>
          <w:marRight w:val="0"/>
          <w:marTop w:val="0"/>
          <w:marBottom w:val="0"/>
          <w:divBdr>
            <w:top w:val="none" w:sz="0" w:space="0" w:color="auto"/>
            <w:left w:val="none" w:sz="0" w:space="0" w:color="auto"/>
            <w:bottom w:val="none" w:sz="0" w:space="0" w:color="auto"/>
            <w:right w:val="none" w:sz="0" w:space="0" w:color="auto"/>
          </w:divBdr>
          <w:divsChild>
            <w:div w:id="2083483643">
              <w:marLeft w:val="0"/>
              <w:marRight w:val="0"/>
              <w:marTop w:val="0"/>
              <w:marBottom w:val="0"/>
              <w:divBdr>
                <w:top w:val="none" w:sz="0" w:space="0" w:color="auto"/>
                <w:left w:val="none" w:sz="0" w:space="0" w:color="auto"/>
                <w:bottom w:val="none" w:sz="0" w:space="0" w:color="auto"/>
                <w:right w:val="none" w:sz="0" w:space="0" w:color="auto"/>
              </w:divBdr>
            </w:div>
          </w:divsChild>
        </w:div>
        <w:div w:id="601110827">
          <w:marLeft w:val="0"/>
          <w:marRight w:val="0"/>
          <w:marTop w:val="0"/>
          <w:marBottom w:val="0"/>
          <w:divBdr>
            <w:top w:val="none" w:sz="0" w:space="0" w:color="auto"/>
            <w:left w:val="none" w:sz="0" w:space="0" w:color="auto"/>
            <w:bottom w:val="none" w:sz="0" w:space="0" w:color="auto"/>
            <w:right w:val="none" w:sz="0" w:space="0" w:color="auto"/>
          </w:divBdr>
          <w:divsChild>
            <w:div w:id="490413102">
              <w:marLeft w:val="0"/>
              <w:marRight w:val="0"/>
              <w:marTop w:val="0"/>
              <w:marBottom w:val="0"/>
              <w:divBdr>
                <w:top w:val="none" w:sz="0" w:space="0" w:color="auto"/>
                <w:left w:val="none" w:sz="0" w:space="0" w:color="auto"/>
                <w:bottom w:val="none" w:sz="0" w:space="0" w:color="auto"/>
                <w:right w:val="none" w:sz="0" w:space="0" w:color="auto"/>
              </w:divBdr>
            </w:div>
          </w:divsChild>
        </w:div>
        <w:div w:id="610280938">
          <w:marLeft w:val="0"/>
          <w:marRight w:val="0"/>
          <w:marTop w:val="0"/>
          <w:marBottom w:val="0"/>
          <w:divBdr>
            <w:top w:val="none" w:sz="0" w:space="0" w:color="auto"/>
            <w:left w:val="none" w:sz="0" w:space="0" w:color="auto"/>
            <w:bottom w:val="none" w:sz="0" w:space="0" w:color="auto"/>
            <w:right w:val="none" w:sz="0" w:space="0" w:color="auto"/>
          </w:divBdr>
          <w:divsChild>
            <w:div w:id="108866737">
              <w:marLeft w:val="0"/>
              <w:marRight w:val="0"/>
              <w:marTop w:val="0"/>
              <w:marBottom w:val="0"/>
              <w:divBdr>
                <w:top w:val="none" w:sz="0" w:space="0" w:color="auto"/>
                <w:left w:val="none" w:sz="0" w:space="0" w:color="auto"/>
                <w:bottom w:val="none" w:sz="0" w:space="0" w:color="auto"/>
                <w:right w:val="none" w:sz="0" w:space="0" w:color="auto"/>
              </w:divBdr>
            </w:div>
          </w:divsChild>
        </w:div>
        <w:div w:id="645663601">
          <w:marLeft w:val="0"/>
          <w:marRight w:val="0"/>
          <w:marTop w:val="0"/>
          <w:marBottom w:val="0"/>
          <w:divBdr>
            <w:top w:val="none" w:sz="0" w:space="0" w:color="auto"/>
            <w:left w:val="none" w:sz="0" w:space="0" w:color="auto"/>
            <w:bottom w:val="none" w:sz="0" w:space="0" w:color="auto"/>
            <w:right w:val="none" w:sz="0" w:space="0" w:color="auto"/>
          </w:divBdr>
          <w:divsChild>
            <w:div w:id="197819472">
              <w:marLeft w:val="0"/>
              <w:marRight w:val="0"/>
              <w:marTop w:val="0"/>
              <w:marBottom w:val="0"/>
              <w:divBdr>
                <w:top w:val="none" w:sz="0" w:space="0" w:color="auto"/>
                <w:left w:val="none" w:sz="0" w:space="0" w:color="auto"/>
                <w:bottom w:val="none" w:sz="0" w:space="0" w:color="auto"/>
                <w:right w:val="none" w:sz="0" w:space="0" w:color="auto"/>
              </w:divBdr>
            </w:div>
          </w:divsChild>
        </w:div>
        <w:div w:id="672074418">
          <w:marLeft w:val="0"/>
          <w:marRight w:val="0"/>
          <w:marTop w:val="0"/>
          <w:marBottom w:val="0"/>
          <w:divBdr>
            <w:top w:val="none" w:sz="0" w:space="0" w:color="auto"/>
            <w:left w:val="none" w:sz="0" w:space="0" w:color="auto"/>
            <w:bottom w:val="none" w:sz="0" w:space="0" w:color="auto"/>
            <w:right w:val="none" w:sz="0" w:space="0" w:color="auto"/>
          </w:divBdr>
          <w:divsChild>
            <w:div w:id="1118766862">
              <w:marLeft w:val="0"/>
              <w:marRight w:val="0"/>
              <w:marTop w:val="0"/>
              <w:marBottom w:val="0"/>
              <w:divBdr>
                <w:top w:val="none" w:sz="0" w:space="0" w:color="auto"/>
                <w:left w:val="none" w:sz="0" w:space="0" w:color="auto"/>
                <w:bottom w:val="none" w:sz="0" w:space="0" w:color="auto"/>
                <w:right w:val="none" w:sz="0" w:space="0" w:color="auto"/>
              </w:divBdr>
            </w:div>
          </w:divsChild>
        </w:div>
        <w:div w:id="676739002">
          <w:marLeft w:val="0"/>
          <w:marRight w:val="0"/>
          <w:marTop w:val="0"/>
          <w:marBottom w:val="0"/>
          <w:divBdr>
            <w:top w:val="none" w:sz="0" w:space="0" w:color="auto"/>
            <w:left w:val="none" w:sz="0" w:space="0" w:color="auto"/>
            <w:bottom w:val="none" w:sz="0" w:space="0" w:color="auto"/>
            <w:right w:val="none" w:sz="0" w:space="0" w:color="auto"/>
          </w:divBdr>
          <w:divsChild>
            <w:div w:id="1899591372">
              <w:marLeft w:val="0"/>
              <w:marRight w:val="0"/>
              <w:marTop w:val="0"/>
              <w:marBottom w:val="0"/>
              <w:divBdr>
                <w:top w:val="none" w:sz="0" w:space="0" w:color="auto"/>
                <w:left w:val="none" w:sz="0" w:space="0" w:color="auto"/>
                <w:bottom w:val="none" w:sz="0" w:space="0" w:color="auto"/>
                <w:right w:val="none" w:sz="0" w:space="0" w:color="auto"/>
              </w:divBdr>
            </w:div>
          </w:divsChild>
        </w:div>
        <w:div w:id="699624160">
          <w:marLeft w:val="0"/>
          <w:marRight w:val="0"/>
          <w:marTop w:val="0"/>
          <w:marBottom w:val="0"/>
          <w:divBdr>
            <w:top w:val="none" w:sz="0" w:space="0" w:color="auto"/>
            <w:left w:val="none" w:sz="0" w:space="0" w:color="auto"/>
            <w:bottom w:val="none" w:sz="0" w:space="0" w:color="auto"/>
            <w:right w:val="none" w:sz="0" w:space="0" w:color="auto"/>
          </w:divBdr>
          <w:divsChild>
            <w:div w:id="182941011">
              <w:marLeft w:val="0"/>
              <w:marRight w:val="0"/>
              <w:marTop w:val="0"/>
              <w:marBottom w:val="0"/>
              <w:divBdr>
                <w:top w:val="none" w:sz="0" w:space="0" w:color="auto"/>
                <w:left w:val="none" w:sz="0" w:space="0" w:color="auto"/>
                <w:bottom w:val="none" w:sz="0" w:space="0" w:color="auto"/>
                <w:right w:val="none" w:sz="0" w:space="0" w:color="auto"/>
              </w:divBdr>
            </w:div>
          </w:divsChild>
        </w:div>
        <w:div w:id="767307579">
          <w:marLeft w:val="0"/>
          <w:marRight w:val="0"/>
          <w:marTop w:val="0"/>
          <w:marBottom w:val="0"/>
          <w:divBdr>
            <w:top w:val="none" w:sz="0" w:space="0" w:color="auto"/>
            <w:left w:val="none" w:sz="0" w:space="0" w:color="auto"/>
            <w:bottom w:val="none" w:sz="0" w:space="0" w:color="auto"/>
            <w:right w:val="none" w:sz="0" w:space="0" w:color="auto"/>
          </w:divBdr>
          <w:divsChild>
            <w:div w:id="567686986">
              <w:marLeft w:val="0"/>
              <w:marRight w:val="0"/>
              <w:marTop w:val="0"/>
              <w:marBottom w:val="0"/>
              <w:divBdr>
                <w:top w:val="none" w:sz="0" w:space="0" w:color="auto"/>
                <w:left w:val="none" w:sz="0" w:space="0" w:color="auto"/>
                <w:bottom w:val="none" w:sz="0" w:space="0" w:color="auto"/>
                <w:right w:val="none" w:sz="0" w:space="0" w:color="auto"/>
              </w:divBdr>
            </w:div>
          </w:divsChild>
        </w:div>
        <w:div w:id="767385030">
          <w:marLeft w:val="0"/>
          <w:marRight w:val="0"/>
          <w:marTop w:val="0"/>
          <w:marBottom w:val="0"/>
          <w:divBdr>
            <w:top w:val="none" w:sz="0" w:space="0" w:color="auto"/>
            <w:left w:val="none" w:sz="0" w:space="0" w:color="auto"/>
            <w:bottom w:val="none" w:sz="0" w:space="0" w:color="auto"/>
            <w:right w:val="none" w:sz="0" w:space="0" w:color="auto"/>
          </w:divBdr>
          <w:divsChild>
            <w:div w:id="2124492834">
              <w:marLeft w:val="0"/>
              <w:marRight w:val="0"/>
              <w:marTop w:val="0"/>
              <w:marBottom w:val="0"/>
              <w:divBdr>
                <w:top w:val="none" w:sz="0" w:space="0" w:color="auto"/>
                <w:left w:val="none" w:sz="0" w:space="0" w:color="auto"/>
                <w:bottom w:val="none" w:sz="0" w:space="0" w:color="auto"/>
                <w:right w:val="none" w:sz="0" w:space="0" w:color="auto"/>
              </w:divBdr>
            </w:div>
          </w:divsChild>
        </w:div>
        <w:div w:id="868569268">
          <w:marLeft w:val="0"/>
          <w:marRight w:val="0"/>
          <w:marTop w:val="0"/>
          <w:marBottom w:val="0"/>
          <w:divBdr>
            <w:top w:val="none" w:sz="0" w:space="0" w:color="auto"/>
            <w:left w:val="none" w:sz="0" w:space="0" w:color="auto"/>
            <w:bottom w:val="none" w:sz="0" w:space="0" w:color="auto"/>
            <w:right w:val="none" w:sz="0" w:space="0" w:color="auto"/>
          </w:divBdr>
          <w:divsChild>
            <w:div w:id="368532127">
              <w:marLeft w:val="0"/>
              <w:marRight w:val="0"/>
              <w:marTop w:val="0"/>
              <w:marBottom w:val="0"/>
              <w:divBdr>
                <w:top w:val="none" w:sz="0" w:space="0" w:color="auto"/>
                <w:left w:val="none" w:sz="0" w:space="0" w:color="auto"/>
                <w:bottom w:val="none" w:sz="0" w:space="0" w:color="auto"/>
                <w:right w:val="none" w:sz="0" w:space="0" w:color="auto"/>
              </w:divBdr>
            </w:div>
          </w:divsChild>
        </w:div>
        <w:div w:id="872496976">
          <w:marLeft w:val="0"/>
          <w:marRight w:val="0"/>
          <w:marTop w:val="0"/>
          <w:marBottom w:val="0"/>
          <w:divBdr>
            <w:top w:val="none" w:sz="0" w:space="0" w:color="auto"/>
            <w:left w:val="none" w:sz="0" w:space="0" w:color="auto"/>
            <w:bottom w:val="none" w:sz="0" w:space="0" w:color="auto"/>
            <w:right w:val="none" w:sz="0" w:space="0" w:color="auto"/>
          </w:divBdr>
          <w:divsChild>
            <w:div w:id="917979645">
              <w:marLeft w:val="0"/>
              <w:marRight w:val="0"/>
              <w:marTop w:val="0"/>
              <w:marBottom w:val="0"/>
              <w:divBdr>
                <w:top w:val="none" w:sz="0" w:space="0" w:color="auto"/>
                <w:left w:val="none" w:sz="0" w:space="0" w:color="auto"/>
                <w:bottom w:val="none" w:sz="0" w:space="0" w:color="auto"/>
                <w:right w:val="none" w:sz="0" w:space="0" w:color="auto"/>
              </w:divBdr>
            </w:div>
          </w:divsChild>
        </w:div>
        <w:div w:id="910391308">
          <w:marLeft w:val="0"/>
          <w:marRight w:val="0"/>
          <w:marTop w:val="0"/>
          <w:marBottom w:val="0"/>
          <w:divBdr>
            <w:top w:val="none" w:sz="0" w:space="0" w:color="auto"/>
            <w:left w:val="none" w:sz="0" w:space="0" w:color="auto"/>
            <w:bottom w:val="none" w:sz="0" w:space="0" w:color="auto"/>
            <w:right w:val="none" w:sz="0" w:space="0" w:color="auto"/>
          </w:divBdr>
          <w:divsChild>
            <w:div w:id="1129781565">
              <w:marLeft w:val="0"/>
              <w:marRight w:val="0"/>
              <w:marTop w:val="0"/>
              <w:marBottom w:val="0"/>
              <w:divBdr>
                <w:top w:val="none" w:sz="0" w:space="0" w:color="auto"/>
                <w:left w:val="none" w:sz="0" w:space="0" w:color="auto"/>
                <w:bottom w:val="none" w:sz="0" w:space="0" w:color="auto"/>
                <w:right w:val="none" w:sz="0" w:space="0" w:color="auto"/>
              </w:divBdr>
            </w:div>
          </w:divsChild>
        </w:div>
        <w:div w:id="925187276">
          <w:marLeft w:val="0"/>
          <w:marRight w:val="0"/>
          <w:marTop w:val="0"/>
          <w:marBottom w:val="0"/>
          <w:divBdr>
            <w:top w:val="none" w:sz="0" w:space="0" w:color="auto"/>
            <w:left w:val="none" w:sz="0" w:space="0" w:color="auto"/>
            <w:bottom w:val="none" w:sz="0" w:space="0" w:color="auto"/>
            <w:right w:val="none" w:sz="0" w:space="0" w:color="auto"/>
          </w:divBdr>
          <w:divsChild>
            <w:div w:id="2362263">
              <w:marLeft w:val="0"/>
              <w:marRight w:val="0"/>
              <w:marTop w:val="0"/>
              <w:marBottom w:val="0"/>
              <w:divBdr>
                <w:top w:val="none" w:sz="0" w:space="0" w:color="auto"/>
                <w:left w:val="none" w:sz="0" w:space="0" w:color="auto"/>
                <w:bottom w:val="none" w:sz="0" w:space="0" w:color="auto"/>
                <w:right w:val="none" w:sz="0" w:space="0" w:color="auto"/>
              </w:divBdr>
            </w:div>
          </w:divsChild>
        </w:div>
        <w:div w:id="1000885143">
          <w:marLeft w:val="0"/>
          <w:marRight w:val="0"/>
          <w:marTop w:val="0"/>
          <w:marBottom w:val="0"/>
          <w:divBdr>
            <w:top w:val="none" w:sz="0" w:space="0" w:color="auto"/>
            <w:left w:val="none" w:sz="0" w:space="0" w:color="auto"/>
            <w:bottom w:val="none" w:sz="0" w:space="0" w:color="auto"/>
            <w:right w:val="none" w:sz="0" w:space="0" w:color="auto"/>
          </w:divBdr>
          <w:divsChild>
            <w:div w:id="577254765">
              <w:marLeft w:val="0"/>
              <w:marRight w:val="0"/>
              <w:marTop w:val="0"/>
              <w:marBottom w:val="0"/>
              <w:divBdr>
                <w:top w:val="none" w:sz="0" w:space="0" w:color="auto"/>
                <w:left w:val="none" w:sz="0" w:space="0" w:color="auto"/>
                <w:bottom w:val="none" w:sz="0" w:space="0" w:color="auto"/>
                <w:right w:val="none" w:sz="0" w:space="0" w:color="auto"/>
              </w:divBdr>
            </w:div>
          </w:divsChild>
        </w:div>
        <w:div w:id="1031342210">
          <w:marLeft w:val="0"/>
          <w:marRight w:val="0"/>
          <w:marTop w:val="0"/>
          <w:marBottom w:val="0"/>
          <w:divBdr>
            <w:top w:val="none" w:sz="0" w:space="0" w:color="auto"/>
            <w:left w:val="none" w:sz="0" w:space="0" w:color="auto"/>
            <w:bottom w:val="none" w:sz="0" w:space="0" w:color="auto"/>
            <w:right w:val="none" w:sz="0" w:space="0" w:color="auto"/>
          </w:divBdr>
          <w:divsChild>
            <w:div w:id="462315148">
              <w:marLeft w:val="0"/>
              <w:marRight w:val="0"/>
              <w:marTop w:val="0"/>
              <w:marBottom w:val="0"/>
              <w:divBdr>
                <w:top w:val="none" w:sz="0" w:space="0" w:color="auto"/>
                <w:left w:val="none" w:sz="0" w:space="0" w:color="auto"/>
                <w:bottom w:val="none" w:sz="0" w:space="0" w:color="auto"/>
                <w:right w:val="none" w:sz="0" w:space="0" w:color="auto"/>
              </w:divBdr>
            </w:div>
          </w:divsChild>
        </w:div>
        <w:div w:id="1064909519">
          <w:marLeft w:val="0"/>
          <w:marRight w:val="0"/>
          <w:marTop w:val="0"/>
          <w:marBottom w:val="0"/>
          <w:divBdr>
            <w:top w:val="none" w:sz="0" w:space="0" w:color="auto"/>
            <w:left w:val="none" w:sz="0" w:space="0" w:color="auto"/>
            <w:bottom w:val="none" w:sz="0" w:space="0" w:color="auto"/>
            <w:right w:val="none" w:sz="0" w:space="0" w:color="auto"/>
          </w:divBdr>
          <w:divsChild>
            <w:div w:id="1048870569">
              <w:marLeft w:val="0"/>
              <w:marRight w:val="0"/>
              <w:marTop w:val="0"/>
              <w:marBottom w:val="0"/>
              <w:divBdr>
                <w:top w:val="none" w:sz="0" w:space="0" w:color="auto"/>
                <w:left w:val="none" w:sz="0" w:space="0" w:color="auto"/>
                <w:bottom w:val="none" w:sz="0" w:space="0" w:color="auto"/>
                <w:right w:val="none" w:sz="0" w:space="0" w:color="auto"/>
              </w:divBdr>
            </w:div>
          </w:divsChild>
        </w:div>
        <w:div w:id="1082948970">
          <w:marLeft w:val="0"/>
          <w:marRight w:val="0"/>
          <w:marTop w:val="0"/>
          <w:marBottom w:val="0"/>
          <w:divBdr>
            <w:top w:val="none" w:sz="0" w:space="0" w:color="auto"/>
            <w:left w:val="none" w:sz="0" w:space="0" w:color="auto"/>
            <w:bottom w:val="none" w:sz="0" w:space="0" w:color="auto"/>
            <w:right w:val="none" w:sz="0" w:space="0" w:color="auto"/>
          </w:divBdr>
          <w:divsChild>
            <w:div w:id="1634941924">
              <w:marLeft w:val="0"/>
              <w:marRight w:val="0"/>
              <w:marTop w:val="0"/>
              <w:marBottom w:val="0"/>
              <w:divBdr>
                <w:top w:val="none" w:sz="0" w:space="0" w:color="auto"/>
                <w:left w:val="none" w:sz="0" w:space="0" w:color="auto"/>
                <w:bottom w:val="none" w:sz="0" w:space="0" w:color="auto"/>
                <w:right w:val="none" w:sz="0" w:space="0" w:color="auto"/>
              </w:divBdr>
            </w:div>
          </w:divsChild>
        </w:div>
        <w:div w:id="1106995657">
          <w:marLeft w:val="0"/>
          <w:marRight w:val="0"/>
          <w:marTop w:val="0"/>
          <w:marBottom w:val="0"/>
          <w:divBdr>
            <w:top w:val="none" w:sz="0" w:space="0" w:color="auto"/>
            <w:left w:val="none" w:sz="0" w:space="0" w:color="auto"/>
            <w:bottom w:val="none" w:sz="0" w:space="0" w:color="auto"/>
            <w:right w:val="none" w:sz="0" w:space="0" w:color="auto"/>
          </w:divBdr>
          <w:divsChild>
            <w:div w:id="207768706">
              <w:marLeft w:val="0"/>
              <w:marRight w:val="0"/>
              <w:marTop w:val="0"/>
              <w:marBottom w:val="0"/>
              <w:divBdr>
                <w:top w:val="none" w:sz="0" w:space="0" w:color="auto"/>
                <w:left w:val="none" w:sz="0" w:space="0" w:color="auto"/>
                <w:bottom w:val="none" w:sz="0" w:space="0" w:color="auto"/>
                <w:right w:val="none" w:sz="0" w:space="0" w:color="auto"/>
              </w:divBdr>
            </w:div>
          </w:divsChild>
        </w:div>
        <w:div w:id="1138297680">
          <w:marLeft w:val="0"/>
          <w:marRight w:val="0"/>
          <w:marTop w:val="0"/>
          <w:marBottom w:val="0"/>
          <w:divBdr>
            <w:top w:val="none" w:sz="0" w:space="0" w:color="auto"/>
            <w:left w:val="none" w:sz="0" w:space="0" w:color="auto"/>
            <w:bottom w:val="none" w:sz="0" w:space="0" w:color="auto"/>
            <w:right w:val="none" w:sz="0" w:space="0" w:color="auto"/>
          </w:divBdr>
          <w:divsChild>
            <w:div w:id="2032216966">
              <w:marLeft w:val="0"/>
              <w:marRight w:val="0"/>
              <w:marTop w:val="0"/>
              <w:marBottom w:val="0"/>
              <w:divBdr>
                <w:top w:val="none" w:sz="0" w:space="0" w:color="auto"/>
                <w:left w:val="none" w:sz="0" w:space="0" w:color="auto"/>
                <w:bottom w:val="none" w:sz="0" w:space="0" w:color="auto"/>
                <w:right w:val="none" w:sz="0" w:space="0" w:color="auto"/>
              </w:divBdr>
            </w:div>
          </w:divsChild>
        </w:div>
        <w:div w:id="1158881188">
          <w:marLeft w:val="0"/>
          <w:marRight w:val="0"/>
          <w:marTop w:val="0"/>
          <w:marBottom w:val="0"/>
          <w:divBdr>
            <w:top w:val="none" w:sz="0" w:space="0" w:color="auto"/>
            <w:left w:val="none" w:sz="0" w:space="0" w:color="auto"/>
            <w:bottom w:val="none" w:sz="0" w:space="0" w:color="auto"/>
            <w:right w:val="none" w:sz="0" w:space="0" w:color="auto"/>
          </w:divBdr>
          <w:divsChild>
            <w:div w:id="1263105351">
              <w:marLeft w:val="0"/>
              <w:marRight w:val="0"/>
              <w:marTop w:val="0"/>
              <w:marBottom w:val="0"/>
              <w:divBdr>
                <w:top w:val="none" w:sz="0" w:space="0" w:color="auto"/>
                <w:left w:val="none" w:sz="0" w:space="0" w:color="auto"/>
                <w:bottom w:val="none" w:sz="0" w:space="0" w:color="auto"/>
                <w:right w:val="none" w:sz="0" w:space="0" w:color="auto"/>
              </w:divBdr>
            </w:div>
          </w:divsChild>
        </w:div>
        <w:div w:id="1169293667">
          <w:marLeft w:val="0"/>
          <w:marRight w:val="0"/>
          <w:marTop w:val="0"/>
          <w:marBottom w:val="0"/>
          <w:divBdr>
            <w:top w:val="none" w:sz="0" w:space="0" w:color="auto"/>
            <w:left w:val="none" w:sz="0" w:space="0" w:color="auto"/>
            <w:bottom w:val="none" w:sz="0" w:space="0" w:color="auto"/>
            <w:right w:val="none" w:sz="0" w:space="0" w:color="auto"/>
          </w:divBdr>
          <w:divsChild>
            <w:div w:id="2095470253">
              <w:marLeft w:val="0"/>
              <w:marRight w:val="0"/>
              <w:marTop w:val="0"/>
              <w:marBottom w:val="0"/>
              <w:divBdr>
                <w:top w:val="none" w:sz="0" w:space="0" w:color="auto"/>
                <w:left w:val="none" w:sz="0" w:space="0" w:color="auto"/>
                <w:bottom w:val="none" w:sz="0" w:space="0" w:color="auto"/>
                <w:right w:val="none" w:sz="0" w:space="0" w:color="auto"/>
              </w:divBdr>
            </w:div>
          </w:divsChild>
        </w:div>
        <w:div w:id="1204439462">
          <w:marLeft w:val="0"/>
          <w:marRight w:val="0"/>
          <w:marTop w:val="0"/>
          <w:marBottom w:val="0"/>
          <w:divBdr>
            <w:top w:val="none" w:sz="0" w:space="0" w:color="auto"/>
            <w:left w:val="none" w:sz="0" w:space="0" w:color="auto"/>
            <w:bottom w:val="none" w:sz="0" w:space="0" w:color="auto"/>
            <w:right w:val="none" w:sz="0" w:space="0" w:color="auto"/>
          </w:divBdr>
          <w:divsChild>
            <w:div w:id="1616978314">
              <w:marLeft w:val="0"/>
              <w:marRight w:val="0"/>
              <w:marTop w:val="0"/>
              <w:marBottom w:val="0"/>
              <w:divBdr>
                <w:top w:val="none" w:sz="0" w:space="0" w:color="auto"/>
                <w:left w:val="none" w:sz="0" w:space="0" w:color="auto"/>
                <w:bottom w:val="none" w:sz="0" w:space="0" w:color="auto"/>
                <w:right w:val="none" w:sz="0" w:space="0" w:color="auto"/>
              </w:divBdr>
            </w:div>
          </w:divsChild>
        </w:div>
        <w:div w:id="1217663992">
          <w:marLeft w:val="0"/>
          <w:marRight w:val="0"/>
          <w:marTop w:val="0"/>
          <w:marBottom w:val="0"/>
          <w:divBdr>
            <w:top w:val="none" w:sz="0" w:space="0" w:color="auto"/>
            <w:left w:val="none" w:sz="0" w:space="0" w:color="auto"/>
            <w:bottom w:val="none" w:sz="0" w:space="0" w:color="auto"/>
            <w:right w:val="none" w:sz="0" w:space="0" w:color="auto"/>
          </w:divBdr>
          <w:divsChild>
            <w:div w:id="684132625">
              <w:marLeft w:val="0"/>
              <w:marRight w:val="0"/>
              <w:marTop w:val="0"/>
              <w:marBottom w:val="0"/>
              <w:divBdr>
                <w:top w:val="none" w:sz="0" w:space="0" w:color="auto"/>
                <w:left w:val="none" w:sz="0" w:space="0" w:color="auto"/>
                <w:bottom w:val="none" w:sz="0" w:space="0" w:color="auto"/>
                <w:right w:val="none" w:sz="0" w:space="0" w:color="auto"/>
              </w:divBdr>
            </w:div>
          </w:divsChild>
        </w:div>
        <w:div w:id="1272130051">
          <w:marLeft w:val="0"/>
          <w:marRight w:val="0"/>
          <w:marTop w:val="0"/>
          <w:marBottom w:val="0"/>
          <w:divBdr>
            <w:top w:val="none" w:sz="0" w:space="0" w:color="auto"/>
            <w:left w:val="none" w:sz="0" w:space="0" w:color="auto"/>
            <w:bottom w:val="none" w:sz="0" w:space="0" w:color="auto"/>
            <w:right w:val="none" w:sz="0" w:space="0" w:color="auto"/>
          </w:divBdr>
          <w:divsChild>
            <w:div w:id="2074961205">
              <w:marLeft w:val="0"/>
              <w:marRight w:val="0"/>
              <w:marTop w:val="0"/>
              <w:marBottom w:val="0"/>
              <w:divBdr>
                <w:top w:val="none" w:sz="0" w:space="0" w:color="auto"/>
                <w:left w:val="none" w:sz="0" w:space="0" w:color="auto"/>
                <w:bottom w:val="none" w:sz="0" w:space="0" w:color="auto"/>
                <w:right w:val="none" w:sz="0" w:space="0" w:color="auto"/>
              </w:divBdr>
            </w:div>
          </w:divsChild>
        </w:div>
        <w:div w:id="1295217155">
          <w:marLeft w:val="0"/>
          <w:marRight w:val="0"/>
          <w:marTop w:val="0"/>
          <w:marBottom w:val="0"/>
          <w:divBdr>
            <w:top w:val="none" w:sz="0" w:space="0" w:color="auto"/>
            <w:left w:val="none" w:sz="0" w:space="0" w:color="auto"/>
            <w:bottom w:val="none" w:sz="0" w:space="0" w:color="auto"/>
            <w:right w:val="none" w:sz="0" w:space="0" w:color="auto"/>
          </w:divBdr>
          <w:divsChild>
            <w:div w:id="13314903">
              <w:marLeft w:val="0"/>
              <w:marRight w:val="0"/>
              <w:marTop w:val="0"/>
              <w:marBottom w:val="0"/>
              <w:divBdr>
                <w:top w:val="none" w:sz="0" w:space="0" w:color="auto"/>
                <w:left w:val="none" w:sz="0" w:space="0" w:color="auto"/>
                <w:bottom w:val="none" w:sz="0" w:space="0" w:color="auto"/>
                <w:right w:val="none" w:sz="0" w:space="0" w:color="auto"/>
              </w:divBdr>
            </w:div>
          </w:divsChild>
        </w:div>
        <w:div w:id="1305546330">
          <w:marLeft w:val="0"/>
          <w:marRight w:val="0"/>
          <w:marTop w:val="0"/>
          <w:marBottom w:val="0"/>
          <w:divBdr>
            <w:top w:val="none" w:sz="0" w:space="0" w:color="auto"/>
            <w:left w:val="none" w:sz="0" w:space="0" w:color="auto"/>
            <w:bottom w:val="none" w:sz="0" w:space="0" w:color="auto"/>
            <w:right w:val="none" w:sz="0" w:space="0" w:color="auto"/>
          </w:divBdr>
          <w:divsChild>
            <w:div w:id="2105298711">
              <w:marLeft w:val="0"/>
              <w:marRight w:val="0"/>
              <w:marTop w:val="0"/>
              <w:marBottom w:val="0"/>
              <w:divBdr>
                <w:top w:val="none" w:sz="0" w:space="0" w:color="auto"/>
                <w:left w:val="none" w:sz="0" w:space="0" w:color="auto"/>
                <w:bottom w:val="none" w:sz="0" w:space="0" w:color="auto"/>
                <w:right w:val="none" w:sz="0" w:space="0" w:color="auto"/>
              </w:divBdr>
            </w:div>
          </w:divsChild>
        </w:div>
        <w:div w:id="1320184428">
          <w:marLeft w:val="0"/>
          <w:marRight w:val="0"/>
          <w:marTop w:val="0"/>
          <w:marBottom w:val="0"/>
          <w:divBdr>
            <w:top w:val="none" w:sz="0" w:space="0" w:color="auto"/>
            <w:left w:val="none" w:sz="0" w:space="0" w:color="auto"/>
            <w:bottom w:val="none" w:sz="0" w:space="0" w:color="auto"/>
            <w:right w:val="none" w:sz="0" w:space="0" w:color="auto"/>
          </w:divBdr>
          <w:divsChild>
            <w:div w:id="1549797609">
              <w:marLeft w:val="0"/>
              <w:marRight w:val="0"/>
              <w:marTop w:val="0"/>
              <w:marBottom w:val="0"/>
              <w:divBdr>
                <w:top w:val="none" w:sz="0" w:space="0" w:color="auto"/>
                <w:left w:val="none" w:sz="0" w:space="0" w:color="auto"/>
                <w:bottom w:val="none" w:sz="0" w:space="0" w:color="auto"/>
                <w:right w:val="none" w:sz="0" w:space="0" w:color="auto"/>
              </w:divBdr>
            </w:div>
          </w:divsChild>
        </w:div>
        <w:div w:id="1361466859">
          <w:marLeft w:val="0"/>
          <w:marRight w:val="0"/>
          <w:marTop w:val="0"/>
          <w:marBottom w:val="0"/>
          <w:divBdr>
            <w:top w:val="none" w:sz="0" w:space="0" w:color="auto"/>
            <w:left w:val="none" w:sz="0" w:space="0" w:color="auto"/>
            <w:bottom w:val="none" w:sz="0" w:space="0" w:color="auto"/>
            <w:right w:val="none" w:sz="0" w:space="0" w:color="auto"/>
          </w:divBdr>
          <w:divsChild>
            <w:div w:id="1715351764">
              <w:marLeft w:val="0"/>
              <w:marRight w:val="0"/>
              <w:marTop w:val="0"/>
              <w:marBottom w:val="0"/>
              <w:divBdr>
                <w:top w:val="none" w:sz="0" w:space="0" w:color="auto"/>
                <w:left w:val="none" w:sz="0" w:space="0" w:color="auto"/>
                <w:bottom w:val="none" w:sz="0" w:space="0" w:color="auto"/>
                <w:right w:val="none" w:sz="0" w:space="0" w:color="auto"/>
              </w:divBdr>
            </w:div>
          </w:divsChild>
        </w:div>
        <w:div w:id="1390613823">
          <w:marLeft w:val="0"/>
          <w:marRight w:val="0"/>
          <w:marTop w:val="0"/>
          <w:marBottom w:val="0"/>
          <w:divBdr>
            <w:top w:val="none" w:sz="0" w:space="0" w:color="auto"/>
            <w:left w:val="none" w:sz="0" w:space="0" w:color="auto"/>
            <w:bottom w:val="none" w:sz="0" w:space="0" w:color="auto"/>
            <w:right w:val="none" w:sz="0" w:space="0" w:color="auto"/>
          </w:divBdr>
          <w:divsChild>
            <w:div w:id="399640699">
              <w:marLeft w:val="0"/>
              <w:marRight w:val="0"/>
              <w:marTop w:val="0"/>
              <w:marBottom w:val="0"/>
              <w:divBdr>
                <w:top w:val="none" w:sz="0" w:space="0" w:color="auto"/>
                <w:left w:val="none" w:sz="0" w:space="0" w:color="auto"/>
                <w:bottom w:val="none" w:sz="0" w:space="0" w:color="auto"/>
                <w:right w:val="none" w:sz="0" w:space="0" w:color="auto"/>
              </w:divBdr>
            </w:div>
          </w:divsChild>
        </w:div>
        <w:div w:id="1450706375">
          <w:marLeft w:val="0"/>
          <w:marRight w:val="0"/>
          <w:marTop w:val="0"/>
          <w:marBottom w:val="0"/>
          <w:divBdr>
            <w:top w:val="none" w:sz="0" w:space="0" w:color="auto"/>
            <w:left w:val="none" w:sz="0" w:space="0" w:color="auto"/>
            <w:bottom w:val="none" w:sz="0" w:space="0" w:color="auto"/>
            <w:right w:val="none" w:sz="0" w:space="0" w:color="auto"/>
          </w:divBdr>
          <w:divsChild>
            <w:div w:id="139814491">
              <w:marLeft w:val="0"/>
              <w:marRight w:val="0"/>
              <w:marTop w:val="0"/>
              <w:marBottom w:val="0"/>
              <w:divBdr>
                <w:top w:val="none" w:sz="0" w:space="0" w:color="auto"/>
                <w:left w:val="none" w:sz="0" w:space="0" w:color="auto"/>
                <w:bottom w:val="none" w:sz="0" w:space="0" w:color="auto"/>
                <w:right w:val="none" w:sz="0" w:space="0" w:color="auto"/>
              </w:divBdr>
            </w:div>
          </w:divsChild>
        </w:div>
        <w:div w:id="1504736348">
          <w:marLeft w:val="0"/>
          <w:marRight w:val="0"/>
          <w:marTop w:val="0"/>
          <w:marBottom w:val="0"/>
          <w:divBdr>
            <w:top w:val="none" w:sz="0" w:space="0" w:color="auto"/>
            <w:left w:val="none" w:sz="0" w:space="0" w:color="auto"/>
            <w:bottom w:val="none" w:sz="0" w:space="0" w:color="auto"/>
            <w:right w:val="none" w:sz="0" w:space="0" w:color="auto"/>
          </w:divBdr>
          <w:divsChild>
            <w:div w:id="648827805">
              <w:marLeft w:val="0"/>
              <w:marRight w:val="0"/>
              <w:marTop w:val="0"/>
              <w:marBottom w:val="0"/>
              <w:divBdr>
                <w:top w:val="none" w:sz="0" w:space="0" w:color="auto"/>
                <w:left w:val="none" w:sz="0" w:space="0" w:color="auto"/>
                <w:bottom w:val="none" w:sz="0" w:space="0" w:color="auto"/>
                <w:right w:val="none" w:sz="0" w:space="0" w:color="auto"/>
              </w:divBdr>
            </w:div>
          </w:divsChild>
        </w:div>
        <w:div w:id="1557160275">
          <w:marLeft w:val="0"/>
          <w:marRight w:val="0"/>
          <w:marTop w:val="0"/>
          <w:marBottom w:val="0"/>
          <w:divBdr>
            <w:top w:val="none" w:sz="0" w:space="0" w:color="auto"/>
            <w:left w:val="none" w:sz="0" w:space="0" w:color="auto"/>
            <w:bottom w:val="none" w:sz="0" w:space="0" w:color="auto"/>
            <w:right w:val="none" w:sz="0" w:space="0" w:color="auto"/>
          </w:divBdr>
          <w:divsChild>
            <w:div w:id="958754673">
              <w:marLeft w:val="0"/>
              <w:marRight w:val="0"/>
              <w:marTop w:val="0"/>
              <w:marBottom w:val="0"/>
              <w:divBdr>
                <w:top w:val="none" w:sz="0" w:space="0" w:color="auto"/>
                <w:left w:val="none" w:sz="0" w:space="0" w:color="auto"/>
                <w:bottom w:val="none" w:sz="0" w:space="0" w:color="auto"/>
                <w:right w:val="none" w:sz="0" w:space="0" w:color="auto"/>
              </w:divBdr>
            </w:div>
          </w:divsChild>
        </w:div>
        <w:div w:id="1576625555">
          <w:marLeft w:val="0"/>
          <w:marRight w:val="0"/>
          <w:marTop w:val="0"/>
          <w:marBottom w:val="0"/>
          <w:divBdr>
            <w:top w:val="none" w:sz="0" w:space="0" w:color="auto"/>
            <w:left w:val="none" w:sz="0" w:space="0" w:color="auto"/>
            <w:bottom w:val="none" w:sz="0" w:space="0" w:color="auto"/>
            <w:right w:val="none" w:sz="0" w:space="0" w:color="auto"/>
          </w:divBdr>
          <w:divsChild>
            <w:div w:id="1207138378">
              <w:marLeft w:val="0"/>
              <w:marRight w:val="0"/>
              <w:marTop w:val="0"/>
              <w:marBottom w:val="0"/>
              <w:divBdr>
                <w:top w:val="none" w:sz="0" w:space="0" w:color="auto"/>
                <w:left w:val="none" w:sz="0" w:space="0" w:color="auto"/>
                <w:bottom w:val="none" w:sz="0" w:space="0" w:color="auto"/>
                <w:right w:val="none" w:sz="0" w:space="0" w:color="auto"/>
              </w:divBdr>
            </w:div>
          </w:divsChild>
        </w:div>
        <w:div w:id="1635527854">
          <w:marLeft w:val="0"/>
          <w:marRight w:val="0"/>
          <w:marTop w:val="0"/>
          <w:marBottom w:val="0"/>
          <w:divBdr>
            <w:top w:val="none" w:sz="0" w:space="0" w:color="auto"/>
            <w:left w:val="none" w:sz="0" w:space="0" w:color="auto"/>
            <w:bottom w:val="none" w:sz="0" w:space="0" w:color="auto"/>
            <w:right w:val="none" w:sz="0" w:space="0" w:color="auto"/>
          </w:divBdr>
          <w:divsChild>
            <w:div w:id="1103763196">
              <w:marLeft w:val="0"/>
              <w:marRight w:val="0"/>
              <w:marTop w:val="0"/>
              <w:marBottom w:val="0"/>
              <w:divBdr>
                <w:top w:val="none" w:sz="0" w:space="0" w:color="auto"/>
                <w:left w:val="none" w:sz="0" w:space="0" w:color="auto"/>
                <w:bottom w:val="none" w:sz="0" w:space="0" w:color="auto"/>
                <w:right w:val="none" w:sz="0" w:space="0" w:color="auto"/>
              </w:divBdr>
            </w:div>
          </w:divsChild>
        </w:div>
        <w:div w:id="1670205961">
          <w:marLeft w:val="0"/>
          <w:marRight w:val="0"/>
          <w:marTop w:val="0"/>
          <w:marBottom w:val="0"/>
          <w:divBdr>
            <w:top w:val="none" w:sz="0" w:space="0" w:color="auto"/>
            <w:left w:val="none" w:sz="0" w:space="0" w:color="auto"/>
            <w:bottom w:val="none" w:sz="0" w:space="0" w:color="auto"/>
            <w:right w:val="none" w:sz="0" w:space="0" w:color="auto"/>
          </w:divBdr>
          <w:divsChild>
            <w:div w:id="218177901">
              <w:marLeft w:val="0"/>
              <w:marRight w:val="0"/>
              <w:marTop w:val="0"/>
              <w:marBottom w:val="0"/>
              <w:divBdr>
                <w:top w:val="none" w:sz="0" w:space="0" w:color="auto"/>
                <w:left w:val="none" w:sz="0" w:space="0" w:color="auto"/>
                <w:bottom w:val="none" w:sz="0" w:space="0" w:color="auto"/>
                <w:right w:val="none" w:sz="0" w:space="0" w:color="auto"/>
              </w:divBdr>
            </w:div>
          </w:divsChild>
        </w:div>
        <w:div w:id="1684895982">
          <w:marLeft w:val="0"/>
          <w:marRight w:val="0"/>
          <w:marTop w:val="0"/>
          <w:marBottom w:val="0"/>
          <w:divBdr>
            <w:top w:val="none" w:sz="0" w:space="0" w:color="auto"/>
            <w:left w:val="none" w:sz="0" w:space="0" w:color="auto"/>
            <w:bottom w:val="none" w:sz="0" w:space="0" w:color="auto"/>
            <w:right w:val="none" w:sz="0" w:space="0" w:color="auto"/>
          </w:divBdr>
          <w:divsChild>
            <w:div w:id="1305696838">
              <w:marLeft w:val="0"/>
              <w:marRight w:val="0"/>
              <w:marTop w:val="0"/>
              <w:marBottom w:val="0"/>
              <w:divBdr>
                <w:top w:val="none" w:sz="0" w:space="0" w:color="auto"/>
                <w:left w:val="none" w:sz="0" w:space="0" w:color="auto"/>
                <w:bottom w:val="none" w:sz="0" w:space="0" w:color="auto"/>
                <w:right w:val="none" w:sz="0" w:space="0" w:color="auto"/>
              </w:divBdr>
            </w:div>
          </w:divsChild>
        </w:div>
        <w:div w:id="1721514157">
          <w:marLeft w:val="0"/>
          <w:marRight w:val="0"/>
          <w:marTop w:val="0"/>
          <w:marBottom w:val="0"/>
          <w:divBdr>
            <w:top w:val="none" w:sz="0" w:space="0" w:color="auto"/>
            <w:left w:val="none" w:sz="0" w:space="0" w:color="auto"/>
            <w:bottom w:val="none" w:sz="0" w:space="0" w:color="auto"/>
            <w:right w:val="none" w:sz="0" w:space="0" w:color="auto"/>
          </w:divBdr>
          <w:divsChild>
            <w:div w:id="102651722">
              <w:marLeft w:val="0"/>
              <w:marRight w:val="0"/>
              <w:marTop w:val="0"/>
              <w:marBottom w:val="0"/>
              <w:divBdr>
                <w:top w:val="none" w:sz="0" w:space="0" w:color="auto"/>
                <w:left w:val="none" w:sz="0" w:space="0" w:color="auto"/>
                <w:bottom w:val="none" w:sz="0" w:space="0" w:color="auto"/>
                <w:right w:val="none" w:sz="0" w:space="0" w:color="auto"/>
              </w:divBdr>
            </w:div>
          </w:divsChild>
        </w:div>
        <w:div w:id="1756903501">
          <w:marLeft w:val="0"/>
          <w:marRight w:val="0"/>
          <w:marTop w:val="0"/>
          <w:marBottom w:val="0"/>
          <w:divBdr>
            <w:top w:val="none" w:sz="0" w:space="0" w:color="auto"/>
            <w:left w:val="none" w:sz="0" w:space="0" w:color="auto"/>
            <w:bottom w:val="none" w:sz="0" w:space="0" w:color="auto"/>
            <w:right w:val="none" w:sz="0" w:space="0" w:color="auto"/>
          </w:divBdr>
          <w:divsChild>
            <w:div w:id="1941528345">
              <w:marLeft w:val="0"/>
              <w:marRight w:val="0"/>
              <w:marTop w:val="0"/>
              <w:marBottom w:val="0"/>
              <w:divBdr>
                <w:top w:val="none" w:sz="0" w:space="0" w:color="auto"/>
                <w:left w:val="none" w:sz="0" w:space="0" w:color="auto"/>
                <w:bottom w:val="none" w:sz="0" w:space="0" w:color="auto"/>
                <w:right w:val="none" w:sz="0" w:space="0" w:color="auto"/>
              </w:divBdr>
            </w:div>
          </w:divsChild>
        </w:div>
        <w:div w:id="1765682625">
          <w:marLeft w:val="0"/>
          <w:marRight w:val="0"/>
          <w:marTop w:val="0"/>
          <w:marBottom w:val="0"/>
          <w:divBdr>
            <w:top w:val="none" w:sz="0" w:space="0" w:color="auto"/>
            <w:left w:val="none" w:sz="0" w:space="0" w:color="auto"/>
            <w:bottom w:val="none" w:sz="0" w:space="0" w:color="auto"/>
            <w:right w:val="none" w:sz="0" w:space="0" w:color="auto"/>
          </w:divBdr>
          <w:divsChild>
            <w:div w:id="1822042117">
              <w:marLeft w:val="0"/>
              <w:marRight w:val="0"/>
              <w:marTop w:val="0"/>
              <w:marBottom w:val="0"/>
              <w:divBdr>
                <w:top w:val="none" w:sz="0" w:space="0" w:color="auto"/>
                <w:left w:val="none" w:sz="0" w:space="0" w:color="auto"/>
                <w:bottom w:val="none" w:sz="0" w:space="0" w:color="auto"/>
                <w:right w:val="none" w:sz="0" w:space="0" w:color="auto"/>
              </w:divBdr>
            </w:div>
          </w:divsChild>
        </w:div>
        <w:div w:id="1773672253">
          <w:marLeft w:val="0"/>
          <w:marRight w:val="0"/>
          <w:marTop w:val="0"/>
          <w:marBottom w:val="0"/>
          <w:divBdr>
            <w:top w:val="none" w:sz="0" w:space="0" w:color="auto"/>
            <w:left w:val="none" w:sz="0" w:space="0" w:color="auto"/>
            <w:bottom w:val="none" w:sz="0" w:space="0" w:color="auto"/>
            <w:right w:val="none" w:sz="0" w:space="0" w:color="auto"/>
          </w:divBdr>
          <w:divsChild>
            <w:div w:id="1281110779">
              <w:marLeft w:val="0"/>
              <w:marRight w:val="0"/>
              <w:marTop w:val="0"/>
              <w:marBottom w:val="0"/>
              <w:divBdr>
                <w:top w:val="none" w:sz="0" w:space="0" w:color="auto"/>
                <w:left w:val="none" w:sz="0" w:space="0" w:color="auto"/>
                <w:bottom w:val="none" w:sz="0" w:space="0" w:color="auto"/>
                <w:right w:val="none" w:sz="0" w:space="0" w:color="auto"/>
              </w:divBdr>
            </w:div>
          </w:divsChild>
        </w:div>
        <w:div w:id="1786076432">
          <w:marLeft w:val="0"/>
          <w:marRight w:val="0"/>
          <w:marTop w:val="0"/>
          <w:marBottom w:val="0"/>
          <w:divBdr>
            <w:top w:val="none" w:sz="0" w:space="0" w:color="auto"/>
            <w:left w:val="none" w:sz="0" w:space="0" w:color="auto"/>
            <w:bottom w:val="none" w:sz="0" w:space="0" w:color="auto"/>
            <w:right w:val="none" w:sz="0" w:space="0" w:color="auto"/>
          </w:divBdr>
          <w:divsChild>
            <w:div w:id="1983652332">
              <w:marLeft w:val="0"/>
              <w:marRight w:val="0"/>
              <w:marTop w:val="0"/>
              <w:marBottom w:val="0"/>
              <w:divBdr>
                <w:top w:val="none" w:sz="0" w:space="0" w:color="auto"/>
                <w:left w:val="none" w:sz="0" w:space="0" w:color="auto"/>
                <w:bottom w:val="none" w:sz="0" w:space="0" w:color="auto"/>
                <w:right w:val="none" w:sz="0" w:space="0" w:color="auto"/>
              </w:divBdr>
            </w:div>
          </w:divsChild>
        </w:div>
        <w:div w:id="1816410260">
          <w:marLeft w:val="0"/>
          <w:marRight w:val="0"/>
          <w:marTop w:val="0"/>
          <w:marBottom w:val="0"/>
          <w:divBdr>
            <w:top w:val="none" w:sz="0" w:space="0" w:color="auto"/>
            <w:left w:val="none" w:sz="0" w:space="0" w:color="auto"/>
            <w:bottom w:val="none" w:sz="0" w:space="0" w:color="auto"/>
            <w:right w:val="none" w:sz="0" w:space="0" w:color="auto"/>
          </w:divBdr>
          <w:divsChild>
            <w:div w:id="641497046">
              <w:marLeft w:val="0"/>
              <w:marRight w:val="0"/>
              <w:marTop w:val="0"/>
              <w:marBottom w:val="0"/>
              <w:divBdr>
                <w:top w:val="none" w:sz="0" w:space="0" w:color="auto"/>
                <w:left w:val="none" w:sz="0" w:space="0" w:color="auto"/>
                <w:bottom w:val="none" w:sz="0" w:space="0" w:color="auto"/>
                <w:right w:val="none" w:sz="0" w:space="0" w:color="auto"/>
              </w:divBdr>
            </w:div>
          </w:divsChild>
        </w:div>
        <w:div w:id="1820724369">
          <w:marLeft w:val="0"/>
          <w:marRight w:val="0"/>
          <w:marTop w:val="0"/>
          <w:marBottom w:val="0"/>
          <w:divBdr>
            <w:top w:val="none" w:sz="0" w:space="0" w:color="auto"/>
            <w:left w:val="none" w:sz="0" w:space="0" w:color="auto"/>
            <w:bottom w:val="none" w:sz="0" w:space="0" w:color="auto"/>
            <w:right w:val="none" w:sz="0" w:space="0" w:color="auto"/>
          </w:divBdr>
          <w:divsChild>
            <w:div w:id="973171098">
              <w:marLeft w:val="0"/>
              <w:marRight w:val="0"/>
              <w:marTop w:val="0"/>
              <w:marBottom w:val="0"/>
              <w:divBdr>
                <w:top w:val="none" w:sz="0" w:space="0" w:color="auto"/>
                <w:left w:val="none" w:sz="0" w:space="0" w:color="auto"/>
                <w:bottom w:val="none" w:sz="0" w:space="0" w:color="auto"/>
                <w:right w:val="none" w:sz="0" w:space="0" w:color="auto"/>
              </w:divBdr>
            </w:div>
          </w:divsChild>
        </w:div>
        <w:div w:id="1849254186">
          <w:marLeft w:val="0"/>
          <w:marRight w:val="0"/>
          <w:marTop w:val="0"/>
          <w:marBottom w:val="0"/>
          <w:divBdr>
            <w:top w:val="none" w:sz="0" w:space="0" w:color="auto"/>
            <w:left w:val="none" w:sz="0" w:space="0" w:color="auto"/>
            <w:bottom w:val="none" w:sz="0" w:space="0" w:color="auto"/>
            <w:right w:val="none" w:sz="0" w:space="0" w:color="auto"/>
          </w:divBdr>
          <w:divsChild>
            <w:div w:id="687751265">
              <w:marLeft w:val="0"/>
              <w:marRight w:val="0"/>
              <w:marTop w:val="0"/>
              <w:marBottom w:val="0"/>
              <w:divBdr>
                <w:top w:val="none" w:sz="0" w:space="0" w:color="auto"/>
                <w:left w:val="none" w:sz="0" w:space="0" w:color="auto"/>
                <w:bottom w:val="none" w:sz="0" w:space="0" w:color="auto"/>
                <w:right w:val="none" w:sz="0" w:space="0" w:color="auto"/>
              </w:divBdr>
            </w:div>
          </w:divsChild>
        </w:div>
        <w:div w:id="1897472765">
          <w:marLeft w:val="0"/>
          <w:marRight w:val="0"/>
          <w:marTop w:val="0"/>
          <w:marBottom w:val="0"/>
          <w:divBdr>
            <w:top w:val="none" w:sz="0" w:space="0" w:color="auto"/>
            <w:left w:val="none" w:sz="0" w:space="0" w:color="auto"/>
            <w:bottom w:val="none" w:sz="0" w:space="0" w:color="auto"/>
            <w:right w:val="none" w:sz="0" w:space="0" w:color="auto"/>
          </w:divBdr>
          <w:divsChild>
            <w:div w:id="1111244103">
              <w:marLeft w:val="0"/>
              <w:marRight w:val="0"/>
              <w:marTop w:val="0"/>
              <w:marBottom w:val="0"/>
              <w:divBdr>
                <w:top w:val="none" w:sz="0" w:space="0" w:color="auto"/>
                <w:left w:val="none" w:sz="0" w:space="0" w:color="auto"/>
                <w:bottom w:val="none" w:sz="0" w:space="0" w:color="auto"/>
                <w:right w:val="none" w:sz="0" w:space="0" w:color="auto"/>
              </w:divBdr>
            </w:div>
          </w:divsChild>
        </w:div>
        <w:div w:id="1911572973">
          <w:marLeft w:val="0"/>
          <w:marRight w:val="0"/>
          <w:marTop w:val="0"/>
          <w:marBottom w:val="0"/>
          <w:divBdr>
            <w:top w:val="none" w:sz="0" w:space="0" w:color="auto"/>
            <w:left w:val="none" w:sz="0" w:space="0" w:color="auto"/>
            <w:bottom w:val="none" w:sz="0" w:space="0" w:color="auto"/>
            <w:right w:val="none" w:sz="0" w:space="0" w:color="auto"/>
          </w:divBdr>
          <w:divsChild>
            <w:div w:id="1855805582">
              <w:marLeft w:val="0"/>
              <w:marRight w:val="0"/>
              <w:marTop w:val="0"/>
              <w:marBottom w:val="0"/>
              <w:divBdr>
                <w:top w:val="none" w:sz="0" w:space="0" w:color="auto"/>
                <w:left w:val="none" w:sz="0" w:space="0" w:color="auto"/>
                <w:bottom w:val="none" w:sz="0" w:space="0" w:color="auto"/>
                <w:right w:val="none" w:sz="0" w:space="0" w:color="auto"/>
              </w:divBdr>
            </w:div>
          </w:divsChild>
        </w:div>
        <w:div w:id="1998486979">
          <w:marLeft w:val="0"/>
          <w:marRight w:val="0"/>
          <w:marTop w:val="0"/>
          <w:marBottom w:val="0"/>
          <w:divBdr>
            <w:top w:val="none" w:sz="0" w:space="0" w:color="auto"/>
            <w:left w:val="none" w:sz="0" w:space="0" w:color="auto"/>
            <w:bottom w:val="none" w:sz="0" w:space="0" w:color="auto"/>
            <w:right w:val="none" w:sz="0" w:space="0" w:color="auto"/>
          </w:divBdr>
          <w:divsChild>
            <w:div w:id="2062246822">
              <w:marLeft w:val="0"/>
              <w:marRight w:val="0"/>
              <w:marTop w:val="0"/>
              <w:marBottom w:val="0"/>
              <w:divBdr>
                <w:top w:val="none" w:sz="0" w:space="0" w:color="auto"/>
                <w:left w:val="none" w:sz="0" w:space="0" w:color="auto"/>
                <w:bottom w:val="none" w:sz="0" w:space="0" w:color="auto"/>
                <w:right w:val="none" w:sz="0" w:space="0" w:color="auto"/>
              </w:divBdr>
            </w:div>
          </w:divsChild>
        </w:div>
        <w:div w:id="2002538340">
          <w:marLeft w:val="0"/>
          <w:marRight w:val="0"/>
          <w:marTop w:val="0"/>
          <w:marBottom w:val="0"/>
          <w:divBdr>
            <w:top w:val="none" w:sz="0" w:space="0" w:color="auto"/>
            <w:left w:val="none" w:sz="0" w:space="0" w:color="auto"/>
            <w:bottom w:val="none" w:sz="0" w:space="0" w:color="auto"/>
            <w:right w:val="none" w:sz="0" w:space="0" w:color="auto"/>
          </w:divBdr>
          <w:divsChild>
            <w:div w:id="810099831">
              <w:marLeft w:val="0"/>
              <w:marRight w:val="0"/>
              <w:marTop w:val="0"/>
              <w:marBottom w:val="0"/>
              <w:divBdr>
                <w:top w:val="none" w:sz="0" w:space="0" w:color="auto"/>
                <w:left w:val="none" w:sz="0" w:space="0" w:color="auto"/>
                <w:bottom w:val="none" w:sz="0" w:space="0" w:color="auto"/>
                <w:right w:val="none" w:sz="0" w:space="0" w:color="auto"/>
              </w:divBdr>
            </w:div>
          </w:divsChild>
        </w:div>
        <w:div w:id="2018843723">
          <w:marLeft w:val="0"/>
          <w:marRight w:val="0"/>
          <w:marTop w:val="0"/>
          <w:marBottom w:val="0"/>
          <w:divBdr>
            <w:top w:val="none" w:sz="0" w:space="0" w:color="auto"/>
            <w:left w:val="none" w:sz="0" w:space="0" w:color="auto"/>
            <w:bottom w:val="none" w:sz="0" w:space="0" w:color="auto"/>
            <w:right w:val="none" w:sz="0" w:space="0" w:color="auto"/>
          </w:divBdr>
          <w:divsChild>
            <w:div w:id="1512643462">
              <w:marLeft w:val="0"/>
              <w:marRight w:val="0"/>
              <w:marTop w:val="0"/>
              <w:marBottom w:val="0"/>
              <w:divBdr>
                <w:top w:val="none" w:sz="0" w:space="0" w:color="auto"/>
                <w:left w:val="none" w:sz="0" w:space="0" w:color="auto"/>
                <w:bottom w:val="none" w:sz="0" w:space="0" w:color="auto"/>
                <w:right w:val="none" w:sz="0" w:space="0" w:color="auto"/>
              </w:divBdr>
            </w:div>
          </w:divsChild>
        </w:div>
        <w:div w:id="2021806740">
          <w:marLeft w:val="0"/>
          <w:marRight w:val="0"/>
          <w:marTop w:val="0"/>
          <w:marBottom w:val="0"/>
          <w:divBdr>
            <w:top w:val="none" w:sz="0" w:space="0" w:color="auto"/>
            <w:left w:val="none" w:sz="0" w:space="0" w:color="auto"/>
            <w:bottom w:val="none" w:sz="0" w:space="0" w:color="auto"/>
            <w:right w:val="none" w:sz="0" w:space="0" w:color="auto"/>
          </w:divBdr>
          <w:divsChild>
            <w:div w:id="939021988">
              <w:marLeft w:val="0"/>
              <w:marRight w:val="0"/>
              <w:marTop w:val="0"/>
              <w:marBottom w:val="0"/>
              <w:divBdr>
                <w:top w:val="none" w:sz="0" w:space="0" w:color="auto"/>
                <w:left w:val="none" w:sz="0" w:space="0" w:color="auto"/>
                <w:bottom w:val="none" w:sz="0" w:space="0" w:color="auto"/>
                <w:right w:val="none" w:sz="0" w:space="0" w:color="auto"/>
              </w:divBdr>
            </w:div>
          </w:divsChild>
        </w:div>
        <w:div w:id="2040203452">
          <w:marLeft w:val="0"/>
          <w:marRight w:val="0"/>
          <w:marTop w:val="0"/>
          <w:marBottom w:val="0"/>
          <w:divBdr>
            <w:top w:val="none" w:sz="0" w:space="0" w:color="auto"/>
            <w:left w:val="none" w:sz="0" w:space="0" w:color="auto"/>
            <w:bottom w:val="none" w:sz="0" w:space="0" w:color="auto"/>
            <w:right w:val="none" w:sz="0" w:space="0" w:color="auto"/>
          </w:divBdr>
          <w:divsChild>
            <w:div w:id="31564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943417">
      <w:bodyDiv w:val="1"/>
      <w:marLeft w:val="0"/>
      <w:marRight w:val="0"/>
      <w:marTop w:val="0"/>
      <w:marBottom w:val="0"/>
      <w:divBdr>
        <w:top w:val="none" w:sz="0" w:space="0" w:color="auto"/>
        <w:left w:val="none" w:sz="0" w:space="0" w:color="auto"/>
        <w:bottom w:val="none" w:sz="0" w:space="0" w:color="auto"/>
        <w:right w:val="none" w:sz="0" w:space="0" w:color="auto"/>
      </w:divBdr>
    </w:div>
    <w:div w:id="1662151177">
      <w:bodyDiv w:val="1"/>
      <w:marLeft w:val="0"/>
      <w:marRight w:val="0"/>
      <w:marTop w:val="0"/>
      <w:marBottom w:val="0"/>
      <w:divBdr>
        <w:top w:val="none" w:sz="0" w:space="0" w:color="auto"/>
        <w:left w:val="none" w:sz="0" w:space="0" w:color="auto"/>
        <w:bottom w:val="none" w:sz="0" w:space="0" w:color="auto"/>
        <w:right w:val="none" w:sz="0" w:space="0" w:color="auto"/>
      </w:divBdr>
    </w:div>
    <w:div w:id="1672370333">
      <w:bodyDiv w:val="1"/>
      <w:marLeft w:val="0"/>
      <w:marRight w:val="0"/>
      <w:marTop w:val="0"/>
      <w:marBottom w:val="0"/>
      <w:divBdr>
        <w:top w:val="none" w:sz="0" w:space="0" w:color="auto"/>
        <w:left w:val="none" w:sz="0" w:space="0" w:color="auto"/>
        <w:bottom w:val="none" w:sz="0" w:space="0" w:color="auto"/>
        <w:right w:val="none" w:sz="0" w:space="0" w:color="auto"/>
      </w:divBdr>
      <w:divsChild>
        <w:div w:id="14772879">
          <w:marLeft w:val="0"/>
          <w:marRight w:val="0"/>
          <w:marTop w:val="0"/>
          <w:marBottom w:val="0"/>
          <w:divBdr>
            <w:top w:val="none" w:sz="0" w:space="0" w:color="auto"/>
            <w:left w:val="none" w:sz="0" w:space="0" w:color="auto"/>
            <w:bottom w:val="none" w:sz="0" w:space="0" w:color="auto"/>
            <w:right w:val="none" w:sz="0" w:space="0" w:color="auto"/>
          </w:divBdr>
          <w:divsChild>
            <w:div w:id="341861833">
              <w:marLeft w:val="0"/>
              <w:marRight w:val="0"/>
              <w:marTop w:val="0"/>
              <w:marBottom w:val="0"/>
              <w:divBdr>
                <w:top w:val="none" w:sz="0" w:space="0" w:color="auto"/>
                <w:left w:val="none" w:sz="0" w:space="0" w:color="auto"/>
                <w:bottom w:val="none" w:sz="0" w:space="0" w:color="auto"/>
                <w:right w:val="none" w:sz="0" w:space="0" w:color="auto"/>
              </w:divBdr>
            </w:div>
          </w:divsChild>
        </w:div>
        <w:div w:id="49230580">
          <w:marLeft w:val="0"/>
          <w:marRight w:val="0"/>
          <w:marTop w:val="0"/>
          <w:marBottom w:val="0"/>
          <w:divBdr>
            <w:top w:val="none" w:sz="0" w:space="0" w:color="auto"/>
            <w:left w:val="none" w:sz="0" w:space="0" w:color="auto"/>
            <w:bottom w:val="none" w:sz="0" w:space="0" w:color="auto"/>
            <w:right w:val="none" w:sz="0" w:space="0" w:color="auto"/>
          </w:divBdr>
          <w:divsChild>
            <w:div w:id="11952739">
              <w:marLeft w:val="0"/>
              <w:marRight w:val="0"/>
              <w:marTop w:val="0"/>
              <w:marBottom w:val="0"/>
              <w:divBdr>
                <w:top w:val="none" w:sz="0" w:space="0" w:color="auto"/>
                <w:left w:val="none" w:sz="0" w:space="0" w:color="auto"/>
                <w:bottom w:val="none" w:sz="0" w:space="0" w:color="auto"/>
                <w:right w:val="none" w:sz="0" w:space="0" w:color="auto"/>
              </w:divBdr>
            </w:div>
          </w:divsChild>
        </w:div>
        <w:div w:id="55516335">
          <w:marLeft w:val="0"/>
          <w:marRight w:val="0"/>
          <w:marTop w:val="0"/>
          <w:marBottom w:val="0"/>
          <w:divBdr>
            <w:top w:val="none" w:sz="0" w:space="0" w:color="auto"/>
            <w:left w:val="none" w:sz="0" w:space="0" w:color="auto"/>
            <w:bottom w:val="none" w:sz="0" w:space="0" w:color="auto"/>
            <w:right w:val="none" w:sz="0" w:space="0" w:color="auto"/>
          </w:divBdr>
          <w:divsChild>
            <w:div w:id="1780950692">
              <w:marLeft w:val="0"/>
              <w:marRight w:val="0"/>
              <w:marTop w:val="0"/>
              <w:marBottom w:val="0"/>
              <w:divBdr>
                <w:top w:val="none" w:sz="0" w:space="0" w:color="auto"/>
                <w:left w:val="none" w:sz="0" w:space="0" w:color="auto"/>
                <w:bottom w:val="none" w:sz="0" w:space="0" w:color="auto"/>
                <w:right w:val="none" w:sz="0" w:space="0" w:color="auto"/>
              </w:divBdr>
            </w:div>
          </w:divsChild>
        </w:div>
        <w:div w:id="174030668">
          <w:marLeft w:val="0"/>
          <w:marRight w:val="0"/>
          <w:marTop w:val="0"/>
          <w:marBottom w:val="0"/>
          <w:divBdr>
            <w:top w:val="none" w:sz="0" w:space="0" w:color="auto"/>
            <w:left w:val="none" w:sz="0" w:space="0" w:color="auto"/>
            <w:bottom w:val="none" w:sz="0" w:space="0" w:color="auto"/>
            <w:right w:val="none" w:sz="0" w:space="0" w:color="auto"/>
          </w:divBdr>
          <w:divsChild>
            <w:div w:id="336225764">
              <w:marLeft w:val="0"/>
              <w:marRight w:val="0"/>
              <w:marTop w:val="0"/>
              <w:marBottom w:val="0"/>
              <w:divBdr>
                <w:top w:val="none" w:sz="0" w:space="0" w:color="auto"/>
                <w:left w:val="none" w:sz="0" w:space="0" w:color="auto"/>
                <w:bottom w:val="none" w:sz="0" w:space="0" w:color="auto"/>
                <w:right w:val="none" w:sz="0" w:space="0" w:color="auto"/>
              </w:divBdr>
            </w:div>
          </w:divsChild>
        </w:div>
        <w:div w:id="193464707">
          <w:marLeft w:val="0"/>
          <w:marRight w:val="0"/>
          <w:marTop w:val="0"/>
          <w:marBottom w:val="0"/>
          <w:divBdr>
            <w:top w:val="none" w:sz="0" w:space="0" w:color="auto"/>
            <w:left w:val="none" w:sz="0" w:space="0" w:color="auto"/>
            <w:bottom w:val="none" w:sz="0" w:space="0" w:color="auto"/>
            <w:right w:val="none" w:sz="0" w:space="0" w:color="auto"/>
          </w:divBdr>
          <w:divsChild>
            <w:div w:id="113333481">
              <w:marLeft w:val="0"/>
              <w:marRight w:val="0"/>
              <w:marTop w:val="0"/>
              <w:marBottom w:val="0"/>
              <w:divBdr>
                <w:top w:val="none" w:sz="0" w:space="0" w:color="auto"/>
                <w:left w:val="none" w:sz="0" w:space="0" w:color="auto"/>
                <w:bottom w:val="none" w:sz="0" w:space="0" w:color="auto"/>
                <w:right w:val="none" w:sz="0" w:space="0" w:color="auto"/>
              </w:divBdr>
            </w:div>
          </w:divsChild>
        </w:div>
        <w:div w:id="223955159">
          <w:marLeft w:val="0"/>
          <w:marRight w:val="0"/>
          <w:marTop w:val="0"/>
          <w:marBottom w:val="0"/>
          <w:divBdr>
            <w:top w:val="none" w:sz="0" w:space="0" w:color="auto"/>
            <w:left w:val="none" w:sz="0" w:space="0" w:color="auto"/>
            <w:bottom w:val="none" w:sz="0" w:space="0" w:color="auto"/>
            <w:right w:val="none" w:sz="0" w:space="0" w:color="auto"/>
          </w:divBdr>
          <w:divsChild>
            <w:div w:id="217978521">
              <w:marLeft w:val="0"/>
              <w:marRight w:val="0"/>
              <w:marTop w:val="0"/>
              <w:marBottom w:val="0"/>
              <w:divBdr>
                <w:top w:val="none" w:sz="0" w:space="0" w:color="auto"/>
                <w:left w:val="none" w:sz="0" w:space="0" w:color="auto"/>
                <w:bottom w:val="none" w:sz="0" w:space="0" w:color="auto"/>
                <w:right w:val="none" w:sz="0" w:space="0" w:color="auto"/>
              </w:divBdr>
            </w:div>
          </w:divsChild>
        </w:div>
        <w:div w:id="227763832">
          <w:marLeft w:val="0"/>
          <w:marRight w:val="0"/>
          <w:marTop w:val="0"/>
          <w:marBottom w:val="0"/>
          <w:divBdr>
            <w:top w:val="none" w:sz="0" w:space="0" w:color="auto"/>
            <w:left w:val="none" w:sz="0" w:space="0" w:color="auto"/>
            <w:bottom w:val="none" w:sz="0" w:space="0" w:color="auto"/>
            <w:right w:val="none" w:sz="0" w:space="0" w:color="auto"/>
          </w:divBdr>
          <w:divsChild>
            <w:div w:id="1282153471">
              <w:marLeft w:val="0"/>
              <w:marRight w:val="0"/>
              <w:marTop w:val="0"/>
              <w:marBottom w:val="0"/>
              <w:divBdr>
                <w:top w:val="none" w:sz="0" w:space="0" w:color="auto"/>
                <w:left w:val="none" w:sz="0" w:space="0" w:color="auto"/>
                <w:bottom w:val="none" w:sz="0" w:space="0" w:color="auto"/>
                <w:right w:val="none" w:sz="0" w:space="0" w:color="auto"/>
              </w:divBdr>
            </w:div>
          </w:divsChild>
        </w:div>
        <w:div w:id="229853363">
          <w:marLeft w:val="0"/>
          <w:marRight w:val="0"/>
          <w:marTop w:val="0"/>
          <w:marBottom w:val="0"/>
          <w:divBdr>
            <w:top w:val="none" w:sz="0" w:space="0" w:color="auto"/>
            <w:left w:val="none" w:sz="0" w:space="0" w:color="auto"/>
            <w:bottom w:val="none" w:sz="0" w:space="0" w:color="auto"/>
            <w:right w:val="none" w:sz="0" w:space="0" w:color="auto"/>
          </w:divBdr>
          <w:divsChild>
            <w:div w:id="2095273310">
              <w:marLeft w:val="0"/>
              <w:marRight w:val="0"/>
              <w:marTop w:val="0"/>
              <w:marBottom w:val="0"/>
              <w:divBdr>
                <w:top w:val="none" w:sz="0" w:space="0" w:color="auto"/>
                <w:left w:val="none" w:sz="0" w:space="0" w:color="auto"/>
                <w:bottom w:val="none" w:sz="0" w:space="0" w:color="auto"/>
                <w:right w:val="none" w:sz="0" w:space="0" w:color="auto"/>
              </w:divBdr>
            </w:div>
          </w:divsChild>
        </w:div>
        <w:div w:id="240452311">
          <w:marLeft w:val="0"/>
          <w:marRight w:val="0"/>
          <w:marTop w:val="0"/>
          <w:marBottom w:val="0"/>
          <w:divBdr>
            <w:top w:val="none" w:sz="0" w:space="0" w:color="auto"/>
            <w:left w:val="none" w:sz="0" w:space="0" w:color="auto"/>
            <w:bottom w:val="none" w:sz="0" w:space="0" w:color="auto"/>
            <w:right w:val="none" w:sz="0" w:space="0" w:color="auto"/>
          </w:divBdr>
          <w:divsChild>
            <w:div w:id="2085451448">
              <w:marLeft w:val="0"/>
              <w:marRight w:val="0"/>
              <w:marTop w:val="0"/>
              <w:marBottom w:val="0"/>
              <w:divBdr>
                <w:top w:val="none" w:sz="0" w:space="0" w:color="auto"/>
                <w:left w:val="none" w:sz="0" w:space="0" w:color="auto"/>
                <w:bottom w:val="none" w:sz="0" w:space="0" w:color="auto"/>
                <w:right w:val="none" w:sz="0" w:space="0" w:color="auto"/>
              </w:divBdr>
            </w:div>
          </w:divsChild>
        </w:div>
        <w:div w:id="395737787">
          <w:marLeft w:val="0"/>
          <w:marRight w:val="0"/>
          <w:marTop w:val="0"/>
          <w:marBottom w:val="0"/>
          <w:divBdr>
            <w:top w:val="none" w:sz="0" w:space="0" w:color="auto"/>
            <w:left w:val="none" w:sz="0" w:space="0" w:color="auto"/>
            <w:bottom w:val="none" w:sz="0" w:space="0" w:color="auto"/>
            <w:right w:val="none" w:sz="0" w:space="0" w:color="auto"/>
          </w:divBdr>
          <w:divsChild>
            <w:div w:id="1402093676">
              <w:marLeft w:val="0"/>
              <w:marRight w:val="0"/>
              <w:marTop w:val="0"/>
              <w:marBottom w:val="0"/>
              <w:divBdr>
                <w:top w:val="none" w:sz="0" w:space="0" w:color="auto"/>
                <w:left w:val="none" w:sz="0" w:space="0" w:color="auto"/>
                <w:bottom w:val="none" w:sz="0" w:space="0" w:color="auto"/>
                <w:right w:val="none" w:sz="0" w:space="0" w:color="auto"/>
              </w:divBdr>
            </w:div>
          </w:divsChild>
        </w:div>
        <w:div w:id="473570735">
          <w:marLeft w:val="0"/>
          <w:marRight w:val="0"/>
          <w:marTop w:val="0"/>
          <w:marBottom w:val="0"/>
          <w:divBdr>
            <w:top w:val="none" w:sz="0" w:space="0" w:color="auto"/>
            <w:left w:val="none" w:sz="0" w:space="0" w:color="auto"/>
            <w:bottom w:val="none" w:sz="0" w:space="0" w:color="auto"/>
            <w:right w:val="none" w:sz="0" w:space="0" w:color="auto"/>
          </w:divBdr>
          <w:divsChild>
            <w:div w:id="494731421">
              <w:marLeft w:val="0"/>
              <w:marRight w:val="0"/>
              <w:marTop w:val="0"/>
              <w:marBottom w:val="0"/>
              <w:divBdr>
                <w:top w:val="none" w:sz="0" w:space="0" w:color="auto"/>
                <w:left w:val="none" w:sz="0" w:space="0" w:color="auto"/>
                <w:bottom w:val="none" w:sz="0" w:space="0" w:color="auto"/>
                <w:right w:val="none" w:sz="0" w:space="0" w:color="auto"/>
              </w:divBdr>
            </w:div>
          </w:divsChild>
        </w:div>
        <w:div w:id="512300272">
          <w:marLeft w:val="0"/>
          <w:marRight w:val="0"/>
          <w:marTop w:val="0"/>
          <w:marBottom w:val="0"/>
          <w:divBdr>
            <w:top w:val="none" w:sz="0" w:space="0" w:color="auto"/>
            <w:left w:val="none" w:sz="0" w:space="0" w:color="auto"/>
            <w:bottom w:val="none" w:sz="0" w:space="0" w:color="auto"/>
            <w:right w:val="none" w:sz="0" w:space="0" w:color="auto"/>
          </w:divBdr>
          <w:divsChild>
            <w:div w:id="244732668">
              <w:marLeft w:val="0"/>
              <w:marRight w:val="0"/>
              <w:marTop w:val="0"/>
              <w:marBottom w:val="0"/>
              <w:divBdr>
                <w:top w:val="none" w:sz="0" w:space="0" w:color="auto"/>
                <w:left w:val="none" w:sz="0" w:space="0" w:color="auto"/>
                <w:bottom w:val="none" w:sz="0" w:space="0" w:color="auto"/>
                <w:right w:val="none" w:sz="0" w:space="0" w:color="auto"/>
              </w:divBdr>
            </w:div>
          </w:divsChild>
        </w:div>
        <w:div w:id="555240865">
          <w:marLeft w:val="0"/>
          <w:marRight w:val="0"/>
          <w:marTop w:val="0"/>
          <w:marBottom w:val="0"/>
          <w:divBdr>
            <w:top w:val="none" w:sz="0" w:space="0" w:color="auto"/>
            <w:left w:val="none" w:sz="0" w:space="0" w:color="auto"/>
            <w:bottom w:val="none" w:sz="0" w:space="0" w:color="auto"/>
            <w:right w:val="none" w:sz="0" w:space="0" w:color="auto"/>
          </w:divBdr>
          <w:divsChild>
            <w:div w:id="1910458254">
              <w:marLeft w:val="0"/>
              <w:marRight w:val="0"/>
              <w:marTop w:val="0"/>
              <w:marBottom w:val="0"/>
              <w:divBdr>
                <w:top w:val="none" w:sz="0" w:space="0" w:color="auto"/>
                <w:left w:val="none" w:sz="0" w:space="0" w:color="auto"/>
                <w:bottom w:val="none" w:sz="0" w:space="0" w:color="auto"/>
                <w:right w:val="none" w:sz="0" w:space="0" w:color="auto"/>
              </w:divBdr>
            </w:div>
          </w:divsChild>
        </w:div>
        <w:div w:id="558444301">
          <w:marLeft w:val="0"/>
          <w:marRight w:val="0"/>
          <w:marTop w:val="0"/>
          <w:marBottom w:val="0"/>
          <w:divBdr>
            <w:top w:val="none" w:sz="0" w:space="0" w:color="auto"/>
            <w:left w:val="none" w:sz="0" w:space="0" w:color="auto"/>
            <w:bottom w:val="none" w:sz="0" w:space="0" w:color="auto"/>
            <w:right w:val="none" w:sz="0" w:space="0" w:color="auto"/>
          </w:divBdr>
          <w:divsChild>
            <w:div w:id="408963004">
              <w:marLeft w:val="0"/>
              <w:marRight w:val="0"/>
              <w:marTop w:val="0"/>
              <w:marBottom w:val="0"/>
              <w:divBdr>
                <w:top w:val="none" w:sz="0" w:space="0" w:color="auto"/>
                <w:left w:val="none" w:sz="0" w:space="0" w:color="auto"/>
                <w:bottom w:val="none" w:sz="0" w:space="0" w:color="auto"/>
                <w:right w:val="none" w:sz="0" w:space="0" w:color="auto"/>
              </w:divBdr>
            </w:div>
          </w:divsChild>
        </w:div>
        <w:div w:id="564685520">
          <w:marLeft w:val="0"/>
          <w:marRight w:val="0"/>
          <w:marTop w:val="0"/>
          <w:marBottom w:val="0"/>
          <w:divBdr>
            <w:top w:val="none" w:sz="0" w:space="0" w:color="auto"/>
            <w:left w:val="none" w:sz="0" w:space="0" w:color="auto"/>
            <w:bottom w:val="none" w:sz="0" w:space="0" w:color="auto"/>
            <w:right w:val="none" w:sz="0" w:space="0" w:color="auto"/>
          </w:divBdr>
          <w:divsChild>
            <w:div w:id="1764761116">
              <w:marLeft w:val="0"/>
              <w:marRight w:val="0"/>
              <w:marTop w:val="0"/>
              <w:marBottom w:val="0"/>
              <w:divBdr>
                <w:top w:val="none" w:sz="0" w:space="0" w:color="auto"/>
                <w:left w:val="none" w:sz="0" w:space="0" w:color="auto"/>
                <w:bottom w:val="none" w:sz="0" w:space="0" w:color="auto"/>
                <w:right w:val="none" w:sz="0" w:space="0" w:color="auto"/>
              </w:divBdr>
            </w:div>
          </w:divsChild>
        </w:div>
        <w:div w:id="576718477">
          <w:marLeft w:val="0"/>
          <w:marRight w:val="0"/>
          <w:marTop w:val="0"/>
          <w:marBottom w:val="0"/>
          <w:divBdr>
            <w:top w:val="none" w:sz="0" w:space="0" w:color="auto"/>
            <w:left w:val="none" w:sz="0" w:space="0" w:color="auto"/>
            <w:bottom w:val="none" w:sz="0" w:space="0" w:color="auto"/>
            <w:right w:val="none" w:sz="0" w:space="0" w:color="auto"/>
          </w:divBdr>
          <w:divsChild>
            <w:div w:id="1190990907">
              <w:marLeft w:val="0"/>
              <w:marRight w:val="0"/>
              <w:marTop w:val="0"/>
              <w:marBottom w:val="0"/>
              <w:divBdr>
                <w:top w:val="none" w:sz="0" w:space="0" w:color="auto"/>
                <w:left w:val="none" w:sz="0" w:space="0" w:color="auto"/>
                <w:bottom w:val="none" w:sz="0" w:space="0" w:color="auto"/>
                <w:right w:val="none" w:sz="0" w:space="0" w:color="auto"/>
              </w:divBdr>
            </w:div>
          </w:divsChild>
        </w:div>
        <w:div w:id="623459916">
          <w:marLeft w:val="0"/>
          <w:marRight w:val="0"/>
          <w:marTop w:val="0"/>
          <w:marBottom w:val="0"/>
          <w:divBdr>
            <w:top w:val="none" w:sz="0" w:space="0" w:color="auto"/>
            <w:left w:val="none" w:sz="0" w:space="0" w:color="auto"/>
            <w:bottom w:val="none" w:sz="0" w:space="0" w:color="auto"/>
            <w:right w:val="none" w:sz="0" w:space="0" w:color="auto"/>
          </w:divBdr>
          <w:divsChild>
            <w:div w:id="1162812399">
              <w:marLeft w:val="0"/>
              <w:marRight w:val="0"/>
              <w:marTop w:val="0"/>
              <w:marBottom w:val="0"/>
              <w:divBdr>
                <w:top w:val="none" w:sz="0" w:space="0" w:color="auto"/>
                <w:left w:val="none" w:sz="0" w:space="0" w:color="auto"/>
                <w:bottom w:val="none" w:sz="0" w:space="0" w:color="auto"/>
                <w:right w:val="none" w:sz="0" w:space="0" w:color="auto"/>
              </w:divBdr>
            </w:div>
          </w:divsChild>
        </w:div>
        <w:div w:id="686564291">
          <w:marLeft w:val="0"/>
          <w:marRight w:val="0"/>
          <w:marTop w:val="0"/>
          <w:marBottom w:val="0"/>
          <w:divBdr>
            <w:top w:val="none" w:sz="0" w:space="0" w:color="auto"/>
            <w:left w:val="none" w:sz="0" w:space="0" w:color="auto"/>
            <w:bottom w:val="none" w:sz="0" w:space="0" w:color="auto"/>
            <w:right w:val="none" w:sz="0" w:space="0" w:color="auto"/>
          </w:divBdr>
          <w:divsChild>
            <w:div w:id="2008285555">
              <w:marLeft w:val="0"/>
              <w:marRight w:val="0"/>
              <w:marTop w:val="0"/>
              <w:marBottom w:val="0"/>
              <w:divBdr>
                <w:top w:val="none" w:sz="0" w:space="0" w:color="auto"/>
                <w:left w:val="none" w:sz="0" w:space="0" w:color="auto"/>
                <w:bottom w:val="none" w:sz="0" w:space="0" w:color="auto"/>
                <w:right w:val="none" w:sz="0" w:space="0" w:color="auto"/>
              </w:divBdr>
            </w:div>
          </w:divsChild>
        </w:div>
        <w:div w:id="687754633">
          <w:marLeft w:val="0"/>
          <w:marRight w:val="0"/>
          <w:marTop w:val="0"/>
          <w:marBottom w:val="0"/>
          <w:divBdr>
            <w:top w:val="none" w:sz="0" w:space="0" w:color="auto"/>
            <w:left w:val="none" w:sz="0" w:space="0" w:color="auto"/>
            <w:bottom w:val="none" w:sz="0" w:space="0" w:color="auto"/>
            <w:right w:val="none" w:sz="0" w:space="0" w:color="auto"/>
          </w:divBdr>
          <w:divsChild>
            <w:div w:id="735981539">
              <w:marLeft w:val="0"/>
              <w:marRight w:val="0"/>
              <w:marTop w:val="0"/>
              <w:marBottom w:val="0"/>
              <w:divBdr>
                <w:top w:val="none" w:sz="0" w:space="0" w:color="auto"/>
                <w:left w:val="none" w:sz="0" w:space="0" w:color="auto"/>
                <w:bottom w:val="none" w:sz="0" w:space="0" w:color="auto"/>
                <w:right w:val="none" w:sz="0" w:space="0" w:color="auto"/>
              </w:divBdr>
            </w:div>
          </w:divsChild>
        </w:div>
        <w:div w:id="742260913">
          <w:marLeft w:val="0"/>
          <w:marRight w:val="0"/>
          <w:marTop w:val="0"/>
          <w:marBottom w:val="0"/>
          <w:divBdr>
            <w:top w:val="none" w:sz="0" w:space="0" w:color="auto"/>
            <w:left w:val="none" w:sz="0" w:space="0" w:color="auto"/>
            <w:bottom w:val="none" w:sz="0" w:space="0" w:color="auto"/>
            <w:right w:val="none" w:sz="0" w:space="0" w:color="auto"/>
          </w:divBdr>
          <w:divsChild>
            <w:div w:id="1982076097">
              <w:marLeft w:val="0"/>
              <w:marRight w:val="0"/>
              <w:marTop w:val="0"/>
              <w:marBottom w:val="0"/>
              <w:divBdr>
                <w:top w:val="none" w:sz="0" w:space="0" w:color="auto"/>
                <w:left w:val="none" w:sz="0" w:space="0" w:color="auto"/>
                <w:bottom w:val="none" w:sz="0" w:space="0" w:color="auto"/>
                <w:right w:val="none" w:sz="0" w:space="0" w:color="auto"/>
              </w:divBdr>
            </w:div>
          </w:divsChild>
        </w:div>
        <w:div w:id="745957998">
          <w:marLeft w:val="0"/>
          <w:marRight w:val="0"/>
          <w:marTop w:val="0"/>
          <w:marBottom w:val="0"/>
          <w:divBdr>
            <w:top w:val="none" w:sz="0" w:space="0" w:color="auto"/>
            <w:left w:val="none" w:sz="0" w:space="0" w:color="auto"/>
            <w:bottom w:val="none" w:sz="0" w:space="0" w:color="auto"/>
            <w:right w:val="none" w:sz="0" w:space="0" w:color="auto"/>
          </w:divBdr>
          <w:divsChild>
            <w:div w:id="799688420">
              <w:marLeft w:val="0"/>
              <w:marRight w:val="0"/>
              <w:marTop w:val="0"/>
              <w:marBottom w:val="0"/>
              <w:divBdr>
                <w:top w:val="none" w:sz="0" w:space="0" w:color="auto"/>
                <w:left w:val="none" w:sz="0" w:space="0" w:color="auto"/>
                <w:bottom w:val="none" w:sz="0" w:space="0" w:color="auto"/>
                <w:right w:val="none" w:sz="0" w:space="0" w:color="auto"/>
              </w:divBdr>
            </w:div>
          </w:divsChild>
        </w:div>
        <w:div w:id="795753371">
          <w:marLeft w:val="0"/>
          <w:marRight w:val="0"/>
          <w:marTop w:val="0"/>
          <w:marBottom w:val="0"/>
          <w:divBdr>
            <w:top w:val="none" w:sz="0" w:space="0" w:color="auto"/>
            <w:left w:val="none" w:sz="0" w:space="0" w:color="auto"/>
            <w:bottom w:val="none" w:sz="0" w:space="0" w:color="auto"/>
            <w:right w:val="none" w:sz="0" w:space="0" w:color="auto"/>
          </w:divBdr>
          <w:divsChild>
            <w:div w:id="2031685237">
              <w:marLeft w:val="0"/>
              <w:marRight w:val="0"/>
              <w:marTop w:val="0"/>
              <w:marBottom w:val="0"/>
              <w:divBdr>
                <w:top w:val="none" w:sz="0" w:space="0" w:color="auto"/>
                <w:left w:val="none" w:sz="0" w:space="0" w:color="auto"/>
                <w:bottom w:val="none" w:sz="0" w:space="0" w:color="auto"/>
                <w:right w:val="none" w:sz="0" w:space="0" w:color="auto"/>
              </w:divBdr>
            </w:div>
          </w:divsChild>
        </w:div>
        <w:div w:id="812721671">
          <w:marLeft w:val="0"/>
          <w:marRight w:val="0"/>
          <w:marTop w:val="0"/>
          <w:marBottom w:val="0"/>
          <w:divBdr>
            <w:top w:val="none" w:sz="0" w:space="0" w:color="auto"/>
            <w:left w:val="none" w:sz="0" w:space="0" w:color="auto"/>
            <w:bottom w:val="none" w:sz="0" w:space="0" w:color="auto"/>
            <w:right w:val="none" w:sz="0" w:space="0" w:color="auto"/>
          </w:divBdr>
          <w:divsChild>
            <w:div w:id="1077750194">
              <w:marLeft w:val="0"/>
              <w:marRight w:val="0"/>
              <w:marTop w:val="0"/>
              <w:marBottom w:val="0"/>
              <w:divBdr>
                <w:top w:val="none" w:sz="0" w:space="0" w:color="auto"/>
                <w:left w:val="none" w:sz="0" w:space="0" w:color="auto"/>
                <w:bottom w:val="none" w:sz="0" w:space="0" w:color="auto"/>
                <w:right w:val="none" w:sz="0" w:space="0" w:color="auto"/>
              </w:divBdr>
            </w:div>
          </w:divsChild>
        </w:div>
        <w:div w:id="831216241">
          <w:marLeft w:val="0"/>
          <w:marRight w:val="0"/>
          <w:marTop w:val="0"/>
          <w:marBottom w:val="0"/>
          <w:divBdr>
            <w:top w:val="none" w:sz="0" w:space="0" w:color="auto"/>
            <w:left w:val="none" w:sz="0" w:space="0" w:color="auto"/>
            <w:bottom w:val="none" w:sz="0" w:space="0" w:color="auto"/>
            <w:right w:val="none" w:sz="0" w:space="0" w:color="auto"/>
          </w:divBdr>
          <w:divsChild>
            <w:div w:id="178201650">
              <w:marLeft w:val="0"/>
              <w:marRight w:val="0"/>
              <w:marTop w:val="0"/>
              <w:marBottom w:val="0"/>
              <w:divBdr>
                <w:top w:val="none" w:sz="0" w:space="0" w:color="auto"/>
                <w:left w:val="none" w:sz="0" w:space="0" w:color="auto"/>
                <w:bottom w:val="none" w:sz="0" w:space="0" w:color="auto"/>
                <w:right w:val="none" w:sz="0" w:space="0" w:color="auto"/>
              </w:divBdr>
            </w:div>
          </w:divsChild>
        </w:div>
        <w:div w:id="914821755">
          <w:marLeft w:val="0"/>
          <w:marRight w:val="0"/>
          <w:marTop w:val="0"/>
          <w:marBottom w:val="0"/>
          <w:divBdr>
            <w:top w:val="none" w:sz="0" w:space="0" w:color="auto"/>
            <w:left w:val="none" w:sz="0" w:space="0" w:color="auto"/>
            <w:bottom w:val="none" w:sz="0" w:space="0" w:color="auto"/>
            <w:right w:val="none" w:sz="0" w:space="0" w:color="auto"/>
          </w:divBdr>
          <w:divsChild>
            <w:div w:id="1827437428">
              <w:marLeft w:val="0"/>
              <w:marRight w:val="0"/>
              <w:marTop w:val="0"/>
              <w:marBottom w:val="0"/>
              <w:divBdr>
                <w:top w:val="none" w:sz="0" w:space="0" w:color="auto"/>
                <w:left w:val="none" w:sz="0" w:space="0" w:color="auto"/>
                <w:bottom w:val="none" w:sz="0" w:space="0" w:color="auto"/>
                <w:right w:val="none" w:sz="0" w:space="0" w:color="auto"/>
              </w:divBdr>
            </w:div>
          </w:divsChild>
        </w:div>
        <w:div w:id="982656494">
          <w:marLeft w:val="0"/>
          <w:marRight w:val="0"/>
          <w:marTop w:val="0"/>
          <w:marBottom w:val="0"/>
          <w:divBdr>
            <w:top w:val="none" w:sz="0" w:space="0" w:color="auto"/>
            <w:left w:val="none" w:sz="0" w:space="0" w:color="auto"/>
            <w:bottom w:val="none" w:sz="0" w:space="0" w:color="auto"/>
            <w:right w:val="none" w:sz="0" w:space="0" w:color="auto"/>
          </w:divBdr>
          <w:divsChild>
            <w:div w:id="2029408547">
              <w:marLeft w:val="0"/>
              <w:marRight w:val="0"/>
              <w:marTop w:val="0"/>
              <w:marBottom w:val="0"/>
              <w:divBdr>
                <w:top w:val="none" w:sz="0" w:space="0" w:color="auto"/>
                <w:left w:val="none" w:sz="0" w:space="0" w:color="auto"/>
                <w:bottom w:val="none" w:sz="0" w:space="0" w:color="auto"/>
                <w:right w:val="none" w:sz="0" w:space="0" w:color="auto"/>
              </w:divBdr>
            </w:div>
          </w:divsChild>
        </w:div>
        <w:div w:id="993679942">
          <w:marLeft w:val="0"/>
          <w:marRight w:val="0"/>
          <w:marTop w:val="0"/>
          <w:marBottom w:val="0"/>
          <w:divBdr>
            <w:top w:val="none" w:sz="0" w:space="0" w:color="auto"/>
            <w:left w:val="none" w:sz="0" w:space="0" w:color="auto"/>
            <w:bottom w:val="none" w:sz="0" w:space="0" w:color="auto"/>
            <w:right w:val="none" w:sz="0" w:space="0" w:color="auto"/>
          </w:divBdr>
          <w:divsChild>
            <w:div w:id="10689339">
              <w:marLeft w:val="0"/>
              <w:marRight w:val="0"/>
              <w:marTop w:val="0"/>
              <w:marBottom w:val="0"/>
              <w:divBdr>
                <w:top w:val="none" w:sz="0" w:space="0" w:color="auto"/>
                <w:left w:val="none" w:sz="0" w:space="0" w:color="auto"/>
                <w:bottom w:val="none" w:sz="0" w:space="0" w:color="auto"/>
                <w:right w:val="none" w:sz="0" w:space="0" w:color="auto"/>
              </w:divBdr>
            </w:div>
          </w:divsChild>
        </w:div>
        <w:div w:id="1021273738">
          <w:marLeft w:val="0"/>
          <w:marRight w:val="0"/>
          <w:marTop w:val="0"/>
          <w:marBottom w:val="0"/>
          <w:divBdr>
            <w:top w:val="none" w:sz="0" w:space="0" w:color="auto"/>
            <w:left w:val="none" w:sz="0" w:space="0" w:color="auto"/>
            <w:bottom w:val="none" w:sz="0" w:space="0" w:color="auto"/>
            <w:right w:val="none" w:sz="0" w:space="0" w:color="auto"/>
          </w:divBdr>
          <w:divsChild>
            <w:div w:id="748381943">
              <w:marLeft w:val="0"/>
              <w:marRight w:val="0"/>
              <w:marTop w:val="0"/>
              <w:marBottom w:val="0"/>
              <w:divBdr>
                <w:top w:val="none" w:sz="0" w:space="0" w:color="auto"/>
                <w:left w:val="none" w:sz="0" w:space="0" w:color="auto"/>
                <w:bottom w:val="none" w:sz="0" w:space="0" w:color="auto"/>
                <w:right w:val="none" w:sz="0" w:space="0" w:color="auto"/>
              </w:divBdr>
            </w:div>
          </w:divsChild>
        </w:div>
        <w:div w:id="1029406301">
          <w:marLeft w:val="0"/>
          <w:marRight w:val="0"/>
          <w:marTop w:val="0"/>
          <w:marBottom w:val="0"/>
          <w:divBdr>
            <w:top w:val="none" w:sz="0" w:space="0" w:color="auto"/>
            <w:left w:val="none" w:sz="0" w:space="0" w:color="auto"/>
            <w:bottom w:val="none" w:sz="0" w:space="0" w:color="auto"/>
            <w:right w:val="none" w:sz="0" w:space="0" w:color="auto"/>
          </w:divBdr>
          <w:divsChild>
            <w:div w:id="1253512428">
              <w:marLeft w:val="0"/>
              <w:marRight w:val="0"/>
              <w:marTop w:val="0"/>
              <w:marBottom w:val="0"/>
              <w:divBdr>
                <w:top w:val="none" w:sz="0" w:space="0" w:color="auto"/>
                <w:left w:val="none" w:sz="0" w:space="0" w:color="auto"/>
                <w:bottom w:val="none" w:sz="0" w:space="0" w:color="auto"/>
                <w:right w:val="none" w:sz="0" w:space="0" w:color="auto"/>
              </w:divBdr>
            </w:div>
          </w:divsChild>
        </w:div>
        <w:div w:id="1032997229">
          <w:marLeft w:val="0"/>
          <w:marRight w:val="0"/>
          <w:marTop w:val="0"/>
          <w:marBottom w:val="0"/>
          <w:divBdr>
            <w:top w:val="none" w:sz="0" w:space="0" w:color="auto"/>
            <w:left w:val="none" w:sz="0" w:space="0" w:color="auto"/>
            <w:bottom w:val="none" w:sz="0" w:space="0" w:color="auto"/>
            <w:right w:val="none" w:sz="0" w:space="0" w:color="auto"/>
          </w:divBdr>
          <w:divsChild>
            <w:div w:id="2085180046">
              <w:marLeft w:val="0"/>
              <w:marRight w:val="0"/>
              <w:marTop w:val="0"/>
              <w:marBottom w:val="0"/>
              <w:divBdr>
                <w:top w:val="none" w:sz="0" w:space="0" w:color="auto"/>
                <w:left w:val="none" w:sz="0" w:space="0" w:color="auto"/>
                <w:bottom w:val="none" w:sz="0" w:space="0" w:color="auto"/>
                <w:right w:val="none" w:sz="0" w:space="0" w:color="auto"/>
              </w:divBdr>
            </w:div>
          </w:divsChild>
        </w:div>
        <w:div w:id="1102532987">
          <w:marLeft w:val="0"/>
          <w:marRight w:val="0"/>
          <w:marTop w:val="0"/>
          <w:marBottom w:val="0"/>
          <w:divBdr>
            <w:top w:val="none" w:sz="0" w:space="0" w:color="auto"/>
            <w:left w:val="none" w:sz="0" w:space="0" w:color="auto"/>
            <w:bottom w:val="none" w:sz="0" w:space="0" w:color="auto"/>
            <w:right w:val="none" w:sz="0" w:space="0" w:color="auto"/>
          </w:divBdr>
          <w:divsChild>
            <w:div w:id="1982884229">
              <w:marLeft w:val="0"/>
              <w:marRight w:val="0"/>
              <w:marTop w:val="0"/>
              <w:marBottom w:val="0"/>
              <w:divBdr>
                <w:top w:val="none" w:sz="0" w:space="0" w:color="auto"/>
                <w:left w:val="none" w:sz="0" w:space="0" w:color="auto"/>
                <w:bottom w:val="none" w:sz="0" w:space="0" w:color="auto"/>
                <w:right w:val="none" w:sz="0" w:space="0" w:color="auto"/>
              </w:divBdr>
            </w:div>
          </w:divsChild>
        </w:div>
        <w:div w:id="1134326304">
          <w:marLeft w:val="0"/>
          <w:marRight w:val="0"/>
          <w:marTop w:val="0"/>
          <w:marBottom w:val="0"/>
          <w:divBdr>
            <w:top w:val="none" w:sz="0" w:space="0" w:color="auto"/>
            <w:left w:val="none" w:sz="0" w:space="0" w:color="auto"/>
            <w:bottom w:val="none" w:sz="0" w:space="0" w:color="auto"/>
            <w:right w:val="none" w:sz="0" w:space="0" w:color="auto"/>
          </w:divBdr>
          <w:divsChild>
            <w:div w:id="1434977058">
              <w:marLeft w:val="0"/>
              <w:marRight w:val="0"/>
              <w:marTop w:val="0"/>
              <w:marBottom w:val="0"/>
              <w:divBdr>
                <w:top w:val="none" w:sz="0" w:space="0" w:color="auto"/>
                <w:left w:val="none" w:sz="0" w:space="0" w:color="auto"/>
                <w:bottom w:val="none" w:sz="0" w:space="0" w:color="auto"/>
                <w:right w:val="none" w:sz="0" w:space="0" w:color="auto"/>
              </w:divBdr>
            </w:div>
          </w:divsChild>
        </w:div>
        <w:div w:id="1136072856">
          <w:marLeft w:val="0"/>
          <w:marRight w:val="0"/>
          <w:marTop w:val="0"/>
          <w:marBottom w:val="0"/>
          <w:divBdr>
            <w:top w:val="none" w:sz="0" w:space="0" w:color="auto"/>
            <w:left w:val="none" w:sz="0" w:space="0" w:color="auto"/>
            <w:bottom w:val="none" w:sz="0" w:space="0" w:color="auto"/>
            <w:right w:val="none" w:sz="0" w:space="0" w:color="auto"/>
          </w:divBdr>
          <w:divsChild>
            <w:div w:id="2020110642">
              <w:marLeft w:val="0"/>
              <w:marRight w:val="0"/>
              <w:marTop w:val="0"/>
              <w:marBottom w:val="0"/>
              <w:divBdr>
                <w:top w:val="none" w:sz="0" w:space="0" w:color="auto"/>
                <w:left w:val="none" w:sz="0" w:space="0" w:color="auto"/>
                <w:bottom w:val="none" w:sz="0" w:space="0" w:color="auto"/>
                <w:right w:val="none" w:sz="0" w:space="0" w:color="auto"/>
              </w:divBdr>
            </w:div>
          </w:divsChild>
        </w:div>
        <w:div w:id="1144271128">
          <w:marLeft w:val="0"/>
          <w:marRight w:val="0"/>
          <w:marTop w:val="0"/>
          <w:marBottom w:val="0"/>
          <w:divBdr>
            <w:top w:val="none" w:sz="0" w:space="0" w:color="auto"/>
            <w:left w:val="none" w:sz="0" w:space="0" w:color="auto"/>
            <w:bottom w:val="none" w:sz="0" w:space="0" w:color="auto"/>
            <w:right w:val="none" w:sz="0" w:space="0" w:color="auto"/>
          </w:divBdr>
          <w:divsChild>
            <w:div w:id="341014081">
              <w:marLeft w:val="0"/>
              <w:marRight w:val="0"/>
              <w:marTop w:val="0"/>
              <w:marBottom w:val="0"/>
              <w:divBdr>
                <w:top w:val="none" w:sz="0" w:space="0" w:color="auto"/>
                <w:left w:val="none" w:sz="0" w:space="0" w:color="auto"/>
                <w:bottom w:val="none" w:sz="0" w:space="0" w:color="auto"/>
                <w:right w:val="none" w:sz="0" w:space="0" w:color="auto"/>
              </w:divBdr>
            </w:div>
          </w:divsChild>
        </w:div>
        <w:div w:id="1148132454">
          <w:marLeft w:val="0"/>
          <w:marRight w:val="0"/>
          <w:marTop w:val="0"/>
          <w:marBottom w:val="0"/>
          <w:divBdr>
            <w:top w:val="none" w:sz="0" w:space="0" w:color="auto"/>
            <w:left w:val="none" w:sz="0" w:space="0" w:color="auto"/>
            <w:bottom w:val="none" w:sz="0" w:space="0" w:color="auto"/>
            <w:right w:val="none" w:sz="0" w:space="0" w:color="auto"/>
          </w:divBdr>
          <w:divsChild>
            <w:div w:id="757142434">
              <w:marLeft w:val="0"/>
              <w:marRight w:val="0"/>
              <w:marTop w:val="0"/>
              <w:marBottom w:val="0"/>
              <w:divBdr>
                <w:top w:val="none" w:sz="0" w:space="0" w:color="auto"/>
                <w:left w:val="none" w:sz="0" w:space="0" w:color="auto"/>
                <w:bottom w:val="none" w:sz="0" w:space="0" w:color="auto"/>
                <w:right w:val="none" w:sz="0" w:space="0" w:color="auto"/>
              </w:divBdr>
            </w:div>
          </w:divsChild>
        </w:div>
        <w:div w:id="1170170948">
          <w:marLeft w:val="0"/>
          <w:marRight w:val="0"/>
          <w:marTop w:val="0"/>
          <w:marBottom w:val="0"/>
          <w:divBdr>
            <w:top w:val="none" w:sz="0" w:space="0" w:color="auto"/>
            <w:left w:val="none" w:sz="0" w:space="0" w:color="auto"/>
            <w:bottom w:val="none" w:sz="0" w:space="0" w:color="auto"/>
            <w:right w:val="none" w:sz="0" w:space="0" w:color="auto"/>
          </w:divBdr>
          <w:divsChild>
            <w:div w:id="240716963">
              <w:marLeft w:val="0"/>
              <w:marRight w:val="0"/>
              <w:marTop w:val="0"/>
              <w:marBottom w:val="0"/>
              <w:divBdr>
                <w:top w:val="none" w:sz="0" w:space="0" w:color="auto"/>
                <w:left w:val="none" w:sz="0" w:space="0" w:color="auto"/>
                <w:bottom w:val="none" w:sz="0" w:space="0" w:color="auto"/>
                <w:right w:val="none" w:sz="0" w:space="0" w:color="auto"/>
              </w:divBdr>
            </w:div>
          </w:divsChild>
        </w:div>
        <w:div w:id="1252817481">
          <w:marLeft w:val="0"/>
          <w:marRight w:val="0"/>
          <w:marTop w:val="0"/>
          <w:marBottom w:val="0"/>
          <w:divBdr>
            <w:top w:val="none" w:sz="0" w:space="0" w:color="auto"/>
            <w:left w:val="none" w:sz="0" w:space="0" w:color="auto"/>
            <w:bottom w:val="none" w:sz="0" w:space="0" w:color="auto"/>
            <w:right w:val="none" w:sz="0" w:space="0" w:color="auto"/>
          </w:divBdr>
          <w:divsChild>
            <w:div w:id="426266151">
              <w:marLeft w:val="0"/>
              <w:marRight w:val="0"/>
              <w:marTop w:val="0"/>
              <w:marBottom w:val="0"/>
              <w:divBdr>
                <w:top w:val="none" w:sz="0" w:space="0" w:color="auto"/>
                <w:left w:val="none" w:sz="0" w:space="0" w:color="auto"/>
                <w:bottom w:val="none" w:sz="0" w:space="0" w:color="auto"/>
                <w:right w:val="none" w:sz="0" w:space="0" w:color="auto"/>
              </w:divBdr>
            </w:div>
          </w:divsChild>
        </w:div>
        <w:div w:id="1257209338">
          <w:marLeft w:val="0"/>
          <w:marRight w:val="0"/>
          <w:marTop w:val="0"/>
          <w:marBottom w:val="0"/>
          <w:divBdr>
            <w:top w:val="none" w:sz="0" w:space="0" w:color="auto"/>
            <w:left w:val="none" w:sz="0" w:space="0" w:color="auto"/>
            <w:bottom w:val="none" w:sz="0" w:space="0" w:color="auto"/>
            <w:right w:val="none" w:sz="0" w:space="0" w:color="auto"/>
          </w:divBdr>
          <w:divsChild>
            <w:div w:id="792479841">
              <w:marLeft w:val="0"/>
              <w:marRight w:val="0"/>
              <w:marTop w:val="0"/>
              <w:marBottom w:val="0"/>
              <w:divBdr>
                <w:top w:val="none" w:sz="0" w:space="0" w:color="auto"/>
                <w:left w:val="none" w:sz="0" w:space="0" w:color="auto"/>
                <w:bottom w:val="none" w:sz="0" w:space="0" w:color="auto"/>
                <w:right w:val="none" w:sz="0" w:space="0" w:color="auto"/>
              </w:divBdr>
            </w:div>
          </w:divsChild>
        </w:div>
        <w:div w:id="1299795983">
          <w:marLeft w:val="0"/>
          <w:marRight w:val="0"/>
          <w:marTop w:val="0"/>
          <w:marBottom w:val="0"/>
          <w:divBdr>
            <w:top w:val="none" w:sz="0" w:space="0" w:color="auto"/>
            <w:left w:val="none" w:sz="0" w:space="0" w:color="auto"/>
            <w:bottom w:val="none" w:sz="0" w:space="0" w:color="auto"/>
            <w:right w:val="none" w:sz="0" w:space="0" w:color="auto"/>
          </w:divBdr>
          <w:divsChild>
            <w:div w:id="53358183">
              <w:marLeft w:val="0"/>
              <w:marRight w:val="0"/>
              <w:marTop w:val="0"/>
              <w:marBottom w:val="0"/>
              <w:divBdr>
                <w:top w:val="none" w:sz="0" w:space="0" w:color="auto"/>
                <w:left w:val="none" w:sz="0" w:space="0" w:color="auto"/>
                <w:bottom w:val="none" w:sz="0" w:space="0" w:color="auto"/>
                <w:right w:val="none" w:sz="0" w:space="0" w:color="auto"/>
              </w:divBdr>
            </w:div>
          </w:divsChild>
        </w:div>
        <w:div w:id="1320773267">
          <w:marLeft w:val="0"/>
          <w:marRight w:val="0"/>
          <w:marTop w:val="0"/>
          <w:marBottom w:val="0"/>
          <w:divBdr>
            <w:top w:val="none" w:sz="0" w:space="0" w:color="auto"/>
            <w:left w:val="none" w:sz="0" w:space="0" w:color="auto"/>
            <w:bottom w:val="none" w:sz="0" w:space="0" w:color="auto"/>
            <w:right w:val="none" w:sz="0" w:space="0" w:color="auto"/>
          </w:divBdr>
          <w:divsChild>
            <w:div w:id="1193804091">
              <w:marLeft w:val="0"/>
              <w:marRight w:val="0"/>
              <w:marTop w:val="0"/>
              <w:marBottom w:val="0"/>
              <w:divBdr>
                <w:top w:val="none" w:sz="0" w:space="0" w:color="auto"/>
                <w:left w:val="none" w:sz="0" w:space="0" w:color="auto"/>
                <w:bottom w:val="none" w:sz="0" w:space="0" w:color="auto"/>
                <w:right w:val="none" w:sz="0" w:space="0" w:color="auto"/>
              </w:divBdr>
            </w:div>
          </w:divsChild>
        </w:div>
        <w:div w:id="1341657620">
          <w:marLeft w:val="0"/>
          <w:marRight w:val="0"/>
          <w:marTop w:val="0"/>
          <w:marBottom w:val="0"/>
          <w:divBdr>
            <w:top w:val="none" w:sz="0" w:space="0" w:color="auto"/>
            <w:left w:val="none" w:sz="0" w:space="0" w:color="auto"/>
            <w:bottom w:val="none" w:sz="0" w:space="0" w:color="auto"/>
            <w:right w:val="none" w:sz="0" w:space="0" w:color="auto"/>
          </w:divBdr>
          <w:divsChild>
            <w:div w:id="71047115">
              <w:marLeft w:val="0"/>
              <w:marRight w:val="0"/>
              <w:marTop w:val="0"/>
              <w:marBottom w:val="0"/>
              <w:divBdr>
                <w:top w:val="none" w:sz="0" w:space="0" w:color="auto"/>
                <w:left w:val="none" w:sz="0" w:space="0" w:color="auto"/>
                <w:bottom w:val="none" w:sz="0" w:space="0" w:color="auto"/>
                <w:right w:val="none" w:sz="0" w:space="0" w:color="auto"/>
              </w:divBdr>
            </w:div>
          </w:divsChild>
        </w:div>
        <w:div w:id="1373994488">
          <w:marLeft w:val="0"/>
          <w:marRight w:val="0"/>
          <w:marTop w:val="0"/>
          <w:marBottom w:val="0"/>
          <w:divBdr>
            <w:top w:val="none" w:sz="0" w:space="0" w:color="auto"/>
            <w:left w:val="none" w:sz="0" w:space="0" w:color="auto"/>
            <w:bottom w:val="none" w:sz="0" w:space="0" w:color="auto"/>
            <w:right w:val="none" w:sz="0" w:space="0" w:color="auto"/>
          </w:divBdr>
          <w:divsChild>
            <w:div w:id="1738825283">
              <w:marLeft w:val="0"/>
              <w:marRight w:val="0"/>
              <w:marTop w:val="0"/>
              <w:marBottom w:val="0"/>
              <w:divBdr>
                <w:top w:val="none" w:sz="0" w:space="0" w:color="auto"/>
                <w:left w:val="none" w:sz="0" w:space="0" w:color="auto"/>
                <w:bottom w:val="none" w:sz="0" w:space="0" w:color="auto"/>
                <w:right w:val="none" w:sz="0" w:space="0" w:color="auto"/>
              </w:divBdr>
            </w:div>
          </w:divsChild>
        </w:div>
        <w:div w:id="1415710874">
          <w:marLeft w:val="0"/>
          <w:marRight w:val="0"/>
          <w:marTop w:val="0"/>
          <w:marBottom w:val="0"/>
          <w:divBdr>
            <w:top w:val="none" w:sz="0" w:space="0" w:color="auto"/>
            <w:left w:val="none" w:sz="0" w:space="0" w:color="auto"/>
            <w:bottom w:val="none" w:sz="0" w:space="0" w:color="auto"/>
            <w:right w:val="none" w:sz="0" w:space="0" w:color="auto"/>
          </w:divBdr>
          <w:divsChild>
            <w:div w:id="1976131690">
              <w:marLeft w:val="0"/>
              <w:marRight w:val="0"/>
              <w:marTop w:val="0"/>
              <w:marBottom w:val="0"/>
              <w:divBdr>
                <w:top w:val="none" w:sz="0" w:space="0" w:color="auto"/>
                <w:left w:val="none" w:sz="0" w:space="0" w:color="auto"/>
                <w:bottom w:val="none" w:sz="0" w:space="0" w:color="auto"/>
                <w:right w:val="none" w:sz="0" w:space="0" w:color="auto"/>
              </w:divBdr>
            </w:div>
          </w:divsChild>
        </w:div>
        <w:div w:id="1429540668">
          <w:marLeft w:val="0"/>
          <w:marRight w:val="0"/>
          <w:marTop w:val="0"/>
          <w:marBottom w:val="0"/>
          <w:divBdr>
            <w:top w:val="none" w:sz="0" w:space="0" w:color="auto"/>
            <w:left w:val="none" w:sz="0" w:space="0" w:color="auto"/>
            <w:bottom w:val="none" w:sz="0" w:space="0" w:color="auto"/>
            <w:right w:val="none" w:sz="0" w:space="0" w:color="auto"/>
          </w:divBdr>
          <w:divsChild>
            <w:div w:id="1210647828">
              <w:marLeft w:val="0"/>
              <w:marRight w:val="0"/>
              <w:marTop w:val="0"/>
              <w:marBottom w:val="0"/>
              <w:divBdr>
                <w:top w:val="none" w:sz="0" w:space="0" w:color="auto"/>
                <w:left w:val="none" w:sz="0" w:space="0" w:color="auto"/>
                <w:bottom w:val="none" w:sz="0" w:space="0" w:color="auto"/>
                <w:right w:val="none" w:sz="0" w:space="0" w:color="auto"/>
              </w:divBdr>
            </w:div>
          </w:divsChild>
        </w:div>
        <w:div w:id="1438256394">
          <w:marLeft w:val="0"/>
          <w:marRight w:val="0"/>
          <w:marTop w:val="0"/>
          <w:marBottom w:val="0"/>
          <w:divBdr>
            <w:top w:val="none" w:sz="0" w:space="0" w:color="auto"/>
            <w:left w:val="none" w:sz="0" w:space="0" w:color="auto"/>
            <w:bottom w:val="none" w:sz="0" w:space="0" w:color="auto"/>
            <w:right w:val="none" w:sz="0" w:space="0" w:color="auto"/>
          </w:divBdr>
          <w:divsChild>
            <w:div w:id="140974020">
              <w:marLeft w:val="0"/>
              <w:marRight w:val="0"/>
              <w:marTop w:val="0"/>
              <w:marBottom w:val="0"/>
              <w:divBdr>
                <w:top w:val="none" w:sz="0" w:space="0" w:color="auto"/>
                <w:left w:val="none" w:sz="0" w:space="0" w:color="auto"/>
                <w:bottom w:val="none" w:sz="0" w:space="0" w:color="auto"/>
                <w:right w:val="none" w:sz="0" w:space="0" w:color="auto"/>
              </w:divBdr>
            </w:div>
          </w:divsChild>
        </w:div>
        <w:div w:id="1482498808">
          <w:marLeft w:val="0"/>
          <w:marRight w:val="0"/>
          <w:marTop w:val="0"/>
          <w:marBottom w:val="0"/>
          <w:divBdr>
            <w:top w:val="none" w:sz="0" w:space="0" w:color="auto"/>
            <w:left w:val="none" w:sz="0" w:space="0" w:color="auto"/>
            <w:bottom w:val="none" w:sz="0" w:space="0" w:color="auto"/>
            <w:right w:val="none" w:sz="0" w:space="0" w:color="auto"/>
          </w:divBdr>
          <w:divsChild>
            <w:div w:id="1573587397">
              <w:marLeft w:val="0"/>
              <w:marRight w:val="0"/>
              <w:marTop w:val="0"/>
              <w:marBottom w:val="0"/>
              <w:divBdr>
                <w:top w:val="none" w:sz="0" w:space="0" w:color="auto"/>
                <w:left w:val="none" w:sz="0" w:space="0" w:color="auto"/>
                <w:bottom w:val="none" w:sz="0" w:space="0" w:color="auto"/>
                <w:right w:val="none" w:sz="0" w:space="0" w:color="auto"/>
              </w:divBdr>
            </w:div>
          </w:divsChild>
        </w:div>
        <w:div w:id="1531264508">
          <w:marLeft w:val="0"/>
          <w:marRight w:val="0"/>
          <w:marTop w:val="0"/>
          <w:marBottom w:val="0"/>
          <w:divBdr>
            <w:top w:val="none" w:sz="0" w:space="0" w:color="auto"/>
            <w:left w:val="none" w:sz="0" w:space="0" w:color="auto"/>
            <w:bottom w:val="none" w:sz="0" w:space="0" w:color="auto"/>
            <w:right w:val="none" w:sz="0" w:space="0" w:color="auto"/>
          </w:divBdr>
          <w:divsChild>
            <w:div w:id="2125608656">
              <w:marLeft w:val="0"/>
              <w:marRight w:val="0"/>
              <w:marTop w:val="0"/>
              <w:marBottom w:val="0"/>
              <w:divBdr>
                <w:top w:val="none" w:sz="0" w:space="0" w:color="auto"/>
                <w:left w:val="none" w:sz="0" w:space="0" w:color="auto"/>
                <w:bottom w:val="none" w:sz="0" w:space="0" w:color="auto"/>
                <w:right w:val="none" w:sz="0" w:space="0" w:color="auto"/>
              </w:divBdr>
            </w:div>
          </w:divsChild>
        </w:div>
        <w:div w:id="1568955405">
          <w:marLeft w:val="0"/>
          <w:marRight w:val="0"/>
          <w:marTop w:val="0"/>
          <w:marBottom w:val="0"/>
          <w:divBdr>
            <w:top w:val="none" w:sz="0" w:space="0" w:color="auto"/>
            <w:left w:val="none" w:sz="0" w:space="0" w:color="auto"/>
            <w:bottom w:val="none" w:sz="0" w:space="0" w:color="auto"/>
            <w:right w:val="none" w:sz="0" w:space="0" w:color="auto"/>
          </w:divBdr>
          <w:divsChild>
            <w:div w:id="1355694354">
              <w:marLeft w:val="0"/>
              <w:marRight w:val="0"/>
              <w:marTop w:val="0"/>
              <w:marBottom w:val="0"/>
              <w:divBdr>
                <w:top w:val="none" w:sz="0" w:space="0" w:color="auto"/>
                <w:left w:val="none" w:sz="0" w:space="0" w:color="auto"/>
                <w:bottom w:val="none" w:sz="0" w:space="0" w:color="auto"/>
                <w:right w:val="none" w:sz="0" w:space="0" w:color="auto"/>
              </w:divBdr>
            </w:div>
          </w:divsChild>
        </w:div>
        <w:div w:id="1594900147">
          <w:marLeft w:val="0"/>
          <w:marRight w:val="0"/>
          <w:marTop w:val="0"/>
          <w:marBottom w:val="0"/>
          <w:divBdr>
            <w:top w:val="none" w:sz="0" w:space="0" w:color="auto"/>
            <w:left w:val="none" w:sz="0" w:space="0" w:color="auto"/>
            <w:bottom w:val="none" w:sz="0" w:space="0" w:color="auto"/>
            <w:right w:val="none" w:sz="0" w:space="0" w:color="auto"/>
          </w:divBdr>
          <w:divsChild>
            <w:div w:id="2013482432">
              <w:marLeft w:val="0"/>
              <w:marRight w:val="0"/>
              <w:marTop w:val="0"/>
              <w:marBottom w:val="0"/>
              <w:divBdr>
                <w:top w:val="none" w:sz="0" w:space="0" w:color="auto"/>
                <w:left w:val="none" w:sz="0" w:space="0" w:color="auto"/>
                <w:bottom w:val="none" w:sz="0" w:space="0" w:color="auto"/>
                <w:right w:val="none" w:sz="0" w:space="0" w:color="auto"/>
              </w:divBdr>
            </w:div>
          </w:divsChild>
        </w:div>
        <w:div w:id="1613829002">
          <w:marLeft w:val="0"/>
          <w:marRight w:val="0"/>
          <w:marTop w:val="0"/>
          <w:marBottom w:val="0"/>
          <w:divBdr>
            <w:top w:val="none" w:sz="0" w:space="0" w:color="auto"/>
            <w:left w:val="none" w:sz="0" w:space="0" w:color="auto"/>
            <w:bottom w:val="none" w:sz="0" w:space="0" w:color="auto"/>
            <w:right w:val="none" w:sz="0" w:space="0" w:color="auto"/>
          </w:divBdr>
          <w:divsChild>
            <w:div w:id="1982807313">
              <w:marLeft w:val="0"/>
              <w:marRight w:val="0"/>
              <w:marTop w:val="0"/>
              <w:marBottom w:val="0"/>
              <w:divBdr>
                <w:top w:val="none" w:sz="0" w:space="0" w:color="auto"/>
                <w:left w:val="none" w:sz="0" w:space="0" w:color="auto"/>
                <w:bottom w:val="none" w:sz="0" w:space="0" w:color="auto"/>
                <w:right w:val="none" w:sz="0" w:space="0" w:color="auto"/>
              </w:divBdr>
            </w:div>
          </w:divsChild>
        </w:div>
        <w:div w:id="1627391154">
          <w:marLeft w:val="0"/>
          <w:marRight w:val="0"/>
          <w:marTop w:val="0"/>
          <w:marBottom w:val="0"/>
          <w:divBdr>
            <w:top w:val="none" w:sz="0" w:space="0" w:color="auto"/>
            <w:left w:val="none" w:sz="0" w:space="0" w:color="auto"/>
            <w:bottom w:val="none" w:sz="0" w:space="0" w:color="auto"/>
            <w:right w:val="none" w:sz="0" w:space="0" w:color="auto"/>
          </w:divBdr>
          <w:divsChild>
            <w:div w:id="1518302122">
              <w:marLeft w:val="0"/>
              <w:marRight w:val="0"/>
              <w:marTop w:val="0"/>
              <w:marBottom w:val="0"/>
              <w:divBdr>
                <w:top w:val="none" w:sz="0" w:space="0" w:color="auto"/>
                <w:left w:val="none" w:sz="0" w:space="0" w:color="auto"/>
                <w:bottom w:val="none" w:sz="0" w:space="0" w:color="auto"/>
                <w:right w:val="none" w:sz="0" w:space="0" w:color="auto"/>
              </w:divBdr>
            </w:div>
          </w:divsChild>
        </w:div>
        <w:div w:id="1678725852">
          <w:marLeft w:val="0"/>
          <w:marRight w:val="0"/>
          <w:marTop w:val="0"/>
          <w:marBottom w:val="0"/>
          <w:divBdr>
            <w:top w:val="none" w:sz="0" w:space="0" w:color="auto"/>
            <w:left w:val="none" w:sz="0" w:space="0" w:color="auto"/>
            <w:bottom w:val="none" w:sz="0" w:space="0" w:color="auto"/>
            <w:right w:val="none" w:sz="0" w:space="0" w:color="auto"/>
          </w:divBdr>
          <w:divsChild>
            <w:div w:id="36512599">
              <w:marLeft w:val="0"/>
              <w:marRight w:val="0"/>
              <w:marTop w:val="0"/>
              <w:marBottom w:val="0"/>
              <w:divBdr>
                <w:top w:val="none" w:sz="0" w:space="0" w:color="auto"/>
                <w:left w:val="none" w:sz="0" w:space="0" w:color="auto"/>
                <w:bottom w:val="none" w:sz="0" w:space="0" w:color="auto"/>
                <w:right w:val="none" w:sz="0" w:space="0" w:color="auto"/>
              </w:divBdr>
            </w:div>
          </w:divsChild>
        </w:div>
        <w:div w:id="1734884314">
          <w:marLeft w:val="0"/>
          <w:marRight w:val="0"/>
          <w:marTop w:val="0"/>
          <w:marBottom w:val="0"/>
          <w:divBdr>
            <w:top w:val="none" w:sz="0" w:space="0" w:color="auto"/>
            <w:left w:val="none" w:sz="0" w:space="0" w:color="auto"/>
            <w:bottom w:val="none" w:sz="0" w:space="0" w:color="auto"/>
            <w:right w:val="none" w:sz="0" w:space="0" w:color="auto"/>
          </w:divBdr>
          <w:divsChild>
            <w:div w:id="618073048">
              <w:marLeft w:val="0"/>
              <w:marRight w:val="0"/>
              <w:marTop w:val="0"/>
              <w:marBottom w:val="0"/>
              <w:divBdr>
                <w:top w:val="none" w:sz="0" w:space="0" w:color="auto"/>
                <w:left w:val="none" w:sz="0" w:space="0" w:color="auto"/>
                <w:bottom w:val="none" w:sz="0" w:space="0" w:color="auto"/>
                <w:right w:val="none" w:sz="0" w:space="0" w:color="auto"/>
              </w:divBdr>
            </w:div>
          </w:divsChild>
        </w:div>
        <w:div w:id="1754428831">
          <w:marLeft w:val="0"/>
          <w:marRight w:val="0"/>
          <w:marTop w:val="0"/>
          <w:marBottom w:val="0"/>
          <w:divBdr>
            <w:top w:val="none" w:sz="0" w:space="0" w:color="auto"/>
            <w:left w:val="none" w:sz="0" w:space="0" w:color="auto"/>
            <w:bottom w:val="none" w:sz="0" w:space="0" w:color="auto"/>
            <w:right w:val="none" w:sz="0" w:space="0" w:color="auto"/>
          </w:divBdr>
          <w:divsChild>
            <w:div w:id="1502357923">
              <w:marLeft w:val="0"/>
              <w:marRight w:val="0"/>
              <w:marTop w:val="0"/>
              <w:marBottom w:val="0"/>
              <w:divBdr>
                <w:top w:val="none" w:sz="0" w:space="0" w:color="auto"/>
                <w:left w:val="none" w:sz="0" w:space="0" w:color="auto"/>
                <w:bottom w:val="none" w:sz="0" w:space="0" w:color="auto"/>
                <w:right w:val="none" w:sz="0" w:space="0" w:color="auto"/>
              </w:divBdr>
            </w:div>
          </w:divsChild>
        </w:div>
        <w:div w:id="1782988140">
          <w:marLeft w:val="0"/>
          <w:marRight w:val="0"/>
          <w:marTop w:val="0"/>
          <w:marBottom w:val="0"/>
          <w:divBdr>
            <w:top w:val="none" w:sz="0" w:space="0" w:color="auto"/>
            <w:left w:val="none" w:sz="0" w:space="0" w:color="auto"/>
            <w:bottom w:val="none" w:sz="0" w:space="0" w:color="auto"/>
            <w:right w:val="none" w:sz="0" w:space="0" w:color="auto"/>
          </w:divBdr>
          <w:divsChild>
            <w:div w:id="604192772">
              <w:marLeft w:val="0"/>
              <w:marRight w:val="0"/>
              <w:marTop w:val="0"/>
              <w:marBottom w:val="0"/>
              <w:divBdr>
                <w:top w:val="none" w:sz="0" w:space="0" w:color="auto"/>
                <w:left w:val="none" w:sz="0" w:space="0" w:color="auto"/>
                <w:bottom w:val="none" w:sz="0" w:space="0" w:color="auto"/>
                <w:right w:val="none" w:sz="0" w:space="0" w:color="auto"/>
              </w:divBdr>
            </w:div>
          </w:divsChild>
        </w:div>
        <w:div w:id="1800763157">
          <w:marLeft w:val="0"/>
          <w:marRight w:val="0"/>
          <w:marTop w:val="0"/>
          <w:marBottom w:val="0"/>
          <w:divBdr>
            <w:top w:val="none" w:sz="0" w:space="0" w:color="auto"/>
            <w:left w:val="none" w:sz="0" w:space="0" w:color="auto"/>
            <w:bottom w:val="none" w:sz="0" w:space="0" w:color="auto"/>
            <w:right w:val="none" w:sz="0" w:space="0" w:color="auto"/>
          </w:divBdr>
          <w:divsChild>
            <w:div w:id="890192773">
              <w:marLeft w:val="0"/>
              <w:marRight w:val="0"/>
              <w:marTop w:val="0"/>
              <w:marBottom w:val="0"/>
              <w:divBdr>
                <w:top w:val="none" w:sz="0" w:space="0" w:color="auto"/>
                <w:left w:val="none" w:sz="0" w:space="0" w:color="auto"/>
                <w:bottom w:val="none" w:sz="0" w:space="0" w:color="auto"/>
                <w:right w:val="none" w:sz="0" w:space="0" w:color="auto"/>
              </w:divBdr>
            </w:div>
          </w:divsChild>
        </w:div>
        <w:div w:id="1807316560">
          <w:marLeft w:val="0"/>
          <w:marRight w:val="0"/>
          <w:marTop w:val="0"/>
          <w:marBottom w:val="0"/>
          <w:divBdr>
            <w:top w:val="none" w:sz="0" w:space="0" w:color="auto"/>
            <w:left w:val="none" w:sz="0" w:space="0" w:color="auto"/>
            <w:bottom w:val="none" w:sz="0" w:space="0" w:color="auto"/>
            <w:right w:val="none" w:sz="0" w:space="0" w:color="auto"/>
          </w:divBdr>
          <w:divsChild>
            <w:div w:id="224217986">
              <w:marLeft w:val="0"/>
              <w:marRight w:val="0"/>
              <w:marTop w:val="0"/>
              <w:marBottom w:val="0"/>
              <w:divBdr>
                <w:top w:val="none" w:sz="0" w:space="0" w:color="auto"/>
                <w:left w:val="none" w:sz="0" w:space="0" w:color="auto"/>
                <w:bottom w:val="none" w:sz="0" w:space="0" w:color="auto"/>
                <w:right w:val="none" w:sz="0" w:space="0" w:color="auto"/>
              </w:divBdr>
            </w:div>
          </w:divsChild>
        </w:div>
        <w:div w:id="1819031093">
          <w:marLeft w:val="0"/>
          <w:marRight w:val="0"/>
          <w:marTop w:val="0"/>
          <w:marBottom w:val="0"/>
          <w:divBdr>
            <w:top w:val="none" w:sz="0" w:space="0" w:color="auto"/>
            <w:left w:val="none" w:sz="0" w:space="0" w:color="auto"/>
            <w:bottom w:val="none" w:sz="0" w:space="0" w:color="auto"/>
            <w:right w:val="none" w:sz="0" w:space="0" w:color="auto"/>
          </w:divBdr>
          <w:divsChild>
            <w:div w:id="1139610041">
              <w:marLeft w:val="0"/>
              <w:marRight w:val="0"/>
              <w:marTop w:val="0"/>
              <w:marBottom w:val="0"/>
              <w:divBdr>
                <w:top w:val="none" w:sz="0" w:space="0" w:color="auto"/>
                <w:left w:val="none" w:sz="0" w:space="0" w:color="auto"/>
                <w:bottom w:val="none" w:sz="0" w:space="0" w:color="auto"/>
                <w:right w:val="none" w:sz="0" w:space="0" w:color="auto"/>
              </w:divBdr>
            </w:div>
          </w:divsChild>
        </w:div>
        <w:div w:id="1864392190">
          <w:marLeft w:val="0"/>
          <w:marRight w:val="0"/>
          <w:marTop w:val="0"/>
          <w:marBottom w:val="0"/>
          <w:divBdr>
            <w:top w:val="none" w:sz="0" w:space="0" w:color="auto"/>
            <w:left w:val="none" w:sz="0" w:space="0" w:color="auto"/>
            <w:bottom w:val="none" w:sz="0" w:space="0" w:color="auto"/>
            <w:right w:val="none" w:sz="0" w:space="0" w:color="auto"/>
          </w:divBdr>
          <w:divsChild>
            <w:div w:id="1325089556">
              <w:marLeft w:val="0"/>
              <w:marRight w:val="0"/>
              <w:marTop w:val="0"/>
              <w:marBottom w:val="0"/>
              <w:divBdr>
                <w:top w:val="none" w:sz="0" w:space="0" w:color="auto"/>
                <w:left w:val="none" w:sz="0" w:space="0" w:color="auto"/>
                <w:bottom w:val="none" w:sz="0" w:space="0" w:color="auto"/>
                <w:right w:val="none" w:sz="0" w:space="0" w:color="auto"/>
              </w:divBdr>
            </w:div>
          </w:divsChild>
        </w:div>
        <w:div w:id="1903565482">
          <w:marLeft w:val="0"/>
          <w:marRight w:val="0"/>
          <w:marTop w:val="0"/>
          <w:marBottom w:val="0"/>
          <w:divBdr>
            <w:top w:val="none" w:sz="0" w:space="0" w:color="auto"/>
            <w:left w:val="none" w:sz="0" w:space="0" w:color="auto"/>
            <w:bottom w:val="none" w:sz="0" w:space="0" w:color="auto"/>
            <w:right w:val="none" w:sz="0" w:space="0" w:color="auto"/>
          </w:divBdr>
          <w:divsChild>
            <w:div w:id="39477074">
              <w:marLeft w:val="0"/>
              <w:marRight w:val="0"/>
              <w:marTop w:val="0"/>
              <w:marBottom w:val="0"/>
              <w:divBdr>
                <w:top w:val="none" w:sz="0" w:space="0" w:color="auto"/>
                <w:left w:val="none" w:sz="0" w:space="0" w:color="auto"/>
                <w:bottom w:val="none" w:sz="0" w:space="0" w:color="auto"/>
                <w:right w:val="none" w:sz="0" w:space="0" w:color="auto"/>
              </w:divBdr>
            </w:div>
          </w:divsChild>
        </w:div>
        <w:div w:id="1918661963">
          <w:marLeft w:val="0"/>
          <w:marRight w:val="0"/>
          <w:marTop w:val="0"/>
          <w:marBottom w:val="0"/>
          <w:divBdr>
            <w:top w:val="none" w:sz="0" w:space="0" w:color="auto"/>
            <w:left w:val="none" w:sz="0" w:space="0" w:color="auto"/>
            <w:bottom w:val="none" w:sz="0" w:space="0" w:color="auto"/>
            <w:right w:val="none" w:sz="0" w:space="0" w:color="auto"/>
          </w:divBdr>
          <w:divsChild>
            <w:div w:id="975380615">
              <w:marLeft w:val="0"/>
              <w:marRight w:val="0"/>
              <w:marTop w:val="0"/>
              <w:marBottom w:val="0"/>
              <w:divBdr>
                <w:top w:val="none" w:sz="0" w:space="0" w:color="auto"/>
                <w:left w:val="none" w:sz="0" w:space="0" w:color="auto"/>
                <w:bottom w:val="none" w:sz="0" w:space="0" w:color="auto"/>
                <w:right w:val="none" w:sz="0" w:space="0" w:color="auto"/>
              </w:divBdr>
            </w:div>
          </w:divsChild>
        </w:div>
        <w:div w:id="1931306701">
          <w:marLeft w:val="0"/>
          <w:marRight w:val="0"/>
          <w:marTop w:val="0"/>
          <w:marBottom w:val="0"/>
          <w:divBdr>
            <w:top w:val="none" w:sz="0" w:space="0" w:color="auto"/>
            <w:left w:val="none" w:sz="0" w:space="0" w:color="auto"/>
            <w:bottom w:val="none" w:sz="0" w:space="0" w:color="auto"/>
            <w:right w:val="none" w:sz="0" w:space="0" w:color="auto"/>
          </w:divBdr>
          <w:divsChild>
            <w:div w:id="157766478">
              <w:marLeft w:val="0"/>
              <w:marRight w:val="0"/>
              <w:marTop w:val="0"/>
              <w:marBottom w:val="0"/>
              <w:divBdr>
                <w:top w:val="none" w:sz="0" w:space="0" w:color="auto"/>
                <w:left w:val="none" w:sz="0" w:space="0" w:color="auto"/>
                <w:bottom w:val="none" w:sz="0" w:space="0" w:color="auto"/>
                <w:right w:val="none" w:sz="0" w:space="0" w:color="auto"/>
              </w:divBdr>
            </w:div>
          </w:divsChild>
        </w:div>
        <w:div w:id="1962952594">
          <w:marLeft w:val="0"/>
          <w:marRight w:val="0"/>
          <w:marTop w:val="0"/>
          <w:marBottom w:val="0"/>
          <w:divBdr>
            <w:top w:val="none" w:sz="0" w:space="0" w:color="auto"/>
            <w:left w:val="none" w:sz="0" w:space="0" w:color="auto"/>
            <w:bottom w:val="none" w:sz="0" w:space="0" w:color="auto"/>
            <w:right w:val="none" w:sz="0" w:space="0" w:color="auto"/>
          </w:divBdr>
          <w:divsChild>
            <w:div w:id="253635517">
              <w:marLeft w:val="0"/>
              <w:marRight w:val="0"/>
              <w:marTop w:val="0"/>
              <w:marBottom w:val="0"/>
              <w:divBdr>
                <w:top w:val="none" w:sz="0" w:space="0" w:color="auto"/>
                <w:left w:val="none" w:sz="0" w:space="0" w:color="auto"/>
                <w:bottom w:val="none" w:sz="0" w:space="0" w:color="auto"/>
                <w:right w:val="none" w:sz="0" w:space="0" w:color="auto"/>
              </w:divBdr>
            </w:div>
          </w:divsChild>
        </w:div>
        <w:div w:id="1980914617">
          <w:marLeft w:val="0"/>
          <w:marRight w:val="0"/>
          <w:marTop w:val="0"/>
          <w:marBottom w:val="0"/>
          <w:divBdr>
            <w:top w:val="none" w:sz="0" w:space="0" w:color="auto"/>
            <w:left w:val="none" w:sz="0" w:space="0" w:color="auto"/>
            <w:bottom w:val="none" w:sz="0" w:space="0" w:color="auto"/>
            <w:right w:val="none" w:sz="0" w:space="0" w:color="auto"/>
          </w:divBdr>
          <w:divsChild>
            <w:div w:id="498741208">
              <w:marLeft w:val="0"/>
              <w:marRight w:val="0"/>
              <w:marTop w:val="0"/>
              <w:marBottom w:val="0"/>
              <w:divBdr>
                <w:top w:val="none" w:sz="0" w:space="0" w:color="auto"/>
                <w:left w:val="none" w:sz="0" w:space="0" w:color="auto"/>
                <w:bottom w:val="none" w:sz="0" w:space="0" w:color="auto"/>
                <w:right w:val="none" w:sz="0" w:space="0" w:color="auto"/>
              </w:divBdr>
            </w:div>
          </w:divsChild>
        </w:div>
        <w:div w:id="2006275675">
          <w:marLeft w:val="0"/>
          <w:marRight w:val="0"/>
          <w:marTop w:val="0"/>
          <w:marBottom w:val="0"/>
          <w:divBdr>
            <w:top w:val="none" w:sz="0" w:space="0" w:color="auto"/>
            <w:left w:val="none" w:sz="0" w:space="0" w:color="auto"/>
            <w:bottom w:val="none" w:sz="0" w:space="0" w:color="auto"/>
            <w:right w:val="none" w:sz="0" w:space="0" w:color="auto"/>
          </w:divBdr>
          <w:divsChild>
            <w:div w:id="1536427635">
              <w:marLeft w:val="0"/>
              <w:marRight w:val="0"/>
              <w:marTop w:val="0"/>
              <w:marBottom w:val="0"/>
              <w:divBdr>
                <w:top w:val="none" w:sz="0" w:space="0" w:color="auto"/>
                <w:left w:val="none" w:sz="0" w:space="0" w:color="auto"/>
                <w:bottom w:val="none" w:sz="0" w:space="0" w:color="auto"/>
                <w:right w:val="none" w:sz="0" w:space="0" w:color="auto"/>
              </w:divBdr>
            </w:div>
          </w:divsChild>
        </w:div>
        <w:div w:id="2044018590">
          <w:marLeft w:val="0"/>
          <w:marRight w:val="0"/>
          <w:marTop w:val="0"/>
          <w:marBottom w:val="0"/>
          <w:divBdr>
            <w:top w:val="none" w:sz="0" w:space="0" w:color="auto"/>
            <w:left w:val="none" w:sz="0" w:space="0" w:color="auto"/>
            <w:bottom w:val="none" w:sz="0" w:space="0" w:color="auto"/>
            <w:right w:val="none" w:sz="0" w:space="0" w:color="auto"/>
          </w:divBdr>
          <w:divsChild>
            <w:div w:id="301276842">
              <w:marLeft w:val="0"/>
              <w:marRight w:val="0"/>
              <w:marTop w:val="0"/>
              <w:marBottom w:val="0"/>
              <w:divBdr>
                <w:top w:val="none" w:sz="0" w:space="0" w:color="auto"/>
                <w:left w:val="none" w:sz="0" w:space="0" w:color="auto"/>
                <w:bottom w:val="none" w:sz="0" w:space="0" w:color="auto"/>
                <w:right w:val="none" w:sz="0" w:space="0" w:color="auto"/>
              </w:divBdr>
            </w:div>
          </w:divsChild>
        </w:div>
        <w:div w:id="2060132686">
          <w:marLeft w:val="0"/>
          <w:marRight w:val="0"/>
          <w:marTop w:val="0"/>
          <w:marBottom w:val="0"/>
          <w:divBdr>
            <w:top w:val="none" w:sz="0" w:space="0" w:color="auto"/>
            <w:left w:val="none" w:sz="0" w:space="0" w:color="auto"/>
            <w:bottom w:val="none" w:sz="0" w:space="0" w:color="auto"/>
            <w:right w:val="none" w:sz="0" w:space="0" w:color="auto"/>
          </w:divBdr>
          <w:divsChild>
            <w:div w:id="1835802186">
              <w:marLeft w:val="0"/>
              <w:marRight w:val="0"/>
              <w:marTop w:val="0"/>
              <w:marBottom w:val="0"/>
              <w:divBdr>
                <w:top w:val="none" w:sz="0" w:space="0" w:color="auto"/>
                <w:left w:val="none" w:sz="0" w:space="0" w:color="auto"/>
                <w:bottom w:val="none" w:sz="0" w:space="0" w:color="auto"/>
                <w:right w:val="none" w:sz="0" w:space="0" w:color="auto"/>
              </w:divBdr>
            </w:div>
          </w:divsChild>
        </w:div>
        <w:div w:id="2076005771">
          <w:marLeft w:val="0"/>
          <w:marRight w:val="0"/>
          <w:marTop w:val="0"/>
          <w:marBottom w:val="0"/>
          <w:divBdr>
            <w:top w:val="none" w:sz="0" w:space="0" w:color="auto"/>
            <w:left w:val="none" w:sz="0" w:space="0" w:color="auto"/>
            <w:bottom w:val="none" w:sz="0" w:space="0" w:color="auto"/>
            <w:right w:val="none" w:sz="0" w:space="0" w:color="auto"/>
          </w:divBdr>
          <w:divsChild>
            <w:div w:id="1930455941">
              <w:marLeft w:val="0"/>
              <w:marRight w:val="0"/>
              <w:marTop w:val="0"/>
              <w:marBottom w:val="0"/>
              <w:divBdr>
                <w:top w:val="none" w:sz="0" w:space="0" w:color="auto"/>
                <w:left w:val="none" w:sz="0" w:space="0" w:color="auto"/>
                <w:bottom w:val="none" w:sz="0" w:space="0" w:color="auto"/>
                <w:right w:val="none" w:sz="0" w:space="0" w:color="auto"/>
              </w:divBdr>
            </w:div>
          </w:divsChild>
        </w:div>
        <w:div w:id="2100061067">
          <w:marLeft w:val="0"/>
          <w:marRight w:val="0"/>
          <w:marTop w:val="0"/>
          <w:marBottom w:val="0"/>
          <w:divBdr>
            <w:top w:val="none" w:sz="0" w:space="0" w:color="auto"/>
            <w:left w:val="none" w:sz="0" w:space="0" w:color="auto"/>
            <w:bottom w:val="none" w:sz="0" w:space="0" w:color="auto"/>
            <w:right w:val="none" w:sz="0" w:space="0" w:color="auto"/>
          </w:divBdr>
          <w:divsChild>
            <w:div w:id="2140561408">
              <w:marLeft w:val="0"/>
              <w:marRight w:val="0"/>
              <w:marTop w:val="0"/>
              <w:marBottom w:val="0"/>
              <w:divBdr>
                <w:top w:val="none" w:sz="0" w:space="0" w:color="auto"/>
                <w:left w:val="none" w:sz="0" w:space="0" w:color="auto"/>
                <w:bottom w:val="none" w:sz="0" w:space="0" w:color="auto"/>
                <w:right w:val="none" w:sz="0" w:space="0" w:color="auto"/>
              </w:divBdr>
            </w:div>
          </w:divsChild>
        </w:div>
        <w:div w:id="2116360373">
          <w:marLeft w:val="0"/>
          <w:marRight w:val="0"/>
          <w:marTop w:val="0"/>
          <w:marBottom w:val="0"/>
          <w:divBdr>
            <w:top w:val="none" w:sz="0" w:space="0" w:color="auto"/>
            <w:left w:val="none" w:sz="0" w:space="0" w:color="auto"/>
            <w:bottom w:val="none" w:sz="0" w:space="0" w:color="auto"/>
            <w:right w:val="none" w:sz="0" w:space="0" w:color="auto"/>
          </w:divBdr>
          <w:divsChild>
            <w:div w:id="207388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727981">
      <w:bodyDiv w:val="1"/>
      <w:marLeft w:val="0"/>
      <w:marRight w:val="0"/>
      <w:marTop w:val="0"/>
      <w:marBottom w:val="0"/>
      <w:divBdr>
        <w:top w:val="none" w:sz="0" w:space="0" w:color="auto"/>
        <w:left w:val="none" w:sz="0" w:space="0" w:color="auto"/>
        <w:bottom w:val="none" w:sz="0" w:space="0" w:color="auto"/>
        <w:right w:val="none" w:sz="0" w:space="0" w:color="auto"/>
      </w:divBdr>
    </w:div>
    <w:div w:id="1678388517">
      <w:bodyDiv w:val="1"/>
      <w:marLeft w:val="0"/>
      <w:marRight w:val="0"/>
      <w:marTop w:val="0"/>
      <w:marBottom w:val="0"/>
      <w:divBdr>
        <w:top w:val="none" w:sz="0" w:space="0" w:color="auto"/>
        <w:left w:val="none" w:sz="0" w:space="0" w:color="auto"/>
        <w:bottom w:val="none" w:sz="0" w:space="0" w:color="auto"/>
        <w:right w:val="none" w:sz="0" w:space="0" w:color="auto"/>
      </w:divBdr>
    </w:div>
    <w:div w:id="1715108312">
      <w:bodyDiv w:val="1"/>
      <w:marLeft w:val="0"/>
      <w:marRight w:val="0"/>
      <w:marTop w:val="0"/>
      <w:marBottom w:val="0"/>
      <w:divBdr>
        <w:top w:val="none" w:sz="0" w:space="0" w:color="auto"/>
        <w:left w:val="none" w:sz="0" w:space="0" w:color="auto"/>
        <w:bottom w:val="none" w:sz="0" w:space="0" w:color="auto"/>
        <w:right w:val="none" w:sz="0" w:space="0" w:color="auto"/>
      </w:divBdr>
      <w:divsChild>
        <w:div w:id="540674694">
          <w:marLeft w:val="0"/>
          <w:marRight w:val="0"/>
          <w:marTop w:val="45"/>
          <w:marBottom w:val="60"/>
          <w:divBdr>
            <w:top w:val="none" w:sz="0" w:space="0" w:color="auto"/>
            <w:left w:val="none" w:sz="0" w:space="0" w:color="auto"/>
            <w:bottom w:val="none" w:sz="0" w:space="0" w:color="auto"/>
            <w:right w:val="none" w:sz="0" w:space="0" w:color="auto"/>
          </w:divBdr>
        </w:div>
      </w:divsChild>
    </w:div>
    <w:div w:id="1727296973">
      <w:bodyDiv w:val="1"/>
      <w:marLeft w:val="0"/>
      <w:marRight w:val="0"/>
      <w:marTop w:val="0"/>
      <w:marBottom w:val="0"/>
      <w:divBdr>
        <w:top w:val="none" w:sz="0" w:space="0" w:color="auto"/>
        <w:left w:val="none" w:sz="0" w:space="0" w:color="auto"/>
        <w:bottom w:val="none" w:sz="0" w:space="0" w:color="auto"/>
        <w:right w:val="none" w:sz="0" w:space="0" w:color="auto"/>
      </w:divBdr>
      <w:divsChild>
        <w:div w:id="28914819">
          <w:marLeft w:val="1166"/>
          <w:marRight w:val="0"/>
          <w:marTop w:val="0"/>
          <w:marBottom w:val="160"/>
          <w:divBdr>
            <w:top w:val="none" w:sz="0" w:space="0" w:color="auto"/>
            <w:left w:val="none" w:sz="0" w:space="0" w:color="auto"/>
            <w:bottom w:val="none" w:sz="0" w:space="0" w:color="auto"/>
            <w:right w:val="none" w:sz="0" w:space="0" w:color="auto"/>
          </w:divBdr>
        </w:div>
        <w:div w:id="63069989">
          <w:marLeft w:val="1166"/>
          <w:marRight w:val="0"/>
          <w:marTop w:val="0"/>
          <w:marBottom w:val="160"/>
          <w:divBdr>
            <w:top w:val="none" w:sz="0" w:space="0" w:color="auto"/>
            <w:left w:val="none" w:sz="0" w:space="0" w:color="auto"/>
            <w:bottom w:val="none" w:sz="0" w:space="0" w:color="auto"/>
            <w:right w:val="none" w:sz="0" w:space="0" w:color="auto"/>
          </w:divBdr>
        </w:div>
        <w:div w:id="448478360">
          <w:marLeft w:val="1166"/>
          <w:marRight w:val="0"/>
          <w:marTop w:val="0"/>
          <w:marBottom w:val="160"/>
          <w:divBdr>
            <w:top w:val="none" w:sz="0" w:space="0" w:color="auto"/>
            <w:left w:val="none" w:sz="0" w:space="0" w:color="auto"/>
            <w:bottom w:val="none" w:sz="0" w:space="0" w:color="auto"/>
            <w:right w:val="none" w:sz="0" w:space="0" w:color="auto"/>
          </w:divBdr>
        </w:div>
        <w:div w:id="471098812">
          <w:marLeft w:val="1800"/>
          <w:marRight w:val="0"/>
          <w:marTop w:val="0"/>
          <w:marBottom w:val="160"/>
          <w:divBdr>
            <w:top w:val="none" w:sz="0" w:space="0" w:color="auto"/>
            <w:left w:val="none" w:sz="0" w:space="0" w:color="auto"/>
            <w:bottom w:val="none" w:sz="0" w:space="0" w:color="auto"/>
            <w:right w:val="none" w:sz="0" w:space="0" w:color="auto"/>
          </w:divBdr>
        </w:div>
        <w:div w:id="733892644">
          <w:marLeft w:val="1800"/>
          <w:marRight w:val="0"/>
          <w:marTop w:val="0"/>
          <w:marBottom w:val="160"/>
          <w:divBdr>
            <w:top w:val="none" w:sz="0" w:space="0" w:color="auto"/>
            <w:left w:val="none" w:sz="0" w:space="0" w:color="auto"/>
            <w:bottom w:val="none" w:sz="0" w:space="0" w:color="auto"/>
            <w:right w:val="none" w:sz="0" w:space="0" w:color="auto"/>
          </w:divBdr>
        </w:div>
        <w:div w:id="779377132">
          <w:marLeft w:val="1166"/>
          <w:marRight w:val="0"/>
          <w:marTop w:val="0"/>
          <w:marBottom w:val="160"/>
          <w:divBdr>
            <w:top w:val="none" w:sz="0" w:space="0" w:color="auto"/>
            <w:left w:val="none" w:sz="0" w:space="0" w:color="auto"/>
            <w:bottom w:val="none" w:sz="0" w:space="0" w:color="auto"/>
            <w:right w:val="none" w:sz="0" w:space="0" w:color="auto"/>
          </w:divBdr>
        </w:div>
        <w:div w:id="780682031">
          <w:marLeft w:val="1800"/>
          <w:marRight w:val="0"/>
          <w:marTop w:val="0"/>
          <w:marBottom w:val="160"/>
          <w:divBdr>
            <w:top w:val="none" w:sz="0" w:space="0" w:color="auto"/>
            <w:left w:val="none" w:sz="0" w:space="0" w:color="auto"/>
            <w:bottom w:val="none" w:sz="0" w:space="0" w:color="auto"/>
            <w:right w:val="none" w:sz="0" w:space="0" w:color="auto"/>
          </w:divBdr>
        </w:div>
        <w:div w:id="831877170">
          <w:marLeft w:val="1166"/>
          <w:marRight w:val="0"/>
          <w:marTop w:val="0"/>
          <w:marBottom w:val="160"/>
          <w:divBdr>
            <w:top w:val="none" w:sz="0" w:space="0" w:color="auto"/>
            <w:left w:val="none" w:sz="0" w:space="0" w:color="auto"/>
            <w:bottom w:val="none" w:sz="0" w:space="0" w:color="auto"/>
            <w:right w:val="none" w:sz="0" w:space="0" w:color="auto"/>
          </w:divBdr>
        </w:div>
        <w:div w:id="860163033">
          <w:marLeft w:val="1166"/>
          <w:marRight w:val="0"/>
          <w:marTop w:val="0"/>
          <w:marBottom w:val="160"/>
          <w:divBdr>
            <w:top w:val="none" w:sz="0" w:space="0" w:color="auto"/>
            <w:left w:val="none" w:sz="0" w:space="0" w:color="auto"/>
            <w:bottom w:val="none" w:sz="0" w:space="0" w:color="auto"/>
            <w:right w:val="none" w:sz="0" w:space="0" w:color="auto"/>
          </w:divBdr>
        </w:div>
        <w:div w:id="989600973">
          <w:marLeft w:val="1166"/>
          <w:marRight w:val="0"/>
          <w:marTop w:val="0"/>
          <w:marBottom w:val="160"/>
          <w:divBdr>
            <w:top w:val="none" w:sz="0" w:space="0" w:color="auto"/>
            <w:left w:val="none" w:sz="0" w:space="0" w:color="auto"/>
            <w:bottom w:val="none" w:sz="0" w:space="0" w:color="auto"/>
            <w:right w:val="none" w:sz="0" w:space="0" w:color="auto"/>
          </w:divBdr>
        </w:div>
        <w:div w:id="1066682297">
          <w:marLeft w:val="1166"/>
          <w:marRight w:val="0"/>
          <w:marTop w:val="0"/>
          <w:marBottom w:val="160"/>
          <w:divBdr>
            <w:top w:val="none" w:sz="0" w:space="0" w:color="auto"/>
            <w:left w:val="none" w:sz="0" w:space="0" w:color="auto"/>
            <w:bottom w:val="none" w:sz="0" w:space="0" w:color="auto"/>
            <w:right w:val="none" w:sz="0" w:space="0" w:color="auto"/>
          </w:divBdr>
        </w:div>
        <w:div w:id="1460686846">
          <w:marLeft w:val="1166"/>
          <w:marRight w:val="0"/>
          <w:marTop w:val="0"/>
          <w:marBottom w:val="160"/>
          <w:divBdr>
            <w:top w:val="none" w:sz="0" w:space="0" w:color="auto"/>
            <w:left w:val="none" w:sz="0" w:space="0" w:color="auto"/>
            <w:bottom w:val="none" w:sz="0" w:space="0" w:color="auto"/>
            <w:right w:val="none" w:sz="0" w:space="0" w:color="auto"/>
          </w:divBdr>
        </w:div>
        <w:div w:id="1634292732">
          <w:marLeft w:val="1166"/>
          <w:marRight w:val="0"/>
          <w:marTop w:val="0"/>
          <w:marBottom w:val="160"/>
          <w:divBdr>
            <w:top w:val="none" w:sz="0" w:space="0" w:color="auto"/>
            <w:left w:val="none" w:sz="0" w:space="0" w:color="auto"/>
            <w:bottom w:val="none" w:sz="0" w:space="0" w:color="auto"/>
            <w:right w:val="none" w:sz="0" w:space="0" w:color="auto"/>
          </w:divBdr>
        </w:div>
        <w:div w:id="2095589179">
          <w:marLeft w:val="1166"/>
          <w:marRight w:val="0"/>
          <w:marTop w:val="0"/>
          <w:marBottom w:val="160"/>
          <w:divBdr>
            <w:top w:val="none" w:sz="0" w:space="0" w:color="auto"/>
            <w:left w:val="none" w:sz="0" w:space="0" w:color="auto"/>
            <w:bottom w:val="none" w:sz="0" w:space="0" w:color="auto"/>
            <w:right w:val="none" w:sz="0" w:space="0" w:color="auto"/>
          </w:divBdr>
        </w:div>
      </w:divsChild>
    </w:div>
    <w:div w:id="1729499063">
      <w:bodyDiv w:val="1"/>
      <w:marLeft w:val="0"/>
      <w:marRight w:val="0"/>
      <w:marTop w:val="0"/>
      <w:marBottom w:val="0"/>
      <w:divBdr>
        <w:top w:val="none" w:sz="0" w:space="0" w:color="auto"/>
        <w:left w:val="none" w:sz="0" w:space="0" w:color="auto"/>
        <w:bottom w:val="none" w:sz="0" w:space="0" w:color="auto"/>
        <w:right w:val="none" w:sz="0" w:space="0" w:color="auto"/>
      </w:divBdr>
    </w:div>
    <w:div w:id="1745224611">
      <w:bodyDiv w:val="1"/>
      <w:marLeft w:val="0"/>
      <w:marRight w:val="0"/>
      <w:marTop w:val="0"/>
      <w:marBottom w:val="0"/>
      <w:divBdr>
        <w:top w:val="none" w:sz="0" w:space="0" w:color="auto"/>
        <w:left w:val="none" w:sz="0" w:space="0" w:color="auto"/>
        <w:bottom w:val="none" w:sz="0" w:space="0" w:color="auto"/>
        <w:right w:val="none" w:sz="0" w:space="0" w:color="auto"/>
      </w:divBdr>
      <w:divsChild>
        <w:div w:id="1648902918">
          <w:marLeft w:val="0"/>
          <w:marRight w:val="0"/>
          <w:marTop w:val="0"/>
          <w:marBottom w:val="0"/>
          <w:divBdr>
            <w:top w:val="none" w:sz="0" w:space="0" w:color="auto"/>
            <w:left w:val="none" w:sz="0" w:space="0" w:color="auto"/>
            <w:bottom w:val="none" w:sz="0" w:space="0" w:color="auto"/>
            <w:right w:val="none" w:sz="0" w:space="0" w:color="auto"/>
          </w:divBdr>
          <w:divsChild>
            <w:div w:id="2769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12023">
      <w:bodyDiv w:val="1"/>
      <w:marLeft w:val="0"/>
      <w:marRight w:val="0"/>
      <w:marTop w:val="0"/>
      <w:marBottom w:val="0"/>
      <w:divBdr>
        <w:top w:val="none" w:sz="0" w:space="0" w:color="auto"/>
        <w:left w:val="none" w:sz="0" w:space="0" w:color="auto"/>
        <w:bottom w:val="none" w:sz="0" w:space="0" w:color="auto"/>
        <w:right w:val="none" w:sz="0" w:space="0" w:color="auto"/>
      </w:divBdr>
      <w:divsChild>
        <w:div w:id="959916440">
          <w:marLeft w:val="0"/>
          <w:marRight w:val="0"/>
          <w:marTop w:val="0"/>
          <w:marBottom w:val="0"/>
          <w:divBdr>
            <w:top w:val="none" w:sz="0" w:space="0" w:color="auto"/>
            <w:left w:val="none" w:sz="0" w:space="0" w:color="auto"/>
            <w:bottom w:val="none" w:sz="0" w:space="0" w:color="auto"/>
            <w:right w:val="none" w:sz="0" w:space="0" w:color="auto"/>
          </w:divBdr>
        </w:div>
        <w:div w:id="1007245578">
          <w:marLeft w:val="0"/>
          <w:marRight w:val="0"/>
          <w:marTop w:val="0"/>
          <w:marBottom w:val="0"/>
          <w:divBdr>
            <w:top w:val="none" w:sz="0" w:space="0" w:color="auto"/>
            <w:left w:val="none" w:sz="0" w:space="0" w:color="auto"/>
            <w:bottom w:val="none" w:sz="0" w:space="0" w:color="auto"/>
            <w:right w:val="none" w:sz="0" w:space="0" w:color="auto"/>
          </w:divBdr>
        </w:div>
        <w:div w:id="1996447686">
          <w:marLeft w:val="0"/>
          <w:marRight w:val="0"/>
          <w:marTop w:val="0"/>
          <w:marBottom w:val="0"/>
          <w:divBdr>
            <w:top w:val="none" w:sz="0" w:space="0" w:color="auto"/>
            <w:left w:val="none" w:sz="0" w:space="0" w:color="auto"/>
            <w:bottom w:val="none" w:sz="0" w:space="0" w:color="auto"/>
            <w:right w:val="none" w:sz="0" w:space="0" w:color="auto"/>
          </w:divBdr>
        </w:div>
        <w:div w:id="1997537773">
          <w:marLeft w:val="0"/>
          <w:marRight w:val="0"/>
          <w:marTop w:val="0"/>
          <w:marBottom w:val="0"/>
          <w:divBdr>
            <w:top w:val="none" w:sz="0" w:space="0" w:color="auto"/>
            <w:left w:val="none" w:sz="0" w:space="0" w:color="auto"/>
            <w:bottom w:val="none" w:sz="0" w:space="0" w:color="auto"/>
            <w:right w:val="none" w:sz="0" w:space="0" w:color="auto"/>
          </w:divBdr>
        </w:div>
        <w:div w:id="2058626009">
          <w:marLeft w:val="0"/>
          <w:marRight w:val="0"/>
          <w:marTop w:val="0"/>
          <w:marBottom w:val="0"/>
          <w:divBdr>
            <w:top w:val="none" w:sz="0" w:space="0" w:color="auto"/>
            <w:left w:val="none" w:sz="0" w:space="0" w:color="auto"/>
            <w:bottom w:val="none" w:sz="0" w:space="0" w:color="auto"/>
            <w:right w:val="none" w:sz="0" w:space="0" w:color="auto"/>
          </w:divBdr>
        </w:div>
      </w:divsChild>
    </w:div>
    <w:div w:id="1785954234">
      <w:bodyDiv w:val="1"/>
      <w:marLeft w:val="0"/>
      <w:marRight w:val="0"/>
      <w:marTop w:val="0"/>
      <w:marBottom w:val="0"/>
      <w:divBdr>
        <w:top w:val="none" w:sz="0" w:space="0" w:color="auto"/>
        <w:left w:val="none" w:sz="0" w:space="0" w:color="auto"/>
        <w:bottom w:val="none" w:sz="0" w:space="0" w:color="auto"/>
        <w:right w:val="none" w:sz="0" w:space="0" w:color="auto"/>
      </w:divBdr>
      <w:divsChild>
        <w:div w:id="56361554">
          <w:marLeft w:val="0"/>
          <w:marRight w:val="0"/>
          <w:marTop w:val="0"/>
          <w:marBottom w:val="0"/>
          <w:divBdr>
            <w:top w:val="none" w:sz="0" w:space="0" w:color="auto"/>
            <w:left w:val="none" w:sz="0" w:space="0" w:color="auto"/>
            <w:bottom w:val="none" w:sz="0" w:space="0" w:color="auto"/>
            <w:right w:val="none" w:sz="0" w:space="0" w:color="auto"/>
          </w:divBdr>
          <w:divsChild>
            <w:div w:id="1405835967">
              <w:marLeft w:val="0"/>
              <w:marRight w:val="0"/>
              <w:marTop w:val="0"/>
              <w:marBottom w:val="0"/>
              <w:divBdr>
                <w:top w:val="none" w:sz="0" w:space="0" w:color="auto"/>
                <w:left w:val="none" w:sz="0" w:space="0" w:color="auto"/>
                <w:bottom w:val="none" w:sz="0" w:space="0" w:color="auto"/>
                <w:right w:val="none" w:sz="0" w:space="0" w:color="auto"/>
              </w:divBdr>
            </w:div>
          </w:divsChild>
        </w:div>
        <w:div w:id="81724552">
          <w:marLeft w:val="0"/>
          <w:marRight w:val="0"/>
          <w:marTop w:val="0"/>
          <w:marBottom w:val="0"/>
          <w:divBdr>
            <w:top w:val="none" w:sz="0" w:space="0" w:color="auto"/>
            <w:left w:val="none" w:sz="0" w:space="0" w:color="auto"/>
            <w:bottom w:val="none" w:sz="0" w:space="0" w:color="auto"/>
            <w:right w:val="none" w:sz="0" w:space="0" w:color="auto"/>
          </w:divBdr>
          <w:divsChild>
            <w:div w:id="741757027">
              <w:marLeft w:val="0"/>
              <w:marRight w:val="0"/>
              <w:marTop w:val="0"/>
              <w:marBottom w:val="0"/>
              <w:divBdr>
                <w:top w:val="none" w:sz="0" w:space="0" w:color="auto"/>
                <w:left w:val="none" w:sz="0" w:space="0" w:color="auto"/>
                <w:bottom w:val="none" w:sz="0" w:space="0" w:color="auto"/>
                <w:right w:val="none" w:sz="0" w:space="0" w:color="auto"/>
              </w:divBdr>
            </w:div>
          </w:divsChild>
        </w:div>
        <w:div w:id="82998620">
          <w:marLeft w:val="0"/>
          <w:marRight w:val="0"/>
          <w:marTop w:val="0"/>
          <w:marBottom w:val="0"/>
          <w:divBdr>
            <w:top w:val="none" w:sz="0" w:space="0" w:color="auto"/>
            <w:left w:val="none" w:sz="0" w:space="0" w:color="auto"/>
            <w:bottom w:val="none" w:sz="0" w:space="0" w:color="auto"/>
            <w:right w:val="none" w:sz="0" w:space="0" w:color="auto"/>
          </w:divBdr>
          <w:divsChild>
            <w:div w:id="165176814">
              <w:marLeft w:val="0"/>
              <w:marRight w:val="0"/>
              <w:marTop w:val="0"/>
              <w:marBottom w:val="0"/>
              <w:divBdr>
                <w:top w:val="none" w:sz="0" w:space="0" w:color="auto"/>
                <w:left w:val="none" w:sz="0" w:space="0" w:color="auto"/>
                <w:bottom w:val="none" w:sz="0" w:space="0" w:color="auto"/>
                <w:right w:val="none" w:sz="0" w:space="0" w:color="auto"/>
              </w:divBdr>
            </w:div>
          </w:divsChild>
        </w:div>
        <w:div w:id="85687566">
          <w:marLeft w:val="0"/>
          <w:marRight w:val="0"/>
          <w:marTop w:val="0"/>
          <w:marBottom w:val="0"/>
          <w:divBdr>
            <w:top w:val="none" w:sz="0" w:space="0" w:color="auto"/>
            <w:left w:val="none" w:sz="0" w:space="0" w:color="auto"/>
            <w:bottom w:val="none" w:sz="0" w:space="0" w:color="auto"/>
            <w:right w:val="none" w:sz="0" w:space="0" w:color="auto"/>
          </w:divBdr>
          <w:divsChild>
            <w:div w:id="941914781">
              <w:marLeft w:val="0"/>
              <w:marRight w:val="0"/>
              <w:marTop w:val="0"/>
              <w:marBottom w:val="0"/>
              <w:divBdr>
                <w:top w:val="none" w:sz="0" w:space="0" w:color="auto"/>
                <w:left w:val="none" w:sz="0" w:space="0" w:color="auto"/>
                <w:bottom w:val="none" w:sz="0" w:space="0" w:color="auto"/>
                <w:right w:val="none" w:sz="0" w:space="0" w:color="auto"/>
              </w:divBdr>
            </w:div>
          </w:divsChild>
        </w:div>
        <w:div w:id="103697529">
          <w:marLeft w:val="0"/>
          <w:marRight w:val="0"/>
          <w:marTop w:val="0"/>
          <w:marBottom w:val="0"/>
          <w:divBdr>
            <w:top w:val="none" w:sz="0" w:space="0" w:color="auto"/>
            <w:left w:val="none" w:sz="0" w:space="0" w:color="auto"/>
            <w:bottom w:val="none" w:sz="0" w:space="0" w:color="auto"/>
            <w:right w:val="none" w:sz="0" w:space="0" w:color="auto"/>
          </w:divBdr>
          <w:divsChild>
            <w:div w:id="364136483">
              <w:marLeft w:val="0"/>
              <w:marRight w:val="0"/>
              <w:marTop w:val="0"/>
              <w:marBottom w:val="0"/>
              <w:divBdr>
                <w:top w:val="none" w:sz="0" w:space="0" w:color="auto"/>
                <w:left w:val="none" w:sz="0" w:space="0" w:color="auto"/>
                <w:bottom w:val="none" w:sz="0" w:space="0" w:color="auto"/>
                <w:right w:val="none" w:sz="0" w:space="0" w:color="auto"/>
              </w:divBdr>
            </w:div>
          </w:divsChild>
        </w:div>
        <w:div w:id="156500221">
          <w:marLeft w:val="0"/>
          <w:marRight w:val="0"/>
          <w:marTop w:val="0"/>
          <w:marBottom w:val="0"/>
          <w:divBdr>
            <w:top w:val="none" w:sz="0" w:space="0" w:color="auto"/>
            <w:left w:val="none" w:sz="0" w:space="0" w:color="auto"/>
            <w:bottom w:val="none" w:sz="0" w:space="0" w:color="auto"/>
            <w:right w:val="none" w:sz="0" w:space="0" w:color="auto"/>
          </w:divBdr>
          <w:divsChild>
            <w:div w:id="406921525">
              <w:marLeft w:val="0"/>
              <w:marRight w:val="0"/>
              <w:marTop w:val="0"/>
              <w:marBottom w:val="0"/>
              <w:divBdr>
                <w:top w:val="none" w:sz="0" w:space="0" w:color="auto"/>
                <w:left w:val="none" w:sz="0" w:space="0" w:color="auto"/>
                <w:bottom w:val="none" w:sz="0" w:space="0" w:color="auto"/>
                <w:right w:val="none" w:sz="0" w:space="0" w:color="auto"/>
              </w:divBdr>
            </w:div>
          </w:divsChild>
        </w:div>
        <w:div w:id="182715252">
          <w:marLeft w:val="0"/>
          <w:marRight w:val="0"/>
          <w:marTop w:val="0"/>
          <w:marBottom w:val="0"/>
          <w:divBdr>
            <w:top w:val="none" w:sz="0" w:space="0" w:color="auto"/>
            <w:left w:val="none" w:sz="0" w:space="0" w:color="auto"/>
            <w:bottom w:val="none" w:sz="0" w:space="0" w:color="auto"/>
            <w:right w:val="none" w:sz="0" w:space="0" w:color="auto"/>
          </w:divBdr>
          <w:divsChild>
            <w:div w:id="559754307">
              <w:marLeft w:val="0"/>
              <w:marRight w:val="0"/>
              <w:marTop w:val="0"/>
              <w:marBottom w:val="0"/>
              <w:divBdr>
                <w:top w:val="none" w:sz="0" w:space="0" w:color="auto"/>
                <w:left w:val="none" w:sz="0" w:space="0" w:color="auto"/>
                <w:bottom w:val="none" w:sz="0" w:space="0" w:color="auto"/>
                <w:right w:val="none" w:sz="0" w:space="0" w:color="auto"/>
              </w:divBdr>
            </w:div>
          </w:divsChild>
        </w:div>
        <w:div w:id="194276597">
          <w:marLeft w:val="0"/>
          <w:marRight w:val="0"/>
          <w:marTop w:val="0"/>
          <w:marBottom w:val="0"/>
          <w:divBdr>
            <w:top w:val="none" w:sz="0" w:space="0" w:color="auto"/>
            <w:left w:val="none" w:sz="0" w:space="0" w:color="auto"/>
            <w:bottom w:val="none" w:sz="0" w:space="0" w:color="auto"/>
            <w:right w:val="none" w:sz="0" w:space="0" w:color="auto"/>
          </w:divBdr>
          <w:divsChild>
            <w:div w:id="1218321340">
              <w:marLeft w:val="0"/>
              <w:marRight w:val="0"/>
              <w:marTop w:val="0"/>
              <w:marBottom w:val="0"/>
              <w:divBdr>
                <w:top w:val="none" w:sz="0" w:space="0" w:color="auto"/>
                <w:left w:val="none" w:sz="0" w:space="0" w:color="auto"/>
                <w:bottom w:val="none" w:sz="0" w:space="0" w:color="auto"/>
                <w:right w:val="none" w:sz="0" w:space="0" w:color="auto"/>
              </w:divBdr>
            </w:div>
          </w:divsChild>
        </w:div>
        <w:div w:id="220747554">
          <w:marLeft w:val="0"/>
          <w:marRight w:val="0"/>
          <w:marTop w:val="0"/>
          <w:marBottom w:val="0"/>
          <w:divBdr>
            <w:top w:val="none" w:sz="0" w:space="0" w:color="auto"/>
            <w:left w:val="none" w:sz="0" w:space="0" w:color="auto"/>
            <w:bottom w:val="none" w:sz="0" w:space="0" w:color="auto"/>
            <w:right w:val="none" w:sz="0" w:space="0" w:color="auto"/>
          </w:divBdr>
          <w:divsChild>
            <w:div w:id="162667152">
              <w:marLeft w:val="0"/>
              <w:marRight w:val="0"/>
              <w:marTop w:val="0"/>
              <w:marBottom w:val="0"/>
              <w:divBdr>
                <w:top w:val="none" w:sz="0" w:space="0" w:color="auto"/>
                <w:left w:val="none" w:sz="0" w:space="0" w:color="auto"/>
                <w:bottom w:val="none" w:sz="0" w:space="0" w:color="auto"/>
                <w:right w:val="none" w:sz="0" w:space="0" w:color="auto"/>
              </w:divBdr>
            </w:div>
          </w:divsChild>
        </w:div>
        <w:div w:id="257952398">
          <w:marLeft w:val="0"/>
          <w:marRight w:val="0"/>
          <w:marTop w:val="0"/>
          <w:marBottom w:val="0"/>
          <w:divBdr>
            <w:top w:val="none" w:sz="0" w:space="0" w:color="auto"/>
            <w:left w:val="none" w:sz="0" w:space="0" w:color="auto"/>
            <w:bottom w:val="none" w:sz="0" w:space="0" w:color="auto"/>
            <w:right w:val="none" w:sz="0" w:space="0" w:color="auto"/>
          </w:divBdr>
          <w:divsChild>
            <w:div w:id="551504985">
              <w:marLeft w:val="0"/>
              <w:marRight w:val="0"/>
              <w:marTop w:val="0"/>
              <w:marBottom w:val="0"/>
              <w:divBdr>
                <w:top w:val="none" w:sz="0" w:space="0" w:color="auto"/>
                <w:left w:val="none" w:sz="0" w:space="0" w:color="auto"/>
                <w:bottom w:val="none" w:sz="0" w:space="0" w:color="auto"/>
                <w:right w:val="none" w:sz="0" w:space="0" w:color="auto"/>
              </w:divBdr>
            </w:div>
          </w:divsChild>
        </w:div>
        <w:div w:id="268124261">
          <w:marLeft w:val="0"/>
          <w:marRight w:val="0"/>
          <w:marTop w:val="0"/>
          <w:marBottom w:val="0"/>
          <w:divBdr>
            <w:top w:val="none" w:sz="0" w:space="0" w:color="auto"/>
            <w:left w:val="none" w:sz="0" w:space="0" w:color="auto"/>
            <w:bottom w:val="none" w:sz="0" w:space="0" w:color="auto"/>
            <w:right w:val="none" w:sz="0" w:space="0" w:color="auto"/>
          </w:divBdr>
          <w:divsChild>
            <w:div w:id="547378459">
              <w:marLeft w:val="0"/>
              <w:marRight w:val="0"/>
              <w:marTop w:val="0"/>
              <w:marBottom w:val="0"/>
              <w:divBdr>
                <w:top w:val="none" w:sz="0" w:space="0" w:color="auto"/>
                <w:left w:val="none" w:sz="0" w:space="0" w:color="auto"/>
                <w:bottom w:val="none" w:sz="0" w:space="0" w:color="auto"/>
                <w:right w:val="none" w:sz="0" w:space="0" w:color="auto"/>
              </w:divBdr>
            </w:div>
          </w:divsChild>
        </w:div>
        <w:div w:id="279455992">
          <w:marLeft w:val="0"/>
          <w:marRight w:val="0"/>
          <w:marTop w:val="0"/>
          <w:marBottom w:val="0"/>
          <w:divBdr>
            <w:top w:val="none" w:sz="0" w:space="0" w:color="auto"/>
            <w:left w:val="none" w:sz="0" w:space="0" w:color="auto"/>
            <w:bottom w:val="none" w:sz="0" w:space="0" w:color="auto"/>
            <w:right w:val="none" w:sz="0" w:space="0" w:color="auto"/>
          </w:divBdr>
          <w:divsChild>
            <w:div w:id="1821119046">
              <w:marLeft w:val="0"/>
              <w:marRight w:val="0"/>
              <w:marTop w:val="0"/>
              <w:marBottom w:val="0"/>
              <w:divBdr>
                <w:top w:val="none" w:sz="0" w:space="0" w:color="auto"/>
                <w:left w:val="none" w:sz="0" w:space="0" w:color="auto"/>
                <w:bottom w:val="none" w:sz="0" w:space="0" w:color="auto"/>
                <w:right w:val="none" w:sz="0" w:space="0" w:color="auto"/>
              </w:divBdr>
            </w:div>
          </w:divsChild>
        </w:div>
        <w:div w:id="332726448">
          <w:marLeft w:val="0"/>
          <w:marRight w:val="0"/>
          <w:marTop w:val="0"/>
          <w:marBottom w:val="0"/>
          <w:divBdr>
            <w:top w:val="none" w:sz="0" w:space="0" w:color="auto"/>
            <w:left w:val="none" w:sz="0" w:space="0" w:color="auto"/>
            <w:bottom w:val="none" w:sz="0" w:space="0" w:color="auto"/>
            <w:right w:val="none" w:sz="0" w:space="0" w:color="auto"/>
          </w:divBdr>
          <w:divsChild>
            <w:div w:id="799882435">
              <w:marLeft w:val="0"/>
              <w:marRight w:val="0"/>
              <w:marTop w:val="0"/>
              <w:marBottom w:val="0"/>
              <w:divBdr>
                <w:top w:val="none" w:sz="0" w:space="0" w:color="auto"/>
                <w:left w:val="none" w:sz="0" w:space="0" w:color="auto"/>
                <w:bottom w:val="none" w:sz="0" w:space="0" w:color="auto"/>
                <w:right w:val="none" w:sz="0" w:space="0" w:color="auto"/>
              </w:divBdr>
            </w:div>
          </w:divsChild>
        </w:div>
        <w:div w:id="355355831">
          <w:marLeft w:val="0"/>
          <w:marRight w:val="0"/>
          <w:marTop w:val="0"/>
          <w:marBottom w:val="0"/>
          <w:divBdr>
            <w:top w:val="none" w:sz="0" w:space="0" w:color="auto"/>
            <w:left w:val="none" w:sz="0" w:space="0" w:color="auto"/>
            <w:bottom w:val="none" w:sz="0" w:space="0" w:color="auto"/>
            <w:right w:val="none" w:sz="0" w:space="0" w:color="auto"/>
          </w:divBdr>
          <w:divsChild>
            <w:div w:id="1377971731">
              <w:marLeft w:val="0"/>
              <w:marRight w:val="0"/>
              <w:marTop w:val="0"/>
              <w:marBottom w:val="0"/>
              <w:divBdr>
                <w:top w:val="none" w:sz="0" w:space="0" w:color="auto"/>
                <w:left w:val="none" w:sz="0" w:space="0" w:color="auto"/>
                <w:bottom w:val="none" w:sz="0" w:space="0" w:color="auto"/>
                <w:right w:val="none" w:sz="0" w:space="0" w:color="auto"/>
              </w:divBdr>
            </w:div>
          </w:divsChild>
        </w:div>
        <w:div w:id="369034747">
          <w:marLeft w:val="0"/>
          <w:marRight w:val="0"/>
          <w:marTop w:val="0"/>
          <w:marBottom w:val="0"/>
          <w:divBdr>
            <w:top w:val="none" w:sz="0" w:space="0" w:color="auto"/>
            <w:left w:val="none" w:sz="0" w:space="0" w:color="auto"/>
            <w:bottom w:val="none" w:sz="0" w:space="0" w:color="auto"/>
            <w:right w:val="none" w:sz="0" w:space="0" w:color="auto"/>
          </w:divBdr>
          <w:divsChild>
            <w:div w:id="425078748">
              <w:marLeft w:val="0"/>
              <w:marRight w:val="0"/>
              <w:marTop w:val="0"/>
              <w:marBottom w:val="0"/>
              <w:divBdr>
                <w:top w:val="none" w:sz="0" w:space="0" w:color="auto"/>
                <w:left w:val="none" w:sz="0" w:space="0" w:color="auto"/>
                <w:bottom w:val="none" w:sz="0" w:space="0" w:color="auto"/>
                <w:right w:val="none" w:sz="0" w:space="0" w:color="auto"/>
              </w:divBdr>
            </w:div>
          </w:divsChild>
        </w:div>
        <w:div w:id="400715431">
          <w:marLeft w:val="0"/>
          <w:marRight w:val="0"/>
          <w:marTop w:val="0"/>
          <w:marBottom w:val="0"/>
          <w:divBdr>
            <w:top w:val="none" w:sz="0" w:space="0" w:color="auto"/>
            <w:left w:val="none" w:sz="0" w:space="0" w:color="auto"/>
            <w:bottom w:val="none" w:sz="0" w:space="0" w:color="auto"/>
            <w:right w:val="none" w:sz="0" w:space="0" w:color="auto"/>
          </w:divBdr>
          <w:divsChild>
            <w:div w:id="1771007311">
              <w:marLeft w:val="0"/>
              <w:marRight w:val="0"/>
              <w:marTop w:val="0"/>
              <w:marBottom w:val="0"/>
              <w:divBdr>
                <w:top w:val="none" w:sz="0" w:space="0" w:color="auto"/>
                <w:left w:val="none" w:sz="0" w:space="0" w:color="auto"/>
                <w:bottom w:val="none" w:sz="0" w:space="0" w:color="auto"/>
                <w:right w:val="none" w:sz="0" w:space="0" w:color="auto"/>
              </w:divBdr>
            </w:div>
          </w:divsChild>
        </w:div>
        <w:div w:id="438523849">
          <w:marLeft w:val="0"/>
          <w:marRight w:val="0"/>
          <w:marTop w:val="0"/>
          <w:marBottom w:val="0"/>
          <w:divBdr>
            <w:top w:val="none" w:sz="0" w:space="0" w:color="auto"/>
            <w:left w:val="none" w:sz="0" w:space="0" w:color="auto"/>
            <w:bottom w:val="none" w:sz="0" w:space="0" w:color="auto"/>
            <w:right w:val="none" w:sz="0" w:space="0" w:color="auto"/>
          </w:divBdr>
          <w:divsChild>
            <w:div w:id="343481180">
              <w:marLeft w:val="0"/>
              <w:marRight w:val="0"/>
              <w:marTop w:val="0"/>
              <w:marBottom w:val="0"/>
              <w:divBdr>
                <w:top w:val="none" w:sz="0" w:space="0" w:color="auto"/>
                <w:left w:val="none" w:sz="0" w:space="0" w:color="auto"/>
                <w:bottom w:val="none" w:sz="0" w:space="0" w:color="auto"/>
                <w:right w:val="none" w:sz="0" w:space="0" w:color="auto"/>
              </w:divBdr>
            </w:div>
          </w:divsChild>
        </w:div>
        <w:div w:id="447939002">
          <w:marLeft w:val="0"/>
          <w:marRight w:val="0"/>
          <w:marTop w:val="0"/>
          <w:marBottom w:val="0"/>
          <w:divBdr>
            <w:top w:val="none" w:sz="0" w:space="0" w:color="auto"/>
            <w:left w:val="none" w:sz="0" w:space="0" w:color="auto"/>
            <w:bottom w:val="none" w:sz="0" w:space="0" w:color="auto"/>
            <w:right w:val="none" w:sz="0" w:space="0" w:color="auto"/>
          </w:divBdr>
          <w:divsChild>
            <w:div w:id="385378529">
              <w:marLeft w:val="0"/>
              <w:marRight w:val="0"/>
              <w:marTop w:val="0"/>
              <w:marBottom w:val="0"/>
              <w:divBdr>
                <w:top w:val="none" w:sz="0" w:space="0" w:color="auto"/>
                <w:left w:val="none" w:sz="0" w:space="0" w:color="auto"/>
                <w:bottom w:val="none" w:sz="0" w:space="0" w:color="auto"/>
                <w:right w:val="none" w:sz="0" w:space="0" w:color="auto"/>
              </w:divBdr>
            </w:div>
          </w:divsChild>
        </w:div>
        <w:div w:id="451024701">
          <w:marLeft w:val="0"/>
          <w:marRight w:val="0"/>
          <w:marTop w:val="0"/>
          <w:marBottom w:val="0"/>
          <w:divBdr>
            <w:top w:val="none" w:sz="0" w:space="0" w:color="auto"/>
            <w:left w:val="none" w:sz="0" w:space="0" w:color="auto"/>
            <w:bottom w:val="none" w:sz="0" w:space="0" w:color="auto"/>
            <w:right w:val="none" w:sz="0" w:space="0" w:color="auto"/>
          </w:divBdr>
          <w:divsChild>
            <w:div w:id="66348006">
              <w:marLeft w:val="0"/>
              <w:marRight w:val="0"/>
              <w:marTop w:val="0"/>
              <w:marBottom w:val="0"/>
              <w:divBdr>
                <w:top w:val="none" w:sz="0" w:space="0" w:color="auto"/>
                <w:left w:val="none" w:sz="0" w:space="0" w:color="auto"/>
                <w:bottom w:val="none" w:sz="0" w:space="0" w:color="auto"/>
                <w:right w:val="none" w:sz="0" w:space="0" w:color="auto"/>
              </w:divBdr>
            </w:div>
          </w:divsChild>
        </w:div>
        <w:div w:id="463352292">
          <w:marLeft w:val="0"/>
          <w:marRight w:val="0"/>
          <w:marTop w:val="0"/>
          <w:marBottom w:val="0"/>
          <w:divBdr>
            <w:top w:val="none" w:sz="0" w:space="0" w:color="auto"/>
            <w:left w:val="none" w:sz="0" w:space="0" w:color="auto"/>
            <w:bottom w:val="none" w:sz="0" w:space="0" w:color="auto"/>
            <w:right w:val="none" w:sz="0" w:space="0" w:color="auto"/>
          </w:divBdr>
          <w:divsChild>
            <w:div w:id="397944655">
              <w:marLeft w:val="0"/>
              <w:marRight w:val="0"/>
              <w:marTop w:val="0"/>
              <w:marBottom w:val="0"/>
              <w:divBdr>
                <w:top w:val="none" w:sz="0" w:space="0" w:color="auto"/>
                <w:left w:val="none" w:sz="0" w:space="0" w:color="auto"/>
                <w:bottom w:val="none" w:sz="0" w:space="0" w:color="auto"/>
                <w:right w:val="none" w:sz="0" w:space="0" w:color="auto"/>
              </w:divBdr>
            </w:div>
          </w:divsChild>
        </w:div>
        <w:div w:id="521285098">
          <w:marLeft w:val="0"/>
          <w:marRight w:val="0"/>
          <w:marTop w:val="0"/>
          <w:marBottom w:val="0"/>
          <w:divBdr>
            <w:top w:val="none" w:sz="0" w:space="0" w:color="auto"/>
            <w:left w:val="none" w:sz="0" w:space="0" w:color="auto"/>
            <w:bottom w:val="none" w:sz="0" w:space="0" w:color="auto"/>
            <w:right w:val="none" w:sz="0" w:space="0" w:color="auto"/>
          </w:divBdr>
          <w:divsChild>
            <w:div w:id="1360860509">
              <w:marLeft w:val="0"/>
              <w:marRight w:val="0"/>
              <w:marTop w:val="0"/>
              <w:marBottom w:val="0"/>
              <w:divBdr>
                <w:top w:val="none" w:sz="0" w:space="0" w:color="auto"/>
                <w:left w:val="none" w:sz="0" w:space="0" w:color="auto"/>
                <w:bottom w:val="none" w:sz="0" w:space="0" w:color="auto"/>
                <w:right w:val="none" w:sz="0" w:space="0" w:color="auto"/>
              </w:divBdr>
            </w:div>
          </w:divsChild>
        </w:div>
        <w:div w:id="567768273">
          <w:marLeft w:val="0"/>
          <w:marRight w:val="0"/>
          <w:marTop w:val="0"/>
          <w:marBottom w:val="0"/>
          <w:divBdr>
            <w:top w:val="none" w:sz="0" w:space="0" w:color="auto"/>
            <w:left w:val="none" w:sz="0" w:space="0" w:color="auto"/>
            <w:bottom w:val="none" w:sz="0" w:space="0" w:color="auto"/>
            <w:right w:val="none" w:sz="0" w:space="0" w:color="auto"/>
          </w:divBdr>
          <w:divsChild>
            <w:div w:id="962805488">
              <w:marLeft w:val="0"/>
              <w:marRight w:val="0"/>
              <w:marTop w:val="0"/>
              <w:marBottom w:val="0"/>
              <w:divBdr>
                <w:top w:val="none" w:sz="0" w:space="0" w:color="auto"/>
                <w:left w:val="none" w:sz="0" w:space="0" w:color="auto"/>
                <w:bottom w:val="none" w:sz="0" w:space="0" w:color="auto"/>
                <w:right w:val="none" w:sz="0" w:space="0" w:color="auto"/>
              </w:divBdr>
            </w:div>
          </w:divsChild>
        </w:div>
        <w:div w:id="570504041">
          <w:marLeft w:val="0"/>
          <w:marRight w:val="0"/>
          <w:marTop w:val="0"/>
          <w:marBottom w:val="0"/>
          <w:divBdr>
            <w:top w:val="none" w:sz="0" w:space="0" w:color="auto"/>
            <w:left w:val="none" w:sz="0" w:space="0" w:color="auto"/>
            <w:bottom w:val="none" w:sz="0" w:space="0" w:color="auto"/>
            <w:right w:val="none" w:sz="0" w:space="0" w:color="auto"/>
          </w:divBdr>
          <w:divsChild>
            <w:div w:id="1223251698">
              <w:marLeft w:val="0"/>
              <w:marRight w:val="0"/>
              <w:marTop w:val="0"/>
              <w:marBottom w:val="0"/>
              <w:divBdr>
                <w:top w:val="none" w:sz="0" w:space="0" w:color="auto"/>
                <w:left w:val="none" w:sz="0" w:space="0" w:color="auto"/>
                <w:bottom w:val="none" w:sz="0" w:space="0" w:color="auto"/>
                <w:right w:val="none" w:sz="0" w:space="0" w:color="auto"/>
              </w:divBdr>
            </w:div>
          </w:divsChild>
        </w:div>
        <w:div w:id="598607871">
          <w:marLeft w:val="0"/>
          <w:marRight w:val="0"/>
          <w:marTop w:val="0"/>
          <w:marBottom w:val="0"/>
          <w:divBdr>
            <w:top w:val="none" w:sz="0" w:space="0" w:color="auto"/>
            <w:left w:val="none" w:sz="0" w:space="0" w:color="auto"/>
            <w:bottom w:val="none" w:sz="0" w:space="0" w:color="auto"/>
            <w:right w:val="none" w:sz="0" w:space="0" w:color="auto"/>
          </w:divBdr>
          <w:divsChild>
            <w:div w:id="930744201">
              <w:marLeft w:val="0"/>
              <w:marRight w:val="0"/>
              <w:marTop w:val="0"/>
              <w:marBottom w:val="0"/>
              <w:divBdr>
                <w:top w:val="none" w:sz="0" w:space="0" w:color="auto"/>
                <w:left w:val="none" w:sz="0" w:space="0" w:color="auto"/>
                <w:bottom w:val="none" w:sz="0" w:space="0" w:color="auto"/>
                <w:right w:val="none" w:sz="0" w:space="0" w:color="auto"/>
              </w:divBdr>
            </w:div>
          </w:divsChild>
        </w:div>
        <w:div w:id="620451875">
          <w:marLeft w:val="0"/>
          <w:marRight w:val="0"/>
          <w:marTop w:val="0"/>
          <w:marBottom w:val="0"/>
          <w:divBdr>
            <w:top w:val="none" w:sz="0" w:space="0" w:color="auto"/>
            <w:left w:val="none" w:sz="0" w:space="0" w:color="auto"/>
            <w:bottom w:val="none" w:sz="0" w:space="0" w:color="auto"/>
            <w:right w:val="none" w:sz="0" w:space="0" w:color="auto"/>
          </w:divBdr>
          <w:divsChild>
            <w:div w:id="1509370040">
              <w:marLeft w:val="0"/>
              <w:marRight w:val="0"/>
              <w:marTop w:val="0"/>
              <w:marBottom w:val="0"/>
              <w:divBdr>
                <w:top w:val="none" w:sz="0" w:space="0" w:color="auto"/>
                <w:left w:val="none" w:sz="0" w:space="0" w:color="auto"/>
                <w:bottom w:val="none" w:sz="0" w:space="0" w:color="auto"/>
                <w:right w:val="none" w:sz="0" w:space="0" w:color="auto"/>
              </w:divBdr>
            </w:div>
          </w:divsChild>
        </w:div>
        <w:div w:id="658192747">
          <w:marLeft w:val="0"/>
          <w:marRight w:val="0"/>
          <w:marTop w:val="0"/>
          <w:marBottom w:val="0"/>
          <w:divBdr>
            <w:top w:val="none" w:sz="0" w:space="0" w:color="auto"/>
            <w:left w:val="none" w:sz="0" w:space="0" w:color="auto"/>
            <w:bottom w:val="none" w:sz="0" w:space="0" w:color="auto"/>
            <w:right w:val="none" w:sz="0" w:space="0" w:color="auto"/>
          </w:divBdr>
          <w:divsChild>
            <w:div w:id="265576402">
              <w:marLeft w:val="0"/>
              <w:marRight w:val="0"/>
              <w:marTop w:val="0"/>
              <w:marBottom w:val="0"/>
              <w:divBdr>
                <w:top w:val="none" w:sz="0" w:space="0" w:color="auto"/>
                <w:left w:val="none" w:sz="0" w:space="0" w:color="auto"/>
                <w:bottom w:val="none" w:sz="0" w:space="0" w:color="auto"/>
                <w:right w:val="none" w:sz="0" w:space="0" w:color="auto"/>
              </w:divBdr>
            </w:div>
          </w:divsChild>
        </w:div>
        <w:div w:id="675425880">
          <w:marLeft w:val="0"/>
          <w:marRight w:val="0"/>
          <w:marTop w:val="0"/>
          <w:marBottom w:val="0"/>
          <w:divBdr>
            <w:top w:val="none" w:sz="0" w:space="0" w:color="auto"/>
            <w:left w:val="none" w:sz="0" w:space="0" w:color="auto"/>
            <w:bottom w:val="none" w:sz="0" w:space="0" w:color="auto"/>
            <w:right w:val="none" w:sz="0" w:space="0" w:color="auto"/>
          </w:divBdr>
          <w:divsChild>
            <w:div w:id="1963681540">
              <w:marLeft w:val="0"/>
              <w:marRight w:val="0"/>
              <w:marTop w:val="0"/>
              <w:marBottom w:val="0"/>
              <w:divBdr>
                <w:top w:val="none" w:sz="0" w:space="0" w:color="auto"/>
                <w:left w:val="none" w:sz="0" w:space="0" w:color="auto"/>
                <w:bottom w:val="none" w:sz="0" w:space="0" w:color="auto"/>
                <w:right w:val="none" w:sz="0" w:space="0" w:color="auto"/>
              </w:divBdr>
            </w:div>
          </w:divsChild>
        </w:div>
        <w:div w:id="696782926">
          <w:marLeft w:val="0"/>
          <w:marRight w:val="0"/>
          <w:marTop w:val="0"/>
          <w:marBottom w:val="0"/>
          <w:divBdr>
            <w:top w:val="none" w:sz="0" w:space="0" w:color="auto"/>
            <w:left w:val="none" w:sz="0" w:space="0" w:color="auto"/>
            <w:bottom w:val="none" w:sz="0" w:space="0" w:color="auto"/>
            <w:right w:val="none" w:sz="0" w:space="0" w:color="auto"/>
          </w:divBdr>
          <w:divsChild>
            <w:div w:id="1164469336">
              <w:marLeft w:val="0"/>
              <w:marRight w:val="0"/>
              <w:marTop w:val="0"/>
              <w:marBottom w:val="0"/>
              <w:divBdr>
                <w:top w:val="none" w:sz="0" w:space="0" w:color="auto"/>
                <w:left w:val="none" w:sz="0" w:space="0" w:color="auto"/>
                <w:bottom w:val="none" w:sz="0" w:space="0" w:color="auto"/>
                <w:right w:val="none" w:sz="0" w:space="0" w:color="auto"/>
              </w:divBdr>
            </w:div>
          </w:divsChild>
        </w:div>
        <w:div w:id="720128780">
          <w:marLeft w:val="0"/>
          <w:marRight w:val="0"/>
          <w:marTop w:val="0"/>
          <w:marBottom w:val="0"/>
          <w:divBdr>
            <w:top w:val="none" w:sz="0" w:space="0" w:color="auto"/>
            <w:left w:val="none" w:sz="0" w:space="0" w:color="auto"/>
            <w:bottom w:val="none" w:sz="0" w:space="0" w:color="auto"/>
            <w:right w:val="none" w:sz="0" w:space="0" w:color="auto"/>
          </w:divBdr>
          <w:divsChild>
            <w:div w:id="1017542258">
              <w:marLeft w:val="0"/>
              <w:marRight w:val="0"/>
              <w:marTop w:val="0"/>
              <w:marBottom w:val="0"/>
              <w:divBdr>
                <w:top w:val="none" w:sz="0" w:space="0" w:color="auto"/>
                <w:left w:val="none" w:sz="0" w:space="0" w:color="auto"/>
                <w:bottom w:val="none" w:sz="0" w:space="0" w:color="auto"/>
                <w:right w:val="none" w:sz="0" w:space="0" w:color="auto"/>
              </w:divBdr>
            </w:div>
          </w:divsChild>
        </w:div>
        <w:div w:id="720835220">
          <w:marLeft w:val="0"/>
          <w:marRight w:val="0"/>
          <w:marTop w:val="0"/>
          <w:marBottom w:val="0"/>
          <w:divBdr>
            <w:top w:val="none" w:sz="0" w:space="0" w:color="auto"/>
            <w:left w:val="none" w:sz="0" w:space="0" w:color="auto"/>
            <w:bottom w:val="none" w:sz="0" w:space="0" w:color="auto"/>
            <w:right w:val="none" w:sz="0" w:space="0" w:color="auto"/>
          </w:divBdr>
          <w:divsChild>
            <w:div w:id="360741270">
              <w:marLeft w:val="0"/>
              <w:marRight w:val="0"/>
              <w:marTop w:val="0"/>
              <w:marBottom w:val="0"/>
              <w:divBdr>
                <w:top w:val="none" w:sz="0" w:space="0" w:color="auto"/>
                <w:left w:val="none" w:sz="0" w:space="0" w:color="auto"/>
                <w:bottom w:val="none" w:sz="0" w:space="0" w:color="auto"/>
                <w:right w:val="none" w:sz="0" w:space="0" w:color="auto"/>
              </w:divBdr>
            </w:div>
          </w:divsChild>
        </w:div>
        <w:div w:id="746146960">
          <w:marLeft w:val="0"/>
          <w:marRight w:val="0"/>
          <w:marTop w:val="0"/>
          <w:marBottom w:val="0"/>
          <w:divBdr>
            <w:top w:val="none" w:sz="0" w:space="0" w:color="auto"/>
            <w:left w:val="none" w:sz="0" w:space="0" w:color="auto"/>
            <w:bottom w:val="none" w:sz="0" w:space="0" w:color="auto"/>
            <w:right w:val="none" w:sz="0" w:space="0" w:color="auto"/>
          </w:divBdr>
          <w:divsChild>
            <w:div w:id="1954555190">
              <w:marLeft w:val="0"/>
              <w:marRight w:val="0"/>
              <w:marTop w:val="0"/>
              <w:marBottom w:val="0"/>
              <w:divBdr>
                <w:top w:val="none" w:sz="0" w:space="0" w:color="auto"/>
                <w:left w:val="none" w:sz="0" w:space="0" w:color="auto"/>
                <w:bottom w:val="none" w:sz="0" w:space="0" w:color="auto"/>
                <w:right w:val="none" w:sz="0" w:space="0" w:color="auto"/>
              </w:divBdr>
            </w:div>
          </w:divsChild>
        </w:div>
        <w:div w:id="780950690">
          <w:marLeft w:val="0"/>
          <w:marRight w:val="0"/>
          <w:marTop w:val="0"/>
          <w:marBottom w:val="0"/>
          <w:divBdr>
            <w:top w:val="none" w:sz="0" w:space="0" w:color="auto"/>
            <w:left w:val="none" w:sz="0" w:space="0" w:color="auto"/>
            <w:bottom w:val="none" w:sz="0" w:space="0" w:color="auto"/>
            <w:right w:val="none" w:sz="0" w:space="0" w:color="auto"/>
          </w:divBdr>
          <w:divsChild>
            <w:div w:id="616564814">
              <w:marLeft w:val="0"/>
              <w:marRight w:val="0"/>
              <w:marTop w:val="0"/>
              <w:marBottom w:val="0"/>
              <w:divBdr>
                <w:top w:val="none" w:sz="0" w:space="0" w:color="auto"/>
                <w:left w:val="none" w:sz="0" w:space="0" w:color="auto"/>
                <w:bottom w:val="none" w:sz="0" w:space="0" w:color="auto"/>
                <w:right w:val="none" w:sz="0" w:space="0" w:color="auto"/>
              </w:divBdr>
            </w:div>
          </w:divsChild>
        </w:div>
        <w:div w:id="840504766">
          <w:marLeft w:val="0"/>
          <w:marRight w:val="0"/>
          <w:marTop w:val="0"/>
          <w:marBottom w:val="0"/>
          <w:divBdr>
            <w:top w:val="none" w:sz="0" w:space="0" w:color="auto"/>
            <w:left w:val="none" w:sz="0" w:space="0" w:color="auto"/>
            <w:bottom w:val="none" w:sz="0" w:space="0" w:color="auto"/>
            <w:right w:val="none" w:sz="0" w:space="0" w:color="auto"/>
          </w:divBdr>
          <w:divsChild>
            <w:div w:id="553734298">
              <w:marLeft w:val="0"/>
              <w:marRight w:val="0"/>
              <w:marTop w:val="0"/>
              <w:marBottom w:val="0"/>
              <w:divBdr>
                <w:top w:val="none" w:sz="0" w:space="0" w:color="auto"/>
                <w:left w:val="none" w:sz="0" w:space="0" w:color="auto"/>
                <w:bottom w:val="none" w:sz="0" w:space="0" w:color="auto"/>
                <w:right w:val="none" w:sz="0" w:space="0" w:color="auto"/>
              </w:divBdr>
            </w:div>
          </w:divsChild>
        </w:div>
        <w:div w:id="928391052">
          <w:marLeft w:val="0"/>
          <w:marRight w:val="0"/>
          <w:marTop w:val="0"/>
          <w:marBottom w:val="0"/>
          <w:divBdr>
            <w:top w:val="none" w:sz="0" w:space="0" w:color="auto"/>
            <w:left w:val="none" w:sz="0" w:space="0" w:color="auto"/>
            <w:bottom w:val="none" w:sz="0" w:space="0" w:color="auto"/>
            <w:right w:val="none" w:sz="0" w:space="0" w:color="auto"/>
          </w:divBdr>
          <w:divsChild>
            <w:div w:id="2022856962">
              <w:marLeft w:val="0"/>
              <w:marRight w:val="0"/>
              <w:marTop w:val="0"/>
              <w:marBottom w:val="0"/>
              <w:divBdr>
                <w:top w:val="none" w:sz="0" w:space="0" w:color="auto"/>
                <w:left w:val="none" w:sz="0" w:space="0" w:color="auto"/>
                <w:bottom w:val="none" w:sz="0" w:space="0" w:color="auto"/>
                <w:right w:val="none" w:sz="0" w:space="0" w:color="auto"/>
              </w:divBdr>
            </w:div>
          </w:divsChild>
        </w:div>
        <w:div w:id="948394276">
          <w:marLeft w:val="0"/>
          <w:marRight w:val="0"/>
          <w:marTop w:val="0"/>
          <w:marBottom w:val="0"/>
          <w:divBdr>
            <w:top w:val="none" w:sz="0" w:space="0" w:color="auto"/>
            <w:left w:val="none" w:sz="0" w:space="0" w:color="auto"/>
            <w:bottom w:val="none" w:sz="0" w:space="0" w:color="auto"/>
            <w:right w:val="none" w:sz="0" w:space="0" w:color="auto"/>
          </w:divBdr>
          <w:divsChild>
            <w:div w:id="866648406">
              <w:marLeft w:val="0"/>
              <w:marRight w:val="0"/>
              <w:marTop w:val="0"/>
              <w:marBottom w:val="0"/>
              <w:divBdr>
                <w:top w:val="none" w:sz="0" w:space="0" w:color="auto"/>
                <w:left w:val="none" w:sz="0" w:space="0" w:color="auto"/>
                <w:bottom w:val="none" w:sz="0" w:space="0" w:color="auto"/>
                <w:right w:val="none" w:sz="0" w:space="0" w:color="auto"/>
              </w:divBdr>
            </w:div>
          </w:divsChild>
        </w:div>
        <w:div w:id="967970579">
          <w:marLeft w:val="0"/>
          <w:marRight w:val="0"/>
          <w:marTop w:val="0"/>
          <w:marBottom w:val="0"/>
          <w:divBdr>
            <w:top w:val="none" w:sz="0" w:space="0" w:color="auto"/>
            <w:left w:val="none" w:sz="0" w:space="0" w:color="auto"/>
            <w:bottom w:val="none" w:sz="0" w:space="0" w:color="auto"/>
            <w:right w:val="none" w:sz="0" w:space="0" w:color="auto"/>
          </w:divBdr>
          <w:divsChild>
            <w:div w:id="769467990">
              <w:marLeft w:val="0"/>
              <w:marRight w:val="0"/>
              <w:marTop w:val="0"/>
              <w:marBottom w:val="0"/>
              <w:divBdr>
                <w:top w:val="none" w:sz="0" w:space="0" w:color="auto"/>
                <w:left w:val="none" w:sz="0" w:space="0" w:color="auto"/>
                <w:bottom w:val="none" w:sz="0" w:space="0" w:color="auto"/>
                <w:right w:val="none" w:sz="0" w:space="0" w:color="auto"/>
              </w:divBdr>
            </w:div>
          </w:divsChild>
        </w:div>
        <w:div w:id="968559834">
          <w:marLeft w:val="0"/>
          <w:marRight w:val="0"/>
          <w:marTop w:val="0"/>
          <w:marBottom w:val="0"/>
          <w:divBdr>
            <w:top w:val="none" w:sz="0" w:space="0" w:color="auto"/>
            <w:left w:val="none" w:sz="0" w:space="0" w:color="auto"/>
            <w:bottom w:val="none" w:sz="0" w:space="0" w:color="auto"/>
            <w:right w:val="none" w:sz="0" w:space="0" w:color="auto"/>
          </w:divBdr>
          <w:divsChild>
            <w:div w:id="1499998873">
              <w:marLeft w:val="0"/>
              <w:marRight w:val="0"/>
              <w:marTop w:val="0"/>
              <w:marBottom w:val="0"/>
              <w:divBdr>
                <w:top w:val="none" w:sz="0" w:space="0" w:color="auto"/>
                <w:left w:val="none" w:sz="0" w:space="0" w:color="auto"/>
                <w:bottom w:val="none" w:sz="0" w:space="0" w:color="auto"/>
                <w:right w:val="none" w:sz="0" w:space="0" w:color="auto"/>
              </w:divBdr>
            </w:div>
          </w:divsChild>
        </w:div>
        <w:div w:id="1035084068">
          <w:marLeft w:val="0"/>
          <w:marRight w:val="0"/>
          <w:marTop w:val="0"/>
          <w:marBottom w:val="0"/>
          <w:divBdr>
            <w:top w:val="none" w:sz="0" w:space="0" w:color="auto"/>
            <w:left w:val="none" w:sz="0" w:space="0" w:color="auto"/>
            <w:bottom w:val="none" w:sz="0" w:space="0" w:color="auto"/>
            <w:right w:val="none" w:sz="0" w:space="0" w:color="auto"/>
          </w:divBdr>
          <w:divsChild>
            <w:div w:id="4981929">
              <w:marLeft w:val="0"/>
              <w:marRight w:val="0"/>
              <w:marTop w:val="0"/>
              <w:marBottom w:val="0"/>
              <w:divBdr>
                <w:top w:val="none" w:sz="0" w:space="0" w:color="auto"/>
                <w:left w:val="none" w:sz="0" w:space="0" w:color="auto"/>
                <w:bottom w:val="none" w:sz="0" w:space="0" w:color="auto"/>
                <w:right w:val="none" w:sz="0" w:space="0" w:color="auto"/>
              </w:divBdr>
            </w:div>
          </w:divsChild>
        </w:div>
        <w:div w:id="1039625838">
          <w:marLeft w:val="0"/>
          <w:marRight w:val="0"/>
          <w:marTop w:val="0"/>
          <w:marBottom w:val="0"/>
          <w:divBdr>
            <w:top w:val="none" w:sz="0" w:space="0" w:color="auto"/>
            <w:left w:val="none" w:sz="0" w:space="0" w:color="auto"/>
            <w:bottom w:val="none" w:sz="0" w:space="0" w:color="auto"/>
            <w:right w:val="none" w:sz="0" w:space="0" w:color="auto"/>
          </w:divBdr>
          <w:divsChild>
            <w:div w:id="430469620">
              <w:marLeft w:val="0"/>
              <w:marRight w:val="0"/>
              <w:marTop w:val="0"/>
              <w:marBottom w:val="0"/>
              <w:divBdr>
                <w:top w:val="none" w:sz="0" w:space="0" w:color="auto"/>
                <w:left w:val="none" w:sz="0" w:space="0" w:color="auto"/>
                <w:bottom w:val="none" w:sz="0" w:space="0" w:color="auto"/>
                <w:right w:val="none" w:sz="0" w:space="0" w:color="auto"/>
              </w:divBdr>
            </w:div>
          </w:divsChild>
        </w:div>
        <w:div w:id="1047724663">
          <w:marLeft w:val="0"/>
          <w:marRight w:val="0"/>
          <w:marTop w:val="0"/>
          <w:marBottom w:val="0"/>
          <w:divBdr>
            <w:top w:val="none" w:sz="0" w:space="0" w:color="auto"/>
            <w:left w:val="none" w:sz="0" w:space="0" w:color="auto"/>
            <w:bottom w:val="none" w:sz="0" w:space="0" w:color="auto"/>
            <w:right w:val="none" w:sz="0" w:space="0" w:color="auto"/>
          </w:divBdr>
          <w:divsChild>
            <w:div w:id="403723919">
              <w:marLeft w:val="0"/>
              <w:marRight w:val="0"/>
              <w:marTop w:val="0"/>
              <w:marBottom w:val="0"/>
              <w:divBdr>
                <w:top w:val="none" w:sz="0" w:space="0" w:color="auto"/>
                <w:left w:val="none" w:sz="0" w:space="0" w:color="auto"/>
                <w:bottom w:val="none" w:sz="0" w:space="0" w:color="auto"/>
                <w:right w:val="none" w:sz="0" w:space="0" w:color="auto"/>
              </w:divBdr>
            </w:div>
          </w:divsChild>
        </w:div>
        <w:div w:id="1072700382">
          <w:marLeft w:val="0"/>
          <w:marRight w:val="0"/>
          <w:marTop w:val="0"/>
          <w:marBottom w:val="0"/>
          <w:divBdr>
            <w:top w:val="none" w:sz="0" w:space="0" w:color="auto"/>
            <w:left w:val="none" w:sz="0" w:space="0" w:color="auto"/>
            <w:bottom w:val="none" w:sz="0" w:space="0" w:color="auto"/>
            <w:right w:val="none" w:sz="0" w:space="0" w:color="auto"/>
          </w:divBdr>
          <w:divsChild>
            <w:div w:id="1744915840">
              <w:marLeft w:val="0"/>
              <w:marRight w:val="0"/>
              <w:marTop w:val="0"/>
              <w:marBottom w:val="0"/>
              <w:divBdr>
                <w:top w:val="none" w:sz="0" w:space="0" w:color="auto"/>
                <w:left w:val="none" w:sz="0" w:space="0" w:color="auto"/>
                <w:bottom w:val="none" w:sz="0" w:space="0" w:color="auto"/>
                <w:right w:val="none" w:sz="0" w:space="0" w:color="auto"/>
              </w:divBdr>
            </w:div>
          </w:divsChild>
        </w:div>
        <w:div w:id="1092816086">
          <w:marLeft w:val="0"/>
          <w:marRight w:val="0"/>
          <w:marTop w:val="0"/>
          <w:marBottom w:val="0"/>
          <w:divBdr>
            <w:top w:val="none" w:sz="0" w:space="0" w:color="auto"/>
            <w:left w:val="none" w:sz="0" w:space="0" w:color="auto"/>
            <w:bottom w:val="none" w:sz="0" w:space="0" w:color="auto"/>
            <w:right w:val="none" w:sz="0" w:space="0" w:color="auto"/>
          </w:divBdr>
          <w:divsChild>
            <w:div w:id="1622418189">
              <w:marLeft w:val="0"/>
              <w:marRight w:val="0"/>
              <w:marTop w:val="0"/>
              <w:marBottom w:val="0"/>
              <w:divBdr>
                <w:top w:val="none" w:sz="0" w:space="0" w:color="auto"/>
                <w:left w:val="none" w:sz="0" w:space="0" w:color="auto"/>
                <w:bottom w:val="none" w:sz="0" w:space="0" w:color="auto"/>
                <w:right w:val="none" w:sz="0" w:space="0" w:color="auto"/>
              </w:divBdr>
            </w:div>
          </w:divsChild>
        </w:div>
        <w:div w:id="1175148276">
          <w:marLeft w:val="0"/>
          <w:marRight w:val="0"/>
          <w:marTop w:val="0"/>
          <w:marBottom w:val="0"/>
          <w:divBdr>
            <w:top w:val="none" w:sz="0" w:space="0" w:color="auto"/>
            <w:left w:val="none" w:sz="0" w:space="0" w:color="auto"/>
            <w:bottom w:val="none" w:sz="0" w:space="0" w:color="auto"/>
            <w:right w:val="none" w:sz="0" w:space="0" w:color="auto"/>
          </w:divBdr>
          <w:divsChild>
            <w:div w:id="1509441402">
              <w:marLeft w:val="0"/>
              <w:marRight w:val="0"/>
              <w:marTop w:val="0"/>
              <w:marBottom w:val="0"/>
              <w:divBdr>
                <w:top w:val="none" w:sz="0" w:space="0" w:color="auto"/>
                <w:left w:val="none" w:sz="0" w:space="0" w:color="auto"/>
                <w:bottom w:val="none" w:sz="0" w:space="0" w:color="auto"/>
                <w:right w:val="none" w:sz="0" w:space="0" w:color="auto"/>
              </w:divBdr>
            </w:div>
          </w:divsChild>
        </w:div>
        <w:div w:id="1207373293">
          <w:marLeft w:val="0"/>
          <w:marRight w:val="0"/>
          <w:marTop w:val="0"/>
          <w:marBottom w:val="0"/>
          <w:divBdr>
            <w:top w:val="none" w:sz="0" w:space="0" w:color="auto"/>
            <w:left w:val="none" w:sz="0" w:space="0" w:color="auto"/>
            <w:bottom w:val="none" w:sz="0" w:space="0" w:color="auto"/>
            <w:right w:val="none" w:sz="0" w:space="0" w:color="auto"/>
          </w:divBdr>
          <w:divsChild>
            <w:div w:id="1854951521">
              <w:marLeft w:val="0"/>
              <w:marRight w:val="0"/>
              <w:marTop w:val="0"/>
              <w:marBottom w:val="0"/>
              <w:divBdr>
                <w:top w:val="none" w:sz="0" w:space="0" w:color="auto"/>
                <w:left w:val="none" w:sz="0" w:space="0" w:color="auto"/>
                <w:bottom w:val="none" w:sz="0" w:space="0" w:color="auto"/>
                <w:right w:val="none" w:sz="0" w:space="0" w:color="auto"/>
              </w:divBdr>
            </w:div>
          </w:divsChild>
        </w:div>
        <w:div w:id="1244144677">
          <w:marLeft w:val="0"/>
          <w:marRight w:val="0"/>
          <w:marTop w:val="0"/>
          <w:marBottom w:val="0"/>
          <w:divBdr>
            <w:top w:val="none" w:sz="0" w:space="0" w:color="auto"/>
            <w:left w:val="none" w:sz="0" w:space="0" w:color="auto"/>
            <w:bottom w:val="none" w:sz="0" w:space="0" w:color="auto"/>
            <w:right w:val="none" w:sz="0" w:space="0" w:color="auto"/>
          </w:divBdr>
          <w:divsChild>
            <w:div w:id="611019035">
              <w:marLeft w:val="0"/>
              <w:marRight w:val="0"/>
              <w:marTop w:val="0"/>
              <w:marBottom w:val="0"/>
              <w:divBdr>
                <w:top w:val="none" w:sz="0" w:space="0" w:color="auto"/>
                <w:left w:val="none" w:sz="0" w:space="0" w:color="auto"/>
                <w:bottom w:val="none" w:sz="0" w:space="0" w:color="auto"/>
                <w:right w:val="none" w:sz="0" w:space="0" w:color="auto"/>
              </w:divBdr>
            </w:div>
          </w:divsChild>
        </w:div>
        <w:div w:id="1264535101">
          <w:marLeft w:val="0"/>
          <w:marRight w:val="0"/>
          <w:marTop w:val="0"/>
          <w:marBottom w:val="0"/>
          <w:divBdr>
            <w:top w:val="none" w:sz="0" w:space="0" w:color="auto"/>
            <w:left w:val="none" w:sz="0" w:space="0" w:color="auto"/>
            <w:bottom w:val="none" w:sz="0" w:space="0" w:color="auto"/>
            <w:right w:val="none" w:sz="0" w:space="0" w:color="auto"/>
          </w:divBdr>
          <w:divsChild>
            <w:div w:id="825785498">
              <w:marLeft w:val="0"/>
              <w:marRight w:val="0"/>
              <w:marTop w:val="0"/>
              <w:marBottom w:val="0"/>
              <w:divBdr>
                <w:top w:val="none" w:sz="0" w:space="0" w:color="auto"/>
                <w:left w:val="none" w:sz="0" w:space="0" w:color="auto"/>
                <w:bottom w:val="none" w:sz="0" w:space="0" w:color="auto"/>
                <w:right w:val="none" w:sz="0" w:space="0" w:color="auto"/>
              </w:divBdr>
            </w:div>
          </w:divsChild>
        </w:div>
        <w:div w:id="1300573801">
          <w:marLeft w:val="0"/>
          <w:marRight w:val="0"/>
          <w:marTop w:val="0"/>
          <w:marBottom w:val="0"/>
          <w:divBdr>
            <w:top w:val="none" w:sz="0" w:space="0" w:color="auto"/>
            <w:left w:val="none" w:sz="0" w:space="0" w:color="auto"/>
            <w:bottom w:val="none" w:sz="0" w:space="0" w:color="auto"/>
            <w:right w:val="none" w:sz="0" w:space="0" w:color="auto"/>
          </w:divBdr>
          <w:divsChild>
            <w:div w:id="340935089">
              <w:marLeft w:val="0"/>
              <w:marRight w:val="0"/>
              <w:marTop w:val="0"/>
              <w:marBottom w:val="0"/>
              <w:divBdr>
                <w:top w:val="none" w:sz="0" w:space="0" w:color="auto"/>
                <w:left w:val="none" w:sz="0" w:space="0" w:color="auto"/>
                <w:bottom w:val="none" w:sz="0" w:space="0" w:color="auto"/>
                <w:right w:val="none" w:sz="0" w:space="0" w:color="auto"/>
              </w:divBdr>
            </w:div>
          </w:divsChild>
        </w:div>
        <w:div w:id="1351296199">
          <w:marLeft w:val="0"/>
          <w:marRight w:val="0"/>
          <w:marTop w:val="0"/>
          <w:marBottom w:val="0"/>
          <w:divBdr>
            <w:top w:val="none" w:sz="0" w:space="0" w:color="auto"/>
            <w:left w:val="none" w:sz="0" w:space="0" w:color="auto"/>
            <w:bottom w:val="none" w:sz="0" w:space="0" w:color="auto"/>
            <w:right w:val="none" w:sz="0" w:space="0" w:color="auto"/>
          </w:divBdr>
          <w:divsChild>
            <w:div w:id="2025132889">
              <w:marLeft w:val="0"/>
              <w:marRight w:val="0"/>
              <w:marTop w:val="0"/>
              <w:marBottom w:val="0"/>
              <w:divBdr>
                <w:top w:val="none" w:sz="0" w:space="0" w:color="auto"/>
                <w:left w:val="none" w:sz="0" w:space="0" w:color="auto"/>
                <w:bottom w:val="none" w:sz="0" w:space="0" w:color="auto"/>
                <w:right w:val="none" w:sz="0" w:space="0" w:color="auto"/>
              </w:divBdr>
            </w:div>
          </w:divsChild>
        </w:div>
        <w:div w:id="1353262832">
          <w:marLeft w:val="0"/>
          <w:marRight w:val="0"/>
          <w:marTop w:val="0"/>
          <w:marBottom w:val="0"/>
          <w:divBdr>
            <w:top w:val="none" w:sz="0" w:space="0" w:color="auto"/>
            <w:left w:val="none" w:sz="0" w:space="0" w:color="auto"/>
            <w:bottom w:val="none" w:sz="0" w:space="0" w:color="auto"/>
            <w:right w:val="none" w:sz="0" w:space="0" w:color="auto"/>
          </w:divBdr>
          <w:divsChild>
            <w:div w:id="1624650781">
              <w:marLeft w:val="0"/>
              <w:marRight w:val="0"/>
              <w:marTop w:val="0"/>
              <w:marBottom w:val="0"/>
              <w:divBdr>
                <w:top w:val="none" w:sz="0" w:space="0" w:color="auto"/>
                <w:left w:val="none" w:sz="0" w:space="0" w:color="auto"/>
                <w:bottom w:val="none" w:sz="0" w:space="0" w:color="auto"/>
                <w:right w:val="none" w:sz="0" w:space="0" w:color="auto"/>
              </w:divBdr>
            </w:div>
          </w:divsChild>
        </w:div>
        <w:div w:id="1357387951">
          <w:marLeft w:val="0"/>
          <w:marRight w:val="0"/>
          <w:marTop w:val="0"/>
          <w:marBottom w:val="0"/>
          <w:divBdr>
            <w:top w:val="none" w:sz="0" w:space="0" w:color="auto"/>
            <w:left w:val="none" w:sz="0" w:space="0" w:color="auto"/>
            <w:bottom w:val="none" w:sz="0" w:space="0" w:color="auto"/>
            <w:right w:val="none" w:sz="0" w:space="0" w:color="auto"/>
          </w:divBdr>
          <w:divsChild>
            <w:div w:id="1620838970">
              <w:marLeft w:val="0"/>
              <w:marRight w:val="0"/>
              <w:marTop w:val="0"/>
              <w:marBottom w:val="0"/>
              <w:divBdr>
                <w:top w:val="none" w:sz="0" w:space="0" w:color="auto"/>
                <w:left w:val="none" w:sz="0" w:space="0" w:color="auto"/>
                <w:bottom w:val="none" w:sz="0" w:space="0" w:color="auto"/>
                <w:right w:val="none" w:sz="0" w:space="0" w:color="auto"/>
              </w:divBdr>
            </w:div>
          </w:divsChild>
        </w:div>
        <w:div w:id="1382362898">
          <w:marLeft w:val="0"/>
          <w:marRight w:val="0"/>
          <w:marTop w:val="0"/>
          <w:marBottom w:val="0"/>
          <w:divBdr>
            <w:top w:val="none" w:sz="0" w:space="0" w:color="auto"/>
            <w:left w:val="none" w:sz="0" w:space="0" w:color="auto"/>
            <w:bottom w:val="none" w:sz="0" w:space="0" w:color="auto"/>
            <w:right w:val="none" w:sz="0" w:space="0" w:color="auto"/>
          </w:divBdr>
          <w:divsChild>
            <w:div w:id="2128114488">
              <w:marLeft w:val="0"/>
              <w:marRight w:val="0"/>
              <w:marTop w:val="0"/>
              <w:marBottom w:val="0"/>
              <w:divBdr>
                <w:top w:val="none" w:sz="0" w:space="0" w:color="auto"/>
                <w:left w:val="none" w:sz="0" w:space="0" w:color="auto"/>
                <w:bottom w:val="none" w:sz="0" w:space="0" w:color="auto"/>
                <w:right w:val="none" w:sz="0" w:space="0" w:color="auto"/>
              </w:divBdr>
            </w:div>
          </w:divsChild>
        </w:div>
        <w:div w:id="1384594230">
          <w:marLeft w:val="0"/>
          <w:marRight w:val="0"/>
          <w:marTop w:val="0"/>
          <w:marBottom w:val="0"/>
          <w:divBdr>
            <w:top w:val="none" w:sz="0" w:space="0" w:color="auto"/>
            <w:left w:val="none" w:sz="0" w:space="0" w:color="auto"/>
            <w:bottom w:val="none" w:sz="0" w:space="0" w:color="auto"/>
            <w:right w:val="none" w:sz="0" w:space="0" w:color="auto"/>
          </w:divBdr>
          <w:divsChild>
            <w:div w:id="67895775">
              <w:marLeft w:val="0"/>
              <w:marRight w:val="0"/>
              <w:marTop w:val="0"/>
              <w:marBottom w:val="0"/>
              <w:divBdr>
                <w:top w:val="none" w:sz="0" w:space="0" w:color="auto"/>
                <w:left w:val="none" w:sz="0" w:space="0" w:color="auto"/>
                <w:bottom w:val="none" w:sz="0" w:space="0" w:color="auto"/>
                <w:right w:val="none" w:sz="0" w:space="0" w:color="auto"/>
              </w:divBdr>
            </w:div>
          </w:divsChild>
        </w:div>
        <w:div w:id="1395589910">
          <w:marLeft w:val="0"/>
          <w:marRight w:val="0"/>
          <w:marTop w:val="0"/>
          <w:marBottom w:val="0"/>
          <w:divBdr>
            <w:top w:val="none" w:sz="0" w:space="0" w:color="auto"/>
            <w:left w:val="none" w:sz="0" w:space="0" w:color="auto"/>
            <w:bottom w:val="none" w:sz="0" w:space="0" w:color="auto"/>
            <w:right w:val="none" w:sz="0" w:space="0" w:color="auto"/>
          </w:divBdr>
          <w:divsChild>
            <w:div w:id="1354115827">
              <w:marLeft w:val="0"/>
              <w:marRight w:val="0"/>
              <w:marTop w:val="0"/>
              <w:marBottom w:val="0"/>
              <w:divBdr>
                <w:top w:val="none" w:sz="0" w:space="0" w:color="auto"/>
                <w:left w:val="none" w:sz="0" w:space="0" w:color="auto"/>
                <w:bottom w:val="none" w:sz="0" w:space="0" w:color="auto"/>
                <w:right w:val="none" w:sz="0" w:space="0" w:color="auto"/>
              </w:divBdr>
            </w:div>
          </w:divsChild>
        </w:div>
        <w:div w:id="1415131350">
          <w:marLeft w:val="0"/>
          <w:marRight w:val="0"/>
          <w:marTop w:val="0"/>
          <w:marBottom w:val="0"/>
          <w:divBdr>
            <w:top w:val="none" w:sz="0" w:space="0" w:color="auto"/>
            <w:left w:val="none" w:sz="0" w:space="0" w:color="auto"/>
            <w:bottom w:val="none" w:sz="0" w:space="0" w:color="auto"/>
            <w:right w:val="none" w:sz="0" w:space="0" w:color="auto"/>
          </w:divBdr>
          <w:divsChild>
            <w:div w:id="1161190869">
              <w:marLeft w:val="0"/>
              <w:marRight w:val="0"/>
              <w:marTop w:val="0"/>
              <w:marBottom w:val="0"/>
              <w:divBdr>
                <w:top w:val="none" w:sz="0" w:space="0" w:color="auto"/>
                <w:left w:val="none" w:sz="0" w:space="0" w:color="auto"/>
                <w:bottom w:val="none" w:sz="0" w:space="0" w:color="auto"/>
                <w:right w:val="none" w:sz="0" w:space="0" w:color="auto"/>
              </w:divBdr>
            </w:div>
          </w:divsChild>
        </w:div>
        <w:div w:id="1453281843">
          <w:marLeft w:val="0"/>
          <w:marRight w:val="0"/>
          <w:marTop w:val="0"/>
          <w:marBottom w:val="0"/>
          <w:divBdr>
            <w:top w:val="none" w:sz="0" w:space="0" w:color="auto"/>
            <w:left w:val="none" w:sz="0" w:space="0" w:color="auto"/>
            <w:bottom w:val="none" w:sz="0" w:space="0" w:color="auto"/>
            <w:right w:val="none" w:sz="0" w:space="0" w:color="auto"/>
          </w:divBdr>
          <w:divsChild>
            <w:div w:id="2013795708">
              <w:marLeft w:val="0"/>
              <w:marRight w:val="0"/>
              <w:marTop w:val="0"/>
              <w:marBottom w:val="0"/>
              <w:divBdr>
                <w:top w:val="none" w:sz="0" w:space="0" w:color="auto"/>
                <w:left w:val="none" w:sz="0" w:space="0" w:color="auto"/>
                <w:bottom w:val="none" w:sz="0" w:space="0" w:color="auto"/>
                <w:right w:val="none" w:sz="0" w:space="0" w:color="auto"/>
              </w:divBdr>
            </w:div>
          </w:divsChild>
        </w:div>
        <w:div w:id="1478262446">
          <w:marLeft w:val="0"/>
          <w:marRight w:val="0"/>
          <w:marTop w:val="0"/>
          <w:marBottom w:val="0"/>
          <w:divBdr>
            <w:top w:val="none" w:sz="0" w:space="0" w:color="auto"/>
            <w:left w:val="none" w:sz="0" w:space="0" w:color="auto"/>
            <w:bottom w:val="none" w:sz="0" w:space="0" w:color="auto"/>
            <w:right w:val="none" w:sz="0" w:space="0" w:color="auto"/>
          </w:divBdr>
          <w:divsChild>
            <w:div w:id="1753813649">
              <w:marLeft w:val="0"/>
              <w:marRight w:val="0"/>
              <w:marTop w:val="0"/>
              <w:marBottom w:val="0"/>
              <w:divBdr>
                <w:top w:val="none" w:sz="0" w:space="0" w:color="auto"/>
                <w:left w:val="none" w:sz="0" w:space="0" w:color="auto"/>
                <w:bottom w:val="none" w:sz="0" w:space="0" w:color="auto"/>
                <w:right w:val="none" w:sz="0" w:space="0" w:color="auto"/>
              </w:divBdr>
            </w:div>
          </w:divsChild>
        </w:div>
        <w:div w:id="1485701413">
          <w:marLeft w:val="0"/>
          <w:marRight w:val="0"/>
          <w:marTop w:val="0"/>
          <w:marBottom w:val="0"/>
          <w:divBdr>
            <w:top w:val="none" w:sz="0" w:space="0" w:color="auto"/>
            <w:left w:val="none" w:sz="0" w:space="0" w:color="auto"/>
            <w:bottom w:val="none" w:sz="0" w:space="0" w:color="auto"/>
            <w:right w:val="none" w:sz="0" w:space="0" w:color="auto"/>
          </w:divBdr>
          <w:divsChild>
            <w:div w:id="131363740">
              <w:marLeft w:val="0"/>
              <w:marRight w:val="0"/>
              <w:marTop w:val="0"/>
              <w:marBottom w:val="0"/>
              <w:divBdr>
                <w:top w:val="none" w:sz="0" w:space="0" w:color="auto"/>
                <w:left w:val="none" w:sz="0" w:space="0" w:color="auto"/>
                <w:bottom w:val="none" w:sz="0" w:space="0" w:color="auto"/>
                <w:right w:val="none" w:sz="0" w:space="0" w:color="auto"/>
              </w:divBdr>
            </w:div>
          </w:divsChild>
        </w:div>
        <w:div w:id="1504935804">
          <w:marLeft w:val="0"/>
          <w:marRight w:val="0"/>
          <w:marTop w:val="0"/>
          <w:marBottom w:val="0"/>
          <w:divBdr>
            <w:top w:val="none" w:sz="0" w:space="0" w:color="auto"/>
            <w:left w:val="none" w:sz="0" w:space="0" w:color="auto"/>
            <w:bottom w:val="none" w:sz="0" w:space="0" w:color="auto"/>
            <w:right w:val="none" w:sz="0" w:space="0" w:color="auto"/>
          </w:divBdr>
          <w:divsChild>
            <w:div w:id="2092656733">
              <w:marLeft w:val="0"/>
              <w:marRight w:val="0"/>
              <w:marTop w:val="0"/>
              <w:marBottom w:val="0"/>
              <w:divBdr>
                <w:top w:val="none" w:sz="0" w:space="0" w:color="auto"/>
                <w:left w:val="none" w:sz="0" w:space="0" w:color="auto"/>
                <w:bottom w:val="none" w:sz="0" w:space="0" w:color="auto"/>
                <w:right w:val="none" w:sz="0" w:space="0" w:color="auto"/>
              </w:divBdr>
            </w:div>
          </w:divsChild>
        </w:div>
        <w:div w:id="1506171365">
          <w:marLeft w:val="0"/>
          <w:marRight w:val="0"/>
          <w:marTop w:val="0"/>
          <w:marBottom w:val="0"/>
          <w:divBdr>
            <w:top w:val="none" w:sz="0" w:space="0" w:color="auto"/>
            <w:left w:val="none" w:sz="0" w:space="0" w:color="auto"/>
            <w:bottom w:val="none" w:sz="0" w:space="0" w:color="auto"/>
            <w:right w:val="none" w:sz="0" w:space="0" w:color="auto"/>
          </w:divBdr>
          <w:divsChild>
            <w:div w:id="600722736">
              <w:marLeft w:val="0"/>
              <w:marRight w:val="0"/>
              <w:marTop w:val="0"/>
              <w:marBottom w:val="0"/>
              <w:divBdr>
                <w:top w:val="none" w:sz="0" w:space="0" w:color="auto"/>
                <w:left w:val="none" w:sz="0" w:space="0" w:color="auto"/>
                <w:bottom w:val="none" w:sz="0" w:space="0" w:color="auto"/>
                <w:right w:val="none" w:sz="0" w:space="0" w:color="auto"/>
              </w:divBdr>
            </w:div>
          </w:divsChild>
        </w:div>
        <w:div w:id="1538002636">
          <w:marLeft w:val="0"/>
          <w:marRight w:val="0"/>
          <w:marTop w:val="0"/>
          <w:marBottom w:val="0"/>
          <w:divBdr>
            <w:top w:val="none" w:sz="0" w:space="0" w:color="auto"/>
            <w:left w:val="none" w:sz="0" w:space="0" w:color="auto"/>
            <w:bottom w:val="none" w:sz="0" w:space="0" w:color="auto"/>
            <w:right w:val="none" w:sz="0" w:space="0" w:color="auto"/>
          </w:divBdr>
          <w:divsChild>
            <w:div w:id="1600941950">
              <w:marLeft w:val="0"/>
              <w:marRight w:val="0"/>
              <w:marTop w:val="0"/>
              <w:marBottom w:val="0"/>
              <w:divBdr>
                <w:top w:val="none" w:sz="0" w:space="0" w:color="auto"/>
                <w:left w:val="none" w:sz="0" w:space="0" w:color="auto"/>
                <w:bottom w:val="none" w:sz="0" w:space="0" w:color="auto"/>
                <w:right w:val="none" w:sz="0" w:space="0" w:color="auto"/>
              </w:divBdr>
            </w:div>
          </w:divsChild>
        </w:div>
        <w:div w:id="1559246078">
          <w:marLeft w:val="0"/>
          <w:marRight w:val="0"/>
          <w:marTop w:val="0"/>
          <w:marBottom w:val="0"/>
          <w:divBdr>
            <w:top w:val="none" w:sz="0" w:space="0" w:color="auto"/>
            <w:left w:val="none" w:sz="0" w:space="0" w:color="auto"/>
            <w:bottom w:val="none" w:sz="0" w:space="0" w:color="auto"/>
            <w:right w:val="none" w:sz="0" w:space="0" w:color="auto"/>
          </w:divBdr>
          <w:divsChild>
            <w:div w:id="2037651110">
              <w:marLeft w:val="0"/>
              <w:marRight w:val="0"/>
              <w:marTop w:val="0"/>
              <w:marBottom w:val="0"/>
              <w:divBdr>
                <w:top w:val="none" w:sz="0" w:space="0" w:color="auto"/>
                <w:left w:val="none" w:sz="0" w:space="0" w:color="auto"/>
                <w:bottom w:val="none" w:sz="0" w:space="0" w:color="auto"/>
                <w:right w:val="none" w:sz="0" w:space="0" w:color="auto"/>
              </w:divBdr>
            </w:div>
          </w:divsChild>
        </w:div>
        <w:div w:id="1583562833">
          <w:marLeft w:val="0"/>
          <w:marRight w:val="0"/>
          <w:marTop w:val="0"/>
          <w:marBottom w:val="0"/>
          <w:divBdr>
            <w:top w:val="none" w:sz="0" w:space="0" w:color="auto"/>
            <w:left w:val="none" w:sz="0" w:space="0" w:color="auto"/>
            <w:bottom w:val="none" w:sz="0" w:space="0" w:color="auto"/>
            <w:right w:val="none" w:sz="0" w:space="0" w:color="auto"/>
          </w:divBdr>
          <w:divsChild>
            <w:div w:id="1458378112">
              <w:marLeft w:val="0"/>
              <w:marRight w:val="0"/>
              <w:marTop w:val="0"/>
              <w:marBottom w:val="0"/>
              <w:divBdr>
                <w:top w:val="none" w:sz="0" w:space="0" w:color="auto"/>
                <w:left w:val="none" w:sz="0" w:space="0" w:color="auto"/>
                <w:bottom w:val="none" w:sz="0" w:space="0" w:color="auto"/>
                <w:right w:val="none" w:sz="0" w:space="0" w:color="auto"/>
              </w:divBdr>
            </w:div>
          </w:divsChild>
        </w:div>
        <w:div w:id="1601452189">
          <w:marLeft w:val="0"/>
          <w:marRight w:val="0"/>
          <w:marTop w:val="0"/>
          <w:marBottom w:val="0"/>
          <w:divBdr>
            <w:top w:val="none" w:sz="0" w:space="0" w:color="auto"/>
            <w:left w:val="none" w:sz="0" w:space="0" w:color="auto"/>
            <w:bottom w:val="none" w:sz="0" w:space="0" w:color="auto"/>
            <w:right w:val="none" w:sz="0" w:space="0" w:color="auto"/>
          </w:divBdr>
          <w:divsChild>
            <w:div w:id="1062093294">
              <w:marLeft w:val="0"/>
              <w:marRight w:val="0"/>
              <w:marTop w:val="0"/>
              <w:marBottom w:val="0"/>
              <w:divBdr>
                <w:top w:val="none" w:sz="0" w:space="0" w:color="auto"/>
                <w:left w:val="none" w:sz="0" w:space="0" w:color="auto"/>
                <w:bottom w:val="none" w:sz="0" w:space="0" w:color="auto"/>
                <w:right w:val="none" w:sz="0" w:space="0" w:color="auto"/>
              </w:divBdr>
            </w:div>
          </w:divsChild>
        </w:div>
        <w:div w:id="1614939684">
          <w:marLeft w:val="0"/>
          <w:marRight w:val="0"/>
          <w:marTop w:val="0"/>
          <w:marBottom w:val="0"/>
          <w:divBdr>
            <w:top w:val="none" w:sz="0" w:space="0" w:color="auto"/>
            <w:left w:val="none" w:sz="0" w:space="0" w:color="auto"/>
            <w:bottom w:val="none" w:sz="0" w:space="0" w:color="auto"/>
            <w:right w:val="none" w:sz="0" w:space="0" w:color="auto"/>
          </w:divBdr>
          <w:divsChild>
            <w:div w:id="1220093347">
              <w:marLeft w:val="0"/>
              <w:marRight w:val="0"/>
              <w:marTop w:val="0"/>
              <w:marBottom w:val="0"/>
              <w:divBdr>
                <w:top w:val="none" w:sz="0" w:space="0" w:color="auto"/>
                <w:left w:val="none" w:sz="0" w:space="0" w:color="auto"/>
                <w:bottom w:val="none" w:sz="0" w:space="0" w:color="auto"/>
                <w:right w:val="none" w:sz="0" w:space="0" w:color="auto"/>
              </w:divBdr>
            </w:div>
          </w:divsChild>
        </w:div>
        <w:div w:id="1636985654">
          <w:marLeft w:val="0"/>
          <w:marRight w:val="0"/>
          <w:marTop w:val="0"/>
          <w:marBottom w:val="0"/>
          <w:divBdr>
            <w:top w:val="none" w:sz="0" w:space="0" w:color="auto"/>
            <w:left w:val="none" w:sz="0" w:space="0" w:color="auto"/>
            <w:bottom w:val="none" w:sz="0" w:space="0" w:color="auto"/>
            <w:right w:val="none" w:sz="0" w:space="0" w:color="auto"/>
          </w:divBdr>
          <w:divsChild>
            <w:div w:id="820123192">
              <w:marLeft w:val="0"/>
              <w:marRight w:val="0"/>
              <w:marTop w:val="0"/>
              <w:marBottom w:val="0"/>
              <w:divBdr>
                <w:top w:val="none" w:sz="0" w:space="0" w:color="auto"/>
                <w:left w:val="none" w:sz="0" w:space="0" w:color="auto"/>
                <w:bottom w:val="none" w:sz="0" w:space="0" w:color="auto"/>
                <w:right w:val="none" w:sz="0" w:space="0" w:color="auto"/>
              </w:divBdr>
            </w:div>
          </w:divsChild>
        </w:div>
        <w:div w:id="1640768504">
          <w:marLeft w:val="0"/>
          <w:marRight w:val="0"/>
          <w:marTop w:val="0"/>
          <w:marBottom w:val="0"/>
          <w:divBdr>
            <w:top w:val="none" w:sz="0" w:space="0" w:color="auto"/>
            <w:left w:val="none" w:sz="0" w:space="0" w:color="auto"/>
            <w:bottom w:val="none" w:sz="0" w:space="0" w:color="auto"/>
            <w:right w:val="none" w:sz="0" w:space="0" w:color="auto"/>
          </w:divBdr>
          <w:divsChild>
            <w:div w:id="424427437">
              <w:marLeft w:val="0"/>
              <w:marRight w:val="0"/>
              <w:marTop w:val="0"/>
              <w:marBottom w:val="0"/>
              <w:divBdr>
                <w:top w:val="none" w:sz="0" w:space="0" w:color="auto"/>
                <w:left w:val="none" w:sz="0" w:space="0" w:color="auto"/>
                <w:bottom w:val="none" w:sz="0" w:space="0" w:color="auto"/>
                <w:right w:val="none" w:sz="0" w:space="0" w:color="auto"/>
              </w:divBdr>
            </w:div>
          </w:divsChild>
        </w:div>
        <w:div w:id="1650203907">
          <w:marLeft w:val="0"/>
          <w:marRight w:val="0"/>
          <w:marTop w:val="0"/>
          <w:marBottom w:val="0"/>
          <w:divBdr>
            <w:top w:val="none" w:sz="0" w:space="0" w:color="auto"/>
            <w:left w:val="none" w:sz="0" w:space="0" w:color="auto"/>
            <w:bottom w:val="none" w:sz="0" w:space="0" w:color="auto"/>
            <w:right w:val="none" w:sz="0" w:space="0" w:color="auto"/>
          </w:divBdr>
          <w:divsChild>
            <w:div w:id="161361198">
              <w:marLeft w:val="0"/>
              <w:marRight w:val="0"/>
              <w:marTop w:val="0"/>
              <w:marBottom w:val="0"/>
              <w:divBdr>
                <w:top w:val="none" w:sz="0" w:space="0" w:color="auto"/>
                <w:left w:val="none" w:sz="0" w:space="0" w:color="auto"/>
                <w:bottom w:val="none" w:sz="0" w:space="0" w:color="auto"/>
                <w:right w:val="none" w:sz="0" w:space="0" w:color="auto"/>
              </w:divBdr>
            </w:div>
          </w:divsChild>
        </w:div>
        <w:div w:id="1651902325">
          <w:marLeft w:val="0"/>
          <w:marRight w:val="0"/>
          <w:marTop w:val="0"/>
          <w:marBottom w:val="0"/>
          <w:divBdr>
            <w:top w:val="none" w:sz="0" w:space="0" w:color="auto"/>
            <w:left w:val="none" w:sz="0" w:space="0" w:color="auto"/>
            <w:bottom w:val="none" w:sz="0" w:space="0" w:color="auto"/>
            <w:right w:val="none" w:sz="0" w:space="0" w:color="auto"/>
          </w:divBdr>
          <w:divsChild>
            <w:div w:id="927276196">
              <w:marLeft w:val="0"/>
              <w:marRight w:val="0"/>
              <w:marTop w:val="0"/>
              <w:marBottom w:val="0"/>
              <w:divBdr>
                <w:top w:val="none" w:sz="0" w:space="0" w:color="auto"/>
                <w:left w:val="none" w:sz="0" w:space="0" w:color="auto"/>
                <w:bottom w:val="none" w:sz="0" w:space="0" w:color="auto"/>
                <w:right w:val="none" w:sz="0" w:space="0" w:color="auto"/>
              </w:divBdr>
            </w:div>
          </w:divsChild>
        </w:div>
        <w:div w:id="1664969972">
          <w:marLeft w:val="0"/>
          <w:marRight w:val="0"/>
          <w:marTop w:val="0"/>
          <w:marBottom w:val="0"/>
          <w:divBdr>
            <w:top w:val="none" w:sz="0" w:space="0" w:color="auto"/>
            <w:left w:val="none" w:sz="0" w:space="0" w:color="auto"/>
            <w:bottom w:val="none" w:sz="0" w:space="0" w:color="auto"/>
            <w:right w:val="none" w:sz="0" w:space="0" w:color="auto"/>
          </w:divBdr>
          <w:divsChild>
            <w:div w:id="1188912430">
              <w:marLeft w:val="0"/>
              <w:marRight w:val="0"/>
              <w:marTop w:val="0"/>
              <w:marBottom w:val="0"/>
              <w:divBdr>
                <w:top w:val="none" w:sz="0" w:space="0" w:color="auto"/>
                <w:left w:val="none" w:sz="0" w:space="0" w:color="auto"/>
                <w:bottom w:val="none" w:sz="0" w:space="0" w:color="auto"/>
                <w:right w:val="none" w:sz="0" w:space="0" w:color="auto"/>
              </w:divBdr>
            </w:div>
          </w:divsChild>
        </w:div>
        <w:div w:id="1676303128">
          <w:marLeft w:val="0"/>
          <w:marRight w:val="0"/>
          <w:marTop w:val="0"/>
          <w:marBottom w:val="0"/>
          <w:divBdr>
            <w:top w:val="none" w:sz="0" w:space="0" w:color="auto"/>
            <w:left w:val="none" w:sz="0" w:space="0" w:color="auto"/>
            <w:bottom w:val="none" w:sz="0" w:space="0" w:color="auto"/>
            <w:right w:val="none" w:sz="0" w:space="0" w:color="auto"/>
          </w:divBdr>
          <w:divsChild>
            <w:div w:id="46147386">
              <w:marLeft w:val="0"/>
              <w:marRight w:val="0"/>
              <w:marTop w:val="0"/>
              <w:marBottom w:val="0"/>
              <w:divBdr>
                <w:top w:val="none" w:sz="0" w:space="0" w:color="auto"/>
                <w:left w:val="none" w:sz="0" w:space="0" w:color="auto"/>
                <w:bottom w:val="none" w:sz="0" w:space="0" w:color="auto"/>
                <w:right w:val="none" w:sz="0" w:space="0" w:color="auto"/>
              </w:divBdr>
            </w:div>
          </w:divsChild>
        </w:div>
        <w:div w:id="1685860486">
          <w:marLeft w:val="0"/>
          <w:marRight w:val="0"/>
          <w:marTop w:val="0"/>
          <w:marBottom w:val="0"/>
          <w:divBdr>
            <w:top w:val="none" w:sz="0" w:space="0" w:color="auto"/>
            <w:left w:val="none" w:sz="0" w:space="0" w:color="auto"/>
            <w:bottom w:val="none" w:sz="0" w:space="0" w:color="auto"/>
            <w:right w:val="none" w:sz="0" w:space="0" w:color="auto"/>
          </w:divBdr>
          <w:divsChild>
            <w:div w:id="1898587368">
              <w:marLeft w:val="0"/>
              <w:marRight w:val="0"/>
              <w:marTop w:val="0"/>
              <w:marBottom w:val="0"/>
              <w:divBdr>
                <w:top w:val="none" w:sz="0" w:space="0" w:color="auto"/>
                <w:left w:val="none" w:sz="0" w:space="0" w:color="auto"/>
                <w:bottom w:val="none" w:sz="0" w:space="0" w:color="auto"/>
                <w:right w:val="none" w:sz="0" w:space="0" w:color="auto"/>
              </w:divBdr>
            </w:div>
          </w:divsChild>
        </w:div>
        <w:div w:id="1772436449">
          <w:marLeft w:val="0"/>
          <w:marRight w:val="0"/>
          <w:marTop w:val="0"/>
          <w:marBottom w:val="0"/>
          <w:divBdr>
            <w:top w:val="none" w:sz="0" w:space="0" w:color="auto"/>
            <w:left w:val="none" w:sz="0" w:space="0" w:color="auto"/>
            <w:bottom w:val="none" w:sz="0" w:space="0" w:color="auto"/>
            <w:right w:val="none" w:sz="0" w:space="0" w:color="auto"/>
          </w:divBdr>
          <w:divsChild>
            <w:div w:id="116997731">
              <w:marLeft w:val="0"/>
              <w:marRight w:val="0"/>
              <w:marTop w:val="0"/>
              <w:marBottom w:val="0"/>
              <w:divBdr>
                <w:top w:val="none" w:sz="0" w:space="0" w:color="auto"/>
                <w:left w:val="none" w:sz="0" w:space="0" w:color="auto"/>
                <w:bottom w:val="none" w:sz="0" w:space="0" w:color="auto"/>
                <w:right w:val="none" w:sz="0" w:space="0" w:color="auto"/>
              </w:divBdr>
            </w:div>
          </w:divsChild>
        </w:div>
        <w:div w:id="1824352449">
          <w:marLeft w:val="0"/>
          <w:marRight w:val="0"/>
          <w:marTop w:val="0"/>
          <w:marBottom w:val="0"/>
          <w:divBdr>
            <w:top w:val="none" w:sz="0" w:space="0" w:color="auto"/>
            <w:left w:val="none" w:sz="0" w:space="0" w:color="auto"/>
            <w:bottom w:val="none" w:sz="0" w:space="0" w:color="auto"/>
            <w:right w:val="none" w:sz="0" w:space="0" w:color="auto"/>
          </w:divBdr>
          <w:divsChild>
            <w:div w:id="462232871">
              <w:marLeft w:val="0"/>
              <w:marRight w:val="0"/>
              <w:marTop w:val="0"/>
              <w:marBottom w:val="0"/>
              <w:divBdr>
                <w:top w:val="none" w:sz="0" w:space="0" w:color="auto"/>
                <w:left w:val="none" w:sz="0" w:space="0" w:color="auto"/>
                <w:bottom w:val="none" w:sz="0" w:space="0" w:color="auto"/>
                <w:right w:val="none" w:sz="0" w:space="0" w:color="auto"/>
              </w:divBdr>
            </w:div>
          </w:divsChild>
        </w:div>
        <w:div w:id="1842546994">
          <w:marLeft w:val="0"/>
          <w:marRight w:val="0"/>
          <w:marTop w:val="0"/>
          <w:marBottom w:val="0"/>
          <w:divBdr>
            <w:top w:val="none" w:sz="0" w:space="0" w:color="auto"/>
            <w:left w:val="none" w:sz="0" w:space="0" w:color="auto"/>
            <w:bottom w:val="none" w:sz="0" w:space="0" w:color="auto"/>
            <w:right w:val="none" w:sz="0" w:space="0" w:color="auto"/>
          </w:divBdr>
          <w:divsChild>
            <w:div w:id="1911843373">
              <w:marLeft w:val="0"/>
              <w:marRight w:val="0"/>
              <w:marTop w:val="0"/>
              <w:marBottom w:val="0"/>
              <w:divBdr>
                <w:top w:val="none" w:sz="0" w:space="0" w:color="auto"/>
                <w:left w:val="none" w:sz="0" w:space="0" w:color="auto"/>
                <w:bottom w:val="none" w:sz="0" w:space="0" w:color="auto"/>
                <w:right w:val="none" w:sz="0" w:space="0" w:color="auto"/>
              </w:divBdr>
            </w:div>
          </w:divsChild>
        </w:div>
        <w:div w:id="1886792382">
          <w:marLeft w:val="0"/>
          <w:marRight w:val="0"/>
          <w:marTop w:val="0"/>
          <w:marBottom w:val="0"/>
          <w:divBdr>
            <w:top w:val="none" w:sz="0" w:space="0" w:color="auto"/>
            <w:left w:val="none" w:sz="0" w:space="0" w:color="auto"/>
            <w:bottom w:val="none" w:sz="0" w:space="0" w:color="auto"/>
            <w:right w:val="none" w:sz="0" w:space="0" w:color="auto"/>
          </w:divBdr>
          <w:divsChild>
            <w:div w:id="400955266">
              <w:marLeft w:val="0"/>
              <w:marRight w:val="0"/>
              <w:marTop w:val="0"/>
              <w:marBottom w:val="0"/>
              <w:divBdr>
                <w:top w:val="none" w:sz="0" w:space="0" w:color="auto"/>
                <w:left w:val="none" w:sz="0" w:space="0" w:color="auto"/>
                <w:bottom w:val="none" w:sz="0" w:space="0" w:color="auto"/>
                <w:right w:val="none" w:sz="0" w:space="0" w:color="auto"/>
              </w:divBdr>
            </w:div>
          </w:divsChild>
        </w:div>
        <w:div w:id="1892645643">
          <w:marLeft w:val="0"/>
          <w:marRight w:val="0"/>
          <w:marTop w:val="0"/>
          <w:marBottom w:val="0"/>
          <w:divBdr>
            <w:top w:val="none" w:sz="0" w:space="0" w:color="auto"/>
            <w:left w:val="none" w:sz="0" w:space="0" w:color="auto"/>
            <w:bottom w:val="none" w:sz="0" w:space="0" w:color="auto"/>
            <w:right w:val="none" w:sz="0" w:space="0" w:color="auto"/>
          </w:divBdr>
          <w:divsChild>
            <w:div w:id="32507283">
              <w:marLeft w:val="0"/>
              <w:marRight w:val="0"/>
              <w:marTop w:val="0"/>
              <w:marBottom w:val="0"/>
              <w:divBdr>
                <w:top w:val="none" w:sz="0" w:space="0" w:color="auto"/>
                <w:left w:val="none" w:sz="0" w:space="0" w:color="auto"/>
                <w:bottom w:val="none" w:sz="0" w:space="0" w:color="auto"/>
                <w:right w:val="none" w:sz="0" w:space="0" w:color="auto"/>
              </w:divBdr>
            </w:div>
          </w:divsChild>
        </w:div>
        <w:div w:id="1917200203">
          <w:marLeft w:val="0"/>
          <w:marRight w:val="0"/>
          <w:marTop w:val="0"/>
          <w:marBottom w:val="0"/>
          <w:divBdr>
            <w:top w:val="none" w:sz="0" w:space="0" w:color="auto"/>
            <w:left w:val="none" w:sz="0" w:space="0" w:color="auto"/>
            <w:bottom w:val="none" w:sz="0" w:space="0" w:color="auto"/>
            <w:right w:val="none" w:sz="0" w:space="0" w:color="auto"/>
          </w:divBdr>
          <w:divsChild>
            <w:div w:id="1803041035">
              <w:marLeft w:val="0"/>
              <w:marRight w:val="0"/>
              <w:marTop w:val="0"/>
              <w:marBottom w:val="0"/>
              <w:divBdr>
                <w:top w:val="none" w:sz="0" w:space="0" w:color="auto"/>
                <w:left w:val="none" w:sz="0" w:space="0" w:color="auto"/>
                <w:bottom w:val="none" w:sz="0" w:space="0" w:color="auto"/>
                <w:right w:val="none" w:sz="0" w:space="0" w:color="auto"/>
              </w:divBdr>
            </w:div>
          </w:divsChild>
        </w:div>
        <w:div w:id="1971596088">
          <w:marLeft w:val="0"/>
          <w:marRight w:val="0"/>
          <w:marTop w:val="0"/>
          <w:marBottom w:val="0"/>
          <w:divBdr>
            <w:top w:val="none" w:sz="0" w:space="0" w:color="auto"/>
            <w:left w:val="none" w:sz="0" w:space="0" w:color="auto"/>
            <w:bottom w:val="none" w:sz="0" w:space="0" w:color="auto"/>
            <w:right w:val="none" w:sz="0" w:space="0" w:color="auto"/>
          </w:divBdr>
          <w:divsChild>
            <w:div w:id="283654111">
              <w:marLeft w:val="0"/>
              <w:marRight w:val="0"/>
              <w:marTop w:val="0"/>
              <w:marBottom w:val="0"/>
              <w:divBdr>
                <w:top w:val="none" w:sz="0" w:space="0" w:color="auto"/>
                <w:left w:val="none" w:sz="0" w:space="0" w:color="auto"/>
                <w:bottom w:val="none" w:sz="0" w:space="0" w:color="auto"/>
                <w:right w:val="none" w:sz="0" w:space="0" w:color="auto"/>
              </w:divBdr>
            </w:div>
          </w:divsChild>
        </w:div>
        <w:div w:id="1975597955">
          <w:marLeft w:val="0"/>
          <w:marRight w:val="0"/>
          <w:marTop w:val="0"/>
          <w:marBottom w:val="0"/>
          <w:divBdr>
            <w:top w:val="none" w:sz="0" w:space="0" w:color="auto"/>
            <w:left w:val="none" w:sz="0" w:space="0" w:color="auto"/>
            <w:bottom w:val="none" w:sz="0" w:space="0" w:color="auto"/>
            <w:right w:val="none" w:sz="0" w:space="0" w:color="auto"/>
          </w:divBdr>
          <w:divsChild>
            <w:div w:id="1450389961">
              <w:marLeft w:val="0"/>
              <w:marRight w:val="0"/>
              <w:marTop w:val="0"/>
              <w:marBottom w:val="0"/>
              <w:divBdr>
                <w:top w:val="none" w:sz="0" w:space="0" w:color="auto"/>
                <w:left w:val="none" w:sz="0" w:space="0" w:color="auto"/>
                <w:bottom w:val="none" w:sz="0" w:space="0" w:color="auto"/>
                <w:right w:val="none" w:sz="0" w:space="0" w:color="auto"/>
              </w:divBdr>
            </w:div>
          </w:divsChild>
        </w:div>
        <w:div w:id="1984311523">
          <w:marLeft w:val="0"/>
          <w:marRight w:val="0"/>
          <w:marTop w:val="0"/>
          <w:marBottom w:val="0"/>
          <w:divBdr>
            <w:top w:val="none" w:sz="0" w:space="0" w:color="auto"/>
            <w:left w:val="none" w:sz="0" w:space="0" w:color="auto"/>
            <w:bottom w:val="none" w:sz="0" w:space="0" w:color="auto"/>
            <w:right w:val="none" w:sz="0" w:space="0" w:color="auto"/>
          </w:divBdr>
          <w:divsChild>
            <w:div w:id="2112774964">
              <w:marLeft w:val="0"/>
              <w:marRight w:val="0"/>
              <w:marTop w:val="0"/>
              <w:marBottom w:val="0"/>
              <w:divBdr>
                <w:top w:val="none" w:sz="0" w:space="0" w:color="auto"/>
                <w:left w:val="none" w:sz="0" w:space="0" w:color="auto"/>
                <w:bottom w:val="none" w:sz="0" w:space="0" w:color="auto"/>
                <w:right w:val="none" w:sz="0" w:space="0" w:color="auto"/>
              </w:divBdr>
            </w:div>
          </w:divsChild>
        </w:div>
        <w:div w:id="2015330079">
          <w:marLeft w:val="0"/>
          <w:marRight w:val="0"/>
          <w:marTop w:val="0"/>
          <w:marBottom w:val="0"/>
          <w:divBdr>
            <w:top w:val="none" w:sz="0" w:space="0" w:color="auto"/>
            <w:left w:val="none" w:sz="0" w:space="0" w:color="auto"/>
            <w:bottom w:val="none" w:sz="0" w:space="0" w:color="auto"/>
            <w:right w:val="none" w:sz="0" w:space="0" w:color="auto"/>
          </w:divBdr>
          <w:divsChild>
            <w:div w:id="1886478856">
              <w:marLeft w:val="0"/>
              <w:marRight w:val="0"/>
              <w:marTop w:val="0"/>
              <w:marBottom w:val="0"/>
              <w:divBdr>
                <w:top w:val="none" w:sz="0" w:space="0" w:color="auto"/>
                <w:left w:val="none" w:sz="0" w:space="0" w:color="auto"/>
                <w:bottom w:val="none" w:sz="0" w:space="0" w:color="auto"/>
                <w:right w:val="none" w:sz="0" w:space="0" w:color="auto"/>
              </w:divBdr>
            </w:div>
          </w:divsChild>
        </w:div>
        <w:div w:id="2028289603">
          <w:marLeft w:val="0"/>
          <w:marRight w:val="0"/>
          <w:marTop w:val="0"/>
          <w:marBottom w:val="0"/>
          <w:divBdr>
            <w:top w:val="none" w:sz="0" w:space="0" w:color="auto"/>
            <w:left w:val="none" w:sz="0" w:space="0" w:color="auto"/>
            <w:bottom w:val="none" w:sz="0" w:space="0" w:color="auto"/>
            <w:right w:val="none" w:sz="0" w:space="0" w:color="auto"/>
          </w:divBdr>
          <w:divsChild>
            <w:div w:id="227813382">
              <w:marLeft w:val="0"/>
              <w:marRight w:val="0"/>
              <w:marTop w:val="0"/>
              <w:marBottom w:val="0"/>
              <w:divBdr>
                <w:top w:val="none" w:sz="0" w:space="0" w:color="auto"/>
                <w:left w:val="none" w:sz="0" w:space="0" w:color="auto"/>
                <w:bottom w:val="none" w:sz="0" w:space="0" w:color="auto"/>
                <w:right w:val="none" w:sz="0" w:space="0" w:color="auto"/>
              </w:divBdr>
            </w:div>
          </w:divsChild>
        </w:div>
        <w:div w:id="2049253453">
          <w:marLeft w:val="0"/>
          <w:marRight w:val="0"/>
          <w:marTop w:val="0"/>
          <w:marBottom w:val="0"/>
          <w:divBdr>
            <w:top w:val="none" w:sz="0" w:space="0" w:color="auto"/>
            <w:left w:val="none" w:sz="0" w:space="0" w:color="auto"/>
            <w:bottom w:val="none" w:sz="0" w:space="0" w:color="auto"/>
            <w:right w:val="none" w:sz="0" w:space="0" w:color="auto"/>
          </w:divBdr>
          <w:divsChild>
            <w:div w:id="1896693360">
              <w:marLeft w:val="0"/>
              <w:marRight w:val="0"/>
              <w:marTop w:val="0"/>
              <w:marBottom w:val="0"/>
              <w:divBdr>
                <w:top w:val="none" w:sz="0" w:space="0" w:color="auto"/>
                <w:left w:val="none" w:sz="0" w:space="0" w:color="auto"/>
                <w:bottom w:val="none" w:sz="0" w:space="0" w:color="auto"/>
                <w:right w:val="none" w:sz="0" w:space="0" w:color="auto"/>
              </w:divBdr>
            </w:div>
          </w:divsChild>
        </w:div>
        <w:div w:id="2064213296">
          <w:marLeft w:val="0"/>
          <w:marRight w:val="0"/>
          <w:marTop w:val="0"/>
          <w:marBottom w:val="0"/>
          <w:divBdr>
            <w:top w:val="none" w:sz="0" w:space="0" w:color="auto"/>
            <w:left w:val="none" w:sz="0" w:space="0" w:color="auto"/>
            <w:bottom w:val="none" w:sz="0" w:space="0" w:color="auto"/>
            <w:right w:val="none" w:sz="0" w:space="0" w:color="auto"/>
          </w:divBdr>
          <w:divsChild>
            <w:div w:id="950743520">
              <w:marLeft w:val="0"/>
              <w:marRight w:val="0"/>
              <w:marTop w:val="0"/>
              <w:marBottom w:val="0"/>
              <w:divBdr>
                <w:top w:val="none" w:sz="0" w:space="0" w:color="auto"/>
                <w:left w:val="none" w:sz="0" w:space="0" w:color="auto"/>
                <w:bottom w:val="none" w:sz="0" w:space="0" w:color="auto"/>
                <w:right w:val="none" w:sz="0" w:space="0" w:color="auto"/>
              </w:divBdr>
            </w:div>
          </w:divsChild>
        </w:div>
        <w:div w:id="2145344011">
          <w:marLeft w:val="0"/>
          <w:marRight w:val="0"/>
          <w:marTop w:val="0"/>
          <w:marBottom w:val="0"/>
          <w:divBdr>
            <w:top w:val="none" w:sz="0" w:space="0" w:color="auto"/>
            <w:left w:val="none" w:sz="0" w:space="0" w:color="auto"/>
            <w:bottom w:val="none" w:sz="0" w:space="0" w:color="auto"/>
            <w:right w:val="none" w:sz="0" w:space="0" w:color="auto"/>
          </w:divBdr>
          <w:divsChild>
            <w:div w:id="4700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749472">
      <w:bodyDiv w:val="1"/>
      <w:marLeft w:val="0"/>
      <w:marRight w:val="0"/>
      <w:marTop w:val="0"/>
      <w:marBottom w:val="0"/>
      <w:divBdr>
        <w:top w:val="none" w:sz="0" w:space="0" w:color="auto"/>
        <w:left w:val="none" w:sz="0" w:space="0" w:color="auto"/>
        <w:bottom w:val="none" w:sz="0" w:space="0" w:color="auto"/>
        <w:right w:val="none" w:sz="0" w:space="0" w:color="auto"/>
      </w:divBdr>
    </w:div>
    <w:div w:id="1803185773">
      <w:bodyDiv w:val="1"/>
      <w:marLeft w:val="0"/>
      <w:marRight w:val="0"/>
      <w:marTop w:val="0"/>
      <w:marBottom w:val="0"/>
      <w:divBdr>
        <w:top w:val="none" w:sz="0" w:space="0" w:color="auto"/>
        <w:left w:val="none" w:sz="0" w:space="0" w:color="auto"/>
        <w:bottom w:val="none" w:sz="0" w:space="0" w:color="auto"/>
        <w:right w:val="none" w:sz="0" w:space="0" w:color="auto"/>
      </w:divBdr>
    </w:div>
    <w:div w:id="1807896381">
      <w:bodyDiv w:val="1"/>
      <w:marLeft w:val="0"/>
      <w:marRight w:val="0"/>
      <w:marTop w:val="0"/>
      <w:marBottom w:val="0"/>
      <w:divBdr>
        <w:top w:val="none" w:sz="0" w:space="0" w:color="auto"/>
        <w:left w:val="none" w:sz="0" w:space="0" w:color="auto"/>
        <w:bottom w:val="none" w:sz="0" w:space="0" w:color="auto"/>
        <w:right w:val="none" w:sz="0" w:space="0" w:color="auto"/>
      </w:divBdr>
    </w:div>
    <w:div w:id="1813016222">
      <w:bodyDiv w:val="1"/>
      <w:marLeft w:val="0"/>
      <w:marRight w:val="0"/>
      <w:marTop w:val="0"/>
      <w:marBottom w:val="0"/>
      <w:divBdr>
        <w:top w:val="none" w:sz="0" w:space="0" w:color="auto"/>
        <w:left w:val="none" w:sz="0" w:space="0" w:color="auto"/>
        <w:bottom w:val="none" w:sz="0" w:space="0" w:color="auto"/>
        <w:right w:val="none" w:sz="0" w:space="0" w:color="auto"/>
      </w:divBdr>
    </w:div>
    <w:div w:id="1813862302">
      <w:bodyDiv w:val="1"/>
      <w:marLeft w:val="0"/>
      <w:marRight w:val="0"/>
      <w:marTop w:val="0"/>
      <w:marBottom w:val="0"/>
      <w:divBdr>
        <w:top w:val="none" w:sz="0" w:space="0" w:color="auto"/>
        <w:left w:val="none" w:sz="0" w:space="0" w:color="auto"/>
        <w:bottom w:val="none" w:sz="0" w:space="0" w:color="auto"/>
        <w:right w:val="none" w:sz="0" w:space="0" w:color="auto"/>
      </w:divBdr>
      <w:divsChild>
        <w:div w:id="186725373">
          <w:marLeft w:val="0"/>
          <w:marRight w:val="0"/>
          <w:marTop w:val="0"/>
          <w:marBottom w:val="0"/>
          <w:divBdr>
            <w:top w:val="none" w:sz="0" w:space="0" w:color="auto"/>
            <w:left w:val="none" w:sz="0" w:space="0" w:color="auto"/>
            <w:bottom w:val="none" w:sz="0" w:space="0" w:color="auto"/>
            <w:right w:val="none" w:sz="0" w:space="0" w:color="auto"/>
          </w:divBdr>
        </w:div>
        <w:div w:id="301010764">
          <w:marLeft w:val="0"/>
          <w:marRight w:val="0"/>
          <w:marTop w:val="0"/>
          <w:marBottom w:val="0"/>
          <w:divBdr>
            <w:top w:val="none" w:sz="0" w:space="0" w:color="auto"/>
            <w:left w:val="none" w:sz="0" w:space="0" w:color="auto"/>
            <w:bottom w:val="none" w:sz="0" w:space="0" w:color="auto"/>
            <w:right w:val="none" w:sz="0" w:space="0" w:color="auto"/>
          </w:divBdr>
        </w:div>
        <w:div w:id="392850017">
          <w:marLeft w:val="0"/>
          <w:marRight w:val="0"/>
          <w:marTop w:val="0"/>
          <w:marBottom w:val="0"/>
          <w:divBdr>
            <w:top w:val="none" w:sz="0" w:space="0" w:color="auto"/>
            <w:left w:val="none" w:sz="0" w:space="0" w:color="auto"/>
            <w:bottom w:val="none" w:sz="0" w:space="0" w:color="auto"/>
            <w:right w:val="none" w:sz="0" w:space="0" w:color="auto"/>
          </w:divBdr>
        </w:div>
        <w:div w:id="529143452">
          <w:marLeft w:val="0"/>
          <w:marRight w:val="0"/>
          <w:marTop w:val="0"/>
          <w:marBottom w:val="0"/>
          <w:divBdr>
            <w:top w:val="none" w:sz="0" w:space="0" w:color="auto"/>
            <w:left w:val="none" w:sz="0" w:space="0" w:color="auto"/>
            <w:bottom w:val="none" w:sz="0" w:space="0" w:color="auto"/>
            <w:right w:val="none" w:sz="0" w:space="0" w:color="auto"/>
          </w:divBdr>
        </w:div>
        <w:div w:id="716127892">
          <w:marLeft w:val="0"/>
          <w:marRight w:val="0"/>
          <w:marTop w:val="0"/>
          <w:marBottom w:val="0"/>
          <w:divBdr>
            <w:top w:val="none" w:sz="0" w:space="0" w:color="auto"/>
            <w:left w:val="none" w:sz="0" w:space="0" w:color="auto"/>
            <w:bottom w:val="none" w:sz="0" w:space="0" w:color="auto"/>
            <w:right w:val="none" w:sz="0" w:space="0" w:color="auto"/>
          </w:divBdr>
        </w:div>
        <w:div w:id="788208661">
          <w:marLeft w:val="0"/>
          <w:marRight w:val="0"/>
          <w:marTop w:val="0"/>
          <w:marBottom w:val="0"/>
          <w:divBdr>
            <w:top w:val="none" w:sz="0" w:space="0" w:color="auto"/>
            <w:left w:val="none" w:sz="0" w:space="0" w:color="auto"/>
            <w:bottom w:val="none" w:sz="0" w:space="0" w:color="auto"/>
            <w:right w:val="none" w:sz="0" w:space="0" w:color="auto"/>
          </w:divBdr>
        </w:div>
        <w:div w:id="967901950">
          <w:marLeft w:val="0"/>
          <w:marRight w:val="0"/>
          <w:marTop w:val="0"/>
          <w:marBottom w:val="0"/>
          <w:divBdr>
            <w:top w:val="none" w:sz="0" w:space="0" w:color="auto"/>
            <w:left w:val="none" w:sz="0" w:space="0" w:color="auto"/>
            <w:bottom w:val="none" w:sz="0" w:space="0" w:color="auto"/>
            <w:right w:val="none" w:sz="0" w:space="0" w:color="auto"/>
          </w:divBdr>
        </w:div>
        <w:div w:id="1732270403">
          <w:marLeft w:val="0"/>
          <w:marRight w:val="0"/>
          <w:marTop w:val="0"/>
          <w:marBottom w:val="0"/>
          <w:divBdr>
            <w:top w:val="none" w:sz="0" w:space="0" w:color="auto"/>
            <w:left w:val="none" w:sz="0" w:space="0" w:color="auto"/>
            <w:bottom w:val="none" w:sz="0" w:space="0" w:color="auto"/>
            <w:right w:val="none" w:sz="0" w:space="0" w:color="auto"/>
          </w:divBdr>
        </w:div>
        <w:div w:id="1734308838">
          <w:marLeft w:val="0"/>
          <w:marRight w:val="0"/>
          <w:marTop w:val="0"/>
          <w:marBottom w:val="0"/>
          <w:divBdr>
            <w:top w:val="none" w:sz="0" w:space="0" w:color="auto"/>
            <w:left w:val="none" w:sz="0" w:space="0" w:color="auto"/>
            <w:bottom w:val="none" w:sz="0" w:space="0" w:color="auto"/>
            <w:right w:val="none" w:sz="0" w:space="0" w:color="auto"/>
          </w:divBdr>
        </w:div>
        <w:div w:id="2112234616">
          <w:marLeft w:val="0"/>
          <w:marRight w:val="0"/>
          <w:marTop w:val="0"/>
          <w:marBottom w:val="0"/>
          <w:divBdr>
            <w:top w:val="none" w:sz="0" w:space="0" w:color="auto"/>
            <w:left w:val="none" w:sz="0" w:space="0" w:color="auto"/>
            <w:bottom w:val="none" w:sz="0" w:space="0" w:color="auto"/>
            <w:right w:val="none" w:sz="0" w:space="0" w:color="auto"/>
          </w:divBdr>
        </w:div>
      </w:divsChild>
    </w:div>
    <w:div w:id="1816097851">
      <w:bodyDiv w:val="1"/>
      <w:marLeft w:val="0"/>
      <w:marRight w:val="0"/>
      <w:marTop w:val="0"/>
      <w:marBottom w:val="0"/>
      <w:divBdr>
        <w:top w:val="none" w:sz="0" w:space="0" w:color="auto"/>
        <w:left w:val="none" w:sz="0" w:space="0" w:color="auto"/>
        <w:bottom w:val="none" w:sz="0" w:space="0" w:color="auto"/>
        <w:right w:val="none" w:sz="0" w:space="0" w:color="auto"/>
      </w:divBdr>
    </w:div>
    <w:div w:id="1819027949">
      <w:bodyDiv w:val="1"/>
      <w:marLeft w:val="0"/>
      <w:marRight w:val="0"/>
      <w:marTop w:val="0"/>
      <w:marBottom w:val="0"/>
      <w:divBdr>
        <w:top w:val="none" w:sz="0" w:space="0" w:color="auto"/>
        <w:left w:val="none" w:sz="0" w:space="0" w:color="auto"/>
        <w:bottom w:val="none" w:sz="0" w:space="0" w:color="auto"/>
        <w:right w:val="none" w:sz="0" w:space="0" w:color="auto"/>
      </w:divBdr>
    </w:div>
    <w:div w:id="1824538538">
      <w:bodyDiv w:val="1"/>
      <w:marLeft w:val="0"/>
      <w:marRight w:val="0"/>
      <w:marTop w:val="0"/>
      <w:marBottom w:val="0"/>
      <w:divBdr>
        <w:top w:val="none" w:sz="0" w:space="0" w:color="auto"/>
        <w:left w:val="none" w:sz="0" w:space="0" w:color="auto"/>
        <w:bottom w:val="none" w:sz="0" w:space="0" w:color="auto"/>
        <w:right w:val="none" w:sz="0" w:space="0" w:color="auto"/>
      </w:divBdr>
    </w:div>
    <w:div w:id="1833642896">
      <w:bodyDiv w:val="1"/>
      <w:marLeft w:val="0"/>
      <w:marRight w:val="0"/>
      <w:marTop w:val="0"/>
      <w:marBottom w:val="0"/>
      <w:divBdr>
        <w:top w:val="none" w:sz="0" w:space="0" w:color="auto"/>
        <w:left w:val="none" w:sz="0" w:space="0" w:color="auto"/>
        <w:bottom w:val="none" w:sz="0" w:space="0" w:color="auto"/>
        <w:right w:val="none" w:sz="0" w:space="0" w:color="auto"/>
      </w:divBdr>
      <w:divsChild>
        <w:div w:id="50928702">
          <w:marLeft w:val="0"/>
          <w:marRight w:val="0"/>
          <w:marTop w:val="0"/>
          <w:marBottom w:val="0"/>
          <w:divBdr>
            <w:top w:val="none" w:sz="0" w:space="0" w:color="auto"/>
            <w:left w:val="none" w:sz="0" w:space="0" w:color="auto"/>
            <w:bottom w:val="none" w:sz="0" w:space="0" w:color="auto"/>
            <w:right w:val="none" w:sz="0" w:space="0" w:color="auto"/>
          </w:divBdr>
          <w:divsChild>
            <w:div w:id="1836609067">
              <w:marLeft w:val="0"/>
              <w:marRight w:val="0"/>
              <w:marTop w:val="0"/>
              <w:marBottom w:val="0"/>
              <w:divBdr>
                <w:top w:val="none" w:sz="0" w:space="0" w:color="auto"/>
                <w:left w:val="none" w:sz="0" w:space="0" w:color="auto"/>
                <w:bottom w:val="none" w:sz="0" w:space="0" w:color="auto"/>
                <w:right w:val="none" w:sz="0" w:space="0" w:color="auto"/>
              </w:divBdr>
            </w:div>
          </w:divsChild>
        </w:div>
        <w:div w:id="92553530">
          <w:marLeft w:val="0"/>
          <w:marRight w:val="0"/>
          <w:marTop w:val="0"/>
          <w:marBottom w:val="0"/>
          <w:divBdr>
            <w:top w:val="none" w:sz="0" w:space="0" w:color="auto"/>
            <w:left w:val="none" w:sz="0" w:space="0" w:color="auto"/>
            <w:bottom w:val="none" w:sz="0" w:space="0" w:color="auto"/>
            <w:right w:val="none" w:sz="0" w:space="0" w:color="auto"/>
          </w:divBdr>
          <w:divsChild>
            <w:div w:id="137235574">
              <w:marLeft w:val="0"/>
              <w:marRight w:val="0"/>
              <w:marTop w:val="0"/>
              <w:marBottom w:val="0"/>
              <w:divBdr>
                <w:top w:val="none" w:sz="0" w:space="0" w:color="auto"/>
                <w:left w:val="none" w:sz="0" w:space="0" w:color="auto"/>
                <w:bottom w:val="none" w:sz="0" w:space="0" w:color="auto"/>
                <w:right w:val="none" w:sz="0" w:space="0" w:color="auto"/>
              </w:divBdr>
            </w:div>
          </w:divsChild>
        </w:div>
        <w:div w:id="129444701">
          <w:marLeft w:val="0"/>
          <w:marRight w:val="0"/>
          <w:marTop w:val="0"/>
          <w:marBottom w:val="0"/>
          <w:divBdr>
            <w:top w:val="none" w:sz="0" w:space="0" w:color="auto"/>
            <w:left w:val="none" w:sz="0" w:space="0" w:color="auto"/>
            <w:bottom w:val="none" w:sz="0" w:space="0" w:color="auto"/>
            <w:right w:val="none" w:sz="0" w:space="0" w:color="auto"/>
          </w:divBdr>
          <w:divsChild>
            <w:div w:id="847594971">
              <w:marLeft w:val="0"/>
              <w:marRight w:val="0"/>
              <w:marTop w:val="0"/>
              <w:marBottom w:val="0"/>
              <w:divBdr>
                <w:top w:val="none" w:sz="0" w:space="0" w:color="auto"/>
                <w:left w:val="none" w:sz="0" w:space="0" w:color="auto"/>
                <w:bottom w:val="none" w:sz="0" w:space="0" w:color="auto"/>
                <w:right w:val="none" w:sz="0" w:space="0" w:color="auto"/>
              </w:divBdr>
            </w:div>
          </w:divsChild>
        </w:div>
        <w:div w:id="154608402">
          <w:marLeft w:val="0"/>
          <w:marRight w:val="0"/>
          <w:marTop w:val="0"/>
          <w:marBottom w:val="0"/>
          <w:divBdr>
            <w:top w:val="none" w:sz="0" w:space="0" w:color="auto"/>
            <w:left w:val="none" w:sz="0" w:space="0" w:color="auto"/>
            <w:bottom w:val="none" w:sz="0" w:space="0" w:color="auto"/>
            <w:right w:val="none" w:sz="0" w:space="0" w:color="auto"/>
          </w:divBdr>
          <w:divsChild>
            <w:div w:id="1949970806">
              <w:marLeft w:val="0"/>
              <w:marRight w:val="0"/>
              <w:marTop w:val="0"/>
              <w:marBottom w:val="0"/>
              <w:divBdr>
                <w:top w:val="none" w:sz="0" w:space="0" w:color="auto"/>
                <w:left w:val="none" w:sz="0" w:space="0" w:color="auto"/>
                <w:bottom w:val="none" w:sz="0" w:space="0" w:color="auto"/>
                <w:right w:val="none" w:sz="0" w:space="0" w:color="auto"/>
              </w:divBdr>
            </w:div>
          </w:divsChild>
        </w:div>
        <w:div w:id="172650487">
          <w:marLeft w:val="0"/>
          <w:marRight w:val="0"/>
          <w:marTop w:val="0"/>
          <w:marBottom w:val="0"/>
          <w:divBdr>
            <w:top w:val="none" w:sz="0" w:space="0" w:color="auto"/>
            <w:left w:val="none" w:sz="0" w:space="0" w:color="auto"/>
            <w:bottom w:val="none" w:sz="0" w:space="0" w:color="auto"/>
            <w:right w:val="none" w:sz="0" w:space="0" w:color="auto"/>
          </w:divBdr>
          <w:divsChild>
            <w:div w:id="1237403179">
              <w:marLeft w:val="0"/>
              <w:marRight w:val="0"/>
              <w:marTop w:val="0"/>
              <w:marBottom w:val="0"/>
              <w:divBdr>
                <w:top w:val="none" w:sz="0" w:space="0" w:color="auto"/>
                <w:left w:val="none" w:sz="0" w:space="0" w:color="auto"/>
                <w:bottom w:val="none" w:sz="0" w:space="0" w:color="auto"/>
                <w:right w:val="none" w:sz="0" w:space="0" w:color="auto"/>
              </w:divBdr>
            </w:div>
          </w:divsChild>
        </w:div>
        <w:div w:id="218368070">
          <w:marLeft w:val="0"/>
          <w:marRight w:val="0"/>
          <w:marTop w:val="0"/>
          <w:marBottom w:val="0"/>
          <w:divBdr>
            <w:top w:val="none" w:sz="0" w:space="0" w:color="auto"/>
            <w:left w:val="none" w:sz="0" w:space="0" w:color="auto"/>
            <w:bottom w:val="none" w:sz="0" w:space="0" w:color="auto"/>
            <w:right w:val="none" w:sz="0" w:space="0" w:color="auto"/>
          </w:divBdr>
          <w:divsChild>
            <w:div w:id="1455444307">
              <w:marLeft w:val="0"/>
              <w:marRight w:val="0"/>
              <w:marTop w:val="0"/>
              <w:marBottom w:val="0"/>
              <w:divBdr>
                <w:top w:val="none" w:sz="0" w:space="0" w:color="auto"/>
                <w:left w:val="none" w:sz="0" w:space="0" w:color="auto"/>
                <w:bottom w:val="none" w:sz="0" w:space="0" w:color="auto"/>
                <w:right w:val="none" w:sz="0" w:space="0" w:color="auto"/>
              </w:divBdr>
            </w:div>
          </w:divsChild>
        </w:div>
        <w:div w:id="266694254">
          <w:marLeft w:val="0"/>
          <w:marRight w:val="0"/>
          <w:marTop w:val="0"/>
          <w:marBottom w:val="0"/>
          <w:divBdr>
            <w:top w:val="none" w:sz="0" w:space="0" w:color="auto"/>
            <w:left w:val="none" w:sz="0" w:space="0" w:color="auto"/>
            <w:bottom w:val="none" w:sz="0" w:space="0" w:color="auto"/>
            <w:right w:val="none" w:sz="0" w:space="0" w:color="auto"/>
          </w:divBdr>
          <w:divsChild>
            <w:div w:id="1882202635">
              <w:marLeft w:val="0"/>
              <w:marRight w:val="0"/>
              <w:marTop w:val="0"/>
              <w:marBottom w:val="0"/>
              <w:divBdr>
                <w:top w:val="none" w:sz="0" w:space="0" w:color="auto"/>
                <w:left w:val="none" w:sz="0" w:space="0" w:color="auto"/>
                <w:bottom w:val="none" w:sz="0" w:space="0" w:color="auto"/>
                <w:right w:val="none" w:sz="0" w:space="0" w:color="auto"/>
              </w:divBdr>
            </w:div>
          </w:divsChild>
        </w:div>
        <w:div w:id="275334611">
          <w:marLeft w:val="0"/>
          <w:marRight w:val="0"/>
          <w:marTop w:val="0"/>
          <w:marBottom w:val="0"/>
          <w:divBdr>
            <w:top w:val="none" w:sz="0" w:space="0" w:color="auto"/>
            <w:left w:val="none" w:sz="0" w:space="0" w:color="auto"/>
            <w:bottom w:val="none" w:sz="0" w:space="0" w:color="auto"/>
            <w:right w:val="none" w:sz="0" w:space="0" w:color="auto"/>
          </w:divBdr>
          <w:divsChild>
            <w:div w:id="1971402169">
              <w:marLeft w:val="0"/>
              <w:marRight w:val="0"/>
              <w:marTop w:val="0"/>
              <w:marBottom w:val="0"/>
              <w:divBdr>
                <w:top w:val="none" w:sz="0" w:space="0" w:color="auto"/>
                <w:left w:val="none" w:sz="0" w:space="0" w:color="auto"/>
                <w:bottom w:val="none" w:sz="0" w:space="0" w:color="auto"/>
                <w:right w:val="none" w:sz="0" w:space="0" w:color="auto"/>
              </w:divBdr>
            </w:div>
          </w:divsChild>
        </w:div>
        <w:div w:id="297416450">
          <w:marLeft w:val="0"/>
          <w:marRight w:val="0"/>
          <w:marTop w:val="0"/>
          <w:marBottom w:val="0"/>
          <w:divBdr>
            <w:top w:val="none" w:sz="0" w:space="0" w:color="auto"/>
            <w:left w:val="none" w:sz="0" w:space="0" w:color="auto"/>
            <w:bottom w:val="none" w:sz="0" w:space="0" w:color="auto"/>
            <w:right w:val="none" w:sz="0" w:space="0" w:color="auto"/>
          </w:divBdr>
          <w:divsChild>
            <w:div w:id="1586845325">
              <w:marLeft w:val="0"/>
              <w:marRight w:val="0"/>
              <w:marTop w:val="0"/>
              <w:marBottom w:val="0"/>
              <w:divBdr>
                <w:top w:val="none" w:sz="0" w:space="0" w:color="auto"/>
                <w:left w:val="none" w:sz="0" w:space="0" w:color="auto"/>
                <w:bottom w:val="none" w:sz="0" w:space="0" w:color="auto"/>
                <w:right w:val="none" w:sz="0" w:space="0" w:color="auto"/>
              </w:divBdr>
            </w:div>
          </w:divsChild>
        </w:div>
        <w:div w:id="297495637">
          <w:marLeft w:val="0"/>
          <w:marRight w:val="0"/>
          <w:marTop w:val="0"/>
          <w:marBottom w:val="0"/>
          <w:divBdr>
            <w:top w:val="none" w:sz="0" w:space="0" w:color="auto"/>
            <w:left w:val="none" w:sz="0" w:space="0" w:color="auto"/>
            <w:bottom w:val="none" w:sz="0" w:space="0" w:color="auto"/>
            <w:right w:val="none" w:sz="0" w:space="0" w:color="auto"/>
          </w:divBdr>
          <w:divsChild>
            <w:div w:id="390078120">
              <w:marLeft w:val="0"/>
              <w:marRight w:val="0"/>
              <w:marTop w:val="0"/>
              <w:marBottom w:val="0"/>
              <w:divBdr>
                <w:top w:val="none" w:sz="0" w:space="0" w:color="auto"/>
                <w:left w:val="none" w:sz="0" w:space="0" w:color="auto"/>
                <w:bottom w:val="none" w:sz="0" w:space="0" w:color="auto"/>
                <w:right w:val="none" w:sz="0" w:space="0" w:color="auto"/>
              </w:divBdr>
            </w:div>
          </w:divsChild>
        </w:div>
        <w:div w:id="310133215">
          <w:marLeft w:val="0"/>
          <w:marRight w:val="0"/>
          <w:marTop w:val="0"/>
          <w:marBottom w:val="0"/>
          <w:divBdr>
            <w:top w:val="none" w:sz="0" w:space="0" w:color="auto"/>
            <w:left w:val="none" w:sz="0" w:space="0" w:color="auto"/>
            <w:bottom w:val="none" w:sz="0" w:space="0" w:color="auto"/>
            <w:right w:val="none" w:sz="0" w:space="0" w:color="auto"/>
          </w:divBdr>
          <w:divsChild>
            <w:div w:id="1555966285">
              <w:marLeft w:val="0"/>
              <w:marRight w:val="0"/>
              <w:marTop w:val="0"/>
              <w:marBottom w:val="0"/>
              <w:divBdr>
                <w:top w:val="none" w:sz="0" w:space="0" w:color="auto"/>
                <w:left w:val="none" w:sz="0" w:space="0" w:color="auto"/>
                <w:bottom w:val="none" w:sz="0" w:space="0" w:color="auto"/>
                <w:right w:val="none" w:sz="0" w:space="0" w:color="auto"/>
              </w:divBdr>
            </w:div>
          </w:divsChild>
        </w:div>
        <w:div w:id="312369420">
          <w:marLeft w:val="0"/>
          <w:marRight w:val="0"/>
          <w:marTop w:val="0"/>
          <w:marBottom w:val="0"/>
          <w:divBdr>
            <w:top w:val="none" w:sz="0" w:space="0" w:color="auto"/>
            <w:left w:val="none" w:sz="0" w:space="0" w:color="auto"/>
            <w:bottom w:val="none" w:sz="0" w:space="0" w:color="auto"/>
            <w:right w:val="none" w:sz="0" w:space="0" w:color="auto"/>
          </w:divBdr>
          <w:divsChild>
            <w:div w:id="439036071">
              <w:marLeft w:val="0"/>
              <w:marRight w:val="0"/>
              <w:marTop w:val="0"/>
              <w:marBottom w:val="0"/>
              <w:divBdr>
                <w:top w:val="none" w:sz="0" w:space="0" w:color="auto"/>
                <w:left w:val="none" w:sz="0" w:space="0" w:color="auto"/>
                <w:bottom w:val="none" w:sz="0" w:space="0" w:color="auto"/>
                <w:right w:val="none" w:sz="0" w:space="0" w:color="auto"/>
              </w:divBdr>
            </w:div>
          </w:divsChild>
        </w:div>
        <w:div w:id="326447978">
          <w:marLeft w:val="0"/>
          <w:marRight w:val="0"/>
          <w:marTop w:val="0"/>
          <w:marBottom w:val="0"/>
          <w:divBdr>
            <w:top w:val="none" w:sz="0" w:space="0" w:color="auto"/>
            <w:left w:val="none" w:sz="0" w:space="0" w:color="auto"/>
            <w:bottom w:val="none" w:sz="0" w:space="0" w:color="auto"/>
            <w:right w:val="none" w:sz="0" w:space="0" w:color="auto"/>
          </w:divBdr>
          <w:divsChild>
            <w:div w:id="1057046683">
              <w:marLeft w:val="0"/>
              <w:marRight w:val="0"/>
              <w:marTop w:val="0"/>
              <w:marBottom w:val="0"/>
              <w:divBdr>
                <w:top w:val="none" w:sz="0" w:space="0" w:color="auto"/>
                <w:left w:val="none" w:sz="0" w:space="0" w:color="auto"/>
                <w:bottom w:val="none" w:sz="0" w:space="0" w:color="auto"/>
                <w:right w:val="none" w:sz="0" w:space="0" w:color="auto"/>
              </w:divBdr>
            </w:div>
          </w:divsChild>
        </w:div>
        <w:div w:id="357631477">
          <w:marLeft w:val="0"/>
          <w:marRight w:val="0"/>
          <w:marTop w:val="0"/>
          <w:marBottom w:val="0"/>
          <w:divBdr>
            <w:top w:val="none" w:sz="0" w:space="0" w:color="auto"/>
            <w:left w:val="none" w:sz="0" w:space="0" w:color="auto"/>
            <w:bottom w:val="none" w:sz="0" w:space="0" w:color="auto"/>
            <w:right w:val="none" w:sz="0" w:space="0" w:color="auto"/>
          </w:divBdr>
          <w:divsChild>
            <w:div w:id="1955480781">
              <w:marLeft w:val="0"/>
              <w:marRight w:val="0"/>
              <w:marTop w:val="0"/>
              <w:marBottom w:val="0"/>
              <w:divBdr>
                <w:top w:val="none" w:sz="0" w:space="0" w:color="auto"/>
                <w:left w:val="none" w:sz="0" w:space="0" w:color="auto"/>
                <w:bottom w:val="none" w:sz="0" w:space="0" w:color="auto"/>
                <w:right w:val="none" w:sz="0" w:space="0" w:color="auto"/>
              </w:divBdr>
            </w:div>
          </w:divsChild>
        </w:div>
        <w:div w:id="374161007">
          <w:marLeft w:val="0"/>
          <w:marRight w:val="0"/>
          <w:marTop w:val="0"/>
          <w:marBottom w:val="0"/>
          <w:divBdr>
            <w:top w:val="none" w:sz="0" w:space="0" w:color="auto"/>
            <w:left w:val="none" w:sz="0" w:space="0" w:color="auto"/>
            <w:bottom w:val="none" w:sz="0" w:space="0" w:color="auto"/>
            <w:right w:val="none" w:sz="0" w:space="0" w:color="auto"/>
          </w:divBdr>
          <w:divsChild>
            <w:div w:id="1866596669">
              <w:marLeft w:val="0"/>
              <w:marRight w:val="0"/>
              <w:marTop w:val="0"/>
              <w:marBottom w:val="0"/>
              <w:divBdr>
                <w:top w:val="none" w:sz="0" w:space="0" w:color="auto"/>
                <w:left w:val="none" w:sz="0" w:space="0" w:color="auto"/>
                <w:bottom w:val="none" w:sz="0" w:space="0" w:color="auto"/>
                <w:right w:val="none" w:sz="0" w:space="0" w:color="auto"/>
              </w:divBdr>
            </w:div>
          </w:divsChild>
        </w:div>
        <w:div w:id="379718634">
          <w:marLeft w:val="0"/>
          <w:marRight w:val="0"/>
          <w:marTop w:val="0"/>
          <w:marBottom w:val="0"/>
          <w:divBdr>
            <w:top w:val="none" w:sz="0" w:space="0" w:color="auto"/>
            <w:left w:val="none" w:sz="0" w:space="0" w:color="auto"/>
            <w:bottom w:val="none" w:sz="0" w:space="0" w:color="auto"/>
            <w:right w:val="none" w:sz="0" w:space="0" w:color="auto"/>
          </w:divBdr>
          <w:divsChild>
            <w:div w:id="686372992">
              <w:marLeft w:val="0"/>
              <w:marRight w:val="0"/>
              <w:marTop w:val="0"/>
              <w:marBottom w:val="0"/>
              <w:divBdr>
                <w:top w:val="none" w:sz="0" w:space="0" w:color="auto"/>
                <w:left w:val="none" w:sz="0" w:space="0" w:color="auto"/>
                <w:bottom w:val="none" w:sz="0" w:space="0" w:color="auto"/>
                <w:right w:val="none" w:sz="0" w:space="0" w:color="auto"/>
              </w:divBdr>
            </w:div>
          </w:divsChild>
        </w:div>
        <w:div w:id="429933913">
          <w:marLeft w:val="0"/>
          <w:marRight w:val="0"/>
          <w:marTop w:val="0"/>
          <w:marBottom w:val="0"/>
          <w:divBdr>
            <w:top w:val="none" w:sz="0" w:space="0" w:color="auto"/>
            <w:left w:val="none" w:sz="0" w:space="0" w:color="auto"/>
            <w:bottom w:val="none" w:sz="0" w:space="0" w:color="auto"/>
            <w:right w:val="none" w:sz="0" w:space="0" w:color="auto"/>
          </w:divBdr>
          <w:divsChild>
            <w:div w:id="1458258429">
              <w:marLeft w:val="0"/>
              <w:marRight w:val="0"/>
              <w:marTop w:val="0"/>
              <w:marBottom w:val="0"/>
              <w:divBdr>
                <w:top w:val="none" w:sz="0" w:space="0" w:color="auto"/>
                <w:left w:val="none" w:sz="0" w:space="0" w:color="auto"/>
                <w:bottom w:val="none" w:sz="0" w:space="0" w:color="auto"/>
                <w:right w:val="none" w:sz="0" w:space="0" w:color="auto"/>
              </w:divBdr>
            </w:div>
          </w:divsChild>
        </w:div>
        <w:div w:id="459155895">
          <w:marLeft w:val="0"/>
          <w:marRight w:val="0"/>
          <w:marTop w:val="0"/>
          <w:marBottom w:val="0"/>
          <w:divBdr>
            <w:top w:val="none" w:sz="0" w:space="0" w:color="auto"/>
            <w:left w:val="none" w:sz="0" w:space="0" w:color="auto"/>
            <w:bottom w:val="none" w:sz="0" w:space="0" w:color="auto"/>
            <w:right w:val="none" w:sz="0" w:space="0" w:color="auto"/>
          </w:divBdr>
          <w:divsChild>
            <w:div w:id="667446667">
              <w:marLeft w:val="0"/>
              <w:marRight w:val="0"/>
              <w:marTop w:val="0"/>
              <w:marBottom w:val="0"/>
              <w:divBdr>
                <w:top w:val="none" w:sz="0" w:space="0" w:color="auto"/>
                <w:left w:val="none" w:sz="0" w:space="0" w:color="auto"/>
                <w:bottom w:val="none" w:sz="0" w:space="0" w:color="auto"/>
                <w:right w:val="none" w:sz="0" w:space="0" w:color="auto"/>
              </w:divBdr>
            </w:div>
          </w:divsChild>
        </w:div>
        <w:div w:id="470247683">
          <w:marLeft w:val="0"/>
          <w:marRight w:val="0"/>
          <w:marTop w:val="0"/>
          <w:marBottom w:val="0"/>
          <w:divBdr>
            <w:top w:val="none" w:sz="0" w:space="0" w:color="auto"/>
            <w:left w:val="none" w:sz="0" w:space="0" w:color="auto"/>
            <w:bottom w:val="none" w:sz="0" w:space="0" w:color="auto"/>
            <w:right w:val="none" w:sz="0" w:space="0" w:color="auto"/>
          </w:divBdr>
          <w:divsChild>
            <w:div w:id="1648972189">
              <w:marLeft w:val="0"/>
              <w:marRight w:val="0"/>
              <w:marTop w:val="0"/>
              <w:marBottom w:val="0"/>
              <w:divBdr>
                <w:top w:val="none" w:sz="0" w:space="0" w:color="auto"/>
                <w:left w:val="none" w:sz="0" w:space="0" w:color="auto"/>
                <w:bottom w:val="none" w:sz="0" w:space="0" w:color="auto"/>
                <w:right w:val="none" w:sz="0" w:space="0" w:color="auto"/>
              </w:divBdr>
            </w:div>
          </w:divsChild>
        </w:div>
        <w:div w:id="495387454">
          <w:marLeft w:val="0"/>
          <w:marRight w:val="0"/>
          <w:marTop w:val="0"/>
          <w:marBottom w:val="0"/>
          <w:divBdr>
            <w:top w:val="none" w:sz="0" w:space="0" w:color="auto"/>
            <w:left w:val="none" w:sz="0" w:space="0" w:color="auto"/>
            <w:bottom w:val="none" w:sz="0" w:space="0" w:color="auto"/>
            <w:right w:val="none" w:sz="0" w:space="0" w:color="auto"/>
          </w:divBdr>
          <w:divsChild>
            <w:div w:id="1077895559">
              <w:marLeft w:val="0"/>
              <w:marRight w:val="0"/>
              <w:marTop w:val="0"/>
              <w:marBottom w:val="0"/>
              <w:divBdr>
                <w:top w:val="none" w:sz="0" w:space="0" w:color="auto"/>
                <w:left w:val="none" w:sz="0" w:space="0" w:color="auto"/>
                <w:bottom w:val="none" w:sz="0" w:space="0" w:color="auto"/>
                <w:right w:val="none" w:sz="0" w:space="0" w:color="auto"/>
              </w:divBdr>
            </w:div>
          </w:divsChild>
        </w:div>
        <w:div w:id="495464502">
          <w:marLeft w:val="0"/>
          <w:marRight w:val="0"/>
          <w:marTop w:val="0"/>
          <w:marBottom w:val="0"/>
          <w:divBdr>
            <w:top w:val="none" w:sz="0" w:space="0" w:color="auto"/>
            <w:left w:val="none" w:sz="0" w:space="0" w:color="auto"/>
            <w:bottom w:val="none" w:sz="0" w:space="0" w:color="auto"/>
            <w:right w:val="none" w:sz="0" w:space="0" w:color="auto"/>
          </w:divBdr>
          <w:divsChild>
            <w:div w:id="2049838895">
              <w:marLeft w:val="0"/>
              <w:marRight w:val="0"/>
              <w:marTop w:val="0"/>
              <w:marBottom w:val="0"/>
              <w:divBdr>
                <w:top w:val="none" w:sz="0" w:space="0" w:color="auto"/>
                <w:left w:val="none" w:sz="0" w:space="0" w:color="auto"/>
                <w:bottom w:val="none" w:sz="0" w:space="0" w:color="auto"/>
                <w:right w:val="none" w:sz="0" w:space="0" w:color="auto"/>
              </w:divBdr>
            </w:div>
          </w:divsChild>
        </w:div>
        <w:div w:id="501315854">
          <w:marLeft w:val="0"/>
          <w:marRight w:val="0"/>
          <w:marTop w:val="0"/>
          <w:marBottom w:val="0"/>
          <w:divBdr>
            <w:top w:val="none" w:sz="0" w:space="0" w:color="auto"/>
            <w:left w:val="none" w:sz="0" w:space="0" w:color="auto"/>
            <w:bottom w:val="none" w:sz="0" w:space="0" w:color="auto"/>
            <w:right w:val="none" w:sz="0" w:space="0" w:color="auto"/>
          </w:divBdr>
          <w:divsChild>
            <w:div w:id="1006833255">
              <w:marLeft w:val="0"/>
              <w:marRight w:val="0"/>
              <w:marTop w:val="0"/>
              <w:marBottom w:val="0"/>
              <w:divBdr>
                <w:top w:val="none" w:sz="0" w:space="0" w:color="auto"/>
                <w:left w:val="none" w:sz="0" w:space="0" w:color="auto"/>
                <w:bottom w:val="none" w:sz="0" w:space="0" w:color="auto"/>
                <w:right w:val="none" w:sz="0" w:space="0" w:color="auto"/>
              </w:divBdr>
            </w:div>
          </w:divsChild>
        </w:div>
        <w:div w:id="532156514">
          <w:marLeft w:val="0"/>
          <w:marRight w:val="0"/>
          <w:marTop w:val="0"/>
          <w:marBottom w:val="0"/>
          <w:divBdr>
            <w:top w:val="none" w:sz="0" w:space="0" w:color="auto"/>
            <w:left w:val="none" w:sz="0" w:space="0" w:color="auto"/>
            <w:bottom w:val="none" w:sz="0" w:space="0" w:color="auto"/>
            <w:right w:val="none" w:sz="0" w:space="0" w:color="auto"/>
          </w:divBdr>
          <w:divsChild>
            <w:div w:id="64690328">
              <w:marLeft w:val="0"/>
              <w:marRight w:val="0"/>
              <w:marTop w:val="0"/>
              <w:marBottom w:val="0"/>
              <w:divBdr>
                <w:top w:val="none" w:sz="0" w:space="0" w:color="auto"/>
                <w:left w:val="none" w:sz="0" w:space="0" w:color="auto"/>
                <w:bottom w:val="none" w:sz="0" w:space="0" w:color="auto"/>
                <w:right w:val="none" w:sz="0" w:space="0" w:color="auto"/>
              </w:divBdr>
            </w:div>
          </w:divsChild>
        </w:div>
        <w:div w:id="544026301">
          <w:marLeft w:val="0"/>
          <w:marRight w:val="0"/>
          <w:marTop w:val="0"/>
          <w:marBottom w:val="0"/>
          <w:divBdr>
            <w:top w:val="none" w:sz="0" w:space="0" w:color="auto"/>
            <w:left w:val="none" w:sz="0" w:space="0" w:color="auto"/>
            <w:bottom w:val="none" w:sz="0" w:space="0" w:color="auto"/>
            <w:right w:val="none" w:sz="0" w:space="0" w:color="auto"/>
          </w:divBdr>
          <w:divsChild>
            <w:div w:id="302469463">
              <w:marLeft w:val="0"/>
              <w:marRight w:val="0"/>
              <w:marTop w:val="0"/>
              <w:marBottom w:val="0"/>
              <w:divBdr>
                <w:top w:val="none" w:sz="0" w:space="0" w:color="auto"/>
                <w:left w:val="none" w:sz="0" w:space="0" w:color="auto"/>
                <w:bottom w:val="none" w:sz="0" w:space="0" w:color="auto"/>
                <w:right w:val="none" w:sz="0" w:space="0" w:color="auto"/>
              </w:divBdr>
            </w:div>
          </w:divsChild>
        </w:div>
        <w:div w:id="603196330">
          <w:marLeft w:val="0"/>
          <w:marRight w:val="0"/>
          <w:marTop w:val="0"/>
          <w:marBottom w:val="0"/>
          <w:divBdr>
            <w:top w:val="none" w:sz="0" w:space="0" w:color="auto"/>
            <w:left w:val="none" w:sz="0" w:space="0" w:color="auto"/>
            <w:bottom w:val="none" w:sz="0" w:space="0" w:color="auto"/>
            <w:right w:val="none" w:sz="0" w:space="0" w:color="auto"/>
          </w:divBdr>
          <w:divsChild>
            <w:div w:id="2019037289">
              <w:marLeft w:val="0"/>
              <w:marRight w:val="0"/>
              <w:marTop w:val="0"/>
              <w:marBottom w:val="0"/>
              <w:divBdr>
                <w:top w:val="none" w:sz="0" w:space="0" w:color="auto"/>
                <w:left w:val="none" w:sz="0" w:space="0" w:color="auto"/>
                <w:bottom w:val="none" w:sz="0" w:space="0" w:color="auto"/>
                <w:right w:val="none" w:sz="0" w:space="0" w:color="auto"/>
              </w:divBdr>
            </w:div>
          </w:divsChild>
        </w:div>
        <w:div w:id="604307932">
          <w:marLeft w:val="0"/>
          <w:marRight w:val="0"/>
          <w:marTop w:val="0"/>
          <w:marBottom w:val="0"/>
          <w:divBdr>
            <w:top w:val="none" w:sz="0" w:space="0" w:color="auto"/>
            <w:left w:val="none" w:sz="0" w:space="0" w:color="auto"/>
            <w:bottom w:val="none" w:sz="0" w:space="0" w:color="auto"/>
            <w:right w:val="none" w:sz="0" w:space="0" w:color="auto"/>
          </w:divBdr>
          <w:divsChild>
            <w:div w:id="1498498941">
              <w:marLeft w:val="0"/>
              <w:marRight w:val="0"/>
              <w:marTop w:val="0"/>
              <w:marBottom w:val="0"/>
              <w:divBdr>
                <w:top w:val="none" w:sz="0" w:space="0" w:color="auto"/>
                <w:left w:val="none" w:sz="0" w:space="0" w:color="auto"/>
                <w:bottom w:val="none" w:sz="0" w:space="0" w:color="auto"/>
                <w:right w:val="none" w:sz="0" w:space="0" w:color="auto"/>
              </w:divBdr>
            </w:div>
          </w:divsChild>
        </w:div>
        <w:div w:id="619453364">
          <w:marLeft w:val="0"/>
          <w:marRight w:val="0"/>
          <w:marTop w:val="0"/>
          <w:marBottom w:val="0"/>
          <w:divBdr>
            <w:top w:val="none" w:sz="0" w:space="0" w:color="auto"/>
            <w:left w:val="none" w:sz="0" w:space="0" w:color="auto"/>
            <w:bottom w:val="none" w:sz="0" w:space="0" w:color="auto"/>
            <w:right w:val="none" w:sz="0" w:space="0" w:color="auto"/>
          </w:divBdr>
          <w:divsChild>
            <w:div w:id="2007514147">
              <w:marLeft w:val="0"/>
              <w:marRight w:val="0"/>
              <w:marTop w:val="0"/>
              <w:marBottom w:val="0"/>
              <w:divBdr>
                <w:top w:val="none" w:sz="0" w:space="0" w:color="auto"/>
                <w:left w:val="none" w:sz="0" w:space="0" w:color="auto"/>
                <w:bottom w:val="none" w:sz="0" w:space="0" w:color="auto"/>
                <w:right w:val="none" w:sz="0" w:space="0" w:color="auto"/>
              </w:divBdr>
            </w:div>
          </w:divsChild>
        </w:div>
        <w:div w:id="659040183">
          <w:marLeft w:val="0"/>
          <w:marRight w:val="0"/>
          <w:marTop w:val="0"/>
          <w:marBottom w:val="0"/>
          <w:divBdr>
            <w:top w:val="none" w:sz="0" w:space="0" w:color="auto"/>
            <w:left w:val="none" w:sz="0" w:space="0" w:color="auto"/>
            <w:bottom w:val="none" w:sz="0" w:space="0" w:color="auto"/>
            <w:right w:val="none" w:sz="0" w:space="0" w:color="auto"/>
          </w:divBdr>
          <w:divsChild>
            <w:div w:id="763496703">
              <w:marLeft w:val="0"/>
              <w:marRight w:val="0"/>
              <w:marTop w:val="0"/>
              <w:marBottom w:val="0"/>
              <w:divBdr>
                <w:top w:val="none" w:sz="0" w:space="0" w:color="auto"/>
                <w:left w:val="none" w:sz="0" w:space="0" w:color="auto"/>
                <w:bottom w:val="none" w:sz="0" w:space="0" w:color="auto"/>
                <w:right w:val="none" w:sz="0" w:space="0" w:color="auto"/>
              </w:divBdr>
            </w:div>
          </w:divsChild>
        </w:div>
        <w:div w:id="677081125">
          <w:marLeft w:val="0"/>
          <w:marRight w:val="0"/>
          <w:marTop w:val="0"/>
          <w:marBottom w:val="0"/>
          <w:divBdr>
            <w:top w:val="none" w:sz="0" w:space="0" w:color="auto"/>
            <w:left w:val="none" w:sz="0" w:space="0" w:color="auto"/>
            <w:bottom w:val="none" w:sz="0" w:space="0" w:color="auto"/>
            <w:right w:val="none" w:sz="0" w:space="0" w:color="auto"/>
          </w:divBdr>
          <w:divsChild>
            <w:div w:id="2017001800">
              <w:marLeft w:val="0"/>
              <w:marRight w:val="0"/>
              <w:marTop w:val="0"/>
              <w:marBottom w:val="0"/>
              <w:divBdr>
                <w:top w:val="none" w:sz="0" w:space="0" w:color="auto"/>
                <w:left w:val="none" w:sz="0" w:space="0" w:color="auto"/>
                <w:bottom w:val="none" w:sz="0" w:space="0" w:color="auto"/>
                <w:right w:val="none" w:sz="0" w:space="0" w:color="auto"/>
              </w:divBdr>
            </w:div>
          </w:divsChild>
        </w:div>
        <w:div w:id="750856777">
          <w:marLeft w:val="0"/>
          <w:marRight w:val="0"/>
          <w:marTop w:val="0"/>
          <w:marBottom w:val="0"/>
          <w:divBdr>
            <w:top w:val="none" w:sz="0" w:space="0" w:color="auto"/>
            <w:left w:val="none" w:sz="0" w:space="0" w:color="auto"/>
            <w:bottom w:val="none" w:sz="0" w:space="0" w:color="auto"/>
            <w:right w:val="none" w:sz="0" w:space="0" w:color="auto"/>
          </w:divBdr>
          <w:divsChild>
            <w:div w:id="1248535659">
              <w:marLeft w:val="0"/>
              <w:marRight w:val="0"/>
              <w:marTop w:val="0"/>
              <w:marBottom w:val="0"/>
              <w:divBdr>
                <w:top w:val="none" w:sz="0" w:space="0" w:color="auto"/>
                <w:left w:val="none" w:sz="0" w:space="0" w:color="auto"/>
                <w:bottom w:val="none" w:sz="0" w:space="0" w:color="auto"/>
                <w:right w:val="none" w:sz="0" w:space="0" w:color="auto"/>
              </w:divBdr>
            </w:div>
          </w:divsChild>
        </w:div>
        <w:div w:id="768620225">
          <w:marLeft w:val="0"/>
          <w:marRight w:val="0"/>
          <w:marTop w:val="0"/>
          <w:marBottom w:val="0"/>
          <w:divBdr>
            <w:top w:val="none" w:sz="0" w:space="0" w:color="auto"/>
            <w:left w:val="none" w:sz="0" w:space="0" w:color="auto"/>
            <w:bottom w:val="none" w:sz="0" w:space="0" w:color="auto"/>
            <w:right w:val="none" w:sz="0" w:space="0" w:color="auto"/>
          </w:divBdr>
          <w:divsChild>
            <w:div w:id="915625798">
              <w:marLeft w:val="0"/>
              <w:marRight w:val="0"/>
              <w:marTop w:val="0"/>
              <w:marBottom w:val="0"/>
              <w:divBdr>
                <w:top w:val="none" w:sz="0" w:space="0" w:color="auto"/>
                <w:left w:val="none" w:sz="0" w:space="0" w:color="auto"/>
                <w:bottom w:val="none" w:sz="0" w:space="0" w:color="auto"/>
                <w:right w:val="none" w:sz="0" w:space="0" w:color="auto"/>
              </w:divBdr>
            </w:div>
          </w:divsChild>
        </w:div>
        <w:div w:id="849026581">
          <w:marLeft w:val="0"/>
          <w:marRight w:val="0"/>
          <w:marTop w:val="0"/>
          <w:marBottom w:val="0"/>
          <w:divBdr>
            <w:top w:val="none" w:sz="0" w:space="0" w:color="auto"/>
            <w:left w:val="none" w:sz="0" w:space="0" w:color="auto"/>
            <w:bottom w:val="none" w:sz="0" w:space="0" w:color="auto"/>
            <w:right w:val="none" w:sz="0" w:space="0" w:color="auto"/>
          </w:divBdr>
          <w:divsChild>
            <w:div w:id="44259075">
              <w:marLeft w:val="0"/>
              <w:marRight w:val="0"/>
              <w:marTop w:val="0"/>
              <w:marBottom w:val="0"/>
              <w:divBdr>
                <w:top w:val="none" w:sz="0" w:space="0" w:color="auto"/>
                <w:left w:val="none" w:sz="0" w:space="0" w:color="auto"/>
                <w:bottom w:val="none" w:sz="0" w:space="0" w:color="auto"/>
                <w:right w:val="none" w:sz="0" w:space="0" w:color="auto"/>
              </w:divBdr>
            </w:div>
          </w:divsChild>
        </w:div>
        <w:div w:id="849486954">
          <w:marLeft w:val="0"/>
          <w:marRight w:val="0"/>
          <w:marTop w:val="0"/>
          <w:marBottom w:val="0"/>
          <w:divBdr>
            <w:top w:val="none" w:sz="0" w:space="0" w:color="auto"/>
            <w:left w:val="none" w:sz="0" w:space="0" w:color="auto"/>
            <w:bottom w:val="none" w:sz="0" w:space="0" w:color="auto"/>
            <w:right w:val="none" w:sz="0" w:space="0" w:color="auto"/>
          </w:divBdr>
          <w:divsChild>
            <w:div w:id="592513513">
              <w:marLeft w:val="0"/>
              <w:marRight w:val="0"/>
              <w:marTop w:val="0"/>
              <w:marBottom w:val="0"/>
              <w:divBdr>
                <w:top w:val="none" w:sz="0" w:space="0" w:color="auto"/>
                <w:left w:val="none" w:sz="0" w:space="0" w:color="auto"/>
                <w:bottom w:val="none" w:sz="0" w:space="0" w:color="auto"/>
                <w:right w:val="none" w:sz="0" w:space="0" w:color="auto"/>
              </w:divBdr>
            </w:div>
          </w:divsChild>
        </w:div>
        <w:div w:id="866676597">
          <w:marLeft w:val="0"/>
          <w:marRight w:val="0"/>
          <w:marTop w:val="0"/>
          <w:marBottom w:val="0"/>
          <w:divBdr>
            <w:top w:val="none" w:sz="0" w:space="0" w:color="auto"/>
            <w:left w:val="none" w:sz="0" w:space="0" w:color="auto"/>
            <w:bottom w:val="none" w:sz="0" w:space="0" w:color="auto"/>
            <w:right w:val="none" w:sz="0" w:space="0" w:color="auto"/>
          </w:divBdr>
          <w:divsChild>
            <w:div w:id="1681854223">
              <w:marLeft w:val="0"/>
              <w:marRight w:val="0"/>
              <w:marTop w:val="0"/>
              <w:marBottom w:val="0"/>
              <w:divBdr>
                <w:top w:val="none" w:sz="0" w:space="0" w:color="auto"/>
                <w:left w:val="none" w:sz="0" w:space="0" w:color="auto"/>
                <w:bottom w:val="none" w:sz="0" w:space="0" w:color="auto"/>
                <w:right w:val="none" w:sz="0" w:space="0" w:color="auto"/>
              </w:divBdr>
            </w:div>
          </w:divsChild>
        </w:div>
        <w:div w:id="891189970">
          <w:marLeft w:val="0"/>
          <w:marRight w:val="0"/>
          <w:marTop w:val="0"/>
          <w:marBottom w:val="0"/>
          <w:divBdr>
            <w:top w:val="none" w:sz="0" w:space="0" w:color="auto"/>
            <w:left w:val="none" w:sz="0" w:space="0" w:color="auto"/>
            <w:bottom w:val="none" w:sz="0" w:space="0" w:color="auto"/>
            <w:right w:val="none" w:sz="0" w:space="0" w:color="auto"/>
          </w:divBdr>
          <w:divsChild>
            <w:div w:id="1257129627">
              <w:marLeft w:val="0"/>
              <w:marRight w:val="0"/>
              <w:marTop w:val="0"/>
              <w:marBottom w:val="0"/>
              <w:divBdr>
                <w:top w:val="none" w:sz="0" w:space="0" w:color="auto"/>
                <w:left w:val="none" w:sz="0" w:space="0" w:color="auto"/>
                <w:bottom w:val="none" w:sz="0" w:space="0" w:color="auto"/>
                <w:right w:val="none" w:sz="0" w:space="0" w:color="auto"/>
              </w:divBdr>
            </w:div>
          </w:divsChild>
        </w:div>
        <w:div w:id="893663665">
          <w:marLeft w:val="0"/>
          <w:marRight w:val="0"/>
          <w:marTop w:val="0"/>
          <w:marBottom w:val="0"/>
          <w:divBdr>
            <w:top w:val="none" w:sz="0" w:space="0" w:color="auto"/>
            <w:left w:val="none" w:sz="0" w:space="0" w:color="auto"/>
            <w:bottom w:val="none" w:sz="0" w:space="0" w:color="auto"/>
            <w:right w:val="none" w:sz="0" w:space="0" w:color="auto"/>
          </w:divBdr>
          <w:divsChild>
            <w:div w:id="372536816">
              <w:marLeft w:val="0"/>
              <w:marRight w:val="0"/>
              <w:marTop w:val="0"/>
              <w:marBottom w:val="0"/>
              <w:divBdr>
                <w:top w:val="none" w:sz="0" w:space="0" w:color="auto"/>
                <w:left w:val="none" w:sz="0" w:space="0" w:color="auto"/>
                <w:bottom w:val="none" w:sz="0" w:space="0" w:color="auto"/>
                <w:right w:val="none" w:sz="0" w:space="0" w:color="auto"/>
              </w:divBdr>
            </w:div>
          </w:divsChild>
        </w:div>
        <w:div w:id="895749756">
          <w:marLeft w:val="0"/>
          <w:marRight w:val="0"/>
          <w:marTop w:val="0"/>
          <w:marBottom w:val="0"/>
          <w:divBdr>
            <w:top w:val="none" w:sz="0" w:space="0" w:color="auto"/>
            <w:left w:val="none" w:sz="0" w:space="0" w:color="auto"/>
            <w:bottom w:val="none" w:sz="0" w:space="0" w:color="auto"/>
            <w:right w:val="none" w:sz="0" w:space="0" w:color="auto"/>
          </w:divBdr>
          <w:divsChild>
            <w:div w:id="592934968">
              <w:marLeft w:val="0"/>
              <w:marRight w:val="0"/>
              <w:marTop w:val="0"/>
              <w:marBottom w:val="0"/>
              <w:divBdr>
                <w:top w:val="none" w:sz="0" w:space="0" w:color="auto"/>
                <w:left w:val="none" w:sz="0" w:space="0" w:color="auto"/>
                <w:bottom w:val="none" w:sz="0" w:space="0" w:color="auto"/>
                <w:right w:val="none" w:sz="0" w:space="0" w:color="auto"/>
              </w:divBdr>
            </w:div>
          </w:divsChild>
        </w:div>
        <w:div w:id="946739068">
          <w:marLeft w:val="0"/>
          <w:marRight w:val="0"/>
          <w:marTop w:val="0"/>
          <w:marBottom w:val="0"/>
          <w:divBdr>
            <w:top w:val="none" w:sz="0" w:space="0" w:color="auto"/>
            <w:left w:val="none" w:sz="0" w:space="0" w:color="auto"/>
            <w:bottom w:val="none" w:sz="0" w:space="0" w:color="auto"/>
            <w:right w:val="none" w:sz="0" w:space="0" w:color="auto"/>
          </w:divBdr>
          <w:divsChild>
            <w:div w:id="477651963">
              <w:marLeft w:val="0"/>
              <w:marRight w:val="0"/>
              <w:marTop w:val="0"/>
              <w:marBottom w:val="0"/>
              <w:divBdr>
                <w:top w:val="none" w:sz="0" w:space="0" w:color="auto"/>
                <w:left w:val="none" w:sz="0" w:space="0" w:color="auto"/>
                <w:bottom w:val="none" w:sz="0" w:space="0" w:color="auto"/>
                <w:right w:val="none" w:sz="0" w:space="0" w:color="auto"/>
              </w:divBdr>
            </w:div>
          </w:divsChild>
        </w:div>
        <w:div w:id="974413254">
          <w:marLeft w:val="0"/>
          <w:marRight w:val="0"/>
          <w:marTop w:val="0"/>
          <w:marBottom w:val="0"/>
          <w:divBdr>
            <w:top w:val="none" w:sz="0" w:space="0" w:color="auto"/>
            <w:left w:val="none" w:sz="0" w:space="0" w:color="auto"/>
            <w:bottom w:val="none" w:sz="0" w:space="0" w:color="auto"/>
            <w:right w:val="none" w:sz="0" w:space="0" w:color="auto"/>
          </w:divBdr>
          <w:divsChild>
            <w:div w:id="312373694">
              <w:marLeft w:val="0"/>
              <w:marRight w:val="0"/>
              <w:marTop w:val="0"/>
              <w:marBottom w:val="0"/>
              <w:divBdr>
                <w:top w:val="none" w:sz="0" w:space="0" w:color="auto"/>
                <w:left w:val="none" w:sz="0" w:space="0" w:color="auto"/>
                <w:bottom w:val="none" w:sz="0" w:space="0" w:color="auto"/>
                <w:right w:val="none" w:sz="0" w:space="0" w:color="auto"/>
              </w:divBdr>
            </w:div>
          </w:divsChild>
        </w:div>
        <w:div w:id="990792548">
          <w:marLeft w:val="0"/>
          <w:marRight w:val="0"/>
          <w:marTop w:val="0"/>
          <w:marBottom w:val="0"/>
          <w:divBdr>
            <w:top w:val="none" w:sz="0" w:space="0" w:color="auto"/>
            <w:left w:val="none" w:sz="0" w:space="0" w:color="auto"/>
            <w:bottom w:val="none" w:sz="0" w:space="0" w:color="auto"/>
            <w:right w:val="none" w:sz="0" w:space="0" w:color="auto"/>
          </w:divBdr>
          <w:divsChild>
            <w:div w:id="401172999">
              <w:marLeft w:val="0"/>
              <w:marRight w:val="0"/>
              <w:marTop w:val="0"/>
              <w:marBottom w:val="0"/>
              <w:divBdr>
                <w:top w:val="none" w:sz="0" w:space="0" w:color="auto"/>
                <w:left w:val="none" w:sz="0" w:space="0" w:color="auto"/>
                <w:bottom w:val="none" w:sz="0" w:space="0" w:color="auto"/>
                <w:right w:val="none" w:sz="0" w:space="0" w:color="auto"/>
              </w:divBdr>
            </w:div>
          </w:divsChild>
        </w:div>
        <w:div w:id="1008480953">
          <w:marLeft w:val="0"/>
          <w:marRight w:val="0"/>
          <w:marTop w:val="0"/>
          <w:marBottom w:val="0"/>
          <w:divBdr>
            <w:top w:val="none" w:sz="0" w:space="0" w:color="auto"/>
            <w:left w:val="none" w:sz="0" w:space="0" w:color="auto"/>
            <w:bottom w:val="none" w:sz="0" w:space="0" w:color="auto"/>
            <w:right w:val="none" w:sz="0" w:space="0" w:color="auto"/>
          </w:divBdr>
          <w:divsChild>
            <w:div w:id="1270234882">
              <w:marLeft w:val="0"/>
              <w:marRight w:val="0"/>
              <w:marTop w:val="0"/>
              <w:marBottom w:val="0"/>
              <w:divBdr>
                <w:top w:val="none" w:sz="0" w:space="0" w:color="auto"/>
                <w:left w:val="none" w:sz="0" w:space="0" w:color="auto"/>
                <w:bottom w:val="none" w:sz="0" w:space="0" w:color="auto"/>
                <w:right w:val="none" w:sz="0" w:space="0" w:color="auto"/>
              </w:divBdr>
            </w:div>
          </w:divsChild>
        </w:div>
        <w:div w:id="1043098705">
          <w:marLeft w:val="0"/>
          <w:marRight w:val="0"/>
          <w:marTop w:val="0"/>
          <w:marBottom w:val="0"/>
          <w:divBdr>
            <w:top w:val="none" w:sz="0" w:space="0" w:color="auto"/>
            <w:left w:val="none" w:sz="0" w:space="0" w:color="auto"/>
            <w:bottom w:val="none" w:sz="0" w:space="0" w:color="auto"/>
            <w:right w:val="none" w:sz="0" w:space="0" w:color="auto"/>
          </w:divBdr>
          <w:divsChild>
            <w:div w:id="196935721">
              <w:marLeft w:val="0"/>
              <w:marRight w:val="0"/>
              <w:marTop w:val="0"/>
              <w:marBottom w:val="0"/>
              <w:divBdr>
                <w:top w:val="none" w:sz="0" w:space="0" w:color="auto"/>
                <w:left w:val="none" w:sz="0" w:space="0" w:color="auto"/>
                <w:bottom w:val="none" w:sz="0" w:space="0" w:color="auto"/>
                <w:right w:val="none" w:sz="0" w:space="0" w:color="auto"/>
              </w:divBdr>
            </w:div>
          </w:divsChild>
        </w:div>
        <w:div w:id="1128276415">
          <w:marLeft w:val="0"/>
          <w:marRight w:val="0"/>
          <w:marTop w:val="0"/>
          <w:marBottom w:val="0"/>
          <w:divBdr>
            <w:top w:val="none" w:sz="0" w:space="0" w:color="auto"/>
            <w:left w:val="none" w:sz="0" w:space="0" w:color="auto"/>
            <w:bottom w:val="none" w:sz="0" w:space="0" w:color="auto"/>
            <w:right w:val="none" w:sz="0" w:space="0" w:color="auto"/>
          </w:divBdr>
          <w:divsChild>
            <w:div w:id="1909336732">
              <w:marLeft w:val="0"/>
              <w:marRight w:val="0"/>
              <w:marTop w:val="0"/>
              <w:marBottom w:val="0"/>
              <w:divBdr>
                <w:top w:val="none" w:sz="0" w:space="0" w:color="auto"/>
                <w:left w:val="none" w:sz="0" w:space="0" w:color="auto"/>
                <w:bottom w:val="none" w:sz="0" w:space="0" w:color="auto"/>
                <w:right w:val="none" w:sz="0" w:space="0" w:color="auto"/>
              </w:divBdr>
            </w:div>
          </w:divsChild>
        </w:div>
        <w:div w:id="1133527095">
          <w:marLeft w:val="0"/>
          <w:marRight w:val="0"/>
          <w:marTop w:val="0"/>
          <w:marBottom w:val="0"/>
          <w:divBdr>
            <w:top w:val="none" w:sz="0" w:space="0" w:color="auto"/>
            <w:left w:val="none" w:sz="0" w:space="0" w:color="auto"/>
            <w:bottom w:val="none" w:sz="0" w:space="0" w:color="auto"/>
            <w:right w:val="none" w:sz="0" w:space="0" w:color="auto"/>
          </w:divBdr>
          <w:divsChild>
            <w:div w:id="1183011888">
              <w:marLeft w:val="0"/>
              <w:marRight w:val="0"/>
              <w:marTop w:val="0"/>
              <w:marBottom w:val="0"/>
              <w:divBdr>
                <w:top w:val="none" w:sz="0" w:space="0" w:color="auto"/>
                <w:left w:val="none" w:sz="0" w:space="0" w:color="auto"/>
                <w:bottom w:val="none" w:sz="0" w:space="0" w:color="auto"/>
                <w:right w:val="none" w:sz="0" w:space="0" w:color="auto"/>
              </w:divBdr>
            </w:div>
          </w:divsChild>
        </w:div>
        <w:div w:id="1135178527">
          <w:marLeft w:val="0"/>
          <w:marRight w:val="0"/>
          <w:marTop w:val="0"/>
          <w:marBottom w:val="0"/>
          <w:divBdr>
            <w:top w:val="none" w:sz="0" w:space="0" w:color="auto"/>
            <w:left w:val="none" w:sz="0" w:space="0" w:color="auto"/>
            <w:bottom w:val="none" w:sz="0" w:space="0" w:color="auto"/>
            <w:right w:val="none" w:sz="0" w:space="0" w:color="auto"/>
          </w:divBdr>
          <w:divsChild>
            <w:div w:id="1203791501">
              <w:marLeft w:val="0"/>
              <w:marRight w:val="0"/>
              <w:marTop w:val="0"/>
              <w:marBottom w:val="0"/>
              <w:divBdr>
                <w:top w:val="none" w:sz="0" w:space="0" w:color="auto"/>
                <w:left w:val="none" w:sz="0" w:space="0" w:color="auto"/>
                <w:bottom w:val="none" w:sz="0" w:space="0" w:color="auto"/>
                <w:right w:val="none" w:sz="0" w:space="0" w:color="auto"/>
              </w:divBdr>
            </w:div>
          </w:divsChild>
        </w:div>
        <w:div w:id="1186208903">
          <w:marLeft w:val="0"/>
          <w:marRight w:val="0"/>
          <w:marTop w:val="0"/>
          <w:marBottom w:val="0"/>
          <w:divBdr>
            <w:top w:val="none" w:sz="0" w:space="0" w:color="auto"/>
            <w:left w:val="none" w:sz="0" w:space="0" w:color="auto"/>
            <w:bottom w:val="none" w:sz="0" w:space="0" w:color="auto"/>
            <w:right w:val="none" w:sz="0" w:space="0" w:color="auto"/>
          </w:divBdr>
          <w:divsChild>
            <w:div w:id="1515264234">
              <w:marLeft w:val="0"/>
              <w:marRight w:val="0"/>
              <w:marTop w:val="0"/>
              <w:marBottom w:val="0"/>
              <w:divBdr>
                <w:top w:val="none" w:sz="0" w:space="0" w:color="auto"/>
                <w:left w:val="none" w:sz="0" w:space="0" w:color="auto"/>
                <w:bottom w:val="none" w:sz="0" w:space="0" w:color="auto"/>
                <w:right w:val="none" w:sz="0" w:space="0" w:color="auto"/>
              </w:divBdr>
            </w:div>
          </w:divsChild>
        </w:div>
        <w:div w:id="1230110926">
          <w:marLeft w:val="0"/>
          <w:marRight w:val="0"/>
          <w:marTop w:val="0"/>
          <w:marBottom w:val="0"/>
          <w:divBdr>
            <w:top w:val="none" w:sz="0" w:space="0" w:color="auto"/>
            <w:left w:val="none" w:sz="0" w:space="0" w:color="auto"/>
            <w:bottom w:val="none" w:sz="0" w:space="0" w:color="auto"/>
            <w:right w:val="none" w:sz="0" w:space="0" w:color="auto"/>
          </w:divBdr>
          <w:divsChild>
            <w:div w:id="532042299">
              <w:marLeft w:val="0"/>
              <w:marRight w:val="0"/>
              <w:marTop w:val="0"/>
              <w:marBottom w:val="0"/>
              <w:divBdr>
                <w:top w:val="none" w:sz="0" w:space="0" w:color="auto"/>
                <w:left w:val="none" w:sz="0" w:space="0" w:color="auto"/>
                <w:bottom w:val="none" w:sz="0" w:space="0" w:color="auto"/>
                <w:right w:val="none" w:sz="0" w:space="0" w:color="auto"/>
              </w:divBdr>
            </w:div>
          </w:divsChild>
        </w:div>
        <w:div w:id="1311860624">
          <w:marLeft w:val="0"/>
          <w:marRight w:val="0"/>
          <w:marTop w:val="0"/>
          <w:marBottom w:val="0"/>
          <w:divBdr>
            <w:top w:val="none" w:sz="0" w:space="0" w:color="auto"/>
            <w:left w:val="none" w:sz="0" w:space="0" w:color="auto"/>
            <w:bottom w:val="none" w:sz="0" w:space="0" w:color="auto"/>
            <w:right w:val="none" w:sz="0" w:space="0" w:color="auto"/>
          </w:divBdr>
          <w:divsChild>
            <w:div w:id="1364206817">
              <w:marLeft w:val="0"/>
              <w:marRight w:val="0"/>
              <w:marTop w:val="0"/>
              <w:marBottom w:val="0"/>
              <w:divBdr>
                <w:top w:val="none" w:sz="0" w:space="0" w:color="auto"/>
                <w:left w:val="none" w:sz="0" w:space="0" w:color="auto"/>
                <w:bottom w:val="none" w:sz="0" w:space="0" w:color="auto"/>
                <w:right w:val="none" w:sz="0" w:space="0" w:color="auto"/>
              </w:divBdr>
            </w:div>
          </w:divsChild>
        </w:div>
        <w:div w:id="1349061883">
          <w:marLeft w:val="0"/>
          <w:marRight w:val="0"/>
          <w:marTop w:val="0"/>
          <w:marBottom w:val="0"/>
          <w:divBdr>
            <w:top w:val="none" w:sz="0" w:space="0" w:color="auto"/>
            <w:left w:val="none" w:sz="0" w:space="0" w:color="auto"/>
            <w:bottom w:val="none" w:sz="0" w:space="0" w:color="auto"/>
            <w:right w:val="none" w:sz="0" w:space="0" w:color="auto"/>
          </w:divBdr>
          <w:divsChild>
            <w:div w:id="750389607">
              <w:marLeft w:val="0"/>
              <w:marRight w:val="0"/>
              <w:marTop w:val="0"/>
              <w:marBottom w:val="0"/>
              <w:divBdr>
                <w:top w:val="none" w:sz="0" w:space="0" w:color="auto"/>
                <w:left w:val="none" w:sz="0" w:space="0" w:color="auto"/>
                <w:bottom w:val="none" w:sz="0" w:space="0" w:color="auto"/>
                <w:right w:val="none" w:sz="0" w:space="0" w:color="auto"/>
              </w:divBdr>
            </w:div>
          </w:divsChild>
        </w:div>
        <w:div w:id="1400126817">
          <w:marLeft w:val="0"/>
          <w:marRight w:val="0"/>
          <w:marTop w:val="0"/>
          <w:marBottom w:val="0"/>
          <w:divBdr>
            <w:top w:val="none" w:sz="0" w:space="0" w:color="auto"/>
            <w:left w:val="none" w:sz="0" w:space="0" w:color="auto"/>
            <w:bottom w:val="none" w:sz="0" w:space="0" w:color="auto"/>
            <w:right w:val="none" w:sz="0" w:space="0" w:color="auto"/>
          </w:divBdr>
          <w:divsChild>
            <w:div w:id="1560434676">
              <w:marLeft w:val="0"/>
              <w:marRight w:val="0"/>
              <w:marTop w:val="0"/>
              <w:marBottom w:val="0"/>
              <w:divBdr>
                <w:top w:val="none" w:sz="0" w:space="0" w:color="auto"/>
                <w:left w:val="none" w:sz="0" w:space="0" w:color="auto"/>
                <w:bottom w:val="none" w:sz="0" w:space="0" w:color="auto"/>
                <w:right w:val="none" w:sz="0" w:space="0" w:color="auto"/>
              </w:divBdr>
            </w:div>
          </w:divsChild>
        </w:div>
        <w:div w:id="1414552474">
          <w:marLeft w:val="0"/>
          <w:marRight w:val="0"/>
          <w:marTop w:val="0"/>
          <w:marBottom w:val="0"/>
          <w:divBdr>
            <w:top w:val="none" w:sz="0" w:space="0" w:color="auto"/>
            <w:left w:val="none" w:sz="0" w:space="0" w:color="auto"/>
            <w:bottom w:val="none" w:sz="0" w:space="0" w:color="auto"/>
            <w:right w:val="none" w:sz="0" w:space="0" w:color="auto"/>
          </w:divBdr>
          <w:divsChild>
            <w:div w:id="1269386664">
              <w:marLeft w:val="0"/>
              <w:marRight w:val="0"/>
              <w:marTop w:val="0"/>
              <w:marBottom w:val="0"/>
              <w:divBdr>
                <w:top w:val="none" w:sz="0" w:space="0" w:color="auto"/>
                <w:left w:val="none" w:sz="0" w:space="0" w:color="auto"/>
                <w:bottom w:val="none" w:sz="0" w:space="0" w:color="auto"/>
                <w:right w:val="none" w:sz="0" w:space="0" w:color="auto"/>
              </w:divBdr>
            </w:div>
          </w:divsChild>
        </w:div>
        <w:div w:id="1444111881">
          <w:marLeft w:val="0"/>
          <w:marRight w:val="0"/>
          <w:marTop w:val="0"/>
          <w:marBottom w:val="0"/>
          <w:divBdr>
            <w:top w:val="none" w:sz="0" w:space="0" w:color="auto"/>
            <w:left w:val="none" w:sz="0" w:space="0" w:color="auto"/>
            <w:bottom w:val="none" w:sz="0" w:space="0" w:color="auto"/>
            <w:right w:val="none" w:sz="0" w:space="0" w:color="auto"/>
          </w:divBdr>
          <w:divsChild>
            <w:div w:id="1130712322">
              <w:marLeft w:val="0"/>
              <w:marRight w:val="0"/>
              <w:marTop w:val="0"/>
              <w:marBottom w:val="0"/>
              <w:divBdr>
                <w:top w:val="none" w:sz="0" w:space="0" w:color="auto"/>
                <w:left w:val="none" w:sz="0" w:space="0" w:color="auto"/>
                <w:bottom w:val="none" w:sz="0" w:space="0" w:color="auto"/>
                <w:right w:val="none" w:sz="0" w:space="0" w:color="auto"/>
              </w:divBdr>
            </w:div>
          </w:divsChild>
        </w:div>
        <w:div w:id="1486774553">
          <w:marLeft w:val="0"/>
          <w:marRight w:val="0"/>
          <w:marTop w:val="0"/>
          <w:marBottom w:val="0"/>
          <w:divBdr>
            <w:top w:val="none" w:sz="0" w:space="0" w:color="auto"/>
            <w:left w:val="none" w:sz="0" w:space="0" w:color="auto"/>
            <w:bottom w:val="none" w:sz="0" w:space="0" w:color="auto"/>
            <w:right w:val="none" w:sz="0" w:space="0" w:color="auto"/>
          </w:divBdr>
          <w:divsChild>
            <w:div w:id="697126102">
              <w:marLeft w:val="0"/>
              <w:marRight w:val="0"/>
              <w:marTop w:val="0"/>
              <w:marBottom w:val="0"/>
              <w:divBdr>
                <w:top w:val="none" w:sz="0" w:space="0" w:color="auto"/>
                <w:left w:val="none" w:sz="0" w:space="0" w:color="auto"/>
                <w:bottom w:val="none" w:sz="0" w:space="0" w:color="auto"/>
                <w:right w:val="none" w:sz="0" w:space="0" w:color="auto"/>
              </w:divBdr>
            </w:div>
          </w:divsChild>
        </w:div>
        <w:div w:id="1529485626">
          <w:marLeft w:val="0"/>
          <w:marRight w:val="0"/>
          <w:marTop w:val="0"/>
          <w:marBottom w:val="0"/>
          <w:divBdr>
            <w:top w:val="none" w:sz="0" w:space="0" w:color="auto"/>
            <w:left w:val="none" w:sz="0" w:space="0" w:color="auto"/>
            <w:bottom w:val="none" w:sz="0" w:space="0" w:color="auto"/>
            <w:right w:val="none" w:sz="0" w:space="0" w:color="auto"/>
          </w:divBdr>
          <w:divsChild>
            <w:div w:id="854928242">
              <w:marLeft w:val="0"/>
              <w:marRight w:val="0"/>
              <w:marTop w:val="0"/>
              <w:marBottom w:val="0"/>
              <w:divBdr>
                <w:top w:val="none" w:sz="0" w:space="0" w:color="auto"/>
                <w:left w:val="none" w:sz="0" w:space="0" w:color="auto"/>
                <w:bottom w:val="none" w:sz="0" w:space="0" w:color="auto"/>
                <w:right w:val="none" w:sz="0" w:space="0" w:color="auto"/>
              </w:divBdr>
            </w:div>
          </w:divsChild>
        </w:div>
        <w:div w:id="1557203364">
          <w:marLeft w:val="0"/>
          <w:marRight w:val="0"/>
          <w:marTop w:val="0"/>
          <w:marBottom w:val="0"/>
          <w:divBdr>
            <w:top w:val="none" w:sz="0" w:space="0" w:color="auto"/>
            <w:left w:val="none" w:sz="0" w:space="0" w:color="auto"/>
            <w:bottom w:val="none" w:sz="0" w:space="0" w:color="auto"/>
            <w:right w:val="none" w:sz="0" w:space="0" w:color="auto"/>
          </w:divBdr>
          <w:divsChild>
            <w:div w:id="1293512067">
              <w:marLeft w:val="0"/>
              <w:marRight w:val="0"/>
              <w:marTop w:val="0"/>
              <w:marBottom w:val="0"/>
              <w:divBdr>
                <w:top w:val="none" w:sz="0" w:space="0" w:color="auto"/>
                <w:left w:val="none" w:sz="0" w:space="0" w:color="auto"/>
                <w:bottom w:val="none" w:sz="0" w:space="0" w:color="auto"/>
                <w:right w:val="none" w:sz="0" w:space="0" w:color="auto"/>
              </w:divBdr>
            </w:div>
          </w:divsChild>
        </w:div>
        <w:div w:id="1559513523">
          <w:marLeft w:val="0"/>
          <w:marRight w:val="0"/>
          <w:marTop w:val="0"/>
          <w:marBottom w:val="0"/>
          <w:divBdr>
            <w:top w:val="none" w:sz="0" w:space="0" w:color="auto"/>
            <w:left w:val="none" w:sz="0" w:space="0" w:color="auto"/>
            <w:bottom w:val="none" w:sz="0" w:space="0" w:color="auto"/>
            <w:right w:val="none" w:sz="0" w:space="0" w:color="auto"/>
          </w:divBdr>
          <w:divsChild>
            <w:div w:id="2050256469">
              <w:marLeft w:val="0"/>
              <w:marRight w:val="0"/>
              <w:marTop w:val="0"/>
              <w:marBottom w:val="0"/>
              <w:divBdr>
                <w:top w:val="none" w:sz="0" w:space="0" w:color="auto"/>
                <w:left w:val="none" w:sz="0" w:space="0" w:color="auto"/>
                <w:bottom w:val="none" w:sz="0" w:space="0" w:color="auto"/>
                <w:right w:val="none" w:sz="0" w:space="0" w:color="auto"/>
              </w:divBdr>
            </w:div>
          </w:divsChild>
        </w:div>
        <w:div w:id="1576938239">
          <w:marLeft w:val="0"/>
          <w:marRight w:val="0"/>
          <w:marTop w:val="0"/>
          <w:marBottom w:val="0"/>
          <w:divBdr>
            <w:top w:val="none" w:sz="0" w:space="0" w:color="auto"/>
            <w:left w:val="none" w:sz="0" w:space="0" w:color="auto"/>
            <w:bottom w:val="none" w:sz="0" w:space="0" w:color="auto"/>
            <w:right w:val="none" w:sz="0" w:space="0" w:color="auto"/>
          </w:divBdr>
          <w:divsChild>
            <w:div w:id="291597839">
              <w:marLeft w:val="0"/>
              <w:marRight w:val="0"/>
              <w:marTop w:val="0"/>
              <w:marBottom w:val="0"/>
              <w:divBdr>
                <w:top w:val="none" w:sz="0" w:space="0" w:color="auto"/>
                <w:left w:val="none" w:sz="0" w:space="0" w:color="auto"/>
                <w:bottom w:val="none" w:sz="0" w:space="0" w:color="auto"/>
                <w:right w:val="none" w:sz="0" w:space="0" w:color="auto"/>
              </w:divBdr>
            </w:div>
          </w:divsChild>
        </w:div>
        <w:div w:id="1590891053">
          <w:marLeft w:val="0"/>
          <w:marRight w:val="0"/>
          <w:marTop w:val="0"/>
          <w:marBottom w:val="0"/>
          <w:divBdr>
            <w:top w:val="none" w:sz="0" w:space="0" w:color="auto"/>
            <w:left w:val="none" w:sz="0" w:space="0" w:color="auto"/>
            <w:bottom w:val="none" w:sz="0" w:space="0" w:color="auto"/>
            <w:right w:val="none" w:sz="0" w:space="0" w:color="auto"/>
          </w:divBdr>
          <w:divsChild>
            <w:div w:id="270554494">
              <w:marLeft w:val="0"/>
              <w:marRight w:val="0"/>
              <w:marTop w:val="0"/>
              <w:marBottom w:val="0"/>
              <w:divBdr>
                <w:top w:val="none" w:sz="0" w:space="0" w:color="auto"/>
                <w:left w:val="none" w:sz="0" w:space="0" w:color="auto"/>
                <w:bottom w:val="none" w:sz="0" w:space="0" w:color="auto"/>
                <w:right w:val="none" w:sz="0" w:space="0" w:color="auto"/>
              </w:divBdr>
            </w:div>
          </w:divsChild>
        </w:div>
        <w:div w:id="1714304305">
          <w:marLeft w:val="0"/>
          <w:marRight w:val="0"/>
          <w:marTop w:val="0"/>
          <w:marBottom w:val="0"/>
          <w:divBdr>
            <w:top w:val="none" w:sz="0" w:space="0" w:color="auto"/>
            <w:left w:val="none" w:sz="0" w:space="0" w:color="auto"/>
            <w:bottom w:val="none" w:sz="0" w:space="0" w:color="auto"/>
            <w:right w:val="none" w:sz="0" w:space="0" w:color="auto"/>
          </w:divBdr>
          <w:divsChild>
            <w:div w:id="1631205563">
              <w:marLeft w:val="0"/>
              <w:marRight w:val="0"/>
              <w:marTop w:val="0"/>
              <w:marBottom w:val="0"/>
              <w:divBdr>
                <w:top w:val="none" w:sz="0" w:space="0" w:color="auto"/>
                <w:left w:val="none" w:sz="0" w:space="0" w:color="auto"/>
                <w:bottom w:val="none" w:sz="0" w:space="0" w:color="auto"/>
                <w:right w:val="none" w:sz="0" w:space="0" w:color="auto"/>
              </w:divBdr>
            </w:div>
          </w:divsChild>
        </w:div>
        <w:div w:id="1722172988">
          <w:marLeft w:val="0"/>
          <w:marRight w:val="0"/>
          <w:marTop w:val="0"/>
          <w:marBottom w:val="0"/>
          <w:divBdr>
            <w:top w:val="none" w:sz="0" w:space="0" w:color="auto"/>
            <w:left w:val="none" w:sz="0" w:space="0" w:color="auto"/>
            <w:bottom w:val="none" w:sz="0" w:space="0" w:color="auto"/>
            <w:right w:val="none" w:sz="0" w:space="0" w:color="auto"/>
          </w:divBdr>
          <w:divsChild>
            <w:div w:id="443964985">
              <w:marLeft w:val="0"/>
              <w:marRight w:val="0"/>
              <w:marTop w:val="0"/>
              <w:marBottom w:val="0"/>
              <w:divBdr>
                <w:top w:val="none" w:sz="0" w:space="0" w:color="auto"/>
                <w:left w:val="none" w:sz="0" w:space="0" w:color="auto"/>
                <w:bottom w:val="none" w:sz="0" w:space="0" w:color="auto"/>
                <w:right w:val="none" w:sz="0" w:space="0" w:color="auto"/>
              </w:divBdr>
            </w:div>
          </w:divsChild>
        </w:div>
        <w:div w:id="1726221477">
          <w:marLeft w:val="0"/>
          <w:marRight w:val="0"/>
          <w:marTop w:val="0"/>
          <w:marBottom w:val="0"/>
          <w:divBdr>
            <w:top w:val="none" w:sz="0" w:space="0" w:color="auto"/>
            <w:left w:val="none" w:sz="0" w:space="0" w:color="auto"/>
            <w:bottom w:val="none" w:sz="0" w:space="0" w:color="auto"/>
            <w:right w:val="none" w:sz="0" w:space="0" w:color="auto"/>
          </w:divBdr>
          <w:divsChild>
            <w:div w:id="1100949666">
              <w:marLeft w:val="0"/>
              <w:marRight w:val="0"/>
              <w:marTop w:val="0"/>
              <w:marBottom w:val="0"/>
              <w:divBdr>
                <w:top w:val="none" w:sz="0" w:space="0" w:color="auto"/>
                <w:left w:val="none" w:sz="0" w:space="0" w:color="auto"/>
                <w:bottom w:val="none" w:sz="0" w:space="0" w:color="auto"/>
                <w:right w:val="none" w:sz="0" w:space="0" w:color="auto"/>
              </w:divBdr>
            </w:div>
          </w:divsChild>
        </w:div>
        <w:div w:id="1730566507">
          <w:marLeft w:val="0"/>
          <w:marRight w:val="0"/>
          <w:marTop w:val="0"/>
          <w:marBottom w:val="0"/>
          <w:divBdr>
            <w:top w:val="none" w:sz="0" w:space="0" w:color="auto"/>
            <w:left w:val="none" w:sz="0" w:space="0" w:color="auto"/>
            <w:bottom w:val="none" w:sz="0" w:space="0" w:color="auto"/>
            <w:right w:val="none" w:sz="0" w:space="0" w:color="auto"/>
          </w:divBdr>
          <w:divsChild>
            <w:div w:id="1189487134">
              <w:marLeft w:val="0"/>
              <w:marRight w:val="0"/>
              <w:marTop w:val="0"/>
              <w:marBottom w:val="0"/>
              <w:divBdr>
                <w:top w:val="none" w:sz="0" w:space="0" w:color="auto"/>
                <w:left w:val="none" w:sz="0" w:space="0" w:color="auto"/>
                <w:bottom w:val="none" w:sz="0" w:space="0" w:color="auto"/>
                <w:right w:val="none" w:sz="0" w:space="0" w:color="auto"/>
              </w:divBdr>
            </w:div>
          </w:divsChild>
        </w:div>
        <w:div w:id="1748306810">
          <w:marLeft w:val="0"/>
          <w:marRight w:val="0"/>
          <w:marTop w:val="0"/>
          <w:marBottom w:val="0"/>
          <w:divBdr>
            <w:top w:val="none" w:sz="0" w:space="0" w:color="auto"/>
            <w:left w:val="none" w:sz="0" w:space="0" w:color="auto"/>
            <w:bottom w:val="none" w:sz="0" w:space="0" w:color="auto"/>
            <w:right w:val="none" w:sz="0" w:space="0" w:color="auto"/>
          </w:divBdr>
          <w:divsChild>
            <w:div w:id="1694110951">
              <w:marLeft w:val="0"/>
              <w:marRight w:val="0"/>
              <w:marTop w:val="0"/>
              <w:marBottom w:val="0"/>
              <w:divBdr>
                <w:top w:val="none" w:sz="0" w:space="0" w:color="auto"/>
                <w:left w:val="none" w:sz="0" w:space="0" w:color="auto"/>
                <w:bottom w:val="none" w:sz="0" w:space="0" w:color="auto"/>
                <w:right w:val="none" w:sz="0" w:space="0" w:color="auto"/>
              </w:divBdr>
            </w:div>
          </w:divsChild>
        </w:div>
        <w:div w:id="1749888063">
          <w:marLeft w:val="0"/>
          <w:marRight w:val="0"/>
          <w:marTop w:val="0"/>
          <w:marBottom w:val="0"/>
          <w:divBdr>
            <w:top w:val="none" w:sz="0" w:space="0" w:color="auto"/>
            <w:left w:val="none" w:sz="0" w:space="0" w:color="auto"/>
            <w:bottom w:val="none" w:sz="0" w:space="0" w:color="auto"/>
            <w:right w:val="none" w:sz="0" w:space="0" w:color="auto"/>
          </w:divBdr>
          <w:divsChild>
            <w:div w:id="799035133">
              <w:marLeft w:val="0"/>
              <w:marRight w:val="0"/>
              <w:marTop w:val="0"/>
              <w:marBottom w:val="0"/>
              <w:divBdr>
                <w:top w:val="none" w:sz="0" w:space="0" w:color="auto"/>
                <w:left w:val="none" w:sz="0" w:space="0" w:color="auto"/>
                <w:bottom w:val="none" w:sz="0" w:space="0" w:color="auto"/>
                <w:right w:val="none" w:sz="0" w:space="0" w:color="auto"/>
              </w:divBdr>
            </w:div>
          </w:divsChild>
        </w:div>
        <w:div w:id="1754202694">
          <w:marLeft w:val="0"/>
          <w:marRight w:val="0"/>
          <w:marTop w:val="0"/>
          <w:marBottom w:val="0"/>
          <w:divBdr>
            <w:top w:val="none" w:sz="0" w:space="0" w:color="auto"/>
            <w:left w:val="none" w:sz="0" w:space="0" w:color="auto"/>
            <w:bottom w:val="none" w:sz="0" w:space="0" w:color="auto"/>
            <w:right w:val="none" w:sz="0" w:space="0" w:color="auto"/>
          </w:divBdr>
          <w:divsChild>
            <w:div w:id="1189954704">
              <w:marLeft w:val="0"/>
              <w:marRight w:val="0"/>
              <w:marTop w:val="0"/>
              <w:marBottom w:val="0"/>
              <w:divBdr>
                <w:top w:val="none" w:sz="0" w:space="0" w:color="auto"/>
                <w:left w:val="none" w:sz="0" w:space="0" w:color="auto"/>
                <w:bottom w:val="none" w:sz="0" w:space="0" w:color="auto"/>
                <w:right w:val="none" w:sz="0" w:space="0" w:color="auto"/>
              </w:divBdr>
            </w:div>
          </w:divsChild>
        </w:div>
        <w:div w:id="1762942769">
          <w:marLeft w:val="0"/>
          <w:marRight w:val="0"/>
          <w:marTop w:val="0"/>
          <w:marBottom w:val="0"/>
          <w:divBdr>
            <w:top w:val="none" w:sz="0" w:space="0" w:color="auto"/>
            <w:left w:val="none" w:sz="0" w:space="0" w:color="auto"/>
            <w:bottom w:val="none" w:sz="0" w:space="0" w:color="auto"/>
            <w:right w:val="none" w:sz="0" w:space="0" w:color="auto"/>
          </w:divBdr>
          <w:divsChild>
            <w:div w:id="232937991">
              <w:marLeft w:val="0"/>
              <w:marRight w:val="0"/>
              <w:marTop w:val="0"/>
              <w:marBottom w:val="0"/>
              <w:divBdr>
                <w:top w:val="none" w:sz="0" w:space="0" w:color="auto"/>
                <w:left w:val="none" w:sz="0" w:space="0" w:color="auto"/>
                <w:bottom w:val="none" w:sz="0" w:space="0" w:color="auto"/>
                <w:right w:val="none" w:sz="0" w:space="0" w:color="auto"/>
              </w:divBdr>
            </w:div>
          </w:divsChild>
        </w:div>
        <w:div w:id="1797988270">
          <w:marLeft w:val="0"/>
          <w:marRight w:val="0"/>
          <w:marTop w:val="0"/>
          <w:marBottom w:val="0"/>
          <w:divBdr>
            <w:top w:val="none" w:sz="0" w:space="0" w:color="auto"/>
            <w:left w:val="none" w:sz="0" w:space="0" w:color="auto"/>
            <w:bottom w:val="none" w:sz="0" w:space="0" w:color="auto"/>
            <w:right w:val="none" w:sz="0" w:space="0" w:color="auto"/>
          </w:divBdr>
          <w:divsChild>
            <w:div w:id="2116097038">
              <w:marLeft w:val="0"/>
              <w:marRight w:val="0"/>
              <w:marTop w:val="0"/>
              <w:marBottom w:val="0"/>
              <w:divBdr>
                <w:top w:val="none" w:sz="0" w:space="0" w:color="auto"/>
                <w:left w:val="none" w:sz="0" w:space="0" w:color="auto"/>
                <w:bottom w:val="none" w:sz="0" w:space="0" w:color="auto"/>
                <w:right w:val="none" w:sz="0" w:space="0" w:color="auto"/>
              </w:divBdr>
            </w:div>
          </w:divsChild>
        </w:div>
        <w:div w:id="1820070693">
          <w:marLeft w:val="0"/>
          <w:marRight w:val="0"/>
          <w:marTop w:val="0"/>
          <w:marBottom w:val="0"/>
          <w:divBdr>
            <w:top w:val="none" w:sz="0" w:space="0" w:color="auto"/>
            <w:left w:val="none" w:sz="0" w:space="0" w:color="auto"/>
            <w:bottom w:val="none" w:sz="0" w:space="0" w:color="auto"/>
            <w:right w:val="none" w:sz="0" w:space="0" w:color="auto"/>
          </w:divBdr>
          <w:divsChild>
            <w:div w:id="1795708109">
              <w:marLeft w:val="0"/>
              <w:marRight w:val="0"/>
              <w:marTop w:val="0"/>
              <w:marBottom w:val="0"/>
              <w:divBdr>
                <w:top w:val="none" w:sz="0" w:space="0" w:color="auto"/>
                <w:left w:val="none" w:sz="0" w:space="0" w:color="auto"/>
                <w:bottom w:val="none" w:sz="0" w:space="0" w:color="auto"/>
                <w:right w:val="none" w:sz="0" w:space="0" w:color="auto"/>
              </w:divBdr>
            </w:div>
          </w:divsChild>
        </w:div>
        <w:div w:id="1832216948">
          <w:marLeft w:val="0"/>
          <w:marRight w:val="0"/>
          <w:marTop w:val="0"/>
          <w:marBottom w:val="0"/>
          <w:divBdr>
            <w:top w:val="none" w:sz="0" w:space="0" w:color="auto"/>
            <w:left w:val="none" w:sz="0" w:space="0" w:color="auto"/>
            <w:bottom w:val="none" w:sz="0" w:space="0" w:color="auto"/>
            <w:right w:val="none" w:sz="0" w:space="0" w:color="auto"/>
          </w:divBdr>
          <w:divsChild>
            <w:div w:id="2013871174">
              <w:marLeft w:val="0"/>
              <w:marRight w:val="0"/>
              <w:marTop w:val="0"/>
              <w:marBottom w:val="0"/>
              <w:divBdr>
                <w:top w:val="none" w:sz="0" w:space="0" w:color="auto"/>
                <w:left w:val="none" w:sz="0" w:space="0" w:color="auto"/>
                <w:bottom w:val="none" w:sz="0" w:space="0" w:color="auto"/>
                <w:right w:val="none" w:sz="0" w:space="0" w:color="auto"/>
              </w:divBdr>
            </w:div>
          </w:divsChild>
        </w:div>
        <w:div w:id="1838223343">
          <w:marLeft w:val="0"/>
          <w:marRight w:val="0"/>
          <w:marTop w:val="0"/>
          <w:marBottom w:val="0"/>
          <w:divBdr>
            <w:top w:val="none" w:sz="0" w:space="0" w:color="auto"/>
            <w:left w:val="none" w:sz="0" w:space="0" w:color="auto"/>
            <w:bottom w:val="none" w:sz="0" w:space="0" w:color="auto"/>
            <w:right w:val="none" w:sz="0" w:space="0" w:color="auto"/>
          </w:divBdr>
          <w:divsChild>
            <w:div w:id="503588566">
              <w:marLeft w:val="0"/>
              <w:marRight w:val="0"/>
              <w:marTop w:val="0"/>
              <w:marBottom w:val="0"/>
              <w:divBdr>
                <w:top w:val="none" w:sz="0" w:space="0" w:color="auto"/>
                <w:left w:val="none" w:sz="0" w:space="0" w:color="auto"/>
                <w:bottom w:val="none" w:sz="0" w:space="0" w:color="auto"/>
                <w:right w:val="none" w:sz="0" w:space="0" w:color="auto"/>
              </w:divBdr>
            </w:div>
          </w:divsChild>
        </w:div>
        <w:div w:id="1850633671">
          <w:marLeft w:val="0"/>
          <w:marRight w:val="0"/>
          <w:marTop w:val="0"/>
          <w:marBottom w:val="0"/>
          <w:divBdr>
            <w:top w:val="none" w:sz="0" w:space="0" w:color="auto"/>
            <w:left w:val="none" w:sz="0" w:space="0" w:color="auto"/>
            <w:bottom w:val="none" w:sz="0" w:space="0" w:color="auto"/>
            <w:right w:val="none" w:sz="0" w:space="0" w:color="auto"/>
          </w:divBdr>
          <w:divsChild>
            <w:div w:id="1618218361">
              <w:marLeft w:val="0"/>
              <w:marRight w:val="0"/>
              <w:marTop w:val="0"/>
              <w:marBottom w:val="0"/>
              <w:divBdr>
                <w:top w:val="none" w:sz="0" w:space="0" w:color="auto"/>
                <w:left w:val="none" w:sz="0" w:space="0" w:color="auto"/>
                <w:bottom w:val="none" w:sz="0" w:space="0" w:color="auto"/>
                <w:right w:val="none" w:sz="0" w:space="0" w:color="auto"/>
              </w:divBdr>
            </w:div>
          </w:divsChild>
        </w:div>
        <w:div w:id="1902136991">
          <w:marLeft w:val="0"/>
          <w:marRight w:val="0"/>
          <w:marTop w:val="0"/>
          <w:marBottom w:val="0"/>
          <w:divBdr>
            <w:top w:val="none" w:sz="0" w:space="0" w:color="auto"/>
            <w:left w:val="none" w:sz="0" w:space="0" w:color="auto"/>
            <w:bottom w:val="none" w:sz="0" w:space="0" w:color="auto"/>
            <w:right w:val="none" w:sz="0" w:space="0" w:color="auto"/>
          </w:divBdr>
          <w:divsChild>
            <w:div w:id="1518890261">
              <w:marLeft w:val="0"/>
              <w:marRight w:val="0"/>
              <w:marTop w:val="0"/>
              <w:marBottom w:val="0"/>
              <w:divBdr>
                <w:top w:val="none" w:sz="0" w:space="0" w:color="auto"/>
                <w:left w:val="none" w:sz="0" w:space="0" w:color="auto"/>
                <w:bottom w:val="none" w:sz="0" w:space="0" w:color="auto"/>
                <w:right w:val="none" w:sz="0" w:space="0" w:color="auto"/>
              </w:divBdr>
            </w:div>
          </w:divsChild>
        </w:div>
        <w:div w:id="1934780909">
          <w:marLeft w:val="0"/>
          <w:marRight w:val="0"/>
          <w:marTop w:val="0"/>
          <w:marBottom w:val="0"/>
          <w:divBdr>
            <w:top w:val="none" w:sz="0" w:space="0" w:color="auto"/>
            <w:left w:val="none" w:sz="0" w:space="0" w:color="auto"/>
            <w:bottom w:val="none" w:sz="0" w:space="0" w:color="auto"/>
            <w:right w:val="none" w:sz="0" w:space="0" w:color="auto"/>
          </w:divBdr>
          <w:divsChild>
            <w:div w:id="376390700">
              <w:marLeft w:val="0"/>
              <w:marRight w:val="0"/>
              <w:marTop w:val="0"/>
              <w:marBottom w:val="0"/>
              <w:divBdr>
                <w:top w:val="none" w:sz="0" w:space="0" w:color="auto"/>
                <w:left w:val="none" w:sz="0" w:space="0" w:color="auto"/>
                <w:bottom w:val="none" w:sz="0" w:space="0" w:color="auto"/>
                <w:right w:val="none" w:sz="0" w:space="0" w:color="auto"/>
              </w:divBdr>
            </w:div>
          </w:divsChild>
        </w:div>
        <w:div w:id="1943149341">
          <w:marLeft w:val="0"/>
          <w:marRight w:val="0"/>
          <w:marTop w:val="0"/>
          <w:marBottom w:val="0"/>
          <w:divBdr>
            <w:top w:val="none" w:sz="0" w:space="0" w:color="auto"/>
            <w:left w:val="none" w:sz="0" w:space="0" w:color="auto"/>
            <w:bottom w:val="none" w:sz="0" w:space="0" w:color="auto"/>
            <w:right w:val="none" w:sz="0" w:space="0" w:color="auto"/>
          </w:divBdr>
          <w:divsChild>
            <w:div w:id="366031528">
              <w:marLeft w:val="0"/>
              <w:marRight w:val="0"/>
              <w:marTop w:val="0"/>
              <w:marBottom w:val="0"/>
              <w:divBdr>
                <w:top w:val="none" w:sz="0" w:space="0" w:color="auto"/>
                <w:left w:val="none" w:sz="0" w:space="0" w:color="auto"/>
                <w:bottom w:val="none" w:sz="0" w:space="0" w:color="auto"/>
                <w:right w:val="none" w:sz="0" w:space="0" w:color="auto"/>
              </w:divBdr>
            </w:div>
          </w:divsChild>
        </w:div>
        <w:div w:id="1944729721">
          <w:marLeft w:val="0"/>
          <w:marRight w:val="0"/>
          <w:marTop w:val="0"/>
          <w:marBottom w:val="0"/>
          <w:divBdr>
            <w:top w:val="none" w:sz="0" w:space="0" w:color="auto"/>
            <w:left w:val="none" w:sz="0" w:space="0" w:color="auto"/>
            <w:bottom w:val="none" w:sz="0" w:space="0" w:color="auto"/>
            <w:right w:val="none" w:sz="0" w:space="0" w:color="auto"/>
          </w:divBdr>
          <w:divsChild>
            <w:div w:id="395784872">
              <w:marLeft w:val="0"/>
              <w:marRight w:val="0"/>
              <w:marTop w:val="0"/>
              <w:marBottom w:val="0"/>
              <w:divBdr>
                <w:top w:val="none" w:sz="0" w:space="0" w:color="auto"/>
                <w:left w:val="none" w:sz="0" w:space="0" w:color="auto"/>
                <w:bottom w:val="none" w:sz="0" w:space="0" w:color="auto"/>
                <w:right w:val="none" w:sz="0" w:space="0" w:color="auto"/>
              </w:divBdr>
            </w:div>
          </w:divsChild>
        </w:div>
        <w:div w:id="1959022802">
          <w:marLeft w:val="0"/>
          <w:marRight w:val="0"/>
          <w:marTop w:val="0"/>
          <w:marBottom w:val="0"/>
          <w:divBdr>
            <w:top w:val="none" w:sz="0" w:space="0" w:color="auto"/>
            <w:left w:val="none" w:sz="0" w:space="0" w:color="auto"/>
            <w:bottom w:val="none" w:sz="0" w:space="0" w:color="auto"/>
            <w:right w:val="none" w:sz="0" w:space="0" w:color="auto"/>
          </w:divBdr>
          <w:divsChild>
            <w:div w:id="193464941">
              <w:marLeft w:val="0"/>
              <w:marRight w:val="0"/>
              <w:marTop w:val="0"/>
              <w:marBottom w:val="0"/>
              <w:divBdr>
                <w:top w:val="none" w:sz="0" w:space="0" w:color="auto"/>
                <w:left w:val="none" w:sz="0" w:space="0" w:color="auto"/>
                <w:bottom w:val="none" w:sz="0" w:space="0" w:color="auto"/>
                <w:right w:val="none" w:sz="0" w:space="0" w:color="auto"/>
              </w:divBdr>
            </w:div>
          </w:divsChild>
        </w:div>
        <w:div w:id="1966543816">
          <w:marLeft w:val="0"/>
          <w:marRight w:val="0"/>
          <w:marTop w:val="0"/>
          <w:marBottom w:val="0"/>
          <w:divBdr>
            <w:top w:val="none" w:sz="0" w:space="0" w:color="auto"/>
            <w:left w:val="none" w:sz="0" w:space="0" w:color="auto"/>
            <w:bottom w:val="none" w:sz="0" w:space="0" w:color="auto"/>
            <w:right w:val="none" w:sz="0" w:space="0" w:color="auto"/>
          </w:divBdr>
          <w:divsChild>
            <w:div w:id="1673607031">
              <w:marLeft w:val="0"/>
              <w:marRight w:val="0"/>
              <w:marTop w:val="0"/>
              <w:marBottom w:val="0"/>
              <w:divBdr>
                <w:top w:val="none" w:sz="0" w:space="0" w:color="auto"/>
                <w:left w:val="none" w:sz="0" w:space="0" w:color="auto"/>
                <w:bottom w:val="none" w:sz="0" w:space="0" w:color="auto"/>
                <w:right w:val="none" w:sz="0" w:space="0" w:color="auto"/>
              </w:divBdr>
            </w:div>
          </w:divsChild>
        </w:div>
        <w:div w:id="1971087029">
          <w:marLeft w:val="0"/>
          <w:marRight w:val="0"/>
          <w:marTop w:val="0"/>
          <w:marBottom w:val="0"/>
          <w:divBdr>
            <w:top w:val="none" w:sz="0" w:space="0" w:color="auto"/>
            <w:left w:val="none" w:sz="0" w:space="0" w:color="auto"/>
            <w:bottom w:val="none" w:sz="0" w:space="0" w:color="auto"/>
            <w:right w:val="none" w:sz="0" w:space="0" w:color="auto"/>
          </w:divBdr>
          <w:divsChild>
            <w:div w:id="651567146">
              <w:marLeft w:val="0"/>
              <w:marRight w:val="0"/>
              <w:marTop w:val="0"/>
              <w:marBottom w:val="0"/>
              <w:divBdr>
                <w:top w:val="none" w:sz="0" w:space="0" w:color="auto"/>
                <w:left w:val="none" w:sz="0" w:space="0" w:color="auto"/>
                <w:bottom w:val="none" w:sz="0" w:space="0" w:color="auto"/>
                <w:right w:val="none" w:sz="0" w:space="0" w:color="auto"/>
              </w:divBdr>
            </w:div>
          </w:divsChild>
        </w:div>
        <w:div w:id="1985505333">
          <w:marLeft w:val="0"/>
          <w:marRight w:val="0"/>
          <w:marTop w:val="0"/>
          <w:marBottom w:val="0"/>
          <w:divBdr>
            <w:top w:val="none" w:sz="0" w:space="0" w:color="auto"/>
            <w:left w:val="none" w:sz="0" w:space="0" w:color="auto"/>
            <w:bottom w:val="none" w:sz="0" w:space="0" w:color="auto"/>
            <w:right w:val="none" w:sz="0" w:space="0" w:color="auto"/>
          </w:divBdr>
          <w:divsChild>
            <w:div w:id="169637843">
              <w:marLeft w:val="0"/>
              <w:marRight w:val="0"/>
              <w:marTop w:val="0"/>
              <w:marBottom w:val="0"/>
              <w:divBdr>
                <w:top w:val="none" w:sz="0" w:space="0" w:color="auto"/>
                <w:left w:val="none" w:sz="0" w:space="0" w:color="auto"/>
                <w:bottom w:val="none" w:sz="0" w:space="0" w:color="auto"/>
                <w:right w:val="none" w:sz="0" w:space="0" w:color="auto"/>
              </w:divBdr>
            </w:div>
          </w:divsChild>
        </w:div>
        <w:div w:id="2001149727">
          <w:marLeft w:val="0"/>
          <w:marRight w:val="0"/>
          <w:marTop w:val="0"/>
          <w:marBottom w:val="0"/>
          <w:divBdr>
            <w:top w:val="none" w:sz="0" w:space="0" w:color="auto"/>
            <w:left w:val="none" w:sz="0" w:space="0" w:color="auto"/>
            <w:bottom w:val="none" w:sz="0" w:space="0" w:color="auto"/>
            <w:right w:val="none" w:sz="0" w:space="0" w:color="auto"/>
          </w:divBdr>
          <w:divsChild>
            <w:div w:id="472063301">
              <w:marLeft w:val="0"/>
              <w:marRight w:val="0"/>
              <w:marTop w:val="0"/>
              <w:marBottom w:val="0"/>
              <w:divBdr>
                <w:top w:val="none" w:sz="0" w:space="0" w:color="auto"/>
                <w:left w:val="none" w:sz="0" w:space="0" w:color="auto"/>
                <w:bottom w:val="none" w:sz="0" w:space="0" w:color="auto"/>
                <w:right w:val="none" w:sz="0" w:space="0" w:color="auto"/>
              </w:divBdr>
            </w:div>
          </w:divsChild>
        </w:div>
        <w:div w:id="2012444359">
          <w:marLeft w:val="0"/>
          <w:marRight w:val="0"/>
          <w:marTop w:val="0"/>
          <w:marBottom w:val="0"/>
          <w:divBdr>
            <w:top w:val="none" w:sz="0" w:space="0" w:color="auto"/>
            <w:left w:val="none" w:sz="0" w:space="0" w:color="auto"/>
            <w:bottom w:val="none" w:sz="0" w:space="0" w:color="auto"/>
            <w:right w:val="none" w:sz="0" w:space="0" w:color="auto"/>
          </w:divBdr>
          <w:divsChild>
            <w:div w:id="143930775">
              <w:marLeft w:val="0"/>
              <w:marRight w:val="0"/>
              <w:marTop w:val="0"/>
              <w:marBottom w:val="0"/>
              <w:divBdr>
                <w:top w:val="none" w:sz="0" w:space="0" w:color="auto"/>
                <w:left w:val="none" w:sz="0" w:space="0" w:color="auto"/>
                <w:bottom w:val="none" w:sz="0" w:space="0" w:color="auto"/>
                <w:right w:val="none" w:sz="0" w:space="0" w:color="auto"/>
              </w:divBdr>
            </w:div>
          </w:divsChild>
        </w:div>
        <w:div w:id="2023505863">
          <w:marLeft w:val="0"/>
          <w:marRight w:val="0"/>
          <w:marTop w:val="0"/>
          <w:marBottom w:val="0"/>
          <w:divBdr>
            <w:top w:val="none" w:sz="0" w:space="0" w:color="auto"/>
            <w:left w:val="none" w:sz="0" w:space="0" w:color="auto"/>
            <w:bottom w:val="none" w:sz="0" w:space="0" w:color="auto"/>
            <w:right w:val="none" w:sz="0" w:space="0" w:color="auto"/>
          </w:divBdr>
          <w:divsChild>
            <w:div w:id="1676180632">
              <w:marLeft w:val="0"/>
              <w:marRight w:val="0"/>
              <w:marTop w:val="0"/>
              <w:marBottom w:val="0"/>
              <w:divBdr>
                <w:top w:val="none" w:sz="0" w:space="0" w:color="auto"/>
                <w:left w:val="none" w:sz="0" w:space="0" w:color="auto"/>
                <w:bottom w:val="none" w:sz="0" w:space="0" w:color="auto"/>
                <w:right w:val="none" w:sz="0" w:space="0" w:color="auto"/>
              </w:divBdr>
            </w:div>
          </w:divsChild>
        </w:div>
        <w:div w:id="2093577219">
          <w:marLeft w:val="0"/>
          <w:marRight w:val="0"/>
          <w:marTop w:val="0"/>
          <w:marBottom w:val="0"/>
          <w:divBdr>
            <w:top w:val="none" w:sz="0" w:space="0" w:color="auto"/>
            <w:left w:val="none" w:sz="0" w:space="0" w:color="auto"/>
            <w:bottom w:val="none" w:sz="0" w:space="0" w:color="auto"/>
            <w:right w:val="none" w:sz="0" w:space="0" w:color="auto"/>
          </w:divBdr>
          <w:divsChild>
            <w:div w:id="2030258498">
              <w:marLeft w:val="0"/>
              <w:marRight w:val="0"/>
              <w:marTop w:val="0"/>
              <w:marBottom w:val="0"/>
              <w:divBdr>
                <w:top w:val="none" w:sz="0" w:space="0" w:color="auto"/>
                <w:left w:val="none" w:sz="0" w:space="0" w:color="auto"/>
                <w:bottom w:val="none" w:sz="0" w:space="0" w:color="auto"/>
                <w:right w:val="none" w:sz="0" w:space="0" w:color="auto"/>
              </w:divBdr>
            </w:div>
          </w:divsChild>
        </w:div>
        <w:div w:id="2128959565">
          <w:marLeft w:val="0"/>
          <w:marRight w:val="0"/>
          <w:marTop w:val="0"/>
          <w:marBottom w:val="0"/>
          <w:divBdr>
            <w:top w:val="none" w:sz="0" w:space="0" w:color="auto"/>
            <w:left w:val="none" w:sz="0" w:space="0" w:color="auto"/>
            <w:bottom w:val="none" w:sz="0" w:space="0" w:color="auto"/>
            <w:right w:val="none" w:sz="0" w:space="0" w:color="auto"/>
          </w:divBdr>
          <w:divsChild>
            <w:div w:id="328797455">
              <w:marLeft w:val="0"/>
              <w:marRight w:val="0"/>
              <w:marTop w:val="0"/>
              <w:marBottom w:val="0"/>
              <w:divBdr>
                <w:top w:val="none" w:sz="0" w:space="0" w:color="auto"/>
                <w:left w:val="none" w:sz="0" w:space="0" w:color="auto"/>
                <w:bottom w:val="none" w:sz="0" w:space="0" w:color="auto"/>
                <w:right w:val="none" w:sz="0" w:space="0" w:color="auto"/>
              </w:divBdr>
            </w:div>
          </w:divsChild>
        </w:div>
        <w:div w:id="2142458756">
          <w:marLeft w:val="0"/>
          <w:marRight w:val="0"/>
          <w:marTop w:val="0"/>
          <w:marBottom w:val="0"/>
          <w:divBdr>
            <w:top w:val="none" w:sz="0" w:space="0" w:color="auto"/>
            <w:left w:val="none" w:sz="0" w:space="0" w:color="auto"/>
            <w:bottom w:val="none" w:sz="0" w:space="0" w:color="auto"/>
            <w:right w:val="none" w:sz="0" w:space="0" w:color="auto"/>
          </w:divBdr>
          <w:divsChild>
            <w:div w:id="16254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9841">
      <w:bodyDiv w:val="1"/>
      <w:marLeft w:val="0"/>
      <w:marRight w:val="0"/>
      <w:marTop w:val="0"/>
      <w:marBottom w:val="0"/>
      <w:divBdr>
        <w:top w:val="none" w:sz="0" w:space="0" w:color="auto"/>
        <w:left w:val="none" w:sz="0" w:space="0" w:color="auto"/>
        <w:bottom w:val="none" w:sz="0" w:space="0" w:color="auto"/>
        <w:right w:val="none" w:sz="0" w:space="0" w:color="auto"/>
      </w:divBdr>
    </w:div>
    <w:div w:id="1844396631">
      <w:bodyDiv w:val="1"/>
      <w:marLeft w:val="0"/>
      <w:marRight w:val="0"/>
      <w:marTop w:val="0"/>
      <w:marBottom w:val="0"/>
      <w:divBdr>
        <w:top w:val="none" w:sz="0" w:space="0" w:color="auto"/>
        <w:left w:val="none" w:sz="0" w:space="0" w:color="auto"/>
        <w:bottom w:val="none" w:sz="0" w:space="0" w:color="auto"/>
        <w:right w:val="none" w:sz="0" w:space="0" w:color="auto"/>
      </w:divBdr>
    </w:div>
    <w:div w:id="1851724433">
      <w:bodyDiv w:val="1"/>
      <w:marLeft w:val="0"/>
      <w:marRight w:val="0"/>
      <w:marTop w:val="0"/>
      <w:marBottom w:val="0"/>
      <w:divBdr>
        <w:top w:val="none" w:sz="0" w:space="0" w:color="auto"/>
        <w:left w:val="none" w:sz="0" w:space="0" w:color="auto"/>
        <w:bottom w:val="none" w:sz="0" w:space="0" w:color="auto"/>
        <w:right w:val="none" w:sz="0" w:space="0" w:color="auto"/>
      </w:divBdr>
      <w:divsChild>
        <w:div w:id="33819262">
          <w:marLeft w:val="0"/>
          <w:marRight w:val="0"/>
          <w:marTop w:val="0"/>
          <w:marBottom w:val="0"/>
          <w:divBdr>
            <w:top w:val="none" w:sz="0" w:space="0" w:color="auto"/>
            <w:left w:val="none" w:sz="0" w:space="0" w:color="auto"/>
            <w:bottom w:val="none" w:sz="0" w:space="0" w:color="auto"/>
            <w:right w:val="none" w:sz="0" w:space="0" w:color="auto"/>
          </w:divBdr>
          <w:divsChild>
            <w:div w:id="993921148">
              <w:marLeft w:val="0"/>
              <w:marRight w:val="0"/>
              <w:marTop w:val="0"/>
              <w:marBottom w:val="0"/>
              <w:divBdr>
                <w:top w:val="none" w:sz="0" w:space="0" w:color="auto"/>
                <w:left w:val="none" w:sz="0" w:space="0" w:color="auto"/>
                <w:bottom w:val="none" w:sz="0" w:space="0" w:color="auto"/>
                <w:right w:val="none" w:sz="0" w:space="0" w:color="auto"/>
              </w:divBdr>
            </w:div>
          </w:divsChild>
        </w:div>
        <w:div w:id="41682881">
          <w:marLeft w:val="0"/>
          <w:marRight w:val="0"/>
          <w:marTop w:val="0"/>
          <w:marBottom w:val="0"/>
          <w:divBdr>
            <w:top w:val="none" w:sz="0" w:space="0" w:color="auto"/>
            <w:left w:val="none" w:sz="0" w:space="0" w:color="auto"/>
            <w:bottom w:val="none" w:sz="0" w:space="0" w:color="auto"/>
            <w:right w:val="none" w:sz="0" w:space="0" w:color="auto"/>
          </w:divBdr>
          <w:divsChild>
            <w:div w:id="1642614045">
              <w:marLeft w:val="0"/>
              <w:marRight w:val="0"/>
              <w:marTop w:val="0"/>
              <w:marBottom w:val="0"/>
              <w:divBdr>
                <w:top w:val="none" w:sz="0" w:space="0" w:color="auto"/>
                <w:left w:val="none" w:sz="0" w:space="0" w:color="auto"/>
                <w:bottom w:val="none" w:sz="0" w:space="0" w:color="auto"/>
                <w:right w:val="none" w:sz="0" w:space="0" w:color="auto"/>
              </w:divBdr>
            </w:div>
          </w:divsChild>
        </w:div>
        <w:div w:id="44181016">
          <w:marLeft w:val="0"/>
          <w:marRight w:val="0"/>
          <w:marTop w:val="0"/>
          <w:marBottom w:val="0"/>
          <w:divBdr>
            <w:top w:val="none" w:sz="0" w:space="0" w:color="auto"/>
            <w:left w:val="none" w:sz="0" w:space="0" w:color="auto"/>
            <w:bottom w:val="none" w:sz="0" w:space="0" w:color="auto"/>
            <w:right w:val="none" w:sz="0" w:space="0" w:color="auto"/>
          </w:divBdr>
          <w:divsChild>
            <w:div w:id="51467000">
              <w:marLeft w:val="0"/>
              <w:marRight w:val="0"/>
              <w:marTop w:val="0"/>
              <w:marBottom w:val="0"/>
              <w:divBdr>
                <w:top w:val="none" w:sz="0" w:space="0" w:color="auto"/>
                <w:left w:val="none" w:sz="0" w:space="0" w:color="auto"/>
                <w:bottom w:val="none" w:sz="0" w:space="0" w:color="auto"/>
                <w:right w:val="none" w:sz="0" w:space="0" w:color="auto"/>
              </w:divBdr>
            </w:div>
          </w:divsChild>
        </w:div>
        <w:div w:id="92095853">
          <w:marLeft w:val="0"/>
          <w:marRight w:val="0"/>
          <w:marTop w:val="0"/>
          <w:marBottom w:val="0"/>
          <w:divBdr>
            <w:top w:val="none" w:sz="0" w:space="0" w:color="auto"/>
            <w:left w:val="none" w:sz="0" w:space="0" w:color="auto"/>
            <w:bottom w:val="none" w:sz="0" w:space="0" w:color="auto"/>
            <w:right w:val="none" w:sz="0" w:space="0" w:color="auto"/>
          </w:divBdr>
          <w:divsChild>
            <w:div w:id="844905893">
              <w:marLeft w:val="0"/>
              <w:marRight w:val="0"/>
              <w:marTop w:val="0"/>
              <w:marBottom w:val="0"/>
              <w:divBdr>
                <w:top w:val="none" w:sz="0" w:space="0" w:color="auto"/>
                <w:left w:val="none" w:sz="0" w:space="0" w:color="auto"/>
                <w:bottom w:val="none" w:sz="0" w:space="0" w:color="auto"/>
                <w:right w:val="none" w:sz="0" w:space="0" w:color="auto"/>
              </w:divBdr>
            </w:div>
          </w:divsChild>
        </w:div>
        <w:div w:id="104084520">
          <w:marLeft w:val="0"/>
          <w:marRight w:val="0"/>
          <w:marTop w:val="0"/>
          <w:marBottom w:val="0"/>
          <w:divBdr>
            <w:top w:val="none" w:sz="0" w:space="0" w:color="auto"/>
            <w:left w:val="none" w:sz="0" w:space="0" w:color="auto"/>
            <w:bottom w:val="none" w:sz="0" w:space="0" w:color="auto"/>
            <w:right w:val="none" w:sz="0" w:space="0" w:color="auto"/>
          </w:divBdr>
          <w:divsChild>
            <w:div w:id="1394502026">
              <w:marLeft w:val="0"/>
              <w:marRight w:val="0"/>
              <w:marTop w:val="0"/>
              <w:marBottom w:val="0"/>
              <w:divBdr>
                <w:top w:val="none" w:sz="0" w:space="0" w:color="auto"/>
                <w:left w:val="none" w:sz="0" w:space="0" w:color="auto"/>
                <w:bottom w:val="none" w:sz="0" w:space="0" w:color="auto"/>
                <w:right w:val="none" w:sz="0" w:space="0" w:color="auto"/>
              </w:divBdr>
            </w:div>
          </w:divsChild>
        </w:div>
        <w:div w:id="188683272">
          <w:marLeft w:val="0"/>
          <w:marRight w:val="0"/>
          <w:marTop w:val="0"/>
          <w:marBottom w:val="0"/>
          <w:divBdr>
            <w:top w:val="none" w:sz="0" w:space="0" w:color="auto"/>
            <w:left w:val="none" w:sz="0" w:space="0" w:color="auto"/>
            <w:bottom w:val="none" w:sz="0" w:space="0" w:color="auto"/>
            <w:right w:val="none" w:sz="0" w:space="0" w:color="auto"/>
          </w:divBdr>
          <w:divsChild>
            <w:div w:id="1062100295">
              <w:marLeft w:val="0"/>
              <w:marRight w:val="0"/>
              <w:marTop w:val="0"/>
              <w:marBottom w:val="0"/>
              <w:divBdr>
                <w:top w:val="none" w:sz="0" w:space="0" w:color="auto"/>
                <w:left w:val="none" w:sz="0" w:space="0" w:color="auto"/>
                <w:bottom w:val="none" w:sz="0" w:space="0" w:color="auto"/>
                <w:right w:val="none" w:sz="0" w:space="0" w:color="auto"/>
              </w:divBdr>
            </w:div>
          </w:divsChild>
        </w:div>
        <w:div w:id="217086220">
          <w:marLeft w:val="0"/>
          <w:marRight w:val="0"/>
          <w:marTop w:val="0"/>
          <w:marBottom w:val="0"/>
          <w:divBdr>
            <w:top w:val="none" w:sz="0" w:space="0" w:color="auto"/>
            <w:left w:val="none" w:sz="0" w:space="0" w:color="auto"/>
            <w:bottom w:val="none" w:sz="0" w:space="0" w:color="auto"/>
            <w:right w:val="none" w:sz="0" w:space="0" w:color="auto"/>
          </w:divBdr>
          <w:divsChild>
            <w:div w:id="1812744991">
              <w:marLeft w:val="0"/>
              <w:marRight w:val="0"/>
              <w:marTop w:val="0"/>
              <w:marBottom w:val="0"/>
              <w:divBdr>
                <w:top w:val="none" w:sz="0" w:space="0" w:color="auto"/>
                <w:left w:val="none" w:sz="0" w:space="0" w:color="auto"/>
                <w:bottom w:val="none" w:sz="0" w:space="0" w:color="auto"/>
                <w:right w:val="none" w:sz="0" w:space="0" w:color="auto"/>
              </w:divBdr>
            </w:div>
          </w:divsChild>
        </w:div>
        <w:div w:id="230779462">
          <w:marLeft w:val="0"/>
          <w:marRight w:val="0"/>
          <w:marTop w:val="0"/>
          <w:marBottom w:val="0"/>
          <w:divBdr>
            <w:top w:val="none" w:sz="0" w:space="0" w:color="auto"/>
            <w:left w:val="none" w:sz="0" w:space="0" w:color="auto"/>
            <w:bottom w:val="none" w:sz="0" w:space="0" w:color="auto"/>
            <w:right w:val="none" w:sz="0" w:space="0" w:color="auto"/>
          </w:divBdr>
          <w:divsChild>
            <w:div w:id="1547254969">
              <w:marLeft w:val="0"/>
              <w:marRight w:val="0"/>
              <w:marTop w:val="0"/>
              <w:marBottom w:val="0"/>
              <w:divBdr>
                <w:top w:val="none" w:sz="0" w:space="0" w:color="auto"/>
                <w:left w:val="none" w:sz="0" w:space="0" w:color="auto"/>
                <w:bottom w:val="none" w:sz="0" w:space="0" w:color="auto"/>
                <w:right w:val="none" w:sz="0" w:space="0" w:color="auto"/>
              </w:divBdr>
            </w:div>
          </w:divsChild>
        </w:div>
        <w:div w:id="240213981">
          <w:marLeft w:val="0"/>
          <w:marRight w:val="0"/>
          <w:marTop w:val="0"/>
          <w:marBottom w:val="0"/>
          <w:divBdr>
            <w:top w:val="none" w:sz="0" w:space="0" w:color="auto"/>
            <w:left w:val="none" w:sz="0" w:space="0" w:color="auto"/>
            <w:bottom w:val="none" w:sz="0" w:space="0" w:color="auto"/>
            <w:right w:val="none" w:sz="0" w:space="0" w:color="auto"/>
          </w:divBdr>
          <w:divsChild>
            <w:div w:id="901452204">
              <w:marLeft w:val="0"/>
              <w:marRight w:val="0"/>
              <w:marTop w:val="0"/>
              <w:marBottom w:val="0"/>
              <w:divBdr>
                <w:top w:val="none" w:sz="0" w:space="0" w:color="auto"/>
                <w:left w:val="none" w:sz="0" w:space="0" w:color="auto"/>
                <w:bottom w:val="none" w:sz="0" w:space="0" w:color="auto"/>
                <w:right w:val="none" w:sz="0" w:space="0" w:color="auto"/>
              </w:divBdr>
            </w:div>
          </w:divsChild>
        </w:div>
        <w:div w:id="243338376">
          <w:marLeft w:val="0"/>
          <w:marRight w:val="0"/>
          <w:marTop w:val="0"/>
          <w:marBottom w:val="0"/>
          <w:divBdr>
            <w:top w:val="none" w:sz="0" w:space="0" w:color="auto"/>
            <w:left w:val="none" w:sz="0" w:space="0" w:color="auto"/>
            <w:bottom w:val="none" w:sz="0" w:space="0" w:color="auto"/>
            <w:right w:val="none" w:sz="0" w:space="0" w:color="auto"/>
          </w:divBdr>
          <w:divsChild>
            <w:div w:id="1186209257">
              <w:marLeft w:val="0"/>
              <w:marRight w:val="0"/>
              <w:marTop w:val="0"/>
              <w:marBottom w:val="0"/>
              <w:divBdr>
                <w:top w:val="none" w:sz="0" w:space="0" w:color="auto"/>
                <w:left w:val="none" w:sz="0" w:space="0" w:color="auto"/>
                <w:bottom w:val="none" w:sz="0" w:space="0" w:color="auto"/>
                <w:right w:val="none" w:sz="0" w:space="0" w:color="auto"/>
              </w:divBdr>
            </w:div>
          </w:divsChild>
        </w:div>
        <w:div w:id="310527081">
          <w:marLeft w:val="0"/>
          <w:marRight w:val="0"/>
          <w:marTop w:val="0"/>
          <w:marBottom w:val="0"/>
          <w:divBdr>
            <w:top w:val="none" w:sz="0" w:space="0" w:color="auto"/>
            <w:left w:val="none" w:sz="0" w:space="0" w:color="auto"/>
            <w:bottom w:val="none" w:sz="0" w:space="0" w:color="auto"/>
            <w:right w:val="none" w:sz="0" w:space="0" w:color="auto"/>
          </w:divBdr>
          <w:divsChild>
            <w:div w:id="1645353172">
              <w:marLeft w:val="0"/>
              <w:marRight w:val="0"/>
              <w:marTop w:val="0"/>
              <w:marBottom w:val="0"/>
              <w:divBdr>
                <w:top w:val="none" w:sz="0" w:space="0" w:color="auto"/>
                <w:left w:val="none" w:sz="0" w:space="0" w:color="auto"/>
                <w:bottom w:val="none" w:sz="0" w:space="0" w:color="auto"/>
                <w:right w:val="none" w:sz="0" w:space="0" w:color="auto"/>
              </w:divBdr>
            </w:div>
          </w:divsChild>
        </w:div>
        <w:div w:id="320164745">
          <w:marLeft w:val="0"/>
          <w:marRight w:val="0"/>
          <w:marTop w:val="0"/>
          <w:marBottom w:val="0"/>
          <w:divBdr>
            <w:top w:val="none" w:sz="0" w:space="0" w:color="auto"/>
            <w:left w:val="none" w:sz="0" w:space="0" w:color="auto"/>
            <w:bottom w:val="none" w:sz="0" w:space="0" w:color="auto"/>
            <w:right w:val="none" w:sz="0" w:space="0" w:color="auto"/>
          </w:divBdr>
          <w:divsChild>
            <w:div w:id="1162430373">
              <w:marLeft w:val="0"/>
              <w:marRight w:val="0"/>
              <w:marTop w:val="0"/>
              <w:marBottom w:val="0"/>
              <w:divBdr>
                <w:top w:val="none" w:sz="0" w:space="0" w:color="auto"/>
                <w:left w:val="none" w:sz="0" w:space="0" w:color="auto"/>
                <w:bottom w:val="none" w:sz="0" w:space="0" w:color="auto"/>
                <w:right w:val="none" w:sz="0" w:space="0" w:color="auto"/>
              </w:divBdr>
            </w:div>
          </w:divsChild>
        </w:div>
        <w:div w:id="329066897">
          <w:marLeft w:val="0"/>
          <w:marRight w:val="0"/>
          <w:marTop w:val="0"/>
          <w:marBottom w:val="0"/>
          <w:divBdr>
            <w:top w:val="none" w:sz="0" w:space="0" w:color="auto"/>
            <w:left w:val="none" w:sz="0" w:space="0" w:color="auto"/>
            <w:bottom w:val="none" w:sz="0" w:space="0" w:color="auto"/>
            <w:right w:val="none" w:sz="0" w:space="0" w:color="auto"/>
          </w:divBdr>
          <w:divsChild>
            <w:div w:id="825972979">
              <w:marLeft w:val="0"/>
              <w:marRight w:val="0"/>
              <w:marTop w:val="0"/>
              <w:marBottom w:val="0"/>
              <w:divBdr>
                <w:top w:val="none" w:sz="0" w:space="0" w:color="auto"/>
                <w:left w:val="none" w:sz="0" w:space="0" w:color="auto"/>
                <w:bottom w:val="none" w:sz="0" w:space="0" w:color="auto"/>
                <w:right w:val="none" w:sz="0" w:space="0" w:color="auto"/>
              </w:divBdr>
            </w:div>
          </w:divsChild>
        </w:div>
        <w:div w:id="344671100">
          <w:marLeft w:val="0"/>
          <w:marRight w:val="0"/>
          <w:marTop w:val="0"/>
          <w:marBottom w:val="0"/>
          <w:divBdr>
            <w:top w:val="none" w:sz="0" w:space="0" w:color="auto"/>
            <w:left w:val="none" w:sz="0" w:space="0" w:color="auto"/>
            <w:bottom w:val="none" w:sz="0" w:space="0" w:color="auto"/>
            <w:right w:val="none" w:sz="0" w:space="0" w:color="auto"/>
          </w:divBdr>
          <w:divsChild>
            <w:div w:id="770665326">
              <w:marLeft w:val="0"/>
              <w:marRight w:val="0"/>
              <w:marTop w:val="0"/>
              <w:marBottom w:val="0"/>
              <w:divBdr>
                <w:top w:val="none" w:sz="0" w:space="0" w:color="auto"/>
                <w:left w:val="none" w:sz="0" w:space="0" w:color="auto"/>
                <w:bottom w:val="none" w:sz="0" w:space="0" w:color="auto"/>
                <w:right w:val="none" w:sz="0" w:space="0" w:color="auto"/>
              </w:divBdr>
            </w:div>
          </w:divsChild>
        </w:div>
        <w:div w:id="395589104">
          <w:marLeft w:val="0"/>
          <w:marRight w:val="0"/>
          <w:marTop w:val="0"/>
          <w:marBottom w:val="0"/>
          <w:divBdr>
            <w:top w:val="none" w:sz="0" w:space="0" w:color="auto"/>
            <w:left w:val="none" w:sz="0" w:space="0" w:color="auto"/>
            <w:bottom w:val="none" w:sz="0" w:space="0" w:color="auto"/>
            <w:right w:val="none" w:sz="0" w:space="0" w:color="auto"/>
          </w:divBdr>
          <w:divsChild>
            <w:div w:id="317343119">
              <w:marLeft w:val="0"/>
              <w:marRight w:val="0"/>
              <w:marTop w:val="0"/>
              <w:marBottom w:val="0"/>
              <w:divBdr>
                <w:top w:val="none" w:sz="0" w:space="0" w:color="auto"/>
                <w:left w:val="none" w:sz="0" w:space="0" w:color="auto"/>
                <w:bottom w:val="none" w:sz="0" w:space="0" w:color="auto"/>
                <w:right w:val="none" w:sz="0" w:space="0" w:color="auto"/>
              </w:divBdr>
            </w:div>
          </w:divsChild>
        </w:div>
        <w:div w:id="409353010">
          <w:marLeft w:val="0"/>
          <w:marRight w:val="0"/>
          <w:marTop w:val="0"/>
          <w:marBottom w:val="0"/>
          <w:divBdr>
            <w:top w:val="none" w:sz="0" w:space="0" w:color="auto"/>
            <w:left w:val="none" w:sz="0" w:space="0" w:color="auto"/>
            <w:bottom w:val="none" w:sz="0" w:space="0" w:color="auto"/>
            <w:right w:val="none" w:sz="0" w:space="0" w:color="auto"/>
          </w:divBdr>
          <w:divsChild>
            <w:div w:id="454254349">
              <w:marLeft w:val="0"/>
              <w:marRight w:val="0"/>
              <w:marTop w:val="0"/>
              <w:marBottom w:val="0"/>
              <w:divBdr>
                <w:top w:val="none" w:sz="0" w:space="0" w:color="auto"/>
                <w:left w:val="none" w:sz="0" w:space="0" w:color="auto"/>
                <w:bottom w:val="none" w:sz="0" w:space="0" w:color="auto"/>
                <w:right w:val="none" w:sz="0" w:space="0" w:color="auto"/>
              </w:divBdr>
            </w:div>
          </w:divsChild>
        </w:div>
        <w:div w:id="424544405">
          <w:marLeft w:val="0"/>
          <w:marRight w:val="0"/>
          <w:marTop w:val="0"/>
          <w:marBottom w:val="0"/>
          <w:divBdr>
            <w:top w:val="none" w:sz="0" w:space="0" w:color="auto"/>
            <w:left w:val="none" w:sz="0" w:space="0" w:color="auto"/>
            <w:bottom w:val="none" w:sz="0" w:space="0" w:color="auto"/>
            <w:right w:val="none" w:sz="0" w:space="0" w:color="auto"/>
          </w:divBdr>
          <w:divsChild>
            <w:div w:id="1830975303">
              <w:marLeft w:val="0"/>
              <w:marRight w:val="0"/>
              <w:marTop w:val="0"/>
              <w:marBottom w:val="0"/>
              <w:divBdr>
                <w:top w:val="none" w:sz="0" w:space="0" w:color="auto"/>
                <w:left w:val="none" w:sz="0" w:space="0" w:color="auto"/>
                <w:bottom w:val="none" w:sz="0" w:space="0" w:color="auto"/>
                <w:right w:val="none" w:sz="0" w:space="0" w:color="auto"/>
              </w:divBdr>
            </w:div>
          </w:divsChild>
        </w:div>
        <w:div w:id="502475075">
          <w:marLeft w:val="0"/>
          <w:marRight w:val="0"/>
          <w:marTop w:val="0"/>
          <w:marBottom w:val="0"/>
          <w:divBdr>
            <w:top w:val="none" w:sz="0" w:space="0" w:color="auto"/>
            <w:left w:val="none" w:sz="0" w:space="0" w:color="auto"/>
            <w:bottom w:val="none" w:sz="0" w:space="0" w:color="auto"/>
            <w:right w:val="none" w:sz="0" w:space="0" w:color="auto"/>
          </w:divBdr>
          <w:divsChild>
            <w:div w:id="33116270">
              <w:marLeft w:val="0"/>
              <w:marRight w:val="0"/>
              <w:marTop w:val="0"/>
              <w:marBottom w:val="0"/>
              <w:divBdr>
                <w:top w:val="none" w:sz="0" w:space="0" w:color="auto"/>
                <w:left w:val="none" w:sz="0" w:space="0" w:color="auto"/>
                <w:bottom w:val="none" w:sz="0" w:space="0" w:color="auto"/>
                <w:right w:val="none" w:sz="0" w:space="0" w:color="auto"/>
              </w:divBdr>
            </w:div>
          </w:divsChild>
        </w:div>
        <w:div w:id="530843764">
          <w:marLeft w:val="0"/>
          <w:marRight w:val="0"/>
          <w:marTop w:val="0"/>
          <w:marBottom w:val="0"/>
          <w:divBdr>
            <w:top w:val="none" w:sz="0" w:space="0" w:color="auto"/>
            <w:left w:val="none" w:sz="0" w:space="0" w:color="auto"/>
            <w:bottom w:val="none" w:sz="0" w:space="0" w:color="auto"/>
            <w:right w:val="none" w:sz="0" w:space="0" w:color="auto"/>
          </w:divBdr>
          <w:divsChild>
            <w:div w:id="513571539">
              <w:marLeft w:val="0"/>
              <w:marRight w:val="0"/>
              <w:marTop w:val="0"/>
              <w:marBottom w:val="0"/>
              <w:divBdr>
                <w:top w:val="none" w:sz="0" w:space="0" w:color="auto"/>
                <w:left w:val="none" w:sz="0" w:space="0" w:color="auto"/>
                <w:bottom w:val="none" w:sz="0" w:space="0" w:color="auto"/>
                <w:right w:val="none" w:sz="0" w:space="0" w:color="auto"/>
              </w:divBdr>
            </w:div>
          </w:divsChild>
        </w:div>
        <w:div w:id="550117062">
          <w:marLeft w:val="0"/>
          <w:marRight w:val="0"/>
          <w:marTop w:val="0"/>
          <w:marBottom w:val="0"/>
          <w:divBdr>
            <w:top w:val="none" w:sz="0" w:space="0" w:color="auto"/>
            <w:left w:val="none" w:sz="0" w:space="0" w:color="auto"/>
            <w:bottom w:val="none" w:sz="0" w:space="0" w:color="auto"/>
            <w:right w:val="none" w:sz="0" w:space="0" w:color="auto"/>
          </w:divBdr>
          <w:divsChild>
            <w:div w:id="134374211">
              <w:marLeft w:val="0"/>
              <w:marRight w:val="0"/>
              <w:marTop w:val="0"/>
              <w:marBottom w:val="0"/>
              <w:divBdr>
                <w:top w:val="none" w:sz="0" w:space="0" w:color="auto"/>
                <w:left w:val="none" w:sz="0" w:space="0" w:color="auto"/>
                <w:bottom w:val="none" w:sz="0" w:space="0" w:color="auto"/>
                <w:right w:val="none" w:sz="0" w:space="0" w:color="auto"/>
              </w:divBdr>
            </w:div>
          </w:divsChild>
        </w:div>
        <w:div w:id="580915089">
          <w:marLeft w:val="0"/>
          <w:marRight w:val="0"/>
          <w:marTop w:val="0"/>
          <w:marBottom w:val="0"/>
          <w:divBdr>
            <w:top w:val="none" w:sz="0" w:space="0" w:color="auto"/>
            <w:left w:val="none" w:sz="0" w:space="0" w:color="auto"/>
            <w:bottom w:val="none" w:sz="0" w:space="0" w:color="auto"/>
            <w:right w:val="none" w:sz="0" w:space="0" w:color="auto"/>
          </w:divBdr>
          <w:divsChild>
            <w:div w:id="1765375002">
              <w:marLeft w:val="0"/>
              <w:marRight w:val="0"/>
              <w:marTop w:val="0"/>
              <w:marBottom w:val="0"/>
              <w:divBdr>
                <w:top w:val="none" w:sz="0" w:space="0" w:color="auto"/>
                <w:left w:val="none" w:sz="0" w:space="0" w:color="auto"/>
                <w:bottom w:val="none" w:sz="0" w:space="0" w:color="auto"/>
                <w:right w:val="none" w:sz="0" w:space="0" w:color="auto"/>
              </w:divBdr>
            </w:div>
          </w:divsChild>
        </w:div>
        <w:div w:id="623998729">
          <w:marLeft w:val="0"/>
          <w:marRight w:val="0"/>
          <w:marTop w:val="0"/>
          <w:marBottom w:val="0"/>
          <w:divBdr>
            <w:top w:val="none" w:sz="0" w:space="0" w:color="auto"/>
            <w:left w:val="none" w:sz="0" w:space="0" w:color="auto"/>
            <w:bottom w:val="none" w:sz="0" w:space="0" w:color="auto"/>
            <w:right w:val="none" w:sz="0" w:space="0" w:color="auto"/>
          </w:divBdr>
          <w:divsChild>
            <w:div w:id="154806693">
              <w:marLeft w:val="0"/>
              <w:marRight w:val="0"/>
              <w:marTop w:val="0"/>
              <w:marBottom w:val="0"/>
              <w:divBdr>
                <w:top w:val="none" w:sz="0" w:space="0" w:color="auto"/>
                <w:left w:val="none" w:sz="0" w:space="0" w:color="auto"/>
                <w:bottom w:val="none" w:sz="0" w:space="0" w:color="auto"/>
                <w:right w:val="none" w:sz="0" w:space="0" w:color="auto"/>
              </w:divBdr>
            </w:div>
          </w:divsChild>
        </w:div>
        <w:div w:id="655452815">
          <w:marLeft w:val="0"/>
          <w:marRight w:val="0"/>
          <w:marTop w:val="0"/>
          <w:marBottom w:val="0"/>
          <w:divBdr>
            <w:top w:val="none" w:sz="0" w:space="0" w:color="auto"/>
            <w:left w:val="none" w:sz="0" w:space="0" w:color="auto"/>
            <w:bottom w:val="none" w:sz="0" w:space="0" w:color="auto"/>
            <w:right w:val="none" w:sz="0" w:space="0" w:color="auto"/>
          </w:divBdr>
          <w:divsChild>
            <w:div w:id="1248273725">
              <w:marLeft w:val="0"/>
              <w:marRight w:val="0"/>
              <w:marTop w:val="0"/>
              <w:marBottom w:val="0"/>
              <w:divBdr>
                <w:top w:val="none" w:sz="0" w:space="0" w:color="auto"/>
                <w:left w:val="none" w:sz="0" w:space="0" w:color="auto"/>
                <w:bottom w:val="none" w:sz="0" w:space="0" w:color="auto"/>
                <w:right w:val="none" w:sz="0" w:space="0" w:color="auto"/>
              </w:divBdr>
            </w:div>
          </w:divsChild>
        </w:div>
        <w:div w:id="670331469">
          <w:marLeft w:val="0"/>
          <w:marRight w:val="0"/>
          <w:marTop w:val="0"/>
          <w:marBottom w:val="0"/>
          <w:divBdr>
            <w:top w:val="none" w:sz="0" w:space="0" w:color="auto"/>
            <w:left w:val="none" w:sz="0" w:space="0" w:color="auto"/>
            <w:bottom w:val="none" w:sz="0" w:space="0" w:color="auto"/>
            <w:right w:val="none" w:sz="0" w:space="0" w:color="auto"/>
          </w:divBdr>
          <w:divsChild>
            <w:div w:id="1617833908">
              <w:marLeft w:val="0"/>
              <w:marRight w:val="0"/>
              <w:marTop w:val="0"/>
              <w:marBottom w:val="0"/>
              <w:divBdr>
                <w:top w:val="none" w:sz="0" w:space="0" w:color="auto"/>
                <w:left w:val="none" w:sz="0" w:space="0" w:color="auto"/>
                <w:bottom w:val="none" w:sz="0" w:space="0" w:color="auto"/>
                <w:right w:val="none" w:sz="0" w:space="0" w:color="auto"/>
              </w:divBdr>
            </w:div>
          </w:divsChild>
        </w:div>
        <w:div w:id="704598808">
          <w:marLeft w:val="0"/>
          <w:marRight w:val="0"/>
          <w:marTop w:val="0"/>
          <w:marBottom w:val="0"/>
          <w:divBdr>
            <w:top w:val="none" w:sz="0" w:space="0" w:color="auto"/>
            <w:left w:val="none" w:sz="0" w:space="0" w:color="auto"/>
            <w:bottom w:val="none" w:sz="0" w:space="0" w:color="auto"/>
            <w:right w:val="none" w:sz="0" w:space="0" w:color="auto"/>
          </w:divBdr>
          <w:divsChild>
            <w:div w:id="1096949016">
              <w:marLeft w:val="0"/>
              <w:marRight w:val="0"/>
              <w:marTop w:val="0"/>
              <w:marBottom w:val="0"/>
              <w:divBdr>
                <w:top w:val="none" w:sz="0" w:space="0" w:color="auto"/>
                <w:left w:val="none" w:sz="0" w:space="0" w:color="auto"/>
                <w:bottom w:val="none" w:sz="0" w:space="0" w:color="auto"/>
                <w:right w:val="none" w:sz="0" w:space="0" w:color="auto"/>
              </w:divBdr>
            </w:div>
          </w:divsChild>
        </w:div>
        <w:div w:id="760683731">
          <w:marLeft w:val="0"/>
          <w:marRight w:val="0"/>
          <w:marTop w:val="0"/>
          <w:marBottom w:val="0"/>
          <w:divBdr>
            <w:top w:val="none" w:sz="0" w:space="0" w:color="auto"/>
            <w:left w:val="none" w:sz="0" w:space="0" w:color="auto"/>
            <w:bottom w:val="none" w:sz="0" w:space="0" w:color="auto"/>
            <w:right w:val="none" w:sz="0" w:space="0" w:color="auto"/>
          </w:divBdr>
          <w:divsChild>
            <w:div w:id="100996832">
              <w:marLeft w:val="0"/>
              <w:marRight w:val="0"/>
              <w:marTop w:val="0"/>
              <w:marBottom w:val="0"/>
              <w:divBdr>
                <w:top w:val="none" w:sz="0" w:space="0" w:color="auto"/>
                <w:left w:val="none" w:sz="0" w:space="0" w:color="auto"/>
                <w:bottom w:val="none" w:sz="0" w:space="0" w:color="auto"/>
                <w:right w:val="none" w:sz="0" w:space="0" w:color="auto"/>
              </w:divBdr>
            </w:div>
          </w:divsChild>
        </w:div>
        <w:div w:id="770124791">
          <w:marLeft w:val="0"/>
          <w:marRight w:val="0"/>
          <w:marTop w:val="0"/>
          <w:marBottom w:val="0"/>
          <w:divBdr>
            <w:top w:val="none" w:sz="0" w:space="0" w:color="auto"/>
            <w:left w:val="none" w:sz="0" w:space="0" w:color="auto"/>
            <w:bottom w:val="none" w:sz="0" w:space="0" w:color="auto"/>
            <w:right w:val="none" w:sz="0" w:space="0" w:color="auto"/>
          </w:divBdr>
          <w:divsChild>
            <w:div w:id="912665310">
              <w:marLeft w:val="0"/>
              <w:marRight w:val="0"/>
              <w:marTop w:val="0"/>
              <w:marBottom w:val="0"/>
              <w:divBdr>
                <w:top w:val="none" w:sz="0" w:space="0" w:color="auto"/>
                <w:left w:val="none" w:sz="0" w:space="0" w:color="auto"/>
                <w:bottom w:val="none" w:sz="0" w:space="0" w:color="auto"/>
                <w:right w:val="none" w:sz="0" w:space="0" w:color="auto"/>
              </w:divBdr>
            </w:div>
          </w:divsChild>
        </w:div>
        <w:div w:id="795681779">
          <w:marLeft w:val="0"/>
          <w:marRight w:val="0"/>
          <w:marTop w:val="0"/>
          <w:marBottom w:val="0"/>
          <w:divBdr>
            <w:top w:val="none" w:sz="0" w:space="0" w:color="auto"/>
            <w:left w:val="none" w:sz="0" w:space="0" w:color="auto"/>
            <w:bottom w:val="none" w:sz="0" w:space="0" w:color="auto"/>
            <w:right w:val="none" w:sz="0" w:space="0" w:color="auto"/>
          </w:divBdr>
          <w:divsChild>
            <w:div w:id="41904897">
              <w:marLeft w:val="0"/>
              <w:marRight w:val="0"/>
              <w:marTop w:val="0"/>
              <w:marBottom w:val="0"/>
              <w:divBdr>
                <w:top w:val="none" w:sz="0" w:space="0" w:color="auto"/>
                <w:left w:val="none" w:sz="0" w:space="0" w:color="auto"/>
                <w:bottom w:val="none" w:sz="0" w:space="0" w:color="auto"/>
                <w:right w:val="none" w:sz="0" w:space="0" w:color="auto"/>
              </w:divBdr>
            </w:div>
          </w:divsChild>
        </w:div>
        <w:div w:id="834149562">
          <w:marLeft w:val="0"/>
          <w:marRight w:val="0"/>
          <w:marTop w:val="0"/>
          <w:marBottom w:val="0"/>
          <w:divBdr>
            <w:top w:val="none" w:sz="0" w:space="0" w:color="auto"/>
            <w:left w:val="none" w:sz="0" w:space="0" w:color="auto"/>
            <w:bottom w:val="none" w:sz="0" w:space="0" w:color="auto"/>
            <w:right w:val="none" w:sz="0" w:space="0" w:color="auto"/>
          </w:divBdr>
          <w:divsChild>
            <w:div w:id="98185447">
              <w:marLeft w:val="0"/>
              <w:marRight w:val="0"/>
              <w:marTop w:val="0"/>
              <w:marBottom w:val="0"/>
              <w:divBdr>
                <w:top w:val="none" w:sz="0" w:space="0" w:color="auto"/>
                <w:left w:val="none" w:sz="0" w:space="0" w:color="auto"/>
                <w:bottom w:val="none" w:sz="0" w:space="0" w:color="auto"/>
                <w:right w:val="none" w:sz="0" w:space="0" w:color="auto"/>
              </w:divBdr>
            </w:div>
          </w:divsChild>
        </w:div>
        <w:div w:id="847401916">
          <w:marLeft w:val="0"/>
          <w:marRight w:val="0"/>
          <w:marTop w:val="0"/>
          <w:marBottom w:val="0"/>
          <w:divBdr>
            <w:top w:val="none" w:sz="0" w:space="0" w:color="auto"/>
            <w:left w:val="none" w:sz="0" w:space="0" w:color="auto"/>
            <w:bottom w:val="none" w:sz="0" w:space="0" w:color="auto"/>
            <w:right w:val="none" w:sz="0" w:space="0" w:color="auto"/>
          </w:divBdr>
          <w:divsChild>
            <w:div w:id="1590887732">
              <w:marLeft w:val="0"/>
              <w:marRight w:val="0"/>
              <w:marTop w:val="0"/>
              <w:marBottom w:val="0"/>
              <w:divBdr>
                <w:top w:val="none" w:sz="0" w:space="0" w:color="auto"/>
                <w:left w:val="none" w:sz="0" w:space="0" w:color="auto"/>
                <w:bottom w:val="none" w:sz="0" w:space="0" w:color="auto"/>
                <w:right w:val="none" w:sz="0" w:space="0" w:color="auto"/>
              </w:divBdr>
            </w:div>
          </w:divsChild>
        </w:div>
        <w:div w:id="876241301">
          <w:marLeft w:val="0"/>
          <w:marRight w:val="0"/>
          <w:marTop w:val="0"/>
          <w:marBottom w:val="0"/>
          <w:divBdr>
            <w:top w:val="none" w:sz="0" w:space="0" w:color="auto"/>
            <w:left w:val="none" w:sz="0" w:space="0" w:color="auto"/>
            <w:bottom w:val="none" w:sz="0" w:space="0" w:color="auto"/>
            <w:right w:val="none" w:sz="0" w:space="0" w:color="auto"/>
          </w:divBdr>
          <w:divsChild>
            <w:div w:id="867644534">
              <w:marLeft w:val="0"/>
              <w:marRight w:val="0"/>
              <w:marTop w:val="0"/>
              <w:marBottom w:val="0"/>
              <w:divBdr>
                <w:top w:val="none" w:sz="0" w:space="0" w:color="auto"/>
                <w:left w:val="none" w:sz="0" w:space="0" w:color="auto"/>
                <w:bottom w:val="none" w:sz="0" w:space="0" w:color="auto"/>
                <w:right w:val="none" w:sz="0" w:space="0" w:color="auto"/>
              </w:divBdr>
            </w:div>
          </w:divsChild>
        </w:div>
        <w:div w:id="936403864">
          <w:marLeft w:val="0"/>
          <w:marRight w:val="0"/>
          <w:marTop w:val="0"/>
          <w:marBottom w:val="0"/>
          <w:divBdr>
            <w:top w:val="none" w:sz="0" w:space="0" w:color="auto"/>
            <w:left w:val="none" w:sz="0" w:space="0" w:color="auto"/>
            <w:bottom w:val="none" w:sz="0" w:space="0" w:color="auto"/>
            <w:right w:val="none" w:sz="0" w:space="0" w:color="auto"/>
          </w:divBdr>
          <w:divsChild>
            <w:div w:id="1256286820">
              <w:marLeft w:val="0"/>
              <w:marRight w:val="0"/>
              <w:marTop w:val="0"/>
              <w:marBottom w:val="0"/>
              <w:divBdr>
                <w:top w:val="none" w:sz="0" w:space="0" w:color="auto"/>
                <w:left w:val="none" w:sz="0" w:space="0" w:color="auto"/>
                <w:bottom w:val="none" w:sz="0" w:space="0" w:color="auto"/>
                <w:right w:val="none" w:sz="0" w:space="0" w:color="auto"/>
              </w:divBdr>
            </w:div>
          </w:divsChild>
        </w:div>
        <w:div w:id="983118068">
          <w:marLeft w:val="0"/>
          <w:marRight w:val="0"/>
          <w:marTop w:val="0"/>
          <w:marBottom w:val="0"/>
          <w:divBdr>
            <w:top w:val="none" w:sz="0" w:space="0" w:color="auto"/>
            <w:left w:val="none" w:sz="0" w:space="0" w:color="auto"/>
            <w:bottom w:val="none" w:sz="0" w:space="0" w:color="auto"/>
            <w:right w:val="none" w:sz="0" w:space="0" w:color="auto"/>
          </w:divBdr>
          <w:divsChild>
            <w:div w:id="956251916">
              <w:marLeft w:val="0"/>
              <w:marRight w:val="0"/>
              <w:marTop w:val="0"/>
              <w:marBottom w:val="0"/>
              <w:divBdr>
                <w:top w:val="none" w:sz="0" w:space="0" w:color="auto"/>
                <w:left w:val="none" w:sz="0" w:space="0" w:color="auto"/>
                <w:bottom w:val="none" w:sz="0" w:space="0" w:color="auto"/>
                <w:right w:val="none" w:sz="0" w:space="0" w:color="auto"/>
              </w:divBdr>
            </w:div>
          </w:divsChild>
        </w:div>
        <w:div w:id="1024787099">
          <w:marLeft w:val="0"/>
          <w:marRight w:val="0"/>
          <w:marTop w:val="0"/>
          <w:marBottom w:val="0"/>
          <w:divBdr>
            <w:top w:val="none" w:sz="0" w:space="0" w:color="auto"/>
            <w:left w:val="none" w:sz="0" w:space="0" w:color="auto"/>
            <w:bottom w:val="none" w:sz="0" w:space="0" w:color="auto"/>
            <w:right w:val="none" w:sz="0" w:space="0" w:color="auto"/>
          </w:divBdr>
          <w:divsChild>
            <w:div w:id="133644514">
              <w:marLeft w:val="0"/>
              <w:marRight w:val="0"/>
              <w:marTop w:val="0"/>
              <w:marBottom w:val="0"/>
              <w:divBdr>
                <w:top w:val="none" w:sz="0" w:space="0" w:color="auto"/>
                <w:left w:val="none" w:sz="0" w:space="0" w:color="auto"/>
                <w:bottom w:val="none" w:sz="0" w:space="0" w:color="auto"/>
                <w:right w:val="none" w:sz="0" w:space="0" w:color="auto"/>
              </w:divBdr>
            </w:div>
          </w:divsChild>
        </w:div>
        <w:div w:id="1132600308">
          <w:marLeft w:val="0"/>
          <w:marRight w:val="0"/>
          <w:marTop w:val="0"/>
          <w:marBottom w:val="0"/>
          <w:divBdr>
            <w:top w:val="none" w:sz="0" w:space="0" w:color="auto"/>
            <w:left w:val="none" w:sz="0" w:space="0" w:color="auto"/>
            <w:bottom w:val="none" w:sz="0" w:space="0" w:color="auto"/>
            <w:right w:val="none" w:sz="0" w:space="0" w:color="auto"/>
          </w:divBdr>
          <w:divsChild>
            <w:div w:id="944843460">
              <w:marLeft w:val="0"/>
              <w:marRight w:val="0"/>
              <w:marTop w:val="0"/>
              <w:marBottom w:val="0"/>
              <w:divBdr>
                <w:top w:val="none" w:sz="0" w:space="0" w:color="auto"/>
                <w:left w:val="none" w:sz="0" w:space="0" w:color="auto"/>
                <w:bottom w:val="none" w:sz="0" w:space="0" w:color="auto"/>
                <w:right w:val="none" w:sz="0" w:space="0" w:color="auto"/>
              </w:divBdr>
            </w:div>
          </w:divsChild>
        </w:div>
        <w:div w:id="1137575789">
          <w:marLeft w:val="0"/>
          <w:marRight w:val="0"/>
          <w:marTop w:val="0"/>
          <w:marBottom w:val="0"/>
          <w:divBdr>
            <w:top w:val="none" w:sz="0" w:space="0" w:color="auto"/>
            <w:left w:val="none" w:sz="0" w:space="0" w:color="auto"/>
            <w:bottom w:val="none" w:sz="0" w:space="0" w:color="auto"/>
            <w:right w:val="none" w:sz="0" w:space="0" w:color="auto"/>
          </w:divBdr>
          <w:divsChild>
            <w:div w:id="1088501659">
              <w:marLeft w:val="0"/>
              <w:marRight w:val="0"/>
              <w:marTop w:val="0"/>
              <w:marBottom w:val="0"/>
              <w:divBdr>
                <w:top w:val="none" w:sz="0" w:space="0" w:color="auto"/>
                <w:left w:val="none" w:sz="0" w:space="0" w:color="auto"/>
                <w:bottom w:val="none" w:sz="0" w:space="0" w:color="auto"/>
                <w:right w:val="none" w:sz="0" w:space="0" w:color="auto"/>
              </w:divBdr>
            </w:div>
          </w:divsChild>
        </w:div>
        <w:div w:id="1152866761">
          <w:marLeft w:val="0"/>
          <w:marRight w:val="0"/>
          <w:marTop w:val="0"/>
          <w:marBottom w:val="0"/>
          <w:divBdr>
            <w:top w:val="none" w:sz="0" w:space="0" w:color="auto"/>
            <w:left w:val="none" w:sz="0" w:space="0" w:color="auto"/>
            <w:bottom w:val="none" w:sz="0" w:space="0" w:color="auto"/>
            <w:right w:val="none" w:sz="0" w:space="0" w:color="auto"/>
          </w:divBdr>
          <w:divsChild>
            <w:div w:id="727145340">
              <w:marLeft w:val="0"/>
              <w:marRight w:val="0"/>
              <w:marTop w:val="0"/>
              <w:marBottom w:val="0"/>
              <w:divBdr>
                <w:top w:val="none" w:sz="0" w:space="0" w:color="auto"/>
                <w:left w:val="none" w:sz="0" w:space="0" w:color="auto"/>
                <w:bottom w:val="none" w:sz="0" w:space="0" w:color="auto"/>
                <w:right w:val="none" w:sz="0" w:space="0" w:color="auto"/>
              </w:divBdr>
            </w:div>
          </w:divsChild>
        </w:div>
        <w:div w:id="1178618425">
          <w:marLeft w:val="0"/>
          <w:marRight w:val="0"/>
          <w:marTop w:val="0"/>
          <w:marBottom w:val="0"/>
          <w:divBdr>
            <w:top w:val="none" w:sz="0" w:space="0" w:color="auto"/>
            <w:left w:val="none" w:sz="0" w:space="0" w:color="auto"/>
            <w:bottom w:val="none" w:sz="0" w:space="0" w:color="auto"/>
            <w:right w:val="none" w:sz="0" w:space="0" w:color="auto"/>
          </w:divBdr>
          <w:divsChild>
            <w:div w:id="876088506">
              <w:marLeft w:val="0"/>
              <w:marRight w:val="0"/>
              <w:marTop w:val="0"/>
              <w:marBottom w:val="0"/>
              <w:divBdr>
                <w:top w:val="none" w:sz="0" w:space="0" w:color="auto"/>
                <w:left w:val="none" w:sz="0" w:space="0" w:color="auto"/>
                <w:bottom w:val="none" w:sz="0" w:space="0" w:color="auto"/>
                <w:right w:val="none" w:sz="0" w:space="0" w:color="auto"/>
              </w:divBdr>
            </w:div>
          </w:divsChild>
        </w:div>
        <w:div w:id="1180195488">
          <w:marLeft w:val="0"/>
          <w:marRight w:val="0"/>
          <w:marTop w:val="0"/>
          <w:marBottom w:val="0"/>
          <w:divBdr>
            <w:top w:val="none" w:sz="0" w:space="0" w:color="auto"/>
            <w:left w:val="none" w:sz="0" w:space="0" w:color="auto"/>
            <w:bottom w:val="none" w:sz="0" w:space="0" w:color="auto"/>
            <w:right w:val="none" w:sz="0" w:space="0" w:color="auto"/>
          </w:divBdr>
          <w:divsChild>
            <w:div w:id="450708270">
              <w:marLeft w:val="0"/>
              <w:marRight w:val="0"/>
              <w:marTop w:val="0"/>
              <w:marBottom w:val="0"/>
              <w:divBdr>
                <w:top w:val="none" w:sz="0" w:space="0" w:color="auto"/>
                <w:left w:val="none" w:sz="0" w:space="0" w:color="auto"/>
                <w:bottom w:val="none" w:sz="0" w:space="0" w:color="auto"/>
                <w:right w:val="none" w:sz="0" w:space="0" w:color="auto"/>
              </w:divBdr>
            </w:div>
          </w:divsChild>
        </w:div>
        <w:div w:id="1234317690">
          <w:marLeft w:val="0"/>
          <w:marRight w:val="0"/>
          <w:marTop w:val="0"/>
          <w:marBottom w:val="0"/>
          <w:divBdr>
            <w:top w:val="none" w:sz="0" w:space="0" w:color="auto"/>
            <w:left w:val="none" w:sz="0" w:space="0" w:color="auto"/>
            <w:bottom w:val="none" w:sz="0" w:space="0" w:color="auto"/>
            <w:right w:val="none" w:sz="0" w:space="0" w:color="auto"/>
          </w:divBdr>
          <w:divsChild>
            <w:div w:id="2065518473">
              <w:marLeft w:val="0"/>
              <w:marRight w:val="0"/>
              <w:marTop w:val="0"/>
              <w:marBottom w:val="0"/>
              <w:divBdr>
                <w:top w:val="none" w:sz="0" w:space="0" w:color="auto"/>
                <w:left w:val="none" w:sz="0" w:space="0" w:color="auto"/>
                <w:bottom w:val="none" w:sz="0" w:space="0" w:color="auto"/>
                <w:right w:val="none" w:sz="0" w:space="0" w:color="auto"/>
              </w:divBdr>
            </w:div>
          </w:divsChild>
        </w:div>
        <w:div w:id="1246111950">
          <w:marLeft w:val="0"/>
          <w:marRight w:val="0"/>
          <w:marTop w:val="0"/>
          <w:marBottom w:val="0"/>
          <w:divBdr>
            <w:top w:val="none" w:sz="0" w:space="0" w:color="auto"/>
            <w:left w:val="none" w:sz="0" w:space="0" w:color="auto"/>
            <w:bottom w:val="none" w:sz="0" w:space="0" w:color="auto"/>
            <w:right w:val="none" w:sz="0" w:space="0" w:color="auto"/>
          </w:divBdr>
          <w:divsChild>
            <w:div w:id="741948732">
              <w:marLeft w:val="0"/>
              <w:marRight w:val="0"/>
              <w:marTop w:val="0"/>
              <w:marBottom w:val="0"/>
              <w:divBdr>
                <w:top w:val="none" w:sz="0" w:space="0" w:color="auto"/>
                <w:left w:val="none" w:sz="0" w:space="0" w:color="auto"/>
                <w:bottom w:val="none" w:sz="0" w:space="0" w:color="auto"/>
                <w:right w:val="none" w:sz="0" w:space="0" w:color="auto"/>
              </w:divBdr>
            </w:div>
          </w:divsChild>
        </w:div>
        <w:div w:id="1248273221">
          <w:marLeft w:val="0"/>
          <w:marRight w:val="0"/>
          <w:marTop w:val="0"/>
          <w:marBottom w:val="0"/>
          <w:divBdr>
            <w:top w:val="none" w:sz="0" w:space="0" w:color="auto"/>
            <w:left w:val="none" w:sz="0" w:space="0" w:color="auto"/>
            <w:bottom w:val="none" w:sz="0" w:space="0" w:color="auto"/>
            <w:right w:val="none" w:sz="0" w:space="0" w:color="auto"/>
          </w:divBdr>
          <w:divsChild>
            <w:div w:id="1494564580">
              <w:marLeft w:val="0"/>
              <w:marRight w:val="0"/>
              <w:marTop w:val="0"/>
              <w:marBottom w:val="0"/>
              <w:divBdr>
                <w:top w:val="none" w:sz="0" w:space="0" w:color="auto"/>
                <w:left w:val="none" w:sz="0" w:space="0" w:color="auto"/>
                <w:bottom w:val="none" w:sz="0" w:space="0" w:color="auto"/>
                <w:right w:val="none" w:sz="0" w:space="0" w:color="auto"/>
              </w:divBdr>
            </w:div>
          </w:divsChild>
        </w:div>
        <w:div w:id="1256018833">
          <w:marLeft w:val="0"/>
          <w:marRight w:val="0"/>
          <w:marTop w:val="0"/>
          <w:marBottom w:val="0"/>
          <w:divBdr>
            <w:top w:val="none" w:sz="0" w:space="0" w:color="auto"/>
            <w:left w:val="none" w:sz="0" w:space="0" w:color="auto"/>
            <w:bottom w:val="none" w:sz="0" w:space="0" w:color="auto"/>
            <w:right w:val="none" w:sz="0" w:space="0" w:color="auto"/>
          </w:divBdr>
          <w:divsChild>
            <w:div w:id="968048680">
              <w:marLeft w:val="0"/>
              <w:marRight w:val="0"/>
              <w:marTop w:val="0"/>
              <w:marBottom w:val="0"/>
              <w:divBdr>
                <w:top w:val="none" w:sz="0" w:space="0" w:color="auto"/>
                <w:left w:val="none" w:sz="0" w:space="0" w:color="auto"/>
                <w:bottom w:val="none" w:sz="0" w:space="0" w:color="auto"/>
                <w:right w:val="none" w:sz="0" w:space="0" w:color="auto"/>
              </w:divBdr>
            </w:div>
          </w:divsChild>
        </w:div>
        <w:div w:id="1263298770">
          <w:marLeft w:val="0"/>
          <w:marRight w:val="0"/>
          <w:marTop w:val="0"/>
          <w:marBottom w:val="0"/>
          <w:divBdr>
            <w:top w:val="none" w:sz="0" w:space="0" w:color="auto"/>
            <w:left w:val="none" w:sz="0" w:space="0" w:color="auto"/>
            <w:bottom w:val="none" w:sz="0" w:space="0" w:color="auto"/>
            <w:right w:val="none" w:sz="0" w:space="0" w:color="auto"/>
          </w:divBdr>
          <w:divsChild>
            <w:div w:id="1422021666">
              <w:marLeft w:val="0"/>
              <w:marRight w:val="0"/>
              <w:marTop w:val="0"/>
              <w:marBottom w:val="0"/>
              <w:divBdr>
                <w:top w:val="none" w:sz="0" w:space="0" w:color="auto"/>
                <w:left w:val="none" w:sz="0" w:space="0" w:color="auto"/>
                <w:bottom w:val="none" w:sz="0" w:space="0" w:color="auto"/>
                <w:right w:val="none" w:sz="0" w:space="0" w:color="auto"/>
              </w:divBdr>
            </w:div>
          </w:divsChild>
        </w:div>
        <w:div w:id="1286500872">
          <w:marLeft w:val="0"/>
          <w:marRight w:val="0"/>
          <w:marTop w:val="0"/>
          <w:marBottom w:val="0"/>
          <w:divBdr>
            <w:top w:val="none" w:sz="0" w:space="0" w:color="auto"/>
            <w:left w:val="none" w:sz="0" w:space="0" w:color="auto"/>
            <w:bottom w:val="none" w:sz="0" w:space="0" w:color="auto"/>
            <w:right w:val="none" w:sz="0" w:space="0" w:color="auto"/>
          </w:divBdr>
          <w:divsChild>
            <w:div w:id="932126427">
              <w:marLeft w:val="0"/>
              <w:marRight w:val="0"/>
              <w:marTop w:val="0"/>
              <w:marBottom w:val="0"/>
              <w:divBdr>
                <w:top w:val="none" w:sz="0" w:space="0" w:color="auto"/>
                <w:left w:val="none" w:sz="0" w:space="0" w:color="auto"/>
                <w:bottom w:val="none" w:sz="0" w:space="0" w:color="auto"/>
                <w:right w:val="none" w:sz="0" w:space="0" w:color="auto"/>
              </w:divBdr>
            </w:div>
          </w:divsChild>
        </w:div>
        <w:div w:id="1293754162">
          <w:marLeft w:val="0"/>
          <w:marRight w:val="0"/>
          <w:marTop w:val="0"/>
          <w:marBottom w:val="0"/>
          <w:divBdr>
            <w:top w:val="none" w:sz="0" w:space="0" w:color="auto"/>
            <w:left w:val="none" w:sz="0" w:space="0" w:color="auto"/>
            <w:bottom w:val="none" w:sz="0" w:space="0" w:color="auto"/>
            <w:right w:val="none" w:sz="0" w:space="0" w:color="auto"/>
          </w:divBdr>
          <w:divsChild>
            <w:div w:id="1010370239">
              <w:marLeft w:val="0"/>
              <w:marRight w:val="0"/>
              <w:marTop w:val="0"/>
              <w:marBottom w:val="0"/>
              <w:divBdr>
                <w:top w:val="none" w:sz="0" w:space="0" w:color="auto"/>
                <w:left w:val="none" w:sz="0" w:space="0" w:color="auto"/>
                <w:bottom w:val="none" w:sz="0" w:space="0" w:color="auto"/>
                <w:right w:val="none" w:sz="0" w:space="0" w:color="auto"/>
              </w:divBdr>
            </w:div>
          </w:divsChild>
        </w:div>
        <w:div w:id="1337423144">
          <w:marLeft w:val="0"/>
          <w:marRight w:val="0"/>
          <w:marTop w:val="0"/>
          <w:marBottom w:val="0"/>
          <w:divBdr>
            <w:top w:val="none" w:sz="0" w:space="0" w:color="auto"/>
            <w:left w:val="none" w:sz="0" w:space="0" w:color="auto"/>
            <w:bottom w:val="none" w:sz="0" w:space="0" w:color="auto"/>
            <w:right w:val="none" w:sz="0" w:space="0" w:color="auto"/>
          </w:divBdr>
          <w:divsChild>
            <w:div w:id="157961120">
              <w:marLeft w:val="0"/>
              <w:marRight w:val="0"/>
              <w:marTop w:val="0"/>
              <w:marBottom w:val="0"/>
              <w:divBdr>
                <w:top w:val="none" w:sz="0" w:space="0" w:color="auto"/>
                <w:left w:val="none" w:sz="0" w:space="0" w:color="auto"/>
                <w:bottom w:val="none" w:sz="0" w:space="0" w:color="auto"/>
                <w:right w:val="none" w:sz="0" w:space="0" w:color="auto"/>
              </w:divBdr>
            </w:div>
          </w:divsChild>
        </w:div>
        <w:div w:id="1345209395">
          <w:marLeft w:val="0"/>
          <w:marRight w:val="0"/>
          <w:marTop w:val="0"/>
          <w:marBottom w:val="0"/>
          <w:divBdr>
            <w:top w:val="none" w:sz="0" w:space="0" w:color="auto"/>
            <w:left w:val="none" w:sz="0" w:space="0" w:color="auto"/>
            <w:bottom w:val="none" w:sz="0" w:space="0" w:color="auto"/>
            <w:right w:val="none" w:sz="0" w:space="0" w:color="auto"/>
          </w:divBdr>
          <w:divsChild>
            <w:div w:id="49229582">
              <w:marLeft w:val="0"/>
              <w:marRight w:val="0"/>
              <w:marTop w:val="0"/>
              <w:marBottom w:val="0"/>
              <w:divBdr>
                <w:top w:val="none" w:sz="0" w:space="0" w:color="auto"/>
                <w:left w:val="none" w:sz="0" w:space="0" w:color="auto"/>
                <w:bottom w:val="none" w:sz="0" w:space="0" w:color="auto"/>
                <w:right w:val="none" w:sz="0" w:space="0" w:color="auto"/>
              </w:divBdr>
            </w:div>
          </w:divsChild>
        </w:div>
        <w:div w:id="1378163008">
          <w:marLeft w:val="0"/>
          <w:marRight w:val="0"/>
          <w:marTop w:val="0"/>
          <w:marBottom w:val="0"/>
          <w:divBdr>
            <w:top w:val="none" w:sz="0" w:space="0" w:color="auto"/>
            <w:left w:val="none" w:sz="0" w:space="0" w:color="auto"/>
            <w:bottom w:val="none" w:sz="0" w:space="0" w:color="auto"/>
            <w:right w:val="none" w:sz="0" w:space="0" w:color="auto"/>
          </w:divBdr>
          <w:divsChild>
            <w:div w:id="1663312930">
              <w:marLeft w:val="0"/>
              <w:marRight w:val="0"/>
              <w:marTop w:val="0"/>
              <w:marBottom w:val="0"/>
              <w:divBdr>
                <w:top w:val="none" w:sz="0" w:space="0" w:color="auto"/>
                <w:left w:val="none" w:sz="0" w:space="0" w:color="auto"/>
                <w:bottom w:val="none" w:sz="0" w:space="0" w:color="auto"/>
                <w:right w:val="none" w:sz="0" w:space="0" w:color="auto"/>
              </w:divBdr>
            </w:div>
          </w:divsChild>
        </w:div>
        <w:div w:id="1393113764">
          <w:marLeft w:val="0"/>
          <w:marRight w:val="0"/>
          <w:marTop w:val="0"/>
          <w:marBottom w:val="0"/>
          <w:divBdr>
            <w:top w:val="none" w:sz="0" w:space="0" w:color="auto"/>
            <w:left w:val="none" w:sz="0" w:space="0" w:color="auto"/>
            <w:bottom w:val="none" w:sz="0" w:space="0" w:color="auto"/>
            <w:right w:val="none" w:sz="0" w:space="0" w:color="auto"/>
          </w:divBdr>
          <w:divsChild>
            <w:div w:id="312099930">
              <w:marLeft w:val="0"/>
              <w:marRight w:val="0"/>
              <w:marTop w:val="0"/>
              <w:marBottom w:val="0"/>
              <w:divBdr>
                <w:top w:val="none" w:sz="0" w:space="0" w:color="auto"/>
                <w:left w:val="none" w:sz="0" w:space="0" w:color="auto"/>
                <w:bottom w:val="none" w:sz="0" w:space="0" w:color="auto"/>
                <w:right w:val="none" w:sz="0" w:space="0" w:color="auto"/>
              </w:divBdr>
            </w:div>
          </w:divsChild>
        </w:div>
        <w:div w:id="1399667930">
          <w:marLeft w:val="0"/>
          <w:marRight w:val="0"/>
          <w:marTop w:val="0"/>
          <w:marBottom w:val="0"/>
          <w:divBdr>
            <w:top w:val="none" w:sz="0" w:space="0" w:color="auto"/>
            <w:left w:val="none" w:sz="0" w:space="0" w:color="auto"/>
            <w:bottom w:val="none" w:sz="0" w:space="0" w:color="auto"/>
            <w:right w:val="none" w:sz="0" w:space="0" w:color="auto"/>
          </w:divBdr>
          <w:divsChild>
            <w:div w:id="1231502025">
              <w:marLeft w:val="0"/>
              <w:marRight w:val="0"/>
              <w:marTop w:val="0"/>
              <w:marBottom w:val="0"/>
              <w:divBdr>
                <w:top w:val="none" w:sz="0" w:space="0" w:color="auto"/>
                <w:left w:val="none" w:sz="0" w:space="0" w:color="auto"/>
                <w:bottom w:val="none" w:sz="0" w:space="0" w:color="auto"/>
                <w:right w:val="none" w:sz="0" w:space="0" w:color="auto"/>
              </w:divBdr>
            </w:div>
          </w:divsChild>
        </w:div>
        <w:div w:id="1407259452">
          <w:marLeft w:val="0"/>
          <w:marRight w:val="0"/>
          <w:marTop w:val="0"/>
          <w:marBottom w:val="0"/>
          <w:divBdr>
            <w:top w:val="none" w:sz="0" w:space="0" w:color="auto"/>
            <w:left w:val="none" w:sz="0" w:space="0" w:color="auto"/>
            <w:bottom w:val="none" w:sz="0" w:space="0" w:color="auto"/>
            <w:right w:val="none" w:sz="0" w:space="0" w:color="auto"/>
          </w:divBdr>
          <w:divsChild>
            <w:div w:id="588805871">
              <w:marLeft w:val="0"/>
              <w:marRight w:val="0"/>
              <w:marTop w:val="0"/>
              <w:marBottom w:val="0"/>
              <w:divBdr>
                <w:top w:val="none" w:sz="0" w:space="0" w:color="auto"/>
                <w:left w:val="none" w:sz="0" w:space="0" w:color="auto"/>
                <w:bottom w:val="none" w:sz="0" w:space="0" w:color="auto"/>
                <w:right w:val="none" w:sz="0" w:space="0" w:color="auto"/>
              </w:divBdr>
            </w:div>
          </w:divsChild>
        </w:div>
        <w:div w:id="1408111450">
          <w:marLeft w:val="0"/>
          <w:marRight w:val="0"/>
          <w:marTop w:val="0"/>
          <w:marBottom w:val="0"/>
          <w:divBdr>
            <w:top w:val="none" w:sz="0" w:space="0" w:color="auto"/>
            <w:left w:val="none" w:sz="0" w:space="0" w:color="auto"/>
            <w:bottom w:val="none" w:sz="0" w:space="0" w:color="auto"/>
            <w:right w:val="none" w:sz="0" w:space="0" w:color="auto"/>
          </w:divBdr>
          <w:divsChild>
            <w:div w:id="2085252456">
              <w:marLeft w:val="0"/>
              <w:marRight w:val="0"/>
              <w:marTop w:val="0"/>
              <w:marBottom w:val="0"/>
              <w:divBdr>
                <w:top w:val="none" w:sz="0" w:space="0" w:color="auto"/>
                <w:left w:val="none" w:sz="0" w:space="0" w:color="auto"/>
                <w:bottom w:val="none" w:sz="0" w:space="0" w:color="auto"/>
                <w:right w:val="none" w:sz="0" w:space="0" w:color="auto"/>
              </w:divBdr>
            </w:div>
          </w:divsChild>
        </w:div>
        <w:div w:id="1414165203">
          <w:marLeft w:val="0"/>
          <w:marRight w:val="0"/>
          <w:marTop w:val="0"/>
          <w:marBottom w:val="0"/>
          <w:divBdr>
            <w:top w:val="none" w:sz="0" w:space="0" w:color="auto"/>
            <w:left w:val="none" w:sz="0" w:space="0" w:color="auto"/>
            <w:bottom w:val="none" w:sz="0" w:space="0" w:color="auto"/>
            <w:right w:val="none" w:sz="0" w:space="0" w:color="auto"/>
          </w:divBdr>
          <w:divsChild>
            <w:div w:id="237138033">
              <w:marLeft w:val="0"/>
              <w:marRight w:val="0"/>
              <w:marTop w:val="0"/>
              <w:marBottom w:val="0"/>
              <w:divBdr>
                <w:top w:val="none" w:sz="0" w:space="0" w:color="auto"/>
                <w:left w:val="none" w:sz="0" w:space="0" w:color="auto"/>
                <w:bottom w:val="none" w:sz="0" w:space="0" w:color="auto"/>
                <w:right w:val="none" w:sz="0" w:space="0" w:color="auto"/>
              </w:divBdr>
            </w:div>
          </w:divsChild>
        </w:div>
        <w:div w:id="1452897420">
          <w:marLeft w:val="0"/>
          <w:marRight w:val="0"/>
          <w:marTop w:val="0"/>
          <w:marBottom w:val="0"/>
          <w:divBdr>
            <w:top w:val="none" w:sz="0" w:space="0" w:color="auto"/>
            <w:left w:val="none" w:sz="0" w:space="0" w:color="auto"/>
            <w:bottom w:val="none" w:sz="0" w:space="0" w:color="auto"/>
            <w:right w:val="none" w:sz="0" w:space="0" w:color="auto"/>
          </w:divBdr>
          <w:divsChild>
            <w:div w:id="1233197620">
              <w:marLeft w:val="0"/>
              <w:marRight w:val="0"/>
              <w:marTop w:val="0"/>
              <w:marBottom w:val="0"/>
              <w:divBdr>
                <w:top w:val="none" w:sz="0" w:space="0" w:color="auto"/>
                <w:left w:val="none" w:sz="0" w:space="0" w:color="auto"/>
                <w:bottom w:val="none" w:sz="0" w:space="0" w:color="auto"/>
                <w:right w:val="none" w:sz="0" w:space="0" w:color="auto"/>
              </w:divBdr>
            </w:div>
          </w:divsChild>
        </w:div>
        <w:div w:id="1473399208">
          <w:marLeft w:val="0"/>
          <w:marRight w:val="0"/>
          <w:marTop w:val="0"/>
          <w:marBottom w:val="0"/>
          <w:divBdr>
            <w:top w:val="none" w:sz="0" w:space="0" w:color="auto"/>
            <w:left w:val="none" w:sz="0" w:space="0" w:color="auto"/>
            <w:bottom w:val="none" w:sz="0" w:space="0" w:color="auto"/>
            <w:right w:val="none" w:sz="0" w:space="0" w:color="auto"/>
          </w:divBdr>
          <w:divsChild>
            <w:div w:id="217711992">
              <w:marLeft w:val="0"/>
              <w:marRight w:val="0"/>
              <w:marTop w:val="0"/>
              <w:marBottom w:val="0"/>
              <w:divBdr>
                <w:top w:val="none" w:sz="0" w:space="0" w:color="auto"/>
                <w:left w:val="none" w:sz="0" w:space="0" w:color="auto"/>
                <w:bottom w:val="none" w:sz="0" w:space="0" w:color="auto"/>
                <w:right w:val="none" w:sz="0" w:space="0" w:color="auto"/>
              </w:divBdr>
            </w:div>
          </w:divsChild>
        </w:div>
        <w:div w:id="1531914815">
          <w:marLeft w:val="0"/>
          <w:marRight w:val="0"/>
          <w:marTop w:val="0"/>
          <w:marBottom w:val="0"/>
          <w:divBdr>
            <w:top w:val="none" w:sz="0" w:space="0" w:color="auto"/>
            <w:left w:val="none" w:sz="0" w:space="0" w:color="auto"/>
            <w:bottom w:val="none" w:sz="0" w:space="0" w:color="auto"/>
            <w:right w:val="none" w:sz="0" w:space="0" w:color="auto"/>
          </w:divBdr>
          <w:divsChild>
            <w:div w:id="56979146">
              <w:marLeft w:val="0"/>
              <w:marRight w:val="0"/>
              <w:marTop w:val="0"/>
              <w:marBottom w:val="0"/>
              <w:divBdr>
                <w:top w:val="none" w:sz="0" w:space="0" w:color="auto"/>
                <w:left w:val="none" w:sz="0" w:space="0" w:color="auto"/>
                <w:bottom w:val="none" w:sz="0" w:space="0" w:color="auto"/>
                <w:right w:val="none" w:sz="0" w:space="0" w:color="auto"/>
              </w:divBdr>
            </w:div>
          </w:divsChild>
        </w:div>
        <w:div w:id="1538734583">
          <w:marLeft w:val="0"/>
          <w:marRight w:val="0"/>
          <w:marTop w:val="0"/>
          <w:marBottom w:val="0"/>
          <w:divBdr>
            <w:top w:val="none" w:sz="0" w:space="0" w:color="auto"/>
            <w:left w:val="none" w:sz="0" w:space="0" w:color="auto"/>
            <w:bottom w:val="none" w:sz="0" w:space="0" w:color="auto"/>
            <w:right w:val="none" w:sz="0" w:space="0" w:color="auto"/>
          </w:divBdr>
          <w:divsChild>
            <w:div w:id="1157846128">
              <w:marLeft w:val="0"/>
              <w:marRight w:val="0"/>
              <w:marTop w:val="0"/>
              <w:marBottom w:val="0"/>
              <w:divBdr>
                <w:top w:val="none" w:sz="0" w:space="0" w:color="auto"/>
                <w:left w:val="none" w:sz="0" w:space="0" w:color="auto"/>
                <w:bottom w:val="none" w:sz="0" w:space="0" w:color="auto"/>
                <w:right w:val="none" w:sz="0" w:space="0" w:color="auto"/>
              </w:divBdr>
            </w:div>
          </w:divsChild>
        </w:div>
        <w:div w:id="1555968370">
          <w:marLeft w:val="0"/>
          <w:marRight w:val="0"/>
          <w:marTop w:val="0"/>
          <w:marBottom w:val="0"/>
          <w:divBdr>
            <w:top w:val="none" w:sz="0" w:space="0" w:color="auto"/>
            <w:left w:val="none" w:sz="0" w:space="0" w:color="auto"/>
            <w:bottom w:val="none" w:sz="0" w:space="0" w:color="auto"/>
            <w:right w:val="none" w:sz="0" w:space="0" w:color="auto"/>
          </w:divBdr>
          <w:divsChild>
            <w:div w:id="1001926538">
              <w:marLeft w:val="0"/>
              <w:marRight w:val="0"/>
              <w:marTop w:val="0"/>
              <w:marBottom w:val="0"/>
              <w:divBdr>
                <w:top w:val="none" w:sz="0" w:space="0" w:color="auto"/>
                <w:left w:val="none" w:sz="0" w:space="0" w:color="auto"/>
                <w:bottom w:val="none" w:sz="0" w:space="0" w:color="auto"/>
                <w:right w:val="none" w:sz="0" w:space="0" w:color="auto"/>
              </w:divBdr>
            </w:div>
          </w:divsChild>
        </w:div>
        <w:div w:id="1555971868">
          <w:marLeft w:val="0"/>
          <w:marRight w:val="0"/>
          <w:marTop w:val="0"/>
          <w:marBottom w:val="0"/>
          <w:divBdr>
            <w:top w:val="none" w:sz="0" w:space="0" w:color="auto"/>
            <w:left w:val="none" w:sz="0" w:space="0" w:color="auto"/>
            <w:bottom w:val="none" w:sz="0" w:space="0" w:color="auto"/>
            <w:right w:val="none" w:sz="0" w:space="0" w:color="auto"/>
          </w:divBdr>
          <w:divsChild>
            <w:div w:id="712077889">
              <w:marLeft w:val="0"/>
              <w:marRight w:val="0"/>
              <w:marTop w:val="0"/>
              <w:marBottom w:val="0"/>
              <w:divBdr>
                <w:top w:val="none" w:sz="0" w:space="0" w:color="auto"/>
                <w:left w:val="none" w:sz="0" w:space="0" w:color="auto"/>
                <w:bottom w:val="none" w:sz="0" w:space="0" w:color="auto"/>
                <w:right w:val="none" w:sz="0" w:space="0" w:color="auto"/>
              </w:divBdr>
            </w:div>
          </w:divsChild>
        </w:div>
        <w:div w:id="1566454313">
          <w:marLeft w:val="0"/>
          <w:marRight w:val="0"/>
          <w:marTop w:val="0"/>
          <w:marBottom w:val="0"/>
          <w:divBdr>
            <w:top w:val="none" w:sz="0" w:space="0" w:color="auto"/>
            <w:left w:val="none" w:sz="0" w:space="0" w:color="auto"/>
            <w:bottom w:val="none" w:sz="0" w:space="0" w:color="auto"/>
            <w:right w:val="none" w:sz="0" w:space="0" w:color="auto"/>
          </w:divBdr>
          <w:divsChild>
            <w:div w:id="817576082">
              <w:marLeft w:val="0"/>
              <w:marRight w:val="0"/>
              <w:marTop w:val="0"/>
              <w:marBottom w:val="0"/>
              <w:divBdr>
                <w:top w:val="none" w:sz="0" w:space="0" w:color="auto"/>
                <w:left w:val="none" w:sz="0" w:space="0" w:color="auto"/>
                <w:bottom w:val="none" w:sz="0" w:space="0" w:color="auto"/>
                <w:right w:val="none" w:sz="0" w:space="0" w:color="auto"/>
              </w:divBdr>
            </w:div>
          </w:divsChild>
        </w:div>
        <w:div w:id="1629509803">
          <w:marLeft w:val="0"/>
          <w:marRight w:val="0"/>
          <w:marTop w:val="0"/>
          <w:marBottom w:val="0"/>
          <w:divBdr>
            <w:top w:val="none" w:sz="0" w:space="0" w:color="auto"/>
            <w:left w:val="none" w:sz="0" w:space="0" w:color="auto"/>
            <w:bottom w:val="none" w:sz="0" w:space="0" w:color="auto"/>
            <w:right w:val="none" w:sz="0" w:space="0" w:color="auto"/>
          </w:divBdr>
          <w:divsChild>
            <w:div w:id="1701782630">
              <w:marLeft w:val="0"/>
              <w:marRight w:val="0"/>
              <w:marTop w:val="0"/>
              <w:marBottom w:val="0"/>
              <w:divBdr>
                <w:top w:val="none" w:sz="0" w:space="0" w:color="auto"/>
                <w:left w:val="none" w:sz="0" w:space="0" w:color="auto"/>
                <w:bottom w:val="none" w:sz="0" w:space="0" w:color="auto"/>
                <w:right w:val="none" w:sz="0" w:space="0" w:color="auto"/>
              </w:divBdr>
            </w:div>
          </w:divsChild>
        </w:div>
        <w:div w:id="1635132707">
          <w:marLeft w:val="0"/>
          <w:marRight w:val="0"/>
          <w:marTop w:val="0"/>
          <w:marBottom w:val="0"/>
          <w:divBdr>
            <w:top w:val="none" w:sz="0" w:space="0" w:color="auto"/>
            <w:left w:val="none" w:sz="0" w:space="0" w:color="auto"/>
            <w:bottom w:val="none" w:sz="0" w:space="0" w:color="auto"/>
            <w:right w:val="none" w:sz="0" w:space="0" w:color="auto"/>
          </w:divBdr>
          <w:divsChild>
            <w:div w:id="503207194">
              <w:marLeft w:val="0"/>
              <w:marRight w:val="0"/>
              <w:marTop w:val="0"/>
              <w:marBottom w:val="0"/>
              <w:divBdr>
                <w:top w:val="none" w:sz="0" w:space="0" w:color="auto"/>
                <w:left w:val="none" w:sz="0" w:space="0" w:color="auto"/>
                <w:bottom w:val="none" w:sz="0" w:space="0" w:color="auto"/>
                <w:right w:val="none" w:sz="0" w:space="0" w:color="auto"/>
              </w:divBdr>
            </w:div>
          </w:divsChild>
        </w:div>
        <w:div w:id="1639261415">
          <w:marLeft w:val="0"/>
          <w:marRight w:val="0"/>
          <w:marTop w:val="0"/>
          <w:marBottom w:val="0"/>
          <w:divBdr>
            <w:top w:val="none" w:sz="0" w:space="0" w:color="auto"/>
            <w:left w:val="none" w:sz="0" w:space="0" w:color="auto"/>
            <w:bottom w:val="none" w:sz="0" w:space="0" w:color="auto"/>
            <w:right w:val="none" w:sz="0" w:space="0" w:color="auto"/>
          </w:divBdr>
          <w:divsChild>
            <w:div w:id="580530972">
              <w:marLeft w:val="0"/>
              <w:marRight w:val="0"/>
              <w:marTop w:val="0"/>
              <w:marBottom w:val="0"/>
              <w:divBdr>
                <w:top w:val="none" w:sz="0" w:space="0" w:color="auto"/>
                <w:left w:val="none" w:sz="0" w:space="0" w:color="auto"/>
                <w:bottom w:val="none" w:sz="0" w:space="0" w:color="auto"/>
                <w:right w:val="none" w:sz="0" w:space="0" w:color="auto"/>
              </w:divBdr>
            </w:div>
          </w:divsChild>
        </w:div>
        <w:div w:id="1671568082">
          <w:marLeft w:val="0"/>
          <w:marRight w:val="0"/>
          <w:marTop w:val="0"/>
          <w:marBottom w:val="0"/>
          <w:divBdr>
            <w:top w:val="none" w:sz="0" w:space="0" w:color="auto"/>
            <w:left w:val="none" w:sz="0" w:space="0" w:color="auto"/>
            <w:bottom w:val="none" w:sz="0" w:space="0" w:color="auto"/>
            <w:right w:val="none" w:sz="0" w:space="0" w:color="auto"/>
          </w:divBdr>
          <w:divsChild>
            <w:div w:id="1283346874">
              <w:marLeft w:val="0"/>
              <w:marRight w:val="0"/>
              <w:marTop w:val="0"/>
              <w:marBottom w:val="0"/>
              <w:divBdr>
                <w:top w:val="none" w:sz="0" w:space="0" w:color="auto"/>
                <w:left w:val="none" w:sz="0" w:space="0" w:color="auto"/>
                <w:bottom w:val="none" w:sz="0" w:space="0" w:color="auto"/>
                <w:right w:val="none" w:sz="0" w:space="0" w:color="auto"/>
              </w:divBdr>
            </w:div>
          </w:divsChild>
        </w:div>
        <w:div w:id="1684362626">
          <w:marLeft w:val="0"/>
          <w:marRight w:val="0"/>
          <w:marTop w:val="0"/>
          <w:marBottom w:val="0"/>
          <w:divBdr>
            <w:top w:val="none" w:sz="0" w:space="0" w:color="auto"/>
            <w:left w:val="none" w:sz="0" w:space="0" w:color="auto"/>
            <w:bottom w:val="none" w:sz="0" w:space="0" w:color="auto"/>
            <w:right w:val="none" w:sz="0" w:space="0" w:color="auto"/>
          </w:divBdr>
          <w:divsChild>
            <w:div w:id="2093116983">
              <w:marLeft w:val="0"/>
              <w:marRight w:val="0"/>
              <w:marTop w:val="0"/>
              <w:marBottom w:val="0"/>
              <w:divBdr>
                <w:top w:val="none" w:sz="0" w:space="0" w:color="auto"/>
                <w:left w:val="none" w:sz="0" w:space="0" w:color="auto"/>
                <w:bottom w:val="none" w:sz="0" w:space="0" w:color="auto"/>
                <w:right w:val="none" w:sz="0" w:space="0" w:color="auto"/>
              </w:divBdr>
            </w:div>
          </w:divsChild>
        </w:div>
        <w:div w:id="1712002021">
          <w:marLeft w:val="0"/>
          <w:marRight w:val="0"/>
          <w:marTop w:val="0"/>
          <w:marBottom w:val="0"/>
          <w:divBdr>
            <w:top w:val="none" w:sz="0" w:space="0" w:color="auto"/>
            <w:left w:val="none" w:sz="0" w:space="0" w:color="auto"/>
            <w:bottom w:val="none" w:sz="0" w:space="0" w:color="auto"/>
            <w:right w:val="none" w:sz="0" w:space="0" w:color="auto"/>
          </w:divBdr>
          <w:divsChild>
            <w:div w:id="2048409000">
              <w:marLeft w:val="0"/>
              <w:marRight w:val="0"/>
              <w:marTop w:val="0"/>
              <w:marBottom w:val="0"/>
              <w:divBdr>
                <w:top w:val="none" w:sz="0" w:space="0" w:color="auto"/>
                <w:left w:val="none" w:sz="0" w:space="0" w:color="auto"/>
                <w:bottom w:val="none" w:sz="0" w:space="0" w:color="auto"/>
                <w:right w:val="none" w:sz="0" w:space="0" w:color="auto"/>
              </w:divBdr>
            </w:div>
          </w:divsChild>
        </w:div>
        <w:div w:id="1738237996">
          <w:marLeft w:val="0"/>
          <w:marRight w:val="0"/>
          <w:marTop w:val="0"/>
          <w:marBottom w:val="0"/>
          <w:divBdr>
            <w:top w:val="none" w:sz="0" w:space="0" w:color="auto"/>
            <w:left w:val="none" w:sz="0" w:space="0" w:color="auto"/>
            <w:bottom w:val="none" w:sz="0" w:space="0" w:color="auto"/>
            <w:right w:val="none" w:sz="0" w:space="0" w:color="auto"/>
          </w:divBdr>
          <w:divsChild>
            <w:div w:id="504904951">
              <w:marLeft w:val="0"/>
              <w:marRight w:val="0"/>
              <w:marTop w:val="0"/>
              <w:marBottom w:val="0"/>
              <w:divBdr>
                <w:top w:val="none" w:sz="0" w:space="0" w:color="auto"/>
                <w:left w:val="none" w:sz="0" w:space="0" w:color="auto"/>
                <w:bottom w:val="none" w:sz="0" w:space="0" w:color="auto"/>
                <w:right w:val="none" w:sz="0" w:space="0" w:color="auto"/>
              </w:divBdr>
            </w:div>
          </w:divsChild>
        </w:div>
        <w:div w:id="1773626103">
          <w:marLeft w:val="0"/>
          <w:marRight w:val="0"/>
          <w:marTop w:val="0"/>
          <w:marBottom w:val="0"/>
          <w:divBdr>
            <w:top w:val="none" w:sz="0" w:space="0" w:color="auto"/>
            <w:left w:val="none" w:sz="0" w:space="0" w:color="auto"/>
            <w:bottom w:val="none" w:sz="0" w:space="0" w:color="auto"/>
            <w:right w:val="none" w:sz="0" w:space="0" w:color="auto"/>
          </w:divBdr>
          <w:divsChild>
            <w:div w:id="1999183893">
              <w:marLeft w:val="0"/>
              <w:marRight w:val="0"/>
              <w:marTop w:val="0"/>
              <w:marBottom w:val="0"/>
              <w:divBdr>
                <w:top w:val="none" w:sz="0" w:space="0" w:color="auto"/>
                <w:left w:val="none" w:sz="0" w:space="0" w:color="auto"/>
                <w:bottom w:val="none" w:sz="0" w:space="0" w:color="auto"/>
                <w:right w:val="none" w:sz="0" w:space="0" w:color="auto"/>
              </w:divBdr>
            </w:div>
          </w:divsChild>
        </w:div>
        <w:div w:id="1801679160">
          <w:marLeft w:val="0"/>
          <w:marRight w:val="0"/>
          <w:marTop w:val="0"/>
          <w:marBottom w:val="0"/>
          <w:divBdr>
            <w:top w:val="none" w:sz="0" w:space="0" w:color="auto"/>
            <w:left w:val="none" w:sz="0" w:space="0" w:color="auto"/>
            <w:bottom w:val="none" w:sz="0" w:space="0" w:color="auto"/>
            <w:right w:val="none" w:sz="0" w:space="0" w:color="auto"/>
          </w:divBdr>
          <w:divsChild>
            <w:div w:id="229080185">
              <w:marLeft w:val="0"/>
              <w:marRight w:val="0"/>
              <w:marTop w:val="0"/>
              <w:marBottom w:val="0"/>
              <w:divBdr>
                <w:top w:val="none" w:sz="0" w:space="0" w:color="auto"/>
                <w:left w:val="none" w:sz="0" w:space="0" w:color="auto"/>
                <w:bottom w:val="none" w:sz="0" w:space="0" w:color="auto"/>
                <w:right w:val="none" w:sz="0" w:space="0" w:color="auto"/>
              </w:divBdr>
            </w:div>
          </w:divsChild>
        </w:div>
        <w:div w:id="1806895794">
          <w:marLeft w:val="0"/>
          <w:marRight w:val="0"/>
          <w:marTop w:val="0"/>
          <w:marBottom w:val="0"/>
          <w:divBdr>
            <w:top w:val="none" w:sz="0" w:space="0" w:color="auto"/>
            <w:left w:val="none" w:sz="0" w:space="0" w:color="auto"/>
            <w:bottom w:val="none" w:sz="0" w:space="0" w:color="auto"/>
            <w:right w:val="none" w:sz="0" w:space="0" w:color="auto"/>
          </w:divBdr>
          <w:divsChild>
            <w:div w:id="22824267">
              <w:marLeft w:val="0"/>
              <w:marRight w:val="0"/>
              <w:marTop w:val="0"/>
              <w:marBottom w:val="0"/>
              <w:divBdr>
                <w:top w:val="none" w:sz="0" w:space="0" w:color="auto"/>
                <w:left w:val="none" w:sz="0" w:space="0" w:color="auto"/>
                <w:bottom w:val="none" w:sz="0" w:space="0" w:color="auto"/>
                <w:right w:val="none" w:sz="0" w:space="0" w:color="auto"/>
              </w:divBdr>
            </w:div>
          </w:divsChild>
        </w:div>
        <w:div w:id="1878353497">
          <w:marLeft w:val="0"/>
          <w:marRight w:val="0"/>
          <w:marTop w:val="0"/>
          <w:marBottom w:val="0"/>
          <w:divBdr>
            <w:top w:val="none" w:sz="0" w:space="0" w:color="auto"/>
            <w:left w:val="none" w:sz="0" w:space="0" w:color="auto"/>
            <w:bottom w:val="none" w:sz="0" w:space="0" w:color="auto"/>
            <w:right w:val="none" w:sz="0" w:space="0" w:color="auto"/>
          </w:divBdr>
          <w:divsChild>
            <w:div w:id="1951814131">
              <w:marLeft w:val="0"/>
              <w:marRight w:val="0"/>
              <w:marTop w:val="0"/>
              <w:marBottom w:val="0"/>
              <w:divBdr>
                <w:top w:val="none" w:sz="0" w:space="0" w:color="auto"/>
                <w:left w:val="none" w:sz="0" w:space="0" w:color="auto"/>
                <w:bottom w:val="none" w:sz="0" w:space="0" w:color="auto"/>
                <w:right w:val="none" w:sz="0" w:space="0" w:color="auto"/>
              </w:divBdr>
            </w:div>
          </w:divsChild>
        </w:div>
        <w:div w:id="1905526136">
          <w:marLeft w:val="0"/>
          <w:marRight w:val="0"/>
          <w:marTop w:val="0"/>
          <w:marBottom w:val="0"/>
          <w:divBdr>
            <w:top w:val="none" w:sz="0" w:space="0" w:color="auto"/>
            <w:left w:val="none" w:sz="0" w:space="0" w:color="auto"/>
            <w:bottom w:val="none" w:sz="0" w:space="0" w:color="auto"/>
            <w:right w:val="none" w:sz="0" w:space="0" w:color="auto"/>
          </w:divBdr>
          <w:divsChild>
            <w:div w:id="1438908576">
              <w:marLeft w:val="0"/>
              <w:marRight w:val="0"/>
              <w:marTop w:val="0"/>
              <w:marBottom w:val="0"/>
              <w:divBdr>
                <w:top w:val="none" w:sz="0" w:space="0" w:color="auto"/>
                <w:left w:val="none" w:sz="0" w:space="0" w:color="auto"/>
                <w:bottom w:val="none" w:sz="0" w:space="0" w:color="auto"/>
                <w:right w:val="none" w:sz="0" w:space="0" w:color="auto"/>
              </w:divBdr>
            </w:div>
          </w:divsChild>
        </w:div>
        <w:div w:id="1906409356">
          <w:marLeft w:val="0"/>
          <w:marRight w:val="0"/>
          <w:marTop w:val="0"/>
          <w:marBottom w:val="0"/>
          <w:divBdr>
            <w:top w:val="none" w:sz="0" w:space="0" w:color="auto"/>
            <w:left w:val="none" w:sz="0" w:space="0" w:color="auto"/>
            <w:bottom w:val="none" w:sz="0" w:space="0" w:color="auto"/>
            <w:right w:val="none" w:sz="0" w:space="0" w:color="auto"/>
          </w:divBdr>
          <w:divsChild>
            <w:div w:id="132066690">
              <w:marLeft w:val="0"/>
              <w:marRight w:val="0"/>
              <w:marTop w:val="0"/>
              <w:marBottom w:val="0"/>
              <w:divBdr>
                <w:top w:val="none" w:sz="0" w:space="0" w:color="auto"/>
                <w:left w:val="none" w:sz="0" w:space="0" w:color="auto"/>
                <w:bottom w:val="none" w:sz="0" w:space="0" w:color="auto"/>
                <w:right w:val="none" w:sz="0" w:space="0" w:color="auto"/>
              </w:divBdr>
            </w:div>
          </w:divsChild>
        </w:div>
        <w:div w:id="1938906511">
          <w:marLeft w:val="0"/>
          <w:marRight w:val="0"/>
          <w:marTop w:val="0"/>
          <w:marBottom w:val="0"/>
          <w:divBdr>
            <w:top w:val="none" w:sz="0" w:space="0" w:color="auto"/>
            <w:left w:val="none" w:sz="0" w:space="0" w:color="auto"/>
            <w:bottom w:val="none" w:sz="0" w:space="0" w:color="auto"/>
            <w:right w:val="none" w:sz="0" w:space="0" w:color="auto"/>
          </w:divBdr>
          <w:divsChild>
            <w:div w:id="1338071630">
              <w:marLeft w:val="0"/>
              <w:marRight w:val="0"/>
              <w:marTop w:val="0"/>
              <w:marBottom w:val="0"/>
              <w:divBdr>
                <w:top w:val="none" w:sz="0" w:space="0" w:color="auto"/>
                <w:left w:val="none" w:sz="0" w:space="0" w:color="auto"/>
                <w:bottom w:val="none" w:sz="0" w:space="0" w:color="auto"/>
                <w:right w:val="none" w:sz="0" w:space="0" w:color="auto"/>
              </w:divBdr>
            </w:div>
          </w:divsChild>
        </w:div>
        <w:div w:id="1952203785">
          <w:marLeft w:val="0"/>
          <w:marRight w:val="0"/>
          <w:marTop w:val="0"/>
          <w:marBottom w:val="0"/>
          <w:divBdr>
            <w:top w:val="none" w:sz="0" w:space="0" w:color="auto"/>
            <w:left w:val="none" w:sz="0" w:space="0" w:color="auto"/>
            <w:bottom w:val="none" w:sz="0" w:space="0" w:color="auto"/>
            <w:right w:val="none" w:sz="0" w:space="0" w:color="auto"/>
          </w:divBdr>
          <w:divsChild>
            <w:div w:id="1353873039">
              <w:marLeft w:val="0"/>
              <w:marRight w:val="0"/>
              <w:marTop w:val="0"/>
              <w:marBottom w:val="0"/>
              <w:divBdr>
                <w:top w:val="none" w:sz="0" w:space="0" w:color="auto"/>
                <w:left w:val="none" w:sz="0" w:space="0" w:color="auto"/>
                <w:bottom w:val="none" w:sz="0" w:space="0" w:color="auto"/>
                <w:right w:val="none" w:sz="0" w:space="0" w:color="auto"/>
              </w:divBdr>
            </w:div>
          </w:divsChild>
        </w:div>
        <w:div w:id="2003703206">
          <w:marLeft w:val="0"/>
          <w:marRight w:val="0"/>
          <w:marTop w:val="0"/>
          <w:marBottom w:val="0"/>
          <w:divBdr>
            <w:top w:val="none" w:sz="0" w:space="0" w:color="auto"/>
            <w:left w:val="none" w:sz="0" w:space="0" w:color="auto"/>
            <w:bottom w:val="none" w:sz="0" w:space="0" w:color="auto"/>
            <w:right w:val="none" w:sz="0" w:space="0" w:color="auto"/>
          </w:divBdr>
          <w:divsChild>
            <w:div w:id="207492734">
              <w:marLeft w:val="0"/>
              <w:marRight w:val="0"/>
              <w:marTop w:val="0"/>
              <w:marBottom w:val="0"/>
              <w:divBdr>
                <w:top w:val="none" w:sz="0" w:space="0" w:color="auto"/>
                <w:left w:val="none" w:sz="0" w:space="0" w:color="auto"/>
                <w:bottom w:val="none" w:sz="0" w:space="0" w:color="auto"/>
                <w:right w:val="none" w:sz="0" w:space="0" w:color="auto"/>
              </w:divBdr>
            </w:div>
          </w:divsChild>
        </w:div>
        <w:div w:id="2025936735">
          <w:marLeft w:val="0"/>
          <w:marRight w:val="0"/>
          <w:marTop w:val="0"/>
          <w:marBottom w:val="0"/>
          <w:divBdr>
            <w:top w:val="none" w:sz="0" w:space="0" w:color="auto"/>
            <w:left w:val="none" w:sz="0" w:space="0" w:color="auto"/>
            <w:bottom w:val="none" w:sz="0" w:space="0" w:color="auto"/>
            <w:right w:val="none" w:sz="0" w:space="0" w:color="auto"/>
          </w:divBdr>
          <w:divsChild>
            <w:div w:id="1936982196">
              <w:marLeft w:val="0"/>
              <w:marRight w:val="0"/>
              <w:marTop w:val="0"/>
              <w:marBottom w:val="0"/>
              <w:divBdr>
                <w:top w:val="none" w:sz="0" w:space="0" w:color="auto"/>
                <w:left w:val="none" w:sz="0" w:space="0" w:color="auto"/>
                <w:bottom w:val="none" w:sz="0" w:space="0" w:color="auto"/>
                <w:right w:val="none" w:sz="0" w:space="0" w:color="auto"/>
              </w:divBdr>
            </w:div>
          </w:divsChild>
        </w:div>
        <w:div w:id="2048142811">
          <w:marLeft w:val="0"/>
          <w:marRight w:val="0"/>
          <w:marTop w:val="0"/>
          <w:marBottom w:val="0"/>
          <w:divBdr>
            <w:top w:val="none" w:sz="0" w:space="0" w:color="auto"/>
            <w:left w:val="none" w:sz="0" w:space="0" w:color="auto"/>
            <w:bottom w:val="none" w:sz="0" w:space="0" w:color="auto"/>
            <w:right w:val="none" w:sz="0" w:space="0" w:color="auto"/>
          </w:divBdr>
          <w:divsChild>
            <w:div w:id="908224696">
              <w:marLeft w:val="0"/>
              <w:marRight w:val="0"/>
              <w:marTop w:val="0"/>
              <w:marBottom w:val="0"/>
              <w:divBdr>
                <w:top w:val="none" w:sz="0" w:space="0" w:color="auto"/>
                <w:left w:val="none" w:sz="0" w:space="0" w:color="auto"/>
                <w:bottom w:val="none" w:sz="0" w:space="0" w:color="auto"/>
                <w:right w:val="none" w:sz="0" w:space="0" w:color="auto"/>
              </w:divBdr>
            </w:div>
          </w:divsChild>
        </w:div>
        <w:div w:id="2062052099">
          <w:marLeft w:val="0"/>
          <w:marRight w:val="0"/>
          <w:marTop w:val="0"/>
          <w:marBottom w:val="0"/>
          <w:divBdr>
            <w:top w:val="none" w:sz="0" w:space="0" w:color="auto"/>
            <w:left w:val="none" w:sz="0" w:space="0" w:color="auto"/>
            <w:bottom w:val="none" w:sz="0" w:space="0" w:color="auto"/>
            <w:right w:val="none" w:sz="0" w:space="0" w:color="auto"/>
          </w:divBdr>
          <w:divsChild>
            <w:div w:id="187465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1818">
      <w:bodyDiv w:val="1"/>
      <w:marLeft w:val="0"/>
      <w:marRight w:val="0"/>
      <w:marTop w:val="0"/>
      <w:marBottom w:val="0"/>
      <w:divBdr>
        <w:top w:val="none" w:sz="0" w:space="0" w:color="auto"/>
        <w:left w:val="none" w:sz="0" w:space="0" w:color="auto"/>
        <w:bottom w:val="none" w:sz="0" w:space="0" w:color="auto"/>
        <w:right w:val="none" w:sz="0" w:space="0" w:color="auto"/>
      </w:divBdr>
      <w:divsChild>
        <w:div w:id="7606293">
          <w:marLeft w:val="0"/>
          <w:marRight w:val="0"/>
          <w:marTop w:val="0"/>
          <w:marBottom w:val="0"/>
          <w:divBdr>
            <w:top w:val="none" w:sz="0" w:space="0" w:color="auto"/>
            <w:left w:val="none" w:sz="0" w:space="0" w:color="auto"/>
            <w:bottom w:val="none" w:sz="0" w:space="0" w:color="auto"/>
            <w:right w:val="none" w:sz="0" w:space="0" w:color="auto"/>
          </w:divBdr>
          <w:divsChild>
            <w:div w:id="58016652">
              <w:marLeft w:val="0"/>
              <w:marRight w:val="0"/>
              <w:marTop w:val="0"/>
              <w:marBottom w:val="0"/>
              <w:divBdr>
                <w:top w:val="none" w:sz="0" w:space="0" w:color="auto"/>
                <w:left w:val="none" w:sz="0" w:space="0" w:color="auto"/>
                <w:bottom w:val="none" w:sz="0" w:space="0" w:color="auto"/>
                <w:right w:val="none" w:sz="0" w:space="0" w:color="auto"/>
              </w:divBdr>
            </w:div>
          </w:divsChild>
        </w:div>
        <w:div w:id="31462796">
          <w:marLeft w:val="0"/>
          <w:marRight w:val="0"/>
          <w:marTop w:val="0"/>
          <w:marBottom w:val="0"/>
          <w:divBdr>
            <w:top w:val="none" w:sz="0" w:space="0" w:color="auto"/>
            <w:left w:val="none" w:sz="0" w:space="0" w:color="auto"/>
            <w:bottom w:val="none" w:sz="0" w:space="0" w:color="auto"/>
            <w:right w:val="none" w:sz="0" w:space="0" w:color="auto"/>
          </w:divBdr>
          <w:divsChild>
            <w:div w:id="1002859788">
              <w:marLeft w:val="0"/>
              <w:marRight w:val="0"/>
              <w:marTop w:val="0"/>
              <w:marBottom w:val="0"/>
              <w:divBdr>
                <w:top w:val="none" w:sz="0" w:space="0" w:color="auto"/>
                <w:left w:val="none" w:sz="0" w:space="0" w:color="auto"/>
                <w:bottom w:val="none" w:sz="0" w:space="0" w:color="auto"/>
                <w:right w:val="none" w:sz="0" w:space="0" w:color="auto"/>
              </w:divBdr>
            </w:div>
          </w:divsChild>
        </w:div>
        <w:div w:id="52703857">
          <w:marLeft w:val="0"/>
          <w:marRight w:val="0"/>
          <w:marTop w:val="0"/>
          <w:marBottom w:val="0"/>
          <w:divBdr>
            <w:top w:val="none" w:sz="0" w:space="0" w:color="auto"/>
            <w:left w:val="none" w:sz="0" w:space="0" w:color="auto"/>
            <w:bottom w:val="none" w:sz="0" w:space="0" w:color="auto"/>
            <w:right w:val="none" w:sz="0" w:space="0" w:color="auto"/>
          </w:divBdr>
          <w:divsChild>
            <w:div w:id="863860978">
              <w:marLeft w:val="0"/>
              <w:marRight w:val="0"/>
              <w:marTop w:val="0"/>
              <w:marBottom w:val="0"/>
              <w:divBdr>
                <w:top w:val="none" w:sz="0" w:space="0" w:color="auto"/>
                <w:left w:val="none" w:sz="0" w:space="0" w:color="auto"/>
                <w:bottom w:val="none" w:sz="0" w:space="0" w:color="auto"/>
                <w:right w:val="none" w:sz="0" w:space="0" w:color="auto"/>
              </w:divBdr>
            </w:div>
          </w:divsChild>
        </w:div>
        <w:div w:id="53745247">
          <w:marLeft w:val="0"/>
          <w:marRight w:val="0"/>
          <w:marTop w:val="0"/>
          <w:marBottom w:val="0"/>
          <w:divBdr>
            <w:top w:val="none" w:sz="0" w:space="0" w:color="auto"/>
            <w:left w:val="none" w:sz="0" w:space="0" w:color="auto"/>
            <w:bottom w:val="none" w:sz="0" w:space="0" w:color="auto"/>
            <w:right w:val="none" w:sz="0" w:space="0" w:color="auto"/>
          </w:divBdr>
          <w:divsChild>
            <w:div w:id="174075557">
              <w:marLeft w:val="0"/>
              <w:marRight w:val="0"/>
              <w:marTop w:val="0"/>
              <w:marBottom w:val="0"/>
              <w:divBdr>
                <w:top w:val="none" w:sz="0" w:space="0" w:color="auto"/>
                <w:left w:val="none" w:sz="0" w:space="0" w:color="auto"/>
                <w:bottom w:val="none" w:sz="0" w:space="0" w:color="auto"/>
                <w:right w:val="none" w:sz="0" w:space="0" w:color="auto"/>
              </w:divBdr>
            </w:div>
          </w:divsChild>
        </w:div>
        <w:div w:id="92944994">
          <w:marLeft w:val="0"/>
          <w:marRight w:val="0"/>
          <w:marTop w:val="0"/>
          <w:marBottom w:val="0"/>
          <w:divBdr>
            <w:top w:val="none" w:sz="0" w:space="0" w:color="auto"/>
            <w:left w:val="none" w:sz="0" w:space="0" w:color="auto"/>
            <w:bottom w:val="none" w:sz="0" w:space="0" w:color="auto"/>
            <w:right w:val="none" w:sz="0" w:space="0" w:color="auto"/>
          </w:divBdr>
          <w:divsChild>
            <w:div w:id="1401633059">
              <w:marLeft w:val="0"/>
              <w:marRight w:val="0"/>
              <w:marTop w:val="0"/>
              <w:marBottom w:val="0"/>
              <w:divBdr>
                <w:top w:val="none" w:sz="0" w:space="0" w:color="auto"/>
                <w:left w:val="none" w:sz="0" w:space="0" w:color="auto"/>
                <w:bottom w:val="none" w:sz="0" w:space="0" w:color="auto"/>
                <w:right w:val="none" w:sz="0" w:space="0" w:color="auto"/>
              </w:divBdr>
            </w:div>
          </w:divsChild>
        </w:div>
        <w:div w:id="98795476">
          <w:marLeft w:val="0"/>
          <w:marRight w:val="0"/>
          <w:marTop w:val="0"/>
          <w:marBottom w:val="0"/>
          <w:divBdr>
            <w:top w:val="none" w:sz="0" w:space="0" w:color="auto"/>
            <w:left w:val="none" w:sz="0" w:space="0" w:color="auto"/>
            <w:bottom w:val="none" w:sz="0" w:space="0" w:color="auto"/>
            <w:right w:val="none" w:sz="0" w:space="0" w:color="auto"/>
          </w:divBdr>
          <w:divsChild>
            <w:div w:id="1881168008">
              <w:marLeft w:val="0"/>
              <w:marRight w:val="0"/>
              <w:marTop w:val="0"/>
              <w:marBottom w:val="0"/>
              <w:divBdr>
                <w:top w:val="none" w:sz="0" w:space="0" w:color="auto"/>
                <w:left w:val="none" w:sz="0" w:space="0" w:color="auto"/>
                <w:bottom w:val="none" w:sz="0" w:space="0" w:color="auto"/>
                <w:right w:val="none" w:sz="0" w:space="0" w:color="auto"/>
              </w:divBdr>
            </w:div>
          </w:divsChild>
        </w:div>
        <w:div w:id="139856188">
          <w:marLeft w:val="0"/>
          <w:marRight w:val="0"/>
          <w:marTop w:val="0"/>
          <w:marBottom w:val="0"/>
          <w:divBdr>
            <w:top w:val="none" w:sz="0" w:space="0" w:color="auto"/>
            <w:left w:val="none" w:sz="0" w:space="0" w:color="auto"/>
            <w:bottom w:val="none" w:sz="0" w:space="0" w:color="auto"/>
            <w:right w:val="none" w:sz="0" w:space="0" w:color="auto"/>
          </w:divBdr>
          <w:divsChild>
            <w:div w:id="1771966448">
              <w:marLeft w:val="0"/>
              <w:marRight w:val="0"/>
              <w:marTop w:val="0"/>
              <w:marBottom w:val="0"/>
              <w:divBdr>
                <w:top w:val="none" w:sz="0" w:space="0" w:color="auto"/>
                <w:left w:val="none" w:sz="0" w:space="0" w:color="auto"/>
                <w:bottom w:val="none" w:sz="0" w:space="0" w:color="auto"/>
                <w:right w:val="none" w:sz="0" w:space="0" w:color="auto"/>
              </w:divBdr>
            </w:div>
          </w:divsChild>
        </w:div>
        <w:div w:id="184826378">
          <w:marLeft w:val="0"/>
          <w:marRight w:val="0"/>
          <w:marTop w:val="0"/>
          <w:marBottom w:val="0"/>
          <w:divBdr>
            <w:top w:val="none" w:sz="0" w:space="0" w:color="auto"/>
            <w:left w:val="none" w:sz="0" w:space="0" w:color="auto"/>
            <w:bottom w:val="none" w:sz="0" w:space="0" w:color="auto"/>
            <w:right w:val="none" w:sz="0" w:space="0" w:color="auto"/>
          </w:divBdr>
          <w:divsChild>
            <w:div w:id="8023138">
              <w:marLeft w:val="0"/>
              <w:marRight w:val="0"/>
              <w:marTop w:val="0"/>
              <w:marBottom w:val="0"/>
              <w:divBdr>
                <w:top w:val="none" w:sz="0" w:space="0" w:color="auto"/>
                <w:left w:val="none" w:sz="0" w:space="0" w:color="auto"/>
                <w:bottom w:val="none" w:sz="0" w:space="0" w:color="auto"/>
                <w:right w:val="none" w:sz="0" w:space="0" w:color="auto"/>
              </w:divBdr>
            </w:div>
          </w:divsChild>
        </w:div>
        <w:div w:id="188102196">
          <w:marLeft w:val="0"/>
          <w:marRight w:val="0"/>
          <w:marTop w:val="0"/>
          <w:marBottom w:val="0"/>
          <w:divBdr>
            <w:top w:val="none" w:sz="0" w:space="0" w:color="auto"/>
            <w:left w:val="none" w:sz="0" w:space="0" w:color="auto"/>
            <w:bottom w:val="none" w:sz="0" w:space="0" w:color="auto"/>
            <w:right w:val="none" w:sz="0" w:space="0" w:color="auto"/>
          </w:divBdr>
          <w:divsChild>
            <w:div w:id="2092971332">
              <w:marLeft w:val="0"/>
              <w:marRight w:val="0"/>
              <w:marTop w:val="0"/>
              <w:marBottom w:val="0"/>
              <w:divBdr>
                <w:top w:val="none" w:sz="0" w:space="0" w:color="auto"/>
                <w:left w:val="none" w:sz="0" w:space="0" w:color="auto"/>
                <w:bottom w:val="none" w:sz="0" w:space="0" w:color="auto"/>
                <w:right w:val="none" w:sz="0" w:space="0" w:color="auto"/>
              </w:divBdr>
            </w:div>
          </w:divsChild>
        </w:div>
        <w:div w:id="193426342">
          <w:marLeft w:val="0"/>
          <w:marRight w:val="0"/>
          <w:marTop w:val="0"/>
          <w:marBottom w:val="0"/>
          <w:divBdr>
            <w:top w:val="none" w:sz="0" w:space="0" w:color="auto"/>
            <w:left w:val="none" w:sz="0" w:space="0" w:color="auto"/>
            <w:bottom w:val="none" w:sz="0" w:space="0" w:color="auto"/>
            <w:right w:val="none" w:sz="0" w:space="0" w:color="auto"/>
          </w:divBdr>
          <w:divsChild>
            <w:div w:id="1511408245">
              <w:marLeft w:val="0"/>
              <w:marRight w:val="0"/>
              <w:marTop w:val="0"/>
              <w:marBottom w:val="0"/>
              <w:divBdr>
                <w:top w:val="none" w:sz="0" w:space="0" w:color="auto"/>
                <w:left w:val="none" w:sz="0" w:space="0" w:color="auto"/>
                <w:bottom w:val="none" w:sz="0" w:space="0" w:color="auto"/>
                <w:right w:val="none" w:sz="0" w:space="0" w:color="auto"/>
              </w:divBdr>
            </w:div>
          </w:divsChild>
        </w:div>
        <w:div w:id="210772346">
          <w:marLeft w:val="0"/>
          <w:marRight w:val="0"/>
          <w:marTop w:val="0"/>
          <w:marBottom w:val="0"/>
          <w:divBdr>
            <w:top w:val="none" w:sz="0" w:space="0" w:color="auto"/>
            <w:left w:val="none" w:sz="0" w:space="0" w:color="auto"/>
            <w:bottom w:val="none" w:sz="0" w:space="0" w:color="auto"/>
            <w:right w:val="none" w:sz="0" w:space="0" w:color="auto"/>
          </w:divBdr>
          <w:divsChild>
            <w:div w:id="1535190956">
              <w:marLeft w:val="0"/>
              <w:marRight w:val="0"/>
              <w:marTop w:val="0"/>
              <w:marBottom w:val="0"/>
              <w:divBdr>
                <w:top w:val="none" w:sz="0" w:space="0" w:color="auto"/>
                <w:left w:val="none" w:sz="0" w:space="0" w:color="auto"/>
                <w:bottom w:val="none" w:sz="0" w:space="0" w:color="auto"/>
                <w:right w:val="none" w:sz="0" w:space="0" w:color="auto"/>
              </w:divBdr>
            </w:div>
          </w:divsChild>
        </w:div>
        <w:div w:id="296764845">
          <w:marLeft w:val="0"/>
          <w:marRight w:val="0"/>
          <w:marTop w:val="0"/>
          <w:marBottom w:val="0"/>
          <w:divBdr>
            <w:top w:val="none" w:sz="0" w:space="0" w:color="auto"/>
            <w:left w:val="none" w:sz="0" w:space="0" w:color="auto"/>
            <w:bottom w:val="none" w:sz="0" w:space="0" w:color="auto"/>
            <w:right w:val="none" w:sz="0" w:space="0" w:color="auto"/>
          </w:divBdr>
          <w:divsChild>
            <w:div w:id="1244948574">
              <w:marLeft w:val="0"/>
              <w:marRight w:val="0"/>
              <w:marTop w:val="0"/>
              <w:marBottom w:val="0"/>
              <w:divBdr>
                <w:top w:val="none" w:sz="0" w:space="0" w:color="auto"/>
                <w:left w:val="none" w:sz="0" w:space="0" w:color="auto"/>
                <w:bottom w:val="none" w:sz="0" w:space="0" w:color="auto"/>
                <w:right w:val="none" w:sz="0" w:space="0" w:color="auto"/>
              </w:divBdr>
            </w:div>
          </w:divsChild>
        </w:div>
        <w:div w:id="322701742">
          <w:marLeft w:val="0"/>
          <w:marRight w:val="0"/>
          <w:marTop w:val="0"/>
          <w:marBottom w:val="0"/>
          <w:divBdr>
            <w:top w:val="none" w:sz="0" w:space="0" w:color="auto"/>
            <w:left w:val="none" w:sz="0" w:space="0" w:color="auto"/>
            <w:bottom w:val="none" w:sz="0" w:space="0" w:color="auto"/>
            <w:right w:val="none" w:sz="0" w:space="0" w:color="auto"/>
          </w:divBdr>
          <w:divsChild>
            <w:div w:id="1833596116">
              <w:marLeft w:val="0"/>
              <w:marRight w:val="0"/>
              <w:marTop w:val="0"/>
              <w:marBottom w:val="0"/>
              <w:divBdr>
                <w:top w:val="none" w:sz="0" w:space="0" w:color="auto"/>
                <w:left w:val="none" w:sz="0" w:space="0" w:color="auto"/>
                <w:bottom w:val="none" w:sz="0" w:space="0" w:color="auto"/>
                <w:right w:val="none" w:sz="0" w:space="0" w:color="auto"/>
              </w:divBdr>
            </w:div>
          </w:divsChild>
        </w:div>
        <w:div w:id="328095847">
          <w:marLeft w:val="0"/>
          <w:marRight w:val="0"/>
          <w:marTop w:val="0"/>
          <w:marBottom w:val="0"/>
          <w:divBdr>
            <w:top w:val="none" w:sz="0" w:space="0" w:color="auto"/>
            <w:left w:val="none" w:sz="0" w:space="0" w:color="auto"/>
            <w:bottom w:val="none" w:sz="0" w:space="0" w:color="auto"/>
            <w:right w:val="none" w:sz="0" w:space="0" w:color="auto"/>
          </w:divBdr>
          <w:divsChild>
            <w:div w:id="435372624">
              <w:marLeft w:val="0"/>
              <w:marRight w:val="0"/>
              <w:marTop w:val="0"/>
              <w:marBottom w:val="0"/>
              <w:divBdr>
                <w:top w:val="none" w:sz="0" w:space="0" w:color="auto"/>
                <w:left w:val="none" w:sz="0" w:space="0" w:color="auto"/>
                <w:bottom w:val="none" w:sz="0" w:space="0" w:color="auto"/>
                <w:right w:val="none" w:sz="0" w:space="0" w:color="auto"/>
              </w:divBdr>
            </w:div>
          </w:divsChild>
        </w:div>
        <w:div w:id="345132170">
          <w:marLeft w:val="0"/>
          <w:marRight w:val="0"/>
          <w:marTop w:val="0"/>
          <w:marBottom w:val="0"/>
          <w:divBdr>
            <w:top w:val="none" w:sz="0" w:space="0" w:color="auto"/>
            <w:left w:val="none" w:sz="0" w:space="0" w:color="auto"/>
            <w:bottom w:val="none" w:sz="0" w:space="0" w:color="auto"/>
            <w:right w:val="none" w:sz="0" w:space="0" w:color="auto"/>
          </w:divBdr>
          <w:divsChild>
            <w:div w:id="1133137689">
              <w:marLeft w:val="0"/>
              <w:marRight w:val="0"/>
              <w:marTop w:val="0"/>
              <w:marBottom w:val="0"/>
              <w:divBdr>
                <w:top w:val="none" w:sz="0" w:space="0" w:color="auto"/>
                <w:left w:val="none" w:sz="0" w:space="0" w:color="auto"/>
                <w:bottom w:val="none" w:sz="0" w:space="0" w:color="auto"/>
                <w:right w:val="none" w:sz="0" w:space="0" w:color="auto"/>
              </w:divBdr>
            </w:div>
          </w:divsChild>
        </w:div>
        <w:div w:id="405415846">
          <w:marLeft w:val="0"/>
          <w:marRight w:val="0"/>
          <w:marTop w:val="0"/>
          <w:marBottom w:val="0"/>
          <w:divBdr>
            <w:top w:val="none" w:sz="0" w:space="0" w:color="auto"/>
            <w:left w:val="none" w:sz="0" w:space="0" w:color="auto"/>
            <w:bottom w:val="none" w:sz="0" w:space="0" w:color="auto"/>
            <w:right w:val="none" w:sz="0" w:space="0" w:color="auto"/>
          </w:divBdr>
          <w:divsChild>
            <w:div w:id="91364698">
              <w:marLeft w:val="0"/>
              <w:marRight w:val="0"/>
              <w:marTop w:val="0"/>
              <w:marBottom w:val="0"/>
              <w:divBdr>
                <w:top w:val="none" w:sz="0" w:space="0" w:color="auto"/>
                <w:left w:val="none" w:sz="0" w:space="0" w:color="auto"/>
                <w:bottom w:val="none" w:sz="0" w:space="0" w:color="auto"/>
                <w:right w:val="none" w:sz="0" w:space="0" w:color="auto"/>
              </w:divBdr>
            </w:div>
          </w:divsChild>
        </w:div>
        <w:div w:id="410742625">
          <w:marLeft w:val="0"/>
          <w:marRight w:val="0"/>
          <w:marTop w:val="0"/>
          <w:marBottom w:val="0"/>
          <w:divBdr>
            <w:top w:val="none" w:sz="0" w:space="0" w:color="auto"/>
            <w:left w:val="none" w:sz="0" w:space="0" w:color="auto"/>
            <w:bottom w:val="none" w:sz="0" w:space="0" w:color="auto"/>
            <w:right w:val="none" w:sz="0" w:space="0" w:color="auto"/>
          </w:divBdr>
          <w:divsChild>
            <w:div w:id="1612397005">
              <w:marLeft w:val="0"/>
              <w:marRight w:val="0"/>
              <w:marTop w:val="0"/>
              <w:marBottom w:val="0"/>
              <w:divBdr>
                <w:top w:val="none" w:sz="0" w:space="0" w:color="auto"/>
                <w:left w:val="none" w:sz="0" w:space="0" w:color="auto"/>
                <w:bottom w:val="none" w:sz="0" w:space="0" w:color="auto"/>
                <w:right w:val="none" w:sz="0" w:space="0" w:color="auto"/>
              </w:divBdr>
            </w:div>
          </w:divsChild>
        </w:div>
        <w:div w:id="415593690">
          <w:marLeft w:val="0"/>
          <w:marRight w:val="0"/>
          <w:marTop w:val="0"/>
          <w:marBottom w:val="0"/>
          <w:divBdr>
            <w:top w:val="none" w:sz="0" w:space="0" w:color="auto"/>
            <w:left w:val="none" w:sz="0" w:space="0" w:color="auto"/>
            <w:bottom w:val="none" w:sz="0" w:space="0" w:color="auto"/>
            <w:right w:val="none" w:sz="0" w:space="0" w:color="auto"/>
          </w:divBdr>
          <w:divsChild>
            <w:div w:id="670716471">
              <w:marLeft w:val="0"/>
              <w:marRight w:val="0"/>
              <w:marTop w:val="0"/>
              <w:marBottom w:val="0"/>
              <w:divBdr>
                <w:top w:val="none" w:sz="0" w:space="0" w:color="auto"/>
                <w:left w:val="none" w:sz="0" w:space="0" w:color="auto"/>
                <w:bottom w:val="none" w:sz="0" w:space="0" w:color="auto"/>
                <w:right w:val="none" w:sz="0" w:space="0" w:color="auto"/>
              </w:divBdr>
            </w:div>
          </w:divsChild>
        </w:div>
        <w:div w:id="435367256">
          <w:marLeft w:val="0"/>
          <w:marRight w:val="0"/>
          <w:marTop w:val="0"/>
          <w:marBottom w:val="0"/>
          <w:divBdr>
            <w:top w:val="none" w:sz="0" w:space="0" w:color="auto"/>
            <w:left w:val="none" w:sz="0" w:space="0" w:color="auto"/>
            <w:bottom w:val="none" w:sz="0" w:space="0" w:color="auto"/>
            <w:right w:val="none" w:sz="0" w:space="0" w:color="auto"/>
          </w:divBdr>
          <w:divsChild>
            <w:div w:id="1058359829">
              <w:marLeft w:val="0"/>
              <w:marRight w:val="0"/>
              <w:marTop w:val="0"/>
              <w:marBottom w:val="0"/>
              <w:divBdr>
                <w:top w:val="none" w:sz="0" w:space="0" w:color="auto"/>
                <w:left w:val="none" w:sz="0" w:space="0" w:color="auto"/>
                <w:bottom w:val="none" w:sz="0" w:space="0" w:color="auto"/>
                <w:right w:val="none" w:sz="0" w:space="0" w:color="auto"/>
              </w:divBdr>
            </w:div>
          </w:divsChild>
        </w:div>
        <w:div w:id="440492667">
          <w:marLeft w:val="0"/>
          <w:marRight w:val="0"/>
          <w:marTop w:val="0"/>
          <w:marBottom w:val="0"/>
          <w:divBdr>
            <w:top w:val="none" w:sz="0" w:space="0" w:color="auto"/>
            <w:left w:val="none" w:sz="0" w:space="0" w:color="auto"/>
            <w:bottom w:val="none" w:sz="0" w:space="0" w:color="auto"/>
            <w:right w:val="none" w:sz="0" w:space="0" w:color="auto"/>
          </w:divBdr>
          <w:divsChild>
            <w:div w:id="1060636500">
              <w:marLeft w:val="0"/>
              <w:marRight w:val="0"/>
              <w:marTop w:val="0"/>
              <w:marBottom w:val="0"/>
              <w:divBdr>
                <w:top w:val="none" w:sz="0" w:space="0" w:color="auto"/>
                <w:left w:val="none" w:sz="0" w:space="0" w:color="auto"/>
                <w:bottom w:val="none" w:sz="0" w:space="0" w:color="auto"/>
                <w:right w:val="none" w:sz="0" w:space="0" w:color="auto"/>
              </w:divBdr>
            </w:div>
          </w:divsChild>
        </w:div>
        <w:div w:id="501631502">
          <w:marLeft w:val="0"/>
          <w:marRight w:val="0"/>
          <w:marTop w:val="0"/>
          <w:marBottom w:val="0"/>
          <w:divBdr>
            <w:top w:val="none" w:sz="0" w:space="0" w:color="auto"/>
            <w:left w:val="none" w:sz="0" w:space="0" w:color="auto"/>
            <w:bottom w:val="none" w:sz="0" w:space="0" w:color="auto"/>
            <w:right w:val="none" w:sz="0" w:space="0" w:color="auto"/>
          </w:divBdr>
          <w:divsChild>
            <w:div w:id="1226141978">
              <w:marLeft w:val="0"/>
              <w:marRight w:val="0"/>
              <w:marTop w:val="0"/>
              <w:marBottom w:val="0"/>
              <w:divBdr>
                <w:top w:val="none" w:sz="0" w:space="0" w:color="auto"/>
                <w:left w:val="none" w:sz="0" w:space="0" w:color="auto"/>
                <w:bottom w:val="none" w:sz="0" w:space="0" w:color="auto"/>
                <w:right w:val="none" w:sz="0" w:space="0" w:color="auto"/>
              </w:divBdr>
            </w:div>
          </w:divsChild>
        </w:div>
        <w:div w:id="551649056">
          <w:marLeft w:val="0"/>
          <w:marRight w:val="0"/>
          <w:marTop w:val="0"/>
          <w:marBottom w:val="0"/>
          <w:divBdr>
            <w:top w:val="none" w:sz="0" w:space="0" w:color="auto"/>
            <w:left w:val="none" w:sz="0" w:space="0" w:color="auto"/>
            <w:bottom w:val="none" w:sz="0" w:space="0" w:color="auto"/>
            <w:right w:val="none" w:sz="0" w:space="0" w:color="auto"/>
          </w:divBdr>
          <w:divsChild>
            <w:div w:id="667099299">
              <w:marLeft w:val="0"/>
              <w:marRight w:val="0"/>
              <w:marTop w:val="0"/>
              <w:marBottom w:val="0"/>
              <w:divBdr>
                <w:top w:val="none" w:sz="0" w:space="0" w:color="auto"/>
                <w:left w:val="none" w:sz="0" w:space="0" w:color="auto"/>
                <w:bottom w:val="none" w:sz="0" w:space="0" w:color="auto"/>
                <w:right w:val="none" w:sz="0" w:space="0" w:color="auto"/>
              </w:divBdr>
            </w:div>
          </w:divsChild>
        </w:div>
        <w:div w:id="573513801">
          <w:marLeft w:val="0"/>
          <w:marRight w:val="0"/>
          <w:marTop w:val="0"/>
          <w:marBottom w:val="0"/>
          <w:divBdr>
            <w:top w:val="none" w:sz="0" w:space="0" w:color="auto"/>
            <w:left w:val="none" w:sz="0" w:space="0" w:color="auto"/>
            <w:bottom w:val="none" w:sz="0" w:space="0" w:color="auto"/>
            <w:right w:val="none" w:sz="0" w:space="0" w:color="auto"/>
          </w:divBdr>
          <w:divsChild>
            <w:div w:id="1745375745">
              <w:marLeft w:val="0"/>
              <w:marRight w:val="0"/>
              <w:marTop w:val="0"/>
              <w:marBottom w:val="0"/>
              <w:divBdr>
                <w:top w:val="none" w:sz="0" w:space="0" w:color="auto"/>
                <w:left w:val="none" w:sz="0" w:space="0" w:color="auto"/>
                <w:bottom w:val="none" w:sz="0" w:space="0" w:color="auto"/>
                <w:right w:val="none" w:sz="0" w:space="0" w:color="auto"/>
              </w:divBdr>
            </w:div>
          </w:divsChild>
        </w:div>
        <w:div w:id="573515345">
          <w:marLeft w:val="0"/>
          <w:marRight w:val="0"/>
          <w:marTop w:val="0"/>
          <w:marBottom w:val="0"/>
          <w:divBdr>
            <w:top w:val="none" w:sz="0" w:space="0" w:color="auto"/>
            <w:left w:val="none" w:sz="0" w:space="0" w:color="auto"/>
            <w:bottom w:val="none" w:sz="0" w:space="0" w:color="auto"/>
            <w:right w:val="none" w:sz="0" w:space="0" w:color="auto"/>
          </w:divBdr>
          <w:divsChild>
            <w:div w:id="263465921">
              <w:marLeft w:val="0"/>
              <w:marRight w:val="0"/>
              <w:marTop w:val="0"/>
              <w:marBottom w:val="0"/>
              <w:divBdr>
                <w:top w:val="none" w:sz="0" w:space="0" w:color="auto"/>
                <w:left w:val="none" w:sz="0" w:space="0" w:color="auto"/>
                <w:bottom w:val="none" w:sz="0" w:space="0" w:color="auto"/>
                <w:right w:val="none" w:sz="0" w:space="0" w:color="auto"/>
              </w:divBdr>
            </w:div>
          </w:divsChild>
        </w:div>
        <w:div w:id="598828766">
          <w:marLeft w:val="0"/>
          <w:marRight w:val="0"/>
          <w:marTop w:val="0"/>
          <w:marBottom w:val="0"/>
          <w:divBdr>
            <w:top w:val="none" w:sz="0" w:space="0" w:color="auto"/>
            <w:left w:val="none" w:sz="0" w:space="0" w:color="auto"/>
            <w:bottom w:val="none" w:sz="0" w:space="0" w:color="auto"/>
            <w:right w:val="none" w:sz="0" w:space="0" w:color="auto"/>
          </w:divBdr>
          <w:divsChild>
            <w:div w:id="1720396944">
              <w:marLeft w:val="0"/>
              <w:marRight w:val="0"/>
              <w:marTop w:val="0"/>
              <w:marBottom w:val="0"/>
              <w:divBdr>
                <w:top w:val="none" w:sz="0" w:space="0" w:color="auto"/>
                <w:left w:val="none" w:sz="0" w:space="0" w:color="auto"/>
                <w:bottom w:val="none" w:sz="0" w:space="0" w:color="auto"/>
                <w:right w:val="none" w:sz="0" w:space="0" w:color="auto"/>
              </w:divBdr>
            </w:div>
          </w:divsChild>
        </w:div>
        <w:div w:id="653996095">
          <w:marLeft w:val="0"/>
          <w:marRight w:val="0"/>
          <w:marTop w:val="0"/>
          <w:marBottom w:val="0"/>
          <w:divBdr>
            <w:top w:val="none" w:sz="0" w:space="0" w:color="auto"/>
            <w:left w:val="none" w:sz="0" w:space="0" w:color="auto"/>
            <w:bottom w:val="none" w:sz="0" w:space="0" w:color="auto"/>
            <w:right w:val="none" w:sz="0" w:space="0" w:color="auto"/>
          </w:divBdr>
          <w:divsChild>
            <w:div w:id="496457428">
              <w:marLeft w:val="0"/>
              <w:marRight w:val="0"/>
              <w:marTop w:val="0"/>
              <w:marBottom w:val="0"/>
              <w:divBdr>
                <w:top w:val="none" w:sz="0" w:space="0" w:color="auto"/>
                <w:left w:val="none" w:sz="0" w:space="0" w:color="auto"/>
                <w:bottom w:val="none" w:sz="0" w:space="0" w:color="auto"/>
                <w:right w:val="none" w:sz="0" w:space="0" w:color="auto"/>
              </w:divBdr>
            </w:div>
          </w:divsChild>
        </w:div>
        <w:div w:id="660618450">
          <w:marLeft w:val="0"/>
          <w:marRight w:val="0"/>
          <w:marTop w:val="0"/>
          <w:marBottom w:val="0"/>
          <w:divBdr>
            <w:top w:val="none" w:sz="0" w:space="0" w:color="auto"/>
            <w:left w:val="none" w:sz="0" w:space="0" w:color="auto"/>
            <w:bottom w:val="none" w:sz="0" w:space="0" w:color="auto"/>
            <w:right w:val="none" w:sz="0" w:space="0" w:color="auto"/>
          </w:divBdr>
          <w:divsChild>
            <w:div w:id="394089319">
              <w:marLeft w:val="0"/>
              <w:marRight w:val="0"/>
              <w:marTop w:val="0"/>
              <w:marBottom w:val="0"/>
              <w:divBdr>
                <w:top w:val="none" w:sz="0" w:space="0" w:color="auto"/>
                <w:left w:val="none" w:sz="0" w:space="0" w:color="auto"/>
                <w:bottom w:val="none" w:sz="0" w:space="0" w:color="auto"/>
                <w:right w:val="none" w:sz="0" w:space="0" w:color="auto"/>
              </w:divBdr>
            </w:div>
          </w:divsChild>
        </w:div>
        <w:div w:id="677386628">
          <w:marLeft w:val="0"/>
          <w:marRight w:val="0"/>
          <w:marTop w:val="0"/>
          <w:marBottom w:val="0"/>
          <w:divBdr>
            <w:top w:val="none" w:sz="0" w:space="0" w:color="auto"/>
            <w:left w:val="none" w:sz="0" w:space="0" w:color="auto"/>
            <w:bottom w:val="none" w:sz="0" w:space="0" w:color="auto"/>
            <w:right w:val="none" w:sz="0" w:space="0" w:color="auto"/>
          </w:divBdr>
          <w:divsChild>
            <w:div w:id="650642320">
              <w:marLeft w:val="0"/>
              <w:marRight w:val="0"/>
              <w:marTop w:val="0"/>
              <w:marBottom w:val="0"/>
              <w:divBdr>
                <w:top w:val="none" w:sz="0" w:space="0" w:color="auto"/>
                <w:left w:val="none" w:sz="0" w:space="0" w:color="auto"/>
                <w:bottom w:val="none" w:sz="0" w:space="0" w:color="auto"/>
                <w:right w:val="none" w:sz="0" w:space="0" w:color="auto"/>
              </w:divBdr>
            </w:div>
          </w:divsChild>
        </w:div>
        <w:div w:id="695808475">
          <w:marLeft w:val="0"/>
          <w:marRight w:val="0"/>
          <w:marTop w:val="0"/>
          <w:marBottom w:val="0"/>
          <w:divBdr>
            <w:top w:val="none" w:sz="0" w:space="0" w:color="auto"/>
            <w:left w:val="none" w:sz="0" w:space="0" w:color="auto"/>
            <w:bottom w:val="none" w:sz="0" w:space="0" w:color="auto"/>
            <w:right w:val="none" w:sz="0" w:space="0" w:color="auto"/>
          </w:divBdr>
          <w:divsChild>
            <w:div w:id="1411541721">
              <w:marLeft w:val="0"/>
              <w:marRight w:val="0"/>
              <w:marTop w:val="0"/>
              <w:marBottom w:val="0"/>
              <w:divBdr>
                <w:top w:val="none" w:sz="0" w:space="0" w:color="auto"/>
                <w:left w:val="none" w:sz="0" w:space="0" w:color="auto"/>
                <w:bottom w:val="none" w:sz="0" w:space="0" w:color="auto"/>
                <w:right w:val="none" w:sz="0" w:space="0" w:color="auto"/>
              </w:divBdr>
            </w:div>
          </w:divsChild>
        </w:div>
        <w:div w:id="700284031">
          <w:marLeft w:val="0"/>
          <w:marRight w:val="0"/>
          <w:marTop w:val="0"/>
          <w:marBottom w:val="0"/>
          <w:divBdr>
            <w:top w:val="none" w:sz="0" w:space="0" w:color="auto"/>
            <w:left w:val="none" w:sz="0" w:space="0" w:color="auto"/>
            <w:bottom w:val="none" w:sz="0" w:space="0" w:color="auto"/>
            <w:right w:val="none" w:sz="0" w:space="0" w:color="auto"/>
          </w:divBdr>
          <w:divsChild>
            <w:div w:id="868838445">
              <w:marLeft w:val="0"/>
              <w:marRight w:val="0"/>
              <w:marTop w:val="0"/>
              <w:marBottom w:val="0"/>
              <w:divBdr>
                <w:top w:val="none" w:sz="0" w:space="0" w:color="auto"/>
                <w:left w:val="none" w:sz="0" w:space="0" w:color="auto"/>
                <w:bottom w:val="none" w:sz="0" w:space="0" w:color="auto"/>
                <w:right w:val="none" w:sz="0" w:space="0" w:color="auto"/>
              </w:divBdr>
            </w:div>
          </w:divsChild>
        </w:div>
        <w:div w:id="716271960">
          <w:marLeft w:val="0"/>
          <w:marRight w:val="0"/>
          <w:marTop w:val="0"/>
          <w:marBottom w:val="0"/>
          <w:divBdr>
            <w:top w:val="none" w:sz="0" w:space="0" w:color="auto"/>
            <w:left w:val="none" w:sz="0" w:space="0" w:color="auto"/>
            <w:bottom w:val="none" w:sz="0" w:space="0" w:color="auto"/>
            <w:right w:val="none" w:sz="0" w:space="0" w:color="auto"/>
          </w:divBdr>
          <w:divsChild>
            <w:div w:id="1994868462">
              <w:marLeft w:val="0"/>
              <w:marRight w:val="0"/>
              <w:marTop w:val="0"/>
              <w:marBottom w:val="0"/>
              <w:divBdr>
                <w:top w:val="none" w:sz="0" w:space="0" w:color="auto"/>
                <w:left w:val="none" w:sz="0" w:space="0" w:color="auto"/>
                <w:bottom w:val="none" w:sz="0" w:space="0" w:color="auto"/>
                <w:right w:val="none" w:sz="0" w:space="0" w:color="auto"/>
              </w:divBdr>
            </w:div>
          </w:divsChild>
        </w:div>
        <w:div w:id="786698679">
          <w:marLeft w:val="0"/>
          <w:marRight w:val="0"/>
          <w:marTop w:val="0"/>
          <w:marBottom w:val="0"/>
          <w:divBdr>
            <w:top w:val="none" w:sz="0" w:space="0" w:color="auto"/>
            <w:left w:val="none" w:sz="0" w:space="0" w:color="auto"/>
            <w:bottom w:val="none" w:sz="0" w:space="0" w:color="auto"/>
            <w:right w:val="none" w:sz="0" w:space="0" w:color="auto"/>
          </w:divBdr>
          <w:divsChild>
            <w:div w:id="1038090772">
              <w:marLeft w:val="0"/>
              <w:marRight w:val="0"/>
              <w:marTop w:val="0"/>
              <w:marBottom w:val="0"/>
              <w:divBdr>
                <w:top w:val="none" w:sz="0" w:space="0" w:color="auto"/>
                <w:left w:val="none" w:sz="0" w:space="0" w:color="auto"/>
                <w:bottom w:val="none" w:sz="0" w:space="0" w:color="auto"/>
                <w:right w:val="none" w:sz="0" w:space="0" w:color="auto"/>
              </w:divBdr>
            </w:div>
          </w:divsChild>
        </w:div>
        <w:div w:id="796024531">
          <w:marLeft w:val="0"/>
          <w:marRight w:val="0"/>
          <w:marTop w:val="0"/>
          <w:marBottom w:val="0"/>
          <w:divBdr>
            <w:top w:val="none" w:sz="0" w:space="0" w:color="auto"/>
            <w:left w:val="none" w:sz="0" w:space="0" w:color="auto"/>
            <w:bottom w:val="none" w:sz="0" w:space="0" w:color="auto"/>
            <w:right w:val="none" w:sz="0" w:space="0" w:color="auto"/>
          </w:divBdr>
          <w:divsChild>
            <w:div w:id="808788262">
              <w:marLeft w:val="0"/>
              <w:marRight w:val="0"/>
              <w:marTop w:val="0"/>
              <w:marBottom w:val="0"/>
              <w:divBdr>
                <w:top w:val="none" w:sz="0" w:space="0" w:color="auto"/>
                <w:left w:val="none" w:sz="0" w:space="0" w:color="auto"/>
                <w:bottom w:val="none" w:sz="0" w:space="0" w:color="auto"/>
                <w:right w:val="none" w:sz="0" w:space="0" w:color="auto"/>
              </w:divBdr>
            </w:div>
          </w:divsChild>
        </w:div>
        <w:div w:id="826895313">
          <w:marLeft w:val="0"/>
          <w:marRight w:val="0"/>
          <w:marTop w:val="0"/>
          <w:marBottom w:val="0"/>
          <w:divBdr>
            <w:top w:val="none" w:sz="0" w:space="0" w:color="auto"/>
            <w:left w:val="none" w:sz="0" w:space="0" w:color="auto"/>
            <w:bottom w:val="none" w:sz="0" w:space="0" w:color="auto"/>
            <w:right w:val="none" w:sz="0" w:space="0" w:color="auto"/>
          </w:divBdr>
          <w:divsChild>
            <w:div w:id="2005665583">
              <w:marLeft w:val="0"/>
              <w:marRight w:val="0"/>
              <w:marTop w:val="0"/>
              <w:marBottom w:val="0"/>
              <w:divBdr>
                <w:top w:val="none" w:sz="0" w:space="0" w:color="auto"/>
                <w:left w:val="none" w:sz="0" w:space="0" w:color="auto"/>
                <w:bottom w:val="none" w:sz="0" w:space="0" w:color="auto"/>
                <w:right w:val="none" w:sz="0" w:space="0" w:color="auto"/>
              </w:divBdr>
            </w:div>
          </w:divsChild>
        </w:div>
        <w:div w:id="873732769">
          <w:marLeft w:val="0"/>
          <w:marRight w:val="0"/>
          <w:marTop w:val="0"/>
          <w:marBottom w:val="0"/>
          <w:divBdr>
            <w:top w:val="none" w:sz="0" w:space="0" w:color="auto"/>
            <w:left w:val="none" w:sz="0" w:space="0" w:color="auto"/>
            <w:bottom w:val="none" w:sz="0" w:space="0" w:color="auto"/>
            <w:right w:val="none" w:sz="0" w:space="0" w:color="auto"/>
          </w:divBdr>
          <w:divsChild>
            <w:div w:id="1338843229">
              <w:marLeft w:val="0"/>
              <w:marRight w:val="0"/>
              <w:marTop w:val="0"/>
              <w:marBottom w:val="0"/>
              <w:divBdr>
                <w:top w:val="none" w:sz="0" w:space="0" w:color="auto"/>
                <w:left w:val="none" w:sz="0" w:space="0" w:color="auto"/>
                <w:bottom w:val="none" w:sz="0" w:space="0" w:color="auto"/>
                <w:right w:val="none" w:sz="0" w:space="0" w:color="auto"/>
              </w:divBdr>
            </w:div>
          </w:divsChild>
        </w:div>
        <w:div w:id="962003855">
          <w:marLeft w:val="0"/>
          <w:marRight w:val="0"/>
          <w:marTop w:val="0"/>
          <w:marBottom w:val="0"/>
          <w:divBdr>
            <w:top w:val="none" w:sz="0" w:space="0" w:color="auto"/>
            <w:left w:val="none" w:sz="0" w:space="0" w:color="auto"/>
            <w:bottom w:val="none" w:sz="0" w:space="0" w:color="auto"/>
            <w:right w:val="none" w:sz="0" w:space="0" w:color="auto"/>
          </w:divBdr>
          <w:divsChild>
            <w:div w:id="1437020899">
              <w:marLeft w:val="0"/>
              <w:marRight w:val="0"/>
              <w:marTop w:val="0"/>
              <w:marBottom w:val="0"/>
              <w:divBdr>
                <w:top w:val="none" w:sz="0" w:space="0" w:color="auto"/>
                <w:left w:val="none" w:sz="0" w:space="0" w:color="auto"/>
                <w:bottom w:val="none" w:sz="0" w:space="0" w:color="auto"/>
                <w:right w:val="none" w:sz="0" w:space="0" w:color="auto"/>
              </w:divBdr>
            </w:div>
          </w:divsChild>
        </w:div>
        <w:div w:id="1001347517">
          <w:marLeft w:val="0"/>
          <w:marRight w:val="0"/>
          <w:marTop w:val="0"/>
          <w:marBottom w:val="0"/>
          <w:divBdr>
            <w:top w:val="none" w:sz="0" w:space="0" w:color="auto"/>
            <w:left w:val="none" w:sz="0" w:space="0" w:color="auto"/>
            <w:bottom w:val="none" w:sz="0" w:space="0" w:color="auto"/>
            <w:right w:val="none" w:sz="0" w:space="0" w:color="auto"/>
          </w:divBdr>
          <w:divsChild>
            <w:div w:id="292369330">
              <w:marLeft w:val="0"/>
              <w:marRight w:val="0"/>
              <w:marTop w:val="0"/>
              <w:marBottom w:val="0"/>
              <w:divBdr>
                <w:top w:val="none" w:sz="0" w:space="0" w:color="auto"/>
                <w:left w:val="none" w:sz="0" w:space="0" w:color="auto"/>
                <w:bottom w:val="none" w:sz="0" w:space="0" w:color="auto"/>
                <w:right w:val="none" w:sz="0" w:space="0" w:color="auto"/>
              </w:divBdr>
            </w:div>
          </w:divsChild>
        </w:div>
        <w:div w:id="1029333568">
          <w:marLeft w:val="0"/>
          <w:marRight w:val="0"/>
          <w:marTop w:val="0"/>
          <w:marBottom w:val="0"/>
          <w:divBdr>
            <w:top w:val="none" w:sz="0" w:space="0" w:color="auto"/>
            <w:left w:val="none" w:sz="0" w:space="0" w:color="auto"/>
            <w:bottom w:val="none" w:sz="0" w:space="0" w:color="auto"/>
            <w:right w:val="none" w:sz="0" w:space="0" w:color="auto"/>
          </w:divBdr>
          <w:divsChild>
            <w:div w:id="431779035">
              <w:marLeft w:val="0"/>
              <w:marRight w:val="0"/>
              <w:marTop w:val="0"/>
              <w:marBottom w:val="0"/>
              <w:divBdr>
                <w:top w:val="none" w:sz="0" w:space="0" w:color="auto"/>
                <w:left w:val="none" w:sz="0" w:space="0" w:color="auto"/>
                <w:bottom w:val="none" w:sz="0" w:space="0" w:color="auto"/>
                <w:right w:val="none" w:sz="0" w:space="0" w:color="auto"/>
              </w:divBdr>
            </w:div>
          </w:divsChild>
        </w:div>
        <w:div w:id="1030692194">
          <w:marLeft w:val="0"/>
          <w:marRight w:val="0"/>
          <w:marTop w:val="0"/>
          <w:marBottom w:val="0"/>
          <w:divBdr>
            <w:top w:val="none" w:sz="0" w:space="0" w:color="auto"/>
            <w:left w:val="none" w:sz="0" w:space="0" w:color="auto"/>
            <w:bottom w:val="none" w:sz="0" w:space="0" w:color="auto"/>
            <w:right w:val="none" w:sz="0" w:space="0" w:color="auto"/>
          </w:divBdr>
          <w:divsChild>
            <w:div w:id="1580672931">
              <w:marLeft w:val="0"/>
              <w:marRight w:val="0"/>
              <w:marTop w:val="0"/>
              <w:marBottom w:val="0"/>
              <w:divBdr>
                <w:top w:val="none" w:sz="0" w:space="0" w:color="auto"/>
                <w:left w:val="none" w:sz="0" w:space="0" w:color="auto"/>
                <w:bottom w:val="none" w:sz="0" w:space="0" w:color="auto"/>
                <w:right w:val="none" w:sz="0" w:space="0" w:color="auto"/>
              </w:divBdr>
            </w:div>
          </w:divsChild>
        </w:div>
        <w:div w:id="1060131663">
          <w:marLeft w:val="0"/>
          <w:marRight w:val="0"/>
          <w:marTop w:val="0"/>
          <w:marBottom w:val="0"/>
          <w:divBdr>
            <w:top w:val="none" w:sz="0" w:space="0" w:color="auto"/>
            <w:left w:val="none" w:sz="0" w:space="0" w:color="auto"/>
            <w:bottom w:val="none" w:sz="0" w:space="0" w:color="auto"/>
            <w:right w:val="none" w:sz="0" w:space="0" w:color="auto"/>
          </w:divBdr>
          <w:divsChild>
            <w:div w:id="343292230">
              <w:marLeft w:val="0"/>
              <w:marRight w:val="0"/>
              <w:marTop w:val="0"/>
              <w:marBottom w:val="0"/>
              <w:divBdr>
                <w:top w:val="none" w:sz="0" w:space="0" w:color="auto"/>
                <w:left w:val="none" w:sz="0" w:space="0" w:color="auto"/>
                <w:bottom w:val="none" w:sz="0" w:space="0" w:color="auto"/>
                <w:right w:val="none" w:sz="0" w:space="0" w:color="auto"/>
              </w:divBdr>
            </w:div>
          </w:divsChild>
        </w:div>
        <w:div w:id="1067191584">
          <w:marLeft w:val="0"/>
          <w:marRight w:val="0"/>
          <w:marTop w:val="0"/>
          <w:marBottom w:val="0"/>
          <w:divBdr>
            <w:top w:val="none" w:sz="0" w:space="0" w:color="auto"/>
            <w:left w:val="none" w:sz="0" w:space="0" w:color="auto"/>
            <w:bottom w:val="none" w:sz="0" w:space="0" w:color="auto"/>
            <w:right w:val="none" w:sz="0" w:space="0" w:color="auto"/>
          </w:divBdr>
          <w:divsChild>
            <w:div w:id="1539851761">
              <w:marLeft w:val="0"/>
              <w:marRight w:val="0"/>
              <w:marTop w:val="0"/>
              <w:marBottom w:val="0"/>
              <w:divBdr>
                <w:top w:val="none" w:sz="0" w:space="0" w:color="auto"/>
                <w:left w:val="none" w:sz="0" w:space="0" w:color="auto"/>
                <w:bottom w:val="none" w:sz="0" w:space="0" w:color="auto"/>
                <w:right w:val="none" w:sz="0" w:space="0" w:color="auto"/>
              </w:divBdr>
            </w:div>
          </w:divsChild>
        </w:div>
        <w:div w:id="1122916196">
          <w:marLeft w:val="0"/>
          <w:marRight w:val="0"/>
          <w:marTop w:val="0"/>
          <w:marBottom w:val="0"/>
          <w:divBdr>
            <w:top w:val="none" w:sz="0" w:space="0" w:color="auto"/>
            <w:left w:val="none" w:sz="0" w:space="0" w:color="auto"/>
            <w:bottom w:val="none" w:sz="0" w:space="0" w:color="auto"/>
            <w:right w:val="none" w:sz="0" w:space="0" w:color="auto"/>
          </w:divBdr>
          <w:divsChild>
            <w:div w:id="2108385753">
              <w:marLeft w:val="0"/>
              <w:marRight w:val="0"/>
              <w:marTop w:val="0"/>
              <w:marBottom w:val="0"/>
              <w:divBdr>
                <w:top w:val="none" w:sz="0" w:space="0" w:color="auto"/>
                <w:left w:val="none" w:sz="0" w:space="0" w:color="auto"/>
                <w:bottom w:val="none" w:sz="0" w:space="0" w:color="auto"/>
                <w:right w:val="none" w:sz="0" w:space="0" w:color="auto"/>
              </w:divBdr>
            </w:div>
          </w:divsChild>
        </w:div>
        <w:div w:id="1159612787">
          <w:marLeft w:val="0"/>
          <w:marRight w:val="0"/>
          <w:marTop w:val="0"/>
          <w:marBottom w:val="0"/>
          <w:divBdr>
            <w:top w:val="none" w:sz="0" w:space="0" w:color="auto"/>
            <w:left w:val="none" w:sz="0" w:space="0" w:color="auto"/>
            <w:bottom w:val="none" w:sz="0" w:space="0" w:color="auto"/>
            <w:right w:val="none" w:sz="0" w:space="0" w:color="auto"/>
          </w:divBdr>
          <w:divsChild>
            <w:div w:id="966004789">
              <w:marLeft w:val="0"/>
              <w:marRight w:val="0"/>
              <w:marTop w:val="0"/>
              <w:marBottom w:val="0"/>
              <w:divBdr>
                <w:top w:val="none" w:sz="0" w:space="0" w:color="auto"/>
                <w:left w:val="none" w:sz="0" w:space="0" w:color="auto"/>
                <w:bottom w:val="none" w:sz="0" w:space="0" w:color="auto"/>
                <w:right w:val="none" w:sz="0" w:space="0" w:color="auto"/>
              </w:divBdr>
            </w:div>
          </w:divsChild>
        </w:div>
        <w:div w:id="1249924779">
          <w:marLeft w:val="0"/>
          <w:marRight w:val="0"/>
          <w:marTop w:val="0"/>
          <w:marBottom w:val="0"/>
          <w:divBdr>
            <w:top w:val="none" w:sz="0" w:space="0" w:color="auto"/>
            <w:left w:val="none" w:sz="0" w:space="0" w:color="auto"/>
            <w:bottom w:val="none" w:sz="0" w:space="0" w:color="auto"/>
            <w:right w:val="none" w:sz="0" w:space="0" w:color="auto"/>
          </w:divBdr>
          <w:divsChild>
            <w:div w:id="1795442311">
              <w:marLeft w:val="0"/>
              <w:marRight w:val="0"/>
              <w:marTop w:val="0"/>
              <w:marBottom w:val="0"/>
              <w:divBdr>
                <w:top w:val="none" w:sz="0" w:space="0" w:color="auto"/>
                <w:left w:val="none" w:sz="0" w:space="0" w:color="auto"/>
                <w:bottom w:val="none" w:sz="0" w:space="0" w:color="auto"/>
                <w:right w:val="none" w:sz="0" w:space="0" w:color="auto"/>
              </w:divBdr>
            </w:div>
          </w:divsChild>
        </w:div>
        <w:div w:id="1264848429">
          <w:marLeft w:val="0"/>
          <w:marRight w:val="0"/>
          <w:marTop w:val="0"/>
          <w:marBottom w:val="0"/>
          <w:divBdr>
            <w:top w:val="none" w:sz="0" w:space="0" w:color="auto"/>
            <w:left w:val="none" w:sz="0" w:space="0" w:color="auto"/>
            <w:bottom w:val="none" w:sz="0" w:space="0" w:color="auto"/>
            <w:right w:val="none" w:sz="0" w:space="0" w:color="auto"/>
          </w:divBdr>
          <w:divsChild>
            <w:div w:id="765736796">
              <w:marLeft w:val="0"/>
              <w:marRight w:val="0"/>
              <w:marTop w:val="0"/>
              <w:marBottom w:val="0"/>
              <w:divBdr>
                <w:top w:val="none" w:sz="0" w:space="0" w:color="auto"/>
                <w:left w:val="none" w:sz="0" w:space="0" w:color="auto"/>
                <w:bottom w:val="none" w:sz="0" w:space="0" w:color="auto"/>
                <w:right w:val="none" w:sz="0" w:space="0" w:color="auto"/>
              </w:divBdr>
            </w:div>
          </w:divsChild>
        </w:div>
        <w:div w:id="1303190287">
          <w:marLeft w:val="0"/>
          <w:marRight w:val="0"/>
          <w:marTop w:val="0"/>
          <w:marBottom w:val="0"/>
          <w:divBdr>
            <w:top w:val="none" w:sz="0" w:space="0" w:color="auto"/>
            <w:left w:val="none" w:sz="0" w:space="0" w:color="auto"/>
            <w:bottom w:val="none" w:sz="0" w:space="0" w:color="auto"/>
            <w:right w:val="none" w:sz="0" w:space="0" w:color="auto"/>
          </w:divBdr>
          <w:divsChild>
            <w:div w:id="394353382">
              <w:marLeft w:val="0"/>
              <w:marRight w:val="0"/>
              <w:marTop w:val="0"/>
              <w:marBottom w:val="0"/>
              <w:divBdr>
                <w:top w:val="none" w:sz="0" w:space="0" w:color="auto"/>
                <w:left w:val="none" w:sz="0" w:space="0" w:color="auto"/>
                <w:bottom w:val="none" w:sz="0" w:space="0" w:color="auto"/>
                <w:right w:val="none" w:sz="0" w:space="0" w:color="auto"/>
              </w:divBdr>
            </w:div>
          </w:divsChild>
        </w:div>
        <w:div w:id="1324309351">
          <w:marLeft w:val="0"/>
          <w:marRight w:val="0"/>
          <w:marTop w:val="0"/>
          <w:marBottom w:val="0"/>
          <w:divBdr>
            <w:top w:val="none" w:sz="0" w:space="0" w:color="auto"/>
            <w:left w:val="none" w:sz="0" w:space="0" w:color="auto"/>
            <w:bottom w:val="none" w:sz="0" w:space="0" w:color="auto"/>
            <w:right w:val="none" w:sz="0" w:space="0" w:color="auto"/>
          </w:divBdr>
          <w:divsChild>
            <w:div w:id="435709761">
              <w:marLeft w:val="0"/>
              <w:marRight w:val="0"/>
              <w:marTop w:val="0"/>
              <w:marBottom w:val="0"/>
              <w:divBdr>
                <w:top w:val="none" w:sz="0" w:space="0" w:color="auto"/>
                <w:left w:val="none" w:sz="0" w:space="0" w:color="auto"/>
                <w:bottom w:val="none" w:sz="0" w:space="0" w:color="auto"/>
                <w:right w:val="none" w:sz="0" w:space="0" w:color="auto"/>
              </w:divBdr>
            </w:div>
          </w:divsChild>
        </w:div>
        <w:div w:id="1355495113">
          <w:marLeft w:val="0"/>
          <w:marRight w:val="0"/>
          <w:marTop w:val="0"/>
          <w:marBottom w:val="0"/>
          <w:divBdr>
            <w:top w:val="none" w:sz="0" w:space="0" w:color="auto"/>
            <w:left w:val="none" w:sz="0" w:space="0" w:color="auto"/>
            <w:bottom w:val="none" w:sz="0" w:space="0" w:color="auto"/>
            <w:right w:val="none" w:sz="0" w:space="0" w:color="auto"/>
          </w:divBdr>
          <w:divsChild>
            <w:div w:id="1461150192">
              <w:marLeft w:val="0"/>
              <w:marRight w:val="0"/>
              <w:marTop w:val="0"/>
              <w:marBottom w:val="0"/>
              <w:divBdr>
                <w:top w:val="none" w:sz="0" w:space="0" w:color="auto"/>
                <w:left w:val="none" w:sz="0" w:space="0" w:color="auto"/>
                <w:bottom w:val="none" w:sz="0" w:space="0" w:color="auto"/>
                <w:right w:val="none" w:sz="0" w:space="0" w:color="auto"/>
              </w:divBdr>
            </w:div>
          </w:divsChild>
        </w:div>
        <w:div w:id="1363941830">
          <w:marLeft w:val="0"/>
          <w:marRight w:val="0"/>
          <w:marTop w:val="0"/>
          <w:marBottom w:val="0"/>
          <w:divBdr>
            <w:top w:val="none" w:sz="0" w:space="0" w:color="auto"/>
            <w:left w:val="none" w:sz="0" w:space="0" w:color="auto"/>
            <w:bottom w:val="none" w:sz="0" w:space="0" w:color="auto"/>
            <w:right w:val="none" w:sz="0" w:space="0" w:color="auto"/>
          </w:divBdr>
          <w:divsChild>
            <w:div w:id="1415711310">
              <w:marLeft w:val="0"/>
              <w:marRight w:val="0"/>
              <w:marTop w:val="0"/>
              <w:marBottom w:val="0"/>
              <w:divBdr>
                <w:top w:val="none" w:sz="0" w:space="0" w:color="auto"/>
                <w:left w:val="none" w:sz="0" w:space="0" w:color="auto"/>
                <w:bottom w:val="none" w:sz="0" w:space="0" w:color="auto"/>
                <w:right w:val="none" w:sz="0" w:space="0" w:color="auto"/>
              </w:divBdr>
            </w:div>
          </w:divsChild>
        </w:div>
        <w:div w:id="1380979167">
          <w:marLeft w:val="0"/>
          <w:marRight w:val="0"/>
          <w:marTop w:val="0"/>
          <w:marBottom w:val="0"/>
          <w:divBdr>
            <w:top w:val="none" w:sz="0" w:space="0" w:color="auto"/>
            <w:left w:val="none" w:sz="0" w:space="0" w:color="auto"/>
            <w:bottom w:val="none" w:sz="0" w:space="0" w:color="auto"/>
            <w:right w:val="none" w:sz="0" w:space="0" w:color="auto"/>
          </w:divBdr>
          <w:divsChild>
            <w:div w:id="1738237467">
              <w:marLeft w:val="0"/>
              <w:marRight w:val="0"/>
              <w:marTop w:val="0"/>
              <w:marBottom w:val="0"/>
              <w:divBdr>
                <w:top w:val="none" w:sz="0" w:space="0" w:color="auto"/>
                <w:left w:val="none" w:sz="0" w:space="0" w:color="auto"/>
                <w:bottom w:val="none" w:sz="0" w:space="0" w:color="auto"/>
                <w:right w:val="none" w:sz="0" w:space="0" w:color="auto"/>
              </w:divBdr>
            </w:div>
          </w:divsChild>
        </w:div>
        <w:div w:id="1390495623">
          <w:marLeft w:val="0"/>
          <w:marRight w:val="0"/>
          <w:marTop w:val="0"/>
          <w:marBottom w:val="0"/>
          <w:divBdr>
            <w:top w:val="none" w:sz="0" w:space="0" w:color="auto"/>
            <w:left w:val="none" w:sz="0" w:space="0" w:color="auto"/>
            <w:bottom w:val="none" w:sz="0" w:space="0" w:color="auto"/>
            <w:right w:val="none" w:sz="0" w:space="0" w:color="auto"/>
          </w:divBdr>
          <w:divsChild>
            <w:div w:id="1221818779">
              <w:marLeft w:val="0"/>
              <w:marRight w:val="0"/>
              <w:marTop w:val="0"/>
              <w:marBottom w:val="0"/>
              <w:divBdr>
                <w:top w:val="none" w:sz="0" w:space="0" w:color="auto"/>
                <w:left w:val="none" w:sz="0" w:space="0" w:color="auto"/>
                <w:bottom w:val="none" w:sz="0" w:space="0" w:color="auto"/>
                <w:right w:val="none" w:sz="0" w:space="0" w:color="auto"/>
              </w:divBdr>
            </w:div>
          </w:divsChild>
        </w:div>
        <w:div w:id="1430736505">
          <w:marLeft w:val="0"/>
          <w:marRight w:val="0"/>
          <w:marTop w:val="0"/>
          <w:marBottom w:val="0"/>
          <w:divBdr>
            <w:top w:val="none" w:sz="0" w:space="0" w:color="auto"/>
            <w:left w:val="none" w:sz="0" w:space="0" w:color="auto"/>
            <w:bottom w:val="none" w:sz="0" w:space="0" w:color="auto"/>
            <w:right w:val="none" w:sz="0" w:space="0" w:color="auto"/>
          </w:divBdr>
          <w:divsChild>
            <w:div w:id="1696299809">
              <w:marLeft w:val="0"/>
              <w:marRight w:val="0"/>
              <w:marTop w:val="0"/>
              <w:marBottom w:val="0"/>
              <w:divBdr>
                <w:top w:val="none" w:sz="0" w:space="0" w:color="auto"/>
                <w:left w:val="none" w:sz="0" w:space="0" w:color="auto"/>
                <w:bottom w:val="none" w:sz="0" w:space="0" w:color="auto"/>
                <w:right w:val="none" w:sz="0" w:space="0" w:color="auto"/>
              </w:divBdr>
            </w:div>
          </w:divsChild>
        </w:div>
        <w:div w:id="1476263976">
          <w:marLeft w:val="0"/>
          <w:marRight w:val="0"/>
          <w:marTop w:val="0"/>
          <w:marBottom w:val="0"/>
          <w:divBdr>
            <w:top w:val="none" w:sz="0" w:space="0" w:color="auto"/>
            <w:left w:val="none" w:sz="0" w:space="0" w:color="auto"/>
            <w:bottom w:val="none" w:sz="0" w:space="0" w:color="auto"/>
            <w:right w:val="none" w:sz="0" w:space="0" w:color="auto"/>
          </w:divBdr>
          <w:divsChild>
            <w:div w:id="720326293">
              <w:marLeft w:val="0"/>
              <w:marRight w:val="0"/>
              <w:marTop w:val="0"/>
              <w:marBottom w:val="0"/>
              <w:divBdr>
                <w:top w:val="none" w:sz="0" w:space="0" w:color="auto"/>
                <w:left w:val="none" w:sz="0" w:space="0" w:color="auto"/>
                <w:bottom w:val="none" w:sz="0" w:space="0" w:color="auto"/>
                <w:right w:val="none" w:sz="0" w:space="0" w:color="auto"/>
              </w:divBdr>
            </w:div>
          </w:divsChild>
        </w:div>
        <w:div w:id="1505779760">
          <w:marLeft w:val="0"/>
          <w:marRight w:val="0"/>
          <w:marTop w:val="0"/>
          <w:marBottom w:val="0"/>
          <w:divBdr>
            <w:top w:val="none" w:sz="0" w:space="0" w:color="auto"/>
            <w:left w:val="none" w:sz="0" w:space="0" w:color="auto"/>
            <w:bottom w:val="none" w:sz="0" w:space="0" w:color="auto"/>
            <w:right w:val="none" w:sz="0" w:space="0" w:color="auto"/>
          </w:divBdr>
          <w:divsChild>
            <w:div w:id="637609752">
              <w:marLeft w:val="0"/>
              <w:marRight w:val="0"/>
              <w:marTop w:val="0"/>
              <w:marBottom w:val="0"/>
              <w:divBdr>
                <w:top w:val="none" w:sz="0" w:space="0" w:color="auto"/>
                <w:left w:val="none" w:sz="0" w:space="0" w:color="auto"/>
                <w:bottom w:val="none" w:sz="0" w:space="0" w:color="auto"/>
                <w:right w:val="none" w:sz="0" w:space="0" w:color="auto"/>
              </w:divBdr>
            </w:div>
          </w:divsChild>
        </w:div>
        <w:div w:id="1510170050">
          <w:marLeft w:val="0"/>
          <w:marRight w:val="0"/>
          <w:marTop w:val="0"/>
          <w:marBottom w:val="0"/>
          <w:divBdr>
            <w:top w:val="none" w:sz="0" w:space="0" w:color="auto"/>
            <w:left w:val="none" w:sz="0" w:space="0" w:color="auto"/>
            <w:bottom w:val="none" w:sz="0" w:space="0" w:color="auto"/>
            <w:right w:val="none" w:sz="0" w:space="0" w:color="auto"/>
          </w:divBdr>
          <w:divsChild>
            <w:div w:id="1262494424">
              <w:marLeft w:val="0"/>
              <w:marRight w:val="0"/>
              <w:marTop w:val="0"/>
              <w:marBottom w:val="0"/>
              <w:divBdr>
                <w:top w:val="none" w:sz="0" w:space="0" w:color="auto"/>
                <w:left w:val="none" w:sz="0" w:space="0" w:color="auto"/>
                <w:bottom w:val="none" w:sz="0" w:space="0" w:color="auto"/>
                <w:right w:val="none" w:sz="0" w:space="0" w:color="auto"/>
              </w:divBdr>
            </w:div>
          </w:divsChild>
        </w:div>
        <w:div w:id="1520966881">
          <w:marLeft w:val="0"/>
          <w:marRight w:val="0"/>
          <w:marTop w:val="0"/>
          <w:marBottom w:val="0"/>
          <w:divBdr>
            <w:top w:val="none" w:sz="0" w:space="0" w:color="auto"/>
            <w:left w:val="none" w:sz="0" w:space="0" w:color="auto"/>
            <w:bottom w:val="none" w:sz="0" w:space="0" w:color="auto"/>
            <w:right w:val="none" w:sz="0" w:space="0" w:color="auto"/>
          </w:divBdr>
          <w:divsChild>
            <w:div w:id="1246181792">
              <w:marLeft w:val="0"/>
              <w:marRight w:val="0"/>
              <w:marTop w:val="0"/>
              <w:marBottom w:val="0"/>
              <w:divBdr>
                <w:top w:val="none" w:sz="0" w:space="0" w:color="auto"/>
                <w:left w:val="none" w:sz="0" w:space="0" w:color="auto"/>
                <w:bottom w:val="none" w:sz="0" w:space="0" w:color="auto"/>
                <w:right w:val="none" w:sz="0" w:space="0" w:color="auto"/>
              </w:divBdr>
            </w:div>
          </w:divsChild>
        </w:div>
        <w:div w:id="1523937873">
          <w:marLeft w:val="0"/>
          <w:marRight w:val="0"/>
          <w:marTop w:val="0"/>
          <w:marBottom w:val="0"/>
          <w:divBdr>
            <w:top w:val="none" w:sz="0" w:space="0" w:color="auto"/>
            <w:left w:val="none" w:sz="0" w:space="0" w:color="auto"/>
            <w:bottom w:val="none" w:sz="0" w:space="0" w:color="auto"/>
            <w:right w:val="none" w:sz="0" w:space="0" w:color="auto"/>
          </w:divBdr>
          <w:divsChild>
            <w:div w:id="1387608791">
              <w:marLeft w:val="0"/>
              <w:marRight w:val="0"/>
              <w:marTop w:val="0"/>
              <w:marBottom w:val="0"/>
              <w:divBdr>
                <w:top w:val="none" w:sz="0" w:space="0" w:color="auto"/>
                <w:left w:val="none" w:sz="0" w:space="0" w:color="auto"/>
                <w:bottom w:val="none" w:sz="0" w:space="0" w:color="auto"/>
                <w:right w:val="none" w:sz="0" w:space="0" w:color="auto"/>
              </w:divBdr>
            </w:div>
          </w:divsChild>
        </w:div>
        <w:div w:id="1547907345">
          <w:marLeft w:val="0"/>
          <w:marRight w:val="0"/>
          <w:marTop w:val="0"/>
          <w:marBottom w:val="0"/>
          <w:divBdr>
            <w:top w:val="none" w:sz="0" w:space="0" w:color="auto"/>
            <w:left w:val="none" w:sz="0" w:space="0" w:color="auto"/>
            <w:bottom w:val="none" w:sz="0" w:space="0" w:color="auto"/>
            <w:right w:val="none" w:sz="0" w:space="0" w:color="auto"/>
          </w:divBdr>
          <w:divsChild>
            <w:div w:id="428430414">
              <w:marLeft w:val="0"/>
              <w:marRight w:val="0"/>
              <w:marTop w:val="0"/>
              <w:marBottom w:val="0"/>
              <w:divBdr>
                <w:top w:val="none" w:sz="0" w:space="0" w:color="auto"/>
                <w:left w:val="none" w:sz="0" w:space="0" w:color="auto"/>
                <w:bottom w:val="none" w:sz="0" w:space="0" w:color="auto"/>
                <w:right w:val="none" w:sz="0" w:space="0" w:color="auto"/>
              </w:divBdr>
            </w:div>
          </w:divsChild>
        </w:div>
        <w:div w:id="1548371398">
          <w:marLeft w:val="0"/>
          <w:marRight w:val="0"/>
          <w:marTop w:val="0"/>
          <w:marBottom w:val="0"/>
          <w:divBdr>
            <w:top w:val="none" w:sz="0" w:space="0" w:color="auto"/>
            <w:left w:val="none" w:sz="0" w:space="0" w:color="auto"/>
            <w:bottom w:val="none" w:sz="0" w:space="0" w:color="auto"/>
            <w:right w:val="none" w:sz="0" w:space="0" w:color="auto"/>
          </w:divBdr>
          <w:divsChild>
            <w:div w:id="1933933853">
              <w:marLeft w:val="0"/>
              <w:marRight w:val="0"/>
              <w:marTop w:val="0"/>
              <w:marBottom w:val="0"/>
              <w:divBdr>
                <w:top w:val="none" w:sz="0" w:space="0" w:color="auto"/>
                <w:left w:val="none" w:sz="0" w:space="0" w:color="auto"/>
                <w:bottom w:val="none" w:sz="0" w:space="0" w:color="auto"/>
                <w:right w:val="none" w:sz="0" w:space="0" w:color="auto"/>
              </w:divBdr>
            </w:div>
          </w:divsChild>
        </w:div>
        <w:div w:id="1571649546">
          <w:marLeft w:val="0"/>
          <w:marRight w:val="0"/>
          <w:marTop w:val="0"/>
          <w:marBottom w:val="0"/>
          <w:divBdr>
            <w:top w:val="none" w:sz="0" w:space="0" w:color="auto"/>
            <w:left w:val="none" w:sz="0" w:space="0" w:color="auto"/>
            <w:bottom w:val="none" w:sz="0" w:space="0" w:color="auto"/>
            <w:right w:val="none" w:sz="0" w:space="0" w:color="auto"/>
          </w:divBdr>
          <w:divsChild>
            <w:div w:id="1583833277">
              <w:marLeft w:val="0"/>
              <w:marRight w:val="0"/>
              <w:marTop w:val="0"/>
              <w:marBottom w:val="0"/>
              <w:divBdr>
                <w:top w:val="none" w:sz="0" w:space="0" w:color="auto"/>
                <w:left w:val="none" w:sz="0" w:space="0" w:color="auto"/>
                <w:bottom w:val="none" w:sz="0" w:space="0" w:color="auto"/>
                <w:right w:val="none" w:sz="0" w:space="0" w:color="auto"/>
              </w:divBdr>
            </w:div>
          </w:divsChild>
        </w:div>
        <w:div w:id="1592811719">
          <w:marLeft w:val="0"/>
          <w:marRight w:val="0"/>
          <w:marTop w:val="0"/>
          <w:marBottom w:val="0"/>
          <w:divBdr>
            <w:top w:val="none" w:sz="0" w:space="0" w:color="auto"/>
            <w:left w:val="none" w:sz="0" w:space="0" w:color="auto"/>
            <w:bottom w:val="none" w:sz="0" w:space="0" w:color="auto"/>
            <w:right w:val="none" w:sz="0" w:space="0" w:color="auto"/>
          </w:divBdr>
          <w:divsChild>
            <w:div w:id="5912355">
              <w:marLeft w:val="0"/>
              <w:marRight w:val="0"/>
              <w:marTop w:val="0"/>
              <w:marBottom w:val="0"/>
              <w:divBdr>
                <w:top w:val="none" w:sz="0" w:space="0" w:color="auto"/>
                <w:left w:val="none" w:sz="0" w:space="0" w:color="auto"/>
                <w:bottom w:val="none" w:sz="0" w:space="0" w:color="auto"/>
                <w:right w:val="none" w:sz="0" w:space="0" w:color="auto"/>
              </w:divBdr>
            </w:div>
          </w:divsChild>
        </w:div>
        <w:div w:id="1606765942">
          <w:marLeft w:val="0"/>
          <w:marRight w:val="0"/>
          <w:marTop w:val="0"/>
          <w:marBottom w:val="0"/>
          <w:divBdr>
            <w:top w:val="none" w:sz="0" w:space="0" w:color="auto"/>
            <w:left w:val="none" w:sz="0" w:space="0" w:color="auto"/>
            <w:bottom w:val="none" w:sz="0" w:space="0" w:color="auto"/>
            <w:right w:val="none" w:sz="0" w:space="0" w:color="auto"/>
          </w:divBdr>
          <w:divsChild>
            <w:div w:id="591016789">
              <w:marLeft w:val="0"/>
              <w:marRight w:val="0"/>
              <w:marTop w:val="0"/>
              <w:marBottom w:val="0"/>
              <w:divBdr>
                <w:top w:val="none" w:sz="0" w:space="0" w:color="auto"/>
                <w:left w:val="none" w:sz="0" w:space="0" w:color="auto"/>
                <w:bottom w:val="none" w:sz="0" w:space="0" w:color="auto"/>
                <w:right w:val="none" w:sz="0" w:space="0" w:color="auto"/>
              </w:divBdr>
            </w:div>
          </w:divsChild>
        </w:div>
        <w:div w:id="1659531156">
          <w:marLeft w:val="0"/>
          <w:marRight w:val="0"/>
          <w:marTop w:val="0"/>
          <w:marBottom w:val="0"/>
          <w:divBdr>
            <w:top w:val="none" w:sz="0" w:space="0" w:color="auto"/>
            <w:left w:val="none" w:sz="0" w:space="0" w:color="auto"/>
            <w:bottom w:val="none" w:sz="0" w:space="0" w:color="auto"/>
            <w:right w:val="none" w:sz="0" w:space="0" w:color="auto"/>
          </w:divBdr>
          <w:divsChild>
            <w:div w:id="287245665">
              <w:marLeft w:val="0"/>
              <w:marRight w:val="0"/>
              <w:marTop w:val="0"/>
              <w:marBottom w:val="0"/>
              <w:divBdr>
                <w:top w:val="none" w:sz="0" w:space="0" w:color="auto"/>
                <w:left w:val="none" w:sz="0" w:space="0" w:color="auto"/>
                <w:bottom w:val="none" w:sz="0" w:space="0" w:color="auto"/>
                <w:right w:val="none" w:sz="0" w:space="0" w:color="auto"/>
              </w:divBdr>
            </w:div>
          </w:divsChild>
        </w:div>
        <w:div w:id="1663119836">
          <w:marLeft w:val="0"/>
          <w:marRight w:val="0"/>
          <w:marTop w:val="0"/>
          <w:marBottom w:val="0"/>
          <w:divBdr>
            <w:top w:val="none" w:sz="0" w:space="0" w:color="auto"/>
            <w:left w:val="none" w:sz="0" w:space="0" w:color="auto"/>
            <w:bottom w:val="none" w:sz="0" w:space="0" w:color="auto"/>
            <w:right w:val="none" w:sz="0" w:space="0" w:color="auto"/>
          </w:divBdr>
          <w:divsChild>
            <w:div w:id="664094834">
              <w:marLeft w:val="0"/>
              <w:marRight w:val="0"/>
              <w:marTop w:val="0"/>
              <w:marBottom w:val="0"/>
              <w:divBdr>
                <w:top w:val="none" w:sz="0" w:space="0" w:color="auto"/>
                <w:left w:val="none" w:sz="0" w:space="0" w:color="auto"/>
                <w:bottom w:val="none" w:sz="0" w:space="0" w:color="auto"/>
                <w:right w:val="none" w:sz="0" w:space="0" w:color="auto"/>
              </w:divBdr>
            </w:div>
          </w:divsChild>
        </w:div>
        <w:div w:id="1684237787">
          <w:marLeft w:val="0"/>
          <w:marRight w:val="0"/>
          <w:marTop w:val="0"/>
          <w:marBottom w:val="0"/>
          <w:divBdr>
            <w:top w:val="none" w:sz="0" w:space="0" w:color="auto"/>
            <w:left w:val="none" w:sz="0" w:space="0" w:color="auto"/>
            <w:bottom w:val="none" w:sz="0" w:space="0" w:color="auto"/>
            <w:right w:val="none" w:sz="0" w:space="0" w:color="auto"/>
          </w:divBdr>
          <w:divsChild>
            <w:div w:id="171377884">
              <w:marLeft w:val="0"/>
              <w:marRight w:val="0"/>
              <w:marTop w:val="0"/>
              <w:marBottom w:val="0"/>
              <w:divBdr>
                <w:top w:val="none" w:sz="0" w:space="0" w:color="auto"/>
                <w:left w:val="none" w:sz="0" w:space="0" w:color="auto"/>
                <w:bottom w:val="none" w:sz="0" w:space="0" w:color="auto"/>
                <w:right w:val="none" w:sz="0" w:space="0" w:color="auto"/>
              </w:divBdr>
            </w:div>
          </w:divsChild>
        </w:div>
        <w:div w:id="1734692706">
          <w:marLeft w:val="0"/>
          <w:marRight w:val="0"/>
          <w:marTop w:val="0"/>
          <w:marBottom w:val="0"/>
          <w:divBdr>
            <w:top w:val="none" w:sz="0" w:space="0" w:color="auto"/>
            <w:left w:val="none" w:sz="0" w:space="0" w:color="auto"/>
            <w:bottom w:val="none" w:sz="0" w:space="0" w:color="auto"/>
            <w:right w:val="none" w:sz="0" w:space="0" w:color="auto"/>
          </w:divBdr>
          <w:divsChild>
            <w:div w:id="764763449">
              <w:marLeft w:val="0"/>
              <w:marRight w:val="0"/>
              <w:marTop w:val="0"/>
              <w:marBottom w:val="0"/>
              <w:divBdr>
                <w:top w:val="none" w:sz="0" w:space="0" w:color="auto"/>
                <w:left w:val="none" w:sz="0" w:space="0" w:color="auto"/>
                <w:bottom w:val="none" w:sz="0" w:space="0" w:color="auto"/>
                <w:right w:val="none" w:sz="0" w:space="0" w:color="auto"/>
              </w:divBdr>
            </w:div>
          </w:divsChild>
        </w:div>
        <w:div w:id="1758939053">
          <w:marLeft w:val="0"/>
          <w:marRight w:val="0"/>
          <w:marTop w:val="0"/>
          <w:marBottom w:val="0"/>
          <w:divBdr>
            <w:top w:val="none" w:sz="0" w:space="0" w:color="auto"/>
            <w:left w:val="none" w:sz="0" w:space="0" w:color="auto"/>
            <w:bottom w:val="none" w:sz="0" w:space="0" w:color="auto"/>
            <w:right w:val="none" w:sz="0" w:space="0" w:color="auto"/>
          </w:divBdr>
          <w:divsChild>
            <w:div w:id="406534604">
              <w:marLeft w:val="0"/>
              <w:marRight w:val="0"/>
              <w:marTop w:val="0"/>
              <w:marBottom w:val="0"/>
              <w:divBdr>
                <w:top w:val="none" w:sz="0" w:space="0" w:color="auto"/>
                <w:left w:val="none" w:sz="0" w:space="0" w:color="auto"/>
                <w:bottom w:val="none" w:sz="0" w:space="0" w:color="auto"/>
                <w:right w:val="none" w:sz="0" w:space="0" w:color="auto"/>
              </w:divBdr>
            </w:div>
          </w:divsChild>
        </w:div>
        <w:div w:id="1761027670">
          <w:marLeft w:val="0"/>
          <w:marRight w:val="0"/>
          <w:marTop w:val="0"/>
          <w:marBottom w:val="0"/>
          <w:divBdr>
            <w:top w:val="none" w:sz="0" w:space="0" w:color="auto"/>
            <w:left w:val="none" w:sz="0" w:space="0" w:color="auto"/>
            <w:bottom w:val="none" w:sz="0" w:space="0" w:color="auto"/>
            <w:right w:val="none" w:sz="0" w:space="0" w:color="auto"/>
          </w:divBdr>
          <w:divsChild>
            <w:div w:id="699629429">
              <w:marLeft w:val="0"/>
              <w:marRight w:val="0"/>
              <w:marTop w:val="0"/>
              <w:marBottom w:val="0"/>
              <w:divBdr>
                <w:top w:val="none" w:sz="0" w:space="0" w:color="auto"/>
                <w:left w:val="none" w:sz="0" w:space="0" w:color="auto"/>
                <w:bottom w:val="none" w:sz="0" w:space="0" w:color="auto"/>
                <w:right w:val="none" w:sz="0" w:space="0" w:color="auto"/>
              </w:divBdr>
            </w:div>
          </w:divsChild>
        </w:div>
        <w:div w:id="1761559272">
          <w:marLeft w:val="0"/>
          <w:marRight w:val="0"/>
          <w:marTop w:val="0"/>
          <w:marBottom w:val="0"/>
          <w:divBdr>
            <w:top w:val="none" w:sz="0" w:space="0" w:color="auto"/>
            <w:left w:val="none" w:sz="0" w:space="0" w:color="auto"/>
            <w:bottom w:val="none" w:sz="0" w:space="0" w:color="auto"/>
            <w:right w:val="none" w:sz="0" w:space="0" w:color="auto"/>
          </w:divBdr>
          <w:divsChild>
            <w:div w:id="517042997">
              <w:marLeft w:val="0"/>
              <w:marRight w:val="0"/>
              <w:marTop w:val="0"/>
              <w:marBottom w:val="0"/>
              <w:divBdr>
                <w:top w:val="none" w:sz="0" w:space="0" w:color="auto"/>
                <w:left w:val="none" w:sz="0" w:space="0" w:color="auto"/>
                <w:bottom w:val="none" w:sz="0" w:space="0" w:color="auto"/>
                <w:right w:val="none" w:sz="0" w:space="0" w:color="auto"/>
              </w:divBdr>
            </w:div>
          </w:divsChild>
        </w:div>
        <w:div w:id="1797092986">
          <w:marLeft w:val="0"/>
          <w:marRight w:val="0"/>
          <w:marTop w:val="0"/>
          <w:marBottom w:val="0"/>
          <w:divBdr>
            <w:top w:val="none" w:sz="0" w:space="0" w:color="auto"/>
            <w:left w:val="none" w:sz="0" w:space="0" w:color="auto"/>
            <w:bottom w:val="none" w:sz="0" w:space="0" w:color="auto"/>
            <w:right w:val="none" w:sz="0" w:space="0" w:color="auto"/>
          </w:divBdr>
          <w:divsChild>
            <w:div w:id="469634458">
              <w:marLeft w:val="0"/>
              <w:marRight w:val="0"/>
              <w:marTop w:val="0"/>
              <w:marBottom w:val="0"/>
              <w:divBdr>
                <w:top w:val="none" w:sz="0" w:space="0" w:color="auto"/>
                <w:left w:val="none" w:sz="0" w:space="0" w:color="auto"/>
                <w:bottom w:val="none" w:sz="0" w:space="0" w:color="auto"/>
                <w:right w:val="none" w:sz="0" w:space="0" w:color="auto"/>
              </w:divBdr>
            </w:div>
          </w:divsChild>
        </w:div>
        <w:div w:id="1819682746">
          <w:marLeft w:val="0"/>
          <w:marRight w:val="0"/>
          <w:marTop w:val="0"/>
          <w:marBottom w:val="0"/>
          <w:divBdr>
            <w:top w:val="none" w:sz="0" w:space="0" w:color="auto"/>
            <w:left w:val="none" w:sz="0" w:space="0" w:color="auto"/>
            <w:bottom w:val="none" w:sz="0" w:space="0" w:color="auto"/>
            <w:right w:val="none" w:sz="0" w:space="0" w:color="auto"/>
          </w:divBdr>
          <w:divsChild>
            <w:div w:id="1190221976">
              <w:marLeft w:val="0"/>
              <w:marRight w:val="0"/>
              <w:marTop w:val="0"/>
              <w:marBottom w:val="0"/>
              <w:divBdr>
                <w:top w:val="none" w:sz="0" w:space="0" w:color="auto"/>
                <w:left w:val="none" w:sz="0" w:space="0" w:color="auto"/>
                <w:bottom w:val="none" w:sz="0" w:space="0" w:color="auto"/>
                <w:right w:val="none" w:sz="0" w:space="0" w:color="auto"/>
              </w:divBdr>
            </w:div>
          </w:divsChild>
        </w:div>
        <w:div w:id="1848665624">
          <w:marLeft w:val="0"/>
          <w:marRight w:val="0"/>
          <w:marTop w:val="0"/>
          <w:marBottom w:val="0"/>
          <w:divBdr>
            <w:top w:val="none" w:sz="0" w:space="0" w:color="auto"/>
            <w:left w:val="none" w:sz="0" w:space="0" w:color="auto"/>
            <w:bottom w:val="none" w:sz="0" w:space="0" w:color="auto"/>
            <w:right w:val="none" w:sz="0" w:space="0" w:color="auto"/>
          </w:divBdr>
          <w:divsChild>
            <w:div w:id="1733693594">
              <w:marLeft w:val="0"/>
              <w:marRight w:val="0"/>
              <w:marTop w:val="0"/>
              <w:marBottom w:val="0"/>
              <w:divBdr>
                <w:top w:val="none" w:sz="0" w:space="0" w:color="auto"/>
                <w:left w:val="none" w:sz="0" w:space="0" w:color="auto"/>
                <w:bottom w:val="none" w:sz="0" w:space="0" w:color="auto"/>
                <w:right w:val="none" w:sz="0" w:space="0" w:color="auto"/>
              </w:divBdr>
            </w:div>
          </w:divsChild>
        </w:div>
        <w:div w:id="1859269680">
          <w:marLeft w:val="0"/>
          <w:marRight w:val="0"/>
          <w:marTop w:val="0"/>
          <w:marBottom w:val="0"/>
          <w:divBdr>
            <w:top w:val="none" w:sz="0" w:space="0" w:color="auto"/>
            <w:left w:val="none" w:sz="0" w:space="0" w:color="auto"/>
            <w:bottom w:val="none" w:sz="0" w:space="0" w:color="auto"/>
            <w:right w:val="none" w:sz="0" w:space="0" w:color="auto"/>
          </w:divBdr>
          <w:divsChild>
            <w:div w:id="248584123">
              <w:marLeft w:val="0"/>
              <w:marRight w:val="0"/>
              <w:marTop w:val="0"/>
              <w:marBottom w:val="0"/>
              <w:divBdr>
                <w:top w:val="none" w:sz="0" w:space="0" w:color="auto"/>
                <w:left w:val="none" w:sz="0" w:space="0" w:color="auto"/>
                <w:bottom w:val="none" w:sz="0" w:space="0" w:color="auto"/>
                <w:right w:val="none" w:sz="0" w:space="0" w:color="auto"/>
              </w:divBdr>
            </w:div>
          </w:divsChild>
        </w:div>
        <w:div w:id="1900284048">
          <w:marLeft w:val="0"/>
          <w:marRight w:val="0"/>
          <w:marTop w:val="0"/>
          <w:marBottom w:val="0"/>
          <w:divBdr>
            <w:top w:val="none" w:sz="0" w:space="0" w:color="auto"/>
            <w:left w:val="none" w:sz="0" w:space="0" w:color="auto"/>
            <w:bottom w:val="none" w:sz="0" w:space="0" w:color="auto"/>
            <w:right w:val="none" w:sz="0" w:space="0" w:color="auto"/>
          </w:divBdr>
          <w:divsChild>
            <w:div w:id="1283686348">
              <w:marLeft w:val="0"/>
              <w:marRight w:val="0"/>
              <w:marTop w:val="0"/>
              <w:marBottom w:val="0"/>
              <w:divBdr>
                <w:top w:val="none" w:sz="0" w:space="0" w:color="auto"/>
                <w:left w:val="none" w:sz="0" w:space="0" w:color="auto"/>
                <w:bottom w:val="none" w:sz="0" w:space="0" w:color="auto"/>
                <w:right w:val="none" w:sz="0" w:space="0" w:color="auto"/>
              </w:divBdr>
            </w:div>
          </w:divsChild>
        </w:div>
        <w:div w:id="1924872549">
          <w:marLeft w:val="0"/>
          <w:marRight w:val="0"/>
          <w:marTop w:val="0"/>
          <w:marBottom w:val="0"/>
          <w:divBdr>
            <w:top w:val="none" w:sz="0" w:space="0" w:color="auto"/>
            <w:left w:val="none" w:sz="0" w:space="0" w:color="auto"/>
            <w:bottom w:val="none" w:sz="0" w:space="0" w:color="auto"/>
            <w:right w:val="none" w:sz="0" w:space="0" w:color="auto"/>
          </w:divBdr>
          <w:divsChild>
            <w:div w:id="238488006">
              <w:marLeft w:val="0"/>
              <w:marRight w:val="0"/>
              <w:marTop w:val="0"/>
              <w:marBottom w:val="0"/>
              <w:divBdr>
                <w:top w:val="none" w:sz="0" w:space="0" w:color="auto"/>
                <w:left w:val="none" w:sz="0" w:space="0" w:color="auto"/>
                <w:bottom w:val="none" w:sz="0" w:space="0" w:color="auto"/>
                <w:right w:val="none" w:sz="0" w:space="0" w:color="auto"/>
              </w:divBdr>
            </w:div>
          </w:divsChild>
        </w:div>
        <w:div w:id="1941451299">
          <w:marLeft w:val="0"/>
          <w:marRight w:val="0"/>
          <w:marTop w:val="0"/>
          <w:marBottom w:val="0"/>
          <w:divBdr>
            <w:top w:val="none" w:sz="0" w:space="0" w:color="auto"/>
            <w:left w:val="none" w:sz="0" w:space="0" w:color="auto"/>
            <w:bottom w:val="none" w:sz="0" w:space="0" w:color="auto"/>
            <w:right w:val="none" w:sz="0" w:space="0" w:color="auto"/>
          </w:divBdr>
          <w:divsChild>
            <w:div w:id="823545451">
              <w:marLeft w:val="0"/>
              <w:marRight w:val="0"/>
              <w:marTop w:val="0"/>
              <w:marBottom w:val="0"/>
              <w:divBdr>
                <w:top w:val="none" w:sz="0" w:space="0" w:color="auto"/>
                <w:left w:val="none" w:sz="0" w:space="0" w:color="auto"/>
                <w:bottom w:val="none" w:sz="0" w:space="0" w:color="auto"/>
                <w:right w:val="none" w:sz="0" w:space="0" w:color="auto"/>
              </w:divBdr>
            </w:div>
          </w:divsChild>
        </w:div>
        <w:div w:id="2004815924">
          <w:marLeft w:val="0"/>
          <w:marRight w:val="0"/>
          <w:marTop w:val="0"/>
          <w:marBottom w:val="0"/>
          <w:divBdr>
            <w:top w:val="none" w:sz="0" w:space="0" w:color="auto"/>
            <w:left w:val="none" w:sz="0" w:space="0" w:color="auto"/>
            <w:bottom w:val="none" w:sz="0" w:space="0" w:color="auto"/>
            <w:right w:val="none" w:sz="0" w:space="0" w:color="auto"/>
          </w:divBdr>
          <w:divsChild>
            <w:div w:id="195772547">
              <w:marLeft w:val="0"/>
              <w:marRight w:val="0"/>
              <w:marTop w:val="0"/>
              <w:marBottom w:val="0"/>
              <w:divBdr>
                <w:top w:val="none" w:sz="0" w:space="0" w:color="auto"/>
                <w:left w:val="none" w:sz="0" w:space="0" w:color="auto"/>
                <w:bottom w:val="none" w:sz="0" w:space="0" w:color="auto"/>
                <w:right w:val="none" w:sz="0" w:space="0" w:color="auto"/>
              </w:divBdr>
            </w:div>
          </w:divsChild>
        </w:div>
        <w:div w:id="2032098054">
          <w:marLeft w:val="0"/>
          <w:marRight w:val="0"/>
          <w:marTop w:val="0"/>
          <w:marBottom w:val="0"/>
          <w:divBdr>
            <w:top w:val="none" w:sz="0" w:space="0" w:color="auto"/>
            <w:left w:val="none" w:sz="0" w:space="0" w:color="auto"/>
            <w:bottom w:val="none" w:sz="0" w:space="0" w:color="auto"/>
            <w:right w:val="none" w:sz="0" w:space="0" w:color="auto"/>
          </w:divBdr>
          <w:divsChild>
            <w:div w:id="1882403363">
              <w:marLeft w:val="0"/>
              <w:marRight w:val="0"/>
              <w:marTop w:val="0"/>
              <w:marBottom w:val="0"/>
              <w:divBdr>
                <w:top w:val="none" w:sz="0" w:space="0" w:color="auto"/>
                <w:left w:val="none" w:sz="0" w:space="0" w:color="auto"/>
                <w:bottom w:val="none" w:sz="0" w:space="0" w:color="auto"/>
                <w:right w:val="none" w:sz="0" w:space="0" w:color="auto"/>
              </w:divBdr>
            </w:div>
          </w:divsChild>
        </w:div>
        <w:div w:id="2039428580">
          <w:marLeft w:val="0"/>
          <w:marRight w:val="0"/>
          <w:marTop w:val="0"/>
          <w:marBottom w:val="0"/>
          <w:divBdr>
            <w:top w:val="none" w:sz="0" w:space="0" w:color="auto"/>
            <w:left w:val="none" w:sz="0" w:space="0" w:color="auto"/>
            <w:bottom w:val="none" w:sz="0" w:space="0" w:color="auto"/>
            <w:right w:val="none" w:sz="0" w:space="0" w:color="auto"/>
          </w:divBdr>
          <w:divsChild>
            <w:div w:id="126751495">
              <w:marLeft w:val="0"/>
              <w:marRight w:val="0"/>
              <w:marTop w:val="0"/>
              <w:marBottom w:val="0"/>
              <w:divBdr>
                <w:top w:val="none" w:sz="0" w:space="0" w:color="auto"/>
                <w:left w:val="none" w:sz="0" w:space="0" w:color="auto"/>
                <w:bottom w:val="none" w:sz="0" w:space="0" w:color="auto"/>
                <w:right w:val="none" w:sz="0" w:space="0" w:color="auto"/>
              </w:divBdr>
            </w:div>
          </w:divsChild>
        </w:div>
        <w:div w:id="2048409040">
          <w:marLeft w:val="0"/>
          <w:marRight w:val="0"/>
          <w:marTop w:val="0"/>
          <w:marBottom w:val="0"/>
          <w:divBdr>
            <w:top w:val="none" w:sz="0" w:space="0" w:color="auto"/>
            <w:left w:val="none" w:sz="0" w:space="0" w:color="auto"/>
            <w:bottom w:val="none" w:sz="0" w:space="0" w:color="auto"/>
            <w:right w:val="none" w:sz="0" w:space="0" w:color="auto"/>
          </w:divBdr>
          <w:divsChild>
            <w:div w:id="1261985161">
              <w:marLeft w:val="0"/>
              <w:marRight w:val="0"/>
              <w:marTop w:val="0"/>
              <w:marBottom w:val="0"/>
              <w:divBdr>
                <w:top w:val="none" w:sz="0" w:space="0" w:color="auto"/>
                <w:left w:val="none" w:sz="0" w:space="0" w:color="auto"/>
                <w:bottom w:val="none" w:sz="0" w:space="0" w:color="auto"/>
                <w:right w:val="none" w:sz="0" w:space="0" w:color="auto"/>
              </w:divBdr>
            </w:div>
          </w:divsChild>
        </w:div>
        <w:div w:id="2064597650">
          <w:marLeft w:val="0"/>
          <w:marRight w:val="0"/>
          <w:marTop w:val="0"/>
          <w:marBottom w:val="0"/>
          <w:divBdr>
            <w:top w:val="none" w:sz="0" w:space="0" w:color="auto"/>
            <w:left w:val="none" w:sz="0" w:space="0" w:color="auto"/>
            <w:bottom w:val="none" w:sz="0" w:space="0" w:color="auto"/>
            <w:right w:val="none" w:sz="0" w:space="0" w:color="auto"/>
          </w:divBdr>
          <w:divsChild>
            <w:div w:id="3368136">
              <w:marLeft w:val="0"/>
              <w:marRight w:val="0"/>
              <w:marTop w:val="0"/>
              <w:marBottom w:val="0"/>
              <w:divBdr>
                <w:top w:val="none" w:sz="0" w:space="0" w:color="auto"/>
                <w:left w:val="none" w:sz="0" w:space="0" w:color="auto"/>
                <w:bottom w:val="none" w:sz="0" w:space="0" w:color="auto"/>
                <w:right w:val="none" w:sz="0" w:space="0" w:color="auto"/>
              </w:divBdr>
            </w:div>
          </w:divsChild>
        </w:div>
        <w:div w:id="2070616299">
          <w:marLeft w:val="0"/>
          <w:marRight w:val="0"/>
          <w:marTop w:val="0"/>
          <w:marBottom w:val="0"/>
          <w:divBdr>
            <w:top w:val="none" w:sz="0" w:space="0" w:color="auto"/>
            <w:left w:val="none" w:sz="0" w:space="0" w:color="auto"/>
            <w:bottom w:val="none" w:sz="0" w:space="0" w:color="auto"/>
            <w:right w:val="none" w:sz="0" w:space="0" w:color="auto"/>
          </w:divBdr>
          <w:divsChild>
            <w:div w:id="1657340818">
              <w:marLeft w:val="0"/>
              <w:marRight w:val="0"/>
              <w:marTop w:val="0"/>
              <w:marBottom w:val="0"/>
              <w:divBdr>
                <w:top w:val="none" w:sz="0" w:space="0" w:color="auto"/>
                <w:left w:val="none" w:sz="0" w:space="0" w:color="auto"/>
                <w:bottom w:val="none" w:sz="0" w:space="0" w:color="auto"/>
                <w:right w:val="none" w:sz="0" w:space="0" w:color="auto"/>
              </w:divBdr>
            </w:div>
          </w:divsChild>
        </w:div>
        <w:div w:id="2089958182">
          <w:marLeft w:val="0"/>
          <w:marRight w:val="0"/>
          <w:marTop w:val="0"/>
          <w:marBottom w:val="0"/>
          <w:divBdr>
            <w:top w:val="none" w:sz="0" w:space="0" w:color="auto"/>
            <w:left w:val="none" w:sz="0" w:space="0" w:color="auto"/>
            <w:bottom w:val="none" w:sz="0" w:space="0" w:color="auto"/>
            <w:right w:val="none" w:sz="0" w:space="0" w:color="auto"/>
          </w:divBdr>
          <w:divsChild>
            <w:div w:id="72509978">
              <w:marLeft w:val="0"/>
              <w:marRight w:val="0"/>
              <w:marTop w:val="0"/>
              <w:marBottom w:val="0"/>
              <w:divBdr>
                <w:top w:val="none" w:sz="0" w:space="0" w:color="auto"/>
                <w:left w:val="none" w:sz="0" w:space="0" w:color="auto"/>
                <w:bottom w:val="none" w:sz="0" w:space="0" w:color="auto"/>
                <w:right w:val="none" w:sz="0" w:space="0" w:color="auto"/>
              </w:divBdr>
            </w:div>
          </w:divsChild>
        </w:div>
        <w:div w:id="2129158715">
          <w:marLeft w:val="0"/>
          <w:marRight w:val="0"/>
          <w:marTop w:val="0"/>
          <w:marBottom w:val="0"/>
          <w:divBdr>
            <w:top w:val="none" w:sz="0" w:space="0" w:color="auto"/>
            <w:left w:val="none" w:sz="0" w:space="0" w:color="auto"/>
            <w:bottom w:val="none" w:sz="0" w:space="0" w:color="auto"/>
            <w:right w:val="none" w:sz="0" w:space="0" w:color="auto"/>
          </w:divBdr>
          <w:divsChild>
            <w:div w:id="1801531422">
              <w:marLeft w:val="0"/>
              <w:marRight w:val="0"/>
              <w:marTop w:val="0"/>
              <w:marBottom w:val="0"/>
              <w:divBdr>
                <w:top w:val="none" w:sz="0" w:space="0" w:color="auto"/>
                <w:left w:val="none" w:sz="0" w:space="0" w:color="auto"/>
                <w:bottom w:val="none" w:sz="0" w:space="0" w:color="auto"/>
                <w:right w:val="none" w:sz="0" w:space="0" w:color="auto"/>
              </w:divBdr>
            </w:div>
          </w:divsChild>
        </w:div>
        <w:div w:id="2133013666">
          <w:marLeft w:val="0"/>
          <w:marRight w:val="0"/>
          <w:marTop w:val="0"/>
          <w:marBottom w:val="0"/>
          <w:divBdr>
            <w:top w:val="none" w:sz="0" w:space="0" w:color="auto"/>
            <w:left w:val="none" w:sz="0" w:space="0" w:color="auto"/>
            <w:bottom w:val="none" w:sz="0" w:space="0" w:color="auto"/>
            <w:right w:val="none" w:sz="0" w:space="0" w:color="auto"/>
          </w:divBdr>
          <w:divsChild>
            <w:div w:id="1585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545717">
      <w:bodyDiv w:val="1"/>
      <w:marLeft w:val="0"/>
      <w:marRight w:val="0"/>
      <w:marTop w:val="0"/>
      <w:marBottom w:val="0"/>
      <w:divBdr>
        <w:top w:val="none" w:sz="0" w:space="0" w:color="auto"/>
        <w:left w:val="none" w:sz="0" w:space="0" w:color="auto"/>
        <w:bottom w:val="none" w:sz="0" w:space="0" w:color="auto"/>
        <w:right w:val="none" w:sz="0" w:space="0" w:color="auto"/>
      </w:divBdr>
    </w:div>
    <w:div w:id="1883900263">
      <w:marLeft w:val="0"/>
      <w:marRight w:val="0"/>
      <w:marTop w:val="0"/>
      <w:marBottom w:val="0"/>
      <w:divBdr>
        <w:top w:val="none" w:sz="0" w:space="0" w:color="auto"/>
        <w:left w:val="none" w:sz="0" w:space="0" w:color="auto"/>
        <w:bottom w:val="none" w:sz="0" w:space="0" w:color="auto"/>
        <w:right w:val="none" w:sz="0" w:space="0" w:color="auto"/>
      </w:divBdr>
    </w:div>
    <w:div w:id="1886284522">
      <w:bodyDiv w:val="1"/>
      <w:marLeft w:val="0"/>
      <w:marRight w:val="0"/>
      <w:marTop w:val="0"/>
      <w:marBottom w:val="0"/>
      <w:divBdr>
        <w:top w:val="none" w:sz="0" w:space="0" w:color="auto"/>
        <w:left w:val="none" w:sz="0" w:space="0" w:color="auto"/>
        <w:bottom w:val="none" w:sz="0" w:space="0" w:color="auto"/>
        <w:right w:val="none" w:sz="0" w:space="0" w:color="auto"/>
      </w:divBdr>
    </w:div>
    <w:div w:id="1910067551">
      <w:bodyDiv w:val="1"/>
      <w:marLeft w:val="0"/>
      <w:marRight w:val="0"/>
      <w:marTop w:val="0"/>
      <w:marBottom w:val="0"/>
      <w:divBdr>
        <w:top w:val="none" w:sz="0" w:space="0" w:color="auto"/>
        <w:left w:val="none" w:sz="0" w:space="0" w:color="auto"/>
        <w:bottom w:val="none" w:sz="0" w:space="0" w:color="auto"/>
        <w:right w:val="none" w:sz="0" w:space="0" w:color="auto"/>
      </w:divBdr>
    </w:div>
    <w:div w:id="1913586134">
      <w:bodyDiv w:val="1"/>
      <w:marLeft w:val="0"/>
      <w:marRight w:val="0"/>
      <w:marTop w:val="0"/>
      <w:marBottom w:val="0"/>
      <w:divBdr>
        <w:top w:val="none" w:sz="0" w:space="0" w:color="auto"/>
        <w:left w:val="none" w:sz="0" w:space="0" w:color="auto"/>
        <w:bottom w:val="none" w:sz="0" w:space="0" w:color="auto"/>
        <w:right w:val="none" w:sz="0" w:space="0" w:color="auto"/>
      </w:divBdr>
      <w:divsChild>
        <w:div w:id="1889536918">
          <w:marLeft w:val="547"/>
          <w:marRight w:val="0"/>
          <w:marTop w:val="120"/>
          <w:marBottom w:val="0"/>
          <w:divBdr>
            <w:top w:val="none" w:sz="0" w:space="0" w:color="auto"/>
            <w:left w:val="none" w:sz="0" w:space="0" w:color="auto"/>
            <w:bottom w:val="none" w:sz="0" w:space="0" w:color="auto"/>
            <w:right w:val="none" w:sz="0" w:space="0" w:color="auto"/>
          </w:divBdr>
        </w:div>
      </w:divsChild>
    </w:div>
    <w:div w:id="1915163658">
      <w:bodyDiv w:val="1"/>
      <w:marLeft w:val="0"/>
      <w:marRight w:val="0"/>
      <w:marTop w:val="0"/>
      <w:marBottom w:val="0"/>
      <w:divBdr>
        <w:top w:val="none" w:sz="0" w:space="0" w:color="auto"/>
        <w:left w:val="none" w:sz="0" w:space="0" w:color="auto"/>
        <w:bottom w:val="none" w:sz="0" w:space="0" w:color="auto"/>
        <w:right w:val="none" w:sz="0" w:space="0" w:color="auto"/>
      </w:divBdr>
    </w:div>
    <w:div w:id="1931036869">
      <w:bodyDiv w:val="1"/>
      <w:marLeft w:val="0"/>
      <w:marRight w:val="0"/>
      <w:marTop w:val="0"/>
      <w:marBottom w:val="0"/>
      <w:divBdr>
        <w:top w:val="none" w:sz="0" w:space="0" w:color="auto"/>
        <w:left w:val="none" w:sz="0" w:space="0" w:color="auto"/>
        <w:bottom w:val="none" w:sz="0" w:space="0" w:color="auto"/>
        <w:right w:val="none" w:sz="0" w:space="0" w:color="auto"/>
      </w:divBdr>
    </w:div>
    <w:div w:id="1932932467">
      <w:bodyDiv w:val="1"/>
      <w:marLeft w:val="0"/>
      <w:marRight w:val="0"/>
      <w:marTop w:val="0"/>
      <w:marBottom w:val="0"/>
      <w:divBdr>
        <w:top w:val="none" w:sz="0" w:space="0" w:color="auto"/>
        <w:left w:val="none" w:sz="0" w:space="0" w:color="auto"/>
        <w:bottom w:val="none" w:sz="0" w:space="0" w:color="auto"/>
        <w:right w:val="none" w:sz="0" w:space="0" w:color="auto"/>
      </w:divBdr>
    </w:div>
    <w:div w:id="1933901868">
      <w:bodyDiv w:val="1"/>
      <w:marLeft w:val="0"/>
      <w:marRight w:val="0"/>
      <w:marTop w:val="0"/>
      <w:marBottom w:val="0"/>
      <w:divBdr>
        <w:top w:val="none" w:sz="0" w:space="0" w:color="auto"/>
        <w:left w:val="none" w:sz="0" w:space="0" w:color="auto"/>
        <w:bottom w:val="none" w:sz="0" w:space="0" w:color="auto"/>
        <w:right w:val="none" w:sz="0" w:space="0" w:color="auto"/>
      </w:divBdr>
    </w:div>
    <w:div w:id="1936594717">
      <w:bodyDiv w:val="1"/>
      <w:marLeft w:val="0"/>
      <w:marRight w:val="0"/>
      <w:marTop w:val="0"/>
      <w:marBottom w:val="0"/>
      <w:divBdr>
        <w:top w:val="none" w:sz="0" w:space="0" w:color="auto"/>
        <w:left w:val="none" w:sz="0" w:space="0" w:color="auto"/>
        <w:bottom w:val="none" w:sz="0" w:space="0" w:color="auto"/>
        <w:right w:val="none" w:sz="0" w:space="0" w:color="auto"/>
      </w:divBdr>
    </w:div>
    <w:div w:id="1936865917">
      <w:bodyDiv w:val="1"/>
      <w:marLeft w:val="0"/>
      <w:marRight w:val="0"/>
      <w:marTop w:val="0"/>
      <w:marBottom w:val="0"/>
      <w:divBdr>
        <w:top w:val="none" w:sz="0" w:space="0" w:color="auto"/>
        <w:left w:val="none" w:sz="0" w:space="0" w:color="auto"/>
        <w:bottom w:val="none" w:sz="0" w:space="0" w:color="auto"/>
        <w:right w:val="none" w:sz="0" w:space="0" w:color="auto"/>
      </w:divBdr>
    </w:div>
    <w:div w:id="1942949304">
      <w:bodyDiv w:val="1"/>
      <w:marLeft w:val="0"/>
      <w:marRight w:val="0"/>
      <w:marTop w:val="0"/>
      <w:marBottom w:val="0"/>
      <w:divBdr>
        <w:top w:val="none" w:sz="0" w:space="0" w:color="auto"/>
        <w:left w:val="none" w:sz="0" w:space="0" w:color="auto"/>
        <w:bottom w:val="none" w:sz="0" w:space="0" w:color="auto"/>
        <w:right w:val="none" w:sz="0" w:space="0" w:color="auto"/>
      </w:divBdr>
    </w:div>
    <w:div w:id="1943024746">
      <w:bodyDiv w:val="1"/>
      <w:marLeft w:val="0"/>
      <w:marRight w:val="0"/>
      <w:marTop w:val="0"/>
      <w:marBottom w:val="0"/>
      <w:divBdr>
        <w:top w:val="none" w:sz="0" w:space="0" w:color="auto"/>
        <w:left w:val="none" w:sz="0" w:space="0" w:color="auto"/>
        <w:bottom w:val="none" w:sz="0" w:space="0" w:color="auto"/>
        <w:right w:val="none" w:sz="0" w:space="0" w:color="auto"/>
      </w:divBdr>
    </w:div>
    <w:div w:id="1954628922">
      <w:bodyDiv w:val="1"/>
      <w:marLeft w:val="0"/>
      <w:marRight w:val="0"/>
      <w:marTop w:val="0"/>
      <w:marBottom w:val="0"/>
      <w:divBdr>
        <w:top w:val="none" w:sz="0" w:space="0" w:color="auto"/>
        <w:left w:val="none" w:sz="0" w:space="0" w:color="auto"/>
        <w:bottom w:val="none" w:sz="0" w:space="0" w:color="auto"/>
        <w:right w:val="none" w:sz="0" w:space="0" w:color="auto"/>
      </w:divBdr>
      <w:divsChild>
        <w:div w:id="339241571">
          <w:marLeft w:val="0"/>
          <w:marRight w:val="0"/>
          <w:marTop w:val="0"/>
          <w:marBottom w:val="0"/>
          <w:divBdr>
            <w:top w:val="none" w:sz="0" w:space="0" w:color="auto"/>
            <w:left w:val="none" w:sz="0" w:space="0" w:color="auto"/>
            <w:bottom w:val="none" w:sz="0" w:space="0" w:color="auto"/>
            <w:right w:val="none" w:sz="0" w:space="0" w:color="auto"/>
          </w:divBdr>
        </w:div>
        <w:div w:id="1787263761">
          <w:marLeft w:val="0"/>
          <w:marRight w:val="0"/>
          <w:marTop w:val="0"/>
          <w:marBottom w:val="0"/>
          <w:divBdr>
            <w:top w:val="none" w:sz="0" w:space="0" w:color="auto"/>
            <w:left w:val="none" w:sz="0" w:space="0" w:color="auto"/>
            <w:bottom w:val="none" w:sz="0" w:space="0" w:color="auto"/>
            <w:right w:val="none" w:sz="0" w:space="0" w:color="auto"/>
          </w:divBdr>
        </w:div>
      </w:divsChild>
    </w:div>
    <w:div w:id="1958291091">
      <w:bodyDiv w:val="1"/>
      <w:marLeft w:val="0"/>
      <w:marRight w:val="0"/>
      <w:marTop w:val="0"/>
      <w:marBottom w:val="0"/>
      <w:divBdr>
        <w:top w:val="none" w:sz="0" w:space="0" w:color="auto"/>
        <w:left w:val="none" w:sz="0" w:space="0" w:color="auto"/>
        <w:bottom w:val="none" w:sz="0" w:space="0" w:color="auto"/>
        <w:right w:val="none" w:sz="0" w:space="0" w:color="auto"/>
      </w:divBdr>
    </w:div>
    <w:div w:id="1965109548">
      <w:bodyDiv w:val="1"/>
      <w:marLeft w:val="0"/>
      <w:marRight w:val="0"/>
      <w:marTop w:val="0"/>
      <w:marBottom w:val="0"/>
      <w:divBdr>
        <w:top w:val="none" w:sz="0" w:space="0" w:color="auto"/>
        <w:left w:val="none" w:sz="0" w:space="0" w:color="auto"/>
        <w:bottom w:val="none" w:sz="0" w:space="0" w:color="auto"/>
        <w:right w:val="none" w:sz="0" w:space="0" w:color="auto"/>
      </w:divBdr>
      <w:divsChild>
        <w:div w:id="2055879">
          <w:marLeft w:val="0"/>
          <w:marRight w:val="0"/>
          <w:marTop w:val="0"/>
          <w:marBottom w:val="0"/>
          <w:divBdr>
            <w:top w:val="none" w:sz="0" w:space="0" w:color="auto"/>
            <w:left w:val="none" w:sz="0" w:space="0" w:color="auto"/>
            <w:bottom w:val="none" w:sz="0" w:space="0" w:color="auto"/>
            <w:right w:val="none" w:sz="0" w:space="0" w:color="auto"/>
          </w:divBdr>
          <w:divsChild>
            <w:div w:id="2019916438">
              <w:marLeft w:val="0"/>
              <w:marRight w:val="0"/>
              <w:marTop w:val="0"/>
              <w:marBottom w:val="0"/>
              <w:divBdr>
                <w:top w:val="none" w:sz="0" w:space="0" w:color="auto"/>
                <w:left w:val="none" w:sz="0" w:space="0" w:color="auto"/>
                <w:bottom w:val="none" w:sz="0" w:space="0" w:color="auto"/>
                <w:right w:val="none" w:sz="0" w:space="0" w:color="auto"/>
              </w:divBdr>
            </w:div>
          </w:divsChild>
        </w:div>
        <w:div w:id="26954557">
          <w:marLeft w:val="0"/>
          <w:marRight w:val="0"/>
          <w:marTop w:val="0"/>
          <w:marBottom w:val="0"/>
          <w:divBdr>
            <w:top w:val="none" w:sz="0" w:space="0" w:color="auto"/>
            <w:left w:val="none" w:sz="0" w:space="0" w:color="auto"/>
            <w:bottom w:val="none" w:sz="0" w:space="0" w:color="auto"/>
            <w:right w:val="none" w:sz="0" w:space="0" w:color="auto"/>
          </w:divBdr>
          <w:divsChild>
            <w:div w:id="1097481604">
              <w:marLeft w:val="0"/>
              <w:marRight w:val="0"/>
              <w:marTop w:val="0"/>
              <w:marBottom w:val="0"/>
              <w:divBdr>
                <w:top w:val="none" w:sz="0" w:space="0" w:color="auto"/>
                <w:left w:val="none" w:sz="0" w:space="0" w:color="auto"/>
                <w:bottom w:val="none" w:sz="0" w:space="0" w:color="auto"/>
                <w:right w:val="none" w:sz="0" w:space="0" w:color="auto"/>
              </w:divBdr>
            </w:div>
          </w:divsChild>
        </w:div>
        <w:div w:id="32729231">
          <w:marLeft w:val="0"/>
          <w:marRight w:val="0"/>
          <w:marTop w:val="0"/>
          <w:marBottom w:val="0"/>
          <w:divBdr>
            <w:top w:val="none" w:sz="0" w:space="0" w:color="auto"/>
            <w:left w:val="none" w:sz="0" w:space="0" w:color="auto"/>
            <w:bottom w:val="none" w:sz="0" w:space="0" w:color="auto"/>
            <w:right w:val="none" w:sz="0" w:space="0" w:color="auto"/>
          </w:divBdr>
          <w:divsChild>
            <w:div w:id="720135499">
              <w:marLeft w:val="0"/>
              <w:marRight w:val="0"/>
              <w:marTop w:val="0"/>
              <w:marBottom w:val="0"/>
              <w:divBdr>
                <w:top w:val="none" w:sz="0" w:space="0" w:color="auto"/>
                <w:left w:val="none" w:sz="0" w:space="0" w:color="auto"/>
                <w:bottom w:val="none" w:sz="0" w:space="0" w:color="auto"/>
                <w:right w:val="none" w:sz="0" w:space="0" w:color="auto"/>
              </w:divBdr>
            </w:div>
          </w:divsChild>
        </w:div>
        <w:div w:id="75981431">
          <w:marLeft w:val="0"/>
          <w:marRight w:val="0"/>
          <w:marTop w:val="0"/>
          <w:marBottom w:val="0"/>
          <w:divBdr>
            <w:top w:val="none" w:sz="0" w:space="0" w:color="auto"/>
            <w:left w:val="none" w:sz="0" w:space="0" w:color="auto"/>
            <w:bottom w:val="none" w:sz="0" w:space="0" w:color="auto"/>
            <w:right w:val="none" w:sz="0" w:space="0" w:color="auto"/>
          </w:divBdr>
          <w:divsChild>
            <w:div w:id="1993945892">
              <w:marLeft w:val="0"/>
              <w:marRight w:val="0"/>
              <w:marTop w:val="0"/>
              <w:marBottom w:val="0"/>
              <w:divBdr>
                <w:top w:val="none" w:sz="0" w:space="0" w:color="auto"/>
                <w:left w:val="none" w:sz="0" w:space="0" w:color="auto"/>
                <w:bottom w:val="none" w:sz="0" w:space="0" w:color="auto"/>
                <w:right w:val="none" w:sz="0" w:space="0" w:color="auto"/>
              </w:divBdr>
            </w:div>
          </w:divsChild>
        </w:div>
        <w:div w:id="77364435">
          <w:marLeft w:val="0"/>
          <w:marRight w:val="0"/>
          <w:marTop w:val="0"/>
          <w:marBottom w:val="0"/>
          <w:divBdr>
            <w:top w:val="none" w:sz="0" w:space="0" w:color="auto"/>
            <w:left w:val="none" w:sz="0" w:space="0" w:color="auto"/>
            <w:bottom w:val="none" w:sz="0" w:space="0" w:color="auto"/>
            <w:right w:val="none" w:sz="0" w:space="0" w:color="auto"/>
          </w:divBdr>
          <w:divsChild>
            <w:div w:id="444465466">
              <w:marLeft w:val="0"/>
              <w:marRight w:val="0"/>
              <w:marTop w:val="0"/>
              <w:marBottom w:val="0"/>
              <w:divBdr>
                <w:top w:val="none" w:sz="0" w:space="0" w:color="auto"/>
                <w:left w:val="none" w:sz="0" w:space="0" w:color="auto"/>
                <w:bottom w:val="none" w:sz="0" w:space="0" w:color="auto"/>
                <w:right w:val="none" w:sz="0" w:space="0" w:color="auto"/>
              </w:divBdr>
            </w:div>
          </w:divsChild>
        </w:div>
        <w:div w:id="183516209">
          <w:marLeft w:val="0"/>
          <w:marRight w:val="0"/>
          <w:marTop w:val="0"/>
          <w:marBottom w:val="0"/>
          <w:divBdr>
            <w:top w:val="none" w:sz="0" w:space="0" w:color="auto"/>
            <w:left w:val="none" w:sz="0" w:space="0" w:color="auto"/>
            <w:bottom w:val="none" w:sz="0" w:space="0" w:color="auto"/>
            <w:right w:val="none" w:sz="0" w:space="0" w:color="auto"/>
          </w:divBdr>
          <w:divsChild>
            <w:div w:id="927077297">
              <w:marLeft w:val="0"/>
              <w:marRight w:val="0"/>
              <w:marTop w:val="0"/>
              <w:marBottom w:val="0"/>
              <w:divBdr>
                <w:top w:val="none" w:sz="0" w:space="0" w:color="auto"/>
                <w:left w:val="none" w:sz="0" w:space="0" w:color="auto"/>
                <w:bottom w:val="none" w:sz="0" w:space="0" w:color="auto"/>
                <w:right w:val="none" w:sz="0" w:space="0" w:color="auto"/>
              </w:divBdr>
            </w:div>
          </w:divsChild>
        </w:div>
        <w:div w:id="185992820">
          <w:marLeft w:val="0"/>
          <w:marRight w:val="0"/>
          <w:marTop w:val="0"/>
          <w:marBottom w:val="0"/>
          <w:divBdr>
            <w:top w:val="none" w:sz="0" w:space="0" w:color="auto"/>
            <w:left w:val="none" w:sz="0" w:space="0" w:color="auto"/>
            <w:bottom w:val="none" w:sz="0" w:space="0" w:color="auto"/>
            <w:right w:val="none" w:sz="0" w:space="0" w:color="auto"/>
          </w:divBdr>
          <w:divsChild>
            <w:div w:id="1669136501">
              <w:marLeft w:val="0"/>
              <w:marRight w:val="0"/>
              <w:marTop w:val="0"/>
              <w:marBottom w:val="0"/>
              <w:divBdr>
                <w:top w:val="none" w:sz="0" w:space="0" w:color="auto"/>
                <w:left w:val="none" w:sz="0" w:space="0" w:color="auto"/>
                <w:bottom w:val="none" w:sz="0" w:space="0" w:color="auto"/>
                <w:right w:val="none" w:sz="0" w:space="0" w:color="auto"/>
              </w:divBdr>
            </w:div>
          </w:divsChild>
        </w:div>
        <w:div w:id="191919385">
          <w:marLeft w:val="0"/>
          <w:marRight w:val="0"/>
          <w:marTop w:val="0"/>
          <w:marBottom w:val="0"/>
          <w:divBdr>
            <w:top w:val="none" w:sz="0" w:space="0" w:color="auto"/>
            <w:left w:val="none" w:sz="0" w:space="0" w:color="auto"/>
            <w:bottom w:val="none" w:sz="0" w:space="0" w:color="auto"/>
            <w:right w:val="none" w:sz="0" w:space="0" w:color="auto"/>
          </w:divBdr>
          <w:divsChild>
            <w:div w:id="937761611">
              <w:marLeft w:val="0"/>
              <w:marRight w:val="0"/>
              <w:marTop w:val="0"/>
              <w:marBottom w:val="0"/>
              <w:divBdr>
                <w:top w:val="none" w:sz="0" w:space="0" w:color="auto"/>
                <w:left w:val="none" w:sz="0" w:space="0" w:color="auto"/>
                <w:bottom w:val="none" w:sz="0" w:space="0" w:color="auto"/>
                <w:right w:val="none" w:sz="0" w:space="0" w:color="auto"/>
              </w:divBdr>
            </w:div>
          </w:divsChild>
        </w:div>
        <w:div w:id="193615194">
          <w:marLeft w:val="0"/>
          <w:marRight w:val="0"/>
          <w:marTop w:val="0"/>
          <w:marBottom w:val="0"/>
          <w:divBdr>
            <w:top w:val="none" w:sz="0" w:space="0" w:color="auto"/>
            <w:left w:val="none" w:sz="0" w:space="0" w:color="auto"/>
            <w:bottom w:val="none" w:sz="0" w:space="0" w:color="auto"/>
            <w:right w:val="none" w:sz="0" w:space="0" w:color="auto"/>
          </w:divBdr>
          <w:divsChild>
            <w:div w:id="64378656">
              <w:marLeft w:val="0"/>
              <w:marRight w:val="0"/>
              <w:marTop w:val="0"/>
              <w:marBottom w:val="0"/>
              <w:divBdr>
                <w:top w:val="none" w:sz="0" w:space="0" w:color="auto"/>
                <w:left w:val="none" w:sz="0" w:space="0" w:color="auto"/>
                <w:bottom w:val="none" w:sz="0" w:space="0" w:color="auto"/>
                <w:right w:val="none" w:sz="0" w:space="0" w:color="auto"/>
              </w:divBdr>
            </w:div>
          </w:divsChild>
        </w:div>
        <w:div w:id="224532465">
          <w:marLeft w:val="0"/>
          <w:marRight w:val="0"/>
          <w:marTop w:val="0"/>
          <w:marBottom w:val="0"/>
          <w:divBdr>
            <w:top w:val="none" w:sz="0" w:space="0" w:color="auto"/>
            <w:left w:val="none" w:sz="0" w:space="0" w:color="auto"/>
            <w:bottom w:val="none" w:sz="0" w:space="0" w:color="auto"/>
            <w:right w:val="none" w:sz="0" w:space="0" w:color="auto"/>
          </w:divBdr>
          <w:divsChild>
            <w:div w:id="1502890493">
              <w:marLeft w:val="0"/>
              <w:marRight w:val="0"/>
              <w:marTop w:val="0"/>
              <w:marBottom w:val="0"/>
              <w:divBdr>
                <w:top w:val="none" w:sz="0" w:space="0" w:color="auto"/>
                <w:left w:val="none" w:sz="0" w:space="0" w:color="auto"/>
                <w:bottom w:val="none" w:sz="0" w:space="0" w:color="auto"/>
                <w:right w:val="none" w:sz="0" w:space="0" w:color="auto"/>
              </w:divBdr>
            </w:div>
          </w:divsChild>
        </w:div>
        <w:div w:id="226841559">
          <w:marLeft w:val="0"/>
          <w:marRight w:val="0"/>
          <w:marTop w:val="0"/>
          <w:marBottom w:val="0"/>
          <w:divBdr>
            <w:top w:val="none" w:sz="0" w:space="0" w:color="auto"/>
            <w:left w:val="none" w:sz="0" w:space="0" w:color="auto"/>
            <w:bottom w:val="none" w:sz="0" w:space="0" w:color="auto"/>
            <w:right w:val="none" w:sz="0" w:space="0" w:color="auto"/>
          </w:divBdr>
          <w:divsChild>
            <w:div w:id="504708454">
              <w:marLeft w:val="0"/>
              <w:marRight w:val="0"/>
              <w:marTop w:val="0"/>
              <w:marBottom w:val="0"/>
              <w:divBdr>
                <w:top w:val="none" w:sz="0" w:space="0" w:color="auto"/>
                <w:left w:val="none" w:sz="0" w:space="0" w:color="auto"/>
                <w:bottom w:val="none" w:sz="0" w:space="0" w:color="auto"/>
                <w:right w:val="none" w:sz="0" w:space="0" w:color="auto"/>
              </w:divBdr>
            </w:div>
          </w:divsChild>
        </w:div>
        <w:div w:id="317539045">
          <w:marLeft w:val="0"/>
          <w:marRight w:val="0"/>
          <w:marTop w:val="0"/>
          <w:marBottom w:val="0"/>
          <w:divBdr>
            <w:top w:val="none" w:sz="0" w:space="0" w:color="auto"/>
            <w:left w:val="none" w:sz="0" w:space="0" w:color="auto"/>
            <w:bottom w:val="none" w:sz="0" w:space="0" w:color="auto"/>
            <w:right w:val="none" w:sz="0" w:space="0" w:color="auto"/>
          </w:divBdr>
          <w:divsChild>
            <w:div w:id="704672796">
              <w:marLeft w:val="0"/>
              <w:marRight w:val="0"/>
              <w:marTop w:val="0"/>
              <w:marBottom w:val="0"/>
              <w:divBdr>
                <w:top w:val="none" w:sz="0" w:space="0" w:color="auto"/>
                <w:left w:val="none" w:sz="0" w:space="0" w:color="auto"/>
                <w:bottom w:val="none" w:sz="0" w:space="0" w:color="auto"/>
                <w:right w:val="none" w:sz="0" w:space="0" w:color="auto"/>
              </w:divBdr>
            </w:div>
          </w:divsChild>
        </w:div>
        <w:div w:id="320694482">
          <w:marLeft w:val="0"/>
          <w:marRight w:val="0"/>
          <w:marTop w:val="0"/>
          <w:marBottom w:val="0"/>
          <w:divBdr>
            <w:top w:val="none" w:sz="0" w:space="0" w:color="auto"/>
            <w:left w:val="none" w:sz="0" w:space="0" w:color="auto"/>
            <w:bottom w:val="none" w:sz="0" w:space="0" w:color="auto"/>
            <w:right w:val="none" w:sz="0" w:space="0" w:color="auto"/>
          </w:divBdr>
          <w:divsChild>
            <w:div w:id="1614166948">
              <w:marLeft w:val="0"/>
              <w:marRight w:val="0"/>
              <w:marTop w:val="0"/>
              <w:marBottom w:val="0"/>
              <w:divBdr>
                <w:top w:val="none" w:sz="0" w:space="0" w:color="auto"/>
                <w:left w:val="none" w:sz="0" w:space="0" w:color="auto"/>
                <w:bottom w:val="none" w:sz="0" w:space="0" w:color="auto"/>
                <w:right w:val="none" w:sz="0" w:space="0" w:color="auto"/>
              </w:divBdr>
            </w:div>
          </w:divsChild>
        </w:div>
        <w:div w:id="334967230">
          <w:marLeft w:val="0"/>
          <w:marRight w:val="0"/>
          <w:marTop w:val="0"/>
          <w:marBottom w:val="0"/>
          <w:divBdr>
            <w:top w:val="none" w:sz="0" w:space="0" w:color="auto"/>
            <w:left w:val="none" w:sz="0" w:space="0" w:color="auto"/>
            <w:bottom w:val="none" w:sz="0" w:space="0" w:color="auto"/>
            <w:right w:val="none" w:sz="0" w:space="0" w:color="auto"/>
          </w:divBdr>
          <w:divsChild>
            <w:div w:id="1394155533">
              <w:marLeft w:val="0"/>
              <w:marRight w:val="0"/>
              <w:marTop w:val="0"/>
              <w:marBottom w:val="0"/>
              <w:divBdr>
                <w:top w:val="none" w:sz="0" w:space="0" w:color="auto"/>
                <w:left w:val="none" w:sz="0" w:space="0" w:color="auto"/>
                <w:bottom w:val="none" w:sz="0" w:space="0" w:color="auto"/>
                <w:right w:val="none" w:sz="0" w:space="0" w:color="auto"/>
              </w:divBdr>
            </w:div>
          </w:divsChild>
        </w:div>
        <w:div w:id="339357617">
          <w:marLeft w:val="0"/>
          <w:marRight w:val="0"/>
          <w:marTop w:val="0"/>
          <w:marBottom w:val="0"/>
          <w:divBdr>
            <w:top w:val="none" w:sz="0" w:space="0" w:color="auto"/>
            <w:left w:val="none" w:sz="0" w:space="0" w:color="auto"/>
            <w:bottom w:val="none" w:sz="0" w:space="0" w:color="auto"/>
            <w:right w:val="none" w:sz="0" w:space="0" w:color="auto"/>
          </w:divBdr>
          <w:divsChild>
            <w:div w:id="507057928">
              <w:marLeft w:val="0"/>
              <w:marRight w:val="0"/>
              <w:marTop w:val="0"/>
              <w:marBottom w:val="0"/>
              <w:divBdr>
                <w:top w:val="none" w:sz="0" w:space="0" w:color="auto"/>
                <w:left w:val="none" w:sz="0" w:space="0" w:color="auto"/>
                <w:bottom w:val="none" w:sz="0" w:space="0" w:color="auto"/>
                <w:right w:val="none" w:sz="0" w:space="0" w:color="auto"/>
              </w:divBdr>
            </w:div>
          </w:divsChild>
        </w:div>
        <w:div w:id="363947047">
          <w:marLeft w:val="0"/>
          <w:marRight w:val="0"/>
          <w:marTop w:val="0"/>
          <w:marBottom w:val="0"/>
          <w:divBdr>
            <w:top w:val="none" w:sz="0" w:space="0" w:color="auto"/>
            <w:left w:val="none" w:sz="0" w:space="0" w:color="auto"/>
            <w:bottom w:val="none" w:sz="0" w:space="0" w:color="auto"/>
            <w:right w:val="none" w:sz="0" w:space="0" w:color="auto"/>
          </w:divBdr>
          <w:divsChild>
            <w:div w:id="1474567314">
              <w:marLeft w:val="0"/>
              <w:marRight w:val="0"/>
              <w:marTop w:val="0"/>
              <w:marBottom w:val="0"/>
              <w:divBdr>
                <w:top w:val="none" w:sz="0" w:space="0" w:color="auto"/>
                <w:left w:val="none" w:sz="0" w:space="0" w:color="auto"/>
                <w:bottom w:val="none" w:sz="0" w:space="0" w:color="auto"/>
                <w:right w:val="none" w:sz="0" w:space="0" w:color="auto"/>
              </w:divBdr>
            </w:div>
          </w:divsChild>
        </w:div>
        <w:div w:id="418258133">
          <w:marLeft w:val="0"/>
          <w:marRight w:val="0"/>
          <w:marTop w:val="0"/>
          <w:marBottom w:val="0"/>
          <w:divBdr>
            <w:top w:val="none" w:sz="0" w:space="0" w:color="auto"/>
            <w:left w:val="none" w:sz="0" w:space="0" w:color="auto"/>
            <w:bottom w:val="none" w:sz="0" w:space="0" w:color="auto"/>
            <w:right w:val="none" w:sz="0" w:space="0" w:color="auto"/>
          </w:divBdr>
          <w:divsChild>
            <w:div w:id="907155198">
              <w:marLeft w:val="0"/>
              <w:marRight w:val="0"/>
              <w:marTop w:val="0"/>
              <w:marBottom w:val="0"/>
              <w:divBdr>
                <w:top w:val="none" w:sz="0" w:space="0" w:color="auto"/>
                <w:left w:val="none" w:sz="0" w:space="0" w:color="auto"/>
                <w:bottom w:val="none" w:sz="0" w:space="0" w:color="auto"/>
                <w:right w:val="none" w:sz="0" w:space="0" w:color="auto"/>
              </w:divBdr>
            </w:div>
          </w:divsChild>
        </w:div>
        <w:div w:id="499006361">
          <w:marLeft w:val="0"/>
          <w:marRight w:val="0"/>
          <w:marTop w:val="0"/>
          <w:marBottom w:val="0"/>
          <w:divBdr>
            <w:top w:val="none" w:sz="0" w:space="0" w:color="auto"/>
            <w:left w:val="none" w:sz="0" w:space="0" w:color="auto"/>
            <w:bottom w:val="none" w:sz="0" w:space="0" w:color="auto"/>
            <w:right w:val="none" w:sz="0" w:space="0" w:color="auto"/>
          </w:divBdr>
          <w:divsChild>
            <w:div w:id="1726292975">
              <w:marLeft w:val="0"/>
              <w:marRight w:val="0"/>
              <w:marTop w:val="0"/>
              <w:marBottom w:val="0"/>
              <w:divBdr>
                <w:top w:val="none" w:sz="0" w:space="0" w:color="auto"/>
                <w:left w:val="none" w:sz="0" w:space="0" w:color="auto"/>
                <w:bottom w:val="none" w:sz="0" w:space="0" w:color="auto"/>
                <w:right w:val="none" w:sz="0" w:space="0" w:color="auto"/>
              </w:divBdr>
            </w:div>
          </w:divsChild>
        </w:div>
        <w:div w:id="538052510">
          <w:marLeft w:val="0"/>
          <w:marRight w:val="0"/>
          <w:marTop w:val="0"/>
          <w:marBottom w:val="0"/>
          <w:divBdr>
            <w:top w:val="none" w:sz="0" w:space="0" w:color="auto"/>
            <w:left w:val="none" w:sz="0" w:space="0" w:color="auto"/>
            <w:bottom w:val="none" w:sz="0" w:space="0" w:color="auto"/>
            <w:right w:val="none" w:sz="0" w:space="0" w:color="auto"/>
          </w:divBdr>
          <w:divsChild>
            <w:div w:id="1648126547">
              <w:marLeft w:val="0"/>
              <w:marRight w:val="0"/>
              <w:marTop w:val="0"/>
              <w:marBottom w:val="0"/>
              <w:divBdr>
                <w:top w:val="none" w:sz="0" w:space="0" w:color="auto"/>
                <w:left w:val="none" w:sz="0" w:space="0" w:color="auto"/>
                <w:bottom w:val="none" w:sz="0" w:space="0" w:color="auto"/>
                <w:right w:val="none" w:sz="0" w:space="0" w:color="auto"/>
              </w:divBdr>
            </w:div>
          </w:divsChild>
        </w:div>
        <w:div w:id="591276153">
          <w:marLeft w:val="0"/>
          <w:marRight w:val="0"/>
          <w:marTop w:val="0"/>
          <w:marBottom w:val="0"/>
          <w:divBdr>
            <w:top w:val="none" w:sz="0" w:space="0" w:color="auto"/>
            <w:left w:val="none" w:sz="0" w:space="0" w:color="auto"/>
            <w:bottom w:val="none" w:sz="0" w:space="0" w:color="auto"/>
            <w:right w:val="none" w:sz="0" w:space="0" w:color="auto"/>
          </w:divBdr>
          <w:divsChild>
            <w:div w:id="346519591">
              <w:marLeft w:val="0"/>
              <w:marRight w:val="0"/>
              <w:marTop w:val="0"/>
              <w:marBottom w:val="0"/>
              <w:divBdr>
                <w:top w:val="none" w:sz="0" w:space="0" w:color="auto"/>
                <w:left w:val="none" w:sz="0" w:space="0" w:color="auto"/>
                <w:bottom w:val="none" w:sz="0" w:space="0" w:color="auto"/>
                <w:right w:val="none" w:sz="0" w:space="0" w:color="auto"/>
              </w:divBdr>
            </w:div>
          </w:divsChild>
        </w:div>
        <w:div w:id="674235413">
          <w:marLeft w:val="0"/>
          <w:marRight w:val="0"/>
          <w:marTop w:val="0"/>
          <w:marBottom w:val="0"/>
          <w:divBdr>
            <w:top w:val="none" w:sz="0" w:space="0" w:color="auto"/>
            <w:left w:val="none" w:sz="0" w:space="0" w:color="auto"/>
            <w:bottom w:val="none" w:sz="0" w:space="0" w:color="auto"/>
            <w:right w:val="none" w:sz="0" w:space="0" w:color="auto"/>
          </w:divBdr>
          <w:divsChild>
            <w:div w:id="1025596193">
              <w:marLeft w:val="0"/>
              <w:marRight w:val="0"/>
              <w:marTop w:val="0"/>
              <w:marBottom w:val="0"/>
              <w:divBdr>
                <w:top w:val="none" w:sz="0" w:space="0" w:color="auto"/>
                <w:left w:val="none" w:sz="0" w:space="0" w:color="auto"/>
                <w:bottom w:val="none" w:sz="0" w:space="0" w:color="auto"/>
                <w:right w:val="none" w:sz="0" w:space="0" w:color="auto"/>
              </w:divBdr>
            </w:div>
          </w:divsChild>
        </w:div>
        <w:div w:id="690573843">
          <w:marLeft w:val="0"/>
          <w:marRight w:val="0"/>
          <w:marTop w:val="0"/>
          <w:marBottom w:val="0"/>
          <w:divBdr>
            <w:top w:val="none" w:sz="0" w:space="0" w:color="auto"/>
            <w:left w:val="none" w:sz="0" w:space="0" w:color="auto"/>
            <w:bottom w:val="none" w:sz="0" w:space="0" w:color="auto"/>
            <w:right w:val="none" w:sz="0" w:space="0" w:color="auto"/>
          </w:divBdr>
          <w:divsChild>
            <w:div w:id="1884292344">
              <w:marLeft w:val="0"/>
              <w:marRight w:val="0"/>
              <w:marTop w:val="0"/>
              <w:marBottom w:val="0"/>
              <w:divBdr>
                <w:top w:val="none" w:sz="0" w:space="0" w:color="auto"/>
                <w:left w:val="none" w:sz="0" w:space="0" w:color="auto"/>
                <w:bottom w:val="none" w:sz="0" w:space="0" w:color="auto"/>
                <w:right w:val="none" w:sz="0" w:space="0" w:color="auto"/>
              </w:divBdr>
            </w:div>
          </w:divsChild>
        </w:div>
        <w:div w:id="708532270">
          <w:marLeft w:val="0"/>
          <w:marRight w:val="0"/>
          <w:marTop w:val="0"/>
          <w:marBottom w:val="0"/>
          <w:divBdr>
            <w:top w:val="none" w:sz="0" w:space="0" w:color="auto"/>
            <w:left w:val="none" w:sz="0" w:space="0" w:color="auto"/>
            <w:bottom w:val="none" w:sz="0" w:space="0" w:color="auto"/>
            <w:right w:val="none" w:sz="0" w:space="0" w:color="auto"/>
          </w:divBdr>
          <w:divsChild>
            <w:div w:id="166213894">
              <w:marLeft w:val="0"/>
              <w:marRight w:val="0"/>
              <w:marTop w:val="0"/>
              <w:marBottom w:val="0"/>
              <w:divBdr>
                <w:top w:val="none" w:sz="0" w:space="0" w:color="auto"/>
                <w:left w:val="none" w:sz="0" w:space="0" w:color="auto"/>
                <w:bottom w:val="none" w:sz="0" w:space="0" w:color="auto"/>
                <w:right w:val="none" w:sz="0" w:space="0" w:color="auto"/>
              </w:divBdr>
            </w:div>
          </w:divsChild>
        </w:div>
        <w:div w:id="715663831">
          <w:marLeft w:val="0"/>
          <w:marRight w:val="0"/>
          <w:marTop w:val="0"/>
          <w:marBottom w:val="0"/>
          <w:divBdr>
            <w:top w:val="none" w:sz="0" w:space="0" w:color="auto"/>
            <w:left w:val="none" w:sz="0" w:space="0" w:color="auto"/>
            <w:bottom w:val="none" w:sz="0" w:space="0" w:color="auto"/>
            <w:right w:val="none" w:sz="0" w:space="0" w:color="auto"/>
          </w:divBdr>
          <w:divsChild>
            <w:div w:id="1604848508">
              <w:marLeft w:val="0"/>
              <w:marRight w:val="0"/>
              <w:marTop w:val="0"/>
              <w:marBottom w:val="0"/>
              <w:divBdr>
                <w:top w:val="none" w:sz="0" w:space="0" w:color="auto"/>
                <w:left w:val="none" w:sz="0" w:space="0" w:color="auto"/>
                <w:bottom w:val="none" w:sz="0" w:space="0" w:color="auto"/>
                <w:right w:val="none" w:sz="0" w:space="0" w:color="auto"/>
              </w:divBdr>
            </w:div>
          </w:divsChild>
        </w:div>
        <w:div w:id="737018750">
          <w:marLeft w:val="0"/>
          <w:marRight w:val="0"/>
          <w:marTop w:val="0"/>
          <w:marBottom w:val="0"/>
          <w:divBdr>
            <w:top w:val="none" w:sz="0" w:space="0" w:color="auto"/>
            <w:left w:val="none" w:sz="0" w:space="0" w:color="auto"/>
            <w:bottom w:val="none" w:sz="0" w:space="0" w:color="auto"/>
            <w:right w:val="none" w:sz="0" w:space="0" w:color="auto"/>
          </w:divBdr>
          <w:divsChild>
            <w:div w:id="1544637923">
              <w:marLeft w:val="0"/>
              <w:marRight w:val="0"/>
              <w:marTop w:val="0"/>
              <w:marBottom w:val="0"/>
              <w:divBdr>
                <w:top w:val="none" w:sz="0" w:space="0" w:color="auto"/>
                <w:left w:val="none" w:sz="0" w:space="0" w:color="auto"/>
                <w:bottom w:val="none" w:sz="0" w:space="0" w:color="auto"/>
                <w:right w:val="none" w:sz="0" w:space="0" w:color="auto"/>
              </w:divBdr>
            </w:div>
          </w:divsChild>
        </w:div>
        <w:div w:id="788739810">
          <w:marLeft w:val="0"/>
          <w:marRight w:val="0"/>
          <w:marTop w:val="0"/>
          <w:marBottom w:val="0"/>
          <w:divBdr>
            <w:top w:val="none" w:sz="0" w:space="0" w:color="auto"/>
            <w:left w:val="none" w:sz="0" w:space="0" w:color="auto"/>
            <w:bottom w:val="none" w:sz="0" w:space="0" w:color="auto"/>
            <w:right w:val="none" w:sz="0" w:space="0" w:color="auto"/>
          </w:divBdr>
          <w:divsChild>
            <w:div w:id="2129161211">
              <w:marLeft w:val="0"/>
              <w:marRight w:val="0"/>
              <w:marTop w:val="0"/>
              <w:marBottom w:val="0"/>
              <w:divBdr>
                <w:top w:val="none" w:sz="0" w:space="0" w:color="auto"/>
                <w:left w:val="none" w:sz="0" w:space="0" w:color="auto"/>
                <w:bottom w:val="none" w:sz="0" w:space="0" w:color="auto"/>
                <w:right w:val="none" w:sz="0" w:space="0" w:color="auto"/>
              </w:divBdr>
            </w:div>
          </w:divsChild>
        </w:div>
        <w:div w:id="810757210">
          <w:marLeft w:val="0"/>
          <w:marRight w:val="0"/>
          <w:marTop w:val="0"/>
          <w:marBottom w:val="0"/>
          <w:divBdr>
            <w:top w:val="none" w:sz="0" w:space="0" w:color="auto"/>
            <w:left w:val="none" w:sz="0" w:space="0" w:color="auto"/>
            <w:bottom w:val="none" w:sz="0" w:space="0" w:color="auto"/>
            <w:right w:val="none" w:sz="0" w:space="0" w:color="auto"/>
          </w:divBdr>
          <w:divsChild>
            <w:div w:id="673848513">
              <w:marLeft w:val="0"/>
              <w:marRight w:val="0"/>
              <w:marTop w:val="0"/>
              <w:marBottom w:val="0"/>
              <w:divBdr>
                <w:top w:val="none" w:sz="0" w:space="0" w:color="auto"/>
                <w:left w:val="none" w:sz="0" w:space="0" w:color="auto"/>
                <w:bottom w:val="none" w:sz="0" w:space="0" w:color="auto"/>
                <w:right w:val="none" w:sz="0" w:space="0" w:color="auto"/>
              </w:divBdr>
            </w:div>
          </w:divsChild>
        </w:div>
        <w:div w:id="816801780">
          <w:marLeft w:val="0"/>
          <w:marRight w:val="0"/>
          <w:marTop w:val="0"/>
          <w:marBottom w:val="0"/>
          <w:divBdr>
            <w:top w:val="none" w:sz="0" w:space="0" w:color="auto"/>
            <w:left w:val="none" w:sz="0" w:space="0" w:color="auto"/>
            <w:bottom w:val="none" w:sz="0" w:space="0" w:color="auto"/>
            <w:right w:val="none" w:sz="0" w:space="0" w:color="auto"/>
          </w:divBdr>
          <w:divsChild>
            <w:div w:id="1434201035">
              <w:marLeft w:val="0"/>
              <w:marRight w:val="0"/>
              <w:marTop w:val="0"/>
              <w:marBottom w:val="0"/>
              <w:divBdr>
                <w:top w:val="none" w:sz="0" w:space="0" w:color="auto"/>
                <w:left w:val="none" w:sz="0" w:space="0" w:color="auto"/>
                <w:bottom w:val="none" w:sz="0" w:space="0" w:color="auto"/>
                <w:right w:val="none" w:sz="0" w:space="0" w:color="auto"/>
              </w:divBdr>
            </w:div>
          </w:divsChild>
        </w:div>
        <w:div w:id="823663111">
          <w:marLeft w:val="0"/>
          <w:marRight w:val="0"/>
          <w:marTop w:val="0"/>
          <w:marBottom w:val="0"/>
          <w:divBdr>
            <w:top w:val="none" w:sz="0" w:space="0" w:color="auto"/>
            <w:left w:val="none" w:sz="0" w:space="0" w:color="auto"/>
            <w:bottom w:val="none" w:sz="0" w:space="0" w:color="auto"/>
            <w:right w:val="none" w:sz="0" w:space="0" w:color="auto"/>
          </w:divBdr>
          <w:divsChild>
            <w:div w:id="1597640232">
              <w:marLeft w:val="0"/>
              <w:marRight w:val="0"/>
              <w:marTop w:val="0"/>
              <w:marBottom w:val="0"/>
              <w:divBdr>
                <w:top w:val="none" w:sz="0" w:space="0" w:color="auto"/>
                <w:left w:val="none" w:sz="0" w:space="0" w:color="auto"/>
                <w:bottom w:val="none" w:sz="0" w:space="0" w:color="auto"/>
                <w:right w:val="none" w:sz="0" w:space="0" w:color="auto"/>
              </w:divBdr>
            </w:div>
          </w:divsChild>
        </w:div>
        <w:div w:id="835389406">
          <w:marLeft w:val="0"/>
          <w:marRight w:val="0"/>
          <w:marTop w:val="0"/>
          <w:marBottom w:val="0"/>
          <w:divBdr>
            <w:top w:val="none" w:sz="0" w:space="0" w:color="auto"/>
            <w:left w:val="none" w:sz="0" w:space="0" w:color="auto"/>
            <w:bottom w:val="none" w:sz="0" w:space="0" w:color="auto"/>
            <w:right w:val="none" w:sz="0" w:space="0" w:color="auto"/>
          </w:divBdr>
          <w:divsChild>
            <w:div w:id="1214191729">
              <w:marLeft w:val="0"/>
              <w:marRight w:val="0"/>
              <w:marTop w:val="0"/>
              <w:marBottom w:val="0"/>
              <w:divBdr>
                <w:top w:val="none" w:sz="0" w:space="0" w:color="auto"/>
                <w:left w:val="none" w:sz="0" w:space="0" w:color="auto"/>
                <w:bottom w:val="none" w:sz="0" w:space="0" w:color="auto"/>
                <w:right w:val="none" w:sz="0" w:space="0" w:color="auto"/>
              </w:divBdr>
            </w:div>
          </w:divsChild>
        </w:div>
        <w:div w:id="854226987">
          <w:marLeft w:val="0"/>
          <w:marRight w:val="0"/>
          <w:marTop w:val="0"/>
          <w:marBottom w:val="0"/>
          <w:divBdr>
            <w:top w:val="none" w:sz="0" w:space="0" w:color="auto"/>
            <w:left w:val="none" w:sz="0" w:space="0" w:color="auto"/>
            <w:bottom w:val="none" w:sz="0" w:space="0" w:color="auto"/>
            <w:right w:val="none" w:sz="0" w:space="0" w:color="auto"/>
          </w:divBdr>
          <w:divsChild>
            <w:div w:id="667708658">
              <w:marLeft w:val="0"/>
              <w:marRight w:val="0"/>
              <w:marTop w:val="0"/>
              <w:marBottom w:val="0"/>
              <w:divBdr>
                <w:top w:val="none" w:sz="0" w:space="0" w:color="auto"/>
                <w:left w:val="none" w:sz="0" w:space="0" w:color="auto"/>
                <w:bottom w:val="none" w:sz="0" w:space="0" w:color="auto"/>
                <w:right w:val="none" w:sz="0" w:space="0" w:color="auto"/>
              </w:divBdr>
            </w:div>
          </w:divsChild>
        </w:div>
        <w:div w:id="876700826">
          <w:marLeft w:val="0"/>
          <w:marRight w:val="0"/>
          <w:marTop w:val="0"/>
          <w:marBottom w:val="0"/>
          <w:divBdr>
            <w:top w:val="none" w:sz="0" w:space="0" w:color="auto"/>
            <w:left w:val="none" w:sz="0" w:space="0" w:color="auto"/>
            <w:bottom w:val="none" w:sz="0" w:space="0" w:color="auto"/>
            <w:right w:val="none" w:sz="0" w:space="0" w:color="auto"/>
          </w:divBdr>
          <w:divsChild>
            <w:div w:id="52192811">
              <w:marLeft w:val="0"/>
              <w:marRight w:val="0"/>
              <w:marTop w:val="0"/>
              <w:marBottom w:val="0"/>
              <w:divBdr>
                <w:top w:val="none" w:sz="0" w:space="0" w:color="auto"/>
                <w:left w:val="none" w:sz="0" w:space="0" w:color="auto"/>
                <w:bottom w:val="none" w:sz="0" w:space="0" w:color="auto"/>
                <w:right w:val="none" w:sz="0" w:space="0" w:color="auto"/>
              </w:divBdr>
            </w:div>
          </w:divsChild>
        </w:div>
        <w:div w:id="922685856">
          <w:marLeft w:val="0"/>
          <w:marRight w:val="0"/>
          <w:marTop w:val="0"/>
          <w:marBottom w:val="0"/>
          <w:divBdr>
            <w:top w:val="none" w:sz="0" w:space="0" w:color="auto"/>
            <w:left w:val="none" w:sz="0" w:space="0" w:color="auto"/>
            <w:bottom w:val="none" w:sz="0" w:space="0" w:color="auto"/>
            <w:right w:val="none" w:sz="0" w:space="0" w:color="auto"/>
          </w:divBdr>
          <w:divsChild>
            <w:div w:id="1734740781">
              <w:marLeft w:val="0"/>
              <w:marRight w:val="0"/>
              <w:marTop w:val="0"/>
              <w:marBottom w:val="0"/>
              <w:divBdr>
                <w:top w:val="none" w:sz="0" w:space="0" w:color="auto"/>
                <w:left w:val="none" w:sz="0" w:space="0" w:color="auto"/>
                <w:bottom w:val="none" w:sz="0" w:space="0" w:color="auto"/>
                <w:right w:val="none" w:sz="0" w:space="0" w:color="auto"/>
              </w:divBdr>
            </w:div>
          </w:divsChild>
        </w:div>
        <w:div w:id="973874764">
          <w:marLeft w:val="0"/>
          <w:marRight w:val="0"/>
          <w:marTop w:val="0"/>
          <w:marBottom w:val="0"/>
          <w:divBdr>
            <w:top w:val="none" w:sz="0" w:space="0" w:color="auto"/>
            <w:left w:val="none" w:sz="0" w:space="0" w:color="auto"/>
            <w:bottom w:val="none" w:sz="0" w:space="0" w:color="auto"/>
            <w:right w:val="none" w:sz="0" w:space="0" w:color="auto"/>
          </w:divBdr>
          <w:divsChild>
            <w:div w:id="723677123">
              <w:marLeft w:val="0"/>
              <w:marRight w:val="0"/>
              <w:marTop w:val="0"/>
              <w:marBottom w:val="0"/>
              <w:divBdr>
                <w:top w:val="none" w:sz="0" w:space="0" w:color="auto"/>
                <w:left w:val="none" w:sz="0" w:space="0" w:color="auto"/>
                <w:bottom w:val="none" w:sz="0" w:space="0" w:color="auto"/>
                <w:right w:val="none" w:sz="0" w:space="0" w:color="auto"/>
              </w:divBdr>
            </w:div>
          </w:divsChild>
        </w:div>
        <w:div w:id="987593967">
          <w:marLeft w:val="0"/>
          <w:marRight w:val="0"/>
          <w:marTop w:val="0"/>
          <w:marBottom w:val="0"/>
          <w:divBdr>
            <w:top w:val="none" w:sz="0" w:space="0" w:color="auto"/>
            <w:left w:val="none" w:sz="0" w:space="0" w:color="auto"/>
            <w:bottom w:val="none" w:sz="0" w:space="0" w:color="auto"/>
            <w:right w:val="none" w:sz="0" w:space="0" w:color="auto"/>
          </w:divBdr>
          <w:divsChild>
            <w:div w:id="1268004322">
              <w:marLeft w:val="0"/>
              <w:marRight w:val="0"/>
              <w:marTop w:val="0"/>
              <w:marBottom w:val="0"/>
              <w:divBdr>
                <w:top w:val="none" w:sz="0" w:space="0" w:color="auto"/>
                <w:left w:val="none" w:sz="0" w:space="0" w:color="auto"/>
                <w:bottom w:val="none" w:sz="0" w:space="0" w:color="auto"/>
                <w:right w:val="none" w:sz="0" w:space="0" w:color="auto"/>
              </w:divBdr>
            </w:div>
          </w:divsChild>
        </w:div>
        <w:div w:id="1023821432">
          <w:marLeft w:val="0"/>
          <w:marRight w:val="0"/>
          <w:marTop w:val="0"/>
          <w:marBottom w:val="0"/>
          <w:divBdr>
            <w:top w:val="none" w:sz="0" w:space="0" w:color="auto"/>
            <w:left w:val="none" w:sz="0" w:space="0" w:color="auto"/>
            <w:bottom w:val="none" w:sz="0" w:space="0" w:color="auto"/>
            <w:right w:val="none" w:sz="0" w:space="0" w:color="auto"/>
          </w:divBdr>
          <w:divsChild>
            <w:div w:id="347758250">
              <w:marLeft w:val="0"/>
              <w:marRight w:val="0"/>
              <w:marTop w:val="0"/>
              <w:marBottom w:val="0"/>
              <w:divBdr>
                <w:top w:val="none" w:sz="0" w:space="0" w:color="auto"/>
                <w:left w:val="none" w:sz="0" w:space="0" w:color="auto"/>
                <w:bottom w:val="none" w:sz="0" w:space="0" w:color="auto"/>
                <w:right w:val="none" w:sz="0" w:space="0" w:color="auto"/>
              </w:divBdr>
            </w:div>
          </w:divsChild>
        </w:div>
        <w:div w:id="1092508206">
          <w:marLeft w:val="0"/>
          <w:marRight w:val="0"/>
          <w:marTop w:val="0"/>
          <w:marBottom w:val="0"/>
          <w:divBdr>
            <w:top w:val="none" w:sz="0" w:space="0" w:color="auto"/>
            <w:left w:val="none" w:sz="0" w:space="0" w:color="auto"/>
            <w:bottom w:val="none" w:sz="0" w:space="0" w:color="auto"/>
            <w:right w:val="none" w:sz="0" w:space="0" w:color="auto"/>
          </w:divBdr>
          <w:divsChild>
            <w:div w:id="1651790742">
              <w:marLeft w:val="0"/>
              <w:marRight w:val="0"/>
              <w:marTop w:val="0"/>
              <w:marBottom w:val="0"/>
              <w:divBdr>
                <w:top w:val="none" w:sz="0" w:space="0" w:color="auto"/>
                <w:left w:val="none" w:sz="0" w:space="0" w:color="auto"/>
                <w:bottom w:val="none" w:sz="0" w:space="0" w:color="auto"/>
                <w:right w:val="none" w:sz="0" w:space="0" w:color="auto"/>
              </w:divBdr>
            </w:div>
          </w:divsChild>
        </w:div>
        <w:div w:id="1233081568">
          <w:marLeft w:val="0"/>
          <w:marRight w:val="0"/>
          <w:marTop w:val="0"/>
          <w:marBottom w:val="0"/>
          <w:divBdr>
            <w:top w:val="none" w:sz="0" w:space="0" w:color="auto"/>
            <w:left w:val="none" w:sz="0" w:space="0" w:color="auto"/>
            <w:bottom w:val="none" w:sz="0" w:space="0" w:color="auto"/>
            <w:right w:val="none" w:sz="0" w:space="0" w:color="auto"/>
          </w:divBdr>
          <w:divsChild>
            <w:div w:id="198587217">
              <w:marLeft w:val="0"/>
              <w:marRight w:val="0"/>
              <w:marTop w:val="0"/>
              <w:marBottom w:val="0"/>
              <w:divBdr>
                <w:top w:val="none" w:sz="0" w:space="0" w:color="auto"/>
                <w:left w:val="none" w:sz="0" w:space="0" w:color="auto"/>
                <w:bottom w:val="none" w:sz="0" w:space="0" w:color="auto"/>
                <w:right w:val="none" w:sz="0" w:space="0" w:color="auto"/>
              </w:divBdr>
            </w:div>
          </w:divsChild>
        </w:div>
        <w:div w:id="1241525504">
          <w:marLeft w:val="0"/>
          <w:marRight w:val="0"/>
          <w:marTop w:val="0"/>
          <w:marBottom w:val="0"/>
          <w:divBdr>
            <w:top w:val="none" w:sz="0" w:space="0" w:color="auto"/>
            <w:left w:val="none" w:sz="0" w:space="0" w:color="auto"/>
            <w:bottom w:val="none" w:sz="0" w:space="0" w:color="auto"/>
            <w:right w:val="none" w:sz="0" w:space="0" w:color="auto"/>
          </w:divBdr>
          <w:divsChild>
            <w:div w:id="1340038306">
              <w:marLeft w:val="0"/>
              <w:marRight w:val="0"/>
              <w:marTop w:val="0"/>
              <w:marBottom w:val="0"/>
              <w:divBdr>
                <w:top w:val="none" w:sz="0" w:space="0" w:color="auto"/>
                <w:left w:val="none" w:sz="0" w:space="0" w:color="auto"/>
                <w:bottom w:val="none" w:sz="0" w:space="0" w:color="auto"/>
                <w:right w:val="none" w:sz="0" w:space="0" w:color="auto"/>
              </w:divBdr>
            </w:div>
          </w:divsChild>
        </w:div>
        <w:div w:id="1243488144">
          <w:marLeft w:val="0"/>
          <w:marRight w:val="0"/>
          <w:marTop w:val="0"/>
          <w:marBottom w:val="0"/>
          <w:divBdr>
            <w:top w:val="none" w:sz="0" w:space="0" w:color="auto"/>
            <w:left w:val="none" w:sz="0" w:space="0" w:color="auto"/>
            <w:bottom w:val="none" w:sz="0" w:space="0" w:color="auto"/>
            <w:right w:val="none" w:sz="0" w:space="0" w:color="auto"/>
          </w:divBdr>
          <w:divsChild>
            <w:div w:id="2110814625">
              <w:marLeft w:val="0"/>
              <w:marRight w:val="0"/>
              <w:marTop w:val="0"/>
              <w:marBottom w:val="0"/>
              <w:divBdr>
                <w:top w:val="none" w:sz="0" w:space="0" w:color="auto"/>
                <w:left w:val="none" w:sz="0" w:space="0" w:color="auto"/>
                <w:bottom w:val="none" w:sz="0" w:space="0" w:color="auto"/>
                <w:right w:val="none" w:sz="0" w:space="0" w:color="auto"/>
              </w:divBdr>
            </w:div>
          </w:divsChild>
        </w:div>
        <w:div w:id="1266884687">
          <w:marLeft w:val="0"/>
          <w:marRight w:val="0"/>
          <w:marTop w:val="0"/>
          <w:marBottom w:val="0"/>
          <w:divBdr>
            <w:top w:val="none" w:sz="0" w:space="0" w:color="auto"/>
            <w:left w:val="none" w:sz="0" w:space="0" w:color="auto"/>
            <w:bottom w:val="none" w:sz="0" w:space="0" w:color="auto"/>
            <w:right w:val="none" w:sz="0" w:space="0" w:color="auto"/>
          </w:divBdr>
          <w:divsChild>
            <w:div w:id="2018459311">
              <w:marLeft w:val="0"/>
              <w:marRight w:val="0"/>
              <w:marTop w:val="0"/>
              <w:marBottom w:val="0"/>
              <w:divBdr>
                <w:top w:val="none" w:sz="0" w:space="0" w:color="auto"/>
                <w:left w:val="none" w:sz="0" w:space="0" w:color="auto"/>
                <w:bottom w:val="none" w:sz="0" w:space="0" w:color="auto"/>
                <w:right w:val="none" w:sz="0" w:space="0" w:color="auto"/>
              </w:divBdr>
            </w:div>
          </w:divsChild>
        </w:div>
        <w:div w:id="1289975235">
          <w:marLeft w:val="0"/>
          <w:marRight w:val="0"/>
          <w:marTop w:val="0"/>
          <w:marBottom w:val="0"/>
          <w:divBdr>
            <w:top w:val="none" w:sz="0" w:space="0" w:color="auto"/>
            <w:left w:val="none" w:sz="0" w:space="0" w:color="auto"/>
            <w:bottom w:val="none" w:sz="0" w:space="0" w:color="auto"/>
            <w:right w:val="none" w:sz="0" w:space="0" w:color="auto"/>
          </w:divBdr>
          <w:divsChild>
            <w:div w:id="791364394">
              <w:marLeft w:val="0"/>
              <w:marRight w:val="0"/>
              <w:marTop w:val="0"/>
              <w:marBottom w:val="0"/>
              <w:divBdr>
                <w:top w:val="none" w:sz="0" w:space="0" w:color="auto"/>
                <w:left w:val="none" w:sz="0" w:space="0" w:color="auto"/>
                <w:bottom w:val="none" w:sz="0" w:space="0" w:color="auto"/>
                <w:right w:val="none" w:sz="0" w:space="0" w:color="auto"/>
              </w:divBdr>
            </w:div>
          </w:divsChild>
        </w:div>
        <w:div w:id="1323505755">
          <w:marLeft w:val="0"/>
          <w:marRight w:val="0"/>
          <w:marTop w:val="0"/>
          <w:marBottom w:val="0"/>
          <w:divBdr>
            <w:top w:val="none" w:sz="0" w:space="0" w:color="auto"/>
            <w:left w:val="none" w:sz="0" w:space="0" w:color="auto"/>
            <w:bottom w:val="none" w:sz="0" w:space="0" w:color="auto"/>
            <w:right w:val="none" w:sz="0" w:space="0" w:color="auto"/>
          </w:divBdr>
          <w:divsChild>
            <w:div w:id="1721438982">
              <w:marLeft w:val="0"/>
              <w:marRight w:val="0"/>
              <w:marTop w:val="0"/>
              <w:marBottom w:val="0"/>
              <w:divBdr>
                <w:top w:val="none" w:sz="0" w:space="0" w:color="auto"/>
                <w:left w:val="none" w:sz="0" w:space="0" w:color="auto"/>
                <w:bottom w:val="none" w:sz="0" w:space="0" w:color="auto"/>
                <w:right w:val="none" w:sz="0" w:space="0" w:color="auto"/>
              </w:divBdr>
            </w:div>
          </w:divsChild>
        </w:div>
        <w:div w:id="1361054390">
          <w:marLeft w:val="0"/>
          <w:marRight w:val="0"/>
          <w:marTop w:val="0"/>
          <w:marBottom w:val="0"/>
          <w:divBdr>
            <w:top w:val="none" w:sz="0" w:space="0" w:color="auto"/>
            <w:left w:val="none" w:sz="0" w:space="0" w:color="auto"/>
            <w:bottom w:val="none" w:sz="0" w:space="0" w:color="auto"/>
            <w:right w:val="none" w:sz="0" w:space="0" w:color="auto"/>
          </w:divBdr>
          <w:divsChild>
            <w:div w:id="1576427612">
              <w:marLeft w:val="0"/>
              <w:marRight w:val="0"/>
              <w:marTop w:val="0"/>
              <w:marBottom w:val="0"/>
              <w:divBdr>
                <w:top w:val="none" w:sz="0" w:space="0" w:color="auto"/>
                <w:left w:val="none" w:sz="0" w:space="0" w:color="auto"/>
                <w:bottom w:val="none" w:sz="0" w:space="0" w:color="auto"/>
                <w:right w:val="none" w:sz="0" w:space="0" w:color="auto"/>
              </w:divBdr>
            </w:div>
          </w:divsChild>
        </w:div>
        <w:div w:id="1370062175">
          <w:marLeft w:val="0"/>
          <w:marRight w:val="0"/>
          <w:marTop w:val="0"/>
          <w:marBottom w:val="0"/>
          <w:divBdr>
            <w:top w:val="none" w:sz="0" w:space="0" w:color="auto"/>
            <w:left w:val="none" w:sz="0" w:space="0" w:color="auto"/>
            <w:bottom w:val="none" w:sz="0" w:space="0" w:color="auto"/>
            <w:right w:val="none" w:sz="0" w:space="0" w:color="auto"/>
          </w:divBdr>
          <w:divsChild>
            <w:div w:id="67116440">
              <w:marLeft w:val="0"/>
              <w:marRight w:val="0"/>
              <w:marTop w:val="0"/>
              <w:marBottom w:val="0"/>
              <w:divBdr>
                <w:top w:val="none" w:sz="0" w:space="0" w:color="auto"/>
                <w:left w:val="none" w:sz="0" w:space="0" w:color="auto"/>
                <w:bottom w:val="none" w:sz="0" w:space="0" w:color="auto"/>
                <w:right w:val="none" w:sz="0" w:space="0" w:color="auto"/>
              </w:divBdr>
            </w:div>
          </w:divsChild>
        </w:div>
        <w:div w:id="1371958531">
          <w:marLeft w:val="0"/>
          <w:marRight w:val="0"/>
          <w:marTop w:val="0"/>
          <w:marBottom w:val="0"/>
          <w:divBdr>
            <w:top w:val="none" w:sz="0" w:space="0" w:color="auto"/>
            <w:left w:val="none" w:sz="0" w:space="0" w:color="auto"/>
            <w:bottom w:val="none" w:sz="0" w:space="0" w:color="auto"/>
            <w:right w:val="none" w:sz="0" w:space="0" w:color="auto"/>
          </w:divBdr>
          <w:divsChild>
            <w:div w:id="1061707801">
              <w:marLeft w:val="0"/>
              <w:marRight w:val="0"/>
              <w:marTop w:val="0"/>
              <w:marBottom w:val="0"/>
              <w:divBdr>
                <w:top w:val="none" w:sz="0" w:space="0" w:color="auto"/>
                <w:left w:val="none" w:sz="0" w:space="0" w:color="auto"/>
                <w:bottom w:val="none" w:sz="0" w:space="0" w:color="auto"/>
                <w:right w:val="none" w:sz="0" w:space="0" w:color="auto"/>
              </w:divBdr>
            </w:div>
          </w:divsChild>
        </w:div>
        <w:div w:id="1417480081">
          <w:marLeft w:val="0"/>
          <w:marRight w:val="0"/>
          <w:marTop w:val="0"/>
          <w:marBottom w:val="0"/>
          <w:divBdr>
            <w:top w:val="none" w:sz="0" w:space="0" w:color="auto"/>
            <w:left w:val="none" w:sz="0" w:space="0" w:color="auto"/>
            <w:bottom w:val="none" w:sz="0" w:space="0" w:color="auto"/>
            <w:right w:val="none" w:sz="0" w:space="0" w:color="auto"/>
          </w:divBdr>
          <w:divsChild>
            <w:div w:id="734279302">
              <w:marLeft w:val="0"/>
              <w:marRight w:val="0"/>
              <w:marTop w:val="0"/>
              <w:marBottom w:val="0"/>
              <w:divBdr>
                <w:top w:val="none" w:sz="0" w:space="0" w:color="auto"/>
                <w:left w:val="none" w:sz="0" w:space="0" w:color="auto"/>
                <w:bottom w:val="none" w:sz="0" w:space="0" w:color="auto"/>
                <w:right w:val="none" w:sz="0" w:space="0" w:color="auto"/>
              </w:divBdr>
            </w:div>
          </w:divsChild>
        </w:div>
        <w:div w:id="1426799594">
          <w:marLeft w:val="0"/>
          <w:marRight w:val="0"/>
          <w:marTop w:val="0"/>
          <w:marBottom w:val="0"/>
          <w:divBdr>
            <w:top w:val="none" w:sz="0" w:space="0" w:color="auto"/>
            <w:left w:val="none" w:sz="0" w:space="0" w:color="auto"/>
            <w:bottom w:val="none" w:sz="0" w:space="0" w:color="auto"/>
            <w:right w:val="none" w:sz="0" w:space="0" w:color="auto"/>
          </w:divBdr>
          <w:divsChild>
            <w:div w:id="648440331">
              <w:marLeft w:val="0"/>
              <w:marRight w:val="0"/>
              <w:marTop w:val="0"/>
              <w:marBottom w:val="0"/>
              <w:divBdr>
                <w:top w:val="none" w:sz="0" w:space="0" w:color="auto"/>
                <w:left w:val="none" w:sz="0" w:space="0" w:color="auto"/>
                <w:bottom w:val="none" w:sz="0" w:space="0" w:color="auto"/>
                <w:right w:val="none" w:sz="0" w:space="0" w:color="auto"/>
              </w:divBdr>
            </w:div>
          </w:divsChild>
        </w:div>
        <w:div w:id="1446385252">
          <w:marLeft w:val="0"/>
          <w:marRight w:val="0"/>
          <w:marTop w:val="0"/>
          <w:marBottom w:val="0"/>
          <w:divBdr>
            <w:top w:val="none" w:sz="0" w:space="0" w:color="auto"/>
            <w:left w:val="none" w:sz="0" w:space="0" w:color="auto"/>
            <w:bottom w:val="none" w:sz="0" w:space="0" w:color="auto"/>
            <w:right w:val="none" w:sz="0" w:space="0" w:color="auto"/>
          </w:divBdr>
          <w:divsChild>
            <w:div w:id="191308908">
              <w:marLeft w:val="0"/>
              <w:marRight w:val="0"/>
              <w:marTop w:val="0"/>
              <w:marBottom w:val="0"/>
              <w:divBdr>
                <w:top w:val="none" w:sz="0" w:space="0" w:color="auto"/>
                <w:left w:val="none" w:sz="0" w:space="0" w:color="auto"/>
                <w:bottom w:val="none" w:sz="0" w:space="0" w:color="auto"/>
                <w:right w:val="none" w:sz="0" w:space="0" w:color="auto"/>
              </w:divBdr>
            </w:div>
          </w:divsChild>
        </w:div>
        <w:div w:id="1464495588">
          <w:marLeft w:val="0"/>
          <w:marRight w:val="0"/>
          <w:marTop w:val="0"/>
          <w:marBottom w:val="0"/>
          <w:divBdr>
            <w:top w:val="none" w:sz="0" w:space="0" w:color="auto"/>
            <w:left w:val="none" w:sz="0" w:space="0" w:color="auto"/>
            <w:bottom w:val="none" w:sz="0" w:space="0" w:color="auto"/>
            <w:right w:val="none" w:sz="0" w:space="0" w:color="auto"/>
          </w:divBdr>
          <w:divsChild>
            <w:div w:id="598368942">
              <w:marLeft w:val="0"/>
              <w:marRight w:val="0"/>
              <w:marTop w:val="0"/>
              <w:marBottom w:val="0"/>
              <w:divBdr>
                <w:top w:val="none" w:sz="0" w:space="0" w:color="auto"/>
                <w:left w:val="none" w:sz="0" w:space="0" w:color="auto"/>
                <w:bottom w:val="none" w:sz="0" w:space="0" w:color="auto"/>
                <w:right w:val="none" w:sz="0" w:space="0" w:color="auto"/>
              </w:divBdr>
            </w:div>
          </w:divsChild>
        </w:div>
        <w:div w:id="1497842337">
          <w:marLeft w:val="0"/>
          <w:marRight w:val="0"/>
          <w:marTop w:val="0"/>
          <w:marBottom w:val="0"/>
          <w:divBdr>
            <w:top w:val="none" w:sz="0" w:space="0" w:color="auto"/>
            <w:left w:val="none" w:sz="0" w:space="0" w:color="auto"/>
            <w:bottom w:val="none" w:sz="0" w:space="0" w:color="auto"/>
            <w:right w:val="none" w:sz="0" w:space="0" w:color="auto"/>
          </w:divBdr>
          <w:divsChild>
            <w:div w:id="923219390">
              <w:marLeft w:val="0"/>
              <w:marRight w:val="0"/>
              <w:marTop w:val="0"/>
              <w:marBottom w:val="0"/>
              <w:divBdr>
                <w:top w:val="none" w:sz="0" w:space="0" w:color="auto"/>
                <w:left w:val="none" w:sz="0" w:space="0" w:color="auto"/>
                <w:bottom w:val="none" w:sz="0" w:space="0" w:color="auto"/>
                <w:right w:val="none" w:sz="0" w:space="0" w:color="auto"/>
              </w:divBdr>
            </w:div>
          </w:divsChild>
        </w:div>
        <w:div w:id="1504903751">
          <w:marLeft w:val="0"/>
          <w:marRight w:val="0"/>
          <w:marTop w:val="0"/>
          <w:marBottom w:val="0"/>
          <w:divBdr>
            <w:top w:val="none" w:sz="0" w:space="0" w:color="auto"/>
            <w:left w:val="none" w:sz="0" w:space="0" w:color="auto"/>
            <w:bottom w:val="none" w:sz="0" w:space="0" w:color="auto"/>
            <w:right w:val="none" w:sz="0" w:space="0" w:color="auto"/>
          </w:divBdr>
          <w:divsChild>
            <w:div w:id="1678313812">
              <w:marLeft w:val="0"/>
              <w:marRight w:val="0"/>
              <w:marTop w:val="0"/>
              <w:marBottom w:val="0"/>
              <w:divBdr>
                <w:top w:val="none" w:sz="0" w:space="0" w:color="auto"/>
                <w:left w:val="none" w:sz="0" w:space="0" w:color="auto"/>
                <w:bottom w:val="none" w:sz="0" w:space="0" w:color="auto"/>
                <w:right w:val="none" w:sz="0" w:space="0" w:color="auto"/>
              </w:divBdr>
            </w:div>
          </w:divsChild>
        </w:div>
        <w:div w:id="1524005651">
          <w:marLeft w:val="0"/>
          <w:marRight w:val="0"/>
          <w:marTop w:val="0"/>
          <w:marBottom w:val="0"/>
          <w:divBdr>
            <w:top w:val="none" w:sz="0" w:space="0" w:color="auto"/>
            <w:left w:val="none" w:sz="0" w:space="0" w:color="auto"/>
            <w:bottom w:val="none" w:sz="0" w:space="0" w:color="auto"/>
            <w:right w:val="none" w:sz="0" w:space="0" w:color="auto"/>
          </w:divBdr>
          <w:divsChild>
            <w:div w:id="1886065698">
              <w:marLeft w:val="0"/>
              <w:marRight w:val="0"/>
              <w:marTop w:val="0"/>
              <w:marBottom w:val="0"/>
              <w:divBdr>
                <w:top w:val="none" w:sz="0" w:space="0" w:color="auto"/>
                <w:left w:val="none" w:sz="0" w:space="0" w:color="auto"/>
                <w:bottom w:val="none" w:sz="0" w:space="0" w:color="auto"/>
                <w:right w:val="none" w:sz="0" w:space="0" w:color="auto"/>
              </w:divBdr>
            </w:div>
          </w:divsChild>
        </w:div>
        <w:div w:id="1551647198">
          <w:marLeft w:val="0"/>
          <w:marRight w:val="0"/>
          <w:marTop w:val="0"/>
          <w:marBottom w:val="0"/>
          <w:divBdr>
            <w:top w:val="none" w:sz="0" w:space="0" w:color="auto"/>
            <w:left w:val="none" w:sz="0" w:space="0" w:color="auto"/>
            <w:bottom w:val="none" w:sz="0" w:space="0" w:color="auto"/>
            <w:right w:val="none" w:sz="0" w:space="0" w:color="auto"/>
          </w:divBdr>
          <w:divsChild>
            <w:div w:id="1079446801">
              <w:marLeft w:val="0"/>
              <w:marRight w:val="0"/>
              <w:marTop w:val="0"/>
              <w:marBottom w:val="0"/>
              <w:divBdr>
                <w:top w:val="none" w:sz="0" w:space="0" w:color="auto"/>
                <w:left w:val="none" w:sz="0" w:space="0" w:color="auto"/>
                <w:bottom w:val="none" w:sz="0" w:space="0" w:color="auto"/>
                <w:right w:val="none" w:sz="0" w:space="0" w:color="auto"/>
              </w:divBdr>
            </w:div>
          </w:divsChild>
        </w:div>
        <w:div w:id="1602952337">
          <w:marLeft w:val="0"/>
          <w:marRight w:val="0"/>
          <w:marTop w:val="0"/>
          <w:marBottom w:val="0"/>
          <w:divBdr>
            <w:top w:val="none" w:sz="0" w:space="0" w:color="auto"/>
            <w:left w:val="none" w:sz="0" w:space="0" w:color="auto"/>
            <w:bottom w:val="none" w:sz="0" w:space="0" w:color="auto"/>
            <w:right w:val="none" w:sz="0" w:space="0" w:color="auto"/>
          </w:divBdr>
          <w:divsChild>
            <w:div w:id="954211105">
              <w:marLeft w:val="0"/>
              <w:marRight w:val="0"/>
              <w:marTop w:val="0"/>
              <w:marBottom w:val="0"/>
              <w:divBdr>
                <w:top w:val="none" w:sz="0" w:space="0" w:color="auto"/>
                <w:left w:val="none" w:sz="0" w:space="0" w:color="auto"/>
                <w:bottom w:val="none" w:sz="0" w:space="0" w:color="auto"/>
                <w:right w:val="none" w:sz="0" w:space="0" w:color="auto"/>
              </w:divBdr>
            </w:div>
          </w:divsChild>
        </w:div>
        <w:div w:id="1613317120">
          <w:marLeft w:val="0"/>
          <w:marRight w:val="0"/>
          <w:marTop w:val="0"/>
          <w:marBottom w:val="0"/>
          <w:divBdr>
            <w:top w:val="none" w:sz="0" w:space="0" w:color="auto"/>
            <w:left w:val="none" w:sz="0" w:space="0" w:color="auto"/>
            <w:bottom w:val="none" w:sz="0" w:space="0" w:color="auto"/>
            <w:right w:val="none" w:sz="0" w:space="0" w:color="auto"/>
          </w:divBdr>
          <w:divsChild>
            <w:div w:id="299266262">
              <w:marLeft w:val="0"/>
              <w:marRight w:val="0"/>
              <w:marTop w:val="0"/>
              <w:marBottom w:val="0"/>
              <w:divBdr>
                <w:top w:val="none" w:sz="0" w:space="0" w:color="auto"/>
                <w:left w:val="none" w:sz="0" w:space="0" w:color="auto"/>
                <w:bottom w:val="none" w:sz="0" w:space="0" w:color="auto"/>
                <w:right w:val="none" w:sz="0" w:space="0" w:color="auto"/>
              </w:divBdr>
            </w:div>
          </w:divsChild>
        </w:div>
        <w:div w:id="1621259983">
          <w:marLeft w:val="0"/>
          <w:marRight w:val="0"/>
          <w:marTop w:val="0"/>
          <w:marBottom w:val="0"/>
          <w:divBdr>
            <w:top w:val="none" w:sz="0" w:space="0" w:color="auto"/>
            <w:left w:val="none" w:sz="0" w:space="0" w:color="auto"/>
            <w:bottom w:val="none" w:sz="0" w:space="0" w:color="auto"/>
            <w:right w:val="none" w:sz="0" w:space="0" w:color="auto"/>
          </w:divBdr>
          <w:divsChild>
            <w:div w:id="888371898">
              <w:marLeft w:val="0"/>
              <w:marRight w:val="0"/>
              <w:marTop w:val="0"/>
              <w:marBottom w:val="0"/>
              <w:divBdr>
                <w:top w:val="none" w:sz="0" w:space="0" w:color="auto"/>
                <w:left w:val="none" w:sz="0" w:space="0" w:color="auto"/>
                <w:bottom w:val="none" w:sz="0" w:space="0" w:color="auto"/>
                <w:right w:val="none" w:sz="0" w:space="0" w:color="auto"/>
              </w:divBdr>
            </w:div>
          </w:divsChild>
        </w:div>
        <w:div w:id="1684086666">
          <w:marLeft w:val="0"/>
          <w:marRight w:val="0"/>
          <w:marTop w:val="0"/>
          <w:marBottom w:val="0"/>
          <w:divBdr>
            <w:top w:val="none" w:sz="0" w:space="0" w:color="auto"/>
            <w:left w:val="none" w:sz="0" w:space="0" w:color="auto"/>
            <w:bottom w:val="none" w:sz="0" w:space="0" w:color="auto"/>
            <w:right w:val="none" w:sz="0" w:space="0" w:color="auto"/>
          </w:divBdr>
          <w:divsChild>
            <w:div w:id="2091659507">
              <w:marLeft w:val="0"/>
              <w:marRight w:val="0"/>
              <w:marTop w:val="0"/>
              <w:marBottom w:val="0"/>
              <w:divBdr>
                <w:top w:val="none" w:sz="0" w:space="0" w:color="auto"/>
                <w:left w:val="none" w:sz="0" w:space="0" w:color="auto"/>
                <w:bottom w:val="none" w:sz="0" w:space="0" w:color="auto"/>
                <w:right w:val="none" w:sz="0" w:space="0" w:color="auto"/>
              </w:divBdr>
            </w:div>
          </w:divsChild>
        </w:div>
        <w:div w:id="1788505732">
          <w:marLeft w:val="0"/>
          <w:marRight w:val="0"/>
          <w:marTop w:val="0"/>
          <w:marBottom w:val="0"/>
          <w:divBdr>
            <w:top w:val="none" w:sz="0" w:space="0" w:color="auto"/>
            <w:left w:val="none" w:sz="0" w:space="0" w:color="auto"/>
            <w:bottom w:val="none" w:sz="0" w:space="0" w:color="auto"/>
            <w:right w:val="none" w:sz="0" w:space="0" w:color="auto"/>
          </w:divBdr>
          <w:divsChild>
            <w:div w:id="1863590440">
              <w:marLeft w:val="0"/>
              <w:marRight w:val="0"/>
              <w:marTop w:val="0"/>
              <w:marBottom w:val="0"/>
              <w:divBdr>
                <w:top w:val="none" w:sz="0" w:space="0" w:color="auto"/>
                <w:left w:val="none" w:sz="0" w:space="0" w:color="auto"/>
                <w:bottom w:val="none" w:sz="0" w:space="0" w:color="auto"/>
                <w:right w:val="none" w:sz="0" w:space="0" w:color="auto"/>
              </w:divBdr>
            </w:div>
          </w:divsChild>
        </w:div>
        <w:div w:id="1795053608">
          <w:marLeft w:val="0"/>
          <w:marRight w:val="0"/>
          <w:marTop w:val="0"/>
          <w:marBottom w:val="0"/>
          <w:divBdr>
            <w:top w:val="none" w:sz="0" w:space="0" w:color="auto"/>
            <w:left w:val="none" w:sz="0" w:space="0" w:color="auto"/>
            <w:bottom w:val="none" w:sz="0" w:space="0" w:color="auto"/>
            <w:right w:val="none" w:sz="0" w:space="0" w:color="auto"/>
          </w:divBdr>
          <w:divsChild>
            <w:div w:id="1857689331">
              <w:marLeft w:val="0"/>
              <w:marRight w:val="0"/>
              <w:marTop w:val="0"/>
              <w:marBottom w:val="0"/>
              <w:divBdr>
                <w:top w:val="none" w:sz="0" w:space="0" w:color="auto"/>
                <w:left w:val="none" w:sz="0" w:space="0" w:color="auto"/>
                <w:bottom w:val="none" w:sz="0" w:space="0" w:color="auto"/>
                <w:right w:val="none" w:sz="0" w:space="0" w:color="auto"/>
              </w:divBdr>
            </w:div>
          </w:divsChild>
        </w:div>
        <w:div w:id="1813595557">
          <w:marLeft w:val="0"/>
          <w:marRight w:val="0"/>
          <w:marTop w:val="0"/>
          <w:marBottom w:val="0"/>
          <w:divBdr>
            <w:top w:val="none" w:sz="0" w:space="0" w:color="auto"/>
            <w:left w:val="none" w:sz="0" w:space="0" w:color="auto"/>
            <w:bottom w:val="none" w:sz="0" w:space="0" w:color="auto"/>
            <w:right w:val="none" w:sz="0" w:space="0" w:color="auto"/>
          </w:divBdr>
          <w:divsChild>
            <w:div w:id="389350129">
              <w:marLeft w:val="0"/>
              <w:marRight w:val="0"/>
              <w:marTop w:val="0"/>
              <w:marBottom w:val="0"/>
              <w:divBdr>
                <w:top w:val="none" w:sz="0" w:space="0" w:color="auto"/>
                <w:left w:val="none" w:sz="0" w:space="0" w:color="auto"/>
                <w:bottom w:val="none" w:sz="0" w:space="0" w:color="auto"/>
                <w:right w:val="none" w:sz="0" w:space="0" w:color="auto"/>
              </w:divBdr>
            </w:div>
          </w:divsChild>
        </w:div>
        <w:div w:id="1815636628">
          <w:marLeft w:val="0"/>
          <w:marRight w:val="0"/>
          <w:marTop w:val="0"/>
          <w:marBottom w:val="0"/>
          <w:divBdr>
            <w:top w:val="none" w:sz="0" w:space="0" w:color="auto"/>
            <w:left w:val="none" w:sz="0" w:space="0" w:color="auto"/>
            <w:bottom w:val="none" w:sz="0" w:space="0" w:color="auto"/>
            <w:right w:val="none" w:sz="0" w:space="0" w:color="auto"/>
          </w:divBdr>
          <w:divsChild>
            <w:div w:id="990674779">
              <w:marLeft w:val="0"/>
              <w:marRight w:val="0"/>
              <w:marTop w:val="0"/>
              <w:marBottom w:val="0"/>
              <w:divBdr>
                <w:top w:val="none" w:sz="0" w:space="0" w:color="auto"/>
                <w:left w:val="none" w:sz="0" w:space="0" w:color="auto"/>
                <w:bottom w:val="none" w:sz="0" w:space="0" w:color="auto"/>
                <w:right w:val="none" w:sz="0" w:space="0" w:color="auto"/>
              </w:divBdr>
            </w:div>
          </w:divsChild>
        </w:div>
        <w:div w:id="1849782840">
          <w:marLeft w:val="0"/>
          <w:marRight w:val="0"/>
          <w:marTop w:val="0"/>
          <w:marBottom w:val="0"/>
          <w:divBdr>
            <w:top w:val="none" w:sz="0" w:space="0" w:color="auto"/>
            <w:left w:val="none" w:sz="0" w:space="0" w:color="auto"/>
            <w:bottom w:val="none" w:sz="0" w:space="0" w:color="auto"/>
            <w:right w:val="none" w:sz="0" w:space="0" w:color="auto"/>
          </w:divBdr>
          <w:divsChild>
            <w:div w:id="239021332">
              <w:marLeft w:val="0"/>
              <w:marRight w:val="0"/>
              <w:marTop w:val="0"/>
              <w:marBottom w:val="0"/>
              <w:divBdr>
                <w:top w:val="none" w:sz="0" w:space="0" w:color="auto"/>
                <w:left w:val="none" w:sz="0" w:space="0" w:color="auto"/>
                <w:bottom w:val="none" w:sz="0" w:space="0" w:color="auto"/>
                <w:right w:val="none" w:sz="0" w:space="0" w:color="auto"/>
              </w:divBdr>
            </w:div>
          </w:divsChild>
        </w:div>
        <w:div w:id="1854495257">
          <w:marLeft w:val="0"/>
          <w:marRight w:val="0"/>
          <w:marTop w:val="0"/>
          <w:marBottom w:val="0"/>
          <w:divBdr>
            <w:top w:val="none" w:sz="0" w:space="0" w:color="auto"/>
            <w:left w:val="none" w:sz="0" w:space="0" w:color="auto"/>
            <w:bottom w:val="none" w:sz="0" w:space="0" w:color="auto"/>
            <w:right w:val="none" w:sz="0" w:space="0" w:color="auto"/>
          </w:divBdr>
          <w:divsChild>
            <w:div w:id="2140486446">
              <w:marLeft w:val="0"/>
              <w:marRight w:val="0"/>
              <w:marTop w:val="0"/>
              <w:marBottom w:val="0"/>
              <w:divBdr>
                <w:top w:val="none" w:sz="0" w:space="0" w:color="auto"/>
                <w:left w:val="none" w:sz="0" w:space="0" w:color="auto"/>
                <w:bottom w:val="none" w:sz="0" w:space="0" w:color="auto"/>
                <w:right w:val="none" w:sz="0" w:space="0" w:color="auto"/>
              </w:divBdr>
            </w:div>
          </w:divsChild>
        </w:div>
        <w:div w:id="1887713776">
          <w:marLeft w:val="0"/>
          <w:marRight w:val="0"/>
          <w:marTop w:val="0"/>
          <w:marBottom w:val="0"/>
          <w:divBdr>
            <w:top w:val="none" w:sz="0" w:space="0" w:color="auto"/>
            <w:left w:val="none" w:sz="0" w:space="0" w:color="auto"/>
            <w:bottom w:val="none" w:sz="0" w:space="0" w:color="auto"/>
            <w:right w:val="none" w:sz="0" w:space="0" w:color="auto"/>
          </w:divBdr>
          <w:divsChild>
            <w:div w:id="1986083393">
              <w:marLeft w:val="0"/>
              <w:marRight w:val="0"/>
              <w:marTop w:val="0"/>
              <w:marBottom w:val="0"/>
              <w:divBdr>
                <w:top w:val="none" w:sz="0" w:space="0" w:color="auto"/>
                <w:left w:val="none" w:sz="0" w:space="0" w:color="auto"/>
                <w:bottom w:val="none" w:sz="0" w:space="0" w:color="auto"/>
                <w:right w:val="none" w:sz="0" w:space="0" w:color="auto"/>
              </w:divBdr>
            </w:div>
          </w:divsChild>
        </w:div>
        <w:div w:id="1898006502">
          <w:marLeft w:val="0"/>
          <w:marRight w:val="0"/>
          <w:marTop w:val="0"/>
          <w:marBottom w:val="0"/>
          <w:divBdr>
            <w:top w:val="none" w:sz="0" w:space="0" w:color="auto"/>
            <w:left w:val="none" w:sz="0" w:space="0" w:color="auto"/>
            <w:bottom w:val="none" w:sz="0" w:space="0" w:color="auto"/>
            <w:right w:val="none" w:sz="0" w:space="0" w:color="auto"/>
          </w:divBdr>
          <w:divsChild>
            <w:div w:id="1246183381">
              <w:marLeft w:val="0"/>
              <w:marRight w:val="0"/>
              <w:marTop w:val="0"/>
              <w:marBottom w:val="0"/>
              <w:divBdr>
                <w:top w:val="none" w:sz="0" w:space="0" w:color="auto"/>
                <w:left w:val="none" w:sz="0" w:space="0" w:color="auto"/>
                <w:bottom w:val="none" w:sz="0" w:space="0" w:color="auto"/>
                <w:right w:val="none" w:sz="0" w:space="0" w:color="auto"/>
              </w:divBdr>
            </w:div>
          </w:divsChild>
        </w:div>
        <w:div w:id="1975525661">
          <w:marLeft w:val="0"/>
          <w:marRight w:val="0"/>
          <w:marTop w:val="0"/>
          <w:marBottom w:val="0"/>
          <w:divBdr>
            <w:top w:val="none" w:sz="0" w:space="0" w:color="auto"/>
            <w:left w:val="none" w:sz="0" w:space="0" w:color="auto"/>
            <w:bottom w:val="none" w:sz="0" w:space="0" w:color="auto"/>
            <w:right w:val="none" w:sz="0" w:space="0" w:color="auto"/>
          </w:divBdr>
          <w:divsChild>
            <w:div w:id="25182502">
              <w:marLeft w:val="0"/>
              <w:marRight w:val="0"/>
              <w:marTop w:val="0"/>
              <w:marBottom w:val="0"/>
              <w:divBdr>
                <w:top w:val="none" w:sz="0" w:space="0" w:color="auto"/>
                <w:left w:val="none" w:sz="0" w:space="0" w:color="auto"/>
                <w:bottom w:val="none" w:sz="0" w:space="0" w:color="auto"/>
                <w:right w:val="none" w:sz="0" w:space="0" w:color="auto"/>
              </w:divBdr>
            </w:div>
          </w:divsChild>
        </w:div>
        <w:div w:id="1995792880">
          <w:marLeft w:val="0"/>
          <w:marRight w:val="0"/>
          <w:marTop w:val="0"/>
          <w:marBottom w:val="0"/>
          <w:divBdr>
            <w:top w:val="none" w:sz="0" w:space="0" w:color="auto"/>
            <w:left w:val="none" w:sz="0" w:space="0" w:color="auto"/>
            <w:bottom w:val="none" w:sz="0" w:space="0" w:color="auto"/>
            <w:right w:val="none" w:sz="0" w:space="0" w:color="auto"/>
          </w:divBdr>
          <w:divsChild>
            <w:div w:id="1774282325">
              <w:marLeft w:val="0"/>
              <w:marRight w:val="0"/>
              <w:marTop w:val="0"/>
              <w:marBottom w:val="0"/>
              <w:divBdr>
                <w:top w:val="none" w:sz="0" w:space="0" w:color="auto"/>
                <w:left w:val="none" w:sz="0" w:space="0" w:color="auto"/>
                <w:bottom w:val="none" w:sz="0" w:space="0" w:color="auto"/>
                <w:right w:val="none" w:sz="0" w:space="0" w:color="auto"/>
              </w:divBdr>
            </w:div>
          </w:divsChild>
        </w:div>
        <w:div w:id="2015106066">
          <w:marLeft w:val="0"/>
          <w:marRight w:val="0"/>
          <w:marTop w:val="0"/>
          <w:marBottom w:val="0"/>
          <w:divBdr>
            <w:top w:val="none" w:sz="0" w:space="0" w:color="auto"/>
            <w:left w:val="none" w:sz="0" w:space="0" w:color="auto"/>
            <w:bottom w:val="none" w:sz="0" w:space="0" w:color="auto"/>
            <w:right w:val="none" w:sz="0" w:space="0" w:color="auto"/>
          </w:divBdr>
          <w:divsChild>
            <w:div w:id="1299846756">
              <w:marLeft w:val="0"/>
              <w:marRight w:val="0"/>
              <w:marTop w:val="0"/>
              <w:marBottom w:val="0"/>
              <w:divBdr>
                <w:top w:val="none" w:sz="0" w:space="0" w:color="auto"/>
                <w:left w:val="none" w:sz="0" w:space="0" w:color="auto"/>
                <w:bottom w:val="none" w:sz="0" w:space="0" w:color="auto"/>
                <w:right w:val="none" w:sz="0" w:space="0" w:color="auto"/>
              </w:divBdr>
            </w:div>
          </w:divsChild>
        </w:div>
        <w:div w:id="2046177624">
          <w:marLeft w:val="0"/>
          <w:marRight w:val="0"/>
          <w:marTop w:val="0"/>
          <w:marBottom w:val="0"/>
          <w:divBdr>
            <w:top w:val="none" w:sz="0" w:space="0" w:color="auto"/>
            <w:left w:val="none" w:sz="0" w:space="0" w:color="auto"/>
            <w:bottom w:val="none" w:sz="0" w:space="0" w:color="auto"/>
            <w:right w:val="none" w:sz="0" w:space="0" w:color="auto"/>
          </w:divBdr>
          <w:divsChild>
            <w:div w:id="1406075474">
              <w:marLeft w:val="0"/>
              <w:marRight w:val="0"/>
              <w:marTop w:val="0"/>
              <w:marBottom w:val="0"/>
              <w:divBdr>
                <w:top w:val="none" w:sz="0" w:space="0" w:color="auto"/>
                <w:left w:val="none" w:sz="0" w:space="0" w:color="auto"/>
                <w:bottom w:val="none" w:sz="0" w:space="0" w:color="auto"/>
                <w:right w:val="none" w:sz="0" w:space="0" w:color="auto"/>
              </w:divBdr>
            </w:div>
          </w:divsChild>
        </w:div>
        <w:div w:id="2047220475">
          <w:marLeft w:val="0"/>
          <w:marRight w:val="0"/>
          <w:marTop w:val="0"/>
          <w:marBottom w:val="0"/>
          <w:divBdr>
            <w:top w:val="none" w:sz="0" w:space="0" w:color="auto"/>
            <w:left w:val="none" w:sz="0" w:space="0" w:color="auto"/>
            <w:bottom w:val="none" w:sz="0" w:space="0" w:color="auto"/>
            <w:right w:val="none" w:sz="0" w:space="0" w:color="auto"/>
          </w:divBdr>
          <w:divsChild>
            <w:div w:id="389576178">
              <w:marLeft w:val="0"/>
              <w:marRight w:val="0"/>
              <w:marTop w:val="0"/>
              <w:marBottom w:val="0"/>
              <w:divBdr>
                <w:top w:val="none" w:sz="0" w:space="0" w:color="auto"/>
                <w:left w:val="none" w:sz="0" w:space="0" w:color="auto"/>
                <w:bottom w:val="none" w:sz="0" w:space="0" w:color="auto"/>
                <w:right w:val="none" w:sz="0" w:space="0" w:color="auto"/>
              </w:divBdr>
            </w:div>
          </w:divsChild>
        </w:div>
        <w:div w:id="2079010344">
          <w:marLeft w:val="0"/>
          <w:marRight w:val="0"/>
          <w:marTop w:val="0"/>
          <w:marBottom w:val="0"/>
          <w:divBdr>
            <w:top w:val="none" w:sz="0" w:space="0" w:color="auto"/>
            <w:left w:val="none" w:sz="0" w:space="0" w:color="auto"/>
            <w:bottom w:val="none" w:sz="0" w:space="0" w:color="auto"/>
            <w:right w:val="none" w:sz="0" w:space="0" w:color="auto"/>
          </w:divBdr>
          <w:divsChild>
            <w:div w:id="526404903">
              <w:marLeft w:val="0"/>
              <w:marRight w:val="0"/>
              <w:marTop w:val="0"/>
              <w:marBottom w:val="0"/>
              <w:divBdr>
                <w:top w:val="none" w:sz="0" w:space="0" w:color="auto"/>
                <w:left w:val="none" w:sz="0" w:space="0" w:color="auto"/>
                <w:bottom w:val="none" w:sz="0" w:space="0" w:color="auto"/>
                <w:right w:val="none" w:sz="0" w:space="0" w:color="auto"/>
              </w:divBdr>
            </w:div>
          </w:divsChild>
        </w:div>
        <w:div w:id="2079938086">
          <w:marLeft w:val="0"/>
          <w:marRight w:val="0"/>
          <w:marTop w:val="0"/>
          <w:marBottom w:val="0"/>
          <w:divBdr>
            <w:top w:val="none" w:sz="0" w:space="0" w:color="auto"/>
            <w:left w:val="none" w:sz="0" w:space="0" w:color="auto"/>
            <w:bottom w:val="none" w:sz="0" w:space="0" w:color="auto"/>
            <w:right w:val="none" w:sz="0" w:space="0" w:color="auto"/>
          </w:divBdr>
          <w:divsChild>
            <w:div w:id="1987516364">
              <w:marLeft w:val="0"/>
              <w:marRight w:val="0"/>
              <w:marTop w:val="0"/>
              <w:marBottom w:val="0"/>
              <w:divBdr>
                <w:top w:val="none" w:sz="0" w:space="0" w:color="auto"/>
                <w:left w:val="none" w:sz="0" w:space="0" w:color="auto"/>
                <w:bottom w:val="none" w:sz="0" w:space="0" w:color="auto"/>
                <w:right w:val="none" w:sz="0" w:space="0" w:color="auto"/>
              </w:divBdr>
            </w:div>
          </w:divsChild>
        </w:div>
        <w:div w:id="2105488284">
          <w:marLeft w:val="0"/>
          <w:marRight w:val="0"/>
          <w:marTop w:val="0"/>
          <w:marBottom w:val="0"/>
          <w:divBdr>
            <w:top w:val="none" w:sz="0" w:space="0" w:color="auto"/>
            <w:left w:val="none" w:sz="0" w:space="0" w:color="auto"/>
            <w:bottom w:val="none" w:sz="0" w:space="0" w:color="auto"/>
            <w:right w:val="none" w:sz="0" w:space="0" w:color="auto"/>
          </w:divBdr>
          <w:divsChild>
            <w:div w:id="110323796">
              <w:marLeft w:val="0"/>
              <w:marRight w:val="0"/>
              <w:marTop w:val="0"/>
              <w:marBottom w:val="0"/>
              <w:divBdr>
                <w:top w:val="none" w:sz="0" w:space="0" w:color="auto"/>
                <w:left w:val="none" w:sz="0" w:space="0" w:color="auto"/>
                <w:bottom w:val="none" w:sz="0" w:space="0" w:color="auto"/>
                <w:right w:val="none" w:sz="0" w:space="0" w:color="auto"/>
              </w:divBdr>
            </w:div>
          </w:divsChild>
        </w:div>
        <w:div w:id="2119370056">
          <w:marLeft w:val="0"/>
          <w:marRight w:val="0"/>
          <w:marTop w:val="0"/>
          <w:marBottom w:val="0"/>
          <w:divBdr>
            <w:top w:val="none" w:sz="0" w:space="0" w:color="auto"/>
            <w:left w:val="none" w:sz="0" w:space="0" w:color="auto"/>
            <w:bottom w:val="none" w:sz="0" w:space="0" w:color="auto"/>
            <w:right w:val="none" w:sz="0" w:space="0" w:color="auto"/>
          </w:divBdr>
          <w:divsChild>
            <w:div w:id="7373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40177">
      <w:bodyDiv w:val="1"/>
      <w:marLeft w:val="0"/>
      <w:marRight w:val="0"/>
      <w:marTop w:val="0"/>
      <w:marBottom w:val="0"/>
      <w:divBdr>
        <w:top w:val="none" w:sz="0" w:space="0" w:color="auto"/>
        <w:left w:val="none" w:sz="0" w:space="0" w:color="auto"/>
        <w:bottom w:val="none" w:sz="0" w:space="0" w:color="auto"/>
        <w:right w:val="none" w:sz="0" w:space="0" w:color="auto"/>
      </w:divBdr>
      <w:divsChild>
        <w:div w:id="1336614397">
          <w:marLeft w:val="0"/>
          <w:marRight w:val="0"/>
          <w:marTop w:val="0"/>
          <w:marBottom w:val="0"/>
          <w:divBdr>
            <w:top w:val="none" w:sz="0" w:space="0" w:color="auto"/>
            <w:left w:val="none" w:sz="0" w:space="0" w:color="auto"/>
            <w:bottom w:val="none" w:sz="0" w:space="0" w:color="auto"/>
            <w:right w:val="none" w:sz="0" w:space="0" w:color="auto"/>
          </w:divBdr>
          <w:divsChild>
            <w:div w:id="632293503">
              <w:marLeft w:val="0"/>
              <w:marRight w:val="0"/>
              <w:marTop w:val="0"/>
              <w:marBottom w:val="0"/>
              <w:divBdr>
                <w:top w:val="none" w:sz="0" w:space="0" w:color="auto"/>
                <w:left w:val="none" w:sz="0" w:space="0" w:color="auto"/>
                <w:bottom w:val="none" w:sz="0" w:space="0" w:color="auto"/>
                <w:right w:val="none" w:sz="0" w:space="0" w:color="auto"/>
              </w:divBdr>
            </w:div>
            <w:div w:id="704452591">
              <w:marLeft w:val="0"/>
              <w:marRight w:val="0"/>
              <w:marTop w:val="0"/>
              <w:marBottom w:val="0"/>
              <w:divBdr>
                <w:top w:val="none" w:sz="0" w:space="0" w:color="auto"/>
                <w:left w:val="none" w:sz="0" w:space="0" w:color="auto"/>
                <w:bottom w:val="none" w:sz="0" w:space="0" w:color="auto"/>
                <w:right w:val="none" w:sz="0" w:space="0" w:color="auto"/>
              </w:divBdr>
            </w:div>
            <w:div w:id="861092019">
              <w:marLeft w:val="0"/>
              <w:marRight w:val="0"/>
              <w:marTop w:val="0"/>
              <w:marBottom w:val="0"/>
              <w:divBdr>
                <w:top w:val="none" w:sz="0" w:space="0" w:color="auto"/>
                <w:left w:val="none" w:sz="0" w:space="0" w:color="auto"/>
                <w:bottom w:val="none" w:sz="0" w:space="0" w:color="auto"/>
                <w:right w:val="none" w:sz="0" w:space="0" w:color="auto"/>
              </w:divBdr>
            </w:div>
            <w:div w:id="1068842726">
              <w:marLeft w:val="0"/>
              <w:marRight w:val="0"/>
              <w:marTop w:val="0"/>
              <w:marBottom w:val="0"/>
              <w:divBdr>
                <w:top w:val="none" w:sz="0" w:space="0" w:color="auto"/>
                <w:left w:val="none" w:sz="0" w:space="0" w:color="auto"/>
                <w:bottom w:val="none" w:sz="0" w:space="0" w:color="auto"/>
                <w:right w:val="none" w:sz="0" w:space="0" w:color="auto"/>
              </w:divBdr>
            </w:div>
            <w:div w:id="1087188247">
              <w:marLeft w:val="0"/>
              <w:marRight w:val="0"/>
              <w:marTop w:val="0"/>
              <w:marBottom w:val="0"/>
              <w:divBdr>
                <w:top w:val="none" w:sz="0" w:space="0" w:color="auto"/>
                <w:left w:val="none" w:sz="0" w:space="0" w:color="auto"/>
                <w:bottom w:val="none" w:sz="0" w:space="0" w:color="auto"/>
                <w:right w:val="none" w:sz="0" w:space="0" w:color="auto"/>
              </w:divBdr>
            </w:div>
            <w:div w:id="18073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657255">
      <w:bodyDiv w:val="1"/>
      <w:marLeft w:val="0"/>
      <w:marRight w:val="0"/>
      <w:marTop w:val="0"/>
      <w:marBottom w:val="0"/>
      <w:divBdr>
        <w:top w:val="none" w:sz="0" w:space="0" w:color="auto"/>
        <w:left w:val="none" w:sz="0" w:space="0" w:color="auto"/>
        <w:bottom w:val="none" w:sz="0" w:space="0" w:color="auto"/>
        <w:right w:val="none" w:sz="0" w:space="0" w:color="auto"/>
      </w:divBdr>
      <w:divsChild>
        <w:div w:id="159588893">
          <w:marLeft w:val="1166"/>
          <w:marRight w:val="0"/>
          <w:marTop w:val="0"/>
          <w:marBottom w:val="160"/>
          <w:divBdr>
            <w:top w:val="none" w:sz="0" w:space="0" w:color="auto"/>
            <w:left w:val="none" w:sz="0" w:space="0" w:color="auto"/>
            <w:bottom w:val="none" w:sz="0" w:space="0" w:color="auto"/>
            <w:right w:val="none" w:sz="0" w:space="0" w:color="auto"/>
          </w:divBdr>
        </w:div>
        <w:div w:id="283343908">
          <w:marLeft w:val="1166"/>
          <w:marRight w:val="0"/>
          <w:marTop w:val="0"/>
          <w:marBottom w:val="160"/>
          <w:divBdr>
            <w:top w:val="none" w:sz="0" w:space="0" w:color="auto"/>
            <w:left w:val="none" w:sz="0" w:space="0" w:color="auto"/>
            <w:bottom w:val="none" w:sz="0" w:space="0" w:color="auto"/>
            <w:right w:val="none" w:sz="0" w:space="0" w:color="auto"/>
          </w:divBdr>
        </w:div>
        <w:div w:id="573861618">
          <w:marLeft w:val="1166"/>
          <w:marRight w:val="0"/>
          <w:marTop w:val="0"/>
          <w:marBottom w:val="160"/>
          <w:divBdr>
            <w:top w:val="none" w:sz="0" w:space="0" w:color="auto"/>
            <w:left w:val="none" w:sz="0" w:space="0" w:color="auto"/>
            <w:bottom w:val="none" w:sz="0" w:space="0" w:color="auto"/>
            <w:right w:val="none" w:sz="0" w:space="0" w:color="auto"/>
          </w:divBdr>
        </w:div>
        <w:div w:id="876040963">
          <w:marLeft w:val="1166"/>
          <w:marRight w:val="0"/>
          <w:marTop w:val="0"/>
          <w:marBottom w:val="160"/>
          <w:divBdr>
            <w:top w:val="none" w:sz="0" w:space="0" w:color="auto"/>
            <w:left w:val="none" w:sz="0" w:space="0" w:color="auto"/>
            <w:bottom w:val="none" w:sz="0" w:space="0" w:color="auto"/>
            <w:right w:val="none" w:sz="0" w:space="0" w:color="auto"/>
          </w:divBdr>
        </w:div>
        <w:div w:id="969672413">
          <w:marLeft w:val="1166"/>
          <w:marRight w:val="0"/>
          <w:marTop w:val="0"/>
          <w:marBottom w:val="160"/>
          <w:divBdr>
            <w:top w:val="none" w:sz="0" w:space="0" w:color="auto"/>
            <w:left w:val="none" w:sz="0" w:space="0" w:color="auto"/>
            <w:bottom w:val="none" w:sz="0" w:space="0" w:color="auto"/>
            <w:right w:val="none" w:sz="0" w:space="0" w:color="auto"/>
          </w:divBdr>
        </w:div>
        <w:div w:id="1366826815">
          <w:marLeft w:val="1166"/>
          <w:marRight w:val="0"/>
          <w:marTop w:val="0"/>
          <w:marBottom w:val="160"/>
          <w:divBdr>
            <w:top w:val="none" w:sz="0" w:space="0" w:color="auto"/>
            <w:left w:val="none" w:sz="0" w:space="0" w:color="auto"/>
            <w:bottom w:val="none" w:sz="0" w:space="0" w:color="auto"/>
            <w:right w:val="none" w:sz="0" w:space="0" w:color="auto"/>
          </w:divBdr>
        </w:div>
        <w:div w:id="1527254398">
          <w:marLeft w:val="1166"/>
          <w:marRight w:val="0"/>
          <w:marTop w:val="0"/>
          <w:marBottom w:val="160"/>
          <w:divBdr>
            <w:top w:val="none" w:sz="0" w:space="0" w:color="auto"/>
            <w:left w:val="none" w:sz="0" w:space="0" w:color="auto"/>
            <w:bottom w:val="none" w:sz="0" w:space="0" w:color="auto"/>
            <w:right w:val="none" w:sz="0" w:space="0" w:color="auto"/>
          </w:divBdr>
        </w:div>
        <w:div w:id="1556693723">
          <w:marLeft w:val="1166"/>
          <w:marRight w:val="0"/>
          <w:marTop w:val="0"/>
          <w:marBottom w:val="160"/>
          <w:divBdr>
            <w:top w:val="none" w:sz="0" w:space="0" w:color="auto"/>
            <w:left w:val="none" w:sz="0" w:space="0" w:color="auto"/>
            <w:bottom w:val="none" w:sz="0" w:space="0" w:color="auto"/>
            <w:right w:val="none" w:sz="0" w:space="0" w:color="auto"/>
          </w:divBdr>
        </w:div>
        <w:div w:id="1560051138">
          <w:marLeft w:val="1166"/>
          <w:marRight w:val="0"/>
          <w:marTop w:val="0"/>
          <w:marBottom w:val="160"/>
          <w:divBdr>
            <w:top w:val="none" w:sz="0" w:space="0" w:color="auto"/>
            <w:left w:val="none" w:sz="0" w:space="0" w:color="auto"/>
            <w:bottom w:val="none" w:sz="0" w:space="0" w:color="auto"/>
            <w:right w:val="none" w:sz="0" w:space="0" w:color="auto"/>
          </w:divBdr>
        </w:div>
        <w:div w:id="1597206971">
          <w:marLeft w:val="1166"/>
          <w:marRight w:val="0"/>
          <w:marTop w:val="0"/>
          <w:marBottom w:val="160"/>
          <w:divBdr>
            <w:top w:val="none" w:sz="0" w:space="0" w:color="auto"/>
            <w:left w:val="none" w:sz="0" w:space="0" w:color="auto"/>
            <w:bottom w:val="none" w:sz="0" w:space="0" w:color="auto"/>
            <w:right w:val="none" w:sz="0" w:space="0" w:color="auto"/>
          </w:divBdr>
        </w:div>
        <w:div w:id="1894536781">
          <w:marLeft w:val="1166"/>
          <w:marRight w:val="0"/>
          <w:marTop w:val="0"/>
          <w:marBottom w:val="160"/>
          <w:divBdr>
            <w:top w:val="none" w:sz="0" w:space="0" w:color="auto"/>
            <w:left w:val="none" w:sz="0" w:space="0" w:color="auto"/>
            <w:bottom w:val="none" w:sz="0" w:space="0" w:color="auto"/>
            <w:right w:val="none" w:sz="0" w:space="0" w:color="auto"/>
          </w:divBdr>
        </w:div>
        <w:div w:id="2081174437">
          <w:marLeft w:val="1166"/>
          <w:marRight w:val="0"/>
          <w:marTop w:val="0"/>
          <w:marBottom w:val="160"/>
          <w:divBdr>
            <w:top w:val="none" w:sz="0" w:space="0" w:color="auto"/>
            <w:left w:val="none" w:sz="0" w:space="0" w:color="auto"/>
            <w:bottom w:val="none" w:sz="0" w:space="0" w:color="auto"/>
            <w:right w:val="none" w:sz="0" w:space="0" w:color="auto"/>
          </w:divBdr>
        </w:div>
        <w:div w:id="2140223870">
          <w:marLeft w:val="1166"/>
          <w:marRight w:val="0"/>
          <w:marTop w:val="0"/>
          <w:marBottom w:val="160"/>
          <w:divBdr>
            <w:top w:val="none" w:sz="0" w:space="0" w:color="auto"/>
            <w:left w:val="none" w:sz="0" w:space="0" w:color="auto"/>
            <w:bottom w:val="none" w:sz="0" w:space="0" w:color="auto"/>
            <w:right w:val="none" w:sz="0" w:space="0" w:color="auto"/>
          </w:divBdr>
        </w:div>
      </w:divsChild>
    </w:div>
    <w:div w:id="1973057802">
      <w:bodyDiv w:val="1"/>
      <w:marLeft w:val="0"/>
      <w:marRight w:val="0"/>
      <w:marTop w:val="0"/>
      <w:marBottom w:val="0"/>
      <w:divBdr>
        <w:top w:val="none" w:sz="0" w:space="0" w:color="auto"/>
        <w:left w:val="none" w:sz="0" w:space="0" w:color="auto"/>
        <w:bottom w:val="none" w:sz="0" w:space="0" w:color="auto"/>
        <w:right w:val="none" w:sz="0" w:space="0" w:color="auto"/>
      </w:divBdr>
    </w:div>
    <w:div w:id="1977686291">
      <w:bodyDiv w:val="1"/>
      <w:marLeft w:val="0"/>
      <w:marRight w:val="0"/>
      <w:marTop w:val="0"/>
      <w:marBottom w:val="0"/>
      <w:divBdr>
        <w:top w:val="none" w:sz="0" w:space="0" w:color="auto"/>
        <w:left w:val="none" w:sz="0" w:space="0" w:color="auto"/>
        <w:bottom w:val="none" w:sz="0" w:space="0" w:color="auto"/>
        <w:right w:val="none" w:sz="0" w:space="0" w:color="auto"/>
      </w:divBdr>
    </w:div>
    <w:div w:id="1979920078">
      <w:bodyDiv w:val="1"/>
      <w:marLeft w:val="0"/>
      <w:marRight w:val="0"/>
      <w:marTop w:val="0"/>
      <w:marBottom w:val="0"/>
      <w:divBdr>
        <w:top w:val="none" w:sz="0" w:space="0" w:color="auto"/>
        <w:left w:val="none" w:sz="0" w:space="0" w:color="auto"/>
        <w:bottom w:val="none" w:sz="0" w:space="0" w:color="auto"/>
        <w:right w:val="none" w:sz="0" w:space="0" w:color="auto"/>
      </w:divBdr>
    </w:div>
    <w:div w:id="1985311297">
      <w:bodyDiv w:val="1"/>
      <w:marLeft w:val="0"/>
      <w:marRight w:val="0"/>
      <w:marTop w:val="0"/>
      <w:marBottom w:val="0"/>
      <w:divBdr>
        <w:top w:val="none" w:sz="0" w:space="0" w:color="auto"/>
        <w:left w:val="none" w:sz="0" w:space="0" w:color="auto"/>
        <w:bottom w:val="none" w:sz="0" w:space="0" w:color="auto"/>
        <w:right w:val="none" w:sz="0" w:space="0" w:color="auto"/>
      </w:divBdr>
    </w:div>
    <w:div w:id="1989743490">
      <w:bodyDiv w:val="1"/>
      <w:marLeft w:val="0"/>
      <w:marRight w:val="0"/>
      <w:marTop w:val="0"/>
      <w:marBottom w:val="0"/>
      <w:divBdr>
        <w:top w:val="none" w:sz="0" w:space="0" w:color="auto"/>
        <w:left w:val="none" w:sz="0" w:space="0" w:color="auto"/>
        <w:bottom w:val="none" w:sz="0" w:space="0" w:color="auto"/>
        <w:right w:val="none" w:sz="0" w:space="0" w:color="auto"/>
      </w:divBdr>
    </w:div>
    <w:div w:id="2000033398">
      <w:bodyDiv w:val="1"/>
      <w:marLeft w:val="0"/>
      <w:marRight w:val="0"/>
      <w:marTop w:val="0"/>
      <w:marBottom w:val="0"/>
      <w:divBdr>
        <w:top w:val="none" w:sz="0" w:space="0" w:color="auto"/>
        <w:left w:val="none" w:sz="0" w:space="0" w:color="auto"/>
        <w:bottom w:val="none" w:sz="0" w:space="0" w:color="auto"/>
        <w:right w:val="none" w:sz="0" w:space="0" w:color="auto"/>
      </w:divBdr>
    </w:div>
    <w:div w:id="2006081605">
      <w:bodyDiv w:val="1"/>
      <w:marLeft w:val="0"/>
      <w:marRight w:val="0"/>
      <w:marTop w:val="0"/>
      <w:marBottom w:val="0"/>
      <w:divBdr>
        <w:top w:val="none" w:sz="0" w:space="0" w:color="auto"/>
        <w:left w:val="none" w:sz="0" w:space="0" w:color="auto"/>
        <w:bottom w:val="none" w:sz="0" w:space="0" w:color="auto"/>
        <w:right w:val="none" w:sz="0" w:space="0" w:color="auto"/>
      </w:divBdr>
    </w:div>
    <w:div w:id="2011789009">
      <w:bodyDiv w:val="1"/>
      <w:marLeft w:val="0"/>
      <w:marRight w:val="0"/>
      <w:marTop w:val="0"/>
      <w:marBottom w:val="0"/>
      <w:divBdr>
        <w:top w:val="none" w:sz="0" w:space="0" w:color="auto"/>
        <w:left w:val="none" w:sz="0" w:space="0" w:color="auto"/>
        <w:bottom w:val="none" w:sz="0" w:space="0" w:color="auto"/>
        <w:right w:val="none" w:sz="0" w:space="0" w:color="auto"/>
      </w:divBdr>
    </w:div>
    <w:div w:id="2018383523">
      <w:bodyDiv w:val="1"/>
      <w:marLeft w:val="0"/>
      <w:marRight w:val="0"/>
      <w:marTop w:val="0"/>
      <w:marBottom w:val="0"/>
      <w:divBdr>
        <w:top w:val="none" w:sz="0" w:space="0" w:color="auto"/>
        <w:left w:val="none" w:sz="0" w:space="0" w:color="auto"/>
        <w:bottom w:val="none" w:sz="0" w:space="0" w:color="auto"/>
        <w:right w:val="none" w:sz="0" w:space="0" w:color="auto"/>
      </w:divBdr>
    </w:div>
    <w:div w:id="2033652790">
      <w:bodyDiv w:val="1"/>
      <w:marLeft w:val="0"/>
      <w:marRight w:val="0"/>
      <w:marTop w:val="0"/>
      <w:marBottom w:val="0"/>
      <w:divBdr>
        <w:top w:val="none" w:sz="0" w:space="0" w:color="auto"/>
        <w:left w:val="none" w:sz="0" w:space="0" w:color="auto"/>
        <w:bottom w:val="none" w:sz="0" w:space="0" w:color="auto"/>
        <w:right w:val="none" w:sz="0" w:space="0" w:color="auto"/>
      </w:divBdr>
    </w:div>
    <w:div w:id="2061517374">
      <w:bodyDiv w:val="1"/>
      <w:marLeft w:val="0"/>
      <w:marRight w:val="0"/>
      <w:marTop w:val="0"/>
      <w:marBottom w:val="0"/>
      <w:divBdr>
        <w:top w:val="none" w:sz="0" w:space="0" w:color="auto"/>
        <w:left w:val="none" w:sz="0" w:space="0" w:color="auto"/>
        <w:bottom w:val="none" w:sz="0" w:space="0" w:color="auto"/>
        <w:right w:val="none" w:sz="0" w:space="0" w:color="auto"/>
      </w:divBdr>
    </w:div>
    <w:div w:id="2062485408">
      <w:bodyDiv w:val="1"/>
      <w:marLeft w:val="0"/>
      <w:marRight w:val="0"/>
      <w:marTop w:val="0"/>
      <w:marBottom w:val="0"/>
      <w:divBdr>
        <w:top w:val="none" w:sz="0" w:space="0" w:color="auto"/>
        <w:left w:val="none" w:sz="0" w:space="0" w:color="auto"/>
        <w:bottom w:val="none" w:sz="0" w:space="0" w:color="auto"/>
        <w:right w:val="none" w:sz="0" w:space="0" w:color="auto"/>
      </w:divBdr>
    </w:div>
    <w:div w:id="2071227035">
      <w:bodyDiv w:val="1"/>
      <w:marLeft w:val="0"/>
      <w:marRight w:val="0"/>
      <w:marTop w:val="0"/>
      <w:marBottom w:val="0"/>
      <w:divBdr>
        <w:top w:val="none" w:sz="0" w:space="0" w:color="auto"/>
        <w:left w:val="none" w:sz="0" w:space="0" w:color="auto"/>
        <w:bottom w:val="none" w:sz="0" w:space="0" w:color="auto"/>
        <w:right w:val="none" w:sz="0" w:space="0" w:color="auto"/>
      </w:divBdr>
      <w:divsChild>
        <w:div w:id="61948779">
          <w:marLeft w:val="0"/>
          <w:marRight w:val="0"/>
          <w:marTop w:val="0"/>
          <w:marBottom w:val="0"/>
          <w:divBdr>
            <w:top w:val="none" w:sz="0" w:space="0" w:color="auto"/>
            <w:left w:val="none" w:sz="0" w:space="0" w:color="auto"/>
            <w:bottom w:val="none" w:sz="0" w:space="0" w:color="auto"/>
            <w:right w:val="none" w:sz="0" w:space="0" w:color="auto"/>
          </w:divBdr>
          <w:divsChild>
            <w:div w:id="1566793154">
              <w:marLeft w:val="0"/>
              <w:marRight w:val="0"/>
              <w:marTop w:val="0"/>
              <w:marBottom w:val="0"/>
              <w:divBdr>
                <w:top w:val="none" w:sz="0" w:space="0" w:color="auto"/>
                <w:left w:val="none" w:sz="0" w:space="0" w:color="auto"/>
                <w:bottom w:val="none" w:sz="0" w:space="0" w:color="auto"/>
                <w:right w:val="none" w:sz="0" w:space="0" w:color="auto"/>
              </w:divBdr>
            </w:div>
          </w:divsChild>
        </w:div>
        <w:div w:id="163280500">
          <w:marLeft w:val="0"/>
          <w:marRight w:val="0"/>
          <w:marTop w:val="0"/>
          <w:marBottom w:val="0"/>
          <w:divBdr>
            <w:top w:val="none" w:sz="0" w:space="0" w:color="auto"/>
            <w:left w:val="none" w:sz="0" w:space="0" w:color="auto"/>
            <w:bottom w:val="none" w:sz="0" w:space="0" w:color="auto"/>
            <w:right w:val="none" w:sz="0" w:space="0" w:color="auto"/>
          </w:divBdr>
          <w:divsChild>
            <w:div w:id="275135399">
              <w:marLeft w:val="0"/>
              <w:marRight w:val="0"/>
              <w:marTop w:val="0"/>
              <w:marBottom w:val="0"/>
              <w:divBdr>
                <w:top w:val="none" w:sz="0" w:space="0" w:color="auto"/>
                <w:left w:val="none" w:sz="0" w:space="0" w:color="auto"/>
                <w:bottom w:val="none" w:sz="0" w:space="0" w:color="auto"/>
                <w:right w:val="none" w:sz="0" w:space="0" w:color="auto"/>
              </w:divBdr>
            </w:div>
          </w:divsChild>
        </w:div>
        <w:div w:id="186992561">
          <w:marLeft w:val="0"/>
          <w:marRight w:val="0"/>
          <w:marTop w:val="0"/>
          <w:marBottom w:val="0"/>
          <w:divBdr>
            <w:top w:val="none" w:sz="0" w:space="0" w:color="auto"/>
            <w:left w:val="none" w:sz="0" w:space="0" w:color="auto"/>
            <w:bottom w:val="none" w:sz="0" w:space="0" w:color="auto"/>
            <w:right w:val="none" w:sz="0" w:space="0" w:color="auto"/>
          </w:divBdr>
          <w:divsChild>
            <w:div w:id="2135558398">
              <w:marLeft w:val="0"/>
              <w:marRight w:val="0"/>
              <w:marTop w:val="0"/>
              <w:marBottom w:val="0"/>
              <w:divBdr>
                <w:top w:val="none" w:sz="0" w:space="0" w:color="auto"/>
                <w:left w:val="none" w:sz="0" w:space="0" w:color="auto"/>
                <w:bottom w:val="none" w:sz="0" w:space="0" w:color="auto"/>
                <w:right w:val="none" w:sz="0" w:space="0" w:color="auto"/>
              </w:divBdr>
            </w:div>
          </w:divsChild>
        </w:div>
        <w:div w:id="248467487">
          <w:marLeft w:val="0"/>
          <w:marRight w:val="0"/>
          <w:marTop w:val="0"/>
          <w:marBottom w:val="0"/>
          <w:divBdr>
            <w:top w:val="none" w:sz="0" w:space="0" w:color="auto"/>
            <w:left w:val="none" w:sz="0" w:space="0" w:color="auto"/>
            <w:bottom w:val="none" w:sz="0" w:space="0" w:color="auto"/>
            <w:right w:val="none" w:sz="0" w:space="0" w:color="auto"/>
          </w:divBdr>
          <w:divsChild>
            <w:div w:id="352805672">
              <w:marLeft w:val="0"/>
              <w:marRight w:val="0"/>
              <w:marTop w:val="0"/>
              <w:marBottom w:val="0"/>
              <w:divBdr>
                <w:top w:val="none" w:sz="0" w:space="0" w:color="auto"/>
                <w:left w:val="none" w:sz="0" w:space="0" w:color="auto"/>
                <w:bottom w:val="none" w:sz="0" w:space="0" w:color="auto"/>
                <w:right w:val="none" w:sz="0" w:space="0" w:color="auto"/>
              </w:divBdr>
            </w:div>
          </w:divsChild>
        </w:div>
        <w:div w:id="283771618">
          <w:marLeft w:val="0"/>
          <w:marRight w:val="0"/>
          <w:marTop w:val="0"/>
          <w:marBottom w:val="0"/>
          <w:divBdr>
            <w:top w:val="none" w:sz="0" w:space="0" w:color="auto"/>
            <w:left w:val="none" w:sz="0" w:space="0" w:color="auto"/>
            <w:bottom w:val="none" w:sz="0" w:space="0" w:color="auto"/>
            <w:right w:val="none" w:sz="0" w:space="0" w:color="auto"/>
          </w:divBdr>
          <w:divsChild>
            <w:div w:id="703604746">
              <w:marLeft w:val="0"/>
              <w:marRight w:val="0"/>
              <w:marTop w:val="0"/>
              <w:marBottom w:val="0"/>
              <w:divBdr>
                <w:top w:val="none" w:sz="0" w:space="0" w:color="auto"/>
                <w:left w:val="none" w:sz="0" w:space="0" w:color="auto"/>
                <w:bottom w:val="none" w:sz="0" w:space="0" w:color="auto"/>
                <w:right w:val="none" w:sz="0" w:space="0" w:color="auto"/>
              </w:divBdr>
            </w:div>
          </w:divsChild>
        </w:div>
        <w:div w:id="292449643">
          <w:marLeft w:val="0"/>
          <w:marRight w:val="0"/>
          <w:marTop w:val="0"/>
          <w:marBottom w:val="0"/>
          <w:divBdr>
            <w:top w:val="none" w:sz="0" w:space="0" w:color="auto"/>
            <w:left w:val="none" w:sz="0" w:space="0" w:color="auto"/>
            <w:bottom w:val="none" w:sz="0" w:space="0" w:color="auto"/>
            <w:right w:val="none" w:sz="0" w:space="0" w:color="auto"/>
          </w:divBdr>
          <w:divsChild>
            <w:div w:id="606305069">
              <w:marLeft w:val="0"/>
              <w:marRight w:val="0"/>
              <w:marTop w:val="0"/>
              <w:marBottom w:val="0"/>
              <w:divBdr>
                <w:top w:val="none" w:sz="0" w:space="0" w:color="auto"/>
                <w:left w:val="none" w:sz="0" w:space="0" w:color="auto"/>
                <w:bottom w:val="none" w:sz="0" w:space="0" w:color="auto"/>
                <w:right w:val="none" w:sz="0" w:space="0" w:color="auto"/>
              </w:divBdr>
            </w:div>
          </w:divsChild>
        </w:div>
        <w:div w:id="309023998">
          <w:marLeft w:val="0"/>
          <w:marRight w:val="0"/>
          <w:marTop w:val="0"/>
          <w:marBottom w:val="0"/>
          <w:divBdr>
            <w:top w:val="none" w:sz="0" w:space="0" w:color="auto"/>
            <w:left w:val="none" w:sz="0" w:space="0" w:color="auto"/>
            <w:bottom w:val="none" w:sz="0" w:space="0" w:color="auto"/>
            <w:right w:val="none" w:sz="0" w:space="0" w:color="auto"/>
          </w:divBdr>
          <w:divsChild>
            <w:div w:id="2101443303">
              <w:marLeft w:val="0"/>
              <w:marRight w:val="0"/>
              <w:marTop w:val="0"/>
              <w:marBottom w:val="0"/>
              <w:divBdr>
                <w:top w:val="none" w:sz="0" w:space="0" w:color="auto"/>
                <w:left w:val="none" w:sz="0" w:space="0" w:color="auto"/>
                <w:bottom w:val="none" w:sz="0" w:space="0" w:color="auto"/>
                <w:right w:val="none" w:sz="0" w:space="0" w:color="auto"/>
              </w:divBdr>
            </w:div>
          </w:divsChild>
        </w:div>
        <w:div w:id="309408198">
          <w:marLeft w:val="0"/>
          <w:marRight w:val="0"/>
          <w:marTop w:val="0"/>
          <w:marBottom w:val="0"/>
          <w:divBdr>
            <w:top w:val="none" w:sz="0" w:space="0" w:color="auto"/>
            <w:left w:val="none" w:sz="0" w:space="0" w:color="auto"/>
            <w:bottom w:val="none" w:sz="0" w:space="0" w:color="auto"/>
            <w:right w:val="none" w:sz="0" w:space="0" w:color="auto"/>
          </w:divBdr>
          <w:divsChild>
            <w:div w:id="1515265984">
              <w:marLeft w:val="0"/>
              <w:marRight w:val="0"/>
              <w:marTop w:val="0"/>
              <w:marBottom w:val="0"/>
              <w:divBdr>
                <w:top w:val="none" w:sz="0" w:space="0" w:color="auto"/>
                <w:left w:val="none" w:sz="0" w:space="0" w:color="auto"/>
                <w:bottom w:val="none" w:sz="0" w:space="0" w:color="auto"/>
                <w:right w:val="none" w:sz="0" w:space="0" w:color="auto"/>
              </w:divBdr>
            </w:div>
          </w:divsChild>
        </w:div>
        <w:div w:id="320550743">
          <w:marLeft w:val="0"/>
          <w:marRight w:val="0"/>
          <w:marTop w:val="0"/>
          <w:marBottom w:val="0"/>
          <w:divBdr>
            <w:top w:val="none" w:sz="0" w:space="0" w:color="auto"/>
            <w:left w:val="none" w:sz="0" w:space="0" w:color="auto"/>
            <w:bottom w:val="none" w:sz="0" w:space="0" w:color="auto"/>
            <w:right w:val="none" w:sz="0" w:space="0" w:color="auto"/>
          </w:divBdr>
          <w:divsChild>
            <w:div w:id="1507554036">
              <w:marLeft w:val="0"/>
              <w:marRight w:val="0"/>
              <w:marTop w:val="0"/>
              <w:marBottom w:val="0"/>
              <w:divBdr>
                <w:top w:val="none" w:sz="0" w:space="0" w:color="auto"/>
                <w:left w:val="none" w:sz="0" w:space="0" w:color="auto"/>
                <w:bottom w:val="none" w:sz="0" w:space="0" w:color="auto"/>
                <w:right w:val="none" w:sz="0" w:space="0" w:color="auto"/>
              </w:divBdr>
            </w:div>
          </w:divsChild>
        </w:div>
        <w:div w:id="332028832">
          <w:marLeft w:val="0"/>
          <w:marRight w:val="0"/>
          <w:marTop w:val="0"/>
          <w:marBottom w:val="0"/>
          <w:divBdr>
            <w:top w:val="none" w:sz="0" w:space="0" w:color="auto"/>
            <w:left w:val="none" w:sz="0" w:space="0" w:color="auto"/>
            <w:bottom w:val="none" w:sz="0" w:space="0" w:color="auto"/>
            <w:right w:val="none" w:sz="0" w:space="0" w:color="auto"/>
          </w:divBdr>
          <w:divsChild>
            <w:div w:id="1621375297">
              <w:marLeft w:val="0"/>
              <w:marRight w:val="0"/>
              <w:marTop w:val="0"/>
              <w:marBottom w:val="0"/>
              <w:divBdr>
                <w:top w:val="none" w:sz="0" w:space="0" w:color="auto"/>
                <w:left w:val="none" w:sz="0" w:space="0" w:color="auto"/>
                <w:bottom w:val="none" w:sz="0" w:space="0" w:color="auto"/>
                <w:right w:val="none" w:sz="0" w:space="0" w:color="auto"/>
              </w:divBdr>
            </w:div>
          </w:divsChild>
        </w:div>
        <w:div w:id="336932184">
          <w:marLeft w:val="0"/>
          <w:marRight w:val="0"/>
          <w:marTop w:val="0"/>
          <w:marBottom w:val="0"/>
          <w:divBdr>
            <w:top w:val="none" w:sz="0" w:space="0" w:color="auto"/>
            <w:left w:val="none" w:sz="0" w:space="0" w:color="auto"/>
            <w:bottom w:val="none" w:sz="0" w:space="0" w:color="auto"/>
            <w:right w:val="none" w:sz="0" w:space="0" w:color="auto"/>
          </w:divBdr>
          <w:divsChild>
            <w:div w:id="1941838073">
              <w:marLeft w:val="0"/>
              <w:marRight w:val="0"/>
              <w:marTop w:val="0"/>
              <w:marBottom w:val="0"/>
              <w:divBdr>
                <w:top w:val="none" w:sz="0" w:space="0" w:color="auto"/>
                <w:left w:val="none" w:sz="0" w:space="0" w:color="auto"/>
                <w:bottom w:val="none" w:sz="0" w:space="0" w:color="auto"/>
                <w:right w:val="none" w:sz="0" w:space="0" w:color="auto"/>
              </w:divBdr>
            </w:div>
          </w:divsChild>
        </w:div>
        <w:div w:id="337657575">
          <w:marLeft w:val="0"/>
          <w:marRight w:val="0"/>
          <w:marTop w:val="0"/>
          <w:marBottom w:val="0"/>
          <w:divBdr>
            <w:top w:val="none" w:sz="0" w:space="0" w:color="auto"/>
            <w:left w:val="none" w:sz="0" w:space="0" w:color="auto"/>
            <w:bottom w:val="none" w:sz="0" w:space="0" w:color="auto"/>
            <w:right w:val="none" w:sz="0" w:space="0" w:color="auto"/>
          </w:divBdr>
          <w:divsChild>
            <w:div w:id="471563123">
              <w:marLeft w:val="0"/>
              <w:marRight w:val="0"/>
              <w:marTop w:val="0"/>
              <w:marBottom w:val="0"/>
              <w:divBdr>
                <w:top w:val="none" w:sz="0" w:space="0" w:color="auto"/>
                <w:left w:val="none" w:sz="0" w:space="0" w:color="auto"/>
                <w:bottom w:val="none" w:sz="0" w:space="0" w:color="auto"/>
                <w:right w:val="none" w:sz="0" w:space="0" w:color="auto"/>
              </w:divBdr>
            </w:div>
          </w:divsChild>
        </w:div>
        <w:div w:id="357976231">
          <w:marLeft w:val="0"/>
          <w:marRight w:val="0"/>
          <w:marTop w:val="0"/>
          <w:marBottom w:val="0"/>
          <w:divBdr>
            <w:top w:val="none" w:sz="0" w:space="0" w:color="auto"/>
            <w:left w:val="none" w:sz="0" w:space="0" w:color="auto"/>
            <w:bottom w:val="none" w:sz="0" w:space="0" w:color="auto"/>
            <w:right w:val="none" w:sz="0" w:space="0" w:color="auto"/>
          </w:divBdr>
          <w:divsChild>
            <w:div w:id="1721395358">
              <w:marLeft w:val="0"/>
              <w:marRight w:val="0"/>
              <w:marTop w:val="0"/>
              <w:marBottom w:val="0"/>
              <w:divBdr>
                <w:top w:val="none" w:sz="0" w:space="0" w:color="auto"/>
                <w:left w:val="none" w:sz="0" w:space="0" w:color="auto"/>
                <w:bottom w:val="none" w:sz="0" w:space="0" w:color="auto"/>
                <w:right w:val="none" w:sz="0" w:space="0" w:color="auto"/>
              </w:divBdr>
            </w:div>
          </w:divsChild>
        </w:div>
        <w:div w:id="361444750">
          <w:marLeft w:val="0"/>
          <w:marRight w:val="0"/>
          <w:marTop w:val="0"/>
          <w:marBottom w:val="0"/>
          <w:divBdr>
            <w:top w:val="none" w:sz="0" w:space="0" w:color="auto"/>
            <w:left w:val="none" w:sz="0" w:space="0" w:color="auto"/>
            <w:bottom w:val="none" w:sz="0" w:space="0" w:color="auto"/>
            <w:right w:val="none" w:sz="0" w:space="0" w:color="auto"/>
          </w:divBdr>
          <w:divsChild>
            <w:div w:id="238754551">
              <w:marLeft w:val="0"/>
              <w:marRight w:val="0"/>
              <w:marTop w:val="0"/>
              <w:marBottom w:val="0"/>
              <w:divBdr>
                <w:top w:val="none" w:sz="0" w:space="0" w:color="auto"/>
                <w:left w:val="none" w:sz="0" w:space="0" w:color="auto"/>
                <w:bottom w:val="none" w:sz="0" w:space="0" w:color="auto"/>
                <w:right w:val="none" w:sz="0" w:space="0" w:color="auto"/>
              </w:divBdr>
            </w:div>
          </w:divsChild>
        </w:div>
        <w:div w:id="378818926">
          <w:marLeft w:val="0"/>
          <w:marRight w:val="0"/>
          <w:marTop w:val="0"/>
          <w:marBottom w:val="0"/>
          <w:divBdr>
            <w:top w:val="none" w:sz="0" w:space="0" w:color="auto"/>
            <w:left w:val="none" w:sz="0" w:space="0" w:color="auto"/>
            <w:bottom w:val="none" w:sz="0" w:space="0" w:color="auto"/>
            <w:right w:val="none" w:sz="0" w:space="0" w:color="auto"/>
          </w:divBdr>
          <w:divsChild>
            <w:div w:id="1966423665">
              <w:marLeft w:val="0"/>
              <w:marRight w:val="0"/>
              <w:marTop w:val="0"/>
              <w:marBottom w:val="0"/>
              <w:divBdr>
                <w:top w:val="none" w:sz="0" w:space="0" w:color="auto"/>
                <w:left w:val="none" w:sz="0" w:space="0" w:color="auto"/>
                <w:bottom w:val="none" w:sz="0" w:space="0" w:color="auto"/>
                <w:right w:val="none" w:sz="0" w:space="0" w:color="auto"/>
              </w:divBdr>
            </w:div>
          </w:divsChild>
        </w:div>
        <w:div w:id="488443482">
          <w:marLeft w:val="0"/>
          <w:marRight w:val="0"/>
          <w:marTop w:val="0"/>
          <w:marBottom w:val="0"/>
          <w:divBdr>
            <w:top w:val="none" w:sz="0" w:space="0" w:color="auto"/>
            <w:left w:val="none" w:sz="0" w:space="0" w:color="auto"/>
            <w:bottom w:val="none" w:sz="0" w:space="0" w:color="auto"/>
            <w:right w:val="none" w:sz="0" w:space="0" w:color="auto"/>
          </w:divBdr>
          <w:divsChild>
            <w:div w:id="1635065385">
              <w:marLeft w:val="0"/>
              <w:marRight w:val="0"/>
              <w:marTop w:val="0"/>
              <w:marBottom w:val="0"/>
              <w:divBdr>
                <w:top w:val="none" w:sz="0" w:space="0" w:color="auto"/>
                <w:left w:val="none" w:sz="0" w:space="0" w:color="auto"/>
                <w:bottom w:val="none" w:sz="0" w:space="0" w:color="auto"/>
                <w:right w:val="none" w:sz="0" w:space="0" w:color="auto"/>
              </w:divBdr>
            </w:div>
          </w:divsChild>
        </w:div>
        <w:div w:id="557863369">
          <w:marLeft w:val="0"/>
          <w:marRight w:val="0"/>
          <w:marTop w:val="0"/>
          <w:marBottom w:val="0"/>
          <w:divBdr>
            <w:top w:val="none" w:sz="0" w:space="0" w:color="auto"/>
            <w:left w:val="none" w:sz="0" w:space="0" w:color="auto"/>
            <w:bottom w:val="none" w:sz="0" w:space="0" w:color="auto"/>
            <w:right w:val="none" w:sz="0" w:space="0" w:color="auto"/>
          </w:divBdr>
          <w:divsChild>
            <w:div w:id="229120723">
              <w:marLeft w:val="0"/>
              <w:marRight w:val="0"/>
              <w:marTop w:val="0"/>
              <w:marBottom w:val="0"/>
              <w:divBdr>
                <w:top w:val="none" w:sz="0" w:space="0" w:color="auto"/>
                <w:left w:val="none" w:sz="0" w:space="0" w:color="auto"/>
                <w:bottom w:val="none" w:sz="0" w:space="0" w:color="auto"/>
                <w:right w:val="none" w:sz="0" w:space="0" w:color="auto"/>
              </w:divBdr>
            </w:div>
          </w:divsChild>
        </w:div>
        <w:div w:id="582497654">
          <w:marLeft w:val="0"/>
          <w:marRight w:val="0"/>
          <w:marTop w:val="0"/>
          <w:marBottom w:val="0"/>
          <w:divBdr>
            <w:top w:val="none" w:sz="0" w:space="0" w:color="auto"/>
            <w:left w:val="none" w:sz="0" w:space="0" w:color="auto"/>
            <w:bottom w:val="none" w:sz="0" w:space="0" w:color="auto"/>
            <w:right w:val="none" w:sz="0" w:space="0" w:color="auto"/>
          </w:divBdr>
          <w:divsChild>
            <w:div w:id="229118651">
              <w:marLeft w:val="0"/>
              <w:marRight w:val="0"/>
              <w:marTop w:val="0"/>
              <w:marBottom w:val="0"/>
              <w:divBdr>
                <w:top w:val="none" w:sz="0" w:space="0" w:color="auto"/>
                <w:left w:val="none" w:sz="0" w:space="0" w:color="auto"/>
                <w:bottom w:val="none" w:sz="0" w:space="0" w:color="auto"/>
                <w:right w:val="none" w:sz="0" w:space="0" w:color="auto"/>
              </w:divBdr>
            </w:div>
          </w:divsChild>
        </w:div>
        <w:div w:id="612905528">
          <w:marLeft w:val="0"/>
          <w:marRight w:val="0"/>
          <w:marTop w:val="0"/>
          <w:marBottom w:val="0"/>
          <w:divBdr>
            <w:top w:val="none" w:sz="0" w:space="0" w:color="auto"/>
            <w:left w:val="none" w:sz="0" w:space="0" w:color="auto"/>
            <w:bottom w:val="none" w:sz="0" w:space="0" w:color="auto"/>
            <w:right w:val="none" w:sz="0" w:space="0" w:color="auto"/>
          </w:divBdr>
          <w:divsChild>
            <w:div w:id="352995107">
              <w:marLeft w:val="0"/>
              <w:marRight w:val="0"/>
              <w:marTop w:val="0"/>
              <w:marBottom w:val="0"/>
              <w:divBdr>
                <w:top w:val="none" w:sz="0" w:space="0" w:color="auto"/>
                <w:left w:val="none" w:sz="0" w:space="0" w:color="auto"/>
                <w:bottom w:val="none" w:sz="0" w:space="0" w:color="auto"/>
                <w:right w:val="none" w:sz="0" w:space="0" w:color="auto"/>
              </w:divBdr>
            </w:div>
          </w:divsChild>
        </w:div>
        <w:div w:id="665281200">
          <w:marLeft w:val="0"/>
          <w:marRight w:val="0"/>
          <w:marTop w:val="0"/>
          <w:marBottom w:val="0"/>
          <w:divBdr>
            <w:top w:val="none" w:sz="0" w:space="0" w:color="auto"/>
            <w:left w:val="none" w:sz="0" w:space="0" w:color="auto"/>
            <w:bottom w:val="none" w:sz="0" w:space="0" w:color="auto"/>
            <w:right w:val="none" w:sz="0" w:space="0" w:color="auto"/>
          </w:divBdr>
          <w:divsChild>
            <w:div w:id="686367958">
              <w:marLeft w:val="0"/>
              <w:marRight w:val="0"/>
              <w:marTop w:val="0"/>
              <w:marBottom w:val="0"/>
              <w:divBdr>
                <w:top w:val="none" w:sz="0" w:space="0" w:color="auto"/>
                <w:left w:val="none" w:sz="0" w:space="0" w:color="auto"/>
                <w:bottom w:val="none" w:sz="0" w:space="0" w:color="auto"/>
                <w:right w:val="none" w:sz="0" w:space="0" w:color="auto"/>
              </w:divBdr>
            </w:div>
          </w:divsChild>
        </w:div>
        <w:div w:id="705326446">
          <w:marLeft w:val="0"/>
          <w:marRight w:val="0"/>
          <w:marTop w:val="0"/>
          <w:marBottom w:val="0"/>
          <w:divBdr>
            <w:top w:val="none" w:sz="0" w:space="0" w:color="auto"/>
            <w:left w:val="none" w:sz="0" w:space="0" w:color="auto"/>
            <w:bottom w:val="none" w:sz="0" w:space="0" w:color="auto"/>
            <w:right w:val="none" w:sz="0" w:space="0" w:color="auto"/>
          </w:divBdr>
          <w:divsChild>
            <w:div w:id="1483304582">
              <w:marLeft w:val="0"/>
              <w:marRight w:val="0"/>
              <w:marTop w:val="0"/>
              <w:marBottom w:val="0"/>
              <w:divBdr>
                <w:top w:val="none" w:sz="0" w:space="0" w:color="auto"/>
                <w:left w:val="none" w:sz="0" w:space="0" w:color="auto"/>
                <w:bottom w:val="none" w:sz="0" w:space="0" w:color="auto"/>
                <w:right w:val="none" w:sz="0" w:space="0" w:color="auto"/>
              </w:divBdr>
            </w:div>
          </w:divsChild>
        </w:div>
        <w:div w:id="722292319">
          <w:marLeft w:val="0"/>
          <w:marRight w:val="0"/>
          <w:marTop w:val="0"/>
          <w:marBottom w:val="0"/>
          <w:divBdr>
            <w:top w:val="none" w:sz="0" w:space="0" w:color="auto"/>
            <w:left w:val="none" w:sz="0" w:space="0" w:color="auto"/>
            <w:bottom w:val="none" w:sz="0" w:space="0" w:color="auto"/>
            <w:right w:val="none" w:sz="0" w:space="0" w:color="auto"/>
          </w:divBdr>
          <w:divsChild>
            <w:div w:id="1653292071">
              <w:marLeft w:val="0"/>
              <w:marRight w:val="0"/>
              <w:marTop w:val="0"/>
              <w:marBottom w:val="0"/>
              <w:divBdr>
                <w:top w:val="none" w:sz="0" w:space="0" w:color="auto"/>
                <w:left w:val="none" w:sz="0" w:space="0" w:color="auto"/>
                <w:bottom w:val="none" w:sz="0" w:space="0" w:color="auto"/>
                <w:right w:val="none" w:sz="0" w:space="0" w:color="auto"/>
              </w:divBdr>
            </w:div>
          </w:divsChild>
        </w:div>
        <w:div w:id="754278951">
          <w:marLeft w:val="0"/>
          <w:marRight w:val="0"/>
          <w:marTop w:val="0"/>
          <w:marBottom w:val="0"/>
          <w:divBdr>
            <w:top w:val="none" w:sz="0" w:space="0" w:color="auto"/>
            <w:left w:val="none" w:sz="0" w:space="0" w:color="auto"/>
            <w:bottom w:val="none" w:sz="0" w:space="0" w:color="auto"/>
            <w:right w:val="none" w:sz="0" w:space="0" w:color="auto"/>
          </w:divBdr>
          <w:divsChild>
            <w:div w:id="1236356720">
              <w:marLeft w:val="0"/>
              <w:marRight w:val="0"/>
              <w:marTop w:val="0"/>
              <w:marBottom w:val="0"/>
              <w:divBdr>
                <w:top w:val="none" w:sz="0" w:space="0" w:color="auto"/>
                <w:left w:val="none" w:sz="0" w:space="0" w:color="auto"/>
                <w:bottom w:val="none" w:sz="0" w:space="0" w:color="auto"/>
                <w:right w:val="none" w:sz="0" w:space="0" w:color="auto"/>
              </w:divBdr>
            </w:div>
          </w:divsChild>
        </w:div>
        <w:div w:id="780607193">
          <w:marLeft w:val="0"/>
          <w:marRight w:val="0"/>
          <w:marTop w:val="0"/>
          <w:marBottom w:val="0"/>
          <w:divBdr>
            <w:top w:val="none" w:sz="0" w:space="0" w:color="auto"/>
            <w:left w:val="none" w:sz="0" w:space="0" w:color="auto"/>
            <w:bottom w:val="none" w:sz="0" w:space="0" w:color="auto"/>
            <w:right w:val="none" w:sz="0" w:space="0" w:color="auto"/>
          </w:divBdr>
          <w:divsChild>
            <w:div w:id="747726700">
              <w:marLeft w:val="0"/>
              <w:marRight w:val="0"/>
              <w:marTop w:val="0"/>
              <w:marBottom w:val="0"/>
              <w:divBdr>
                <w:top w:val="none" w:sz="0" w:space="0" w:color="auto"/>
                <w:left w:val="none" w:sz="0" w:space="0" w:color="auto"/>
                <w:bottom w:val="none" w:sz="0" w:space="0" w:color="auto"/>
                <w:right w:val="none" w:sz="0" w:space="0" w:color="auto"/>
              </w:divBdr>
            </w:div>
          </w:divsChild>
        </w:div>
        <w:div w:id="872185594">
          <w:marLeft w:val="0"/>
          <w:marRight w:val="0"/>
          <w:marTop w:val="0"/>
          <w:marBottom w:val="0"/>
          <w:divBdr>
            <w:top w:val="none" w:sz="0" w:space="0" w:color="auto"/>
            <w:left w:val="none" w:sz="0" w:space="0" w:color="auto"/>
            <w:bottom w:val="none" w:sz="0" w:space="0" w:color="auto"/>
            <w:right w:val="none" w:sz="0" w:space="0" w:color="auto"/>
          </w:divBdr>
          <w:divsChild>
            <w:div w:id="380255704">
              <w:marLeft w:val="0"/>
              <w:marRight w:val="0"/>
              <w:marTop w:val="0"/>
              <w:marBottom w:val="0"/>
              <w:divBdr>
                <w:top w:val="none" w:sz="0" w:space="0" w:color="auto"/>
                <w:left w:val="none" w:sz="0" w:space="0" w:color="auto"/>
                <w:bottom w:val="none" w:sz="0" w:space="0" w:color="auto"/>
                <w:right w:val="none" w:sz="0" w:space="0" w:color="auto"/>
              </w:divBdr>
            </w:div>
          </w:divsChild>
        </w:div>
        <w:div w:id="877355740">
          <w:marLeft w:val="0"/>
          <w:marRight w:val="0"/>
          <w:marTop w:val="0"/>
          <w:marBottom w:val="0"/>
          <w:divBdr>
            <w:top w:val="none" w:sz="0" w:space="0" w:color="auto"/>
            <w:left w:val="none" w:sz="0" w:space="0" w:color="auto"/>
            <w:bottom w:val="none" w:sz="0" w:space="0" w:color="auto"/>
            <w:right w:val="none" w:sz="0" w:space="0" w:color="auto"/>
          </w:divBdr>
          <w:divsChild>
            <w:div w:id="186480620">
              <w:marLeft w:val="0"/>
              <w:marRight w:val="0"/>
              <w:marTop w:val="0"/>
              <w:marBottom w:val="0"/>
              <w:divBdr>
                <w:top w:val="none" w:sz="0" w:space="0" w:color="auto"/>
                <w:left w:val="none" w:sz="0" w:space="0" w:color="auto"/>
                <w:bottom w:val="none" w:sz="0" w:space="0" w:color="auto"/>
                <w:right w:val="none" w:sz="0" w:space="0" w:color="auto"/>
              </w:divBdr>
            </w:div>
          </w:divsChild>
        </w:div>
        <w:div w:id="901910167">
          <w:marLeft w:val="0"/>
          <w:marRight w:val="0"/>
          <w:marTop w:val="0"/>
          <w:marBottom w:val="0"/>
          <w:divBdr>
            <w:top w:val="none" w:sz="0" w:space="0" w:color="auto"/>
            <w:left w:val="none" w:sz="0" w:space="0" w:color="auto"/>
            <w:bottom w:val="none" w:sz="0" w:space="0" w:color="auto"/>
            <w:right w:val="none" w:sz="0" w:space="0" w:color="auto"/>
          </w:divBdr>
          <w:divsChild>
            <w:div w:id="1855344774">
              <w:marLeft w:val="0"/>
              <w:marRight w:val="0"/>
              <w:marTop w:val="0"/>
              <w:marBottom w:val="0"/>
              <w:divBdr>
                <w:top w:val="none" w:sz="0" w:space="0" w:color="auto"/>
                <w:left w:val="none" w:sz="0" w:space="0" w:color="auto"/>
                <w:bottom w:val="none" w:sz="0" w:space="0" w:color="auto"/>
                <w:right w:val="none" w:sz="0" w:space="0" w:color="auto"/>
              </w:divBdr>
            </w:div>
          </w:divsChild>
        </w:div>
        <w:div w:id="907181835">
          <w:marLeft w:val="0"/>
          <w:marRight w:val="0"/>
          <w:marTop w:val="0"/>
          <w:marBottom w:val="0"/>
          <w:divBdr>
            <w:top w:val="none" w:sz="0" w:space="0" w:color="auto"/>
            <w:left w:val="none" w:sz="0" w:space="0" w:color="auto"/>
            <w:bottom w:val="none" w:sz="0" w:space="0" w:color="auto"/>
            <w:right w:val="none" w:sz="0" w:space="0" w:color="auto"/>
          </w:divBdr>
          <w:divsChild>
            <w:div w:id="436221537">
              <w:marLeft w:val="0"/>
              <w:marRight w:val="0"/>
              <w:marTop w:val="0"/>
              <w:marBottom w:val="0"/>
              <w:divBdr>
                <w:top w:val="none" w:sz="0" w:space="0" w:color="auto"/>
                <w:left w:val="none" w:sz="0" w:space="0" w:color="auto"/>
                <w:bottom w:val="none" w:sz="0" w:space="0" w:color="auto"/>
                <w:right w:val="none" w:sz="0" w:space="0" w:color="auto"/>
              </w:divBdr>
            </w:div>
          </w:divsChild>
        </w:div>
        <w:div w:id="930894116">
          <w:marLeft w:val="0"/>
          <w:marRight w:val="0"/>
          <w:marTop w:val="0"/>
          <w:marBottom w:val="0"/>
          <w:divBdr>
            <w:top w:val="none" w:sz="0" w:space="0" w:color="auto"/>
            <w:left w:val="none" w:sz="0" w:space="0" w:color="auto"/>
            <w:bottom w:val="none" w:sz="0" w:space="0" w:color="auto"/>
            <w:right w:val="none" w:sz="0" w:space="0" w:color="auto"/>
          </w:divBdr>
          <w:divsChild>
            <w:div w:id="1986426072">
              <w:marLeft w:val="0"/>
              <w:marRight w:val="0"/>
              <w:marTop w:val="0"/>
              <w:marBottom w:val="0"/>
              <w:divBdr>
                <w:top w:val="none" w:sz="0" w:space="0" w:color="auto"/>
                <w:left w:val="none" w:sz="0" w:space="0" w:color="auto"/>
                <w:bottom w:val="none" w:sz="0" w:space="0" w:color="auto"/>
                <w:right w:val="none" w:sz="0" w:space="0" w:color="auto"/>
              </w:divBdr>
            </w:div>
          </w:divsChild>
        </w:div>
        <w:div w:id="940063207">
          <w:marLeft w:val="0"/>
          <w:marRight w:val="0"/>
          <w:marTop w:val="0"/>
          <w:marBottom w:val="0"/>
          <w:divBdr>
            <w:top w:val="none" w:sz="0" w:space="0" w:color="auto"/>
            <w:left w:val="none" w:sz="0" w:space="0" w:color="auto"/>
            <w:bottom w:val="none" w:sz="0" w:space="0" w:color="auto"/>
            <w:right w:val="none" w:sz="0" w:space="0" w:color="auto"/>
          </w:divBdr>
          <w:divsChild>
            <w:div w:id="1908297068">
              <w:marLeft w:val="0"/>
              <w:marRight w:val="0"/>
              <w:marTop w:val="0"/>
              <w:marBottom w:val="0"/>
              <w:divBdr>
                <w:top w:val="none" w:sz="0" w:space="0" w:color="auto"/>
                <w:left w:val="none" w:sz="0" w:space="0" w:color="auto"/>
                <w:bottom w:val="none" w:sz="0" w:space="0" w:color="auto"/>
                <w:right w:val="none" w:sz="0" w:space="0" w:color="auto"/>
              </w:divBdr>
            </w:div>
          </w:divsChild>
        </w:div>
        <w:div w:id="942886004">
          <w:marLeft w:val="0"/>
          <w:marRight w:val="0"/>
          <w:marTop w:val="0"/>
          <w:marBottom w:val="0"/>
          <w:divBdr>
            <w:top w:val="none" w:sz="0" w:space="0" w:color="auto"/>
            <w:left w:val="none" w:sz="0" w:space="0" w:color="auto"/>
            <w:bottom w:val="none" w:sz="0" w:space="0" w:color="auto"/>
            <w:right w:val="none" w:sz="0" w:space="0" w:color="auto"/>
          </w:divBdr>
          <w:divsChild>
            <w:div w:id="870646592">
              <w:marLeft w:val="0"/>
              <w:marRight w:val="0"/>
              <w:marTop w:val="0"/>
              <w:marBottom w:val="0"/>
              <w:divBdr>
                <w:top w:val="none" w:sz="0" w:space="0" w:color="auto"/>
                <w:left w:val="none" w:sz="0" w:space="0" w:color="auto"/>
                <w:bottom w:val="none" w:sz="0" w:space="0" w:color="auto"/>
                <w:right w:val="none" w:sz="0" w:space="0" w:color="auto"/>
              </w:divBdr>
            </w:div>
          </w:divsChild>
        </w:div>
        <w:div w:id="952712845">
          <w:marLeft w:val="0"/>
          <w:marRight w:val="0"/>
          <w:marTop w:val="0"/>
          <w:marBottom w:val="0"/>
          <w:divBdr>
            <w:top w:val="none" w:sz="0" w:space="0" w:color="auto"/>
            <w:left w:val="none" w:sz="0" w:space="0" w:color="auto"/>
            <w:bottom w:val="none" w:sz="0" w:space="0" w:color="auto"/>
            <w:right w:val="none" w:sz="0" w:space="0" w:color="auto"/>
          </w:divBdr>
          <w:divsChild>
            <w:div w:id="400255552">
              <w:marLeft w:val="0"/>
              <w:marRight w:val="0"/>
              <w:marTop w:val="0"/>
              <w:marBottom w:val="0"/>
              <w:divBdr>
                <w:top w:val="none" w:sz="0" w:space="0" w:color="auto"/>
                <w:left w:val="none" w:sz="0" w:space="0" w:color="auto"/>
                <w:bottom w:val="none" w:sz="0" w:space="0" w:color="auto"/>
                <w:right w:val="none" w:sz="0" w:space="0" w:color="auto"/>
              </w:divBdr>
            </w:div>
          </w:divsChild>
        </w:div>
        <w:div w:id="1001667005">
          <w:marLeft w:val="0"/>
          <w:marRight w:val="0"/>
          <w:marTop w:val="0"/>
          <w:marBottom w:val="0"/>
          <w:divBdr>
            <w:top w:val="none" w:sz="0" w:space="0" w:color="auto"/>
            <w:left w:val="none" w:sz="0" w:space="0" w:color="auto"/>
            <w:bottom w:val="none" w:sz="0" w:space="0" w:color="auto"/>
            <w:right w:val="none" w:sz="0" w:space="0" w:color="auto"/>
          </w:divBdr>
          <w:divsChild>
            <w:div w:id="1095175657">
              <w:marLeft w:val="0"/>
              <w:marRight w:val="0"/>
              <w:marTop w:val="0"/>
              <w:marBottom w:val="0"/>
              <w:divBdr>
                <w:top w:val="none" w:sz="0" w:space="0" w:color="auto"/>
                <w:left w:val="none" w:sz="0" w:space="0" w:color="auto"/>
                <w:bottom w:val="none" w:sz="0" w:space="0" w:color="auto"/>
                <w:right w:val="none" w:sz="0" w:space="0" w:color="auto"/>
              </w:divBdr>
            </w:div>
          </w:divsChild>
        </w:div>
        <w:div w:id="1107624859">
          <w:marLeft w:val="0"/>
          <w:marRight w:val="0"/>
          <w:marTop w:val="0"/>
          <w:marBottom w:val="0"/>
          <w:divBdr>
            <w:top w:val="none" w:sz="0" w:space="0" w:color="auto"/>
            <w:left w:val="none" w:sz="0" w:space="0" w:color="auto"/>
            <w:bottom w:val="none" w:sz="0" w:space="0" w:color="auto"/>
            <w:right w:val="none" w:sz="0" w:space="0" w:color="auto"/>
          </w:divBdr>
          <w:divsChild>
            <w:div w:id="618806772">
              <w:marLeft w:val="0"/>
              <w:marRight w:val="0"/>
              <w:marTop w:val="0"/>
              <w:marBottom w:val="0"/>
              <w:divBdr>
                <w:top w:val="none" w:sz="0" w:space="0" w:color="auto"/>
                <w:left w:val="none" w:sz="0" w:space="0" w:color="auto"/>
                <w:bottom w:val="none" w:sz="0" w:space="0" w:color="auto"/>
                <w:right w:val="none" w:sz="0" w:space="0" w:color="auto"/>
              </w:divBdr>
            </w:div>
          </w:divsChild>
        </w:div>
        <w:div w:id="1112019489">
          <w:marLeft w:val="0"/>
          <w:marRight w:val="0"/>
          <w:marTop w:val="0"/>
          <w:marBottom w:val="0"/>
          <w:divBdr>
            <w:top w:val="none" w:sz="0" w:space="0" w:color="auto"/>
            <w:left w:val="none" w:sz="0" w:space="0" w:color="auto"/>
            <w:bottom w:val="none" w:sz="0" w:space="0" w:color="auto"/>
            <w:right w:val="none" w:sz="0" w:space="0" w:color="auto"/>
          </w:divBdr>
          <w:divsChild>
            <w:div w:id="1743520750">
              <w:marLeft w:val="0"/>
              <w:marRight w:val="0"/>
              <w:marTop w:val="0"/>
              <w:marBottom w:val="0"/>
              <w:divBdr>
                <w:top w:val="none" w:sz="0" w:space="0" w:color="auto"/>
                <w:left w:val="none" w:sz="0" w:space="0" w:color="auto"/>
                <w:bottom w:val="none" w:sz="0" w:space="0" w:color="auto"/>
                <w:right w:val="none" w:sz="0" w:space="0" w:color="auto"/>
              </w:divBdr>
            </w:div>
          </w:divsChild>
        </w:div>
        <w:div w:id="1136727694">
          <w:marLeft w:val="0"/>
          <w:marRight w:val="0"/>
          <w:marTop w:val="0"/>
          <w:marBottom w:val="0"/>
          <w:divBdr>
            <w:top w:val="none" w:sz="0" w:space="0" w:color="auto"/>
            <w:left w:val="none" w:sz="0" w:space="0" w:color="auto"/>
            <w:bottom w:val="none" w:sz="0" w:space="0" w:color="auto"/>
            <w:right w:val="none" w:sz="0" w:space="0" w:color="auto"/>
          </w:divBdr>
          <w:divsChild>
            <w:div w:id="1522085079">
              <w:marLeft w:val="0"/>
              <w:marRight w:val="0"/>
              <w:marTop w:val="0"/>
              <w:marBottom w:val="0"/>
              <w:divBdr>
                <w:top w:val="none" w:sz="0" w:space="0" w:color="auto"/>
                <w:left w:val="none" w:sz="0" w:space="0" w:color="auto"/>
                <w:bottom w:val="none" w:sz="0" w:space="0" w:color="auto"/>
                <w:right w:val="none" w:sz="0" w:space="0" w:color="auto"/>
              </w:divBdr>
            </w:div>
          </w:divsChild>
        </w:div>
        <w:div w:id="1156921775">
          <w:marLeft w:val="0"/>
          <w:marRight w:val="0"/>
          <w:marTop w:val="0"/>
          <w:marBottom w:val="0"/>
          <w:divBdr>
            <w:top w:val="none" w:sz="0" w:space="0" w:color="auto"/>
            <w:left w:val="none" w:sz="0" w:space="0" w:color="auto"/>
            <w:bottom w:val="none" w:sz="0" w:space="0" w:color="auto"/>
            <w:right w:val="none" w:sz="0" w:space="0" w:color="auto"/>
          </w:divBdr>
          <w:divsChild>
            <w:div w:id="1579055304">
              <w:marLeft w:val="0"/>
              <w:marRight w:val="0"/>
              <w:marTop w:val="0"/>
              <w:marBottom w:val="0"/>
              <w:divBdr>
                <w:top w:val="none" w:sz="0" w:space="0" w:color="auto"/>
                <w:left w:val="none" w:sz="0" w:space="0" w:color="auto"/>
                <w:bottom w:val="none" w:sz="0" w:space="0" w:color="auto"/>
                <w:right w:val="none" w:sz="0" w:space="0" w:color="auto"/>
              </w:divBdr>
            </w:div>
          </w:divsChild>
        </w:div>
        <w:div w:id="1188904638">
          <w:marLeft w:val="0"/>
          <w:marRight w:val="0"/>
          <w:marTop w:val="0"/>
          <w:marBottom w:val="0"/>
          <w:divBdr>
            <w:top w:val="none" w:sz="0" w:space="0" w:color="auto"/>
            <w:left w:val="none" w:sz="0" w:space="0" w:color="auto"/>
            <w:bottom w:val="none" w:sz="0" w:space="0" w:color="auto"/>
            <w:right w:val="none" w:sz="0" w:space="0" w:color="auto"/>
          </w:divBdr>
          <w:divsChild>
            <w:div w:id="408582798">
              <w:marLeft w:val="0"/>
              <w:marRight w:val="0"/>
              <w:marTop w:val="0"/>
              <w:marBottom w:val="0"/>
              <w:divBdr>
                <w:top w:val="none" w:sz="0" w:space="0" w:color="auto"/>
                <w:left w:val="none" w:sz="0" w:space="0" w:color="auto"/>
                <w:bottom w:val="none" w:sz="0" w:space="0" w:color="auto"/>
                <w:right w:val="none" w:sz="0" w:space="0" w:color="auto"/>
              </w:divBdr>
            </w:div>
          </w:divsChild>
        </w:div>
        <w:div w:id="1334450848">
          <w:marLeft w:val="0"/>
          <w:marRight w:val="0"/>
          <w:marTop w:val="0"/>
          <w:marBottom w:val="0"/>
          <w:divBdr>
            <w:top w:val="none" w:sz="0" w:space="0" w:color="auto"/>
            <w:left w:val="none" w:sz="0" w:space="0" w:color="auto"/>
            <w:bottom w:val="none" w:sz="0" w:space="0" w:color="auto"/>
            <w:right w:val="none" w:sz="0" w:space="0" w:color="auto"/>
          </w:divBdr>
          <w:divsChild>
            <w:div w:id="133565283">
              <w:marLeft w:val="0"/>
              <w:marRight w:val="0"/>
              <w:marTop w:val="0"/>
              <w:marBottom w:val="0"/>
              <w:divBdr>
                <w:top w:val="none" w:sz="0" w:space="0" w:color="auto"/>
                <w:left w:val="none" w:sz="0" w:space="0" w:color="auto"/>
                <w:bottom w:val="none" w:sz="0" w:space="0" w:color="auto"/>
                <w:right w:val="none" w:sz="0" w:space="0" w:color="auto"/>
              </w:divBdr>
            </w:div>
          </w:divsChild>
        </w:div>
        <w:div w:id="1469973029">
          <w:marLeft w:val="0"/>
          <w:marRight w:val="0"/>
          <w:marTop w:val="0"/>
          <w:marBottom w:val="0"/>
          <w:divBdr>
            <w:top w:val="none" w:sz="0" w:space="0" w:color="auto"/>
            <w:left w:val="none" w:sz="0" w:space="0" w:color="auto"/>
            <w:bottom w:val="none" w:sz="0" w:space="0" w:color="auto"/>
            <w:right w:val="none" w:sz="0" w:space="0" w:color="auto"/>
          </w:divBdr>
          <w:divsChild>
            <w:div w:id="570165437">
              <w:marLeft w:val="0"/>
              <w:marRight w:val="0"/>
              <w:marTop w:val="0"/>
              <w:marBottom w:val="0"/>
              <w:divBdr>
                <w:top w:val="none" w:sz="0" w:space="0" w:color="auto"/>
                <w:left w:val="none" w:sz="0" w:space="0" w:color="auto"/>
                <w:bottom w:val="none" w:sz="0" w:space="0" w:color="auto"/>
                <w:right w:val="none" w:sz="0" w:space="0" w:color="auto"/>
              </w:divBdr>
            </w:div>
          </w:divsChild>
        </w:div>
        <w:div w:id="1493789109">
          <w:marLeft w:val="0"/>
          <w:marRight w:val="0"/>
          <w:marTop w:val="0"/>
          <w:marBottom w:val="0"/>
          <w:divBdr>
            <w:top w:val="none" w:sz="0" w:space="0" w:color="auto"/>
            <w:left w:val="none" w:sz="0" w:space="0" w:color="auto"/>
            <w:bottom w:val="none" w:sz="0" w:space="0" w:color="auto"/>
            <w:right w:val="none" w:sz="0" w:space="0" w:color="auto"/>
          </w:divBdr>
          <w:divsChild>
            <w:div w:id="1828475965">
              <w:marLeft w:val="0"/>
              <w:marRight w:val="0"/>
              <w:marTop w:val="0"/>
              <w:marBottom w:val="0"/>
              <w:divBdr>
                <w:top w:val="none" w:sz="0" w:space="0" w:color="auto"/>
                <w:left w:val="none" w:sz="0" w:space="0" w:color="auto"/>
                <w:bottom w:val="none" w:sz="0" w:space="0" w:color="auto"/>
                <w:right w:val="none" w:sz="0" w:space="0" w:color="auto"/>
              </w:divBdr>
            </w:div>
          </w:divsChild>
        </w:div>
        <w:div w:id="1538932718">
          <w:marLeft w:val="0"/>
          <w:marRight w:val="0"/>
          <w:marTop w:val="0"/>
          <w:marBottom w:val="0"/>
          <w:divBdr>
            <w:top w:val="none" w:sz="0" w:space="0" w:color="auto"/>
            <w:left w:val="none" w:sz="0" w:space="0" w:color="auto"/>
            <w:bottom w:val="none" w:sz="0" w:space="0" w:color="auto"/>
            <w:right w:val="none" w:sz="0" w:space="0" w:color="auto"/>
          </w:divBdr>
          <w:divsChild>
            <w:div w:id="958686481">
              <w:marLeft w:val="0"/>
              <w:marRight w:val="0"/>
              <w:marTop w:val="0"/>
              <w:marBottom w:val="0"/>
              <w:divBdr>
                <w:top w:val="none" w:sz="0" w:space="0" w:color="auto"/>
                <w:left w:val="none" w:sz="0" w:space="0" w:color="auto"/>
                <w:bottom w:val="none" w:sz="0" w:space="0" w:color="auto"/>
                <w:right w:val="none" w:sz="0" w:space="0" w:color="auto"/>
              </w:divBdr>
            </w:div>
          </w:divsChild>
        </w:div>
        <w:div w:id="1588272671">
          <w:marLeft w:val="0"/>
          <w:marRight w:val="0"/>
          <w:marTop w:val="0"/>
          <w:marBottom w:val="0"/>
          <w:divBdr>
            <w:top w:val="none" w:sz="0" w:space="0" w:color="auto"/>
            <w:left w:val="none" w:sz="0" w:space="0" w:color="auto"/>
            <w:bottom w:val="none" w:sz="0" w:space="0" w:color="auto"/>
            <w:right w:val="none" w:sz="0" w:space="0" w:color="auto"/>
          </w:divBdr>
          <w:divsChild>
            <w:div w:id="1584146504">
              <w:marLeft w:val="0"/>
              <w:marRight w:val="0"/>
              <w:marTop w:val="0"/>
              <w:marBottom w:val="0"/>
              <w:divBdr>
                <w:top w:val="none" w:sz="0" w:space="0" w:color="auto"/>
                <w:left w:val="none" w:sz="0" w:space="0" w:color="auto"/>
                <w:bottom w:val="none" w:sz="0" w:space="0" w:color="auto"/>
                <w:right w:val="none" w:sz="0" w:space="0" w:color="auto"/>
              </w:divBdr>
            </w:div>
          </w:divsChild>
        </w:div>
        <w:div w:id="1588540730">
          <w:marLeft w:val="0"/>
          <w:marRight w:val="0"/>
          <w:marTop w:val="0"/>
          <w:marBottom w:val="0"/>
          <w:divBdr>
            <w:top w:val="none" w:sz="0" w:space="0" w:color="auto"/>
            <w:left w:val="none" w:sz="0" w:space="0" w:color="auto"/>
            <w:bottom w:val="none" w:sz="0" w:space="0" w:color="auto"/>
            <w:right w:val="none" w:sz="0" w:space="0" w:color="auto"/>
          </w:divBdr>
          <w:divsChild>
            <w:div w:id="361900865">
              <w:marLeft w:val="0"/>
              <w:marRight w:val="0"/>
              <w:marTop w:val="0"/>
              <w:marBottom w:val="0"/>
              <w:divBdr>
                <w:top w:val="none" w:sz="0" w:space="0" w:color="auto"/>
                <w:left w:val="none" w:sz="0" w:space="0" w:color="auto"/>
                <w:bottom w:val="none" w:sz="0" w:space="0" w:color="auto"/>
                <w:right w:val="none" w:sz="0" w:space="0" w:color="auto"/>
              </w:divBdr>
            </w:div>
          </w:divsChild>
        </w:div>
        <w:div w:id="1592011088">
          <w:marLeft w:val="0"/>
          <w:marRight w:val="0"/>
          <w:marTop w:val="0"/>
          <w:marBottom w:val="0"/>
          <w:divBdr>
            <w:top w:val="none" w:sz="0" w:space="0" w:color="auto"/>
            <w:left w:val="none" w:sz="0" w:space="0" w:color="auto"/>
            <w:bottom w:val="none" w:sz="0" w:space="0" w:color="auto"/>
            <w:right w:val="none" w:sz="0" w:space="0" w:color="auto"/>
          </w:divBdr>
          <w:divsChild>
            <w:div w:id="173345185">
              <w:marLeft w:val="0"/>
              <w:marRight w:val="0"/>
              <w:marTop w:val="0"/>
              <w:marBottom w:val="0"/>
              <w:divBdr>
                <w:top w:val="none" w:sz="0" w:space="0" w:color="auto"/>
                <w:left w:val="none" w:sz="0" w:space="0" w:color="auto"/>
                <w:bottom w:val="none" w:sz="0" w:space="0" w:color="auto"/>
                <w:right w:val="none" w:sz="0" w:space="0" w:color="auto"/>
              </w:divBdr>
            </w:div>
          </w:divsChild>
        </w:div>
        <w:div w:id="1607543086">
          <w:marLeft w:val="0"/>
          <w:marRight w:val="0"/>
          <w:marTop w:val="0"/>
          <w:marBottom w:val="0"/>
          <w:divBdr>
            <w:top w:val="none" w:sz="0" w:space="0" w:color="auto"/>
            <w:left w:val="none" w:sz="0" w:space="0" w:color="auto"/>
            <w:bottom w:val="none" w:sz="0" w:space="0" w:color="auto"/>
            <w:right w:val="none" w:sz="0" w:space="0" w:color="auto"/>
          </w:divBdr>
          <w:divsChild>
            <w:div w:id="793985391">
              <w:marLeft w:val="0"/>
              <w:marRight w:val="0"/>
              <w:marTop w:val="0"/>
              <w:marBottom w:val="0"/>
              <w:divBdr>
                <w:top w:val="none" w:sz="0" w:space="0" w:color="auto"/>
                <w:left w:val="none" w:sz="0" w:space="0" w:color="auto"/>
                <w:bottom w:val="none" w:sz="0" w:space="0" w:color="auto"/>
                <w:right w:val="none" w:sz="0" w:space="0" w:color="auto"/>
              </w:divBdr>
            </w:div>
          </w:divsChild>
        </w:div>
        <w:div w:id="1613977388">
          <w:marLeft w:val="0"/>
          <w:marRight w:val="0"/>
          <w:marTop w:val="0"/>
          <w:marBottom w:val="0"/>
          <w:divBdr>
            <w:top w:val="none" w:sz="0" w:space="0" w:color="auto"/>
            <w:left w:val="none" w:sz="0" w:space="0" w:color="auto"/>
            <w:bottom w:val="none" w:sz="0" w:space="0" w:color="auto"/>
            <w:right w:val="none" w:sz="0" w:space="0" w:color="auto"/>
          </w:divBdr>
          <w:divsChild>
            <w:div w:id="470826594">
              <w:marLeft w:val="0"/>
              <w:marRight w:val="0"/>
              <w:marTop w:val="0"/>
              <w:marBottom w:val="0"/>
              <w:divBdr>
                <w:top w:val="none" w:sz="0" w:space="0" w:color="auto"/>
                <w:left w:val="none" w:sz="0" w:space="0" w:color="auto"/>
                <w:bottom w:val="none" w:sz="0" w:space="0" w:color="auto"/>
                <w:right w:val="none" w:sz="0" w:space="0" w:color="auto"/>
              </w:divBdr>
            </w:div>
          </w:divsChild>
        </w:div>
        <w:div w:id="1650480165">
          <w:marLeft w:val="0"/>
          <w:marRight w:val="0"/>
          <w:marTop w:val="0"/>
          <w:marBottom w:val="0"/>
          <w:divBdr>
            <w:top w:val="none" w:sz="0" w:space="0" w:color="auto"/>
            <w:left w:val="none" w:sz="0" w:space="0" w:color="auto"/>
            <w:bottom w:val="none" w:sz="0" w:space="0" w:color="auto"/>
            <w:right w:val="none" w:sz="0" w:space="0" w:color="auto"/>
          </w:divBdr>
          <w:divsChild>
            <w:div w:id="1220630263">
              <w:marLeft w:val="0"/>
              <w:marRight w:val="0"/>
              <w:marTop w:val="0"/>
              <w:marBottom w:val="0"/>
              <w:divBdr>
                <w:top w:val="none" w:sz="0" w:space="0" w:color="auto"/>
                <w:left w:val="none" w:sz="0" w:space="0" w:color="auto"/>
                <w:bottom w:val="none" w:sz="0" w:space="0" w:color="auto"/>
                <w:right w:val="none" w:sz="0" w:space="0" w:color="auto"/>
              </w:divBdr>
            </w:div>
          </w:divsChild>
        </w:div>
        <w:div w:id="1772899446">
          <w:marLeft w:val="0"/>
          <w:marRight w:val="0"/>
          <w:marTop w:val="0"/>
          <w:marBottom w:val="0"/>
          <w:divBdr>
            <w:top w:val="none" w:sz="0" w:space="0" w:color="auto"/>
            <w:left w:val="none" w:sz="0" w:space="0" w:color="auto"/>
            <w:bottom w:val="none" w:sz="0" w:space="0" w:color="auto"/>
            <w:right w:val="none" w:sz="0" w:space="0" w:color="auto"/>
          </w:divBdr>
          <w:divsChild>
            <w:div w:id="1973975004">
              <w:marLeft w:val="0"/>
              <w:marRight w:val="0"/>
              <w:marTop w:val="0"/>
              <w:marBottom w:val="0"/>
              <w:divBdr>
                <w:top w:val="none" w:sz="0" w:space="0" w:color="auto"/>
                <w:left w:val="none" w:sz="0" w:space="0" w:color="auto"/>
                <w:bottom w:val="none" w:sz="0" w:space="0" w:color="auto"/>
                <w:right w:val="none" w:sz="0" w:space="0" w:color="auto"/>
              </w:divBdr>
            </w:div>
          </w:divsChild>
        </w:div>
        <w:div w:id="1818839090">
          <w:marLeft w:val="0"/>
          <w:marRight w:val="0"/>
          <w:marTop w:val="0"/>
          <w:marBottom w:val="0"/>
          <w:divBdr>
            <w:top w:val="none" w:sz="0" w:space="0" w:color="auto"/>
            <w:left w:val="none" w:sz="0" w:space="0" w:color="auto"/>
            <w:bottom w:val="none" w:sz="0" w:space="0" w:color="auto"/>
            <w:right w:val="none" w:sz="0" w:space="0" w:color="auto"/>
          </w:divBdr>
          <w:divsChild>
            <w:div w:id="491412055">
              <w:marLeft w:val="0"/>
              <w:marRight w:val="0"/>
              <w:marTop w:val="0"/>
              <w:marBottom w:val="0"/>
              <w:divBdr>
                <w:top w:val="none" w:sz="0" w:space="0" w:color="auto"/>
                <w:left w:val="none" w:sz="0" w:space="0" w:color="auto"/>
                <w:bottom w:val="none" w:sz="0" w:space="0" w:color="auto"/>
                <w:right w:val="none" w:sz="0" w:space="0" w:color="auto"/>
              </w:divBdr>
            </w:div>
          </w:divsChild>
        </w:div>
        <w:div w:id="1882286151">
          <w:marLeft w:val="0"/>
          <w:marRight w:val="0"/>
          <w:marTop w:val="0"/>
          <w:marBottom w:val="0"/>
          <w:divBdr>
            <w:top w:val="none" w:sz="0" w:space="0" w:color="auto"/>
            <w:left w:val="none" w:sz="0" w:space="0" w:color="auto"/>
            <w:bottom w:val="none" w:sz="0" w:space="0" w:color="auto"/>
            <w:right w:val="none" w:sz="0" w:space="0" w:color="auto"/>
          </w:divBdr>
          <w:divsChild>
            <w:div w:id="1140149099">
              <w:marLeft w:val="0"/>
              <w:marRight w:val="0"/>
              <w:marTop w:val="0"/>
              <w:marBottom w:val="0"/>
              <w:divBdr>
                <w:top w:val="none" w:sz="0" w:space="0" w:color="auto"/>
                <w:left w:val="none" w:sz="0" w:space="0" w:color="auto"/>
                <w:bottom w:val="none" w:sz="0" w:space="0" w:color="auto"/>
                <w:right w:val="none" w:sz="0" w:space="0" w:color="auto"/>
              </w:divBdr>
            </w:div>
          </w:divsChild>
        </w:div>
        <w:div w:id="1902591512">
          <w:marLeft w:val="0"/>
          <w:marRight w:val="0"/>
          <w:marTop w:val="0"/>
          <w:marBottom w:val="0"/>
          <w:divBdr>
            <w:top w:val="none" w:sz="0" w:space="0" w:color="auto"/>
            <w:left w:val="none" w:sz="0" w:space="0" w:color="auto"/>
            <w:bottom w:val="none" w:sz="0" w:space="0" w:color="auto"/>
            <w:right w:val="none" w:sz="0" w:space="0" w:color="auto"/>
          </w:divBdr>
          <w:divsChild>
            <w:div w:id="1200819891">
              <w:marLeft w:val="0"/>
              <w:marRight w:val="0"/>
              <w:marTop w:val="0"/>
              <w:marBottom w:val="0"/>
              <w:divBdr>
                <w:top w:val="none" w:sz="0" w:space="0" w:color="auto"/>
                <w:left w:val="none" w:sz="0" w:space="0" w:color="auto"/>
                <w:bottom w:val="none" w:sz="0" w:space="0" w:color="auto"/>
                <w:right w:val="none" w:sz="0" w:space="0" w:color="auto"/>
              </w:divBdr>
            </w:div>
          </w:divsChild>
        </w:div>
        <w:div w:id="1936353314">
          <w:marLeft w:val="0"/>
          <w:marRight w:val="0"/>
          <w:marTop w:val="0"/>
          <w:marBottom w:val="0"/>
          <w:divBdr>
            <w:top w:val="none" w:sz="0" w:space="0" w:color="auto"/>
            <w:left w:val="none" w:sz="0" w:space="0" w:color="auto"/>
            <w:bottom w:val="none" w:sz="0" w:space="0" w:color="auto"/>
            <w:right w:val="none" w:sz="0" w:space="0" w:color="auto"/>
          </w:divBdr>
          <w:divsChild>
            <w:div w:id="174854488">
              <w:marLeft w:val="0"/>
              <w:marRight w:val="0"/>
              <w:marTop w:val="0"/>
              <w:marBottom w:val="0"/>
              <w:divBdr>
                <w:top w:val="none" w:sz="0" w:space="0" w:color="auto"/>
                <w:left w:val="none" w:sz="0" w:space="0" w:color="auto"/>
                <w:bottom w:val="none" w:sz="0" w:space="0" w:color="auto"/>
                <w:right w:val="none" w:sz="0" w:space="0" w:color="auto"/>
              </w:divBdr>
            </w:div>
          </w:divsChild>
        </w:div>
        <w:div w:id="1947731691">
          <w:marLeft w:val="0"/>
          <w:marRight w:val="0"/>
          <w:marTop w:val="0"/>
          <w:marBottom w:val="0"/>
          <w:divBdr>
            <w:top w:val="none" w:sz="0" w:space="0" w:color="auto"/>
            <w:left w:val="none" w:sz="0" w:space="0" w:color="auto"/>
            <w:bottom w:val="none" w:sz="0" w:space="0" w:color="auto"/>
            <w:right w:val="none" w:sz="0" w:space="0" w:color="auto"/>
          </w:divBdr>
          <w:divsChild>
            <w:div w:id="1827628793">
              <w:marLeft w:val="0"/>
              <w:marRight w:val="0"/>
              <w:marTop w:val="0"/>
              <w:marBottom w:val="0"/>
              <w:divBdr>
                <w:top w:val="none" w:sz="0" w:space="0" w:color="auto"/>
                <w:left w:val="none" w:sz="0" w:space="0" w:color="auto"/>
                <w:bottom w:val="none" w:sz="0" w:space="0" w:color="auto"/>
                <w:right w:val="none" w:sz="0" w:space="0" w:color="auto"/>
              </w:divBdr>
            </w:div>
          </w:divsChild>
        </w:div>
        <w:div w:id="1966697083">
          <w:marLeft w:val="0"/>
          <w:marRight w:val="0"/>
          <w:marTop w:val="0"/>
          <w:marBottom w:val="0"/>
          <w:divBdr>
            <w:top w:val="none" w:sz="0" w:space="0" w:color="auto"/>
            <w:left w:val="none" w:sz="0" w:space="0" w:color="auto"/>
            <w:bottom w:val="none" w:sz="0" w:space="0" w:color="auto"/>
            <w:right w:val="none" w:sz="0" w:space="0" w:color="auto"/>
          </w:divBdr>
          <w:divsChild>
            <w:div w:id="2104573282">
              <w:marLeft w:val="0"/>
              <w:marRight w:val="0"/>
              <w:marTop w:val="0"/>
              <w:marBottom w:val="0"/>
              <w:divBdr>
                <w:top w:val="none" w:sz="0" w:space="0" w:color="auto"/>
                <w:left w:val="none" w:sz="0" w:space="0" w:color="auto"/>
                <w:bottom w:val="none" w:sz="0" w:space="0" w:color="auto"/>
                <w:right w:val="none" w:sz="0" w:space="0" w:color="auto"/>
              </w:divBdr>
            </w:div>
          </w:divsChild>
        </w:div>
        <w:div w:id="2025667611">
          <w:marLeft w:val="0"/>
          <w:marRight w:val="0"/>
          <w:marTop w:val="0"/>
          <w:marBottom w:val="0"/>
          <w:divBdr>
            <w:top w:val="none" w:sz="0" w:space="0" w:color="auto"/>
            <w:left w:val="none" w:sz="0" w:space="0" w:color="auto"/>
            <w:bottom w:val="none" w:sz="0" w:space="0" w:color="auto"/>
            <w:right w:val="none" w:sz="0" w:space="0" w:color="auto"/>
          </w:divBdr>
          <w:divsChild>
            <w:div w:id="277417378">
              <w:marLeft w:val="0"/>
              <w:marRight w:val="0"/>
              <w:marTop w:val="0"/>
              <w:marBottom w:val="0"/>
              <w:divBdr>
                <w:top w:val="none" w:sz="0" w:space="0" w:color="auto"/>
                <w:left w:val="none" w:sz="0" w:space="0" w:color="auto"/>
                <w:bottom w:val="none" w:sz="0" w:space="0" w:color="auto"/>
                <w:right w:val="none" w:sz="0" w:space="0" w:color="auto"/>
              </w:divBdr>
            </w:div>
          </w:divsChild>
        </w:div>
        <w:div w:id="2029721675">
          <w:marLeft w:val="0"/>
          <w:marRight w:val="0"/>
          <w:marTop w:val="0"/>
          <w:marBottom w:val="0"/>
          <w:divBdr>
            <w:top w:val="none" w:sz="0" w:space="0" w:color="auto"/>
            <w:left w:val="none" w:sz="0" w:space="0" w:color="auto"/>
            <w:bottom w:val="none" w:sz="0" w:space="0" w:color="auto"/>
            <w:right w:val="none" w:sz="0" w:space="0" w:color="auto"/>
          </w:divBdr>
          <w:divsChild>
            <w:div w:id="1438671805">
              <w:marLeft w:val="0"/>
              <w:marRight w:val="0"/>
              <w:marTop w:val="0"/>
              <w:marBottom w:val="0"/>
              <w:divBdr>
                <w:top w:val="none" w:sz="0" w:space="0" w:color="auto"/>
                <w:left w:val="none" w:sz="0" w:space="0" w:color="auto"/>
                <w:bottom w:val="none" w:sz="0" w:space="0" w:color="auto"/>
                <w:right w:val="none" w:sz="0" w:space="0" w:color="auto"/>
              </w:divBdr>
            </w:div>
          </w:divsChild>
        </w:div>
        <w:div w:id="2043087291">
          <w:marLeft w:val="0"/>
          <w:marRight w:val="0"/>
          <w:marTop w:val="0"/>
          <w:marBottom w:val="0"/>
          <w:divBdr>
            <w:top w:val="none" w:sz="0" w:space="0" w:color="auto"/>
            <w:left w:val="none" w:sz="0" w:space="0" w:color="auto"/>
            <w:bottom w:val="none" w:sz="0" w:space="0" w:color="auto"/>
            <w:right w:val="none" w:sz="0" w:space="0" w:color="auto"/>
          </w:divBdr>
          <w:divsChild>
            <w:div w:id="1101756604">
              <w:marLeft w:val="0"/>
              <w:marRight w:val="0"/>
              <w:marTop w:val="0"/>
              <w:marBottom w:val="0"/>
              <w:divBdr>
                <w:top w:val="none" w:sz="0" w:space="0" w:color="auto"/>
                <w:left w:val="none" w:sz="0" w:space="0" w:color="auto"/>
                <w:bottom w:val="none" w:sz="0" w:space="0" w:color="auto"/>
                <w:right w:val="none" w:sz="0" w:space="0" w:color="auto"/>
              </w:divBdr>
            </w:div>
          </w:divsChild>
        </w:div>
        <w:div w:id="2109498963">
          <w:marLeft w:val="0"/>
          <w:marRight w:val="0"/>
          <w:marTop w:val="0"/>
          <w:marBottom w:val="0"/>
          <w:divBdr>
            <w:top w:val="none" w:sz="0" w:space="0" w:color="auto"/>
            <w:left w:val="none" w:sz="0" w:space="0" w:color="auto"/>
            <w:bottom w:val="none" w:sz="0" w:space="0" w:color="auto"/>
            <w:right w:val="none" w:sz="0" w:space="0" w:color="auto"/>
          </w:divBdr>
          <w:divsChild>
            <w:div w:id="1775663346">
              <w:marLeft w:val="0"/>
              <w:marRight w:val="0"/>
              <w:marTop w:val="0"/>
              <w:marBottom w:val="0"/>
              <w:divBdr>
                <w:top w:val="none" w:sz="0" w:space="0" w:color="auto"/>
                <w:left w:val="none" w:sz="0" w:space="0" w:color="auto"/>
                <w:bottom w:val="none" w:sz="0" w:space="0" w:color="auto"/>
                <w:right w:val="none" w:sz="0" w:space="0" w:color="auto"/>
              </w:divBdr>
            </w:div>
          </w:divsChild>
        </w:div>
        <w:div w:id="2110225577">
          <w:marLeft w:val="0"/>
          <w:marRight w:val="0"/>
          <w:marTop w:val="0"/>
          <w:marBottom w:val="0"/>
          <w:divBdr>
            <w:top w:val="none" w:sz="0" w:space="0" w:color="auto"/>
            <w:left w:val="none" w:sz="0" w:space="0" w:color="auto"/>
            <w:bottom w:val="none" w:sz="0" w:space="0" w:color="auto"/>
            <w:right w:val="none" w:sz="0" w:space="0" w:color="auto"/>
          </w:divBdr>
          <w:divsChild>
            <w:div w:id="1544751651">
              <w:marLeft w:val="0"/>
              <w:marRight w:val="0"/>
              <w:marTop w:val="0"/>
              <w:marBottom w:val="0"/>
              <w:divBdr>
                <w:top w:val="none" w:sz="0" w:space="0" w:color="auto"/>
                <w:left w:val="none" w:sz="0" w:space="0" w:color="auto"/>
                <w:bottom w:val="none" w:sz="0" w:space="0" w:color="auto"/>
                <w:right w:val="none" w:sz="0" w:space="0" w:color="auto"/>
              </w:divBdr>
            </w:div>
          </w:divsChild>
        </w:div>
        <w:div w:id="2118018749">
          <w:marLeft w:val="0"/>
          <w:marRight w:val="0"/>
          <w:marTop w:val="0"/>
          <w:marBottom w:val="0"/>
          <w:divBdr>
            <w:top w:val="none" w:sz="0" w:space="0" w:color="auto"/>
            <w:left w:val="none" w:sz="0" w:space="0" w:color="auto"/>
            <w:bottom w:val="none" w:sz="0" w:space="0" w:color="auto"/>
            <w:right w:val="none" w:sz="0" w:space="0" w:color="auto"/>
          </w:divBdr>
          <w:divsChild>
            <w:div w:id="7394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63304">
      <w:bodyDiv w:val="1"/>
      <w:marLeft w:val="0"/>
      <w:marRight w:val="0"/>
      <w:marTop w:val="0"/>
      <w:marBottom w:val="0"/>
      <w:divBdr>
        <w:top w:val="none" w:sz="0" w:space="0" w:color="auto"/>
        <w:left w:val="none" w:sz="0" w:space="0" w:color="auto"/>
        <w:bottom w:val="none" w:sz="0" w:space="0" w:color="auto"/>
        <w:right w:val="none" w:sz="0" w:space="0" w:color="auto"/>
      </w:divBdr>
      <w:divsChild>
        <w:div w:id="386421165">
          <w:marLeft w:val="0"/>
          <w:marRight w:val="0"/>
          <w:marTop w:val="0"/>
          <w:marBottom w:val="0"/>
          <w:divBdr>
            <w:top w:val="none" w:sz="0" w:space="0" w:color="auto"/>
            <w:left w:val="none" w:sz="0" w:space="0" w:color="auto"/>
            <w:bottom w:val="none" w:sz="0" w:space="0" w:color="auto"/>
            <w:right w:val="none" w:sz="0" w:space="0" w:color="auto"/>
          </w:divBdr>
          <w:divsChild>
            <w:div w:id="137057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39802">
      <w:bodyDiv w:val="1"/>
      <w:marLeft w:val="0"/>
      <w:marRight w:val="0"/>
      <w:marTop w:val="0"/>
      <w:marBottom w:val="0"/>
      <w:divBdr>
        <w:top w:val="none" w:sz="0" w:space="0" w:color="auto"/>
        <w:left w:val="none" w:sz="0" w:space="0" w:color="auto"/>
        <w:bottom w:val="none" w:sz="0" w:space="0" w:color="auto"/>
        <w:right w:val="none" w:sz="0" w:space="0" w:color="auto"/>
      </w:divBdr>
    </w:div>
    <w:div w:id="2088531550">
      <w:bodyDiv w:val="1"/>
      <w:marLeft w:val="0"/>
      <w:marRight w:val="0"/>
      <w:marTop w:val="0"/>
      <w:marBottom w:val="0"/>
      <w:divBdr>
        <w:top w:val="none" w:sz="0" w:space="0" w:color="auto"/>
        <w:left w:val="none" w:sz="0" w:space="0" w:color="auto"/>
        <w:bottom w:val="none" w:sz="0" w:space="0" w:color="auto"/>
        <w:right w:val="none" w:sz="0" w:space="0" w:color="auto"/>
      </w:divBdr>
    </w:div>
    <w:div w:id="2106226740">
      <w:bodyDiv w:val="1"/>
      <w:marLeft w:val="0"/>
      <w:marRight w:val="0"/>
      <w:marTop w:val="0"/>
      <w:marBottom w:val="0"/>
      <w:divBdr>
        <w:top w:val="none" w:sz="0" w:space="0" w:color="auto"/>
        <w:left w:val="none" w:sz="0" w:space="0" w:color="auto"/>
        <w:bottom w:val="none" w:sz="0" w:space="0" w:color="auto"/>
        <w:right w:val="none" w:sz="0" w:space="0" w:color="auto"/>
      </w:divBdr>
    </w:div>
    <w:div w:id="2129355013">
      <w:bodyDiv w:val="1"/>
      <w:marLeft w:val="0"/>
      <w:marRight w:val="0"/>
      <w:marTop w:val="0"/>
      <w:marBottom w:val="0"/>
      <w:divBdr>
        <w:top w:val="none" w:sz="0" w:space="0" w:color="auto"/>
        <w:left w:val="none" w:sz="0" w:space="0" w:color="auto"/>
        <w:bottom w:val="none" w:sz="0" w:space="0" w:color="auto"/>
        <w:right w:val="none" w:sz="0" w:space="0" w:color="auto"/>
      </w:divBdr>
      <w:divsChild>
        <w:div w:id="28920460">
          <w:marLeft w:val="0"/>
          <w:marRight w:val="0"/>
          <w:marTop w:val="0"/>
          <w:marBottom w:val="0"/>
          <w:divBdr>
            <w:top w:val="none" w:sz="0" w:space="0" w:color="auto"/>
            <w:left w:val="none" w:sz="0" w:space="0" w:color="auto"/>
            <w:bottom w:val="none" w:sz="0" w:space="0" w:color="auto"/>
            <w:right w:val="none" w:sz="0" w:space="0" w:color="auto"/>
          </w:divBdr>
          <w:divsChild>
            <w:div w:id="1039354148">
              <w:marLeft w:val="0"/>
              <w:marRight w:val="0"/>
              <w:marTop w:val="0"/>
              <w:marBottom w:val="0"/>
              <w:divBdr>
                <w:top w:val="none" w:sz="0" w:space="0" w:color="auto"/>
                <w:left w:val="none" w:sz="0" w:space="0" w:color="auto"/>
                <w:bottom w:val="none" w:sz="0" w:space="0" w:color="auto"/>
                <w:right w:val="none" w:sz="0" w:space="0" w:color="auto"/>
              </w:divBdr>
            </w:div>
          </w:divsChild>
        </w:div>
        <w:div w:id="54668330">
          <w:marLeft w:val="0"/>
          <w:marRight w:val="0"/>
          <w:marTop w:val="0"/>
          <w:marBottom w:val="0"/>
          <w:divBdr>
            <w:top w:val="none" w:sz="0" w:space="0" w:color="auto"/>
            <w:left w:val="none" w:sz="0" w:space="0" w:color="auto"/>
            <w:bottom w:val="none" w:sz="0" w:space="0" w:color="auto"/>
            <w:right w:val="none" w:sz="0" w:space="0" w:color="auto"/>
          </w:divBdr>
          <w:divsChild>
            <w:div w:id="151600643">
              <w:marLeft w:val="0"/>
              <w:marRight w:val="0"/>
              <w:marTop w:val="0"/>
              <w:marBottom w:val="0"/>
              <w:divBdr>
                <w:top w:val="none" w:sz="0" w:space="0" w:color="auto"/>
                <w:left w:val="none" w:sz="0" w:space="0" w:color="auto"/>
                <w:bottom w:val="none" w:sz="0" w:space="0" w:color="auto"/>
                <w:right w:val="none" w:sz="0" w:space="0" w:color="auto"/>
              </w:divBdr>
            </w:div>
          </w:divsChild>
        </w:div>
        <w:div w:id="67845979">
          <w:marLeft w:val="0"/>
          <w:marRight w:val="0"/>
          <w:marTop w:val="0"/>
          <w:marBottom w:val="0"/>
          <w:divBdr>
            <w:top w:val="none" w:sz="0" w:space="0" w:color="auto"/>
            <w:left w:val="none" w:sz="0" w:space="0" w:color="auto"/>
            <w:bottom w:val="none" w:sz="0" w:space="0" w:color="auto"/>
            <w:right w:val="none" w:sz="0" w:space="0" w:color="auto"/>
          </w:divBdr>
          <w:divsChild>
            <w:div w:id="582449778">
              <w:marLeft w:val="0"/>
              <w:marRight w:val="0"/>
              <w:marTop w:val="0"/>
              <w:marBottom w:val="0"/>
              <w:divBdr>
                <w:top w:val="none" w:sz="0" w:space="0" w:color="auto"/>
                <w:left w:val="none" w:sz="0" w:space="0" w:color="auto"/>
                <w:bottom w:val="none" w:sz="0" w:space="0" w:color="auto"/>
                <w:right w:val="none" w:sz="0" w:space="0" w:color="auto"/>
              </w:divBdr>
            </w:div>
          </w:divsChild>
        </w:div>
        <w:div w:id="69273575">
          <w:marLeft w:val="0"/>
          <w:marRight w:val="0"/>
          <w:marTop w:val="0"/>
          <w:marBottom w:val="0"/>
          <w:divBdr>
            <w:top w:val="none" w:sz="0" w:space="0" w:color="auto"/>
            <w:left w:val="none" w:sz="0" w:space="0" w:color="auto"/>
            <w:bottom w:val="none" w:sz="0" w:space="0" w:color="auto"/>
            <w:right w:val="none" w:sz="0" w:space="0" w:color="auto"/>
          </w:divBdr>
          <w:divsChild>
            <w:div w:id="2038385426">
              <w:marLeft w:val="0"/>
              <w:marRight w:val="0"/>
              <w:marTop w:val="0"/>
              <w:marBottom w:val="0"/>
              <w:divBdr>
                <w:top w:val="none" w:sz="0" w:space="0" w:color="auto"/>
                <w:left w:val="none" w:sz="0" w:space="0" w:color="auto"/>
                <w:bottom w:val="none" w:sz="0" w:space="0" w:color="auto"/>
                <w:right w:val="none" w:sz="0" w:space="0" w:color="auto"/>
              </w:divBdr>
            </w:div>
          </w:divsChild>
        </w:div>
        <w:div w:id="110906607">
          <w:marLeft w:val="0"/>
          <w:marRight w:val="0"/>
          <w:marTop w:val="0"/>
          <w:marBottom w:val="0"/>
          <w:divBdr>
            <w:top w:val="none" w:sz="0" w:space="0" w:color="auto"/>
            <w:left w:val="none" w:sz="0" w:space="0" w:color="auto"/>
            <w:bottom w:val="none" w:sz="0" w:space="0" w:color="auto"/>
            <w:right w:val="none" w:sz="0" w:space="0" w:color="auto"/>
          </w:divBdr>
          <w:divsChild>
            <w:div w:id="1154567644">
              <w:marLeft w:val="0"/>
              <w:marRight w:val="0"/>
              <w:marTop w:val="0"/>
              <w:marBottom w:val="0"/>
              <w:divBdr>
                <w:top w:val="none" w:sz="0" w:space="0" w:color="auto"/>
                <w:left w:val="none" w:sz="0" w:space="0" w:color="auto"/>
                <w:bottom w:val="none" w:sz="0" w:space="0" w:color="auto"/>
                <w:right w:val="none" w:sz="0" w:space="0" w:color="auto"/>
              </w:divBdr>
            </w:div>
          </w:divsChild>
        </w:div>
        <w:div w:id="242031231">
          <w:marLeft w:val="0"/>
          <w:marRight w:val="0"/>
          <w:marTop w:val="0"/>
          <w:marBottom w:val="0"/>
          <w:divBdr>
            <w:top w:val="none" w:sz="0" w:space="0" w:color="auto"/>
            <w:left w:val="none" w:sz="0" w:space="0" w:color="auto"/>
            <w:bottom w:val="none" w:sz="0" w:space="0" w:color="auto"/>
            <w:right w:val="none" w:sz="0" w:space="0" w:color="auto"/>
          </w:divBdr>
          <w:divsChild>
            <w:div w:id="1375539145">
              <w:marLeft w:val="0"/>
              <w:marRight w:val="0"/>
              <w:marTop w:val="0"/>
              <w:marBottom w:val="0"/>
              <w:divBdr>
                <w:top w:val="none" w:sz="0" w:space="0" w:color="auto"/>
                <w:left w:val="none" w:sz="0" w:space="0" w:color="auto"/>
                <w:bottom w:val="none" w:sz="0" w:space="0" w:color="auto"/>
                <w:right w:val="none" w:sz="0" w:space="0" w:color="auto"/>
              </w:divBdr>
            </w:div>
          </w:divsChild>
        </w:div>
        <w:div w:id="269627512">
          <w:marLeft w:val="0"/>
          <w:marRight w:val="0"/>
          <w:marTop w:val="0"/>
          <w:marBottom w:val="0"/>
          <w:divBdr>
            <w:top w:val="none" w:sz="0" w:space="0" w:color="auto"/>
            <w:left w:val="none" w:sz="0" w:space="0" w:color="auto"/>
            <w:bottom w:val="none" w:sz="0" w:space="0" w:color="auto"/>
            <w:right w:val="none" w:sz="0" w:space="0" w:color="auto"/>
          </w:divBdr>
          <w:divsChild>
            <w:div w:id="2081099123">
              <w:marLeft w:val="0"/>
              <w:marRight w:val="0"/>
              <w:marTop w:val="0"/>
              <w:marBottom w:val="0"/>
              <w:divBdr>
                <w:top w:val="none" w:sz="0" w:space="0" w:color="auto"/>
                <w:left w:val="none" w:sz="0" w:space="0" w:color="auto"/>
                <w:bottom w:val="none" w:sz="0" w:space="0" w:color="auto"/>
                <w:right w:val="none" w:sz="0" w:space="0" w:color="auto"/>
              </w:divBdr>
            </w:div>
          </w:divsChild>
        </w:div>
        <w:div w:id="312759050">
          <w:marLeft w:val="0"/>
          <w:marRight w:val="0"/>
          <w:marTop w:val="0"/>
          <w:marBottom w:val="0"/>
          <w:divBdr>
            <w:top w:val="none" w:sz="0" w:space="0" w:color="auto"/>
            <w:left w:val="none" w:sz="0" w:space="0" w:color="auto"/>
            <w:bottom w:val="none" w:sz="0" w:space="0" w:color="auto"/>
            <w:right w:val="none" w:sz="0" w:space="0" w:color="auto"/>
          </w:divBdr>
          <w:divsChild>
            <w:div w:id="1420566157">
              <w:marLeft w:val="0"/>
              <w:marRight w:val="0"/>
              <w:marTop w:val="0"/>
              <w:marBottom w:val="0"/>
              <w:divBdr>
                <w:top w:val="none" w:sz="0" w:space="0" w:color="auto"/>
                <w:left w:val="none" w:sz="0" w:space="0" w:color="auto"/>
                <w:bottom w:val="none" w:sz="0" w:space="0" w:color="auto"/>
                <w:right w:val="none" w:sz="0" w:space="0" w:color="auto"/>
              </w:divBdr>
            </w:div>
          </w:divsChild>
        </w:div>
        <w:div w:id="317149283">
          <w:marLeft w:val="0"/>
          <w:marRight w:val="0"/>
          <w:marTop w:val="0"/>
          <w:marBottom w:val="0"/>
          <w:divBdr>
            <w:top w:val="none" w:sz="0" w:space="0" w:color="auto"/>
            <w:left w:val="none" w:sz="0" w:space="0" w:color="auto"/>
            <w:bottom w:val="none" w:sz="0" w:space="0" w:color="auto"/>
            <w:right w:val="none" w:sz="0" w:space="0" w:color="auto"/>
          </w:divBdr>
          <w:divsChild>
            <w:div w:id="559096017">
              <w:marLeft w:val="0"/>
              <w:marRight w:val="0"/>
              <w:marTop w:val="0"/>
              <w:marBottom w:val="0"/>
              <w:divBdr>
                <w:top w:val="none" w:sz="0" w:space="0" w:color="auto"/>
                <w:left w:val="none" w:sz="0" w:space="0" w:color="auto"/>
                <w:bottom w:val="none" w:sz="0" w:space="0" w:color="auto"/>
                <w:right w:val="none" w:sz="0" w:space="0" w:color="auto"/>
              </w:divBdr>
            </w:div>
          </w:divsChild>
        </w:div>
        <w:div w:id="332732339">
          <w:marLeft w:val="0"/>
          <w:marRight w:val="0"/>
          <w:marTop w:val="0"/>
          <w:marBottom w:val="0"/>
          <w:divBdr>
            <w:top w:val="none" w:sz="0" w:space="0" w:color="auto"/>
            <w:left w:val="none" w:sz="0" w:space="0" w:color="auto"/>
            <w:bottom w:val="none" w:sz="0" w:space="0" w:color="auto"/>
            <w:right w:val="none" w:sz="0" w:space="0" w:color="auto"/>
          </w:divBdr>
          <w:divsChild>
            <w:div w:id="1461072026">
              <w:marLeft w:val="0"/>
              <w:marRight w:val="0"/>
              <w:marTop w:val="0"/>
              <w:marBottom w:val="0"/>
              <w:divBdr>
                <w:top w:val="none" w:sz="0" w:space="0" w:color="auto"/>
                <w:left w:val="none" w:sz="0" w:space="0" w:color="auto"/>
                <w:bottom w:val="none" w:sz="0" w:space="0" w:color="auto"/>
                <w:right w:val="none" w:sz="0" w:space="0" w:color="auto"/>
              </w:divBdr>
            </w:div>
          </w:divsChild>
        </w:div>
        <w:div w:id="441071532">
          <w:marLeft w:val="0"/>
          <w:marRight w:val="0"/>
          <w:marTop w:val="0"/>
          <w:marBottom w:val="0"/>
          <w:divBdr>
            <w:top w:val="none" w:sz="0" w:space="0" w:color="auto"/>
            <w:left w:val="none" w:sz="0" w:space="0" w:color="auto"/>
            <w:bottom w:val="none" w:sz="0" w:space="0" w:color="auto"/>
            <w:right w:val="none" w:sz="0" w:space="0" w:color="auto"/>
          </w:divBdr>
          <w:divsChild>
            <w:div w:id="670761491">
              <w:marLeft w:val="0"/>
              <w:marRight w:val="0"/>
              <w:marTop w:val="0"/>
              <w:marBottom w:val="0"/>
              <w:divBdr>
                <w:top w:val="none" w:sz="0" w:space="0" w:color="auto"/>
                <w:left w:val="none" w:sz="0" w:space="0" w:color="auto"/>
                <w:bottom w:val="none" w:sz="0" w:space="0" w:color="auto"/>
                <w:right w:val="none" w:sz="0" w:space="0" w:color="auto"/>
              </w:divBdr>
            </w:div>
          </w:divsChild>
        </w:div>
        <w:div w:id="442189580">
          <w:marLeft w:val="0"/>
          <w:marRight w:val="0"/>
          <w:marTop w:val="0"/>
          <w:marBottom w:val="0"/>
          <w:divBdr>
            <w:top w:val="none" w:sz="0" w:space="0" w:color="auto"/>
            <w:left w:val="none" w:sz="0" w:space="0" w:color="auto"/>
            <w:bottom w:val="none" w:sz="0" w:space="0" w:color="auto"/>
            <w:right w:val="none" w:sz="0" w:space="0" w:color="auto"/>
          </w:divBdr>
          <w:divsChild>
            <w:div w:id="767121208">
              <w:marLeft w:val="0"/>
              <w:marRight w:val="0"/>
              <w:marTop w:val="0"/>
              <w:marBottom w:val="0"/>
              <w:divBdr>
                <w:top w:val="none" w:sz="0" w:space="0" w:color="auto"/>
                <w:left w:val="none" w:sz="0" w:space="0" w:color="auto"/>
                <w:bottom w:val="none" w:sz="0" w:space="0" w:color="auto"/>
                <w:right w:val="none" w:sz="0" w:space="0" w:color="auto"/>
              </w:divBdr>
            </w:div>
          </w:divsChild>
        </w:div>
        <w:div w:id="454328241">
          <w:marLeft w:val="0"/>
          <w:marRight w:val="0"/>
          <w:marTop w:val="0"/>
          <w:marBottom w:val="0"/>
          <w:divBdr>
            <w:top w:val="none" w:sz="0" w:space="0" w:color="auto"/>
            <w:left w:val="none" w:sz="0" w:space="0" w:color="auto"/>
            <w:bottom w:val="none" w:sz="0" w:space="0" w:color="auto"/>
            <w:right w:val="none" w:sz="0" w:space="0" w:color="auto"/>
          </w:divBdr>
          <w:divsChild>
            <w:div w:id="1604995628">
              <w:marLeft w:val="0"/>
              <w:marRight w:val="0"/>
              <w:marTop w:val="0"/>
              <w:marBottom w:val="0"/>
              <w:divBdr>
                <w:top w:val="none" w:sz="0" w:space="0" w:color="auto"/>
                <w:left w:val="none" w:sz="0" w:space="0" w:color="auto"/>
                <w:bottom w:val="none" w:sz="0" w:space="0" w:color="auto"/>
                <w:right w:val="none" w:sz="0" w:space="0" w:color="auto"/>
              </w:divBdr>
            </w:div>
          </w:divsChild>
        </w:div>
        <w:div w:id="475494856">
          <w:marLeft w:val="0"/>
          <w:marRight w:val="0"/>
          <w:marTop w:val="0"/>
          <w:marBottom w:val="0"/>
          <w:divBdr>
            <w:top w:val="none" w:sz="0" w:space="0" w:color="auto"/>
            <w:left w:val="none" w:sz="0" w:space="0" w:color="auto"/>
            <w:bottom w:val="none" w:sz="0" w:space="0" w:color="auto"/>
            <w:right w:val="none" w:sz="0" w:space="0" w:color="auto"/>
          </w:divBdr>
          <w:divsChild>
            <w:div w:id="1398165984">
              <w:marLeft w:val="0"/>
              <w:marRight w:val="0"/>
              <w:marTop w:val="0"/>
              <w:marBottom w:val="0"/>
              <w:divBdr>
                <w:top w:val="none" w:sz="0" w:space="0" w:color="auto"/>
                <w:left w:val="none" w:sz="0" w:space="0" w:color="auto"/>
                <w:bottom w:val="none" w:sz="0" w:space="0" w:color="auto"/>
                <w:right w:val="none" w:sz="0" w:space="0" w:color="auto"/>
              </w:divBdr>
            </w:div>
          </w:divsChild>
        </w:div>
        <w:div w:id="487675313">
          <w:marLeft w:val="0"/>
          <w:marRight w:val="0"/>
          <w:marTop w:val="0"/>
          <w:marBottom w:val="0"/>
          <w:divBdr>
            <w:top w:val="none" w:sz="0" w:space="0" w:color="auto"/>
            <w:left w:val="none" w:sz="0" w:space="0" w:color="auto"/>
            <w:bottom w:val="none" w:sz="0" w:space="0" w:color="auto"/>
            <w:right w:val="none" w:sz="0" w:space="0" w:color="auto"/>
          </w:divBdr>
          <w:divsChild>
            <w:div w:id="541672120">
              <w:marLeft w:val="0"/>
              <w:marRight w:val="0"/>
              <w:marTop w:val="0"/>
              <w:marBottom w:val="0"/>
              <w:divBdr>
                <w:top w:val="none" w:sz="0" w:space="0" w:color="auto"/>
                <w:left w:val="none" w:sz="0" w:space="0" w:color="auto"/>
                <w:bottom w:val="none" w:sz="0" w:space="0" w:color="auto"/>
                <w:right w:val="none" w:sz="0" w:space="0" w:color="auto"/>
              </w:divBdr>
            </w:div>
          </w:divsChild>
        </w:div>
        <w:div w:id="586962590">
          <w:marLeft w:val="0"/>
          <w:marRight w:val="0"/>
          <w:marTop w:val="0"/>
          <w:marBottom w:val="0"/>
          <w:divBdr>
            <w:top w:val="none" w:sz="0" w:space="0" w:color="auto"/>
            <w:left w:val="none" w:sz="0" w:space="0" w:color="auto"/>
            <w:bottom w:val="none" w:sz="0" w:space="0" w:color="auto"/>
            <w:right w:val="none" w:sz="0" w:space="0" w:color="auto"/>
          </w:divBdr>
          <w:divsChild>
            <w:div w:id="2035303273">
              <w:marLeft w:val="0"/>
              <w:marRight w:val="0"/>
              <w:marTop w:val="0"/>
              <w:marBottom w:val="0"/>
              <w:divBdr>
                <w:top w:val="none" w:sz="0" w:space="0" w:color="auto"/>
                <w:left w:val="none" w:sz="0" w:space="0" w:color="auto"/>
                <w:bottom w:val="none" w:sz="0" w:space="0" w:color="auto"/>
                <w:right w:val="none" w:sz="0" w:space="0" w:color="auto"/>
              </w:divBdr>
            </w:div>
          </w:divsChild>
        </w:div>
        <w:div w:id="667367437">
          <w:marLeft w:val="0"/>
          <w:marRight w:val="0"/>
          <w:marTop w:val="0"/>
          <w:marBottom w:val="0"/>
          <w:divBdr>
            <w:top w:val="none" w:sz="0" w:space="0" w:color="auto"/>
            <w:left w:val="none" w:sz="0" w:space="0" w:color="auto"/>
            <w:bottom w:val="none" w:sz="0" w:space="0" w:color="auto"/>
            <w:right w:val="none" w:sz="0" w:space="0" w:color="auto"/>
          </w:divBdr>
          <w:divsChild>
            <w:div w:id="329870388">
              <w:marLeft w:val="0"/>
              <w:marRight w:val="0"/>
              <w:marTop w:val="0"/>
              <w:marBottom w:val="0"/>
              <w:divBdr>
                <w:top w:val="none" w:sz="0" w:space="0" w:color="auto"/>
                <w:left w:val="none" w:sz="0" w:space="0" w:color="auto"/>
                <w:bottom w:val="none" w:sz="0" w:space="0" w:color="auto"/>
                <w:right w:val="none" w:sz="0" w:space="0" w:color="auto"/>
              </w:divBdr>
            </w:div>
          </w:divsChild>
        </w:div>
        <w:div w:id="801265074">
          <w:marLeft w:val="0"/>
          <w:marRight w:val="0"/>
          <w:marTop w:val="0"/>
          <w:marBottom w:val="0"/>
          <w:divBdr>
            <w:top w:val="none" w:sz="0" w:space="0" w:color="auto"/>
            <w:left w:val="none" w:sz="0" w:space="0" w:color="auto"/>
            <w:bottom w:val="none" w:sz="0" w:space="0" w:color="auto"/>
            <w:right w:val="none" w:sz="0" w:space="0" w:color="auto"/>
          </w:divBdr>
          <w:divsChild>
            <w:div w:id="458764519">
              <w:marLeft w:val="0"/>
              <w:marRight w:val="0"/>
              <w:marTop w:val="0"/>
              <w:marBottom w:val="0"/>
              <w:divBdr>
                <w:top w:val="none" w:sz="0" w:space="0" w:color="auto"/>
                <w:left w:val="none" w:sz="0" w:space="0" w:color="auto"/>
                <w:bottom w:val="none" w:sz="0" w:space="0" w:color="auto"/>
                <w:right w:val="none" w:sz="0" w:space="0" w:color="auto"/>
              </w:divBdr>
            </w:div>
          </w:divsChild>
        </w:div>
        <w:div w:id="845942370">
          <w:marLeft w:val="0"/>
          <w:marRight w:val="0"/>
          <w:marTop w:val="0"/>
          <w:marBottom w:val="0"/>
          <w:divBdr>
            <w:top w:val="none" w:sz="0" w:space="0" w:color="auto"/>
            <w:left w:val="none" w:sz="0" w:space="0" w:color="auto"/>
            <w:bottom w:val="none" w:sz="0" w:space="0" w:color="auto"/>
            <w:right w:val="none" w:sz="0" w:space="0" w:color="auto"/>
          </w:divBdr>
          <w:divsChild>
            <w:div w:id="1578511338">
              <w:marLeft w:val="0"/>
              <w:marRight w:val="0"/>
              <w:marTop w:val="0"/>
              <w:marBottom w:val="0"/>
              <w:divBdr>
                <w:top w:val="none" w:sz="0" w:space="0" w:color="auto"/>
                <w:left w:val="none" w:sz="0" w:space="0" w:color="auto"/>
                <w:bottom w:val="none" w:sz="0" w:space="0" w:color="auto"/>
                <w:right w:val="none" w:sz="0" w:space="0" w:color="auto"/>
              </w:divBdr>
            </w:div>
          </w:divsChild>
        </w:div>
        <w:div w:id="856624103">
          <w:marLeft w:val="0"/>
          <w:marRight w:val="0"/>
          <w:marTop w:val="0"/>
          <w:marBottom w:val="0"/>
          <w:divBdr>
            <w:top w:val="none" w:sz="0" w:space="0" w:color="auto"/>
            <w:left w:val="none" w:sz="0" w:space="0" w:color="auto"/>
            <w:bottom w:val="none" w:sz="0" w:space="0" w:color="auto"/>
            <w:right w:val="none" w:sz="0" w:space="0" w:color="auto"/>
          </w:divBdr>
          <w:divsChild>
            <w:div w:id="126050232">
              <w:marLeft w:val="0"/>
              <w:marRight w:val="0"/>
              <w:marTop w:val="0"/>
              <w:marBottom w:val="0"/>
              <w:divBdr>
                <w:top w:val="none" w:sz="0" w:space="0" w:color="auto"/>
                <w:left w:val="none" w:sz="0" w:space="0" w:color="auto"/>
                <w:bottom w:val="none" w:sz="0" w:space="0" w:color="auto"/>
                <w:right w:val="none" w:sz="0" w:space="0" w:color="auto"/>
              </w:divBdr>
            </w:div>
          </w:divsChild>
        </w:div>
        <w:div w:id="897476360">
          <w:marLeft w:val="0"/>
          <w:marRight w:val="0"/>
          <w:marTop w:val="0"/>
          <w:marBottom w:val="0"/>
          <w:divBdr>
            <w:top w:val="none" w:sz="0" w:space="0" w:color="auto"/>
            <w:left w:val="none" w:sz="0" w:space="0" w:color="auto"/>
            <w:bottom w:val="none" w:sz="0" w:space="0" w:color="auto"/>
            <w:right w:val="none" w:sz="0" w:space="0" w:color="auto"/>
          </w:divBdr>
          <w:divsChild>
            <w:div w:id="369234359">
              <w:marLeft w:val="0"/>
              <w:marRight w:val="0"/>
              <w:marTop w:val="0"/>
              <w:marBottom w:val="0"/>
              <w:divBdr>
                <w:top w:val="none" w:sz="0" w:space="0" w:color="auto"/>
                <w:left w:val="none" w:sz="0" w:space="0" w:color="auto"/>
                <w:bottom w:val="none" w:sz="0" w:space="0" w:color="auto"/>
                <w:right w:val="none" w:sz="0" w:space="0" w:color="auto"/>
              </w:divBdr>
            </w:div>
          </w:divsChild>
        </w:div>
        <w:div w:id="918294728">
          <w:marLeft w:val="0"/>
          <w:marRight w:val="0"/>
          <w:marTop w:val="0"/>
          <w:marBottom w:val="0"/>
          <w:divBdr>
            <w:top w:val="none" w:sz="0" w:space="0" w:color="auto"/>
            <w:left w:val="none" w:sz="0" w:space="0" w:color="auto"/>
            <w:bottom w:val="none" w:sz="0" w:space="0" w:color="auto"/>
            <w:right w:val="none" w:sz="0" w:space="0" w:color="auto"/>
          </w:divBdr>
          <w:divsChild>
            <w:div w:id="1878471928">
              <w:marLeft w:val="0"/>
              <w:marRight w:val="0"/>
              <w:marTop w:val="0"/>
              <w:marBottom w:val="0"/>
              <w:divBdr>
                <w:top w:val="none" w:sz="0" w:space="0" w:color="auto"/>
                <w:left w:val="none" w:sz="0" w:space="0" w:color="auto"/>
                <w:bottom w:val="none" w:sz="0" w:space="0" w:color="auto"/>
                <w:right w:val="none" w:sz="0" w:space="0" w:color="auto"/>
              </w:divBdr>
            </w:div>
          </w:divsChild>
        </w:div>
        <w:div w:id="954865290">
          <w:marLeft w:val="0"/>
          <w:marRight w:val="0"/>
          <w:marTop w:val="0"/>
          <w:marBottom w:val="0"/>
          <w:divBdr>
            <w:top w:val="none" w:sz="0" w:space="0" w:color="auto"/>
            <w:left w:val="none" w:sz="0" w:space="0" w:color="auto"/>
            <w:bottom w:val="none" w:sz="0" w:space="0" w:color="auto"/>
            <w:right w:val="none" w:sz="0" w:space="0" w:color="auto"/>
          </w:divBdr>
          <w:divsChild>
            <w:div w:id="448933292">
              <w:marLeft w:val="0"/>
              <w:marRight w:val="0"/>
              <w:marTop w:val="0"/>
              <w:marBottom w:val="0"/>
              <w:divBdr>
                <w:top w:val="none" w:sz="0" w:space="0" w:color="auto"/>
                <w:left w:val="none" w:sz="0" w:space="0" w:color="auto"/>
                <w:bottom w:val="none" w:sz="0" w:space="0" w:color="auto"/>
                <w:right w:val="none" w:sz="0" w:space="0" w:color="auto"/>
              </w:divBdr>
            </w:div>
          </w:divsChild>
        </w:div>
        <w:div w:id="985012648">
          <w:marLeft w:val="0"/>
          <w:marRight w:val="0"/>
          <w:marTop w:val="0"/>
          <w:marBottom w:val="0"/>
          <w:divBdr>
            <w:top w:val="none" w:sz="0" w:space="0" w:color="auto"/>
            <w:left w:val="none" w:sz="0" w:space="0" w:color="auto"/>
            <w:bottom w:val="none" w:sz="0" w:space="0" w:color="auto"/>
            <w:right w:val="none" w:sz="0" w:space="0" w:color="auto"/>
          </w:divBdr>
          <w:divsChild>
            <w:div w:id="1412698929">
              <w:marLeft w:val="0"/>
              <w:marRight w:val="0"/>
              <w:marTop w:val="0"/>
              <w:marBottom w:val="0"/>
              <w:divBdr>
                <w:top w:val="none" w:sz="0" w:space="0" w:color="auto"/>
                <w:left w:val="none" w:sz="0" w:space="0" w:color="auto"/>
                <w:bottom w:val="none" w:sz="0" w:space="0" w:color="auto"/>
                <w:right w:val="none" w:sz="0" w:space="0" w:color="auto"/>
              </w:divBdr>
            </w:div>
          </w:divsChild>
        </w:div>
        <w:div w:id="1052733866">
          <w:marLeft w:val="0"/>
          <w:marRight w:val="0"/>
          <w:marTop w:val="0"/>
          <w:marBottom w:val="0"/>
          <w:divBdr>
            <w:top w:val="none" w:sz="0" w:space="0" w:color="auto"/>
            <w:left w:val="none" w:sz="0" w:space="0" w:color="auto"/>
            <w:bottom w:val="none" w:sz="0" w:space="0" w:color="auto"/>
            <w:right w:val="none" w:sz="0" w:space="0" w:color="auto"/>
          </w:divBdr>
          <w:divsChild>
            <w:div w:id="257758958">
              <w:marLeft w:val="0"/>
              <w:marRight w:val="0"/>
              <w:marTop w:val="0"/>
              <w:marBottom w:val="0"/>
              <w:divBdr>
                <w:top w:val="none" w:sz="0" w:space="0" w:color="auto"/>
                <w:left w:val="none" w:sz="0" w:space="0" w:color="auto"/>
                <w:bottom w:val="none" w:sz="0" w:space="0" w:color="auto"/>
                <w:right w:val="none" w:sz="0" w:space="0" w:color="auto"/>
              </w:divBdr>
            </w:div>
          </w:divsChild>
        </w:div>
        <w:div w:id="1135098332">
          <w:marLeft w:val="0"/>
          <w:marRight w:val="0"/>
          <w:marTop w:val="0"/>
          <w:marBottom w:val="0"/>
          <w:divBdr>
            <w:top w:val="none" w:sz="0" w:space="0" w:color="auto"/>
            <w:left w:val="none" w:sz="0" w:space="0" w:color="auto"/>
            <w:bottom w:val="none" w:sz="0" w:space="0" w:color="auto"/>
            <w:right w:val="none" w:sz="0" w:space="0" w:color="auto"/>
          </w:divBdr>
          <w:divsChild>
            <w:div w:id="1527793611">
              <w:marLeft w:val="0"/>
              <w:marRight w:val="0"/>
              <w:marTop w:val="0"/>
              <w:marBottom w:val="0"/>
              <w:divBdr>
                <w:top w:val="none" w:sz="0" w:space="0" w:color="auto"/>
                <w:left w:val="none" w:sz="0" w:space="0" w:color="auto"/>
                <w:bottom w:val="none" w:sz="0" w:space="0" w:color="auto"/>
                <w:right w:val="none" w:sz="0" w:space="0" w:color="auto"/>
              </w:divBdr>
            </w:div>
          </w:divsChild>
        </w:div>
        <w:div w:id="1135640307">
          <w:marLeft w:val="0"/>
          <w:marRight w:val="0"/>
          <w:marTop w:val="0"/>
          <w:marBottom w:val="0"/>
          <w:divBdr>
            <w:top w:val="none" w:sz="0" w:space="0" w:color="auto"/>
            <w:left w:val="none" w:sz="0" w:space="0" w:color="auto"/>
            <w:bottom w:val="none" w:sz="0" w:space="0" w:color="auto"/>
            <w:right w:val="none" w:sz="0" w:space="0" w:color="auto"/>
          </w:divBdr>
          <w:divsChild>
            <w:div w:id="1543400477">
              <w:marLeft w:val="0"/>
              <w:marRight w:val="0"/>
              <w:marTop w:val="0"/>
              <w:marBottom w:val="0"/>
              <w:divBdr>
                <w:top w:val="none" w:sz="0" w:space="0" w:color="auto"/>
                <w:left w:val="none" w:sz="0" w:space="0" w:color="auto"/>
                <w:bottom w:val="none" w:sz="0" w:space="0" w:color="auto"/>
                <w:right w:val="none" w:sz="0" w:space="0" w:color="auto"/>
              </w:divBdr>
            </w:div>
          </w:divsChild>
        </w:div>
        <w:div w:id="1181508090">
          <w:marLeft w:val="0"/>
          <w:marRight w:val="0"/>
          <w:marTop w:val="0"/>
          <w:marBottom w:val="0"/>
          <w:divBdr>
            <w:top w:val="none" w:sz="0" w:space="0" w:color="auto"/>
            <w:left w:val="none" w:sz="0" w:space="0" w:color="auto"/>
            <w:bottom w:val="none" w:sz="0" w:space="0" w:color="auto"/>
            <w:right w:val="none" w:sz="0" w:space="0" w:color="auto"/>
          </w:divBdr>
          <w:divsChild>
            <w:div w:id="1141577024">
              <w:marLeft w:val="0"/>
              <w:marRight w:val="0"/>
              <w:marTop w:val="0"/>
              <w:marBottom w:val="0"/>
              <w:divBdr>
                <w:top w:val="none" w:sz="0" w:space="0" w:color="auto"/>
                <w:left w:val="none" w:sz="0" w:space="0" w:color="auto"/>
                <w:bottom w:val="none" w:sz="0" w:space="0" w:color="auto"/>
                <w:right w:val="none" w:sz="0" w:space="0" w:color="auto"/>
              </w:divBdr>
            </w:div>
          </w:divsChild>
        </w:div>
        <w:div w:id="1194153061">
          <w:marLeft w:val="0"/>
          <w:marRight w:val="0"/>
          <w:marTop w:val="0"/>
          <w:marBottom w:val="0"/>
          <w:divBdr>
            <w:top w:val="none" w:sz="0" w:space="0" w:color="auto"/>
            <w:left w:val="none" w:sz="0" w:space="0" w:color="auto"/>
            <w:bottom w:val="none" w:sz="0" w:space="0" w:color="auto"/>
            <w:right w:val="none" w:sz="0" w:space="0" w:color="auto"/>
          </w:divBdr>
          <w:divsChild>
            <w:div w:id="618099305">
              <w:marLeft w:val="0"/>
              <w:marRight w:val="0"/>
              <w:marTop w:val="0"/>
              <w:marBottom w:val="0"/>
              <w:divBdr>
                <w:top w:val="none" w:sz="0" w:space="0" w:color="auto"/>
                <w:left w:val="none" w:sz="0" w:space="0" w:color="auto"/>
                <w:bottom w:val="none" w:sz="0" w:space="0" w:color="auto"/>
                <w:right w:val="none" w:sz="0" w:space="0" w:color="auto"/>
              </w:divBdr>
            </w:div>
          </w:divsChild>
        </w:div>
        <w:div w:id="1207066755">
          <w:marLeft w:val="0"/>
          <w:marRight w:val="0"/>
          <w:marTop w:val="0"/>
          <w:marBottom w:val="0"/>
          <w:divBdr>
            <w:top w:val="none" w:sz="0" w:space="0" w:color="auto"/>
            <w:left w:val="none" w:sz="0" w:space="0" w:color="auto"/>
            <w:bottom w:val="none" w:sz="0" w:space="0" w:color="auto"/>
            <w:right w:val="none" w:sz="0" w:space="0" w:color="auto"/>
          </w:divBdr>
          <w:divsChild>
            <w:div w:id="1133208318">
              <w:marLeft w:val="0"/>
              <w:marRight w:val="0"/>
              <w:marTop w:val="0"/>
              <w:marBottom w:val="0"/>
              <w:divBdr>
                <w:top w:val="none" w:sz="0" w:space="0" w:color="auto"/>
                <w:left w:val="none" w:sz="0" w:space="0" w:color="auto"/>
                <w:bottom w:val="none" w:sz="0" w:space="0" w:color="auto"/>
                <w:right w:val="none" w:sz="0" w:space="0" w:color="auto"/>
              </w:divBdr>
            </w:div>
          </w:divsChild>
        </w:div>
        <w:div w:id="1226648849">
          <w:marLeft w:val="0"/>
          <w:marRight w:val="0"/>
          <w:marTop w:val="0"/>
          <w:marBottom w:val="0"/>
          <w:divBdr>
            <w:top w:val="none" w:sz="0" w:space="0" w:color="auto"/>
            <w:left w:val="none" w:sz="0" w:space="0" w:color="auto"/>
            <w:bottom w:val="none" w:sz="0" w:space="0" w:color="auto"/>
            <w:right w:val="none" w:sz="0" w:space="0" w:color="auto"/>
          </w:divBdr>
          <w:divsChild>
            <w:div w:id="696269867">
              <w:marLeft w:val="0"/>
              <w:marRight w:val="0"/>
              <w:marTop w:val="0"/>
              <w:marBottom w:val="0"/>
              <w:divBdr>
                <w:top w:val="none" w:sz="0" w:space="0" w:color="auto"/>
                <w:left w:val="none" w:sz="0" w:space="0" w:color="auto"/>
                <w:bottom w:val="none" w:sz="0" w:space="0" w:color="auto"/>
                <w:right w:val="none" w:sz="0" w:space="0" w:color="auto"/>
              </w:divBdr>
            </w:div>
          </w:divsChild>
        </w:div>
        <w:div w:id="1418477945">
          <w:marLeft w:val="0"/>
          <w:marRight w:val="0"/>
          <w:marTop w:val="0"/>
          <w:marBottom w:val="0"/>
          <w:divBdr>
            <w:top w:val="none" w:sz="0" w:space="0" w:color="auto"/>
            <w:left w:val="none" w:sz="0" w:space="0" w:color="auto"/>
            <w:bottom w:val="none" w:sz="0" w:space="0" w:color="auto"/>
            <w:right w:val="none" w:sz="0" w:space="0" w:color="auto"/>
          </w:divBdr>
          <w:divsChild>
            <w:div w:id="1303074177">
              <w:marLeft w:val="0"/>
              <w:marRight w:val="0"/>
              <w:marTop w:val="0"/>
              <w:marBottom w:val="0"/>
              <w:divBdr>
                <w:top w:val="none" w:sz="0" w:space="0" w:color="auto"/>
                <w:left w:val="none" w:sz="0" w:space="0" w:color="auto"/>
                <w:bottom w:val="none" w:sz="0" w:space="0" w:color="auto"/>
                <w:right w:val="none" w:sz="0" w:space="0" w:color="auto"/>
              </w:divBdr>
            </w:div>
          </w:divsChild>
        </w:div>
        <w:div w:id="1543052315">
          <w:marLeft w:val="0"/>
          <w:marRight w:val="0"/>
          <w:marTop w:val="0"/>
          <w:marBottom w:val="0"/>
          <w:divBdr>
            <w:top w:val="none" w:sz="0" w:space="0" w:color="auto"/>
            <w:left w:val="none" w:sz="0" w:space="0" w:color="auto"/>
            <w:bottom w:val="none" w:sz="0" w:space="0" w:color="auto"/>
            <w:right w:val="none" w:sz="0" w:space="0" w:color="auto"/>
          </w:divBdr>
          <w:divsChild>
            <w:div w:id="1245803530">
              <w:marLeft w:val="0"/>
              <w:marRight w:val="0"/>
              <w:marTop w:val="0"/>
              <w:marBottom w:val="0"/>
              <w:divBdr>
                <w:top w:val="none" w:sz="0" w:space="0" w:color="auto"/>
                <w:left w:val="none" w:sz="0" w:space="0" w:color="auto"/>
                <w:bottom w:val="none" w:sz="0" w:space="0" w:color="auto"/>
                <w:right w:val="none" w:sz="0" w:space="0" w:color="auto"/>
              </w:divBdr>
            </w:div>
          </w:divsChild>
        </w:div>
        <w:div w:id="1676420082">
          <w:marLeft w:val="0"/>
          <w:marRight w:val="0"/>
          <w:marTop w:val="0"/>
          <w:marBottom w:val="0"/>
          <w:divBdr>
            <w:top w:val="none" w:sz="0" w:space="0" w:color="auto"/>
            <w:left w:val="none" w:sz="0" w:space="0" w:color="auto"/>
            <w:bottom w:val="none" w:sz="0" w:space="0" w:color="auto"/>
            <w:right w:val="none" w:sz="0" w:space="0" w:color="auto"/>
          </w:divBdr>
          <w:divsChild>
            <w:div w:id="1330523742">
              <w:marLeft w:val="0"/>
              <w:marRight w:val="0"/>
              <w:marTop w:val="0"/>
              <w:marBottom w:val="0"/>
              <w:divBdr>
                <w:top w:val="none" w:sz="0" w:space="0" w:color="auto"/>
                <w:left w:val="none" w:sz="0" w:space="0" w:color="auto"/>
                <w:bottom w:val="none" w:sz="0" w:space="0" w:color="auto"/>
                <w:right w:val="none" w:sz="0" w:space="0" w:color="auto"/>
              </w:divBdr>
            </w:div>
          </w:divsChild>
        </w:div>
        <w:div w:id="1746537921">
          <w:marLeft w:val="0"/>
          <w:marRight w:val="0"/>
          <w:marTop w:val="0"/>
          <w:marBottom w:val="0"/>
          <w:divBdr>
            <w:top w:val="none" w:sz="0" w:space="0" w:color="auto"/>
            <w:left w:val="none" w:sz="0" w:space="0" w:color="auto"/>
            <w:bottom w:val="none" w:sz="0" w:space="0" w:color="auto"/>
            <w:right w:val="none" w:sz="0" w:space="0" w:color="auto"/>
          </w:divBdr>
          <w:divsChild>
            <w:div w:id="1403943157">
              <w:marLeft w:val="0"/>
              <w:marRight w:val="0"/>
              <w:marTop w:val="0"/>
              <w:marBottom w:val="0"/>
              <w:divBdr>
                <w:top w:val="none" w:sz="0" w:space="0" w:color="auto"/>
                <w:left w:val="none" w:sz="0" w:space="0" w:color="auto"/>
                <w:bottom w:val="none" w:sz="0" w:space="0" w:color="auto"/>
                <w:right w:val="none" w:sz="0" w:space="0" w:color="auto"/>
              </w:divBdr>
            </w:div>
          </w:divsChild>
        </w:div>
        <w:div w:id="1758474833">
          <w:marLeft w:val="0"/>
          <w:marRight w:val="0"/>
          <w:marTop w:val="0"/>
          <w:marBottom w:val="0"/>
          <w:divBdr>
            <w:top w:val="none" w:sz="0" w:space="0" w:color="auto"/>
            <w:left w:val="none" w:sz="0" w:space="0" w:color="auto"/>
            <w:bottom w:val="none" w:sz="0" w:space="0" w:color="auto"/>
            <w:right w:val="none" w:sz="0" w:space="0" w:color="auto"/>
          </w:divBdr>
          <w:divsChild>
            <w:div w:id="1369916113">
              <w:marLeft w:val="0"/>
              <w:marRight w:val="0"/>
              <w:marTop w:val="0"/>
              <w:marBottom w:val="0"/>
              <w:divBdr>
                <w:top w:val="none" w:sz="0" w:space="0" w:color="auto"/>
                <w:left w:val="none" w:sz="0" w:space="0" w:color="auto"/>
                <w:bottom w:val="none" w:sz="0" w:space="0" w:color="auto"/>
                <w:right w:val="none" w:sz="0" w:space="0" w:color="auto"/>
              </w:divBdr>
            </w:div>
          </w:divsChild>
        </w:div>
        <w:div w:id="1828940165">
          <w:marLeft w:val="0"/>
          <w:marRight w:val="0"/>
          <w:marTop w:val="0"/>
          <w:marBottom w:val="0"/>
          <w:divBdr>
            <w:top w:val="none" w:sz="0" w:space="0" w:color="auto"/>
            <w:left w:val="none" w:sz="0" w:space="0" w:color="auto"/>
            <w:bottom w:val="none" w:sz="0" w:space="0" w:color="auto"/>
            <w:right w:val="none" w:sz="0" w:space="0" w:color="auto"/>
          </w:divBdr>
          <w:divsChild>
            <w:div w:id="345523715">
              <w:marLeft w:val="0"/>
              <w:marRight w:val="0"/>
              <w:marTop w:val="0"/>
              <w:marBottom w:val="0"/>
              <w:divBdr>
                <w:top w:val="none" w:sz="0" w:space="0" w:color="auto"/>
                <w:left w:val="none" w:sz="0" w:space="0" w:color="auto"/>
                <w:bottom w:val="none" w:sz="0" w:space="0" w:color="auto"/>
                <w:right w:val="none" w:sz="0" w:space="0" w:color="auto"/>
              </w:divBdr>
            </w:div>
          </w:divsChild>
        </w:div>
        <w:div w:id="1898009519">
          <w:marLeft w:val="0"/>
          <w:marRight w:val="0"/>
          <w:marTop w:val="0"/>
          <w:marBottom w:val="0"/>
          <w:divBdr>
            <w:top w:val="none" w:sz="0" w:space="0" w:color="auto"/>
            <w:left w:val="none" w:sz="0" w:space="0" w:color="auto"/>
            <w:bottom w:val="none" w:sz="0" w:space="0" w:color="auto"/>
            <w:right w:val="none" w:sz="0" w:space="0" w:color="auto"/>
          </w:divBdr>
          <w:divsChild>
            <w:div w:id="273484497">
              <w:marLeft w:val="0"/>
              <w:marRight w:val="0"/>
              <w:marTop w:val="0"/>
              <w:marBottom w:val="0"/>
              <w:divBdr>
                <w:top w:val="none" w:sz="0" w:space="0" w:color="auto"/>
                <w:left w:val="none" w:sz="0" w:space="0" w:color="auto"/>
                <w:bottom w:val="none" w:sz="0" w:space="0" w:color="auto"/>
                <w:right w:val="none" w:sz="0" w:space="0" w:color="auto"/>
              </w:divBdr>
            </w:div>
          </w:divsChild>
        </w:div>
        <w:div w:id="1976987214">
          <w:marLeft w:val="0"/>
          <w:marRight w:val="0"/>
          <w:marTop w:val="0"/>
          <w:marBottom w:val="0"/>
          <w:divBdr>
            <w:top w:val="none" w:sz="0" w:space="0" w:color="auto"/>
            <w:left w:val="none" w:sz="0" w:space="0" w:color="auto"/>
            <w:bottom w:val="none" w:sz="0" w:space="0" w:color="auto"/>
            <w:right w:val="none" w:sz="0" w:space="0" w:color="auto"/>
          </w:divBdr>
          <w:divsChild>
            <w:div w:id="1078089380">
              <w:marLeft w:val="0"/>
              <w:marRight w:val="0"/>
              <w:marTop w:val="0"/>
              <w:marBottom w:val="0"/>
              <w:divBdr>
                <w:top w:val="none" w:sz="0" w:space="0" w:color="auto"/>
                <w:left w:val="none" w:sz="0" w:space="0" w:color="auto"/>
                <w:bottom w:val="none" w:sz="0" w:space="0" w:color="auto"/>
                <w:right w:val="none" w:sz="0" w:space="0" w:color="auto"/>
              </w:divBdr>
            </w:div>
          </w:divsChild>
        </w:div>
        <w:div w:id="2003657795">
          <w:marLeft w:val="0"/>
          <w:marRight w:val="0"/>
          <w:marTop w:val="0"/>
          <w:marBottom w:val="0"/>
          <w:divBdr>
            <w:top w:val="none" w:sz="0" w:space="0" w:color="auto"/>
            <w:left w:val="none" w:sz="0" w:space="0" w:color="auto"/>
            <w:bottom w:val="none" w:sz="0" w:space="0" w:color="auto"/>
            <w:right w:val="none" w:sz="0" w:space="0" w:color="auto"/>
          </w:divBdr>
          <w:divsChild>
            <w:div w:id="577322191">
              <w:marLeft w:val="0"/>
              <w:marRight w:val="0"/>
              <w:marTop w:val="0"/>
              <w:marBottom w:val="0"/>
              <w:divBdr>
                <w:top w:val="none" w:sz="0" w:space="0" w:color="auto"/>
                <w:left w:val="none" w:sz="0" w:space="0" w:color="auto"/>
                <w:bottom w:val="none" w:sz="0" w:space="0" w:color="auto"/>
                <w:right w:val="none" w:sz="0" w:space="0" w:color="auto"/>
              </w:divBdr>
            </w:div>
          </w:divsChild>
        </w:div>
        <w:div w:id="2118793614">
          <w:marLeft w:val="0"/>
          <w:marRight w:val="0"/>
          <w:marTop w:val="0"/>
          <w:marBottom w:val="0"/>
          <w:divBdr>
            <w:top w:val="none" w:sz="0" w:space="0" w:color="auto"/>
            <w:left w:val="none" w:sz="0" w:space="0" w:color="auto"/>
            <w:bottom w:val="none" w:sz="0" w:space="0" w:color="auto"/>
            <w:right w:val="none" w:sz="0" w:space="0" w:color="auto"/>
          </w:divBdr>
          <w:divsChild>
            <w:div w:id="38896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61116">
      <w:bodyDiv w:val="1"/>
      <w:marLeft w:val="0"/>
      <w:marRight w:val="0"/>
      <w:marTop w:val="0"/>
      <w:marBottom w:val="0"/>
      <w:divBdr>
        <w:top w:val="none" w:sz="0" w:space="0" w:color="auto"/>
        <w:left w:val="none" w:sz="0" w:space="0" w:color="auto"/>
        <w:bottom w:val="none" w:sz="0" w:space="0" w:color="auto"/>
        <w:right w:val="none" w:sz="0" w:space="0" w:color="auto"/>
      </w:divBdr>
    </w:div>
    <w:div w:id="2137679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microsoft.com/office/2018/08/relationships/commentsExtensible" Target="commentsExtensible.xml"/><Relationship Id="rId26" Type="http://schemas.openxmlformats.org/officeDocument/2006/relationships/image" Target="media/image5.emf"/><Relationship Id="rId39" Type="http://schemas.openxmlformats.org/officeDocument/2006/relationships/image" Target="media/image18.emf"/><Relationship Id="rId21" Type="http://schemas.openxmlformats.org/officeDocument/2006/relationships/footer" Target="footer1.xml"/><Relationship Id="rId34" Type="http://schemas.openxmlformats.org/officeDocument/2006/relationships/image" Target="media/image13.emf"/><Relationship Id="rId42" Type="http://schemas.openxmlformats.org/officeDocument/2006/relationships/image" Target="media/image21.emf"/><Relationship Id="rId47" Type="http://schemas.openxmlformats.org/officeDocument/2006/relationships/image" Target="media/image26.png"/><Relationship Id="rId50" Type="http://schemas.openxmlformats.org/officeDocument/2006/relationships/hyperlink" Target="https://www.figma.com/proto/gpey8Qey7qADH0drNUEUSu/VCB--Dashboard-Design?node-id=217-20783&amp;p=f&amp;t=A4oq4QgAueNwYOVR-0&amp;scaling=min-zoom&amp;content-scaling=fixed&amp;page-id=217%3A20782&amp;starting-point-node-id=217%3A20783" TargetMode="External"/><Relationship Id="rId55" Type="http://schemas.openxmlformats.org/officeDocument/2006/relationships/hyperlink" Target="https://www.figma.com/proto/gpey8Qey7qADH0drNUEUSu/VCB--Dashboard-Design?node-id=685-7100&amp;p=f&amp;t=A4oq4QgAueNwYOVR-0&amp;scaling=scale-down-width&amp;content-scaling=fixed&amp;page-id=217%3A20782&amp;starting-point-node-id=685%3A7100&amp;show-proto-sidebar=1" TargetMode="External"/><Relationship Id="rId63"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image" Target="media/image8.emf"/><Relationship Id="rId11" Type="http://schemas.openxmlformats.org/officeDocument/2006/relationships/image" Target="media/image1.wmf"/><Relationship Id="rId24" Type="http://schemas.openxmlformats.org/officeDocument/2006/relationships/image" Target="media/image3.emf"/><Relationship Id="rId32" Type="http://schemas.openxmlformats.org/officeDocument/2006/relationships/image" Target="media/image11.emf"/><Relationship Id="rId37" Type="http://schemas.openxmlformats.org/officeDocument/2006/relationships/image" Target="media/image16.emf"/><Relationship Id="rId40" Type="http://schemas.openxmlformats.org/officeDocument/2006/relationships/image" Target="media/image19.emf"/><Relationship Id="rId45" Type="http://schemas.openxmlformats.org/officeDocument/2006/relationships/image" Target="media/image24.png"/><Relationship Id="rId53" Type="http://schemas.openxmlformats.org/officeDocument/2006/relationships/hyperlink" Target="https://www.figma.com/proto/gpey8Qey7qADH0drNUEUSu/VCB--Dashboard-Design?node-id=548-11893&amp;p=f&amp;t=A4oq4QgAueNwYOVR-0&amp;scaling=scale-down-width&amp;content-scaling=fixed&amp;page-id=217%3A20782&amp;starting-point-node-id=548%3A11893&amp;show-proto-sidebar=1" TargetMode="External"/><Relationship Id="rId58" Type="http://schemas.openxmlformats.org/officeDocument/2006/relationships/header" Target="header4.xml"/><Relationship Id="rId5" Type="http://schemas.openxmlformats.org/officeDocument/2006/relationships/numbering" Target="numbering.xml"/><Relationship Id="rId61" Type="http://schemas.microsoft.com/office/2011/relationships/people" Target="people.xml"/><Relationship Id="rId1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2.xml"/><Relationship Id="rId27" Type="http://schemas.openxmlformats.org/officeDocument/2006/relationships/image" Target="media/image6.emf"/><Relationship Id="rId30" Type="http://schemas.openxmlformats.org/officeDocument/2006/relationships/image" Target="media/image9.emf"/><Relationship Id="rId35" Type="http://schemas.openxmlformats.org/officeDocument/2006/relationships/image" Target="media/image14.emf"/><Relationship Id="rId43" Type="http://schemas.openxmlformats.org/officeDocument/2006/relationships/image" Target="media/image22.emf"/><Relationship Id="rId48" Type="http://schemas.openxmlformats.org/officeDocument/2006/relationships/image" Target="media/image27.png"/><Relationship Id="rId56" Type="http://schemas.openxmlformats.org/officeDocument/2006/relationships/hyperlink" Target="https://mympc.sharepoint.com/sites/VCOTransformation-VCOProgramDocumentation/Shared%20Documents/VCO%20Program%20Documentation/06.%20Cross%20Functional/07.%20Value%20Chain%20Blending/08.%20Technical%20Design/VCB%20Dashboard/01.%20Working%20Documents/Value%20Chain%20Blending%20FDS%20Query.xlsx" TargetMode="External"/><Relationship Id="rId8" Type="http://schemas.openxmlformats.org/officeDocument/2006/relationships/webSettings" Target="webSettings.xml"/><Relationship Id="rId51" Type="http://schemas.openxmlformats.org/officeDocument/2006/relationships/hyperlink" Target="https://www.figma.com/proto/gpey8Qey7qADH0drNUEUSu/VCB--Dashboard-Design?node-id=356-1709&amp;p=f&amp;t=A4oq4QgAueNwYOVR-0&amp;scaling=scale-down-width&amp;content-scaling=fixed&amp;page-id=217%3A20782&amp;starting-point-node-id=356%3A1709"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microsoft.com/office/2016/09/relationships/commentsIds" Target="commentsIds.xml"/><Relationship Id="rId25" Type="http://schemas.openxmlformats.org/officeDocument/2006/relationships/image" Target="media/image4.emf"/><Relationship Id="rId33" Type="http://schemas.openxmlformats.org/officeDocument/2006/relationships/image" Target="media/image12.emf"/><Relationship Id="rId38" Type="http://schemas.openxmlformats.org/officeDocument/2006/relationships/image" Target="media/image17.emf"/><Relationship Id="rId46" Type="http://schemas.openxmlformats.org/officeDocument/2006/relationships/image" Target="media/image25.png"/><Relationship Id="rId59" Type="http://schemas.openxmlformats.org/officeDocument/2006/relationships/footer" Target="footer4.xml"/><Relationship Id="rId20" Type="http://schemas.openxmlformats.org/officeDocument/2006/relationships/header" Target="header2.xml"/><Relationship Id="rId41" Type="http://schemas.openxmlformats.org/officeDocument/2006/relationships/image" Target="media/image20.emf"/><Relationship Id="rId54" Type="http://schemas.openxmlformats.org/officeDocument/2006/relationships/hyperlink" Target="https://www.figma.com/proto/gpey8Qey7qADH0drNUEUSu/VCB--Dashboard-Design?node-id=619-16464&amp;p=f&amp;t=A4oq4QgAueNwYOVR-0&amp;scaling=scale-down-width&amp;content-scaling=fixed&amp;page-id=217%3A20782&amp;starting-point-node-id=619%3A16464&amp;show-proto-sidebar=1"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footer" Target="footer3.xml"/><Relationship Id="rId28" Type="http://schemas.openxmlformats.org/officeDocument/2006/relationships/image" Target="media/image7.emf"/><Relationship Id="rId36" Type="http://schemas.openxmlformats.org/officeDocument/2006/relationships/image" Target="media/image15.emf"/><Relationship Id="rId49" Type="http://schemas.openxmlformats.org/officeDocument/2006/relationships/image" Target="media/image28.png"/><Relationship Id="rId57" Type="http://schemas.openxmlformats.org/officeDocument/2006/relationships/header" Target="header3.xml"/><Relationship Id="rId10" Type="http://schemas.openxmlformats.org/officeDocument/2006/relationships/endnotes" Target="endnotes.xml"/><Relationship Id="rId31" Type="http://schemas.openxmlformats.org/officeDocument/2006/relationships/image" Target="media/image10.emf"/><Relationship Id="rId44" Type="http://schemas.openxmlformats.org/officeDocument/2006/relationships/image" Target="media/image23.emf"/><Relationship Id="rId52" Type="http://schemas.openxmlformats.org/officeDocument/2006/relationships/hyperlink" Target="https://www.figma.com/proto/gpey8Qey7qADH0drNUEUSu/VCB--Dashboard-Design?node-id=514-45850&amp;p=f&amp;t=A4oq4QgAueNwYOVR-0&amp;scaling=scale-down-width&amp;content-scaling=fixed&amp;page-id=217%3A20782&amp;starting-point-node-id=514%3A45850"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0AA3651BACF042863F8B924CF4E28E" ma:contentTypeVersion="11" ma:contentTypeDescription="Create a new document." ma:contentTypeScope="" ma:versionID="6e10c4a44c921fe51e56a3931656fa9c">
  <xsd:schema xmlns:xsd="http://www.w3.org/2001/XMLSchema" xmlns:xs="http://www.w3.org/2001/XMLSchema" xmlns:p="http://schemas.microsoft.com/office/2006/metadata/properties" xmlns:ns2="d0feeb8f-ad7f-404d-8b26-962c2512e6cc" targetNamespace="http://schemas.microsoft.com/office/2006/metadata/properties" ma:root="true" ma:fieldsID="bfb2ddaa145b5090b5e44dfc8f54d0ec" ns2:_="">
    <xsd:import namespace="d0feeb8f-ad7f-404d-8b26-962c2512e6c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feeb8f-ad7f-404d-8b26-962c2512e6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feeb8f-ad7f-404d-8b26-962c2512e6cc" xsi:nil="true"/>
  </documentManagement>
</p:properties>
</file>

<file path=customXml/itemProps1.xml><?xml version="1.0" encoding="utf-8"?>
<ds:datastoreItem xmlns:ds="http://schemas.openxmlformats.org/officeDocument/2006/customXml" ds:itemID="{6BDD010C-671D-4297-B5F7-07DC76488F9D}">
  <ds:schemaRefs>
    <ds:schemaRef ds:uri="http://schemas.microsoft.com/sharepoint/v3/contenttype/forms"/>
  </ds:schemaRefs>
</ds:datastoreItem>
</file>

<file path=customXml/itemProps2.xml><?xml version="1.0" encoding="utf-8"?>
<ds:datastoreItem xmlns:ds="http://schemas.openxmlformats.org/officeDocument/2006/customXml" ds:itemID="{1FA2BA2D-F44B-4CCD-8584-220BC1B02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feeb8f-ad7f-404d-8b26-962c2512e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803352-6AF0-4B09-A6FB-4A24EA3838F7}">
  <ds:schemaRefs>
    <ds:schemaRef ds:uri="http://schemas.openxmlformats.org/officeDocument/2006/bibliography"/>
  </ds:schemaRefs>
</ds:datastoreItem>
</file>

<file path=customXml/itemProps4.xml><?xml version="1.0" encoding="utf-8"?>
<ds:datastoreItem xmlns:ds="http://schemas.openxmlformats.org/officeDocument/2006/customXml" ds:itemID="{A5AE1BA1-FA18-4161-8FF1-B4C9B30C5235}">
  <ds:schemaRefs>
    <ds:schemaRef ds:uri="http://schemas.microsoft.com/office/2006/metadata/properties"/>
    <ds:schemaRef ds:uri="http://schemas.microsoft.com/office/infopath/2007/PartnerControls"/>
    <ds:schemaRef ds:uri="d0feeb8f-ad7f-404d-8b26-962c2512e6cc"/>
  </ds:schemaRefs>
</ds:datastoreItem>
</file>

<file path=docMetadata/LabelInfo.xml><?xml version="1.0" encoding="utf-8"?>
<clbl:labelList xmlns:clbl="http://schemas.microsoft.com/office/2020/mipLabelMetadata">
  <clbl:label id="{e7e2a638-66ef-4100-a677-17e0e39de297}" enabled="1" method="Privileged" siteId="{1640f4ce-86c6-44f2-a477-06bd39617e9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56967</Words>
  <Characters>324718</Characters>
  <Application>Microsoft Office Word</Application>
  <DocSecurity>4</DocSecurity>
  <Lines>2705</Lines>
  <Paragraphs>761</Paragraphs>
  <ScaleCrop>false</ScaleCrop>
  <Company>Deloitte</Company>
  <LinksUpToDate>false</LinksUpToDate>
  <CharactersWithSpaces>380924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Sagar, Prajapati  A.</dc:creator>
  <cp:keywords/>
  <dc:description/>
  <cp:lastModifiedBy>Prajapati, Jayesh</cp:lastModifiedBy>
  <cp:revision>1731</cp:revision>
  <cp:lastPrinted>2026-10-12T16:09:00Z</cp:lastPrinted>
  <dcterms:created xsi:type="dcterms:W3CDTF">2026-08-11T16:36:00Z</dcterms:created>
  <dcterms:modified xsi:type="dcterms:W3CDTF">2026-10-12T12:40:00Z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ibm.ram.artifactUrl">
    <vt:lpwstr>https://dsam.deloitteresources.com/ram.ws/oslc/assets/485664F2-5EC8-D8BC-0848-35D9654E5D3E/1.1.0/artifactContents/Dell Boomi Technical Design Document Template.docx</vt:lpwstr>
  </property>
  <property fmtid="{D5CDD505-2E9C-101B-9397-08002B2CF9AE}" pid="3" name="ContentTypeId">
    <vt:lpwstr>0x010100B70AA3651BACF042863F8B924CF4E28E</vt:lpwstr>
  </property>
  <property fmtid="{D5CDD505-2E9C-101B-9397-08002B2CF9AE}" pid="4" name="Order">
    <vt:r8>31700</vt:r8>
  </property>
  <property fmtid="{D5CDD505-2E9C-101B-9397-08002B2CF9AE}" pid="5" name="xd_Signature">
    <vt:bool>false</vt:bool>
  </property>
  <property fmtid="{D5CDD505-2E9C-101B-9397-08002B2CF9AE}" pid="6" name="xd_ProgID">
    <vt:lpwstr/>
  </property>
  <property fmtid="{D5CDD505-2E9C-101B-9397-08002B2CF9AE}" pid="7" name="_ExtendedDescription">
    <vt:lpwstr/>
  </property>
  <property fmtid="{D5CDD505-2E9C-101B-9397-08002B2CF9AE}" pid="8" name="ComplianceAssetId">
    <vt:lpwstr/>
  </property>
  <property fmtid="{D5CDD505-2E9C-101B-9397-08002B2CF9AE}" pid="9" name="TemplateUrl">
    <vt:lpwstr/>
  </property>
  <property fmtid="{D5CDD505-2E9C-101B-9397-08002B2CF9AE}" pid="10" name="MSIP_Label_ea60d57e-af5b-4752-ac57-3e4f28ca11dc_Enabled">
    <vt:lpwstr>true</vt:lpwstr>
  </property>
  <property fmtid="{D5CDD505-2E9C-101B-9397-08002B2CF9AE}" pid="11" name="MSIP_Label_ea60d57e-af5b-4752-ac57-3e4f28ca11dc_SetDate">
    <vt:lpwstr>2021-11-20T16:45:25Z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1346ce9f-c519-4e15-8f73-cb1a2db6f31c</vt:lpwstr>
  </property>
  <property fmtid="{D5CDD505-2E9C-101B-9397-08002B2CF9AE}" pid="16" name="MSIP_Label_ea60d57e-af5b-4752-ac57-3e4f28ca11dc_ContentBits">
    <vt:lpwstr>0</vt:lpwstr>
  </property>
  <property fmtid="{D5CDD505-2E9C-101B-9397-08002B2CF9AE}" pid="17" name="MediaServiceImageTags">
    <vt:lpwstr/>
  </property>
  <property fmtid="{D5CDD505-2E9C-101B-9397-08002B2CF9AE}" pid="18" name="docLang">
    <vt:lpwstr>en</vt:lpwstr>
  </property>
</Properties>
</file>